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6056" w14:textId="3C02E02A" w:rsidR="00D2664B" w:rsidRPr="008B2CC1" w:rsidRDefault="00CC7FED" w:rsidP="00D2664B">
      <w:pPr>
        <w:spacing w:after="120"/>
        <w:jc w:val="right"/>
      </w:pPr>
      <w:bookmarkStart w:id="0" w:name="_Hlk222997423"/>
      <w:r w:rsidRPr="0042194C">
        <w:rPr>
          <w:noProof/>
          <w:lang w:val="en-US"/>
        </w:rPr>
        <w:drawing>
          <wp:inline distT="0" distB="0" distL="0" distR="0" wp14:anchorId="555E809A" wp14:editId="25786984">
            <wp:extent cx="3122295" cy="1409700"/>
            <wp:effectExtent l="0" t="0" r="1905" b="0"/>
            <wp:docPr id="1391821144" name="Picture 139182114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r w:rsidR="00D2664B">
        <w:rPr>
          <w:rFonts w:ascii="Arial Black" w:hAnsi="Arial Black"/>
          <w:caps/>
          <w:noProof/>
          <w:sz w:val="15"/>
        </w:rPr>
        <mc:AlternateContent>
          <mc:Choice Requires="wps">
            <w:drawing>
              <wp:inline distT="0" distB="0" distL="0" distR="0" wp14:anchorId="31B9A781" wp14:editId="21E3D22E">
                <wp:extent cx="5935980" cy="0"/>
                <wp:effectExtent l="0" t="0" r="26670" b="19050"/>
                <wp:docPr id="1382639863" name="Straight Connector 138263986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8B54BB" id="Straight Connector 138263986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0249ABEC" w14:textId="77777777" w:rsidR="00D2664B" w:rsidRPr="001024FE" w:rsidRDefault="00D2664B" w:rsidP="00D2664B">
      <w:pPr>
        <w:jc w:val="right"/>
        <w:rPr>
          <w:rFonts w:ascii="Arial Black" w:hAnsi="Arial Black"/>
          <w:caps/>
          <w:sz w:val="15"/>
          <w:szCs w:val="15"/>
        </w:rPr>
      </w:pPr>
      <w:r>
        <w:rPr>
          <w:rFonts w:ascii="Arial Black" w:hAnsi="Arial Black"/>
          <w:caps/>
          <w:sz w:val="15"/>
        </w:rPr>
        <w:t>a/68/5</w:t>
      </w:r>
    </w:p>
    <w:p w14:paraId="5F5526C4" w14:textId="77777777" w:rsidR="00D2664B" w:rsidRPr="00CE65D4" w:rsidRDefault="00D2664B" w:rsidP="00D2664B">
      <w:pPr>
        <w:jc w:val="right"/>
        <w:rPr>
          <w:rFonts w:ascii="Arial Black" w:hAnsi="Arial Black"/>
          <w:caps/>
          <w:sz w:val="15"/>
          <w:szCs w:val="15"/>
        </w:rPr>
      </w:pPr>
      <w:r>
        <w:rPr>
          <w:rFonts w:ascii="Arial Black" w:hAnsi="Arial Black"/>
          <w:caps/>
          <w:sz w:val="15"/>
        </w:rPr>
        <w:t>ОРИГИНАЛ: АНГЛИЙСКИЙ</w:t>
      </w:r>
    </w:p>
    <w:p w14:paraId="60BD2996" w14:textId="3D1C6D0B" w:rsidR="00D2664B" w:rsidRPr="00CB78CB" w:rsidRDefault="00D2664B" w:rsidP="00D2664B">
      <w:pPr>
        <w:spacing w:after="1200"/>
        <w:jc w:val="right"/>
        <w:rPr>
          <w:rFonts w:ascii="Arial Black" w:hAnsi="Arial Black"/>
          <w:caps/>
          <w:sz w:val="15"/>
          <w:szCs w:val="15"/>
        </w:rPr>
      </w:pPr>
      <w:r>
        <w:rPr>
          <w:rFonts w:ascii="Arial Black" w:hAnsi="Arial Black"/>
          <w:sz w:val="15"/>
        </w:rPr>
        <w:t>ДАТА</w:t>
      </w:r>
      <w:r>
        <w:rPr>
          <w:rFonts w:ascii="Arial Black" w:hAnsi="Arial Black"/>
          <w:caps/>
          <w:sz w:val="15"/>
        </w:rPr>
        <w:t>:</w:t>
      </w:r>
      <w:r w:rsidR="00CB78CB" w:rsidRPr="00CB78CB">
        <w:rPr>
          <w:rFonts w:ascii="Arial Black" w:hAnsi="Arial Black"/>
          <w:caps/>
          <w:sz w:val="15"/>
        </w:rPr>
        <w:t xml:space="preserve"> </w:t>
      </w:r>
      <w:r w:rsidR="00CB78CB">
        <w:rPr>
          <w:rFonts w:ascii="Arial Black" w:hAnsi="Arial Black"/>
          <w:caps/>
          <w:sz w:val="15"/>
        </w:rPr>
        <w:t>21 мая 2026 года</w:t>
      </w:r>
    </w:p>
    <w:p w14:paraId="53F13E0D" w14:textId="77777777" w:rsidR="00D2664B" w:rsidRPr="003845C1" w:rsidRDefault="00D2664B" w:rsidP="00D2664B">
      <w:pPr>
        <w:spacing w:after="600"/>
        <w:rPr>
          <w:b/>
          <w:sz w:val="28"/>
          <w:szCs w:val="28"/>
        </w:rPr>
      </w:pPr>
      <w:r>
        <w:rPr>
          <w:b/>
          <w:sz w:val="28"/>
        </w:rPr>
        <w:t>Ассамблеи государств — членов ВОИС</w:t>
      </w:r>
    </w:p>
    <w:p w14:paraId="68E65B67" w14:textId="77777777" w:rsidR="00D2664B" w:rsidRPr="003845C1" w:rsidRDefault="00D2664B" w:rsidP="00D2664B">
      <w:pPr>
        <w:rPr>
          <w:b/>
          <w:sz w:val="24"/>
          <w:szCs w:val="24"/>
        </w:rPr>
      </w:pPr>
      <w:r>
        <w:rPr>
          <w:b/>
          <w:sz w:val="24"/>
        </w:rPr>
        <w:t>Шестьдесят восьмая серия заседаний</w:t>
      </w:r>
    </w:p>
    <w:p w14:paraId="684D60B9" w14:textId="77777777" w:rsidR="00D2664B" w:rsidRPr="009F3BF9" w:rsidRDefault="00D2664B" w:rsidP="00D2664B">
      <w:pPr>
        <w:spacing w:after="720"/>
      </w:pPr>
      <w:r>
        <w:rPr>
          <w:b/>
          <w:sz w:val="24"/>
        </w:rPr>
        <w:t>Женева, 7–15 июля 2026 года</w:t>
      </w:r>
    </w:p>
    <w:p w14:paraId="7B847F08" w14:textId="77777777" w:rsidR="00D2664B" w:rsidRPr="009F3BF9" w:rsidRDefault="00D2664B" w:rsidP="00D2664B">
      <w:pPr>
        <w:spacing w:after="360"/>
        <w:rPr>
          <w:caps/>
          <w:sz w:val="24"/>
        </w:rPr>
      </w:pPr>
      <w:r>
        <w:rPr>
          <w:caps/>
          <w:sz w:val="24"/>
        </w:rPr>
        <w:t>ОТЧЕТ ВНЕШНЕГО АУДИТОРА О ФИНАНСОВЫХ ВЕДОМОСТЯХ</w:t>
      </w:r>
    </w:p>
    <w:p w14:paraId="250A5057" w14:textId="77777777" w:rsidR="00D2664B" w:rsidRPr="004D39C4" w:rsidRDefault="00D2664B" w:rsidP="00D2664B">
      <w:pPr>
        <w:spacing w:after="960"/>
        <w:rPr>
          <w:i/>
        </w:rPr>
      </w:pPr>
      <w:r>
        <w:rPr>
          <w:i/>
        </w:rPr>
        <w:t>подготовлен Секретариатом</w:t>
      </w:r>
    </w:p>
    <w:p w14:paraId="17B8EBF4" w14:textId="401143E4" w:rsidR="00D2664B" w:rsidRPr="008E3F34" w:rsidRDefault="00D2664B" w:rsidP="008E3F34">
      <w:pPr>
        <w:pStyle w:val="ListParagraph"/>
        <w:numPr>
          <w:ilvl w:val="0"/>
          <w:numId w:val="39"/>
        </w:numPr>
        <w:ind w:left="0" w:firstLine="0"/>
        <w:rPr>
          <w:sz w:val="24"/>
          <w:szCs w:val="24"/>
        </w:rPr>
      </w:pPr>
      <w:r>
        <w:t>Настоящий документ содержит «</w:t>
      </w:r>
      <w:r w:rsidR="00CB78CB" w:rsidRPr="00CB78CB">
        <w:t>Отчет Внешнего аудитора о финансовых ведомостях</w:t>
      </w:r>
      <w:r>
        <w:t>» (документ WO/PBC/40/3), представленный Комитету по программе и бюджету (КПБ) на его сороковой сессии (15–19 июня 2026 года).</w:t>
      </w:r>
    </w:p>
    <w:p w14:paraId="2C40BB05" w14:textId="77777777" w:rsidR="00D2664B" w:rsidRDefault="00D2664B" w:rsidP="00D2664B">
      <w:pPr>
        <w:spacing w:line="256" w:lineRule="auto"/>
        <w:ind w:left="720" w:hanging="990"/>
        <w:contextualSpacing/>
        <w:rPr>
          <w:rFonts w:eastAsia="Calibri"/>
        </w:rPr>
      </w:pPr>
    </w:p>
    <w:p w14:paraId="4A537E51" w14:textId="0C5F4998" w:rsidR="00D2664B" w:rsidRPr="008E3F34" w:rsidRDefault="00D2664B" w:rsidP="008E3F34">
      <w:pPr>
        <w:pStyle w:val="ListParagraph"/>
        <w:numPr>
          <w:ilvl w:val="0"/>
          <w:numId w:val="39"/>
        </w:numPr>
        <w:ind w:left="0" w:firstLine="0"/>
        <w:rPr>
          <w:rFonts w:eastAsia="Calibri"/>
        </w:rPr>
      </w:pPr>
      <w:r>
        <w:t>Любое решение КПБ в отношении этих документов войдет в «Перечень решений, принятых Комитетом по программе и бюджету» (документ A/68/6).</w:t>
      </w:r>
    </w:p>
    <w:p w14:paraId="0021B88E" w14:textId="77777777" w:rsidR="00D2664B" w:rsidRDefault="00D2664B" w:rsidP="00D2664B">
      <w:pPr>
        <w:spacing w:line="256" w:lineRule="auto"/>
        <w:ind w:left="720" w:hanging="990"/>
        <w:contextualSpacing/>
        <w:rPr>
          <w:rFonts w:eastAsia="Calibri"/>
        </w:rPr>
      </w:pPr>
    </w:p>
    <w:p w14:paraId="28B1CBDF" w14:textId="77777777" w:rsidR="00D2664B" w:rsidRDefault="00D2664B" w:rsidP="00D2664B">
      <w:pPr>
        <w:spacing w:line="256" w:lineRule="auto"/>
        <w:ind w:left="720" w:hanging="990"/>
        <w:contextualSpacing/>
        <w:rPr>
          <w:rFonts w:eastAsia="Calibri"/>
        </w:rPr>
      </w:pPr>
    </w:p>
    <w:p w14:paraId="47E6EAE7" w14:textId="77777777" w:rsidR="00D2664B" w:rsidRDefault="00D2664B" w:rsidP="00D2664B">
      <w:pPr>
        <w:spacing w:line="256" w:lineRule="auto"/>
        <w:ind w:left="720" w:hanging="990"/>
        <w:contextualSpacing/>
        <w:rPr>
          <w:rFonts w:ascii="Calibri" w:eastAsia="Calibri" w:hAnsi="Calibri" w:cs="Times New Roman"/>
        </w:rPr>
      </w:pPr>
    </w:p>
    <w:p w14:paraId="00CE6D53" w14:textId="77777777" w:rsidR="00D2664B" w:rsidRDefault="00D2664B" w:rsidP="00D2664B">
      <w:pPr>
        <w:spacing w:after="220"/>
        <w:ind w:left="5103" w:hanging="990"/>
      </w:pPr>
      <w:r>
        <w:t>[Документ WO/PBC/40/3 следует]</w:t>
      </w:r>
    </w:p>
    <w:p w14:paraId="0A44AE9F" w14:textId="77777777" w:rsidR="00D2664B" w:rsidRPr="007A406D" w:rsidRDefault="00D2664B" w:rsidP="00D2664B">
      <w:pPr>
        <w:spacing w:after="220"/>
      </w:pPr>
    </w:p>
    <w:p w14:paraId="07EBB659" w14:textId="77777777" w:rsidR="00D2664B" w:rsidRDefault="00D2664B" w:rsidP="00D2664B">
      <w:pPr>
        <w:spacing w:after="120"/>
        <w:jc w:val="right"/>
      </w:pPr>
    </w:p>
    <w:p w14:paraId="78BF363A" w14:textId="77777777" w:rsidR="00D2664B" w:rsidRDefault="00D2664B" w:rsidP="00D2664B">
      <w:pPr>
        <w:spacing w:after="120"/>
        <w:jc w:val="right"/>
      </w:pPr>
    </w:p>
    <w:p w14:paraId="5A9058F9" w14:textId="77777777" w:rsidR="00D2664B" w:rsidRDefault="00D2664B" w:rsidP="00D2664B">
      <w:pPr>
        <w:spacing w:after="120"/>
        <w:jc w:val="right"/>
      </w:pPr>
    </w:p>
    <w:p w14:paraId="6EB24177" w14:textId="77777777" w:rsidR="00D2664B" w:rsidRDefault="00D2664B" w:rsidP="00D2664B">
      <w:pPr>
        <w:spacing w:after="120"/>
        <w:jc w:val="right"/>
      </w:pPr>
    </w:p>
    <w:p w14:paraId="4786597B" w14:textId="77777777" w:rsidR="00D2664B" w:rsidRDefault="00D2664B" w:rsidP="00D2664B">
      <w:pPr>
        <w:spacing w:after="120"/>
        <w:jc w:val="right"/>
      </w:pPr>
    </w:p>
    <w:p w14:paraId="0823A937" w14:textId="77777777" w:rsidR="00D2664B" w:rsidRDefault="00D2664B" w:rsidP="00D2664B">
      <w:pPr>
        <w:spacing w:after="120"/>
        <w:jc w:val="right"/>
      </w:pPr>
    </w:p>
    <w:p w14:paraId="5B1F5B2D" w14:textId="77777777" w:rsidR="00D2664B" w:rsidRDefault="00D2664B" w:rsidP="00D2664B">
      <w:pPr>
        <w:spacing w:after="120"/>
        <w:jc w:val="right"/>
      </w:pPr>
    </w:p>
    <w:p w14:paraId="5CF9B007" w14:textId="77777777" w:rsidR="00D2664B" w:rsidRDefault="00D2664B" w:rsidP="00D2664B">
      <w:pPr>
        <w:spacing w:after="120"/>
        <w:jc w:val="right"/>
        <w:sectPr w:rsidR="00D2664B" w:rsidSect="00D2664B">
          <w:headerReference w:type="default" r:id="rId14"/>
          <w:endnotePr>
            <w:numFmt w:val="decimal"/>
          </w:endnotePr>
          <w:pgSz w:w="11907" w:h="16840" w:code="9"/>
          <w:pgMar w:top="567" w:right="1134" w:bottom="1418" w:left="1418" w:header="510" w:footer="1021" w:gutter="0"/>
          <w:cols w:space="720"/>
          <w:titlePg/>
          <w:docGrid w:linePitch="299"/>
        </w:sectPr>
      </w:pPr>
    </w:p>
    <w:p w14:paraId="71E2DED9" w14:textId="49DEA7C1" w:rsidR="00D2664B" w:rsidRPr="008B2CC1" w:rsidRDefault="00CC7FED" w:rsidP="005F17C3">
      <w:pPr>
        <w:spacing w:after="120"/>
        <w:jc w:val="right"/>
      </w:pPr>
      <w:r w:rsidRPr="0042194C">
        <w:rPr>
          <w:noProof/>
          <w:lang w:val="en-US"/>
        </w:rPr>
        <w:lastRenderedPageBreak/>
        <w:drawing>
          <wp:inline distT="0" distB="0" distL="0" distR="0" wp14:anchorId="7DD6731F" wp14:editId="270B6E90">
            <wp:extent cx="3122295" cy="1409700"/>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r w:rsidR="00D2664B">
        <w:rPr>
          <w:rFonts w:ascii="Arial Black" w:hAnsi="Arial Black"/>
          <w:caps/>
          <w:noProof/>
          <w:sz w:val="15"/>
        </w:rPr>
        <mc:AlternateContent>
          <mc:Choice Requires="wps">
            <w:drawing>
              <wp:inline distT="0" distB="0" distL="0" distR="0" wp14:anchorId="64EEA9F6" wp14:editId="3AD2F3C5">
                <wp:extent cx="5935980" cy="0"/>
                <wp:effectExtent l="0" t="0" r="26670" b="19050"/>
                <wp:docPr id="1416572068" name="Straight Connector 1416572068"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A1F3FC" id="Straight Connector 1416572068"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78C10A9" w14:textId="77777777" w:rsidR="00D2664B" w:rsidRPr="001024FE" w:rsidRDefault="00D2664B" w:rsidP="00D2664B">
      <w:pPr>
        <w:jc w:val="right"/>
        <w:rPr>
          <w:rFonts w:ascii="Arial Black" w:hAnsi="Arial Black"/>
          <w:caps/>
          <w:sz w:val="15"/>
          <w:szCs w:val="15"/>
        </w:rPr>
      </w:pPr>
      <w:r>
        <w:rPr>
          <w:rFonts w:ascii="Arial Black" w:hAnsi="Arial Black"/>
          <w:caps/>
          <w:sz w:val="15"/>
        </w:rPr>
        <w:t>WO/PBC/40/</w:t>
      </w:r>
      <w:bookmarkStart w:id="2" w:name="Code"/>
      <w:bookmarkEnd w:id="2"/>
      <w:r>
        <w:rPr>
          <w:rFonts w:ascii="Arial Black" w:hAnsi="Arial Black"/>
          <w:caps/>
          <w:sz w:val="15"/>
        </w:rPr>
        <w:t>3</w:t>
      </w:r>
    </w:p>
    <w:p w14:paraId="4367F78A" w14:textId="77777777" w:rsidR="00D2664B" w:rsidRPr="00CE65D4" w:rsidRDefault="00D2664B" w:rsidP="00D2664B">
      <w:pPr>
        <w:jc w:val="right"/>
        <w:rPr>
          <w:rFonts w:ascii="Arial Black" w:hAnsi="Arial Black"/>
          <w:caps/>
          <w:sz w:val="15"/>
          <w:szCs w:val="15"/>
        </w:rPr>
      </w:pPr>
      <w:r>
        <w:rPr>
          <w:rFonts w:ascii="Arial Black" w:hAnsi="Arial Black"/>
          <w:caps/>
          <w:sz w:val="15"/>
        </w:rPr>
        <w:t xml:space="preserve">ОРИГИНАЛ: </w:t>
      </w:r>
      <w:bookmarkStart w:id="3" w:name="Original"/>
      <w:r>
        <w:rPr>
          <w:rFonts w:ascii="Arial Black" w:hAnsi="Arial Black"/>
          <w:caps/>
          <w:sz w:val="15"/>
        </w:rPr>
        <w:t>АНГЛИЙСКИЙ</w:t>
      </w:r>
    </w:p>
    <w:bookmarkEnd w:id="3"/>
    <w:p w14:paraId="0690424D" w14:textId="7F3EFC22" w:rsidR="00D2664B" w:rsidRPr="00CE65D4" w:rsidRDefault="00D2664B" w:rsidP="00D2664B">
      <w:pPr>
        <w:spacing w:after="1200"/>
        <w:jc w:val="right"/>
        <w:rPr>
          <w:rFonts w:ascii="Arial Black" w:hAnsi="Arial Black"/>
          <w:caps/>
          <w:sz w:val="15"/>
          <w:szCs w:val="15"/>
        </w:rPr>
      </w:pPr>
      <w:r>
        <w:rPr>
          <w:rFonts w:ascii="Arial Black" w:hAnsi="Arial Black"/>
          <w:caps/>
          <w:sz w:val="15"/>
        </w:rPr>
        <w:t xml:space="preserve">ДАТА: </w:t>
      </w:r>
      <w:bookmarkStart w:id="4" w:name="Date"/>
      <w:r w:rsidR="00CB78CB">
        <w:rPr>
          <w:rFonts w:ascii="Arial Black" w:hAnsi="Arial Black"/>
          <w:caps/>
          <w:sz w:val="15"/>
        </w:rPr>
        <w:t>21</w:t>
      </w:r>
      <w:r>
        <w:rPr>
          <w:rFonts w:ascii="Arial Black" w:hAnsi="Arial Black"/>
          <w:caps/>
          <w:sz w:val="15"/>
        </w:rPr>
        <w:t xml:space="preserve"> МАЯ 2026 ГОДА</w:t>
      </w:r>
    </w:p>
    <w:bookmarkEnd w:id="4"/>
    <w:p w14:paraId="674C3D4A" w14:textId="77777777" w:rsidR="00D2664B" w:rsidRPr="003845C1" w:rsidRDefault="00D2664B" w:rsidP="00225299">
      <w:pPr>
        <w:spacing w:after="600"/>
        <w:rPr>
          <w:b/>
          <w:sz w:val="28"/>
          <w:szCs w:val="28"/>
        </w:rPr>
      </w:pPr>
      <w:r>
        <w:rPr>
          <w:b/>
          <w:sz w:val="28"/>
        </w:rPr>
        <w:t>Комитет по программе и бюджету</w:t>
      </w:r>
    </w:p>
    <w:p w14:paraId="72D83E5C" w14:textId="77777777" w:rsidR="00D2664B" w:rsidRPr="003845C1" w:rsidRDefault="00D2664B" w:rsidP="00D2664B">
      <w:pPr>
        <w:rPr>
          <w:b/>
          <w:sz w:val="24"/>
          <w:szCs w:val="24"/>
        </w:rPr>
      </w:pPr>
      <w:r>
        <w:rPr>
          <w:b/>
          <w:sz w:val="24"/>
        </w:rPr>
        <w:t>Сороковая сессия</w:t>
      </w:r>
    </w:p>
    <w:p w14:paraId="6CDD40A3" w14:textId="77777777" w:rsidR="00D2664B" w:rsidRPr="009F3BF9" w:rsidRDefault="00D2664B" w:rsidP="00D2664B">
      <w:pPr>
        <w:spacing w:after="720"/>
      </w:pPr>
      <w:r>
        <w:rPr>
          <w:b/>
          <w:sz w:val="24"/>
        </w:rPr>
        <w:t>Женева, 15–19 июня 2026 года</w:t>
      </w:r>
    </w:p>
    <w:p w14:paraId="7F0598BC" w14:textId="77777777" w:rsidR="00D2664B" w:rsidRPr="009F3BF9" w:rsidRDefault="00D2664B" w:rsidP="00D2664B">
      <w:pPr>
        <w:spacing w:after="360"/>
        <w:rPr>
          <w:caps/>
          <w:sz w:val="24"/>
        </w:rPr>
      </w:pPr>
      <w:bookmarkStart w:id="5" w:name="TitleOfDoc"/>
      <w:r>
        <w:rPr>
          <w:caps/>
          <w:sz w:val="24"/>
        </w:rPr>
        <w:t>ОТЧЕТ ВНЕШНЕГО АУДИТОРА О ФИНАНСОВЫХ ВЕДОМОСТЯХ</w:t>
      </w:r>
    </w:p>
    <w:p w14:paraId="14C15751" w14:textId="77777777" w:rsidR="00D2664B" w:rsidRPr="004D39C4" w:rsidRDefault="00D2664B" w:rsidP="00B65CF6">
      <w:pPr>
        <w:spacing w:after="480"/>
        <w:rPr>
          <w:i/>
        </w:rPr>
      </w:pPr>
      <w:bookmarkStart w:id="6" w:name="Prepared"/>
      <w:bookmarkEnd w:id="5"/>
      <w:r>
        <w:rPr>
          <w:i/>
        </w:rPr>
        <w:t>подготовлен Секретариатом</w:t>
      </w:r>
    </w:p>
    <w:bookmarkEnd w:id="6"/>
    <w:p w14:paraId="424B3727" w14:textId="760A291A" w:rsidR="00CB78CB" w:rsidRDefault="00D2664B" w:rsidP="00CB78CB">
      <w:pPr>
        <w:pStyle w:val="ListParagraph"/>
        <w:numPr>
          <w:ilvl w:val="0"/>
          <w:numId w:val="37"/>
        </w:numPr>
      </w:pPr>
      <w:r>
        <w:t xml:space="preserve">Настоящий документ включает в себя </w:t>
      </w:r>
      <w:r w:rsidR="00CB78CB">
        <w:t>«Отчет Внешнего</w:t>
      </w:r>
      <w:r>
        <w:t xml:space="preserve"> аудитора</w:t>
      </w:r>
      <w:r w:rsidR="00CB78CB">
        <w:t xml:space="preserve"> о </w:t>
      </w:r>
      <w:r>
        <w:t>финансовых ведомост</w:t>
      </w:r>
      <w:r w:rsidR="00CB78CB">
        <w:t>ях»</w:t>
      </w:r>
      <w:r>
        <w:t xml:space="preserve"> Всемирной организации интеллектуальной собственности (ВОИС) за год, окончившийся 31 декабря 2025 года</w:t>
      </w:r>
      <w:r w:rsidR="00CB78CB">
        <w:t>.</w:t>
      </w:r>
    </w:p>
    <w:p w14:paraId="6801F3C0" w14:textId="77777777" w:rsidR="00CB78CB" w:rsidRDefault="00CB78CB" w:rsidP="00CB78CB">
      <w:pPr>
        <w:pStyle w:val="ListParagraph"/>
        <w:ind w:left="780"/>
      </w:pPr>
    </w:p>
    <w:p w14:paraId="5002372A" w14:textId="09DF77D1" w:rsidR="00CB78CB" w:rsidRDefault="00D2664B" w:rsidP="00CB78CB">
      <w:pPr>
        <w:pStyle w:val="ListParagraph"/>
        <w:numPr>
          <w:ilvl w:val="0"/>
          <w:numId w:val="37"/>
        </w:numPr>
        <w:spacing w:after="220"/>
      </w:pPr>
      <w:r>
        <w:t>Предлагается следующий пункт решения.</w:t>
      </w:r>
    </w:p>
    <w:p w14:paraId="52647DAB" w14:textId="77777777" w:rsidR="00CB78CB" w:rsidRDefault="00CB78CB" w:rsidP="00CB78CB">
      <w:pPr>
        <w:pStyle w:val="ListParagraph"/>
      </w:pPr>
    </w:p>
    <w:p w14:paraId="0816165C" w14:textId="77777777" w:rsidR="00CB78CB" w:rsidRDefault="00CB78CB" w:rsidP="00CB78CB">
      <w:pPr>
        <w:pStyle w:val="ListParagraph"/>
        <w:spacing w:after="220"/>
        <w:ind w:left="780"/>
      </w:pPr>
    </w:p>
    <w:p w14:paraId="737B4B04" w14:textId="32DB5A27" w:rsidR="00D2664B" w:rsidRDefault="00D2664B" w:rsidP="00D2664B">
      <w:pPr>
        <w:pStyle w:val="ListParagraph"/>
        <w:numPr>
          <w:ilvl w:val="0"/>
          <w:numId w:val="37"/>
        </w:numPr>
        <w:tabs>
          <w:tab w:val="left" w:pos="5580"/>
        </w:tabs>
        <w:spacing w:after="220"/>
        <w:ind w:left="4680" w:firstLine="0"/>
        <w:rPr>
          <w:i/>
          <w:iCs/>
        </w:rPr>
      </w:pPr>
      <w:r>
        <w:t xml:space="preserve"> </w:t>
      </w:r>
      <w:r>
        <w:rPr>
          <w:i/>
        </w:rPr>
        <w:t xml:space="preserve">Комитет по программе и бюджету (КПБ) рекомендовал Ассамблеям ВОИС, каждой в той степени, в какой это ее касается, принять к сведению </w:t>
      </w:r>
      <w:r w:rsidR="00CB78CB">
        <w:rPr>
          <w:i/>
        </w:rPr>
        <w:t xml:space="preserve">«Отчет </w:t>
      </w:r>
      <w:r>
        <w:rPr>
          <w:i/>
        </w:rPr>
        <w:t>Внешнего аудитора</w:t>
      </w:r>
      <w:r w:rsidR="00CB78CB">
        <w:rPr>
          <w:i/>
        </w:rPr>
        <w:t xml:space="preserve"> о финансовых ведомостях» </w:t>
      </w:r>
      <w:r>
        <w:rPr>
          <w:i/>
        </w:rPr>
        <w:t>(документ WO/PBC/40/3).</w:t>
      </w:r>
    </w:p>
    <w:p w14:paraId="7CC5D32C" w14:textId="6EDDCBEE" w:rsidR="00CB78CB" w:rsidRDefault="00D2664B" w:rsidP="00D2664B">
      <w:pPr>
        <w:ind w:firstLine="4680"/>
      </w:pPr>
      <w:r>
        <w:t>[Отчет Внешнего аудитора следует]</w:t>
      </w:r>
    </w:p>
    <w:p w14:paraId="4DE568EA" w14:textId="77777777" w:rsidR="00CB78CB" w:rsidRDefault="00CB78CB">
      <w:pPr>
        <w:spacing w:after="160" w:line="259" w:lineRule="auto"/>
      </w:pPr>
      <w:r>
        <w:br w:type="page"/>
      </w:r>
    </w:p>
    <w:p w14:paraId="40469563" w14:textId="77777777" w:rsidR="00D2664B" w:rsidRDefault="00D2664B" w:rsidP="00D2664B">
      <w:pPr>
        <w:ind w:firstLine="4680"/>
      </w:pPr>
    </w:p>
    <w:p w14:paraId="778B91C6" w14:textId="07FE7D17" w:rsidR="003B23B9" w:rsidRDefault="00B5463F" w:rsidP="00CD66EC">
      <w:pPr>
        <w:rPr>
          <w:rFonts w:ascii="Aptos" w:eastAsia="Aptos" w:hAnsi="Aptos"/>
          <w:kern w:val="2"/>
          <w:sz w:val="24"/>
          <w:szCs w:val="24"/>
          <w14:ligatures w14:val="standardContextual"/>
        </w:rPr>
      </w:pPr>
      <w:r>
        <w:rPr>
          <w:rFonts w:ascii="Aptos" w:hAnsi="Aptos"/>
          <w:noProof/>
          <w:sz w:val="24"/>
        </w:rPr>
        <w:drawing>
          <wp:anchor distT="0" distB="0" distL="114300" distR="114300" simplePos="0" relativeHeight="251658246" behindDoc="0" locked="0" layoutInCell="1" allowOverlap="1" wp14:anchorId="5B9311B4" wp14:editId="5CECB527">
            <wp:simplePos x="0" y="0"/>
            <wp:positionH relativeFrom="leftMargin">
              <wp:posOffset>475017</wp:posOffset>
            </wp:positionH>
            <wp:positionV relativeFrom="paragraph">
              <wp:posOffset>274067</wp:posOffset>
            </wp:positionV>
            <wp:extent cx="425450" cy="431800"/>
            <wp:effectExtent l="0" t="0" r="6350" b="0"/>
            <wp:wrapThrough wrapText="bothSides">
              <wp:wrapPolygon edited="0">
                <wp:start x="0" y="0"/>
                <wp:lineTo x="0" y="15247"/>
                <wp:lineTo x="2579" y="20329"/>
                <wp:lineTo x="5803" y="20965"/>
                <wp:lineTo x="15475" y="20965"/>
                <wp:lineTo x="18699" y="20329"/>
                <wp:lineTo x="21278" y="15247"/>
                <wp:lineTo x="21278" y="0"/>
                <wp:lineTo x="0" y="0"/>
              </wp:wrapPolygon>
            </wp:wrapThrough>
            <wp:docPr id="834132170" name="Picture 834132170" descr="A golden eagle with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32170" name="Picture 834132170" descr="A golden eagle with a red and white shield&#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5450" cy="431800"/>
                    </a:xfrm>
                    <a:prstGeom prst="rect">
                      <a:avLst/>
                    </a:prstGeom>
                  </pic:spPr>
                </pic:pic>
              </a:graphicData>
            </a:graphic>
            <wp14:sizeRelH relativeFrom="margin">
              <wp14:pctWidth>0</wp14:pctWidth>
            </wp14:sizeRelH>
            <wp14:sizeRelV relativeFrom="margin">
              <wp14:pctHeight>0</wp14:pctHeight>
            </wp14:sizeRelV>
          </wp:anchor>
        </w:drawing>
      </w:r>
    </w:p>
    <w:p w14:paraId="630589B9" w14:textId="49119A4C" w:rsidR="00CD66EC" w:rsidRPr="00310BF2" w:rsidRDefault="00BC5889" w:rsidP="00CD66EC">
      <w:pPr>
        <w:rPr>
          <w:rFonts w:ascii="Aptos" w:eastAsia="Aptos" w:hAnsi="Aptos"/>
          <w:kern w:val="2"/>
          <w:sz w:val="24"/>
          <w:szCs w:val="24"/>
          <w14:ligatures w14:val="standardContextual"/>
        </w:rPr>
      </w:pPr>
      <w:r>
        <w:rPr>
          <w:rFonts w:ascii="Aptos" w:hAnsi="Aptos"/>
          <w:noProof/>
          <w:sz w:val="24"/>
        </w:rPr>
        <mc:AlternateContent>
          <mc:Choice Requires="wpg">
            <w:drawing>
              <wp:anchor distT="0" distB="0" distL="114300" distR="114300" simplePos="0" relativeHeight="251658244" behindDoc="0" locked="0" layoutInCell="1" allowOverlap="1" wp14:anchorId="30FA3956" wp14:editId="575ED891">
                <wp:simplePos x="0" y="0"/>
                <wp:positionH relativeFrom="margin">
                  <wp:posOffset>-16206</wp:posOffset>
                </wp:positionH>
                <wp:positionV relativeFrom="paragraph">
                  <wp:posOffset>115529</wp:posOffset>
                </wp:positionV>
                <wp:extent cx="5547814" cy="590828"/>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547814" cy="590828"/>
                          <a:chOff x="383992" y="-81886"/>
                          <a:chExt cx="5212720" cy="590828"/>
                        </a:xfrm>
                      </wpg:grpSpPr>
                      <wps:wsp>
                        <wps:cNvPr id="1998171781" name="Text Box 1"/>
                        <wps:cNvSpPr txBox="1"/>
                        <wps:spPr>
                          <a:xfrm>
                            <a:off x="2076907" y="-33348"/>
                            <a:ext cx="3519805" cy="542290"/>
                          </a:xfrm>
                          <a:prstGeom prst="rect">
                            <a:avLst/>
                          </a:prstGeom>
                          <a:noFill/>
                          <a:ln>
                            <a:noFill/>
                          </a:ln>
                        </wps:spPr>
                        <wps:txbx>
                          <w:txbxContent>
                            <w:p w14:paraId="6D33BA28" w14:textId="385216EC" w:rsidR="007F5BD5" w:rsidRPr="00CD66EC" w:rsidRDefault="007F5BD5" w:rsidP="00CD66EC">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РЕВИЗИОННЫЙ СОВЕТ РЕСПУБЛИКИ ИНДОНЕЗИЯ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461494" name="Text Box 15"/>
                        <wps:cNvSpPr txBox="1"/>
                        <wps:spPr>
                          <a:xfrm>
                            <a:off x="383992" y="-81886"/>
                            <a:ext cx="1781810" cy="542290"/>
                          </a:xfrm>
                          <a:prstGeom prst="rect">
                            <a:avLst/>
                          </a:prstGeom>
                          <a:noFill/>
                          <a:ln>
                            <a:noFill/>
                          </a:ln>
                        </wps:spPr>
                        <wps:txbx>
                          <w:txbxContent>
                            <w:p w14:paraId="74797B60" w14:textId="77777777" w:rsidR="007F5BD5" w:rsidRPr="00CD66EC" w:rsidRDefault="007F5BD5" w:rsidP="00CD66EC">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FA3956" id="Group 17" o:spid="_x0000_s1026" style="position:absolute;margin-left:-1.3pt;margin-top:9.1pt;width:436.85pt;height:46.5pt;z-index:251658244;mso-position-horizontal-relative:margin;mso-width-relative:margin;mso-height-relative:margin" coordorigin="3839,-818" coordsize="52127,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">
                <v:shapetype id="_x0000_t202" coordsize="21600,21600" o:spt="202" path="m,l,21600r21600,l21600,xe">
                  <v:stroke joinstyle="miter"/>
                  <v:path gradientshapeok="t" o:connecttype="rect"/>
                </v:shapetype>
                <v:shape id="_x0000_s1027" type="#_x0000_t202" style="position:absolute;left:20769;top:-333;width:3519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6D33BA28" w14:textId="385216EC" w:rsidR="007F5BD5" w:rsidRPr="00CD66EC" w:rsidRDefault="007F5BD5" w:rsidP="00CD66EC">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РЕВИЗИОННЫЙ СОВЕТ РЕСПУБЛИКИ ИНДОНЕЗИЯ</w:t>
                        </w:r>
                      </w:p>
                    </w:txbxContent>
                  </v:textbox>
                </v:shape>
                <v:shape id="Text Box 15" o:spid="_x0000_s1028" type="#_x0000_t202" style="position:absolute;left:3839;top:-818;width:17819;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74797B60" w14:textId="77777777" w:rsidR="007F5BD5" w:rsidRPr="00CD66EC" w:rsidRDefault="007F5BD5" w:rsidP="00CD66EC">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v:textbox>
                </v:shape>
                <w10:wrap anchorx="margin"/>
              </v:group>
            </w:pict>
          </mc:Fallback>
        </mc:AlternateContent>
      </w:r>
      <w:r w:rsidR="00CD66EC">
        <w:rPr>
          <w:rFonts w:ascii="Aptos" w:hAnsi="Aptos"/>
          <w:noProof/>
          <w:sz w:val="24"/>
        </w:rPr>
        <mc:AlternateContent>
          <mc:Choice Requires="wps">
            <w:drawing>
              <wp:anchor distT="0" distB="0" distL="114300" distR="114300" simplePos="0" relativeHeight="251658240" behindDoc="0" locked="0" layoutInCell="1" allowOverlap="1" wp14:anchorId="7D5C7D4A" wp14:editId="0252116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D18B" id="Rectangle 14" o:spid="_x0000_s1026" style="position:absolute;margin-left:-72.2pt;margin-top:747.85pt;width:620.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" fillcolor="#215f9a" stroked="f" strokeweight="1.5pt"/>
            </w:pict>
          </mc:Fallback>
        </mc:AlternateContent>
      </w:r>
      <w:r w:rsidR="00CD66EC">
        <w:rPr>
          <w:rFonts w:ascii="Aptos" w:hAnsi="Aptos"/>
          <w:noProof/>
          <w:color w:val="000000"/>
          <w:sz w:val="24"/>
        </w:rPr>
        <mc:AlternateContent>
          <mc:Choice Requires="wps">
            <w:drawing>
              <wp:anchor distT="0" distB="0" distL="114300" distR="114300" simplePos="0" relativeHeight="251658241" behindDoc="0" locked="0" layoutInCell="1" allowOverlap="1" wp14:anchorId="1DCEC887" wp14:editId="20EFAFC6">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612E5935" w14:textId="77777777" w:rsidR="007F5BD5" w:rsidRPr="00CD66EC" w:rsidRDefault="007F5BD5" w:rsidP="00CD66EC">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ОТЧЕТ ОБ АУДИТОРСКОЙ ПРОВЕРКЕ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EC887" id="Text Box 1" o:spid="_x0000_s1029" type="#_x0000_t202" style="position:absolute;margin-left:-4.2pt;margin-top:-245.85pt;width:374.45pt;height:65.8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612E5935" w14:textId="77777777" w:rsidR="007F5BD5" w:rsidRPr="00CD66EC" w:rsidRDefault="007F5BD5" w:rsidP="00CD66EC">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ОТЧЕТ ОБ АУДИТОРСКОЙ ПРОВЕРКЕ</w:t>
                      </w:r>
                    </w:p>
                  </w:txbxContent>
                </v:textbox>
              </v:shape>
            </w:pict>
          </mc:Fallback>
        </mc:AlternateContent>
      </w:r>
    </w:p>
    <w:p w14:paraId="561FF245" w14:textId="3F41A7BA" w:rsidR="00AE7AB2" w:rsidRPr="00310BF2" w:rsidRDefault="00AE7AB2" w:rsidP="00AE7AB2">
      <w:pPr>
        <w:rPr>
          <w:rFonts w:ascii="Aptos" w:eastAsia="Aptos" w:hAnsi="Aptos"/>
          <w:sz w:val="24"/>
          <w:szCs w:val="24"/>
        </w:rPr>
      </w:pPr>
    </w:p>
    <w:p w14:paraId="2A3DFCA1" w14:textId="034800A4" w:rsidR="00AE7AB2" w:rsidRPr="00310BF2" w:rsidRDefault="00AE7AB2" w:rsidP="00AE7AB2">
      <w:pPr>
        <w:rPr>
          <w:rFonts w:ascii="Aptos" w:eastAsia="Aptos" w:hAnsi="Aptos"/>
          <w:sz w:val="24"/>
          <w:szCs w:val="24"/>
        </w:rPr>
      </w:pPr>
    </w:p>
    <w:p w14:paraId="665DF60E" w14:textId="07924EC5" w:rsidR="00AE7AB2" w:rsidRPr="00310BF2" w:rsidRDefault="00DE5061" w:rsidP="00AE7AB2">
      <w:pPr>
        <w:rPr>
          <w:rFonts w:ascii="Aptos" w:eastAsia="Aptos" w:hAnsi="Aptos"/>
          <w:sz w:val="24"/>
          <w:szCs w:val="24"/>
        </w:rPr>
      </w:pPr>
      <w:r>
        <w:rPr>
          <w:rFonts w:ascii="Aptos" w:hAnsi="Aptos"/>
          <w:noProof/>
          <w:sz w:val="24"/>
        </w:rPr>
        <mc:AlternateContent>
          <mc:Choice Requires="wpg">
            <w:drawing>
              <wp:anchor distT="0" distB="0" distL="114300" distR="114300" simplePos="0" relativeHeight="251658247" behindDoc="0" locked="0" layoutInCell="1" allowOverlap="1" wp14:anchorId="1E55E274" wp14:editId="113F20E4">
                <wp:simplePos x="0" y="0"/>
                <wp:positionH relativeFrom="page">
                  <wp:align>left</wp:align>
                </wp:positionH>
                <wp:positionV relativeFrom="paragraph">
                  <wp:posOffset>195718</wp:posOffset>
                </wp:positionV>
                <wp:extent cx="6765547" cy="5188299"/>
                <wp:effectExtent l="0" t="0" r="0" b="0"/>
                <wp:wrapNone/>
                <wp:docPr id="850979624" name="Group 9"/>
                <wp:cNvGraphicFramePr/>
                <a:graphic xmlns:a="http://schemas.openxmlformats.org/drawingml/2006/main">
                  <a:graphicData uri="http://schemas.microsoft.com/office/word/2010/wordprocessingGroup">
                    <wpg:wgp>
                      <wpg:cNvGrpSpPr/>
                      <wpg:grpSpPr>
                        <a:xfrm>
                          <a:off x="0" y="0"/>
                          <a:ext cx="6765547" cy="5188299"/>
                          <a:chOff x="-133350" y="-254003"/>
                          <a:chExt cx="6366510" cy="4495839"/>
                        </a:xfrm>
                      </wpg:grpSpPr>
                      <wps:wsp>
                        <wps:cNvPr id="75652361" name="Rectangle 3"/>
                        <wps:cNvSpPr/>
                        <wps:spPr>
                          <a:xfrm>
                            <a:off x="-133350" y="-254003"/>
                            <a:ext cx="6366510" cy="4050491"/>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515262" y="-130157"/>
                            <a:ext cx="4756150" cy="1910271"/>
                          </a:xfrm>
                          <a:prstGeom prst="rect">
                            <a:avLst/>
                          </a:prstGeom>
                          <a:noFill/>
                          <a:ln>
                            <a:noFill/>
                          </a:ln>
                        </wps:spPr>
                        <wps:txbx>
                          <w:txbxContent>
                            <w:p w14:paraId="63F65260" w14:textId="77777777" w:rsidR="007F5BD5" w:rsidRPr="00CD66EC" w:rsidRDefault="007F5BD5" w:rsidP="00CD66EC">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ОТЧЕТ ОБ АУДИТОРСКОЙ ПРОВЕРКЕ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682199" y="1767305"/>
                            <a:ext cx="5525606" cy="1077170"/>
                          </a:xfrm>
                          <a:prstGeom prst="rect">
                            <a:avLst/>
                          </a:prstGeom>
                          <a:noFill/>
                          <a:ln>
                            <a:noFill/>
                          </a:ln>
                        </wps:spPr>
                        <wps:txbx>
                          <w:txbxContent>
                            <w:p w14:paraId="7BC31E17" w14:textId="0DA31F9B" w:rsidR="007F5BD5" w:rsidRPr="002F07D8" w:rsidRDefault="007F5BD5" w:rsidP="00CD66EC">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ВСЕМИРНАЯ ОРГАНИЗАЦИЯ ИНТЕЛЛЕКТУАЛЬНОЙ СОБСТВЕННОСТИ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682202" y="2999266"/>
                            <a:ext cx="3986159" cy="441960"/>
                          </a:xfrm>
                          <a:prstGeom prst="rect">
                            <a:avLst/>
                          </a:prstGeom>
                          <a:noFill/>
                          <a:ln>
                            <a:noFill/>
                          </a:ln>
                        </wps:spPr>
                        <wps:txbx>
                          <w:txbxContent>
                            <w:p w14:paraId="076643CE" w14:textId="77777777" w:rsidR="007F5BD5" w:rsidRPr="00CD66EC" w:rsidRDefault="007F5BD5" w:rsidP="00CD66EC">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2025 финансовый 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797528" y="3887506"/>
                            <a:ext cx="3606948" cy="354330"/>
                          </a:xfrm>
                          <a:prstGeom prst="rect">
                            <a:avLst/>
                          </a:prstGeom>
                          <a:noFill/>
                          <a:ln>
                            <a:noFill/>
                          </a:ln>
                        </wps:spPr>
                        <wps:txbx>
                          <w:txbxContent>
                            <w:p w14:paraId="7943FB97" w14:textId="5E369A63" w:rsidR="007F5BD5" w:rsidRPr="00CD66EC" w:rsidRDefault="007F5BD5" w:rsidP="00CD66EC">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МАЙ 2026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5E274" id="Group 9" o:spid="_x0000_s1030" style="position:absolute;margin-left:0;margin-top:15.4pt;width:532.7pt;height:408.55pt;z-index:251658247;mso-position-horizontal:left;mso-position-horizontal-relative:page;mso-width-relative:margin;mso-height-relative:margin" coordorigin="-1333,-2540" coordsize="63665,4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">
                <v:rect id="Rectangle 3" o:spid="_x0000_s1031" style="position:absolute;left:-1333;top:-2540;width:63664;height:40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" fillcolor="#215f9a" stroked="f" strokeweight="1.5pt"/>
                <v:shape id="_x0000_s1032" type="#_x0000_t202" style="position:absolute;left:5152;top:-1301;width:47562;height:19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63F65260" w14:textId="77777777" w:rsidR="007F5BD5" w:rsidRPr="00CD66EC" w:rsidRDefault="007F5BD5" w:rsidP="00CD66EC">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ОТЧЕТ ОБ АУДИТОРСКОЙ ПРОВЕРКЕ</w:t>
                        </w:r>
                      </w:p>
                    </w:txbxContent>
                  </v:textbox>
                </v:shape>
                <v:shape id="_x0000_s1033" type="#_x0000_t202" style="position:absolute;left:6821;top:17673;width:55257;height:10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7BC31E17" w14:textId="0DA31F9B" w:rsidR="007F5BD5" w:rsidRPr="002F07D8" w:rsidRDefault="007F5BD5" w:rsidP="00CD66EC">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ВСЕМИРНАЯ ОРГАНИЗАЦИЯ ИНТЕЛЛЕКТУАЛЬНОЙ СОБСТВЕННОСТИ</w:t>
                        </w:r>
                      </w:p>
                    </w:txbxContent>
                  </v:textbox>
                </v:shape>
                <v:shape id="_x0000_s1034" type="#_x0000_t202" style="position:absolute;left:6822;top:29992;width:39861;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076643CE" w14:textId="77777777" w:rsidR="007F5BD5" w:rsidRPr="00CD66EC" w:rsidRDefault="007F5BD5" w:rsidP="00CD66EC">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2025 финансовый год</w:t>
                        </w:r>
                      </w:p>
                    </w:txbxContent>
                  </v:textbox>
                </v:shape>
                <v:shape id="Text Box 16" o:spid="_x0000_s1035" type="#_x0000_t202" style="position:absolute;left:7975;top:38875;width:3606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943FB97" w14:textId="5E369A63" w:rsidR="007F5BD5" w:rsidRPr="00CD66EC" w:rsidRDefault="007F5BD5" w:rsidP="00CD66EC">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МАЙ 2026 ГОДА</w:t>
                        </w:r>
                      </w:p>
                    </w:txbxContent>
                  </v:textbox>
                </v:shape>
                <w10:wrap anchorx="page"/>
              </v:group>
            </w:pict>
          </mc:Fallback>
        </mc:AlternateContent>
      </w:r>
    </w:p>
    <w:p w14:paraId="74FECB71" w14:textId="64528FCD" w:rsidR="00AE7AB2" w:rsidRPr="00310BF2" w:rsidRDefault="00AE7AB2" w:rsidP="00AE7AB2">
      <w:pPr>
        <w:rPr>
          <w:rFonts w:ascii="Aptos" w:eastAsia="Aptos" w:hAnsi="Aptos"/>
          <w:sz w:val="24"/>
          <w:szCs w:val="24"/>
        </w:rPr>
      </w:pPr>
    </w:p>
    <w:p w14:paraId="50B943AD" w14:textId="0B74C673" w:rsidR="00AE7AB2" w:rsidRPr="00310BF2" w:rsidRDefault="00AE7AB2" w:rsidP="00AE7AB2">
      <w:pPr>
        <w:rPr>
          <w:rFonts w:ascii="Aptos" w:eastAsia="Aptos" w:hAnsi="Aptos"/>
          <w:sz w:val="24"/>
          <w:szCs w:val="24"/>
        </w:rPr>
      </w:pPr>
    </w:p>
    <w:p w14:paraId="5FE6AB17" w14:textId="4C6ED665" w:rsidR="00AE7AB2" w:rsidRPr="00310BF2" w:rsidRDefault="00AE7AB2" w:rsidP="00AE7AB2">
      <w:pPr>
        <w:rPr>
          <w:rFonts w:ascii="Aptos" w:eastAsia="Aptos" w:hAnsi="Aptos"/>
          <w:sz w:val="24"/>
          <w:szCs w:val="24"/>
        </w:rPr>
      </w:pPr>
    </w:p>
    <w:p w14:paraId="0938A81D" w14:textId="77777777" w:rsidR="00AE7AB2" w:rsidRPr="00310BF2" w:rsidRDefault="00AE7AB2" w:rsidP="00AE7AB2">
      <w:pPr>
        <w:rPr>
          <w:rFonts w:ascii="Aptos" w:eastAsia="Aptos" w:hAnsi="Aptos"/>
          <w:sz w:val="24"/>
          <w:szCs w:val="24"/>
        </w:rPr>
      </w:pPr>
    </w:p>
    <w:p w14:paraId="63DAAE1E" w14:textId="55751422" w:rsidR="00AE7AB2" w:rsidRPr="00310BF2" w:rsidRDefault="00AE7AB2" w:rsidP="00AE7AB2">
      <w:pPr>
        <w:rPr>
          <w:rFonts w:ascii="Aptos" w:eastAsia="Aptos" w:hAnsi="Aptos"/>
          <w:sz w:val="24"/>
          <w:szCs w:val="24"/>
        </w:rPr>
      </w:pPr>
    </w:p>
    <w:p w14:paraId="339F816E" w14:textId="65D4CFD6" w:rsidR="00AE7AB2" w:rsidRPr="00310BF2" w:rsidRDefault="00AE7AB2" w:rsidP="00AE7AB2">
      <w:pPr>
        <w:rPr>
          <w:rFonts w:ascii="Aptos" w:eastAsia="Aptos" w:hAnsi="Aptos"/>
          <w:sz w:val="24"/>
          <w:szCs w:val="24"/>
        </w:rPr>
      </w:pPr>
    </w:p>
    <w:p w14:paraId="57528682" w14:textId="77777777" w:rsidR="00AE7AB2" w:rsidRPr="00310BF2" w:rsidRDefault="00AE7AB2" w:rsidP="00AE7AB2">
      <w:pPr>
        <w:rPr>
          <w:rFonts w:ascii="Aptos" w:eastAsia="Aptos" w:hAnsi="Aptos"/>
          <w:sz w:val="24"/>
          <w:szCs w:val="24"/>
        </w:rPr>
      </w:pPr>
    </w:p>
    <w:p w14:paraId="3A89E4D0" w14:textId="295CC74A" w:rsidR="00AE7AB2" w:rsidRPr="00310BF2" w:rsidRDefault="00AE7AB2" w:rsidP="00AE7AB2">
      <w:pPr>
        <w:rPr>
          <w:rFonts w:ascii="Aptos" w:eastAsia="Aptos" w:hAnsi="Aptos"/>
          <w:sz w:val="24"/>
          <w:szCs w:val="24"/>
        </w:rPr>
      </w:pPr>
    </w:p>
    <w:p w14:paraId="60876C13" w14:textId="531B0DDF" w:rsidR="00AE7AB2" w:rsidRPr="00310BF2" w:rsidRDefault="00AE7AB2" w:rsidP="00AE7AB2">
      <w:pPr>
        <w:rPr>
          <w:rFonts w:ascii="Aptos" w:eastAsia="Aptos" w:hAnsi="Aptos"/>
          <w:sz w:val="24"/>
          <w:szCs w:val="24"/>
        </w:rPr>
      </w:pPr>
    </w:p>
    <w:p w14:paraId="1EC8B025" w14:textId="27673BAC" w:rsidR="00AE7AB2" w:rsidRPr="00310BF2" w:rsidRDefault="00AE7AB2" w:rsidP="00AE7AB2">
      <w:pPr>
        <w:rPr>
          <w:rFonts w:ascii="Aptos" w:eastAsia="Aptos" w:hAnsi="Aptos"/>
          <w:sz w:val="24"/>
          <w:szCs w:val="24"/>
        </w:rPr>
      </w:pPr>
    </w:p>
    <w:p w14:paraId="4CE56F44" w14:textId="4A79A29C" w:rsidR="00AE7AB2" w:rsidRPr="00310BF2" w:rsidRDefault="00AE7AB2" w:rsidP="00AE7AB2">
      <w:pPr>
        <w:rPr>
          <w:rFonts w:ascii="Aptos" w:eastAsia="Aptos" w:hAnsi="Aptos"/>
          <w:sz w:val="24"/>
          <w:szCs w:val="24"/>
        </w:rPr>
      </w:pPr>
    </w:p>
    <w:p w14:paraId="7166F6ED" w14:textId="6BEF87C1" w:rsidR="00AE7AB2" w:rsidRPr="00310BF2" w:rsidRDefault="00AE7AB2" w:rsidP="00AE7AB2">
      <w:pPr>
        <w:rPr>
          <w:rFonts w:ascii="Aptos" w:eastAsia="Aptos" w:hAnsi="Aptos"/>
          <w:sz w:val="24"/>
          <w:szCs w:val="24"/>
        </w:rPr>
      </w:pPr>
    </w:p>
    <w:p w14:paraId="4383DB39" w14:textId="77777777" w:rsidR="00AE7AB2" w:rsidRPr="00310BF2" w:rsidRDefault="00AE7AB2" w:rsidP="00AE7AB2">
      <w:pPr>
        <w:rPr>
          <w:rFonts w:ascii="Aptos" w:eastAsia="Aptos" w:hAnsi="Aptos"/>
          <w:sz w:val="24"/>
          <w:szCs w:val="24"/>
        </w:rPr>
      </w:pPr>
    </w:p>
    <w:p w14:paraId="60CF5E31" w14:textId="77777777" w:rsidR="00AE7AB2" w:rsidRPr="00310BF2" w:rsidRDefault="00AE7AB2" w:rsidP="00AE7AB2">
      <w:pPr>
        <w:rPr>
          <w:rFonts w:ascii="Aptos" w:eastAsia="Aptos" w:hAnsi="Aptos"/>
          <w:sz w:val="24"/>
          <w:szCs w:val="24"/>
        </w:rPr>
      </w:pPr>
    </w:p>
    <w:p w14:paraId="2F7C0ECB" w14:textId="77777777" w:rsidR="00AE7AB2" w:rsidRPr="00310BF2" w:rsidRDefault="00AE7AB2" w:rsidP="00AE7AB2">
      <w:pPr>
        <w:rPr>
          <w:rFonts w:ascii="Aptos" w:eastAsia="Aptos" w:hAnsi="Aptos"/>
          <w:sz w:val="24"/>
          <w:szCs w:val="24"/>
        </w:rPr>
      </w:pPr>
    </w:p>
    <w:p w14:paraId="33E25D2E" w14:textId="59D75D2E" w:rsidR="00AE7AB2" w:rsidRPr="00310BF2" w:rsidRDefault="00AE7AB2" w:rsidP="00AE7AB2">
      <w:pPr>
        <w:tabs>
          <w:tab w:val="left" w:pos="915"/>
        </w:tabs>
        <w:rPr>
          <w:rFonts w:ascii="Aptos" w:eastAsia="Aptos" w:hAnsi="Aptos"/>
          <w:kern w:val="2"/>
          <w:sz w:val="24"/>
          <w:szCs w:val="24"/>
          <w14:ligatures w14:val="standardContextual"/>
        </w:rPr>
      </w:pPr>
      <w:r>
        <w:rPr>
          <w:rFonts w:ascii="Aptos" w:hAnsi="Aptos"/>
          <w:sz w:val="24"/>
        </w:rPr>
        <w:tab/>
      </w:r>
    </w:p>
    <w:p w14:paraId="4A214243" w14:textId="2EA998F9" w:rsidR="00AE7AB2" w:rsidRPr="00310BF2" w:rsidRDefault="00A21A9C" w:rsidP="00AE7AB2">
      <w:pPr>
        <w:tabs>
          <w:tab w:val="left" w:pos="915"/>
        </w:tabs>
        <w:rPr>
          <w:rFonts w:ascii="Aptos" w:eastAsia="Aptos" w:hAnsi="Aptos"/>
          <w:sz w:val="24"/>
          <w:szCs w:val="24"/>
        </w:rPr>
        <w:sectPr w:rsidR="00AE7AB2" w:rsidRPr="00310BF2" w:rsidSect="00B65CF6">
          <w:headerReference w:type="default" r:id="rId16"/>
          <w:footerReference w:type="even" r:id="rId17"/>
          <w:footerReference w:type="default" r:id="rId18"/>
          <w:footerReference w:type="first" r:id="rId19"/>
          <w:pgSz w:w="11906" w:h="16838" w:code="9"/>
          <w:pgMar w:top="450" w:right="1701" w:bottom="1701" w:left="1530" w:header="709" w:footer="289" w:gutter="0"/>
          <w:cols w:space="708"/>
          <w:titlePg/>
          <w:docGrid w:linePitch="360"/>
        </w:sectPr>
      </w:pPr>
      <w:r>
        <w:rPr>
          <w:rFonts w:ascii="Aptos" w:hAnsi="Aptos"/>
          <w:noProof/>
          <w:sz w:val="24"/>
        </w:rPr>
        <mc:AlternateContent>
          <mc:Choice Requires="wps">
            <w:drawing>
              <wp:anchor distT="0" distB="0" distL="114300" distR="114300" simplePos="0" relativeHeight="251658245" behindDoc="0" locked="0" layoutInCell="1" allowOverlap="1" wp14:anchorId="1D9C789C" wp14:editId="7168A064">
                <wp:simplePos x="0" y="0"/>
                <wp:positionH relativeFrom="page">
                  <wp:posOffset>2540</wp:posOffset>
                </wp:positionH>
                <wp:positionV relativeFrom="paragraph">
                  <wp:posOffset>5526405</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E6784" id="Rectangle 14" o:spid="_x0000_s1026" style="position:absolute;margin-left:.2pt;margin-top:435.15pt;width:620.85pt;height:20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" fillcolor="#215f9a" stroked="f" strokeweight="1.5pt">
                <w10:wrap anchorx="page"/>
              </v:rect>
            </w:pict>
          </mc:Fallback>
        </mc:AlternateContent>
      </w:r>
      <w:r>
        <w:rPr>
          <w:rFonts w:ascii="Aptos" w:hAnsi="Aptos"/>
          <w:sz w:val="24"/>
        </w:rPr>
        <w:tab/>
      </w:r>
    </w:p>
    <w:p w14:paraId="7CF7AF4F" w14:textId="77777777" w:rsidR="0054372B" w:rsidRDefault="0054372B" w:rsidP="0054372B">
      <w:bookmarkStart w:id="7" w:name="_Toc223005490"/>
      <w:bookmarkStart w:id="8" w:name="_Toc223100604"/>
      <w:bookmarkStart w:id="9" w:name="_Toc223111020"/>
      <w:bookmarkStart w:id="10" w:name="_Toc223585232"/>
      <w:bookmarkStart w:id="11" w:name="_Hlk223004743"/>
      <w:bookmarkEnd w:id="0"/>
    </w:p>
    <w:p w14:paraId="1E7BF0D0" w14:textId="77777777" w:rsidR="0054372B" w:rsidRDefault="0054372B" w:rsidP="0054372B"/>
    <w:p w14:paraId="0A29B772" w14:textId="77777777" w:rsidR="00597971" w:rsidRDefault="00597971" w:rsidP="00524A8C">
      <w:pPr>
        <w:pStyle w:val="Heading1"/>
        <w:jc w:val="center"/>
        <w:rPr>
          <w:color w:val="auto"/>
          <w:sz w:val="22"/>
          <w:szCs w:val="22"/>
        </w:rPr>
      </w:pPr>
    </w:p>
    <w:p w14:paraId="32B15ACD" w14:textId="77777777" w:rsidR="00597971" w:rsidRDefault="00597971" w:rsidP="00524A8C">
      <w:pPr>
        <w:pStyle w:val="Heading1"/>
        <w:jc w:val="center"/>
        <w:rPr>
          <w:color w:val="auto"/>
          <w:sz w:val="22"/>
          <w:szCs w:val="22"/>
        </w:rPr>
      </w:pPr>
    </w:p>
    <w:p w14:paraId="382A61DE" w14:textId="25AD1B29" w:rsidR="00524A8C" w:rsidRPr="0071734B" w:rsidRDefault="00524A8C" w:rsidP="00524A8C">
      <w:pPr>
        <w:pStyle w:val="Heading1"/>
        <w:jc w:val="center"/>
        <w:rPr>
          <w:sz w:val="22"/>
          <w:szCs w:val="22"/>
        </w:rPr>
      </w:pPr>
      <w:bookmarkStart w:id="12" w:name="_Toc230784902"/>
      <w:r>
        <w:rPr>
          <w:color w:val="auto"/>
          <w:sz w:val="22"/>
        </w:rPr>
        <w:t>Препроводительное письмо</w:t>
      </w:r>
      <w:bookmarkEnd w:id="12"/>
    </w:p>
    <w:p w14:paraId="4CF95F02" w14:textId="77777777" w:rsidR="00524A8C" w:rsidRPr="00310BF2" w:rsidRDefault="00524A8C" w:rsidP="00524A8C">
      <w:pPr>
        <w:tabs>
          <w:tab w:val="center" w:pos="4680"/>
        </w:tabs>
        <w:jc w:val="center"/>
        <w:rPr>
          <w:rFonts w:ascii="Times New Roman" w:hAnsi="Times New Roman" w:cs="Times New Roman"/>
          <w:b/>
          <w:bCs/>
        </w:rPr>
      </w:pPr>
    </w:p>
    <w:p w14:paraId="15BEB602" w14:textId="77777777" w:rsidR="00524A8C" w:rsidRPr="00310BF2" w:rsidRDefault="00524A8C" w:rsidP="00524A8C">
      <w:pPr>
        <w:tabs>
          <w:tab w:val="center" w:pos="4680"/>
        </w:tabs>
        <w:rPr>
          <w:rFonts w:ascii="Times New Roman" w:hAnsi="Times New Roman" w:cs="Times New Roman"/>
        </w:rPr>
      </w:pPr>
    </w:p>
    <w:p w14:paraId="50591BE1" w14:textId="5BCADD6B" w:rsidR="00524A8C" w:rsidRPr="008F0391" w:rsidRDefault="00524A8C" w:rsidP="00524A8C">
      <w:pPr>
        <w:tabs>
          <w:tab w:val="center" w:pos="4680"/>
        </w:tabs>
        <w:rPr>
          <w:rFonts w:ascii="Times New Roman" w:hAnsi="Times New Roman" w:cs="Times New Roman"/>
          <w:lang w:val="en-US"/>
        </w:rPr>
      </w:pPr>
      <w:r>
        <w:rPr>
          <w:rFonts w:ascii="Times New Roman" w:hAnsi="Times New Roman"/>
        </w:rPr>
        <w:t>Номер</w:t>
      </w:r>
      <w:r w:rsidRPr="008F0391">
        <w:rPr>
          <w:rFonts w:ascii="Times New Roman" w:hAnsi="Times New Roman"/>
          <w:lang w:val="en-US"/>
        </w:rPr>
        <w:t xml:space="preserve">:          B/S/KETUA/POI.01/05/2026 </w:t>
      </w:r>
      <w:r w:rsidRPr="008F0391">
        <w:rPr>
          <w:lang w:val="en-US"/>
        </w:rPr>
        <w:tab/>
      </w:r>
    </w:p>
    <w:p w14:paraId="058F6693" w14:textId="77777777" w:rsidR="00524A8C" w:rsidRPr="00470863" w:rsidRDefault="00524A8C" w:rsidP="00524A8C">
      <w:pPr>
        <w:rPr>
          <w:rFonts w:ascii="Times New Roman" w:eastAsia="Calibri" w:hAnsi="Times New Roman" w:cs="Times New Roman"/>
        </w:rPr>
      </w:pPr>
      <w:r>
        <w:rPr>
          <w:rFonts w:ascii="Times New Roman" w:hAnsi="Times New Roman"/>
        </w:rPr>
        <w:t>Председателю Генеральной Ассамблеи</w:t>
      </w:r>
    </w:p>
    <w:p w14:paraId="695ED517" w14:textId="77777777" w:rsidR="00524A8C" w:rsidRPr="00470863" w:rsidRDefault="00524A8C" w:rsidP="00524A8C">
      <w:pPr>
        <w:rPr>
          <w:rFonts w:ascii="Times New Roman" w:eastAsia="Calibri" w:hAnsi="Times New Roman" w:cs="Times New Roman"/>
        </w:rPr>
      </w:pPr>
      <w:r>
        <w:rPr>
          <w:rFonts w:ascii="Times New Roman" w:hAnsi="Times New Roman"/>
        </w:rPr>
        <w:t>Всемирной организации интеллектуальной собственности</w:t>
      </w:r>
    </w:p>
    <w:p w14:paraId="7621BC54" w14:textId="77777777" w:rsidR="00524A8C" w:rsidRPr="00CB78CB" w:rsidRDefault="00524A8C" w:rsidP="00524A8C">
      <w:pPr>
        <w:rPr>
          <w:rFonts w:ascii="Times New Roman" w:eastAsia="Calibri" w:hAnsi="Times New Roman" w:cs="Times New Roman"/>
          <w:lang w:val="en-US"/>
        </w:rPr>
      </w:pPr>
      <w:r w:rsidRPr="00CB78CB">
        <w:rPr>
          <w:rFonts w:ascii="Times New Roman" w:hAnsi="Times New Roman"/>
          <w:lang w:val="en-US"/>
        </w:rPr>
        <w:t>34, chemin des Colombettes</w:t>
      </w:r>
    </w:p>
    <w:p w14:paraId="0742CEB7" w14:textId="77777777" w:rsidR="00524A8C" w:rsidRPr="00CB78CB" w:rsidRDefault="00524A8C" w:rsidP="00524A8C">
      <w:pPr>
        <w:rPr>
          <w:rFonts w:ascii="Times New Roman" w:eastAsia="Calibri" w:hAnsi="Times New Roman" w:cs="Times New Roman"/>
          <w:lang w:val="en-US"/>
        </w:rPr>
      </w:pPr>
      <w:r w:rsidRPr="00CB78CB">
        <w:rPr>
          <w:rFonts w:ascii="Times New Roman" w:hAnsi="Times New Roman"/>
          <w:lang w:val="en-US"/>
        </w:rPr>
        <w:t>CH-1211 Geneva 20</w:t>
      </w:r>
    </w:p>
    <w:p w14:paraId="2901010C" w14:textId="77777777" w:rsidR="00524A8C" w:rsidRPr="00310BF2" w:rsidRDefault="00524A8C" w:rsidP="00524A8C">
      <w:pPr>
        <w:rPr>
          <w:rFonts w:ascii="Times New Roman" w:hAnsi="Times New Roman" w:cs="Times New Roman"/>
          <w:shd w:val="clear" w:color="auto" w:fill="FFFFFF"/>
        </w:rPr>
      </w:pPr>
      <w:r>
        <w:rPr>
          <w:rFonts w:ascii="Times New Roman" w:hAnsi="Times New Roman"/>
        </w:rPr>
        <w:t>Швейцария</w:t>
      </w:r>
    </w:p>
    <w:p w14:paraId="2691F68A" w14:textId="77777777" w:rsidR="00524A8C" w:rsidRPr="00310BF2" w:rsidRDefault="00524A8C" w:rsidP="00524A8C">
      <w:pPr>
        <w:rPr>
          <w:rFonts w:ascii="Times New Roman" w:hAnsi="Times New Roman" w:cs="Times New Roman"/>
          <w:shd w:val="clear" w:color="auto" w:fill="FFFFFF"/>
        </w:rPr>
      </w:pPr>
    </w:p>
    <w:p w14:paraId="48ABC30E" w14:textId="77777777" w:rsidR="00524A8C" w:rsidRPr="00310BF2" w:rsidRDefault="00524A8C" w:rsidP="00524A8C">
      <w:pPr>
        <w:rPr>
          <w:rFonts w:ascii="Times New Roman" w:hAnsi="Times New Roman" w:cs="Times New Roman"/>
          <w:shd w:val="clear" w:color="auto" w:fill="FFFFFF"/>
        </w:rPr>
      </w:pPr>
    </w:p>
    <w:p w14:paraId="0066CF66" w14:textId="77777777" w:rsidR="00524A8C" w:rsidRPr="00310BF2" w:rsidRDefault="00524A8C" w:rsidP="00524A8C">
      <w:pPr>
        <w:rPr>
          <w:rFonts w:ascii="Times New Roman" w:hAnsi="Times New Roman" w:cs="Times New Roman"/>
          <w:shd w:val="clear" w:color="auto" w:fill="FFFFFF"/>
        </w:rPr>
      </w:pPr>
      <w:r>
        <w:rPr>
          <w:rFonts w:ascii="Times New Roman" w:hAnsi="Times New Roman"/>
          <w:shd w:val="clear" w:color="auto" w:fill="FFFFFF"/>
        </w:rPr>
        <w:t>Уважаемый Председатель,</w:t>
      </w:r>
    </w:p>
    <w:p w14:paraId="032F3155" w14:textId="77777777" w:rsidR="00524A8C" w:rsidRPr="00310BF2" w:rsidRDefault="00524A8C" w:rsidP="00524A8C">
      <w:pPr>
        <w:jc w:val="both"/>
        <w:rPr>
          <w:rFonts w:ascii="Times New Roman" w:hAnsi="Times New Roman" w:cs="Times New Roman"/>
          <w:shd w:val="clear" w:color="auto" w:fill="FFFFFF"/>
        </w:rPr>
      </w:pPr>
    </w:p>
    <w:p w14:paraId="448442FA" w14:textId="38919644" w:rsidR="00524A8C" w:rsidRPr="00470863" w:rsidRDefault="00524A8C" w:rsidP="00524A8C">
      <w:pPr>
        <w:spacing w:line="360" w:lineRule="auto"/>
        <w:jc w:val="both"/>
        <w:rPr>
          <w:rFonts w:ascii="Times New Roman" w:eastAsia="Calibri" w:hAnsi="Times New Roman" w:cs="Times New Roman"/>
          <w:shd w:val="clear" w:color="auto" w:fill="FFFFFF"/>
        </w:rPr>
      </w:pPr>
      <w:r>
        <w:rPr>
          <w:rFonts w:ascii="Times New Roman" w:hAnsi="Times New Roman"/>
          <w:shd w:val="clear" w:color="auto" w:fill="FFFFFF"/>
        </w:rPr>
        <w:t>В соответствии с положением 6.11 Финансовых положений и правил Всемирной организации интеллектуальной собственности (далее – «Организация») имею честь представить отчет об аудиторской проверке Ревизионного совета Республики Индонезия (Badan Pemeriksa Keuangan (BPK)).</w:t>
      </w:r>
    </w:p>
    <w:p w14:paraId="210A4268" w14:textId="77777777" w:rsidR="00524A8C" w:rsidRDefault="00524A8C" w:rsidP="00524A8C">
      <w:pPr>
        <w:spacing w:after="120" w:line="360" w:lineRule="auto"/>
        <w:jc w:val="both"/>
        <w:rPr>
          <w:rFonts w:ascii="Times New Roman" w:hAnsi="Times New Roman" w:cs="Times New Roman"/>
          <w:shd w:val="clear" w:color="auto" w:fill="FFFFFF"/>
        </w:rPr>
      </w:pPr>
      <w:r>
        <w:rPr>
          <w:rFonts w:ascii="Times New Roman" w:hAnsi="Times New Roman"/>
          <w:shd w:val="clear" w:color="auto" w:fill="FFFFFF"/>
        </w:rPr>
        <w:t>Настоящий отчет включает в себя заключение Внешнего аудитора и подробный отчет Внешнего аудитора в отношении аудированных финансовых ведомостей, подготовленных Организацией, за период, окончившийся 31 декабря 2025 года.</w:t>
      </w:r>
    </w:p>
    <w:p w14:paraId="21A26248" w14:textId="77777777" w:rsidR="00524A8C" w:rsidRPr="00310BF2" w:rsidRDefault="00524A8C" w:rsidP="00524A8C">
      <w:pPr>
        <w:spacing w:after="120" w:line="360" w:lineRule="auto"/>
        <w:rPr>
          <w:rFonts w:ascii="Times New Roman" w:hAnsi="Times New Roman" w:cs="Times New Roman"/>
          <w:shd w:val="clear" w:color="auto" w:fill="FFFFFF"/>
        </w:rPr>
      </w:pPr>
    </w:p>
    <w:p w14:paraId="6DA1171B" w14:textId="77777777" w:rsidR="00524A8C" w:rsidRPr="00310BF2" w:rsidRDefault="00524A8C" w:rsidP="00524A8C">
      <w:pPr>
        <w:spacing w:after="120" w:line="360" w:lineRule="auto"/>
        <w:rPr>
          <w:rFonts w:ascii="Times New Roman" w:hAnsi="Times New Roman" w:cs="Times New Roman"/>
          <w:shd w:val="clear" w:color="auto" w:fill="FFFFFF"/>
        </w:rPr>
      </w:pPr>
      <w:r>
        <w:rPr>
          <w:rFonts w:ascii="Times New Roman" w:hAnsi="Times New Roman"/>
          <w:shd w:val="clear" w:color="auto" w:fill="FFFFFF"/>
        </w:rPr>
        <w:t xml:space="preserve">С искренним уважением, </w:t>
      </w:r>
    </w:p>
    <w:p w14:paraId="5800546D" w14:textId="77777777" w:rsidR="00524A8C" w:rsidRPr="00310BF2" w:rsidRDefault="00524A8C" w:rsidP="00524A8C">
      <w:pPr>
        <w:rPr>
          <w:rFonts w:ascii="Times New Roman" w:hAnsi="Times New Roman" w:cs="Times New Roman"/>
          <w:shd w:val="clear" w:color="auto" w:fill="FFFFFF"/>
        </w:rPr>
      </w:pPr>
    </w:p>
    <w:p w14:paraId="1FB3CFE9" w14:textId="77777777" w:rsidR="00524A8C" w:rsidRPr="00310BF2" w:rsidRDefault="00524A8C" w:rsidP="00524A8C">
      <w:pPr>
        <w:autoSpaceDE w:val="0"/>
        <w:autoSpaceDN w:val="0"/>
        <w:adjustRightInd w:val="0"/>
        <w:rPr>
          <w:rFonts w:ascii="Times New Roman" w:hAnsi="Times New Roman" w:cs="Times New Roman"/>
          <w:b/>
          <w:bCs/>
          <w:color w:val="000000"/>
        </w:rPr>
      </w:pPr>
    </w:p>
    <w:p w14:paraId="503BF037" w14:textId="77777777" w:rsidR="00524A8C" w:rsidRPr="00310BF2" w:rsidRDefault="00524A8C" w:rsidP="00524A8C">
      <w:pPr>
        <w:autoSpaceDE w:val="0"/>
        <w:autoSpaceDN w:val="0"/>
        <w:adjustRightInd w:val="0"/>
        <w:rPr>
          <w:rFonts w:ascii="Times New Roman" w:hAnsi="Times New Roman" w:cs="Times New Roman"/>
          <w:b/>
          <w:bCs/>
          <w:color w:val="000000"/>
        </w:rPr>
      </w:pPr>
    </w:p>
    <w:p w14:paraId="267B4E44" w14:textId="77777777" w:rsidR="00524A8C" w:rsidRPr="00310BF2" w:rsidRDefault="00524A8C" w:rsidP="00524A8C">
      <w:pPr>
        <w:autoSpaceDE w:val="0"/>
        <w:autoSpaceDN w:val="0"/>
        <w:adjustRightInd w:val="0"/>
        <w:rPr>
          <w:rFonts w:ascii="Times New Roman" w:hAnsi="Times New Roman" w:cs="Times New Roman"/>
          <w:b/>
          <w:bCs/>
          <w:color w:val="000000"/>
        </w:rPr>
      </w:pPr>
      <w:r>
        <w:rPr>
          <w:rFonts w:ascii="Times New Roman" w:hAnsi="Times New Roman"/>
          <w:b/>
        </w:rPr>
        <w:t xml:space="preserve">Д-р Исма Ятун, сертифицированный государственный финансовый аудитор, сертифицированный судебный аудитор </w:t>
      </w:r>
    </w:p>
    <w:p w14:paraId="637649D6" w14:textId="77777777" w:rsidR="00524A8C" w:rsidRPr="00310BF2" w:rsidRDefault="00524A8C" w:rsidP="00524A8C">
      <w:pPr>
        <w:autoSpaceDE w:val="0"/>
        <w:autoSpaceDN w:val="0"/>
        <w:adjustRightInd w:val="0"/>
        <w:rPr>
          <w:rFonts w:ascii="Times New Roman" w:hAnsi="Times New Roman" w:cs="Times New Roman"/>
          <w:b/>
          <w:bCs/>
          <w:color w:val="000000"/>
        </w:rPr>
      </w:pPr>
      <w:r>
        <w:rPr>
          <w:rFonts w:ascii="Times New Roman" w:hAnsi="Times New Roman"/>
          <w:b/>
        </w:rPr>
        <w:t>Председатель Ревизионного совета Республики Индонезия</w:t>
      </w:r>
    </w:p>
    <w:p w14:paraId="4BFB8D5A" w14:textId="77777777" w:rsidR="00524A8C" w:rsidRPr="00322027" w:rsidRDefault="00524A8C" w:rsidP="00524A8C">
      <w:pPr>
        <w:rPr>
          <w:rFonts w:ascii="Times New Roman" w:hAnsi="Times New Roman" w:cs="Times New Roman"/>
          <w:b/>
          <w:bCs/>
          <w:color w:val="000000"/>
        </w:rPr>
      </w:pPr>
      <w:r>
        <w:rPr>
          <w:rFonts w:ascii="Times New Roman" w:hAnsi="Times New Roman"/>
          <w:b/>
        </w:rPr>
        <w:t>Внешний аудитор</w:t>
      </w:r>
    </w:p>
    <w:p w14:paraId="0C6AA425" w14:textId="77777777" w:rsidR="00524A8C" w:rsidRPr="00322027" w:rsidRDefault="00524A8C" w:rsidP="00524A8C">
      <w:pPr>
        <w:rPr>
          <w:rFonts w:ascii="Times New Roman" w:hAnsi="Times New Roman" w:cs="Times New Roman"/>
          <w:shd w:val="clear" w:color="auto" w:fill="FFFFFF"/>
          <w:lang w:val="pt-BR"/>
        </w:rPr>
      </w:pPr>
    </w:p>
    <w:p w14:paraId="7227C8E0" w14:textId="77777777" w:rsidR="00524A8C" w:rsidRPr="00322027" w:rsidRDefault="00524A8C" w:rsidP="00524A8C">
      <w:pPr>
        <w:rPr>
          <w:rFonts w:ascii="Times New Roman" w:hAnsi="Times New Roman" w:cs="Times New Roman"/>
          <w:b/>
          <w:bCs/>
          <w:color w:val="000000"/>
        </w:rPr>
      </w:pPr>
      <w:r>
        <w:rPr>
          <w:rFonts w:ascii="Times New Roman" w:hAnsi="Times New Roman"/>
          <w:b/>
        </w:rPr>
        <w:t>Джакарта, Индонезия</w:t>
      </w:r>
    </w:p>
    <w:p w14:paraId="7B52245F" w14:textId="77777777" w:rsidR="00524A8C" w:rsidRPr="00322027" w:rsidRDefault="00524A8C" w:rsidP="00524A8C">
      <w:pPr>
        <w:rPr>
          <w:rFonts w:ascii="Times New Roman" w:hAnsi="Times New Roman" w:cs="Times New Roman"/>
          <w:b/>
          <w:bCs/>
          <w:color w:val="000000"/>
        </w:rPr>
      </w:pPr>
      <w:r>
        <w:rPr>
          <w:rFonts w:ascii="Times New Roman" w:hAnsi="Times New Roman"/>
          <w:b/>
        </w:rPr>
        <w:t>11 мая 2026 года</w:t>
      </w:r>
    </w:p>
    <w:p w14:paraId="194A390A" w14:textId="77777777" w:rsidR="00524A8C" w:rsidRPr="00322027" w:rsidRDefault="00524A8C" w:rsidP="00524A8C">
      <w:pPr>
        <w:rPr>
          <w:rFonts w:ascii="Times New Roman" w:hAnsi="Times New Roman" w:cs="Times New Roman"/>
          <w:b/>
          <w:bCs/>
          <w:color w:val="000000"/>
          <w:lang w:val="pt-BR"/>
        </w:rPr>
      </w:pPr>
    </w:p>
    <w:p w14:paraId="16FF5A32" w14:textId="77777777" w:rsidR="003E20D1" w:rsidRPr="00322027" w:rsidRDefault="003E20D1" w:rsidP="00524A8C">
      <w:pPr>
        <w:rPr>
          <w:rFonts w:ascii="Times New Roman" w:hAnsi="Times New Roman" w:cs="Times New Roman"/>
          <w:b/>
          <w:bCs/>
          <w:color w:val="000000"/>
          <w:lang w:val="pt-BR"/>
        </w:rPr>
        <w:sectPr w:rsidR="003E20D1" w:rsidRPr="00322027" w:rsidSect="008368CE">
          <w:headerReference w:type="default" r:id="rId20"/>
          <w:footerReference w:type="default" r:id="rId21"/>
          <w:pgSz w:w="11906" w:h="16838" w:code="9"/>
          <w:pgMar w:top="1440" w:right="1440" w:bottom="1304" w:left="1418" w:header="709" w:footer="709" w:gutter="0"/>
          <w:pgNumType w:fmt="lowerRoman" w:start="1"/>
          <w:cols w:space="708"/>
          <w:titlePg/>
          <w:docGrid w:linePitch="360"/>
        </w:sectPr>
      </w:pPr>
    </w:p>
    <w:p w14:paraId="7DC66319" w14:textId="0609B54E" w:rsidR="00840150" w:rsidRDefault="00CD7EDF" w:rsidP="00092655">
      <w:pPr>
        <w:pStyle w:val="Heading1"/>
        <w:spacing w:after="120" w:line="280" w:lineRule="exact"/>
        <w:jc w:val="center"/>
        <w:rPr>
          <w:color w:val="auto"/>
          <w:sz w:val="32"/>
          <w:szCs w:val="32"/>
        </w:rPr>
      </w:pPr>
      <w:bookmarkStart w:id="13" w:name="_Toc230784903"/>
      <w:r>
        <w:rPr>
          <w:color w:val="auto"/>
          <w:sz w:val="32"/>
        </w:rPr>
        <w:lastRenderedPageBreak/>
        <w:t>Содержание</w:t>
      </w:r>
      <w:bookmarkEnd w:id="13"/>
    </w:p>
    <w:bookmarkEnd w:id="7"/>
    <w:bookmarkEnd w:id="8"/>
    <w:bookmarkEnd w:id="9"/>
    <w:bookmarkEnd w:id="10"/>
    <w:bookmarkEnd w:id="11"/>
    <w:p w14:paraId="5440D56F" w14:textId="77777777" w:rsidR="00A4185A" w:rsidRDefault="00A4185A" w:rsidP="00FB15EA">
      <w:pPr>
        <w:pStyle w:val="TOC1"/>
        <w:tabs>
          <w:tab w:val="right" w:leader="dot" w:pos="9048"/>
        </w:tabs>
        <w:spacing w:line="240" w:lineRule="auto"/>
        <w:contextualSpacing/>
        <w:rPr>
          <w:b w:val="0"/>
          <w:bCs w:val="0"/>
        </w:rPr>
      </w:pPr>
    </w:p>
    <w:bookmarkStart w:id="14" w:name="_Hlt228878060"/>
    <w:bookmarkStart w:id="15" w:name="_Hlt228878061"/>
    <w:p w14:paraId="0A7A49FE" w14:textId="12EACF0D" w:rsidR="008F0391" w:rsidRDefault="008C5D66" w:rsidP="00E95B17">
      <w:pPr>
        <w:pStyle w:val="TOC1"/>
        <w:tabs>
          <w:tab w:val="right" w:leader="dot" w:pos="9401"/>
        </w:tabs>
        <w:ind w:right="0"/>
        <w:rPr>
          <w:rFonts w:asciiTheme="minorHAnsi" w:eastAsiaTheme="minorEastAsia" w:hAnsiTheme="minorHAnsi" w:cstheme="minorBidi"/>
          <w:b w:val="0"/>
          <w:bCs w:val="0"/>
          <w:noProof/>
          <w:color w:val="auto"/>
          <w:kern w:val="2"/>
          <w:sz w:val="24"/>
          <w:szCs w:val="24"/>
          <w:lang w:val="en-US"/>
          <w14:ligatures w14:val="standardContextual"/>
        </w:rPr>
      </w:pPr>
      <w:r w:rsidRPr="001264D7">
        <w:rPr>
          <w:b w:val="0"/>
        </w:rPr>
        <w:fldChar w:fldCharType="begin"/>
      </w:r>
      <w:bookmarkEnd w:id="14"/>
      <w:bookmarkEnd w:id="15"/>
      <w:r w:rsidRPr="001264D7">
        <w:instrText xml:space="preserve"> TOC \o "1-6" \h \z \u </w:instrText>
      </w:r>
      <w:r w:rsidRPr="001264D7">
        <w:rPr>
          <w:b w:val="0"/>
        </w:rPr>
        <w:fldChar w:fldCharType="separate"/>
      </w:r>
      <w:hyperlink w:anchor="_Toc230784902" w:history="1">
        <w:r w:rsidR="008F0391" w:rsidRPr="00AE6A75">
          <w:rPr>
            <w:rStyle w:val="Hyperlink"/>
            <w:noProof/>
          </w:rPr>
          <w:t>Препроводительное письмо</w:t>
        </w:r>
        <w:r w:rsidR="003C74CE">
          <w:rPr>
            <w:rStyle w:val="Hyperlink"/>
            <w:noProof/>
          </w:rPr>
          <w:tab/>
        </w:r>
        <w:r w:rsidR="008F0391">
          <w:rPr>
            <w:noProof/>
            <w:webHidden/>
          </w:rPr>
          <w:fldChar w:fldCharType="begin"/>
        </w:r>
        <w:r w:rsidR="008F0391">
          <w:rPr>
            <w:noProof/>
            <w:webHidden/>
          </w:rPr>
          <w:instrText xml:space="preserve"> PAGEREF _Toc230784902 \h </w:instrText>
        </w:r>
        <w:r w:rsidR="008F0391">
          <w:rPr>
            <w:noProof/>
            <w:webHidden/>
          </w:rPr>
        </w:r>
        <w:r w:rsidR="008F0391">
          <w:rPr>
            <w:noProof/>
            <w:webHidden/>
          </w:rPr>
          <w:fldChar w:fldCharType="separate"/>
        </w:r>
        <w:r w:rsidR="001A5D6E">
          <w:rPr>
            <w:noProof/>
            <w:webHidden/>
          </w:rPr>
          <w:t>i</w:t>
        </w:r>
        <w:r w:rsidR="008F0391">
          <w:rPr>
            <w:noProof/>
            <w:webHidden/>
          </w:rPr>
          <w:fldChar w:fldCharType="end"/>
        </w:r>
      </w:hyperlink>
    </w:p>
    <w:p w14:paraId="10754F0C" w14:textId="40D8BB1B" w:rsidR="008F0391" w:rsidRDefault="008F0391" w:rsidP="003C74CE">
      <w:pPr>
        <w:pStyle w:val="TOC1"/>
        <w:tabs>
          <w:tab w:val="right" w:leader="dot" w:pos="9401"/>
        </w:tabs>
        <w:ind w:right="0"/>
        <w:rPr>
          <w:rFonts w:asciiTheme="minorHAnsi" w:eastAsiaTheme="minorEastAsia" w:hAnsiTheme="minorHAnsi" w:cstheme="minorBidi"/>
          <w:b w:val="0"/>
          <w:bCs w:val="0"/>
          <w:noProof/>
          <w:color w:val="auto"/>
          <w:kern w:val="2"/>
          <w:sz w:val="24"/>
          <w:szCs w:val="24"/>
          <w:lang w:val="en-US"/>
          <w14:ligatures w14:val="standardContextual"/>
        </w:rPr>
      </w:pPr>
      <w:hyperlink w:anchor="_Toc230784903" w:history="1">
        <w:r w:rsidRPr="00AE6A75">
          <w:rPr>
            <w:rStyle w:val="Hyperlink"/>
            <w:noProof/>
          </w:rPr>
          <w:t>Содержание</w:t>
        </w:r>
        <w:r w:rsidR="003C74CE">
          <w:rPr>
            <w:rStyle w:val="Hyperlink"/>
            <w:noProof/>
          </w:rPr>
          <w:tab/>
        </w:r>
        <w:r>
          <w:rPr>
            <w:noProof/>
            <w:webHidden/>
          </w:rPr>
          <w:fldChar w:fldCharType="begin"/>
        </w:r>
        <w:r>
          <w:rPr>
            <w:noProof/>
            <w:webHidden/>
          </w:rPr>
          <w:instrText xml:space="preserve"> PAGEREF _Toc230784903 \h </w:instrText>
        </w:r>
        <w:r>
          <w:rPr>
            <w:noProof/>
            <w:webHidden/>
          </w:rPr>
        </w:r>
        <w:r>
          <w:rPr>
            <w:noProof/>
            <w:webHidden/>
          </w:rPr>
          <w:fldChar w:fldCharType="separate"/>
        </w:r>
        <w:r w:rsidR="001A5D6E">
          <w:rPr>
            <w:noProof/>
            <w:webHidden/>
          </w:rPr>
          <w:t>4</w:t>
        </w:r>
        <w:r>
          <w:rPr>
            <w:noProof/>
            <w:webHidden/>
          </w:rPr>
          <w:fldChar w:fldCharType="end"/>
        </w:r>
      </w:hyperlink>
    </w:p>
    <w:p w14:paraId="7F66348E" w14:textId="64A8C8A7" w:rsidR="008F0391" w:rsidRDefault="008F0391" w:rsidP="003C74CE">
      <w:pPr>
        <w:pStyle w:val="TOC1"/>
        <w:tabs>
          <w:tab w:val="right" w:leader="dot" w:pos="9401"/>
        </w:tabs>
        <w:ind w:right="0"/>
        <w:rPr>
          <w:rFonts w:asciiTheme="minorHAnsi" w:eastAsiaTheme="minorEastAsia" w:hAnsiTheme="minorHAnsi" w:cstheme="minorBidi"/>
          <w:b w:val="0"/>
          <w:bCs w:val="0"/>
          <w:noProof/>
          <w:color w:val="auto"/>
          <w:kern w:val="2"/>
          <w:sz w:val="24"/>
          <w:szCs w:val="24"/>
          <w:lang w:val="en-US"/>
          <w14:ligatures w14:val="standardContextual"/>
        </w:rPr>
      </w:pPr>
      <w:hyperlink w:anchor="_Toc230784904" w:history="1">
        <w:r w:rsidRPr="00AE6A75">
          <w:rPr>
            <w:rStyle w:val="Hyperlink"/>
            <w:noProof/>
          </w:rPr>
          <w:t>Перечень таблиц</w:t>
        </w:r>
        <w:r w:rsidR="003C74CE">
          <w:rPr>
            <w:rStyle w:val="Hyperlink"/>
            <w:noProof/>
          </w:rPr>
          <w:tab/>
        </w:r>
        <w:r>
          <w:rPr>
            <w:noProof/>
            <w:webHidden/>
          </w:rPr>
          <w:fldChar w:fldCharType="begin"/>
        </w:r>
        <w:r>
          <w:rPr>
            <w:noProof/>
            <w:webHidden/>
          </w:rPr>
          <w:instrText xml:space="preserve"> PAGEREF _Toc230784904 \h </w:instrText>
        </w:r>
        <w:r>
          <w:rPr>
            <w:noProof/>
            <w:webHidden/>
          </w:rPr>
        </w:r>
        <w:r>
          <w:rPr>
            <w:noProof/>
            <w:webHidden/>
          </w:rPr>
          <w:fldChar w:fldCharType="separate"/>
        </w:r>
        <w:r w:rsidR="001A5D6E">
          <w:rPr>
            <w:noProof/>
            <w:webHidden/>
          </w:rPr>
          <w:t>5</w:t>
        </w:r>
        <w:r>
          <w:rPr>
            <w:noProof/>
            <w:webHidden/>
          </w:rPr>
          <w:fldChar w:fldCharType="end"/>
        </w:r>
      </w:hyperlink>
    </w:p>
    <w:p w14:paraId="0EFB2A71" w14:textId="789F57B9" w:rsidR="008F0391" w:rsidRDefault="008F0391">
      <w:pPr>
        <w:pStyle w:val="TOC2"/>
        <w:rPr>
          <w:rFonts w:asciiTheme="minorHAnsi" w:eastAsiaTheme="minorEastAsia" w:hAnsiTheme="minorHAnsi" w:cstheme="minorBidi"/>
          <w:b w:val="0"/>
          <w:bCs w:val="0"/>
          <w:noProof/>
          <w:color w:val="auto"/>
          <w:kern w:val="2"/>
          <w:sz w:val="24"/>
          <w:szCs w:val="24"/>
          <w:lang w:val="en-US"/>
          <w14:ligatures w14:val="standardContextual"/>
        </w:rPr>
      </w:pPr>
      <w:hyperlink w:anchor="_Toc230784905" w:history="1">
        <w:r w:rsidRPr="00AE6A75">
          <w:rPr>
            <w:rStyle w:val="Hyperlink"/>
            <w:noProof/>
          </w:rPr>
          <w:t>I.</w:t>
        </w:r>
        <w:r>
          <w:rPr>
            <w:rFonts w:asciiTheme="minorHAnsi" w:eastAsiaTheme="minorEastAsia" w:hAnsiTheme="minorHAnsi" w:cstheme="minorBidi"/>
            <w:b w:val="0"/>
            <w:bCs w:val="0"/>
            <w:noProof/>
            <w:color w:val="auto"/>
            <w:kern w:val="2"/>
            <w:sz w:val="24"/>
            <w:szCs w:val="24"/>
            <w:lang w:val="en-US"/>
            <w14:ligatures w14:val="standardContextual"/>
          </w:rPr>
          <w:tab/>
        </w:r>
        <w:r w:rsidRPr="00AE6A75">
          <w:rPr>
            <w:rStyle w:val="Hyperlink"/>
            <w:noProof/>
          </w:rPr>
          <w:t>Отчет Внешнего аудитора о финансовых ведомостях: аудиторское заключение</w:t>
        </w:r>
        <w:r>
          <w:rPr>
            <w:noProof/>
            <w:webHidden/>
          </w:rPr>
          <w:tab/>
        </w:r>
        <w:r>
          <w:rPr>
            <w:noProof/>
            <w:webHidden/>
          </w:rPr>
          <w:fldChar w:fldCharType="begin"/>
        </w:r>
        <w:r>
          <w:rPr>
            <w:noProof/>
            <w:webHidden/>
          </w:rPr>
          <w:instrText xml:space="preserve"> PAGEREF _Toc230784905 \h </w:instrText>
        </w:r>
        <w:r>
          <w:rPr>
            <w:noProof/>
            <w:webHidden/>
          </w:rPr>
        </w:r>
        <w:r>
          <w:rPr>
            <w:noProof/>
            <w:webHidden/>
          </w:rPr>
          <w:fldChar w:fldCharType="separate"/>
        </w:r>
        <w:r w:rsidR="001A5D6E">
          <w:rPr>
            <w:noProof/>
            <w:webHidden/>
          </w:rPr>
          <w:t>6</w:t>
        </w:r>
        <w:r>
          <w:rPr>
            <w:noProof/>
            <w:webHidden/>
          </w:rPr>
          <w:fldChar w:fldCharType="end"/>
        </w:r>
      </w:hyperlink>
    </w:p>
    <w:p w14:paraId="5497F875" w14:textId="46B9A633" w:rsidR="008F0391" w:rsidRDefault="008F0391">
      <w:pPr>
        <w:pStyle w:val="TOC2"/>
        <w:rPr>
          <w:rFonts w:asciiTheme="minorHAnsi" w:eastAsiaTheme="minorEastAsia" w:hAnsiTheme="minorHAnsi" w:cstheme="minorBidi"/>
          <w:b w:val="0"/>
          <w:bCs w:val="0"/>
          <w:noProof/>
          <w:color w:val="auto"/>
          <w:kern w:val="2"/>
          <w:sz w:val="24"/>
          <w:szCs w:val="24"/>
          <w:lang w:val="en-US"/>
          <w14:ligatures w14:val="standardContextual"/>
        </w:rPr>
      </w:pPr>
      <w:hyperlink w:anchor="_Toc230784906" w:history="1">
        <w:r w:rsidRPr="00AE6A75">
          <w:rPr>
            <w:rStyle w:val="Hyperlink"/>
            <w:noProof/>
          </w:rPr>
          <w:t>II.</w:t>
        </w:r>
        <w:r>
          <w:rPr>
            <w:rFonts w:asciiTheme="minorHAnsi" w:eastAsiaTheme="minorEastAsia" w:hAnsiTheme="minorHAnsi" w:cstheme="minorBidi"/>
            <w:b w:val="0"/>
            <w:bCs w:val="0"/>
            <w:noProof/>
            <w:color w:val="auto"/>
            <w:kern w:val="2"/>
            <w:sz w:val="24"/>
            <w:szCs w:val="24"/>
            <w:lang w:val="en-US"/>
            <w14:ligatures w14:val="standardContextual"/>
          </w:rPr>
          <w:tab/>
        </w:r>
        <w:r w:rsidRPr="00AE6A75">
          <w:rPr>
            <w:rStyle w:val="Hyperlink"/>
            <w:noProof/>
          </w:rPr>
          <w:t>Подробный отчет Внешнего аудитора</w:t>
        </w:r>
        <w:r>
          <w:rPr>
            <w:noProof/>
            <w:webHidden/>
          </w:rPr>
          <w:tab/>
        </w:r>
        <w:r>
          <w:rPr>
            <w:noProof/>
            <w:webHidden/>
          </w:rPr>
          <w:fldChar w:fldCharType="begin"/>
        </w:r>
        <w:r>
          <w:rPr>
            <w:noProof/>
            <w:webHidden/>
          </w:rPr>
          <w:instrText xml:space="preserve"> PAGEREF _Toc230784906 \h </w:instrText>
        </w:r>
        <w:r>
          <w:rPr>
            <w:noProof/>
            <w:webHidden/>
          </w:rPr>
        </w:r>
        <w:r>
          <w:rPr>
            <w:noProof/>
            <w:webHidden/>
          </w:rPr>
          <w:fldChar w:fldCharType="separate"/>
        </w:r>
        <w:r w:rsidR="001A5D6E">
          <w:rPr>
            <w:noProof/>
            <w:webHidden/>
          </w:rPr>
          <w:t>10</w:t>
        </w:r>
        <w:r>
          <w:rPr>
            <w:noProof/>
            <w:webHidden/>
          </w:rPr>
          <w:fldChar w:fldCharType="end"/>
        </w:r>
      </w:hyperlink>
    </w:p>
    <w:p w14:paraId="65237E50" w14:textId="6B223FE2" w:rsidR="008F0391" w:rsidRDefault="008F0391">
      <w:pPr>
        <w:pStyle w:val="TOC2"/>
        <w:rPr>
          <w:rFonts w:asciiTheme="minorHAnsi" w:eastAsiaTheme="minorEastAsia" w:hAnsiTheme="minorHAnsi" w:cstheme="minorBidi"/>
          <w:b w:val="0"/>
          <w:bCs w:val="0"/>
          <w:noProof/>
          <w:color w:val="auto"/>
          <w:kern w:val="2"/>
          <w:sz w:val="24"/>
          <w:szCs w:val="24"/>
          <w:lang w:val="en-US"/>
          <w14:ligatures w14:val="standardContextual"/>
        </w:rPr>
      </w:pPr>
      <w:hyperlink w:anchor="_Toc230784907" w:history="1">
        <w:r w:rsidRPr="00AE6A75">
          <w:rPr>
            <w:rStyle w:val="Hyperlink"/>
            <w:noProof/>
          </w:rPr>
          <w:t>Резюме</w:t>
        </w:r>
        <w:r>
          <w:rPr>
            <w:noProof/>
            <w:webHidden/>
          </w:rPr>
          <w:tab/>
        </w:r>
        <w:r>
          <w:rPr>
            <w:noProof/>
            <w:webHidden/>
          </w:rPr>
          <w:fldChar w:fldCharType="begin"/>
        </w:r>
        <w:r>
          <w:rPr>
            <w:noProof/>
            <w:webHidden/>
          </w:rPr>
          <w:instrText xml:space="preserve"> PAGEREF _Toc230784907 \h </w:instrText>
        </w:r>
        <w:r>
          <w:rPr>
            <w:noProof/>
            <w:webHidden/>
          </w:rPr>
        </w:r>
        <w:r>
          <w:rPr>
            <w:noProof/>
            <w:webHidden/>
          </w:rPr>
          <w:fldChar w:fldCharType="separate"/>
        </w:r>
        <w:r w:rsidR="001A5D6E">
          <w:rPr>
            <w:noProof/>
            <w:webHidden/>
          </w:rPr>
          <w:t>10</w:t>
        </w:r>
        <w:r>
          <w:rPr>
            <w:noProof/>
            <w:webHidden/>
          </w:rPr>
          <w:fldChar w:fldCharType="end"/>
        </w:r>
      </w:hyperlink>
    </w:p>
    <w:p w14:paraId="1DB1ACCA" w14:textId="5371AD6F"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08" w:history="1">
        <w:r w:rsidRPr="00AE6A75">
          <w:rPr>
            <w:rStyle w:val="Hyperlink"/>
            <w:noProof/>
          </w:rPr>
          <w:t>A.</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Мандат, охват и методология</w:t>
        </w:r>
        <w:r>
          <w:rPr>
            <w:noProof/>
            <w:webHidden/>
          </w:rPr>
          <w:tab/>
        </w:r>
        <w:r>
          <w:rPr>
            <w:noProof/>
            <w:webHidden/>
          </w:rPr>
          <w:fldChar w:fldCharType="begin"/>
        </w:r>
        <w:r>
          <w:rPr>
            <w:noProof/>
            <w:webHidden/>
          </w:rPr>
          <w:instrText xml:space="preserve"> PAGEREF _Toc230784908 \h </w:instrText>
        </w:r>
        <w:r>
          <w:rPr>
            <w:noProof/>
            <w:webHidden/>
          </w:rPr>
        </w:r>
        <w:r>
          <w:rPr>
            <w:noProof/>
            <w:webHidden/>
          </w:rPr>
          <w:fldChar w:fldCharType="separate"/>
        </w:r>
        <w:r w:rsidR="001A5D6E">
          <w:rPr>
            <w:noProof/>
            <w:webHidden/>
          </w:rPr>
          <w:t>12</w:t>
        </w:r>
        <w:r>
          <w:rPr>
            <w:noProof/>
            <w:webHidden/>
          </w:rPr>
          <w:fldChar w:fldCharType="end"/>
        </w:r>
      </w:hyperlink>
    </w:p>
    <w:p w14:paraId="443E802C" w14:textId="5C587954"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09" w:history="1">
        <w:r w:rsidRPr="00AE6A75">
          <w:rPr>
            <w:rStyle w:val="Hyperlink"/>
            <w:noProof/>
          </w:rPr>
          <w:t>B.</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Финансовый обзор</w:t>
        </w:r>
        <w:r>
          <w:rPr>
            <w:noProof/>
            <w:webHidden/>
          </w:rPr>
          <w:tab/>
        </w:r>
        <w:r>
          <w:rPr>
            <w:noProof/>
            <w:webHidden/>
          </w:rPr>
          <w:fldChar w:fldCharType="begin"/>
        </w:r>
        <w:r>
          <w:rPr>
            <w:noProof/>
            <w:webHidden/>
          </w:rPr>
          <w:instrText xml:space="preserve"> PAGEREF _Toc230784909 \h </w:instrText>
        </w:r>
        <w:r>
          <w:rPr>
            <w:noProof/>
            <w:webHidden/>
          </w:rPr>
        </w:r>
        <w:r>
          <w:rPr>
            <w:noProof/>
            <w:webHidden/>
          </w:rPr>
          <w:fldChar w:fldCharType="separate"/>
        </w:r>
        <w:r w:rsidR="001A5D6E">
          <w:rPr>
            <w:noProof/>
            <w:webHidden/>
          </w:rPr>
          <w:t>14</w:t>
        </w:r>
        <w:r>
          <w:rPr>
            <w:noProof/>
            <w:webHidden/>
          </w:rPr>
          <w:fldChar w:fldCharType="end"/>
        </w:r>
      </w:hyperlink>
    </w:p>
    <w:p w14:paraId="2CC7FA11" w14:textId="57255ECD"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10" w:history="1">
        <w:r w:rsidRPr="00AE6A75">
          <w:rPr>
            <w:rStyle w:val="Hyperlink"/>
            <w:noProof/>
          </w:rPr>
          <w:t>C.</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Выполнение предыдущих рекомендаций</w:t>
        </w:r>
        <w:r>
          <w:rPr>
            <w:noProof/>
            <w:webHidden/>
          </w:rPr>
          <w:tab/>
        </w:r>
        <w:r>
          <w:rPr>
            <w:noProof/>
            <w:webHidden/>
          </w:rPr>
          <w:fldChar w:fldCharType="begin"/>
        </w:r>
        <w:r>
          <w:rPr>
            <w:noProof/>
            <w:webHidden/>
          </w:rPr>
          <w:instrText xml:space="preserve"> PAGEREF _Toc230784910 \h </w:instrText>
        </w:r>
        <w:r>
          <w:rPr>
            <w:noProof/>
            <w:webHidden/>
          </w:rPr>
        </w:r>
        <w:r>
          <w:rPr>
            <w:noProof/>
            <w:webHidden/>
          </w:rPr>
          <w:fldChar w:fldCharType="separate"/>
        </w:r>
        <w:r w:rsidR="001A5D6E">
          <w:rPr>
            <w:noProof/>
            <w:webHidden/>
          </w:rPr>
          <w:t>17</w:t>
        </w:r>
        <w:r>
          <w:rPr>
            <w:noProof/>
            <w:webHidden/>
          </w:rPr>
          <w:fldChar w:fldCharType="end"/>
        </w:r>
      </w:hyperlink>
    </w:p>
    <w:p w14:paraId="0ED12F1A" w14:textId="1A189B6A"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11" w:history="1">
        <w:r w:rsidRPr="00AE6A75">
          <w:rPr>
            <w:rStyle w:val="Hyperlink"/>
            <w:noProof/>
          </w:rPr>
          <w:t>D.</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Заключение по итогам аудита, выводы и рекомендации</w:t>
        </w:r>
        <w:r>
          <w:rPr>
            <w:noProof/>
            <w:webHidden/>
          </w:rPr>
          <w:tab/>
        </w:r>
        <w:r>
          <w:rPr>
            <w:noProof/>
            <w:webHidden/>
          </w:rPr>
          <w:fldChar w:fldCharType="begin"/>
        </w:r>
        <w:r>
          <w:rPr>
            <w:noProof/>
            <w:webHidden/>
          </w:rPr>
          <w:instrText xml:space="preserve"> PAGEREF _Toc230784911 \h </w:instrText>
        </w:r>
        <w:r>
          <w:rPr>
            <w:noProof/>
            <w:webHidden/>
          </w:rPr>
        </w:r>
        <w:r>
          <w:rPr>
            <w:noProof/>
            <w:webHidden/>
          </w:rPr>
          <w:fldChar w:fldCharType="separate"/>
        </w:r>
        <w:r w:rsidR="001A5D6E">
          <w:rPr>
            <w:noProof/>
            <w:webHidden/>
          </w:rPr>
          <w:t>17</w:t>
        </w:r>
        <w:r>
          <w:rPr>
            <w:noProof/>
            <w:webHidden/>
          </w:rPr>
          <w:fldChar w:fldCharType="end"/>
        </w:r>
      </w:hyperlink>
    </w:p>
    <w:p w14:paraId="0A08B285" w14:textId="7F764916" w:rsidR="008F0391" w:rsidRDefault="008F0391" w:rsidP="006E2109">
      <w:pPr>
        <w:pStyle w:val="TOC4"/>
        <w:tabs>
          <w:tab w:val="left" w:pos="1100"/>
          <w:tab w:val="right" w:leader="dot" w:pos="9401"/>
        </w:tabs>
        <w:ind w:left="658"/>
        <w:rPr>
          <w:rFonts w:asciiTheme="minorHAnsi" w:eastAsiaTheme="minorEastAsia" w:hAnsiTheme="minorHAnsi" w:cstheme="minorBidi"/>
          <w:noProof/>
          <w:color w:val="auto"/>
          <w:kern w:val="2"/>
          <w:sz w:val="24"/>
          <w:szCs w:val="24"/>
          <w:lang w:val="en-US"/>
          <w14:ligatures w14:val="standardContextual"/>
        </w:rPr>
      </w:pPr>
      <w:hyperlink w:anchor="_Toc230784912" w:history="1">
        <w:r w:rsidRPr="00AE6A75">
          <w:rPr>
            <w:rStyle w:val="Hyperlink"/>
            <w:noProof/>
          </w:rPr>
          <w:t>1.</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Финансовый аудит</w:t>
        </w:r>
        <w:r w:rsidR="006E2109">
          <w:rPr>
            <w:rStyle w:val="Hyperlink"/>
            <w:noProof/>
          </w:rPr>
          <w:tab/>
        </w:r>
        <w:r>
          <w:rPr>
            <w:noProof/>
            <w:webHidden/>
          </w:rPr>
          <w:fldChar w:fldCharType="begin"/>
        </w:r>
        <w:r>
          <w:rPr>
            <w:noProof/>
            <w:webHidden/>
          </w:rPr>
          <w:instrText xml:space="preserve"> PAGEREF _Toc230784912 \h </w:instrText>
        </w:r>
        <w:r>
          <w:rPr>
            <w:noProof/>
            <w:webHidden/>
          </w:rPr>
        </w:r>
        <w:r>
          <w:rPr>
            <w:noProof/>
            <w:webHidden/>
          </w:rPr>
          <w:fldChar w:fldCharType="separate"/>
        </w:r>
        <w:r w:rsidR="001A5D6E">
          <w:rPr>
            <w:noProof/>
            <w:webHidden/>
          </w:rPr>
          <w:t>17</w:t>
        </w:r>
        <w:r>
          <w:rPr>
            <w:noProof/>
            <w:webHidden/>
          </w:rPr>
          <w:fldChar w:fldCharType="end"/>
        </w:r>
      </w:hyperlink>
    </w:p>
    <w:p w14:paraId="0AB54307" w14:textId="395CE4E0" w:rsidR="008F0391" w:rsidRDefault="008F0391" w:rsidP="00C87AAA">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13" w:history="1">
        <w:r w:rsidRPr="00AE6A75">
          <w:rPr>
            <w:rStyle w:val="Hyperlink"/>
            <w:noProof/>
          </w:rPr>
          <w:t>Заключение по итогам аудит</w:t>
        </w:r>
        <w:r w:rsidR="00C87AAA">
          <w:rPr>
            <w:rStyle w:val="Hyperlink"/>
            <w:noProof/>
          </w:rPr>
          <w:t>а</w:t>
        </w:r>
        <w:r w:rsidR="00C87AAA">
          <w:rPr>
            <w:rStyle w:val="Hyperlink"/>
            <w:noProof/>
          </w:rPr>
          <w:tab/>
        </w:r>
        <w:r>
          <w:rPr>
            <w:noProof/>
            <w:webHidden/>
          </w:rPr>
          <w:fldChar w:fldCharType="begin"/>
        </w:r>
        <w:r>
          <w:rPr>
            <w:noProof/>
            <w:webHidden/>
          </w:rPr>
          <w:instrText xml:space="preserve"> PAGEREF _Toc230784913 \h </w:instrText>
        </w:r>
        <w:r>
          <w:rPr>
            <w:noProof/>
            <w:webHidden/>
          </w:rPr>
        </w:r>
        <w:r>
          <w:rPr>
            <w:noProof/>
            <w:webHidden/>
          </w:rPr>
          <w:fldChar w:fldCharType="separate"/>
        </w:r>
        <w:r w:rsidR="001A5D6E">
          <w:rPr>
            <w:noProof/>
            <w:webHidden/>
          </w:rPr>
          <w:t>17</w:t>
        </w:r>
        <w:r>
          <w:rPr>
            <w:noProof/>
            <w:webHidden/>
          </w:rPr>
          <w:fldChar w:fldCharType="end"/>
        </w:r>
      </w:hyperlink>
    </w:p>
    <w:p w14:paraId="66D92B8C" w14:textId="188CF8DD" w:rsidR="008F0391" w:rsidRDefault="008F0391" w:rsidP="00A01A79">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14" w:history="1">
        <w:r w:rsidRPr="00AE6A75">
          <w:rPr>
            <w:rStyle w:val="Hyperlink"/>
            <w:noProof/>
          </w:rPr>
          <w:t>Выводы и рекомендации</w:t>
        </w:r>
        <w:r w:rsidR="00A01A79">
          <w:rPr>
            <w:rStyle w:val="Hyperlink"/>
            <w:noProof/>
          </w:rPr>
          <w:tab/>
        </w:r>
        <w:r>
          <w:rPr>
            <w:noProof/>
            <w:webHidden/>
          </w:rPr>
          <w:fldChar w:fldCharType="begin"/>
        </w:r>
        <w:r>
          <w:rPr>
            <w:noProof/>
            <w:webHidden/>
          </w:rPr>
          <w:instrText xml:space="preserve"> PAGEREF _Toc230784914 \h </w:instrText>
        </w:r>
        <w:r>
          <w:rPr>
            <w:noProof/>
            <w:webHidden/>
          </w:rPr>
        </w:r>
        <w:r>
          <w:rPr>
            <w:noProof/>
            <w:webHidden/>
          </w:rPr>
          <w:fldChar w:fldCharType="separate"/>
        </w:r>
        <w:r w:rsidR="001A5D6E">
          <w:rPr>
            <w:noProof/>
            <w:webHidden/>
          </w:rPr>
          <w:t>18</w:t>
        </w:r>
        <w:r>
          <w:rPr>
            <w:noProof/>
            <w:webHidden/>
          </w:rPr>
          <w:fldChar w:fldCharType="end"/>
        </w:r>
      </w:hyperlink>
    </w:p>
    <w:p w14:paraId="3468890E" w14:textId="2A7065F1" w:rsidR="008F0391" w:rsidRDefault="008F0391" w:rsidP="00AF5F99">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15" w:history="1">
        <w:r w:rsidRPr="00AE6A75">
          <w:rPr>
            <w:rStyle w:val="Hyperlink"/>
            <w:noProof/>
          </w:rPr>
          <w:t>Управление</w:t>
        </w:r>
        <w:r w:rsidR="00AF5F99">
          <w:rPr>
            <w:rStyle w:val="Hyperlink"/>
            <w:noProof/>
          </w:rPr>
          <w:tab/>
        </w:r>
        <w:r>
          <w:rPr>
            <w:noProof/>
            <w:webHidden/>
          </w:rPr>
          <w:fldChar w:fldCharType="begin"/>
        </w:r>
        <w:r>
          <w:rPr>
            <w:noProof/>
            <w:webHidden/>
          </w:rPr>
          <w:instrText xml:space="preserve"> PAGEREF _Toc230784915 \h </w:instrText>
        </w:r>
        <w:r>
          <w:rPr>
            <w:noProof/>
            <w:webHidden/>
          </w:rPr>
        </w:r>
        <w:r>
          <w:rPr>
            <w:noProof/>
            <w:webHidden/>
          </w:rPr>
          <w:fldChar w:fldCharType="separate"/>
        </w:r>
        <w:r w:rsidR="001A5D6E">
          <w:rPr>
            <w:noProof/>
            <w:webHidden/>
          </w:rPr>
          <w:t>18</w:t>
        </w:r>
        <w:r>
          <w:rPr>
            <w:noProof/>
            <w:webHidden/>
          </w:rPr>
          <w:fldChar w:fldCharType="end"/>
        </w:r>
      </w:hyperlink>
    </w:p>
    <w:p w14:paraId="295EA6D8" w14:textId="68995369"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16" w:history="1">
        <w:r w:rsidRPr="00AE6A75">
          <w:rPr>
            <w:rStyle w:val="Hyperlink"/>
            <w:noProof/>
          </w:rPr>
          <w:t>Обновление нормативно-правовой базы инвестиционной деятельности</w:t>
        </w:r>
        <w:r w:rsidR="00AF5F99">
          <w:rPr>
            <w:rStyle w:val="Hyperlink"/>
            <w:noProof/>
          </w:rPr>
          <w:tab/>
        </w:r>
        <w:r>
          <w:rPr>
            <w:noProof/>
            <w:webHidden/>
          </w:rPr>
          <w:fldChar w:fldCharType="begin"/>
        </w:r>
        <w:r>
          <w:rPr>
            <w:noProof/>
            <w:webHidden/>
          </w:rPr>
          <w:instrText xml:space="preserve"> PAGEREF _Toc230784916 \h </w:instrText>
        </w:r>
        <w:r>
          <w:rPr>
            <w:noProof/>
            <w:webHidden/>
          </w:rPr>
        </w:r>
        <w:r>
          <w:rPr>
            <w:noProof/>
            <w:webHidden/>
          </w:rPr>
          <w:fldChar w:fldCharType="separate"/>
        </w:r>
        <w:r w:rsidR="001A5D6E">
          <w:rPr>
            <w:noProof/>
            <w:webHidden/>
          </w:rPr>
          <w:t>18</w:t>
        </w:r>
        <w:r>
          <w:rPr>
            <w:noProof/>
            <w:webHidden/>
          </w:rPr>
          <w:fldChar w:fldCharType="end"/>
        </w:r>
      </w:hyperlink>
    </w:p>
    <w:p w14:paraId="69178CFF" w14:textId="772FE99B"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19" w:history="1">
        <w:r w:rsidRPr="00AE6A75">
          <w:rPr>
            <w:rStyle w:val="Hyperlink"/>
            <w:noProof/>
          </w:rPr>
          <w:t>Совершенствование учета нематериальных активов в СУАИ</w:t>
        </w:r>
        <w:r w:rsidR="00C94525">
          <w:rPr>
            <w:rStyle w:val="Hyperlink"/>
            <w:noProof/>
          </w:rPr>
          <w:tab/>
        </w:r>
        <w:r>
          <w:rPr>
            <w:noProof/>
            <w:webHidden/>
          </w:rPr>
          <w:fldChar w:fldCharType="begin"/>
        </w:r>
        <w:r>
          <w:rPr>
            <w:noProof/>
            <w:webHidden/>
          </w:rPr>
          <w:instrText xml:space="preserve"> PAGEREF _Toc230784919 \h </w:instrText>
        </w:r>
        <w:r>
          <w:rPr>
            <w:noProof/>
            <w:webHidden/>
          </w:rPr>
        </w:r>
        <w:r>
          <w:rPr>
            <w:noProof/>
            <w:webHidden/>
          </w:rPr>
          <w:fldChar w:fldCharType="separate"/>
        </w:r>
        <w:r w:rsidR="001A5D6E">
          <w:rPr>
            <w:noProof/>
            <w:webHidden/>
          </w:rPr>
          <w:t>20</w:t>
        </w:r>
        <w:r>
          <w:rPr>
            <w:noProof/>
            <w:webHidden/>
          </w:rPr>
          <w:fldChar w:fldCharType="end"/>
        </w:r>
      </w:hyperlink>
    </w:p>
    <w:p w14:paraId="4789020E" w14:textId="215D83CA"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20" w:history="1">
        <w:r w:rsidRPr="00AE6A75">
          <w:rPr>
            <w:rStyle w:val="Hyperlink"/>
            <w:noProof/>
          </w:rPr>
          <w:t>Совершенствование нормативной базы в отношении зданий и технических установок, являющихся частью инфраструктуры зданий</w:t>
        </w:r>
        <w:r w:rsidR="00C94525">
          <w:rPr>
            <w:rStyle w:val="Hyperlink"/>
            <w:noProof/>
          </w:rPr>
          <w:tab/>
        </w:r>
        <w:r>
          <w:rPr>
            <w:noProof/>
            <w:webHidden/>
          </w:rPr>
          <w:fldChar w:fldCharType="begin"/>
        </w:r>
        <w:r>
          <w:rPr>
            <w:noProof/>
            <w:webHidden/>
          </w:rPr>
          <w:instrText xml:space="preserve"> PAGEREF _Toc230784920 \h </w:instrText>
        </w:r>
        <w:r>
          <w:rPr>
            <w:noProof/>
            <w:webHidden/>
          </w:rPr>
        </w:r>
        <w:r>
          <w:rPr>
            <w:noProof/>
            <w:webHidden/>
          </w:rPr>
          <w:fldChar w:fldCharType="separate"/>
        </w:r>
        <w:r w:rsidR="001A5D6E">
          <w:rPr>
            <w:noProof/>
            <w:webHidden/>
          </w:rPr>
          <w:t>20</w:t>
        </w:r>
        <w:r>
          <w:rPr>
            <w:noProof/>
            <w:webHidden/>
          </w:rPr>
          <w:fldChar w:fldCharType="end"/>
        </w:r>
      </w:hyperlink>
    </w:p>
    <w:p w14:paraId="6E20B0BE" w14:textId="55B3C5F6" w:rsidR="008F0391" w:rsidRDefault="008F0391" w:rsidP="00C94525">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21" w:history="1">
        <w:r w:rsidRPr="00AE6A75">
          <w:rPr>
            <w:rStyle w:val="Hyperlink"/>
            <w:noProof/>
          </w:rPr>
          <w:t>Управление закупками</w:t>
        </w:r>
        <w:r w:rsidR="00C94525">
          <w:rPr>
            <w:rStyle w:val="Hyperlink"/>
            <w:noProof/>
          </w:rPr>
          <w:tab/>
        </w:r>
        <w:r>
          <w:rPr>
            <w:noProof/>
            <w:webHidden/>
          </w:rPr>
          <w:fldChar w:fldCharType="begin"/>
        </w:r>
        <w:r>
          <w:rPr>
            <w:noProof/>
            <w:webHidden/>
          </w:rPr>
          <w:instrText xml:space="preserve"> PAGEREF _Toc230784921 \h </w:instrText>
        </w:r>
        <w:r>
          <w:rPr>
            <w:noProof/>
            <w:webHidden/>
          </w:rPr>
        </w:r>
        <w:r>
          <w:rPr>
            <w:noProof/>
            <w:webHidden/>
          </w:rPr>
          <w:fldChar w:fldCharType="separate"/>
        </w:r>
        <w:r w:rsidR="001A5D6E">
          <w:rPr>
            <w:noProof/>
            <w:webHidden/>
          </w:rPr>
          <w:t>22</w:t>
        </w:r>
        <w:r>
          <w:rPr>
            <w:noProof/>
            <w:webHidden/>
          </w:rPr>
          <w:fldChar w:fldCharType="end"/>
        </w:r>
      </w:hyperlink>
    </w:p>
    <w:p w14:paraId="77296B2C" w14:textId="5BFBBE61"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22" w:history="1">
        <w:r w:rsidRPr="00AE6A75">
          <w:rPr>
            <w:rStyle w:val="Hyperlink"/>
            <w:noProof/>
          </w:rPr>
          <w:t>Улучшение документации по оценке результатов работы подрядчика</w:t>
        </w:r>
        <w:r w:rsidR="00A01A79">
          <w:rPr>
            <w:rStyle w:val="Hyperlink"/>
            <w:noProof/>
          </w:rPr>
          <w:tab/>
        </w:r>
        <w:r>
          <w:rPr>
            <w:noProof/>
            <w:webHidden/>
          </w:rPr>
          <w:fldChar w:fldCharType="begin"/>
        </w:r>
        <w:r>
          <w:rPr>
            <w:noProof/>
            <w:webHidden/>
          </w:rPr>
          <w:instrText xml:space="preserve"> PAGEREF _Toc230784922 \h </w:instrText>
        </w:r>
        <w:r>
          <w:rPr>
            <w:noProof/>
            <w:webHidden/>
          </w:rPr>
        </w:r>
        <w:r>
          <w:rPr>
            <w:noProof/>
            <w:webHidden/>
          </w:rPr>
          <w:fldChar w:fldCharType="separate"/>
        </w:r>
        <w:r w:rsidR="001A5D6E">
          <w:rPr>
            <w:noProof/>
            <w:webHidden/>
          </w:rPr>
          <w:t>22</w:t>
        </w:r>
        <w:r>
          <w:rPr>
            <w:noProof/>
            <w:webHidden/>
          </w:rPr>
          <w:fldChar w:fldCharType="end"/>
        </w:r>
      </w:hyperlink>
    </w:p>
    <w:p w14:paraId="0B016475" w14:textId="5DEA502C"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23" w:history="1">
        <w:r w:rsidRPr="00AE6A75">
          <w:rPr>
            <w:rStyle w:val="Hyperlink"/>
            <w:noProof/>
          </w:rPr>
          <w:t>Информационные технологии для финансовой отчетности</w:t>
        </w:r>
        <w:r w:rsidR="00A01A79">
          <w:rPr>
            <w:rStyle w:val="Hyperlink"/>
            <w:noProof/>
          </w:rPr>
          <w:tab/>
        </w:r>
        <w:r>
          <w:rPr>
            <w:noProof/>
            <w:webHidden/>
          </w:rPr>
          <w:fldChar w:fldCharType="begin"/>
        </w:r>
        <w:r>
          <w:rPr>
            <w:noProof/>
            <w:webHidden/>
          </w:rPr>
          <w:instrText xml:space="preserve"> PAGEREF _Toc230784923 \h </w:instrText>
        </w:r>
        <w:r>
          <w:rPr>
            <w:noProof/>
            <w:webHidden/>
          </w:rPr>
        </w:r>
        <w:r>
          <w:rPr>
            <w:noProof/>
            <w:webHidden/>
          </w:rPr>
          <w:fldChar w:fldCharType="separate"/>
        </w:r>
        <w:r w:rsidR="001A5D6E">
          <w:rPr>
            <w:noProof/>
            <w:webHidden/>
          </w:rPr>
          <w:t>24</w:t>
        </w:r>
        <w:r>
          <w:rPr>
            <w:noProof/>
            <w:webHidden/>
          </w:rPr>
          <w:fldChar w:fldCharType="end"/>
        </w:r>
      </w:hyperlink>
    </w:p>
    <w:p w14:paraId="4F779E84" w14:textId="419D6433" w:rsidR="008F0391" w:rsidRDefault="008F0391" w:rsidP="00C94525">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24" w:history="1">
        <w:r w:rsidRPr="00AE6A75">
          <w:rPr>
            <w:rStyle w:val="Hyperlink"/>
            <w:noProof/>
          </w:rPr>
          <w:t>Улучшение процесса обмена данными для системы PCT и СУАИ</w:t>
        </w:r>
        <w:r w:rsidR="00C94525">
          <w:rPr>
            <w:rStyle w:val="Hyperlink"/>
            <w:noProof/>
          </w:rPr>
          <w:tab/>
        </w:r>
        <w:r>
          <w:rPr>
            <w:noProof/>
            <w:webHidden/>
          </w:rPr>
          <w:fldChar w:fldCharType="begin"/>
        </w:r>
        <w:r>
          <w:rPr>
            <w:noProof/>
            <w:webHidden/>
          </w:rPr>
          <w:instrText xml:space="preserve"> PAGEREF _Toc230784924 \h </w:instrText>
        </w:r>
        <w:r>
          <w:rPr>
            <w:noProof/>
            <w:webHidden/>
          </w:rPr>
        </w:r>
        <w:r>
          <w:rPr>
            <w:noProof/>
            <w:webHidden/>
          </w:rPr>
          <w:fldChar w:fldCharType="separate"/>
        </w:r>
        <w:r w:rsidR="001A5D6E">
          <w:rPr>
            <w:noProof/>
            <w:webHidden/>
          </w:rPr>
          <w:t>24</w:t>
        </w:r>
        <w:r>
          <w:rPr>
            <w:noProof/>
            <w:webHidden/>
          </w:rPr>
          <w:fldChar w:fldCharType="end"/>
        </w:r>
      </w:hyperlink>
    </w:p>
    <w:p w14:paraId="3B0908C4" w14:textId="4EAB48AA" w:rsidR="008F0391" w:rsidRDefault="008F0391" w:rsidP="00D5751B">
      <w:pPr>
        <w:pStyle w:val="TOC4"/>
        <w:tabs>
          <w:tab w:val="left" w:pos="1100"/>
          <w:tab w:val="right" w:leader="dot" w:pos="9401"/>
        </w:tabs>
        <w:ind w:left="658"/>
        <w:rPr>
          <w:rFonts w:asciiTheme="minorHAnsi" w:eastAsiaTheme="minorEastAsia" w:hAnsiTheme="minorHAnsi" w:cstheme="minorBidi"/>
          <w:noProof/>
          <w:color w:val="auto"/>
          <w:kern w:val="2"/>
          <w:sz w:val="24"/>
          <w:szCs w:val="24"/>
          <w:lang w:val="en-US"/>
          <w14:ligatures w14:val="standardContextual"/>
        </w:rPr>
      </w:pPr>
      <w:hyperlink w:anchor="_Toc230784925" w:history="1">
        <w:r w:rsidRPr="00AE6A75">
          <w:rPr>
            <w:rStyle w:val="Hyperlink"/>
            <w:noProof/>
          </w:rPr>
          <w:t>2.</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Аудит эффективности</w:t>
        </w:r>
        <w:r w:rsidR="00D5751B">
          <w:rPr>
            <w:rStyle w:val="Hyperlink"/>
            <w:noProof/>
          </w:rPr>
          <w:tab/>
        </w:r>
        <w:r>
          <w:rPr>
            <w:noProof/>
            <w:webHidden/>
          </w:rPr>
          <w:fldChar w:fldCharType="begin"/>
        </w:r>
        <w:r>
          <w:rPr>
            <w:noProof/>
            <w:webHidden/>
          </w:rPr>
          <w:instrText xml:space="preserve"> PAGEREF _Toc230784925 \h </w:instrText>
        </w:r>
        <w:r>
          <w:rPr>
            <w:noProof/>
            <w:webHidden/>
          </w:rPr>
        </w:r>
        <w:r>
          <w:rPr>
            <w:noProof/>
            <w:webHidden/>
          </w:rPr>
          <w:fldChar w:fldCharType="separate"/>
        </w:r>
        <w:r w:rsidR="001A5D6E">
          <w:rPr>
            <w:noProof/>
            <w:webHidden/>
          </w:rPr>
          <w:t>25</w:t>
        </w:r>
        <w:r>
          <w:rPr>
            <w:noProof/>
            <w:webHidden/>
          </w:rPr>
          <w:fldChar w:fldCharType="end"/>
        </w:r>
      </w:hyperlink>
    </w:p>
    <w:p w14:paraId="64A226BC" w14:textId="1A5B7EDE" w:rsidR="008F0391" w:rsidRDefault="008F0391" w:rsidP="00100ACC">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26" w:history="1">
        <w:r w:rsidRPr="00AE6A75">
          <w:rPr>
            <w:rStyle w:val="Hyperlink"/>
            <w:noProof/>
          </w:rPr>
          <w:t>Заключение по итогам аудита</w:t>
        </w:r>
        <w:r w:rsidR="00D5751B">
          <w:rPr>
            <w:rStyle w:val="Hyperlink"/>
            <w:noProof/>
          </w:rPr>
          <w:tab/>
        </w:r>
        <w:r>
          <w:rPr>
            <w:noProof/>
            <w:webHidden/>
          </w:rPr>
          <w:fldChar w:fldCharType="begin"/>
        </w:r>
        <w:r>
          <w:rPr>
            <w:noProof/>
            <w:webHidden/>
          </w:rPr>
          <w:instrText xml:space="preserve"> PAGEREF _Toc230784926 \h </w:instrText>
        </w:r>
        <w:r>
          <w:rPr>
            <w:noProof/>
            <w:webHidden/>
          </w:rPr>
        </w:r>
        <w:r>
          <w:rPr>
            <w:noProof/>
            <w:webHidden/>
          </w:rPr>
          <w:fldChar w:fldCharType="separate"/>
        </w:r>
        <w:r w:rsidR="001A5D6E">
          <w:rPr>
            <w:noProof/>
            <w:webHidden/>
          </w:rPr>
          <w:t>25</w:t>
        </w:r>
        <w:r>
          <w:rPr>
            <w:noProof/>
            <w:webHidden/>
          </w:rPr>
          <w:fldChar w:fldCharType="end"/>
        </w:r>
      </w:hyperlink>
    </w:p>
    <w:p w14:paraId="3BB4EAD7" w14:textId="0E9E75B9" w:rsidR="008F0391" w:rsidRDefault="008F0391" w:rsidP="00100ACC">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27" w:history="1">
        <w:r w:rsidRPr="00AE6A75">
          <w:rPr>
            <w:rStyle w:val="Hyperlink"/>
            <w:noProof/>
          </w:rPr>
          <w:t>Выводы и рекомендации</w:t>
        </w:r>
        <w:r w:rsidR="00D5751B">
          <w:rPr>
            <w:rStyle w:val="Hyperlink"/>
            <w:noProof/>
          </w:rPr>
          <w:tab/>
        </w:r>
        <w:r>
          <w:rPr>
            <w:noProof/>
            <w:webHidden/>
          </w:rPr>
          <w:fldChar w:fldCharType="begin"/>
        </w:r>
        <w:r>
          <w:rPr>
            <w:noProof/>
            <w:webHidden/>
          </w:rPr>
          <w:instrText xml:space="preserve"> PAGEREF _Toc230784927 \h </w:instrText>
        </w:r>
        <w:r>
          <w:rPr>
            <w:noProof/>
            <w:webHidden/>
          </w:rPr>
        </w:r>
        <w:r>
          <w:rPr>
            <w:noProof/>
            <w:webHidden/>
          </w:rPr>
          <w:fldChar w:fldCharType="separate"/>
        </w:r>
        <w:r w:rsidR="001A5D6E">
          <w:rPr>
            <w:noProof/>
            <w:webHidden/>
          </w:rPr>
          <w:t>26</w:t>
        </w:r>
        <w:r>
          <w:rPr>
            <w:noProof/>
            <w:webHidden/>
          </w:rPr>
          <w:fldChar w:fldCharType="end"/>
        </w:r>
      </w:hyperlink>
    </w:p>
    <w:p w14:paraId="26A20D34" w14:textId="38FCD784" w:rsidR="008F0391" w:rsidRDefault="008F0391" w:rsidP="00100ACC">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28" w:history="1">
        <w:r w:rsidRPr="00AE6A75">
          <w:rPr>
            <w:rStyle w:val="Hyperlink"/>
            <w:noProof/>
          </w:rPr>
          <w:t>Мадридский реестр</w:t>
        </w:r>
        <w:r w:rsidR="00100ACC">
          <w:rPr>
            <w:rStyle w:val="Hyperlink"/>
            <w:noProof/>
          </w:rPr>
          <w:tab/>
        </w:r>
        <w:r>
          <w:rPr>
            <w:noProof/>
            <w:webHidden/>
          </w:rPr>
          <w:fldChar w:fldCharType="begin"/>
        </w:r>
        <w:r>
          <w:rPr>
            <w:noProof/>
            <w:webHidden/>
          </w:rPr>
          <w:instrText xml:space="preserve"> PAGEREF _Toc230784928 \h </w:instrText>
        </w:r>
        <w:r>
          <w:rPr>
            <w:noProof/>
            <w:webHidden/>
          </w:rPr>
        </w:r>
        <w:r>
          <w:rPr>
            <w:noProof/>
            <w:webHidden/>
          </w:rPr>
          <w:fldChar w:fldCharType="separate"/>
        </w:r>
        <w:r w:rsidR="001A5D6E">
          <w:rPr>
            <w:noProof/>
            <w:webHidden/>
          </w:rPr>
          <w:t>26</w:t>
        </w:r>
        <w:r>
          <w:rPr>
            <w:noProof/>
            <w:webHidden/>
          </w:rPr>
          <w:fldChar w:fldCharType="end"/>
        </w:r>
      </w:hyperlink>
    </w:p>
    <w:p w14:paraId="31E1483A" w14:textId="2025C9AE" w:rsidR="008F0391" w:rsidRDefault="008F0391" w:rsidP="00100ACC">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29" w:history="1">
        <w:r w:rsidRPr="00AE6A75">
          <w:rPr>
            <w:rStyle w:val="Hyperlink"/>
            <w:noProof/>
          </w:rPr>
          <w:t>Обеспечение интеграции между системой Мадридского реестра и системой Финансового отдела</w:t>
        </w:r>
        <w:r w:rsidR="00100ACC">
          <w:rPr>
            <w:rStyle w:val="Hyperlink"/>
            <w:noProof/>
          </w:rPr>
          <w:tab/>
        </w:r>
        <w:r>
          <w:rPr>
            <w:noProof/>
            <w:webHidden/>
          </w:rPr>
          <w:fldChar w:fldCharType="begin"/>
        </w:r>
        <w:r>
          <w:rPr>
            <w:noProof/>
            <w:webHidden/>
          </w:rPr>
          <w:instrText xml:space="preserve"> PAGEREF _Toc230784929 \h </w:instrText>
        </w:r>
        <w:r>
          <w:rPr>
            <w:noProof/>
            <w:webHidden/>
          </w:rPr>
        </w:r>
        <w:r>
          <w:rPr>
            <w:noProof/>
            <w:webHidden/>
          </w:rPr>
          <w:fldChar w:fldCharType="separate"/>
        </w:r>
        <w:r w:rsidR="001A5D6E">
          <w:rPr>
            <w:noProof/>
            <w:webHidden/>
          </w:rPr>
          <w:t>27</w:t>
        </w:r>
        <w:r>
          <w:rPr>
            <w:noProof/>
            <w:webHidden/>
          </w:rPr>
          <w:fldChar w:fldCharType="end"/>
        </w:r>
      </w:hyperlink>
    </w:p>
    <w:p w14:paraId="2A9CA5B9" w14:textId="54DBE329" w:rsidR="008F0391" w:rsidRDefault="008F0391" w:rsidP="00100ACC">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30" w:history="1">
        <w:r w:rsidRPr="00AE6A75">
          <w:rPr>
            <w:rStyle w:val="Hyperlink"/>
            <w:noProof/>
          </w:rPr>
          <w:t>Повышение КПР Мадридского реестра</w:t>
        </w:r>
        <w:r w:rsidR="00100ACC">
          <w:rPr>
            <w:rStyle w:val="Hyperlink"/>
            <w:noProof/>
          </w:rPr>
          <w:tab/>
        </w:r>
        <w:r>
          <w:rPr>
            <w:noProof/>
            <w:webHidden/>
          </w:rPr>
          <w:fldChar w:fldCharType="begin"/>
        </w:r>
        <w:r>
          <w:rPr>
            <w:noProof/>
            <w:webHidden/>
          </w:rPr>
          <w:instrText xml:space="preserve"> PAGEREF _Toc230784930 \h </w:instrText>
        </w:r>
        <w:r>
          <w:rPr>
            <w:noProof/>
            <w:webHidden/>
          </w:rPr>
        </w:r>
        <w:r>
          <w:rPr>
            <w:noProof/>
            <w:webHidden/>
          </w:rPr>
          <w:fldChar w:fldCharType="separate"/>
        </w:r>
        <w:r w:rsidR="001A5D6E">
          <w:rPr>
            <w:noProof/>
            <w:webHidden/>
          </w:rPr>
          <w:t>29</w:t>
        </w:r>
        <w:r>
          <w:rPr>
            <w:noProof/>
            <w:webHidden/>
          </w:rPr>
          <w:fldChar w:fldCharType="end"/>
        </w:r>
      </w:hyperlink>
    </w:p>
    <w:p w14:paraId="568E7D14" w14:textId="15F14B21" w:rsidR="008F0391" w:rsidRDefault="008F0391" w:rsidP="00100ACC">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31" w:history="1">
        <w:r w:rsidRPr="00AE6A75">
          <w:rPr>
            <w:rStyle w:val="Hyperlink"/>
            <w:noProof/>
          </w:rPr>
          <w:t>Улучшение внутренней отчетности в Мадридском реестре</w:t>
        </w:r>
        <w:r w:rsidR="00100ACC">
          <w:rPr>
            <w:rStyle w:val="Hyperlink"/>
            <w:noProof/>
          </w:rPr>
          <w:tab/>
        </w:r>
        <w:r>
          <w:rPr>
            <w:noProof/>
            <w:webHidden/>
          </w:rPr>
          <w:fldChar w:fldCharType="begin"/>
        </w:r>
        <w:r>
          <w:rPr>
            <w:noProof/>
            <w:webHidden/>
          </w:rPr>
          <w:instrText xml:space="preserve"> PAGEREF _Toc230784931 \h </w:instrText>
        </w:r>
        <w:r>
          <w:rPr>
            <w:noProof/>
            <w:webHidden/>
          </w:rPr>
        </w:r>
        <w:r>
          <w:rPr>
            <w:noProof/>
            <w:webHidden/>
          </w:rPr>
          <w:fldChar w:fldCharType="separate"/>
        </w:r>
        <w:r w:rsidR="001A5D6E">
          <w:rPr>
            <w:noProof/>
            <w:webHidden/>
          </w:rPr>
          <w:t>31</w:t>
        </w:r>
        <w:r>
          <w:rPr>
            <w:noProof/>
            <w:webHidden/>
          </w:rPr>
          <w:fldChar w:fldCharType="end"/>
        </w:r>
      </w:hyperlink>
    </w:p>
    <w:p w14:paraId="33613E0F" w14:textId="6356F536" w:rsidR="008F0391" w:rsidRDefault="008F0391" w:rsidP="00100ACC">
      <w:pPr>
        <w:pStyle w:val="TOC5"/>
        <w:tabs>
          <w:tab w:val="right" w:leader="dot" w:pos="9401"/>
        </w:tabs>
        <w:ind w:left="879"/>
        <w:rPr>
          <w:rFonts w:asciiTheme="minorHAnsi" w:eastAsiaTheme="minorEastAsia" w:hAnsiTheme="minorHAnsi" w:cstheme="minorBidi"/>
          <w:noProof/>
          <w:color w:val="auto"/>
          <w:kern w:val="2"/>
          <w:sz w:val="24"/>
          <w:szCs w:val="24"/>
          <w:lang w:val="en-US"/>
          <w14:ligatures w14:val="standardContextual"/>
        </w:rPr>
      </w:pPr>
      <w:hyperlink w:anchor="_Toc230784932" w:history="1">
        <w:r w:rsidRPr="00AE6A75">
          <w:rPr>
            <w:rStyle w:val="Hyperlink"/>
            <w:noProof/>
          </w:rPr>
          <w:t>Глобальные базы данных</w:t>
        </w:r>
        <w:r w:rsidR="00100ACC">
          <w:rPr>
            <w:rStyle w:val="Hyperlink"/>
            <w:noProof/>
          </w:rPr>
          <w:tab/>
        </w:r>
        <w:r>
          <w:rPr>
            <w:noProof/>
            <w:webHidden/>
          </w:rPr>
          <w:fldChar w:fldCharType="begin"/>
        </w:r>
        <w:r>
          <w:rPr>
            <w:noProof/>
            <w:webHidden/>
          </w:rPr>
          <w:instrText xml:space="preserve"> PAGEREF _Toc230784932 \h </w:instrText>
        </w:r>
        <w:r>
          <w:rPr>
            <w:noProof/>
            <w:webHidden/>
          </w:rPr>
        </w:r>
        <w:r>
          <w:rPr>
            <w:noProof/>
            <w:webHidden/>
          </w:rPr>
          <w:fldChar w:fldCharType="separate"/>
        </w:r>
        <w:r w:rsidR="001A5D6E">
          <w:rPr>
            <w:noProof/>
            <w:webHidden/>
          </w:rPr>
          <w:t>33</w:t>
        </w:r>
        <w:r>
          <w:rPr>
            <w:noProof/>
            <w:webHidden/>
          </w:rPr>
          <w:fldChar w:fldCharType="end"/>
        </w:r>
      </w:hyperlink>
    </w:p>
    <w:p w14:paraId="34969E77" w14:textId="0C2872D9" w:rsidR="008F0391" w:rsidRDefault="008F0391" w:rsidP="00686BA4">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33" w:history="1">
        <w:r w:rsidRPr="00AE6A75">
          <w:rPr>
            <w:rStyle w:val="Hyperlink"/>
            <w:noProof/>
          </w:rPr>
          <w:t>Гармонизация механизмов обмена данными ВОИС с ведомствами интеллектуальной собственности</w:t>
        </w:r>
        <w:r w:rsidR="00686BA4">
          <w:rPr>
            <w:rStyle w:val="Hyperlink"/>
            <w:noProof/>
          </w:rPr>
          <w:tab/>
        </w:r>
        <w:r>
          <w:rPr>
            <w:noProof/>
            <w:webHidden/>
          </w:rPr>
          <w:fldChar w:fldCharType="begin"/>
        </w:r>
        <w:r>
          <w:rPr>
            <w:noProof/>
            <w:webHidden/>
          </w:rPr>
          <w:instrText xml:space="preserve"> PAGEREF _Toc230784933 \h </w:instrText>
        </w:r>
        <w:r>
          <w:rPr>
            <w:noProof/>
            <w:webHidden/>
          </w:rPr>
        </w:r>
        <w:r>
          <w:rPr>
            <w:noProof/>
            <w:webHidden/>
          </w:rPr>
          <w:fldChar w:fldCharType="separate"/>
        </w:r>
        <w:r w:rsidR="001A5D6E">
          <w:rPr>
            <w:noProof/>
            <w:webHidden/>
          </w:rPr>
          <w:t>34</w:t>
        </w:r>
        <w:r>
          <w:rPr>
            <w:noProof/>
            <w:webHidden/>
          </w:rPr>
          <w:fldChar w:fldCharType="end"/>
        </w:r>
      </w:hyperlink>
    </w:p>
    <w:p w14:paraId="114A0CFB" w14:textId="2A2B5B0F" w:rsidR="008F0391" w:rsidRDefault="008F0391" w:rsidP="003339F6">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34" w:history="1">
        <w:r w:rsidRPr="00AE6A75">
          <w:rPr>
            <w:rStyle w:val="Hyperlink"/>
            <w:noProof/>
          </w:rPr>
          <w:t>Расширение охвата данных для глобальных баз данных ВОИС</w:t>
        </w:r>
        <w:r w:rsidR="003339F6">
          <w:rPr>
            <w:rStyle w:val="Hyperlink"/>
            <w:noProof/>
          </w:rPr>
          <w:tab/>
        </w:r>
        <w:r>
          <w:rPr>
            <w:noProof/>
            <w:webHidden/>
          </w:rPr>
          <w:fldChar w:fldCharType="begin"/>
        </w:r>
        <w:r>
          <w:rPr>
            <w:noProof/>
            <w:webHidden/>
          </w:rPr>
          <w:instrText xml:space="preserve"> PAGEREF _Toc230784934 \h </w:instrText>
        </w:r>
        <w:r>
          <w:rPr>
            <w:noProof/>
            <w:webHidden/>
          </w:rPr>
        </w:r>
        <w:r>
          <w:rPr>
            <w:noProof/>
            <w:webHidden/>
          </w:rPr>
          <w:fldChar w:fldCharType="separate"/>
        </w:r>
        <w:r w:rsidR="001A5D6E">
          <w:rPr>
            <w:noProof/>
            <w:webHidden/>
          </w:rPr>
          <w:t>35</w:t>
        </w:r>
        <w:r>
          <w:rPr>
            <w:noProof/>
            <w:webHidden/>
          </w:rPr>
          <w:fldChar w:fldCharType="end"/>
        </w:r>
      </w:hyperlink>
    </w:p>
    <w:p w14:paraId="60E0B32D" w14:textId="2CAC5CC9"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35" w:history="1">
        <w:r w:rsidRPr="00AE6A75">
          <w:rPr>
            <w:rStyle w:val="Hyperlink"/>
            <w:noProof/>
          </w:rPr>
          <w:t>E.</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Передача информации руководством</w:t>
        </w:r>
        <w:r>
          <w:rPr>
            <w:noProof/>
            <w:webHidden/>
          </w:rPr>
          <w:tab/>
        </w:r>
        <w:r>
          <w:rPr>
            <w:noProof/>
            <w:webHidden/>
          </w:rPr>
          <w:fldChar w:fldCharType="begin"/>
        </w:r>
        <w:r>
          <w:rPr>
            <w:noProof/>
            <w:webHidden/>
          </w:rPr>
          <w:instrText xml:space="preserve"> PAGEREF _Toc230784935 \h </w:instrText>
        </w:r>
        <w:r>
          <w:rPr>
            <w:noProof/>
            <w:webHidden/>
          </w:rPr>
        </w:r>
        <w:r>
          <w:rPr>
            <w:noProof/>
            <w:webHidden/>
          </w:rPr>
          <w:fldChar w:fldCharType="separate"/>
        </w:r>
        <w:r w:rsidR="001A5D6E">
          <w:rPr>
            <w:noProof/>
            <w:webHidden/>
          </w:rPr>
          <w:t>40</w:t>
        </w:r>
        <w:r>
          <w:rPr>
            <w:noProof/>
            <w:webHidden/>
          </w:rPr>
          <w:fldChar w:fldCharType="end"/>
        </w:r>
      </w:hyperlink>
    </w:p>
    <w:p w14:paraId="2746B5D1" w14:textId="5047AFB3" w:rsidR="008F0391" w:rsidRDefault="008F0391" w:rsidP="00686BA4">
      <w:pPr>
        <w:pStyle w:val="TOC4"/>
        <w:tabs>
          <w:tab w:val="left" w:pos="1100"/>
          <w:tab w:val="right" w:leader="dot" w:pos="9401"/>
        </w:tabs>
        <w:ind w:left="658"/>
        <w:rPr>
          <w:rFonts w:asciiTheme="minorHAnsi" w:eastAsiaTheme="minorEastAsia" w:hAnsiTheme="minorHAnsi" w:cstheme="minorBidi"/>
          <w:noProof/>
          <w:color w:val="auto"/>
          <w:kern w:val="2"/>
          <w:sz w:val="24"/>
          <w:szCs w:val="24"/>
          <w:lang w:val="en-US"/>
          <w14:ligatures w14:val="standardContextual"/>
        </w:rPr>
      </w:pPr>
      <w:hyperlink w:anchor="_Toc230784936" w:history="1">
        <w:r w:rsidRPr="00AE6A75">
          <w:rPr>
            <w:rStyle w:val="Hyperlink"/>
            <w:noProof/>
          </w:rPr>
          <w:t>1.</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Списания и потери денежных средств и других активов</w:t>
        </w:r>
        <w:r w:rsidR="00686BA4">
          <w:rPr>
            <w:rStyle w:val="Hyperlink"/>
            <w:noProof/>
          </w:rPr>
          <w:tab/>
        </w:r>
        <w:r>
          <w:rPr>
            <w:noProof/>
            <w:webHidden/>
          </w:rPr>
          <w:fldChar w:fldCharType="begin"/>
        </w:r>
        <w:r>
          <w:rPr>
            <w:noProof/>
            <w:webHidden/>
          </w:rPr>
          <w:instrText xml:space="preserve"> PAGEREF _Toc230784936 \h </w:instrText>
        </w:r>
        <w:r>
          <w:rPr>
            <w:noProof/>
            <w:webHidden/>
          </w:rPr>
        </w:r>
        <w:r>
          <w:rPr>
            <w:noProof/>
            <w:webHidden/>
          </w:rPr>
          <w:fldChar w:fldCharType="separate"/>
        </w:r>
        <w:r w:rsidR="001A5D6E">
          <w:rPr>
            <w:noProof/>
            <w:webHidden/>
          </w:rPr>
          <w:t>40</w:t>
        </w:r>
        <w:r>
          <w:rPr>
            <w:noProof/>
            <w:webHidden/>
          </w:rPr>
          <w:fldChar w:fldCharType="end"/>
        </w:r>
      </w:hyperlink>
    </w:p>
    <w:p w14:paraId="5EB9DF0D" w14:textId="61C8F740" w:rsidR="008F0391" w:rsidRDefault="008F0391" w:rsidP="00686BA4">
      <w:pPr>
        <w:pStyle w:val="TOC4"/>
        <w:tabs>
          <w:tab w:val="left" w:pos="1100"/>
          <w:tab w:val="right" w:leader="dot" w:pos="9401"/>
        </w:tabs>
        <w:ind w:left="658"/>
        <w:rPr>
          <w:rFonts w:asciiTheme="minorHAnsi" w:eastAsiaTheme="minorEastAsia" w:hAnsiTheme="minorHAnsi" w:cstheme="minorBidi"/>
          <w:noProof/>
          <w:color w:val="auto"/>
          <w:kern w:val="2"/>
          <w:sz w:val="24"/>
          <w:szCs w:val="24"/>
          <w:lang w:val="en-US"/>
          <w14:ligatures w14:val="standardContextual"/>
        </w:rPr>
      </w:pPr>
      <w:hyperlink w:anchor="_Toc230784937" w:history="1">
        <w:r w:rsidRPr="00AE6A75">
          <w:rPr>
            <w:rStyle w:val="Hyperlink"/>
            <w:noProof/>
          </w:rPr>
          <w:t>2.</w:t>
        </w:r>
        <w:r w:rsidR="00686BA4">
          <w:rPr>
            <w:rFonts w:asciiTheme="minorHAnsi" w:eastAsiaTheme="minorEastAsia" w:hAnsiTheme="minorHAnsi" w:cstheme="minorBidi"/>
            <w:noProof/>
            <w:color w:val="auto"/>
            <w:kern w:val="2"/>
            <w:sz w:val="24"/>
            <w:szCs w:val="24"/>
            <w14:ligatures w14:val="standardContextual"/>
          </w:rPr>
          <w:tab/>
        </w:r>
        <w:r w:rsidRPr="00AE6A75">
          <w:rPr>
            <w:rStyle w:val="Hyperlink"/>
            <w:noProof/>
          </w:rPr>
          <w:t>Выплаты ex gratia</w:t>
        </w:r>
        <w:r w:rsidR="00686BA4">
          <w:rPr>
            <w:rStyle w:val="Hyperlink"/>
            <w:noProof/>
          </w:rPr>
          <w:tab/>
        </w:r>
        <w:r>
          <w:rPr>
            <w:noProof/>
            <w:webHidden/>
          </w:rPr>
          <w:fldChar w:fldCharType="begin"/>
        </w:r>
        <w:r>
          <w:rPr>
            <w:noProof/>
            <w:webHidden/>
          </w:rPr>
          <w:instrText xml:space="preserve"> PAGEREF _Toc230784937 \h </w:instrText>
        </w:r>
        <w:r>
          <w:rPr>
            <w:noProof/>
            <w:webHidden/>
          </w:rPr>
        </w:r>
        <w:r>
          <w:rPr>
            <w:noProof/>
            <w:webHidden/>
          </w:rPr>
          <w:fldChar w:fldCharType="separate"/>
        </w:r>
        <w:r w:rsidR="001A5D6E">
          <w:rPr>
            <w:noProof/>
            <w:webHidden/>
          </w:rPr>
          <w:t>41</w:t>
        </w:r>
        <w:r>
          <w:rPr>
            <w:noProof/>
            <w:webHidden/>
          </w:rPr>
          <w:fldChar w:fldCharType="end"/>
        </w:r>
      </w:hyperlink>
    </w:p>
    <w:p w14:paraId="1BAEE48B" w14:textId="36AEEE2E" w:rsidR="008F0391" w:rsidRDefault="008F0391" w:rsidP="00686BA4">
      <w:pPr>
        <w:pStyle w:val="TOC4"/>
        <w:tabs>
          <w:tab w:val="left" w:pos="1100"/>
          <w:tab w:val="right" w:leader="dot" w:pos="9401"/>
        </w:tabs>
        <w:ind w:left="658"/>
        <w:rPr>
          <w:rFonts w:asciiTheme="minorHAnsi" w:eastAsiaTheme="minorEastAsia" w:hAnsiTheme="minorHAnsi" w:cstheme="minorBidi"/>
          <w:noProof/>
          <w:color w:val="auto"/>
          <w:kern w:val="2"/>
          <w:sz w:val="24"/>
          <w:szCs w:val="24"/>
          <w:lang w:val="en-US"/>
          <w14:ligatures w14:val="standardContextual"/>
        </w:rPr>
      </w:pPr>
      <w:hyperlink w:anchor="_Toc230784938" w:history="1">
        <w:r w:rsidRPr="00AE6A75">
          <w:rPr>
            <w:rStyle w:val="Hyperlink"/>
            <w:noProof/>
          </w:rPr>
          <w:t>3.</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Случаи мошенничества или предполагаемого мошенничества</w:t>
        </w:r>
        <w:r w:rsidR="00686BA4">
          <w:rPr>
            <w:rStyle w:val="Hyperlink"/>
            <w:noProof/>
          </w:rPr>
          <w:tab/>
        </w:r>
        <w:r>
          <w:rPr>
            <w:noProof/>
            <w:webHidden/>
          </w:rPr>
          <w:fldChar w:fldCharType="begin"/>
        </w:r>
        <w:r>
          <w:rPr>
            <w:noProof/>
            <w:webHidden/>
          </w:rPr>
          <w:instrText xml:space="preserve"> PAGEREF _Toc230784938 \h </w:instrText>
        </w:r>
        <w:r>
          <w:rPr>
            <w:noProof/>
            <w:webHidden/>
          </w:rPr>
        </w:r>
        <w:r>
          <w:rPr>
            <w:noProof/>
            <w:webHidden/>
          </w:rPr>
          <w:fldChar w:fldCharType="separate"/>
        </w:r>
        <w:r w:rsidR="001A5D6E">
          <w:rPr>
            <w:noProof/>
            <w:webHidden/>
          </w:rPr>
          <w:t>41</w:t>
        </w:r>
        <w:r>
          <w:rPr>
            <w:noProof/>
            <w:webHidden/>
          </w:rPr>
          <w:fldChar w:fldCharType="end"/>
        </w:r>
      </w:hyperlink>
    </w:p>
    <w:p w14:paraId="1F8274C7" w14:textId="07824C09" w:rsidR="008F0391" w:rsidRDefault="008F0391">
      <w:pPr>
        <w:pStyle w:val="TOC3"/>
        <w:tabs>
          <w:tab w:val="left" w:pos="1100"/>
        </w:tabs>
        <w:rPr>
          <w:rFonts w:asciiTheme="minorHAnsi" w:eastAsiaTheme="minorEastAsia" w:hAnsiTheme="minorHAnsi" w:cstheme="minorBidi"/>
          <w:noProof/>
          <w:color w:val="auto"/>
          <w:kern w:val="2"/>
          <w:sz w:val="24"/>
          <w:szCs w:val="24"/>
          <w:lang w:val="en-US"/>
          <w14:ligatures w14:val="standardContextual"/>
        </w:rPr>
      </w:pPr>
      <w:hyperlink w:anchor="_Toc230784939" w:history="1">
        <w:r w:rsidRPr="00AE6A75">
          <w:rPr>
            <w:rStyle w:val="Hyperlink"/>
            <w:noProof/>
          </w:rPr>
          <w:t>F.</w:t>
        </w:r>
        <w:r>
          <w:rPr>
            <w:rFonts w:asciiTheme="minorHAnsi" w:eastAsiaTheme="minorEastAsia" w:hAnsiTheme="minorHAnsi" w:cstheme="minorBidi"/>
            <w:noProof/>
            <w:color w:val="auto"/>
            <w:kern w:val="2"/>
            <w:sz w:val="24"/>
            <w:szCs w:val="24"/>
            <w:lang w:val="en-US"/>
            <w14:ligatures w14:val="standardContextual"/>
          </w:rPr>
          <w:tab/>
        </w:r>
        <w:r w:rsidRPr="00AE6A75">
          <w:rPr>
            <w:rStyle w:val="Hyperlink"/>
            <w:noProof/>
          </w:rPr>
          <w:t>Благодарность</w:t>
        </w:r>
        <w:r>
          <w:rPr>
            <w:noProof/>
            <w:webHidden/>
          </w:rPr>
          <w:tab/>
        </w:r>
        <w:r>
          <w:rPr>
            <w:noProof/>
            <w:webHidden/>
          </w:rPr>
          <w:fldChar w:fldCharType="begin"/>
        </w:r>
        <w:r>
          <w:rPr>
            <w:noProof/>
            <w:webHidden/>
          </w:rPr>
          <w:instrText xml:space="preserve"> PAGEREF _Toc230784939 \h </w:instrText>
        </w:r>
        <w:r>
          <w:rPr>
            <w:noProof/>
            <w:webHidden/>
          </w:rPr>
        </w:r>
        <w:r>
          <w:rPr>
            <w:noProof/>
            <w:webHidden/>
          </w:rPr>
          <w:fldChar w:fldCharType="separate"/>
        </w:r>
        <w:r w:rsidR="001A5D6E">
          <w:rPr>
            <w:noProof/>
            <w:webHidden/>
          </w:rPr>
          <w:t>41</w:t>
        </w:r>
        <w:r>
          <w:rPr>
            <w:noProof/>
            <w:webHidden/>
          </w:rPr>
          <w:fldChar w:fldCharType="end"/>
        </w:r>
      </w:hyperlink>
    </w:p>
    <w:p w14:paraId="6AC6A652" w14:textId="50477B21" w:rsidR="008F0391" w:rsidRDefault="008F0391" w:rsidP="003339F6">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40" w:history="1">
        <w:r w:rsidRPr="00AE6A75">
          <w:rPr>
            <w:rStyle w:val="Hyperlink"/>
            <w:noProof/>
          </w:rPr>
          <w:t>Приложение 1. Статус выполнения рекомендаций до финансового года, закончившегося 31 декабря 2025 года</w:t>
        </w:r>
        <w:r w:rsidR="003339F6">
          <w:rPr>
            <w:rStyle w:val="Hyperlink"/>
            <w:noProof/>
          </w:rPr>
          <w:tab/>
        </w:r>
        <w:r>
          <w:rPr>
            <w:noProof/>
            <w:webHidden/>
          </w:rPr>
          <w:fldChar w:fldCharType="begin"/>
        </w:r>
        <w:r>
          <w:rPr>
            <w:noProof/>
            <w:webHidden/>
          </w:rPr>
          <w:instrText xml:space="preserve"> PAGEREF _Toc230784940 \h </w:instrText>
        </w:r>
        <w:r>
          <w:rPr>
            <w:noProof/>
            <w:webHidden/>
          </w:rPr>
        </w:r>
        <w:r>
          <w:rPr>
            <w:noProof/>
            <w:webHidden/>
          </w:rPr>
          <w:fldChar w:fldCharType="separate"/>
        </w:r>
        <w:r w:rsidR="001A5D6E">
          <w:rPr>
            <w:noProof/>
            <w:webHidden/>
          </w:rPr>
          <w:t>1</w:t>
        </w:r>
        <w:r>
          <w:rPr>
            <w:noProof/>
            <w:webHidden/>
          </w:rPr>
          <w:fldChar w:fldCharType="end"/>
        </w:r>
      </w:hyperlink>
    </w:p>
    <w:p w14:paraId="61E7822F" w14:textId="2604BC17" w:rsidR="008F0391" w:rsidRDefault="008F0391" w:rsidP="008B785F">
      <w:pPr>
        <w:pStyle w:val="TOC6"/>
        <w:tabs>
          <w:tab w:val="right" w:leader="dot" w:pos="9401"/>
        </w:tabs>
        <w:rPr>
          <w:rFonts w:asciiTheme="minorHAnsi" w:eastAsiaTheme="minorEastAsia" w:hAnsiTheme="minorHAnsi" w:cstheme="minorBidi"/>
          <w:noProof/>
          <w:color w:val="auto"/>
          <w:kern w:val="2"/>
          <w:sz w:val="24"/>
          <w:szCs w:val="24"/>
          <w:lang w:val="en-US"/>
          <w14:ligatures w14:val="standardContextual"/>
        </w:rPr>
      </w:pPr>
      <w:hyperlink w:anchor="_Toc230784941" w:history="1">
        <w:r w:rsidRPr="00AE6A75">
          <w:rPr>
            <w:rStyle w:val="Hyperlink"/>
            <w:noProof/>
          </w:rPr>
          <w:t>Приложение 2. Список сокращений</w:t>
        </w:r>
        <w:r w:rsidR="008B785F">
          <w:rPr>
            <w:rStyle w:val="Hyperlink"/>
            <w:noProof/>
          </w:rPr>
          <w:tab/>
        </w:r>
        <w:r>
          <w:rPr>
            <w:noProof/>
            <w:webHidden/>
          </w:rPr>
          <w:fldChar w:fldCharType="begin"/>
        </w:r>
        <w:r>
          <w:rPr>
            <w:noProof/>
            <w:webHidden/>
          </w:rPr>
          <w:instrText xml:space="preserve"> PAGEREF _Toc230784941 \h </w:instrText>
        </w:r>
        <w:r>
          <w:rPr>
            <w:noProof/>
            <w:webHidden/>
          </w:rPr>
        </w:r>
        <w:r>
          <w:rPr>
            <w:noProof/>
            <w:webHidden/>
          </w:rPr>
          <w:fldChar w:fldCharType="separate"/>
        </w:r>
        <w:r w:rsidR="001A5D6E">
          <w:rPr>
            <w:noProof/>
            <w:webHidden/>
          </w:rPr>
          <w:t>15</w:t>
        </w:r>
        <w:r>
          <w:rPr>
            <w:noProof/>
            <w:webHidden/>
          </w:rPr>
          <w:fldChar w:fldCharType="end"/>
        </w:r>
      </w:hyperlink>
    </w:p>
    <w:p w14:paraId="3F61E166" w14:textId="097A4295" w:rsidR="00A4185A" w:rsidRDefault="008C5D66" w:rsidP="00D31308">
      <w:pPr>
        <w:pStyle w:val="TOCHeading"/>
        <w:tabs>
          <w:tab w:val="right" w:leader="dot" w:pos="9184"/>
          <w:tab w:val="left" w:pos="9411"/>
        </w:tabs>
        <w:ind w:left="360" w:right="480"/>
        <w:contextualSpacing/>
        <w:rPr>
          <w:sz w:val="22"/>
        </w:rPr>
        <w:sectPr w:rsidR="00A4185A" w:rsidSect="009F428A">
          <w:headerReference w:type="first" r:id="rId22"/>
          <w:footerReference w:type="first" r:id="rId23"/>
          <w:pgSz w:w="11906" w:h="16838" w:code="9"/>
          <w:pgMar w:top="1440" w:right="1134" w:bottom="1304" w:left="1361" w:header="709" w:footer="709" w:gutter="0"/>
          <w:pgNumType w:start="4"/>
          <w:cols w:space="708"/>
          <w:titlePg/>
          <w:docGrid w:linePitch="360"/>
        </w:sectPr>
      </w:pPr>
      <w:r w:rsidRPr="001264D7">
        <w:rPr>
          <w:sz w:val="22"/>
        </w:rPr>
        <w:fldChar w:fldCharType="end"/>
      </w:r>
    </w:p>
    <w:p w14:paraId="22BEC35D" w14:textId="0F9E1DB5" w:rsidR="00CC1CF6" w:rsidRDefault="00944AEB" w:rsidP="00BA5876">
      <w:pPr>
        <w:pStyle w:val="Heading1"/>
        <w:jc w:val="center"/>
        <w:rPr>
          <w:color w:val="auto"/>
          <w:sz w:val="32"/>
          <w:szCs w:val="32"/>
        </w:rPr>
      </w:pPr>
      <w:bookmarkStart w:id="16" w:name="_Toc223004769"/>
      <w:bookmarkStart w:id="17" w:name="_Toc223005491"/>
      <w:bookmarkStart w:id="18" w:name="_Toc223100605"/>
      <w:bookmarkStart w:id="19" w:name="_Toc223111021"/>
      <w:bookmarkStart w:id="20" w:name="_Toc223585233"/>
      <w:bookmarkStart w:id="21" w:name="_Toc230784904"/>
      <w:r>
        <w:rPr>
          <w:color w:val="auto"/>
          <w:sz w:val="32"/>
        </w:rPr>
        <w:lastRenderedPageBreak/>
        <w:t>Перечень таблиц</w:t>
      </w:r>
      <w:bookmarkEnd w:id="16"/>
      <w:bookmarkEnd w:id="17"/>
      <w:bookmarkEnd w:id="18"/>
      <w:bookmarkEnd w:id="19"/>
      <w:bookmarkEnd w:id="20"/>
      <w:bookmarkEnd w:id="21"/>
    </w:p>
    <w:p w14:paraId="1E125C37" w14:textId="6CC4D2B2" w:rsidR="008F0391" w:rsidRDefault="00D80A02">
      <w:pPr>
        <w:pStyle w:val="TableofFigures"/>
        <w:tabs>
          <w:tab w:val="left" w:pos="2381"/>
          <w:tab w:val="right" w:leader="dot" w:pos="9062"/>
        </w:tabs>
        <w:rPr>
          <w:rFonts w:asciiTheme="minorHAnsi" w:eastAsiaTheme="minorEastAsia" w:hAnsiTheme="minorHAnsi" w:cstheme="minorBidi"/>
          <w:noProof/>
          <w:color w:val="auto"/>
          <w:kern w:val="2"/>
          <w:sz w:val="24"/>
          <w:szCs w:val="24"/>
          <w:lang w:val="en-US"/>
          <w14:ligatures w14:val="standardContextual"/>
        </w:rPr>
      </w:pPr>
      <w:r w:rsidRPr="66DE4C64">
        <w:rPr>
          <w:rStyle w:val="Hyperlink"/>
          <w:b/>
          <w:color w:val="auto"/>
          <w:u w:val="none"/>
        </w:rPr>
        <w:fldChar w:fldCharType="begin"/>
      </w:r>
      <w:r w:rsidRPr="66DE4C64">
        <w:rPr>
          <w:rStyle w:val="Hyperlink"/>
          <w:b/>
          <w:color w:val="auto"/>
          <w:u w:val="none"/>
        </w:rPr>
        <w:instrText xml:space="preserve"> TOC \h \z \c "Table" </w:instrText>
      </w:r>
      <w:r w:rsidRPr="66DE4C64">
        <w:rPr>
          <w:rStyle w:val="Hyperlink"/>
          <w:b/>
          <w:color w:val="auto"/>
          <w:u w:val="none"/>
        </w:rPr>
        <w:fldChar w:fldCharType="separate"/>
      </w:r>
      <w:hyperlink w:anchor="_Toc230784942" w:history="1">
        <w:r w:rsidR="008F0391" w:rsidRPr="00F6694E">
          <w:rPr>
            <w:rStyle w:val="Hyperlink"/>
            <w:noProof/>
          </w:rPr>
          <w:t>Таблица 1.</w:t>
        </w:r>
        <w:r w:rsidR="008F0391">
          <w:rPr>
            <w:rFonts w:asciiTheme="minorHAnsi" w:eastAsiaTheme="minorEastAsia" w:hAnsiTheme="minorHAnsi" w:cstheme="minorBidi"/>
            <w:noProof/>
            <w:color w:val="auto"/>
            <w:kern w:val="2"/>
            <w:sz w:val="24"/>
            <w:szCs w:val="24"/>
            <w:lang w:val="en-US"/>
            <w14:ligatures w14:val="standardContextual"/>
          </w:rPr>
          <w:tab/>
        </w:r>
        <w:r w:rsidR="008F0391" w:rsidRPr="00F6694E">
          <w:rPr>
            <w:rStyle w:val="Hyperlink"/>
            <w:noProof/>
          </w:rPr>
          <w:t>Финансовые коэффициенты ВОИС</w:t>
        </w:r>
        <w:r w:rsidR="008F0391">
          <w:rPr>
            <w:noProof/>
            <w:webHidden/>
          </w:rPr>
          <w:tab/>
        </w:r>
        <w:r w:rsidR="008F0391">
          <w:rPr>
            <w:noProof/>
            <w:webHidden/>
          </w:rPr>
          <w:fldChar w:fldCharType="begin"/>
        </w:r>
        <w:r w:rsidR="008F0391">
          <w:rPr>
            <w:noProof/>
            <w:webHidden/>
          </w:rPr>
          <w:instrText xml:space="preserve"> PAGEREF _Toc230784942 \h </w:instrText>
        </w:r>
        <w:r w:rsidR="008F0391">
          <w:rPr>
            <w:noProof/>
            <w:webHidden/>
          </w:rPr>
        </w:r>
        <w:r w:rsidR="008F0391">
          <w:rPr>
            <w:noProof/>
            <w:webHidden/>
          </w:rPr>
          <w:fldChar w:fldCharType="separate"/>
        </w:r>
        <w:r w:rsidR="00B670CF">
          <w:rPr>
            <w:noProof/>
            <w:webHidden/>
          </w:rPr>
          <w:t>16</w:t>
        </w:r>
        <w:r w:rsidR="008F0391">
          <w:rPr>
            <w:noProof/>
            <w:webHidden/>
          </w:rPr>
          <w:fldChar w:fldCharType="end"/>
        </w:r>
      </w:hyperlink>
    </w:p>
    <w:p w14:paraId="41686493" w14:textId="674F1181" w:rsidR="008F0391" w:rsidRDefault="008F0391" w:rsidP="00F64710">
      <w:pPr>
        <w:pStyle w:val="TableofFigures"/>
        <w:tabs>
          <w:tab w:val="left" w:pos="2381"/>
          <w:tab w:val="right" w:leader="dot" w:pos="9062"/>
        </w:tabs>
        <w:ind w:left="1134" w:firstLine="0"/>
        <w:rPr>
          <w:rFonts w:asciiTheme="minorHAnsi" w:eastAsiaTheme="minorEastAsia" w:hAnsiTheme="minorHAnsi" w:cstheme="minorBidi"/>
          <w:noProof/>
          <w:color w:val="auto"/>
          <w:kern w:val="2"/>
          <w:sz w:val="24"/>
          <w:szCs w:val="24"/>
          <w:lang w:val="en-US"/>
          <w14:ligatures w14:val="standardContextual"/>
        </w:rPr>
      </w:pPr>
      <w:hyperlink w:anchor="_Toc230784943" w:history="1">
        <w:r w:rsidRPr="00F6694E">
          <w:rPr>
            <w:rStyle w:val="Hyperlink"/>
            <w:noProof/>
          </w:rPr>
          <w:t xml:space="preserve">Таблица 2. </w:t>
        </w:r>
        <w:r w:rsidR="00F64710">
          <w:rPr>
            <w:rStyle w:val="Hyperlink"/>
            <w:noProof/>
          </w:rPr>
          <w:tab/>
        </w:r>
        <w:r w:rsidRPr="00F6694E">
          <w:rPr>
            <w:rStyle w:val="Hyperlink"/>
            <w:noProof/>
          </w:rPr>
          <w:t>Сводная информация о ходе выполнения рекомендаций Внешнего аудитора за предыдущие годы</w:t>
        </w:r>
        <w:r>
          <w:rPr>
            <w:noProof/>
            <w:webHidden/>
          </w:rPr>
          <w:tab/>
        </w:r>
        <w:r>
          <w:rPr>
            <w:noProof/>
            <w:webHidden/>
          </w:rPr>
          <w:fldChar w:fldCharType="begin"/>
        </w:r>
        <w:r>
          <w:rPr>
            <w:noProof/>
            <w:webHidden/>
          </w:rPr>
          <w:instrText xml:space="preserve"> PAGEREF _Toc230784943 \h </w:instrText>
        </w:r>
        <w:r>
          <w:rPr>
            <w:noProof/>
            <w:webHidden/>
          </w:rPr>
        </w:r>
        <w:r>
          <w:rPr>
            <w:noProof/>
            <w:webHidden/>
          </w:rPr>
          <w:fldChar w:fldCharType="separate"/>
        </w:r>
        <w:r w:rsidR="00B670CF">
          <w:rPr>
            <w:noProof/>
            <w:webHidden/>
          </w:rPr>
          <w:t>17</w:t>
        </w:r>
        <w:r>
          <w:rPr>
            <w:noProof/>
            <w:webHidden/>
          </w:rPr>
          <w:fldChar w:fldCharType="end"/>
        </w:r>
      </w:hyperlink>
    </w:p>
    <w:p w14:paraId="5CE736E3" w14:textId="6A5E1B64" w:rsidR="008F0391" w:rsidRDefault="008F0391">
      <w:pPr>
        <w:pStyle w:val="TableofFigures"/>
        <w:tabs>
          <w:tab w:val="left" w:pos="2381"/>
          <w:tab w:val="right" w:leader="dot" w:pos="9062"/>
        </w:tabs>
        <w:rPr>
          <w:rFonts w:asciiTheme="minorHAnsi" w:eastAsiaTheme="minorEastAsia" w:hAnsiTheme="minorHAnsi" w:cstheme="minorBidi"/>
          <w:noProof/>
          <w:color w:val="auto"/>
          <w:kern w:val="2"/>
          <w:sz w:val="24"/>
          <w:szCs w:val="24"/>
          <w:lang w:val="en-US"/>
          <w14:ligatures w14:val="standardContextual"/>
        </w:rPr>
      </w:pPr>
      <w:hyperlink w:anchor="_Toc230784944" w:history="1">
        <w:r w:rsidRPr="00F6694E">
          <w:rPr>
            <w:rStyle w:val="Hyperlink"/>
            <w:noProof/>
          </w:rPr>
          <w:t>Таблица 3.</w:t>
        </w:r>
        <w:r>
          <w:rPr>
            <w:rFonts w:asciiTheme="minorHAnsi" w:eastAsiaTheme="minorEastAsia" w:hAnsiTheme="minorHAnsi" w:cstheme="minorBidi"/>
            <w:noProof/>
            <w:color w:val="auto"/>
            <w:kern w:val="2"/>
            <w:sz w:val="24"/>
            <w:szCs w:val="24"/>
            <w:lang w:val="en-US"/>
            <w14:ligatures w14:val="standardContextual"/>
          </w:rPr>
          <w:tab/>
        </w:r>
        <w:r w:rsidRPr="00F6694E">
          <w:rPr>
            <w:rStyle w:val="Hyperlink"/>
            <w:noProof/>
          </w:rPr>
          <w:t>Фонды ведомств ИС с нечастыми обновлениями</w:t>
        </w:r>
        <w:r>
          <w:rPr>
            <w:noProof/>
            <w:webHidden/>
          </w:rPr>
          <w:tab/>
        </w:r>
        <w:r>
          <w:rPr>
            <w:noProof/>
            <w:webHidden/>
          </w:rPr>
          <w:fldChar w:fldCharType="begin"/>
        </w:r>
        <w:r>
          <w:rPr>
            <w:noProof/>
            <w:webHidden/>
          </w:rPr>
          <w:instrText xml:space="preserve"> PAGEREF _Toc230784944 \h </w:instrText>
        </w:r>
        <w:r>
          <w:rPr>
            <w:noProof/>
            <w:webHidden/>
          </w:rPr>
        </w:r>
        <w:r>
          <w:rPr>
            <w:noProof/>
            <w:webHidden/>
          </w:rPr>
          <w:fldChar w:fldCharType="separate"/>
        </w:r>
        <w:r w:rsidR="00B670CF">
          <w:rPr>
            <w:noProof/>
            <w:webHidden/>
          </w:rPr>
          <w:t>36</w:t>
        </w:r>
        <w:r>
          <w:rPr>
            <w:noProof/>
            <w:webHidden/>
          </w:rPr>
          <w:fldChar w:fldCharType="end"/>
        </w:r>
      </w:hyperlink>
    </w:p>
    <w:p w14:paraId="2D319A5A" w14:textId="5711F774" w:rsidR="008F0391" w:rsidRDefault="008F0391" w:rsidP="00F64710">
      <w:pPr>
        <w:pStyle w:val="TableofFigures"/>
        <w:tabs>
          <w:tab w:val="left" w:pos="2381"/>
          <w:tab w:val="right" w:leader="dot" w:pos="9062"/>
        </w:tabs>
        <w:ind w:left="1134" w:firstLine="0"/>
        <w:rPr>
          <w:rFonts w:asciiTheme="minorHAnsi" w:eastAsiaTheme="minorEastAsia" w:hAnsiTheme="minorHAnsi" w:cstheme="minorBidi"/>
          <w:noProof/>
          <w:color w:val="auto"/>
          <w:kern w:val="2"/>
          <w:sz w:val="24"/>
          <w:szCs w:val="24"/>
          <w:lang w:val="en-US"/>
          <w14:ligatures w14:val="standardContextual"/>
        </w:rPr>
      </w:pPr>
      <w:hyperlink w:anchor="_Toc230784945" w:history="1">
        <w:r w:rsidRPr="00F6694E">
          <w:rPr>
            <w:rStyle w:val="Hyperlink"/>
            <w:noProof/>
          </w:rPr>
          <w:t>Таблица 4.</w:t>
        </w:r>
        <w:r w:rsidR="00F64710">
          <w:rPr>
            <w:rStyle w:val="Hyperlink"/>
            <w:noProof/>
          </w:rPr>
          <w:tab/>
        </w:r>
        <w:r w:rsidRPr="00F6694E">
          <w:rPr>
            <w:rStyle w:val="Hyperlink"/>
            <w:noProof/>
          </w:rPr>
          <w:t xml:space="preserve">Сравнение охвата ведомств АСЕАН и глобальных </w:t>
        </w:r>
        <w:r w:rsidR="00B670CF">
          <w:rPr>
            <w:rStyle w:val="Hyperlink"/>
            <w:noProof/>
          </w:rPr>
          <w:br/>
        </w:r>
        <w:r w:rsidRPr="00F6694E">
          <w:rPr>
            <w:rStyle w:val="Hyperlink"/>
            <w:noProof/>
          </w:rPr>
          <w:t>баз данных ВОИС</w:t>
        </w:r>
        <w:r w:rsidR="00B670CF">
          <w:rPr>
            <w:rStyle w:val="Hyperlink"/>
            <w:noProof/>
          </w:rPr>
          <w:tab/>
        </w:r>
        <w:r>
          <w:rPr>
            <w:noProof/>
            <w:webHidden/>
          </w:rPr>
          <w:fldChar w:fldCharType="begin"/>
        </w:r>
        <w:r>
          <w:rPr>
            <w:noProof/>
            <w:webHidden/>
          </w:rPr>
          <w:instrText xml:space="preserve"> PAGEREF _Toc230784945 \h </w:instrText>
        </w:r>
        <w:r>
          <w:rPr>
            <w:noProof/>
            <w:webHidden/>
          </w:rPr>
        </w:r>
        <w:r>
          <w:rPr>
            <w:noProof/>
            <w:webHidden/>
          </w:rPr>
          <w:fldChar w:fldCharType="separate"/>
        </w:r>
        <w:r w:rsidR="00B670CF">
          <w:rPr>
            <w:noProof/>
            <w:webHidden/>
          </w:rPr>
          <w:t>37</w:t>
        </w:r>
        <w:r>
          <w:rPr>
            <w:noProof/>
            <w:webHidden/>
          </w:rPr>
          <w:fldChar w:fldCharType="end"/>
        </w:r>
      </w:hyperlink>
    </w:p>
    <w:p w14:paraId="407E14F8" w14:textId="62FB3A25" w:rsidR="008368CE" w:rsidRPr="0055338F" w:rsidRDefault="00D80A02" w:rsidP="00446AE8">
      <w:pPr>
        <w:pStyle w:val="TOC1"/>
        <w:sectPr w:rsidR="008368CE" w:rsidRPr="0055338F" w:rsidSect="009F428A">
          <w:pgSz w:w="11906" w:h="16838" w:code="9"/>
          <w:pgMar w:top="1440" w:right="1416" w:bottom="1304" w:left="1418" w:header="709" w:footer="709" w:gutter="0"/>
          <w:cols w:space="708"/>
          <w:titlePg/>
          <w:docGrid w:linePitch="360"/>
        </w:sectPr>
      </w:pPr>
      <w:r w:rsidRPr="66DE4C64">
        <w:rPr>
          <w:rStyle w:val="Hyperlink"/>
          <w:rFonts w:cstheme="minorBidi"/>
          <w:b w:val="0"/>
          <w:color w:val="auto"/>
          <w:u w:val="none"/>
        </w:rPr>
        <w:fldChar w:fldCharType="end"/>
      </w:r>
    </w:p>
    <w:p w14:paraId="068C98BE" w14:textId="1E8A1B52" w:rsidR="00F8272A" w:rsidRPr="00472843" w:rsidRDefault="00F8272A" w:rsidP="001004F3">
      <w:pPr>
        <w:pStyle w:val="Heading2"/>
        <w:spacing w:before="0" w:after="80"/>
        <w:ind w:left="567"/>
      </w:pPr>
      <w:bookmarkStart w:id="22" w:name="_Toc222223378"/>
      <w:bookmarkStart w:id="23" w:name="_Toc227826018"/>
      <w:bookmarkStart w:id="24" w:name="_Toc230784905"/>
      <w:r>
        <w:lastRenderedPageBreak/>
        <w:t>Отчет Внешнего аудитора о финансовых ведомостях: аудиторское заключение</w:t>
      </w:r>
      <w:bookmarkEnd w:id="22"/>
      <w:bookmarkEnd w:id="23"/>
      <w:bookmarkEnd w:id="24"/>
    </w:p>
    <w:p w14:paraId="6326B926" w14:textId="5BB79865" w:rsidR="004E40F3" w:rsidRPr="00310BF2" w:rsidRDefault="00450242" w:rsidP="00940856">
      <w:pPr>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rPr>
        <w:t>Генеральной Ассамблее Всемирной организации интеллектуальной собственности</w:t>
      </w:r>
    </w:p>
    <w:p w14:paraId="6F7DEEDB" w14:textId="42FF9C94" w:rsidR="001E1F22" w:rsidRPr="00310BF2" w:rsidRDefault="001E1F22" w:rsidP="00940856">
      <w:pPr>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t>Заключение</w:t>
      </w:r>
    </w:p>
    <w:p w14:paraId="6E868AE7" w14:textId="6A32CBD2" w:rsidR="00DF2BF7" w:rsidRPr="004C018C" w:rsidRDefault="00DF2BF7"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Мы провели аудиторскую проверку финансовых ведомостей Всемирной организации интеллектуальной собственности (далее</w:t>
      </w:r>
      <w:r w:rsidR="00E9016D">
        <w:rPr>
          <w:rFonts w:ascii="Times New Roman" w:hAnsi="Times New Roman"/>
        </w:rPr>
        <w:t> </w:t>
      </w:r>
      <w:r>
        <w:rPr>
          <w:rFonts w:ascii="Times New Roman" w:hAnsi="Times New Roman"/>
        </w:rPr>
        <w:t>– «ВОИС» или «Организация»), которые включают в себя Отчет о финансовом положении по состоянию на 31 декабря 2025 года, Отчет о финансовых результатах деятельности, Отчет об изменениях чистых активов, Отчет о движении денежных средств и Отчет о сопоставлении бюджетных и фактических сумм за год, закончившийся в указанную дату; и Примечания к финансовым ведомостям.</w:t>
      </w:r>
    </w:p>
    <w:p w14:paraId="0FEC124B" w14:textId="1CBB6AEF" w:rsidR="00DF2BF7" w:rsidRDefault="00DF2BF7"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По нашему мнению, прилагаемые финансовые ведомости отражают объективно во всех существенных отношениях финансовое положение Организации на 31 декабря 2025 года, а также финансовые результаты ее деятельности и движение ее денежных средств за год, закончившийся в указанную дату, в соответствии с требованиями Международных стандартов учета в государственном секторе (МСУГС).</w:t>
      </w:r>
    </w:p>
    <w:p w14:paraId="05851071" w14:textId="76699715" w:rsidR="00F10873" w:rsidRPr="00F10873" w:rsidRDefault="0020043A" w:rsidP="00940856">
      <w:pPr>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t>Заключение о соблюдении установленных требований</w:t>
      </w:r>
    </w:p>
    <w:p w14:paraId="61FEDD50" w14:textId="7524810D" w:rsidR="003A7F76" w:rsidRPr="00F10873" w:rsidRDefault="00F10873"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Мы считаем, что доходы и расходы использовались во всех существенных отношениях для достижения целей, определенных Генеральной Ассамблеей Организации, а финансовые операции соответствуют Финансовым положениям и правилам Организации и решениям директивных органов.</w:t>
      </w:r>
    </w:p>
    <w:p w14:paraId="71840424" w14:textId="75FDA535" w:rsidR="00B97E1C" w:rsidRPr="00310BF2" w:rsidRDefault="00B97E1C" w:rsidP="00940856">
      <w:pPr>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t xml:space="preserve">Основания заключения </w:t>
      </w:r>
    </w:p>
    <w:p w14:paraId="170457CA" w14:textId="77547AF8" w:rsidR="007F5887" w:rsidRPr="00310BF2" w:rsidRDefault="00B97E1C"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 xml:space="preserve">Мы провели аудит в соответствии с Международными стандартами аудита (МСА). Наша ответственность, предусмотренная этими стандартами, более подробно изложена в разделе отчета «Ответственность аудитора при проведении аудиторской проверки финансовых ведомостей». </w:t>
      </w:r>
    </w:p>
    <w:p w14:paraId="4202E412" w14:textId="2CA0A9BA" w:rsidR="00956395" w:rsidRPr="00310BF2" w:rsidRDefault="00B97E1C"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 xml:space="preserve">Мы независимы от Организации в соответствии с этическими требованиями, относящимися к нашему аудиту финансовых ведомостей, и мы выполнили свои прочие обязанности этического характера в соответствии с этими требованиями. </w:t>
      </w:r>
    </w:p>
    <w:p w14:paraId="21D1E6D7" w14:textId="76BF6758" w:rsidR="00AA4A91" w:rsidRDefault="00AA4A91" w:rsidP="00940856">
      <w:pPr>
        <w:autoSpaceDE w:val="0"/>
        <w:autoSpaceDN w:val="0"/>
        <w:adjustRightInd w:val="0"/>
        <w:spacing w:after="80" w:line="280" w:lineRule="exact"/>
        <w:jc w:val="both"/>
        <w:rPr>
          <w:rFonts w:ascii="Times New Roman" w:hAnsi="Times New Roman" w:cs="Times New Roman"/>
          <w:b/>
          <w:bCs/>
          <w:color w:val="000000"/>
        </w:rPr>
      </w:pPr>
      <w:bookmarkStart w:id="25" w:name="_Hlk192619538"/>
      <w:r>
        <w:rPr>
          <w:rFonts w:ascii="Times New Roman" w:hAnsi="Times New Roman"/>
        </w:rPr>
        <w:t>Мы полагаем, что полученные нами аудиторские доказательства служат достаточной и адекватной основой для нашего заключения</w:t>
      </w:r>
      <w:bookmarkEnd w:id="25"/>
      <w:r>
        <w:rPr>
          <w:rFonts w:ascii="Times New Roman" w:hAnsi="Times New Roman"/>
        </w:rPr>
        <w:t>.</w:t>
      </w:r>
    </w:p>
    <w:p w14:paraId="393F8032" w14:textId="3AC48FEA" w:rsidR="00F20C72" w:rsidRPr="00310BF2" w:rsidRDefault="00F20C72" w:rsidP="00940856">
      <w:pPr>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t xml:space="preserve">Другая информация </w:t>
      </w:r>
    </w:p>
    <w:p w14:paraId="5F77FDF5" w14:textId="6D0443A6" w:rsidR="006950B1" w:rsidRPr="006950B1" w:rsidRDefault="0009558F" w:rsidP="00940856">
      <w:pPr>
        <w:autoSpaceDE w:val="0"/>
        <w:autoSpaceDN w:val="0"/>
        <w:adjustRightInd w:val="0"/>
        <w:spacing w:after="80" w:line="280" w:lineRule="exact"/>
        <w:jc w:val="both"/>
        <w:rPr>
          <w:rFonts w:ascii="Times New Roman" w:eastAsia="Calibri" w:hAnsi="Times New Roman" w:cs="Times New Roman"/>
        </w:rPr>
      </w:pPr>
      <w:r>
        <w:rPr>
          <w:rFonts w:ascii="Times New Roman" w:hAnsi="Times New Roman"/>
        </w:rPr>
        <w:t xml:space="preserve">Руководство несет ответственность за достоверность другой информации, которая включает представленное далее заявление Генерального директора, но не включает финансовые ведомости и наше аудиторское заключение в их отношении. </w:t>
      </w:r>
    </w:p>
    <w:p w14:paraId="19569A37" w14:textId="79268DFF" w:rsidR="006950B1" w:rsidRPr="006950B1" w:rsidRDefault="006950B1" w:rsidP="00940856">
      <w:pPr>
        <w:autoSpaceDE w:val="0"/>
        <w:autoSpaceDN w:val="0"/>
        <w:adjustRightInd w:val="0"/>
        <w:spacing w:after="80" w:line="280" w:lineRule="exact"/>
        <w:jc w:val="both"/>
        <w:rPr>
          <w:rFonts w:ascii="Times New Roman" w:eastAsia="Calibri" w:hAnsi="Times New Roman" w:cs="Times New Roman"/>
        </w:rPr>
      </w:pPr>
      <w:r>
        <w:rPr>
          <w:rFonts w:ascii="Times New Roman" w:hAnsi="Times New Roman"/>
        </w:rPr>
        <w:t xml:space="preserve">Наше заключение в отношении финансовых ведомостей не касается другой информации, и, если иное явным образом не указано в нашем отчете, мы не даем никакого подтверждения ее достоверности. </w:t>
      </w:r>
    </w:p>
    <w:p w14:paraId="7A63BDDF" w14:textId="24302134" w:rsidR="006950B1" w:rsidRDefault="006950B1"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Наша задача состоит в ознакомлении с другой информацией и выявлении существенных противоречий между этой информацией и финансовыми ведомостями или сведениями, полученными нами в ходе аудиторской проверки, а также наличия в ней иных искажений, представляющихся существенными. Если в результате выполненной нами работы мы приходим к выводу о том, что такая другая информация содержит существенные искажения, мы обязаны указать на это обстоятельство. Мы не можем ничего указать в этом отношении.</w:t>
      </w:r>
    </w:p>
    <w:p w14:paraId="7B2CD0DF" w14:textId="154A4913" w:rsidR="0069214B" w:rsidRPr="00310BF2" w:rsidRDefault="00A34989" w:rsidP="00BD170F">
      <w:pPr>
        <w:keepNext/>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lastRenderedPageBreak/>
        <w:t>Ответственность руководства и лиц, которым поручено управление Организацией, за подготовку финансовых ведомостей</w:t>
      </w:r>
    </w:p>
    <w:p w14:paraId="672351A5" w14:textId="3B27E82D" w:rsidR="000D66FF" w:rsidRPr="004C018C" w:rsidRDefault="000D66FF"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 xml:space="preserve">Руководство несет ответственность за подготовку финансовых ведомостей и объективное представление изложенных в них фактов в соответствии с требованиями МСУГС, а также за такую организацию внутреннего контроля, которая, по мнению руководства, необходима для подготовки финансовых ведомостей, не содержащих существенных искажений, будь то в результате мошеннических действий или ошибок. </w:t>
      </w:r>
    </w:p>
    <w:p w14:paraId="51001BC1" w14:textId="0CF40DFE" w:rsidR="000D66FF" w:rsidRPr="004C018C" w:rsidRDefault="000D66FF"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При подготовке финансовых ведомостей руководство отвечает за оценку способности Организации осуществлять свою деятельность на непрерывной основе, раскрывая в соответствующих случаях информацию, свидетельствующую о возможности осуществления деятельности на непрерывной основе, и за использование допущения об осуществлении деятельности на непрерывной основе в качестве основы ее финансового учета, исключая случаи, когда руководство либо намерено ликвидировать Организацию и прекратить ее деятельность, либо не имеет реалистичной альтернативы таким действиям.</w:t>
      </w:r>
    </w:p>
    <w:p w14:paraId="3C2A343D" w14:textId="61152534" w:rsidR="001D2FE8" w:rsidRDefault="00EC1985"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Задачи надзора за процессом подготовки финансовой отчетности Организации возлагаются на Генеральную Ассамблею как лиц, которым поручено управление Организацией.</w:t>
      </w:r>
    </w:p>
    <w:p w14:paraId="72217E73" w14:textId="6B94B403" w:rsidR="00691B0A" w:rsidRPr="00310BF2" w:rsidRDefault="00691B0A" w:rsidP="00940856">
      <w:pPr>
        <w:tabs>
          <w:tab w:val="left" w:pos="2110"/>
        </w:tabs>
        <w:autoSpaceDE w:val="0"/>
        <w:autoSpaceDN w:val="0"/>
        <w:adjustRightInd w:val="0"/>
        <w:spacing w:after="80" w:line="280" w:lineRule="exact"/>
        <w:jc w:val="both"/>
        <w:rPr>
          <w:rFonts w:ascii="Times New Roman" w:hAnsi="Times New Roman" w:cs="Times New Roman"/>
          <w:b/>
          <w:bCs/>
          <w:color w:val="000000"/>
        </w:rPr>
      </w:pPr>
      <w:r>
        <w:rPr>
          <w:rFonts w:ascii="Times New Roman" w:hAnsi="Times New Roman"/>
          <w:b/>
        </w:rPr>
        <w:t>Ответственность аудитора при проведении аудиторской проверки финансовых ведомостей</w:t>
      </w:r>
    </w:p>
    <w:p w14:paraId="4D1CBE0C" w14:textId="5BAFDDA3" w:rsidR="007761A5" w:rsidRDefault="00585E01"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 xml:space="preserve">Наши задачи состоят том, чтобы получить разумное подтверждение отсутствия в финансовых ведомостях в целом существенных искажений, обусловленных мошенническими действиями или ошибками, и подготовить отчет аудитора, содержащий наше заключение. Разумное подтверждение — это подтверждение высокого уровня, но оно не является гарантией того, что аудиторская проверка, выполненная в соответствии с МСА, позволит во всех случаях обнаружить существенные искажения данных при их наличии. </w:t>
      </w:r>
    </w:p>
    <w:p w14:paraId="3DCC1E0A" w14:textId="362A4682" w:rsidR="00585E01" w:rsidRPr="004C018C" w:rsidRDefault="00585E01"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Искажения могут быть связаны с мошенническими действиями или ошибками и считаются существенными, если есть разумные основания полагать, что они способны, по отдельности или в совокупности, повлиять на экономические решения пользователей данных финансовых ведомостей, принимаемые на их основе.</w:t>
      </w:r>
    </w:p>
    <w:p w14:paraId="5AA92D90" w14:textId="4DF88D4B" w:rsidR="00585E01" w:rsidRPr="004C018C" w:rsidRDefault="00585E01"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Более подробное описание нашей ответственности при проведении аудиторской проверки финансовых ведомостей включено в приложение к настоящему отчету аудитора. Это описание является частью отчета аудитора.</w:t>
      </w:r>
    </w:p>
    <w:p w14:paraId="2745D58A" w14:textId="02A01DF4" w:rsidR="00585E01" w:rsidRPr="004C018C" w:rsidRDefault="00585E01" w:rsidP="00940856">
      <w:pPr>
        <w:autoSpaceDE w:val="0"/>
        <w:autoSpaceDN w:val="0"/>
        <w:adjustRightInd w:val="0"/>
        <w:spacing w:after="80" w:line="280" w:lineRule="exact"/>
        <w:jc w:val="both"/>
        <w:rPr>
          <w:rFonts w:ascii="Times New Roman" w:hAnsi="Times New Roman" w:cs="Times New Roman"/>
        </w:rPr>
      </w:pPr>
      <w:r>
        <w:rPr>
          <w:rFonts w:ascii="Times New Roman" w:hAnsi="Times New Roman"/>
        </w:rPr>
        <w:t>Кроме того, мы обязаны собрать данные, позволяющие нам подтвердить с разумной достоверностью, что доходы и расходы, отраженные в финансовых ведомостях, использовались в целях, определенных Генеральной Ассамблеей, а финансовые операции осуществлялись в соответствии с регулирующими их Финансовыми положениями и правилами и решениям директивных органов.</w:t>
      </w:r>
    </w:p>
    <w:p w14:paraId="22B09AA7" w14:textId="48BF7447" w:rsidR="0086759A" w:rsidRDefault="00585E01"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Мы взаимодействуем с лицами, которым поручено управление Организацией, в том числе по таким вопросам, как планируемый объем и сроки проведения аудита, и обсуждаем с ними наиболее важные факты, установленные проверкой, включая любые существенные недостатки системы внутреннего контроля, выявленные в ходе нашей проверки.</w:t>
      </w:r>
    </w:p>
    <w:p w14:paraId="1D076F8D" w14:textId="772DEE02" w:rsidR="00691B0A" w:rsidRDefault="00691B0A" w:rsidP="00940856">
      <w:pPr>
        <w:tabs>
          <w:tab w:val="left" w:pos="2110"/>
        </w:tabs>
        <w:autoSpaceDE w:val="0"/>
        <w:autoSpaceDN w:val="0"/>
        <w:adjustRightInd w:val="0"/>
        <w:spacing w:after="80" w:line="280" w:lineRule="exact"/>
        <w:jc w:val="both"/>
        <w:rPr>
          <w:rFonts w:ascii="Times New Roman" w:hAnsi="Times New Roman" w:cs="Times New Roman"/>
          <w:b/>
          <w:bCs/>
        </w:rPr>
      </w:pPr>
      <w:r>
        <w:rPr>
          <w:rFonts w:ascii="Times New Roman" w:hAnsi="Times New Roman"/>
          <w:b/>
        </w:rPr>
        <w:t>Отчет о других законодательных и нормативных требованиях</w:t>
      </w:r>
    </w:p>
    <w:p w14:paraId="0DD66492" w14:textId="4E76373F" w:rsidR="002D7906" w:rsidRPr="00A36D2C" w:rsidRDefault="002D7906" w:rsidP="00940856">
      <w:pPr>
        <w:spacing w:after="80" w:line="280" w:lineRule="exact"/>
        <w:jc w:val="both"/>
        <w:rPr>
          <w:rFonts w:ascii="Times New Roman" w:hAnsi="Times New Roman" w:cs="Times New Roman"/>
        </w:rPr>
      </w:pPr>
      <w:r>
        <w:rPr>
          <w:rFonts w:ascii="Times New Roman" w:hAnsi="Times New Roman"/>
        </w:rPr>
        <w:t xml:space="preserve">Кроме того, по нашему мнению, операции Организации, которые стали нам известны или которые мы проверили в рамках нашего аудита, во всех существенных отношениях соответствовали Финансовым положениям и правилам Организации. </w:t>
      </w:r>
    </w:p>
    <w:p w14:paraId="3EDE9413" w14:textId="5BA58C7C" w:rsidR="00D872C4" w:rsidRDefault="00150A51" w:rsidP="00940856">
      <w:pPr>
        <w:autoSpaceDE w:val="0"/>
        <w:autoSpaceDN w:val="0"/>
        <w:adjustRightInd w:val="0"/>
        <w:spacing w:after="80" w:line="280" w:lineRule="exact"/>
        <w:jc w:val="both"/>
        <w:rPr>
          <w:rFonts w:ascii="Times New Roman" w:hAnsi="Times New Roman" w:cs="Times New Roman"/>
          <w:color w:val="000000"/>
        </w:rPr>
      </w:pPr>
      <w:r>
        <w:rPr>
          <w:rFonts w:ascii="Times New Roman" w:hAnsi="Times New Roman"/>
        </w:rPr>
        <w:t xml:space="preserve">В соответствии с положением 6.11 Финансовых положений и правил Организации, мы также подготовили подробный отчет о проведенной нами аудиторской проверке Организации. </w:t>
      </w:r>
    </w:p>
    <w:p w14:paraId="0C9F7C11" w14:textId="77777777" w:rsidR="00AE5017" w:rsidRDefault="00AE5017" w:rsidP="66DE4C64">
      <w:pPr>
        <w:autoSpaceDE w:val="0"/>
        <w:autoSpaceDN w:val="0"/>
        <w:adjustRightInd w:val="0"/>
        <w:ind w:left="3600"/>
        <w:jc w:val="center"/>
        <w:rPr>
          <w:rFonts w:ascii="Times New Roman" w:hAnsi="Times New Roman" w:cs="Times New Roman"/>
          <w:b/>
          <w:bCs/>
        </w:rPr>
      </w:pPr>
    </w:p>
    <w:p w14:paraId="44AA9767" w14:textId="77777777" w:rsidR="00940856" w:rsidRDefault="00940856" w:rsidP="66DE4C64">
      <w:pPr>
        <w:autoSpaceDE w:val="0"/>
        <w:autoSpaceDN w:val="0"/>
        <w:adjustRightInd w:val="0"/>
        <w:ind w:left="3600"/>
        <w:jc w:val="center"/>
        <w:rPr>
          <w:rFonts w:ascii="Times New Roman" w:hAnsi="Times New Roman" w:cs="Times New Roman"/>
          <w:b/>
          <w:bCs/>
        </w:rPr>
      </w:pPr>
    </w:p>
    <w:p w14:paraId="2A03BC25" w14:textId="77777777" w:rsidR="00940856" w:rsidRDefault="00940856" w:rsidP="66DE4C64">
      <w:pPr>
        <w:autoSpaceDE w:val="0"/>
        <w:autoSpaceDN w:val="0"/>
        <w:adjustRightInd w:val="0"/>
        <w:ind w:left="3600"/>
        <w:jc w:val="center"/>
        <w:rPr>
          <w:rFonts w:ascii="Times New Roman" w:hAnsi="Times New Roman" w:cs="Times New Roman"/>
          <w:b/>
          <w:bCs/>
        </w:rPr>
      </w:pPr>
    </w:p>
    <w:p w14:paraId="2AC1B3E5" w14:textId="77777777" w:rsidR="00940856" w:rsidRDefault="00940856" w:rsidP="66DE4C64">
      <w:pPr>
        <w:autoSpaceDE w:val="0"/>
        <w:autoSpaceDN w:val="0"/>
        <w:adjustRightInd w:val="0"/>
        <w:ind w:left="3600"/>
        <w:jc w:val="center"/>
        <w:rPr>
          <w:rFonts w:ascii="Times New Roman" w:hAnsi="Times New Roman" w:cs="Times New Roman"/>
          <w:b/>
          <w:bCs/>
        </w:rPr>
      </w:pPr>
    </w:p>
    <w:p w14:paraId="15C426FC" w14:textId="77777777" w:rsidR="00CD5D2A" w:rsidRDefault="00CD5D2A" w:rsidP="66DE4C64">
      <w:pPr>
        <w:autoSpaceDE w:val="0"/>
        <w:autoSpaceDN w:val="0"/>
        <w:adjustRightInd w:val="0"/>
        <w:ind w:left="3600"/>
        <w:jc w:val="center"/>
        <w:rPr>
          <w:rFonts w:ascii="Times New Roman" w:hAnsi="Times New Roman" w:cs="Times New Roman"/>
          <w:b/>
          <w:bCs/>
        </w:rPr>
      </w:pPr>
    </w:p>
    <w:p w14:paraId="5F2A1333" w14:textId="77777777" w:rsidR="00AE5017" w:rsidRDefault="00AE5017" w:rsidP="66DE4C64">
      <w:pPr>
        <w:autoSpaceDE w:val="0"/>
        <w:autoSpaceDN w:val="0"/>
        <w:adjustRightInd w:val="0"/>
        <w:ind w:left="3600"/>
        <w:jc w:val="center"/>
        <w:rPr>
          <w:rFonts w:ascii="Times New Roman" w:hAnsi="Times New Roman" w:cs="Times New Roman"/>
          <w:b/>
          <w:bCs/>
        </w:rPr>
      </w:pPr>
    </w:p>
    <w:p w14:paraId="1B577171" w14:textId="77777777" w:rsidR="00E838E2" w:rsidRDefault="00E838E2" w:rsidP="66DE4C64">
      <w:pPr>
        <w:autoSpaceDE w:val="0"/>
        <w:autoSpaceDN w:val="0"/>
        <w:adjustRightInd w:val="0"/>
        <w:ind w:left="3600"/>
        <w:jc w:val="center"/>
        <w:rPr>
          <w:rFonts w:ascii="Times New Roman" w:hAnsi="Times New Roman" w:cs="Times New Roman"/>
          <w:b/>
          <w:bCs/>
        </w:rPr>
      </w:pPr>
    </w:p>
    <w:p w14:paraId="747B3459" w14:textId="77777777" w:rsidR="00AE5017" w:rsidRDefault="00AE5017" w:rsidP="66DE4C64">
      <w:pPr>
        <w:autoSpaceDE w:val="0"/>
        <w:autoSpaceDN w:val="0"/>
        <w:adjustRightInd w:val="0"/>
        <w:ind w:left="3600"/>
        <w:jc w:val="center"/>
        <w:rPr>
          <w:rFonts w:ascii="Times New Roman" w:hAnsi="Times New Roman" w:cs="Times New Roman"/>
          <w:b/>
          <w:bCs/>
        </w:rPr>
      </w:pPr>
    </w:p>
    <w:p w14:paraId="34CBA130" w14:textId="77777777" w:rsidR="00FC5243" w:rsidRDefault="00FC5243" w:rsidP="66DE4C64">
      <w:pPr>
        <w:autoSpaceDE w:val="0"/>
        <w:autoSpaceDN w:val="0"/>
        <w:adjustRightInd w:val="0"/>
        <w:ind w:left="3600"/>
        <w:jc w:val="center"/>
        <w:rPr>
          <w:rFonts w:ascii="Times New Roman" w:hAnsi="Times New Roman" w:cs="Times New Roman"/>
          <w:b/>
          <w:bCs/>
        </w:rPr>
      </w:pPr>
    </w:p>
    <w:p w14:paraId="10B665E2" w14:textId="68CE4A42" w:rsidR="00451273" w:rsidRPr="00310BF2" w:rsidRDefault="00451273" w:rsidP="66DE4C64">
      <w:pPr>
        <w:autoSpaceDE w:val="0"/>
        <w:autoSpaceDN w:val="0"/>
        <w:adjustRightInd w:val="0"/>
        <w:ind w:left="3600"/>
        <w:jc w:val="center"/>
        <w:rPr>
          <w:rFonts w:ascii="Times New Roman" w:hAnsi="Times New Roman" w:cs="Times New Roman"/>
          <w:b/>
          <w:bCs/>
          <w:color w:val="000000"/>
        </w:rPr>
      </w:pPr>
      <w:r>
        <w:rPr>
          <w:rFonts w:ascii="Times New Roman" w:hAnsi="Times New Roman"/>
          <w:b/>
        </w:rPr>
        <w:t xml:space="preserve">Д-р Исма Ятун, сертифицированный государственный финансовый аудитор, сертифицированный судебный аудитор </w:t>
      </w:r>
    </w:p>
    <w:p w14:paraId="406F376A" w14:textId="77777777" w:rsidR="00451273" w:rsidRPr="00310BF2" w:rsidRDefault="00451273" w:rsidP="66DE4C64">
      <w:pPr>
        <w:autoSpaceDE w:val="0"/>
        <w:autoSpaceDN w:val="0"/>
        <w:adjustRightInd w:val="0"/>
        <w:jc w:val="right"/>
        <w:rPr>
          <w:rFonts w:ascii="Times New Roman" w:hAnsi="Times New Roman" w:cs="Times New Roman"/>
          <w:b/>
          <w:bCs/>
          <w:color w:val="000000"/>
        </w:rPr>
      </w:pPr>
      <w:r>
        <w:rPr>
          <w:rFonts w:ascii="Times New Roman" w:hAnsi="Times New Roman"/>
          <w:b/>
        </w:rPr>
        <w:t>Председатель Ревизионного совета Республики Индонезия</w:t>
      </w:r>
    </w:p>
    <w:p w14:paraId="05ADACB6" w14:textId="51D38160" w:rsidR="00451273" w:rsidRPr="00322027" w:rsidRDefault="00D82CEC" w:rsidP="66DE4C64">
      <w:pPr>
        <w:ind w:left="5040"/>
        <w:rPr>
          <w:rFonts w:ascii="Times New Roman" w:hAnsi="Times New Roman" w:cs="Times New Roman"/>
          <w:b/>
          <w:bCs/>
          <w:color w:val="000000"/>
        </w:rPr>
      </w:pPr>
      <w:r>
        <w:rPr>
          <w:rFonts w:ascii="Times New Roman" w:hAnsi="Times New Roman"/>
          <w:b/>
        </w:rPr>
        <w:t xml:space="preserve">        Внешний аудитор</w:t>
      </w:r>
    </w:p>
    <w:p w14:paraId="17EE8934" w14:textId="77777777" w:rsidR="00E645A3" w:rsidRPr="00322027" w:rsidRDefault="00E645A3" w:rsidP="66DE4C64">
      <w:pPr>
        <w:ind w:left="2880" w:firstLine="720"/>
        <w:jc w:val="center"/>
        <w:rPr>
          <w:rFonts w:ascii="Times New Roman" w:hAnsi="Times New Roman" w:cs="Times New Roman"/>
          <w:b/>
          <w:bCs/>
          <w:lang w:val="pt-BR"/>
        </w:rPr>
      </w:pPr>
    </w:p>
    <w:p w14:paraId="68EE7A47" w14:textId="42036961" w:rsidR="00451273" w:rsidRPr="00322027" w:rsidRDefault="00451273" w:rsidP="66DE4C64">
      <w:pPr>
        <w:ind w:left="2880" w:firstLine="720"/>
        <w:jc w:val="center"/>
        <w:rPr>
          <w:rFonts w:ascii="Times New Roman" w:hAnsi="Times New Roman" w:cs="Times New Roman"/>
          <w:b/>
          <w:bCs/>
        </w:rPr>
      </w:pPr>
      <w:r>
        <w:rPr>
          <w:rFonts w:ascii="Times New Roman" w:hAnsi="Times New Roman"/>
          <w:b/>
        </w:rPr>
        <w:t>Джакарта, Индонезия</w:t>
      </w:r>
    </w:p>
    <w:p w14:paraId="7CEBC75F" w14:textId="25D2176A" w:rsidR="00BC1DCA" w:rsidRPr="00322027" w:rsidRDefault="00BC1DCA" w:rsidP="66DE4C64">
      <w:pPr>
        <w:ind w:left="2880" w:firstLine="720"/>
        <w:jc w:val="center"/>
        <w:rPr>
          <w:rFonts w:ascii="Times New Roman" w:hAnsi="Times New Roman" w:cs="Times New Roman"/>
          <w:b/>
          <w:bCs/>
          <w:color w:val="000000"/>
        </w:rPr>
      </w:pPr>
      <w:r>
        <w:rPr>
          <w:rFonts w:ascii="Times New Roman" w:hAnsi="Times New Roman"/>
          <w:b/>
        </w:rPr>
        <w:t>11 мая 2026 года</w:t>
      </w:r>
    </w:p>
    <w:p w14:paraId="5C400F59" w14:textId="77777777" w:rsidR="00940856" w:rsidRPr="00322027" w:rsidRDefault="00940856">
      <w:pPr>
        <w:rPr>
          <w:rFonts w:ascii="Times New Roman" w:hAnsi="Times New Roman" w:cs="Times New Roman"/>
          <w:b/>
          <w:bCs/>
        </w:rPr>
      </w:pPr>
      <w:r>
        <w:br w:type="page"/>
      </w:r>
    </w:p>
    <w:p w14:paraId="1F37AC2A" w14:textId="12943EF6" w:rsidR="009D5EA1" w:rsidRPr="00310BF2" w:rsidRDefault="00662CC7" w:rsidP="00662CC7">
      <w:pPr>
        <w:rPr>
          <w:rFonts w:ascii="Times New Roman" w:hAnsi="Times New Roman" w:cs="Times New Roman"/>
          <w:b/>
          <w:bCs/>
        </w:rPr>
      </w:pPr>
      <w:r>
        <w:rPr>
          <w:rFonts w:ascii="Times New Roman" w:hAnsi="Times New Roman"/>
          <w:b/>
        </w:rPr>
        <w:lastRenderedPageBreak/>
        <w:t>Приложение. Описание ответственности аудитора при проведении аудиторской проверки финансовых ведомостей</w:t>
      </w:r>
    </w:p>
    <w:p w14:paraId="0F16DCBA" w14:textId="31DC24DD" w:rsidR="009D5EA1" w:rsidRPr="00310BF2" w:rsidRDefault="5E506E3D" w:rsidP="00403602">
      <w:pPr>
        <w:autoSpaceDE w:val="0"/>
        <w:autoSpaceDN w:val="0"/>
        <w:adjustRightInd w:val="0"/>
        <w:spacing w:before="120" w:after="120" w:line="280" w:lineRule="exact"/>
        <w:jc w:val="both"/>
        <w:rPr>
          <w:rFonts w:ascii="Times New Roman" w:hAnsi="Times New Roman" w:cs="Times New Roman"/>
          <w:color w:val="000000"/>
        </w:rPr>
      </w:pPr>
      <w:r>
        <w:rPr>
          <w:rFonts w:ascii="Times New Roman" w:hAnsi="Times New Roman"/>
        </w:rPr>
        <w:t>В рамках аудиторской проверки в соответствии с МСА мы выносим профессиональные суждения и руководствуемся принципом «профессионального недоверия» на протяжении всего периода ее проведения. Мы также:</w:t>
      </w:r>
    </w:p>
    <w:p w14:paraId="3FB90E0B" w14:textId="18C5761B" w:rsidR="0060357E" w:rsidRPr="00E63B68" w:rsidRDefault="0060357E" w:rsidP="00403602">
      <w:pPr>
        <w:pStyle w:val="ListParagraph"/>
        <w:numPr>
          <w:ilvl w:val="0"/>
          <w:numId w:val="4"/>
        </w:numPr>
        <w:autoSpaceDE w:val="0"/>
        <w:autoSpaceDN w:val="0"/>
        <w:adjustRightInd w:val="0"/>
        <w:spacing w:before="120" w:after="120" w:line="280" w:lineRule="exact"/>
        <w:ind w:left="360"/>
        <w:contextualSpacing w:val="0"/>
        <w:jc w:val="both"/>
        <w:rPr>
          <w:rFonts w:ascii="Times New Roman" w:hAnsi="Times New Roman" w:cs="Times New Roman"/>
          <w:color w:val="000000"/>
        </w:rPr>
      </w:pPr>
      <w:r>
        <w:rPr>
          <w:rFonts w:ascii="Times New Roman" w:hAnsi="Times New Roman"/>
        </w:rPr>
        <w:t>выявляем и оцениваем риски наличия в финансовых ведомостях существенных искажений, будь то в результате мошеннических действий или ошибок, планируем и осуществляем аудиторские процедуры, способные выявить такие риски, а также собираем аудиторские доказательства, составляющие достаточное и надлежащее основание для нашего заключения. Риск необнаружения существенных искажений, связанных с мошенническими действиями, серьезнее риска необнаружения существенных искажений, являющихся результатом ошибок, поскольку мошеннические действия могут быть следствием сговора, фальсификации, намеренного сокрытия информации, искажения фактов или обхода мер внутреннего контроля;</w:t>
      </w:r>
    </w:p>
    <w:p w14:paraId="395C99CF" w14:textId="3E48FA6F" w:rsidR="0060357E" w:rsidRPr="00E63B68" w:rsidRDefault="0060357E" w:rsidP="00403602">
      <w:pPr>
        <w:pStyle w:val="ListParagraph"/>
        <w:numPr>
          <w:ilvl w:val="0"/>
          <w:numId w:val="4"/>
        </w:numPr>
        <w:autoSpaceDE w:val="0"/>
        <w:autoSpaceDN w:val="0"/>
        <w:adjustRightInd w:val="0"/>
        <w:spacing w:before="120" w:after="120" w:line="280" w:lineRule="exact"/>
        <w:ind w:left="360"/>
        <w:contextualSpacing w:val="0"/>
        <w:jc w:val="both"/>
        <w:rPr>
          <w:rFonts w:ascii="Times New Roman" w:hAnsi="Times New Roman" w:cs="Times New Roman"/>
          <w:color w:val="000000"/>
        </w:rPr>
      </w:pPr>
      <w:r>
        <w:rPr>
          <w:rFonts w:ascii="Times New Roman" w:hAnsi="Times New Roman"/>
        </w:rPr>
        <w:t>составляем свое представление об аспектах системы внутреннего контроля, имеющих значение для аудиторской проверки, чтобы разработать аудиторские процедуры, наиболее адекватные в данных обстоятельствах, но не для того, чтобы дать заключение об эффективности системы внутреннего контроля Организации;</w:t>
      </w:r>
    </w:p>
    <w:p w14:paraId="30855D90" w14:textId="23A7CC14" w:rsidR="0060357E" w:rsidRPr="00E63B68" w:rsidRDefault="0060357E" w:rsidP="00403602">
      <w:pPr>
        <w:pStyle w:val="ListParagraph"/>
        <w:numPr>
          <w:ilvl w:val="0"/>
          <w:numId w:val="4"/>
        </w:numPr>
        <w:autoSpaceDE w:val="0"/>
        <w:autoSpaceDN w:val="0"/>
        <w:adjustRightInd w:val="0"/>
        <w:spacing w:before="120" w:after="120" w:line="280" w:lineRule="exact"/>
        <w:ind w:left="360"/>
        <w:contextualSpacing w:val="0"/>
        <w:jc w:val="both"/>
        <w:rPr>
          <w:rFonts w:ascii="Times New Roman" w:hAnsi="Times New Roman" w:cs="Times New Roman"/>
          <w:color w:val="000000"/>
        </w:rPr>
      </w:pPr>
      <w:r>
        <w:rPr>
          <w:rFonts w:ascii="Times New Roman" w:hAnsi="Times New Roman"/>
        </w:rPr>
        <w:t>оцениваем адекватность применяемой учетной политики и обоснованность учетных оценок и соответствующей информации, раскрываемой руководством;</w:t>
      </w:r>
    </w:p>
    <w:p w14:paraId="07631C1B" w14:textId="5FAD4436" w:rsidR="0060357E" w:rsidRPr="00E63B68" w:rsidRDefault="0051487E" w:rsidP="00403602">
      <w:pPr>
        <w:pStyle w:val="ListParagraph"/>
        <w:numPr>
          <w:ilvl w:val="0"/>
          <w:numId w:val="4"/>
        </w:numPr>
        <w:autoSpaceDE w:val="0"/>
        <w:autoSpaceDN w:val="0"/>
        <w:adjustRightInd w:val="0"/>
        <w:spacing w:before="120" w:after="120" w:line="280" w:lineRule="exact"/>
        <w:ind w:left="360"/>
        <w:contextualSpacing w:val="0"/>
        <w:jc w:val="both"/>
        <w:rPr>
          <w:rFonts w:ascii="Times New Roman" w:hAnsi="Times New Roman" w:cs="Times New Roman"/>
          <w:color w:val="000000"/>
        </w:rPr>
      </w:pPr>
      <w:r>
        <w:rPr>
          <w:rFonts w:ascii="Times New Roman" w:hAnsi="Times New Roman"/>
        </w:rPr>
        <w:t>выносим заключение о правомерности применения руководством базиса учета, основанного на допущении о непрерывности деятельности Организации, а также, исходя из полученных аудиторских доказательств, выносим суждение о наличии существенной неопределенности в отношении каких-либо событий или условий, которая может породить серьезные сомнения в способности Организации осуществлять свою деятельность на постоянной основе. Если мы приходим к выводу о наличии существенной неопределенности, то мы обязаны указать в отчете аудитора на соответствующую информацию, раскрываемую в финансовых ведомостях, или, если такое раскрытие является недостаточным, изменить свое заключение. Наши выводы основаны на аудиторских доказательствах, полученных до даты выпуска нашего отчета аудитора. Однако будущие события или условия могут привести к тому, что Организация перестанет осуществлять свою деятельность на постоянной основе; и</w:t>
      </w:r>
    </w:p>
    <w:p w14:paraId="073B30FF" w14:textId="146397B7" w:rsidR="009D5EA1" w:rsidRPr="00310BF2" w:rsidRDefault="00985313" w:rsidP="00403602">
      <w:pPr>
        <w:pStyle w:val="ListParagraph"/>
        <w:numPr>
          <w:ilvl w:val="0"/>
          <w:numId w:val="4"/>
        </w:numPr>
        <w:autoSpaceDE w:val="0"/>
        <w:autoSpaceDN w:val="0"/>
        <w:adjustRightInd w:val="0"/>
        <w:spacing w:before="120" w:after="120" w:line="280" w:lineRule="exact"/>
        <w:ind w:left="360"/>
        <w:contextualSpacing w:val="0"/>
        <w:jc w:val="both"/>
        <w:rPr>
          <w:rFonts w:ascii="Times New Roman" w:hAnsi="Times New Roman" w:cs="Times New Roman"/>
          <w:color w:val="000000"/>
        </w:rPr>
      </w:pPr>
      <w:r>
        <w:rPr>
          <w:rFonts w:ascii="Times New Roman" w:hAnsi="Times New Roman"/>
        </w:rPr>
        <w:t>оцениваем общий формат, структуру и содержание финансовых ведомостей, включая раскрываемую в них информацию, и даем заключение о том, содержат ли финансовые ведомости такое описание соответствующих операций и событий, которое обеспечивает объективное представление.</w:t>
      </w:r>
    </w:p>
    <w:p w14:paraId="5F2C4FC6" w14:textId="77777777" w:rsidR="001C20F4" w:rsidRDefault="001C20F4" w:rsidP="007F5F27">
      <w:bookmarkStart w:id="26" w:name="_Toc227826019"/>
    </w:p>
    <w:p w14:paraId="2F17F9F5" w14:textId="77777777" w:rsidR="001C20F4" w:rsidRPr="001C20F4" w:rsidRDefault="001C20F4" w:rsidP="001C20F4"/>
    <w:p w14:paraId="49A952FD" w14:textId="77777777" w:rsidR="001C20F4" w:rsidRPr="001C20F4" w:rsidRDefault="001C20F4" w:rsidP="007F5F27"/>
    <w:p w14:paraId="09F3DCD7" w14:textId="77777777" w:rsidR="001C20F4" w:rsidRPr="001C20F4" w:rsidRDefault="001C20F4" w:rsidP="007F5F27"/>
    <w:p w14:paraId="24FAACA1" w14:textId="77777777" w:rsidR="001C20F4" w:rsidRPr="001C20F4" w:rsidRDefault="001C20F4" w:rsidP="007F5F27"/>
    <w:p w14:paraId="5E0A78E2" w14:textId="77777777" w:rsidR="001C20F4" w:rsidRPr="001C20F4" w:rsidRDefault="001C20F4" w:rsidP="001C20F4"/>
    <w:p w14:paraId="03B35BC3" w14:textId="77777777" w:rsidR="001C20F4" w:rsidRPr="001C20F4" w:rsidRDefault="001C20F4" w:rsidP="001C20F4"/>
    <w:p w14:paraId="6729BD72" w14:textId="77777777" w:rsidR="001C20F4" w:rsidRPr="001C20F4" w:rsidRDefault="001C20F4" w:rsidP="001C20F4"/>
    <w:p w14:paraId="39FE0471" w14:textId="77777777" w:rsidR="001C20F4" w:rsidRDefault="001C20F4" w:rsidP="007F5F27"/>
    <w:p w14:paraId="7421BDB6" w14:textId="77777777" w:rsidR="001C20F4" w:rsidRDefault="001C20F4" w:rsidP="0078378B">
      <w:pPr>
        <w:pStyle w:val="Heading2"/>
        <w:ind w:left="0"/>
        <w:sectPr w:rsidR="001C20F4" w:rsidSect="005708A7">
          <w:headerReference w:type="even" r:id="rId24"/>
          <w:footerReference w:type="default" r:id="rId25"/>
          <w:headerReference w:type="first" r:id="rId26"/>
          <w:pgSz w:w="11906" w:h="16838" w:code="9"/>
          <w:pgMar w:top="1440" w:right="1440" w:bottom="1440" w:left="1418" w:header="709" w:footer="709" w:gutter="0"/>
          <w:cols w:space="708"/>
          <w:docGrid w:linePitch="360"/>
        </w:sectPr>
      </w:pPr>
    </w:p>
    <w:p w14:paraId="593DF0AD" w14:textId="2E8B3ECF" w:rsidR="009D5EA1" w:rsidRPr="001F467B" w:rsidRDefault="009D5EA1" w:rsidP="001004F3">
      <w:pPr>
        <w:pStyle w:val="Heading2"/>
        <w:spacing w:before="0" w:after="80"/>
        <w:ind w:left="567"/>
      </w:pPr>
      <w:bookmarkStart w:id="27" w:name="_Toc230784906"/>
      <w:r>
        <w:lastRenderedPageBreak/>
        <w:t>Подробный отчет Внешнего аудитора</w:t>
      </w:r>
      <w:bookmarkStart w:id="28" w:name="_Toc96949252"/>
      <w:bookmarkEnd w:id="26"/>
      <w:bookmarkEnd w:id="27"/>
    </w:p>
    <w:p w14:paraId="3E1BBD89" w14:textId="77777777" w:rsidR="000501A2" w:rsidRPr="00310BF2" w:rsidRDefault="000501A2" w:rsidP="66DE4C64">
      <w:pPr>
        <w:pStyle w:val="Heading2"/>
        <w:numPr>
          <w:ilvl w:val="0"/>
          <w:numId w:val="0"/>
        </w:numPr>
        <w:jc w:val="center"/>
      </w:pPr>
      <w:bookmarkStart w:id="29" w:name="_Toc222223380"/>
      <w:bookmarkStart w:id="30" w:name="_Toc227826020"/>
      <w:bookmarkStart w:id="31" w:name="_Toc230784907"/>
      <w:bookmarkEnd w:id="28"/>
      <w:r>
        <w:t>Резюме</w:t>
      </w:r>
      <w:bookmarkEnd w:id="29"/>
      <w:bookmarkEnd w:id="30"/>
      <w:bookmarkEnd w:id="31"/>
    </w:p>
    <w:p w14:paraId="49430B5C" w14:textId="3493FAE6" w:rsidR="000501A2" w:rsidRPr="00310BF2" w:rsidRDefault="000501A2" w:rsidP="00ED2B9E">
      <w:pPr>
        <w:spacing w:after="120" w:line="280" w:lineRule="exact"/>
        <w:jc w:val="both"/>
        <w:rPr>
          <w:rFonts w:ascii="Times New Roman" w:hAnsi="Times New Roman" w:cs="Times New Roman"/>
        </w:rPr>
      </w:pPr>
      <w:r>
        <w:rPr>
          <w:rFonts w:ascii="Times New Roman" w:hAnsi="Times New Roman"/>
        </w:rPr>
        <w:t>В 2025 году Организация распоряжалась значительными финансовыми ресурсами, необходимыми для выполнения ее глобальной миссии. В течение этого года доходы Организации составили 497,6 млн шв. франков, расходы</w:t>
      </w:r>
      <w:r w:rsidR="008D21FE">
        <w:rPr>
          <w:rFonts w:ascii="Times New Roman" w:hAnsi="Times New Roman"/>
        </w:rPr>
        <w:t> </w:t>
      </w:r>
      <w:r>
        <w:rPr>
          <w:rFonts w:ascii="Times New Roman" w:hAnsi="Times New Roman"/>
        </w:rPr>
        <w:t>– 437,8 млн шв. франков, при этом активы составили 1 698,2 млн шв. франков, а обязательства</w:t>
      </w:r>
      <w:r w:rsidR="008D21FE">
        <w:rPr>
          <w:rFonts w:ascii="Times New Roman" w:hAnsi="Times New Roman"/>
        </w:rPr>
        <w:t> </w:t>
      </w:r>
      <w:r>
        <w:rPr>
          <w:rFonts w:ascii="Times New Roman" w:hAnsi="Times New Roman"/>
        </w:rPr>
        <w:t>– 813,9 млн шв. франков.</w:t>
      </w:r>
    </w:p>
    <w:p w14:paraId="2C17930D" w14:textId="222E5EFE" w:rsidR="000501A2" w:rsidRPr="00310BF2" w:rsidRDefault="000501A2" w:rsidP="00ED2B9E">
      <w:pPr>
        <w:spacing w:after="120" w:line="280" w:lineRule="exact"/>
        <w:jc w:val="both"/>
        <w:rPr>
          <w:rFonts w:ascii="Times New Roman" w:hAnsi="Times New Roman" w:cs="Times New Roman"/>
        </w:rPr>
      </w:pPr>
      <w:r>
        <w:rPr>
          <w:rFonts w:ascii="Times New Roman" w:hAnsi="Times New Roman"/>
        </w:rPr>
        <w:t>Ревизионный совет Республики Индонезия (Badan Pemeriksa Keuangan (BPK)) представляет настоящий отчет, подготовленный по итогам всестороннего аудита финансовых ведомостей ВОИС за год, закончившийся 31 декабря 2025 года. Мы провели аудит в соответствии с Международными стандартами аудита (МСА) и Международными стандартами высших органов аудита (ISSAI).</w:t>
      </w:r>
    </w:p>
    <w:p w14:paraId="766094A4" w14:textId="77777777" w:rsidR="000501A2" w:rsidRPr="00310BF2" w:rsidRDefault="000501A2" w:rsidP="00ED2B9E">
      <w:pPr>
        <w:spacing w:after="120" w:line="280" w:lineRule="exact"/>
        <w:rPr>
          <w:rFonts w:cs="Times New Roman"/>
        </w:rPr>
      </w:pPr>
      <w:r>
        <w:rPr>
          <w:rFonts w:ascii="Times New Roman" w:hAnsi="Times New Roman"/>
          <w:b/>
        </w:rPr>
        <w:t>Цели аудита</w:t>
      </w:r>
    </w:p>
    <w:p w14:paraId="72335215" w14:textId="7E0724DA" w:rsidR="000501A2" w:rsidRDefault="000501A2" w:rsidP="00ED2B9E">
      <w:pPr>
        <w:spacing w:after="120" w:line="280" w:lineRule="exact"/>
        <w:jc w:val="both"/>
        <w:rPr>
          <w:rFonts w:ascii="Times New Roman" w:hAnsi="Times New Roman" w:cs="Times New Roman"/>
        </w:rPr>
      </w:pPr>
      <w:r>
        <w:rPr>
          <w:rFonts w:ascii="Times New Roman" w:hAnsi="Times New Roman"/>
        </w:rPr>
        <w:t xml:space="preserve">Основная цель финансового аудита заключалась в том, чтобы позволить BPK вынести заключение о том, отражают ли финансовые ведомости Организации за год, закончившийся 31 декабря 2025 года, точно во всех существенных отношениях финансовое положение в соответствии с требованиями Международных стандартов учета в государственном секторе (МСУГС). В рамках этой работы была проведена оценка того, соответствовали ли операции во всех существенных отношениях требованиям Финансовых положений и правил (ФПП) Организации. </w:t>
      </w:r>
    </w:p>
    <w:p w14:paraId="7246F708" w14:textId="2A67D79E" w:rsidR="009D1B65" w:rsidRPr="00E4216C" w:rsidRDefault="00514378" w:rsidP="00ED2B9E">
      <w:pPr>
        <w:autoSpaceDE w:val="0"/>
        <w:autoSpaceDN w:val="0"/>
        <w:adjustRightInd w:val="0"/>
        <w:spacing w:after="120" w:line="280" w:lineRule="exact"/>
        <w:jc w:val="both"/>
        <w:rPr>
          <w:rFonts w:ascii="Times New Roman" w:hAnsi="Times New Roman" w:cs="Times New Roman"/>
        </w:rPr>
      </w:pPr>
      <w:r>
        <w:rPr>
          <w:rFonts w:ascii="Times New Roman" w:hAnsi="Times New Roman"/>
        </w:rPr>
        <w:t>Что касается аудита эффективности, то его целью было оценить эффективность управления ВОИС Мадридской системой и Глобальными базами данных в контексте совершенствования услуг Организации для ее заинтересованных сторон.</w:t>
      </w:r>
    </w:p>
    <w:p w14:paraId="35E0EF3C" w14:textId="58D67C21" w:rsidR="000501A2" w:rsidRPr="00310BF2" w:rsidRDefault="000501A2" w:rsidP="00ED2B9E">
      <w:pPr>
        <w:spacing w:after="120" w:line="280" w:lineRule="exact"/>
        <w:rPr>
          <w:rFonts w:ascii="Times New Roman" w:hAnsi="Times New Roman" w:cs="Times New Roman"/>
          <w:b/>
          <w:bCs/>
        </w:rPr>
      </w:pPr>
      <w:r>
        <w:rPr>
          <w:rFonts w:ascii="Times New Roman" w:hAnsi="Times New Roman"/>
          <w:b/>
        </w:rPr>
        <w:t>Результаты аудита</w:t>
      </w:r>
    </w:p>
    <w:p w14:paraId="3DB22B74" w14:textId="7EDFD90F" w:rsidR="005C63A1" w:rsidRDefault="005C63A1" w:rsidP="005C63A1">
      <w:pPr>
        <w:spacing w:after="120" w:line="280" w:lineRule="exact"/>
        <w:jc w:val="both"/>
        <w:rPr>
          <w:rFonts w:ascii="Times New Roman" w:hAnsi="Times New Roman" w:cs="Times New Roman"/>
        </w:rPr>
      </w:pPr>
      <w:r>
        <w:rPr>
          <w:rFonts w:ascii="Times New Roman" w:hAnsi="Times New Roman"/>
        </w:rPr>
        <w:t>Финансовые ведомости достоверно отражают во всех существенных отношениях финансовое положение Организации по состоянию на 31 декабря 2025 года, а также соответствующие финансовые результаты деятельности,  изменения в чистых активах, движение денежных средств и сопоставление бюджетных и фактических сумм за год, закончившийся на указанную дату, в соответствии с МСУГС. Кроме того, доходы и расходы во всех существенных аспектах использовались для достижения целей, определенных Генеральной Ассамблеей Организации, а финансовые операции соответствуют Финансовым положениям и правилам Организации и решениям директивных органов.</w:t>
      </w:r>
    </w:p>
    <w:p w14:paraId="145AB4EF" w14:textId="7739E6BE" w:rsidR="00191853" w:rsidRDefault="005C63A1" w:rsidP="00335A66">
      <w:pPr>
        <w:spacing w:after="120" w:line="280" w:lineRule="exact"/>
        <w:jc w:val="both"/>
        <w:rPr>
          <w:rFonts w:ascii="Times New Roman" w:hAnsi="Times New Roman" w:cs="Times New Roman"/>
        </w:rPr>
      </w:pPr>
      <w:r>
        <w:rPr>
          <w:rFonts w:ascii="Times New Roman" w:hAnsi="Times New Roman"/>
        </w:rPr>
        <w:t>Кроме того, Организация эффективным образом осуществляла управление Мадридской системой и Глобальными базами данных, улучшая качество и доступность своих услуг для заинтересованных сторон в течение проверяемого периода.</w:t>
      </w:r>
    </w:p>
    <w:p w14:paraId="48DC63D8" w14:textId="77777777" w:rsidR="000501A2" w:rsidRPr="00310BF2" w:rsidRDefault="000501A2" w:rsidP="00ED2B9E">
      <w:pPr>
        <w:spacing w:after="120" w:line="280" w:lineRule="exact"/>
        <w:rPr>
          <w:rFonts w:cs="Times New Roman"/>
        </w:rPr>
      </w:pPr>
      <w:r>
        <w:rPr>
          <w:rFonts w:ascii="Times New Roman" w:hAnsi="Times New Roman"/>
          <w:b/>
        </w:rPr>
        <w:t>Финансовые вопросы</w:t>
      </w:r>
    </w:p>
    <w:p w14:paraId="1C846A91" w14:textId="67658A0F" w:rsidR="007F5295" w:rsidRPr="00310BF2" w:rsidRDefault="00210191" w:rsidP="00A83635">
      <w:pPr>
        <w:spacing w:after="120" w:line="280" w:lineRule="exact"/>
        <w:jc w:val="both"/>
        <w:rPr>
          <w:rFonts w:ascii="Times New Roman" w:hAnsi="Times New Roman" w:cs="Times New Roman"/>
        </w:rPr>
      </w:pPr>
      <w:r>
        <w:rPr>
          <w:rFonts w:ascii="Times New Roman" w:hAnsi="Times New Roman"/>
        </w:rPr>
        <w:t>BPK отметил, что Организация обновила свое Заявление о принципах учетной политики, чтобы отразить первоначальное применение МСУГС 47 «Поступления» и МСУГС 48 «Расходы в связи с переводами».</w:t>
      </w:r>
      <w:r>
        <w:rPr>
          <w:rFonts w:ascii="Times New Roman" w:hAnsi="Times New Roman"/>
          <w:i/>
        </w:rPr>
        <w:t xml:space="preserve"> </w:t>
      </w:r>
      <w:r>
        <w:rPr>
          <w:rFonts w:ascii="Times New Roman" w:hAnsi="Times New Roman"/>
        </w:rPr>
        <w:t>В ходе аудита, помимо прочего, основное внимание уделялось управлению активами и закупками, и был выявлен ряд областей, требующих внесения улучшений, включая необходимость обновления нормативно-правовой базы по инвестициям, ведения реестра нематериальных активов, совершенствования процедуры прекращения признания здания в учете, проведения оценки результатов деятельности поставщиков по критически важным и стратегическим контрактам, а также оптимизации интерфейса обмена данными между системой Договора о патентной кооперации (PCT) и Системой управления административной информацией (СУАИ).</w:t>
      </w:r>
    </w:p>
    <w:p w14:paraId="4A9BF4AB" w14:textId="67431876" w:rsidR="00FC2075" w:rsidRDefault="00514378" w:rsidP="66DE4C64">
      <w:pPr>
        <w:spacing w:after="120" w:line="280" w:lineRule="exact"/>
        <w:ind w:left="425" w:hanging="425"/>
        <w:jc w:val="both"/>
        <w:rPr>
          <w:rFonts w:ascii="Times New Roman" w:eastAsia="Times New Roman" w:hAnsi="Times New Roman" w:cs="Times New Roman"/>
          <w:b/>
          <w:bCs/>
        </w:rPr>
      </w:pPr>
      <w:r>
        <w:rPr>
          <w:rFonts w:ascii="Times New Roman" w:hAnsi="Times New Roman"/>
          <w:b/>
        </w:rPr>
        <w:lastRenderedPageBreak/>
        <w:t>Замечания относительно эффективности</w:t>
      </w:r>
    </w:p>
    <w:p w14:paraId="5FB6811F" w14:textId="769EA79E" w:rsidR="00FE6FF1" w:rsidRPr="000226C9" w:rsidRDefault="08AAF49C" w:rsidP="00ED2B9E">
      <w:pPr>
        <w:spacing w:after="120" w:line="280" w:lineRule="exact"/>
        <w:jc w:val="both"/>
        <w:rPr>
          <w:rFonts w:ascii="Times New Roman" w:eastAsia="Times New Roman" w:hAnsi="Times New Roman" w:cs="Times New Roman"/>
        </w:rPr>
      </w:pPr>
      <w:r>
        <w:rPr>
          <w:rFonts w:ascii="Times New Roman" w:hAnsi="Times New Roman"/>
        </w:rPr>
        <w:t>Мадридская система обеспечивает централизованный международный механизм регистрации товарных знаков с широким глобальным охватом, оптимизированными сроками обработки и повышенной операционной эффективностью благодаря автоматизации и цифровизации. Глобальные базы данных функционируют как всеобъемлющие многоюрисдикционные хранилища, которые повышают транспарентность и поддерживают принятие обоснованных решений, а также облегчают доступ к информации об интеллектуальной собственности по всему миру. Для дальнейшего укрепления эффективности услуг и их устойчивости по-прежнему сохраняются возможности для улучшения в части обеспечения эффективной интеграции между системой Мадридского реестра и системой Финансового отдела, совершенствования разработки и использования ключевых показателей результативности (КПР) в рамках Мадридского реестра и совершенствования внутренних механизмов подготовки отчетности о результатах деятельности. Кроме того, требуются дополнительные усилия для гармонизации механизмов обмена данными ВОИС с национальными и региональными ведомствами интеллектуальной собственности и для расширения охвата данных и повышения их полноты в Глобальных базах данных с тем, чтобы поддерживать условия для оказания более согласованных, своевременных и надежных информационных услуг для пользователей.</w:t>
      </w:r>
    </w:p>
    <w:p w14:paraId="7CAB61ED" w14:textId="176037A9" w:rsidR="00514378" w:rsidRDefault="00926F04" w:rsidP="00ED2B9E">
      <w:pPr>
        <w:spacing w:after="120" w:line="280" w:lineRule="exact"/>
        <w:jc w:val="both"/>
        <w:rPr>
          <w:rFonts w:ascii="Times New Roman" w:eastAsia="Times New Roman" w:hAnsi="Times New Roman" w:cs="Times New Roman"/>
        </w:rPr>
      </w:pPr>
      <w:r>
        <w:rPr>
          <w:rFonts w:ascii="Times New Roman" w:hAnsi="Times New Roman"/>
        </w:rPr>
        <w:t>В настоящем отчете представлена подробная информация о замечаниях, сделанных в рамках аудита.</w:t>
      </w:r>
    </w:p>
    <w:p w14:paraId="7710C5B7" w14:textId="015D6F16" w:rsidR="000501A2" w:rsidRPr="00310BF2" w:rsidRDefault="000501A2" w:rsidP="66DE4C64">
      <w:pPr>
        <w:spacing w:after="120" w:line="280" w:lineRule="exact"/>
        <w:jc w:val="both"/>
        <w:rPr>
          <w:rFonts w:ascii="Times New Roman" w:hAnsi="Times New Roman" w:cs="Times New Roman"/>
          <w:b/>
          <w:bCs/>
        </w:rPr>
      </w:pPr>
      <w:r>
        <w:rPr>
          <w:rFonts w:ascii="Times New Roman" w:hAnsi="Times New Roman"/>
          <w:b/>
        </w:rPr>
        <w:t>Рекомендации по итогам предыдущих аудиторских проверок</w:t>
      </w:r>
    </w:p>
    <w:p w14:paraId="7FFFE1AE" w14:textId="68968541" w:rsidR="00514378" w:rsidRDefault="000501A2" w:rsidP="0027794D">
      <w:pPr>
        <w:spacing w:after="120" w:line="280" w:lineRule="exact"/>
        <w:jc w:val="both"/>
        <w:rPr>
          <w:rFonts w:ascii="Times New Roman" w:eastAsia="Times New Roman" w:hAnsi="Times New Roman" w:cs="Times New Roman"/>
        </w:rPr>
      </w:pPr>
      <w:r>
        <w:rPr>
          <w:rFonts w:ascii="Times New Roman" w:hAnsi="Times New Roman"/>
        </w:rPr>
        <w:t>Что касается решения возникающих в ходе аудита вопросов, то BPK отметил, что в ходе аудита финансовых ведомостей за год, закончившийся 31 декабря 2025 года, Организация успешно выполнила 88% рекомендаций по итогам аудиторских проверок за последние пять лет.</w:t>
      </w:r>
    </w:p>
    <w:p w14:paraId="1FE027C2" w14:textId="3593BE7F" w:rsidR="0052366D" w:rsidRPr="0027794D" w:rsidRDefault="000501A2" w:rsidP="0027794D">
      <w:pPr>
        <w:spacing w:after="120" w:line="280" w:lineRule="exact"/>
        <w:jc w:val="both"/>
        <w:rPr>
          <w:rFonts w:ascii="Times New Roman" w:eastAsia="Times New Roman" w:hAnsi="Times New Roman" w:cs="Times New Roman"/>
        </w:rPr>
      </w:pPr>
      <w:r>
        <w:br w:type="page"/>
      </w:r>
    </w:p>
    <w:p w14:paraId="32C79615" w14:textId="32F95803" w:rsidR="00BD2759" w:rsidRPr="004A5F38" w:rsidRDefault="004953AE" w:rsidP="004A5F38">
      <w:pPr>
        <w:pStyle w:val="Heading3"/>
      </w:pPr>
      <w:bookmarkStart w:id="32" w:name="_Toc96949253"/>
      <w:bookmarkStart w:id="33" w:name="_Toc227826021"/>
      <w:bookmarkStart w:id="34" w:name="_Toc230784908"/>
      <w:r>
        <w:lastRenderedPageBreak/>
        <w:t>Мандат, охват и методология</w:t>
      </w:r>
      <w:bookmarkEnd w:id="32"/>
      <w:bookmarkEnd w:id="33"/>
      <w:bookmarkEnd w:id="34"/>
    </w:p>
    <w:p w14:paraId="768303C9" w14:textId="52269595" w:rsidR="00855753" w:rsidRPr="004B355D" w:rsidRDefault="002124E5" w:rsidP="00736805">
      <w:pPr>
        <w:pStyle w:val="LFARPara"/>
        <w:ind w:left="851" w:hanging="491"/>
      </w:pPr>
      <w:r>
        <w:t>ВОИС действует в соответствии с Конвенцией ВОИС, подписанной в Стокгольме 14</w:t>
      </w:r>
      <w:r w:rsidR="00FE3D67">
        <w:t> </w:t>
      </w:r>
      <w:r>
        <w:t>июля 1967 года и измененной 28 сентября 1979 года, и в 1974 году была признана специализированным учреждением Организации Объединенных Наций. ИТ выступает в качестве глобального форума и поставщика услуг для 194</w:t>
      </w:r>
      <w:r w:rsidR="00FE3D67">
        <w:t> </w:t>
      </w:r>
      <w:r>
        <w:t>государств-членов, обеспечивая безопасное продвижение идей новаторов и создателей на рынок для улучшения жизни людей во всем мире. ВОИС предоставляет основные услуги, позволяющие предпринимателям защищать и продвигать свою интеллектуальную собственность за рубежом, одновременно используя свои данные и проекты, ориентированные на принесение пользы, для формирования сбалансированной международной экосистемы ИС, приносящей пользу всем людям в любых регионах мира.</w:t>
      </w:r>
    </w:p>
    <w:p w14:paraId="787DD009" w14:textId="5455EB38" w:rsidR="00704228" w:rsidRPr="004B355D" w:rsidRDefault="008333C3" w:rsidP="00736805">
      <w:pPr>
        <w:pStyle w:val="LFARPara"/>
        <w:ind w:left="851" w:hanging="491"/>
      </w:pPr>
      <w:r>
        <w:t>В соответствии с положением 6.5 Финансовых правил и положений Организации и полномочиями, содержащимися в приложении II к Финансовым правилам и положениям, Ревизионный совет Республики Индонезия (Badan Pemeriksa Keuangan (BPK)) провел аудиторскую проверку Организации в период с 1 января по 31 декабря 2025 года.</w:t>
      </w:r>
    </w:p>
    <w:p w14:paraId="6A5C7A1D" w14:textId="0893E78F" w:rsidR="00B246BB" w:rsidRPr="00817CE7" w:rsidRDefault="00FC229D" w:rsidP="00736805">
      <w:pPr>
        <w:pStyle w:val="LFARPara"/>
        <w:ind w:left="851" w:hanging="491"/>
        <w:rPr>
          <w:color w:val="0D0D0D" w:themeColor="text1" w:themeTint="F2"/>
        </w:rPr>
      </w:pPr>
      <w:r>
        <w:t>Финансовый аудит проводился главным образом для того, чтобы позволить BPK получить разумную уверенность, необходимую для формирования заключения о том, представлены ли финансовые ведомости Организации за год, закончившийся 31</w:t>
      </w:r>
      <w:r w:rsidR="00FE3D67">
        <w:t> </w:t>
      </w:r>
      <w:r>
        <w:t>декабря 2025 года, достоверно в соответствии с Международными стандартами учета в государственном секторе (МСУГС).</w:t>
      </w:r>
      <w:r>
        <w:rPr>
          <w:color w:val="0D0D0D" w:themeColor="text1" w:themeTint="F2"/>
        </w:rPr>
        <w:t xml:space="preserve"> Это включало оценку с целью проверки того, соответствовали ли операции Организации во всех существенных отношениях Финансовым положениям и правилам ВОИС. </w:t>
      </w:r>
    </w:p>
    <w:p w14:paraId="75E2D559" w14:textId="5A68DCB7" w:rsidR="00650F7D" w:rsidRPr="00DC7C8D" w:rsidRDefault="00650F7D" w:rsidP="00736805">
      <w:pPr>
        <w:pStyle w:val="LFARPara"/>
        <w:ind w:left="851" w:hanging="491"/>
      </w:pPr>
      <w:r>
        <w:t>Аудит охватывал финансовые ведомости Организации, которые включают отчет о финансовом положении по состоянию на 31 декабря 2025 года, отчет о финансовых результатах деятельности, отчет об изменениях чистых активов, отчет о движении денежных средств, отчет о сопоставлении бюджетных и фактических сумм за год, закончившийся на указанную дату, и примечания к финансовым ведомостям.</w:t>
      </w:r>
    </w:p>
    <w:p w14:paraId="0DEAAB8B" w14:textId="5642CBDF" w:rsidR="003349FE" w:rsidRPr="00817CE7" w:rsidRDefault="00A846FB" w:rsidP="00736805">
      <w:pPr>
        <w:pStyle w:val="LFARPara"/>
        <w:ind w:left="851" w:hanging="491"/>
        <w:rPr>
          <w:color w:val="0D0D0D" w:themeColor="text1" w:themeTint="F2"/>
        </w:rPr>
      </w:pPr>
      <w:r>
        <w:t>Что касается аудита эффективности, то его целью было оценить эффективность управления ВОИС Мадридской системой и Глобальными базами данных в контексте совершенствования услуг Организации для ее заинтересованных сторон.</w:t>
      </w:r>
    </w:p>
    <w:p w14:paraId="2374CAF1" w14:textId="1368E79B" w:rsidR="009736AF" w:rsidRPr="004B355D" w:rsidRDefault="00674B24" w:rsidP="00736805">
      <w:pPr>
        <w:pStyle w:val="LFARPara"/>
        <w:ind w:left="851" w:hanging="491"/>
      </w:pPr>
      <w:r>
        <w:t xml:space="preserve">Сфера охвата аудита эффективности за 2025 год включала следующие конкретные аспекты, в том числе: </w:t>
      </w:r>
    </w:p>
    <w:p w14:paraId="49E079DB" w14:textId="6F606A9A" w:rsidR="009736AF" w:rsidRPr="004B355D" w:rsidRDefault="6BA61821" w:rsidP="007F267B">
      <w:pPr>
        <w:pStyle w:val="ListParagraph"/>
        <w:numPr>
          <w:ilvl w:val="0"/>
          <w:numId w:val="9"/>
        </w:numPr>
        <w:spacing w:before="120" w:after="120" w:line="280" w:lineRule="exact"/>
        <w:ind w:left="1276" w:hanging="425"/>
        <w:contextualSpacing w:val="0"/>
        <w:jc w:val="both"/>
        <w:rPr>
          <w:rFonts w:ascii="Times New Roman" w:eastAsia="Times New Roman" w:hAnsi="Times New Roman" w:cs="Times New Roman"/>
        </w:rPr>
      </w:pPr>
      <w:r>
        <w:rPr>
          <w:rFonts w:ascii="Times New Roman" w:hAnsi="Times New Roman"/>
        </w:rPr>
        <w:t xml:space="preserve">Деятельность, осуществлявшуюся в </w:t>
      </w:r>
      <w:r w:rsidR="00FE3D67">
        <w:rPr>
          <w:rFonts w:ascii="Times New Roman" w:hAnsi="Times New Roman"/>
        </w:rPr>
        <w:t>двухлетний</w:t>
      </w:r>
      <w:r>
        <w:rPr>
          <w:rFonts w:ascii="Times New Roman" w:hAnsi="Times New Roman"/>
        </w:rPr>
        <w:t xml:space="preserve"> период 2024–2025 годов, и запланированную деятельность на </w:t>
      </w:r>
      <w:r w:rsidR="00FE3D67">
        <w:rPr>
          <w:rFonts w:ascii="Times New Roman" w:hAnsi="Times New Roman"/>
        </w:rPr>
        <w:t>двухлетний</w:t>
      </w:r>
      <w:r>
        <w:rPr>
          <w:rFonts w:ascii="Times New Roman" w:hAnsi="Times New Roman"/>
        </w:rPr>
        <w:t xml:space="preserve"> период 2026–2027 годов.</w:t>
      </w:r>
    </w:p>
    <w:p w14:paraId="4F19316D" w14:textId="36ADF62E" w:rsidR="00437DBB" w:rsidRPr="004B355D" w:rsidRDefault="6BA61821" w:rsidP="007F267B">
      <w:pPr>
        <w:pStyle w:val="ListParagraph"/>
        <w:numPr>
          <w:ilvl w:val="0"/>
          <w:numId w:val="9"/>
        </w:numPr>
        <w:spacing w:before="120" w:after="120" w:line="280" w:lineRule="exact"/>
        <w:ind w:left="1276" w:hanging="425"/>
        <w:contextualSpacing w:val="0"/>
        <w:jc w:val="both"/>
        <w:rPr>
          <w:rFonts w:ascii="Times New Roman" w:eastAsia="Times New Roman" w:hAnsi="Times New Roman" w:cs="Times New Roman"/>
        </w:rPr>
      </w:pPr>
      <w:r>
        <w:rPr>
          <w:rFonts w:ascii="Times New Roman" w:hAnsi="Times New Roman"/>
        </w:rPr>
        <w:t>Подразделения, отвечающие за Мадридскую систему, Глобальные базы данных и соответствующие вспомогательные подразделения.</w:t>
      </w:r>
    </w:p>
    <w:p w14:paraId="1C63C878" w14:textId="220027DF" w:rsidR="00674B24" w:rsidRPr="00674B24" w:rsidRDefault="00674B24" w:rsidP="00736805">
      <w:pPr>
        <w:pStyle w:val="ListParagraph"/>
        <w:spacing w:before="120" w:after="120" w:line="280" w:lineRule="exact"/>
        <w:ind w:left="851"/>
        <w:contextualSpacing w:val="0"/>
        <w:jc w:val="both"/>
        <w:rPr>
          <w:rFonts w:ascii="Times New Roman" w:hAnsi="Times New Roman" w:cs="Times New Roman"/>
        </w:rPr>
      </w:pPr>
      <w:r>
        <w:rPr>
          <w:rFonts w:ascii="Times New Roman" w:hAnsi="Times New Roman"/>
        </w:rPr>
        <w:t>Основной аудиторский вопрос заключался в следующем: «В какой степени ВОИС эффективно управляла Мадридской системой и Глобальными базами данных, чтобы предоставлять высококачественные, доступные, надежные и ориентированные на пользователей услуги в области ИС в соответствии с направлением работы 3 Среднесрочного стратегического плана (СССП)?» Он был развернут в следующие два аудиторских вопроса?</w:t>
      </w:r>
    </w:p>
    <w:p w14:paraId="3EE57D74" w14:textId="78ABF555" w:rsidR="0C61D0D8" w:rsidRPr="00D00C8B" w:rsidRDefault="0C61D0D8" w:rsidP="007F267B">
      <w:pPr>
        <w:pStyle w:val="ListParagraph"/>
        <w:numPr>
          <w:ilvl w:val="0"/>
          <w:numId w:val="19"/>
        </w:numPr>
        <w:spacing w:before="120" w:after="120" w:line="280" w:lineRule="exact"/>
        <w:ind w:left="1276" w:hanging="425"/>
        <w:contextualSpacing w:val="0"/>
        <w:jc w:val="both"/>
        <w:rPr>
          <w:rFonts w:ascii="Times New Roman" w:eastAsia="Times New Roman" w:hAnsi="Times New Roman" w:cs="Times New Roman"/>
        </w:rPr>
      </w:pPr>
      <w:r>
        <w:rPr>
          <w:rFonts w:ascii="Times New Roman" w:hAnsi="Times New Roman"/>
        </w:rPr>
        <w:lastRenderedPageBreak/>
        <w:t>В какой степени ВОИС эффективно управляет своей Мадридской системой, чтобы предоставлять комплексные, эффективные и ориентированные на результаты услуги в области товарных знаков в сфере ИС, которые отвечают потребностям заинтересованных сторон и поддерживают стратегические цели ВОИС?</w:t>
      </w:r>
    </w:p>
    <w:p w14:paraId="19EF2F38" w14:textId="77EFA6ED" w:rsidR="00674B24" w:rsidRPr="00D00C8B" w:rsidRDefault="0C61D0D8" w:rsidP="007F267B">
      <w:pPr>
        <w:pStyle w:val="ListParagraph"/>
        <w:numPr>
          <w:ilvl w:val="0"/>
          <w:numId w:val="19"/>
        </w:numPr>
        <w:spacing w:before="120" w:after="120" w:line="280" w:lineRule="exact"/>
        <w:ind w:left="1276" w:hanging="425"/>
        <w:contextualSpacing w:val="0"/>
        <w:jc w:val="both"/>
        <w:rPr>
          <w:rFonts w:ascii="Times New Roman" w:eastAsia="Times New Roman" w:hAnsi="Times New Roman" w:cs="Times New Roman"/>
        </w:rPr>
      </w:pPr>
      <w:r>
        <w:rPr>
          <w:rFonts w:ascii="Times New Roman" w:hAnsi="Times New Roman"/>
        </w:rPr>
        <w:t>В какой степени ВОИС обеспечивает, чтобы данные об ИС в Глобальных базах данных были всеобъемлющими, точными и актуальными, в координации с национальными ведомствами интеллектуальной собственности?</w:t>
      </w:r>
    </w:p>
    <w:p w14:paraId="7DB381F8" w14:textId="45D224F9" w:rsidR="00905AE1" w:rsidRPr="00817CE7" w:rsidRDefault="004C3833" w:rsidP="00736805">
      <w:pPr>
        <w:pStyle w:val="LFARPara"/>
        <w:ind w:left="851" w:hanging="491"/>
        <w:rPr>
          <w:color w:val="0D0D0D" w:themeColor="text1" w:themeTint="F2"/>
        </w:rPr>
      </w:pPr>
      <w:r>
        <w:t>Аудиторская проверка была проведена в соответствии с Международными стандартами аудита (МСА). Стандарты требуют от BPK соблюдать этические требования, а также планировать и проводить аудит таким образом, чтобы получить разумную уверенность в том, что финансовые ведомости Организации не содержат существенных искажений. Кроме того, при проведении аудита эффективности мы руководствовались принципами, стандартами и руководящими указаниями, содержащимися в соответствующих Международных стандартах высших органов аудита (ISSAI). В плане установления соблюдения установленных требований аудит проводился в соответствии с Финансовыми положениями и правилами.</w:t>
      </w:r>
    </w:p>
    <w:p w14:paraId="14A592DE" w14:textId="24F8E1AD" w:rsidR="00650F7D" w:rsidRPr="00630A13" w:rsidRDefault="00650F7D" w:rsidP="00736805">
      <w:pPr>
        <w:pStyle w:val="LFARPara"/>
        <w:ind w:left="851" w:hanging="491"/>
      </w:pPr>
      <w:r>
        <w:rPr>
          <w:rStyle w:val="LFARParaChar"/>
        </w:rPr>
        <w:t>Аудит включал общий обзор финансовых систем</w:t>
      </w:r>
      <w:r>
        <w:t xml:space="preserve"> и системы внутреннего контроля, оценку рисков, а также выборочную проверку бухгалтерских записей и других подтверждающих материалов в той мере, которую BPK счел необходимой для формирования заключения о финансовых ведомостях. </w:t>
      </w:r>
    </w:p>
    <w:p w14:paraId="5F009A65" w14:textId="3FDD727E" w:rsidR="0014084C" w:rsidRPr="00630A13" w:rsidRDefault="00C12A27" w:rsidP="00736805">
      <w:pPr>
        <w:pStyle w:val="LFARPara"/>
        <w:ind w:left="851" w:hanging="491"/>
      </w:pPr>
      <w:r>
        <w:t>BPK составил представление о деятельности Организации, ее учетных процессах и системе внутреннего контроля, относящихся к финансовым ведомостям, чтобы помочь нам выявить риски, которые могут повлиять на финансовые ведомости. Система внутреннего контроля учитывалась при разработке соответствующих аудиторских процедур, но не в целях выражения мнения об эффективности системы внутреннего контроля Организации.</w:t>
      </w:r>
    </w:p>
    <w:p w14:paraId="4D9BFC42" w14:textId="62B8B5CC" w:rsidR="00A239A1" w:rsidRPr="00A67AE4" w:rsidRDefault="1DD4E3FF" w:rsidP="00736805">
      <w:pPr>
        <w:pStyle w:val="LFARPara"/>
        <w:ind w:left="851" w:hanging="491"/>
      </w:pPr>
      <w:r>
        <w:t>Что касается аудита эффективности, то в процессе определения области аудита и формирования выборки потенциальных ключевых областей, на которых будет сосредоточено внимание в ходе аудита, были подробно рассмотрены несколько факторов отбора, а именно: соответствующие приоритеты в Программе работы и бюджете на двухгодичные периоды 2024–2025 и 2026–2027 годов; фактор синергии в работе Организации; вопросы, связанные с эффективностью; значимость для бюджета; риски для управления; результаты предыдущих аудиторских проверок; потенциальное воздействие; а также текущие соображения руководства. В результате для аудита эффективности за 2025 год в качестве объектов выборки были отобраны два подразделения, а именно Мадридский реестр — Сектор брендов и образцов (СБО) и Отдел глобальных баз данных — Сектор инфраструктуры и платформ (СИП).</w:t>
      </w:r>
    </w:p>
    <w:p w14:paraId="1D788B9C" w14:textId="25CFDA48" w:rsidR="0014084C" w:rsidRPr="00630A13" w:rsidRDefault="0014084C" w:rsidP="00736805">
      <w:pPr>
        <w:pStyle w:val="LFARPara"/>
        <w:ind w:left="851" w:hanging="491"/>
      </w:pPr>
      <w:r>
        <w:t xml:space="preserve">BPK также проанализировал статус рекомендаций Внешнего аудитора, вынесенных по итогам аудиторских проверок прошлых лет, обновил информацию о них и представил соответствующий отчет. </w:t>
      </w:r>
    </w:p>
    <w:p w14:paraId="21CFAD11" w14:textId="09148392" w:rsidR="00701C20" w:rsidRPr="00C46886" w:rsidRDefault="78E98750" w:rsidP="00736805">
      <w:pPr>
        <w:pStyle w:val="LFARPara"/>
        <w:ind w:left="851" w:hanging="491"/>
      </w:pPr>
      <w:r>
        <w:t>В рамках финансового аудита BPK работал в сотрудничестве с Директором Финансового отдела и другими соответствующими сотрудниками Организации, чтобы понять финансовую деятельность и определить ее релевантность для аудита. В рамках аудита эффективности BPK тесно взаимодействовал с руководством ВОИС в Мадридском реестре, Глобальных базах данных и других соответствующих подразделениях.</w:t>
      </w:r>
    </w:p>
    <w:p w14:paraId="59C3F239" w14:textId="3D6E4747" w:rsidR="00B246BB" w:rsidRPr="00630A13" w:rsidRDefault="00C432CF" w:rsidP="00736805">
      <w:pPr>
        <w:pStyle w:val="LFARPara"/>
        <w:ind w:left="851" w:hanging="491"/>
      </w:pPr>
      <w:r>
        <w:lastRenderedPageBreak/>
        <w:t xml:space="preserve">Согласно положению 6.11, Внешний аудитор составляет заключение относительно годовых финансовых ведомостей за каждый календарный год финансового периода, в которое включается такая информация, какую Внешний аудитор сочтет необходимой в отношении вопросов, указанных в положении 6.6 и в приложении II к настоящим Положениям, упомянутом в положении 6.5. </w:t>
      </w:r>
    </w:p>
    <w:p w14:paraId="0D404CC2" w14:textId="2EFC098D" w:rsidR="00436454" w:rsidRPr="00736805" w:rsidRDefault="00436454" w:rsidP="00736805">
      <w:pPr>
        <w:pStyle w:val="LFARPara"/>
        <w:ind w:left="851" w:hanging="491"/>
      </w:pPr>
      <w:bookmarkStart w:id="35" w:name="_Toc223004775"/>
      <w:bookmarkStart w:id="36" w:name="_Toc223005281"/>
      <w:bookmarkStart w:id="37" w:name="_Toc223005308"/>
      <w:bookmarkStart w:id="38" w:name="_Toc223005497"/>
      <w:bookmarkStart w:id="39" w:name="_Toc223004776"/>
      <w:bookmarkStart w:id="40" w:name="_Toc223005282"/>
      <w:bookmarkStart w:id="41" w:name="_Toc223005309"/>
      <w:bookmarkStart w:id="42" w:name="_Toc223005498"/>
      <w:bookmarkStart w:id="43" w:name="_Toc192095254"/>
      <w:bookmarkStart w:id="44" w:name="_Toc222750716"/>
      <w:bookmarkStart w:id="45" w:name="_Toc66109791"/>
      <w:bookmarkStart w:id="46" w:name="_Toc66109898"/>
      <w:bookmarkEnd w:id="35"/>
      <w:bookmarkEnd w:id="36"/>
      <w:bookmarkEnd w:id="37"/>
      <w:bookmarkEnd w:id="38"/>
      <w:bookmarkEnd w:id="39"/>
      <w:bookmarkEnd w:id="40"/>
      <w:bookmarkEnd w:id="41"/>
      <w:bookmarkEnd w:id="42"/>
      <w:bookmarkEnd w:id="43"/>
      <w:bookmarkEnd w:id="44"/>
      <w:bookmarkEnd w:id="45"/>
      <w:bookmarkEnd w:id="46"/>
      <w:r>
        <w:t xml:space="preserve">Вопросы, возникшие в результате аудита, были обсуждены с руководством. Полученные от руководства замечания и ответы, где это уместно, включены в настоящий отчет. </w:t>
      </w:r>
    </w:p>
    <w:p w14:paraId="5B9BB2A4" w14:textId="516F64B2" w:rsidR="000160D8" w:rsidRDefault="00F76B5E" w:rsidP="00736805">
      <w:pPr>
        <w:pStyle w:val="LFARPara"/>
        <w:ind w:left="851" w:hanging="491"/>
      </w:pPr>
      <w:r>
        <w:t>Для удобства чтения настоящий отчет был подготовлен в соответствии с обновленной структурой изложения. Данный пересмотренный формат предназначен для того, чтобы читателям было легче и быстрее находить нужную информацию.</w:t>
      </w:r>
    </w:p>
    <w:p w14:paraId="186559D5" w14:textId="7AF65DFF" w:rsidR="005C78E2" w:rsidRDefault="005C78E2" w:rsidP="004A5F38">
      <w:pPr>
        <w:pStyle w:val="Heading3"/>
        <w:rPr>
          <w:sz w:val="24"/>
          <w:szCs w:val="24"/>
        </w:rPr>
      </w:pPr>
      <w:bookmarkStart w:id="47" w:name="_Toc227826022"/>
      <w:bookmarkStart w:id="48" w:name="_Toc230784909"/>
      <w:r>
        <w:t>Финансовый обзор</w:t>
      </w:r>
      <w:bookmarkEnd w:id="47"/>
      <w:bookmarkEnd w:id="48"/>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605"/>
        <w:gridCol w:w="4908"/>
      </w:tblGrid>
      <w:tr w:rsidR="00855B2D" w:rsidRPr="00310BF2" w14:paraId="43E57B83" w14:textId="77777777" w:rsidTr="006E2E86">
        <w:trPr>
          <w:trHeight w:val="447"/>
          <w:jc w:val="center"/>
        </w:trPr>
        <w:tc>
          <w:tcPr>
            <w:tcW w:w="7513" w:type="dxa"/>
            <w:gridSpan w:val="2"/>
            <w:tcBorders>
              <w:top w:val="single" w:sz="4" w:space="0" w:color="auto"/>
              <w:bottom w:val="single" w:sz="4" w:space="0" w:color="auto"/>
            </w:tcBorders>
            <w:shd w:val="clear" w:color="auto" w:fill="DEEAF6" w:themeFill="accent1" w:themeFillTint="33"/>
            <w:vAlign w:val="center"/>
          </w:tcPr>
          <w:p w14:paraId="5F4A63DA" w14:textId="096E0B69" w:rsidR="00855B2D" w:rsidRPr="00310BF2" w:rsidRDefault="218C8239" w:rsidP="66DE4C64">
            <w:pPr>
              <w:jc w:val="center"/>
              <w:rPr>
                <w:rFonts w:ascii="Times New Roman" w:hAnsi="Times New Roman" w:cs="Times New Roman"/>
                <w:b/>
                <w:bCs/>
              </w:rPr>
            </w:pPr>
            <w:r>
              <w:rPr>
                <w:rFonts w:ascii="Times New Roman" w:hAnsi="Times New Roman"/>
                <w:b/>
              </w:rPr>
              <w:t>Основные факты</w:t>
            </w:r>
          </w:p>
        </w:tc>
      </w:tr>
      <w:tr w:rsidR="00855B2D" w:rsidRPr="00310BF2" w14:paraId="02E47E5C" w14:textId="77777777" w:rsidTr="00BF7652">
        <w:trPr>
          <w:trHeight w:hRule="exact" w:val="542"/>
          <w:jc w:val="center"/>
        </w:trPr>
        <w:tc>
          <w:tcPr>
            <w:tcW w:w="2605" w:type="dxa"/>
            <w:tcBorders>
              <w:top w:val="single" w:sz="4" w:space="0" w:color="auto"/>
            </w:tcBorders>
            <w:vAlign w:val="center"/>
          </w:tcPr>
          <w:p w14:paraId="55C017D8" w14:textId="1D987927" w:rsidR="00855B2D" w:rsidRPr="009560DC" w:rsidRDefault="412ADC77" w:rsidP="007F5077">
            <w:pPr>
              <w:rPr>
                <w:rFonts w:ascii="Times New Roman" w:hAnsi="Times New Roman" w:cs="Times New Roman"/>
                <w:sz w:val="20"/>
                <w:szCs w:val="20"/>
              </w:rPr>
            </w:pPr>
            <w:r>
              <w:rPr>
                <w:rFonts w:ascii="Times New Roman" w:hAnsi="Times New Roman"/>
                <w:sz w:val="20"/>
              </w:rPr>
              <w:t>489,2 млн шв. франков</w:t>
            </w:r>
          </w:p>
        </w:tc>
        <w:tc>
          <w:tcPr>
            <w:tcW w:w="4908" w:type="dxa"/>
            <w:tcBorders>
              <w:top w:val="single" w:sz="4" w:space="0" w:color="auto"/>
            </w:tcBorders>
            <w:vAlign w:val="center"/>
          </w:tcPr>
          <w:p w14:paraId="455FAFB5" w14:textId="7FABDECA" w:rsidR="00855B2D" w:rsidRPr="00310BF2" w:rsidRDefault="3FFC9097" w:rsidP="007F5077">
            <w:pPr>
              <w:jc w:val="both"/>
              <w:rPr>
                <w:rFonts w:ascii="Times New Roman" w:hAnsi="Times New Roman" w:cs="Times New Roman"/>
                <w:sz w:val="20"/>
                <w:szCs w:val="20"/>
              </w:rPr>
            </w:pPr>
            <w:r>
              <w:rPr>
                <w:rFonts w:ascii="Times New Roman" w:hAnsi="Times New Roman"/>
                <w:sz w:val="20"/>
              </w:rPr>
              <w:t>Доходы в соответствии с уточненным бюджетом на 2025 год</w:t>
            </w:r>
          </w:p>
        </w:tc>
      </w:tr>
      <w:tr w:rsidR="00855B2D" w:rsidRPr="00310BF2" w14:paraId="011F4B0D" w14:textId="77777777" w:rsidTr="66DE4C64">
        <w:trPr>
          <w:trHeight w:hRule="exact" w:val="340"/>
          <w:jc w:val="center"/>
        </w:trPr>
        <w:tc>
          <w:tcPr>
            <w:tcW w:w="2605" w:type="dxa"/>
            <w:vAlign w:val="center"/>
          </w:tcPr>
          <w:p w14:paraId="12D04D77" w14:textId="4A34D1A6" w:rsidR="00855B2D" w:rsidRPr="00817CE7" w:rsidRDefault="78FCBE48" w:rsidP="007F5077">
            <w:pPr>
              <w:rPr>
                <w:rFonts w:ascii="Times New Roman" w:hAnsi="Times New Roman" w:cs="Times New Roman"/>
                <w:sz w:val="20"/>
                <w:szCs w:val="20"/>
              </w:rPr>
            </w:pPr>
            <w:r>
              <w:rPr>
                <w:rFonts w:ascii="Times New Roman" w:hAnsi="Times New Roman"/>
                <w:sz w:val="20"/>
              </w:rPr>
              <w:t>464,4 млн шв. франков</w:t>
            </w:r>
          </w:p>
        </w:tc>
        <w:tc>
          <w:tcPr>
            <w:tcW w:w="4908" w:type="dxa"/>
            <w:vAlign w:val="center"/>
          </w:tcPr>
          <w:p w14:paraId="5C3890FE" w14:textId="4F2A476A" w:rsidR="00855B2D" w:rsidRPr="00817CE7" w:rsidRDefault="3C95CE38" w:rsidP="00DD6E9C">
            <w:pPr>
              <w:jc w:val="both"/>
              <w:rPr>
                <w:rFonts w:ascii="Times New Roman" w:hAnsi="Times New Roman" w:cs="Times New Roman"/>
                <w:sz w:val="20"/>
                <w:szCs w:val="20"/>
              </w:rPr>
            </w:pPr>
            <w:r>
              <w:rPr>
                <w:rFonts w:ascii="Times New Roman" w:hAnsi="Times New Roman"/>
                <w:sz w:val="20"/>
              </w:rPr>
              <w:t>Бюджет после перераспред</w:t>
            </w:r>
            <w:r w:rsidR="00C71060">
              <w:rPr>
                <w:rFonts w:ascii="Times New Roman" w:hAnsi="Times New Roman"/>
                <w:sz w:val="20"/>
              </w:rPr>
              <w:t>еления</w:t>
            </w:r>
            <w:r>
              <w:rPr>
                <w:rFonts w:ascii="Times New Roman" w:hAnsi="Times New Roman"/>
                <w:sz w:val="20"/>
              </w:rPr>
              <w:t xml:space="preserve"> средств, 2025 год</w:t>
            </w:r>
          </w:p>
        </w:tc>
      </w:tr>
      <w:tr w:rsidR="00855B2D" w:rsidRPr="00310BF2" w14:paraId="6C75DF7E" w14:textId="77777777" w:rsidTr="66DE4C64">
        <w:trPr>
          <w:trHeight w:hRule="exact" w:val="340"/>
          <w:jc w:val="center"/>
        </w:trPr>
        <w:tc>
          <w:tcPr>
            <w:tcW w:w="2605" w:type="dxa"/>
            <w:vAlign w:val="center"/>
          </w:tcPr>
          <w:p w14:paraId="288EDEFB" w14:textId="675B990E" w:rsidR="00855B2D" w:rsidRPr="009560DC" w:rsidRDefault="26896B71" w:rsidP="007F5077">
            <w:pPr>
              <w:rPr>
                <w:rFonts w:ascii="Times New Roman" w:hAnsi="Times New Roman" w:cs="Times New Roman"/>
                <w:sz w:val="20"/>
                <w:szCs w:val="20"/>
              </w:rPr>
            </w:pPr>
            <w:bookmarkStart w:id="49" w:name="_Hlk223000316"/>
            <w:r>
              <w:rPr>
                <w:rFonts w:ascii="Times New Roman" w:hAnsi="Times New Roman"/>
                <w:sz w:val="20"/>
              </w:rPr>
              <w:t>497,6</w:t>
            </w:r>
            <w:bookmarkEnd w:id="49"/>
            <w:r>
              <w:rPr>
                <w:rFonts w:ascii="Times New Roman" w:hAnsi="Times New Roman"/>
                <w:sz w:val="20"/>
              </w:rPr>
              <w:t> млн шв. франков</w:t>
            </w:r>
          </w:p>
        </w:tc>
        <w:tc>
          <w:tcPr>
            <w:tcW w:w="4908" w:type="dxa"/>
            <w:vAlign w:val="center"/>
          </w:tcPr>
          <w:p w14:paraId="0C0D11F0" w14:textId="77777777" w:rsidR="00855B2D" w:rsidRPr="00310BF2" w:rsidRDefault="218C8239" w:rsidP="007F5077">
            <w:pPr>
              <w:jc w:val="both"/>
              <w:rPr>
                <w:rFonts w:ascii="Times New Roman" w:hAnsi="Times New Roman" w:cs="Times New Roman"/>
                <w:sz w:val="20"/>
                <w:szCs w:val="20"/>
              </w:rPr>
            </w:pPr>
            <w:r>
              <w:rPr>
                <w:rFonts w:ascii="Times New Roman" w:hAnsi="Times New Roman"/>
                <w:sz w:val="20"/>
              </w:rPr>
              <w:t>Общий доход, отраженных в отчетности за 2025 год</w:t>
            </w:r>
          </w:p>
        </w:tc>
      </w:tr>
      <w:tr w:rsidR="00855B2D" w:rsidRPr="00310BF2" w14:paraId="56C04EEA" w14:textId="77777777" w:rsidTr="66DE4C64">
        <w:trPr>
          <w:trHeight w:hRule="exact" w:val="340"/>
          <w:jc w:val="center"/>
        </w:trPr>
        <w:tc>
          <w:tcPr>
            <w:tcW w:w="2605" w:type="dxa"/>
            <w:vAlign w:val="center"/>
          </w:tcPr>
          <w:p w14:paraId="010BC8EB" w14:textId="6720FA5B" w:rsidR="00855B2D" w:rsidRPr="009560DC" w:rsidRDefault="639C7D5E" w:rsidP="007F5077">
            <w:pPr>
              <w:rPr>
                <w:rFonts w:ascii="Times New Roman" w:hAnsi="Times New Roman" w:cs="Times New Roman"/>
                <w:sz w:val="20"/>
                <w:szCs w:val="20"/>
              </w:rPr>
            </w:pPr>
            <w:bookmarkStart w:id="50" w:name="_Hlk223000364"/>
            <w:r>
              <w:rPr>
                <w:rFonts w:ascii="Times New Roman" w:hAnsi="Times New Roman"/>
                <w:sz w:val="20"/>
              </w:rPr>
              <w:t>437, 8</w:t>
            </w:r>
            <w:bookmarkEnd w:id="50"/>
            <w:r>
              <w:rPr>
                <w:rFonts w:ascii="Times New Roman" w:hAnsi="Times New Roman"/>
                <w:sz w:val="20"/>
              </w:rPr>
              <w:t> млн шв. франков</w:t>
            </w:r>
          </w:p>
        </w:tc>
        <w:tc>
          <w:tcPr>
            <w:tcW w:w="4908" w:type="dxa"/>
            <w:vAlign w:val="center"/>
          </w:tcPr>
          <w:p w14:paraId="3C279D0A" w14:textId="77777777" w:rsidR="00855B2D" w:rsidRPr="00310BF2" w:rsidRDefault="218C8239" w:rsidP="007F5077">
            <w:pPr>
              <w:jc w:val="both"/>
              <w:rPr>
                <w:rFonts w:ascii="Times New Roman" w:hAnsi="Times New Roman" w:cs="Times New Roman"/>
                <w:sz w:val="20"/>
                <w:szCs w:val="20"/>
              </w:rPr>
            </w:pPr>
            <w:r>
              <w:rPr>
                <w:rFonts w:ascii="Times New Roman" w:hAnsi="Times New Roman"/>
                <w:sz w:val="20"/>
              </w:rPr>
              <w:t>Общие расходы, понесенные в 2025 году</w:t>
            </w:r>
          </w:p>
        </w:tc>
      </w:tr>
      <w:tr w:rsidR="00855B2D" w:rsidRPr="00310BF2" w14:paraId="35E03450" w14:textId="77777777" w:rsidTr="66DE4C64">
        <w:trPr>
          <w:trHeight w:hRule="exact" w:val="340"/>
          <w:jc w:val="center"/>
        </w:trPr>
        <w:tc>
          <w:tcPr>
            <w:tcW w:w="2605" w:type="dxa"/>
            <w:vAlign w:val="center"/>
          </w:tcPr>
          <w:p w14:paraId="2AA05AD9" w14:textId="3DC01048" w:rsidR="00855B2D" w:rsidRPr="009560DC" w:rsidRDefault="3CB90A26" w:rsidP="007F5077">
            <w:pPr>
              <w:rPr>
                <w:rFonts w:ascii="Times New Roman" w:hAnsi="Times New Roman" w:cs="Times New Roman"/>
                <w:sz w:val="20"/>
                <w:szCs w:val="20"/>
              </w:rPr>
            </w:pPr>
            <w:r>
              <w:rPr>
                <w:rFonts w:ascii="Times New Roman" w:hAnsi="Times New Roman"/>
                <w:sz w:val="20"/>
              </w:rPr>
              <w:t>884,3 млн шв. франков</w:t>
            </w:r>
          </w:p>
        </w:tc>
        <w:tc>
          <w:tcPr>
            <w:tcW w:w="4908" w:type="dxa"/>
            <w:vAlign w:val="center"/>
          </w:tcPr>
          <w:p w14:paraId="64CA09A0" w14:textId="77777777" w:rsidR="00855B2D" w:rsidRPr="00310BF2" w:rsidRDefault="218C8239" w:rsidP="007F5077">
            <w:pPr>
              <w:jc w:val="both"/>
              <w:rPr>
                <w:rFonts w:ascii="Times New Roman" w:hAnsi="Times New Roman" w:cs="Times New Roman"/>
                <w:sz w:val="20"/>
                <w:szCs w:val="20"/>
              </w:rPr>
            </w:pPr>
            <w:r>
              <w:rPr>
                <w:rFonts w:ascii="Times New Roman" w:hAnsi="Times New Roman"/>
                <w:sz w:val="20"/>
              </w:rPr>
              <w:t>Чистые активы на 31 декабря 2025 года</w:t>
            </w:r>
          </w:p>
        </w:tc>
      </w:tr>
      <w:tr w:rsidR="00855B2D" w:rsidRPr="00310BF2" w14:paraId="52720A95" w14:textId="77777777" w:rsidTr="00F86774">
        <w:trPr>
          <w:trHeight w:hRule="exact" w:val="474"/>
          <w:jc w:val="center"/>
        </w:trPr>
        <w:tc>
          <w:tcPr>
            <w:tcW w:w="2605" w:type="dxa"/>
            <w:vAlign w:val="center"/>
          </w:tcPr>
          <w:p w14:paraId="7543BE32" w14:textId="3176D7B9" w:rsidR="00855B2D" w:rsidRPr="00310BF2" w:rsidRDefault="3DD6D744" w:rsidP="007F5077">
            <w:pPr>
              <w:rPr>
                <w:rFonts w:ascii="Times New Roman" w:hAnsi="Times New Roman" w:cs="Times New Roman"/>
                <w:sz w:val="20"/>
                <w:szCs w:val="20"/>
              </w:rPr>
            </w:pPr>
            <w:r>
              <w:rPr>
                <w:rFonts w:ascii="Times New Roman" w:hAnsi="Times New Roman"/>
                <w:sz w:val="20"/>
              </w:rPr>
              <w:t>59,8 млн шв. франков</w:t>
            </w:r>
          </w:p>
        </w:tc>
        <w:tc>
          <w:tcPr>
            <w:tcW w:w="4908" w:type="dxa"/>
            <w:vAlign w:val="center"/>
          </w:tcPr>
          <w:p w14:paraId="42E47BE6" w14:textId="74153A62" w:rsidR="00855B2D" w:rsidRPr="00310BF2" w:rsidRDefault="762F2554" w:rsidP="007F5077">
            <w:pPr>
              <w:jc w:val="both"/>
              <w:rPr>
                <w:rFonts w:ascii="Times New Roman" w:hAnsi="Times New Roman" w:cs="Times New Roman"/>
                <w:sz w:val="20"/>
                <w:szCs w:val="20"/>
              </w:rPr>
            </w:pPr>
            <w:r>
              <w:rPr>
                <w:rFonts w:ascii="Times New Roman" w:hAnsi="Times New Roman"/>
                <w:sz w:val="20"/>
              </w:rPr>
              <w:t>Операционный профицит</w:t>
            </w:r>
          </w:p>
        </w:tc>
      </w:tr>
      <w:tr w:rsidR="00855B2D" w:rsidRPr="00310BF2" w14:paraId="74F7BEAC" w14:textId="77777777" w:rsidTr="00BF7652">
        <w:trPr>
          <w:trHeight w:hRule="exact" w:val="916"/>
          <w:jc w:val="center"/>
        </w:trPr>
        <w:tc>
          <w:tcPr>
            <w:tcW w:w="2605" w:type="dxa"/>
            <w:vAlign w:val="center"/>
          </w:tcPr>
          <w:p w14:paraId="11DE159B" w14:textId="14ED9C6F" w:rsidR="00855B2D" w:rsidRPr="00310BF2" w:rsidRDefault="20A82A1E" w:rsidP="007F5077">
            <w:pPr>
              <w:rPr>
                <w:rFonts w:ascii="Times New Roman" w:hAnsi="Times New Roman" w:cs="Times New Roman"/>
                <w:sz w:val="20"/>
                <w:szCs w:val="20"/>
              </w:rPr>
            </w:pPr>
            <w:r>
              <w:rPr>
                <w:rFonts w:ascii="Times New Roman" w:hAnsi="Times New Roman"/>
                <w:sz w:val="20"/>
              </w:rPr>
              <w:t>1,790</w:t>
            </w:r>
          </w:p>
        </w:tc>
        <w:tc>
          <w:tcPr>
            <w:tcW w:w="4908" w:type="dxa"/>
            <w:vAlign w:val="center"/>
          </w:tcPr>
          <w:p w14:paraId="0FEF936F" w14:textId="458BAD16" w:rsidR="00855B2D" w:rsidRPr="00310BF2" w:rsidRDefault="72004222" w:rsidP="00D5493D">
            <w:pPr>
              <w:jc w:val="both"/>
              <w:rPr>
                <w:rFonts w:ascii="Times New Roman" w:hAnsi="Times New Roman" w:cs="Times New Roman"/>
                <w:sz w:val="20"/>
                <w:szCs w:val="20"/>
              </w:rPr>
            </w:pPr>
            <w:r>
              <w:rPr>
                <w:rFonts w:ascii="Times New Roman" w:hAnsi="Times New Roman"/>
                <w:sz w:val="20"/>
              </w:rPr>
              <w:t>Штатные и иные сотрудники (по состоянию на 30</w:t>
            </w:r>
            <w:r w:rsidR="00F52A3A">
              <w:rPr>
                <w:rFonts w:ascii="Times New Roman" w:hAnsi="Times New Roman"/>
                <w:sz w:val="20"/>
              </w:rPr>
              <w:t> </w:t>
            </w:r>
            <w:r>
              <w:rPr>
                <w:rFonts w:ascii="Times New Roman" w:hAnsi="Times New Roman"/>
                <w:sz w:val="20"/>
              </w:rPr>
              <w:t>июня 2025 года)</w:t>
            </w:r>
          </w:p>
        </w:tc>
      </w:tr>
      <w:tr w:rsidR="00855B2D" w:rsidRPr="00310BF2" w14:paraId="35F1C88B" w14:textId="77777777" w:rsidTr="66DE4C64">
        <w:trPr>
          <w:trHeight w:hRule="exact" w:val="80"/>
          <w:jc w:val="center"/>
        </w:trPr>
        <w:tc>
          <w:tcPr>
            <w:tcW w:w="2605" w:type="dxa"/>
            <w:vAlign w:val="center"/>
          </w:tcPr>
          <w:p w14:paraId="5F5AB2E9" w14:textId="77777777" w:rsidR="00855B2D" w:rsidRPr="00310BF2" w:rsidRDefault="00855B2D" w:rsidP="007F5077">
            <w:pPr>
              <w:rPr>
                <w:rFonts w:ascii="Times New Roman" w:hAnsi="Times New Roman" w:cs="Times New Roman"/>
                <w:sz w:val="20"/>
                <w:szCs w:val="20"/>
              </w:rPr>
            </w:pPr>
          </w:p>
        </w:tc>
        <w:tc>
          <w:tcPr>
            <w:tcW w:w="4908" w:type="dxa"/>
            <w:vAlign w:val="center"/>
          </w:tcPr>
          <w:p w14:paraId="358E7A2C" w14:textId="77777777" w:rsidR="00855B2D" w:rsidRPr="00310BF2" w:rsidRDefault="00855B2D" w:rsidP="007F5077">
            <w:pPr>
              <w:jc w:val="both"/>
              <w:rPr>
                <w:rFonts w:ascii="Times New Roman" w:hAnsi="Times New Roman" w:cs="Times New Roman"/>
                <w:sz w:val="20"/>
                <w:szCs w:val="20"/>
              </w:rPr>
            </w:pPr>
          </w:p>
        </w:tc>
      </w:tr>
    </w:tbl>
    <w:p w14:paraId="259709BB" w14:textId="77777777" w:rsidR="00795D4A" w:rsidRDefault="00795D4A" w:rsidP="00B02E6E">
      <w:pPr>
        <w:pStyle w:val="ListParagraph"/>
        <w:spacing w:before="120" w:after="120" w:line="280" w:lineRule="exact"/>
        <w:ind w:left="810" w:hanging="425"/>
        <w:contextualSpacing w:val="0"/>
        <w:jc w:val="both"/>
        <w:rPr>
          <w:rFonts w:ascii="Times New Roman" w:hAnsi="Times New Roman" w:cs="Times New Roman"/>
          <w:b/>
          <w:bCs/>
        </w:rPr>
      </w:pPr>
    </w:p>
    <w:p w14:paraId="27F9C882" w14:textId="466ED966" w:rsidR="00AD501D" w:rsidRDefault="00AD501D" w:rsidP="00662CC7">
      <w:pPr>
        <w:pStyle w:val="ListParagraph"/>
        <w:spacing w:before="120" w:after="120" w:line="280" w:lineRule="exact"/>
        <w:ind w:left="336"/>
        <w:contextualSpacing w:val="0"/>
        <w:jc w:val="both"/>
        <w:rPr>
          <w:rFonts w:ascii="Times New Roman" w:hAnsi="Times New Roman" w:cs="Times New Roman"/>
          <w:b/>
          <w:bCs/>
        </w:rPr>
      </w:pPr>
      <w:r>
        <w:rPr>
          <w:rFonts w:ascii="Times New Roman" w:hAnsi="Times New Roman"/>
          <w:b/>
        </w:rPr>
        <w:t>Бюджет</w:t>
      </w:r>
    </w:p>
    <w:p w14:paraId="6D8AD85C" w14:textId="63535CE9" w:rsidR="00AD501D" w:rsidRDefault="000B4AA3" w:rsidP="00736805">
      <w:pPr>
        <w:pStyle w:val="LFARPara"/>
        <w:ind w:left="851" w:hanging="491"/>
      </w:pPr>
      <w:r>
        <w:t xml:space="preserve">Программа работы и бюджет Организации составляются с применением модифицированного метода начисления и утверждаются Ассамблеями на двухлетний период. Однако для каждого </w:t>
      </w:r>
      <w:r w:rsidR="00BF7652">
        <w:t xml:space="preserve">года двухлетнего периода </w:t>
      </w:r>
      <w:r>
        <w:t>составляются отдельные сметы. В Ведомости V представлено сравнение утвержденного бюджета и фактических расходов на 2025 год. Сверка данных об исполнении бюджета с данными о доходах и расходах, приводимыми в Отчете о финансовых результатах деятельности, представлена в примечании 15 к финансовым ведомостям.</w:t>
      </w:r>
    </w:p>
    <w:p w14:paraId="511314C5" w14:textId="46A0C283" w:rsidR="00B06E59" w:rsidRPr="007D21BE" w:rsidRDefault="00307711" w:rsidP="00736805">
      <w:pPr>
        <w:pStyle w:val="LFARPara"/>
        <w:ind w:left="851" w:hanging="491"/>
      </w:pPr>
      <w:r>
        <w:t>Генеральная Ассамблея ВОИС утвердила общий бюджет на двухлетний период 2024–2025 годов в размере 857,3 млн шв. франков, включая первоначальные ассигнования на 2025 год в размере 430,4 млн шв. франков. Бюджетные переводы, связанные с принятыми обязательствами по расходам, привели к установлению окончательного объема ассигнований на 2025 год в размере 464,4 млн шв. франков. Фактические расходы в размере 395,0 млн шв. франков были осуществлены в пределах окончательного бюджета, что обеспечило чистый профицит бюджета за год в размере 93,4 млн шв. франков на основе модифицированного метода начисления.</w:t>
      </w:r>
    </w:p>
    <w:p w14:paraId="5F2F6280" w14:textId="0FFAEA43" w:rsidR="00AA6B56" w:rsidRPr="00310BF2" w:rsidRDefault="00AA6B56" w:rsidP="00F86774">
      <w:pPr>
        <w:pStyle w:val="ListParagraph"/>
        <w:keepNext/>
        <w:keepLines/>
        <w:spacing w:before="120" w:after="120" w:line="280" w:lineRule="exact"/>
        <w:ind w:left="335"/>
        <w:contextualSpacing w:val="0"/>
        <w:jc w:val="both"/>
        <w:rPr>
          <w:rFonts w:ascii="Times New Roman" w:hAnsi="Times New Roman" w:cs="Times New Roman"/>
          <w:b/>
          <w:bCs/>
        </w:rPr>
      </w:pPr>
      <w:r>
        <w:rPr>
          <w:rFonts w:ascii="Times New Roman" w:hAnsi="Times New Roman"/>
          <w:b/>
        </w:rPr>
        <w:lastRenderedPageBreak/>
        <w:t>Финансовые результаты</w:t>
      </w:r>
    </w:p>
    <w:p w14:paraId="43A00791" w14:textId="5F2E1D9D" w:rsidR="00785A2A" w:rsidRDefault="00453AC2" w:rsidP="00736805">
      <w:pPr>
        <w:pStyle w:val="LFARPara"/>
        <w:ind w:left="851" w:hanging="491"/>
      </w:pPr>
      <w:r>
        <w:t>В 2025 году доходы увеличились на 0,9 млн шв. франков (0,2%) и достигли 497,6 млн шв. франков (2024 год: 496,7 млн шв. франков). Рост доходов в 2025 году был обусловлен увеличением на 3,9% пошлин Мадридской системы до 86,6 млн шв. франков (2024 год: 83,3 млн шв. франков). Свою роль сыграли и пошлины Гаагской системы, увеличившись на 13,7% до 10,0 млн шв. франков (2024 год: 8,8 млн шв. франков). На сопоставимой основе фактические доходы за год были ниже бюджетных доходов в размере 489,2 млн шв. франков на 0,7 млн шв. франков (0,2%). За двухлетний период, закончившийся 31 декабря 2025 года, фактические доходы за двухлетний период были выше бюджетных доходов в размере 973,0 млн шв. франков на 2,0 млн шв. франков (0,2%).</w:t>
      </w:r>
    </w:p>
    <w:p w14:paraId="5254B941" w14:textId="1F7BC97C" w:rsidR="007B7F2D" w:rsidRDefault="007B7F2D" w:rsidP="00736805">
      <w:pPr>
        <w:pStyle w:val="LFARPara"/>
        <w:ind w:left="851" w:hanging="491"/>
      </w:pPr>
      <w:r>
        <w:t>Расходы за год были зафиксированы в размере 437,8 млн шв. франков, что на 1,7% больше по сравнению с 430,3 млн шв. франков в 2024 году. В 2025</w:t>
      </w:r>
      <w:r w:rsidR="00170700">
        <w:t> </w:t>
      </w:r>
      <w:r>
        <w:t>году основные расходы, составившие 84,3% совокупных расходов, были связаны с расходами на персонал и расходами на услуги по контрактам в размере 368,9 млн шв. франков. Расходы на персонал сократились на 2,8% до 246,0 млн шв. франков (2024 год: 252,8</w:t>
      </w:r>
      <w:r w:rsidR="00F86774">
        <w:t> </w:t>
      </w:r>
      <w:r>
        <w:t>млн шв. франков). Расходы на услуги по контрактам увеличились на 8,4% до 122,9</w:t>
      </w:r>
      <w:r w:rsidR="00170700">
        <w:t> </w:t>
      </w:r>
      <w:r>
        <w:t>млн шв. франков (2024 год: 113,4</w:t>
      </w:r>
      <w:r w:rsidR="00170700">
        <w:t> </w:t>
      </w:r>
      <w:r>
        <w:t>млн шв. франков). На сопоставимой основе фактические расходы за год были ниже бюджетных расходов в размере 464,4 млн шв. франков на 69,4 млн шв. франков (14,9%). За двухлетний период, закончившийся 31</w:t>
      </w:r>
      <w:r w:rsidR="00170700">
        <w:t> </w:t>
      </w:r>
      <w:r>
        <w:t>декабря 2025 года, фактические расходы за двухлетний период были ниже бюджетных расходов в размере 857,3 млн шв. франков на 78,9 млн шв. франков (9,2%).</w:t>
      </w:r>
    </w:p>
    <w:p w14:paraId="781AA18D" w14:textId="5328AC80" w:rsidR="00892629" w:rsidRDefault="00786063" w:rsidP="00736805">
      <w:pPr>
        <w:pStyle w:val="LFARPara"/>
        <w:ind w:left="851" w:hanging="491"/>
      </w:pPr>
      <w:r>
        <w:t>В 2025 году финансовые результаты Организации ухудшились, несмотря на стабильный уровень доходов, при этом совокупный профицит сократился на 55,6 млн шв. франков (39,7%) до 84,48 млн шв. франков (2024 год: 140,1 млн шв. франков). Это снижение было обусловлено главным образом существенным сокращением чистой прибыли от инвестиций, которая снизилась с 73,7 млн шв. франков в 2024 году до 24,6</w:t>
      </w:r>
      <w:r w:rsidR="000C200C">
        <w:t> </w:t>
      </w:r>
      <w:r>
        <w:t>млн шв. франков в 2025 году. Показатель чистой прибыли от инвестиций за 2025 год в размере 24,6 млн шв. франков приводится после перераспределения доходности инвестиций в размере 14,2 млн шв. франков на расходы на персонал и актуарную прибыль, отражаемую через чистые активы, поскольку эти суммы относятся к активам плана, предназначенным для финансирования обязательства по Медицинскому страхованию после прекращения службы (МСПС).</w:t>
      </w:r>
    </w:p>
    <w:p w14:paraId="35998B65" w14:textId="1C2006A0" w:rsidR="00AA6B56" w:rsidRPr="00310BF2" w:rsidRDefault="00AA6B56" w:rsidP="00662CC7">
      <w:pPr>
        <w:pStyle w:val="ListParagraph"/>
        <w:spacing w:before="120" w:after="120" w:line="280" w:lineRule="exact"/>
        <w:ind w:left="336"/>
        <w:contextualSpacing w:val="0"/>
        <w:jc w:val="both"/>
        <w:rPr>
          <w:rFonts w:ascii="Times New Roman" w:hAnsi="Times New Roman" w:cs="Times New Roman"/>
          <w:b/>
          <w:bCs/>
        </w:rPr>
      </w:pPr>
      <w:r>
        <w:rPr>
          <w:rFonts w:ascii="Times New Roman" w:hAnsi="Times New Roman"/>
          <w:b/>
        </w:rPr>
        <w:t>Финансовое положение</w:t>
      </w:r>
    </w:p>
    <w:p w14:paraId="4C7FD93B" w14:textId="5E8624E5" w:rsidR="007A5380" w:rsidRDefault="007A5380" w:rsidP="00736805">
      <w:pPr>
        <w:pStyle w:val="LFARPara"/>
        <w:ind w:left="851" w:hanging="491"/>
      </w:pPr>
      <w:r>
        <w:t>В 2025 году чистые активы увеличились на 173,6 млн шв. франков и достигли 884,3 млн шв. франков (2024 год: 710,7 млн шв. франков). В его состав входили, среди прочего, накопленный профицит в размере 1 008,4 млн шв. франков, Резерв для специальных проектов в размере 40,4 млн шв. франков и накопленные актуарные убытки в размере 178,8</w:t>
      </w:r>
      <w:r w:rsidR="000C200C">
        <w:t> </w:t>
      </w:r>
      <w:r>
        <w:t>млн шв. франков (2024 год: 909,8 млн шв. франков, 54,5 млн шв. франков и 268,0</w:t>
      </w:r>
      <w:r w:rsidR="000C200C">
        <w:t> </w:t>
      </w:r>
      <w:r>
        <w:t>млн шв. франков соответственно). Увеличение чистых активов на 173,6 млн шв. франков было обусловлено профицитом за год в размере 84,5 млн шв. франков в сочетании со снижением на 89,1 млн шв. франков актуарных убытков, связанных с чистым обязательством ВОИС по МСПС.</w:t>
      </w:r>
    </w:p>
    <w:p w14:paraId="1C5D70EE" w14:textId="1B028DB5" w:rsidR="00AA6B56" w:rsidRPr="00310BF2" w:rsidRDefault="00AA6B56" w:rsidP="00662CC7">
      <w:pPr>
        <w:pStyle w:val="ListParagraph"/>
        <w:spacing w:before="120" w:after="120" w:line="280" w:lineRule="exact"/>
        <w:ind w:left="336"/>
        <w:contextualSpacing w:val="0"/>
        <w:jc w:val="both"/>
        <w:rPr>
          <w:rFonts w:ascii="Times New Roman" w:hAnsi="Times New Roman" w:cs="Times New Roman"/>
          <w:b/>
          <w:bCs/>
        </w:rPr>
      </w:pPr>
      <w:r>
        <w:rPr>
          <w:rFonts w:ascii="Times New Roman" w:hAnsi="Times New Roman"/>
          <w:b/>
        </w:rPr>
        <w:t>Финансовая устойчивость</w:t>
      </w:r>
    </w:p>
    <w:p w14:paraId="4748BE81" w14:textId="2AECD2E5" w:rsidR="006741D6" w:rsidRDefault="00781AB2" w:rsidP="00736805">
      <w:pPr>
        <w:pStyle w:val="LFARPara"/>
        <w:ind w:left="851" w:hanging="491"/>
        <w:rPr>
          <w:rFonts w:ascii="Arial" w:hAnsi="Arial" w:cs="Arial"/>
          <w:b/>
          <w:bCs/>
          <w:sz w:val="18"/>
          <w:szCs w:val="18"/>
        </w:rPr>
      </w:pPr>
      <w:bookmarkStart w:id="51" w:name="_Toc223114052"/>
      <w:r>
        <w:t xml:space="preserve">В целом ключевые финансовые показатели остаются устойчивыми, несмотря на сокращение периода обеспеченности денежными средствами до 65 дней в 2025 году по </w:t>
      </w:r>
      <w:r>
        <w:lastRenderedPageBreak/>
        <w:t>сравнению с 87 днями в 2024 году. Анализ BPK показывает, что Организация способна выполнять свои обязательства (см. таблицу 1 ниже).</w:t>
      </w:r>
    </w:p>
    <w:p w14:paraId="4E26E69F" w14:textId="7C63A035" w:rsidR="00B07A6C" w:rsidRPr="00EE62C3" w:rsidRDefault="00B07A6C" w:rsidP="00514378">
      <w:pPr>
        <w:pStyle w:val="Caption"/>
        <w:spacing w:after="0"/>
      </w:pPr>
      <w:bookmarkStart w:id="52" w:name="_Toc230784942"/>
      <w:bookmarkStart w:id="53" w:name="_Hlk192095338"/>
      <w:bookmarkEnd w:id="51"/>
      <w:r>
        <w:t xml:space="preserve">Таблица </w:t>
      </w:r>
      <w:r w:rsidR="003D791D">
        <w:fldChar w:fldCharType="begin"/>
      </w:r>
      <w:r w:rsidR="003D791D">
        <w:instrText xml:space="preserve"> SEQ Table \* ARABIC </w:instrText>
      </w:r>
      <w:r w:rsidR="003D791D">
        <w:fldChar w:fldCharType="separate"/>
      </w:r>
      <w:r w:rsidR="008F0391">
        <w:rPr>
          <w:noProof/>
        </w:rPr>
        <w:t>1</w:t>
      </w:r>
      <w:r w:rsidR="003D791D">
        <w:fldChar w:fldCharType="end"/>
      </w:r>
      <w:r>
        <w:t>.</w:t>
      </w:r>
      <w:r>
        <w:tab/>
        <w:t>Финансовые коэффициенты ВОИС</w:t>
      </w:r>
      <w:bookmarkEnd w:id="52"/>
    </w:p>
    <w:tbl>
      <w:tblPr>
        <w:tblpPr w:leftFromText="180" w:rightFromText="180" w:vertAnchor="text" w:horzAnchor="margin" w:tblpX="421" w:tblpY="333"/>
        <w:tblW w:w="8642" w:type="dxa"/>
        <w:tblLook w:val="04A0" w:firstRow="1" w:lastRow="0" w:firstColumn="1" w:lastColumn="0" w:noHBand="0" w:noVBand="1"/>
      </w:tblPr>
      <w:tblGrid>
        <w:gridCol w:w="2995"/>
        <w:gridCol w:w="1106"/>
        <w:gridCol w:w="1106"/>
        <w:gridCol w:w="1360"/>
        <w:gridCol w:w="1121"/>
        <w:gridCol w:w="954"/>
      </w:tblGrid>
      <w:tr w:rsidR="006B4EEC" w:rsidRPr="00310BF2" w14:paraId="50D038E4" w14:textId="77777777" w:rsidTr="66DE4C64">
        <w:trPr>
          <w:trHeight w:val="20"/>
          <w:tblHeader/>
        </w:trPr>
        <w:tc>
          <w:tcPr>
            <w:tcW w:w="2995" w:type="dxa"/>
            <w:vMerge w:val="restart"/>
            <w:tcBorders>
              <w:top w:val="single" w:sz="4" w:space="0" w:color="auto"/>
              <w:left w:val="single" w:sz="4" w:space="0" w:color="auto"/>
              <w:right w:val="nil"/>
            </w:tcBorders>
            <w:shd w:val="clear" w:color="auto" w:fill="BDD6EE" w:themeFill="accent1" w:themeFillTint="66"/>
            <w:noWrap/>
            <w:vAlign w:val="center"/>
            <w:hideMark/>
          </w:tcPr>
          <w:p w14:paraId="0F315F19" w14:textId="5DB861BB" w:rsidR="00A12725" w:rsidRPr="00310BF2" w:rsidRDefault="101C89E7" w:rsidP="00C455C5">
            <w:pPr>
              <w:spacing w:line="240" w:lineRule="exact"/>
              <w:jc w:val="center"/>
              <w:rPr>
                <w:rFonts w:eastAsia="Times New Roman"/>
                <w:b/>
                <w:bCs/>
                <w:color w:val="000000"/>
                <w:sz w:val="16"/>
                <w:szCs w:val="16"/>
              </w:rPr>
            </w:pPr>
            <w:bookmarkStart w:id="54" w:name="_Toc161320395"/>
            <w:bookmarkEnd w:id="53"/>
            <w:r>
              <w:rPr>
                <w:b/>
                <w:sz w:val="16"/>
              </w:rPr>
              <w:t>Описание коэффициента</w:t>
            </w:r>
          </w:p>
        </w:tc>
        <w:tc>
          <w:tcPr>
            <w:tcW w:w="5647" w:type="dxa"/>
            <w:gridSpan w:val="5"/>
            <w:tcBorders>
              <w:top w:val="single" w:sz="4" w:space="0" w:color="auto"/>
              <w:left w:val="nil"/>
              <w:bottom w:val="nil"/>
              <w:right w:val="single" w:sz="4" w:space="0" w:color="auto"/>
            </w:tcBorders>
            <w:shd w:val="clear" w:color="auto" w:fill="BDD6EE" w:themeFill="accent1" w:themeFillTint="66"/>
            <w:noWrap/>
            <w:vAlign w:val="center"/>
            <w:hideMark/>
          </w:tcPr>
          <w:p w14:paraId="7419EC30" w14:textId="77777777" w:rsidR="00A12725" w:rsidRPr="00310BF2" w:rsidRDefault="101C89E7" w:rsidP="00C455C5">
            <w:pPr>
              <w:spacing w:line="240" w:lineRule="exact"/>
              <w:jc w:val="center"/>
              <w:rPr>
                <w:rFonts w:eastAsia="Times New Roman"/>
                <w:b/>
                <w:bCs/>
                <w:color w:val="000000"/>
                <w:sz w:val="16"/>
                <w:szCs w:val="16"/>
              </w:rPr>
            </w:pPr>
            <w:r>
              <w:rPr>
                <w:b/>
                <w:sz w:val="16"/>
              </w:rPr>
              <w:t>Год</w:t>
            </w:r>
          </w:p>
          <w:p w14:paraId="2186F0CA" w14:textId="77777777" w:rsidR="00A12725" w:rsidRPr="00310BF2" w:rsidRDefault="00A12725" w:rsidP="00C455C5">
            <w:pPr>
              <w:spacing w:line="240" w:lineRule="exact"/>
              <w:jc w:val="center"/>
              <w:rPr>
                <w:rFonts w:eastAsia="Times New Roman"/>
                <w:b/>
                <w:bCs/>
                <w:color w:val="000000"/>
                <w:sz w:val="16"/>
                <w:szCs w:val="16"/>
              </w:rPr>
            </w:pPr>
          </w:p>
        </w:tc>
      </w:tr>
      <w:tr w:rsidR="00F846AD" w:rsidRPr="00310BF2" w14:paraId="27529967" w14:textId="77777777" w:rsidTr="00AE0837">
        <w:trPr>
          <w:trHeight w:val="20"/>
          <w:tblHeader/>
        </w:trPr>
        <w:tc>
          <w:tcPr>
            <w:tcW w:w="2995" w:type="dxa"/>
            <w:vMerge/>
            <w:tcBorders>
              <w:left w:val="single" w:sz="4" w:space="0" w:color="auto"/>
              <w:bottom w:val="single" w:sz="8" w:space="0" w:color="auto"/>
            </w:tcBorders>
            <w:noWrap/>
            <w:vAlign w:val="center"/>
            <w:hideMark/>
          </w:tcPr>
          <w:p w14:paraId="5F2375EB" w14:textId="77777777" w:rsidR="00A12725" w:rsidRPr="00310BF2" w:rsidRDefault="00A12725" w:rsidP="00C455C5">
            <w:pPr>
              <w:spacing w:line="240" w:lineRule="exact"/>
              <w:jc w:val="center"/>
              <w:rPr>
                <w:rFonts w:eastAsia="Times New Roman"/>
                <w:b/>
                <w:bCs/>
                <w:color w:val="000000"/>
                <w:sz w:val="16"/>
                <w:szCs w:val="16"/>
              </w:rPr>
            </w:pPr>
          </w:p>
        </w:tc>
        <w:tc>
          <w:tcPr>
            <w:tcW w:w="1106" w:type="dxa"/>
            <w:tcBorders>
              <w:top w:val="nil"/>
              <w:left w:val="nil"/>
              <w:bottom w:val="single" w:sz="8" w:space="0" w:color="auto"/>
              <w:right w:val="nil"/>
            </w:tcBorders>
            <w:shd w:val="clear" w:color="auto" w:fill="BDD6EE" w:themeFill="accent1" w:themeFillTint="66"/>
            <w:noWrap/>
            <w:vAlign w:val="center"/>
            <w:hideMark/>
          </w:tcPr>
          <w:p w14:paraId="6E6F9235" w14:textId="77777777" w:rsidR="00A12725" w:rsidRPr="00310BF2" w:rsidRDefault="101C89E7" w:rsidP="00C455C5">
            <w:pPr>
              <w:spacing w:line="240" w:lineRule="exact"/>
              <w:jc w:val="center"/>
              <w:rPr>
                <w:rFonts w:eastAsia="Times New Roman"/>
                <w:b/>
                <w:bCs/>
                <w:color w:val="000000"/>
                <w:sz w:val="16"/>
                <w:szCs w:val="16"/>
              </w:rPr>
            </w:pPr>
            <w:r>
              <w:rPr>
                <w:b/>
                <w:sz w:val="16"/>
              </w:rPr>
              <w:t>2025</w:t>
            </w:r>
          </w:p>
        </w:tc>
        <w:tc>
          <w:tcPr>
            <w:tcW w:w="1106" w:type="dxa"/>
            <w:tcBorders>
              <w:top w:val="nil"/>
              <w:left w:val="nil"/>
              <w:bottom w:val="single" w:sz="8" w:space="0" w:color="auto"/>
              <w:right w:val="nil"/>
            </w:tcBorders>
            <w:shd w:val="clear" w:color="auto" w:fill="BDD6EE" w:themeFill="accent1" w:themeFillTint="66"/>
            <w:noWrap/>
            <w:vAlign w:val="center"/>
            <w:hideMark/>
          </w:tcPr>
          <w:p w14:paraId="4948F34A" w14:textId="77777777" w:rsidR="00A12725" w:rsidRPr="00310BF2" w:rsidRDefault="101C89E7" w:rsidP="00C455C5">
            <w:pPr>
              <w:spacing w:line="240" w:lineRule="exact"/>
              <w:jc w:val="center"/>
              <w:rPr>
                <w:rFonts w:eastAsia="Times New Roman"/>
                <w:b/>
                <w:bCs/>
                <w:color w:val="000000"/>
                <w:sz w:val="16"/>
                <w:szCs w:val="16"/>
              </w:rPr>
            </w:pPr>
            <w:r>
              <w:rPr>
                <w:b/>
                <w:sz w:val="16"/>
              </w:rPr>
              <w:t>2024</w:t>
            </w:r>
          </w:p>
        </w:tc>
        <w:tc>
          <w:tcPr>
            <w:tcW w:w="1360" w:type="dxa"/>
            <w:tcBorders>
              <w:top w:val="nil"/>
              <w:left w:val="nil"/>
              <w:bottom w:val="single" w:sz="8" w:space="0" w:color="auto"/>
              <w:right w:val="nil"/>
            </w:tcBorders>
            <w:shd w:val="clear" w:color="auto" w:fill="BDD6EE" w:themeFill="accent1" w:themeFillTint="66"/>
            <w:noWrap/>
            <w:vAlign w:val="center"/>
            <w:hideMark/>
          </w:tcPr>
          <w:p w14:paraId="0EAA376D" w14:textId="77777777" w:rsidR="00A12725" w:rsidRPr="00310BF2" w:rsidRDefault="0B056706" w:rsidP="00C455C5">
            <w:pPr>
              <w:spacing w:line="240" w:lineRule="exact"/>
              <w:jc w:val="center"/>
              <w:rPr>
                <w:rFonts w:eastAsia="Times New Roman"/>
                <w:b/>
                <w:bCs/>
                <w:color w:val="000000"/>
                <w:sz w:val="16"/>
                <w:szCs w:val="16"/>
              </w:rPr>
            </w:pPr>
            <w:r>
              <w:rPr>
                <w:b/>
                <w:sz w:val="16"/>
              </w:rPr>
              <w:t xml:space="preserve">2023 </w:t>
            </w:r>
          </w:p>
        </w:tc>
        <w:tc>
          <w:tcPr>
            <w:tcW w:w="1121" w:type="dxa"/>
            <w:tcBorders>
              <w:top w:val="nil"/>
              <w:left w:val="nil"/>
              <w:bottom w:val="single" w:sz="8" w:space="0" w:color="auto"/>
              <w:right w:val="nil"/>
            </w:tcBorders>
            <w:shd w:val="clear" w:color="auto" w:fill="BDD6EE" w:themeFill="accent1" w:themeFillTint="66"/>
            <w:noWrap/>
            <w:vAlign w:val="center"/>
            <w:hideMark/>
          </w:tcPr>
          <w:p w14:paraId="331D0666" w14:textId="548D6E46" w:rsidR="00A12725" w:rsidRPr="00310BF2" w:rsidRDefault="101C89E7" w:rsidP="00C455C5">
            <w:pPr>
              <w:spacing w:line="240" w:lineRule="exact"/>
              <w:jc w:val="center"/>
              <w:rPr>
                <w:rFonts w:eastAsia="Times New Roman"/>
                <w:b/>
                <w:bCs/>
                <w:color w:val="000000"/>
                <w:sz w:val="16"/>
                <w:szCs w:val="16"/>
              </w:rPr>
            </w:pPr>
            <w:r>
              <w:rPr>
                <w:b/>
                <w:sz w:val="16"/>
              </w:rPr>
              <w:t xml:space="preserve">2022 </w:t>
            </w:r>
          </w:p>
        </w:tc>
        <w:tc>
          <w:tcPr>
            <w:tcW w:w="954" w:type="dxa"/>
            <w:tcBorders>
              <w:top w:val="nil"/>
              <w:left w:val="nil"/>
              <w:bottom w:val="single" w:sz="8" w:space="0" w:color="auto"/>
              <w:right w:val="single" w:sz="4" w:space="0" w:color="auto"/>
            </w:tcBorders>
            <w:shd w:val="clear" w:color="auto" w:fill="BDD6EE" w:themeFill="accent1" w:themeFillTint="66"/>
            <w:noWrap/>
            <w:vAlign w:val="center"/>
            <w:hideMark/>
          </w:tcPr>
          <w:p w14:paraId="7B8B3A90" w14:textId="77777777" w:rsidR="00A12725" w:rsidRPr="00310BF2" w:rsidRDefault="0B056706" w:rsidP="00C455C5">
            <w:pPr>
              <w:spacing w:line="240" w:lineRule="exact"/>
              <w:jc w:val="center"/>
              <w:rPr>
                <w:rFonts w:eastAsia="Times New Roman"/>
                <w:b/>
                <w:bCs/>
                <w:color w:val="000000"/>
                <w:sz w:val="16"/>
                <w:szCs w:val="16"/>
              </w:rPr>
            </w:pPr>
            <w:r>
              <w:rPr>
                <w:b/>
                <w:sz w:val="16"/>
              </w:rPr>
              <w:t>2021</w:t>
            </w:r>
          </w:p>
        </w:tc>
      </w:tr>
      <w:tr w:rsidR="00F846AD" w:rsidRPr="00310BF2" w14:paraId="2B635CB1" w14:textId="77777777" w:rsidTr="00AE0837">
        <w:trPr>
          <w:trHeight w:val="20"/>
        </w:trPr>
        <w:tc>
          <w:tcPr>
            <w:tcW w:w="2995" w:type="dxa"/>
            <w:tcBorders>
              <w:top w:val="single" w:sz="8" w:space="0" w:color="auto"/>
              <w:left w:val="single" w:sz="4" w:space="0" w:color="auto"/>
              <w:bottom w:val="nil"/>
              <w:right w:val="nil"/>
            </w:tcBorders>
            <w:vAlign w:val="center"/>
            <w:hideMark/>
          </w:tcPr>
          <w:p w14:paraId="26D3DE42" w14:textId="77777777" w:rsidR="00A12725" w:rsidRPr="00310BF2" w:rsidRDefault="101C89E7" w:rsidP="00C455C5">
            <w:pPr>
              <w:spacing w:line="240" w:lineRule="exact"/>
              <w:rPr>
                <w:rFonts w:eastAsia="Times New Roman"/>
                <w:b/>
                <w:bCs/>
                <w:color w:val="000000"/>
                <w:sz w:val="16"/>
                <w:szCs w:val="16"/>
              </w:rPr>
            </w:pPr>
            <w:r>
              <w:rPr>
                <w:b/>
                <w:sz w:val="16"/>
              </w:rPr>
              <w:t>Текущий коэффициент покрытия</w:t>
            </w:r>
            <w:r>
              <w:rPr>
                <w:b/>
                <w:sz w:val="16"/>
                <w:vertAlign w:val="superscript"/>
              </w:rPr>
              <w:t>1</w:t>
            </w:r>
          </w:p>
        </w:tc>
        <w:tc>
          <w:tcPr>
            <w:tcW w:w="1106" w:type="dxa"/>
            <w:tcBorders>
              <w:top w:val="single" w:sz="8" w:space="0" w:color="auto"/>
              <w:left w:val="nil"/>
              <w:bottom w:val="nil"/>
              <w:right w:val="nil"/>
            </w:tcBorders>
            <w:vAlign w:val="center"/>
            <w:hideMark/>
          </w:tcPr>
          <w:p w14:paraId="29025BA6" w14:textId="77777777" w:rsidR="00A12725" w:rsidRPr="00310BF2" w:rsidRDefault="00A12725" w:rsidP="00C455C5">
            <w:pPr>
              <w:spacing w:line="240" w:lineRule="exact"/>
              <w:rPr>
                <w:rFonts w:eastAsia="Times New Roman"/>
                <w:b/>
                <w:bCs/>
                <w:color w:val="000000"/>
                <w:sz w:val="16"/>
                <w:szCs w:val="16"/>
              </w:rPr>
            </w:pPr>
          </w:p>
        </w:tc>
        <w:tc>
          <w:tcPr>
            <w:tcW w:w="1106" w:type="dxa"/>
            <w:tcBorders>
              <w:top w:val="single" w:sz="8" w:space="0" w:color="auto"/>
              <w:left w:val="nil"/>
              <w:bottom w:val="nil"/>
              <w:right w:val="nil"/>
            </w:tcBorders>
            <w:noWrap/>
            <w:vAlign w:val="center"/>
            <w:hideMark/>
          </w:tcPr>
          <w:p w14:paraId="5A82C8B1" w14:textId="77777777" w:rsidR="00A12725" w:rsidRPr="00310BF2" w:rsidRDefault="00A12725" w:rsidP="00C455C5">
            <w:pPr>
              <w:spacing w:line="240" w:lineRule="exact"/>
              <w:rPr>
                <w:rFonts w:eastAsia="Times New Roman"/>
                <w:sz w:val="16"/>
                <w:szCs w:val="16"/>
              </w:rPr>
            </w:pPr>
          </w:p>
        </w:tc>
        <w:tc>
          <w:tcPr>
            <w:tcW w:w="1360" w:type="dxa"/>
            <w:tcBorders>
              <w:top w:val="single" w:sz="8" w:space="0" w:color="auto"/>
              <w:left w:val="nil"/>
              <w:bottom w:val="nil"/>
              <w:right w:val="nil"/>
            </w:tcBorders>
            <w:noWrap/>
            <w:vAlign w:val="center"/>
            <w:hideMark/>
          </w:tcPr>
          <w:p w14:paraId="665A22E3" w14:textId="77777777" w:rsidR="00A12725" w:rsidRPr="00310BF2" w:rsidRDefault="00A12725" w:rsidP="00C455C5">
            <w:pPr>
              <w:spacing w:line="240" w:lineRule="exact"/>
              <w:rPr>
                <w:rFonts w:eastAsia="Times New Roman"/>
                <w:sz w:val="16"/>
                <w:szCs w:val="16"/>
              </w:rPr>
            </w:pPr>
          </w:p>
        </w:tc>
        <w:tc>
          <w:tcPr>
            <w:tcW w:w="1121" w:type="dxa"/>
            <w:tcBorders>
              <w:top w:val="single" w:sz="8" w:space="0" w:color="auto"/>
              <w:left w:val="nil"/>
              <w:bottom w:val="nil"/>
              <w:right w:val="nil"/>
            </w:tcBorders>
            <w:noWrap/>
            <w:vAlign w:val="center"/>
            <w:hideMark/>
          </w:tcPr>
          <w:p w14:paraId="2AF95095" w14:textId="77777777" w:rsidR="00A12725" w:rsidRPr="00310BF2" w:rsidRDefault="00A12725" w:rsidP="00C455C5">
            <w:pPr>
              <w:spacing w:line="240" w:lineRule="exact"/>
              <w:rPr>
                <w:rFonts w:eastAsia="Times New Roman"/>
                <w:sz w:val="16"/>
                <w:szCs w:val="16"/>
              </w:rPr>
            </w:pPr>
          </w:p>
        </w:tc>
        <w:tc>
          <w:tcPr>
            <w:tcW w:w="954" w:type="dxa"/>
            <w:tcBorders>
              <w:top w:val="single" w:sz="8" w:space="0" w:color="auto"/>
              <w:left w:val="nil"/>
              <w:bottom w:val="nil"/>
              <w:right w:val="single" w:sz="4" w:space="0" w:color="auto"/>
            </w:tcBorders>
            <w:noWrap/>
            <w:vAlign w:val="center"/>
            <w:hideMark/>
          </w:tcPr>
          <w:p w14:paraId="3995301B" w14:textId="77777777" w:rsidR="00A12725" w:rsidRPr="00310BF2" w:rsidRDefault="00A12725" w:rsidP="00C455C5">
            <w:pPr>
              <w:spacing w:line="240" w:lineRule="exact"/>
              <w:rPr>
                <w:rFonts w:eastAsia="Times New Roman"/>
                <w:sz w:val="16"/>
                <w:szCs w:val="16"/>
              </w:rPr>
            </w:pPr>
          </w:p>
        </w:tc>
      </w:tr>
      <w:tr w:rsidR="00A9792D" w:rsidRPr="00310BF2" w14:paraId="0945ECE0" w14:textId="77777777" w:rsidTr="66DE4C64">
        <w:trPr>
          <w:trHeight w:val="20"/>
        </w:trPr>
        <w:tc>
          <w:tcPr>
            <w:tcW w:w="2995" w:type="dxa"/>
            <w:tcBorders>
              <w:top w:val="nil"/>
              <w:left w:val="single" w:sz="4" w:space="0" w:color="auto"/>
              <w:bottom w:val="dotted" w:sz="4" w:space="0" w:color="auto"/>
              <w:right w:val="nil"/>
            </w:tcBorders>
            <w:vAlign w:val="center"/>
            <w:hideMark/>
          </w:tcPr>
          <w:p w14:paraId="1DE7C6D3" w14:textId="21B8D8B2" w:rsidR="00A9792D" w:rsidRPr="00310BF2" w:rsidRDefault="646658E9" w:rsidP="00C455C5">
            <w:pPr>
              <w:spacing w:line="240" w:lineRule="exact"/>
              <w:rPr>
                <w:rFonts w:eastAsia="Times New Roman"/>
                <w:color w:val="000000"/>
                <w:sz w:val="16"/>
                <w:szCs w:val="16"/>
              </w:rPr>
            </w:pPr>
            <w:r>
              <w:rPr>
                <w:sz w:val="16"/>
              </w:rPr>
              <w:t>Текущие активы</w:t>
            </w:r>
            <w:r w:rsidR="00955668">
              <w:rPr>
                <w:sz w:val="16"/>
              </w:rPr>
              <w:t> </w:t>
            </w:r>
            <w:r w:rsidRPr="00710190">
              <w:rPr>
                <w:b/>
                <w:bCs/>
                <w:sz w:val="16"/>
              </w:rPr>
              <w:t>:</w:t>
            </w:r>
            <w:r>
              <w:rPr>
                <w:sz w:val="16"/>
              </w:rPr>
              <w:t xml:space="preserve"> </w:t>
            </w:r>
            <w:r w:rsidR="000C200C">
              <w:rPr>
                <w:sz w:val="16"/>
              </w:rPr>
              <w:t>Т</w:t>
            </w:r>
            <w:r>
              <w:rPr>
                <w:sz w:val="16"/>
              </w:rPr>
              <w:t>екущие обязательства</w:t>
            </w:r>
          </w:p>
        </w:tc>
        <w:tc>
          <w:tcPr>
            <w:tcW w:w="1106" w:type="dxa"/>
            <w:tcBorders>
              <w:top w:val="nil"/>
              <w:left w:val="nil"/>
              <w:bottom w:val="dotted" w:sz="4" w:space="0" w:color="auto"/>
              <w:right w:val="nil"/>
            </w:tcBorders>
            <w:vAlign w:val="center"/>
          </w:tcPr>
          <w:p w14:paraId="5FC33BEE" w14:textId="20B64602" w:rsidR="00A9792D" w:rsidRPr="00D43C3F" w:rsidRDefault="018B921F" w:rsidP="00C455C5">
            <w:pPr>
              <w:spacing w:line="240" w:lineRule="exact"/>
              <w:jc w:val="center"/>
              <w:rPr>
                <w:rFonts w:eastAsia="Times New Roman"/>
                <w:color w:val="000000"/>
                <w:sz w:val="16"/>
                <w:szCs w:val="16"/>
                <w:highlight w:val="yellow"/>
              </w:rPr>
            </w:pPr>
            <w:r>
              <w:rPr>
                <w:sz w:val="16"/>
              </w:rPr>
              <w:t>0,64</w:t>
            </w:r>
          </w:p>
        </w:tc>
        <w:tc>
          <w:tcPr>
            <w:tcW w:w="1106" w:type="dxa"/>
            <w:tcBorders>
              <w:top w:val="nil"/>
              <w:left w:val="nil"/>
              <w:bottom w:val="dotted" w:sz="4" w:space="0" w:color="auto"/>
              <w:right w:val="nil"/>
            </w:tcBorders>
            <w:noWrap/>
          </w:tcPr>
          <w:p w14:paraId="5FDF0AE7" w14:textId="1E662180" w:rsidR="00A9792D" w:rsidRPr="00310BF2" w:rsidRDefault="646658E9" w:rsidP="00C455C5">
            <w:pPr>
              <w:spacing w:line="240" w:lineRule="exact"/>
              <w:jc w:val="center"/>
              <w:rPr>
                <w:rFonts w:eastAsia="Times New Roman"/>
                <w:color w:val="000000"/>
                <w:sz w:val="16"/>
                <w:szCs w:val="16"/>
              </w:rPr>
            </w:pPr>
            <w:r>
              <w:rPr>
                <w:sz w:val="16"/>
              </w:rPr>
              <w:t>0,65</w:t>
            </w:r>
          </w:p>
        </w:tc>
        <w:tc>
          <w:tcPr>
            <w:tcW w:w="1360" w:type="dxa"/>
            <w:tcBorders>
              <w:top w:val="nil"/>
              <w:left w:val="nil"/>
              <w:bottom w:val="dotted" w:sz="4" w:space="0" w:color="auto"/>
              <w:right w:val="nil"/>
            </w:tcBorders>
            <w:noWrap/>
          </w:tcPr>
          <w:p w14:paraId="0AB219E9" w14:textId="2002C3F2" w:rsidR="00A9792D" w:rsidRPr="00310BF2" w:rsidRDefault="646658E9" w:rsidP="00C455C5">
            <w:pPr>
              <w:spacing w:line="240" w:lineRule="exact"/>
              <w:jc w:val="center"/>
              <w:rPr>
                <w:rFonts w:eastAsia="Times New Roman"/>
                <w:color w:val="000000"/>
                <w:sz w:val="16"/>
                <w:szCs w:val="16"/>
              </w:rPr>
            </w:pPr>
            <w:r>
              <w:rPr>
                <w:sz w:val="16"/>
              </w:rPr>
              <w:t>0,66</w:t>
            </w:r>
          </w:p>
        </w:tc>
        <w:tc>
          <w:tcPr>
            <w:tcW w:w="1121" w:type="dxa"/>
            <w:tcBorders>
              <w:top w:val="nil"/>
              <w:left w:val="nil"/>
              <w:bottom w:val="dotted" w:sz="4" w:space="0" w:color="auto"/>
              <w:right w:val="nil"/>
            </w:tcBorders>
            <w:noWrap/>
          </w:tcPr>
          <w:p w14:paraId="6D98B8E3" w14:textId="6DD09489" w:rsidR="00A9792D" w:rsidRPr="00310BF2" w:rsidRDefault="646658E9" w:rsidP="00C455C5">
            <w:pPr>
              <w:spacing w:line="240" w:lineRule="exact"/>
              <w:jc w:val="center"/>
              <w:rPr>
                <w:rFonts w:eastAsia="Times New Roman"/>
                <w:color w:val="000000"/>
                <w:sz w:val="16"/>
                <w:szCs w:val="16"/>
              </w:rPr>
            </w:pPr>
            <w:r>
              <w:rPr>
                <w:sz w:val="16"/>
              </w:rPr>
              <w:t>0,66</w:t>
            </w:r>
          </w:p>
        </w:tc>
        <w:tc>
          <w:tcPr>
            <w:tcW w:w="954" w:type="dxa"/>
            <w:tcBorders>
              <w:top w:val="nil"/>
              <w:left w:val="nil"/>
              <w:bottom w:val="dotted" w:sz="4" w:space="0" w:color="auto"/>
              <w:right w:val="single" w:sz="4" w:space="0" w:color="auto"/>
            </w:tcBorders>
            <w:noWrap/>
          </w:tcPr>
          <w:p w14:paraId="16F9D3FA" w14:textId="39AECAD6" w:rsidR="00A9792D" w:rsidRPr="00310BF2" w:rsidRDefault="646658E9" w:rsidP="00C455C5">
            <w:pPr>
              <w:spacing w:line="240" w:lineRule="exact"/>
              <w:jc w:val="center"/>
              <w:rPr>
                <w:rFonts w:eastAsia="Times New Roman"/>
                <w:color w:val="000000"/>
                <w:sz w:val="16"/>
                <w:szCs w:val="16"/>
              </w:rPr>
            </w:pPr>
            <w:r>
              <w:rPr>
                <w:sz w:val="16"/>
              </w:rPr>
              <w:t>0,54</w:t>
            </w:r>
          </w:p>
        </w:tc>
      </w:tr>
      <w:tr w:rsidR="00F846AD" w:rsidRPr="00310BF2" w14:paraId="60C96057" w14:textId="77777777" w:rsidTr="66DE4C64">
        <w:trPr>
          <w:trHeight w:val="20"/>
        </w:trPr>
        <w:tc>
          <w:tcPr>
            <w:tcW w:w="2995" w:type="dxa"/>
            <w:tcBorders>
              <w:top w:val="dotted" w:sz="4" w:space="0" w:color="auto"/>
              <w:left w:val="single" w:sz="4" w:space="0" w:color="auto"/>
              <w:bottom w:val="nil"/>
              <w:right w:val="nil"/>
            </w:tcBorders>
            <w:vAlign w:val="center"/>
            <w:hideMark/>
          </w:tcPr>
          <w:p w14:paraId="5A9CF2B0" w14:textId="6A59085C" w:rsidR="00F846AD" w:rsidRPr="00310BF2" w:rsidRDefault="00955668" w:rsidP="00C455C5">
            <w:pPr>
              <w:spacing w:line="240" w:lineRule="exact"/>
              <w:rPr>
                <w:rFonts w:eastAsia="Times New Roman"/>
                <w:b/>
                <w:bCs/>
                <w:color w:val="000000"/>
                <w:sz w:val="16"/>
                <w:szCs w:val="16"/>
              </w:rPr>
            </w:pPr>
            <w:r>
              <w:rPr>
                <w:b/>
                <w:sz w:val="16"/>
              </w:rPr>
              <w:t>Совокупные</w:t>
            </w:r>
            <w:r w:rsidR="0B056706">
              <w:rPr>
                <w:b/>
                <w:sz w:val="16"/>
              </w:rPr>
              <w:t xml:space="preserve"> активы</w:t>
            </w:r>
            <w:r>
              <w:rPr>
                <w:b/>
                <w:sz w:val="16"/>
              </w:rPr>
              <w:t> </w:t>
            </w:r>
            <w:r w:rsidR="0B056706">
              <w:rPr>
                <w:b/>
                <w:sz w:val="16"/>
              </w:rPr>
              <w:t xml:space="preserve">: </w:t>
            </w:r>
            <w:r>
              <w:rPr>
                <w:b/>
                <w:sz w:val="16"/>
              </w:rPr>
              <w:t>Совокупные</w:t>
            </w:r>
            <w:r w:rsidR="0B056706">
              <w:rPr>
                <w:b/>
                <w:sz w:val="16"/>
              </w:rPr>
              <w:t xml:space="preserve"> обязательства</w:t>
            </w:r>
            <w:r w:rsidR="0B056706">
              <w:rPr>
                <w:b/>
                <w:sz w:val="16"/>
                <w:vertAlign w:val="superscript"/>
              </w:rPr>
              <w:t>2</w:t>
            </w:r>
          </w:p>
        </w:tc>
        <w:tc>
          <w:tcPr>
            <w:tcW w:w="1106" w:type="dxa"/>
            <w:tcBorders>
              <w:top w:val="nil"/>
              <w:left w:val="nil"/>
              <w:bottom w:val="nil"/>
              <w:right w:val="nil"/>
            </w:tcBorders>
            <w:vAlign w:val="center"/>
          </w:tcPr>
          <w:p w14:paraId="5217354F" w14:textId="77777777" w:rsidR="00F846AD" w:rsidRPr="0055596E" w:rsidRDefault="00F846AD" w:rsidP="66DE4C64">
            <w:pPr>
              <w:spacing w:line="240" w:lineRule="exact"/>
              <w:rPr>
                <w:rFonts w:eastAsia="Times New Roman"/>
                <w:b/>
                <w:bCs/>
                <w:color w:val="000000"/>
                <w:sz w:val="16"/>
                <w:szCs w:val="16"/>
              </w:rPr>
            </w:pPr>
          </w:p>
        </w:tc>
        <w:tc>
          <w:tcPr>
            <w:tcW w:w="1106" w:type="dxa"/>
            <w:tcBorders>
              <w:top w:val="nil"/>
              <w:left w:val="nil"/>
              <w:bottom w:val="nil"/>
              <w:right w:val="nil"/>
            </w:tcBorders>
            <w:noWrap/>
            <w:vAlign w:val="center"/>
          </w:tcPr>
          <w:p w14:paraId="5F64FCB3" w14:textId="77777777" w:rsidR="00F846AD" w:rsidRPr="00503B60" w:rsidRDefault="00F846AD" w:rsidP="00C455C5">
            <w:pPr>
              <w:spacing w:line="240" w:lineRule="exact"/>
              <w:jc w:val="center"/>
              <w:rPr>
                <w:rFonts w:eastAsia="Times New Roman"/>
                <w:color w:val="000000"/>
                <w:sz w:val="16"/>
                <w:szCs w:val="16"/>
              </w:rPr>
            </w:pPr>
          </w:p>
        </w:tc>
        <w:tc>
          <w:tcPr>
            <w:tcW w:w="1360" w:type="dxa"/>
            <w:tcBorders>
              <w:top w:val="nil"/>
              <w:left w:val="nil"/>
              <w:bottom w:val="nil"/>
              <w:right w:val="nil"/>
            </w:tcBorders>
            <w:noWrap/>
            <w:vAlign w:val="center"/>
          </w:tcPr>
          <w:p w14:paraId="403F5989" w14:textId="77777777" w:rsidR="00F846AD" w:rsidRPr="00503B60" w:rsidRDefault="00F846AD" w:rsidP="00C455C5">
            <w:pPr>
              <w:spacing w:line="240" w:lineRule="exact"/>
              <w:jc w:val="center"/>
              <w:rPr>
                <w:rFonts w:eastAsia="Times New Roman"/>
                <w:color w:val="000000"/>
                <w:sz w:val="16"/>
                <w:szCs w:val="16"/>
              </w:rPr>
            </w:pPr>
          </w:p>
        </w:tc>
        <w:tc>
          <w:tcPr>
            <w:tcW w:w="1121" w:type="dxa"/>
            <w:tcBorders>
              <w:top w:val="nil"/>
              <w:left w:val="nil"/>
              <w:bottom w:val="nil"/>
              <w:right w:val="nil"/>
            </w:tcBorders>
            <w:noWrap/>
            <w:vAlign w:val="center"/>
          </w:tcPr>
          <w:p w14:paraId="595AB5EF" w14:textId="77777777" w:rsidR="00F846AD" w:rsidRPr="00503B60" w:rsidRDefault="00F846AD" w:rsidP="00C455C5">
            <w:pPr>
              <w:spacing w:line="240" w:lineRule="exact"/>
              <w:jc w:val="center"/>
              <w:rPr>
                <w:rFonts w:eastAsia="Times New Roman"/>
                <w:color w:val="000000"/>
                <w:sz w:val="16"/>
                <w:szCs w:val="16"/>
              </w:rPr>
            </w:pPr>
          </w:p>
        </w:tc>
        <w:tc>
          <w:tcPr>
            <w:tcW w:w="954" w:type="dxa"/>
            <w:tcBorders>
              <w:top w:val="nil"/>
              <w:left w:val="nil"/>
              <w:bottom w:val="nil"/>
              <w:right w:val="single" w:sz="4" w:space="0" w:color="auto"/>
            </w:tcBorders>
            <w:noWrap/>
            <w:vAlign w:val="center"/>
          </w:tcPr>
          <w:p w14:paraId="08027183" w14:textId="77777777" w:rsidR="00F846AD" w:rsidRPr="00503B60" w:rsidRDefault="00F846AD" w:rsidP="00C455C5">
            <w:pPr>
              <w:spacing w:line="240" w:lineRule="exact"/>
              <w:jc w:val="center"/>
              <w:rPr>
                <w:rFonts w:eastAsia="Times New Roman"/>
                <w:color w:val="000000"/>
                <w:sz w:val="16"/>
                <w:szCs w:val="16"/>
              </w:rPr>
            </w:pPr>
          </w:p>
        </w:tc>
      </w:tr>
      <w:tr w:rsidR="00C51DA3" w:rsidRPr="00310BF2" w14:paraId="72D2CE70" w14:textId="77777777" w:rsidTr="66DE4C64">
        <w:trPr>
          <w:trHeight w:val="20"/>
        </w:trPr>
        <w:tc>
          <w:tcPr>
            <w:tcW w:w="2995" w:type="dxa"/>
            <w:tcBorders>
              <w:top w:val="nil"/>
              <w:left w:val="single" w:sz="4" w:space="0" w:color="auto"/>
              <w:bottom w:val="dotted" w:sz="4" w:space="0" w:color="auto"/>
              <w:right w:val="nil"/>
            </w:tcBorders>
            <w:vAlign w:val="center"/>
            <w:hideMark/>
          </w:tcPr>
          <w:p w14:paraId="2881DAD3" w14:textId="77777777" w:rsidR="00C51DA3" w:rsidRPr="00310BF2" w:rsidRDefault="044F3AF6" w:rsidP="00C455C5">
            <w:pPr>
              <w:spacing w:line="240" w:lineRule="exact"/>
              <w:rPr>
                <w:rFonts w:eastAsia="Times New Roman"/>
                <w:color w:val="000000"/>
                <w:sz w:val="16"/>
                <w:szCs w:val="16"/>
              </w:rPr>
            </w:pPr>
            <w:r>
              <w:rPr>
                <w:sz w:val="16"/>
              </w:rPr>
              <w:t>Активы: Обязательства</w:t>
            </w:r>
          </w:p>
        </w:tc>
        <w:tc>
          <w:tcPr>
            <w:tcW w:w="1106" w:type="dxa"/>
            <w:tcBorders>
              <w:top w:val="nil"/>
              <w:left w:val="nil"/>
              <w:bottom w:val="dotted" w:sz="4" w:space="0" w:color="auto"/>
              <w:right w:val="nil"/>
            </w:tcBorders>
            <w:vAlign w:val="center"/>
          </w:tcPr>
          <w:p w14:paraId="18B495BD" w14:textId="257CC946" w:rsidR="00C51DA3" w:rsidRPr="0055596E" w:rsidRDefault="3581E643" w:rsidP="00C455C5">
            <w:pPr>
              <w:spacing w:line="240" w:lineRule="exact"/>
              <w:jc w:val="center"/>
              <w:rPr>
                <w:rFonts w:eastAsia="Times New Roman"/>
                <w:color w:val="000000"/>
                <w:sz w:val="16"/>
                <w:szCs w:val="16"/>
              </w:rPr>
            </w:pPr>
            <w:r>
              <w:rPr>
                <w:sz w:val="16"/>
              </w:rPr>
              <w:t>2,09</w:t>
            </w:r>
          </w:p>
        </w:tc>
        <w:tc>
          <w:tcPr>
            <w:tcW w:w="1106" w:type="dxa"/>
            <w:tcBorders>
              <w:top w:val="nil"/>
              <w:left w:val="nil"/>
              <w:bottom w:val="dotted" w:sz="4" w:space="0" w:color="auto"/>
              <w:right w:val="nil"/>
            </w:tcBorders>
            <w:noWrap/>
            <w:vAlign w:val="center"/>
          </w:tcPr>
          <w:p w14:paraId="62E13944" w14:textId="193AB8D2" w:rsidR="00C51DA3" w:rsidRPr="00310BF2" w:rsidRDefault="189FDEDB" w:rsidP="00C455C5">
            <w:pPr>
              <w:spacing w:line="240" w:lineRule="exact"/>
              <w:jc w:val="center"/>
              <w:rPr>
                <w:rFonts w:eastAsia="Times New Roman"/>
                <w:color w:val="000000"/>
                <w:sz w:val="16"/>
                <w:szCs w:val="16"/>
              </w:rPr>
            </w:pPr>
            <w:r>
              <w:rPr>
                <w:sz w:val="16"/>
              </w:rPr>
              <w:t>1,59</w:t>
            </w:r>
          </w:p>
        </w:tc>
        <w:tc>
          <w:tcPr>
            <w:tcW w:w="1360" w:type="dxa"/>
            <w:tcBorders>
              <w:top w:val="nil"/>
              <w:left w:val="nil"/>
              <w:bottom w:val="dotted" w:sz="4" w:space="0" w:color="auto"/>
              <w:right w:val="nil"/>
            </w:tcBorders>
            <w:noWrap/>
          </w:tcPr>
          <w:p w14:paraId="755EDC16" w14:textId="7C3948F6" w:rsidR="00C51DA3" w:rsidRPr="00310BF2" w:rsidRDefault="044F3AF6" w:rsidP="00C455C5">
            <w:pPr>
              <w:spacing w:line="240" w:lineRule="exact"/>
              <w:jc w:val="center"/>
              <w:rPr>
                <w:rFonts w:eastAsia="Times New Roman"/>
                <w:color w:val="000000"/>
                <w:sz w:val="16"/>
                <w:szCs w:val="16"/>
              </w:rPr>
            </w:pPr>
            <w:r>
              <w:rPr>
                <w:sz w:val="16"/>
              </w:rPr>
              <w:t>1,54</w:t>
            </w:r>
          </w:p>
        </w:tc>
        <w:tc>
          <w:tcPr>
            <w:tcW w:w="1121" w:type="dxa"/>
            <w:tcBorders>
              <w:top w:val="nil"/>
              <w:left w:val="nil"/>
              <w:bottom w:val="dotted" w:sz="4" w:space="0" w:color="auto"/>
              <w:right w:val="nil"/>
            </w:tcBorders>
            <w:noWrap/>
          </w:tcPr>
          <w:p w14:paraId="532E37E5" w14:textId="70012ED5" w:rsidR="00C51DA3" w:rsidRPr="00310BF2" w:rsidRDefault="044F3AF6" w:rsidP="00C455C5">
            <w:pPr>
              <w:spacing w:line="240" w:lineRule="exact"/>
              <w:jc w:val="center"/>
              <w:rPr>
                <w:rFonts w:eastAsia="Times New Roman"/>
                <w:color w:val="000000"/>
                <w:sz w:val="16"/>
                <w:szCs w:val="16"/>
              </w:rPr>
            </w:pPr>
            <w:r>
              <w:rPr>
                <w:sz w:val="16"/>
              </w:rPr>
              <w:t>1,53</w:t>
            </w:r>
          </w:p>
        </w:tc>
        <w:tc>
          <w:tcPr>
            <w:tcW w:w="954" w:type="dxa"/>
            <w:tcBorders>
              <w:top w:val="nil"/>
              <w:left w:val="nil"/>
              <w:bottom w:val="dotted" w:sz="4" w:space="0" w:color="auto"/>
              <w:right w:val="single" w:sz="4" w:space="0" w:color="auto"/>
            </w:tcBorders>
            <w:noWrap/>
          </w:tcPr>
          <w:p w14:paraId="2F23286E" w14:textId="466C32F3" w:rsidR="00C51DA3" w:rsidRPr="00310BF2" w:rsidRDefault="044F3AF6" w:rsidP="00C455C5">
            <w:pPr>
              <w:spacing w:line="240" w:lineRule="exact"/>
              <w:jc w:val="center"/>
              <w:rPr>
                <w:rFonts w:eastAsia="Times New Roman"/>
                <w:color w:val="000000"/>
                <w:sz w:val="16"/>
                <w:szCs w:val="16"/>
              </w:rPr>
            </w:pPr>
            <w:r>
              <w:rPr>
                <w:sz w:val="16"/>
              </w:rPr>
              <w:t>1,35</w:t>
            </w:r>
          </w:p>
        </w:tc>
      </w:tr>
      <w:tr w:rsidR="00F846AD" w:rsidRPr="00310BF2" w14:paraId="40076BE5" w14:textId="77777777" w:rsidTr="66DE4C64">
        <w:trPr>
          <w:trHeight w:val="20"/>
        </w:trPr>
        <w:tc>
          <w:tcPr>
            <w:tcW w:w="2995" w:type="dxa"/>
            <w:tcBorders>
              <w:top w:val="dotted" w:sz="4" w:space="0" w:color="auto"/>
              <w:left w:val="single" w:sz="4" w:space="0" w:color="auto"/>
              <w:bottom w:val="nil"/>
              <w:right w:val="nil"/>
            </w:tcBorders>
            <w:vAlign w:val="center"/>
            <w:hideMark/>
          </w:tcPr>
          <w:p w14:paraId="1C468DA9" w14:textId="77777777" w:rsidR="00F846AD" w:rsidRPr="00310BF2" w:rsidRDefault="0B056706" w:rsidP="00C455C5">
            <w:pPr>
              <w:spacing w:line="240" w:lineRule="exact"/>
              <w:rPr>
                <w:rFonts w:eastAsia="Times New Roman"/>
                <w:b/>
                <w:bCs/>
                <w:color w:val="000000"/>
                <w:sz w:val="16"/>
                <w:szCs w:val="16"/>
              </w:rPr>
            </w:pPr>
            <w:r>
              <w:rPr>
                <w:b/>
                <w:sz w:val="16"/>
              </w:rPr>
              <w:t>Коэффициент ликвидности</w:t>
            </w:r>
            <w:r>
              <w:rPr>
                <w:b/>
                <w:sz w:val="16"/>
                <w:vertAlign w:val="superscript"/>
              </w:rPr>
              <w:t>3</w:t>
            </w:r>
          </w:p>
        </w:tc>
        <w:tc>
          <w:tcPr>
            <w:tcW w:w="1106" w:type="dxa"/>
            <w:tcBorders>
              <w:top w:val="nil"/>
              <w:left w:val="nil"/>
              <w:bottom w:val="nil"/>
              <w:right w:val="nil"/>
            </w:tcBorders>
            <w:vAlign w:val="center"/>
          </w:tcPr>
          <w:p w14:paraId="59B54052" w14:textId="77777777" w:rsidR="00F846AD" w:rsidRPr="00D43C3F" w:rsidRDefault="00F846AD" w:rsidP="00C455C5">
            <w:pPr>
              <w:spacing w:line="240" w:lineRule="exact"/>
              <w:rPr>
                <w:rFonts w:eastAsia="Times New Roman"/>
                <w:b/>
                <w:bCs/>
                <w:color w:val="000000"/>
                <w:sz w:val="16"/>
                <w:szCs w:val="16"/>
                <w:highlight w:val="yellow"/>
              </w:rPr>
            </w:pPr>
          </w:p>
        </w:tc>
        <w:tc>
          <w:tcPr>
            <w:tcW w:w="1106" w:type="dxa"/>
            <w:tcBorders>
              <w:top w:val="nil"/>
              <w:left w:val="nil"/>
              <w:bottom w:val="nil"/>
              <w:right w:val="nil"/>
            </w:tcBorders>
            <w:noWrap/>
            <w:vAlign w:val="center"/>
          </w:tcPr>
          <w:p w14:paraId="19715EE9" w14:textId="77777777" w:rsidR="00F846AD" w:rsidRPr="00503B60" w:rsidRDefault="00F846AD" w:rsidP="00C455C5">
            <w:pPr>
              <w:spacing w:line="240" w:lineRule="exact"/>
              <w:jc w:val="center"/>
              <w:rPr>
                <w:rFonts w:eastAsia="Times New Roman"/>
                <w:color w:val="000000"/>
                <w:sz w:val="16"/>
                <w:szCs w:val="16"/>
              </w:rPr>
            </w:pPr>
          </w:p>
        </w:tc>
        <w:tc>
          <w:tcPr>
            <w:tcW w:w="1360" w:type="dxa"/>
            <w:tcBorders>
              <w:top w:val="nil"/>
              <w:left w:val="nil"/>
              <w:bottom w:val="nil"/>
              <w:right w:val="nil"/>
            </w:tcBorders>
            <w:noWrap/>
            <w:vAlign w:val="center"/>
          </w:tcPr>
          <w:p w14:paraId="2D52D14F" w14:textId="77777777" w:rsidR="00F846AD" w:rsidRPr="00503B60" w:rsidRDefault="00F846AD" w:rsidP="00C455C5">
            <w:pPr>
              <w:spacing w:line="240" w:lineRule="exact"/>
              <w:jc w:val="center"/>
              <w:rPr>
                <w:rFonts w:eastAsia="Times New Roman"/>
                <w:color w:val="000000"/>
                <w:sz w:val="16"/>
                <w:szCs w:val="16"/>
              </w:rPr>
            </w:pPr>
          </w:p>
        </w:tc>
        <w:tc>
          <w:tcPr>
            <w:tcW w:w="1121" w:type="dxa"/>
            <w:tcBorders>
              <w:top w:val="nil"/>
              <w:left w:val="nil"/>
              <w:bottom w:val="nil"/>
              <w:right w:val="nil"/>
            </w:tcBorders>
            <w:noWrap/>
            <w:vAlign w:val="center"/>
          </w:tcPr>
          <w:p w14:paraId="5D34942C" w14:textId="77777777" w:rsidR="00F846AD" w:rsidRPr="00503B60" w:rsidRDefault="00F846AD" w:rsidP="00C455C5">
            <w:pPr>
              <w:spacing w:line="240" w:lineRule="exact"/>
              <w:jc w:val="center"/>
              <w:rPr>
                <w:rFonts w:eastAsia="Times New Roman"/>
                <w:color w:val="000000"/>
                <w:sz w:val="16"/>
                <w:szCs w:val="16"/>
              </w:rPr>
            </w:pPr>
          </w:p>
        </w:tc>
        <w:tc>
          <w:tcPr>
            <w:tcW w:w="954" w:type="dxa"/>
            <w:tcBorders>
              <w:top w:val="nil"/>
              <w:left w:val="nil"/>
              <w:bottom w:val="nil"/>
              <w:right w:val="single" w:sz="4" w:space="0" w:color="auto"/>
            </w:tcBorders>
            <w:noWrap/>
            <w:vAlign w:val="center"/>
          </w:tcPr>
          <w:p w14:paraId="452538F8" w14:textId="77777777" w:rsidR="00F846AD" w:rsidRPr="00503B60" w:rsidRDefault="00F846AD" w:rsidP="00C455C5">
            <w:pPr>
              <w:spacing w:line="240" w:lineRule="exact"/>
              <w:jc w:val="center"/>
              <w:rPr>
                <w:rFonts w:eastAsia="Times New Roman"/>
                <w:color w:val="000000"/>
                <w:sz w:val="16"/>
                <w:szCs w:val="16"/>
              </w:rPr>
            </w:pPr>
          </w:p>
        </w:tc>
      </w:tr>
      <w:tr w:rsidR="001E3674" w:rsidRPr="00310BF2" w14:paraId="1FB6085F" w14:textId="77777777" w:rsidTr="66DE4C64">
        <w:trPr>
          <w:trHeight w:val="20"/>
        </w:trPr>
        <w:tc>
          <w:tcPr>
            <w:tcW w:w="2995" w:type="dxa"/>
            <w:tcBorders>
              <w:top w:val="nil"/>
              <w:left w:val="single" w:sz="4" w:space="0" w:color="auto"/>
              <w:bottom w:val="dotted" w:sz="4" w:space="0" w:color="auto"/>
              <w:right w:val="nil"/>
            </w:tcBorders>
            <w:vAlign w:val="center"/>
            <w:hideMark/>
          </w:tcPr>
          <w:p w14:paraId="77C2F5F2" w14:textId="58A9489E" w:rsidR="001E3674" w:rsidRPr="00310BF2" w:rsidRDefault="465DC519" w:rsidP="00C455C5">
            <w:pPr>
              <w:spacing w:line="240" w:lineRule="exact"/>
              <w:rPr>
                <w:rFonts w:eastAsia="Times New Roman"/>
                <w:color w:val="000000"/>
                <w:sz w:val="16"/>
                <w:szCs w:val="16"/>
              </w:rPr>
            </w:pPr>
            <w:r>
              <w:rPr>
                <w:sz w:val="16"/>
              </w:rPr>
              <w:t>Денежные средства плюс краткосрочные инвестиции</w:t>
            </w:r>
            <w:r w:rsidR="008C4763">
              <w:rPr>
                <w:sz w:val="16"/>
              </w:rPr>
              <w:t> </w:t>
            </w:r>
            <w:r w:rsidRPr="00710190">
              <w:rPr>
                <w:b/>
                <w:bCs/>
                <w:sz w:val="16"/>
              </w:rPr>
              <w:t>:</w:t>
            </w:r>
            <w:r>
              <w:rPr>
                <w:sz w:val="16"/>
              </w:rPr>
              <w:t xml:space="preserve"> </w:t>
            </w:r>
            <w:r w:rsidR="008C4763">
              <w:rPr>
                <w:sz w:val="16"/>
              </w:rPr>
              <w:t>Т</w:t>
            </w:r>
            <w:r>
              <w:rPr>
                <w:sz w:val="16"/>
              </w:rPr>
              <w:t>екущие обязательства</w:t>
            </w:r>
          </w:p>
        </w:tc>
        <w:tc>
          <w:tcPr>
            <w:tcW w:w="1106" w:type="dxa"/>
            <w:tcBorders>
              <w:top w:val="nil"/>
              <w:left w:val="nil"/>
              <w:bottom w:val="dotted" w:sz="4" w:space="0" w:color="auto"/>
              <w:right w:val="nil"/>
            </w:tcBorders>
            <w:vAlign w:val="center"/>
          </w:tcPr>
          <w:p w14:paraId="0D62493E" w14:textId="6B68754F" w:rsidR="001E3674" w:rsidRPr="00D43C3F" w:rsidRDefault="4D177814" w:rsidP="00C455C5">
            <w:pPr>
              <w:spacing w:line="240" w:lineRule="exact"/>
              <w:jc w:val="center"/>
              <w:rPr>
                <w:rFonts w:eastAsia="Times New Roman"/>
                <w:color w:val="000000"/>
                <w:sz w:val="16"/>
                <w:szCs w:val="16"/>
                <w:highlight w:val="yellow"/>
              </w:rPr>
            </w:pPr>
            <w:r>
              <w:rPr>
                <w:sz w:val="16"/>
              </w:rPr>
              <w:t>0,47</w:t>
            </w:r>
          </w:p>
        </w:tc>
        <w:tc>
          <w:tcPr>
            <w:tcW w:w="1106" w:type="dxa"/>
            <w:tcBorders>
              <w:top w:val="nil"/>
              <w:left w:val="nil"/>
              <w:bottom w:val="dotted" w:sz="4" w:space="0" w:color="auto"/>
              <w:right w:val="nil"/>
            </w:tcBorders>
            <w:noWrap/>
            <w:vAlign w:val="center"/>
          </w:tcPr>
          <w:p w14:paraId="0EA07A9C" w14:textId="2F281C12" w:rsidR="001E3674" w:rsidRPr="00310BF2" w:rsidRDefault="465DC519" w:rsidP="00C455C5">
            <w:pPr>
              <w:spacing w:line="240" w:lineRule="exact"/>
              <w:jc w:val="center"/>
              <w:rPr>
                <w:rFonts w:eastAsia="Times New Roman"/>
                <w:color w:val="000000"/>
                <w:sz w:val="16"/>
                <w:szCs w:val="16"/>
              </w:rPr>
            </w:pPr>
            <w:r>
              <w:rPr>
                <w:sz w:val="16"/>
              </w:rPr>
              <w:t>0,50</w:t>
            </w:r>
          </w:p>
        </w:tc>
        <w:tc>
          <w:tcPr>
            <w:tcW w:w="1360" w:type="dxa"/>
            <w:tcBorders>
              <w:top w:val="nil"/>
              <w:left w:val="nil"/>
              <w:bottom w:val="dotted" w:sz="4" w:space="0" w:color="auto"/>
              <w:right w:val="nil"/>
            </w:tcBorders>
            <w:noWrap/>
            <w:vAlign w:val="center"/>
          </w:tcPr>
          <w:p w14:paraId="3D8C7728" w14:textId="2B82D35C" w:rsidR="001E3674" w:rsidRPr="00310BF2" w:rsidRDefault="465DC519" w:rsidP="00C455C5">
            <w:pPr>
              <w:spacing w:line="240" w:lineRule="exact"/>
              <w:jc w:val="center"/>
              <w:rPr>
                <w:rFonts w:eastAsia="Times New Roman"/>
                <w:color w:val="000000"/>
                <w:sz w:val="16"/>
                <w:szCs w:val="16"/>
              </w:rPr>
            </w:pPr>
            <w:r>
              <w:rPr>
                <w:sz w:val="16"/>
              </w:rPr>
              <w:t>0,52</w:t>
            </w:r>
          </w:p>
        </w:tc>
        <w:tc>
          <w:tcPr>
            <w:tcW w:w="1121" w:type="dxa"/>
            <w:tcBorders>
              <w:top w:val="nil"/>
              <w:left w:val="nil"/>
              <w:bottom w:val="dotted" w:sz="4" w:space="0" w:color="auto"/>
              <w:right w:val="nil"/>
            </w:tcBorders>
            <w:noWrap/>
            <w:vAlign w:val="center"/>
          </w:tcPr>
          <w:p w14:paraId="50C4141E" w14:textId="31B33AA6" w:rsidR="001E3674" w:rsidRPr="00310BF2" w:rsidRDefault="465DC519" w:rsidP="00C455C5">
            <w:pPr>
              <w:spacing w:line="240" w:lineRule="exact"/>
              <w:jc w:val="center"/>
              <w:rPr>
                <w:rFonts w:eastAsia="Times New Roman"/>
                <w:color w:val="000000"/>
                <w:sz w:val="16"/>
                <w:szCs w:val="16"/>
              </w:rPr>
            </w:pPr>
            <w:r>
              <w:rPr>
                <w:sz w:val="16"/>
              </w:rPr>
              <w:t>0,52</w:t>
            </w:r>
          </w:p>
        </w:tc>
        <w:tc>
          <w:tcPr>
            <w:tcW w:w="954" w:type="dxa"/>
            <w:tcBorders>
              <w:top w:val="nil"/>
              <w:left w:val="nil"/>
              <w:bottom w:val="dotted" w:sz="4" w:space="0" w:color="auto"/>
              <w:right w:val="single" w:sz="4" w:space="0" w:color="auto"/>
            </w:tcBorders>
            <w:noWrap/>
            <w:vAlign w:val="center"/>
          </w:tcPr>
          <w:p w14:paraId="0D44B3E5" w14:textId="5DAC9CFD" w:rsidR="001E3674" w:rsidRPr="00310BF2" w:rsidRDefault="465DC519" w:rsidP="00C455C5">
            <w:pPr>
              <w:spacing w:line="240" w:lineRule="exact"/>
              <w:jc w:val="center"/>
              <w:rPr>
                <w:rFonts w:eastAsia="Times New Roman"/>
                <w:color w:val="000000"/>
                <w:sz w:val="16"/>
                <w:szCs w:val="16"/>
              </w:rPr>
            </w:pPr>
            <w:r>
              <w:rPr>
                <w:sz w:val="16"/>
              </w:rPr>
              <w:t>0,38</w:t>
            </w:r>
          </w:p>
        </w:tc>
      </w:tr>
      <w:tr w:rsidR="00A72FEE" w:rsidRPr="00310BF2" w14:paraId="734CEE8E" w14:textId="77777777" w:rsidTr="66DE4C64">
        <w:trPr>
          <w:trHeight w:val="20"/>
        </w:trPr>
        <w:tc>
          <w:tcPr>
            <w:tcW w:w="2995" w:type="dxa"/>
            <w:tcBorders>
              <w:top w:val="dotted" w:sz="4" w:space="0" w:color="auto"/>
              <w:left w:val="single" w:sz="4" w:space="0" w:color="auto"/>
              <w:right w:val="nil"/>
            </w:tcBorders>
            <w:vAlign w:val="center"/>
            <w:hideMark/>
          </w:tcPr>
          <w:p w14:paraId="256BF67C" w14:textId="6E45EB83" w:rsidR="00A72FEE" w:rsidRPr="00310BF2" w:rsidRDefault="0A8C877A" w:rsidP="00C455C5">
            <w:pPr>
              <w:spacing w:line="240" w:lineRule="exact"/>
              <w:rPr>
                <w:rFonts w:eastAsia="Times New Roman"/>
                <w:b/>
                <w:bCs/>
                <w:color w:val="000000"/>
                <w:sz w:val="16"/>
                <w:szCs w:val="16"/>
              </w:rPr>
            </w:pPr>
            <w:r>
              <w:rPr>
                <w:b/>
                <w:sz w:val="16"/>
              </w:rPr>
              <w:t>Период обеспеченности денежными средствами</w:t>
            </w:r>
          </w:p>
        </w:tc>
        <w:tc>
          <w:tcPr>
            <w:tcW w:w="1106" w:type="dxa"/>
            <w:tcBorders>
              <w:top w:val="nil"/>
              <w:left w:val="nil"/>
              <w:right w:val="nil"/>
            </w:tcBorders>
            <w:noWrap/>
            <w:vAlign w:val="center"/>
          </w:tcPr>
          <w:p w14:paraId="39DBC1F2" w14:textId="77777777" w:rsidR="00A72FEE" w:rsidRPr="00D43C3F" w:rsidRDefault="00A72FEE" w:rsidP="00C455C5">
            <w:pPr>
              <w:spacing w:line="240" w:lineRule="exact"/>
              <w:rPr>
                <w:rFonts w:eastAsia="Times New Roman"/>
                <w:b/>
                <w:bCs/>
                <w:color w:val="000000"/>
                <w:sz w:val="16"/>
                <w:szCs w:val="16"/>
                <w:highlight w:val="yellow"/>
              </w:rPr>
            </w:pPr>
          </w:p>
        </w:tc>
        <w:tc>
          <w:tcPr>
            <w:tcW w:w="1106" w:type="dxa"/>
            <w:tcBorders>
              <w:top w:val="nil"/>
              <w:left w:val="nil"/>
              <w:right w:val="nil"/>
            </w:tcBorders>
            <w:noWrap/>
            <w:vAlign w:val="center"/>
          </w:tcPr>
          <w:p w14:paraId="3EAC4505" w14:textId="77777777" w:rsidR="00A72FEE" w:rsidRPr="00503B60" w:rsidRDefault="00A72FEE" w:rsidP="00C455C5">
            <w:pPr>
              <w:spacing w:line="240" w:lineRule="exact"/>
              <w:jc w:val="center"/>
              <w:rPr>
                <w:rFonts w:eastAsia="Times New Roman"/>
                <w:color w:val="000000"/>
                <w:sz w:val="16"/>
                <w:szCs w:val="16"/>
              </w:rPr>
            </w:pPr>
          </w:p>
        </w:tc>
        <w:tc>
          <w:tcPr>
            <w:tcW w:w="1360" w:type="dxa"/>
            <w:tcBorders>
              <w:top w:val="nil"/>
              <w:left w:val="nil"/>
              <w:right w:val="nil"/>
            </w:tcBorders>
            <w:noWrap/>
            <w:vAlign w:val="center"/>
          </w:tcPr>
          <w:p w14:paraId="71E09E11" w14:textId="77777777" w:rsidR="00A72FEE" w:rsidRPr="00503B60" w:rsidRDefault="00A72FEE" w:rsidP="00C455C5">
            <w:pPr>
              <w:spacing w:line="240" w:lineRule="exact"/>
              <w:jc w:val="center"/>
              <w:rPr>
                <w:rFonts w:eastAsia="Times New Roman"/>
                <w:color w:val="000000"/>
                <w:sz w:val="16"/>
                <w:szCs w:val="16"/>
              </w:rPr>
            </w:pPr>
          </w:p>
        </w:tc>
        <w:tc>
          <w:tcPr>
            <w:tcW w:w="1121" w:type="dxa"/>
            <w:tcBorders>
              <w:top w:val="nil"/>
              <w:left w:val="nil"/>
              <w:right w:val="nil"/>
            </w:tcBorders>
            <w:noWrap/>
            <w:vAlign w:val="center"/>
          </w:tcPr>
          <w:p w14:paraId="511CD66E" w14:textId="77777777" w:rsidR="00A72FEE" w:rsidRPr="00503B60" w:rsidRDefault="00A72FEE" w:rsidP="00C455C5">
            <w:pPr>
              <w:spacing w:line="240" w:lineRule="exact"/>
              <w:jc w:val="center"/>
              <w:rPr>
                <w:rFonts w:eastAsia="Times New Roman"/>
                <w:color w:val="000000"/>
                <w:sz w:val="16"/>
                <w:szCs w:val="16"/>
              </w:rPr>
            </w:pPr>
          </w:p>
        </w:tc>
        <w:tc>
          <w:tcPr>
            <w:tcW w:w="954" w:type="dxa"/>
            <w:tcBorders>
              <w:top w:val="nil"/>
              <w:left w:val="nil"/>
              <w:right w:val="single" w:sz="4" w:space="0" w:color="auto"/>
            </w:tcBorders>
            <w:noWrap/>
            <w:vAlign w:val="center"/>
          </w:tcPr>
          <w:p w14:paraId="5A5B154C" w14:textId="77777777" w:rsidR="00A72FEE" w:rsidRPr="00503B60" w:rsidRDefault="00A72FEE" w:rsidP="00C455C5">
            <w:pPr>
              <w:spacing w:line="240" w:lineRule="exact"/>
              <w:jc w:val="center"/>
              <w:rPr>
                <w:rFonts w:eastAsia="Times New Roman"/>
                <w:color w:val="000000"/>
                <w:sz w:val="16"/>
                <w:szCs w:val="16"/>
              </w:rPr>
            </w:pPr>
          </w:p>
        </w:tc>
      </w:tr>
      <w:tr w:rsidR="00A72FEE" w:rsidRPr="00310BF2" w14:paraId="7EFA26F3" w14:textId="77777777" w:rsidTr="66DE4C64">
        <w:trPr>
          <w:trHeight w:val="20"/>
        </w:trPr>
        <w:tc>
          <w:tcPr>
            <w:tcW w:w="2995" w:type="dxa"/>
            <w:tcBorders>
              <w:top w:val="nil"/>
              <w:left w:val="single" w:sz="4" w:space="0" w:color="auto"/>
              <w:bottom w:val="single" w:sz="4" w:space="0" w:color="auto"/>
              <w:right w:val="nil"/>
            </w:tcBorders>
            <w:vAlign w:val="center"/>
            <w:hideMark/>
          </w:tcPr>
          <w:p w14:paraId="56B7B8D6" w14:textId="51103B88" w:rsidR="00A72FEE" w:rsidRPr="00310BF2" w:rsidRDefault="0A8C877A" w:rsidP="00C455C5">
            <w:pPr>
              <w:spacing w:line="240" w:lineRule="exact"/>
              <w:rPr>
                <w:rFonts w:eastAsia="Times New Roman"/>
                <w:color w:val="000000"/>
                <w:sz w:val="16"/>
                <w:szCs w:val="16"/>
              </w:rPr>
            </w:pPr>
            <w:r>
              <w:rPr>
                <w:sz w:val="16"/>
              </w:rPr>
              <w:t>Денежные средства и эквиваленты</w:t>
            </w:r>
            <w:r w:rsidR="00710190">
              <w:rPr>
                <w:sz w:val="16"/>
              </w:rPr>
              <w:t> </w:t>
            </w:r>
            <w:r w:rsidRPr="00874FC0">
              <w:rPr>
                <w:b/>
                <w:bCs/>
                <w:sz w:val="16"/>
              </w:rPr>
              <w:t>:</w:t>
            </w:r>
            <w:r>
              <w:rPr>
                <w:sz w:val="16"/>
              </w:rPr>
              <w:t xml:space="preserve"> </w:t>
            </w:r>
          </w:p>
          <w:p w14:paraId="6968B7A4" w14:textId="59544F9A" w:rsidR="00A72FEE" w:rsidRPr="00310BF2" w:rsidRDefault="0A8C877A" w:rsidP="00C455C5">
            <w:pPr>
              <w:spacing w:line="240" w:lineRule="exact"/>
              <w:rPr>
                <w:rFonts w:eastAsia="Times New Roman"/>
                <w:color w:val="000000"/>
                <w:sz w:val="16"/>
                <w:szCs w:val="16"/>
              </w:rPr>
            </w:pPr>
            <w:r>
              <w:rPr>
                <w:sz w:val="16"/>
              </w:rPr>
              <w:t>[(Совокупные расходы – (амортизационные расходы/расходы по обесценению)</w:t>
            </w:r>
            <w:r w:rsidR="00C449BA">
              <w:rPr>
                <w:sz w:val="16"/>
              </w:rPr>
              <w:t> </w:t>
            </w:r>
            <w:r w:rsidRPr="00C449BA">
              <w:rPr>
                <w:b/>
                <w:bCs/>
                <w:sz w:val="16"/>
              </w:rPr>
              <w:t>:</w:t>
            </w:r>
            <w:r>
              <w:rPr>
                <w:sz w:val="16"/>
              </w:rPr>
              <w:t xml:space="preserve"> 365 дня]</w:t>
            </w:r>
          </w:p>
        </w:tc>
        <w:tc>
          <w:tcPr>
            <w:tcW w:w="1106" w:type="dxa"/>
            <w:tcBorders>
              <w:top w:val="nil"/>
              <w:left w:val="nil"/>
              <w:bottom w:val="single" w:sz="4" w:space="0" w:color="auto"/>
              <w:right w:val="nil"/>
            </w:tcBorders>
            <w:vAlign w:val="center"/>
          </w:tcPr>
          <w:p w14:paraId="715A0ABB" w14:textId="282B88C2" w:rsidR="00A72FEE" w:rsidRPr="00D43C3F" w:rsidRDefault="0A8C877A" w:rsidP="00C455C5">
            <w:pPr>
              <w:spacing w:line="240" w:lineRule="exact"/>
              <w:jc w:val="center"/>
              <w:rPr>
                <w:rFonts w:eastAsia="Times New Roman"/>
                <w:color w:val="000000"/>
                <w:sz w:val="16"/>
                <w:szCs w:val="16"/>
                <w:highlight w:val="yellow"/>
              </w:rPr>
            </w:pPr>
            <w:r>
              <w:rPr>
                <w:sz w:val="16"/>
              </w:rPr>
              <w:t>65</w:t>
            </w:r>
          </w:p>
        </w:tc>
        <w:tc>
          <w:tcPr>
            <w:tcW w:w="1106" w:type="dxa"/>
            <w:tcBorders>
              <w:top w:val="nil"/>
              <w:left w:val="nil"/>
              <w:bottom w:val="single" w:sz="4" w:space="0" w:color="auto"/>
              <w:right w:val="nil"/>
            </w:tcBorders>
            <w:noWrap/>
            <w:vAlign w:val="center"/>
          </w:tcPr>
          <w:p w14:paraId="265AA750" w14:textId="2CA64811" w:rsidR="00A72FEE" w:rsidRPr="00310BF2" w:rsidRDefault="36877C3F" w:rsidP="00C455C5">
            <w:pPr>
              <w:spacing w:line="240" w:lineRule="exact"/>
              <w:jc w:val="center"/>
              <w:rPr>
                <w:rFonts w:eastAsia="Times New Roman"/>
                <w:color w:val="000000"/>
                <w:sz w:val="16"/>
                <w:szCs w:val="16"/>
              </w:rPr>
            </w:pPr>
            <w:r>
              <w:rPr>
                <w:sz w:val="16"/>
              </w:rPr>
              <w:t>87</w:t>
            </w:r>
          </w:p>
        </w:tc>
        <w:tc>
          <w:tcPr>
            <w:tcW w:w="1360" w:type="dxa"/>
            <w:tcBorders>
              <w:top w:val="nil"/>
              <w:left w:val="nil"/>
              <w:bottom w:val="single" w:sz="4" w:space="0" w:color="auto"/>
              <w:right w:val="nil"/>
            </w:tcBorders>
            <w:noWrap/>
            <w:vAlign w:val="center"/>
          </w:tcPr>
          <w:p w14:paraId="7ED179CE" w14:textId="26F26AD9" w:rsidR="00A72FEE" w:rsidRPr="00310BF2" w:rsidRDefault="36877C3F" w:rsidP="00C455C5">
            <w:pPr>
              <w:spacing w:line="240" w:lineRule="exact"/>
              <w:jc w:val="center"/>
              <w:rPr>
                <w:rFonts w:eastAsia="Times New Roman"/>
                <w:color w:val="000000"/>
                <w:sz w:val="16"/>
                <w:szCs w:val="16"/>
              </w:rPr>
            </w:pPr>
            <w:r>
              <w:rPr>
                <w:sz w:val="16"/>
              </w:rPr>
              <w:t>78</w:t>
            </w:r>
          </w:p>
        </w:tc>
        <w:tc>
          <w:tcPr>
            <w:tcW w:w="1121" w:type="dxa"/>
            <w:tcBorders>
              <w:top w:val="nil"/>
              <w:left w:val="nil"/>
              <w:bottom w:val="single" w:sz="4" w:space="0" w:color="auto"/>
              <w:right w:val="nil"/>
            </w:tcBorders>
            <w:noWrap/>
            <w:vAlign w:val="center"/>
          </w:tcPr>
          <w:p w14:paraId="453ADA8F" w14:textId="526F958F" w:rsidR="00A72FEE" w:rsidRPr="00310BF2" w:rsidRDefault="36877C3F" w:rsidP="00C455C5">
            <w:pPr>
              <w:spacing w:line="240" w:lineRule="exact"/>
              <w:jc w:val="center"/>
              <w:rPr>
                <w:rFonts w:eastAsia="Times New Roman"/>
                <w:color w:val="000000"/>
                <w:sz w:val="16"/>
                <w:szCs w:val="16"/>
              </w:rPr>
            </w:pPr>
            <w:r>
              <w:rPr>
                <w:sz w:val="16"/>
              </w:rPr>
              <w:t>225</w:t>
            </w:r>
          </w:p>
        </w:tc>
        <w:tc>
          <w:tcPr>
            <w:tcW w:w="954" w:type="dxa"/>
            <w:tcBorders>
              <w:top w:val="nil"/>
              <w:left w:val="nil"/>
              <w:bottom w:val="single" w:sz="4" w:space="0" w:color="auto"/>
              <w:right w:val="single" w:sz="4" w:space="0" w:color="auto"/>
            </w:tcBorders>
            <w:noWrap/>
            <w:vAlign w:val="center"/>
          </w:tcPr>
          <w:p w14:paraId="7DDF6A33" w14:textId="349A295A" w:rsidR="00A72FEE" w:rsidRPr="00310BF2" w:rsidRDefault="36877C3F" w:rsidP="00C455C5">
            <w:pPr>
              <w:spacing w:line="240" w:lineRule="exact"/>
              <w:jc w:val="center"/>
              <w:rPr>
                <w:rFonts w:eastAsia="Times New Roman"/>
                <w:color w:val="000000"/>
                <w:sz w:val="16"/>
                <w:szCs w:val="16"/>
              </w:rPr>
            </w:pPr>
            <w:r>
              <w:rPr>
                <w:sz w:val="16"/>
              </w:rPr>
              <w:t>142</w:t>
            </w:r>
          </w:p>
        </w:tc>
      </w:tr>
      <w:tr w:rsidR="00A72FEE" w:rsidRPr="00310BF2" w14:paraId="66A7D9BA" w14:textId="77777777" w:rsidTr="66DE4C64">
        <w:trPr>
          <w:trHeight w:val="20"/>
        </w:trPr>
        <w:tc>
          <w:tcPr>
            <w:tcW w:w="2995" w:type="dxa"/>
            <w:tcBorders>
              <w:top w:val="nil"/>
              <w:left w:val="single" w:sz="4" w:space="0" w:color="auto"/>
              <w:bottom w:val="single" w:sz="4" w:space="0" w:color="auto"/>
              <w:right w:val="nil"/>
            </w:tcBorders>
            <w:vAlign w:val="center"/>
            <w:hideMark/>
          </w:tcPr>
          <w:p w14:paraId="5307B2EF" w14:textId="77777777" w:rsidR="00A72FEE" w:rsidRPr="00A72FEE" w:rsidRDefault="0A8C877A" w:rsidP="00C455C5">
            <w:pPr>
              <w:spacing w:line="240" w:lineRule="exact"/>
              <w:rPr>
                <w:rFonts w:eastAsia="Times New Roman"/>
                <w:b/>
                <w:bCs/>
                <w:color w:val="000000"/>
                <w:sz w:val="16"/>
                <w:szCs w:val="16"/>
              </w:rPr>
            </w:pPr>
            <w:r>
              <w:rPr>
                <w:b/>
                <w:sz w:val="16"/>
              </w:rPr>
              <w:t>Операционный коэффициент</w:t>
            </w:r>
            <w:r>
              <w:rPr>
                <w:b/>
                <w:sz w:val="16"/>
                <w:vertAlign w:val="superscript"/>
              </w:rPr>
              <w:t>5</w:t>
            </w:r>
          </w:p>
          <w:p w14:paraId="5DB5455E" w14:textId="69684FDE" w:rsidR="00A72FEE" w:rsidRPr="00310BF2" w:rsidRDefault="0A8C877A" w:rsidP="00C455C5">
            <w:pPr>
              <w:spacing w:line="240" w:lineRule="exact"/>
              <w:rPr>
                <w:rFonts w:eastAsia="Times New Roman"/>
                <w:b/>
                <w:bCs/>
                <w:color w:val="000000"/>
                <w:sz w:val="16"/>
                <w:szCs w:val="16"/>
              </w:rPr>
            </w:pPr>
            <w:r>
              <w:rPr>
                <w:sz w:val="16"/>
              </w:rPr>
              <w:t xml:space="preserve">(Доходы – Расходы) </w:t>
            </w:r>
            <w:r w:rsidRPr="00C449BA">
              <w:rPr>
                <w:b/>
                <w:bCs/>
                <w:sz w:val="16"/>
              </w:rPr>
              <w:t>:</w:t>
            </w:r>
            <w:r>
              <w:rPr>
                <w:sz w:val="16"/>
              </w:rPr>
              <w:t xml:space="preserve"> Совокупные расходы</w:t>
            </w:r>
          </w:p>
        </w:tc>
        <w:tc>
          <w:tcPr>
            <w:tcW w:w="1106" w:type="dxa"/>
            <w:tcBorders>
              <w:top w:val="nil"/>
              <w:left w:val="nil"/>
              <w:bottom w:val="single" w:sz="4" w:space="0" w:color="auto"/>
              <w:right w:val="nil"/>
            </w:tcBorders>
            <w:vAlign w:val="center"/>
          </w:tcPr>
          <w:p w14:paraId="0E330231" w14:textId="7249E7EC" w:rsidR="00A72FEE" w:rsidRPr="00D43C3F" w:rsidRDefault="497FF032" w:rsidP="00C455C5">
            <w:pPr>
              <w:spacing w:line="240" w:lineRule="exact"/>
              <w:jc w:val="center"/>
              <w:rPr>
                <w:rFonts w:eastAsia="Times New Roman"/>
                <w:b/>
                <w:bCs/>
                <w:color w:val="000000"/>
                <w:sz w:val="16"/>
                <w:szCs w:val="16"/>
                <w:highlight w:val="yellow"/>
              </w:rPr>
            </w:pPr>
            <w:r>
              <w:rPr>
                <w:sz w:val="16"/>
              </w:rPr>
              <w:t>0,14</w:t>
            </w:r>
          </w:p>
        </w:tc>
        <w:tc>
          <w:tcPr>
            <w:tcW w:w="1106" w:type="dxa"/>
            <w:tcBorders>
              <w:top w:val="nil"/>
              <w:left w:val="nil"/>
              <w:bottom w:val="single" w:sz="4" w:space="0" w:color="auto"/>
              <w:right w:val="nil"/>
            </w:tcBorders>
            <w:noWrap/>
            <w:vAlign w:val="center"/>
          </w:tcPr>
          <w:p w14:paraId="55E7B983" w14:textId="61CCD7B4" w:rsidR="00A72FEE" w:rsidRPr="00503B60" w:rsidRDefault="0A8C877A" w:rsidP="00C455C5">
            <w:pPr>
              <w:spacing w:line="240" w:lineRule="exact"/>
              <w:jc w:val="center"/>
              <w:rPr>
                <w:rFonts w:eastAsia="Times New Roman"/>
                <w:color w:val="000000"/>
                <w:sz w:val="16"/>
                <w:szCs w:val="16"/>
              </w:rPr>
            </w:pPr>
            <w:r>
              <w:rPr>
                <w:sz w:val="16"/>
              </w:rPr>
              <w:t>0,15</w:t>
            </w:r>
          </w:p>
        </w:tc>
        <w:tc>
          <w:tcPr>
            <w:tcW w:w="1360" w:type="dxa"/>
            <w:tcBorders>
              <w:top w:val="nil"/>
              <w:left w:val="nil"/>
              <w:bottom w:val="single" w:sz="4" w:space="0" w:color="auto"/>
              <w:right w:val="nil"/>
            </w:tcBorders>
            <w:noWrap/>
            <w:vAlign w:val="center"/>
          </w:tcPr>
          <w:p w14:paraId="35C4BAC5" w14:textId="0A7C0F5A" w:rsidR="00A72FEE" w:rsidRPr="00503B60" w:rsidRDefault="0A8C877A" w:rsidP="00C455C5">
            <w:pPr>
              <w:spacing w:line="240" w:lineRule="exact"/>
              <w:jc w:val="center"/>
              <w:rPr>
                <w:rFonts w:eastAsia="Times New Roman"/>
                <w:color w:val="000000"/>
                <w:sz w:val="16"/>
                <w:szCs w:val="16"/>
              </w:rPr>
            </w:pPr>
            <w:r>
              <w:rPr>
                <w:sz w:val="16"/>
              </w:rPr>
              <w:t>0,14</w:t>
            </w:r>
          </w:p>
        </w:tc>
        <w:tc>
          <w:tcPr>
            <w:tcW w:w="1121" w:type="dxa"/>
            <w:tcBorders>
              <w:top w:val="nil"/>
              <w:left w:val="nil"/>
              <w:bottom w:val="single" w:sz="4" w:space="0" w:color="auto"/>
              <w:right w:val="nil"/>
            </w:tcBorders>
            <w:noWrap/>
            <w:vAlign w:val="center"/>
          </w:tcPr>
          <w:p w14:paraId="573DEBC9" w14:textId="5465A5F1" w:rsidR="00A72FEE" w:rsidRPr="00503B60" w:rsidRDefault="0A8C877A" w:rsidP="00C455C5">
            <w:pPr>
              <w:spacing w:line="240" w:lineRule="exact"/>
              <w:jc w:val="center"/>
              <w:rPr>
                <w:rFonts w:eastAsia="Times New Roman"/>
                <w:color w:val="000000"/>
                <w:sz w:val="16"/>
                <w:szCs w:val="16"/>
              </w:rPr>
            </w:pPr>
            <w:r>
              <w:rPr>
                <w:sz w:val="16"/>
              </w:rPr>
              <w:t>0,24</w:t>
            </w:r>
          </w:p>
        </w:tc>
        <w:tc>
          <w:tcPr>
            <w:tcW w:w="954" w:type="dxa"/>
            <w:tcBorders>
              <w:top w:val="nil"/>
              <w:left w:val="nil"/>
              <w:bottom w:val="single" w:sz="4" w:space="0" w:color="auto"/>
              <w:right w:val="single" w:sz="4" w:space="0" w:color="auto"/>
            </w:tcBorders>
            <w:noWrap/>
            <w:vAlign w:val="center"/>
          </w:tcPr>
          <w:p w14:paraId="7D8B5E26" w14:textId="5A9BFBDF" w:rsidR="00A72FEE" w:rsidRPr="00503B60" w:rsidRDefault="0A8C877A" w:rsidP="00C455C5">
            <w:pPr>
              <w:spacing w:line="240" w:lineRule="exact"/>
              <w:jc w:val="center"/>
              <w:rPr>
                <w:rFonts w:eastAsia="Times New Roman"/>
                <w:color w:val="000000"/>
                <w:sz w:val="16"/>
                <w:szCs w:val="16"/>
              </w:rPr>
            </w:pPr>
            <w:r>
              <w:rPr>
                <w:sz w:val="16"/>
              </w:rPr>
              <w:t>0,22</w:t>
            </w:r>
          </w:p>
        </w:tc>
      </w:tr>
      <w:tr w:rsidR="00F16DFF" w:rsidRPr="00310BF2" w14:paraId="3FA62466" w14:textId="77777777" w:rsidTr="66DE4C64">
        <w:trPr>
          <w:trHeight w:val="20"/>
        </w:trPr>
        <w:tc>
          <w:tcPr>
            <w:tcW w:w="8642" w:type="dxa"/>
            <w:gridSpan w:val="6"/>
            <w:tcBorders>
              <w:top w:val="single" w:sz="4" w:space="0" w:color="auto"/>
              <w:left w:val="nil"/>
            </w:tcBorders>
            <w:vAlign w:val="center"/>
            <w:hideMark/>
          </w:tcPr>
          <w:p w14:paraId="1C885E4B" w14:textId="77777777" w:rsidR="00F16DFF" w:rsidRPr="00310BF2" w:rsidRDefault="00F16DFF" w:rsidP="66DE4C64">
            <w:pPr>
              <w:spacing w:line="240" w:lineRule="exact"/>
              <w:rPr>
                <w:rFonts w:eastAsia="Times New Roman"/>
                <w:b/>
                <w:bCs/>
                <w:color w:val="000000"/>
                <w:sz w:val="16"/>
                <w:szCs w:val="16"/>
              </w:rPr>
            </w:pPr>
          </w:p>
          <w:p w14:paraId="36961287" w14:textId="15F26396" w:rsidR="00F16DFF" w:rsidRPr="00310BF2" w:rsidRDefault="06B5E69A" w:rsidP="66DE4C64">
            <w:pPr>
              <w:spacing w:line="240" w:lineRule="exact"/>
              <w:rPr>
                <w:rFonts w:eastAsia="Times New Roman"/>
                <w:b/>
                <w:bCs/>
                <w:color w:val="000000"/>
                <w:sz w:val="16"/>
                <w:szCs w:val="16"/>
              </w:rPr>
            </w:pPr>
            <w:r>
              <w:rPr>
                <w:b/>
                <w:sz w:val="16"/>
              </w:rPr>
              <w:t>Источник: финансовые ведомости ВОИС</w:t>
            </w:r>
          </w:p>
          <w:p w14:paraId="26833E44" w14:textId="77777777" w:rsidR="00EC4A71" w:rsidRPr="00EC4A71" w:rsidRDefault="351D9F1C" w:rsidP="003B269E">
            <w:pPr>
              <w:pStyle w:val="ListParagraph"/>
              <w:numPr>
                <w:ilvl w:val="0"/>
                <w:numId w:val="2"/>
              </w:numPr>
              <w:spacing w:line="240" w:lineRule="exact"/>
              <w:ind w:left="338" w:hanging="338"/>
              <w:jc w:val="both"/>
              <w:rPr>
                <w:rFonts w:eastAsia="Times New Roman"/>
                <w:color w:val="000000"/>
                <w:sz w:val="16"/>
                <w:szCs w:val="16"/>
              </w:rPr>
            </w:pPr>
            <w:r>
              <w:rPr>
                <w:sz w:val="16"/>
              </w:rPr>
              <w:t>Высокий коэффициент покрытия говорит о том, что Организация в состоянии погашать свои текущие обязательства.</w:t>
            </w:r>
          </w:p>
          <w:p w14:paraId="40C861F0" w14:textId="77777777" w:rsidR="00EC4A71" w:rsidRPr="00EC4A71" w:rsidRDefault="351D9F1C" w:rsidP="003B269E">
            <w:pPr>
              <w:pStyle w:val="ListParagraph"/>
              <w:numPr>
                <w:ilvl w:val="0"/>
                <w:numId w:val="2"/>
              </w:numPr>
              <w:spacing w:line="240" w:lineRule="exact"/>
              <w:ind w:left="338" w:hanging="338"/>
              <w:jc w:val="both"/>
              <w:rPr>
                <w:rFonts w:eastAsia="Times New Roman"/>
                <w:color w:val="000000"/>
                <w:sz w:val="16"/>
                <w:szCs w:val="16"/>
              </w:rPr>
            </w:pPr>
            <w:r>
              <w:rPr>
                <w:sz w:val="16"/>
              </w:rPr>
              <w:t>Высокий коэффициент является хорошим показателем платежеспособности.</w:t>
            </w:r>
          </w:p>
          <w:p w14:paraId="741DAE99" w14:textId="3DAD48AE" w:rsidR="00EC4A71" w:rsidRPr="008E17F0" w:rsidRDefault="351D9F1C" w:rsidP="003B269E">
            <w:pPr>
              <w:pStyle w:val="ListParagraph"/>
              <w:numPr>
                <w:ilvl w:val="0"/>
                <w:numId w:val="2"/>
              </w:numPr>
              <w:spacing w:line="240" w:lineRule="exact"/>
              <w:ind w:left="338" w:hanging="338"/>
              <w:jc w:val="both"/>
              <w:rPr>
                <w:rFonts w:eastAsia="Times New Roman"/>
                <w:color w:val="000000"/>
                <w:sz w:val="16"/>
                <w:szCs w:val="16"/>
              </w:rPr>
            </w:pPr>
            <w:r>
              <w:rPr>
                <w:sz w:val="16"/>
              </w:rPr>
              <w:t>Коэффициент ликвидности является показателем состояния ликвидности Организации. Он отражает объем денежных средств и их эквивалентов, а также краткосрочных инвестиций для покрытия текущих обязательств.</w:t>
            </w:r>
          </w:p>
          <w:p w14:paraId="11E6AE22" w14:textId="1779A112" w:rsidR="00EC4A71" w:rsidRPr="008E17F0" w:rsidRDefault="351D9F1C" w:rsidP="003B269E">
            <w:pPr>
              <w:pStyle w:val="ListParagraph"/>
              <w:numPr>
                <w:ilvl w:val="0"/>
                <w:numId w:val="2"/>
              </w:numPr>
              <w:spacing w:line="240" w:lineRule="exact"/>
              <w:ind w:left="338" w:hanging="338"/>
              <w:jc w:val="both"/>
              <w:rPr>
                <w:rFonts w:eastAsia="Times New Roman"/>
                <w:color w:val="000000"/>
                <w:sz w:val="16"/>
                <w:szCs w:val="16"/>
              </w:rPr>
            </w:pPr>
            <w:r>
              <w:rPr>
                <w:sz w:val="16"/>
              </w:rPr>
              <w:t>Период обеспеченности денежными средствами – это число дней, в течение которых расходы могут быть покрыты за счет имеющихся денежных средств и их эквивалентов. Как правило, более высокие показатели свидетельствуют о более прочной позиции в плане ликвидности, хотя хранение резервов наличности сопряжено как с выгодами, так и с альтернативными издержками.</w:t>
            </w:r>
          </w:p>
          <w:p w14:paraId="1C3BDD51" w14:textId="4AA493E9" w:rsidR="00F16DFF" w:rsidRPr="00310BF2" w:rsidRDefault="351D9F1C" w:rsidP="003B269E">
            <w:pPr>
              <w:pStyle w:val="ListParagraph"/>
              <w:numPr>
                <w:ilvl w:val="0"/>
                <w:numId w:val="2"/>
              </w:numPr>
              <w:spacing w:line="240" w:lineRule="exact"/>
              <w:ind w:left="338" w:hanging="338"/>
              <w:jc w:val="both"/>
              <w:rPr>
                <w:rFonts w:eastAsia="Times New Roman"/>
                <w:color w:val="000000"/>
                <w:sz w:val="16"/>
                <w:szCs w:val="16"/>
              </w:rPr>
            </w:pPr>
            <w:r>
              <w:rPr>
                <w:sz w:val="16"/>
              </w:rPr>
              <w:t>Операционный коэффициент отражает чистые доходы, остающиеся в распоряжении Организации, в процентах от расходов. Как правило, некоммерческие организации должны сохранять определенный излишек для замещения существующих материальных активов и погашения задолженности. Этот коэффициент следует оценивать с учетом предполагаемых потребностей Организации.</w:t>
            </w:r>
          </w:p>
        </w:tc>
      </w:tr>
    </w:tbl>
    <w:bookmarkEnd w:id="54"/>
    <w:p w14:paraId="3DEAC929" w14:textId="7F2EF9AE" w:rsidR="00B2110B" w:rsidRPr="00B2110B" w:rsidRDefault="00B2110B" w:rsidP="00C212C9">
      <w:pPr>
        <w:pStyle w:val="ListParagraph"/>
        <w:spacing w:before="120" w:after="120" w:line="280" w:lineRule="exact"/>
        <w:ind w:left="336"/>
        <w:contextualSpacing w:val="0"/>
        <w:jc w:val="both"/>
        <w:rPr>
          <w:rFonts w:ascii="Times New Roman" w:hAnsi="Times New Roman" w:cs="Times New Roman"/>
          <w:b/>
          <w:bCs/>
        </w:rPr>
      </w:pPr>
      <w:r>
        <w:rPr>
          <w:rFonts w:ascii="Times New Roman" w:hAnsi="Times New Roman"/>
          <w:b/>
        </w:rPr>
        <w:t>Сегментная отчетность</w:t>
      </w:r>
    </w:p>
    <w:p w14:paraId="6C059052" w14:textId="69DD4587" w:rsidR="00D817D0" w:rsidRPr="002A4CE6" w:rsidRDefault="00B2110B" w:rsidP="00736805">
      <w:pPr>
        <w:pStyle w:val="LFARPara"/>
        <w:ind w:left="851" w:hanging="491"/>
      </w:pPr>
      <w:r>
        <w:t>В примечании 20 к финансовым ведомостям приводится информация о финансовых результатах деятельности по каждому союзу: Союз PCT продолжал вносить основной вклад, обеспечив процифит в размере 100,9 млн шв. франков в 2025 году. В то же время Лиссабонский и Гаагский союзы зафиксировали дефицит, который был покрыт за счет утвержденной Ассамблеями межсоюзной поддержки. В 2025 году Союз РСТ выделил 15,7 млн шв. франков на поддержку союзов, финансируемых за счет взносов, и 6,9 млн шв. франков на покрытие дефицита Гаагского союза. Мадридский союз также внес 1,7 млн шв. франков на покрытие дефицита Лиссабонского союза, что свидетельствует о растущей зависимости от союзов, обеспечивающих профицит, в том, что касается поддержки союзов, испытывающих дефицит.</w:t>
      </w:r>
    </w:p>
    <w:p w14:paraId="418AA4CB" w14:textId="077E9280" w:rsidR="00D817D0" w:rsidRPr="00CD6A9A" w:rsidRDefault="00D817D0" w:rsidP="00BD46E2">
      <w:pPr>
        <w:pStyle w:val="Heading3"/>
        <w:ind w:left="450" w:hanging="450"/>
        <w:rPr>
          <w:sz w:val="24"/>
          <w:szCs w:val="24"/>
        </w:rPr>
      </w:pPr>
      <w:bookmarkStart w:id="55" w:name="_Toc227826023"/>
      <w:bookmarkStart w:id="56" w:name="_Toc230784910"/>
      <w:r>
        <w:lastRenderedPageBreak/>
        <w:t>Выполнение предыдущих рекомендаций</w:t>
      </w:r>
      <w:bookmarkEnd w:id="55"/>
      <w:bookmarkEnd w:id="56"/>
    </w:p>
    <w:p w14:paraId="3051F09B" w14:textId="72C64A6E" w:rsidR="001B1146" w:rsidRPr="004953AE" w:rsidRDefault="001B1146" w:rsidP="00736805">
      <w:pPr>
        <w:pStyle w:val="LFARPara"/>
        <w:ind w:left="851" w:hanging="491"/>
      </w:pPr>
      <w:r>
        <w:t>По состоянию на 31 декабря 2025 года оставались невыполненными 3 из 26 рекомендаций, содержащихся в отчетах Внешнего аудитора за 2021–2025 годы. В ходе аудита финансовых ведомостей за год, закончившийся 31 декабря 2025 года, BPK проанализировал ход выполнения этих рекомендаций и пришел к выводу о том, что шесть рекомендаций были полностью выполнены.</w:t>
      </w:r>
    </w:p>
    <w:p w14:paraId="5288286C" w14:textId="45CB0AEC" w:rsidR="001B1146" w:rsidRDefault="269DB888" w:rsidP="00736805">
      <w:pPr>
        <w:pStyle w:val="LFARPara"/>
        <w:ind w:left="851" w:hanging="491"/>
      </w:pPr>
      <w:r>
        <w:t xml:space="preserve">Подробная информация о ходе выполнения рекомендаций, содержащихся в отчетах Внешнего аудитора, приведена ниже в таблице 2 и в приложении 1 к настоящему отчету.  </w:t>
      </w:r>
    </w:p>
    <w:p w14:paraId="4C83A754" w14:textId="7A7D21EF" w:rsidR="001B1146" w:rsidRDefault="001B1146" w:rsidP="00736805">
      <w:pPr>
        <w:pStyle w:val="Caption"/>
        <w:spacing w:before="240"/>
        <w:ind w:left="357" w:right="-40"/>
      </w:pPr>
      <w:bookmarkStart w:id="57" w:name="_Toc223114053"/>
      <w:bookmarkStart w:id="58" w:name="_Toc230784943"/>
      <w:r>
        <w:t xml:space="preserve">Таблица </w:t>
      </w:r>
      <w:r w:rsidRPr="66DE4C64">
        <w:fldChar w:fldCharType="begin"/>
      </w:r>
      <w:r>
        <w:instrText xml:space="preserve"> SEQ Table \* ARABIC </w:instrText>
      </w:r>
      <w:r w:rsidRPr="66DE4C64">
        <w:fldChar w:fldCharType="separate"/>
      </w:r>
      <w:r w:rsidR="008F0391">
        <w:rPr>
          <w:noProof/>
        </w:rPr>
        <w:t>2</w:t>
      </w:r>
      <w:r w:rsidRPr="66DE4C64">
        <w:fldChar w:fldCharType="end"/>
      </w:r>
      <w:r>
        <w:t>. Сводная информация о ходе выполнения рекомендаций Внешнего аудитора за предыдущие годы</w:t>
      </w:r>
      <w:bookmarkEnd w:id="57"/>
      <w:bookmarkEnd w:id="58"/>
    </w:p>
    <w:tbl>
      <w:tblPr>
        <w:tblStyle w:val="TableGrid3"/>
        <w:tblW w:w="9242" w:type="dxa"/>
        <w:tblInd w:w="421" w:type="dxa"/>
        <w:tblLayout w:type="fixed"/>
        <w:tblLook w:val="04A0" w:firstRow="1" w:lastRow="0" w:firstColumn="1" w:lastColumn="0" w:noHBand="0" w:noVBand="1"/>
      </w:tblPr>
      <w:tblGrid>
        <w:gridCol w:w="707"/>
        <w:gridCol w:w="861"/>
        <w:gridCol w:w="557"/>
        <w:gridCol w:w="992"/>
        <w:gridCol w:w="997"/>
        <w:gridCol w:w="928"/>
        <w:gridCol w:w="1417"/>
        <w:gridCol w:w="709"/>
        <w:gridCol w:w="1477"/>
        <w:gridCol w:w="589"/>
        <w:gridCol w:w="8"/>
      </w:tblGrid>
      <w:tr w:rsidR="00846980" w:rsidRPr="00310BF2" w14:paraId="1F551A3C" w14:textId="77777777" w:rsidTr="004C2F90">
        <w:trPr>
          <w:gridAfter w:val="1"/>
          <w:wAfter w:w="7" w:type="dxa"/>
          <w:tblHeader/>
        </w:trPr>
        <w:tc>
          <w:tcPr>
            <w:tcW w:w="708" w:type="dxa"/>
            <w:vMerge w:val="restart"/>
            <w:shd w:val="clear" w:color="auto" w:fill="DEEAF6" w:themeFill="accent1" w:themeFillTint="33"/>
            <w:vAlign w:val="center"/>
          </w:tcPr>
          <w:p w14:paraId="28782894" w14:textId="77777777" w:rsidR="00846980" w:rsidRPr="00310BF2" w:rsidRDefault="323B463C" w:rsidP="66DE4C64">
            <w:pPr>
              <w:jc w:val="center"/>
              <w:rPr>
                <w:b/>
                <w:bCs/>
                <w:sz w:val="16"/>
                <w:szCs w:val="16"/>
              </w:rPr>
            </w:pPr>
            <w:r>
              <w:rPr>
                <w:b/>
                <w:sz w:val="16"/>
              </w:rPr>
              <w:t>Год</w:t>
            </w:r>
          </w:p>
        </w:tc>
        <w:tc>
          <w:tcPr>
            <w:tcW w:w="1418" w:type="dxa"/>
            <w:gridSpan w:val="2"/>
            <w:vMerge w:val="restart"/>
            <w:shd w:val="clear" w:color="auto" w:fill="DEEAF6" w:themeFill="accent1" w:themeFillTint="33"/>
            <w:vAlign w:val="center"/>
          </w:tcPr>
          <w:p w14:paraId="7BC19641" w14:textId="5B2F8008" w:rsidR="00846980" w:rsidRPr="00310BF2" w:rsidRDefault="323B463C" w:rsidP="00322027">
            <w:pPr>
              <w:jc w:val="center"/>
              <w:rPr>
                <w:b/>
                <w:bCs/>
                <w:sz w:val="16"/>
                <w:szCs w:val="16"/>
              </w:rPr>
            </w:pPr>
            <w:r>
              <w:rPr>
                <w:b/>
                <w:sz w:val="16"/>
              </w:rPr>
              <w:t>Итого, рекомендации</w:t>
            </w:r>
          </w:p>
        </w:tc>
        <w:tc>
          <w:tcPr>
            <w:tcW w:w="1989" w:type="dxa"/>
            <w:gridSpan w:val="2"/>
            <w:shd w:val="clear" w:color="auto" w:fill="DEEAF6" w:themeFill="accent1" w:themeFillTint="33"/>
            <w:vAlign w:val="center"/>
          </w:tcPr>
          <w:p w14:paraId="4CAE4841" w14:textId="112D31B2" w:rsidR="00846980" w:rsidRPr="00310BF2" w:rsidRDefault="323B463C" w:rsidP="00C455C5">
            <w:pPr>
              <w:jc w:val="center"/>
              <w:rPr>
                <w:b/>
                <w:bCs/>
                <w:sz w:val="16"/>
                <w:szCs w:val="16"/>
              </w:rPr>
            </w:pPr>
            <w:r>
              <w:rPr>
                <w:b/>
                <w:sz w:val="16"/>
              </w:rPr>
              <w:t>По состоянию на 31 декабря 2025 года</w:t>
            </w:r>
          </w:p>
        </w:tc>
        <w:tc>
          <w:tcPr>
            <w:tcW w:w="928" w:type="dxa"/>
            <w:vMerge w:val="restart"/>
            <w:shd w:val="clear" w:color="auto" w:fill="DEEAF6" w:themeFill="accent1" w:themeFillTint="33"/>
            <w:vAlign w:val="center"/>
          </w:tcPr>
          <w:p w14:paraId="5516BD34" w14:textId="01516C2A" w:rsidR="00846980" w:rsidRPr="00310BF2" w:rsidRDefault="323B463C" w:rsidP="66DE4C64">
            <w:pPr>
              <w:jc w:val="center"/>
              <w:rPr>
                <w:b/>
                <w:bCs/>
                <w:sz w:val="16"/>
                <w:szCs w:val="16"/>
              </w:rPr>
            </w:pPr>
            <w:r>
              <w:rPr>
                <w:b/>
                <w:sz w:val="16"/>
              </w:rPr>
              <w:t>Выпол</w:t>
            </w:r>
            <w:r w:rsidR="001D509B">
              <w:rPr>
                <w:b/>
                <w:sz w:val="16"/>
              </w:rPr>
              <w:t>-</w:t>
            </w:r>
            <w:r w:rsidR="001D509B">
              <w:rPr>
                <w:b/>
                <w:sz w:val="16"/>
              </w:rPr>
              <w:br/>
            </w:r>
            <w:r>
              <w:rPr>
                <w:b/>
                <w:sz w:val="16"/>
              </w:rPr>
              <w:t>нено/</w:t>
            </w:r>
            <w:r w:rsidR="001D509B">
              <w:rPr>
                <w:b/>
                <w:sz w:val="16"/>
              </w:rPr>
              <w:t xml:space="preserve"> </w:t>
            </w:r>
            <w:r>
              <w:rPr>
                <w:b/>
                <w:sz w:val="16"/>
              </w:rPr>
              <w:t>закрыто в течение 2025 года</w:t>
            </w:r>
          </w:p>
        </w:tc>
        <w:tc>
          <w:tcPr>
            <w:tcW w:w="4192" w:type="dxa"/>
            <w:gridSpan w:val="4"/>
            <w:shd w:val="clear" w:color="auto" w:fill="DEEAF6" w:themeFill="accent1" w:themeFillTint="33"/>
            <w:vAlign w:val="center"/>
          </w:tcPr>
          <w:p w14:paraId="64655AB1" w14:textId="65113F3D" w:rsidR="00846980" w:rsidRPr="00310BF2" w:rsidRDefault="323B463C" w:rsidP="00786063">
            <w:pPr>
              <w:jc w:val="center"/>
              <w:rPr>
                <w:b/>
                <w:bCs/>
                <w:sz w:val="16"/>
                <w:szCs w:val="16"/>
              </w:rPr>
            </w:pPr>
            <w:r>
              <w:rPr>
                <w:b/>
                <w:sz w:val="16"/>
              </w:rPr>
              <w:t>По состоянию на 31 марта 2026 года</w:t>
            </w:r>
          </w:p>
        </w:tc>
      </w:tr>
      <w:tr w:rsidR="00846980" w:rsidRPr="00310BF2" w14:paraId="4909788D" w14:textId="77777777" w:rsidTr="004C2F90">
        <w:trPr>
          <w:gridAfter w:val="1"/>
          <w:wAfter w:w="7" w:type="dxa"/>
          <w:tblHeader/>
        </w:trPr>
        <w:tc>
          <w:tcPr>
            <w:tcW w:w="708" w:type="dxa"/>
            <w:vMerge/>
            <w:vAlign w:val="center"/>
          </w:tcPr>
          <w:p w14:paraId="1EDC32C9" w14:textId="77777777" w:rsidR="00846980" w:rsidRPr="00310BF2" w:rsidRDefault="00846980" w:rsidP="00C455C5">
            <w:pPr>
              <w:jc w:val="center"/>
              <w:rPr>
                <w:b/>
                <w:sz w:val="16"/>
                <w:szCs w:val="16"/>
              </w:rPr>
            </w:pPr>
          </w:p>
        </w:tc>
        <w:tc>
          <w:tcPr>
            <w:tcW w:w="1418" w:type="dxa"/>
            <w:gridSpan w:val="2"/>
            <w:vMerge/>
            <w:vAlign w:val="center"/>
          </w:tcPr>
          <w:p w14:paraId="00950B56" w14:textId="77777777" w:rsidR="00846980" w:rsidRPr="00310BF2" w:rsidRDefault="00846980" w:rsidP="00C455C5">
            <w:pPr>
              <w:jc w:val="center"/>
              <w:rPr>
                <w:b/>
                <w:sz w:val="16"/>
                <w:szCs w:val="16"/>
              </w:rPr>
            </w:pPr>
          </w:p>
        </w:tc>
        <w:tc>
          <w:tcPr>
            <w:tcW w:w="992" w:type="dxa"/>
            <w:vMerge w:val="restart"/>
            <w:shd w:val="clear" w:color="auto" w:fill="DEEAF6" w:themeFill="accent1" w:themeFillTint="33"/>
            <w:vAlign w:val="center"/>
          </w:tcPr>
          <w:p w14:paraId="70E08C33" w14:textId="6ECD58BE" w:rsidR="00846980" w:rsidRPr="00482319" w:rsidRDefault="323B463C" w:rsidP="66DE4C64">
            <w:pPr>
              <w:jc w:val="center"/>
              <w:rPr>
                <w:b/>
                <w:bCs/>
                <w:sz w:val="16"/>
                <w:szCs w:val="16"/>
              </w:rPr>
            </w:pPr>
            <w:r w:rsidRPr="00482319">
              <w:rPr>
                <w:b/>
                <w:bCs/>
                <w:sz w:val="16"/>
                <w:szCs w:val="16"/>
              </w:rPr>
              <w:t>Выпол</w:t>
            </w:r>
            <w:r w:rsidR="0052345D">
              <w:rPr>
                <w:b/>
                <w:bCs/>
                <w:sz w:val="16"/>
                <w:szCs w:val="16"/>
              </w:rPr>
              <w:t>-</w:t>
            </w:r>
            <w:r w:rsidR="0052345D">
              <w:rPr>
                <w:b/>
                <w:bCs/>
                <w:sz w:val="16"/>
                <w:szCs w:val="16"/>
              </w:rPr>
              <w:br/>
            </w:r>
            <w:r w:rsidRPr="00482319">
              <w:rPr>
                <w:b/>
                <w:bCs/>
                <w:sz w:val="16"/>
                <w:szCs w:val="16"/>
              </w:rPr>
              <w:t>нено</w:t>
            </w:r>
          </w:p>
        </w:tc>
        <w:tc>
          <w:tcPr>
            <w:tcW w:w="997" w:type="dxa"/>
            <w:vMerge w:val="restart"/>
            <w:shd w:val="clear" w:color="auto" w:fill="DEEAF6" w:themeFill="accent1" w:themeFillTint="33"/>
            <w:vAlign w:val="center"/>
          </w:tcPr>
          <w:p w14:paraId="716F75F0" w14:textId="149D7088" w:rsidR="00846980" w:rsidRPr="00482319" w:rsidRDefault="323B463C" w:rsidP="66DE4C64">
            <w:pPr>
              <w:jc w:val="center"/>
              <w:rPr>
                <w:b/>
                <w:bCs/>
                <w:sz w:val="16"/>
                <w:szCs w:val="16"/>
              </w:rPr>
            </w:pPr>
            <w:r w:rsidRPr="00482319">
              <w:rPr>
                <w:b/>
                <w:bCs/>
                <w:sz w:val="16"/>
                <w:szCs w:val="16"/>
              </w:rPr>
              <w:t>Выпол</w:t>
            </w:r>
            <w:r w:rsidR="00361C8E" w:rsidRPr="00482319">
              <w:rPr>
                <w:b/>
                <w:bCs/>
                <w:sz w:val="16"/>
                <w:szCs w:val="16"/>
              </w:rPr>
              <w:t>-</w:t>
            </w:r>
            <w:r w:rsidR="001D509B" w:rsidRPr="00482319">
              <w:rPr>
                <w:b/>
                <w:bCs/>
                <w:sz w:val="16"/>
                <w:szCs w:val="16"/>
              </w:rPr>
              <w:br/>
            </w:r>
            <w:r w:rsidRPr="00482319">
              <w:rPr>
                <w:b/>
                <w:bCs/>
                <w:sz w:val="16"/>
                <w:szCs w:val="16"/>
              </w:rPr>
              <w:t>няется</w:t>
            </w:r>
          </w:p>
        </w:tc>
        <w:tc>
          <w:tcPr>
            <w:tcW w:w="928" w:type="dxa"/>
            <w:vMerge/>
            <w:vAlign w:val="center"/>
          </w:tcPr>
          <w:p w14:paraId="5C0C75D7" w14:textId="77777777" w:rsidR="00846980" w:rsidRPr="00310BF2" w:rsidRDefault="00846980" w:rsidP="00C455C5">
            <w:pPr>
              <w:jc w:val="center"/>
              <w:rPr>
                <w:b/>
                <w:sz w:val="16"/>
                <w:szCs w:val="16"/>
              </w:rPr>
            </w:pPr>
          </w:p>
        </w:tc>
        <w:tc>
          <w:tcPr>
            <w:tcW w:w="2126" w:type="dxa"/>
            <w:gridSpan w:val="2"/>
            <w:shd w:val="clear" w:color="auto" w:fill="DEEAF6" w:themeFill="accent1" w:themeFillTint="33"/>
            <w:vAlign w:val="center"/>
          </w:tcPr>
          <w:p w14:paraId="6511AA78" w14:textId="5C084C5B" w:rsidR="00846980" w:rsidRPr="00310BF2" w:rsidRDefault="323B463C" w:rsidP="66DE4C64">
            <w:pPr>
              <w:jc w:val="center"/>
              <w:rPr>
                <w:b/>
                <w:bCs/>
                <w:sz w:val="16"/>
                <w:szCs w:val="16"/>
              </w:rPr>
            </w:pPr>
            <w:r>
              <w:rPr>
                <w:b/>
                <w:sz w:val="16"/>
              </w:rPr>
              <w:t>Выполнено/закрыто</w:t>
            </w:r>
          </w:p>
        </w:tc>
        <w:tc>
          <w:tcPr>
            <w:tcW w:w="2066" w:type="dxa"/>
            <w:gridSpan w:val="2"/>
            <w:shd w:val="clear" w:color="auto" w:fill="DEEAF6" w:themeFill="accent1" w:themeFillTint="33"/>
            <w:vAlign w:val="center"/>
          </w:tcPr>
          <w:p w14:paraId="71C5B6FA" w14:textId="77777777" w:rsidR="00846980" w:rsidRPr="00310BF2" w:rsidRDefault="323B463C" w:rsidP="66DE4C64">
            <w:pPr>
              <w:jc w:val="center"/>
              <w:rPr>
                <w:b/>
                <w:bCs/>
                <w:sz w:val="16"/>
                <w:szCs w:val="16"/>
              </w:rPr>
            </w:pPr>
            <w:r>
              <w:rPr>
                <w:b/>
                <w:sz w:val="16"/>
              </w:rPr>
              <w:t>Выполняется</w:t>
            </w:r>
          </w:p>
        </w:tc>
      </w:tr>
      <w:tr w:rsidR="00846980" w:rsidRPr="00310BF2" w14:paraId="437E56A5" w14:textId="77777777" w:rsidTr="004C2F90">
        <w:trPr>
          <w:gridAfter w:val="1"/>
          <w:wAfter w:w="8" w:type="dxa"/>
          <w:trHeight w:val="313"/>
          <w:tblHeader/>
        </w:trPr>
        <w:tc>
          <w:tcPr>
            <w:tcW w:w="708" w:type="dxa"/>
            <w:vMerge/>
            <w:tcBorders>
              <w:bottom w:val="single" w:sz="4" w:space="0" w:color="auto"/>
            </w:tcBorders>
            <w:vAlign w:val="center"/>
          </w:tcPr>
          <w:p w14:paraId="0B628A13" w14:textId="77777777" w:rsidR="00846980" w:rsidRPr="00310BF2" w:rsidRDefault="00846980" w:rsidP="00C455C5">
            <w:pPr>
              <w:jc w:val="center"/>
              <w:rPr>
                <w:b/>
                <w:sz w:val="16"/>
                <w:szCs w:val="16"/>
              </w:rPr>
            </w:pPr>
          </w:p>
        </w:tc>
        <w:tc>
          <w:tcPr>
            <w:tcW w:w="1418" w:type="dxa"/>
            <w:gridSpan w:val="2"/>
            <w:vMerge/>
            <w:vAlign w:val="center"/>
          </w:tcPr>
          <w:p w14:paraId="5E57AE00" w14:textId="77777777" w:rsidR="00846980" w:rsidRPr="00310BF2" w:rsidRDefault="00846980" w:rsidP="00C455C5">
            <w:pPr>
              <w:jc w:val="center"/>
              <w:rPr>
                <w:b/>
                <w:sz w:val="16"/>
                <w:szCs w:val="16"/>
              </w:rPr>
            </w:pPr>
          </w:p>
        </w:tc>
        <w:tc>
          <w:tcPr>
            <w:tcW w:w="992" w:type="dxa"/>
            <w:vMerge/>
            <w:vAlign w:val="center"/>
          </w:tcPr>
          <w:p w14:paraId="64BB318E" w14:textId="77777777" w:rsidR="00846980" w:rsidRPr="00310BF2" w:rsidRDefault="00846980" w:rsidP="00C455C5">
            <w:pPr>
              <w:jc w:val="center"/>
              <w:rPr>
                <w:b/>
                <w:sz w:val="16"/>
                <w:szCs w:val="16"/>
              </w:rPr>
            </w:pPr>
          </w:p>
        </w:tc>
        <w:tc>
          <w:tcPr>
            <w:tcW w:w="997" w:type="dxa"/>
            <w:vMerge/>
            <w:vAlign w:val="center"/>
          </w:tcPr>
          <w:p w14:paraId="7C690294" w14:textId="77777777" w:rsidR="00846980" w:rsidRPr="00310BF2" w:rsidRDefault="00846980" w:rsidP="00C455C5">
            <w:pPr>
              <w:jc w:val="center"/>
              <w:rPr>
                <w:b/>
                <w:sz w:val="16"/>
                <w:szCs w:val="16"/>
              </w:rPr>
            </w:pPr>
          </w:p>
        </w:tc>
        <w:tc>
          <w:tcPr>
            <w:tcW w:w="928" w:type="dxa"/>
            <w:vMerge/>
            <w:vAlign w:val="center"/>
          </w:tcPr>
          <w:p w14:paraId="6394DA7B" w14:textId="77777777" w:rsidR="00846980" w:rsidRPr="00310BF2" w:rsidRDefault="00846980" w:rsidP="00C455C5">
            <w:pPr>
              <w:jc w:val="center"/>
              <w:rPr>
                <w:b/>
                <w:sz w:val="16"/>
                <w:szCs w:val="16"/>
              </w:rPr>
            </w:pPr>
          </w:p>
        </w:tc>
        <w:tc>
          <w:tcPr>
            <w:tcW w:w="1417" w:type="dxa"/>
            <w:shd w:val="clear" w:color="auto" w:fill="DEEAF6" w:themeFill="accent1" w:themeFillTint="33"/>
            <w:vAlign w:val="center"/>
          </w:tcPr>
          <w:p w14:paraId="55893225" w14:textId="6B98F366" w:rsidR="00846980" w:rsidRPr="00310BF2" w:rsidRDefault="323B463C" w:rsidP="00322027">
            <w:pPr>
              <w:jc w:val="center"/>
              <w:rPr>
                <w:b/>
                <w:bCs/>
                <w:sz w:val="16"/>
                <w:szCs w:val="16"/>
              </w:rPr>
            </w:pPr>
            <w:r>
              <w:rPr>
                <w:b/>
                <w:sz w:val="16"/>
              </w:rPr>
              <w:t>Число рекомендаций</w:t>
            </w:r>
          </w:p>
        </w:tc>
        <w:tc>
          <w:tcPr>
            <w:tcW w:w="709" w:type="dxa"/>
            <w:shd w:val="clear" w:color="auto" w:fill="DEEAF6" w:themeFill="accent1" w:themeFillTint="33"/>
            <w:vAlign w:val="center"/>
          </w:tcPr>
          <w:p w14:paraId="0B5588D7" w14:textId="77777777" w:rsidR="00846980" w:rsidRPr="00310BF2" w:rsidRDefault="323B463C" w:rsidP="66DE4C64">
            <w:pPr>
              <w:jc w:val="center"/>
              <w:rPr>
                <w:b/>
                <w:bCs/>
                <w:sz w:val="16"/>
                <w:szCs w:val="16"/>
              </w:rPr>
            </w:pPr>
            <w:r>
              <w:rPr>
                <w:b/>
                <w:sz w:val="16"/>
              </w:rPr>
              <w:t>%</w:t>
            </w:r>
          </w:p>
        </w:tc>
        <w:tc>
          <w:tcPr>
            <w:tcW w:w="1477" w:type="dxa"/>
            <w:shd w:val="clear" w:color="auto" w:fill="DEEAF6" w:themeFill="accent1" w:themeFillTint="33"/>
            <w:vAlign w:val="center"/>
          </w:tcPr>
          <w:p w14:paraId="6B6F59F3" w14:textId="77777777" w:rsidR="00846980" w:rsidRPr="00310BF2" w:rsidRDefault="323B463C" w:rsidP="004C2F90">
            <w:pPr>
              <w:ind w:left="-49"/>
              <w:jc w:val="center"/>
              <w:rPr>
                <w:b/>
                <w:bCs/>
                <w:sz w:val="16"/>
                <w:szCs w:val="16"/>
              </w:rPr>
            </w:pPr>
            <w:r>
              <w:rPr>
                <w:b/>
                <w:sz w:val="16"/>
              </w:rPr>
              <w:t>Число рекомендаций</w:t>
            </w:r>
          </w:p>
        </w:tc>
        <w:tc>
          <w:tcPr>
            <w:tcW w:w="588" w:type="dxa"/>
            <w:shd w:val="clear" w:color="auto" w:fill="DEEAF6" w:themeFill="accent1" w:themeFillTint="33"/>
            <w:vAlign w:val="center"/>
          </w:tcPr>
          <w:p w14:paraId="29DAA1CF" w14:textId="77777777" w:rsidR="00846980" w:rsidRPr="00310BF2" w:rsidRDefault="323B463C" w:rsidP="66DE4C64">
            <w:pPr>
              <w:jc w:val="center"/>
              <w:rPr>
                <w:b/>
                <w:bCs/>
                <w:sz w:val="16"/>
                <w:szCs w:val="16"/>
              </w:rPr>
            </w:pPr>
            <w:r>
              <w:rPr>
                <w:b/>
                <w:sz w:val="16"/>
              </w:rPr>
              <w:t>%</w:t>
            </w:r>
          </w:p>
        </w:tc>
      </w:tr>
      <w:tr w:rsidR="00846980" w:rsidRPr="00310BF2" w14:paraId="18755FF5" w14:textId="77777777" w:rsidTr="004C2F90">
        <w:trPr>
          <w:trHeight w:val="340"/>
        </w:trPr>
        <w:tc>
          <w:tcPr>
            <w:tcW w:w="708" w:type="dxa"/>
            <w:tcBorders>
              <w:bottom w:val="nil"/>
            </w:tcBorders>
            <w:vAlign w:val="center"/>
          </w:tcPr>
          <w:p w14:paraId="60CEC69D" w14:textId="77777777" w:rsidR="00846980" w:rsidRPr="00795D4A" w:rsidRDefault="323B463C">
            <w:pPr>
              <w:jc w:val="both"/>
              <w:rPr>
                <w:b/>
                <w:sz w:val="16"/>
                <w:szCs w:val="16"/>
              </w:rPr>
            </w:pPr>
            <w:r>
              <w:rPr>
                <w:b/>
                <w:sz w:val="16"/>
              </w:rPr>
              <w:t>2024</w:t>
            </w:r>
          </w:p>
        </w:tc>
        <w:tc>
          <w:tcPr>
            <w:tcW w:w="861" w:type="dxa"/>
            <w:vAlign w:val="center"/>
          </w:tcPr>
          <w:p w14:paraId="77A66A98" w14:textId="77777777" w:rsidR="00846980" w:rsidRPr="009E2DAF" w:rsidRDefault="323B463C">
            <w:pPr>
              <w:jc w:val="center"/>
              <w:rPr>
                <w:sz w:val="16"/>
                <w:szCs w:val="16"/>
              </w:rPr>
            </w:pPr>
            <w:r>
              <w:rPr>
                <w:sz w:val="16"/>
              </w:rPr>
              <w:t>ФА</w:t>
            </w:r>
          </w:p>
        </w:tc>
        <w:tc>
          <w:tcPr>
            <w:tcW w:w="557" w:type="dxa"/>
            <w:vAlign w:val="center"/>
          </w:tcPr>
          <w:p w14:paraId="46544932" w14:textId="1144A35F" w:rsidR="00846980" w:rsidRPr="009E2DAF" w:rsidRDefault="3B901125">
            <w:pPr>
              <w:jc w:val="center"/>
              <w:rPr>
                <w:sz w:val="16"/>
                <w:szCs w:val="16"/>
              </w:rPr>
            </w:pPr>
            <w:r>
              <w:rPr>
                <w:sz w:val="16"/>
              </w:rPr>
              <w:t>3</w:t>
            </w:r>
          </w:p>
        </w:tc>
        <w:tc>
          <w:tcPr>
            <w:tcW w:w="992" w:type="dxa"/>
            <w:vAlign w:val="center"/>
          </w:tcPr>
          <w:p w14:paraId="2A88E64C" w14:textId="3A344525" w:rsidR="00846980" w:rsidRPr="009E2DAF" w:rsidRDefault="71A2BD08">
            <w:pPr>
              <w:jc w:val="center"/>
              <w:rPr>
                <w:sz w:val="16"/>
                <w:szCs w:val="16"/>
              </w:rPr>
            </w:pPr>
            <w:r>
              <w:rPr>
                <w:sz w:val="16"/>
              </w:rPr>
              <w:t>0</w:t>
            </w:r>
          </w:p>
        </w:tc>
        <w:tc>
          <w:tcPr>
            <w:tcW w:w="997" w:type="dxa"/>
            <w:vAlign w:val="center"/>
          </w:tcPr>
          <w:p w14:paraId="60F7B0FF" w14:textId="71C7EDED" w:rsidR="00846980" w:rsidRPr="009E2DAF" w:rsidRDefault="71A2BD08">
            <w:pPr>
              <w:jc w:val="center"/>
              <w:rPr>
                <w:sz w:val="16"/>
                <w:szCs w:val="16"/>
              </w:rPr>
            </w:pPr>
            <w:r>
              <w:rPr>
                <w:sz w:val="16"/>
              </w:rPr>
              <w:t>3</w:t>
            </w:r>
          </w:p>
        </w:tc>
        <w:tc>
          <w:tcPr>
            <w:tcW w:w="928" w:type="dxa"/>
            <w:vAlign w:val="center"/>
          </w:tcPr>
          <w:p w14:paraId="194E1A1B" w14:textId="0804F673" w:rsidR="00846980" w:rsidRPr="009E2DAF" w:rsidRDefault="0050ED3C">
            <w:pPr>
              <w:jc w:val="center"/>
              <w:rPr>
                <w:sz w:val="16"/>
                <w:szCs w:val="16"/>
              </w:rPr>
            </w:pPr>
            <w:r>
              <w:rPr>
                <w:sz w:val="16"/>
              </w:rPr>
              <w:t>1</w:t>
            </w:r>
          </w:p>
        </w:tc>
        <w:tc>
          <w:tcPr>
            <w:tcW w:w="1417" w:type="dxa"/>
            <w:vAlign w:val="center"/>
          </w:tcPr>
          <w:p w14:paraId="644C2DC3" w14:textId="6221DD75" w:rsidR="00846980" w:rsidRPr="009E2DAF" w:rsidRDefault="71A2BD08">
            <w:pPr>
              <w:jc w:val="center"/>
              <w:rPr>
                <w:sz w:val="16"/>
                <w:szCs w:val="16"/>
              </w:rPr>
            </w:pPr>
            <w:r>
              <w:rPr>
                <w:sz w:val="16"/>
              </w:rPr>
              <w:t>1</w:t>
            </w:r>
          </w:p>
        </w:tc>
        <w:tc>
          <w:tcPr>
            <w:tcW w:w="709" w:type="dxa"/>
            <w:vAlign w:val="center"/>
          </w:tcPr>
          <w:p w14:paraId="59847545" w14:textId="40E48724" w:rsidR="00846980" w:rsidRPr="009E2DAF" w:rsidRDefault="71A2BD08">
            <w:pPr>
              <w:jc w:val="center"/>
              <w:rPr>
                <w:sz w:val="16"/>
                <w:szCs w:val="16"/>
              </w:rPr>
            </w:pPr>
            <w:r>
              <w:rPr>
                <w:sz w:val="16"/>
              </w:rPr>
              <w:t>33%</w:t>
            </w:r>
          </w:p>
        </w:tc>
        <w:tc>
          <w:tcPr>
            <w:tcW w:w="1477" w:type="dxa"/>
            <w:vAlign w:val="center"/>
          </w:tcPr>
          <w:p w14:paraId="4993B354" w14:textId="1A214B6B" w:rsidR="00846980" w:rsidRPr="009E2DAF" w:rsidRDefault="71A2BD08">
            <w:pPr>
              <w:jc w:val="center"/>
              <w:rPr>
                <w:sz w:val="16"/>
                <w:szCs w:val="16"/>
              </w:rPr>
            </w:pPr>
            <w:r>
              <w:rPr>
                <w:sz w:val="16"/>
              </w:rPr>
              <w:t>2</w:t>
            </w:r>
          </w:p>
        </w:tc>
        <w:tc>
          <w:tcPr>
            <w:tcW w:w="596" w:type="dxa"/>
            <w:gridSpan w:val="2"/>
            <w:vAlign w:val="center"/>
          </w:tcPr>
          <w:p w14:paraId="4253807F" w14:textId="0D3A8940" w:rsidR="00846980" w:rsidRPr="009E2DAF" w:rsidRDefault="71A2BD08">
            <w:pPr>
              <w:jc w:val="center"/>
              <w:rPr>
                <w:sz w:val="16"/>
                <w:szCs w:val="16"/>
              </w:rPr>
            </w:pPr>
            <w:r>
              <w:rPr>
                <w:sz w:val="16"/>
              </w:rPr>
              <w:t>66%</w:t>
            </w:r>
          </w:p>
        </w:tc>
      </w:tr>
      <w:tr w:rsidR="00846980" w:rsidRPr="00310BF2" w14:paraId="590D96EB" w14:textId="77777777" w:rsidTr="004C2F90">
        <w:trPr>
          <w:trHeight w:val="340"/>
        </w:trPr>
        <w:tc>
          <w:tcPr>
            <w:tcW w:w="708" w:type="dxa"/>
            <w:tcBorders>
              <w:top w:val="nil"/>
              <w:bottom w:val="single" w:sz="4" w:space="0" w:color="auto"/>
            </w:tcBorders>
            <w:vAlign w:val="center"/>
          </w:tcPr>
          <w:p w14:paraId="69EEE8FB" w14:textId="77777777" w:rsidR="00846980" w:rsidRPr="00795D4A" w:rsidRDefault="00846980">
            <w:pPr>
              <w:jc w:val="both"/>
              <w:rPr>
                <w:b/>
                <w:sz w:val="16"/>
                <w:szCs w:val="16"/>
              </w:rPr>
            </w:pPr>
          </w:p>
        </w:tc>
        <w:tc>
          <w:tcPr>
            <w:tcW w:w="861" w:type="dxa"/>
            <w:vAlign w:val="center"/>
          </w:tcPr>
          <w:p w14:paraId="0D6CE11E" w14:textId="77777777" w:rsidR="00846980" w:rsidRPr="009E2DAF" w:rsidRDefault="323B463C">
            <w:pPr>
              <w:jc w:val="center"/>
              <w:rPr>
                <w:sz w:val="16"/>
                <w:szCs w:val="16"/>
              </w:rPr>
            </w:pPr>
            <w:r>
              <w:rPr>
                <w:sz w:val="16"/>
              </w:rPr>
              <w:t>АЭ</w:t>
            </w:r>
          </w:p>
        </w:tc>
        <w:tc>
          <w:tcPr>
            <w:tcW w:w="557" w:type="dxa"/>
            <w:vAlign w:val="center"/>
          </w:tcPr>
          <w:p w14:paraId="25050003" w14:textId="342C03A4" w:rsidR="00846980" w:rsidRPr="009E2DAF" w:rsidRDefault="3164ADF3">
            <w:pPr>
              <w:jc w:val="center"/>
              <w:rPr>
                <w:sz w:val="16"/>
                <w:szCs w:val="16"/>
              </w:rPr>
            </w:pPr>
            <w:r>
              <w:rPr>
                <w:sz w:val="16"/>
              </w:rPr>
              <w:t>5</w:t>
            </w:r>
          </w:p>
        </w:tc>
        <w:tc>
          <w:tcPr>
            <w:tcW w:w="992" w:type="dxa"/>
            <w:vAlign w:val="center"/>
          </w:tcPr>
          <w:p w14:paraId="4BDE2AD6" w14:textId="4E520E30" w:rsidR="00846980" w:rsidRPr="009E2DAF" w:rsidRDefault="3164ADF3">
            <w:pPr>
              <w:jc w:val="center"/>
              <w:rPr>
                <w:sz w:val="16"/>
                <w:szCs w:val="16"/>
              </w:rPr>
            </w:pPr>
            <w:r>
              <w:rPr>
                <w:sz w:val="16"/>
              </w:rPr>
              <w:t>0</w:t>
            </w:r>
          </w:p>
        </w:tc>
        <w:tc>
          <w:tcPr>
            <w:tcW w:w="997" w:type="dxa"/>
            <w:vAlign w:val="center"/>
          </w:tcPr>
          <w:p w14:paraId="251E32FA" w14:textId="2B8A2243" w:rsidR="00846980" w:rsidRPr="009E2DAF" w:rsidRDefault="3164ADF3">
            <w:pPr>
              <w:jc w:val="center"/>
              <w:rPr>
                <w:sz w:val="16"/>
                <w:szCs w:val="16"/>
              </w:rPr>
            </w:pPr>
            <w:r>
              <w:rPr>
                <w:sz w:val="16"/>
              </w:rPr>
              <w:t>5</w:t>
            </w:r>
          </w:p>
        </w:tc>
        <w:tc>
          <w:tcPr>
            <w:tcW w:w="928" w:type="dxa"/>
            <w:vAlign w:val="center"/>
          </w:tcPr>
          <w:p w14:paraId="1296757E" w14:textId="22CC1728" w:rsidR="00846980" w:rsidRPr="009E2DAF" w:rsidRDefault="3164ADF3">
            <w:pPr>
              <w:jc w:val="center"/>
              <w:rPr>
                <w:sz w:val="16"/>
                <w:szCs w:val="16"/>
              </w:rPr>
            </w:pPr>
            <w:r>
              <w:rPr>
                <w:sz w:val="16"/>
              </w:rPr>
              <w:t>4</w:t>
            </w:r>
          </w:p>
        </w:tc>
        <w:tc>
          <w:tcPr>
            <w:tcW w:w="1417" w:type="dxa"/>
            <w:vAlign w:val="center"/>
          </w:tcPr>
          <w:p w14:paraId="31261FFE" w14:textId="3A3B0C6C" w:rsidR="00846980" w:rsidRPr="009E2DAF" w:rsidRDefault="3164ADF3">
            <w:pPr>
              <w:jc w:val="center"/>
              <w:rPr>
                <w:sz w:val="16"/>
                <w:szCs w:val="16"/>
              </w:rPr>
            </w:pPr>
            <w:r>
              <w:rPr>
                <w:sz w:val="16"/>
              </w:rPr>
              <w:t>4</w:t>
            </w:r>
          </w:p>
        </w:tc>
        <w:tc>
          <w:tcPr>
            <w:tcW w:w="709" w:type="dxa"/>
            <w:vAlign w:val="center"/>
          </w:tcPr>
          <w:p w14:paraId="1EA6161D" w14:textId="67DBA59B" w:rsidR="00846980" w:rsidRPr="009E2DAF" w:rsidRDefault="3164ADF3">
            <w:pPr>
              <w:jc w:val="center"/>
              <w:rPr>
                <w:sz w:val="16"/>
                <w:szCs w:val="16"/>
              </w:rPr>
            </w:pPr>
            <w:r>
              <w:rPr>
                <w:sz w:val="16"/>
              </w:rPr>
              <w:t>80%</w:t>
            </w:r>
          </w:p>
        </w:tc>
        <w:tc>
          <w:tcPr>
            <w:tcW w:w="1477" w:type="dxa"/>
            <w:vAlign w:val="center"/>
          </w:tcPr>
          <w:p w14:paraId="64AB0AE8" w14:textId="355F58E5" w:rsidR="00846980" w:rsidRPr="009E2DAF" w:rsidRDefault="3164ADF3">
            <w:pPr>
              <w:jc w:val="center"/>
              <w:rPr>
                <w:sz w:val="16"/>
                <w:szCs w:val="16"/>
              </w:rPr>
            </w:pPr>
            <w:r>
              <w:rPr>
                <w:sz w:val="16"/>
              </w:rPr>
              <w:t>1</w:t>
            </w:r>
          </w:p>
        </w:tc>
        <w:tc>
          <w:tcPr>
            <w:tcW w:w="596" w:type="dxa"/>
            <w:gridSpan w:val="2"/>
            <w:vAlign w:val="center"/>
          </w:tcPr>
          <w:p w14:paraId="10CE6537" w14:textId="1814201A" w:rsidR="00846980" w:rsidRPr="009E2DAF" w:rsidRDefault="3164ADF3">
            <w:pPr>
              <w:jc w:val="center"/>
              <w:rPr>
                <w:sz w:val="16"/>
                <w:szCs w:val="16"/>
              </w:rPr>
            </w:pPr>
            <w:r>
              <w:rPr>
                <w:sz w:val="16"/>
              </w:rPr>
              <w:t>20%</w:t>
            </w:r>
          </w:p>
        </w:tc>
      </w:tr>
      <w:tr w:rsidR="00846980" w:rsidRPr="00310BF2" w14:paraId="20D7D520" w14:textId="77777777" w:rsidTr="004C2F90">
        <w:trPr>
          <w:trHeight w:val="340"/>
        </w:trPr>
        <w:tc>
          <w:tcPr>
            <w:tcW w:w="708" w:type="dxa"/>
            <w:tcBorders>
              <w:bottom w:val="nil"/>
            </w:tcBorders>
            <w:vAlign w:val="center"/>
          </w:tcPr>
          <w:p w14:paraId="79638817" w14:textId="77777777" w:rsidR="00846980" w:rsidRPr="00795D4A" w:rsidRDefault="323B463C">
            <w:pPr>
              <w:jc w:val="both"/>
              <w:rPr>
                <w:b/>
                <w:sz w:val="16"/>
                <w:szCs w:val="16"/>
              </w:rPr>
            </w:pPr>
            <w:r>
              <w:rPr>
                <w:b/>
                <w:sz w:val="16"/>
              </w:rPr>
              <w:t>2023</w:t>
            </w:r>
          </w:p>
        </w:tc>
        <w:tc>
          <w:tcPr>
            <w:tcW w:w="861" w:type="dxa"/>
            <w:vAlign w:val="center"/>
          </w:tcPr>
          <w:p w14:paraId="7A68C892" w14:textId="77777777" w:rsidR="00846980" w:rsidRPr="009E2DAF" w:rsidRDefault="323B463C">
            <w:pPr>
              <w:jc w:val="center"/>
              <w:rPr>
                <w:sz w:val="16"/>
                <w:szCs w:val="16"/>
              </w:rPr>
            </w:pPr>
            <w:r>
              <w:rPr>
                <w:sz w:val="16"/>
              </w:rPr>
              <w:t>ФА</w:t>
            </w:r>
          </w:p>
        </w:tc>
        <w:tc>
          <w:tcPr>
            <w:tcW w:w="557" w:type="dxa"/>
            <w:vAlign w:val="center"/>
          </w:tcPr>
          <w:p w14:paraId="20E390BD" w14:textId="77777777" w:rsidR="00846980" w:rsidRPr="009E2DAF" w:rsidRDefault="323B463C">
            <w:pPr>
              <w:jc w:val="center"/>
              <w:rPr>
                <w:sz w:val="16"/>
                <w:szCs w:val="16"/>
              </w:rPr>
            </w:pPr>
            <w:r>
              <w:rPr>
                <w:sz w:val="16"/>
              </w:rPr>
              <w:t>0</w:t>
            </w:r>
          </w:p>
        </w:tc>
        <w:tc>
          <w:tcPr>
            <w:tcW w:w="992" w:type="dxa"/>
            <w:vAlign w:val="center"/>
          </w:tcPr>
          <w:p w14:paraId="55345456" w14:textId="77777777" w:rsidR="00846980" w:rsidRPr="009E2DAF" w:rsidRDefault="323B463C">
            <w:pPr>
              <w:jc w:val="center"/>
              <w:rPr>
                <w:sz w:val="16"/>
                <w:szCs w:val="16"/>
              </w:rPr>
            </w:pPr>
            <w:r>
              <w:rPr>
                <w:sz w:val="16"/>
              </w:rPr>
              <w:t>0</w:t>
            </w:r>
          </w:p>
        </w:tc>
        <w:tc>
          <w:tcPr>
            <w:tcW w:w="997" w:type="dxa"/>
            <w:vAlign w:val="center"/>
          </w:tcPr>
          <w:p w14:paraId="5394517D" w14:textId="77777777" w:rsidR="00846980" w:rsidRPr="009E2DAF" w:rsidRDefault="323B463C">
            <w:pPr>
              <w:jc w:val="center"/>
              <w:rPr>
                <w:sz w:val="16"/>
                <w:szCs w:val="16"/>
              </w:rPr>
            </w:pPr>
            <w:r>
              <w:rPr>
                <w:sz w:val="16"/>
              </w:rPr>
              <w:t>0</w:t>
            </w:r>
          </w:p>
        </w:tc>
        <w:tc>
          <w:tcPr>
            <w:tcW w:w="928" w:type="dxa"/>
            <w:vAlign w:val="center"/>
          </w:tcPr>
          <w:p w14:paraId="7C0717FA" w14:textId="77777777" w:rsidR="00846980" w:rsidRPr="009E2DAF" w:rsidRDefault="323B463C">
            <w:pPr>
              <w:jc w:val="center"/>
              <w:rPr>
                <w:sz w:val="16"/>
                <w:szCs w:val="16"/>
              </w:rPr>
            </w:pPr>
            <w:r>
              <w:rPr>
                <w:sz w:val="16"/>
              </w:rPr>
              <w:t>0</w:t>
            </w:r>
          </w:p>
        </w:tc>
        <w:tc>
          <w:tcPr>
            <w:tcW w:w="1417" w:type="dxa"/>
            <w:vAlign w:val="center"/>
          </w:tcPr>
          <w:p w14:paraId="372FBD6B" w14:textId="77777777" w:rsidR="00846980" w:rsidRPr="009E2DAF" w:rsidRDefault="323B463C">
            <w:pPr>
              <w:jc w:val="center"/>
              <w:rPr>
                <w:sz w:val="16"/>
                <w:szCs w:val="16"/>
              </w:rPr>
            </w:pPr>
            <w:r>
              <w:rPr>
                <w:sz w:val="16"/>
              </w:rPr>
              <w:t>0</w:t>
            </w:r>
          </w:p>
        </w:tc>
        <w:tc>
          <w:tcPr>
            <w:tcW w:w="709" w:type="dxa"/>
            <w:vAlign w:val="center"/>
          </w:tcPr>
          <w:p w14:paraId="3D82856B" w14:textId="77777777" w:rsidR="00846980" w:rsidRPr="009E2DAF" w:rsidRDefault="323B463C">
            <w:pPr>
              <w:jc w:val="center"/>
              <w:rPr>
                <w:sz w:val="16"/>
                <w:szCs w:val="16"/>
              </w:rPr>
            </w:pPr>
            <w:r>
              <w:rPr>
                <w:sz w:val="16"/>
              </w:rPr>
              <w:t>100%</w:t>
            </w:r>
          </w:p>
        </w:tc>
        <w:tc>
          <w:tcPr>
            <w:tcW w:w="1477" w:type="dxa"/>
            <w:vAlign w:val="center"/>
          </w:tcPr>
          <w:p w14:paraId="534521A7" w14:textId="77777777" w:rsidR="00846980" w:rsidRPr="009E2DAF" w:rsidRDefault="323B463C">
            <w:pPr>
              <w:jc w:val="center"/>
              <w:rPr>
                <w:sz w:val="16"/>
                <w:szCs w:val="16"/>
              </w:rPr>
            </w:pPr>
            <w:r>
              <w:rPr>
                <w:sz w:val="16"/>
              </w:rPr>
              <w:t>0</w:t>
            </w:r>
          </w:p>
        </w:tc>
        <w:tc>
          <w:tcPr>
            <w:tcW w:w="596" w:type="dxa"/>
            <w:gridSpan w:val="2"/>
            <w:vAlign w:val="center"/>
          </w:tcPr>
          <w:p w14:paraId="1E28DDF5" w14:textId="77777777" w:rsidR="00846980" w:rsidRPr="009E2DAF" w:rsidRDefault="323B463C">
            <w:pPr>
              <w:jc w:val="center"/>
              <w:rPr>
                <w:sz w:val="16"/>
                <w:szCs w:val="16"/>
              </w:rPr>
            </w:pPr>
            <w:r>
              <w:rPr>
                <w:sz w:val="16"/>
              </w:rPr>
              <w:t>0%</w:t>
            </w:r>
          </w:p>
        </w:tc>
      </w:tr>
      <w:tr w:rsidR="00846980" w:rsidRPr="00310BF2" w14:paraId="73E41494" w14:textId="77777777" w:rsidTr="004C2F90">
        <w:trPr>
          <w:trHeight w:val="340"/>
        </w:trPr>
        <w:tc>
          <w:tcPr>
            <w:tcW w:w="708" w:type="dxa"/>
            <w:tcBorders>
              <w:top w:val="nil"/>
              <w:bottom w:val="single" w:sz="4" w:space="0" w:color="auto"/>
            </w:tcBorders>
            <w:vAlign w:val="center"/>
          </w:tcPr>
          <w:p w14:paraId="1317ED4B" w14:textId="77777777" w:rsidR="00846980" w:rsidRPr="00795D4A" w:rsidRDefault="00846980">
            <w:pPr>
              <w:jc w:val="both"/>
              <w:rPr>
                <w:b/>
                <w:sz w:val="16"/>
                <w:szCs w:val="16"/>
              </w:rPr>
            </w:pPr>
          </w:p>
        </w:tc>
        <w:tc>
          <w:tcPr>
            <w:tcW w:w="861" w:type="dxa"/>
            <w:vAlign w:val="center"/>
          </w:tcPr>
          <w:p w14:paraId="17F7005C" w14:textId="77777777" w:rsidR="00846980" w:rsidRPr="009E2DAF" w:rsidRDefault="323B463C">
            <w:pPr>
              <w:jc w:val="center"/>
              <w:rPr>
                <w:sz w:val="16"/>
                <w:szCs w:val="16"/>
              </w:rPr>
            </w:pPr>
            <w:r>
              <w:rPr>
                <w:sz w:val="16"/>
              </w:rPr>
              <w:t>АЭ</w:t>
            </w:r>
          </w:p>
        </w:tc>
        <w:tc>
          <w:tcPr>
            <w:tcW w:w="557" w:type="dxa"/>
            <w:vAlign w:val="center"/>
          </w:tcPr>
          <w:p w14:paraId="79D5800B" w14:textId="1C5911F4" w:rsidR="00846980" w:rsidRPr="009E2DAF" w:rsidRDefault="19233701">
            <w:pPr>
              <w:jc w:val="center"/>
              <w:rPr>
                <w:sz w:val="16"/>
                <w:szCs w:val="16"/>
              </w:rPr>
            </w:pPr>
            <w:r>
              <w:rPr>
                <w:sz w:val="16"/>
              </w:rPr>
              <w:t>0</w:t>
            </w:r>
          </w:p>
        </w:tc>
        <w:tc>
          <w:tcPr>
            <w:tcW w:w="992" w:type="dxa"/>
            <w:vAlign w:val="center"/>
          </w:tcPr>
          <w:p w14:paraId="0E9E0FCC" w14:textId="53F9C75E" w:rsidR="00846980" w:rsidRPr="009E2DAF" w:rsidRDefault="19233701">
            <w:pPr>
              <w:jc w:val="center"/>
              <w:rPr>
                <w:sz w:val="16"/>
                <w:szCs w:val="16"/>
              </w:rPr>
            </w:pPr>
            <w:r>
              <w:rPr>
                <w:sz w:val="16"/>
              </w:rPr>
              <w:t>0</w:t>
            </w:r>
          </w:p>
        </w:tc>
        <w:tc>
          <w:tcPr>
            <w:tcW w:w="997" w:type="dxa"/>
            <w:vAlign w:val="center"/>
          </w:tcPr>
          <w:p w14:paraId="60D0CADE" w14:textId="2A2A7E46" w:rsidR="00846980" w:rsidRPr="009E2DAF" w:rsidRDefault="19233701">
            <w:pPr>
              <w:jc w:val="center"/>
              <w:rPr>
                <w:sz w:val="16"/>
                <w:szCs w:val="16"/>
              </w:rPr>
            </w:pPr>
            <w:r>
              <w:rPr>
                <w:sz w:val="16"/>
              </w:rPr>
              <w:t>0</w:t>
            </w:r>
          </w:p>
        </w:tc>
        <w:tc>
          <w:tcPr>
            <w:tcW w:w="928" w:type="dxa"/>
            <w:vAlign w:val="center"/>
          </w:tcPr>
          <w:p w14:paraId="4503849C" w14:textId="7DC57DDC" w:rsidR="00846980" w:rsidRPr="009E2DAF" w:rsidRDefault="19233701">
            <w:pPr>
              <w:jc w:val="center"/>
              <w:rPr>
                <w:sz w:val="16"/>
                <w:szCs w:val="16"/>
              </w:rPr>
            </w:pPr>
            <w:r>
              <w:rPr>
                <w:sz w:val="16"/>
              </w:rPr>
              <w:t>0</w:t>
            </w:r>
          </w:p>
        </w:tc>
        <w:tc>
          <w:tcPr>
            <w:tcW w:w="1417" w:type="dxa"/>
            <w:vAlign w:val="center"/>
          </w:tcPr>
          <w:p w14:paraId="330325F8" w14:textId="47257CCE" w:rsidR="00846980" w:rsidRPr="009E2DAF" w:rsidRDefault="19233701">
            <w:pPr>
              <w:jc w:val="center"/>
              <w:rPr>
                <w:sz w:val="16"/>
                <w:szCs w:val="16"/>
              </w:rPr>
            </w:pPr>
            <w:r>
              <w:rPr>
                <w:sz w:val="16"/>
              </w:rPr>
              <w:t>0</w:t>
            </w:r>
          </w:p>
        </w:tc>
        <w:tc>
          <w:tcPr>
            <w:tcW w:w="709" w:type="dxa"/>
            <w:vAlign w:val="center"/>
          </w:tcPr>
          <w:p w14:paraId="1AD47802" w14:textId="4A02195F" w:rsidR="00846980" w:rsidRPr="009E2DAF" w:rsidRDefault="19233701">
            <w:pPr>
              <w:jc w:val="center"/>
              <w:rPr>
                <w:sz w:val="16"/>
                <w:szCs w:val="16"/>
              </w:rPr>
            </w:pPr>
            <w:r>
              <w:rPr>
                <w:sz w:val="16"/>
              </w:rPr>
              <w:t>100%</w:t>
            </w:r>
          </w:p>
        </w:tc>
        <w:tc>
          <w:tcPr>
            <w:tcW w:w="1477" w:type="dxa"/>
            <w:vAlign w:val="center"/>
          </w:tcPr>
          <w:p w14:paraId="640CA131" w14:textId="4F2A843E" w:rsidR="00846980" w:rsidRPr="009E2DAF" w:rsidRDefault="19233701">
            <w:pPr>
              <w:jc w:val="center"/>
              <w:rPr>
                <w:sz w:val="16"/>
                <w:szCs w:val="16"/>
              </w:rPr>
            </w:pPr>
            <w:r>
              <w:rPr>
                <w:sz w:val="16"/>
              </w:rPr>
              <w:t>0</w:t>
            </w:r>
          </w:p>
        </w:tc>
        <w:tc>
          <w:tcPr>
            <w:tcW w:w="596" w:type="dxa"/>
            <w:gridSpan w:val="2"/>
            <w:vAlign w:val="center"/>
          </w:tcPr>
          <w:p w14:paraId="5390C50B" w14:textId="18957225" w:rsidR="00846980" w:rsidRPr="009E2DAF" w:rsidRDefault="19233701">
            <w:pPr>
              <w:jc w:val="center"/>
              <w:rPr>
                <w:sz w:val="16"/>
                <w:szCs w:val="16"/>
              </w:rPr>
            </w:pPr>
            <w:r>
              <w:rPr>
                <w:sz w:val="16"/>
              </w:rPr>
              <w:t>0%</w:t>
            </w:r>
          </w:p>
        </w:tc>
      </w:tr>
      <w:tr w:rsidR="00846980" w:rsidRPr="00310BF2" w14:paraId="1DD57FFE" w14:textId="77777777" w:rsidTr="004C2F90">
        <w:trPr>
          <w:trHeight w:val="340"/>
        </w:trPr>
        <w:tc>
          <w:tcPr>
            <w:tcW w:w="708" w:type="dxa"/>
            <w:tcBorders>
              <w:bottom w:val="nil"/>
            </w:tcBorders>
            <w:vAlign w:val="center"/>
          </w:tcPr>
          <w:p w14:paraId="0FF66CF3" w14:textId="77777777" w:rsidR="00846980" w:rsidRPr="00795D4A" w:rsidRDefault="323B463C">
            <w:pPr>
              <w:jc w:val="both"/>
              <w:rPr>
                <w:b/>
                <w:sz w:val="16"/>
                <w:szCs w:val="16"/>
              </w:rPr>
            </w:pPr>
            <w:r>
              <w:rPr>
                <w:b/>
                <w:sz w:val="16"/>
              </w:rPr>
              <w:t>2022</w:t>
            </w:r>
          </w:p>
        </w:tc>
        <w:tc>
          <w:tcPr>
            <w:tcW w:w="861" w:type="dxa"/>
            <w:vAlign w:val="center"/>
          </w:tcPr>
          <w:p w14:paraId="7BBE716D" w14:textId="77777777" w:rsidR="00846980" w:rsidRPr="009E2DAF" w:rsidRDefault="323B463C">
            <w:pPr>
              <w:jc w:val="center"/>
              <w:rPr>
                <w:sz w:val="16"/>
                <w:szCs w:val="16"/>
              </w:rPr>
            </w:pPr>
            <w:r>
              <w:rPr>
                <w:sz w:val="16"/>
              </w:rPr>
              <w:t>ФА</w:t>
            </w:r>
          </w:p>
        </w:tc>
        <w:tc>
          <w:tcPr>
            <w:tcW w:w="557" w:type="dxa"/>
            <w:vAlign w:val="center"/>
          </w:tcPr>
          <w:p w14:paraId="541269EB" w14:textId="4D7BE223" w:rsidR="00846980" w:rsidRPr="009E2DAF" w:rsidRDefault="01915A47">
            <w:pPr>
              <w:jc w:val="center"/>
              <w:rPr>
                <w:sz w:val="16"/>
                <w:szCs w:val="16"/>
              </w:rPr>
            </w:pPr>
            <w:r>
              <w:rPr>
                <w:sz w:val="16"/>
              </w:rPr>
              <w:t>2</w:t>
            </w:r>
          </w:p>
        </w:tc>
        <w:tc>
          <w:tcPr>
            <w:tcW w:w="992" w:type="dxa"/>
            <w:vAlign w:val="center"/>
          </w:tcPr>
          <w:p w14:paraId="61763802" w14:textId="49ABE58E" w:rsidR="00846980" w:rsidRPr="00310BF2" w:rsidRDefault="5F5BBE63" w:rsidP="4EECFC96">
            <w:pPr>
              <w:jc w:val="center"/>
            </w:pPr>
            <w:r>
              <w:rPr>
                <w:sz w:val="16"/>
              </w:rPr>
              <w:t>1</w:t>
            </w:r>
          </w:p>
        </w:tc>
        <w:tc>
          <w:tcPr>
            <w:tcW w:w="997" w:type="dxa"/>
            <w:vAlign w:val="center"/>
          </w:tcPr>
          <w:p w14:paraId="0F4F8430" w14:textId="34ACC7F3" w:rsidR="00846980" w:rsidRPr="00310BF2" w:rsidRDefault="00BB6F78">
            <w:pPr>
              <w:jc w:val="center"/>
            </w:pPr>
            <w:r>
              <w:rPr>
                <w:sz w:val="16"/>
              </w:rPr>
              <w:t>1</w:t>
            </w:r>
          </w:p>
        </w:tc>
        <w:tc>
          <w:tcPr>
            <w:tcW w:w="928" w:type="dxa"/>
            <w:vAlign w:val="center"/>
          </w:tcPr>
          <w:p w14:paraId="788EE8A5" w14:textId="40A36E48" w:rsidR="00846980" w:rsidRPr="00310BF2" w:rsidRDefault="00BB6F78">
            <w:pPr>
              <w:jc w:val="center"/>
            </w:pPr>
            <w:r>
              <w:rPr>
                <w:sz w:val="16"/>
              </w:rPr>
              <w:t>1</w:t>
            </w:r>
          </w:p>
        </w:tc>
        <w:tc>
          <w:tcPr>
            <w:tcW w:w="1417" w:type="dxa"/>
            <w:vAlign w:val="center"/>
          </w:tcPr>
          <w:p w14:paraId="1D7FFF86" w14:textId="5E6AF1C2" w:rsidR="00846980" w:rsidRPr="00310BF2" w:rsidRDefault="00122F63">
            <w:pPr>
              <w:jc w:val="center"/>
            </w:pPr>
            <w:r>
              <w:rPr>
                <w:sz w:val="16"/>
              </w:rPr>
              <w:t>2</w:t>
            </w:r>
          </w:p>
        </w:tc>
        <w:tc>
          <w:tcPr>
            <w:tcW w:w="709" w:type="dxa"/>
            <w:vAlign w:val="center"/>
          </w:tcPr>
          <w:p w14:paraId="527A7BA4" w14:textId="6600BE91" w:rsidR="00846980" w:rsidRPr="009E2DAF" w:rsidRDefault="706B59AD">
            <w:pPr>
              <w:jc w:val="center"/>
              <w:rPr>
                <w:sz w:val="16"/>
                <w:szCs w:val="16"/>
              </w:rPr>
            </w:pPr>
            <w:r>
              <w:rPr>
                <w:sz w:val="16"/>
              </w:rPr>
              <w:t>100%</w:t>
            </w:r>
          </w:p>
        </w:tc>
        <w:tc>
          <w:tcPr>
            <w:tcW w:w="1477" w:type="dxa"/>
            <w:vAlign w:val="center"/>
          </w:tcPr>
          <w:p w14:paraId="3FE612C0" w14:textId="2FEE3D6C" w:rsidR="00846980" w:rsidRPr="009E2DAF" w:rsidRDefault="3B142326">
            <w:pPr>
              <w:jc w:val="center"/>
              <w:rPr>
                <w:sz w:val="16"/>
                <w:szCs w:val="16"/>
              </w:rPr>
            </w:pPr>
            <w:r>
              <w:rPr>
                <w:sz w:val="16"/>
              </w:rPr>
              <w:t>0</w:t>
            </w:r>
          </w:p>
        </w:tc>
        <w:tc>
          <w:tcPr>
            <w:tcW w:w="596" w:type="dxa"/>
            <w:gridSpan w:val="2"/>
            <w:vAlign w:val="center"/>
          </w:tcPr>
          <w:p w14:paraId="786A3739" w14:textId="7B4AFB84" w:rsidR="00846980" w:rsidRPr="009E2DAF" w:rsidRDefault="3B142326">
            <w:pPr>
              <w:jc w:val="center"/>
              <w:rPr>
                <w:sz w:val="16"/>
                <w:szCs w:val="16"/>
              </w:rPr>
            </w:pPr>
            <w:r>
              <w:rPr>
                <w:sz w:val="16"/>
              </w:rPr>
              <w:t>0%</w:t>
            </w:r>
          </w:p>
        </w:tc>
      </w:tr>
      <w:tr w:rsidR="00846980" w:rsidRPr="00310BF2" w14:paraId="6C2D4D50" w14:textId="77777777" w:rsidTr="004C2F90">
        <w:trPr>
          <w:trHeight w:val="340"/>
        </w:trPr>
        <w:tc>
          <w:tcPr>
            <w:tcW w:w="708" w:type="dxa"/>
            <w:tcBorders>
              <w:top w:val="nil"/>
              <w:bottom w:val="single" w:sz="4" w:space="0" w:color="auto"/>
            </w:tcBorders>
            <w:vAlign w:val="center"/>
          </w:tcPr>
          <w:p w14:paraId="229BF789" w14:textId="77777777" w:rsidR="00846980" w:rsidRPr="00795D4A" w:rsidRDefault="00846980">
            <w:pPr>
              <w:jc w:val="both"/>
              <w:rPr>
                <w:b/>
                <w:sz w:val="16"/>
                <w:szCs w:val="16"/>
              </w:rPr>
            </w:pPr>
          </w:p>
        </w:tc>
        <w:tc>
          <w:tcPr>
            <w:tcW w:w="861" w:type="dxa"/>
            <w:vAlign w:val="center"/>
          </w:tcPr>
          <w:p w14:paraId="54740874" w14:textId="77777777" w:rsidR="00846980" w:rsidRPr="110E6B07" w:rsidRDefault="323B463C">
            <w:pPr>
              <w:jc w:val="center"/>
              <w:rPr>
                <w:sz w:val="16"/>
                <w:szCs w:val="16"/>
              </w:rPr>
            </w:pPr>
            <w:r>
              <w:rPr>
                <w:sz w:val="16"/>
              </w:rPr>
              <w:t>АЭ</w:t>
            </w:r>
          </w:p>
        </w:tc>
        <w:tc>
          <w:tcPr>
            <w:tcW w:w="557" w:type="dxa"/>
            <w:vAlign w:val="center"/>
          </w:tcPr>
          <w:p w14:paraId="02752123" w14:textId="097A6DBD" w:rsidR="00846980" w:rsidRPr="009E2DAF" w:rsidRDefault="01915A47" w:rsidP="4EECFC96">
            <w:pPr>
              <w:jc w:val="center"/>
              <w:rPr>
                <w:sz w:val="16"/>
                <w:szCs w:val="16"/>
              </w:rPr>
            </w:pPr>
            <w:r>
              <w:rPr>
                <w:sz w:val="16"/>
              </w:rPr>
              <w:t>4</w:t>
            </w:r>
          </w:p>
        </w:tc>
        <w:tc>
          <w:tcPr>
            <w:tcW w:w="992" w:type="dxa"/>
            <w:vAlign w:val="center"/>
          </w:tcPr>
          <w:p w14:paraId="6284EAC5" w14:textId="7768A39A" w:rsidR="00846980" w:rsidRPr="009E2DAF" w:rsidRDefault="22EE478B">
            <w:pPr>
              <w:jc w:val="center"/>
              <w:rPr>
                <w:sz w:val="16"/>
                <w:szCs w:val="16"/>
              </w:rPr>
            </w:pPr>
            <w:r>
              <w:rPr>
                <w:sz w:val="16"/>
              </w:rPr>
              <w:t>4</w:t>
            </w:r>
          </w:p>
        </w:tc>
        <w:tc>
          <w:tcPr>
            <w:tcW w:w="997" w:type="dxa"/>
            <w:vAlign w:val="center"/>
          </w:tcPr>
          <w:p w14:paraId="202F641C" w14:textId="3006DF0C" w:rsidR="00846980" w:rsidRPr="009E2DAF" w:rsidRDefault="01915A47">
            <w:pPr>
              <w:jc w:val="center"/>
              <w:rPr>
                <w:sz w:val="16"/>
                <w:szCs w:val="16"/>
              </w:rPr>
            </w:pPr>
            <w:r>
              <w:rPr>
                <w:sz w:val="16"/>
              </w:rPr>
              <w:t>0</w:t>
            </w:r>
          </w:p>
        </w:tc>
        <w:tc>
          <w:tcPr>
            <w:tcW w:w="928" w:type="dxa"/>
            <w:vAlign w:val="center"/>
          </w:tcPr>
          <w:p w14:paraId="552036CD" w14:textId="2B4B19F8" w:rsidR="00846980" w:rsidRPr="009E2DAF" w:rsidRDefault="22EE478B">
            <w:pPr>
              <w:jc w:val="center"/>
              <w:rPr>
                <w:sz w:val="16"/>
                <w:szCs w:val="16"/>
              </w:rPr>
            </w:pPr>
            <w:r>
              <w:rPr>
                <w:sz w:val="16"/>
              </w:rPr>
              <w:t>0</w:t>
            </w:r>
          </w:p>
        </w:tc>
        <w:tc>
          <w:tcPr>
            <w:tcW w:w="1417" w:type="dxa"/>
            <w:vAlign w:val="center"/>
          </w:tcPr>
          <w:p w14:paraId="4FE32BE4" w14:textId="37B23A88" w:rsidR="00846980" w:rsidRPr="009E2DAF" w:rsidRDefault="22EE478B">
            <w:pPr>
              <w:jc w:val="center"/>
              <w:rPr>
                <w:sz w:val="16"/>
                <w:szCs w:val="16"/>
              </w:rPr>
            </w:pPr>
            <w:r>
              <w:rPr>
                <w:sz w:val="16"/>
              </w:rPr>
              <w:t>4</w:t>
            </w:r>
          </w:p>
        </w:tc>
        <w:tc>
          <w:tcPr>
            <w:tcW w:w="709" w:type="dxa"/>
            <w:vAlign w:val="center"/>
          </w:tcPr>
          <w:p w14:paraId="5917A65D" w14:textId="60983986" w:rsidR="00846980" w:rsidRPr="009E2DAF" w:rsidRDefault="0BB94194">
            <w:pPr>
              <w:jc w:val="center"/>
              <w:rPr>
                <w:sz w:val="16"/>
                <w:szCs w:val="16"/>
              </w:rPr>
            </w:pPr>
            <w:r>
              <w:rPr>
                <w:sz w:val="16"/>
              </w:rPr>
              <w:t>100%</w:t>
            </w:r>
          </w:p>
        </w:tc>
        <w:tc>
          <w:tcPr>
            <w:tcW w:w="1477" w:type="dxa"/>
            <w:vAlign w:val="center"/>
          </w:tcPr>
          <w:p w14:paraId="7B562422" w14:textId="1B49C861" w:rsidR="00846980" w:rsidRPr="009E2DAF" w:rsidRDefault="0BB94194">
            <w:pPr>
              <w:jc w:val="center"/>
              <w:rPr>
                <w:sz w:val="16"/>
                <w:szCs w:val="16"/>
              </w:rPr>
            </w:pPr>
            <w:r>
              <w:rPr>
                <w:sz w:val="16"/>
              </w:rPr>
              <w:t>0</w:t>
            </w:r>
          </w:p>
        </w:tc>
        <w:tc>
          <w:tcPr>
            <w:tcW w:w="596" w:type="dxa"/>
            <w:gridSpan w:val="2"/>
            <w:vAlign w:val="center"/>
          </w:tcPr>
          <w:p w14:paraId="32B53133" w14:textId="069FE075" w:rsidR="00846980" w:rsidRPr="009E2DAF" w:rsidRDefault="14C2F9F0">
            <w:pPr>
              <w:jc w:val="center"/>
              <w:rPr>
                <w:sz w:val="16"/>
                <w:szCs w:val="16"/>
              </w:rPr>
            </w:pPr>
            <w:r>
              <w:rPr>
                <w:sz w:val="16"/>
              </w:rPr>
              <w:t>0%</w:t>
            </w:r>
          </w:p>
        </w:tc>
      </w:tr>
      <w:tr w:rsidR="00846980" w:rsidRPr="00310BF2" w14:paraId="09E4EE09" w14:textId="77777777" w:rsidTr="004C2F90">
        <w:trPr>
          <w:trHeight w:val="340"/>
        </w:trPr>
        <w:tc>
          <w:tcPr>
            <w:tcW w:w="708" w:type="dxa"/>
            <w:tcBorders>
              <w:bottom w:val="nil"/>
            </w:tcBorders>
            <w:vAlign w:val="center"/>
          </w:tcPr>
          <w:p w14:paraId="20FBE376" w14:textId="77777777" w:rsidR="00846980" w:rsidRPr="00795D4A" w:rsidRDefault="323B463C">
            <w:pPr>
              <w:jc w:val="both"/>
              <w:rPr>
                <w:b/>
                <w:sz w:val="16"/>
                <w:szCs w:val="16"/>
              </w:rPr>
            </w:pPr>
            <w:r>
              <w:rPr>
                <w:b/>
                <w:sz w:val="16"/>
              </w:rPr>
              <w:t>2021</w:t>
            </w:r>
          </w:p>
        </w:tc>
        <w:tc>
          <w:tcPr>
            <w:tcW w:w="861" w:type="dxa"/>
            <w:vAlign w:val="center"/>
          </w:tcPr>
          <w:p w14:paraId="7A51E0D5" w14:textId="77777777" w:rsidR="00846980" w:rsidRPr="009E2DAF" w:rsidRDefault="323B463C">
            <w:pPr>
              <w:jc w:val="center"/>
              <w:rPr>
                <w:sz w:val="16"/>
                <w:szCs w:val="16"/>
              </w:rPr>
            </w:pPr>
            <w:r>
              <w:rPr>
                <w:sz w:val="16"/>
              </w:rPr>
              <w:t>ФА</w:t>
            </w:r>
          </w:p>
        </w:tc>
        <w:tc>
          <w:tcPr>
            <w:tcW w:w="557" w:type="dxa"/>
            <w:vAlign w:val="center"/>
          </w:tcPr>
          <w:p w14:paraId="322B49B6" w14:textId="57B7167A" w:rsidR="00846980" w:rsidRPr="009E2DAF" w:rsidRDefault="6AA84397">
            <w:pPr>
              <w:jc w:val="center"/>
              <w:rPr>
                <w:sz w:val="16"/>
                <w:szCs w:val="16"/>
              </w:rPr>
            </w:pPr>
            <w:r>
              <w:rPr>
                <w:sz w:val="16"/>
              </w:rPr>
              <w:t>0</w:t>
            </w:r>
          </w:p>
        </w:tc>
        <w:tc>
          <w:tcPr>
            <w:tcW w:w="992" w:type="dxa"/>
            <w:vAlign w:val="center"/>
          </w:tcPr>
          <w:p w14:paraId="41B7882F" w14:textId="7795D823" w:rsidR="00846980" w:rsidRPr="009E2DAF" w:rsidRDefault="7F038A60">
            <w:pPr>
              <w:jc w:val="center"/>
              <w:rPr>
                <w:sz w:val="16"/>
                <w:szCs w:val="16"/>
              </w:rPr>
            </w:pPr>
            <w:r>
              <w:rPr>
                <w:sz w:val="16"/>
              </w:rPr>
              <w:t>0</w:t>
            </w:r>
          </w:p>
        </w:tc>
        <w:tc>
          <w:tcPr>
            <w:tcW w:w="997" w:type="dxa"/>
            <w:vAlign w:val="center"/>
          </w:tcPr>
          <w:p w14:paraId="38F04E56" w14:textId="77777777" w:rsidR="00846980" w:rsidRPr="009E2DAF" w:rsidRDefault="323B463C">
            <w:pPr>
              <w:jc w:val="center"/>
              <w:rPr>
                <w:sz w:val="16"/>
                <w:szCs w:val="16"/>
              </w:rPr>
            </w:pPr>
            <w:r>
              <w:rPr>
                <w:sz w:val="16"/>
              </w:rPr>
              <w:t>0</w:t>
            </w:r>
          </w:p>
        </w:tc>
        <w:tc>
          <w:tcPr>
            <w:tcW w:w="928" w:type="dxa"/>
            <w:vAlign w:val="center"/>
          </w:tcPr>
          <w:p w14:paraId="75FA1C38" w14:textId="77777777" w:rsidR="00846980" w:rsidRPr="009E2DAF" w:rsidRDefault="323B463C">
            <w:pPr>
              <w:jc w:val="center"/>
              <w:rPr>
                <w:sz w:val="16"/>
                <w:szCs w:val="16"/>
              </w:rPr>
            </w:pPr>
            <w:r>
              <w:rPr>
                <w:sz w:val="16"/>
              </w:rPr>
              <w:t>0</w:t>
            </w:r>
          </w:p>
        </w:tc>
        <w:tc>
          <w:tcPr>
            <w:tcW w:w="1417" w:type="dxa"/>
            <w:vAlign w:val="center"/>
          </w:tcPr>
          <w:p w14:paraId="17198E87" w14:textId="36B65191" w:rsidR="00846980" w:rsidRPr="009E2DAF" w:rsidRDefault="3E049F04">
            <w:pPr>
              <w:jc w:val="center"/>
              <w:rPr>
                <w:sz w:val="16"/>
                <w:szCs w:val="16"/>
              </w:rPr>
            </w:pPr>
            <w:r>
              <w:rPr>
                <w:sz w:val="16"/>
              </w:rPr>
              <w:t>0</w:t>
            </w:r>
          </w:p>
        </w:tc>
        <w:tc>
          <w:tcPr>
            <w:tcW w:w="709" w:type="dxa"/>
            <w:vAlign w:val="center"/>
          </w:tcPr>
          <w:p w14:paraId="4A7D8006" w14:textId="77777777" w:rsidR="00846980" w:rsidRPr="009E2DAF" w:rsidRDefault="323B463C">
            <w:pPr>
              <w:jc w:val="center"/>
              <w:rPr>
                <w:sz w:val="16"/>
                <w:szCs w:val="16"/>
              </w:rPr>
            </w:pPr>
            <w:r>
              <w:rPr>
                <w:sz w:val="16"/>
              </w:rPr>
              <w:t>100%</w:t>
            </w:r>
          </w:p>
        </w:tc>
        <w:tc>
          <w:tcPr>
            <w:tcW w:w="1477" w:type="dxa"/>
            <w:vAlign w:val="center"/>
          </w:tcPr>
          <w:p w14:paraId="4BA53BBF" w14:textId="77777777" w:rsidR="00846980" w:rsidRPr="009E2DAF" w:rsidRDefault="323B463C">
            <w:pPr>
              <w:jc w:val="center"/>
              <w:rPr>
                <w:sz w:val="16"/>
                <w:szCs w:val="16"/>
              </w:rPr>
            </w:pPr>
            <w:r>
              <w:rPr>
                <w:sz w:val="16"/>
              </w:rPr>
              <w:t>0</w:t>
            </w:r>
          </w:p>
        </w:tc>
        <w:tc>
          <w:tcPr>
            <w:tcW w:w="596" w:type="dxa"/>
            <w:gridSpan w:val="2"/>
            <w:vAlign w:val="center"/>
          </w:tcPr>
          <w:p w14:paraId="1CF1F8DD" w14:textId="77777777" w:rsidR="00846980" w:rsidRPr="009E2DAF" w:rsidRDefault="323B463C">
            <w:pPr>
              <w:jc w:val="center"/>
              <w:rPr>
                <w:sz w:val="16"/>
                <w:szCs w:val="16"/>
              </w:rPr>
            </w:pPr>
            <w:r>
              <w:rPr>
                <w:sz w:val="16"/>
              </w:rPr>
              <w:t>0%</w:t>
            </w:r>
          </w:p>
        </w:tc>
      </w:tr>
      <w:tr w:rsidR="00846980" w:rsidRPr="00310BF2" w14:paraId="0539409F" w14:textId="77777777" w:rsidTr="004C2F90">
        <w:trPr>
          <w:trHeight w:val="340"/>
        </w:trPr>
        <w:tc>
          <w:tcPr>
            <w:tcW w:w="708" w:type="dxa"/>
            <w:tcBorders>
              <w:top w:val="nil"/>
              <w:bottom w:val="single" w:sz="4" w:space="0" w:color="auto"/>
            </w:tcBorders>
            <w:vAlign w:val="center"/>
          </w:tcPr>
          <w:p w14:paraId="2E8C8824" w14:textId="77777777" w:rsidR="00846980" w:rsidRPr="00795D4A" w:rsidRDefault="00846980">
            <w:pPr>
              <w:jc w:val="both"/>
              <w:rPr>
                <w:b/>
                <w:sz w:val="16"/>
                <w:szCs w:val="16"/>
              </w:rPr>
            </w:pPr>
          </w:p>
        </w:tc>
        <w:tc>
          <w:tcPr>
            <w:tcW w:w="861" w:type="dxa"/>
            <w:vAlign w:val="center"/>
          </w:tcPr>
          <w:p w14:paraId="604FA1BF" w14:textId="77777777" w:rsidR="00846980" w:rsidRPr="110E6B07" w:rsidRDefault="323B463C">
            <w:pPr>
              <w:jc w:val="center"/>
              <w:rPr>
                <w:sz w:val="16"/>
                <w:szCs w:val="16"/>
              </w:rPr>
            </w:pPr>
            <w:r>
              <w:rPr>
                <w:sz w:val="16"/>
              </w:rPr>
              <w:t>АЭ</w:t>
            </w:r>
          </w:p>
        </w:tc>
        <w:tc>
          <w:tcPr>
            <w:tcW w:w="557" w:type="dxa"/>
            <w:vAlign w:val="center"/>
          </w:tcPr>
          <w:p w14:paraId="69FCFFF7" w14:textId="4A6C7087" w:rsidR="00846980" w:rsidRPr="009E2DAF" w:rsidRDefault="0C557BB8">
            <w:pPr>
              <w:jc w:val="center"/>
              <w:rPr>
                <w:sz w:val="16"/>
                <w:szCs w:val="16"/>
              </w:rPr>
            </w:pPr>
            <w:r>
              <w:rPr>
                <w:sz w:val="16"/>
              </w:rPr>
              <w:t>3</w:t>
            </w:r>
          </w:p>
        </w:tc>
        <w:tc>
          <w:tcPr>
            <w:tcW w:w="992" w:type="dxa"/>
            <w:vAlign w:val="center"/>
          </w:tcPr>
          <w:p w14:paraId="29F48FEE" w14:textId="3E3B5973" w:rsidR="00846980" w:rsidRPr="009E2DAF" w:rsidRDefault="2D5B28C0">
            <w:pPr>
              <w:jc w:val="center"/>
              <w:rPr>
                <w:sz w:val="16"/>
                <w:szCs w:val="16"/>
              </w:rPr>
            </w:pPr>
            <w:r>
              <w:rPr>
                <w:sz w:val="16"/>
              </w:rPr>
              <w:t>3</w:t>
            </w:r>
          </w:p>
        </w:tc>
        <w:tc>
          <w:tcPr>
            <w:tcW w:w="997" w:type="dxa"/>
            <w:vAlign w:val="center"/>
          </w:tcPr>
          <w:p w14:paraId="26427833" w14:textId="211BC52F" w:rsidR="00846980" w:rsidRPr="009E2DAF" w:rsidRDefault="2D5B28C0">
            <w:pPr>
              <w:jc w:val="center"/>
              <w:rPr>
                <w:sz w:val="16"/>
                <w:szCs w:val="16"/>
              </w:rPr>
            </w:pPr>
            <w:r>
              <w:rPr>
                <w:sz w:val="16"/>
              </w:rPr>
              <w:t>0</w:t>
            </w:r>
          </w:p>
        </w:tc>
        <w:tc>
          <w:tcPr>
            <w:tcW w:w="928" w:type="dxa"/>
            <w:vAlign w:val="center"/>
          </w:tcPr>
          <w:p w14:paraId="5F0A1517" w14:textId="2A708450" w:rsidR="00846980" w:rsidRPr="009E2DAF" w:rsidRDefault="2D5B28C0">
            <w:pPr>
              <w:jc w:val="center"/>
              <w:rPr>
                <w:sz w:val="16"/>
                <w:szCs w:val="16"/>
              </w:rPr>
            </w:pPr>
            <w:r>
              <w:rPr>
                <w:sz w:val="16"/>
              </w:rPr>
              <w:t>0</w:t>
            </w:r>
          </w:p>
        </w:tc>
        <w:tc>
          <w:tcPr>
            <w:tcW w:w="1417" w:type="dxa"/>
            <w:vAlign w:val="center"/>
          </w:tcPr>
          <w:p w14:paraId="20D80805" w14:textId="04F2ABDF" w:rsidR="00846980" w:rsidRPr="009E2DAF" w:rsidRDefault="2D5B28C0">
            <w:pPr>
              <w:jc w:val="center"/>
              <w:rPr>
                <w:sz w:val="16"/>
                <w:szCs w:val="16"/>
              </w:rPr>
            </w:pPr>
            <w:r>
              <w:rPr>
                <w:sz w:val="16"/>
              </w:rPr>
              <w:t>3</w:t>
            </w:r>
          </w:p>
        </w:tc>
        <w:tc>
          <w:tcPr>
            <w:tcW w:w="709" w:type="dxa"/>
            <w:vAlign w:val="center"/>
          </w:tcPr>
          <w:p w14:paraId="1AB87A8A" w14:textId="67F6FBE1" w:rsidR="00846980" w:rsidRPr="009E2DAF" w:rsidRDefault="2D5B28C0">
            <w:pPr>
              <w:jc w:val="center"/>
              <w:rPr>
                <w:sz w:val="16"/>
                <w:szCs w:val="16"/>
              </w:rPr>
            </w:pPr>
            <w:r>
              <w:rPr>
                <w:sz w:val="16"/>
              </w:rPr>
              <w:t>100%</w:t>
            </w:r>
          </w:p>
        </w:tc>
        <w:tc>
          <w:tcPr>
            <w:tcW w:w="1477" w:type="dxa"/>
            <w:vAlign w:val="center"/>
          </w:tcPr>
          <w:p w14:paraId="3241C7FD" w14:textId="21EE3452" w:rsidR="00846980" w:rsidRPr="009E2DAF" w:rsidRDefault="2D5B28C0">
            <w:pPr>
              <w:jc w:val="center"/>
              <w:rPr>
                <w:sz w:val="16"/>
                <w:szCs w:val="16"/>
              </w:rPr>
            </w:pPr>
            <w:r>
              <w:rPr>
                <w:sz w:val="16"/>
              </w:rPr>
              <w:t>0</w:t>
            </w:r>
          </w:p>
        </w:tc>
        <w:tc>
          <w:tcPr>
            <w:tcW w:w="596" w:type="dxa"/>
            <w:gridSpan w:val="2"/>
            <w:vAlign w:val="center"/>
          </w:tcPr>
          <w:p w14:paraId="20A2162B" w14:textId="28A576A7" w:rsidR="00846980" w:rsidRPr="009E2DAF" w:rsidRDefault="2D5B28C0">
            <w:pPr>
              <w:jc w:val="center"/>
              <w:rPr>
                <w:sz w:val="16"/>
                <w:szCs w:val="16"/>
              </w:rPr>
            </w:pPr>
            <w:r>
              <w:rPr>
                <w:sz w:val="16"/>
              </w:rPr>
              <w:t>0%</w:t>
            </w:r>
          </w:p>
        </w:tc>
      </w:tr>
      <w:tr w:rsidR="00846980" w:rsidRPr="00310BF2" w14:paraId="707ED2AA" w14:textId="77777777" w:rsidTr="004C2F90">
        <w:trPr>
          <w:trHeight w:val="340"/>
        </w:trPr>
        <w:tc>
          <w:tcPr>
            <w:tcW w:w="708" w:type="dxa"/>
            <w:tcBorders>
              <w:bottom w:val="nil"/>
            </w:tcBorders>
            <w:vAlign w:val="center"/>
          </w:tcPr>
          <w:p w14:paraId="0070D4CE" w14:textId="77777777" w:rsidR="00846980" w:rsidRPr="00795D4A" w:rsidRDefault="323B463C">
            <w:pPr>
              <w:jc w:val="both"/>
              <w:rPr>
                <w:b/>
                <w:sz w:val="16"/>
                <w:szCs w:val="16"/>
              </w:rPr>
            </w:pPr>
            <w:r>
              <w:rPr>
                <w:b/>
                <w:sz w:val="16"/>
              </w:rPr>
              <w:t>2020</w:t>
            </w:r>
          </w:p>
        </w:tc>
        <w:tc>
          <w:tcPr>
            <w:tcW w:w="861" w:type="dxa"/>
            <w:vAlign w:val="center"/>
          </w:tcPr>
          <w:p w14:paraId="03A0896E" w14:textId="77777777" w:rsidR="00846980" w:rsidRPr="009E2DAF" w:rsidRDefault="323B463C">
            <w:pPr>
              <w:jc w:val="center"/>
              <w:rPr>
                <w:sz w:val="16"/>
                <w:szCs w:val="16"/>
              </w:rPr>
            </w:pPr>
            <w:r>
              <w:rPr>
                <w:sz w:val="16"/>
              </w:rPr>
              <w:t>ФА</w:t>
            </w:r>
          </w:p>
        </w:tc>
        <w:tc>
          <w:tcPr>
            <w:tcW w:w="557" w:type="dxa"/>
            <w:vAlign w:val="center"/>
          </w:tcPr>
          <w:p w14:paraId="40C4E2FB" w14:textId="74DDC6E0" w:rsidR="00846980" w:rsidRPr="009E2DAF" w:rsidRDefault="1306E970">
            <w:pPr>
              <w:jc w:val="center"/>
              <w:rPr>
                <w:sz w:val="16"/>
                <w:szCs w:val="16"/>
              </w:rPr>
            </w:pPr>
            <w:r>
              <w:rPr>
                <w:sz w:val="16"/>
              </w:rPr>
              <w:t>3</w:t>
            </w:r>
          </w:p>
        </w:tc>
        <w:tc>
          <w:tcPr>
            <w:tcW w:w="992" w:type="dxa"/>
            <w:vAlign w:val="center"/>
          </w:tcPr>
          <w:p w14:paraId="5C4487FD" w14:textId="3E1B85F4" w:rsidR="00846980" w:rsidRPr="009E2DAF" w:rsidRDefault="3FC7A317">
            <w:pPr>
              <w:jc w:val="center"/>
              <w:rPr>
                <w:sz w:val="16"/>
                <w:szCs w:val="16"/>
              </w:rPr>
            </w:pPr>
            <w:r>
              <w:rPr>
                <w:sz w:val="16"/>
              </w:rPr>
              <w:t>3</w:t>
            </w:r>
          </w:p>
        </w:tc>
        <w:tc>
          <w:tcPr>
            <w:tcW w:w="997" w:type="dxa"/>
            <w:vAlign w:val="center"/>
          </w:tcPr>
          <w:p w14:paraId="4C21D677" w14:textId="77777777" w:rsidR="00846980" w:rsidRPr="009E2DAF" w:rsidRDefault="323B463C">
            <w:pPr>
              <w:jc w:val="center"/>
              <w:rPr>
                <w:sz w:val="16"/>
                <w:szCs w:val="16"/>
              </w:rPr>
            </w:pPr>
            <w:r>
              <w:rPr>
                <w:sz w:val="16"/>
              </w:rPr>
              <w:t>0</w:t>
            </w:r>
          </w:p>
        </w:tc>
        <w:tc>
          <w:tcPr>
            <w:tcW w:w="928" w:type="dxa"/>
            <w:vAlign w:val="center"/>
          </w:tcPr>
          <w:p w14:paraId="492D801A" w14:textId="77777777" w:rsidR="00846980" w:rsidRPr="009E2DAF" w:rsidRDefault="323B463C">
            <w:pPr>
              <w:jc w:val="center"/>
              <w:rPr>
                <w:sz w:val="16"/>
                <w:szCs w:val="16"/>
              </w:rPr>
            </w:pPr>
            <w:r>
              <w:rPr>
                <w:sz w:val="16"/>
              </w:rPr>
              <w:t>0</w:t>
            </w:r>
          </w:p>
        </w:tc>
        <w:tc>
          <w:tcPr>
            <w:tcW w:w="1417" w:type="dxa"/>
            <w:vAlign w:val="center"/>
          </w:tcPr>
          <w:p w14:paraId="71983C5C" w14:textId="6257CC69" w:rsidR="00846980" w:rsidRPr="009E2DAF" w:rsidRDefault="3FC7A317">
            <w:pPr>
              <w:jc w:val="center"/>
              <w:rPr>
                <w:sz w:val="16"/>
                <w:szCs w:val="16"/>
              </w:rPr>
            </w:pPr>
            <w:r>
              <w:rPr>
                <w:sz w:val="16"/>
              </w:rPr>
              <w:t>3</w:t>
            </w:r>
          </w:p>
        </w:tc>
        <w:tc>
          <w:tcPr>
            <w:tcW w:w="709" w:type="dxa"/>
            <w:vAlign w:val="center"/>
          </w:tcPr>
          <w:p w14:paraId="78508A3B" w14:textId="77777777" w:rsidR="00846980" w:rsidRPr="009E2DAF" w:rsidRDefault="323B463C">
            <w:pPr>
              <w:jc w:val="center"/>
              <w:rPr>
                <w:sz w:val="16"/>
                <w:szCs w:val="16"/>
              </w:rPr>
            </w:pPr>
            <w:r>
              <w:rPr>
                <w:sz w:val="16"/>
              </w:rPr>
              <w:t>100%</w:t>
            </w:r>
          </w:p>
        </w:tc>
        <w:tc>
          <w:tcPr>
            <w:tcW w:w="1477" w:type="dxa"/>
            <w:vAlign w:val="center"/>
          </w:tcPr>
          <w:p w14:paraId="44D40088" w14:textId="77777777" w:rsidR="00846980" w:rsidRPr="009E2DAF" w:rsidRDefault="323B463C">
            <w:pPr>
              <w:jc w:val="center"/>
              <w:rPr>
                <w:sz w:val="16"/>
                <w:szCs w:val="16"/>
              </w:rPr>
            </w:pPr>
            <w:r>
              <w:rPr>
                <w:sz w:val="16"/>
              </w:rPr>
              <w:t>0</w:t>
            </w:r>
          </w:p>
        </w:tc>
        <w:tc>
          <w:tcPr>
            <w:tcW w:w="596" w:type="dxa"/>
            <w:gridSpan w:val="2"/>
            <w:vAlign w:val="center"/>
          </w:tcPr>
          <w:p w14:paraId="14252811" w14:textId="77777777" w:rsidR="00846980" w:rsidRPr="009E2DAF" w:rsidRDefault="323B463C">
            <w:pPr>
              <w:jc w:val="center"/>
              <w:rPr>
                <w:sz w:val="16"/>
                <w:szCs w:val="16"/>
              </w:rPr>
            </w:pPr>
            <w:r>
              <w:rPr>
                <w:sz w:val="16"/>
              </w:rPr>
              <w:t>0%</w:t>
            </w:r>
          </w:p>
        </w:tc>
      </w:tr>
      <w:tr w:rsidR="00846980" w:rsidRPr="00310BF2" w14:paraId="1158E19B" w14:textId="77777777" w:rsidTr="004C2F90">
        <w:trPr>
          <w:trHeight w:val="340"/>
        </w:trPr>
        <w:tc>
          <w:tcPr>
            <w:tcW w:w="708" w:type="dxa"/>
            <w:tcBorders>
              <w:top w:val="nil"/>
            </w:tcBorders>
            <w:vAlign w:val="center"/>
          </w:tcPr>
          <w:p w14:paraId="4C64B054" w14:textId="77777777" w:rsidR="00846980" w:rsidRPr="00795D4A" w:rsidRDefault="00846980">
            <w:pPr>
              <w:jc w:val="both"/>
              <w:rPr>
                <w:b/>
                <w:sz w:val="16"/>
                <w:szCs w:val="16"/>
              </w:rPr>
            </w:pPr>
          </w:p>
        </w:tc>
        <w:tc>
          <w:tcPr>
            <w:tcW w:w="861" w:type="dxa"/>
            <w:vAlign w:val="center"/>
          </w:tcPr>
          <w:p w14:paraId="4DCD67FF" w14:textId="77777777" w:rsidR="00846980" w:rsidRPr="009E2DAF" w:rsidRDefault="323B463C">
            <w:pPr>
              <w:jc w:val="center"/>
              <w:rPr>
                <w:sz w:val="16"/>
                <w:szCs w:val="16"/>
              </w:rPr>
            </w:pPr>
            <w:r>
              <w:rPr>
                <w:sz w:val="16"/>
              </w:rPr>
              <w:t>АЭ</w:t>
            </w:r>
          </w:p>
        </w:tc>
        <w:tc>
          <w:tcPr>
            <w:tcW w:w="557" w:type="dxa"/>
            <w:vAlign w:val="center"/>
          </w:tcPr>
          <w:p w14:paraId="5C1B878A" w14:textId="19F0D8F7" w:rsidR="00846980" w:rsidRPr="009E2DAF" w:rsidRDefault="1306E970">
            <w:pPr>
              <w:jc w:val="center"/>
              <w:rPr>
                <w:sz w:val="16"/>
                <w:szCs w:val="16"/>
              </w:rPr>
            </w:pPr>
            <w:r>
              <w:rPr>
                <w:sz w:val="16"/>
              </w:rPr>
              <w:t>6</w:t>
            </w:r>
          </w:p>
        </w:tc>
        <w:tc>
          <w:tcPr>
            <w:tcW w:w="992" w:type="dxa"/>
            <w:vAlign w:val="center"/>
          </w:tcPr>
          <w:p w14:paraId="272B942C" w14:textId="2275A587" w:rsidR="00846980" w:rsidRPr="009E2DAF" w:rsidRDefault="3FC7A317">
            <w:pPr>
              <w:jc w:val="center"/>
              <w:rPr>
                <w:sz w:val="16"/>
                <w:szCs w:val="16"/>
              </w:rPr>
            </w:pPr>
            <w:r>
              <w:rPr>
                <w:sz w:val="16"/>
              </w:rPr>
              <w:t>6</w:t>
            </w:r>
          </w:p>
        </w:tc>
        <w:tc>
          <w:tcPr>
            <w:tcW w:w="997" w:type="dxa"/>
            <w:vAlign w:val="center"/>
          </w:tcPr>
          <w:p w14:paraId="4DE02A0F" w14:textId="3B7BA798" w:rsidR="00846980" w:rsidRPr="009E2DAF" w:rsidRDefault="7E3E0BA4">
            <w:pPr>
              <w:jc w:val="center"/>
              <w:rPr>
                <w:sz w:val="16"/>
                <w:szCs w:val="16"/>
              </w:rPr>
            </w:pPr>
            <w:r>
              <w:rPr>
                <w:sz w:val="16"/>
              </w:rPr>
              <w:t>0</w:t>
            </w:r>
          </w:p>
        </w:tc>
        <w:tc>
          <w:tcPr>
            <w:tcW w:w="928" w:type="dxa"/>
            <w:vAlign w:val="center"/>
          </w:tcPr>
          <w:p w14:paraId="2BBA65A1" w14:textId="4F875801" w:rsidR="00846980" w:rsidRPr="009E2DAF" w:rsidRDefault="7E3E0BA4">
            <w:pPr>
              <w:jc w:val="center"/>
              <w:rPr>
                <w:sz w:val="16"/>
                <w:szCs w:val="16"/>
              </w:rPr>
            </w:pPr>
            <w:r>
              <w:rPr>
                <w:sz w:val="16"/>
              </w:rPr>
              <w:t>0</w:t>
            </w:r>
          </w:p>
        </w:tc>
        <w:tc>
          <w:tcPr>
            <w:tcW w:w="1417" w:type="dxa"/>
            <w:vAlign w:val="center"/>
          </w:tcPr>
          <w:p w14:paraId="28D9A5B6" w14:textId="7303B6C3" w:rsidR="00846980" w:rsidRPr="009E2DAF" w:rsidRDefault="3FC7A317">
            <w:pPr>
              <w:jc w:val="center"/>
              <w:rPr>
                <w:sz w:val="16"/>
                <w:szCs w:val="16"/>
              </w:rPr>
            </w:pPr>
            <w:r>
              <w:rPr>
                <w:sz w:val="16"/>
              </w:rPr>
              <w:t>6</w:t>
            </w:r>
          </w:p>
        </w:tc>
        <w:tc>
          <w:tcPr>
            <w:tcW w:w="709" w:type="dxa"/>
            <w:vAlign w:val="center"/>
          </w:tcPr>
          <w:p w14:paraId="40B6F0E3" w14:textId="3757C682" w:rsidR="00846980" w:rsidRPr="009E2DAF" w:rsidRDefault="7E3E0BA4">
            <w:pPr>
              <w:jc w:val="center"/>
              <w:rPr>
                <w:sz w:val="16"/>
                <w:szCs w:val="16"/>
              </w:rPr>
            </w:pPr>
            <w:r>
              <w:rPr>
                <w:sz w:val="16"/>
              </w:rPr>
              <w:t>100%</w:t>
            </w:r>
          </w:p>
        </w:tc>
        <w:tc>
          <w:tcPr>
            <w:tcW w:w="1477" w:type="dxa"/>
            <w:vAlign w:val="center"/>
          </w:tcPr>
          <w:p w14:paraId="45441007" w14:textId="732EC869" w:rsidR="00846980" w:rsidRPr="009E2DAF" w:rsidRDefault="35F67D27">
            <w:pPr>
              <w:jc w:val="center"/>
              <w:rPr>
                <w:sz w:val="16"/>
                <w:szCs w:val="16"/>
              </w:rPr>
            </w:pPr>
            <w:r>
              <w:rPr>
                <w:sz w:val="16"/>
              </w:rPr>
              <w:t>0</w:t>
            </w:r>
          </w:p>
        </w:tc>
        <w:tc>
          <w:tcPr>
            <w:tcW w:w="596" w:type="dxa"/>
            <w:gridSpan w:val="2"/>
            <w:vAlign w:val="center"/>
          </w:tcPr>
          <w:p w14:paraId="5F27B508" w14:textId="7D51F1E1" w:rsidR="00846980" w:rsidRPr="009E2DAF" w:rsidRDefault="35F67D27">
            <w:pPr>
              <w:jc w:val="center"/>
              <w:rPr>
                <w:sz w:val="16"/>
                <w:szCs w:val="16"/>
              </w:rPr>
            </w:pPr>
            <w:r>
              <w:rPr>
                <w:sz w:val="16"/>
              </w:rPr>
              <w:t>0%</w:t>
            </w:r>
          </w:p>
        </w:tc>
      </w:tr>
      <w:tr w:rsidR="0019440F" w:rsidRPr="00F76257" w14:paraId="6FE8BF72" w14:textId="77777777" w:rsidTr="004C2F90">
        <w:trPr>
          <w:trHeight w:val="340"/>
        </w:trPr>
        <w:tc>
          <w:tcPr>
            <w:tcW w:w="708" w:type="dxa"/>
            <w:vMerge w:val="restart"/>
            <w:shd w:val="clear" w:color="auto" w:fill="FFFFFF" w:themeFill="background1"/>
            <w:vAlign w:val="center"/>
          </w:tcPr>
          <w:p w14:paraId="28EBEC9E" w14:textId="63A8BEF1" w:rsidR="0019440F" w:rsidRPr="00F76257" w:rsidRDefault="7AAE4FD1">
            <w:pPr>
              <w:jc w:val="both"/>
              <w:rPr>
                <w:sz w:val="16"/>
                <w:szCs w:val="16"/>
              </w:rPr>
            </w:pPr>
            <w:r>
              <w:rPr>
                <w:b/>
                <w:sz w:val="16"/>
              </w:rPr>
              <w:t>Итого</w:t>
            </w:r>
          </w:p>
        </w:tc>
        <w:tc>
          <w:tcPr>
            <w:tcW w:w="861" w:type="dxa"/>
            <w:shd w:val="clear" w:color="auto" w:fill="FFFFFF" w:themeFill="background1"/>
            <w:vAlign w:val="center"/>
          </w:tcPr>
          <w:p w14:paraId="7DE12AA8" w14:textId="15A0868A" w:rsidR="0019440F" w:rsidRPr="002F07D8" w:rsidRDefault="7AAE4FD1" w:rsidP="00070145">
            <w:pPr>
              <w:jc w:val="center"/>
              <w:rPr>
                <w:b/>
                <w:sz w:val="16"/>
                <w:szCs w:val="16"/>
              </w:rPr>
            </w:pPr>
            <w:r>
              <w:rPr>
                <w:b/>
                <w:sz w:val="16"/>
              </w:rPr>
              <w:t>ФА</w:t>
            </w:r>
          </w:p>
        </w:tc>
        <w:tc>
          <w:tcPr>
            <w:tcW w:w="557" w:type="dxa"/>
            <w:shd w:val="clear" w:color="auto" w:fill="FFFFFF" w:themeFill="background1"/>
            <w:vAlign w:val="center"/>
          </w:tcPr>
          <w:p w14:paraId="422E7740" w14:textId="4939B045" w:rsidR="0019440F" w:rsidRPr="002F07D8" w:rsidRDefault="71EEF071" w:rsidP="31DA1FBD">
            <w:pPr>
              <w:jc w:val="center"/>
              <w:rPr>
                <w:b/>
                <w:sz w:val="16"/>
                <w:szCs w:val="16"/>
              </w:rPr>
            </w:pPr>
            <w:r>
              <w:rPr>
                <w:b/>
                <w:sz w:val="16"/>
              </w:rPr>
              <w:t>8</w:t>
            </w:r>
          </w:p>
        </w:tc>
        <w:tc>
          <w:tcPr>
            <w:tcW w:w="992" w:type="dxa"/>
            <w:shd w:val="clear" w:color="auto" w:fill="FFFFFF" w:themeFill="background1"/>
            <w:vAlign w:val="center"/>
          </w:tcPr>
          <w:p w14:paraId="0BA1B4C9" w14:textId="49C9306E" w:rsidR="0019440F" w:rsidRPr="002F07D8" w:rsidRDefault="0BDACAB2" w:rsidP="31DA1FBD">
            <w:pPr>
              <w:jc w:val="center"/>
              <w:rPr>
                <w:b/>
                <w:sz w:val="16"/>
                <w:szCs w:val="16"/>
              </w:rPr>
            </w:pPr>
            <w:r>
              <w:rPr>
                <w:b/>
                <w:sz w:val="16"/>
              </w:rPr>
              <w:t>4</w:t>
            </w:r>
          </w:p>
        </w:tc>
        <w:tc>
          <w:tcPr>
            <w:tcW w:w="997" w:type="dxa"/>
            <w:shd w:val="clear" w:color="auto" w:fill="FFFFFF" w:themeFill="background1"/>
            <w:vAlign w:val="center"/>
          </w:tcPr>
          <w:p w14:paraId="55A13106" w14:textId="42084670" w:rsidR="0019440F" w:rsidRPr="002F07D8" w:rsidRDefault="77B6D0F8" w:rsidP="31DA1FBD">
            <w:pPr>
              <w:jc w:val="center"/>
              <w:rPr>
                <w:b/>
                <w:sz w:val="16"/>
                <w:szCs w:val="16"/>
              </w:rPr>
            </w:pPr>
            <w:r>
              <w:rPr>
                <w:b/>
                <w:sz w:val="16"/>
              </w:rPr>
              <w:t>4</w:t>
            </w:r>
          </w:p>
        </w:tc>
        <w:tc>
          <w:tcPr>
            <w:tcW w:w="928" w:type="dxa"/>
            <w:shd w:val="clear" w:color="auto" w:fill="FFFFFF" w:themeFill="background1"/>
            <w:vAlign w:val="center"/>
          </w:tcPr>
          <w:p w14:paraId="23E2A140" w14:textId="26490C58" w:rsidR="0019440F" w:rsidRPr="002F07D8" w:rsidRDefault="1ED58F09" w:rsidP="73A89930">
            <w:pPr>
              <w:jc w:val="center"/>
              <w:rPr>
                <w:b/>
                <w:sz w:val="16"/>
                <w:szCs w:val="16"/>
              </w:rPr>
            </w:pPr>
            <w:r>
              <w:rPr>
                <w:b/>
                <w:sz w:val="16"/>
              </w:rPr>
              <w:t>2</w:t>
            </w:r>
          </w:p>
        </w:tc>
        <w:tc>
          <w:tcPr>
            <w:tcW w:w="1417" w:type="dxa"/>
            <w:shd w:val="clear" w:color="auto" w:fill="FFFFFF" w:themeFill="background1"/>
            <w:vAlign w:val="center"/>
          </w:tcPr>
          <w:p w14:paraId="4850E792" w14:textId="56C1C944" w:rsidR="0019440F" w:rsidRPr="002F07D8" w:rsidRDefault="6496EAC7" w:rsidP="73A89930">
            <w:pPr>
              <w:jc w:val="center"/>
              <w:rPr>
                <w:b/>
                <w:sz w:val="16"/>
                <w:szCs w:val="16"/>
              </w:rPr>
            </w:pPr>
            <w:r>
              <w:rPr>
                <w:b/>
                <w:sz w:val="16"/>
              </w:rPr>
              <w:t>6</w:t>
            </w:r>
          </w:p>
        </w:tc>
        <w:tc>
          <w:tcPr>
            <w:tcW w:w="709" w:type="dxa"/>
            <w:shd w:val="clear" w:color="auto" w:fill="FFFFFF" w:themeFill="background1"/>
            <w:vAlign w:val="center"/>
          </w:tcPr>
          <w:p w14:paraId="62D0A547" w14:textId="0DA6D28C" w:rsidR="0019440F" w:rsidRPr="002F07D8" w:rsidRDefault="6313C711" w:rsidP="73A89930">
            <w:pPr>
              <w:jc w:val="center"/>
              <w:rPr>
                <w:b/>
                <w:sz w:val="16"/>
                <w:szCs w:val="16"/>
              </w:rPr>
            </w:pPr>
            <w:r>
              <w:rPr>
                <w:b/>
                <w:sz w:val="16"/>
              </w:rPr>
              <w:t>75%</w:t>
            </w:r>
          </w:p>
        </w:tc>
        <w:tc>
          <w:tcPr>
            <w:tcW w:w="1477" w:type="dxa"/>
            <w:shd w:val="clear" w:color="auto" w:fill="FFFFFF" w:themeFill="background1"/>
            <w:vAlign w:val="center"/>
          </w:tcPr>
          <w:p w14:paraId="79617B71" w14:textId="241DB159" w:rsidR="0019440F" w:rsidRPr="002F07D8" w:rsidRDefault="0EA41F06" w:rsidP="73A89930">
            <w:pPr>
              <w:jc w:val="center"/>
              <w:rPr>
                <w:b/>
                <w:sz w:val="16"/>
                <w:szCs w:val="16"/>
              </w:rPr>
            </w:pPr>
            <w:r>
              <w:rPr>
                <w:b/>
                <w:sz w:val="16"/>
              </w:rPr>
              <w:t>2</w:t>
            </w:r>
          </w:p>
        </w:tc>
        <w:tc>
          <w:tcPr>
            <w:tcW w:w="596" w:type="dxa"/>
            <w:gridSpan w:val="2"/>
            <w:shd w:val="clear" w:color="auto" w:fill="FFFFFF" w:themeFill="background1"/>
            <w:vAlign w:val="center"/>
          </w:tcPr>
          <w:p w14:paraId="2BC99869" w14:textId="0209C02B" w:rsidR="0019440F" w:rsidRPr="002F07D8" w:rsidRDefault="0EA41F06" w:rsidP="73A89930">
            <w:pPr>
              <w:jc w:val="center"/>
              <w:rPr>
                <w:b/>
                <w:sz w:val="16"/>
                <w:szCs w:val="16"/>
              </w:rPr>
            </w:pPr>
            <w:r>
              <w:rPr>
                <w:b/>
                <w:sz w:val="16"/>
              </w:rPr>
              <w:t>25%</w:t>
            </w:r>
          </w:p>
        </w:tc>
      </w:tr>
      <w:tr w:rsidR="0019440F" w:rsidRPr="00F76257" w14:paraId="345D5691" w14:textId="77777777" w:rsidTr="004C2F90">
        <w:trPr>
          <w:trHeight w:val="340"/>
        </w:trPr>
        <w:tc>
          <w:tcPr>
            <w:tcW w:w="708" w:type="dxa"/>
            <w:vMerge/>
            <w:vAlign w:val="center"/>
          </w:tcPr>
          <w:p w14:paraId="6B557048" w14:textId="6C45FA9A" w:rsidR="0019440F" w:rsidRPr="00F76257" w:rsidRDefault="0019440F">
            <w:pPr>
              <w:jc w:val="both"/>
              <w:rPr>
                <w:sz w:val="16"/>
                <w:szCs w:val="16"/>
              </w:rPr>
            </w:pPr>
          </w:p>
        </w:tc>
        <w:tc>
          <w:tcPr>
            <w:tcW w:w="861" w:type="dxa"/>
            <w:shd w:val="clear" w:color="auto" w:fill="FFFFFF" w:themeFill="background1"/>
            <w:vAlign w:val="center"/>
          </w:tcPr>
          <w:p w14:paraId="47C168FA" w14:textId="657324E2" w:rsidR="0019440F" w:rsidRPr="002F07D8" w:rsidRDefault="7AAE4FD1" w:rsidP="00070145">
            <w:pPr>
              <w:jc w:val="center"/>
              <w:rPr>
                <w:b/>
                <w:sz w:val="16"/>
                <w:szCs w:val="16"/>
              </w:rPr>
            </w:pPr>
            <w:r>
              <w:rPr>
                <w:b/>
                <w:sz w:val="16"/>
              </w:rPr>
              <w:t>АЭ</w:t>
            </w:r>
          </w:p>
        </w:tc>
        <w:tc>
          <w:tcPr>
            <w:tcW w:w="557" w:type="dxa"/>
            <w:shd w:val="clear" w:color="auto" w:fill="FFFFFF" w:themeFill="background1"/>
            <w:vAlign w:val="center"/>
          </w:tcPr>
          <w:p w14:paraId="61E50B2C" w14:textId="21BE47D2" w:rsidR="0019440F" w:rsidRPr="002F07D8" w:rsidRDefault="26B1B17A" w:rsidP="31DA1FBD">
            <w:pPr>
              <w:jc w:val="center"/>
              <w:rPr>
                <w:b/>
                <w:sz w:val="16"/>
                <w:szCs w:val="16"/>
              </w:rPr>
            </w:pPr>
            <w:r>
              <w:rPr>
                <w:b/>
                <w:sz w:val="16"/>
              </w:rPr>
              <w:t>18</w:t>
            </w:r>
          </w:p>
        </w:tc>
        <w:tc>
          <w:tcPr>
            <w:tcW w:w="992" w:type="dxa"/>
            <w:shd w:val="clear" w:color="auto" w:fill="FFFFFF" w:themeFill="background1"/>
            <w:vAlign w:val="center"/>
          </w:tcPr>
          <w:p w14:paraId="2AEA7459" w14:textId="49C7D04C" w:rsidR="0019440F" w:rsidRPr="002F07D8" w:rsidRDefault="7E5E5284" w:rsidP="31DA1FBD">
            <w:pPr>
              <w:jc w:val="center"/>
              <w:rPr>
                <w:b/>
                <w:sz w:val="16"/>
                <w:szCs w:val="16"/>
              </w:rPr>
            </w:pPr>
            <w:r>
              <w:rPr>
                <w:b/>
                <w:sz w:val="16"/>
              </w:rPr>
              <w:t>13</w:t>
            </w:r>
          </w:p>
        </w:tc>
        <w:tc>
          <w:tcPr>
            <w:tcW w:w="997" w:type="dxa"/>
            <w:shd w:val="clear" w:color="auto" w:fill="FFFFFF" w:themeFill="background1"/>
            <w:vAlign w:val="center"/>
          </w:tcPr>
          <w:p w14:paraId="7F7E3A3E" w14:textId="416704E0" w:rsidR="0019440F" w:rsidRPr="002F07D8" w:rsidRDefault="07973D4F" w:rsidP="31DA1FBD">
            <w:pPr>
              <w:jc w:val="center"/>
              <w:rPr>
                <w:b/>
                <w:sz w:val="16"/>
                <w:szCs w:val="16"/>
              </w:rPr>
            </w:pPr>
            <w:r>
              <w:rPr>
                <w:b/>
                <w:sz w:val="16"/>
              </w:rPr>
              <w:t>5</w:t>
            </w:r>
          </w:p>
        </w:tc>
        <w:tc>
          <w:tcPr>
            <w:tcW w:w="928" w:type="dxa"/>
            <w:shd w:val="clear" w:color="auto" w:fill="FFFFFF" w:themeFill="background1"/>
            <w:vAlign w:val="center"/>
          </w:tcPr>
          <w:p w14:paraId="288D5A68" w14:textId="5B6B4B48" w:rsidR="0019440F" w:rsidRPr="002F07D8" w:rsidRDefault="1ED58F09" w:rsidP="73A89930">
            <w:pPr>
              <w:jc w:val="center"/>
              <w:rPr>
                <w:b/>
                <w:sz w:val="16"/>
                <w:szCs w:val="16"/>
              </w:rPr>
            </w:pPr>
            <w:r>
              <w:rPr>
                <w:b/>
                <w:sz w:val="16"/>
              </w:rPr>
              <w:t>4</w:t>
            </w:r>
          </w:p>
        </w:tc>
        <w:tc>
          <w:tcPr>
            <w:tcW w:w="1417" w:type="dxa"/>
            <w:shd w:val="clear" w:color="auto" w:fill="FFFFFF" w:themeFill="background1"/>
            <w:vAlign w:val="center"/>
          </w:tcPr>
          <w:p w14:paraId="51D20140" w14:textId="68E79299" w:rsidR="0019440F" w:rsidRPr="002F07D8" w:rsidRDefault="11BBA930" w:rsidP="73A89930">
            <w:pPr>
              <w:jc w:val="center"/>
              <w:rPr>
                <w:b/>
                <w:sz w:val="16"/>
                <w:szCs w:val="16"/>
              </w:rPr>
            </w:pPr>
            <w:r>
              <w:rPr>
                <w:b/>
                <w:sz w:val="16"/>
              </w:rPr>
              <w:t>17</w:t>
            </w:r>
          </w:p>
        </w:tc>
        <w:tc>
          <w:tcPr>
            <w:tcW w:w="709" w:type="dxa"/>
            <w:shd w:val="clear" w:color="auto" w:fill="FFFFFF" w:themeFill="background1"/>
            <w:vAlign w:val="center"/>
          </w:tcPr>
          <w:p w14:paraId="0086DA4E" w14:textId="7AE93E6C" w:rsidR="0019440F" w:rsidRPr="002F07D8" w:rsidRDefault="5D6EA152" w:rsidP="73A89930">
            <w:pPr>
              <w:jc w:val="center"/>
              <w:rPr>
                <w:b/>
                <w:sz w:val="16"/>
                <w:szCs w:val="16"/>
              </w:rPr>
            </w:pPr>
            <w:r>
              <w:rPr>
                <w:b/>
                <w:sz w:val="16"/>
              </w:rPr>
              <w:t>94%</w:t>
            </w:r>
          </w:p>
        </w:tc>
        <w:tc>
          <w:tcPr>
            <w:tcW w:w="1477" w:type="dxa"/>
            <w:shd w:val="clear" w:color="auto" w:fill="FFFFFF" w:themeFill="background1"/>
            <w:vAlign w:val="center"/>
          </w:tcPr>
          <w:p w14:paraId="5071A4F2" w14:textId="686021C1" w:rsidR="0019440F" w:rsidRPr="002F07D8" w:rsidRDefault="1418AFB2" w:rsidP="73A89930">
            <w:pPr>
              <w:jc w:val="center"/>
              <w:rPr>
                <w:b/>
                <w:sz w:val="16"/>
                <w:szCs w:val="16"/>
              </w:rPr>
            </w:pPr>
            <w:r>
              <w:rPr>
                <w:b/>
                <w:sz w:val="16"/>
              </w:rPr>
              <w:t>1</w:t>
            </w:r>
          </w:p>
        </w:tc>
        <w:tc>
          <w:tcPr>
            <w:tcW w:w="596" w:type="dxa"/>
            <w:gridSpan w:val="2"/>
            <w:shd w:val="clear" w:color="auto" w:fill="FFFFFF" w:themeFill="background1"/>
            <w:vAlign w:val="center"/>
          </w:tcPr>
          <w:p w14:paraId="32D1C41D" w14:textId="4348AFC9" w:rsidR="0019440F" w:rsidRPr="002F07D8" w:rsidRDefault="7FDACF12" w:rsidP="73A89930">
            <w:pPr>
              <w:jc w:val="center"/>
              <w:rPr>
                <w:b/>
                <w:sz w:val="16"/>
                <w:szCs w:val="16"/>
              </w:rPr>
            </w:pPr>
            <w:r>
              <w:rPr>
                <w:b/>
                <w:sz w:val="16"/>
              </w:rPr>
              <w:t>6%</w:t>
            </w:r>
          </w:p>
        </w:tc>
      </w:tr>
      <w:tr w:rsidR="0019440F" w:rsidRPr="00310BF2" w14:paraId="0EC1C346" w14:textId="77777777" w:rsidTr="004C2F90">
        <w:trPr>
          <w:trHeight w:val="340"/>
        </w:trPr>
        <w:tc>
          <w:tcPr>
            <w:tcW w:w="708" w:type="dxa"/>
            <w:vMerge/>
            <w:vAlign w:val="center"/>
          </w:tcPr>
          <w:p w14:paraId="36BFF4DD" w14:textId="0FEB828E" w:rsidR="0019440F" w:rsidRPr="00310BF2" w:rsidRDefault="0019440F">
            <w:pPr>
              <w:jc w:val="both"/>
              <w:rPr>
                <w:b/>
                <w:sz w:val="16"/>
                <w:szCs w:val="16"/>
              </w:rPr>
            </w:pPr>
          </w:p>
        </w:tc>
        <w:tc>
          <w:tcPr>
            <w:tcW w:w="861" w:type="dxa"/>
            <w:shd w:val="clear" w:color="auto" w:fill="DEEAF6" w:themeFill="accent1" w:themeFillTint="33"/>
            <w:vAlign w:val="center"/>
          </w:tcPr>
          <w:p w14:paraId="7D21A51D" w14:textId="06402546" w:rsidR="0019440F" w:rsidRPr="009E2DAF" w:rsidRDefault="7AAE4FD1" w:rsidP="66DE4C64">
            <w:pPr>
              <w:jc w:val="center"/>
              <w:rPr>
                <w:b/>
                <w:bCs/>
                <w:sz w:val="16"/>
                <w:szCs w:val="16"/>
              </w:rPr>
            </w:pPr>
            <w:r>
              <w:rPr>
                <w:b/>
                <w:sz w:val="16"/>
              </w:rPr>
              <w:t>ФА И PA</w:t>
            </w:r>
          </w:p>
        </w:tc>
        <w:tc>
          <w:tcPr>
            <w:tcW w:w="557" w:type="dxa"/>
            <w:shd w:val="clear" w:color="auto" w:fill="DEEAF6" w:themeFill="accent1" w:themeFillTint="33"/>
            <w:vAlign w:val="center"/>
          </w:tcPr>
          <w:p w14:paraId="0EC839C8" w14:textId="0A13F893" w:rsidR="0019440F" w:rsidRPr="009E2DAF" w:rsidRDefault="7AAE4FD1" w:rsidP="66DE4C64">
            <w:pPr>
              <w:jc w:val="center"/>
              <w:rPr>
                <w:b/>
                <w:bCs/>
                <w:sz w:val="16"/>
                <w:szCs w:val="16"/>
              </w:rPr>
            </w:pPr>
            <w:r>
              <w:rPr>
                <w:b/>
                <w:sz w:val="16"/>
              </w:rPr>
              <w:t>26</w:t>
            </w:r>
          </w:p>
        </w:tc>
        <w:tc>
          <w:tcPr>
            <w:tcW w:w="992" w:type="dxa"/>
            <w:shd w:val="clear" w:color="auto" w:fill="DEEAF6" w:themeFill="accent1" w:themeFillTint="33"/>
            <w:vAlign w:val="center"/>
          </w:tcPr>
          <w:p w14:paraId="325D6508" w14:textId="7E6AEE62" w:rsidR="0019440F" w:rsidRPr="009E2DAF" w:rsidRDefault="3C8CAF2E" w:rsidP="66DE4C64">
            <w:pPr>
              <w:jc w:val="center"/>
              <w:rPr>
                <w:b/>
                <w:bCs/>
                <w:sz w:val="16"/>
                <w:szCs w:val="16"/>
              </w:rPr>
            </w:pPr>
            <w:r>
              <w:rPr>
                <w:b/>
                <w:sz w:val="16"/>
              </w:rPr>
              <w:t>17</w:t>
            </w:r>
          </w:p>
        </w:tc>
        <w:tc>
          <w:tcPr>
            <w:tcW w:w="997" w:type="dxa"/>
            <w:shd w:val="clear" w:color="auto" w:fill="DEEAF6" w:themeFill="accent1" w:themeFillTint="33"/>
            <w:vAlign w:val="center"/>
          </w:tcPr>
          <w:p w14:paraId="43F9A04C" w14:textId="58EE0605" w:rsidR="0019440F" w:rsidRPr="009E2DAF" w:rsidRDefault="0840C7CA" w:rsidP="66DE4C64">
            <w:pPr>
              <w:jc w:val="center"/>
              <w:rPr>
                <w:b/>
                <w:bCs/>
                <w:sz w:val="16"/>
                <w:szCs w:val="16"/>
              </w:rPr>
            </w:pPr>
            <w:r>
              <w:rPr>
                <w:b/>
                <w:sz w:val="16"/>
              </w:rPr>
              <w:t>9</w:t>
            </w:r>
          </w:p>
        </w:tc>
        <w:tc>
          <w:tcPr>
            <w:tcW w:w="928" w:type="dxa"/>
            <w:shd w:val="clear" w:color="auto" w:fill="DEEAF6" w:themeFill="accent1" w:themeFillTint="33"/>
            <w:vAlign w:val="center"/>
          </w:tcPr>
          <w:p w14:paraId="5A876CE2" w14:textId="6A63E21B" w:rsidR="0019440F" w:rsidRPr="009E2DAF" w:rsidRDefault="1ED58F09" w:rsidP="66DE4C64">
            <w:pPr>
              <w:jc w:val="center"/>
              <w:rPr>
                <w:b/>
                <w:bCs/>
                <w:sz w:val="16"/>
                <w:szCs w:val="16"/>
              </w:rPr>
            </w:pPr>
            <w:r>
              <w:rPr>
                <w:b/>
                <w:sz w:val="16"/>
              </w:rPr>
              <w:t>6</w:t>
            </w:r>
          </w:p>
        </w:tc>
        <w:tc>
          <w:tcPr>
            <w:tcW w:w="1417" w:type="dxa"/>
            <w:shd w:val="clear" w:color="auto" w:fill="DEEAF6" w:themeFill="accent1" w:themeFillTint="33"/>
            <w:vAlign w:val="center"/>
          </w:tcPr>
          <w:p w14:paraId="1868FBD0" w14:textId="561D6644" w:rsidR="0019440F" w:rsidRPr="009E2DAF" w:rsidRDefault="11BBA930" w:rsidP="66DE4C64">
            <w:pPr>
              <w:jc w:val="center"/>
              <w:rPr>
                <w:b/>
                <w:bCs/>
                <w:sz w:val="16"/>
                <w:szCs w:val="16"/>
              </w:rPr>
            </w:pPr>
            <w:r>
              <w:rPr>
                <w:b/>
                <w:sz w:val="16"/>
              </w:rPr>
              <w:t>23</w:t>
            </w:r>
          </w:p>
        </w:tc>
        <w:tc>
          <w:tcPr>
            <w:tcW w:w="709" w:type="dxa"/>
            <w:shd w:val="clear" w:color="auto" w:fill="DEEAF6" w:themeFill="accent1" w:themeFillTint="33"/>
            <w:vAlign w:val="center"/>
          </w:tcPr>
          <w:p w14:paraId="0E9108A6" w14:textId="34E4AF3E" w:rsidR="0019440F" w:rsidRPr="009E2DAF" w:rsidRDefault="1585721E" w:rsidP="66DE4C64">
            <w:pPr>
              <w:jc w:val="center"/>
              <w:rPr>
                <w:b/>
                <w:bCs/>
                <w:sz w:val="16"/>
                <w:szCs w:val="16"/>
              </w:rPr>
            </w:pPr>
            <w:r>
              <w:rPr>
                <w:b/>
                <w:sz w:val="16"/>
              </w:rPr>
              <w:t>88%</w:t>
            </w:r>
          </w:p>
        </w:tc>
        <w:tc>
          <w:tcPr>
            <w:tcW w:w="1477" w:type="dxa"/>
            <w:shd w:val="clear" w:color="auto" w:fill="DEEAF6" w:themeFill="accent1" w:themeFillTint="33"/>
            <w:vAlign w:val="center"/>
          </w:tcPr>
          <w:p w14:paraId="6D05709D" w14:textId="032B745D" w:rsidR="0019440F" w:rsidRPr="009E2DAF" w:rsidRDefault="13ED0B94" w:rsidP="66DE4C64">
            <w:pPr>
              <w:jc w:val="center"/>
              <w:rPr>
                <w:b/>
                <w:bCs/>
                <w:sz w:val="16"/>
                <w:szCs w:val="16"/>
              </w:rPr>
            </w:pPr>
            <w:r>
              <w:rPr>
                <w:b/>
                <w:sz w:val="16"/>
              </w:rPr>
              <w:t>3</w:t>
            </w:r>
          </w:p>
        </w:tc>
        <w:tc>
          <w:tcPr>
            <w:tcW w:w="596" w:type="dxa"/>
            <w:gridSpan w:val="2"/>
            <w:shd w:val="clear" w:color="auto" w:fill="DEEAF6" w:themeFill="accent1" w:themeFillTint="33"/>
            <w:vAlign w:val="center"/>
          </w:tcPr>
          <w:p w14:paraId="04BE2C9A" w14:textId="058C35E6" w:rsidR="0019440F" w:rsidRPr="009E2DAF" w:rsidRDefault="407E7B4D" w:rsidP="66DE4C64">
            <w:pPr>
              <w:jc w:val="center"/>
              <w:rPr>
                <w:b/>
                <w:bCs/>
                <w:sz w:val="16"/>
                <w:szCs w:val="16"/>
              </w:rPr>
            </w:pPr>
            <w:r>
              <w:rPr>
                <w:b/>
                <w:sz w:val="16"/>
              </w:rPr>
              <w:t>12%</w:t>
            </w:r>
          </w:p>
        </w:tc>
      </w:tr>
    </w:tbl>
    <w:p w14:paraId="67A47189" w14:textId="02500CCB" w:rsidR="001B1146" w:rsidRPr="00BA1E8D" w:rsidRDefault="00B345CC" w:rsidP="00795D4A">
      <w:pPr>
        <w:pStyle w:val="LFARPara"/>
        <w:spacing w:before="120"/>
        <w:ind w:left="850" w:hanging="493"/>
      </w:pPr>
      <w:r>
        <w:t>На момент окончания аудита финансовой ведомости за год, закончившийся 31 декабря 2025 года, 23 рекомендации (88%) из 26 рекомендаций, вынесенных по итогам аудита предыдущего года, были полностью выполнены и/или закрыты.</w:t>
      </w:r>
    </w:p>
    <w:p w14:paraId="5B4F287D" w14:textId="0B104036" w:rsidR="00CD66EC" w:rsidRPr="00CD6A9A" w:rsidRDefault="001D53EE" w:rsidP="00662CC7">
      <w:pPr>
        <w:pStyle w:val="Heading3"/>
        <w:spacing w:before="120" w:after="120"/>
        <w:ind w:left="392" w:hanging="392"/>
        <w:rPr>
          <w:sz w:val="24"/>
          <w:szCs w:val="24"/>
        </w:rPr>
      </w:pPr>
      <w:bookmarkStart w:id="59" w:name="_Toc227826024"/>
      <w:bookmarkStart w:id="60" w:name="_Toc230784911"/>
      <w:r>
        <w:t>Заключение по итогам аудита, выводы и рекомендации</w:t>
      </w:r>
      <w:bookmarkEnd w:id="59"/>
      <w:bookmarkEnd w:id="60"/>
    </w:p>
    <w:p w14:paraId="1EDBCA87" w14:textId="14D747D8" w:rsidR="00E35811" w:rsidRPr="00ED0BF1" w:rsidRDefault="00E35811" w:rsidP="00662CC7">
      <w:pPr>
        <w:pStyle w:val="Heading4"/>
        <w:spacing w:before="120" w:after="120" w:line="280" w:lineRule="exact"/>
        <w:ind w:left="406" w:hanging="422"/>
      </w:pPr>
      <w:bookmarkStart w:id="61" w:name="_Toc227826025"/>
      <w:bookmarkStart w:id="62" w:name="_Toc230784912"/>
      <w:r>
        <w:t>Финансовый аудит</w:t>
      </w:r>
      <w:bookmarkEnd w:id="61"/>
      <w:bookmarkEnd w:id="62"/>
    </w:p>
    <w:p w14:paraId="15E17AF5" w14:textId="7006A767" w:rsidR="001D53EE" w:rsidRPr="005D6085" w:rsidRDefault="005D6085" w:rsidP="00662CC7">
      <w:pPr>
        <w:pStyle w:val="Heading5"/>
        <w:spacing w:before="120" w:after="120" w:line="280" w:lineRule="exact"/>
        <w:ind w:left="378"/>
      </w:pPr>
      <w:bookmarkStart w:id="63" w:name="_Toc227826026"/>
      <w:bookmarkStart w:id="64" w:name="_Toc230784913"/>
      <w:r>
        <w:t>Заключение по итогам аудита</w:t>
      </w:r>
      <w:bookmarkEnd w:id="63"/>
      <w:bookmarkEnd w:id="64"/>
    </w:p>
    <w:p w14:paraId="494F0BCF" w14:textId="254ECFC7" w:rsidR="001D53EE" w:rsidRPr="00B44F8B" w:rsidRDefault="004B0C24" w:rsidP="0005774D">
      <w:pPr>
        <w:pStyle w:val="LFARPara"/>
        <w:spacing w:before="120"/>
        <w:ind w:left="851" w:hanging="491"/>
        <w:rPr>
          <w:color w:val="0D0D0D" w:themeColor="text1" w:themeTint="F2"/>
        </w:rPr>
      </w:pPr>
      <w:r>
        <w:t>BPK провел аудит финансовых ведомостей Организации за год, закончившийся 31</w:t>
      </w:r>
      <w:r w:rsidR="00921CB3">
        <w:t> </w:t>
      </w:r>
      <w:r>
        <w:t>декабря 2025 года, которые включают отчет о финансовом положении, отчет о финансовых результатах деятельности, отчет об изменениях чистых активов, отчет о движении денежных средств, отчет о сопоставлении бюджетных и фактических сумм и примечания к финансовым ведомостям и которые достоверно отражают во всех существенных отношениях соответствующие показатели в соответствии с МСУГС.</w:t>
      </w:r>
      <w:r>
        <w:rPr>
          <w:color w:val="0D0D0D" w:themeColor="text1" w:themeTint="F2"/>
        </w:rPr>
        <w:t xml:space="preserve"> </w:t>
      </w:r>
      <w:r>
        <w:rPr>
          <w:color w:val="0D0D0D" w:themeColor="text1" w:themeTint="F2"/>
        </w:rPr>
        <w:lastRenderedPageBreak/>
        <w:t xml:space="preserve">Кроме того, все операции, лежащие в основе отчетности, соответствовали Финансовым положениям и правилам. </w:t>
      </w:r>
    </w:p>
    <w:p w14:paraId="56F2A9D3" w14:textId="14C9AA9B" w:rsidR="00DA26DE" w:rsidRPr="00ED2B43" w:rsidRDefault="00424775" w:rsidP="0005774D">
      <w:pPr>
        <w:pStyle w:val="LFARPara"/>
        <w:spacing w:before="120"/>
        <w:ind w:left="851" w:hanging="491"/>
      </w:pPr>
      <w:r>
        <w:t xml:space="preserve">Организация применила первоначальное применение МСУГС 47 «Поступления» и МСУГС 48 «Расходы в связи с переводами» ранее их обязательной даты вступления в силу — 1 января 2026 года. Информация о внедрении этих стандартов была обновлена в примечаниях Организации к существенным учетным политикам. </w:t>
      </w:r>
    </w:p>
    <w:p w14:paraId="7674D9F3" w14:textId="532AE0C3" w:rsidR="0021444B" w:rsidRPr="00571C18" w:rsidRDefault="0021444B" w:rsidP="00C212C9">
      <w:pPr>
        <w:pStyle w:val="Heading5"/>
        <w:spacing w:before="120" w:after="120" w:line="280" w:lineRule="exact"/>
        <w:ind w:left="378"/>
      </w:pPr>
      <w:bookmarkStart w:id="65" w:name="_Toc227826027"/>
      <w:bookmarkStart w:id="66" w:name="_Toc230784914"/>
      <w:r>
        <w:t>Выводы и рекомендации</w:t>
      </w:r>
      <w:bookmarkEnd w:id="65"/>
      <w:bookmarkEnd w:id="66"/>
    </w:p>
    <w:p w14:paraId="0780C8FC" w14:textId="4A2FDFCB" w:rsidR="00862B9C" w:rsidRPr="00500D2E" w:rsidRDefault="004A5887" w:rsidP="00662CC7">
      <w:pPr>
        <w:pStyle w:val="Heading5"/>
        <w:spacing w:before="120" w:after="120" w:line="280" w:lineRule="exact"/>
        <w:ind w:left="378"/>
      </w:pPr>
      <w:bookmarkStart w:id="67" w:name="_Toc227826028"/>
      <w:bookmarkStart w:id="68" w:name="_Toc230784915"/>
      <w:r>
        <w:t>Управление</w:t>
      </w:r>
      <w:bookmarkEnd w:id="67"/>
      <w:bookmarkEnd w:id="68"/>
    </w:p>
    <w:p w14:paraId="7190E14A" w14:textId="36BB2916" w:rsidR="00ED5362" w:rsidRPr="00935B0E" w:rsidRDefault="00746A00" w:rsidP="0005774D">
      <w:pPr>
        <w:pStyle w:val="LFARPara"/>
        <w:spacing w:before="120"/>
        <w:ind w:left="851" w:hanging="491"/>
      </w:pPr>
      <w:r>
        <w:t>ВОИС продемонстрировала существенный прогресс в укреплении своей системы организационного управления. Организация разработала всеобъемлющий комплекс положений и политик, определяющих порядок ее деятельности, включая такие ключевые рамочные документы, как инвестиционная политика ВОИС и политика управления имуществом. Инвестиционная политика разработана для регулирования полномочий Генерального директора по осуществлению краткосрочных инвестиций денежных средств, не требующихся для удовлетворения непосредственных потребностей, в соответствии с инвестиционной политикой Организации, утвержденной государствами-членами. Кроме того, политика управления имуществом направлена на усиление внутреннего мониторинга и отчетности в отношении имущества, принадлежащего Организации, а также на достижение следующего таким образом, чтобы это отвечало наилучшим интересам Организации. Признавая эффективность действующих положений и политик, BPK считает, что существует возможность усовершенствовать текущую практику, и поэтому формулирует рекомендации по дальнейшему укреплению существующих процессов.</w:t>
      </w:r>
    </w:p>
    <w:p w14:paraId="4F51310C" w14:textId="2AEBD744" w:rsidR="00FD3861" w:rsidRPr="00A37235" w:rsidRDefault="00DF050F" w:rsidP="00662CC7">
      <w:pPr>
        <w:pStyle w:val="Heading5"/>
        <w:spacing w:before="120" w:after="120" w:line="280" w:lineRule="exact"/>
        <w:ind w:left="378"/>
      </w:pPr>
      <w:bookmarkStart w:id="69" w:name="_Toc227826029"/>
      <w:bookmarkStart w:id="70" w:name="_Toc230784916"/>
      <w:r>
        <w:t>Обновление нормативно-правовой базы инвестиционной деятельности</w:t>
      </w:r>
      <w:bookmarkEnd w:id="69"/>
      <w:bookmarkEnd w:id="70"/>
      <w:r>
        <w:t xml:space="preserve"> </w:t>
      </w:r>
    </w:p>
    <w:p w14:paraId="48CEE78F" w14:textId="61DB94FD" w:rsidR="00F32C93" w:rsidRPr="00310BF2" w:rsidRDefault="0B8E45EC" w:rsidP="0005774D">
      <w:pPr>
        <w:pStyle w:val="LFARPara"/>
        <w:spacing w:before="120"/>
        <w:ind w:left="851" w:hanging="491"/>
      </w:pPr>
      <w:r>
        <w:t>Согласно финансовым ведомостям, в 2025 году ВОИС располагала инвестициями в размере 1,19 млрд шв. франков, за исключением плановых активов в размере 326,0 млн шв. франков. ВОИС осуществляет управление своими инвестициями на основе своей инвестиционной политики, которая была утверждена Ассамблеями государств</w:t>
      </w:r>
      <w:r w:rsidR="0052345D">
        <w:t> </w:t>
      </w:r>
      <w:r>
        <w:t xml:space="preserve">— членов ВОИС на пятьдесят девятой серии заседаний в 2019 году и в настоящее время находится на этапе пересмотра и обновления. На оперативном уровне ВОИС осуществляет управление своими инвестициями на основе инвестиционных руководящих принципов, которые определяют соответствующую роль Консультативного комитета по инвестициям (ККИ) в надзоре, мониторинге и текущем управлении инвестиционными активами ВОИС.   </w:t>
      </w:r>
    </w:p>
    <w:p w14:paraId="57D67DAC" w14:textId="319232B7" w:rsidR="00F32C93" w:rsidRPr="00310BF2" w:rsidRDefault="0B8E45EC" w:rsidP="0005774D">
      <w:pPr>
        <w:pStyle w:val="LFARPara"/>
        <w:spacing w:before="120"/>
        <w:ind w:left="851" w:hanging="491"/>
      </w:pPr>
      <w:r>
        <w:t>Отдел внутреннего надзора (ОВН) выпустил отчет по результатам внутреннего аудита управления инвестициями от 21 ноября 2025 года. В отчете указано на ряд вопросов, касающихся инвестиционной политики и руководящих принципов, включая тот факт, что политика не обновлялась с 2019 года. Помимо вопросов, поднятых ОВН, анализ реализации инвестиционной политики и руководящих принципов показал, что Организации необходимо укрепить нормативно-правовую базу, регулирующую управление инвестициями, как подробно изложено в следующих пунктах. Мы отмечаем, что все рекомендации ОВН по итогам внутреннего аудита были приняты, при этом большинство уже выполнено, и на момент проведения нашего аудита невыполненными оставались лишь две рекомендации.</w:t>
      </w:r>
    </w:p>
    <w:p w14:paraId="42539B66" w14:textId="411B21B5" w:rsidR="00F32C93" w:rsidRPr="006428B4" w:rsidRDefault="0B8E45EC" w:rsidP="00662CC7">
      <w:pPr>
        <w:pStyle w:val="Heading5"/>
        <w:spacing w:before="120" w:after="120" w:line="280" w:lineRule="exact"/>
        <w:ind w:left="378"/>
        <w:rPr>
          <w:i/>
          <w:iCs/>
        </w:rPr>
      </w:pPr>
      <w:bookmarkStart w:id="71" w:name="_Toc228871279"/>
      <w:bookmarkStart w:id="72" w:name="_Toc230784917"/>
      <w:r>
        <w:rPr>
          <w:i/>
        </w:rPr>
        <w:lastRenderedPageBreak/>
        <w:t>Ясность в отношении привлечения внешних управляющих фондами</w:t>
      </w:r>
      <w:bookmarkEnd w:id="71"/>
      <w:bookmarkEnd w:id="72"/>
    </w:p>
    <w:p w14:paraId="18E3B622" w14:textId="0B9C3E6E" w:rsidR="00F32C93" w:rsidRPr="00310BF2" w:rsidRDefault="0B8E45EC" w:rsidP="0005774D">
      <w:pPr>
        <w:pStyle w:val="LFARPara"/>
        <w:spacing w:before="120"/>
        <w:ind w:left="851" w:hanging="491"/>
      </w:pPr>
      <w:r>
        <w:t>Анализ процесса управления инвестициями показал, что ВОИС не привлекала внешнего управляющего фондом, несмотря на то что его роль и ответственность были закреплены в Политике в отношении инвестиций. Руководство подтвердило, что с 2017 года ВОИС не привлекала внешних управляющих фондами для управления инвестициями, поскольку это считалось менее эффективным. В отсутствие внешнего управляющего фондом ВОИС осуществляла инвестиционную деятельность, привлекая управляющих объединенными паевыми инвестиционными фондами, роли и обязанности которых не были описаны в Политике в отношении инвестиций и Руководстве по политике. ВОИС может внести ясность в вопрос привлечения внешних управляющих фондами и управляющих фондами объединенных паевых инвестиционных фондов.</w:t>
      </w:r>
    </w:p>
    <w:p w14:paraId="4546C6CF" w14:textId="4DC056C1" w:rsidR="00F32C93" w:rsidRPr="006428B4" w:rsidRDefault="0B8E45EC" w:rsidP="00662CC7">
      <w:pPr>
        <w:pStyle w:val="Heading5"/>
        <w:spacing w:before="120" w:after="120" w:line="280" w:lineRule="exact"/>
        <w:ind w:left="378"/>
        <w:rPr>
          <w:i/>
          <w:iCs/>
        </w:rPr>
      </w:pPr>
      <w:bookmarkStart w:id="73" w:name="_Toc228871280"/>
      <w:bookmarkStart w:id="74" w:name="_Toc230784918"/>
      <w:r>
        <w:rPr>
          <w:i/>
        </w:rPr>
        <w:t>Механизм закупок при отборе биржевых фондов, обращающихся на рынке, доли в которых представляют собой облигации, ноты или иные долговые обязательства и инструменты с фиксированным доходом</w:t>
      </w:r>
      <w:bookmarkEnd w:id="73"/>
      <w:bookmarkEnd w:id="74"/>
    </w:p>
    <w:p w14:paraId="457B85FC" w14:textId="371D00C7" w:rsidR="00980A07" w:rsidRDefault="00940324" w:rsidP="0005774D">
      <w:pPr>
        <w:pStyle w:val="LFARPara"/>
        <w:spacing w:before="120"/>
        <w:ind w:left="851" w:hanging="491"/>
      </w:pPr>
      <w:r>
        <w:t>Анализ механизма закупок для двух управляющих объединенными паевыми инвестиционными фондами, в которых на конец года находились инвестиции Организации в размере 1</w:t>
      </w:r>
      <w:r w:rsidR="0052345D">
        <w:t> </w:t>
      </w:r>
      <w:r>
        <w:t>245,60</w:t>
      </w:r>
      <w:r w:rsidR="0052345D">
        <w:t> </w:t>
      </w:r>
      <w:r>
        <w:t>млн. шв. франков, выявил отклонение от стандартной практики закупок ВОИС в трех областях. Во-первых, договоры заключались на неопределенный срок, что противоречит требованию Руководства по закупкам о четко определенных сроках: первоначальный срок</w:t>
      </w:r>
      <w:r w:rsidR="0052345D">
        <w:t> </w:t>
      </w:r>
      <w:r>
        <w:t>— до трех лет, а продление</w:t>
      </w:r>
      <w:r w:rsidR="0052345D">
        <w:t> </w:t>
      </w:r>
      <w:r>
        <w:t xml:space="preserve">— не более чем на семь лет. Во-вторых, ни в одном из договоров не указана общая сумма вознаграждения или максимальная финансовая ответственность ВОИС, как того требует Руководство по закупкам; вместо этого вознаграждение рассчитывается на переменной основе в зависимости от объема инвестиций.  В-третьих, ВОИС не оформляла заказы-наряды на оплату услуг по управлению фондами, что не соответствовало требованиям Руководства по закупкам применительно к стандартным контрактам и долгосрочным соглашениям (LTA). </w:t>
      </w:r>
    </w:p>
    <w:p w14:paraId="6A5DB297" w14:textId="30A83D88" w:rsidR="004E3428" w:rsidRPr="004E3428" w:rsidRDefault="00E53C69" w:rsidP="0005774D">
      <w:pPr>
        <w:pStyle w:val="LFARPara"/>
        <w:spacing w:before="120"/>
        <w:ind w:left="851" w:hanging="491"/>
      </w:pPr>
      <w:r>
        <w:t>Руководство объяснило, что инвестиции ВОИС рассчитаны на долгосрочную перспективу: 5 лет для основного портфеля и 20 лет для стратегического портфеля, и установление точной даты погашения может привести к значительной неэффективности и потенциальным финансовым потерям.</w:t>
      </w:r>
      <w:r>
        <w:rPr>
          <w:color w:val="0D0D0D" w:themeColor="text1" w:themeTint="F2"/>
        </w:rPr>
        <w:t xml:space="preserve"> </w:t>
      </w:r>
      <w:r>
        <w:t>Что касается оговоренной платы по контракту, руководство отметило, что точную сумму платы за услуги установить невозможно, поскольку она зависит от объема инвестиций. Что касается оформления заказов-нарядов, руководство добавило, что в этом нет необходимости, поскольку оплата услуг удерживается непосредственно из средств инвестиционных фондов.</w:t>
      </w:r>
    </w:p>
    <w:p w14:paraId="1A0EF92B" w14:textId="199A0367" w:rsidR="00922422" w:rsidRPr="00502FAE" w:rsidRDefault="00D77552" w:rsidP="0005774D">
      <w:pPr>
        <w:pStyle w:val="LFARPara"/>
        <w:spacing w:before="120"/>
        <w:ind w:left="851" w:hanging="491"/>
        <w:rPr>
          <w:rFonts w:eastAsiaTheme="minorEastAsia"/>
        </w:rPr>
      </w:pPr>
      <w:r>
        <w:t>Необходимо согласовать инвестиционную политику, инвестиционные рекомендации и Руководство по закупкам с применяемой в настоящее время практикой в отношении схемы закупок для управляющих фондами объединенных паевых инвестиционных фондов, учитывая:  (1) более четкое определение роли внешних управляющих фондами и управляющих объединенными паевыми инвестиционными фондами; и (2) обеспечение согласованности новой Инвестиционной политики с Руководством по закупкам посредством взаимодействия с Отделом централизованных услуг (CSD).</w:t>
      </w:r>
    </w:p>
    <w:tbl>
      <w:tblPr>
        <w:tblStyle w:val="TableGrid"/>
        <w:tblpPr w:leftFromText="180" w:rightFromText="180" w:vertAnchor="text" w:horzAnchor="margin" w:tblpXSpec="right" w:tblpY="7"/>
        <w:tblW w:w="8652" w:type="dxa"/>
        <w:tblLook w:val="04A0" w:firstRow="1" w:lastRow="0" w:firstColumn="1" w:lastColumn="0" w:noHBand="0" w:noVBand="1"/>
      </w:tblPr>
      <w:tblGrid>
        <w:gridCol w:w="8652"/>
      </w:tblGrid>
      <w:tr w:rsidR="009D07F4" w:rsidRPr="00310BF2" w14:paraId="3D910DF9" w14:textId="77777777" w:rsidTr="0052345D">
        <w:trPr>
          <w:cantSplit/>
        </w:trPr>
        <w:tc>
          <w:tcPr>
            <w:tcW w:w="8652" w:type="dxa"/>
            <w:shd w:val="clear" w:color="auto" w:fill="BDD6EE" w:themeFill="accent1" w:themeFillTint="66"/>
          </w:tcPr>
          <w:p w14:paraId="173535F0" w14:textId="77777777" w:rsidR="008A5B8F" w:rsidRPr="0002241A" w:rsidRDefault="6B164870" w:rsidP="0052345D">
            <w:pPr>
              <w:keepNext/>
              <w:keepLines/>
              <w:pageBreakBefore/>
              <w:tabs>
                <w:tab w:val="left" w:pos="567"/>
              </w:tabs>
              <w:spacing w:before="120" w:after="120" w:line="280" w:lineRule="exact"/>
              <w:ind w:left="261"/>
              <w:jc w:val="both"/>
              <w:rPr>
                <w:rFonts w:ascii="Times New Roman" w:eastAsia="Times New Roman" w:hAnsi="Times New Roman" w:cs="Times New Roman"/>
                <w:b/>
                <w:bCs/>
              </w:rPr>
            </w:pPr>
            <w:r>
              <w:rPr>
                <w:rFonts w:ascii="Times New Roman" w:hAnsi="Times New Roman"/>
                <w:b/>
              </w:rPr>
              <w:lastRenderedPageBreak/>
              <w:t>Рекомендация 1</w:t>
            </w:r>
          </w:p>
          <w:p w14:paraId="313AF335" w14:textId="64E03D26" w:rsidR="00736805" w:rsidRPr="00201B9B" w:rsidRDefault="6B164870" w:rsidP="00201B9B">
            <w:pPr>
              <w:keepNext/>
              <w:tabs>
                <w:tab w:val="left" w:pos="567"/>
              </w:tabs>
              <w:spacing w:before="120" w:after="240" w:line="280" w:lineRule="exact"/>
              <w:ind w:left="261"/>
              <w:jc w:val="both"/>
              <w:rPr>
                <w:rFonts w:ascii="Times New Roman" w:eastAsiaTheme="minorEastAsia" w:hAnsi="Times New Roman" w:cs="Times New Roman"/>
              </w:rPr>
            </w:pPr>
            <w:r>
              <w:rPr>
                <w:rFonts w:ascii="Times New Roman" w:hAnsi="Times New Roman"/>
              </w:rPr>
              <w:t>BPK рекомендует Организации внести больше ясности в вопрос роли управляющих фондами и объединенных паевых инвестиционных фондов в ходе текущего пересмотра инвестиционной политики и обеспечить в дальнейшем соответствие Руководству по закупкам и его последовательное применение.</w:t>
            </w:r>
          </w:p>
        </w:tc>
      </w:tr>
      <w:tr w:rsidR="008C2980" w:rsidRPr="00310BF2" w14:paraId="0DDEB9BC" w14:textId="77777777" w:rsidTr="00507A28">
        <w:trPr>
          <w:trHeight w:val="984"/>
        </w:trPr>
        <w:tc>
          <w:tcPr>
            <w:tcW w:w="8652" w:type="dxa"/>
            <w:shd w:val="clear" w:color="auto" w:fill="DEEAF6" w:themeFill="accent1" w:themeFillTint="33"/>
          </w:tcPr>
          <w:p w14:paraId="321818DB" w14:textId="2CEEC4E1" w:rsidR="16735439" w:rsidRPr="00CA497D" w:rsidRDefault="004728C8" w:rsidP="00066E9B">
            <w:pPr>
              <w:keepNext/>
              <w:tabs>
                <w:tab w:val="left" w:pos="567"/>
              </w:tabs>
              <w:spacing w:before="120" w:after="120" w:line="280" w:lineRule="exact"/>
              <w:ind w:left="259"/>
              <w:jc w:val="both"/>
              <w:rPr>
                <w:rFonts w:ascii="Times New Roman" w:hAnsi="Times New Roman" w:cs="Times New Roman"/>
              </w:rPr>
            </w:pPr>
            <w:r>
              <w:rPr>
                <w:rFonts w:ascii="Times New Roman" w:hAnsi="Times New Roman"/>
                <w:b/>
              </w:rPr>
              <w:t xml:space="preserve">Ответ руководства: </w:t>
            </w:r>
          </w:p>
          <w:p w14:paraId="7ACE3DFE" w14:textId="73F86779" w:rsidR="00E11D4C" w:rsidRPr="00827BD1" w:rsidRDefault="7DEFD879" w:rsidP="00A1248C">
            <w:pPr>
              <w:keepNext/>
              <w:tabs>
                <w:tab w:val="left" w:pos="567"/>
              </w:tabs>
              <w:spacing w:before="120" w:after="120" w:line="280" w:lineRule="exact"/>
              <w:ind w:left="259"/>
              <w:jc w:val="both"/>
              <w:rPr>
                <w:rFonts w:ascii="Times New Roman" w:eastAsiaTheme="minorEastAsia" w:hAnsi="Times New Roman" w:cs="Times New Roman"/>
              </w:rPr>
            </w:pPr>
            <w:r>
              <w:rPr>
                <w:rFonts w:ascii="Times New Roman" w:hAnsi="Times New Roman"/>
              </w:rPr>
              <w:t xml:space="preserve">Руководство соглашается с рекомендацией и подтверждает, что процесс оценки при отборе фондов соответствует системе закупок, установленной в ВОИС. </w:t>
            </w:r>
            <w:r>
              <w:t xml:space="preserve"> </w:t>
            </w:r>
            <w:r>
              <w:rPr>
                <w:rFonts w:ascii="Times New Roman" w:hAnsi="Times New Roman"/>
              </w:rPr>
              <w:t>Руководство рассчитывает полностью выполнить эту рекомендацию к 30 сентября 2026 года при условии утверждения новой Политики в отношении инвестиций Ассамблеями ВОИС.</w:t>
            </w:r>
          </w:p>
        </w:tc>
      </w:tr>
    </w:tbl>
    <w:p w14:paraId="52807B03" w14:textId="77777777" w:rsidR="009A2753" w:rsidRDefault="009A2753" w:rsidP="00111F86">
      <w:bookmarkStart w:id="75" w:name="_Toc192095259"/>
      <w:bookmarkStart w:id="76" w:name="_Toc192095260"/>
      <w:bookmarkStart w:id="77" w:name="_Toc192095261"/>
      <w:bookmarkStart w:id="78" w:name="_Toc192095262"/>
      <w:bookmarkStart w:id="79" w:name="_Toc192095263"/>
      <w:bookmarkStart w:id="80" w:name="_Toc222750762"/>
      <w:bookmarkStart w:id="81" w:name="_Toc222750770"/>
      <w:bookmarkStart w:id="82" w:name="_Toc222750771"/>
      <w:bookmarkStart w:id="83" w:name="_Toc222750772"/>
      <w:bookmarkStart w:id="84" w:name="_Toc222750773"/>
      <w:bookmarkStart w:id="85" w:name="_Toc222750774"/>
      <w:bookmarkStart w:id="86" w:name="_Toc222750775"/>
      <w:bookmarkStart w:id="87" w:name="_Toc222750776"/>
      <w:bookmarkStart w:id="88" w:name="_Toc222750807"/>
      <w:bookmarkStart w:id="89" w:name="_Toc222750813"/>
      <w:bookmarkStart w:id="90" w:name="_Toc222750814"/>
      <w:bookmarkStart w:id="91" w:name="_Toc222750815"/>
      <w:bookmarkStart w:id="92" w:name="_Toc222750816"/>
      <w:bookmarkStart w:id="93" w:name="_Toc222750817"/>
      <w:bookmarkStart w:id="94" w:name="_Toc222750818"/>
      <w:bookmarkStart w:id="95" w:name="_Toc222750819"/>
      <w:bookmarkStart w:id="96" w:name="_Toc222750820"/>
      <w:bookmarkStart w:id="97" w:name="_Toc222750821"/>
      <w:bookmarkStart w:id="98" w:name="_Toc222750822"/>
      <w:bookmarkStart w:id="99" w:name="_Toc222750823"/>
      <w:bookmarkStart w:id="100" w:name="_Toc222750854"/>
      <w:bookmarkStart w:id="101" w:name="_Toc222750860"/>
      <w:bookmarkStart w:id="102" w:name="_Toc222750861"/>
      <w:bookmarkStart w:id="103" w:name="_Toc222750862"/>
      <w:bookmarkStart w:id="104" w:name="_Toc222750863"/>
      <w:bookmarkStart w:id="105" w:name="_Toc222750882"/>
      <w:bookmarkStart w:id="106" w:name="_Toc222750883"/>
      <w:bookmarkStart w:id="107" w:name="_Toc222750884"/>
      <w:bookmarkStart w:id="108" w:name="_Toc222750885"/>
      <w:bookmarkStart w:id="109" w:name="_Toc222750886"/>
      <w:bookmarkStart w:id="110" w:name="_Toc222750887"/>
      <w:bookmarkStart w:id="111" w:name="_Toc222750888"/>
      <w:bookmarkStart w:id="112" w:name="_Toc222750889"/>
      <w:bookmarkStart w:id="113" w:name="_Toc222750890"/>
      <w:bookmarkStart w:id="114" w:name="_Toc222750899"/>
      <w:bookmarkStart w:id="115" w:name="_Toc222750900"/>
      <w:bookmarkStart w:id="116" w:name="_Toc222750901"/>
      <w:bookmarkStart w:id="117" w:name="_Toc222750902"/>
      <w:bookmarkStart w:id="118" w:name="_Toc222750903"/>
      <w:bookmarkStart w:id="119" w:name="_Toc222750904"/>
      <w:bookmarkStart w:id="120" w:name="_Toc222750905"/>
      <w:bookmarkStart w:id="121" w:name="_Toc222750906"/>
      <w:bookmarkStart w:id="122" w:name="_Toc222750907"/>
      <w:bookmarkStart w:id="123" w:name="_Toc222750908"/>
      <w:bookmarkStart w:id="124" w:name="_Toc222750909"/>
      <w:bookmarkStart w:id="125" w:name="_Toc222750910"/>
      <w:bookmarkStart w:id="126" w:name="_Toc222750911"/>
      <w:bookmarkStart w:id="127" w:name="_Toc222750912"/>
      <w:bookmarkStart w:id="128" w:name="_Toc222750913"/>
      <w:bookmarkStart w:id="129" w:name="_Toc222750914"/>
      <w:bookmarkStart w:id="130" w:name="_Toc222750915"/>
      <w:bookmarkStart w:id="131" w:name="_Toc222750916"/>
      <w:bookmarkStart w:id="132" w:name="_Toc222750981"/>
      <w:bookmarkStart w:id="133" w:name="_Toc222750982"/>
      <w:bookmarkStart w:id="134" w:name="_Toc222750983"/>
      <w:bookmarkStart w:id="135" w:name="_Toc222750984"/>
      <w:bookmarkStart w:id="136" w:name="_Toc222750985"/>
      <w:bookmarkStart w:id="137" w:name="_Toc222750986"/>
      <w:bookmarkStart w:id="138" w:name="_Toc222750987"/>
      <w:bookmarkStart w:id="139" w:name="_Toc222750998"/>
      <w:bookmarkStart w:id="140" w:name="_Toc222750999"/>
      <w:bookmarkStart w:id="141" w:name="_Toc222751000"/>
      <w:bookmarkStart w:id="142" w:name="_Toc222751013"/>
      <w:bookmarkStart w:id="143" w:name="_Toc192095267"/>
      <w:bookmarkStart w:id="144" w:name="_Toc22275101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03473BA" w14:textId="07681159" w:rsidR="00B42C93" w:rsidRPr="00E00622" w:rsidRDefault="008E6879" w:rsidP="00427B96">
      <w:pPr>
        <w:pStyle w:val="Heading6"/>
        <w:spacing w:before="120" w:after="120" w:line="280" w:lineRule="exact"/>
        <w:ind w:left="432"/>
      </w:pPr>
      <w:bookmarkStart w:id="145" w:name="_Toc230784919"/>
      <w:r>
        <w:t>Совершенствование учета нематериальных активов в СУАИ</w:t>
      </w:r>
      <w:bookmarkEnd w:id="145"/>
    </w:p>
    <w:p w14:paraId="6F493C0D" w14:textId="79A71F1B" w:rsidR="000C6337" w:rsidRDefault="004728C8" w:rsidP="00427B96">
      <w:pPr>
        <w:pStyle w:val="LFARPara"/>
        <w:spacing w:before="120"/>
        <w:ind w:left="851" w:hanging="491"/>
      </w:pPr>
      <w:r>
        <w:t>ВОИС капитализировала программное обеспечение на сумму 7,4 млн. франков, включая программное обеспечение, приобретенное у сторонних поставщиков, разработанное собственными силами и находящееся в стадии разработки. Управление нематериальными активами регулируется Финансовыми положениями и правилами ВОИС.</w:t>
      </w:r>
    </w:p>
    <w:p w14:paraId="09CAB926" w14:textId="4F034C77" w:rsidR="00B226D1" w:rsidRDefault="00B226D1" w:rsidP="00427B96">
      <w:pPr>
        <w:pStyle w:val="LFARPara"/>
        <w:spacing w:before="120"/>
        <w:ind w:left="851" w:hanging="491"/>
      </w:pPr>
      <w:r>
        <w:t>Финансовые положения и правила представляют собой всеобъемлющую основу для управления имуществом, включая нематериальные активы. Правило</w:t>
      </w:r>
      <w:r w:rsidR="007313B7">
        <w:t> </w:t>
      </w:r>
      <w:r>
        <w:t>103.14 Финансовых положений и правил гласит, что сотрудники, отвечающие за управление имуществом Организации, назначаются должностным лицом высокого уровня по вопросам закупок (ДЛВЗ) Сотрудник также отвечает за все системы управления имуществом, включая его получение, учет, использование, сохранность, обслуживание и выбытие, включая продажи.</w:t>
      </w:r>
    </w:p>
    <w:p w14:paraId="37B84841" w14:textId="75E9FE86" w:rsidR="005426CE" w:rsidRDefault="00B226D1" w:rsidP="00427B96">
      <w:pPr>
        <w:pStyle w:val="LFARPara"/>
        <w:spacing w:before="120"/>
        <w:ind w:left="851" w:hanging="491"/>
      </w:pPr>
      <w:r>
        <w:t xml:space="preserve">Анализ реестра активов в Системе управления административной информацией (СУАИ) показал, что ни для одного нематериального актива, находящегося в эксплуатации, не назначен хранитель. </w:t>
      </w:r>
    </w:p>
    <w:tbl>
      <w:tblPr>
        <w:tblW w:w="8646" w:type="dxa"/>
        <w:tblInd w:w="421" w:type="dxa"/>
        <w:tblLook w:val="04A0" w:firstRow="1" w:lastRow="0" w:firstColumn="1" w:lastColumn="0" w:noHBand="0" w:noVBand="1"/>
      </w:tblPr>
      <w:tblGrid>
        <w:gridCol w:w="8646"/>
      </w:tblGrid>
      <w:tr w:rsidR="002C2A79" w:rsidRPr="002C2A79" w14:paraId="3C2DE944" w14:textId="77777777" w:rsidTr="00507A2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27B0A" w14:textId="4AFE4383" w:rsidR="002C2A79" w:rsidRPr="002C2A79" w:rsidRDefault="5D797988" w:rsidP="004728C8">
            <w:pPr>
              <w:keepNext/>
              <w:widowControl w:val="0"/>
              <w:tabs>
                <w:tab w:val="left" w:pos="567"/>
              </w:tabs>
              <w:autoSpaceDE w:val="0"/>
              <w:autoSpaceDN w:val="0"/>
              <w:spacing w:before="120" w:after="120" w:line="280" w:lineRule="exact"/>
              <w:ind w:left="215"/>
              <w:jc w:val="both"/>
              <w:rPr>
                <w:rFonts w:ascii="Times New Roman" w:eastAsia="Calibri" w:hAnsi="Times New Roman" w:cs="Times New Roman"/>
                <w:b/>
                <w:bCs/>
              </w:rPr>
            </w:pPr>
            <w:r>
              <w:rPr>
                <w:rFonts w:ascii="Times New Roman" w:hAnsi="Times New Roman"/>
                <w:b/>
              </w:rPr>
              <w:t>Рекомендация 2</w:t>
            </w:r>
          </w:p>
          <w:p w14:paraId="7BB725B1" w14:textId="5CCC1808" w:rsidR="002C2A79" w:rsidRPr="002C2A79" w:rsidRDefault="7908F3BB" w:rsidP="00EE5F6D">
            <w:pPr>
              <w:widowControl w:val="0"/>
              <w:autoSpaceDE w:val="0"/>
              <w:autoSpaceDN w:val="0"/>
              <w:spacing w:after="120" w:line="280" w:lineRule="exact"/>
              <w:ind w:left="215"/>
              <w:jc w:val="both"/>
              <w:rPr>
                <w:rFonts w:ascii="Times New Roman" w:eastAsia="Calibri" w:hAnsi="Times New Roman" w:cs="Times New Roman"/>
              </w:rPr>
            </w:pPr>
            <w:r>
              <w:rPr>
                <w:rFonts w:ascii="Times New Roman" w:hAnsi="Times New Roman"/>
              </w:rPr>
              <w:t>BPK рекомендует Организации назначить ответственных за ведение реестра нематериальных активов в СУАИ, чтобы обеспечить надлежащий надзор и поддержание учетных данных об активах в актуальном состоянии.</w:t>
            </w:r>
          </w:p>
        </w:tc>
      </w:tr>
      <w:tr w:rsidR="002C2A79" w:rsidRPr="002C2A79" w14:paraId="20FCBE1C" w14:textId="77777777" w:rsidTr="00507A2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5ABA2F" w14:textId="1C1D9CD0" w:rsidR="002C2A79" w:rsidRPr="00FA1CF1" w:rsidRDefault="007429E5" w:rsidP="004728C8">
            <w:pPr>
              <w:widowControl w:val="0"/>
              <w:autoSpaceDE w:val="0"/>
              <w:autoSpaceDN w:val="0"/>
              <w:spacing w:before="120" w:after="120" w:line="280" w:lineRule="exact"/>
              <w:ind w:left="215"/>
              <w:jc w:val="both"/>
              <w:rPr>
                <w:rFonts w:ascii="Times New Roman" w:eastAsia="Calibri" w:hAnsi="Times New Roman" w:cs="Times New Roman"/>
                <w:b/>
                <w:bCs/>
              </w:rPr>
            </w:pPr>
            <w:r>
              <w:rPr>
                <w:rFonts w:ascii="Times New Roman" w:hAnsi="Times New Roman"/>
                <w:b/>
              </w:rPr>
              <w:t xml:space="preserve">Ответ руководства: </w:t>
            </w:r>
          </w:p>
          <w:p w14:paraId="7365BC7B" w14:textId="6AA08B66" w:rsidR="002C2A79" w:rsidRPr="002C2A79" w:rsidRDefault="5D797988" w:rsidP="00EE5F6D">
            <w:pPr>
              <w:keepNext/>
              <w:widowControl w:val="0"/>
              <w:tabs>
                <w:tab w:val="left" w:pos="567"/>
              </w:tabs>
              <w:autoSpaceDE w:val="0"/>
              <w:autoSpaceDN w:val="0"/>
              <w:spacing w:after="120" w:line="280" w:lineRule="exact"/>
              <w:ind w:left="215"/>
              <w:jc w:val="both"/>
              <w:rPr>
                <w:rFonts w:ascii="Times New Roman" w:eastAsia="Calibri" w:hAnsi="Times New Roman" w:cs="Times New Roman"/>
              </w:rPr>
            </w:pPr>
            <w:r>
              <w:rPr>
                <w:rFonts w:ascii="Times New Roman" w:hAnsi="Times New Roman"/>
              </w:rPr>
              <w:t>Руководство согласно с рекомендацией и рассчитывает полностью выполнить ее к 31 декабря 2026 года.</w:t>
            </w:r>
          </w:p>
        </w:tc>
      </w:tr>
    </w:tbl>
    <w:p w14:paraId="5D7F096B" w14:textId="639C8AF1" w:rsidR="002C2A79" w:rsidRPr="00C606F9" w:rsidRDefault="002C2A79" w:rsidP="002C2A79">
      <w:pPr>
        <w:pStyle w:val="ListParagraph"/>
        <w:spacing w:after="120" w:line="280" w:lineRule="exact"/>
        <w:ind w:left="850"/>
        <w:contextualSpacing w:val="0"/>
        <w:jc w:val="both"/>
        <w:rPr>
          <w:rFonts w:ascii="Times New Roman" w:hAnsi="Times New Roman" w:cs="Times New Roman"/>
        </w:rPr>
      </w:pPr>
    </w:p>
    <w:p w14:paraId="5A3FF25D" w14:textId="2953B344" w:rsidR="00E00622" w:rsidRPr="00110B2E" w:rsidRDefault="004728C8" w:rsidP="00795D4A">
      <w:pPr>
        <w:pStyle w:val="Heading6"/>
        <w:spacing w:before="120" w:after="120" w:line="280" w:lineRule="exact"/>
        <w:ind w:left="364"/>
        <w:jc w:val="both"/>
      </w:pPr>
      <w:bookmarkStart w:id="146" w:name="_Toc227163665"/>
      <w:bookmarkStart w:id="147" w:name="_Toc227254959"/>
      <w:bookmarkStart w:id="148" w:name="_Toc227255012"/>
      <w:bookmarkStart w:id="149" w:name="_Toc227826031"/>
      <w:bookmarkStart w:id="150" w:name="_Toc230784920"/>
      <w:r>
        <w:t>Совершенствование нормативной базы в отношении зданий и технических установок, являющихся частью инфраструктуры зданий</w:t>
      </w:r>
      <w:bookmarkEnd w:id="146"/>
      <w:bookmarkEnd w:id="147"/>
      <w:bookmarkEnd w:id="148"/>
      <w:bookmarkEnd w:id="149"/>
      <w:bookmarkEnd w:id="150"/>
    </w:p>
    <w:p w14:paraId="72A62781" w14:textId="187EE431" w:rsidR="460F11BE" w:rsidRDefault="460F11BE" w:rsidP="00427B96">
      <w:pPr>
        <w:pStyle w:val="LFARPara"/>
        <w:spacing w:before="120"/>
        <w:ind w:left="851" w:hanging="491"/>
      </w:pPr>
      <w:r>
        <w:t>В финансовых ведомостях за год, закончившийся в 2025 году, сообщается, что ВОИС располагает зданиями стоимостью 290,65 млн шв. франков. Руководство применяет Политику ВОИС в области управления имуществом (служебная инструкция ОИ</w:t>
      </w:r>
      <w:r w:rsidR="00D74B11">
        <w:t> </w:t>
      </w:r>
      <w:r>
        <w:t xml:space="preserve">06/2024) в качестве основы управления имуществом. Однако данная политика </w:t>
      </w:r>
      <w:r>
        <w:lastRenderedPageBreak/>
        <w:t>прямо исключает из сферы ее применения землю, здания и технические установки, являющиеся частью инфраструктуры зданий. Дополнительные запросы показали, что управление этими исключенными категориями активов не регулируется каким-либо иным официальным нормативным документом. Такое отсутствие противоречит Финансовым положениям и правилам 103.14, которые требуют четкого определения системы управления имуществом.</w:t>
      </w:r>
    </w:p>
    <w:p w14:paraId="1D524613" w14:textId="2C585CEE" w:rsidR="460F11BE" w:rsidRDefault="460F11BE" w:rsidP="00427B96">
      <w:pPr>
        <w:pStyle w:val="LFARPara"/>
        <w:spacing w:before="120"/>
        <w:ind w:left="850" w:hanging="493"/>
      </w:pPr>
      <w:r>
        <w:t>Наш анализ нормативной базы выявил два конкретных вопроса.</w:t>
      </w:r>
    </w:p>
    <w:p w14:paraId="7C85A07D" w14:textId="3CCBC145" w:rsidR="00E00622" w:rsidRPr="00042C19" w:rsidRDefault="01DE80F9" w:rsidP="00795D4A">
      <w:pPr>
        <w:spacing w:before="120" w:after="120"/>
        <w:ind w:left="336"/>
        <w:rPr>
          <w:rFonts w:ascii="Times New Roman" w:hAnsi="Times New Roman" w:cs="Times New Roman"/>
          <w:b/>
          <w:bCs/>
          <w:i/>
          <w:iCs/>
        </w:rPr>
      </w:pPr>
      <w:r>
        <w:rPr>
          <w:rFonts w:ascii="Times New Roman" w:hAnsi="Times New Roman"/>
          <w:b/>
          <w:i/>
        </w:rPr>
        <w:t>Отсутствие положений о полномочиях и составе Руководящего комитета и проектных советов</w:t>
      </w:r>
    </w:p>
    <w:p w14:paraId="2A074D2A" w14:textId="70E5393D" w:rsidR="01DE80F9" w:rsidRDefault="01DE80F9" w:rsidP="00427B96">
      <w:pPr>
        <w:pStyle w:val="LFARPara"/>
        <w:spacing w:before="120"/>
        <w:ind w:left="850" w:hanging="493"/>
      </w:pPr>
      <w:r>
        <w:t>Организация установила порядок управления проектами, связанными с помещениями, посредством Информационного циркуляра (IC)</w:t>
      </w:r>
      <w:r w:rsidR="00D74B11">
        <w:t> </w:t>
      </w:r>
      <w:r>
        <w:t>38/2022, в котором определены обязанности Руководящего комитета и проектных советов. В циркуляре указано, что подробное описание полномочий и состава этих органов будет опубликовано в последующих IC. Однако подробные положения о полномочиях по этим ролям опубликованы не были.</w:t>
      </w:r>
    </w:p>
    <w:p w14:paraId="30A558D7" w14:textId="1F702ED9" w:rsidR="44339281" w:rsidRDefault="44339281" w:rsidP="00427B96">
      <w:pPr>
        <w:pStyle w:val="LFARPara"/>
        <w:spacing w:before="120"/>
        <w:ind w:left="850" w:hanging="493"/>
      </w:pPr>
      <w:r>
        <w:t>Руководство пояснило, что IC 38/2022 представлял собой переходную основу, разработанную для проектов Нового здания и Конференц-зала, которые с тех пор завершены, и что он будет заменен комплексной стратегией в области недвижимости с применением методологии PRINCE2. Руководство обязалось завершить пересмотр и обновление IC</w:t>
      </w:r>
      <w:r w:rsidR="00D74B11">
        <w:t> </w:t>
      </w:r>
      <w:r>
        <w:t>38/2022 к четвертому кварталу 2026 года, что позволит создать официальные структуры управления для будущих проектов, связанных со строительством. Руководство также сообщило, что с 2022 года проекты, связанные со строительством, стоимостью свыше одного миллиона шв. франков управляются по методологии PRINCE2 с определенными ролями, обязанностями и составом проектного совета. BPK будет осуществлять мониторинг завершения этого обновления и внедрения механизмов управления проектами, связанными с помещениями, в ходе будущих аудитов.</w:t>
      </w:r>
    </w:p>
    <w:p w14:paraId="6D7C73C0" w14:textId="58243C41" w:rsidR="00B56A7A" w:rsidRPr="00042C19" w:rsidRDefault="00621F55" w:rsidP="00795D4A">
      <w:pPr>
        <w:spacing w:before="120" w:after="120"/>
        <w:ind w:left="336"/>
        <w:rPr>
          <w:rFonts w:ascii="Times New Roman" w:hAnsi="Times New Roman" w:cs="Times New Roman"/>
          <w:b/>
          <w:bCs/>
          <w:i/>
          <w:iCs/>
        </w:rPr>
      </w:pPr>
      <w:r>
        <w:rPr>
          <w:rFonts w:ascii="Times New Roman" w:hAnsi="Times New Roman"/>
          <w:b/>
          <w:i/>
        </w:rPr>
        <w:t>Механизм выбытия и прекращение признания замененных компонентов здания</w:t>
      </w:r>
    </w:p>
    <w:p w14:paraId="6DA42019" w14:textId="509A30BC" w:rsidR="00B56A7A" w:rsidRPr="001A04BC" w:rsidRDefault="634D844A" w:rsidP="00427B96">
      <w:pPr>
        <w:pStyle w:val="LFARPara"/>
        <w:spacing w:before="120"/>
        <w:ind w:left="850" w:hanging="493"/>
      </w:pPr>
      <w:r>
        <w:t>Наше наблюдение за проектом миграции новой системы управления зданием (СУЗ) показало, что в ходе миграции были демонтированы компоненты, являющиеся частью здания, включая лампы и жалюзи. Анализ финансовых ведомостей за 2025 год показал, что расходы по проекту миграции СУЗ в размере 2,26 млн шв. франков были капитализированы без прекращения признания балансовой стоимости замененных компонентов здания. МСУГС 45, пункт 65, требует прекращения признания балансовой стоимости замененной части в момент капитализации стоимости замены.</w:t>
      </w:r>
    </w:p>
    <w:p w14:paraId="507B86EC" w14:textId="4FBB7DE9" w:rsidR="00B56A7A" w:rsidRPr="001A04BC" w:rsidRDefault="634D844A" w:rsidP="00427B96">
      <w:pPr>
        <w:pStyle w:val="LFARPara"/>
        <w:spacing w:before="120"/>
        <w:ind w:left="850" w:hanging="493"/>
      </w:pPr>
      <w:r>
        <w:t>Руководство указало, что стоимость незавершенного производства, связанного с проектом СУЗ, на конец года не приведет к существенному прекращению признания, поскольку замененные компоненты будут значительно амортизированы, и что прекращение признания будет оцениваться по завершении проекта или на конец 2026 года. Руководство отметило, что годовой подход к прекращению признания уместен для крупных строительных проектов, рассчитанных на несколько лет и предусматривающих значительный демонтаж конструкций.</w:t>
      </w:r>
    </w:p>
    <w:tbl>
      <w:tblPr>
        <w:tblW w:w="8646" w:type="dxa"/>
        <w:tblInd w:w="421" w:type="dxa"/>
        <w:tblLook w:val="04A0" w:firstRow="1" w:lastRow="0" w:firstColumn="1" w:lastColumn="0" w:noHBand="0" w:noVBand="1"/>
      </w:tblPr>
      <w:tblGrid>
        <w:gridCol w:w="8646"/>
      </w:tblGrid>
      <w:tr w:rsidR="00365CED" w:rsidRPr="00365CED" w14:paraId="691F975C" w14:textId="77777777" w:rsidTr="006125ED">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E616E" w14:textId="5D94386F" w:rsidR="00365CED" w:rsidRPr="00365CED" w:rsidRDefault="00E87C15" w:rsidP="00365CED">
            <w:pPr>
              <w:keepNext/>
              <w:widowControl w:val="0"/>
              <w:tabs>
                <w:tab w:val="left" w:pos="567"/>
              </w:tabs>
              <w:autoSpaceDE w:val="0"/>
              <w:autoSpaceDN w:val="0"/>
              <w:spacing w:before="120" w:after="120"/>
              <w:ind w:left="216"/>
              <w:jc w:val="both"/>
              <w:rPr>
                <w:rFonts w:ascii="Times New Roman" w:eastAsia="Calibri" w:hAnsi="Times New Roman" w:cs="Times New Roman"/>
                <w:b/>
                <w:bCs/>
              </w:rPr>
            </w:pPr>
            <w:r>
              <w:rPr>
                <w:rFonts w:ascii="Times New Roman" w:hAnsi="Times New Roman"/>
                <w:b/>
              </w:rPr>
              <w:lastRenderedPageBreak/>
              <w:t>Рекомендация 3</w:t>
            </w:r>
          </w:p>
          <w:p w14:paraId="393CB604" w14:textId="3D870B24" w:rsidR="00365CED" w:rsidRPr="00365CED" w:rsidRDefault="4F7EDD07" w:rsidP="00365CED">
            <w:pPr>
              <w:widowControl w:val="0"/>
              <w:autoSpaceDE w:val="0"/>
              <w:autoSpaceDN w:val="0"/>
              <w:spacing w:before="120" w:after="120"/>
              <w:ind w:left="216"/>
              <w:jc w:val="both"/>
              <w:rPr>
                <w:rFonts w:ascii="Times New Roman" w:eastAsia="Calibri" w:hAnsi="Times New Roman" w:cs="Times New Roman"/>
              </w:rPr>
            </w:pPr>
            <w:r>
              <w:rPr>
                <w:rFonts w:ascii="Times New Roman" w:hAnsi="Times New Roman"/>
              </w:rPr>
              <w:t>BPK рекомендует Организации пересмотреть подробное руководство по финансовой отчетности в отношении основных средств, предусмотрев проведение ежегодных проверок в течение периода реализации проекта и по завершении проектов строительства и реконструкции зданий, с тем чтобы выявлять и прекращать признание балансовой стоимости существенных компонентов, которые демонтируются или заменяются.</w:t>
            </w:r>
          </w:p>
        </w:tc>
      </w:tr>
      <w:tr w:rsidR="00365CED" w:rsidRPr="00365CED" w14:paraId="1658FEA3" w14:textId="77777777" w:rsidTr="006125ED">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E9170" w14:textId="6E046D27" w:rsidR="00365CED" w:rsidRPr="00365CED" w:rsidRDefault="00E87C15" w:rsidP="66DE4C64">
            <w:pPr>
              <w:widowControl w:val="0"/>
              <w:autoSpaceDE w:val="0"/>
              <w:autoSpaceDN w:val="0"/>
              <w:spacing w:before="120" w:after="120"/>
              <w:ind w:left="216"/>
              <w:jc w:val="both"/>
              <w:rPr>
                <w:rFonts w:ascii="Times New Roman" w:eastAsia="Calibri" w:hAnsi="Times New Roman" w:cs="Times New Roman"/>
                <w:b/>
                <w:bCs/>
              </w:rPr>
            </w:pPr>
            <w:r>
              <w:rPr>
                <w:rFonts w:ascii="Times New Roman" w:hAnsi="Times New Roman"/>
                <w:b/>
              </w:rPr>
              <w:t xml:space="preserve">Ответ руководства: </w:t>
            </w:r>
          </w:p>
          <w:p w14:paraId="5D440AA3" w14:textId="314ED2CA" w:rsidR="00365CED" w:rsidRPr="00365CED" w:rsidRDefault="00E87C15" w:rsidP="00365CED">
            <w:pPr>
              <w:keepNext/>
              <w:widowControl w:val="0"/>
              <w:tabs>
                <w:tab w:val="left" w:pos="567"/>
              </w:tabs>
              <w:autoSpaceDE w:val="0"/>
              <w:autoSpaceDN w:val="0"/>
              <w:spacing w:before="120" w:after="120"/>
              <w:ind w:left="216"/>
              <w:jc w:val="both"/>
              <w:rPr>
                <w:rFonts w:ascii="Times New Roman" w:eastAsia="Calibri" w:hAnsi="Times New Roman" w:cs="Times New Roman"/>
              </w:rPr>
            </w:pPr>
            <w:r>
              <w:rPr>
                <w:rFonts w:ascii="Times New Roman" w:hAnsi="Times New Roman"/>
              </w:rPr>
              <w:t>Руководство согласно с рекомендацией и рассчитывает полностью выполнить ее к 31</w:t>
            </w:r>
            <w:r w:rsidR="007313B7">
              <w:rPr>
                <w:rFonts w:ascii="Times New Roman" w:hAnsi="Times New Roman"/>
              </w:rPr>
              <w:t> </w:t>
            </w:r>
            <w:r>
              <w:rPr>
                <w:rFonts w:ascii="Times New Roman" w:hAnsi="Times New Roman"/>
              </w:rPr>
              <w:t>декабря 2026 года.</w:t>
            </w:r>
          </w:p>
        </w:tc>
      </w:tr>
    </w:tbl>
    <w:p w14:paraId="503A9D2E" w14:textId="71F8B59A" w:rsidR="00B56A7A" w:rsidRDefault="00B56A7A"/>
    <w:p w14:paraId="2D1815D8" w14:textId="7E3013D3" w:rsidR="00847EAB" w:rsidRPr="00847EAB" w:rsidRDefault="00847EAB" w:rsidP="00795D4A">
      <w:pPr>
        <w:pStyle w:val="Heading6"/>
        <w:spacing w:before="120" w:after="120" w:line="280" w:lineRule="exact"/>
        <w:ind w:left="364"/>
        <w:jc w:val="both"/>
        <w:rPr>
          <w:rFonts w:cs="Times New Roman"/>
          <w:b w:val="0"/>
          <w:bCs w:val="0"/>
        </w:rPr>
      </w:pPr>
      <w:bookmarkStart w:id="151" w:name="_Toc227224477"/>
      <w:bookmarkStart w:id="152" w:name="_Toc227254960"/>
      <w:bookmarkStart w:id="153" w:name="_Toc227255013"/>
      <w:bookmarkStart w:id="154" w:name="_Toc230784921"/>
      <w:r>
        <w:t>Управление закупками</w:t>
      </w:r>
      <w:bookmarkEnd w:id="151"/>
      <w:bookmarkEnd w:id="152"/>
      <w:bookmarkEnd w:id="153"/>
      <w:bookmarkEnd w:id="154"/>
    </w:p>
    <w:p w14:paraId="5D1038C6" w14:textId="75D85BB8" w:rsidR="00A45870" w:rsidRPr="00847EAB" w:rsidRDefault="00847EAB" w:rsidP="00A45870">
      <w:pPr>
        <w:pStyle w:val="LFARPara"/>
        <w:spacing w:before="120"/>
        <w:ind w:left="850" w:hanging="493"/>
      </w:pPr>
      <w:r>
        <w:t>ВОИС продемонстрировала заслуживающую похвалы приверженность укреплению своей закупочной функции. На протяжении многих лет ВОИС соблюдает требования руководства по закупкам, одновременно обеспечивая соответствие закупок операционным потребностям Организации и нормативным документам. Организация работает в соответствии с руководством по закупкам, которое устанавливает политику и процедуры для всех сторон, участвующих в закупочной деятельности ВОИС, включая сотрудников, инициаторов заявок, руководителей, подрядчиков и работников агентств. Отдел централизованных услуг (CSD) активно сотрудничает с инициаторами заявок и руководителями проектов при планировании и реализации закупочных инициатив, часто работая в условиях жестких сроков. BPK признает достоинства существующей практики закупок, одновременно выявляя возможности для ее улучшения и предлагая рекомендации по совершенствованию текущих процессов.</w:t>
      </w:r>
    </w:p>
    <w:p w14:paraId="092E952C" w14:textId="4BD06EAD" w:rsidR="00847EAB" w:rsidRPr="003C7DFE" w:rsidRDefault="00847EAB" w:rsidP="00795D4A">
      <w:pPr>
        <w:pStyle w:val="Heading6"/>
        <w:spacing w:before="120" w:after="120" w:line="280" w:lineRule="exact"/>
        <w:ind w:left="364"/>
        <w:jc w:val="both"/>
      </w:pPr>
      <w:bookmarkStart w:id="155" w:name="_Toc227163666"/>
      <w:bookmarkStart w:id="156" w:name="_Toc230784922"/>
      <w:bookmarkStart w:id="157" w:name="_Toc227254961"/>
      <w:bookmarkStart w:id="158" w:name="_Toc227255014"/>
      <w:bookmarkStart w:id="159" w:name="_Toc227826034"/>
      <w:r>
        <w:t xml:space="preserve">Улучшение </w:t>
      </w:r>
      <w:bookmarkEnd w:id="155"/>
      <w:r>
        <w:t>документации по оценке результатов работы подрядчика</w:t>
      </w:r>
      <w:bookmarkEnd w:id="156"/>
      <w:r>
        <w:t xml:space="preserve"> </w:t>
      </w:r>
      <w:bookmarkEnd w:id="157"/>
      <w:bookmarkEnd w:id="158"/>
      <w:bookmarkEnd w:id="159"/>
    </w:p>
    <w:p w14:paraId="3F1183CF" w14:textId="4FDDE06C" w:rsidR="00E65A08" w:rsidRDefault="00621F55" w:rsidP="009957C8">
      <w:pPr>
        <w:pStyle w:val="LFARPara"/>
        <w:spacing w:before="120"/>
        <w:ind w:left="850" w:hanging="493"/>
      </w:pPr>
      <w:r>
        <w:t>Финансовые ведомости за год, закончившийся в 2025 году, показывают, что ВОИС понесла расходы на контрактные услуги в размере 122,9</w:t>
      </w:r>
      <w:r w:rsidR="00292541">
        <w:t> </w:t>
      </w:r>
      <w:r>
        <w:t xml:space="preserve">млн шв. франков. Расходы на контрактные услуги понесены на основании договорных соглашений между ВОИС и подрядчиками. Закупки регулируются руководством по закупкам для поставщиков и служебной инструкцией по услугам индивидуальных подрядчиков (УИП). </w:t>
      </w:r>
    </w:p>
    <w:p w14:paraId="35934E17" w14:textId="4D2CA676" w:rsidR="00606EFF" w:rsidRDefault="00662CC7" w:rsidP="009957C8">
      <w:pPr>
        <w:pStyle w:val="LFARPara"/>
        <w:spacing w:before="120"/>
        <w:ind w:left="850" w:hanging="493"/>
      </w:pPr>
      <w:r>
        <w:t>В руководстве по закупкам ВОИС контракты подразделяются на три типа: стратегические контракты, которые необходимы для работы сектора, критически важные контракты, отсутствие которых может серьезно нарушить работу, и нестратегические/некритические контракты. Стратегические контракты требуют документированных оценочных карт, подготовленных Менеджером по контрактам и рассмотренных Должностным лицом по закупкам. В руководстве отмечается, что критически важные контракты следуют тому же процессу с оценочными картами, при этом руководители секторов должны разрабатывать планы обеспечения непрерывности деятельности в рамках своей системы управления рисками.</w:t>
      </w:r>
    </w:p>
    <w:p w14:paraId="0D46874A" w14:textId="5D54775A" w:rsidR="007B02A0" w:rsidRDefault="007B02A0" w:rsidP="009957C8">
      <w:pPr>
        <w:pStyle w:val="LFARPara"/>
        <w:spacing w:before="120"/>
        <w:ind w:left="850" w:hanging="493"/>
      </w:pPr>
      <w:r>
        <w:t xml:space="preserve">В руководстве упоминается, что обзор эффективности работы поставщика (SPR), основанный на ключевом показателе результативности (КПР) и оценочной карте оценки результатов работы, должен документироваться и контролироваться как основа для оценки соблюдения поставщиками договорных обязательств. Кроме того, в руководстве говорится, что эти КПР должны быть четко определены в тендерной документации и согласованы с поставщиками во избежание споров. Менеджер по </w:t>
      </w:r>
      <w:r>
        <w:lastRenderedPageBreak/>
        <w:t>контрактам руководит процессом оценки результатов работы, взаимодействуя с Должностным лицом по закупкам для выявления возможностей и решения административных вопросов.</w:t>
      </w:r>
    </w:p>
    <w:p w14:paraId="2635345A" w14:textId="50BAA4D0" w:rsidR="002806C2" w:rsidRDefault="00E65A08" w:rsidP="009957C8">
      <w:pPr>
        <w:pStyle w:val="LFARPara"/>
        <w:spacing w:before="120"/>
        <w:ind w:left="850" w:hanging="493"/>
      </w:pPr>
      <w:r>
        <w:t>Наш анализ документации по оценке результатов работы подрядчика выявил два конкретных вопроса.</w:t>
      </w:r>
    </w:p>
    <w:p w14:paraId="40EADB63" w14:textId="77777777" w:rsidR="00A45870" w:rsidRPr="003C7DFE" w:rsidRDefault="00A45870" w:rsidP="00A45870">
      <w:pPr>
        <w:widowControl w:val="0"/>
        <w:autoSpaceDE w:val="0"/>
        <w:autoSpaceDN w:val="0"/>
        <w:spacing w:before="120" w:after="120" w:line="280" w:lineRule="exact"/>
        <w:ind w:left="378"/>
        <w:jc w:val="both"/>
        <w:rPr>
          <w:rFonts w:ascii="Times New Roman" w:eastAsia="Times New Roman" w:hAnsi="Times New Roman" w:cs="Times New Roman"/>
          <w:b/>
          <w:bCs/>
          <w:i/>
          <w:iCs/>
        </w:rPr>
      </w:pPr>
      <w:r>
        <w:rPr>
          <w:rFonts w:ascii="Times New Roman" w:hAnsi="Times New Roman"/>
          <w:b/>
          <w:i/>
        </w:rPr>
        <w:t xml:space="preserve">Услуги индивидуальных подрядчиков (УИП) по переводу </w:t>
      </w:r>
    </w:p>
    <w:p w14:paraId="0CEF463A" w14:textId="0E2AC2A1" w:rsidR="00A45870" w:rsidRDefault="00A45870" w:rsidP="00A45870">
      <w:pPr>
        <w:pStyle w:val="LFARPara"/>
        <w:spacing w:before="120"/>
        <w:ind w:left="850" w:hanging="493"/>
      </w:pPr>
      <w:r>
        <w:t>Политика в отношении услуг индивидуальных подрядчиков (УИП) (ОИ</w:t>
      </w:r>
      <w:r w:rsidR="00400498">
        <w:t> </w:t>
      </w:r>
      <w:r w:rsidR="00B618D1">
        <w:t>№</w:t>
      </w:r>
      <w:r w:rsidR="00400498">
        <w:t> </w:t>
      </w:r>
      <w:r>
        <w:t>03/2024) определяет индивидуальных подрядчиков как лиц, не являющихся сотрудниками ВОИС и нанятых в соответствии с установленными положениями для оказания услуг ВОИС в обмен на вознаграждение. Политика предусматривает, что все контракты с совокупной стоимостью более 20</w:t>
      </w:r>
      <w:r w:rsidR="00400498">
        <w:t> </w:t>
      </w:r>
      <w:r>
        <w:t xml:space="preserve">000 шв. франков за 12-месячный период подлежат оценке результатов работы индивидуального подрядчика. Руководители секторов должны обеспечить проведение оценки результатов работы в течение двух недель после завершения каждого контракта по форме, установленной CSD. </w:t>
      </w:r>
    </w:p>
    <w:p w14:paraId="5265C9B4" w14:textId="28EAC96A" w:rsidR="00A45870" w:rsidRPr="0068650E" w:rsidRDefault="00A45870" w:rsidP="00A45870">
      <w:pPr>
        <w:pStyle w:val="LFARPara"/>
        <w:spacing w:before="120"/>
        <w:ind w:left="850" w:hanging="493"/>
      </w:pPr>
      <w:r>
        <w:t>Анализ пяти контрактов УИП с совокупной выплатой более 20</w:t>
      </w:r>
      <w:r w:rsidR="00B618D1">
        <w:t> </w:t>
      </w:r>
      <w:r>
        <w:t>000</w:t>
      </w:r>
      <w:r w:rsidR="00B618D1">
        <w:t> </w:t>
      </w:r>
      <w:r>
        <w:t xml:space="preserve">шв. франков на сумму 0,28 млн шв. франков показал, что оценка результатов работы по контрактам УИП была оформлена во внутреннем меморандуме о повторной аккредитации переводчиков УИП, а не по форме, установленной CSD. </w:t>
      </w:r>
    </w:p>
    <w:p w14:paraId="25F7E5CB" w14:textId="77777777" w:rsidR="00A45870" w:rsidRDefault="00A45870" w:rsidP="00A45870">
      <w:pPr>
        <w:pStyle w:val="LFARPara"/>
        <w:spacing w:before="120"/>
        <w:ind w:left="850" w:hanging="493"/>
      </w:pPr>
      <w:r>
        <w:t>Руководство пояснило, что при переводе PCT оформление по форме, установленной CSD, не применялось к УИП, с которыми был продлен контракт, поскольку меморандум о повторной аккредитации служит основой для оценки результатов работы. Следует отметить, что предписанная CSD форма была оформлена только в отношении УИП, с которыми контракт не был продлен. Руководство добавило, что результаты работы УИП тщательно контролировались в течение всего срока действия контракта в рамках ежемесячного процесса рассмотрения. Кроме того, руководство отметило, что в указанных случаях обязанность заполнить форму оценки, предусмотренную CSD, еще не возникла, поскольку контракты еще продолжались.</w:t>
      </w:r>
    </w:p>
    <w:p w14:paraId="24807DBC" w14:textId="20F98103" w:rsidR="00A45870" w:rsidRDefault="00A45870" w:rsidP="00A45870">
      <w:pPr>
        <w:pStyle w:val="LFARPara"/>
        <w:spacing w:before="120"/>
        <w:ind w:left="850" w:hanging="493"/>
      </w:pPr>
      <w:r>
        <w:t>BPK считает, что для УИП с совокупной стоимостью более 20</w:t>
      </w:r>
      <w:r w:rsidR="00B618D1">
        <w:t> </w:t>
      </w:r>
      <w:r>
        <w:t>000 шв. франков за 12-месячный период должен быть внедрен стандартизированный и периодический, как минимум ежегодный, обзор результатов работы. Учитывая пятилетний срок действия контракта УИП, ожидание завершения контракта для проведения оценки результатов работы привело бы к устаревшим оценкам, которые не отражали бы текущие тенденции выполнения работ. Ежегодный обзор результатов работы с надлежащим документальным оформлением улучшит надзор и контроль за предоставлением услуг УИП.</w:t>
      </w:r>
    </w:p>
    <w:p w14:paraId="116C8CD6" w14:textId="55F18F98" w:rsidR="00847EAB" w:rsidRPr="003C7DFE" w:rsidRDefault="00C13FCF" w:rsidP="00BE31A8">
      <w:pPr>
        <w:widowControl w:val="0"/>
        <w:autoSpaceDE w:val="0"/>
        <w:autoSpaceDN w:val="0"/>
        <w:spacing w:before="120" w:after="120" w:line="280" w:lineRule="exact"/>
        <w:ind w:left="336"/>
        <w:jc w:val="both"/>
        <w:rPr>
          <w:rFonts w:ascii="Times New Roman" w:eastAsia="Times New Roman" w:hAnsi="Times New Roman" w:cs="Times New Roman"/>
          <w:b/>
          <w:bCs/>
          <w:i/>
          <w:iCs/>
        </w:rPr>
      </w:pPr>
      <w:r>
        <w:rPr>
          <w:rFonts w:ascii="Times New Roman" w:hAnsi="Times New Roman"/>
          <w:b/>
          <w:i/>
        </w:rPr>
        <w:t>Обзор результатов работы стратегических и критически важных подрядчиков</w:t>
      </w:r>
    </w:p>
    <w:p w14:paraId="3D4BFAA7" w14:textId="5BC65DA0" w:rsidR="00E2094D" w:rsidRPr="00ED2B43" w:rsidRDefault="0046035D" w:rsidP="00923A25">
      <w:pPr>
        <w:pStyle w:val="LFARPara"/>
        <w:spacing w:before="120"/>
        <w:ind w:left="850" w:hanging="493"/>
      </w:pPr>
      <w:r>
        <w:t xml:space="preserve">Анализ расходов в размере 1,78 млн шв. франков, понесенных в 2025 году по стратегическому и критически важному контракту с компанией A, показал, что SPR по этому контракту документально оформлен не был. Кроме того, мы отметили, что КПР и оценочная карта оценки результатов работы по этому контракту не были указаны в контракте. </w:t>
      </w:r>
    </w:p>
    <w:p w14:paraId="672544AA" w14:textId="61CE78D8" w:rsidR="000A1009" w:rsidRDefault="00865B8D" w:rsidP="009957C8">
      <w:pPr>
        <w:pStyle w:val="LFARPara"/>
        <w:spacing w:before="120"/>
        <w:ind w:left="850" w:hanging="493"/>
      </w:pPr>
      <w:r>
        <w:t xml:space="preserve">Руководство подтвердило, что SPR не проводился, и пояснило, что оплата этих счетов относится к профессиональным услугам, которые Организация в настоящее время не отслеживает с помощью КПР. Вместо этого акты приемки служат подтверждением </w:t>
      </w:r>
      <w:r>
        <w:lastRenderedPageBreak/>
        <w:t xml:space="preserve">того, что услуги были оказаны на приемлемом уровне в соответствии с контрактом, при этом для урегулирования велся отдельный перечень нерешенных вопросов. </w:t>
      </w:r>
    </w:p>
    <w:p w14:paraId="21A653A4" w14:textId="64AE86D7" w:rsidR="00A14F79" w:rsidRDefault="000A1009" w:rsidP="009957C8">
      <w:pPr>
        <w:pStyle w:val="LFARPara"/>
        <w:spacing w:before="120"/>
        <w:ind w:left="850" w:hanging="493"/>
      </w:pPr>
      <w:r>
        <w:t>Руководство добавило, что в ближайшие месяцы будет официально проведен обзор эффективности работы поставщика, а контракт компании A на оказание профессиональных услуг имеет установленную структуру управления, включая процесс регулярного мониторинга эффективности и эскалации проблем для их своевременного урегулирования. Это означает, что обзор эффективности проводится не только на ежегодной основе, а осуществляется по мере возникновения проблем.</w:t>
      </w:r>
    </w:p>
    <w:tbl>
      <w:tblPr>
        <w:tblW w:w="8798" w:type="dxa"/>
        <w:tblInd w:w="279" w:type="dxa"/>
        <w:tblLook w:val="04A0" w:firstRow="1" w:lastRow="0" w:firstColumn="1" w:lastColumn="0" w:noHBand="0" w:noVBand="1"/>
      </w:tblPr>
      <w:tblGrid>
        <w:gridCol w:w="8798"/>
      </w:tblGrid>
      <w:tr w:rsidR="004321BD" w14:paraId="545BEEA3" w14:textId="77777777" w:rsidTr="006125ED">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AE8D9" w14:textId="77777777" w:rsidR="004321BD" w:rsidRPr="004321BD" w:rsidRDefault="2AEE73EA" w:rsidP="00177ECD">
            <w:pPr>
              <w:keepNext/>
              <w:tabs>
                <w:tab w:val="left" w:pos="567"/>
              </w:tabs>
              <w:spacing w:after="120" w:line="280" w:lineRule="exact"/>
              <w:ind w:left="215"/>
              <w:rPr>
                <w:rFonts w:ascii="Times New Roman" w:eastAsia="Calibri" w:hAnsi="Times New Roman" w:cs="Times New Roman"/>
                <w:b/>
                <w:bCs/>
              </w:rPr>
            </w:pPr>
            <w:r>
              <w:rPr>
                <w:rFonts w:ascii="Times New Roman" w:hAnsi="Times New Roman"/>
                <w:b/>
              </w:rPr>
              <w:t>Рекомендация 4</w:t>
            </w:r>
          </w:p>
          <w:p w14:paraId="44F3B462" w14:textId="77777777" w:rsidR="004321BD" w:rsidRPr="004321BD" w:rsidRDefault="2AEE73EA" w:rsidP="00526F28">
            <w:pPr>
              <w:spacing w:after="120" w:line="280" w:lineRule="exact"/>
              <w:ind w:left="215"/>
              <w:jc w:val="both"/>
              <w:rPr>
                <w:rFonts w:ascii="Times New Roman" w:eastAsia="Calibri" w:hAnsi="Times New Roman" w:cs="Times New Roman"/>
              </w:rPr>
            </w:pPr>
            <w:r>
              <w:rPr>
                <w:rFonts w:ascii="Times New Roman" w:hAnsi="Times New Roman"/>
              </w:rPr>
              <w:t>BPK рекомендует Организации обеспечить, чтобы все стратегические и критически важные контракты, включая заполненную оценочную карту SPR, как можно скорее подшивались в дело в рамках каждого ежегодного цикла пересмотра.</w:t>
            </w:r>
          </w:p>
        </w:tc>
      </w:tr>
      <w:tr w:rsidR="004321BD" w14:paraId="02612A0E" w14:textId="77777777" w:rsidTr="006125ED">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DED7A7" w14:textId="3CF9DFF9" w:rsidR="004321BD" w:rsidRPr="004321BD" w:rsidRDefault="007429E5" w:rsidP="007429E5">
            <w:pPr>
              <w:spacing w:before="120" w:after="120" w:line="280" w:lineRule="exact"/>
              <w:ind w:left="215"/>
              <w:rPr>
                <w:rFonts w:ascii="Times New Roman" w:eastAsia="Calibri" w:hAnsi="Times New Roman" w:cs="Times New Roman"/>
                <w:b/>
                <w:bCs/>
              </w:rPr>
            </w:pPr>
            <w:r>
              <w:rPr>
                <w:rFonts w:ascii="Times New Roman" w:hAnsi="Times New Roman"/>
                <w:b/>
              </w:rPr>
              <w:t xml:space="preserve">Ответ руководства: </w:t>
            </w:r>
          </w:p>
          <w:p w14:paraId="310405D9" w14:textId="032C052F" w:rsidR="004321BD" w:rsidRPr="004321BD" w:rsidRDefault="2AEE73EA" w:rsidP="00526F28">
            <w:pPr>
              <w:keepNext/>
              <w:tabs>
                <w:tab w:val="left" w:pos="567"/>
              </w:tabs>
              <w:spacing w:after="120" w:line="280" w:lineRule="exact"/>
              <w:ind w:left="215"/>
              <w:jc w:val="both"/>
              <w:rPr>
                <w:rFonts w:ascii="Times New Roman" w:eastAsia="Calibri" w:hAnsi="Times New Roman" w:cs="Times New Roman"/>
              </w:rPr>
            </w:pPr>
            <w:r>
              <w:rPr>
                <w:rFonts w:ascii="Times New Roman" w:hAnsi="Times New Roman"/>
              </w:rPr>
              <w:t>Руководство согласно с рекомендацией и рассчитывает полностью выполнить ее к 31</w:t>
            </w:r>
            <w:r w:rsidR="00B76F00">
              <w:rPr>
                <w:rFonts w:ascii="Times New Roman" w:hAnsi="Times New Roman"/>
              </w:rPr>
              <w:t> </w:t>
            </w:r>
            <w:r>
              <w:rPr>
                <w:rFonts w:ascii="Times New Roman" w:hAnsi="Times New Roman"/>
              </w:rPr>
              <w:t>декабря 2026 года.</w:t>
            </w:r>
          </w:p>
        </w:tc>
      </w:tr>
    </w:tbl>
    <w:p w14:paraId="7EEC4E7F" w14:textId="085F795E" w:rsidR="0068650E" w:rsidRDefault="0068650E" w:rsidP="00FB6582">
      <w:pPr>
        <w:pStyle w:val="LFARPara"/>
        <w:numPr>
          <w:ilvl w:val="0"/>
          <w:numId w:val="0"/>
        </w:numPr>
        <w:spacing w:before="120"/>
        <w:ind w:left="786" w:hanging="360"/>
      </w:pPr>
    </w:p>
    <w:p w14:paraId="6152A55F" w14:textId="160100DD" w:rsidR="00225515" w:rsidRPr="00225515" w:rsidRDefault="00225515" w:rsidP="009957C8">
      <w:pPr>
        <w:pStyle w:val="Heading6"/>
        <w:spacing w:before="120" w:after="120" w:line="280" w:lineRule="exact"/>
        <w:ind w:left="350"/>
      </w:pPr>
      <w:bookmarkStart w:id="160" w:name="_Toc227254962"/>
      <w:bookmarkStart w:id="161" w:name="_Toc227255015"/>
      <w:bookmarkStart w:id="162" w:name="_Toc227826035"/>
      <w:bookmarkStart w:id="163" w:name="_Toc230784923"/>
      <w:r>
        <w:t>Информационные технологии для финансовой отчетности</w:t>
      </w:r>
      <w:bookmarkEnd w:id="160"/>
      <w:bookmarkEnd w:id="161"/>
      <w:bookmarkEnd w:id="162"/>
      <w:bookmarkEnd w:id="163"/>
    </w:p>
    <w:p w14:paraId="3A9F271F" w14:textId="1E5C2699" w:rsidR="00225515" w:rsidRPr="00225515" w:rsidRDefault="00225515" w:rsidP="009957C8">
      <w:pPr>
        <w:pStyle w:val="LFARPara"/>
        <w:spacing w:before="120"/>
        <w:ind w:left="850" w:hanging="493"/>
      </w:pPr>
      <w:r>
        <w:t>ВОИС постоянно развивает свою инфраструктуру информационных технологий как основу своей деятельности, включая финансовую отчетность. Соответствующие команды по информационным технологиям (ИТ) и финансам работали в тесном сотрудничестве с владельцами бизнес-процессов и заинтересованными сторонами проекта при планировании и реализации системных инициатив, включая внедрение СУАИ PeopleSoft и ее взаимосвязь с другими системами ВОИС, такими как система PCT. В соответствии с этими усилиями BPK выявил ценные возможности для укрепления текущей контрольной среды в сфере ИТ и расширения возможностей ВОИС в области информационных технологий. BPK высоко оценивает эффективность существующей практики закупок, но при этом выявляет области, требующие доработки, и предлагает рекомендации по улучшению текущих процессов.</w:t>
      </w:r>
    </w:p>
    <w:p w14:paraId="06ACA289" w14:textId="0AA6841D" w:rsidR="00225515" w:rsidRPr="003C7DFE" w:rsidRDefault="006125ED" w:rsidP="00BE31A8">
      <w:pPr>
        <w:pStyle w:val="Heading6"/>
        <w:spacing w:before="120" w:after="120" w:line="280" w:lineRule="exact"/>
        <w:ind w:left="378"/>
      </w:pPr>
      <w:bookmarkStart w:id="164" w:name="_Toc227163667"/>
      <w:bookmarkStart w:id="165" w:name="_Toc227254963"/>
      <w:bookmarkStart w:id="166" w:name="_Toc227255016"/>
      <w:bookmarkStart w:id="167" w:name="_Toc227826036"/>
      <w:bookmarkStart w:id="168" w:name="_Toc230784924"/>
      <w:r>
        <w:t>Улучшение процесса обмена данными для системы PCT и СУАИ</w:t>
      </w:r>
      <w:bookmarkEnd w:id="164"/>
      <w:bookmarkEnd w:id="165"/>
      <w:bookmarkEnd w:id="166"/>
      <w:bookmarkEnd w:id="167"/>
      <w:bookmarkEnd w:id="168"/>
    </w:p>
    <w:p w14:paraId="4F7D8F71" w14:textId="2ABE5866" w:rsidR="009B7273" w:rsidRDefault="004066B4" w:rsidP="009957C8">
      <w:pPr>
        <w:pStyle w:val="LFARPara"/>
        <w:spacing w:before="120"/>
        <w:ind w:left="850" w:hanging="493"/>
      </w:pPr>
      <w:r>
        <w:t xml:space="preserve">Финансовые ведомости ВОИС за год, закончившийся в 2025 году, показывают, что Организация получила пошлины системы PCT в размере 371,3 млн шв. франков. Процесс учета этих пошлин предусматривает отлаженную передачу данных из Отдела обслуживания PCT в Финансовый отдел через интерфейс обмена данными, что используется при подготовке финансовой отчетности. </w:t>
      </w:r>
    </w:p>
    <w:p w14:paraId="172C7E9D" w14:textId="26AEB4EB" w:rsidR="005359EE" w:rsidRDefault="009B7273" w:rsidP="009957C8">
      <w:pPr>
        <w:pStyle w:val="LFARPara"/>
        <w:spacing w:before="120"/>
        <w:ind w:left="850" w:hanging="493"/>
      </w:pPr>
      <w:r>
        <w:t xml:space="preserve">В сентябре 2025 года ВОИС внедрила новую систему интеграции между e-dossier и СУАИ на базе интеграционной платформы, предназначенной для синхронизации данных в обеих системах и автоматизации рабочих процессов признания операций в учете. До интеграции систем учет пошлин системы PCT в ВОИС в значительной степени велся вручную; основным ограничением была невозможность отслеживать конкретные заявки PCT, полученные от Получающего ведомства (RO). </w:t>
      </w:r>
    </w:p>
    <w:p w14:paraId="2A3D009C" w14:textId="1974F25F" w:rsidR="00695549" w:rsidRPr="00277396" w:rsidRDefault="004C01A2" w:rsidP="009957C8">
      <w:pPr>
        <w:pStyle w:val="LFARPara"/>
        <w:spacing w:before="120"/>
        <w:ind w:left="850" w:hanging="493"/>
      </w:pPr>
      <w:r>
        <w:t>Анализ журналов интерфейса обмена данными между системами PCT и СУАИ в 2025</w:t>
      </w:r>
      <w:r w:rsidR="00B76F00">
        <w:t> </w:t>
      </w:r>
      <w:r>
        <w:t xml:space="preserve">году показал, что в этом интерфейсе фиксировались ошибки при выставлении счетов, создании ваучеров и обработке возвратов средств. Эти ошибки указывали на </w:t>
      </w:r>
      <w:r>
        <w:lastRenderedPageBreak/>
        <w:t>несоответствие настроенных кодов, используемых в системах PCT и СУАИ, в нескольких областях, включая коды стран, коды валют и т. д.; впоследствии они были устранены или обработаны руководством. Что касается обработки возвратов, то ошибки указывали на задержку синхронизации данных между системой PCT и системой СУАИ, когда запросы на возврат направлялись до того, как распространялись соответствующие обновления остатка. Это было обусловлено различиями в сроках обработки, и в соответствующую внутреннюю техническую группу был направлен открытый запрос для решения этой проблемы.</w:t>
      </w:r>
    </w:p>
    <w:p w14:paraId="376B7D06" w14:textId="737885D4" w:rsidR="00277396" w:rsidRPr="001C3D70" w:rsidRDefault="00277396" w:rsidP="009957C8">
      <w:pPr>
        <w:pStyle w:val="LFARPara"/>
        <w:spacing w:before="120"/>
        <w:ind w:left="850" w:hanging="493"/>
        <w:rPr>
          <w:color w:val="0D0D0D" w:themeColor="text1" w:themeTint="F2"/>
        </w:rPr>
      </w:pPr>
      <w:r>
        <w:t>Руководство отметило, что наличие кодов ошибок свидетельствует о том, что система проверок и предотвращения дублирования функционирует так, как было предусмотрено.</w:t>
      </w:r>
      <w:r>
        <w:rPr>
          <w:color w:val="0D0D0D" w:themeColor="text1" w:themeTint="F2"/>
        </w:rPr>
        <w:t xml:space="preserve"> </w:t>
      </w:r>
      <w:r>
        <w:t>Ошибки не являются недостатками; они служат мерой контроля, позволяющей убедиться, что настройка новых элементов и сущностей в этом интерфейсе функционирует надлежащим образом, а в будущем возможны улучшения в мониторинге сообщений об ошибках.</w:t>
      </w:r>
      <w:r>
        <w:rPr>
          <w:color w:val="0D0D0D" w:themeColor="text1" w:themeTint="F2"/>
        </w:rPr>
        <w:t xml:space="preserve"> </w:t>
      </w:r>
    </w:p>
    <w:p w14:paraId="4B286892" w14:textId="3427C697" w:rsidR="00225515" w:rsidRPr="00225515" w:rsidRDefault="00225515" w:rsidP="009957C8">
      <w:pPr>
        <w:pStyle w:val="LFARPara"/>
        <w:spacing w:before="120"/>
        <w:ind w:left="850" w:hanging="493"/>
      </w:pPr>
      <w:r>
        <w:t>BPK признает, что коды ошибок необходимы для поддержания функциональности системы. Эту функцию можно улучшить путем внедрения структурированного механизма мониторинга и надзора, который позволит предоставлять обновленную информацию о мерах, принятых для устранения ошибки, и вывод о том, была ли ошибка устранена.</w:t>
      </w:r>
    </w:p>
    <w:tbl>
      <w:tblPr>
        <w:tblW w:w="8664" w:type="dxa"/>
        <w:tblInd w:w="421" w:type="dxa"/>
        <w:tblLook w:val="04A0" w:firstRow="1" w:lastRow="0" w:firstColumn="1" w:lastColumn="0" w:noHBand="0" w:noVBand="1"/>
      </w:tblPr>
      <w:tblGrid>
        <w:gridCol w:w="8664"/>
      </w:tblGrid>
      <w:tr w:rsidR="00225515" w:rsidRPr="00225515" w14:paraId="3604CAB8" w14:textId="77777777" w:rsidTr="002F07D8">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098AE" w14:textId="5F5D4616" w:rsidR="00225515" w:rsidRPr="00225515" w:rsidRDefault="00225515" w:rsidP="00225515">
            <w:pPr>
              <w:keepNext/>
              <w:widowControl w:val="0"/>
              <w:tabs>
                <w:tab w:val="left" w:pos="567"/>
              </w:tabs>
              <w:autoSpaceDE w:val="0"/>
              <w:autoSpaceDN w:val="0"/>
              <w:spacing w:before="120" w:after="120" w:line="280" w:lineRule="exact"/>
              <w:ind w:left="216"/>
              <w:jc w:val="both"/>
              <w:rPr>
                <w:rFonts w:ascii="Times New Roman" w:eastAsia="Calibri" w:hAnsi="Times New Roman" w:cs="Times New Roman"/>
                <w:b/>
                <w:bCs/>
              </w:rPr>
            </w:pPr>
            <w:r>
              <w:rPr>
                <w:rFonts w:ascii="Times New Roman" w:hAnsi="Times New Roman"/>
                <w:b/>
              </w:rPr>
              <w:t>Рекомендация 5</w:t>
            </w:r>
          </w:p>
          <w:p w14:paraId="112E3DC8" w14:textId="6C3F31D5" w:rsidR="00225515" w:rsidRPr="00225515" w:rsidRDefault="170948EA" w:rsidP="00614F4C">
            <w:pPr>
              <w:widowControl w:val="0"/>
              <w:autoSpaceDE w:val="0"/>
              <w:autoSpaceDN w:val="0"/>
              <w:spacing w:before="120" w:after="120" w:line="280" w:lineRule="exact"/>
              <w:ind w:left="216"/>
              <w:jc w:val="both"/>
              <w:rPr>
                <w:rFonts w:ascii="Times New Roman" w:eastAsia="Calibri" w:hAnsi="Times New Roman" w:cs="Times New Roman"/>
              </w:rPr>
            </w:pPr>
            <w:r>
              <w:rPr>
                <w:rFonts w:ascii="Times New Roman" w:hAnsi="Times New Roman"/>
              </w:rPr>
              <w:t>BPK рекомендует Организации устранить проблему конфигурации сроков обработки между системами PCT и СУАИ, обеспечив последующее рассмотрение ожидающего выполнения запроса на изменение, с должным учетом применимых бизнес-процессов.</w:t>
            </w:r>
          </w:p>
        </w:tc>
      </w:tr>
      <w:tr w:rsidR="00225515" w:rsidRPr="00225515" w14:paraId="77F7CCE7" w14:textId="77777777" w:rsidTr="002F07D8">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1BCFF" w14:textId="0B4E3A4C" w:rsidR="00225515" w:rsidRPr="00225515" w:rsidRDefault="00507A28" w:rsidP="66DE4C64">
            <w:pPr>
              <w:widowControl w:val="0"/>
              <w:autoSpaceDE w:val="0"/>
              <w:autoSpaceDN w:val="0"/>
              <w:spacing w:before="120" w:after="120" w:line="280" w:lineRule="exact"/>
              <w:ind w:left="216"/>
              <w:jc w:val="both"/>
              <w:rPr>
                <w:rFonts w:ascii="Times New Roman" w:eastAsia="Calibri" w:hAnsi="Times New Roman" w:cs="Times New Roman"/>
                <w:b/>
                <w:bCs/>
              </w:rPr>
            </w:pPr>
            <w:r>
              <w:rPr>
                <w:rFonts w:ascii="Times New Roman" w:hAnsi="Times New Roman"/>
                <w:b/>
              </w:rPr>
              <w:t xml:space="preserve">Ответ руководства: </w:t>
            </w:r>
          </w:p>
          <w:p w14:paraId="235E693B" w14:textId="570DF845" w:rsidR="00225515" w:rsidRPr="00225515" w:rsidRDefault="00F01B98" w:rsidP="00225515">
            <w:pPr>
              <w:keepNext/>
              <w:widowControl w:val="0"/>
              <w:tabs>
                <w:tab w:val="left" w:pos="567"/>
              </w:tabs>
              <w:autoSpaceDE w:val="0"/>
              <w:autoSpaceDN w:val="0"/>
              <w:spacing w:before="120" w:after="120" w:line="280" w:lineRule="exact"/>
              <w:ind w:left="216"/>
              <w:jc w:val="both"/>
              <w:rPr>
                <w:rFonts w:ascii="Times New Roman" w:eastAsia="Calibri" w:hAnsi="Times New Roman" w:cs="Times New Roman"/>
              </w:rPr>
            </w:pPr>
            <w:r>
              <w:rPr>
                <w:rFonts w:ascii="Times New Roman" w:hAnsi="Times New Roman"/>
              </w:rPr>
              <w:t>Руководство согласно с рекомендацией и рассчитывает полностью выполнить ее к 31</w:t>
            </w:r>
            <w:r w:rsidR="00B76F00">
              <w:rPr>
                <w:rFonts w:ascii="Times New Roman" w:hAnsi="Times New Roman"/>
              </w:rPr>
              <w:t> </w:t>
            </w:r>
            <w:r>
              <w:rPr>
                <w:rFonts w:ascii="Times New Roman" w:hAnsi="Times New Roman"/>
              </w:rPr>
              <w:t>декабря 2026 года.</w:t>
            </w:r>
          </w:p>
        </w:tc>
      </w:tr>
    </w:tbl>
    <w:p w14:paraId="015A293A" w14:textId="77777777" w:rsidR="004B109E" w:rsidRDefault="004B109E" w:rsidP="00061609">
      <w:pPr>
        <w:spacing w:before="120" w:after="120" w:line="280" w:lineRule="exact"/>
      </w:pPr>
    </w:p>
    <w:p w14:paraId="4FEE4A27" w14:textId="08787039" w:rsidR="5C976A70" w:rsidRDefault="00507A28" w:rsidP="00BE31A8">
      <w:pPr>
        <w:pStyle w:val="Heading4"/>
        <w:spacing w:before="120" w:after="120" w:line="280" w:lineRule="exact"/>
        <w:ind w:left="378" w:hanging="378"/>
      </w:pPr>
      <w:bookmarkStart w:id="169" w:name="_Toc227826037"/>
      <w:bookmarkStart w:id="170" w:name="_Toc230784925"/>
      <w:r>
        <w:t>Аудит эффективности</w:t>
      </w:r>
      <w:bookmarkEnd w:id="169"/>
      <w:bookmarkEnd w:id="170"/>
    </w:p>
    <w:p w14:paraId="7F4800C1" w14:textId="74426E1D" w:rsidR="5C976A70" w:rsidRPr="00EF3506" w:rsidRDefault="5C976A70" w:rsidP="00BE31A8">
      <w:pPr>
        <w:pStyle w:val="Heading5"/>
        <w:spacing w:before="120" w:after="120" w:line="280" w:lineRule="exact"/>
        <w:ind w:left="378"/>
      </w:pPr>
      <w:bookmarkStart w:id="171" w:name="_Toc227826038"/>
      <w:bookmarkStart w:id="172" w:name="_Toc230784926"/>
      <w:r>
        <w:t>Заключение по итогам аудита</w:t>
      </w:r>
      <w:bookmarkEnd w:id="171"/>
      <w:bookmarkEnd w:id="172"/>
    </w:p>
    <w:p w14:paraId="3269085A" w14:textId="16DEB12D" w:rsidR="2CA52919" w:rsidRPr="00EF3506" w:rsidRDefault="0059148A" w:rsidP="00061609">
      <w:pPr>
        <w:pStyle w:val="LFARPara"/>
        <w:spacing w:before="120"/>
        <w:ind w:left="850" w:hanging="493"/>
      </w:pPr>
      <w:r>
        <w:t>В ходе предыдущего аудита эффективности BPK рассмотрел направления работы</w:t>
      </w:r>
      <w:r w:rsidR="00B76F00">
        <w:t> </w:t>
      </w:r>
      <w:r>
        <w:t>1 и</w:t>
      </w:r>
      <w:r w:rsidR="00B76F00">
        <w:t> </w:t>
      </w:r>
      <w:r>
        <w:t>2 Среднесрочного стратегического плана ВОИС (СССП) на 2022–2026 годы. Чтобы обеспечить непрерывность надзора, в ходе аудита 2025 года BPK сосредоточился на направлении работы</w:t>
      </w:r>
      <w:r w:rsidR="005100F8">
        <w:t> </w:t>
      </w:r>
      <w:r>
        <w:t>3 СССП. Это направление предусматривает укрепление глобальных услуг ВОИС в области интеллектуальной собственности (ИС), чтобы они оставались эффективными, надежными и отвечали потребностям пользователей. Оно включает усовершенствование систем международной регистрации ВОИС, охватывающих товарные знаки, патенты и промышленные образцы, а также улучшение глобальных ресурсов данных об ИС, поддерживающих инновации и разработку политики на основе фактических данных. В соответствии с этим мандатом аудит был сосредоточен на результативности работы Мадридского реестра и глобальных баз данных.</w:t>
      </w:r>
    </w:p>
    <w:p w14:paraId="15BF2919" w14:textId="77777777" w:rsidR="00712B26" w:rsidRPr="00EF3506" w:rsidRDefault="00712B26" w:rsidP="00352816">
      <w:pPr>
        <w:pStyle w:val="LFARPara"/>
        <w:spacing w:before="120"/>
        <w:ind w:left="850" w:hanging="493"/>
      </w:pPr>
      <w:r>
        <w:t xml:space="preserve">ВОИС использует систему управления, ориентированного на конечный результат (УКР), для руководства предоставлением своих глобальных услуг в области ИС, </w:t>
      </w:r>
      <w:r>
        <w:lastRenderedPageBreak/>
        <w:t xml:space="preserve">включая услуги, администрирование которых осуществляется через Мадридский реестр и глобальные базы данных. В рамках этой системы Мадридский реестр управляет сквозным процессом международной регистрации товарных знаков, включающим получение и рассмотрение заявок, поданных ведомствами происхождения, регистрацию и публикацию международных регистраций, уведомление указанных Договаривающихся сторон, а также обработку последующих указаний, продлений, изменений и других действий, затрагивающих зарегистрированные знаки. </w:t>
      </w:r>
    </w:p>
    <w:p w14:paraId="45914A72" w14:textId="57624B5D" w:rsidR="00712B26" w:rsidRPr="00EF3506" w:rsidRDefault="00662CC7" w:rsidP="00352816">
      <w:pPr>
        <w:pStyle w:val="LFARPara"/>
        <w:spacing w:before="120"/>
        <w:ind w:left="850" w:hanging="493"/>
      </w:pPr>
      <w:r>
        <w:t>Глобальные базы данных, включающие PATENTSCOPE, Глобальную базу данных по брендам и Глобальную базу данных по промышленным образцам, представляют собой общедоступные хранилища, в которых собрана информация о патентах, товарных знаках и промышленных образцах из национальных и региональных ведомств ИС по всему миру. Эти базы данных поддерживают широкий спектр поисковых и аналитических функций, позволяя пользователям получать доступ к глобальной информации об ИС через множество полей поиска, включая ключевые слова, названия, номера, классификации, даты и сведения о приоритетах. В совокупности эти услуги являются основной составляющей мандата ВОИС в рамках направления работы 3, заключающегося в предоставлении высококачественных услуг, знаний и данных в области ИС пользователям по всему миру.</w:t>
      </w:r>
    </w:p>
    <w:p w14:paraId="0E59F7E0" w14:textId="519F1C88" w:rsidR="2CA52919" w:rsidRPr="00EF3506" w:rsidRDefault="2CA52919" w:rsidP="00352816">
      <w:pPr>
        <w:pStyle w:val="LFARPara"/>
        <w:spacing w:before="120"/>
        <w:ind w:left="850" w:hanging="493"/>
      </w:pPr>
      <w:r>
        <w:t>По итогам аудита сделан вывод о том, что в течение проверяемого периода ВОИС эффективно осуществляла управление Мадридской системой и глобальными базами данных, повышая качество и доступность своих услуг для заинтересованных сторон. Мадридская система обеспечивает централизованный механизм международной регистрации товарных знаков с широким глобальным охватом, улучшенной своевременностью обработки и повышением операционной эффективности благодаря автоматизации и цифровизации. Одновременно глобальные базы данных функционируют как всеобъемлющие многоюрисдикционные хранилища, которые повышают прозрачность, поддерживают принятие обоснованных решений и облегчают доступ к информации об интеллектуальной собственности по всему миру.</w:t>
      </w:r>
    </w:p>
    <w:p w14:paraId="1E28FD05" w14:textId="3F40D3FA" w:rsidR="1D20BE29" w:rsidRPr="00EF3506" w:rsidRDefault="2CA52919" w:rsidP="00352816">
      <w:pPr>
        <w:pStyle w:val="LFARPara"/>
        <w:spacing w:before="120"/>
        <w:ind w:left="850" w:hanging="493"/>
      </w:pPr>
      <w:r>
        <w:t>Тем не менее в ходе аудита были выявлены области, требующие улучшений для повышения долгосрочной эффективности и устойчивости глобальных услуг ВОИС в области ИС.</w:t>
      </w:r>
    </w:p>
    <w:p w14:paraId="7C1FBD01" w14:textId="2AA62159" w:rsidR="5F3E43ED" w:rsidRPr="00EF3506" w:rsidRDefault="5C976A70" w:rsidP="00BE31A8">
      <w:pPr>
        <w:pStyle w:val="Heading5"/>
        <w:spacing w:before="120" w:after="120" w:line="280" w:lineRule="exact"/>
        <w:ind w:left="392"/>
      </w:pPr>
      <w:bookmarkStart w:id="173" w:name="_Toc227826039"/>
      <w:bookmarkStart w:id="174" w:name="_Toc230784927"/>
      <w:r>
        <w:t>Выводы и рекомендации</w:t>
      </w:r>
      <w:bookmarkEnd w:id="173"/>
      <w:bookmarkEnd w:id="174"/>
    </w:p>
    <w:p w14:paraId="2BD3B5A8" w14:textId="20B940C7" w:rsidR="11E205B5" w:rsidRPr="009033FA" w:rsidRDefault="11E205B5" w:rsidP="002F07D8">
      <w:pPr>
        <w:pStyle w:val="Heading5"/>
        <w:spacing w:before="120" w:after="120" w:line="280" w:lineRule="exact"/>
        <w:ind w:left="392"/>
      </w:pPr>
      <w:bookmarkStart w:id="175" w:name="_Toc227826040"/>
      <w:bookmarkStart w:id="176" w:name="_Toc230784928"/>
      <w:r>
        <w:t>Мадридский реестр</w:t>
      </w:r>
      <w:bookmarkEnd w:id="175"/>
      <w:bookmarkEnd w:id="176"/>
    </w:p>
    <w:p w14:paraId="17EB0957" w14:textId="0CEC8E4B" w:rsidR="7A78B0F2" w:rsidRPr="00EF3506" w:rsidRDefault="7A78B0F2" w:rsidP="00352816">
      <w:pPr>
        <w:pStyle w:val="LFARPara"/>
        <w:spacing w:before="120"/>
        <w:ind w:left="850" w:hanging="493"/>
      </w:pPr>
      <w:r>
        <w:t>Мадридский реестр находится в ведении ВОИС и служит центральным органом, отвечающим за управление международными регистрациями товарных знаков в рамках Мадридской системы. Мадридский реестр рассматривает заявки, полученные от ведомств происхождения, регистрирует международные регистрации, публикует их в Бюллетене международных знаков ВОИС и уведомляет указанные Договаривающиеся стороны. Он также обрабатывает последующие указания, продления, ограничения, передачи и другие изменения, затрагивающие международные регистрации. Благодаря этому централизованному механизму владельцы товарных знаков могут добиваться охраны в нескольких юрисдикциях, подав одну международную заявку на одном языке и уплатив один комплект пошлин.</w:t>
      </w:r>
    </w:p>
    <w:p w14:paraId="287D3C70" w14:textId="00AC3D13" w:rsidR="7A78B0F2" w:rsidRPr="00EF3506" w:rsidRDefault="7A78B0F2" w:rsidP="00352816">
      <w:pPr>
        <w:pStyle w:val="LFARPara"/>
        <w:spacing w:before="120"/>
        <w:ind w:left="850" w:hanging="493"/>
      </w:pPr>
      <w:r>
        <w:t xml:space="preserve">Мадридская </w:t>
      </w:r>
      <w:r>
        <w:rPr>
          <w:rStyle w:val="LFARParaChar"/>
        </w:rPr>
        <w:t>система</w:t>
      </w:r>
      <w:r>
        <w:t xml:space="preserve"> регулируется двумя договорами: Мадридским соглашением о международной регистрации знаков (Мадридское соглашение) и Протоколом, </w:t>
      </w:r>
      <w:r>
        <w:lastRenderedPageBreak/>
        <w:t>относящимся к Мадридскому соглашению о международной регистрации знаков (Мадридский протокол). Мадридское соглашение, принятое в 1891 году, установило первоначальные рамки для международной регистрации знаков главным образом среди ограниченной группы стран. Мадридский протокол, принятый в 1989</w:t>
      </w:r>
      <w:r w:rsidR="00F63431">
        <w:t> </w:t>
      </w:r>
      <w:r>
        <w:t>году, ввел более гибкие положения</w:t>
      </w:r>
      <w:r w:rsidR="00F63431">
        <w:t> </w:t>
      </w:r>
      <w:r>
        <w:t>— такие как возможность основывать международную заявку на национальной заявке (а не только на регистрации), более длительные сроки отказа и возможность взимания индивидуальных пошлин, — что сделало систему более привлекательной для более широкого круга стран. Сегодня все участники являются сторонами Мадридского протокола, который стал единственным действующим договором в рамках системы.</w:t>
      </w:r>
    </w:p>
    <w:p w14:paraId="7DFA9954" w14:textId="49B52C68" w:rsidR="7A78B0F2" w:rsidRPr="00EF3506" w:rsidRDefault="7A78B0F2" w:rsidP="00352816">
      <w:pPr>
        <w:pStyle w:val="LFARPara"/>
        <w:spacing w:before="120"/>
        <w:ind w:left="850" w:hanging="493"/>
        <w:rPr>
          <w:rFonts w:eastAsiaTheme="minorEastAsia"/>
        </w:rPr>
      </w:pPr>
      <w:r>
        <w:t>Мадридский реестр работает на основе высокоцифрового рабочего процесса, поддерживаемого ИТ-платформами ВОИС, включая Madrid e-Filing, Madrid Monitor, Madrid Office Portal, eMadrid и Мадридскую информационную систему международных регистраций (MIRIS). Заявки, переданные в электронном виде национальными или региональными ведомствами ИС, рассматриваются Мадридским реестром. Если знак соответствует требованиям, он заносится в Международный реестр и публикуется, после чего указанные ведомства проводят экспертизу по существу в соответствии со своим внутренним законодательством. Система опирается на стандартизированный электронный обмен данными и централизованные базы данных для обеспечения эффективности, прозрачности и отслеживания статуса в режиме реального времени для заявителей и ведомств по всему миру.</w:t>
      </w:r>
    </w:p>
    <w:p w14:paraId="3693EB22" w14:textId="5B300A91" w:rsidR="47F2A432" w:rsidRPr="00EF3506" w:rsidRDefault="7A78B0F2" w:rsidP="00352816">
      <w:pPr>
        <w:pStyle w:val="LFARPara"/>
        <w:spacing w:before="120"/>
        <w:ind w:left="850" w:hanging="493"/>
      </w:pPr>
      <w:r>
        <w:t>На протяжении многих лет Мадридская система продолжает приносить значительную пользу как пользователям, так и национальным ведомствам ИС. Она предлагает централизованный, экономически эффективный и упрощенный процесс международной охраны товарных знаков. Эти сильные стороны формируют прочный фундамент, на котором можно строить дальнейшие улучшения, особенно по мере того, как спрос на международную охрану товарных знаков продолжает расти. Однако на основе анализа плановых документов и интервью с руководством ВОИС в ходе аудита были выявлены следующие возможности для улучшения в области ИТ, показателей эффективности и публикаций в Мадридской системе.</w:t>
      </w:r>
    </w:p>
    <w:p w14:paraId="49669E22" w14:textId="06349C27" w:rsidR="35F7566F" w:rsidRPr="00067242" w:rsidRDefault="00507A28" w:rsidP="00BE31A8">
      <w:pPr>
        <w:pStyle w:val="Heading6"/>
        <w:spacing w:before="120" w:after="120" w:line="280" w:lineRule="exact"/>
        <w:ind w:left="378"/>
      </w:pPr>
      <w:bookmarkStart w:id="177" w:name="_Toc227826041"/>
      <w:bookmarkStart w:id="178" w:name="_Toc230784929"/>
      <w:r>
        <w:t>Обеспечение интеграции между системой Мадридского реестра и системой Финансового отдела</w:t>
      </w:r>
      <w:bookmarkEnd w:id="177"/>
      <w:bookmarkEnd w:id="178"/>
    </w:p>
    <w:p w14:paraId="3254DC4A" w14:textId="71E51AE0" w:rsidR="60F71FD8" w:rsidRPr="00EF3506" w:rsidRDefault="3DB24394" w:rsidP="00352816">
      <w:pPr>
        <w:pStyle w:val="LFARPara"/>
        <w:spacing w:before="120"/>
        <w:ind w:left="850" w:hanging="493"/>
      </w:pPr>
      <w:r>
        <w:t>MIRIS, развернутая в 2016 году,</w:t>
      </w:r>
      <w:r w:rsidR="00F63431">
        <w:t> </w:t>
      </w:r>
      <w:r>
        <w:t xml:space="preserve">— это приложение, используемое в Мадридском реестре для поддержки процесса подачи и регистрации международных заявок на товарные знаки. MIRIS обрабатывает данные заявок и служит основой для рабочих процессов экспертизы, уведомления о несоответствиях и публикации в Мадридской системе. </w:t>
      </w:r>
    </w:p>
    <w:p w14:paraId="54BBE8CF" w14:textId="585CDC7B" w:rsidR="60F71FD8" w:rsidRPr="00EF3506" w:rsidRDefault="3DB24394" w:rsidP="00352816">
      <w:pPr>
        <w:pStyle w:val="LFARPara"/>
        <w:spacing w:before="120"/>
        <w:ind w:left="850" w:hanging="493"/>
      </w:pPr>
      <w:r>
        <w:t>Параллельно с этим финансовые операции ВОИС осуществляются через систему планирования общеорганизационных ресурсов (ПОР), а именно СУАИ, запущенную в 2011 году. СУАИ поддерживает функции ВОИС по управлению финансами</w:t>
      </w:r>
      <w:r w:rsidR="00F63431">
        <w:t> </w:t>
      </w:r>
      <w:r>
        <w:t xml:space="preserve">— от сбора пошлин и обработки платежей (включая текущие счета, кредитные карты и банковские переводы) до бухгалтерского учета. </w:t>
      </w:r>
    </w:p>
    <w:p w14:paraId="5995CF4F" w14:textId="3EB5D4E1" w:rsidR="60F71FD8" w:rsidRPr="00EF3506" w:rsidRDefault="3DB24394" w:rsidP="00352816">
      <w:pPr>
        <w:pStyle w:val="LFARPara"/>
        <w:spacing w:before="120"/>
        <w:ind w:left="850" w:hanging="493"/>
      </w:pPr>
      <w:r>
        <w:t xml:space="preserve">MIRIS и СУАИ выполняют разные основные функции. MIRIS в основном ориентирована на оперативное управление в Мадридской системе, тогда как СУАИ в большей степени ориентирована на финансовые и бухгалтерские аспекты в поддержку Финансового отдела. На практике обе системы оперативно взаимосвязаны, поскольку большинство операций по международным заявкам и регистрациям товарных знаков в </w:t>
      </w:r>
      <w:r>
        <w:lastRenderedPageBreak/>
        <w:t xml:space="preserve">MIRIS связано с пошлинами (например, подача или продление заявки), а СУАИ отражает финансовые аспекты этих операций (например, доходы, платежи и возвраты). </w:t>
      </w:r>
    </w:p>
    <w:p w14:paraId="5DB5EE44" w14:textId="1E643247" w:rsidR="46C16E5E" w:rsidRPr="00EF3506" w:rsidRDefault="3DB24394" w:rsidP="00352816">
      <w:pPr>
        <w:pStyle w:val="LFARPara"/>
        <w:spacing w:before="120"/>
        <w:ind w:left="850" w:hanging="493"/>
        <w:rPr>
          <w:rFonts w:eastAsiaTheme="minorEastAsia"/>
        </w:rPr>
      </w:pPr>
      <w:r>
        <w:t xml:space="preserve">Кроме того, эти две системы должны быть связаны, например, в отношении процесса признания заявок оставленными в Мадридском реестре и возврата платежей в Финансовом отделе. Международная заявка или запрос, поданные в рамках Мадридской системы, будут считаться оставленными, если несоответствия, о которых уведомило Международное бюро, не будут устранены в установленный срок или если не будут уплачены необходимые пошлины. Когда заявка признается оставленной, уплаченные заявителем пошлины возвращаются за вычетом определенной суммы. </w:t>
      </w:r>
    </w:p>
    <w:p w14:paraId="1290FF5C" w14:textId="44155862" w:rsidR="60F71FD8" w:rsidRPr="00EF3506" w:rsidRDefault="00507A28" w:rsidP="00352816">
      <w:pPr>
        <w:pStyle w:val="LFARPara"/>
        <w:spacing w:before="120"/>
        <w:ind w:left="850" w:hanging="493"/>
        <w:rPr>
          <w:rFonts w:eastAsiaTheme="minorEastAsia"/>
        </w:rPr>
      </w:pPr>
      <w:r>
        <w:t>В ходе аудита было установлено, что не по всем заявкам или запросам, признанным оставленными, производился возврат средств. Возврат средств не производится по заявкам или запросам, по которым пошлины не уплачивались, а также по тем запросам, по которым пошлины не подлежат уплате. Между MIRIS и СУАИ не было прямого механизма для отслеживания заявок и запросов, признанных оставленными в Мадридской системе, и выплаты соответствующих возвратов в финансовой системе. Организация осуществляла ежемесячную асинхронную сверку между двумя системами с использованием механизма обмена файлами. Такой ручной и непрямой механизм обмена данными увеличивал риск возникновения расхождений и задержек при выявлении несопоставленных операций между заявками, признанными оставленными, и соответствующими возвратами.</w:t>
      </w:r>
    </w:p>
    <w:p w14:paraId="7D2FCB64" w14:textId="5D12E83D" w:rsidR="60F71FD8" w:rsidRPr="00EF3506" w:rsidRDefault="3DB24394" w:rsidP="00352816">
      <w:pPr>
        <w:pStyle w:val="LFARPara"/>
        <w:spacing w:before="120"/>
        <w:ind w:left="850" w:hanging="493"/>
        <w:rPr>
          <w:rFonts w:eastAsiaTheme="minorEastAsia"/>
        </w:rPr>
      </w:pPr>
      <w:r>
        <w:t xml:space="preserve">Обе системы использовали унаследованную систему. С конца 2025 года Мадридский реестр и Финансовый отдел параллельно занимаются модернизацией систем, причем на текущем этапе основное внимание уделяется разработке системы бэк-офиса. Были предприняты некоторые шаги и проведены обсуждения, направленные на улучшение согласованности между этими двумя системами, однако они все еще находились на ранних стадиях. </w:t>
      </w:r>
    </w:p>
    <w:p w14:paraId="09E3619F" w14:textId="3CE3A8B4" w:rsidR="60F71FD8" w:rsidRPr="00EF3506" w:rsidRDefault="3DB24394" w:rsidP="00352816">
      <w:pPr>
        <w:pStyle w:val="LFARPara"/>
        <w:spacing w:before="120"/>
        <w:ind w:left="850" w:hanging="493"/>
      </w:pPr>
      <w:r>
        <w:t>Существует необходимость в интегрированных и взаимосвязанных системах в Мадридском реестре и Финансовом отделе. Система Мадридского реестра должна обеспечивать отслеживание всего хода процесса подачи международной заявки на регистрацию товарного знака, включая финансовые аспекты на всех этапах (например, доходы от первоначальных заявок и продлений, расчет пошлин при уведомлении о несоответствиях и возвраты в случае признания заявок оставленными), тогда как СУАИ должна осуществлять мониторинг процессов Мадридского реестра, влияющих на управление финансами.</w:t>
      </w:r>
    </w:p>
    <w:p w14:paraId="06F2A002" w14:textId="01EC7502" w:rsidR="35F7566F" w:rsidRPr="00EF3506" w:rsidRDefault="3DB24394" w:rsidP="00352816">
      <w:pPr>
        <w:pStyle w:val="LFARPara"/>
        <w:spacing w:before="120"/>
        <w:ind w:left="850" w:hanging="493"/>
      </w:pPr>
      <w:r>
        <w:t>Учитывая масштабы проекта, необходимо обеспечить успешную интеграцию обеих систем. Без скоординированного и совместного подхода существующие пробелы в отслеживании, мониторинге и сверке могут сохраниться даже после запуска новых систем.</w:t>
      </w:r>
    </w:p>
    <w:tbl>
      <w:tblPr>
        <w:tblStyle w:val="TableGrid"/>
        <w:tblW w:w="8664" w:type="dxa"/>
        <w:tblInd w:w="421" w:type="dxa"/>
        <w:tblLook w:val="04A0" w:firstRow="1" w:lastRow="0" w:firstColumn="1" w:lastColumn="0" w:noHBand="0" w:noVBand="1"/>
      </w:tblPr>
      <w:tblGrid>
        <w:gridCol w:w="8664"/>
      </w:tblGrid>
      <w:tr w:rsidR="1EE163BA" w:rsidRPr="00EF3506" w14:paraId="1EFD1296" w14:textId="77777777" w:rsidTr="60334402">
        <w:trPr>
          <w:trHeight w:val="300"/>
        </w:trPr>
        <w:tc>
          <w:tcPr>
            <w:tcW w:w="8664" w:type="dxa"/>
            <w:shd w:val="clear" w:color="auto" w:fill="BDD6EE" w:themeFill="accent1" w:themeFillTint="66"/>
          </w:tcPr>
          <w:p w14:paraId="0842A03D" w14:textId="56A2B05E" w:rsidR="1EE163BA" w:rsidRPr="00EF3506" w:rsidRDefault="00507A28" w:rsidP="000079BF">
            <w:pPr>
              <w:keepNext/>
              <w:tabs>
                <w:tab w:val="left" w:pos="567"/>
              </w:tabs>
              <w:spacing w:before="120" w:after="120" w:line="280" w:lineRule="exact"/>
              <w:jc w:val="both"/>
              <w:rPr>
                <w:rFonts w:ascii="Times New Roman" w:eastAsia="Calibri" w:hAnsi="Times New Roman" w:cs="Times New Roman"/>
                <w:b/>
                <w:bCs/>
              </w:rPr>
            </w:pPr>
            <w:r>
              <w:rPr>
                <w:rFonts w:ascii="Times New Roman" w:hAnsi="Times New Roman"/>
                <w:b/>
              </w:rPr>
              <w:lastRenderedPageBreak/>
              <w:t>Рекомендация 6</w:t>
            </w:r>
          </w:p>
          <w:p w14:paraId="28E1C56C" w14:textId="68FCB0C6" w:rsidR="1EE163BA" w:rsidRPr="00EF3506" w:rsidRDefault="4675B5A2" w:rsidP="000079BF">
            <w:pPr>
              <w:spacing w:before="120" w:after="120" w:line="280" w:lineRule="exact"/>
              <w:jc w:val="both"/>
              <w:rPr>
                <w:rFonts w:ascii="Times New Roman" w:eastAsia="Times New Roman" w:hAnsi="Times New Roman" w:cs="Times New Roman"/>
              </w:rPr>
            </w:pPr>
            <w:r>
              <w:rPr>
                <w:rFonts w:ascii="Times New Roman" w:hAnsi="Times New Roman"/>
              </w:rPr>
              <w:t>BPK рекомендует Организации разработать комплексную стратегию или дорожную карту, чтобы обеспечить оптимизацию процессов, наличие надежных механизмов контроля и бесшовную интеграцию систем Мадридского реестра и Финансового отдела.</w:t>
            </w:r>
          </w:p>
        </w:tc>
      </w:tr>
      <w:tr w:rsidR="1EE163BA" w:rsidRPr="00EF3506" w14:paraId="7769DF7D" w14:textId="77777777" w:rsidTr="60334402">
        <w:trPr>
          <w:trHeight w:val="60"/>
        </w:trPr>
        <w:tc>
          <w:tcPr>
            <w:tcW w:w="8664" w:type="dxa"/>
            <w:shd w:val="clear" w:color="auto" w:fill="DEEAF6" w:themeFill="accent1" w:themeFillTint="33"/>
          </w:tcPr>
          <w:p w14:paraId="49132C2E" w14:textId="161883D2" w:rsidR="1EE163BA" w:rsidRPr="00EF3506" w:rsidRDefault="00507A28" w:rsidP="000079BF">
            <w:pPr>
              <w:keepNext/>
              <w:spacing w:before="120" w:after="120" w:line="280" w:lineRule="exact"/>
              <w:jc w:val="both"/>
              <w:rPr>
                <w:rFonts w:ascii="Times New Roman" w:eastAsia="Times New Roman" w:hAnsi="Times New Roman" w:cs="Times New Roman"/>
                <w:b/>
                <w:bCs/>
              </w:rPr>
            </w:pPr>
            <w:r>
              <w:rPr>
                <w:rFonts w:ascii="Times New Roman" w:hAnsi="Times New Roman"/>
                <w:b/>
              </w:rPr>
              <w:t>Ответ руководства:</w:t>
            </w:r>
          </w:p>
          <w:p w14:paraId="0F083D36" w14:textId="714BD319" w:rsidR="1EE163BA" w:rsidRPr="00EF3506" w:rsidRDefault="00FA1CF1" w:rsidP="000079BF">
            <w:pPr>
              <w:keepNext/>
              <w:spacing w:before="120" w:after="120" w:line="280" w:lineRule="exact"/>
              <w:jc w:val="both"/>
            </w:pPr>
            <w:r>
              <w:rPr>
                <w:rFonts w:ascii="Times New Roman" w:hAnsi="Times New Roman"/>
              </w:rPr>
              <w:t>Руководство согласно с этой рекомендацией.</w:t>
            </w:r>
          </w:p>
          <w:p w14:paraId="4A1E9AD3" w14:textId="28B82B86" w:rsidR="1EE163BA" w:rsidRPr="00EF3506" w:rsidRDefault="5BD0D0F8" w:rsidP="60334402">
            <w:pPr>
              <w:keepNext/>
              <w:tabs>
                <w:tab w:val="left" w:pos="567"/>
              </w:tabs>
              <w:spacing w:before="120" w:after="120" w:line="280" w:lineRule="exact"/>
              <w:jc w:val="both"/>
            </w:pPr>
            <w:r>
              <w:rPr>
                <w:rFonts w:ascii="Times New Roman" w:hAnsi="Times New Roman"/>
              </w:rPr>
              <w:t>Соответствующие подразделения финансового направления и Мадридской системы провели несколько встреч и обсуждений, касающихся практических последствий согласования двух новых систем.</w:t>
            </w:r>
          </w:p>
          <w:p w14:paraId="2D29A2AF" w14:textId="75F66A48" w:rsidR="1EE163BA" w:rsidRPr="00EF3506" w:rsidRDefault="5BD0D0F8" w:rsidP="60334402">
            <w:pPr>
              <w:keepNext/>
              <w:tabs>
                <w:tab w:val="left" w:pos="567"/>
              </w:tabs>
              <w:spacing w:before="120" w:after="120" w:line="280" w:lineRule="exact"/>
              <w:jc w:val="both"/>
            </w:pPr>
            <w:r>
              <w:rPr>
                <w:rFonts w:ascii="Times New Roman" w:hAnsi="Times New Roman"/>
              </w:rPr>
              <w:t>Преобразования обеих систем имеют значительный масштаб, и согласование этих проектов ГПКР для решения задач, связанных с процессами, контролем и интеграционными возможностями обеих систем, является важнейшим приоритетом руководства.</w:t>
            </w:r>
          </w:p>
          <w:p w14:paraId="5D9A75F1" w14:textId="09584000" w:rsidR="1EE163BA" w:rsidRPr="00EF3506" w:rsidRDefault="5BD0D0F8" w:rsidP="60334402">
            <w:pPr>
              <w:keepNext/>
              <w:tabs>
                <w:tab w:val="left" w:pos="567"/>
              </w:tabs>
              <w:spacing w:before="120" w:after="120" w:line="280" w:lineRule="exact"/>
              <w:jc w:val="both"/>
            </w:pPr>
            <w:r>
              <w:rPr>
                <w:rFonts w:ascii="Times New Roman" w:hAnsi="Times New Roman"/>
              </w:rPr>
              <w:t>Для решения этих задач будет разработана стратегия.</w:t>
            </w:r>
          </w:p>
          <w:p w14:paraId="70C82AD6" w14:textId="3BA1A35F" w:rsidR="1EE163BA" w:rsidRPr="003949E0" w:rsidRDefault="5BD0D0F8" w:rsidP="000079BF">
            <w:pPr>
              <w:keepNext/>
              <w:tabs>
                <w:tab w:val="left" w:pos="567"/>
              </w:tabs>
              <w:spacing w:before="120" w:after="120" w:line="280" w:lineRule="exact"/>
              <w:jc w:val="both"/>
            </w:pPr>
            <w:r>
              <w:rPr>
                <w:rFonts w:ascii="Times New Roman" w:hAnsi="Times New Roman"/>
              </w:rPr>
              <w:t>Руководство предполагает полностью выполнить эту рекомендацию к 30 сентября 2026</w:t>
            </w:r>
            <w:r w:rsidR="00797B67">
              <w:rPr>
                <w:rFonts w:ascii="Times New Roman" w:hAnsi="Times New Roman"/>
              </w:rPr>
              <w:t> </w:t>
            </w:r>
            <w:r>
              <w:rPr>
                <w:rFonts w:ascii="Times New Roman" w:hAnsi="Times New Roman"/>
              </w:rPr>
              <w:t>года.</w:t>
            </w:r>
          </w:p>
        </w:tc>
      </w:tr>
    </w:tbl>
    <w:p w14:paraId="5387DB79" w14:textId="0325C2F3" w:rsidR="6679F302" w:rsidRPr="00EF3506" w:rsidRDefault="6679F302" w:rsidP="56FBB274">
      <w:pPr>
        <w:ind w:left="851"/>
        <w:rPr>
          <w:rFonts w:ascii="Times New Roman" w:eastAsia="Times New Roman" w:hAnsi="Times New Roman" w:cs="Times New Roman"/>
          <w:smallCaps/>
          <w:sz w:val="24"/>
          <w:szCs w:val="24"/>
        </w:rPr>
      </w:pPr>
    </w:p>
    <w:p w14:paraId="7909F6A7" w14:textId="640835CA" w:rsidR="316211C0" w:rsidRPr="00067242" w:rsidRDefault="316211C0" w:rsidP="00352816">
      <w:pPr>
        <w:pStyle w:val="Heading6"/>
        <w:spacing w:before="120" w:after="120" w:line="280" w:lineRule="exact"/>
        <w:ind w:left="378"/>
      </w:pPr>
      <w:bookmarkStart w:id="179" w:name="_Toc227826042"/>
      <w:bookmarkStart w:id="180" w:name="_Toc230784930"/>
      <w:r>
        <w:t>Повышение КПР Мадридского реестра</w:t>
      </w:r>
      <w:bookmarkEnd w:id="179"/>
      <w:bookmarkEnd w:id="180"/>
    </w:p>
    <w:p w14:paraId="25BFCAF6" w14:textId="58653F00" w:rsidR="316211C0" w:rsidRPr="00EF3506" w:rsidRDefault="316211C0" w:rsidP="00352816">
      <w:pPr>
        <w:pStyle w:val="LFARPara"/>
        <w:spacing w:before="120"/>
        <w:ind w:left="850" w:hanging="493"/>
        <w:rPr>
          <w:rStyle w:val="LFARParaChar"/>
        </w:rPr>
      </w:pPr>
      <w:r>
        <w:t xml:space="preserve">В документах Программы работы и бюджета на 2024–2025 годы </w:t>
      </w:r>
      <w:r>
        <w:rPr>
          <w:rStyle w:val="LFARParaChar"/>
        </w:rPr>
        <w:t>базовый показатель общего числа членов составляет 114, а целевой показатель</w:t>
      </w:r>
      <w:r w:rsidR="00A071FC">
        <w:rPr>
          <w:rStyle w:val="LFARParaChar"/>
        </w:rPr>
        <w:t> </w:t>
      </w:r>
      <w:r>
        <w:rPr>
          <w:rStyle w:val="LFARParaChar"/>
        </w:rPr>
        <w:t>— шесть новых государств-членов. Согласно документу «Статус членства в Мадридской системе» по состоянию на 5 декабря 2025 года единственным новым членом в двухлетнем периоде 2024–2025</w:t>
      </w:r>
      <w:r w:rsidR="00B01062">
        <w:rPr>
          <w:rStyle w:val="LFARParaChar"/>
        </w:rPr>
        <w:t> </w:t>
      </w:r>
      <w:r>
        <w:rPr>
          <w:rStyle w:val="LFARParaChar"/>
        </w:rPr>
        <w:t>годов является Катар, присоединившийся к Мадридской системе 3 августа 2024</w:t>
      </w:r>
      <w:r w:rsidR="00B01062">
        <w:rPr>
          <w:rStyle w:val="LFARParaChar"/>
        </w:rPr>
        <w:t> </w:t>
      </w:r>
      <w:r>
        <w:rPr>
          <w:rStyle w:val="LFARParaChar"/>
        </w:rPr>
        <w:t>года. Хотя Гренада сдала на хранение документ о присоединении 15 декабря 2025 года, Протокол вступит в силу для Гренады 15 марта 2026 года.</w:t>
      </w:r>
    </w:p>
    <w:p w14:paraId="3553A2F4" w14:textId="1C8DF7FB" w:rsidR="316211C0" w:rsidRPr="00EF3506" w:rsidRDefault="007429E5" w:rsidP="009E0FEF">
      <w:pPr>
        <w:pStyle w:val="ListParagraph"/>
        <w:numPr>
          <w:ilvl w:val="0"/>
          <w:numId w:val="25"/>
        </w:numPr>
        <w:spacing w:before="120" w:after="120" w:line="280" w:lineRule="exact"/>
        <w:ind w:hanging="450"/>
        <w:contextualSpacing w:val="0"/>
        <w:jc w:val="both"/>
        <w:rPr>
          <w:rFonts w:ascii="Times New Roman" w:eastAsia="Times New Roman" w:hAnsi="Times New Roman" w:cs="Times New Roman"/>
          <w:b/>
          <w:bCs/>
          <w:i/>
          <w:iCs/>
        </w:rPr>
      </w:pPr>
      <w:r>
        <w:rPr>
          <w:rFonts w:ascii="Times New Roman" w:hAnsi="Times New Roman"/>
          <w:b/>
          <w:i/>
        </w:rPr>
        <w:t>Добавление регионов в показатель эффективности членства в Мадридской системе</w:t>
      </w:r>
    </w:p>
    <w:p w14:paraId="097DD708" w14:textId="464A176D" w:rsidR="316211C0" w:rsidRPr="00EF3506" w:rsidRDefault="316211C0" w:rsidP="00352816">
      <w:pPr>
        <w:pStyle w:val="LFARPara"/>
        <w:spacing w:before="120"/>
        <w:ind w:left="850" w:hanging="493"/>
        <w:rPr>
          <w:rFonts w:eastAsiaTheme="minorEastAsia"/>
        </w:rPr>
      </w:pPr>
      <w:r>
        <w:t>В настоящее время Мадридская система охватывает 132</w:t>
      </w:r>
      <w:r w:rsidR="00797B67">
        <w:t> </w:t>
      </w:r>
      <w:r>
        <w:t xml:space="preserve">страны, или 72,9% членов Парижской конвенции (181 страна). Таким образом, 49 членов Парижской конвенции еще не охвачены Мадридской системой. Согласно данным </w:t>
      </w:r>
      <w:r>
        <w:rPr>
          <w:rStyle w:val="LFARParaChar"/>
        </w:rPr>
        <w:t>Мадридского</w:t>
      </w:r>
      <w:r>
        <w:t xml:space="preserve"> реестра общее число прямых подач заявок на регистрацию товарных знаков за рубежом в 2024</w:t>
      </w:r>
      <w:r w:rsidR="00797B67">
        <w:t> </w:t>
      </w:r>
      <w:r>
        <w:t>году по 49 государствам, не входящим в Мадридскую систему, составило 51</w:t>
      </w:r>
      <w:r w:rsidR="00B01062">
        <w:t> </w:t>
      </w:r>
      <w:r>
        <w:t>285. На 10 стран с наибольшим числом подач приходится 36</w:t>
      </w:r>
      <w:r w:rsidR="00A071FC">
        <w:t> </w:t>
      </w:r>
      <w:r>
        <w:t>504 заявки на товарные знаки, что составляет 71,2% всех заявок на товарные знаки, поданных государствами, не входящими в Мадридскую систему, в 2024 году.</w:t>
      </w:r>
    </w:p>
    <w:p w14:paraId="16522818" w14:textId="5E9E82C4" w:rsidR="316211C0" w:rsidRPr="00EF3506" w:rsidRDefault="316211C0" w:rsidP="00352816">
      <w:pPr>
        <w:pStyle w:val="LFARPara"/>
        <w:spacing w:before="120"/>
        <w:ind w:left="850" w:hanging="493"/>
        <w:rPr>
          <w:rFonts w:eastAsiaTheme="minorEastAsia"/>
        </w:rPr>
      </w:pPr>
      <w:r>
        <w:t xml:space="preserve">Тем не менее КПР по общему числу участников Мадридской системы не был разбит по регионам. В нем указана ожидаемая цель по количеству новых членов независимо от региона. Интервью с координаторами показали, что, когда акцент на присоединении делается исключительно на количестве, достичь цели проще путем привлечения малых стран в качестве новых участников Мадридской системы. Хотя Мадридский реестр признал важность числа новых участников, он также отметил, что учет региональных факторов усилит стратегическую направленность присоединения. Учитывая значительное количество подач заявок на товарные знаки в этих странах, их присоединение окажет положительное влияние и побудит соседние страны </w:t>
      </w:r>
      <w:r>
        <w:lastRenderedPageBreak/>
        <w:t>присоединиться к Мадридской системе. Мы считаем, что Мадридский реестр может детализировать свой показатель эффективности, включив целевые регионы в отчет о присоединении новых членов к Мадридской системе.</w:t>
      </w:r>
    </w:p>
    <w:p w14:paraId="6DE5B876" w14:textId="7EEFACC6" w:rsidR="316211C0" w:rsidRPr="00EF3506" w:rsidRDefault="007429E5" w:rsidP="00662CC7">
      <w:pPr>
        <w:pStyle w:val="ListParagraph"/>
        <w:numPr>
          <w:ilvl w:val="0"/>
          <w:numId w:val="25"/>
        </w:numPr>
        <w:spacing w:before="120" w:after="120" w:line="280" w:lineRule="exact"/>
        <w:ind w:hanging="450"/>
        <w:contextualSpacing w:val="0"/>
        <w:jc w:val="both"/>
        <w:rPr>
          <w:rFonts w:ascii="Times New Roman" w:eastAsia="Times New Roman" w:hAnsi="Times New Roman" w:cs="Times New Roman"/>
          <w:b/>
          <w:bCs/>
          <w:i/>
          <w:iCs/>
        </w:rPr>
      </w:pPr>
      <w:r>
        <w:rPr>
          <w:rFonts w:ascii="Times New Roman" w:hAnsi="Times New Roman"/>
          <w:b/>
          <w:i/>
        </w:rPr>
        <w:t>Добавление показателя внедрения Сервиса электронной подачи заявок в рамках Мадридской системы в качестве нового показателя эффективности</w:t>
      </w:r>
    </w:p>
    <w:p w14:paraId="5C666B0A" w14:textId="49F0B275" w:rsidR="316211C0" w:rsidRPr="00EF3506" w:rsidRDefault="316211C0" w:rsidP="00352816">
      <w:pPr>
        <w:pStyle w:val="LFARPara"/>
        <w:spacing w:before="120"/>
        <w:ind w:left="850" w:hanging="493"/>
        <w:rPr>
          <w:rFonts w:eastAsiaTheme="minorEastAsia"/>
        </w:rPr>
      </w:pPr>
      <w:r>
        <w:t>ВОИС также разработала Сервис электронной подачи заявок в рамках Мадридской системы (Madrid e-Filing) как онлайн-инструмент, поддерживающий подачу международных заявок на товарные знаки через национальные или региональные ведомства интеллектуальной собственности (ИС) (ведомства происхождения). Этот инструмент позволяет заявителям подавать новые международные заявки на товарные знаки в ведомство происхождения и дает ведомству возможность рассматривать и обрабатывать их перед передачей в ВОИС. Проект Madrid e-Filing был начат в 2014</w:t>
      </w:r>
      <w:r w:rsidR="00A071FC">
        <w:t> </w:t>
      </w:r>
      <w:r>
        <w:t>году, и первым ведомством, внедрившим его, стало Ведомство интеллектуальной собственности Бенилюкса. По состоянию на 31 декабря 2025 года 39</w:t>
      </w:r>
      <w:r w:rsidR="00A071FC">
        <w:t> </w:t>
      </w:r>
      <w:r>
        <w:t xml:space="preserve">ведомств ИС внедрили Madrid e-Filing для своих пользователей. </w:t>
      </w:r>
    </w:p>
    <w:p w14:paraId="5633D974" w14:textId="77E90DF7" w:rsidR="316211C0" w:rsidRPr="00EF3506" w:rsidRDefault="316211C0" w:rsidP="00352816">
      <w:pPr>
        <w:pStyle w:val="LFARPara"/>
        <w:spacing w:before="120"/>
        <w:ind w:left="850" w:hanging="493"/>
        <w:rPr>
          <w:rFonts w:eastAsiaTheme="minorEastAsia"/>
        </w:rPr>
      </w:pPr>
      <w:r>
        <w:t>Такой уровень внедрения дает ВОИС возможность взаимодействовать с ведомствами ИС, чтобы побудить их внедрить Madrid e-Filing. Обсуждения с координаторами показали, что внедрение Madrid e-Filing большим числом ведомств ИС обеспечит существенные преимущества на последующих этапах, поскольку Международное бюро будет получать значительно более структурированные и последовательные потоки данных с самого начала процесса (подачи международной заявки). Такие структурированные данные жизненно важны для достижения операционной эффективности и повышения качества обслуживания пользователей. Мы считаем, что Организация могла бы извлечь пользу, добавив в качестве нового показателя эффективности общее число ведомств ИС, внедривших Madrid e-Filing. Кроме того, Мадридский реестр мог бы рассмотреть возможность проведения структурированного опроса среди национальных ведомств ИС как основных пользователей Madrid e-Filing для получения обратной связи. Такой опрос позволил бы получить ценную информацию об их практическом опыте, трудностях и ожиданиях, связанных с Madrid e-Filing. Полученные результаты можно использовать для уточнения стратегии информационно-разъяснительной работы и поддержки Madrid e-Filing, чтобы лучше удовлетворять потребности ведомств ИС.</w:t>
      </w:r>
    </w:p>
    <w:tbl>
      <w:tblPr>
        <w:tblW w:w="876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tblGrid>
      <w:tr w:rsidR="56FBB274" w:rsidRPr="00EF3506" w14:paraId="16CD0783" w14:textId="77777777" w:rsidTr="00BE31A8">
        <w:trPr>
          <w:trHeight w:val="75"/>
        </w:trPr>
        <w:tc>
          <w:tcPr>
            <w:tcW w:w="8768" w:type="dxa"/>
            <w:shd w:val="clear" w:color="auto" w:fill="BDD6EE" w:themeFill="accent1" w:themeFillTint="66"/>
            <w:tcMar>
              <w:left w:w="108" w:type="dxa"/>
              <w:right w:w="108" w:type="dxa"/>
            </w:tcMar>
          </w:tcPr>
          <w:p w14:paraId="4E1F3D6F" w14:textId="09E915A1" w:rsidR="56FBB274" w:rsidRPr="00EF3506" w:rsidRDefault="5DAED50B" w:rsidP="000079BF">
            <w:pPr>
              <w:tabs>
                <w:tab w:val="left" w:pos="567"/>
              </w:tabs>
              <w:spacing w:before="120" w:after="120" w:line="280" w:lineRule="exact"/>
              <w:jc w:val="both"/>
              <w:rPr>
                <w:rFonts w:ascii="Times New Roman" w:eastAsia="Times New Roman" w:hAnsi="Times New Roman" w:cs="Times New Roman"/>
                <w:b/>
                <w:bCs/>
              </w:rPr>
            </w:pPr>
            <w:r>
              <w:rPr>
                <w:rFonts w:ascii="Times New Roman" w:hAnsi="Times New Roman"/>
                <w:b/>
              </w:rPr>
              <w:t>Рекомендация 7</w:t>
            </w:r>
          </w:p>
          <w:p w14:paraId="198C9553" w14:textId="4B781732" w:rsidR="56FBB274" w:rsidRPr="00EF3506" w:rsidRDefault="5DAED50B" w:rsidP="000079BF">
            <w:pPr>
              <w:spacing w:before="120" w:after="120" w:line="280" w:lineRule="exact"/>
              <w:jc w:val="both"/>
              <w:rPr>
                <w:rFonts w:ascii="Times New Roman" w:eastAsia="Times New Roman" w:hAnsi="Times New Roman" w:cs="Times New Roman"/>
              </w:rPr>
            </w:pPr>
            <w:r>
              <w:rPr>
                <w:rFonts w:ascii="Times New Roman" w:hAnsi="Times New Roman"/>
              </w:rPr>
              <w:t>BPK рекомендует Организации:</w:t>
            </w:r>
          </w:p>
          <w:p w14:paraId="7FEB52DD" w14:textId="3A9FDD5D" w:rsidR="56FBB274" w:rsidRPr="00EF3506" w:rsidRDefault="5DAED50B" w:rsidP="000079BF">
            <w:pPr>
              <w:pStyle w:val="ListParagraph"/>
              <w:numPr>
                <w:ilvl w:val="0"/>
                <w:numId w:val="15"/>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включить регионы целевых новых участников в показатель эффективности, используемый в отчете о присоединении новых членов к Мадридской системе, чтобы лучше сосредоточиться на приоритетах потенциальных новых участников;</w:t>
            </w:r>
          </w:p>
          <w:p w14:paraId="00EFFB4F" w14:textId="1469F70A" w:rsidR="56FBB274" w:rsidRPr="00EF3506" w:rsidRDefault="5DAED50B" w:rsidP="000079BF">
            <w:pPr>
              <w:pStyle w:val="ListParagraph"/>
              <w:numPr>
                <w:ilvl w:val="0"/>
                <w:numId w:val="15"/>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включить показатель общего числа ведомств, внедривших Madrid e-Filing, в качестве нового показателя эффективности в Программу работы и бюджет на 2028–2029 годы;</w:t>
            </w:r>
          </w:p>
          <w:p w14:paraId="31FA14A3" w14:textId="1F8ACE76" w:rsidR="56FBB274" w:rsidRPr="00EF3506" w:rsidRDefault="5DAED50B" w:rsidP="000079BF">
            <w:pPr>
              <w:pStyle w:val="ListParagraph"/>
              <w:numPr>
                <w:ilvl w:val="0"/>
                <w:numId w:val="15"/>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провести структурированный опрос среди национальных ведомств ИС о Madrid e-Filing, чтобы собрать релевантную обратную связь с целью повышения уровня внедрения со стороны ведомств.</w:t>
            </w:r>
          </w:p>
        </w:tc>
      </w:tr>
      <w:tr w:rsidR="56FBB274" w:rsidRPr="00EF3506" w14:paraId="52FFA918" w14:textId="77777777" w:rsidTr="00BE31A8">
        <w:trPr>
          <w:trHeight w:val="75"/>
        </w:trPr>
        <w:tc>
          <w:tcPr>
            <w:tcW w:w="8768" w:type="dxa"/>
            <w:shd w:val="clear" w:color="auto" w:fill="DEEAF6" w:themeFill="accent1" w:themeFillTint="33"/>
            <w:tcMar>
              <w:left w:w="108" w:type="dxa"/>
              <w:right w:w="108" w:type="dxa"/>
            </w:tcMar>
          </w:tcPr>
          <w:p w14:paraId="1E329DE5" w14:textId="2D5A7FEC" w:rsidR="56FBB274" w:rsidRPr="00EF3506" w:rsidRDefault="5DAED50B" w:rsidP="000079BF">
            <w:pPr>
              <w:spacing w:before="120" w:after="120" w:line="280" w:lineRule="exact"/>
              <w:rPr>
                <w:rFonts w:ascii="Times New Roman" w:eastAsia="Times New Roman" w:hAnsi="Times New Roman" w:cs="Times New Roman"/>
                <w:b/>
                <w:bCs/>
              </w:rPr>
            </w:pPr>
            <w:r>
              <w:rPr>
                <w:rFonts w:ascii="Times New Roman" w:hAnsi="Times New Roman"/>
                <w:b/>
              </w:rPr>
              <w:t xml:space="preserve">Ответ руководства: </w:t>
            </w:r>
          </w:p>
          <w:p w14:paraId="11E13882" w14:textId="04EE476B" w:rsidR="56FBB274" w:rsidRPr="00EF3506" w:rsidRDefault="0022575A"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color w:val="333333"/>
              </w:rPr>
              <w:t xml:space="preserve">Руководство согласно с этой рекомендацией. </w:t>
            </w:r>
          </w:p>
          <w:p w14:paraId="72630CDE" w14:textId="4A8F5B7C" w:rsidR="56FBB274" w:rsidRPr="00EF3506" w:rsidRDefault="007429E5"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b/>
                <w:color w:val="333333"/>
              </w:rPr>
              <w:lastRenderedPageBreak/>
              <w:t>Рекомендация 7.a:</w:t>
            </w:r>
            <w:r>
              <w:rPr>
                <w:rFonts w:ascii="Times New Roman" w:hAnsi="Times New Roman"/>
                <w:color w:val="333333"/>
              </w:rPr>
              <w:t xml:space="preserve"> </w:t>
            </w:r>
            <w:r>
              <w:rPr>
                <w:rFonts w:ascii="Times New Roman" w:hAnsi="Times New Roman"/>
              </w:rPr>
              <w:t>Обновленный показатель эффективности будет включен в версию отчета о присоединении новых членов к Мадридской системе за третий квартал 2026 года.</w:t>
            </w:r>
            <w:r>
              <w:rPr>
                <w:rFonts w:ascii="Times New Roman" w:hAnsi="Times New Roman"/>
                <w:color w:val="333333"/>
              </w:rPr>
              <w:t xml:space="preserve"> </w:t>
            </w:r>
          </w:p>
          <w:p w14:paraId="12A735FD" w14:textId="3E3AB9CF" w:rsidR="56FBB274" w:rsidRPr="00EF3506" w:rsidRDefault="007429E5" w:rsidP="000079BF">
            <w:pPr>
              <w:tabs>
                <w:tab w:val="left" w:pos="567"/>
              </w:tabs>
              <w:spacing w:before="120" w:after="120" w:line="280" w:lineRule="exact"/>
              <w:jc w:val="both"/>
              <w:rPr>
                <w:rFonts w:ascii="Times New Roman" w:eastAsia="Times New Roman" w:hAnsi="Times New Roman" w:cs="Times New Roman"/>
              </w:rPr>
            </w:pPr>
            <w:r>
              <w:rPr>
                <w:rFonts w:ascii="Times New Roman" w:hAnsi="Times New Roman"/>
                <w:b/>
              </w:rPr>
              <w:t>Рекомендация 7.b:</w:t>
            </w:r>
            <w:r>
              <w:rPr>
                <w:rFonts w:ascii="Times New Roman" w:hAnsi="Times New Roman"/>
              </w:rPr>
              <w:t xml:space="preserve"> В проекте Программы работы и бюджета на 2028–2029 годы будет предложен новый показатель эффективности — общее число ведомств, внедривших Madrid e-Filing.</w:t>
            </w:r>
          </w:p>
          <w:p w14:paraId="7A8B6DF0" w14:textId="2A9BFA3E" w:rsidR="56FBB274" w:rsidRPr="00EF3506" w:rsidRDefault="5DAED50B" w:rsidP="000079BF">
            <w:pPr>
              <w:tabs>
                <w:tab w:val="left" w:pos="567"/>
              </w:tabs>
              <w:spacing w:before="120" w:after="120" w:line="280" w:lineRule="exact"/>
              <w:jc w:val="both"/>
              <w:rPr>
                <w:rFonts w:ascii="Times New Roman" w:eastAsia="Times New Roman" w:hAnsi="Times New Roman" w:cs="Times New Roman"/>
              </w:rPr>
            </w:pPr>
            <w:r>
              <w:rPr>
                <w:rFonts w:ascii="Times New Roman" w:hAnsi="Times New Roman"/>
                <w:b/>
              </w:rPr>
              <w:t>Рекомендация 7.c:</w:t>
            </w:r>
            <w:r>
              <w:rPr>
                <w:rFonts w:ascii="Times New Roman" w:hAnsi="Times New Roman"/>
              </w:rPr>
              <w:t xml:space="preserve"> Структурированный опрос среди национальных ведомств ИС о Madrid e-Filing будет проведен к концу сентября 2026 года.</w:t>
            </w:r>
          </w:p>
        </w:tc>
      </w:tr>
    </w:tbl>
    <w:p w14:paraId="45685562" w14:textId="76BA4B53" w:rsidR="316211C0" w:rsidRPr="00EF3506" w:rsidRDefault="316211C0" w:rsidP="56FBB274">
      <w:pPr>
        <w:spacing w:line="257" w:lineRule="auto"/>
        <w:jc w:val="both"/>
        <w:rPr>
          <w:rFonts w:ascii="Times New Roman" w:eastAsia="Times New Roman" w:hAnsi="Times New Roman" w:cs="Times New Roman"/>
        </w:rPr>
      </w:pPr>
      <w:r>
        <w:rPr>
          <w:rFonts w:ascii="Times New Roman" w:hAnsi="Times New Roman"/>
        </w:rPr>
        <w:lastRenderedPageBreak/>
        <w:t xml:space="preserve"> </w:t>
      </w:r>
    </w:p>
    <w:p w14:paraId="328C3C9B" w14:textId="52A14D4E" w:rsidR="316211C0" w:rsidRPr="00EF3506" w:rsidRDefault="007429E5" w:rsidP="00352816">
      <w:pPr>
        <w:pStyle w:val="Heading6"/>
        <w:spacing w:before="120" w:after="120" w:line="280" w:lineRule="exact"/>
        <w:ind w:left="322"/>
        <w:rPr>
          <w:rFonts w:eastAsia="Times New Roman" w:cs="Times New Roman"/>
          <w:smallCaps/>
          <w:sz w:val="24"/>
          <w:szCs w:val="24"/>
        </w:rPr>
      </w:pPr>
      <w:bookmarkStart w:id="181" w:name="_Toc230784931"/>
      <w:r>
        <w:t>Улучшение внутренней отчетности в Мадридском реестре</w:t>
      </w:r>
      <w:bookmarkEnd w:id="181"/>
    </w:p>
    <w:p w14:paraId="3D7744F4" w14:textId="26DCB87E" w:rsidR="316211C0" w:rsidRDefault="316211C0" w:rsidP="00352816">
      <w:pPr>
        <w:pStyle w:val="LFARPara"/>
        <w:spacing w:before="120"/>
        <w:ind w:left="850" w:hanging="493"/>
      </w:pPr>
      <w:r>
        <w:t>Мадридский реестр регулярно выпускает несколько внутренних отчетов в рамках управления, мониторинга и оценки Мадридской системы. Эти отчеты, включая ежемесячный отчет о результатах работы по Мадридской системе и отчеты о присоединении новых членов к Мадридской системе, предназначены для предоставления читателям обновленной информации о операционной результативности, управлении рабочей нагрузкой, финансовых тенденциях и ходе присоединения новых участников. Отчеты служат инструментом для поддержки прозрачности, мониторинга эффективности и оценки предоставления услуг, тем самым укрепляя и улучшая Мадридскую систему.</w:t>
      </w:r>
    </w:p>
    <w:p w14:paraId="60FC3A71" w14:textId="1D5346F3" w:rsidR="316211C0" w:rsidRPr="00EF3506" w:rsidRDefault="316211C0" w:rsidP="00BE31A8">
      <w:pPr>
        <w:pStyle w:val="ListParagraph"/>
        <w:numPr>
          <w:ilvl w:val="0"/>
          <w:numId w:val="24"/>
        </w:numPr>
        <w:spacing w:before="120" w:after="120" w:line="280" w:lineRule="exact"/>
        <w:ind w:hanging="422"/>
        <w:contextualSpacing w:val="0"/>
        <w:jc w:val="both"/>
        <w:rPr>
          <w:rFonts w:ascii="Times New Roman" w:eastAsia="Times New Roman" w:hAnsi="Times New Roman" w:cs="Times New Roman"/>
          <w:b/>
          <w:bCs/>
          <w:i/>
          <w:iCs/>
        </w:rPr>
      </w:pPr>
      <w:r>
        <w:rPr>
          <w:rFonts w:ascii="Times New Roman" w:hAnsi="Times New Roman"/>
          <w:b/>
          <w:i/>
        </w:rPr>
        <w:t>Ежемесячные отчеты о результатах работы Мадридской систем</w:t>
      </w:r>
      <w:r w:rsidR="002F1CA6">
        <w:rPr>
          <w:rFonts w:ascii="Times New Roman" w:hAnsi="Times New Roman"/>
          <w:b/>
          <w:i/>
        </w:rPr>
        <w:t>ы</w:t>
      </w:r>
    </w:p>
    <w:p w14:paraId="5964D1D9" w14:textId="5490694D" w:rsidR="316211C0" w:rsidRPr="00EF3506" w:rsidRDefault="316211C0" w:rsidP="00352816">
      <w:pPr>
        <w:pStyle w:val="LFARPara"/>
        <w:spacing w:before="120"/>
        <w:ind w:left="850" w:hanging="493"/>
      </w:pPr>
      <w:r>
        <w:t>Наш анализ ежемесячных отчетов о результатах работы Мадридской систем</w:t>
      </w:r>
      <w:r w:rsidR="002F1CA6">
        <w:t>ы</w:t>
      </w:r>
      <w:r>
        <w:t xml:space="preserve"> за период 2024–2025 годов показал, что целевые показатели сроков нахождения на рассмотрении по международным заявкам, продлениям, последующим указаниям, изменениям, решениям указанной Договаривающейся стороны (ДС) и исправлениям оставались неизменными в 2024 и 2025 годах. Хотя некоторые целевые показатели сроков нахождения на рассмотрении могут оставаться актуальными, целевые показатели по продлениям и решениям указанной Договаривающейся стороны (ДС) заметно превышают фактическое время, необходимое для выполнения этих операций.</w:t>
      </w:r>
    </w:p>
    <w:p w14:paraId="2BD6E290" w14:textId="74F88E18" w:rsidR="316211C0" w:rsidRPr="00EF3506" w:rsidRDefault="316211C0" w:rsidP="00352816">
      <w:pPr>
        <w:pStyle w:val="LFARPara"/>
        <w:spacing w:before="120"/>
        <w:ind w:left="850" w:hanging="493"/>
      </w:pPr>
      <w:r>
        <w:t>Кроме того, была проанализирована незавершенная рабочая нагрузка по семи операциям, указанным в отчете, включая международные заявки, продления, последующие указания, изменения, решения указанной Договаривающейся стороны (ДС), исправления и финансовые операции. Этот анализ показал, что Мадридский реестр достаточно успешно сократил объем незавершенной работы в некоторых областях. Однако целевые показатели объема незавершенной работы по продлениям и решениям также существенно превышали фактический объем незавершенной работы.</w:t>
      </w:r>
    </w:p>
    <w:p w14:paraId="357D7208" w14:textId="11DC4C60" w:rsidR="316211C0" w:rsidRPr="00056CF1" w:rsidRDefault="316211C0" w:rsidP="00352816">
      <w:pPr>
        <w:pStyle w:val="LFARPara"/>
        <w:spacing w:before="120"/>
        <w:ind w:left="850" w:hanging="493"/>
      </w:pPr>
      <w:r>
        <w:t xml:space="preserve">Обсуждения с координаторами показали, что автоматизация и оптимизация ИТ-процессов помогли сократить требуемое время и объем незавершенной работы, особенно по продлениям и решениям указанной Договаривающейся стороны (ДС). Тем не менее целевые показатели, указанные в отчете о результатах работы, не были обновлены с учетом текущей ситуации, что снижает релевантность представленного сравнения. Хотя мы признаем и высоко оцениваем усилия Мадридского реестра по сокращению сроков нахождения на рассмотрении и объема незавершенной работы в Мадридской системе, существуют области для улучшения, например установление более релевантных целевых показателей, чтобы обеспечить читателям более четкие и актуальные сравнения. </w:t>
      </w:r>
    </w:p>
    <w:p w14:paraId="28B25F67" w14:textId="30C85738" w:rsidR="316211C0" w:rsidRPr="00056CF1" w:rsidRDefault="00736805" w:rsidP="009E268C">
      <w:pPr>
        <w:pStyle w:val="ListParagraph"/>
        <w:keepNext/>
        <w:keepLines/>
        <w:numPr>
          <w:ilvl w:val="0"/>
          <w:numId w:val="24"/>
        </w:numPr>
        <w:spacing w:before="120" w:after="120" w:line="280" w:lineRule="exact"/>
        <w:ind w:left="783" w:hanging="420"/>
        <w:contextualSpacing w:val="0"/>
        <w:jc w:val="both"/>
        <w:rPr>
          <w:rFonts w:ascii="Times New Roman" w:eastAsia="Times New Roman" w:hAnsi="Times New Roman" w:cs="Times New Roman"/>
          <w:b/>
          <w:bCs/>
          <w:i/>
          <w:iCs/>
        </w:rPr>
      </w:pPr>
      <w:r>
        <w:rPr>
          <w:rFonts w:ascii="Times New Roman" w:hAnsi="Times New Roman"/>
          <w:b/>
          <w:i/>
        </w:rPr>
        <w:lastRenderedPageBreak/>
        <w:t>Ежеквартальные отчеты о присоединении новых членов к Мадридской системе</w:t>
      </w:r>
    </w:p>
    <w:p w14:paraId="24919D0A" w14:textId="43811E5A" w:rsidR="316211C0" w:rsidRPr="00056CF1" w:rsidRDefault="316211C0" w:rsidP="00352816">
      <w:pPr>
        <w:pStyle w:val="LFARPara"/>
        <w:spacing w:before="120"/>
        <w:ind w:left="850" w:hanging="493"/>
      </w:pPr>
      <w:r>
        <w:t>Наш анализ ежеквартальных отчетов о присоединении новых членов к Мадридской системе за период 2022–2025 годов показал, что Мадридский реестр уже определяет некоторые страны как потенциальных новых участников Мадридской системы. Однако наш анализ показал, что лишь 50% из 10 стран с наибольшим числом прямых подач заявок на товарные знаки за рубежом были включены в отчеты о присоединении новых членов к Мадридской системе за 2022–2025 годы. Среди других потенциальных новых участников, перечисленных в последнем отчете о присоединении новых членов к Мадридской системе (четвертый квартал 2025 года), имеются страны с различным числом подач заявок на товарные знаки, включая некоторые страны с менее чем 10</w:t>
      </w:r>
      <w:r w:rsidR="009E268C">
        <w:t> </w:t>
      </w:r>
      <w:r>
        <w:t>подачами.</w:t>
      </w:r>
    </w:p>
    <w:p w14:paraId="13218216" w14:textId="06A426DD" w:rsidR="316211C0" w:rsidRPr="00EF3506" w:rsidRDefault="316211C0" w:rsidP="00352816">
      <w:pPr>
        <w:pStyle w:val="LFARPara"/>
        <w:spacing w:before="120"/>
        <w:ind w:left="850" w:hanging="493"/>
      </w:pPr>
      <w:r>
        <w:t>Кроме того, в последнем отчете о присоединении новых членов к Мадридской системе (четвертый квартал 2025 года) содержались некоторые устаревшие сведения о прогрессе, а также отсутствовала обновленная информация о текущем прогрессе по ряду стран, по которым последнее обновление датировано 2017–2021 годами. Учитывая отсутствие недавнего прогресса, включение этих стран в отчет о присоединении новых членов к Мадридской системе за 2025 год не предоставит читателям релевантной и актуальной информации.</w:t>
      </w:r>
    </w:p>
    <w:p w14:paraId="3C4C8814" w14:textId="0B8ADBF3" w:rsidR="316211C0" w:rsidRPr="00EF3506" w:rsidRDefault="316211C0" w:rsidP="00352816">
      <w:pPr>
        <w:pStyle w:val="LFARPara"/>
        <w:spacing w:before="120"/>
        <w:ind w:left="850" w:hanging="493"/>
      </w:pPr>
      <w:r>
        <w:t xml:space="preserve">На 2026 год был составлен план работы Юридического отдела Мадридской системы, связанный с прогрессом по присоединениям к Мадридской системе, предусматривающий подготовку комментариев к внутреннему законодательству для обеспечения его совместимости с Мадридской системой (для нынешних и будущих участников). Этот план работы охватывает 29 стран-бенефициаров, включая четырех нынешних участников Мадридской системы и 25 будущих участников. Однако синхронизация между перечнем потенциальных новых участников, приводимым в отчетах о присоединении новых членов к Мадридской системе, и перечнем стран-бенефициаров, указанным в плане работы, отсутствовала. Некоторые страны, не являющиеся участниками Мадридской системы, упомянуты в плане работы, но не упомянуты в отчетах о присоединении новых членов к Мадридской системе. С другой стороны, некоторые страны упоминаются в отчетах о присоединении новых членов к Мадридской системе, но не упоминаются в плане работы на 2026 год. </w:t>
      </w:r>
    </w:p>
    <w:p w14:paraId="60159F72" w14:textId="74DFC10C" w:rsidR="316211C0" w:rsidRPr="00056CF1" w:rsidRDefault="316211C0" w:rsidP="00352816">
      <w:pPr>
        <w:pStyle w:val="LFARPara"/>
        <w:spacing w:before="120"/>
        <w:ind w:left="850" w:hanging="493"/>
      </w:pPr>
      <w:r>
        <w:t>Обсуждения с координаторами показали, что подход и стратегия в отношении каждой потенциальной страны различаются и зависят от политических, экономических и культурных условий страны. Исходя из опыта, некоторым странам могут понадобиться годы, чтобы добиться незначительного прогресса в процессе присоединения, тогда как другие могут добиться существенного прогресса всего за несколько месяцев. Тем не менее некоторые страны по-прежнему упоминаются в отчетах, чтобы читатели могли отслеживать прогресс их присоединения, даже если за последние несколько лет обновления отсутствовали.</w:t>
      </w:r>
    </w:p>
    <w:p w14:paraId="73A33748" w14:textId="59B5DC6E" w:rsidR="316211C0" w:rsidRPr="00EF3506" w:rsidRDefault="00973EA0" w:rsidP="00352816">
      <w:pPr>
        <w:pStyle w:val="LFARPara"/>
        <w:spacing w:before="120"/>
        <w:ind w:left="850" w:hanging="493"/>
      </w:pPr>
      <w:r>
        <w:t xml:space="preserve">Мы признаем и высоко оцениваем усилия Мадридского реестра по предоставлению обновленной информации о присоединении новых участников в ежеквартальном отчете. Однако существуют области для улучшения, чтобы предоставлять читателям более релевантные данные и информацию. </w:t>
      </w:r>
    </w:p>
    <w:tbl>
      <w:tblPr>
        <w:tblW w:w="866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56FBB274" w:rsidRPr="00EF3506" w14:paraId="619FCC8F" w14:textId="77777777" w:rsidTr="00BE31A8">
        <w:trPr>
          <w:trHeight w:val="75"/>
        </w:trPr>
        <w:tc>
          <w:tcPr>
            <w:tcW w:w="8664" w:type="dxa"/>
            <w:shd w:val="clear" w:color="auto" w:fill="BDD6EE" w:themeFill="accent1" w:themeFillTint="66"/>
            <w:tcMar>
              <w:left w:w="108" w:type="dxa"/>
              <w:right w:w="108" w:type="dxa"/>
            </w:tcMar>
          </w:tcPr>
          <w:p w14:paraId="54C32633" w14:textId="1A0CC164" w:rsidR="56FBB274" w:rsidRPr="00EF3506" w:rsidRDefault="5DAED50B" w:rsidP="00E834F8">
            <w:pPr>
              <w:pageBreakBefore/>
              <w:tabs>
                <w:tab w:val="left" w:pos="567"/>
              </w:tabs>
              <w:spacing w:before="120" w:after="120" w:line="280" w:lineRule="exact"/>
              <w:jc w:val="both"/>
              <w:rPr>
                <w:rFonts w:ascii="Times New Roman" w:eastAsia="Times New Roman" w:hAnsi="Times New Roman" w:cs="Times New Roman"/>
                <w:b/>
                <w:bCs/>
              </w:rPr>
            </w:pPr>
            <w:r>
              <w:rPr>
                <w:rFonts w:ascii="Times New Roman" w:hAnsi="Times New Roman"/>
                <w:b/>
              </w:rPr>
              <w:lastRenderedPageBreak/>
              <w:t>Рекомендация 8</w:t>
            </w:r>
          </w:p>
          <w:p w14:paraId="19233768" w14:textId="3ABB2D89" w:rsidR="56FBB274" w:rsidRPr="00EF3506" w:rsidRDefault="5DAED50B" w:rsidP="000079BF">
            <w:pPr>
              <w:spacing w:before="120" w:after="120" w:line="280" w:lineRule="exact"/>
              <w:jc w:val="both"/>
              <w:rPr>
                <w:rFonts w:ascii="Times New Roman" w:eastAsia="Times New Roman" w:hAnsi="Times New Roman" w:cs="Times New Roman"/>
              </w:rPr>
            </w:pPr>
            <w:r>
              <w:rPr>
                <w:rFonts w:ascii="Times New Roman" w:hAnsi="Times New Roman"/>
              </w:rPr>
              <w:t>BPK рекомендует Мадридскому реестру:</w:t>
            </w:r>
          </w:p>
          <w:p w14:paraId="3DFBE072" w14:textId="6F54E520" w:rsidR="56FBB274" w:rsidRPr="00EF3506" w:rsidRDefault="5DAED50B" w:rsidP="000079BF">
            <w:pPr>
              <w:pStyle w:val="ListParagraph"/>
              <w:numPr>
                <w:ilvl w:val="0"/>
                <w:numId w:val="13"/>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обновить целевые показатели сроков нахождения на рассмотрении и объема незавершенной работы, используемые в ежемесячном отчете о результатах работы по Мадридской системе, чтобы они лучше отражали текущие уровни производительности;</w:t>
            </w:r>
          </w:p>
          <w:p w14:paraId="4FEFD0D0" w14:textId="67661776" w:rsidR="56FBB274" w:rsidRPr="00EF3506" w:rsidRDefault="5DAED50B" w:rsidP="000079BF">
            <w:pPr>
              <w:pStyle w:val="ListParagraph"/>
              <w:numPr>
                <w:ilvl w:val="0"/>
                <w:numId w:val="13"/>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подготовить всеобъемлющую обновленную версию ежеквартальных отчетов о присоединении новых членов к Мадридской системе, исключив страны, по которым отсутствуют релевантные обновления, включив региональный КПР по присоединениям (как обсуждалось выше в разделе «Повышение КПР Мадридского реестра»), а также учитывая при выборе стран, упоминаемых в отчетах о присоединении новых членов к Мадридской системе, объем данных о подаче международных заявок на товарные знаки и перечень стран-бенефициаров в плане работы Мадридского реестра.</w:t>
            </w:r>
          </w:p>
        </w:tc>
      </w:tr>
      <w:tr w:rsidR="56FBB274" w:rsidRPr="00EF3506" w14:paraId="1BE87AEC" w14:textId="77777777" w:rsidTr="00BE31A8">
        <w:trPr>
          <w:trHeight w:val="75"/>
        </w:trPr>
        <w:tc>
          <w:tcPr>
            <w:tcW w:w="8664" w:type="dxa"/>
            <w:shd w:val="clear" w:color="auto" w:fill="DEEAF6" w:themeFill="accent1" w:themeFillTint="33"/>
            <w:tcMar>
              <w:left w:w="108" w:type="dxa"/>
              <w:right w:w="108" w:type="dxa"/>
            </w:tcMar>
          </w:tcPr>
          <w:p w14:paraId="4D26964F" w14:textId="7C66E81E" w:rsidR="56FBB274" w:rsidRPr="00EF3506" w:rsidRDefault="5DAED50B" w:rsidP="000079BF">
            <w:pPr>
              <w:spacing w:before="120" w:after="120" w:line="280" w:lineRule="exact"/>
              <w:rPr>
                <w:rFonts w:ascii="Times New Roman" w:eastAsia="Times New Roman" w:hAnsi="Times New Roman" w:cs="Times New Roman"/>
                <w:b/>
                <w:bCs/>
              </w:rPr>
            </w:pPr>
            <w:r>
              <w:rPr>
                <w:rFonts w:ascii="Times New Roman" w:hAnsi="Times New Roman"/>
                <w:b/>
              </w:rPr>
              <w:t xml:space="preserve">Ответ руководства: </w:t>
            </w:r>
          </w:p>
          <w:p w14:paraId="022718F3" w14:textId="30D65FEC" w:rsidR="56FBB274" w:rsidRPr="00EF3506" w:rsidRDefault="0022575A"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color w:val="333333"/>
              </w:rPr>
              <w:t>Руководство согласно с этой рекомендацией.</w:t>
            </w:r>
          </w:p>
          <w:p w14:paraId="2F639310" w14:textId="16BFA724" w:rsidR="56FBB274" w:rsidRPr="00EF3506" w:rsidRDefault="00736805"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b/>
                <w:color w:val="333333"/>
              </w:rPr>
              <w:t>Рекомендация 8.a:</w:t>
            </w:r>
            <w:r>
              <w:rPr>
                <w:rFonts w:ascii="Times New Roman" w:hAnsi="Times New Roman"/>
                <w:color w:val="333333"/>
              </w:rPr>
              <w:t xml:space="preserve">  </w:t>
            </w:r>
            <w:r>
              <w:rPr>
                <w:rFonts w:ascii="Times New Roman" w:hAnsi="Times New Roman"/>
              </w:rPr>
              <w:t>Целевые показатели сроков нахождения на рассмотрении и объема незавершенной работы будут обновлены в октябрьской версии ежемесячного отчета о результатах работы по Мадридской системе за 2026 год.</w:t>
            </w:r>
            <w:r>
              <w:rPr>
                <w:rFonts w:ascii="Times New Roman" w:hAnsi="Times New Roman"/>
                <w:color w:val="333333"/>
              </w:rPr>
              <w:t xml:space="preserve"> </w:t>
            </w:r>
          </w:p>
          <w:p w14:paraId="78929612" w14:textId="654F0F6A" w:rsidR="56FBB274" w:rsidRPr="00EF3506" w:rsidRDefault="00736805" w:rsidP="000079BF">
            <w:pPr>
              <w:tabs>
                <w:tab w:val="left" w:pos="567"/>
              </w:tabs>
              <w:spacing w:before="120" w:after="120" w:line="280" w:lineRule="exact"/>
              <w:jc w:val="both"/>
              <w:rPr>
                <w:rFonts w:ascii="Times New Roman" w:eastAsia="Times New Roman" w:hAnsi="Times New Roman" w:cs="Times New Roman"/>
              </w:rPr>
            </w:pPr>
            <w:r>
              <w:rPr>
                <w:rFonts w:ascii="Times New Roman" w:hAnsi="Times New Roman"/>
                <w:b/>
                <w:color w:val="333333"/>
              </w:rPr>
              <w:t>Рекомендация 8.b:</w:t>
            </w:r>
            <w:r>
              <w:rPr>
                <w:rFonts w:ascii="Times New Roman" w:hAnsi="Times New Roman"/>
                <w:color w:val="333333"/>
              </w:rPr>
              <w:t xml:space="preserve"> </w:t>
            </w:r>
            <w:r>
              <w:rPr>
                <w:rFonts w:ascii="Times New Roman" w:hAnsi="Times New Roman"/>
              </w:rPr>
              <w:t xml:space="preserve">Всеобъемлющая обновленная версия ежеквартального отчета о присоединении новых членов к Мадридской системе будет подготовлена к третьему кварталу 2026 года. </w:t>
            </w:r>
          </w:p>
        </w:tc>
      </w:tr>
    </w:tbl>
    <w:p w14:paraId="0DAD0AB1" w14:textId="45C61BDB" w:rsidR="316211C0" w:rsidRPr="00EF3506" w:rsidRDefault="316211C0" w:rsidP="009033FA">
      <w:pPr>
        <w:spacing w:before="120" w:after="120" w:line="280" w:lineRule="exact"/>
        <w:ind w:left="426"/>
        <w:jc w:val="both"/>
        <w:rPr>
          <w:rFonts w:ascii="Times New Roman" w:eastAsia="Times New Roman" w:hAnsi="Times New Roman" w:cs="Times New Roman"/>
        </w:rPr>
      </w:pPr>
      <w:r>
        <w:rPr>
          <w:rFonts w:ascii="Times New Roman" w:hAnsi="Times New Roman"/>
        </w:rPr>
        <w:t xml:space="preserve"> </w:t>
      </w:r>
    </w:p>
    <w:p w14:paraId="6F380C57" w14:textId="2B1FEDD0" w:rsidR="316211C0" w:rsidRPr="009033FA" w:rsidRDefault="00BA31D8" w:rsidP="002F07D8">
      <w:pPr>
        <w:pStyle w:val="Heading5"/>
        <w:spacing w:before="120" w:after="120" w:line="280" w:lineRule="exact"/>
        <w:ind w:left="360"/>
      </w:pPr>
      <w:bookmarkStart w:id="182" w:name="_Toc230784932"/>
      <w:r>
        <w:t>Глобальные базы данных</w:t>
      </w:r>
      <w:bookmarkEnd w:id="182"/>
    </w:p>
    <w:p w14:paraId="1064D360" w14:textId="77777777" w:rsidR="00E473D1" w:rsidRPr="00EF3506" w:rsidRDefault="00E473D1" w:rsidP="00352816">
      <w:pPr>
        <w:pStyle w:val="LFARPara"/>
        <w:spacing w:before="120"/>
        <w:ind w:left="850" w:hanging="493"/>
      </w:pPr>
      <w:r>
        <w:t xml:space="preserve">ВОИС поддерживает три основные глобальные базы данных (PATENTSCOPE, Глобальная база данных по брендам и Глобальная база данных по образцам), которые функционируют в качестве основных общедоступных хранилищ информации об интеллектуальной собственности (ИС) и объединяют записи, полученные от национальных и региональных ведомств ИС по всему миру. Каждая база данных выполняет отдельную, но взаимодополняющую функцию в глобальной информационной экосистеме ИС. </w:t>
      </w:r>
    </w:p>
    <w:p w14:paraId="070DC539" w14:textId="41731450" w:rsidR="00E473D1" w:rsidRPr="00EF3506" w:rsidRDefault="00E473D1" w:rsidP="00352816">
      <w:pPr>
        <w:pStyle w:val="LFARPara"/>
        <w:spacing w:before="120"/>
        <w:ind w:left="850" w:hanging="493"/>
      </w:pPr>
      <w:r>
        <w:t>База данных PATENTSCOPE предоставляет доступ к опубликованным международным заявкам PCT в полном тексте в день публикации, патентным документам участвующих национальных и региональных ведомств (RO), а также непатентной литературе. По оценкам, на начало 2026 года база данных охватывает 126</w:t>
      </w:r>
      <w:r w:rsidR="00752ED3">
        <w:t> </w:t>
      </w:r>
      <w:r>
        <w:t xml:space="preserve">млн патентных записей, что делает ее одной из самых обширных платформ для патентного поиска. Глобальная база данных по брендам (ГБДБ) предоставляет доступ к коллекциям международных товарных знаков в рамках Мадридской системы, а также к товарным знакам участвующих национальных и региональных ведомств (RO). Она также охватывает наименования мест происхождения, зарегистрированные в рамках Лиссабонской системы, эмблемы по статье 6ter и международные непатентованные наименования ВОЗ. Глобальная база данных по промышленным образцам (ГБДО) предоставляет доступ к международным промышленным образцам в рамках Гаагской </w:t>
      </w:r>
      <w:r>
        <w:lastRenderedPageBreak/>
        <w:t>системы, поступающим от участвующих национальных и региональных ведомств (RO). Базы данных поддерживают поиск по коллекциям с использованием различных поисковых полей — ключевых слов, наименований, номеров, классификаций, дат, стран, приоритетов, а также их сочетаний.</w:t>
      </w:r>
    </w:p>
    <w:p w14:paraId="3653C9CA" w14:textId="77777777" w:rsidR="00E473D1" w:rsidRPr="00EF3506" w:rsidRDefault="00E473D1" w:rsidP="00352816">
      <w:pPr>
        <w:pStyle w:val="LFARPara"/>
        <w:spacing w:before="120"/>
        <w:ind w:left="850" w:hanging="493"/>
      </w:pPr>
      <w:r>
        <w:t>На протяжении многих лет PATENTSCOPE, ГБДБ и ГБДО продолжают приносить значительную пользу как пользователям, так и национальным ведомствам ИС. Эти три базы данных представляют собой значительные институциональные инвестиции ВОИС и отражают годы технических разработок, двусторонних переговоров с ведомствами ИС и информационно-разъяснительной работы с национальными органами по всему миру.</w:t>
      </w:r>
    </w:p>
    <w:p w14:paraId="6D43970D" w14:textId="31774357" w:rsidR="00E473D1" w:rsidRPr="00EF3506" w:rsidRDefault="00A92222" w:rsidP="00352816">
      <w:pPr>
        <w:pStyle w:val="LFARPara"/>
        <w:spacing w:before="120"/>
        <w:ind w:left="850" w:hanging="493"/>
      </w:pPr>
      <w:r>
        <w:t>В ходе аудита были выявлены возможности для улучшения механизмов обмена данными и мониторинга охвата по трем базам данных.</w:t>
      </w:r>
    </w:p>
    <w:p w14:paraId="655E26EC" w14:textId="34D6AC6F" w:rsidR="316211C0" w:rsidRPr="00EF3506" w:rsidRDefault="00161889" w:rsidP="00BE31A8">
      <w:pPr>
        <w:pStyle w:val="Heading6"/>
        <w:spacing w:before="120" w:after="120" w:line="280" w:lineRule="exact"/>
        <w:ind w:left="336"/>
        <w:rPr>
          <w:rFonts w:eastAsia="Times New Roman" w:cs="Times New Roman"/>
        </w:rPr>
      </w:pPr>
      <w:bookmarkStart w:id="183" w:name="_Toc230784933"/>
      <w:r>
        <w:t>Гармонизация механизмов обмена данными ВОИС с ведомствами интеллектуальной собственности</w:t>
      </w:r>
      <w:bookmarkEnd w:id="183"/>
    </w:p>
    <w:p w14:paraId="23F90BD6" w14:textId="472BE542" w:rsidR="316211C0" w:rsidRPr="00EF3506" w:rsidRDefault="316211C0" w:rsidP="00352816">
      <w:pPr>
        <w:pStyle w:val="LFARPara"/>
        <w:spacing w:before="120"/>
        <w:ind w:left="850" w:hanging="493"/>
      </w:pPr>
      <w:r>
        <w:t>Глобальные базы данных ВОИС собирают данные об ИС из национальных ведомств ИС по всему миру и служат ресурсом для заинтересованных сторон в сфере ИС. В соответствии со Стратегическим направлением 3, целью которого является предоставление высококачественных услуг, знаний и данных в области ИС, Организация сотрудничает с национальными ведомствами ИС на добровольной основе для создания всеобъемлющих глобальных информационных ресурсов по ИС. Качество, полнота и своевременность данных в этих базах данных зависят от договоренностей о сотрудничестве, которые ВОИС установила с национальными ведомствами ИС, предоставляющими данные. Учитывая добровольный характер таких договоренностей и их необязательный статус, Организация играет решающую роль в содействии, поощрении и поддержке обмена данными.</w:t>
      </w:r>
    </w:p>
    <w:p w14:paraId="7DC53959" w14:textId="5AB5B938" w:rsidR="316211C0" w:rsidRPr="00EF3506" w:rsidRDefault="316211C0" w:rsidP="00352816">
      <w:pPr>
        <w:pStyle w:val="LFARPara"/>
        <w:spacing w:before="120"/>
        <w:ind w:left="850" w:hanging="493"/>
      </w:pPr>
      <w:r>
        <w:t>В ходе аудита было отмечено, что механизмы обмена данными между ВОИС и ведомствами ИС различались. Некоторые ведомства работали на основе официальных соглашений (меморандум о взаимопонимании, план сотрудничества, соглашение о сотрудничестве, соглашение о техническом сотрудничестве и соглашение об обмене данными), тогда как другие ведомства ИС предоставляли данные на основе неформальных договоренностей (электронная почта и открытые данные). Разнообразие таких механизмов отражало добровольный характер участия, а также различия в возможностях и приоритетах национальных ведомств. Однако оно также создавало для Организации возможности для расширения охвата и повышения надежности данных в глобальных базах данных.</w:t>
      </w:r>
    </w:p>
    <w:p w14:paraId="465C5876" w14:textId="5553F85F" w:rsidR="316211C0" w:rsidRPr="00EF3506" w:rsidRDefault="316211C0" w:rsidP="00352816">
      <w:pPr>
        <w:pStyle w:val="LFARPara"/>
        <w:spacing w:before="120"/>
        <w:ind w:left="850" w:hanging="493"/>
      </w:pPr>
      <w:r>
        <w:t>В последнем шаблоне соглашения об обмене данными, предоставленном координатором, указано, что ведомство будет регулярно предоставлять обновления по данным обмена. Однако в нем отсутствуют сведения или условия, касающиеся периодичности таких обновлений. Более того, анализ англоязычных соглашений показал, что в большинстве документов не указывались частота обновлений, сроки предоставления данных или ожидания относительно качества данных. Хотя положения о предоставлении регулярных обновлений присутствовали, они, как правило, не носили обязательного характера. Соглашения, подписанные сторонами на протяжении многих лет, выполнялись с разной степенью приверженности и эффективности в различных ведомствах ИС.</w:t>
      </w:r>
    </w:p>
    <w:p w14:paraId="5F6C1E93" w14:textId="475F2F35" w:rsidR="316211C0" w:rsidRDefault="00A92222" w:rsidP="00662CC7">
      <w:pPr>
        <w:pStyle w:val="LFARPara"/>
        <w:spacing w:before="120" w:after="240"/>
        <w:ind w:left="850" w:hanging="493"/>
      </w:pPr>
      <w:r>
        <w:lastRenderedPageBreak/>
        <w:t>Создание стандартизированной договорной основы могло бы обеспечить единый уровень формализации и обязательств в отношениях ВОИС со всеми национальными ведомствами ИС. Это могло бы обеспечить согласованность данных и укрепить позиции ВОИС в глобальной экосистеме ИС. Признано, что возможности ВОИС по стандартизации и формализации таких договоренностей ограничены характером сотрудничества, которое основано на взаимно согласованных условиях, предполагает разделенную ответственность за реализацию проектов и имеет конечной целью долгосрочную устойчивость.</w:t>
      </w:r>
    </w:p>
    <w:tbl>
      <w:tblPr>
        <w:tblW w:w="86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56FBB274" w:rsidRPr="00EF3506" w14:paraId="1AAA261D" w14:textId="77777777" w:rsidTr="00BE31A8">
        <w:trPr>
          <w:trHeight w:val="75"/>
        </w:trPr>
        <w:tc>
          <w:tcPr>
            <w:tcW w:w="8659" w:type="dxa"/>
            <w:shd w:val="clear" w:color="auto" w:fill="BDD6EE" w:themeFill="accent1" w:themeFillTint="66"/>
            <w:tcMar>
              <w:left w:w="108" w:type="dxa"/>
              <w:right w:w="108" w:type="dxa"/>
            </w:tcMar>
          </w:tcPr>
          <w:p w14:paraId="31A983C4" w14:textId="1F8C36D7" w:rsidR="56FBB274" w:rsidRPr="00EF3506" w:rsidRDefault="5DAED50B" w:rsidP="000079BF">
            <w:pPr>
              <w:tabs>
                <w:tab w:val="left" w:pos="567"/>
              </w:tabs>
              <w:spacing w:before="120" w:after="120" w:line="280" w:lineRule="exact"/>
              <w:jc w:val="both"/>
              <w:rPr>
                <w:rFonts w:ascii="Times New Roman" w:eastAsia="Times New Roman" w:hAnsi="Times New Roman" w:cs="Times New Roman"/>
                <w:b/>
                <w:bCs/>
              </w:rPr>
            </w:pPr>
            <w:r>
              <w:rPr>
                <w:rFonts w:ascii="Times New Roman" w:hAnsi="Times New Roman"/>
                <w:b/>
              </w:rPr>
              <w:t>Рекомендация 9</w:t>
            </w:r>
          </w:p>
          <w:p w14:paraId="39FD112A" w14:textId="67ABB109" w:rsidR="56FBB274" w:rsidRPr="00EF3506" w:rsidRDefault="5DAED50B" w:rsidP="000079BF">
            <w:pPr>
              <w:spacing w:before="120" w:after="120" w:line="280" w:lineRule="exact"/>
              <w:jc w:val="both"/>
              <w:rPr>
                <w:rFonts w:ascii="Times New Roman" w:eastAsia="Times New Roman" w:hAnsi="Times New Roman" w:cs="Times New Roman"/>
              </w:rPr>
            </w:pPr>
            <w:r>
              <w:rPr>
                <w:rFonts w:ascii="Times New Roman" w:hAnsi="Times New Roman"/>
              </w:rPr>
              <w:t>BPK рекомендует Организации:</w:t>
            </w:r>
          </w:p>
          <w:p w14:paraId="599B2589" w14:textId="5A1E1338" w:rsidR="56FBB274" w:rsidRPr="00EF3506" w:rsidRDefault="5DAED50B" w:rsidP="000079BF">
            <w:pPr>
              <w:pStyle w:val="ListParagraph"/>
              <w:numPr>
                <w:ilvl w:val="0"/>
                <w:numId w:val="12"/>
              </w:numPr>
              <w:spacing w:before="120" w:after="120" w:line="280" w:lineRule="exact"/>
              <w:ind w:left="360"/>
              <w:contextualSpacing w:val="0"/>
              <w:jc w:val="both"/>
              <w:rPr>
                <w:rFonts w:ascii="Times New Roman" w:eastAsia="Times New Roman" w:hAnsi="Times New Roman" w:cs="Times New Roman"/>
              </w:rPr>
            </w:pPr>
            <w:r>
              <w:rPr>
                <w:rFonts w:ascii="Times New Roman" w:hAnsi="Times New Roman"/>
              </w:rPr>
              <w:t>Разработать усовершенствованный стандартизированный шаблон соглашения об обмене данными, сохраняя при этом возможность адаптации к потребностям каждого ведомства. Шаблон должен охватывать, помимо прочего, операционные ожидания, включая взаимно согласованные периодичность обновлений и сроки предоставления данных.</w:t>
            </w:r>
          </w:p>
          <w:p w14:paraId="1DC20E06" w14:textId="2027D7E1" w:rsidR="00662CC7" w:rsidRPr="003C5A16" w:rsidRDefault="5DAED50B" w:rsidP="003C5A16">
            <w:pPr>
              <w:pStyle w:val="ListParagraph"/>
              <w:numPr>
                <w:ilvl w:val="0"/>
                <w:numId w:val="12"/>
              </w:numPr>
              <w:spacing w:before="120" w:after="120" w:line="280" w:lineRule="exact"/>
              <w:ind w:left="357" w:hanging="357"/>
              <w:contextualSpacing w:val="0"/>
              <w:jc w:val="both"/>
              <w:rPr>
                <w:rFonts w:ascii="Times New Roman" w:eastAsia="Times New Roman" w:hAnsi="Times New Roman" w:cs="Times New Roman"/>
              </w:rPr>
            </w:pPr>
            <w:r>
              <w:rPr>
                <w:rFonts w:ascii="Times New Roman" w:hAnsi="Times New Roman"/>
              </w:rPr>
              <w:t>Пересмотреть действующие соглашения, чтобы определить приоритетность взаимодействия с ведомствами ИС в целях расширения охвата прав ИС, то есть патентов, товарных знаков и промышленных образцов.</w:t>
            </w:r>
          </w:p>
        </w:tc>
      </w:tr>
      <w:tr w:rsidR="56FBB274" w:rsidRPr="00EF3506" w14:paraId="7B0CC166" w14:textId="77777777" w:rsidTr="00BE31A8">
        <w:trPr>
          <w:trHeight w:val="75"/>
        </w:trPr>
        <w:tc>
          <w:tcPr>
            <w:tcW w:w="8659" w:type="dxa"/>
            <w:shd w:val="clear" w:color="auto" w:fill="DEEAF6" w:themeFill="accent1" w:themeFillTint="33"/>
            <w:tcMar>
              <w:left w:w="108" w:type="dxa"/>
              <w:right w:w="108" w:type="dxa"/>
            </w:tcMar>
          </w:tcPr>
          <w:p w14:paraId="443B97DE" w14:textId="411AAFA7" w:rsidR="56FBB274" w:rsidRPr="00EF3506" w:rsidRDefault="5DAED50B" w:rsidP="000079BF">
            <w:pPr>
              <w:spacing w:before="120" w:after="120" w:line="280" w:lineRule="exact"/>
              <w:rPr>
                <w:rFonts w:ascii="Times New Roman" w:eastAsia="Times New Roman" w:hAnsi="Times New Roman" w:cs="Times New Roman"/>
                <w:b/>
                <w:bCs/>
              </w:rPr>
            </w:pPr>
            <w:r>
              <w:rPr>
                <w:rFonts w:ascii="Times New Roman" w:hAnsi="Times New Roman"/>
                <w:b/>
              </w:rPr>
              <w:t xml:space="preserve">Ответ руководства: </w:t>
            </w:r>
          </w:p>
          <w:p w14:paraId="31C4BB9E" w14:textId="427D3581" w:rsidR="56FBB274" w:rsidRPr="00EF3506" w:rsidRDefault="00B65778"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color w:val="333333"/>
              </w:rPr>
              <w:t>Руководство согласно с этой рекомендацией.</w:t>
            </w:r>
          </w:p>
          <w:p w14:paraId="0B75BC39" w14:textId="3CDBD339" w:rsidR="56FBB274" w:rsidRPr="00EF3506" w:rsidRDefault="00161889"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b/>
                <w:color w:val="333333"/>
              </w:rPr>
              <w:t>Рекомендация 9.a:</w:t>
            </w:r>
            <w:r>
              <w:rPr>
                <w:rFonts w:ascii="Times New Roman" w:hAnsi="Times New Roman"/>
                <w:color w:val="333333"/>
              </w:rPr>
              <w:t xml:space="preserve"> Мы пересмотрим наш шаблон соглашения об обмене данными, чтобы включить в него более подробные операционные спецификации, к четвертому кварталу 2026 года.</w:t>
            </w:r>
          </w:p>
          <w:p w14:paraId="149CD136" w14:textId="5842FC1C" w:rsidR="56FBB274" w:rsidRPr="00EF3506" w:rsidRDefault="00161889" w:rsidP="000079BF">
            <w:pPr>
              <w:tabs>
                <w:tab w:val="left" w:pos="567"/>
              </w:tabs>
              <w:spacing w:before="120" w:after="120" w:line="280" w:lineRule="exact"/>
              <w:jc w:val="both"/>
              <w:rPr>
                <w:rFonts w:ascii="Times New Roman" w:eastAsia="Times New Roman" w:hAnsi="Times New Roman" w:cs="Times New Roman"/>
                <w:color w:val="333333"/>
              </w:rPr>
            </w:pPr>
            <w:r>
              <w:rPr>
                <w:rFonts w:ascii="Times New Roman" w:hAnsi="Times New Roman"/>
                <w:b/>
                <w:color w:val="333333"/>
              </w:rPr>
              <w:t>Рекомендация 9.b:</w:t>
            </w:r>
            <w:r>
              <w:rPr>
                <w:rFonts w:ascii="Times New Roman" w:hAnsi="Times New Roman"/>
                <w:color w:val="333333"/>
              </w:rPr>
              <w:t xml:space="preserve"> Пересмотр действующих соглашений с ведомствами ИС предусматривается как долгосрочная работа ввиду большого числа таких соглашений и ограниченных возможностей многих ведомств ИС проводить дополнительный юридический анализ в краткосрочной перспективе. Ожидается, что этот пересмотр будет проводиться с четвертого квартала 2026 года до конца 2027 года.</w:t>
            </w:r>
          </w:p>
        </w:tc>
      </w:tr>
    </w:tbl>
    <w:p w14:paraId="1EE319E6" w14:textId="3C4DE2D5" w:rsidR="316211C0" w:rsidRPr="00EF3506" w:rsidRDefault="316211C0" w:rsidP="56FBB274">
      <w:pPr>
        <w:spacing w:line="257" w:lineRule="auto"/>
        <w:jc w:val="both"/>
        <w:rPr>
          <w:rFonts w:ascii="Times New Roman" w:eastAsia="Times New Roman" w:hAnsi="Times New Roman" w:cs="Times New Roman"/>
        </w:rPr>
      </w:pPr>
      <w:r>
        <w:rPr>
          <w:rFonts w:ascii="Times New Roman" w:hAnsi="Times New Roman"/>
        </w:rPr>
        <w:t xml:space="preserve"> </w:t>
      </w:r>
    </w:p>
    <w:p w14:paraId="6B5DD995" w14:textId="10E2DA43" w:rsidR="316211C0" w:rsidRPr="00E45196" w:rsidRDefault="00BE31A8" w:rsidP="00BE31A8">
      <w:pPr>
        <w:pStyle w:val="Heading6"/>
        <w:spacing w:before="120" w:after="120" w:line="280" w:lineRule="exact"/>
        <w:ind w:left="378"/>
        <w:rPr>
          <w:rFonts w:eastAsia="Times New Roman" w:cs="Times New Roman"/>
        </w:rPr>
      </w:pPr>
      <w:bookmarkStart w:id="184" w:name="_Toc230784934"/>
      <w:r>
        <w:t>Расширение охвата данных для глобальных баз данных ВОИС</w:t>
      </w:r>
      <w:bookmarkEnd w:id="184"/>
    </w:p>
    <w:p w14:paraId="24B53226" w14:textId="07CA7B34" w:rsidR="316211C0" w:rsidRPr="00EF3506" w:rsidRDefault="316211C0" w:rsidP="00161889">
      <w:pPr>
        <w:pStyle w:val="LFARPara"/>
        <w:spacing w:before="120"/>
        <w:ind w:left="850" w:hanging="493"/>
      </w:pPr>
      <w:r>
        <w:t>Глобальные базы данных ВОИС (PATENTSCOPE, Глобальная база данных по брендам (ГБДБ) и Глобальная база данных по образцам (ГБДО)) объединяют записи об интеллектуальной собственности со всего мира, что делает их незаменимыми инструментами для экспертов, ведомств ИС, исследователей и других пользователей. PATENTSCOPE, ГБДБ и ГБДО содержат соответственно 126</w:t>
      </w:r>
      <w:r w:rsidR="00196BE7">
        <w:t> </w:t>
      </w:r>
      <w:r>
        <w:t>млн патентных записей по линии PCT и из 84 источников; 72</w:t>
      </w:r>
      <w:r w:rsidR="00196BE7">
        <w:t> </w:t>
      </w:r>
      <w:r>
        <w:t>млн записей о товарных знаках из 88</w:t>
      </w:r>
      <w:r w:rsidR="00196BE7">
        <w:t> </w:t>
      </w:r>
      <w:r>
        <w:t>источников (включая статью 6ter Парижской конвенции, Международную систему наименований мест происхождения, Мадридскую систему ВОИС по международной охране товарных знаков и международные непатентованные наименования Всемирной организации здравоохранения); и 18</w:t>
      </w:r>
      <w:r w:rsidR="00196BE7">
        <w:t> </w:t>
      </w:r>
      <w:r>
        <w:t>млн записей о промышленных образцах из 41</w:t>
      </w:r>
      <w:r w:rsidR="00196BE7">
        <w:t> </w:t>
      </w:r>
      <w:r>
        <w:t xml:space="preserve">источника (включая Гаагскую систему ВОИС по международной охране промышленных образцов). Точность, полнота и своевременность поступающих данных имеют для пользователей крайне важное значение в соответствии со стратегическим </w:t>
      </w:r>
      <w:r>
        <w:lastRenderedPageBreak/>
        <w:t>направлением</w:t>
      </w:r>
      <w:r w:rsidR="00196BE7">
        <w:t> </w:t>
      </w:r>
      <w:r>
        <w:t>3 ВОИС, предусматривающим предоставление высококачественных услуг, знаний и данных в области ИС, приносящих пользу пользователям во всем мире.</w:t>
      </w:r>
    </w:p>
    <w:p w14:paraId="677E90A9" w14:textId="73045C20" w:rsidR="316211C0" w:rsidRDefault="316211C0" w:rsidP="00161889">
      <w:pPr>
        <w:pStyle w:val="LFARPara"/>
        <w:spacing w:before="120"/>
        <w:ind w:left="850" w:hanging="493"/>
      </w:pPr>
      <w:r>
        <w:t xml:space="preserve">В ходе аудита были выявлены потенциальные области для улучшения использования глобальных баз данных ВОИС, а именно: </w:t>
      </w:r>
    </w:p>
    <w:p w14:paraId="2E1FE5A3" w14:textId="01C1D064" w:rsidR="316211C0" w:rsidRPr="00EF3506" w:rsidRDefault="316211C0" w:rsidP="6ADD5045">
      <w:pPr>
        <w:pStyle w:val="ListParagraph"/>
        <w:numPr>
          <w:ilvl w:val="0"/>
          <w:numId w:val="26"/>
        </w:numPr>
        <w:spacing w:before="120" w:after="120" w:line="280" w:lineRule="exact"/>
        <w:contextualSpacing w:val="0"/>
        <w:jc w:val="both"/>
        <w:rPr>
          <w:rFonts w:ascii="Times New Roman" w:eastAsia="Times New Roman" w:hAnsi="Times New Roman" w:cs="Times New Roman"/>
          <w:b/>
          <w:bCs/>
          <w:i/>
          <w:iCs/>
        </w:rPr>
      </w:pPr>
      <w:r>
        <w:rPr>
          <w:rFonts w:ascii="Times New Roman" w:hAnsi="Times New Roman"/>
          <w:b/>
          <w:i/>
        </w:rPr>
        <w:t>Расширение охвата данных</w:t>
      </w:r>
    </w:p>
    <w:p w14:paraId="40B79263" w14:textId="0F44B35C" w:rsidR="316211C0" w:rsidRPr="00FC5D7E" w:rsidRDefault="00FC5D7E" w:rsidP="00FC5D7E">
      <w:pPr>
        <w:spacing w:before="120" w:after="120" w:line="280" w:lineRule="exact"/>
        <w:ind w:firstLine="420"/>
        <w:jc w:val="both"/>
        <w:rPr>
          <w:rFonts w:ascii="Times New Roman" w:eastAsia="Times New Roman" w:hAnsi="Times New Roman" w:cs="Times New Roman"/>
          <w:b/>
          <w:i/>
        </w:rPr>
      </w:pPr>
      <w:r>
        <w:rPr>
          <w:rFonts w:ascii="Times New Roman" w:hAnsi="Times New Roman"/>
          <w:b/>
          <w:i/>
        </w:rPr>
        <w:t>1) Некоторые коллекции не обновлялись годами</w:t>
      </w:r>
    </w:p>
    <w:p w14:paraId="72D5E407" w14:textId="77777777" w:rsidR="00121B6D" w:rsidRDefault="316211C0" w:rsidP="00161889">
      <w:pPr>
        <w:pStyle w:val="LFARPara"/>
        <w:spacing w:before="120"/>
        <w:ind w:left="850" w:hanging="493"/>
      </w:pPr>
      <w:r>
        <w:t>Обзор страницы охвата данных PATENTSCOPE и доступной информации в ГБДБ и ГБДО выявил множество национальных коллекций, по которым обновления данных не поступали в течение длительного периода времени — в отдельных случаях на протяжении десятилетия и более. В таблице ниже приведены наглядные примеры.</w:t>
      </w:r>
    </w:p>
    <w:p w14:paraId="16E6BA8E" w14:textId="3731B1F6" w:rsidR="005B4F82" w:rsidRPr="00EF3506" w:rsidRDefault="005B4F82" w:rsidP="00EE62C3">
      <w:pPr>
        <w:pStyle w:val="Caption"/>
      </w:pPr>
      <w:bookmarkStart w:id="185" w:name="_Toc227253898"/>
      <w:bookmarkStart w:id="186" w:name="_Toc227254538"/>
      <w:bookmarkStart w:id="187" w:name="_Toc227254984"/>
      <w:bookmarkStart w:id="188" w:name="_Toc230784944"/>
      <w:r>
        <w:t xml:space="preserve">Таблица </w:t>
      </w:r>
      <w:r w:rsidRPr="66DE4C64">
        <w:fldChar w:fldCharType="begin"/>
      </w:r>
      <w:r>
        <w:instrText xml:space="preserve"> SEQ Table \* ARABIC </w:instrText>
      </w:r>
      <w:r w:rsidRPr="66DE4C64">
        <w:fldChar w:fldCharType="separate"/>
      </w:r>
      <w:r w:rsidR="008F0391">
        <w:rPr>
          <w:noProof/>
        </w:rPr>
        <w:t>3</w:t>
      </w:r>
      <w:r w:rsidRPr="66DE4C64">
        <w:fldChar w:fldCharType="end"/>
      </w:r>
      <w:r>
        <w:t>.</w:t>
      </w:r>
      <w:bookmarkEnd w:id="185"/>
      <w:r>
        <w:tab/>
        <w:t>Фонды ведомств ИС с нечастыми обновлениями</w:t>
      </w:r>
      <w:bookmarkEnd w:id="186"/>
      <w:bookmarkEnd w:id="187"/>
      <w:bookmarkEnd w:id="188"/>
    </w:p>
    <w:tbl>
      <w:tblPr>
        <w:tblW w:w="8491" w:type="dxa"/>
        <w:tblInd w:w="895" w:type="dxa"/>
        <w:tblLook w:val="04A0" w:firstRow="1" w:lastRow="0" w:firstColumn="1" w:lastColumn="0" w:noHBand="0" w:noVBand="1"/>
      </w:tblPr>
      <w:tblGrid>
        <w:gridCol w:w="716"/>
        <w:gridCol w:w="1503"/>
        <w:gridCol w:w="1823"/>
        <w:gridCol w:w="1104"/>
        <w:gridCol w:w="1184"/>
        <w:gridCol w:w="2161"/>
      </w:tblGrid>
      <w:tr w:rsidR="008C233D" w:rsidRPr="00EF3506" w14:paraId="698BB74A" w14:textId="77777777" w:rsidTr="00E85875">
        <w:trPr>
          <w:trHeight w:val="300"/>
          <w:tblHeader/>
        </w:trPr>
        <w:tc>
          <w:tcPr>
            <w:tcW w:w="716" w:type="dxa"/>
            <w:tcBorders>
              <w:top w:val="single" w:sz="4" w:space="0" w:color="auto"/>
              <w:left w:val="single" w:sz="4" w:space="0" w:color="auto"/>
              <w:bottom w:val="single" w:sz="4" w:space="0" w:color="auto"/>
              <w:right w:val="single" w:sz="4" w:space="0" w:color="auto"/>
            </w:tcBorders>
            <w:shd w:val="clear" w:color="auto" w:fill="D4E1FC"/>
            <w:noWrap/>
            <w:vAlign w:val="center"/>
          </w:tcPr>
          <w:p w14:paraId="124DB8BB" w14:textId="77777777" w:rsidR="008C233D" w:rsidRPr="00EF3506" w:rsidRDefault="7B3E807B" w:rsidP="006B226A">
            <w:pPr>
              <w:jc w:val="center"/>
              <w:rPr>
                <w:b/>
                <w:bCs/>
                <w:color w:val="000000"/>
                <w:sz w:val="16"/>
                <w:szCs w:val="16"/>
              </w:rPr>
            </w:pPr>
            <w:r>
              <w:rPr>
                <w:b/>
                <w:sz w:val="16"/>
              </w:rPr>
              <w:t>№</w:t>
            </w:r>
          </w:p>
        </w:tc>
        <w:tc>
          <w:tcPr>
            <w:tcW w:w="1503"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4AB4A3C4" w14:textId="2627C790" w:rsidR="008C233D" w:rsidRPr="00EF3506" w:rsidRDefault="00161889" w:rsidP="006B226A">
            <w:pPr>
              <w:jc w:val="center"/>
              <w:rPr>
                <w:b/>
                <w:bCs/>
                <w:color w:val="000000"/>
                <w:sz w:val="16"/>
                <w:szCs w:val="16"/>
              </w:rPr>
            </w:pPr>
            <w:r>
              <w:rPr>
                <w:b/>
                <w:sz w:val="16"/>
              </w:rPr>
              <w:t>Ведомство ИС</w:t>
            </w:r>
          </w:p>
        </w:tc>
        <w:tc>
          <w:tcPr>
            <w:tcW w:w="1823"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0EFB7B23" w14:textId="3BFCDB5D" w:rsidR="008C233D" w:rsidRPr="00EF3506" w:rsidRDefault="7B3E807B" w:rsidP="00161889">
            <w:pPr>
              <w:jc w:val="center"/>
              <w:rPr>
                <w:b/>
                <w:bCs/>
                <w:color w:val="000000"/>
                <w:sz w:val="16"/>
                <w:szCs w:val="16"/>
              </w:rPr>
            </w:pPr>
            <w:r>
              <w:rPr>
                <w:b/>
                <w:sz w:val="16"/>
              </w:rPr>
              <w:t>Глобальные базы данных</w:t>
            </w:r>
          </w:p>
        </w:tc>
        <w:tc>
          <w:tcPr>
            <w:tcW w:w="1104"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60AF9487" w14:textId="7A4FB94A" w:rsidR="008C233D" w:rsidRPr="00EF3506" w:rsidRDefault="00161889" w:rsidP="006B226A">
            <w:pPr>
              <w:jc w:val="center"/>
              <w:rPr>
                <w:b/>
                <w:bCs/>
                <w:color w:val="000000"/>
                <w:sz w:val="16"/>
                <w:szCs w:val="16"/>
              </w:rPr>
            </w:pPr>
            <w:r>
              <w:rPr>
                <w:b/>
                <w:sz w:val="16"/>
              </w:rPr>
              <w:t>Последний охват</w:t>
            </w:r>
          </w:p>
        </w:tc>
        <w:tc>
          <w:tcPr>
            <w:tcW w:w="1184"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4AE1DC54" w14:textId="6AE55546" w:rsidR="008C233D" w:rsidRPr="00EF3506" w:rsidRDefault="00161889" w:rsidP="006B226A">
            <w:pPr>
              <w:jc w:val="center"/>
              <w:rPr>
                <w:b/>
                <w:bCs/>
                <w:color w:val="000000"/>
                <w:sz w:val="16"/>
                <w:szCs w:val="16"/>
              </w:rPr>
            </w:pPr>
            <w:r>
              <w:rPr>
                <w:b/>
                <w:sz w:val="16"/>
              </w:rPr>
              <w:t>Последние записи</w:t>
            </w:r>
          </w:p>
        </w:tc>
        <w:tc>
          <w:tcPr>
            <w:tcW w:w="2161"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55CE61D3" w14:textId="77777777" w:rsidR="008C233D" w:rsidRPr="00EF3506" w:rsidRDefault="7B3E807B" w:rsidP="006B226A">
            <w:pPr>
              <w:jc w:val="center"/>
              <w:rPr>
                <w:b/>
                <w:bCs/>
                <w:color w:val="000000"/>
                <w:sz w:val="16"/>
                <w:szCs w:val="16"/>
              </w:rPr>
            </w:pPr>
            <w:r>
              <w:rPr>
                <w:b/>
                <w:sz w:val="16"/>
              </w:rPr>
              <w:t>Примечания</w:t>
            </w:r>
          </w:p>
        </w:tc>
      </w:tr>
      <w:tr w:rsidR="008C233D" w:rsidRPr="00EF3506" w14:paraId="15E028E6"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0037158" w14:textId="77777777" w:rsidR="008C233D" w:rsidRPr="00EF3506" w:rsidRDefault="7B3E807B" w:rsidP="006B226A">
            <w:pPr>
              <w:jc w:val="center"/>
              <w:rPr>
                <w:color w:val="000000"/>
                <w:sz w:val="16"/>
                <w:szCs w:val="16"/>
              </w:rPr>
            </w:pPr>
            <w:r>
              <w:rPr>
                <w:sz w:val="16"/>
              </w:rPr>
              <w:t>1</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0F20002F" w14:textId="77777777" w:rsidR="008C233D" w:rsidRPr="00EF3506" w:rsidRDefault="7B3E807B" w:rsidP="006B226A">
            <w:pPr>
              <w:rPr>
                <w:color w:val="000000"/>
                <w:sz w:val="16"/>
                <w:szCs w:val="16"/>
              </w:rPr>
            </w:pPr>
            <w:r>
              <w:rPr>
                <w:sz w:val="16"/>
              </w:rPr>
              <w:t>Гватемала</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9B3BBED" w14:textId="77777777" w:rsidR="008C233D" w:rsidRPr="00EF3506" w:rsidRDefault="7B3E807B" w:rsidP="006B226A">
            <w:pPr>
              <w:rPr>
                <w:color w:val="000000"/>
                <w:sz w:val="16"/>
                <w:szCs w:val="16"/>
              </w:rPr>
            </w:pPr>
            <w:r>
              <w:rPr>
                <w:sz w:val="16"/>
              </w:rPr>
              <w:t>PATENTSCOPE</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5F3D5D6B" w14:textId="77777777" w:rsidR="008C233D" w:rsidRPr="00EF3506" w:rsidRDefault="7B3E807B" w:rsidP="006B226A">
            <w:pPr>
              <w:jc w:val="right"/>
              <w:rPr>
                <w:color w:val="000000"/>
                <w:sz w:val="16"/>
                <w:szCs w:val="16"/>
              </w:rPr>
            </w:pPr>
            <w:r>
              <w:rPr>
                <w:sz w:val="16"/>
              </w:rPr>
              <w:t>13/11/2019</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5035C868" w14:textId="77777777" w:rsidR="008C233D" w:rsidRPr="00EF3506" w:rsidRDefault="7B3E807B" w:rsidP="006B226A">
            <w:pPr>
              <w:jc w:val="right"/>
              <w:rPr>
                <w:color w:val="000000"/>
                <w:sz w:val="16"/>
                <w:szCs w:val="16"/>
              </w:rPr>
            </w:pPr>
            <w:r>
              <w:rPr>
                <w:sz w:val="16"/>
              </w:rPr>
              <w:t>7 906</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3A562542" w14:textId="77777777" w:rsidR="008C233D" w:rsidRPr="00EF3506" w:rsidRDefault="7B3E807B" w:rsidP="006B226A">
            <w:pPr>
              <w:rPr>
                <w:color w:val="000000"/>
                <w:sz w:val="16"/>
                <w:szCs w:val="16"/>
              </w:rPr>
            </w:pPr>
            <w:r>
              <w:rPr>
                <w:sz w:val="16"/>
              </w:rPr>
              <w:t xml:space="preserve"> Не обновлялась &gt; 5 лет </w:t>
            </w:r>
          </w:p>
        </w:tc>
      </w:tr>
      <w:tr w:rsidR="008C233D" w:rsidRPr="00EF3506" w14:paraId="73856FE5"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538DC3D0" w14:textId="77777777" w:rsidR="008C233D" w:rsidRPr="00EF3506" w:rsidRDefault="7B3E807B" w:rsidP="006B226A">
            <w:pPr>
              <w:jc w:val="center"/>
              <w:rPr>
                <w:color w:val="000000"/>
                <w:sz w:val="16"/>
                <w:szCs w:val="16"/>
              </w:rPr>
            </w:pPr>
            <w:r>
              <w:rPr>
                <w:sz w:val="16"/>
              </w:rPr>
              <w:t>2</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009DEE9D" w14:textId="77777777" w:rsidR="008C233D" w:rsidRPr="00EF3506" w:rsidRDefault="7B3E807B" w:rsidP="006B226A">
            <w:pPr>
              <w:rPr>
                <w:color w:val="000000"/>
                <w:sz w:val="16"/>
                <w:szCs w:val="16"/>
              </w:rPr>
            </w:pPr>
            <w:r>
              <w:rPr>
                <w:sz w:val="16"/>
              </w:rPr>
              <w:t>Гондурас</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5D7ADAA" w14:textId="77777777" w:rsidR="008C233D" w:rsidRPr="00EF3506" w:rsidRDefault="7B3E807B" w:rsidP="006B226A">
            <w:pPr>
              <w:rPr>
                <w:color w:val="000000"/>
                <w:sz w:val="16"/>
                <w:szCs w:val="16"/>
              </w:rPr>
            </w:pPr>
            <w:r>
              <w:rPr>
                <w:sz w:val="16"/>
              </w:rPr>
              <w:t>PATENTSCOPE</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7E2E282C" w14:textId="77777777" w:rsidR="008C233D" w:rsidRPr="00EF3506" w:rsidRDefault="7B3E807B" w:rsidP="006B226A">
            <w:pPr>
              <w:jc w:val="right"/>
              <w:rPr>
                <w:color w:val="000000"/>
                <w:sz w:val="16"/>
                <w:szCs w:val="16"/>
              </w:rPr>
            </w:pPr>
            <w:r>
              <w:rPr>
                <w:sz w:val="16"/>
              </w:rPr>
              <w:t>27/04/2015</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4BC82E59" w14:textId="77777777" w:rsidR="008C233D" w:rsidRPr="00EF3506" w:rsidRDefault="7B3E807B" w:rsidP="006B226A">
            <w:pPr>
              <w:jc w:val="right"/>
              <w:rPr>
                <w:color w:val="000000"/>
                <w:sz w:val="16"/>
                <w:szCs w:val="16"/>
              </w:rPr>
            </w:pPr>
            <w:r>
              <w:rPr>
                <w:sz w:val="16"/>
              </w:rPr>
              <w:t>407</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59A6EAAA" w14:textId="77777777" w:rsidR="008C233D" w:rsidRPr="00EF3506" w:rsidRDefault="7B3E807B" w:rsidP="006B226A">
            <w:pPr>
              <w:rPr>
                <w:color w:val="000000"/>
                <w:sz w:val="16"/>
                <w:szCs w:val="16"/>
              </w:rPr>
            </w:pPr>
            <w:r>
              <w:rPr>
                <w:sz w:val="16"/>
              </w:rPr>
              <w:t xml:space="preserve"> Не обновлялась &gt; 10 лет </w:t>
            </w:r>
          </w:p>
        </w:tc>
      </w:tr>
      <w:tr w:rsidR="008C233D" w:rsidRPr="00EF3506" w14:paraId="7B6970F4"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612292DC" w14:textId="77777777" w:rsidR="008C233D" w:rsidRPr="00EF3506" w:rsidRDefault="7B3E807B" w:rsidP="006B226A">
            <w:pPr>
              <w:jc w:val="center"/>
              <w:rPr>
                <w:color w:val="000000"/>
                <w:sz w:val="16"/>
                <w:szCs w:val="16"/>
              </w:rPr>
            </w:pPr>
            <w:r>
              <w:rPr>
                <w:sz w:val="16"/>
              </w:rPr>
              <w:t>3</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0668E6B4" w14:textId="77777777" w:rsidR="008C233D" w:rsidRPr="00EF3506" w:rsidRDefault="7B3E807B" w:rsidP="006B226A">
            <w:pPr>
              <w:rPr>
                <w:color w:val="000000"/>
                <w:sz w:val="16"/>
                <w:szCs w:val="16"/>
              </w:rPr>
            </w:pPr>
            <w:r>
              <w:rPr>
                <w:sz w:val="16"/>
              </w:rPr>
              <w:t>Панама</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16746A2" w14:textId="77777777" w:rsidR="008C233D" w:rsidRPr="00EF3506" w:rsidRDefault="7B3E807B" w:rsidP="006B226A">
            <w:pPr>
              <w:rPr>
                <w:color w:val="000000"/>
                <w:sz w:val="16"/>
                <w:szCs w:val="16"/>
              </w:rPr>
            </w:pPr>
            <w:r>
              <w:rPr>
                <w:sz w:val="16"/>
              </w:rPr>
              <w:t>PATENTSCOPE</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720D7403" w14:textId="77777777" w:rsidR="008C233D" w:rsidRPr="00EF3506" w:rsidRDefault="7B3E807B" w:rsidP="006B226A">
            <w:pPr>
              <w:jc w:val="right"/>
              <w:rPr>
                <w:color w:val="000000"/>
                <w:sz w:val="16"/>
                <w:szCs w:val="16"/>
              </w:rPr>
            </w:pPr>
            <w:r>
              <w:rPr>
                <w:sz w:val="16"/>
              </w:rPr>
              <w:t>29/10/2013</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09289C04" w14:textId="77777777" w:rsidR="008C233D" w:rsidRPr="00EF3506" w:rsidRDefault="7B3E807B" w:rsidP="006B226A">
            <w:pPr>
              <w:jc w:val="right"/>
              <w:rPr>
                <w:color w:val="000000"/>
                <w:sz w:val="16"/>
                <w:szCs w:val="16"/>
              </w:rPr>
            </w:pPr>
            <w:r>
              <w:rPr>
                <w:sz w:val="16"/>
              </w:rPr>
              <w:t>2 943</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75F60D4E" w14:textId="77777777" w:rsidR="008C233D" w:rsidRPr="00EF3506" w:rsidRDefault="7B3E807B" w:rsidP="006B226A">
            <w:pPr>
              <w:rPr>
                <w:color w:val="000000"/>
                <w:sz w:val="16"/>
                <w:szCs w:val="16"/>
              </w:rPr>
            </w:pPr>
            <w:r>
              <w:rPr>
                <w:sz w:val="16"/>
              </w:rPr>
              <w:t xml:space="preserve"> Не обновлялась &gt; 10 лет </w:t>
            </w:r>
          </w:p>
        </w:tc>
      </w:tr>
      <w:tr w:rsidR="008C233D" w:rsidRPr="00EF3506" w14:paraId="25C70E55"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71F3827" w14:textId="77777777" w:rsidR="008C233D" w:rsidRPr="00EF3506" w:rsidRDefault="7B3E807B" w:rsidP="006B226A">
            <w:pPr>
              <w:jc w:val="center"/>
              <w:rPr>
                <w:color w:val="000000"/>
                <w:sz w:val="16"/>
                <w:szCs w:val="16"/>
              </w:rPr>
            </w:pPr>
            <w:r>
              <w:rPr>
                <w:sz w:val="16"/>
              </w:rPr>
              <w:t>4</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23B9FF38" w14:textId="77777777" w:rsidR="008C233D" w:rsidRPr="00EF3506" w:rsidRDefault="7B3E807B" w:rsidP="006B226A">
            <w:pPr>
              <w:rPr>
                <w:color w:val="000000"/>
                <w:sz w:val="16"/>
                <w:szCs w:val="16"/>
              </w:rPr>
            </w:pPr>
            <w:r>
              <w:rPr>
                <w:sz w:val="16"/>
              </w:rPr>
              <w:t>Южная Африка</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3180D306" w14:textId="77777777" w:rsidR="008C233D" w:rsidRPr="00EF3506" w:rsidRDefault="7B3E807B" w:rsidP="006B226A">
            <w:pPr>
              <w:rPr>
                <w:color w:val="000000"/>
                <w:sz w:val="16"/>
                <w:szCs w:val="16"/>
              </w:rPr>
            </w:pPr>
            <w:r>
              <w:rPr>
                <w:sz w:val="16"/>
              </w:rPr>
              <w:t>PATENTSCOPE</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362C5231" w14:textId="77777777" w:rsidR="008C233D" w:rsidRPr="00EF3506" w:rsidRDefault="7B3E807B" w:rsidP="006B226A">
            <w:pPr>
              <w:jc w:val="right"/>
              <w:rPr>
                <w:color w:val="000000"/>
                <w:sz w:val="16"/>
                <w:szCs w:val="16"/>
              </w:rPr>
            </w:pPr>
            <w:r>
              <w:rPr>
                <w:sz w:val="16"/>
              </w:rPr>
              <w:t>29/07/2015</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5D59E070" w14:textId="77777777" w:rsidR="008C233D" w:rsidRPr="00EF3506" w:rsidRDefault="7B3E807B" w:rsidP="006B226A">
            <w:pPr>
              <w:jc w:val="right"/>
              <w:rPr>
                <w:color w:val="000000"/>
                <w:sz w:val="16"/>
                <w:szCs w:val="16"/>
              </w:rPr>
            </w:pPr>
            <w:r>
              <w:rPr>
                <w:sz w:val="16"/>
              </w:rPr>
              <w:t>151 921</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5C042332" w14:textId="77777777" w:rsidR="008C233D" w:rsidRPr="00EF3506" w:rsidRDefault="7B3E807B" w:rsidP="006B226A">
            <w:pPr>
              <w:rPr>
                <w:color w:val="000000"/>
                <w:sz w:val="16"/>
                <w:szCs w:val="16"/>
              </w:rPr>
            </w:pPr>
            <w:r>
              <w:rPr>
                <w:sz w:val="16"/>
              </w:rPr>
              <w:t xml:space="preserve"> Не обновлялась &gt; 10 лет </w:t>
            </w:r>
          </w:p>
        </w:tc>
      </w:tr>
      <w:tr w:rsidR="008C233D" w:rsidRPr="00EF3506" w14:paraId="66D8A32E" w14:textId="77777777" w:rsidTr="00E85875">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607D8C33" w14:textId="77777777" w:rsidR="008C233D" w:rsidRPr="00EF3506" w:rsidRDefault="7B3E807B" w:rsidP="006B226A">
            <w:pPr>
              <w:jc w:val="center"/>
              <w:rPr>
                <w:color w:val="000000"/>
                <w:sz w:val="16"/>
                <w:szCs w:val="16"/>
              </w:rPr>
            </w:pPr>
            <w:r>
              <w:rPr>
                <w:sz w:val="16"/>
              </w:rPr>
              <w:t>5</w:t>
            </w:r>
          </w:p>
        </w:tc>
        <w:tc>
          <w:tcPr>
            <w:tcW w:w="1503" w:type="dxa"/>
            <w:tcBorders>
              <w:top w:val="single" w:sz="4" w:space="0" w:color="auto"/>
              <w:left w:val="none" w:sz="4" w:space="0" w:color="000000" w:themeColor="text1"/>
              <w:bottom w:val="single" w:sz="4" w:space="0" w:color="auto"/>
              <w:right w:val="single" w:sz="4" w:space="0" w:color="auto"/>
            </w:tcBorders>
            <w:noWrap/>
            <w:vAlign w:val="center"/>
          </w:tcPr>
          <w:p w14:paraId="4B7858A5" w14:textId="77777777" w:rsidR="008C233D" w:rsidRPr="00EF3506" w:rsidRDefault="7B3E807B" w:rsidP="006B226A">
            <w:pPr>
              <w:rPr>
                <w:color w:val="000000"/>
                <w:sz w:val="16"/>
                <w:szCs w:val="16"/>
              </w:rPr>
            </w:pPr>
            <w:r>
              <w:rPr>
                <w:sz w:val="16"/>
              </w:rPr>
              <w:t>Объединенные Арабские Эмираты</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62ED7CCB" w14:textId="77777777" w:rsidR="008C233D" w:rsidRPr="00EF3506" w:rsidRDefault="7B3E807B" w:rsidP="006B226A">
            <w:pPr>
              <w:rPr>
                <w:color w:val="000000"/>
                <w:sz w:val="16"/>
                <w:szCs w:val="16"/>
              </w:rPr>
            </w:pPr>
            <w:r>
              <w:rPr>
                <w:sz w:val="16"/>
              </w:rPr>
              <w:t>PATENTSCOPE</w:t>
            </w:r>
          </w:p>
        </w:tc>
        <w:tc>
          <w:tcPr>
            <w:tcW w:w="1104" w:type="dxa"/>
            <w:tcBorders>
              <w:top w:val="single" w:sz="4" w:space="0" w:color="auto"/>
              <w:left w:val="none" w:sz="4" w:space="0" w:color="000000" w:themeColor="text1"/>
              <w:bottom w:val="single" w:sz="4" w:space="0" w:color="auto"/>
              <w:right w:val="single" w:sz="4" w:space="0" w:color="auto"/>
            </w:tcBorders>
            <w:noWrap/>
            <w:vAlign w:val="center"/>
          </w:tcPr>
          <w:p w14:paraId="4BD96331" w14:textId="77777777" w:rsidR="008C233D" w:rsidRPr="00EF3506" w:rsidRDefault="7B3E807B" w:rsidP="006B226A">
            <w:pPr>
              <w:jc w:val="right"/>
              <w:rPr>
                <w:color w:val="000000"/>
                <w:sz w:val="16"/>
                <w:szCs w:val="16"/>
              </w:rPr>
            </w:pPr>
            <w:r>
              <w:rPr>
                <w:sz w:val="16"/>
              </w:rPr>
              <w:t>02/01/2013</w:t>
            </w:r>
          </w:p>
        </w:tc>
        <w:tc>
          <w:tcPr>
            <w:tcW w:w="1184" w:type="dxa"/>
            <w:tcBorders>
              <w:top w:val="single" w:sz="4" w:space="0" w:color="auto"/>
              <w:left w:val="none" w:sz="4" w:space="0" w:color="000000" w:themeColor="text1"/>
              <w:bottom w:val="single" w:sz="4" w:space="0" w:color="auto"/>
              <w:right w:val="single" w:sz="4" w:space="0" w:color="auto"/>
            </w:tcBorders>
            <w:noWrap/>
            <w:vAlign w:val="center"/>
          </w:tcPr>
          <w:p w14:paraId="6DBF3AC5" w14:textId="77777777" w:rsidR="008C233D" w:rsidRPr="00EF3506" w:rsidRDefault="7B3E807B" w:rsidP="006B226A">
            <w:pPr>
              <w:jc w:val="right"/>
              <w:rPr>
                <w:color w:val="000000"/>
                <w:sz w:val="16"/>
                <w:szCs w:val="16"/>
              </w:rPr>
            </w:pPr>
            <w:r>
              <w:rPr>
                <w:sz w:val="16"/>
              </w:rPr>
              <w:t>234</w:t>
            </w:r>
          </w:p>
        </w:tc>
        <w:tc>
          <w:tcPr>
            <w:tcW w:w="2161" w:type="dxa"/>
            <w:tcBorders>
              <w:top w:val="single" w:sz="4" w:space="0" w:color="auto"/>
              <w:left w:val="none" w:sz="4" w:space="0" w:color="000000" w:themeColor="text1"/>
              <w:bottom w:val="single" w:sz="4" w:space="0" w:color="auto"/>
              <w:right w:val="single" w:sz="4" w:space="0" w:color="auto"/>
            </w:tcBorders>
            <w:noWrap/>
            <w:vAlign w:val="center"/>
          </w:tcPr>
          <w:p w14:paraId="5C3E8DF4" w14:textId="77777777" w:rsidR="008C233D" w:rsidRPr="00EF3506" w:rsidRDefault="7B3E807B" w:rsidP="006B226A">
            <w:pPr>
              <w:rPr>
                <w:color w:val="000000"/>
                <w:sz w:val="16"/>
                <w:szCs w:val="16"/>
              </w:rPr>
            </w:pPr>
            <w:r>
              <w:rPr>
                <w:sz w:val="16"/>
              </w:rPr>
              <w:t xml:space="preserve"> Не обновлялась &gt; 10 лет </w:t>
            </w:r>
          </w:p>
        </w:tc>
      </w:tr>
      <w:tr w:rsidR="008C233D" w:rsidRPr="00EF3506" w14:paraId="6869D7CD" w14:textId="77777777" w:rsidTr="00E85875">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1FF8F7E0" w14:textId="77777777" w:rsidR="008C233D" w:rsidRPr="00EF3506" w:rsidRDefault="7B3E807B" w:rsidP="006B226A">
            <w:pPr>
              <w:jc w:val="center"/>
              <w:rPr>
                <w:color w:val="000000"/>
                <w:sz w:val="16"/>
                <w:szCs w:val="16"/>
              </w:rPr>
            </w:pPr>
            <w:r>
              <w:rPr>
                <w:sz w:val="16"/>
              </w:rPr>
              <w:t>6</w:t>
            </w:r>
          </w:p>
        </w:tc>
        <w:tc>
          <w:tcPr>
            <w:tcW w:w="1503" w:type="dxa"/>
            <w:tcBorders>
              <w:top w:val="single" w:sz="4" w:space="0" w:color="auto"/>
              <w:left w:val="none" w:sz="4" w:space="0" w:color="000000" w:themeColor="text1"/>
              <w:bottom w:val="single" w:sz="4" w:space="0" w:color="auto"/>
              <w:right w:val="single" w:sz="4" w:space="0" w:color="auto"/>
            </w:tcBorders>
            <w:noWrap/>
            <w:vAlign w:val="center"/>
          </w:tcPr>
          <w:p w14:paraId="2D4A0FE3" w14:textId="77777777" w:rsidR="008C233D" w:rsidRPr="00EF3506" w:rsidRDefault="7B3E807B" w:rsidP="006B226A">
            <w:pPr>
              <w:rPr>
                <w:color w:val="000000"/>
                <w:sz w:val="16"/>
                <w:szCs w:val="16"/>
              </w:rPr>
            </w:pPr>
            <w:r>
              <w:rPr>
                <w:sz w:val="16"/>
              </w:rPr>
              <w:t>Чили</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0D504432"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single" w:sz="4" w:space="0" w:color="auto"/>
              <w:left w:val="none" w:sz="4" w:space="0" w:color="000000" w:themeColor="text1"/>
              <w:bottom w:val="single" w:sz="4" w:space="0" w:color="auto"/>
              <w:right w:val="single" w:sz="4" w:space="0" w:color="auto"/>
            </w:tcBorders>
            <w:noWrap/>
            <w:vAlign w:val="center"/>
          </w:tcPr>
          <w:p w14:paraId="5B54E5A3" w14:textId="77777777" w:rsidR="008C233D" w:rsidRPr="00EF3506" w:rsidRDefault="7B3E807B" w:rsidP="006B226A">
            <w:pPr>
              <w:jc w:val="right"/>
              <w:rPr>
                <w:color w:val="000000"/>
                <w:sz w:val="16"/>
                <w:szCs w:val="16"/>
              </w:rPr>
            </w:pPr>
            <w:r>
              <w:rPr>
                <w:sz w:val="16"/>
              </w:rPr>
              <w:t>28/08/2018</w:t>
            </w:r>
          </w:p>
        </w:tc>
        <w:tc>
          <w:tcPr>
            <w:tcW w:w="1184" w:type="dxa"/>
            <w:tcBorders>
              <w:top w:val="single" w:sz="4" w:space="0" w:color="auto"/>
              <w:left w:val="none" w:sz="4" w:space="0" w:color="000000" w:themeColor="text1"/>
              <w:bottom w:val="single" w:sz="4" w:space="0" w:color="auto"/>
              <w:right w:val="single" w:sz="4" w:space="0" w:color="auto"/>
            </w:tcBorders>
            <w:noWrap/>
            <w:vAlign w:val="center"/>
          </w:tcPr>
          <w:p w14:paraId="62FA9640" w14:textId="77777777" w:rsidR="008C233D" w:rsidRPr="00EF3506" w:rsidRDefault="7B3E807B" w:rsidP="006B226A">
            <w:pPr>
              <w:jc w:val="right"/>
              <w:rPr>
                <w:color w:val="000000"/>
                <w:sz w:val="16"/>
                <w:szCs w:val="16"/>
              </w:rPr>
            </w:pPr>
            <w:r>
              <w:rPr>
                <w:sz w:val="16"/>
              </w:rPr>
              <w:t>602 514</w:t>
            </w:r>
          </w:p>
        </w:tc>
        <w:tc>
          <w:tcPr>
            <w:tcW w:w="2161" w:type="dxa"/>
            <w:tcBorders>
              <w:top w:val="single" w:sz="4" w:space="0" w:color="auto"/>
              <w:left w:val="none" w:sz="4" w:space="0" w:color="000000" w:themeColor="text1"/>
              <w:bottom w:val="single" w:sz="4" w:space="0" w:color="auto"/>
              <w:right w:val="single" w:sz="4" w:space="0" w:color="auto"/>
            </w:tcBorders>
            <w:noWrap/>
            <w:vAlign w:val="center"/>
          </w:tcPr>
          <w:p w14:paraId="4262EEA4" w14:textId="77777777" w:rsidR="008C233D" w:rsidRPr="00EF3506" w:rsidRDefault="7B3E807B" w:rsidP="006B226A">
            <w:pPr>
              <w:rPr>
                <w:color w:val="000000"/>
                <w:sz w:val="16"/>
                <w:szCs w:val="16"/>
              </w:rPr>
            </w:pPr>
            <w:r>
              <w:rPr>
                <w:sz w:val="16"/>
              </w:rPr>
              <w:t xml:space="preserve"> Не обновлялась &gt; 5 лет </w:t>
            </w:r>
          </w:p>
        </w:tc>
      </w:tr>
      <w:tr w:rsidR="008C233D" w:rsidRPr="00EF3506" w14:paraId="011C774F"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F88C597" w14:textId="77777777" w:rsidR="008C233D" w:rsidRPr="00EF3506" w:rsidRDefault="7B3E807B" w:rsidP="006B226A">
            <w:pPr>
              <w:jc w:val="center"/>
              <w:rPr>
                <w:color w:val="000000"/>
                <w:sz w:val="16"/>
                <w:szCs w:val="16"/>
              </w:rPr>
            </w:pPr>
            <w:r>
              <w:rPr>
                <w:sz w:val="16"/>
              </w:rPr>
              <w:t>7</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7D10FDD4" w14:textId="77777777" w:rsidR="008C233D" w:rsidRPr="00EF3506" w:rsidRDefault="7B3E807B" w:rsidP="006B226A">
            <w:pPr>
              <w:rPr>
                <w:color w:val="000000"/>
                <w:sz w:val="16"/>
                <w:szCs w:val="16"/>
              </w:rPr>
            </w:pPr>
            <w:r>
              <w:rPr>
                <w:sz w:val="16"/>
              </w:rPr>
              <w:t>Эсватини</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FE6B544"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20C49FF0" w14:textId="77777777" w:rsidR="008C233D" w:rsidRPr="00EF3506" w:rsidRDefault="7B3E807B" w:rsidP="006B226A">
            <w:pPr>
              <w:jc w:val="right"/>
              <w:rPr>
                <w:color w:val="000000"/>
                <w:sz w:val="16"/>
                <w:szCs w:val="16"/>
              </w:rPr>
            </w:pPr>
            <w:r>
              <w:rPr>
                <w:sz w:val="16"/>
              </w:rPr>
              <w:t>24/04/2018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32387070" w14:textId="77777777" w:rsidR="008C233D" w:rsidRPr="00EF3506" w:rsidRDefault="7B3E807B" w:rsidP="006B226A">
            <w:pPr>
              <w:jc w:val="right"/>
              <w:rPr>
                <w:color w:val="000000"/>
                <w:sz w:val="16"/>
                <w:szCs w:val="16"/>
              </w:rPr>
            </w:pPr>
            <w:r>
              <w:rPr>
                <w:sz w:val="16"/>
              </w:rPr>
              <w:t>20 541</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3A3E3FA5" w14:textId="77777777" w:rsidR="008C233D" w:rsidRPr="00EF3506" w:rsidRDefault="7B3E807B" w:rsidP="006B226A">
            <w:pPr>
              <w:rPr>
                <w:color w:val="000000"/>
                <w:sz w:val="16"/>
                <w:szCs w:val="16"/>
              </w:rPr>
            </w:pPr>
            <w:r>
              <w:rPr>
                <w:sz w:val="16"/>
              </w:rPr>
              <w:t>Не обновлялась &gt; 5 лет</w:t>
            </w:r>
          </w:p>
        </w:tc>
      </w:tr>
      <w:tr w:rsidR="008C233D" w:rsidRPr="00EF3506" w14:paraId="17C27FA0"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C19C76C" w14:textId="77777777" w:rsidR="008C233D" w:rsidRPr="00EF3506" w:rsidRDefault="7B3E807B" w:rsidP="006B226A">
            <w:pPr>
              <w:jc w:val="center"/>
              <w:rPr>
                <w:color w:val="000000"/>
                <w:sz w:val="16"/>
                <w:szCs w:val="16"/>
              </w:rPr>
            </w:pPr>
            <w:r>
              <w:rPr>
                <w:sz w:val="16"/>
              </w:rPr>
              <w:t>8</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44045D24" w14:textId="77777777" w:rsidR="008C233D" w:rsidRPr="00EF3506" w:rsidRDefault="7B3E807B" w:rsidP="006B226A">
            <w:pPr>
              <w:rPr>
                <w:color w:val="000000"/>
                <w:sz w:val="16"/>
                <w:szCs w:val="16"/>
              </w:rPr>
            </w:pPr>
            <w:r>
              <w:rPr>
                <w:sz w:val="16"/>
              </w:rPr>
              <w:t>Гамбия</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76760A63"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29796FC7" w14:textId="77777777" w:rsidR="008C233D" w:rsidRPr="00EF3506" w:rsidRDefault="7B3E807B" w:rsidP="006B226A">
            <w:pPr>
              <w:jc w:val="right"/>
              <w:rPr>
                <w:color w:val="000000"/>
                <w:sz w:val="16"/>
                <w:szCs w:val="16"/>
              </w:rPr>
            </w:pPr>
            <w:r>
              <w:rPr>
                <w:sz w:val="16"/>
              </w:rPr>
              <w:t>31/12/2018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32C1E9DA" w14:textId="77777777" w:rsidR="008C233D" w:rsidRPr="00EF3506" w:rsidRDefault="7B3E807B" w:rsidP="006B226A">
            <w:pPr>
              <w:jc w:val="right"/>
              <w:rPr>
                <w:color w:val="000000"/>
                <w:sz w:val="16"/>
                <w:szCs w:val="16"/>
              </w:rPr>
            </w:pPr>
            <w:r>
              <w:rPr>
                <w:sz w:val="16"/>
              </w:rPr>
              <w:t>8 707</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543531C0" w14:textId="77777777" w:rsidR="008C233D" w:rsidRPr="00EF3506" w:rsidRDefault="7B3E807B" w:rsidP="006B226A">
            <w:pPr>
              <w:rPr>
                <w:color w:val="000000"/>
                <w:sz w:val="16"/>
                <w:szCs w:val="16"/>
              </w:rPr>
            </w:pPr>
            <w:r>
              <w:rPr>
                <w:sz w:val="16"/>
              </w:rPr>
              <w:t>Не обновлялась &gt; 5 лет</w:t>
            </w:r>
          </w:p>
        </w:tc>
      </w:tr>
      <w:tr w:rsidR="008C233D" w:rsidRPr="00EF3506" w14:paraId="40734143"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BA6CDAE" w14:textId="77777777" w:rsidR="008C233D" w:rsidRPr="00EF3506" w:rsidRDefault="7B3E807B" w:rsidP="006B226A">
            <w:pPr>
              <w:jc w:val="center"/>
              <w:rPr>
                <w:color w:val="000000"/>
                <w:sz w:val="16"/>
                <w:szCs w:val="16"/>
              </w:rPr>
            </w:pPr>
            <w:r>
              <w:rPr>
                <w:sz w:val="16"/>
              </w:rPr>
              <w:t>9</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692D5AA9" w14:textId="77777777" w:rsidR="008C233D" w:rsidRPr="00EF3506" w:rsidRDefault="7B3E807B" w:rsidP="006B226A">
            <w:pPr>
              <w:rPr>
                <w:color w:val="000000"/>
                <w:sz w:val="16"/>
                <w:szCs w:val="16"/>
              </w:rPr>
            </w:pPr>
            <w:r>
              <w:rPr>
                <w:sz w:val="16"/>
              </w:rPr>
              <w:t>Гана</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BFBE60E"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59B566B3" w14:textId="66B6A646" w:rsidR="008C233D" w:rsidRPr="00EF3506" w:rsidRDefault="00E91C51" w:rsidP="006B226A">
            <w:pPr>
              <w:jc w:val="right"/>
              <w:rPr>
                <w:color w:val="000000"/>
                <w:sz w:val="16"/>
                <w:szCs w:val="16"/>
              </w:rPr>
            </w:pPr>
            <w:r>
              <w:rPr>
                <w:sz w:val="16"/>
              </w:rPr>
              <w:t>09/04/2018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1F31C309" w14:textId="77777777" w:rsidR="008C233D" w:rsidRPr="00EF3506" w:rsidRDefault="7B3E807B" w:rsidP="006B226A">
            <w:pPr>
              <w:jc w:val="right"/>
              <w:rPr>
                <w:color w:val="000000"/>
                <w:sz w:val="16"/>
                <w:szCs w:val="16"/>
              </w:rPr>
            </w:pPr>
            <w:r>
              <w:rPr>
                <w:sz w:val="16"/>
              </w:rPr>
              <w:t>31 335</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5313FA39" w14:textId="77777777" w:rsidR="008C233D" w:rsidRPr="00EF3506" w:rsidRDefault="7B3E807B" w:rsidP="006B226A">
            <w:pPr>
              <w:rPr>
                <w:color w:val="000000"/>
                <w:sz w:val="16"/>
                <w:szCs w:val="16"/>
              </w:rPr>
            </w:pPr>
            <w:r>
              <w:rPr>
                <w:sz w:val="16"/>
              </w:rPr>
              <w:t>Не обновлялась &gt; 5 лет</w:t>
            </w:r>
          </w:p>
        </w:tc>
      </w:tr>
      <w:tr w:rsidR="008C233D" w:rsidRPr="00EF3506" w14:paraId="2D8746AD"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09B780A" w14:textId="77777777" w:rsidR="008C233D" w:rsidRPr="00EF3506" w:rsidRDefault="7B3E807B" w:rsidP="006B226A">
            <w:pPr>
              <w:jc w:val="center"/>
              <w:rPr>
                <w:color w:val="000000"/>
                <w:sz w:val="16"/>
                <w:szCs w:val="16"/>
              </w:rPr>
            </w:pPr>
            <w:r>
              <w:rPr>
                <w:sz w:val="16"/>
              </w:rPr>
              <w:t>10</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0758E32A" w14:textId="77777777" w:rsidR="008C233D" w:rsidRPr="00EF3506" w:rsidRDefault="7B3E807B" w:rsidP="006B226A">
            <w:pPr>
              <w:rPr>
                <w:color w:val="000000"/>
                <w:sz w:val="16"/>
                <w:szCs w:val="16"/>
              </w:rPr>
            </w:pPr>
            <w:r>
              <w:rPr>
                <w:sz w:val="16"/>
              </w:rPr>
              <w:t>Кувейт</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780F7954"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04AE78C4" w14:textId="77777777" w:rsidR="008C233D" w:rsidRPr="00EF3506" w:rsidRDefault="7B3E807B" w:rsidP="006B226A">
            <w:pPr>
              <w:jc w:val="right"/>
              <w:rPr>
                <w:color w:val="000000"/>
                <w:sz w:val="16"/>
                <w:szCs w:val="16"/>
              </w:rPr>
            </w:pPr>
            <w:r>
              <w:rPr>
                <w:sz w:val="16"/>
              </w:rPr>
              <w:t>28/01/2018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345BA463" w14:textId="77777777" w:rsidR="008C233D" w:rsidRPr="00EF3506" w:rsidRDefault="7B3E807B" w:rsidP="006B226A">
            <w:pPr>
              <w:jc w:val="right"/>
              <w:rPr>
                <w:color w:val="000000"/>
                <w:sz w:val="16"/>
                <w:szCs w:val="16"/>
              </w:rPr>
            </w:pPr>
            <w:r>
              <w:rPr>
                <w:sz w:val="16"/>
              </w:rPr>
              <w:t>33 213</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3ABE31BF" w14:textId="77777777" w:rsidR="008C233D" w:rsidRPr="00EF3506" w:rsidRDefault="7B3E807B" w:rsidP="006B226A">
            <w:pPr>
              <w:rPr>
                <w:color w:val="000000"/>
                <w:sz w:val="16"/>
                <w:szCs w:val="16"/>
              </w:rPr>
            </w:pPr>
            <w:r>
              <w:rPr>
                <w:sz w:val="16"/>
              </w:rPr>
              <w:t>Не обновлялась &gt; 5 лет</w:t>
            </w:r>
          </w:p>
        </w:tc>
      </w:tr>
      <w:tr w:rsidR="008C233D" w:rsidRPr="00EF3506" w14:paraId="7E12E3B3"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9AF2FF8" w14:textId="77777777" w:rsidR="008C233D" w:rsidRPr="00EF3506" w:rsidRDefault="7B3E807B" w:rsidP="006B226A">
            <w:pPr>
              <w:jc w:val="center"/>
              <w:rPr>
                <w:color w:val="000000"/>
                <w:sz w:val="16"/>
                <w:szCs w:val="16"/>
              </w:rPr>
            </w:pPr>
            <w:r>
              <w:rPr>
                <w:sz w:val="16"/>
              </w:rPr>
              <w:t>11</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10CFFDC3" w14:textId="77777777" w:rsidR="008C233D" w:rsidRPr="00EF3506" w:rsidRDefault="7B3E807B" w:rsidP="006B226A">
            <w:pPr>
              <w:rPr>
                <w:color w:val="000000"/>
                <w:sz w:val="16"/>
                <w:szCs w:val="16"/>
              </w:rPr>
            </w:pPr>
            <w:r>
              <w:rPr>
                <w:sz w:val="16"/>
              </w:rPr>
              <w:t>Судан</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646CBF4" w14:textId="77777777" w:rsidR="008C233D" w:rsidRPr="00EF3506" w:rsidRDefault="7B3E807B" w:rsidP="006B226A">
            <w:pPr>
              <w:rPr>
                <w:color w:val="000000"/>
                <w:sz w:val="16"/>
                <w:szCs w:val="16"/>
              </w:rPr>
            </w:pPr>
            <w:r>
              <w:rPr>
                <w:sz w:val="16"/>
              </w:rPr>
              <w:t>Глобальная база данных по брендам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350B0644" w14:textId="77777777" w:rsidR="008C233D" w:rsidRPr="00EF3506" w:rsidRDefault="7B3E807B" w:rsidP="006B226A">
            <w:pPr>
              <w:jc w:val="right"/>
              <w:rPr>
                <w:color w:val="000000"/>
                <w:sz w:val="16"/>
                <w:szCs w:val="16"/>
              </w:rPr>
            </w:pPr>
            <w:r>
              <w:rPr>
                <w:sz w:val="16"/>
              </w:rPr>
              <w:t>05/12/2017</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02FC2225" w14:textId="77777777" w:rsidR="008C233D" w:rsidRPr="00EF3506" w:rsidRDefault="7B3E807B" w:rsidP="006B226A">
            <w:pPr>
              <w:jc w:val="right"/>
              <w:rPr>
                <w:color w:val="000000"/>
                <w:sz w:val="16"/>
                <w:szCs w:val="16"/>
              </w:rPr>
            </w:pPr>
            <w:r>
              <w:rPr>
                <w:sz w:val="16"/>
              </w:rPr>
              <w:t>23 762</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1DB684D7" w14:textId="77777777" w:rsidR="008C233D" w:rsidRPr="00EF3506" w:rsidRDefault="7B3E807B" w:rsidP="006B226A">
            <w:pPr>
              <w:rPr>
                <w:color w:val="000000"/>
                <w:sz w:val="16"/>
                <w:szCs w:val="16"/>
              </w:rPr>
            </w:pPr>
            <w:r>
              <w:rPr>
                <w:sz w:val="16"/>
              </w:rPr>
              <w:t>Не обновлялась &gt; 5 лет</w:t>
            </w:r>
          </w:p>
        </w:tc>
      </w:tr>
      <w:tr w:rsidR="008C233D" w:rsidRPr="00EF3506" w14:paraId="663C15D1"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5B658B1" w14:textId="77777777" w:rsidR="008C233D" w:rsidRPr="00EF3506" w:rsidRDefault="7B3E807B" w:rsidP="006B226A">
            <w:pPr>
              <w:jc w:val="center"/>
              <w:rPr>
                <w:color w:val="000000"/>
                <w:sz w:val="16"/>
                <w:szCs w:val="16"/>
              </w:rPr>
            </w:pPr>
            <w:r>
              <w:rPr>
                <w:sz w:val="16"/>
              </w:rPr>
              <w:t>12</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2F755226" w14:textId="77777777" w:rsidR="008C233D" w:rsidRPr="00EF3506" w:rsidRDefault="7B3E807B" w:rsidP="006B226A">
            <w:pPr>
              <w:rPr>
                <w:color w:val="000000"/>
                <w:sz w:val="16"/>
                <w:szCs w:val="16"/>
              </w:rPr>
            </w:pPr>
            <w:r>
              <w:rPr>
                <w:sz w:val="16"/>
              </w:rPr>
              <w:t>Ботсвана</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2DD3919"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3BE43DE3" w14:textId="77777777" w:rsidR="008C233D" w:rsidRPr="00EF3506" w:rsidRDefault="7B3E807B" w:rsidP="006B226A">
            <w:pPr>
              <w:jc w:val="right"/>
              <w:rPr>
                <w:color w:val="000000"/>
                <w:sz w:val="16"/>
                <w:szCs w:val="16"/>
              </w:rPr>
            </w:pPr>
            <w:r>
              <w:rPr>
                <w:sz w:val="16"/>
              </w:rPr>
              <w:t>24/05/2018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3E270415" w14:textId="77777777" w:rsidR="008C233D" w:rsidRPr="00EF3506" w:rsidRDefault="7B3E807B" w:rsidP="006B226A">
            <w:pPr>
              <w:jc w:val="right"/>
              <w:rPr>
                <w:color w:val="000000"/>
                <w:sz w:val="16"/>
                <w:szCs w:val="16"/>
              </w:rPr>
            </w:pPr>
            <w:r>
              <w:rPr>
                <w:sz w:val="16"/>
              </w:rPr>
              <w:t>203</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79D47291" w14:textId="77777777" w:rsidR="008C233D" w:rsidRPr="00EF3506" w:rsidRDefault="7B3E807B" w:rsidP="006B226A">
            <w:pPr>
              <w:rPr>
                <w:color w:val="000000"/>
                <w:sz w:val="16"/>
                <w:szCs w:val="16"/>
              </w:rPr>
            </w:pPr>
            <w:r>
              <w:rPr>
                <w:sz w:val="16"/>
              </w:rPr>
              <w:t>Не обновлялась &gt; 5 лет</w:t>
            </w:r>
          </w:p>
        </w:tc>
      </w:tr>
      <w:tr w:rsidR="008C233D" w:rsidRPr="00EF3506" w14:paraId="4C9B5DA1"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A1DD78E" w14:textId="77777777" w:rsidR="008C233D" w:rsidRPr="00EF3506" w:rsidRDefault="7B3E807B" w:rsidP="006B226A">
            <w:pPr>
              <w:jc w:val="center"/>
              <w:rPr>
                <w:color w:val="000000"/>
                <w:sz w:val="16"/>
                <w:szCs w:val="16"/>
              </w:rPr>
            </w:pPr>
            <w:r>
              <w:rPr>
                <w:sz w:val="16"/>
              </w:rPr>
              <w:t>13</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55E33A40" w14:textId="77777777" w:rsidR="008C233D" w:rsidRPr="00EF3506" w:rsidRDefault="7B3E807B" w:rsidP="006B226A">
            <w:pPr>
              <w:rPr>
                <w:color w:val="000000"/>
                <w:sz w:val="16"/>
                <w:szCs w:val="16"/>
              </w:rPr>
            </w:pPr>
            <w:r>
              <w:rPr>
                <w:sz w:val="16"/>
              </w:rPr>
              <w:t>Бруней-Даруссалам</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93E9706"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413478A0" w14:textId="77777777" w:rsidR="008C233D" w:rsidRPr="00EF3506" w:rsidRDefault="7B3E807B" w:rsidP="006B226A">
            <w:pPr>
              <w:jc w:val="right"/>
              <w:rPr>
                <w:color w:val="000000"/>
                <w:sz w:val="16"/>
                <w:szCs w:val="16"/>
              </w:rPr>
            </w:pPr>
            <w:r>
              <w:rPr>
                <w:sz w:val="16"/>
              </w:rPr>
              <w:t>05/03/2019</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15047BDA" w14:textId="77777777" w:rsidR="008C233D" w:rsidRPr="00EF3506" w:rsidRDefault="7B3E807B" w:rsidP="006B226A">
            <w:pPr>
              <w:jc w:val="right"/>
              <w:rPr>
                <w:color w:val="000000"/>
                <w:sz w:val="16"/>
                <w:szCs w:val="16"/>
              </w:rPr>
            </w:pPr>
            <w:r>
              <w:rPr>
                <w:sz w:val="16"/>
              </w:rPr>
              <w:t>191</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681018FC" w14:textId="77777777" w:rsidR="008C233D" w:rsidRPr="00EF3506" w:rsidRDefault="7B3E807B" w:rsidP="006B226A">
            <w:pPr>
              <w:rPr>
                <w:color w:val="000000"/>
                <w:sz w:val="16"/>
                <w:szCs w:val="16"/>
              </w:rPr>
            </w:pPr>
            <w:r>
              <w:rPr>
                <w:sz w:val="16"/>
              </w:rPr>
              <w:t>Не обновлялась &gt; 5 лет</w:t>
            </w:r>
          </w:p>
        </w:tc>
      </w:tr>
      <w:tr w:rsidR="008C233D" w:rsidRPr="00EF3506" w14:paraId="65E4E06F"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7F63BA68" w14:textId="77777777" w:rsidR="008C233D" w:rsidRPr="00EF3506" w:rsidRDefault="7B3E807B" w:rsidP="006B226A">
            <w:pPr>
              <w:jc w:val="center"/>
              <w:rPr>
                <w:color w:val="000000"/>
                <w:sz w:val="16"/>
                <w:szCs w:val="16"/>
              </w:rPr>
            </w:pPr>
            <w:r>
              <w:rPr>
                <w:sz w:val="16"/>
              </w:rPr>
              <w:t>14</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2FF32E94" w14:textId="77777777" w:rsidR="008C233D" w:rsidRPr="00EF3506" w:rsidRDefault="7B3E807B" w:rsidP="006B226A">
            <w:pPr>
              <w:rPr>
                <w:color w:val="000000"/>
                <w:sz w:val="16"/>
                <w:szCs w:val="16"/>
              </w:rPr>
            </w:pPr>
            <w:r>
              <w:rPr>
                <w:sz w:val="16"/>
              </w:rPr>
              <w:t>Япония</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F4EB4EA"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297F43FC" w14:textId="77777777" w:rsidR="008C233D" w:rsidRPr="00EF3506" w:rsidRDefault="7B3E807B" w:rsidP="006B226A">
            <w:pPr>
              <w:jc w:val="right"/>
              <w:rPr>
                <w:color w:val="000000"/>
                <w:sz w:val="16"/>
                <w:szCs w:val="16"/>
              </w:rPr>
            </w:pPr>
            <w:r>
              <w:rPr>
                <w:sz w:val="16"/>
              </w:rPr>
              <w:t>26/02/2020</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125FDF42" w14:textId="77777777" w:rsidR="008C233D" w:rsidRPr="00EF3506" w:rsidRDefault="7B3E807B" w:rsidP="006B226A">
            <w:pPr>
              <w:jc w:val="right"/>
              <w:rPr>
                <w:color w:val="000000"/>
                <w:sz w:val="16"/>
                <w:szCs w:val="16"/>
              </w:rPr>
            </w:pPr>
            <w:r>
              <w:rPr>
                <w:sz w:val="16"/>
              </w:rPr>
              <w:t>598 850</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0304B01C" w14:textId="77777777" w:rsidR="008C233D" w:rsidRPr="00EF3506" w:rsidRDefault="7B3E807B" w:rsidP="006B226A">
            <w:pPr>
              <w:rPr>
                <w:color w:val="000000"/>
                <w:sz w:val="16"/>
                <w:szCs w:val="16"/>
              </w:rPr>
            </w:pPr>
            <w:r>
              <w:rPr>
                <w:sz w:val="16"/>
              </w:rPr>
              <w:t>Не обновлялась &gt; 5 лет</w:t>
            </w:r>
          </w:p>
        </w:tc>
      </w:tr>
      <w:tr w:rsidR="008C233D" w:rsidRPr="00EF3506" w14:paraId="4B697F2C"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883005C" w14:textId="77777777" w:rsidR="008C233D" w:rsidRPr="00EF3506" w:rsidRDefault="7B3E807B" w:rsidP="006B226A">
            <w:pPr>
              <w:jc w:val="center"/>
              <w:rPr>
                <w:color w:val="000000"/>
                <w:sz w:val="16"/>
                <w:szCs w:val="16"/>
              </w:rPr>
            </w:pPr>
            <w:r>
              <w:rPr>
                <w:sz w:val="16"/>
              </w:rPr>
              <w:t>15</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74B18177" w14:textId="77777777" w:rsidR="008C233D" w:rsidRPr="00EF3506" w:rsidRDefault="7B3E807B" w:rsidP="006B226A">
            <w:pPr>
              <w:rPr>
                <w:color w:val="000000"/>
                <w:sz w:val="16"/>
                <w:szCs w:val="16"/>
              </w:rPr>
            </w:pPr>
            <w:r>
              <w:rPr>
                <w:sz w:val="16"/>
              </w:rPr>
              <w:t>Иордания</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8C0AD56"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72C6A6DD" w14:textId="77777777" w:rsidR="008C233D" w:rsidRPr="00EF3506" w:rsidRDefault="7B3E807B" w:rsidP="006B226A">
            <w:pPr>
              <w:jc w:val="right"/>
              <w:rPr>
                <w:color w:val="000000"/>
                <w:sz w:val="16"/>
                <w:szCs w:val="16"/>
              </w:rPr>
            </w:pPr>
            <w:r>
              <w:rPr>
                <w:sz w:val="16"/>
              </w:rPr>
              <w:t>30/03/2018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49FC5855" w14:textId="77777777" w:rsidR="008C233D" w:rsidRPr="00EF3506" w:rsidRDefault="7B3E807B" w:rsidP="006B226A">
            <w:pPr>
              <w:jc w:val="right"/>
              <w:rPr>
                <w:color w:val="000000"/>
                <w:sz w:val="16"/>
                <w:szCs w:val="16"/>
              </w:rPr>
            </w:pPr>
            <w:r>
              <w:rPr>
                <w:sz w:val="16"/>
              </w:rPr>
              <w:t>2 193</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70D58C05" w14:textId="77777777" w:rsidR="008C233D" w:rsidRPr="00EF3506" w:rsidRDefault="7B3E807B" w:rsidP="006B226A">
            <w:pPr>
              <w:rPr>
                <w:color w:val="000000"/>
                <w:sz w:val="16"/>
                <w:szCs w:val="16"/>
              </w:rPr>
            </w:pPr>
            <w:r>
              <w:rPr>
                <w:sz w:val="16"/>
              </w:rPr>
              <w:t>Не обновлялась &gt; 5 лет</w:t>
            </w:r>
          </w:p>
        </w:tc>
      </w:tr>
      <w:tr w:rsidR="008C233D" w:rsidRPr="00EF3506" w14:paraId="03D5F5BC"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9408F6E" w14:textId="77777777" w:rsidR="008C233D" w:rsidRPr="00EF3506" w:rsidRDefault="7B3E807B" w:rsidP="006B226A">
            <w:pPr>
              <w:jc w:val="center"/>
              <w:rPr>
                <w:color w:val="000000"/>
                <w:sz w:val="16"/>
                <w:szCs w:val="16"/>
              </w:rPr>
            </w:pPr>
            <w:r>
              <w:rPr>
                <w:sz w:val="16"/>
              </w:rPr>
              <w:t>16</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2CCB3DA3" w14:textId="77777777" w:rsidR="008C233D" w:rsidRPr="00EF3506" w:rsidRDefault="7B3E807B" w:rsidP="006B226A">
            <w:pPr>
              <w:rPr>
                <w:color w:val="000000"/>
                <w:sz w:val="16"/>
                <w:szCs w:val="16"/>
              </w:rPr>
            </w:pPr>
            <w:r>
              <w:rPr>
                <w:sz w:val="16"/>
              </w:rPr>
              <w:t>Кения</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C08656B"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39276D1F" w14:textId="77777777" w:rsidR="008C233D" w:rsidRPr="00EF3506" w:rsidRDefault="7B3E807B" w:rsidP="006B226A">
            <w:pPr>
              <w:jc w:val="right"/>
              <w:rPr>
                <w:color w:val="000000"/>
                <w:sz w:val="16"/>
                <w:szCs w:val="16"/>
              </w:rPr>
            </w:pPr>
            <w:r>
              <w:rPr>
                <w:sz w:val="16"/>
              </w:rPr>
              <w:t>18/08/2018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38922165" w14:textId="77777777" w:rsidR="008C233D" w:rsidRPr="00EF3506" w:rsidRDefault="7B3E807B" w:rsidP="006B226A">
            <w:pPr>
              <w:jc w:val="right"/>
              <w:rPr>
                <w:color w:val="000000"/>
                <w:sz w:val="16"/>
                <w:szCs w:val="16"/>
              </w:rPr>
            </w:pPr>
            <w:r>
              <w:rPr>
                <w:sz w:val="16"/>
              </w:rPr>
              <w:t>1 225</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5917DF14" w14:textId="77777777" w:rsidR="008C233D" w:rsidRPr="00EF3506" w:rsidRDefault="7B3E807B" w:rsidP="006B226A">
            <w:pPr>
              <w:rPr>
                <w:color w:val="000000"/>
                <w:sz w:val="16"/>
                <w:szCs w:val="16"/>
              </w:rPr>
            </w:pPr>
            <w:r>
              <w:rPr>
                <w:sz w:val="16"/>
              </w:rPr>
              <w:t>Не обновлялась &gt; 5 лет</w:t>
            </w:r>
          </w:p>
        </w:tc>
      </w:tr>
      <w:tr w:rsidR="008C233D" w:rsidRPr="00EF3506" w14:paraId="50D89452"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240DD40" w14:textId="77777777" w:rsidR="008C233D" w:rsidRPr="00EF3506" w:rsidRDefault="7B3E807B" w:rsidP="006B226A">
            <w:pPr>
              <w:jc w:val="center"/>
              <w:rPr>
                <w:color w:val="000000"/>
                <w:sz w:val="16"/>
                <w:szCs w:val="16"/>
              </w:rPr>
            </w:pPr>
            <w:r>
              <w:rPr>
                <w:sz w:val="16"/>
              </w:rPr>
              <w:t>17</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4D74C3AE" w14:textId="77777777" w:rsidR="008C233D" w:rsidRPr="00EF3506" w:rsidRDefault="7B3E807B" w:rsidP="006B226A">
            <w:pPr>
              <w:rPr>
                <w:color w:val="000000"/>
                <w:sz w:val="16"/>
                <w:szCs w:val="16"/>
              </w:rPr>
            </w:pPr>
            <w:r>
              <w:rPr>
                <w:sz w:val="16"/>
              </w:rPr>
              <w:t>Монголия</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383C57A"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413B95F0" w14:textId="77777777" w:rsidR="008C233D" w:rsidRPr="00EF3506" w:rsidRDefault="7B3E807B" w:rsidP="006B226A">
            <w:pPr>
              <w:jc w:val="right"/>
              <w:rPr>
                <w:color w:val="000000"/>
                <w:sz w:val="16"/>
                <w:szCs w:val="16"/>
              </w:rPr>
            </w:pPr>
            <w:r>
              <w:rPr>
                <w:sz w:val="16"/>
              </w:rPr>
              <w:t>10/11/2020</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25F3F001" w14:textId="77777777" w:rsidR="008C233D" w:rsidRPr="00EF3506" w:rsidRDefault="7B3E807B" w:rsidP="006B226A">
            <w:pPr>
              <w:jc w:val="right"/>
              <w:rPr>
                <w:color w:val="000000"/>
                <w:sz w:val="16"/>
                <w:szCs w:val="16"/>
              </w:rPr>
            </w:pPr>
            <w:r>
              <w:rPr>
                <w:sz w:val="16"/>
              </w:rPr>
              <w:t>3 008</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1A4B2BB6" w14:textId="77777777" w:rsidR="008C233D" w:rsidRPr="00EF3506" w:rsidRDefault="7B3E807B" w:rsidP="006B226A">
            <w:pPr>
              <w:rPr>
                <w:color w:val="000000"/>
                <w:sz w:val="16"/>
                <w:szCs w:val="16"/>
              </w:rPr>
            </w:pPr>
            <w:r>
              <w:rPr>
                <w:sz w:val="16"/>
              </w:rPr>
              <w:t>Не обновлялась &gt; 5 лет</w:t>
            </w:r>
          </w:p>
        </w:tc>
      </w:tr>
      <w:tr w:rsidR="008C233D" w:rsidRPr="00EF3506" w14:paraId="43A02947" w14:textId="77777777" w:rsidTr="00E85875">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FBEF844" w14:textId="77777777" w:rsidR="008C233D" w:rsidRPr="00EF3506" w:rsidRDefault="7B3E807B" w:rsidP="006B226A">
            <w:pPr>
              <w:jc w:val="center"/>
              <w:rPr>
                <w:color w:val="000000"/>
                <w:sz w:val="16"/>
                <w:szCs w:val="16"/>
              </w:rPr>
            </w:pPr>
            <w:r>
              <w:rPr>
                <w:sz w:val="16"/>
              </w:rPr>
              <w:t>18</w:t>
            </w:r>
          </w:p>
        </w:tc>
        <w:tc>
          <w:tcPr>
            <w:tcW w:w="1503" w:type="dxa"/>
            <w:tcBorders>
              <w:top w:val="none" w:sz="4" w:space="0" w:color="000000" w:themeColor="text1"/>
              <w:left w:val="none" w:sz="4" w:space="0" w:color="000000" w:themeColor="text1"/>
              <w:bottom w:val="single" w:sz="4" w:space="0" w:color="auto"/>
              <w:right w:val="single" w:sz="4" w:space="0" w:color="auto"/>
            </w:tcBorders>
            <w:noWrap/>
            <w:vAlign w:val="center"/>
          </w:tcPr>
          <w:p w14:paraId="7C470072" w14:textId="77777777" w:rsidR="008C233D" w:rsidRPr="00EF3506" w:rsidRDefault="7B3E807B" w:rsidP="006B226A">
            <w:pPr>
              <w:rPr>
                <w:color w:val="000000"/>
                <w:sz w:val="16"/>
                <w:szCs w:val="16"/>
              </w:rPr>
            </w:pPr>
            <w:r>
              <w:rPr>
                <w:sz w:val="16"/>
              </w:rPr>
              <w:t>Мозамбик</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AE91B03" w14:textId="77777777" w:rsidR="008C233D" w:rsidRPr="00EF3506" w:rsidRDefault="7B3E807B" w:rsidP="006B226A">
            <w:pPr>
              <w:rPr>
                <w:color w:val="000000"/>
                <w:sz w:val="16"/>
                <w:szCs w:val="16"/>
              </w:rPr>
            </w:pPr>
            <w:r>
              <w:rPr>
                <w:sz w:val="16"/>
              </w:rPr>
              <w:t>Глобальная база данных по образцам</w:t>
            </w:r>
          </w:p>
        </w:tc>
        <w:tc>
          <w:tcPr>
            <w:tcW w:w="1104" w:type="dxa"/>
            <w:tcBorders>
              <w:top w:val="none" w:sz="4" w:space="0" w:color="000000" w:themeColor="text1"/>
              <w:left w:val="none" w:sz="4" w:space="0" w:color="000000" w:themeColor="text1"/>
              <w:bottom w:val="single" w:sz="4" w:space="0" w:color="auto"/>
              <w:right w:val="single" w:sz="4" w:space="0" w:color="auto"/>
            </w:tcBorders>
            <w:noWrap/>
            <w:vAlign w:val="center"/>
          </w:tcPr>
          <w:p w14:paraId="6BBE16D5" w14:textId="77777777" w:rsidR="008C233D" w:rsidRPr="00EF3506" w:rsidRDefault="7B3E807B" w:rsidP="006B226A">
            <w:pPr>
              <w:jc w:val="right"/>
              <w:rPr>
                <w:color w:val="000000"/>
                <w:sz w:val="16"/>
                <w:szCs w:val="16"/>
              </w:rPr>
            </w:pPr>
            <w:r>
              <w:rPr>
                <w:sz w:val="16"/>
              </w:rPr>
              <w:t>16/05/2018</w:t>
            </w:r>
          </w:p>
        </w:tc>
        <w:tc>
          <w:tcPr>
            <w:tcW w:w="1184" w:type="dxa"/>
            <w:tcBorders>
              <w:top w:val="none" w:sz="4" w:space="0" w:color="000000" w:themeColor="text1"/>
              <w:left w:val="none" w:sz="4" w:space="0" w:color="000000" w:themeColor="text1"/>
              <w:bottom w:val="single" w:sz="4" w:space="0" w:color="auto"/>
              <w:right w:val="single" w:sz="4" w:space="0" w:color="auto"/>
            </w:tcBorders>
            <w:noWrap/>
            <w:vAlign w:val="center"/>
          </w:tcPr>
          <w:p w14:paraId="767ED3ED" w14:textId="77777777" w:rsidR="008C233D" w:rsidRPr="00EF3506" w:rsidRDefault="7B3E807B" w:rsidP="006B226A">
            <w:pPr>
              <w:jc w:val="right"/>
              <w:rPr>
                <w:color w:val="000000"/>
                <w:sz w:val="16"/>
                <w:szCs w:val="16"/>
              </w:rPr>
            </w:pPr>
            <w:r>
              <w:rPr>
                <w:sz w:val="16"/>
              </w:rPr>
              <w:t>185</w:t>
            </w:r>
          </w:p>
        </w:tc>
        <w:tc>
          <w:tcPr>
            <w:tcW w:w="2161" w:type="dxa"/>
            <w:tcBorders>
              <w:top w:val="none" w:sz="4" w:space="0" w:color="000000" w:themeColor="text1"/>
              <w:left w:val="none" w:sz="4" w:space="0" w:color="000000" w:themeColor="text1"/>
              <w:bottom w:val="single" w:sz="4" w:space="0" w:color="auto"/>
              <w:right w:val="single" w:sz="4" w:space="0" w:color="auto"/>
            </w:tcBorders>
            <w:noWrap/>
            <w:vAlign w:val="center"/>
          </w:tcPr>
          <w:p w14:paraId="7A951053" w14:textId="77777777" w:rsidR="008C233D" w:rsidRPr="00EF3506" w:rsidRDefault="7B3E807B" w:rsidP="006B226A">
            <w:pPr>
              <w:rPr>
                <w:color w:val="000000"/>
                <w:sz w:val="16"/>
                <w:szCs w:val="16"/>
              </w:rPr>
            </w:pPr>
            <w:r>
              <w:rPr>
                <w:sz w:val="16"/>
              </w:rPr>
              <w:t>Не обновлялась &gt; 5 лет</w:t>
            </w:r>
          </w:p>
        </w:tc>
      </w:tr>
    </w:tbl>
    <w:p w14:paraId="12132715" w14:textId="77777777" w:rsidR="00AE4F13" w:rsidRPr="00EF3506" w:rsidRDefault="00AE4F13" w:rsidP="00161889">
      <w:pPr>
        <w:pStyle w:val="LFARPara"/>
        <w:spacing w:before="120"/>
        <w:ind w:left="850" w:hanging="493"/>
      </w:pPr>
      <w:r>
        <w:t>Основываясь на вышеприведенных данных, возможно, необходимо провести систематическую работу, чтобы точно определить, в чем заключается отсутствие обновлений по коллекциям; различить ведомства, которым не хватает возможностей, и те, которые могли столкнуться с иными обстоятельствами; а также выявить другие факторы, которые могли способствовать возникновению этой проблемы.</w:t>
      </w:r>
    </w:p>
    <w:p w14:paraId="03CF10D9" w14:textId="3998FB24" w:rsidR="00AE4F13" w:rsidRPr="00161889" w:rsidRDefault="00AE4F13" w:rsidP="00BE31A8">
      <w:pPr>
        <w:spacing w:before="120" w:after="120" w:line="280" w:lineRule="exact"/>
        <w:ind w:left="851" w:hanging="473"/>
        <w:jc w:val="both"/>
        <w:rPr>
          <w:rFonts w:ascii="Times New Roman" w:hAnsi="Times New Roman" w:cs="Times New Roman"/>
          <w:b/>
          <w:bCs/>
          <w:i/>
          <w:iCs/>
        </w:rPr>
      </w:pPr>
      <w:r>
        <w:rPr>
          <w:rFonts w:ascii="Times New Roman" w:hAnsi="Times New Roman"/>
          <w:b/>
          <w:i/>
        </w:rPr>
        <w:t>2) Проблемы, связанные с оценкой полноты национальных/региональных коллекций ИС</w:t>
      </w:r>
    </w:p>
    <w:p w14:paraId="39C5FB7F" w14:textId="4EA94F9F" w:rsidR="00AE4F13" w:rsidRPr="00EF3506" w:rsidRDefault="00AE4F13" w:rsidP="00161889">
      <w:pPr>
        <w:pStyle w:val="LFARPara"/>
        <w:spacing w:before="120"/>
        <w:ind w:left="850" w:hanging="493"/>
      </w:pPr>
      <w:r>
        <w:t xml:space="preserve">Для того чтобы оценить полноту коллекции данных, необходим авторитетный источник для сопоставления. Для патентов такой источник частично существует в виде ведомственных досье, определяемых стандартом ВОИС 37, которые подготавливаются </w:t>
      </w:r>
      <w:r>
        <w:lastRenderedPageBreak/>
        <w:t>национальными/региональными патентными ведомствами и собираются/публикуются ВОИС. Для товарных знаков и промышленных образцов такие авторитетные источники для сопоставления отсутствуют.</w:t>
      </w:r>
    </w:p>
    <w:p w14:paraId="7B4E067C" w14:textId="77777777" w:rsidR="00AE4F13" w:rsidRPr="00EF3506" w:rsidRDefault="00AE4F13" w:rsidP="0059435C">
      <w:pPr>
        <w:pStyle w:val="LFARPara"/>
        <w:spacing w:before="120"/>
        <w:ind w:left="850" w:hanging="493"/>
      </w:pPr>
      <w:r>
        <w:t>Все глобальные базы данных поддерживают актуальную информацию об охвате, находящуюся в открытом доступе для конечных пользователей. Хотя информация об охвате крайне важна для понимания объема записей, по которым можно осуществлять поиск в глобальных базах данных, она не дает подробных сведений о пробелах в данных по отношению к авторитетному независимому источнику, предоставляемому ведомствами ИС — источниками данных.</w:t>
      </w:r>
    </w:p>
    <w:p w14:paraId="7B5BAA98" w14:textId="5A96EBC2" w:rsidR="00AE4F13" w:rsidRPr="00EF3506" w:rsidRDefault="00AE4F13" w:rsidP="0059435C">
      <w:pPr>
        <w:pStyle w:val="LFARPara"/>
        <w:spacing w:before="120"/>
        <w:ind w:left="850" w:hanging="493"/>
      </w:pPr>
      <w:r>
        <w:t>Чтобы проиллюстрировать сложность оценки полноты и устранения пробелов в данных, сравнение данных в глобальных базах данных ВОИС и Регистре ИС АСЕАН</w:t>
      </w:r>
      <w:r w:rsidR="00993DD1">
        <w:t> </w:t>
      </w:r>
      <w:r>
        <w:t>— региональной базе данных, охватывающей товарные знаки, патенты и промышленные образцы всех десяти государств-членов АСЕАН,</w:t>
      </w:r>
      <w:r w:rsidR="00993DD1">
        <w:t> </w:t>
      </w:r>
      <w:r>
        <w:t xml:space="preserve">— выявило заметные расхождения и различия по нескольким юрисдикциям. </w:t>
      </w:r>
    </w:p>
    <w:p w14:paraId="393EACE4" w14:textId="06AC8AA0" w:rsidR="00AE4F13" w:rsidRPr="00EF3506" w:rsidRDefault="00AE4F13" w:rsidP="00662CC7">
      <w:pPr>
        <w:pStyle w:val="LFARPara"/>
        <w:spacing w:before="120" w:after="240"/>
        <w:ind w:left="850" w:hanging="493"/>
      </w:pPr>
      <w:r>
        <w:t>В таблице ниже приведено сравнение совокупного количества записей в Регистре ИС АСЕАН и глобальных базах данных ВОИС.</w:t>
      </w:r>
    </w:p>
    <w:p w14:paraId="563142B3" w14:textId="1D283CD3" w:rsidR="00D244A8" w:rsidRPr="00EF3506" w:rsidRDefault="00D244A8" w:rsidP="00EE62C3">
      <w:pPr>
        <w:pStyle w:val="Caption"/>
      </w:pPr>
      <w:bookmarkStart w:id="189" w:name="_Toc227253899"/>
      <w:bookmarkStart w:id="190" w:name="_Toc227254539"/>
      <w:bookmarkStart w:id="191" w:name="_Toc227254985"/>
      <w:bookmarkStart w:id="192" w:name="_Toc230784945"/>
      <w:r>
        <w:t xml:space="preserve">Таблица </w:t>
      </w:r>
      <w:r w:rsidRPr="66DE4C64">
        <w:fldChar w:fldCharType="begin"/>
      </w:r>
      <w:r>
        <w:instrText xml:space="preserve"> SEQ Table \* ARABIC </w:instrText>
      </w:r>
      <w:r w:rsidRPr="66DE4C64">
        <w:fldChar w:fldCharType="separate"/>
      </w:r>
      <w:r w:rsidR="008F0391">
        <w:rPr>
          <w:noProof/>
        </w:rPr>
        <w:t>4</w:t>
      </w:r>
      <w:bookmarkEnd w:id="189"/>
      <w:bookmarkEnd w:id="190"/>
      <w:r w:rsidRPr="66DE4C64">
        <w:fldChar w:fldCharType="end"/>
      </w:r>
      <w:r>
        <w:t>.</w:t>
      </w:r>
      <w:r>
        <w:tab/>
        <w:t>Сравнение охвата ведомств АСЕАН и глобальных баз данных ВОИС</w:t>
      </w:r>
      <w:bookmarkEnd w:id="191"/>
      <w:bookmarkEnd w:id="192"/>
    </w:p>
    <w:tbl>
      <w:tblPr>
        <w:tblW w:w="10671"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5"/>
        <w:gridCol w:w="2157"/>
        <w:gridCol w:w="795"/>
        <w:gridCol w:w="795"/>
        <w:gridCol w:w="1009"/>
        <w:gridCol w:w="795"/>
        <w:gridCol w:w="795"/>
        <w:gridCol w:w="1009"/>
        <w:gridCol w:w="950"/>
        <w:gridCol w:w="950"/>
        <w:gridCol w:w="1021"/>
      </w:tblGrid>
      <w:tr w:rsidR="00FC0217" w:rsidRPr="00EF3506" w14:paraId="52A7F2A5" w14:textId="77777777" w:rsidTr="00D9699C">
        <w:trPr>
          <w:trHeight w:val="300"/>
          <w:tblHeader/>
        </w:trPr>
        <w:tc>
          <w:tcPr>
            <w:tcW w:w="0" w:type="auto"/>
            <w:vMerge w:val="restart"/>
            <w:shd w:val="clear" w:color="auto" w:fill="D4E1FC"/>
            <w:vAlign w:val="center"/>
          </w:tcPr>
          <w:p w14:paraId="304BA507" w14:textId="77777777" w:rsidR="00FC0217" w:rsidRPr="00EF3506" w:rsidRDefault="3673165E" w:rsidP="005B4600">
            <w:pPr>
              <w:jc w:val="center"/>
              <w:rPr>
                <w:b/>
                <w:bCs/>
                <w:color w:val="000000"/>
                <w:sz w:val="16"/>
                <w:szCs w:val="16"/>
              </w:rPr>
            </w:pPr>
            <w:r>
              <w:rPr>
                <w:b/>
                <w:sz w:val="16"/>
              </w:rPr>
              <w:t>№</w:t>
            </w:r>
          </w:p>
        </w:tc>
        <w:tc>
          <w:tcPr>
            <w:tcW w:w="2157" w:type="dxa"/>
            <w:vMerge w:val="restart"/>
            <w:shd w:val="clear" w:color="auto" w:fill="D4E1FC"/>
            <w:vAlign w:val="center"/>
          </w:tcPr>
          <w:p w14:paraId="6E486059" w14:textId="77777777" w:rsidR="000B1425" w:rsidRDefault="000B1425" w:rsidP="005B4600">
            <w:pPr>
              <w:jc w:val="center"/>
              <w:rPr>
                <w:b/>
                <w:bCs/>
                <w:sz w:val="16"/>
                <w:szCs w:val="16"/>
              </w:rPr>
            </w:pPr>
          </w:p>
          <w:p w14:paraId="6106D9DA" w14:textId="34A30D77" w:rsidR="00FC0217" w:rsidRPr="00EF3506" w:rsidRDefault="3673165E" w:rsidP="005B4600">
            <w:pPr>
              <w:jc w:val="center"/>
              <w:rPr>
                <w:b/>
                <w:bCs/>
                <w:color w:val="000000"/>
                <w:sz w:val="16"/>
                <w:szCs w:val="16"/>
              </w:rPr>
            </w:pPr>
            <w:r>
              <w:rPr>
                <w:b/>
                <w:sz w:val="16"/>
              </w:rPr>
              <w:t>Ведомство ИС</w:t>
            </w:r>
          </w:p>
          <w:p w14:paraId="5EE07801" w14:textId="77777777" w:rsidR="00FC0217" w:rsidRPr="00EF3506" w:rsidRDefault="3673165E" w:rsidP="005B4600">
            <w:pPr>
              <w:jc w:val="center"/>
              <w:rPr>
                <w:b/>
                <w:bCs/>
                <w:color w:val="000000"/>
                <w:sz w:val="16"/>
                <w:szCs w:val="16"/>
              </w:rPr>
            </w:pPr>
            <w:r>
              <w:rPr>
                <w:sz w:val="16"/>
              </w:rPr>
              <w:t> </w:t>
            </w:r>
          </w:p>
        </w:tc>
        <w:tc>
          <w:tcPr>
            <w:tcW w:w="0" w:type="auto"/>
            <w:gridSpan w:val="3"/>
            <w:shd w:val="clear" w:color="auto" w:fill="D4E1FC"/>
            <w:vAlign w:val="center"/>
          </w:tcPr>
          <w:p w14:paraId="6468A936" w14:textId="77777777" w:rsidR="00FC0217" w:rsidRPr="00EF3506" w:rsidRDefault="3673165E" w:rsidP="005B4600">
            <w:pPr>
              <w:jc w:val="center"/>
              <w:rPr>
                <w:b/>
                <w:bCs/>
                <w:color w:val="000000"/>
                <w:sz w:val="16"/>
                <w:szCs w:val="16"/>
              </w:rPr>
            </w:pPr>
            <w:r>
              <w:rPr>
                <w:b/>
                <w:sz w:val="16"/>
              </w:rPr>
              <w:t>Патенты</w:t>
            </w:r>
          </w:p>
        </w:tc>
        <w:tc>
          <w:tcPr>
            <w:tcW w:w="0" w:type="auto"/>
            <w:gridSpan w:val="3"/>
            <w:shd w:val="clear" w:color="auto" w:fill="D4E1FC"/>
            <w:vAlign w:val="center"/>
          </w:tcPr>
          <w:p w14:paraId="1E305735" w14:textId="77777777" w:rsidR="00FC0217" w:rsidRPr="00EF3506" w:rsidRDefault="3673165E" w:rsidP="005B4600">
            <w:pPr>
              <w:jc w:val="center"/>
              <w:rPr>
                <w:b/>
                <w:bCs/>
                <w:color w:val="000000"/>
                <w:sz w:val="16"/>
                <w:szCs w:val="16"/>
              </w:rPr>
            </w:pPr>
            <w:r>
              <w:rPr>
                <w:b/>
                <w:sz w:val="16"/>
              </w:rPr>
              <w:t>Образцы</w:t>
            </w:r>
          </w:p>
        </w:tc>
        <w:tc>
          <w:tcPr>
            <w:tcW w:w="2953" w:type="dxa"/>
            <w:gridSpan w:val="3"/>
            <w:shd w:val="clear" w:color="auto" w:fill="D4E1FC"/>
            <w:vAlign w:val="center"/>
          </w:tcPr>
          <w:p w14:paraId="3F8E56E2" w14:textId="77777777" w:rsidR="00FC0217" w:rsidRPr="00EF3506" w:rsidRDefault="3673165E" w:rsidP="005B4600">
            <w:pPr>
              <w:jc w:val="center"/>
              <w:rPr>
                <w:b/>
                <w:bCs/>
                <w:color w:val="000000"/>
                <w:sz w:val="16"/>
                <w:szCs w:val="16"/>
              </w:rPr>
            </w:pPr>
            <w:r>
              <w:rPr>
                <w:b/>
                <w:sz w:val="16"/>
              </w:rPr>
              <w:t>товарные знаки;</w:t>
            </w:r>
          </w:p>
        </w:tc>
      </w:tr>
      <w:tr w:rsidR="00FC0217" w:rsidRPr="00EF3506" w14:paraId="1E19BEF2" w14:textId="77777777" w:rsidTr="00D9699C">
        <w:trPr>
          <w:trHeight w:val="300"/>
          <w:tblHeader/>
        </w:trPr>
        <w:tc>
          <w:tcPr>
            <w:tcW w:w="0" w:type="auto"/>
            <w:vMerge/>
            <w:vAlign w:val="center"/>
          </w:tcPr>
          <w:p w14:paraId="101475EB" w14:textId="77777777" w:rsidR="00FC0217" w:rsidRPr="00EF3506" w:rsidRDefault="00FC0217" w:rsidP="005B4600">
            <w:pPr>
              <w:rPr>
                <w:b/>
                <w:bCs/>
                <w:color w:val="000000"/>
                <w:sz w:val="16"/>
                <w:szCs w:val="16"/>
                <w:lang w:eastAsia="en-ID"/>
              </w:rPr>
            </w:pPr>
          </w:p>
        </w:tc>
        <w:tc>
          <w:tcPr>
            <w:tcW w:w="2157" w:type="dxa"/>
            <w:vMerge/>
            <w:vAlign w:val="center"/>
          </w:tcPr>
          <w:p w14:paraId="7BFC60E7" w14:textId="77777777" w:rsidR="00FC0217" w:rsidRPr="00EF3506" w:rsidRDefault="00FC0217" w:rsidP="005B4600">
            <w:pPr>
              <w:rPr>
                <w:b/>
                <w:bCs/>
                <w:color w:val="000000"/>
                <w:sz w:val="16"/>
                <w:szCs w:val="16"/>
                <w:lang w:eastAsia="en-ID"/>
              </w:rPr>
            </w:pPr>
          </w:p>
        </w:tc>
        <w:tc>
          <w:tcPr>
            <w:tcW w:w="0" w:type="auto"/>
            <w:shd w:val="clear" w:color="auto" w:fill="D4E1FC"/>
            <w:vAlign w:val="center"/>
          </w:tcPr>
          <w:p w14:paraId="1C1E8863" w14:textId="77777777" w:rsidR="00FC0217" w:rsidRPr="00EF3506" w:rsidRDefault="3673165E" w:rsidP="005B4600">
            <w:pPr>
              <w:jc w:val="center"/>
              <w:rPr>
                <w:b/>
                <w:bCs/>
                <w:color w:val="000000"/>
                <w:sz w:val="16"/>
                <w:szCs w:val="16"/>
              </w:rPr>
            </w:pPr>
            <w:r>
              <w:rPr>
                <w:b/>
                <w:sz w:val="16"/>
              </w:rPr>
              <w:t>АСЕАН</w:t>
            </w:r>
          </w:p>
        </w:tc>
        <w:tc>
          <w:tcPr>
            <w:tcW w:w="0" w:type="auto"/>
            <w:shd w:val="clear" w:color="auto" w:fill="D4E1FC"/>
            <w:vAlign w:val="center"/>
          </w:tcPr>
          <w:p w14:paraId="5A630B37" w14:textId="77777777" w:rsidR="00FC0217" w:rsidRPr="00EF3506" w:rsidRDefault="3673165E" w:rsidP="005B4600">
            <w:pPr>
              <w:jc w:val="center"/>
              <w:rPr>
                <w:b/>
                <w:bCs/>
                <w:color w:val="000000"/>
                <w:sz w:val="16"/>
                <w:szCs w:val="16"/>
              </w:rPr>
            </w:pPr>
            <w:r>
              <w:rPr>
                <w:b/>
                <w:sz w:val="16"/>
              </w:rPr>
              <w:t>ВОИС</w:t>
            </w:r>
          </w:p>
        </w:tc>
        <w:tc>
          <w:tcPr>
            <w:tcW w:w="0" w:type="auto"/>
            <w:shd w:val="clear" w:color="auto" w:fill="D4E1FC"/>
            <w:vAlign w:val="center"/>
          </w:tcPr>
          <w:p w14:paraId="24B2213D" w14:textId="77777777" w:rsidR="00FC0217" w:rsidRPr="00EF3506" w:rsidRDefault="3673165E" w:rsidP="005B4600">
            <w:pPr>
              <w:jc w:val="center"/>
              <w:rPr>
                <w:b/>
                <w:bCs/>
                <w:color w:val="000000"/>
                <w:sz w:val="16"/>
                <w:szCs w:val="16"/>
              </w:rPr>
            </w:pPr>
            <w:r>
              <w:rPr>
                <w:b/>
                <w:sz w:val="16"/>
              </w:rPr>
              <w:t>+/- Разница</w:t>
            </w:r>
          </w:p>
        </w:tc>
        <w:tc>
          <w:tcPr>
            <w:tcW w:w="0" w:type="auto"/>
            <w:shd w:val="clear" w:color="auto" w:fill="D4E1FC"/>
            <w:vAlign w:val="center"/>
          </w:tcPr>
          <w:p w14:paraId="60B1D5FC" w14:textId="77777777" w:rsidR="00FC0217" w:rsidRPr="00EF3506" w:rsidRDefault="3673165E" w:rsidP="005B4600">
            <w:pPr>
              <w:jc w:val="center"/>
              <w:rPr>
                <w:b/>
                <w:bCs/>
                <w:color w:val="000000"/>
                <w:sz w:val="16"/>
                <w:szCs w:val="16"/>
              </w:rPr>
            </w:pPr>
            <w:r>
              <w:rPr>
                <w:b/>
                <w:sz w:val="16"/>
              </w:rPr>
              <w:t>АСЕАН</w:t>
            </w:r>
          </w:p>
        </w:tc>
        <w:tc>
          <w:tcPr>
            <w:tcW w:w="0" w:type="auto"/>
            <w:shd w:val="clear" w:color="auto" w:fill="D4E1FC"/>
            <w:vAlign w:val="center"/>
          </w:tcPr>
          <w:p w14:paraId="216B0090" w14:textId="77777777" w:rsidR="00FC0217" w:rsidRPr="00EF3506" w:rsidRDefault="3673165E" w:rsidP="005B4600">
            <w:pPr>
              <w:jc w:val="center"/>
              <w:rPr>
                <w:b/>
                <w:bCs/>
                <w:color w:val="000000"/>
                <w:sz w:val="16"/>
                <w:szCs w:val="16"/>
              </w:rPr>
            </w:pPr>
            <w:r>
              <w:rPr>
                <w:b/>
                <w:sz w:val="16"/>
              </w:rPr>
              <w:t>ВОИС</w:t>
            </w:r>
          </w:p>
        </w:tc>
        <w:tc>
          <w:tcPr>
            <w:tcW w:w="0" w:type="auto"/>
            <w:shd w:val="clear" w:color="auto" w:fill="D4E1FC"/>
            <w:vAlign w:val="center"/>
          </w:tcPr>
          <w:p w14:paraId="210149E3" w14:textId="77777777" w:rsidR="00FC0217" w:rsidRPr="00EF3506" w:rsidRDefault="3673165E" w:rsidP="005B4600">
            <w:pPr>
              <w:jc w:val="center"/>
              <w:rPr>
                <w:b/>
                <w:bCs/>
                <w:color w:val="000000"/>
                <w:sz w:val="16"/>
                <w:szCs w:val="16"/>
              </w:rPr>
            </w:pPr>
            <w:r>
              <w:rPr>
                <w:b/>
                <w:sz w:val="16"/>
              </w:rPr>
              <w:t>+/- Разница</w:t>
            </w:r>
          </w:p>
        </w:tc>
        <w:tc>
          <w:tcPr>
            <w:tcW w:w="0" w:type="auto"/>
            <w:shd w:val="clear" w:color="auto" w:fill="D4E1FC"/>
            <w:vAlign w:val="center"/>
          </w:tcPr>
          <w:p w14:paraId="497C5E6F" w14:textId="77777777" w:rsidR="00FC0217" w:rsidRPr="00EF3506" w:rsidRDefault="3673165E" w:rsidP="005B4600">
            <w:pPr>
              <w:jc w:val="center"/>
              <w:rPr>
                <w:b/>
                <w:bCs/>
                <w:color w:val="000000"/>
                <w:sz w:val="16"/>
                <w:szCs w:val="16"/>
              </w:rPr>
            </w:pPr>
            <w:r>
              <w:rPr>
                <w:b/>
                <w:sz w:val="16"/>
              </w:rPr>
              <w:t>АСЕАН</w:t>
            </w:r>
          </w:p>
        </w:tc>
        <w:tc>
          <w:tcPr>
            <w:tcW w:w="0" w:type="auto"/>
            <w:shd w:val="clear" w:color="auto" w:fill="D4E1FC"/>
            <w:vAlign w:val="center"/>
          </w:tcPr>
          <w:p w14:paraId="433FA16A" w14:textId="77777777" w:rsidR="00FC0217" w:rsidRPr="00EF3506" w:rsidRDefault="3673165E" w:rsidP="005B4600">
            <w:pPr>
              <w:jc w:val="center"/>
              <w:rPr>
                <w:b/>
                <w:bCs/>
                <w:color w:val="000000"/>
                <w:sz w:val="16"/>
                <w:szCs w:val="16"/>
              </w:rPr>
            </w:pPr>
            <w:r>
              <w:rPr>
                <w:b/>
                <w:sz w:val="16"/>
              </w:rPr>
              <w:t>ВОИС</w:t>
            </w:r>
          </w:p>
        </w:tc>
        <w:tc>
          <w:tcPr>
            <w:tcW w:w="981" w:type="dxa"/>
            <w:shd w:val="clear" w:color="auto" w:fill="D4E1FC"/>
            <w:vAlign w:val="center"/>
          </w:tcPr>
          <w:p w14:paraId="7B203838" w14:textId="77777777" w:rsidR="00FC0217" w:rsidRPr="00EF3506" w:rsidRDefault="3673165E" w:rsidP="005B4600">
            <w:pPr>
              <w:jc w:val="center"/>
              <w:rPr>
                <w:b/>
                <w:bCs/>
                <w:color w:val="000000"/>
                <w:sz w:val="16"/>
                <w:szCs w:val="16"/>
              </w:rPr>
            </w:pPr>
            <w:r>
              <w:rPr>
                <w:b/>
                <w:sz w:val="16"/>
              </w:rPr>
              <w:t>+/- Разница</w:t>
            </w:r>
          </w:p>
        </w:tc>
      </w:tr>
      <w:tr w:rsidR="00FC0217" w:rsidRPr="00EF3506" w14:paraId="662E3443" w14:textId="77777777" w:rsidTr="00D9699C">
        <w:trPr>
          <w:trHeight w:val="300"/>
        </w:trPr>
        <w:tc>
          <w:tcPr>
            <w:tcW w:w="0" w:type="auto"/>
            <w:shd w:val="clear" w:color="auto" w:fill="FFFFFF" w:themeFill="background1"/>
            <w:vAlign w:val="center"/>
          </w:tcPr>
          <w:p w14:paraId="5CBF1477" w14:textId="77777777" w:rsidR="00FC0217" w:rsidRPr="00EF3506" w:rsidRDefault="3673165E" w:rsidP="005B4600">
            <w:pPr>
              <w:jc w:val="center"/>
              <w:rPr>
                <w:color w:val="000000"/>
                <w:sz w:val="16"/>
                <w:szCs w:val="16"/>
              </w:rPr>
            </w:pPr>
            <w:r>
              <w:rPr>
                <w:sz w:val="16"/>
              </w:rPr>
              <w:t>1</w:t>
            </w:r>
          </w:p>
        </w:tc>
        <w:tc>
          <w:tcPr>
            <w:tcW w:w="2157" w:type="dxa"/>
            <w:shd w:val="clear" w:color="auto" w:fill="FFFFFF" w:themeFill="background1"/>
            <w:vAlign w:val="center"/>
          </w:tcPr>
          <w:p w14:paraId="29810F2B" w14:textId="77777777" w:rsidR="00FC0217" w:rsidRPr="00EF3506" w:rsidRDefault="3673165E" w:rsidP="005B4600">
            <w:pPr>
              <w:rPr>
                <w:color w:val="000000"/>
                <w:sz w:val="16"/>
                <w:szCs w:val="16"/>
              </w:rPr>
            </w:pPr>
            <w:r>
              <w:rPr>
                <w:sz w:val="16"/>
              </w:rPr>
              <w:t>Бруней</w:t>
            </w:r>
          </w:p>
        </w:tc>
        <w:tc>
          <w:tcPr>
            <w:tcW w:w="0" w:type="auto"/>
            <w:shd w:val="clear" w:color="auto" w:fill="FFFFFF" w:themeFill="background1"/>
            <w:vAlign w:val="center"/>
          </w:tcPr>
          <w:p w14:paraId="572FBAB6" w14:textId="77777777" w:rsidR="00FC0217" w:rsidRPr="00EF3506" w:rsidRDefault="3673165E" w:rsidP="005B4600">
            <w:pPr>
              <w:jc w:val="right"/>
              <w:rPr>
                <w:color w:val="000000"/>
                <w:sz w:val="16"/>
                <w:szCs w:val="16"/>
              </w:rPr>
            </w:pPr>
            <w:r>
              <w:rPr>
                <w:sz w:val="16"/>
              </w:rPr>
              <w:t>1 521</w:t>
            </w:r>
          </w:p>
        </w:tc>
        <w:tc>
          <w:tcPr>
            <w:tcW w:w="0" w:type="auto"/>
            <w:shd w:val="clear" w:color="auto" w:fill="FFFFFF" w:themeFill="background1"/>
            <w:vAlign w:val="center"/>
          </w:tcPr>
          <w:p w14:paraId="5D1ACD01" w14:textId="77777777" w:rsidR="00FC0217" w:rsidRPr="00EF3506" w:rsidRDefault="3673165E" w:rsidP="005B4600">
            <w:pPr>
              <w:jc w:val="right"/>
              <w:rPr>
                <w:color w:val="000000"/>
                <w:sz w:val="16"/>
                <w:szCs w:val="16"/>
              </w:rPr>
            </w:pPr>
            <w:r>
              <w:rPr>
                <w:sz w:val="16"/>
              </w:rPr>
              <w:t>1 654</w:t>
            </w:r>
          </w:p>
        </w:tc>
        <w:tc>
          <w:tcPr>
            <w:tcW w:w="0" w:type="auto"/>
            <w:shd w:val="clear" w:color="auto" w:fill="FFFFFF" w:themeFill="background1"/>
            <w:vAlign w:val="center"/>
          </w:tcPr>
          <w:p w14:paraId="683786FD" w14:textId="77777777" w:rsidR="00FC0217" w:rsidRPr="00EF3506" w:rsidRDefault="3673165E" w:rsidP="005B4600">
            <w:pPr>
              <w:jc w:val="right"/>
              <w:rPr>
                <w:color w:val="000000"/>
                <w:sz w:val="16"/>
                <w:szCs w:val="16"/>
              </w:rPr>
            </w:pPr>
            <w:r>
              <w:rPr>
                <w:sz w:val="16"/>
              </w:rPr>
              <w:t>(133)</w:t>
            </w:r>
          </w:p>
        </w:tc>
        <w:tc>
          <w:tcPr>
            <w:tcW w:w="0" w:type="auto"/>
            <w:shd w:val="clear" w:color="auto" w:fill="FFFFFF" w:themeFill="background1"/>
            <w:vAlign w:val="center"/>
          </w:tcPr>
          <w:p w14:paraId="354279C4" w14:textId="77777777" w:rsidR="00FC0217" w:rsidRPr="00EF3506" w:rsidRDefault="3673165E" w:rsidP="005B4600">
            <w:pPr>
              <w:jc w:val="right"/>
              <w:rPr>
                <w:color w:val="000000"/>
                <w:sz w:val="16"/>
                <w:szCs w:val="16"/>
              </w:rPr>
            </w:pPr>
            <w:r>
              <w:rPr>
                <w:sz w:val="16"/>
              </w:rPr>
              <w:t>199</w:t>
            </w:r>
          </w:p>
        </w:tc>
        <w:tc>
          <w:tcPr>
            <w:tcW w:w="0" w:type="auto"/>
            <w:shd w:val="clear" w:color="auto" w:fill="FFFFFF" w:themeFill="background1"/>
            <w:vAlign w:val="center"/>
          </w:tcPr>
          <w:p w14:paraId="52463695" w14:textId="77777777" w:rsidR="00FC0217" w:rsidRPr="00EF3506" w:rsidRDefault="3673165E" w:rsidP="005B4600">
            <w:pPr>
              <w:jc w:val="right"/>
              <w:rPr>
                <w:color w:val="000000"/>
                <w:sz w:val="16"/>
                <w:szCs w:val="16"/>
              </w:rPr>
            </w:pPr>
            <w:r>
              <w:rPr>
                <w:sz w:val="16"/>
              </w:rPr>
              <w:t>191</w:t>
            </w:r>
          </w:p>
        </w:tc>
        <w:tc>
          <w:tcPr>
            <w:tcW w:w="0" w:type="auto"/>
            <w:shd w:val="clear" w:color="auto" w:fill="FFFFFF" w:themeFill="background1"/>
            <w:vAlign w:val="center"/>
          </w:tcPr>
          <w:p w14:paraId="6AA8DEEC" w14:textId="77777777" w:rsidR="00FC0217" w:rsidRPr="00EF3506" w:rsidRDefault="3673165E" w:rsidP="005B4600">
            <w:pPr>
              <w:jc w:val="right"/>
              <w:rPr>
                <w:color w:val="000000"/>
                <w:sz w:val="16"/>
                <w:szCs w:val="16"/>
              </w:rPr>
            </w:pPr>
            <w:r>
              <w:rPr>
                <w:sz w:val="16"/>
              </w:rPr>
              <w:t>8</w:t>
            </w:r>
          </w:p>
        </w:tc>
        <w:tc>
          <w:tcPr>
            <w:tcW w:w="0" w:type="auto"/>
            <w:shd w:val="clear" w:color="auto" w:fill="FFFFFF" w:themeFill="background1"/>
            <w:vAlign w:val="center"/>
          </w:tcPr>
          <w:p w14:paraId="6B7CFA0B" w14:textId="77777777" w:rsidR="00FC0217" w:rsidRPr="00EF3506" w:rsidRDefault="3673165E" w:rsidP="005B4600">
            <w:pPr>
              <w:jc w:val="right"/>
              <w:rPr>
                <w:color w:val="000000"/>
                <w:sz w:val="16"/>
                <w:szCs w:val="16"/>
              </w:rPr>
            </w:pPr>
            <w:r>
              <w:rPr>
                <w:sz w:val="16"/>
              </w:rPr>
              <w:t>60 827</w:t>
            </w:r>
          </w:p>
        </w:tc>
        <w:tc>
          <w:tcPr>
            <w:tcW w:w="0" w:type="auto"/>
            <w:shd w:val="clear" w:color="auto" w:fill="FFFFFF" w:themeFill="background1"/>
            <w:vAlign w:val="center"/>
          </w:tcPr>
          <w:p w14:paraId="349170EE" w14:textId="77777777" w:rsidR="00FC0217" w:rsidRPr="00EF3506" w:rsidRDefault="3673165E" w:rsidP="005B4600">
            <w:pPr>
              <w:jc w:val="right"/>
              <w:rPr>
                <w:color w:val="000000"/>
                <w:sz w:val="16"/>
                <w:szCs w:val="16"/>
              </w:rPr>
            </w:pPr>
            <w:r>
              <w:rPr>
                <w:sz w:val="16"/>
              </w:rPr>
              <w:t>60 486</w:t>
            </w:r>
          </w:p>
        </w:tc>
        <w:tc>
          <w:tcPr>
            <w:tcW w:w="981" w:type="dxa"/>
            <w:shd w:val="clear" w:color="auto" w:fill="FFFFFF" w:themeFill="background1"/>
            <w:vAlign w:val="center"/>
          </w:tcPr>
          <w:p w14:paraId="4AA63AE5" w14:textId="77777777" w:rsidR="00FC0217" w:rsidRPr="00EF3506" w:rsidRDefault="3673165E" w:rsidP="005B4600">
            <w:pPr>
              <w:jc w:val="right"/>
              <w:rPr>
                <w:color w:val="000000"/>
                <w:sz w:val="16"/>
                <w:szCs w:val="16"/>
              </w:rPr>
            </w:pPr>
            <w:r>
              <w:rPr>
                <w:sz w:val="16"/>
              </w:rPr>
              <w:t>341</w:t>
            </w:r>
          </w:p>
        </w:tc>
      </w:tr>
      <w:tr w:rsidR="00FC0217" w:rsidRPr="00EF3506" w14:paraId="25B2B72A" w14:textId="77777777" w:rsidTr="00D9699C">
        <w:trPr>
          <w:trHeight w:val="300"/>
        </w:trPr>
        <w:tc>
          <w:tcPr>
            <w:tcW w:w="0" w:type="auto"/>
            <w:shd w:val="clear" w:color="auto" w:fill="FFFFFF" w:themeFill="background1"/>
            <w:vAlign w:val="center"/>
          </w:tcPr>
          <w:p w14:paraId="1597DCB6" w14:textId="77777777" w:rsidR="00FC0217" w:rsidRPr="00EF3506" w:rsidRDefault="3673165E" w:rsidP="005B4600">
            <w:pPr>
              <w:jc w:val="center"/>
              <w:rPr>
                <w:color w:val="000000"/>
                <w:sz w:val="16"/>
                <w:szCs w:val="16"/>
              </w:rPr>
            </w:pPr>
            <w:r>
              <w:rPr>
                <w:sz w:val="16"/>
              </w:rPr>
              <w:t>2</w:t>
            </w:r>
          </w:p>
        </w:tc>
        <w:tc>
          <w:tcPr>
            <w:tcW w:w="2157" w:type="dxa"/>
            <w:shd w:val="clear" w:color="auto" w:fill="FFFFFF" w:themeFill="background1"/>
            <w:vAlign w:val="center"/>
          </w:tcPr>
          <w:p w14:paraId="7DFAFAF2" w14:textId="77777777" w:rsidR="00FC0217" w:rsidRPr="00EF3506" w:rsidRDefault="3673165E" w:rsidP="005B4600">
            <w:pPr>
              <w:rPr>
                <w:color w:val="000000"/>
                <w:sz w:val="16"/>
                <w:szCs w:val="16"/>
              </w:rPr>
            </w:pPr>
            <w:r>
              <w:rPr>
                <w:sz w:val="16"/>
              </w:rPr>
              <w:t>Камбоджа</w:t>
            </w:r>
          </w:p>
        </w:tc>
        <w:tc>
          <w:tcPr>
            <w:tcW w:w="0" w:type="auto"/>
            <w:shd w:val="clear" w:color="auto" w:fill="FFFFFF" w:themeFill="background1"/>
            <w:vAlign w:val="center"/>
          </w:tcPr>
          <w:p w14:paraId="207A0509" w14:textId="77777777" w:rsidR="00FC0217" w:rsidRPr="00EF3506" w:rsidRDefault="3673165E" w:rsidP="005B4600">
            <w:pPr>
              <w:jc w:val="right"/>
              <w:rPr>
                <w:color w:val="000000"/>
                <w:sz w:val="16"/>
                <w:szCs w:val="16"/>
              </w:rPr>
            </w:pPr>
            <w:r>
              <w:rPr>
                <w:sz w:val="16"/>
              </w:rPr>
              <w:t>1 566</w:t>
            </w:r>
          </w:p>
        </w:tc>
        <w:tc>
          <w:tcPr>
            <w:tcW w:w="0" w:type="auto"/>
            <w:shd w:val="clear" w:color="auto" w:fill="FFFFFF" w:themeFill="background1"/>
            <w:vAlign w:val="center"/>
          </w:tcPr>
          <w:p w14:paraId="041FEC23" w14:textId="77777777" w:rsidR="00FC0217" w:rsidRPr="00EF3506" w:rsidRDefault="3673165E" w:rsidP="005B4600">
            <w:pPr>
              <w:jc w:val="right"/>
              <w:rPr>
                <w:color w:val="000000"/>
                <w:sz w:val="16"/>
                <w:szCs w:val="16"/>
              </w:rPr>
            </w:pPr>
            <w:r>
              <w:rPr>
                <w:sz w:val="16"/>
              </w:rPr>
              <w:t>1 417</w:t>
            </w:r>
          </w:p>
        </w:tc>
        <w:tc>
          <w:tcPr>
            <w:tcW w:w="0" w:type="auto"/>
            <w:shd w:val="clear" w:color="auto" w:fill="FFFFFF" w:themeFill="background1"/>
            <w:vAlign w:val="center"/>
          </w:tcPr>
          <w:p w14:paraId="57B2A13A" w14:textId="77777777" w:rsidR="00FC0217" w:rsidRPr="00EF3506" w:rsidRDefault="3673165E" w:rsidP="005B4600">
            <w:pPr>
              <w:jc w:val="right"/>
              <w:rPr>
                <w:color w:val="000000"/>
                <w:sz w:val="16"/>
                <w:szCs w:val="16"/>
              </w:rPr>
            </w:pPr>
            <w:r>
              <w:rPr>
                <w:sz w:val="16"/>
              </w:rPr>
              <w:t>149</w:t>
            </w:r>
          </w:p>
        </w:tc>
        <w:tc>
          <w:tcPr>
            <w:tcW w:w="0" w:type="auto"/>
            <w:shd w:val="clear" w:color="auto" w:fill="FFFFFF" w:themeFill="background1"/>
            <w:vAlign w:val="center"/>
          </w:tcPr>
          <w:p w14:paraId="7AE015D8" w14:textId="77777777" w:rsidR="00FC0217" w:rsidRPr="00EF3506" w:rsidRDefault="3673165E" w:rsidP="005B4600">
            <w:pPr>
              <w:jc w:val="right"/>
              <w:rPr>
                <w:color w:val="000000"/>
                <w:sz w:val="16"/>
                <w:szCs w:val="16"/>
              </w:rPr>
            </w:pPr>
            <w:r>
              <w:rPr>
                <w:sz w:val="16"/>
              </w:rPr>
              <w:t>1 342</w:t>
            </w:r>
          </w:p>
        </w:tc>
        <w:tc>
          <w:tcPr>
            <w:tcW w:w="0" w:type="auto"/>
            <w:shd w:val="clear" w:color="auto" w:fill="FFFFFF" w:themeFill="background1"/>
            <w:vAlign w:val="center"/>
          </w:tcPr>
          <w:p w14:paraId="01B2EF44" w14:textId="77777777" w:rsidR="00FC0217" w:rsidRPr="00EF3506" w:rsidRDefault="3673165E" w:rsidP="005B4600">
            <w:pPr>
              <w:jc w:val="right"/>
              <w:rPr>
                <w:color w:val="000000"/>
                <w:sz w:val="16"/>
                <w:szCs w:val="16"/>
              </w:rPr>
            </w:pPr>
            <w:r>
              <w:rPr>
                <w:sz w:val="16"/>
              </w:rPr>
              <w:t>1 344</w:t>
            </w:r>
          </w:p>
        </w:tc>
        <w:tc>
          <w:tcPr>
            <w:tcW w:w="0" w:type="auto"/>
            <w:shd w:val="clear" w:color="auto" w:fill="FFFFFF" w:themeFill="background1"/>
            <w:vAlign w:val="center"/>
          </w:tcPr>
          <w:p w14:paraId="4891B77A" w14:textId="77777777" w:rsidR="00FC0217" w:rsidRPr="00EF3506" w:rsidRDefault="3673165E" w:rsidP="005B4600">
            <w:pPr>
              <w:jc w:val="right"/>
              <w:rPr>
                <w:color w:val="000000"/>
                <w:sz w:val="16"/>
                <w:szCs w:val="16"/>
              </w:rPr>
            </w:pPr>
            <w:r>
              <w:rPr>
                <w:sz w:val="16"/>
              </w:rPr>
              <w:t>(2)</w:t>
            </w:r>
          </w:p>
        </w:tc>
        <w:tc>
          <w:tcPr>
            <w:tcW w:w="0" w:type="auto"/>
            <w:shd w:val="clear" w:color="auto" w:fill="FFFFFF" w:themeFill="background1"/>
            <w:vAlign w:val="center"/>
          </w:tcPr>
          <w:p w14:paraId="1938B0DF" w14:textId="77777777" w:rsidR="00FC0217" w:rsidRPr="00EF3506" w:rsidRDefault="3673165E" w:rsidP="005B4600">
            <w:pPr>
              <w:jc w:val="right"/>
              <w:rPr>
                <w:color w:val="000000"/>
                <w:sz w:val="16"/>
                <w:szCs w:val="16"/>
              </w:rPr>
            </w:pPr>
            <w:r>
              <w:rPr>
                <w:sz w:val="16"/>
              </w:rPr>
              <w:t>150 505</w:t>
            </w:r>
          </w:p>
        </w:tc>
        <w:tc>
          <w:tcPr>
            <w:tcW w:w="0" w:type="auto"/>
            <w:shd w:val="clear" w:color="auto" w:fill="FFFFFF" w:themeFill="background1"/>
            <w:vAlign w:val="center"/>
          </w:tcPr>
          <w:p w14:paraId="2EE6148F" w14:textId="77777777" w:rsidR="00FC0217" w:rsidRPr="00EF3506" w:rsidRDefault="3673165E" w:rsidP="005B4600">
            <w:pPr>
              <w:jc w:val="right"/>
              <w:rPr>
                <w:color w:val="000000"/>
                <w:sz w:val="16"/>
                <w:szCs w:val="16"/>
              </w:rPr>
            </w:pPr>
            <w:r>
              <w:rPr>
                <w:sz w:val="16"/>
              </w:rPr>
              <w:t>150 535</w:t>
            </w:r>
          </w:p>
        </w:tc>
        <w:tc>
          <w:tcPr>
            <w:tcW w:w="981" w:type="dxa"/>
            <w:shd w:val="clear" w:color="auto" w:fill="FFFFFF" w:themeFill="background1"/>
            <w:vAlign w:val="center"/>
          </w:tcPr>
          <w:p w14:paraId="4BAF789B" w14:textId="77777777" w:rsidR="00FC0217" w:rsidRPr="00EF3506" w:rsidRDefault="3673165E" w:rsidP="005B4600">
            <w:pPr>
              <w:jc w:val="right"/>
              <w:rPr>
                <w:color w:val="000000"/>
                <w:sz w:val="16"/>
                <w:szCs w:val="16"/>
              </w:rPr>
            </w:pPr>
            <w:r>
              <w:rPr>
                <w:sz w:val="16"/>
              </w:rPr>
              <w:t>(30)</w:t>
            </w:r>
          </w:p>
        </w:tc>
      </w:tr>
      <w:tr w:rsidR="00FC0217" w:rsidRPr="00EF3506" w14:paraId="699F6035" w14:textId="77777777" w:rsidTr="00D9699C">
        <w:trPr>
          <w:trHeight w:val="300"/>
        </w:trPr>
        <w:tc>
          <w:tcPr>
            <w:tcW w:w="0" w:type="auto"/>
            <w:shd w:val="clear" w:color="auto" w:fill="FFFFFF" w:themeFill="background1"/>
            <w:vAlign w:val="center"/>
          </w:tcPr>
          <w:p w14:paraId="54298C77" w14:textId="77777777" w:rsidR="00FC0217" w:rsidRPr="00EF3506" w:rsidRDefault="3673165E" w:rsidP="005B4600">
            <w:pPr>
              <w:jc w:val="center"/>
              <w:rPr>
                <w:color w:val="000000"/>
                <w:sz w:val="16"/>
                <w:szCs w:val="16"/>
              </w:rPr>
            </w:pPr>
            <w:r>
              <w:rPr>
                <w:sz w:val="16"/>
              </w:rPr>
              <w:t>3</w:t>
            </w:r>
          </w:p>
        </w:tc>
        <w:tc>
          <w:tcPr>
            <w:tcW w:w="2157" w:type="dxa"/>
            <w:shd w:val="clear" w:color="auto" w:fill="FFFFFF" w:themeFill="background1"/>
            <w:vAlign w:val="center"/>
          </w:tcPr>
          <w:p w14:paraId="58FE92A3" w14:textId="77777777" w:rsidR="00FC0217" w:rsidRPr="00EF3506" w:rsidRDefault="3673165E" w:rsidP="005B4600">
            <w:pPr>
              <w:rPr>
                <w:color w:val="000000"/>
                <w:sz w:val="16"/>
                <w:szCs w:val="16"/>
              </w:rPr>
            </w:pPr>
            <w:r>
              <w:rPr>
                <w:sz w:val="16"/>
              </w:rPr>
              <w:t>Индонезия</w:t>
            </w:r>
          </w:p>
        </w:tc>
        <w:tc>
          <w:tcPr>
            <w:tcW w:w="0" w:type="auto"/>
            <w:shd w:val="clear" w:color="auto" w:fill="FFFFFF" w:themeFill="background1"/>
            <w:vAlign w:val="center"/>
          </w:tcPr>
          <w:p w14:paraId="394C5626" w14:textId="77777777" w:rsidR="00FC0217" w:rsidRPr="00EF3506" w:rsidRDefault="3673165E" w:rsidP="005B4600">
            <w:pPr>
              <w:jc w:val="right"/>
              <w:rPr>
                <w:color w:val="000000"/>
                <w:sz w:val="16"/>
                <w:szCs w:val="16"/>
              </w:rPr>
            </w:pPr>
            <w:r>
              <w:rPr>
                <w:sz w:val="16"/>
              </w:rPr>
              <w:t>194 262</w:t>
            </w:r>
          </w:p>
        </w:tc>
        <w:tc>
          <w:tcPr>
            <w:tcW w:w="0" w:type="auto"/>
            <w:shd w:val="clear" w:color="auto" w:fill="FFFFFF" w:themeFill="background1"/>
            <w:vAlign w:val="center"/>
          </w:tcPr>
          <w:p w14:paraId="4091CEF7" w14:textId="77777777" w:rsidR="00FC0217" w:rsidRPr="00EF3506" w:rsidRDefault="3673165E" w:rsidP="005B4600">
            <w:pPr>
              <w:jc w:val="right"/>
              <w:rPr>
                <w:color w:val="000000"/>
                <w:sz w:val="16"/>
                <w:szCs w:val="16"/>
              </w:rPr>
            </w:pPr>
            <w:r>
              <w:rPr>
                <w:sz w:val="16"/>
              </w:rPr>
              <w:t>193 561</w:t>
            </w:r>
          </w:p>
        </w:tc>
        <w:tc>
          <w:tcPr>
            <w:tcW w:w="0" w:type="auto"/>
            <w:shd w:val="clear" w:color="auto" w:fill="FFFFFF" w:themeFill="background1"/>
            <w:vAlign w:val="center"/>
          </w:tcPr>
          <w:p w14:paraId="34BDA76F" w14:textId="77777777" w:rsidR="00FC0217" w:rsidRPr="00EF3506" w:rsidRDefault="3673165E" w:rsidP="005B4600">
            <w:pPr>
              <w:jc w:val="right"/>
              <w:rPr>
                <w:color w:val="000000"/>
                <w:sz w:val="16"/>
                <w:szCs w:val="16"/>
              </w:rPr>
            </w:pPr>
            <w:r>
              <w:rPr>
                <w:sz w:val="16"/>
              </w:rPr>
              <w:t>701</w:t>
            </w:r>
          </w:p>
        </w:tc>
        <w:tc>
          <w:tcPr>
            <w:tcW w:w="0" w:type="auto"/>
            <w:shd w:val="clear" w:color="auto" w:fill="FFFFFF" w:themeFill="background1"/>
            <w:vAlign w:val="center"/>
          </w:tcPr>
          <w:p w14:paraId="6ACD0EA9" w14:textId="77777777" w:rsidR="00FC0217" w:rsidRPr="00EF3506" w:rsidRDefault="3673165E" w:rsidP="005B4600">
            <w:pPr>
              <w:jc w:val="right"/>
              <w:rPr>
                <w:color w:val="000000"/>
                <w:sz w:val="16"/>
                <w:szCs w:val="16"/>
              </w:rPr>
            </w:pPr>
            <w:r>
              <w:rPr>
                <w:sz w:val="16"/>
              </w:rPr>
              <w:t>111 030</w:t>
            </w:r>
          </w:p>
        </w:tc>
        <w:tc>
          <w:tcPr>
            <w:tcW w:w="0" w:type="auto"/>
            <w:shd w:val="clear" w:color="auto" w:fill="FFFFFF" w:themeFill="background1"/>
            <w:vAlign w:val="center"/>
          </w:tcPr>
          <w:p w14:paraId="57B85238" w14:textId="77777777" w:rsidR="00FC0217" w:rsidRPr="00EF3506" w:rsidRDefault="3673165E" w:rsidP="005B4600">
            <w:pPr>
              <w:jc w:val="right"/>
              <w:rPr>
                <w:color w:val="000000"/>
                <w:sz w:val="16"/>
                <w:szCs w:val="16"/>
              </w:rPr>
            </w:pPr>
            <w:r>
              <w:rPr>
                <w:sz w:val="16"/>
              </w:rPr>
              <w:t>109 199</w:t>
            </w:r>
          </w:p>
        </w:tc>
        <w:tc>
          <w:tcPr>
            <w:tcW w:w="0" w:type="auto"/>
            <w:shd w:val="clear" w:color="auto" w:fill="FFFFFF" w:themeFill="background1"/>
            <w:vAlign w:val="center"/>
          </w:tcPr>
          <w:p w14:paraId="55370CAD" w14:textId="77777777" w:rsidR="00FC0217" w:rsidRPr="00EF3506" w:rsidRDefault="3673165E" w:rsidP="005B4600">
            <w:pPr>
              <w:jc w:val="right"/>
              <w:rPr>
                <w:color w:val="000000"/>
                <w:sz w:val="16"/>
                <w:szCs w:val="16"/>
              </w:rPr>
            </w:pPr>
            <w:r>
              <w:rPr>
                <w:sz w:val="16"/>
              </w:rPr>
              <w:t>1 831</w:t>
            </w:r>
          </w:p>
        </w:tc>
        <w:tc>
          <w:tcPr>
            <w:tcW w:w="0" w:type="auto"/>
            <w:shd w:val="clear" w:color="auto" w:fill="FFFFFF" w:themeFill="background1"/>
            <w:vAlign w:val="center"/>
          </w:tcPr>
          <w:p w14:paraId="3BEE3CFD" w14:textId="77777777" w:rsidR="00FC0217" w:rsidRPr="00EF3506" w:rsidRDefault="3673165E" w:rsidP="005B4600">
            <w:pPr>
              <w:jc w:val="right"/>
              <w:rPr>
                <w:color w:val="000000"/>
                <w:sz w:val="16"/>
                <w:szCs w:val="16"/>
              </w:rPr>
            </w:pPr>
            <w:r>
              <w:rPr>
                <w:sz w:val="16"/>
              </w:rPr>
              <w:t>1 895 143</w:t>
            </w:r>
          </w:p>
        </w:tc>
        <w:tc>
          <w:tcPr>
            <w:tcW w:w="0" w:type="auto"/>
            <w:shd w:val="clear" w:color="auto" w:fill="FFFFFF" w:themeFill="background1"/>
            <w:vAlign w:val="center"/>
          </w:tcPr>
          <w:p w14:paraId="3DA67E37" w14:textId="77777777" w:rsidR="00FC0217" w:rsidRPr="00EF3506" w:rsidRDefault="3673165E" w:rsidP="005B4600">
            <w:pPr>
              <w:jc w:val="right"/>
              <w:rPr>
                <w:color w:val="000000"/>
                <w:sz w:val="16"/>
                <w:szCs w:val="16"/>
              </w:rPr>
            </w:pPr>
            <w:r>
              <w:rPr>
                <w:sz w:val="16"/>
              </w:rPr>
              <w:t>1 900 848</w:t>
            </w:r>
          </w:p>
        </w:tc>
        <w:tc>
          <w:tcPr>
            <w:tcW w:w="981" w:type="dxa"/>
            <w:shd w:val="clear" w:color="auto" w:fill="FFFFFF" w:themeFill="background1"/>
            <w:vAlign w:val="center"/>
          </w:tcPr>
          <w:p w14:paraId="3744E8AF" w14:textId="77777777" w:rsidR="00FC0217" w:rsidRPr="00EF3506" w:rsidRDefault="3673165E" w:rsidP="005B4600">
            <w:pPr>
              <w:jc w:val="right"/>
              <w:rPr>
                <w:color w:val="000000"/>
                <w:sz w:val="16"/>
                <w:szCs w:val="16"/>
              </w:rPr>
            </w:pPr>
            <w:r>
              <w:rPr>
                <w:sz w:val="16"/>
              </w:rPr>
              <w:t>(5 705)</w:t>
            </w:r>
          </w:p>
        </w:tc>
      </w:tr>
      <w:tr w:rsidR="00FC0217" w:rsidRPr="00EF3506" w14:paraId="33487BA3" w14:textId="77777777" w:rsidTr="00D9699C">
        <w:trPr>
          <w:trHeight w:val="300"/>
        </w:trPr>
        <w:tc>
          <w:tcPr>
            <w:tcW w:w="0" w:type="auto"/>
            <w:shd w:val="clear" w:color="auto" w:fill="FFFFFF" w:themeFill="background1"/>
            <w:vAlign w:val="center"/>
          </w:tcPr>
          <w:p w14:paraId="223ABAE8" w14:textId="77777777" w:rsidR="00FC0217" w:rsidRPr="00EF3506" w:rsidRDefault="3673165E" w:rsidP="005B4600">
            <w:pPr>
              <w:jc w:val="center"/>
              <w:rPr>
                <w:color w:val="000000"/>
                <w:sz w:val="16"/>
                <w:szCs w:val="16"/>
              </w:rPr>
            </w:pPr>
            <w:r>
              <w:rPr>
                <w:sz w:val="16"/>
              </w:rPr>
              <w:t>4</w:t>
            </w:r>
          </w:p>
        </w:tc>
        <w:tc>
          <w:tcPr>
            <w:tcW w:w="2157" w:type="dxa"/>
            <w:shd w:val="clear" w:color="auto" w:fill="FFFFFF" w:themeFill="background1"/>
            <w:vAlign w:val="center"/>
          </w:tcPr>
          <w:p w14:paraId="42210E1A" w14:textId="77777777" w:rsidR="00FC0217" w:rsidRPr="00EF3506" w:rsidRDefault="3673165E" w:rsidP="005B4600">
            <w:pPr>
              <w:rPr>
                <w:color w:val="000000"/>
                <w:sz w:val="16"/>
                <w:szCs w:val="16"/>
              </w:rPr>
            </w:pPr>
            <w:r>
              <w:rPr>
                <w:sz w:val="16"/>
              </w:rPr>
              <w:t>Лаосская Народно-Демократическая Республика</w:t>
            </w:r>
          </w:p>
        </w:tc>
        <w:tc>
          <w:tcPr>
            <w:tcW w:w="0" w:type="auto"/>
            <w:shd w:val="clear" w:color="auto" w:fill="FFFFFF" w:themeFill="background1"/>
            <w:vAlign w:val="center"/>
          </w:tcPr>
          <w:p w14:paraId="0926E1A7" w14:textId="77777777" w:rsidR="00FC0217" w:rsidRPr="00EF3506" w:rsidRDefault="3673165E" w:rsidP="005B4600">
            <w:pPr>
              <w:jc w:val="right"/>
              <w:rPr>
                <w:color w:val="000000"/>
                <w:sz w:val="16"/>
                <w:szCs w:val="16"/>
              </w:rPr>
            </w:pPr>
            <w:r>
              <w:rPr>
                <w:sz w:val="16"/>
              </w:rPr>
              <w:t>256</w:t>
            </w:r>
          </w:p>
        </w:tc>
        <w:tc>
          <w:tcPr>
            <w:tcW w:w="0" w:type="auto"/>
            <w:shd w:val="clear" w:color="auto" w:fill="FFFFFF" w:themeFill="background1"/>
            <w:vAlign w:val="center"/>
          </w:tcPr>
          <w:p w14:paraId="33AB6DDB" w14:textId="77777777" w:rsidR="00FC0217" w:rsidRPr="00EF3506" w:rsidRDefault="3673165E" w:rsidP="005B4600">
            <w:pPr>
              <w:jc w:val="right"/>
              <w:rPr>
                <w:color w:val="000000"/>
                <w:sz w:val="16"/>
                <w:szCs w:val="16"/>
              </w:rPr>
            </w:pPr>
            <w:r>
              <w:rPr>
                <w:sz w:val="16"/>
              </w:rPr>
              <w:t>160</w:t>
            </w:r>
          </w:p>
        </w:tc>
        <w:tc>
          <w:tcPr>
            <w:tcW w:w="0" w:type="auto"/>
            <w:shd w:val="clear" w:color="auto" w:fill="FFFFFF" w:themeFill="background1"/>
            <w:vAlign w:val="center"/>
          </w:tcPr>
          <w:p w14:paraId="52A22826" w14:textId="77777777" w:rsidR="00FC0217" w:rsidRPr="00EF3506" w:rsidRDefault="3673165E" w:rsidP="005B4600">
            <w:pPr>
              <w:jc w:val="right"/>
              <w:rPr>
                <w:color w:val="000000"/>
                <w:sz w:val="16"/>
                <w:szCs w:val="16"/>
              </w:rPr>
            </w:pPr>
            <w:r>
              <w:rPr>
                <w:sz w:val="16"/>
              </w:rPr>
              <w:t>96</w:t>
            </w:r>
          </w:p>
        </w:tc>
        <w:tc>
          <w:tcPr>
            <w:tcW w:w="0" w:type="auto"/>
            <w:shd w:val="clear" w:color="auto" w:fill="FFFFFF" w:themeFill="background1"/>
            <w:vAlign w:val="center"/>
          </w:tcPr>
          <w:p w14:paraId="31EB1F7C" w14:textId="77777777" w:rsidR="00FC0217" w:rsidRPr="00EF3506" w:rsidRDefault="3673165E" w:rsidP="005B4600">
            <w:pPr>
              <w:jc w:val="right"/>
              <w:rPr>
                <w:color w:val="000000"/>
                <w:sz w:val="16"/>
                <w:szCs w:val="16"/>
              </w:rPr>
            </w:pPr>
            <w:r>
              <w:rPr>
                <w:sz w:val="16"/>
              </w:rPr>
              <w:t>562</w:t>
            </w:r>
          </w:p>
        </w:tc>
        <w:tc>
          <w:tcPr>
            <w:tcW w:w="0" w:type="auto"/>
            <w:shd w:val="clear" w:color="auto" w:fill="FFFFFF" w:themeFill="background1"/>
            <w:vAlign w:val="center"/>
          </w:tcPr>
          <w:p w14:paraId="24239E2F" w14:textId="77777777" w:rsidR="00FC0217" w:rsidRPr="00EF3506" w:rsidRDefault="3673165E" w:rsidP="005B4600">
            <w:pPr>
              <w:jc w:val="right"/>
              <w:rPr>
                <w:color w:val="000000"/>
                <w:sz w:val="16"/>
                <w:szCs w:val="16"/>
              </w:rPr>
            </w:pPr>
            <w:r>
              <w:rPr>
                <w:sz w:val="16"/>
              </w:rPr>
              <w:t>562</w:t>
            </w:r>
          </w:p>
        </w:tc>
        <w:tc>
          <w:tcPr>
            <w:tcW w:w="0" w:type="auto"/>
            <w:shd w:val="clear" w:color="auto" w:fill="FFFFFF" w:themeFill="background1"/>
            <w:vAlign w:val="center"/>
          </w:tcPr>
          <w:p w14:paraId="05782527" w14:textId="77777777" w:rsidR="00FC0217" w:rsidRPr="00EF3506" w:rsidRDefault="3673165E" w:rsidP="005B4600">
            <w:pPr>
              <w:jc w:val="right"/>
              <w:rPr>
                <w:color w:val="000000"/>
                <w:sz w:val="16"/>
                <w:szCs w:val="16"/>
              </w:rPr>
            </w:pPr>
            <w:r>
              <w:rPr>
                <w:sz w:val="16"/>
              </w:rPr>
              <w:t>–</w:t>
            </w:r>
          </w:p>
        </w:tc>
        <w:tc>
          <w:tcPr>
            <w:tcW w:w="0" w:type="auto"/>
            <w:shd w:val="clear" w:color="auto" w:fill="FFFFFF" w:themeFill="background1"/>
            <w:vAlign w:val="center"/>
          </w:tcPr>
          <w:p w14:paraId="6D3605DC" w14:textId="77777777" w:rsidR="00FC0217" w:rsidRPr="00EF3506" w:rsidRDefault="3673165E" w:rsidP="005B4600">
            <w:pPr>
              <w:jc w:val="right"/>
              <w:rPr>
                <w:color w:val="000000"/>
                <w:sz w:val="16"/>
                <w:szCs w:val="16"/>
              </w:rPr>
            </w:pPr>
            <w:r>
              <w:rPr>
                <w:sz w:val="16"/>
              </w:rPr>
              <w:t>71 082</w:t>
            </w:r>
          </w:p>
        </w:tc>
        <w:tc>
          <w:tcPr>
            <w:tcW w:w="0" w:type="auto"/>
            <w:shd w:val="clear" w:color="auto" w:fill="FFFFFF" w:themeFill="background1"/>
            <w:vAlign w:val="center"/>
          </w:tcPr>
          <w:p w14:paraId="4C8BA7B5" w14:textId="77777777" w:rsidR="00FC0217" w:rsidRPr="00EF3506" w:rsidRDefault="3673165E" w:rsidP="005B4600">
            <w:pPr>
              <w:jc w:val="right"/>
              <w:rPr>
                <w:color w:val="000000"/>
                <w:sz w:val="16"/>
                <w:szCs w:val="16"/>
              </w:rPr>
            </w:pPr>
            <w:r>
              <w:rPr>
                <w:sz w:val="16"/>
              </w:rPr>
              <w:t>72 013</w:t>
            </w:r>
          </w:p>
        </w:tc>
        <w:tc>
          <w:tcPr>
            <w:tcW w:w="981" w:type="dxa"/>
            <w:shd w:val="clear" w:color="auto" w:fill="FFFFFF" w:themeFill="background1"/>
            <w:vAlign w:val="center"/>
          </w:tcPr>
          <w:p w14:paraId="24AD9C0E" w14:textId="77777777" w:rsidR="00FC0217" w:rsidRPr="00EF3506" w:rsidRDefault="3673165E" w:rsidP="005B4600">
            <w:pPr>
              <w:jc w:val="right"/>
              <w:rPr>
                <w:color w:val="000000"/>
                <w:sz w:val="16"/>
                <w:szCs w:val="16"/>
              </w:rPr>
            </w:pPr>
            <w:r>
              <w:rPr>
                <w:sz w:val="16"/>
              </w:rPr>
              <w:t>(931)</w:t>
            </w:r>
          </w:p>
        </w:tc>
      </w:tr>
      <w:tr w:rsidR="00FC0217" w:rsidRPr="00EF3506" w14:paraId="42B4A1F5" w14:textId="77777777" w:rsidTr="00D9699C">
        <w:trPr>
          <w:trHeight w:val="300"/>
        </w:trPr>
        <w:tc>
          <w:tcPr>
            <w:tcW w:w="0" w:type="auto"/>
            <w:shd w:val="clear" w:color="auto" w:fill="FFFFFF" w:themeFill="background1"/>
            <w:vAlign w:val="center"/>
          </w:tcPr>
          <w:p w14:paraId="7EBBD8AE" w14:textId="77777777" w:rsidR="00FC0217" w:rsidRPr="00EF3506" w:rsidRDefault="3673165E" w:rsidP="005B4600">
            <w:pPr>
              <w:jc w:val="center"/>
              <w:rPr>
                <w:color w:val="000000"/>
                <w:sz w:val="16"/>
                <w:szCs w:val="16"/>
              </w:rPr>
            </w:pPr>
            <w:r>
              <w:rPr>
                <w:sz w:val="16"/>
              </w:rPr>
              <w:t>5</w:t>
            </w:r>
          </w:p>
        </w:tc>
        <w:tc>
          <w:tcPr>
            <w:tcW w:w="2157" w:type="dxa"/>
            <w:shd w:val="clear" w:color="auto" w:fill="FFFFFF" w:themeFill="background1"/>
            <w:vAlign w:val="center"/>
          </w:tcPr>
          <w:p w14:paraId="07747B75" w14:textId="77777777" w:rsidR="00FC0217" w:rsidRPr="00EF3506" w:rsidRDefault="3673165E" w:rsidP="005B4600">
            <w:pPr>
              <w:rPr>
                <w:color w:val="000000"/>
                <w:sz w:val="16"/>
                <w:szCs w:val="16"/>
              </w:rPr>
            </w:pPr>
            <w:r>
              <w:rPr>
                <w:sz w:val="16"/>
              </w:rPr>
              <w:t>Малайзия</w:t>
            </w:r>
          </w:p>
        </w:tc>
        <w:tc>
          <w:tcPr>
            <w:tcW w:w="0" w:type="auto"/>
            <w:shd w:val="clear" w:color="auto" w:fill="FFFFFF" w:themeFill="background1"/>
            <w:vAlign w:val="center"/>
          </w:tcPr>
          <w:p w14:paraId="1AB0EEE1" w14:textId="77777777" w:rsidR="00FC0217" w:rsidRPr="00EF3506" w:rsidRDefault="3673165E" w:rsidP="005B4600">
            <w:pPr>
              <w:jc w:val="right"/>
              <w:rPr>
                <w:color w:val="000000"/>
                <w:sz w:val="16"/>
                <w:szCs w:val="16"/>
              </w:rPr>
            </w:pPr>
            <w:r>
              <w:rPr>
                <w:sz w:val="16"/>
              </w:rPr>
              <w:t>216 086</w:t>
            </w:r>
          </w:p>
        </w:tc>
        <w:tc>
          <w:tcPr>
            <w:tcW w:w="0" w:type="auto"/>
            <w:shd w:val="clear" w:color="auto" w:fill="FFFFFF" w:themeFill="background1"/>
            <w:vAlign w:val="center"/>
          </w:tcPr>
          <w:p w14:paraId="10C8EA22" w14:textId="77777777" w:rsidR="00FC0217" w:rsidRPr="00EF3506" w:rsidRDefault="3673165E" w:rsidP="005B4600">
            <w:pPr>
              <w:jc w:val="right"/>
              <w:rPr>
                <w:color w:val="000000"/>
                <w:sz w:val="16"/>
                <w:szCs w:val="16"/>
              </w:rPr>
            </w:pPr>
            <w:r>
              <w:rPr>
                <w:sz w:val="16"/>
              </w:rPr>
              <w:t>260 792</w:t>
            </w:r>
          </w:p>
        </w:tc>
        <w:tc>
          <w:tcPr>
            <w:tcW w:w="0" w:type="auto"/>
            <w:shd w:val="clear" w:color="auto" w:fill="FFFFFF" w:themeFill="background1"/>
            <w:vAlign w:val="center"/>
          </w:tcPr>
          <w:p w14:paraId="06CADD44" w14:textId="77777777" w:rsidR="00FC0217" w:rsidRPr="00EF3506" w:rsidRDefault="3673165E" w:rsidP="005B4600">
            <w:pPr>
              <w:jc w:val="right"/>
              <w:rPr>
                <w:color w:val="000000"/>
                <w:sz w:val="16"/>
                <w:szCs w:val="16"/>
              </w:rPr>
            </w:pPr>
            <w:r>
              <w:rPr>
                <w:sz w:val="16"/>
              </w:rPr>
              <w:t>(44 706)</w:t>
            </w:r>
          </w:p>
        </w:tc>
        <w:tc>
          <w:tcPr>
            <w:tcW w:w="0" w:type="auto"/>
            <w:shd w:val="clear" w:color="auto" w:fill="FFFFFF" w:themeFill="background1"/>
            <w:vAlign w:val="center"/>
          </w:tcPr>
          <w:p w14:paraId="2F97350C" w14:textId="77777777" w:rsidR="00FC0217" w:rsidRPr="00EF3506" w:rsidRDefault="3673165E" w:rsidP="005B4600">
            <w:pPr>
              <w:jc w:val="right"/>
              <w:rPr>
                <w:color w:val="000000"/>
                <w:sz w:val="16"/>
                <w:szCs w:val="16"/>
              </w:rPr>
            </w:pPr>
            <w:r>
              <w:rPr>
                <w:sz w:val="16"/>
              </w:rPr>
              <w:t>41 811</w:t>
            </w:r>
          </w:p>
        </w:tc>
        <w:tc>
          <w:tcPr>
            <w:tcW w:w="0" w:type="auto"/>
            <w:shd w:val="clear" w:color="auto" w:fill="FFFFFF" w:themeFill="background1"/>
            <w:vAlign w:val="center"/>
          </w:tcPr>
          <w:p w14:paraId="56DAE1CD" w14:textId="77777777" w:rsidR="00FC0217" w:rsidRPr="00EF3506" w:rsidRDefault="3673165E" w:rsidP="005B4600">
            <w:pPr>
              <w:jc w:val="right"/>
              <w:rPr>
                <w:color w:val="000000"/>
                <w:sz w:val="16"/>
                <w:szCs w:val="16"/>
              </w:rPr>
            </w:pPr>
            <w:r>
              <w:rPr>
                <w:sz w:val="16"/>
              </w:rPr>
              <w:t>41 809</w:t>
            </w:r>
          </w:p>
        </w:tc>
        <w:tc>
          <w:tcPr>
            <w:tcW w:w="0" w:type="auto"/>
            <w:shd w:val="clear" w:color="auto" w:fill="FFFFFF" w:themeFill="background1"/>
            <w:vAlign w:val="center"/>
          </w:tcPr>
          <w:p w14:paraId="26156A83" w14:textId="77777777" w:rsidR="00FC0217" w:rsidRPr="00EF3506" w:rsidRDefault="3673165E" w:rsidP="005B4600">
            <w:pPr>
              <w:jc w:val="right"/>
              <w:rPr>
                <w:color w:val="000000"/>
                <w:sz w:val="16"/>
                <w:szCs w:val="16"/>
              </w:rPr>
            </w:pPr>
            <w:r>
              <w:rPr>
                <w:sz w:val="16"/>
              </w:rPr>
              <w:t>2</w:t>
            </w:r>
          </w:p>
        </w:tc>
        <w:tc>
          <w:tcPr>
            <w:tcW w:w="0" w:type="auto"/>
            <w:shd w:val="clear" w:color="auto" w:fill="FFFFFF" w:themeFill="background1"/>
            <w:vAlign w:val="center"/>
          </w:tcPr>
          <w:p w14:paraId="1EA3F2CB" w14:textId="77777777" w:rsidR="00FC0217" w:rsidRPr="00EF3506" w:rsidRDefault="3673165E" w:rsidP="005B4600">
            <w:pPr>
              <w:jc w:val="right"/>
              <w:rPr>
                <w:color w:val="000000"/>
                <w:sz w:val="16"/>
                <w:szCs w:val="16"/>
              </w:rPr>
            </w:pPr>
            <w:r>
              <w:rPr>
                <w:sz w:val="16"/>
              </w:rPr>
              <w:t>1 109 291</w:t>
            </w:r>
          </w:p>
        </w:tc>
        <w:tc>
          <w:tcPr>
            <w:tcW w:w="0" w:type="auto"/>
            <w:shd w:val="clear" w:color="auto" w:fill="FFFFFF" w:themeFill="background1"/>
            <w:vAlign w:val="center"/>
          </w:tcPr>
          <w:p w14:paraId="12A60900" w14:textId="77777777" w:rsidR="00FC0217" w:rsidRPr="00EF3506" w:rsidRDefault="3673165E" w:rsidP="005B4600">
            <w:pPr>
              <w:jc w:val="right"/>
              <w:rPr>
                <w:color w:val="000000"/>
                <w:sz w:val="16"/>
                <w:szCs w:val="16"/>
              </w:rPr>
            </w:pPr>
            <w:r>
              <w:rPr>
                <w:sz w:val="16"/>
              </w:rPr>
              <w:t>1 113 055</w:t>
            </w:r>
          </w:p>
        </w:tc>
        <w:tc>
          <w:tcPr>
            <w:tcW w:w="981" w:type="dxa"/>
            <w:shd w:val="clear" w:color="auto" w:fill="FFFFFF" w:themeFill="background1"/>
            <w:vAlign w:val="center"/>
          </w:tcPr>
          <w:p w14:paraId="06B401C5" w14:textId="77777777" w:rsidR="00FC0217" w:rsidRPr="00EF3506" w:rsidRDefault="3673165E" w:rsidP="005B4600">
            <w:pPr>
              <w:jc w:val="right"/>
              <w:rPr>
                <w:color w:val="000000"/>
                <w:sz w:val="16"/>
                <w:szCs w:val="16"/>
              </w:rPr>
            </w:pPr>
            <w:r>
              <w:rPr>
                <w:sz w:val="16"/>
              </w:rPr>
              <w:t>(3 764)</w:t>
            </w:r>
          </w:p>
        </w:tc>
      </w:tr>
      <w:tr w:rsidR="00FC0217" w:rsidRPr="00EF3506" w14:paraId="65EDBB4A" w14:textId="77777777" w:rsidTr="00D9699C">
        <w:trPr>
          <w:trHeight w:val="300"/>
        </w:trPr>
        <w:tc>
          <w:tcPr>
            <w:tcW w:w="0" w:type="auto"/>
            <w:shd w:val="clear" w:color="auto" w:fill="FFFFFF" w:themeFill="background1"/>
            <w:vAlign w:val="center"/>
          </w:tcPr>
          <w:p w14:paraId="26B6011B" w14:textId="77777777" w:rsidR="00FC0217" w:rsidRPr="00EF3506" w:rsidRDefault="3673165E" w:rsidP="005B4600">
            <w:pPr>
              <w:jc w:val="center"/>
              <w:rPr>
                <w:color w:val="000000"/>
                <w:sz w:val="16"/>
                <w:szCs w:val="16"/>
              </w:rPr>
            </w:pPr>
            <w:r>
              <w:rPr>
                <w:sz w:val="16"/>
              </w:rPr>
              <w:t>6</w:t>
            </w:r>
          </w:p>
        </w:tc>
        <w:tc>
          <w:tcPr>
            <w:tcW w:w="2157" w:type="dxa"/>
            <w:shd w:val="clear" w:color="auto" w:fill="FFFFFF" w:themeFill="background1"/>
            <w:vAlign w:val="center"/>
          </w:tcPr>
          <w:p w14:paraId="2F553F21" w14:textId="77777777" w:rsidR="00FC0217" w:rsidRPr="00EF3506" w:rsidRDefault="3673165E" w:rsidP="005B4600">
            <w:pPr>
              <w:rPr>
                <w:color w:val="000000"/>
                <w:sz w:val="16"/>
                <w:szCs w:val="16"/>
              </w:rPr>
            </w:pPr>
            <w:r>
              <w:rPr>
                <w:sz w:val="16"/>
              </w:rPr>
              <w:t>Мьянма</w:t>
            </w:r>
          </w:p>
        </w:tc>
        <w:tc>
          <w:tcPr>
            <w:tcW w:w="0" w:type="auto"/>
            <w:shd w:val="clear" w:color="auto" w:fill="FFFFFF" w:themeFill="background1"/>
            <w:vAlign w:val="center"/>
          </w:tcPr>
          <w:p w14:paraId="7463920D" w14:textId="77777777" w:rsidR="00FC0217" w:rsidRPr="00EF3506" w:rsidRDefault="3673165E" w:rsidP="005B4600">
            <w:pPr>
              <w:jc w:val="right"/>
              <w:rPr>
                <w:color w:val="000000"/>
                <w:sz w:val="16"/>
                <w:szCs w:val="16"/>
              </w:rPr>
            </w:pPr>
            <w:r>
              <w:rPr>
                <w:sz w:val="16"/>
              </w:rPr>
              <w:t>–</w:t>
            </w:r>
          </w:p>
        </w:tc>
        <w:tc>
          <w:tcPr>
            <w:tcW w:w="0" w:type="auto"/>
            <w:shd w:val="clear" w:color="auto" w:fill="FFFFFF" w:themeFill="background1"/>
            <w:vAlign w:val="center"/>
          </w:tcPr>
          <w:p w14:paraId="2AE6FE5A" w14:textId="0EC42515" w:rsidR="00FC0217" w:rsidRPr="00EF3506" w:rsidRDefault="00546147" w:rsidP="005B4600">
            <w:pPr>
              <w:jc w:val="right"/>
              <w:rPr>
                <w:color w:val="000000"/>
                <w:sz w:val="16"/>
                <w:szCs w:val="16"/>
              </w:rPr>
            </w:pPr>
            <w:r>
              <w:rPr>
                <w:sz w:val="16"/>
              </w:rPr>
              <w:t>Н/П</w:t>
            </w:r>
          </w:p>
        </w:tc>
        <w:tc>
          <w:tcPr>
            <w:tcW w:w="0" w:type="auto"/>
            <w:shd w:val="clear" w:color="auto" w:fill="FFFFFF" w:themeFill="background1"/>
            <w:vAlign w:val="center"/>
          </w:tcPr>
          <w:p w14:paraId="7AB87F75" w14:textId="2AE35F4A" w:rsidR="00FC0217" w:rsidRPr="00EF3506" w:rsidRDefault="00546147" w:rsidP="005B4600">
            <w:pPr>
              <w:jc w:val="right"/>
              <w:rPr>
                <w:color w:val="000000"/>
                <w:sz w:val="16"/>
                <w:szCs w:val="16"/>
              </w:rPr>
            </w:pPr>
            <w:r>
              <w:rPr>
                <w:sz w:val="16"/>
              </w:rPr>
              <w:t>Н/П</w:t>
            </w:r>
          </w:p>
        </w:tc>
        <w:tc>
          <w:tcPr>
            <w:tcW w:w="0" w:type="auto"/>
            <w:shd w:val="clear" w:color="auto" w:fill="FFFFFF" w:themeFill="background1"/>
            <w:vAlign w:val="center"/>
          </w:tcPr>
          <w:p w14:paraId="12FEB79F" w14:textId="77777777" w:rsidR="00FC0217" w:rsidRPr="00EF3506" w:rsidRDefault="3673165E" w:rsidP="005B4600">
            <w:pPr>
              <w:jc w:val="right"/>
              <w:rPr>
                <w:color w:val="000000"/>
                <w:sz w:val="16"/>
                <w:szCs w:val="16"/>
              </w:rPr>
            </w:pPr>
            <w:r>
              <w:rPr>
                <w:sz w:val="16"/>
              </w:rPr>
              <w:t>291</w:t>
            </w:r>
          </w:p>
        </w:tc>
        <w:tc>
          <w:tcPr>
            <w:tcW w:w="0" w:type="auto"/>
            <w:shd w:val="clear" w:color="auto" w:fill="FFFFFF" w:themeFill="background1"/>
            <w:vAlign w:val="center"/>
          </w:tcPr>
          <w:p w14:paraId="50D71C03" w14:textId="01C095F6" w:rsidR="00FC0217" w:rsidRPr="00EF3506" w:rsidRDefault="00546147" w:rsidP="005B4600">
            <w:pPr>
              <w:jc w:val="right"/>
              <w:rPr>
                <w:color w:val="000000"/>
                <w:sz w:val="16"/>
                <w:szCs w:val="16"/>
              </w:rPr>
            </w:pPr>
            <w:r>
              <w:rPr>
                <w:sz w:val="16"/>
              </w:rPr>
              <w:t>Н/П</w:t>
            </w:r>
          </w:p>
        </w:tc>
        <w:tc>
          <w:tcPr>
            <w:tcW w:w="0" w:type="auto"/>
            <w:shd w:val="clear" w:color="auto" w:fill="FFFFFF" w:themeFill="background1"/>
            <w:vAlign w:val="center"/>
          </w:tcPr>
          <w:p w14:paraId="675A8358" w14:textId="77777777" w:rsidR="00FC0217" w:rsidRPr="00EF3506" w:rsidRDefault="3673165E" w:rsidP="005B4600">
            <w:pPr>
              <w:jc w:val="right"/>
              <w:rPr>
                <w:color w:val="000000"/>
                <w:sz w:val="16"/>
                <w:szCs w:val="16"/>
              </w:rPr>
            </w:pPr>
            <w:r>
              <w:rPr>
                <w:sz w:val="16"/>
              </w:rPr>
              <w:t>291</w:t>
            </w:r>
          </w:p>
        </w:tc>
        <w:tc>
          <w:tcPr>
            <w:tcW w:w="0" w:type="auto"/>
            <w:shd w:val="clear" w:color="auto" w:fill="FFFFFF" w:themeFill="background1"/>
            <w:vAlign w:val="center"/>
          </w:tcPr>
          <w:p w14:paraId="166DA229" w14:textId="77777777" w:rsidR="00FC0217" w:rsidRPr="00EF3506" w:rsidRDefault="3673165E" w:rsidP="005B4600">
            <w:pPr>
              <w:jc w:val="right"/>
              <w:rPr>
                <w:color w:val="000000"/>
                <w:sz w:val="16"/>
                <w:szCs w:val="16"/>
              </w:rPr>
            </w:pPr>
            <w:r>
              <w:rPr>
                <w:sz w:val="16"/>
              </w:rPr>
              <w:t>16 923</w:t>
            </w:r>
          </w:p>
        </w:tc>
        <w:tc>
          <w:tcPr>
            <w:tcW w:w="0" w:type="auto"/>
            <w:shd w:val="clear" w:color="auto" w:fill="FFFFFF" w:themeFill="background1"/>
            <w:vAlign w:val="center"/>
          </w:tcPr>
          <w:p w14:paraId="06F2B48C" w14:textId="288AD289" w:rsidR="00546147" w:rsidRPr="00D9699C" w:rsidRDefault="00546147" w:rsidP="00D9699C">
            <w:pPr>
              <w:jc w:val="right"/>
              <w:rPr>
                <w:sz w:val="16"/>
              </w:rPr>
            </w:pPr>
            <w:r>
              <w:rPr>
                <w:sz w:val="16"/>
              </w:rPr>
              <w:t>Н/П</w:t>
            </w:r>
          </w:p>
        </w:tc>
        <w:tc>
          <w:tcPr>
            <w:tcW w:w="981" w:type="dxa"/>
            <w:shd w:val="clear" w:color="auto" w:fill="FFFFFF" w:themeFill="background1"/>
            <w:vAlign w:val="center"/>
          </w:tcPr>
          <w:p w14:paraId="2805146F" w14:textId="77777777" w:rsidR="00FC0217" w:rsidRPr="00EF3506" w:rsidRDefault="3673165E" w:rsidP="005B4600">
            <w:pPr>
              <w:jc w:val="right"/>
              <w:rPr>
                <w:color w:val="000000"/>
                <w:sz w:val="16"/>
                <w:szCs w:val="16"/>
              </w:rPr>
            </w:pPr>
            <w:r>
              <w:rPr>
                <w:sz w:val="16"/>
              </w:rPr>
              <w:t>16 923</w:t>
            </w:r>
          </w:p>
        </w:tc>
      </w:tr>
      <w:tr w:rsidR="00FC0217" w:rsidRPr="00EF3506" w14:paraId="2725495C" w14:textId="77777777" w:rsidTr="00D9699C">
        <w:trPr>
          <w:trHeight w:val="300"/>
        </w:trPr>
        <w:tc>
          <w:tcPr>
            <w:tcW w:w="0" w:type="auto"/>
            <w:shd w:val="clear" w:color="auto" w:fill="FFFFFF" w:themeFill="background1"/>
            <w:vAlign w:val="center"/>
          </w:tcPr>
          <w:p w14:paraId="6C370555" w14:textId="77777777" w:rsidR="00FC0217" w:rsidRPr="00EF3506" w:rsidRDefault="3673165E" w:rsidP="005B4600">
            <w:pPr>
              <w:jc w:val="center"/>
              <w:rPr>
                <w:color w:val="000000"/>
                <w:sz w:val="16"/>
                <w:szCs w:val="16"/>
              </w:rPr>
            </w:pPr>
            <w:r>
              <w:rPr>
                <w:sz w:val="16"/>
              </w:rPr>
              <w:t>7</w:t>
            </w:r>
          </w:p>
        </w:tc>
        <w:tc>
          <w:tcPr>
            <w:tcW w:w="2157" w:type="dxa"/>
            <w:shd w:val="clear" w:color="auto" w:fill="FFFFFF" w:themeFill="background1"/>
            <w:vAlign w:val="center"/>
          </w:tcPr>
          <w:p w14:paraId="15D48CF6" w14:textId="77777777" w:rsidR="00FC0217" w:rsidRPr="00EF3506" w:rsidRDefault="3673165E" w:rsidP="005B4600">
            <w:pPr>
              <w:rPr>
                <w:color w:val="000000"/>
                <w:sz w:val="16"/>
                <w:szCs w:val="16"/>
              </w:rPr>
            </w:pPr>
            <w:r>
              <w:rPr>
                <w:sz w:val="16"/>
              </w:rPr>
              <w:t>Филиппины</w:t>
            </w:r>
          </w:p>
        </w:tc>
        <w:tc>
          <w:tcPr>
            <w:tcW w:w="0" w:type="auto"/>
            <w:shd w:val="clear" w:color="auto" w:fill="FFFFFF" w:themeFill="background1"/>
            <w:vAlign w:val="center"/>
          </w:tcPr>
          <w:p w14:paraId="16306F3E" w14:textId="77777777" w:rsidR="00FC0217" w:rsidRPr="00EF3506" w:rsidRDefault="3673165E" w:rsidP="005B4600">
            <w:pPr>
              <w:jc w:val="right"/>
              <w:rPr>
                <w:color w:val="000000"/>
                <w:sz w:val="16"/>
                <w:szCs w:val="16"/>
              </w:rPr>
            </w:pPr>
            <w:r>
              <w:rPr>
                <w:sz w:val="16"/>
              </w:rPr>
              <w:t>81 494</w:t>
            </w:r>
          </w:p>
        </w:tc>
        <w:tc>
          <w:tcPr>
            <w:tcW w:w="0" w:type="auto"/>
            <w:shd w:val="clear" w:color="auto" w:fill="FFFFFF" w:themeFill="background1"/>
            <w:vAlign w:val="center"/>
          </w:tcPr>
          <w:p w14:paraId="5B286800" w14:textId="77777777" w:rsidR="00FC0217" w:rsidRPr="00EF3506" w:rsidRDefault="3673165E" w:rsidP="005B4600">
            <w:pPr>
              <w:jc w:val="right"/>
              <w:rPr>
                <w:color w:val="000000"/>
                <w:sz w:val="16"/>
                <w:szCs w:val="16"/>
              </w:rPr>
            </w:pPr>
            <w:r>
              <w:rPr>
                <w:sz w:val="16"/>
              </w:rPr>
              <w:t>102 986</w:t>
            </w:r>
          </w:p>
        </w:tc>
        <w:tc>
          <w:tcPr>
            <w:tcW w:w="0" w:type="auto"/>
            <w:shd w:val="clear" w:color="auto" w:fill="FFFFFF" w:themeFill="background1"/>
            <w:vAlign w:val="center"/>
          </w:tcPr>
          <w:p w14:paraId="382AB6F8" w14:textId="77777777" w:rsidR="00FC0217" w:rsidRPr="00EF3506" w:rsidRDefault="3673165E" w:rsidP="005B4600">
            <w:pPr>
              <w:jc w:val="right"/>
              <w:rPr>
                <w:color w:val="000000"/>
                <w:sz w:val="16"/>
                <w:szCs w:val="16"/>
              </w:rPr>
            </w:pPr>
            <w:r>
              <w:rPr>
                <w:sz w:val="16"/>
              </w:rPr>
              <w:t>(21 492)</w:t>
            </w:r>
          </w:p>
        </w:tc>
        <w:tc>
          <w:tcPr>
            <w:tcW w:w="0" w:type="auto"/>
            <w:shd w:val="clear" w:color="auto" w:fill="FFFFFF" w:themeFill="background1"/>
            <w:vAlign w:val="center"/>
          </w:tcPr>
          <w:p w14:paraId="59BA224E" w14:textId="77777777" w:rsidR="00FC0217" w:rsidRPr="00EF3506" w:rsidRDefault="3673165E" w:rsidP="005B4600">
            <w:pPr>
              <w:jc w:val="right"/>
              <w:rPr>
                <w:color w:val="000000"/>
                <w:sz w:val="16"/>
                <w:szCs w:val="16"/>
              </w:rPr>
            </w:pPr>
            <w:r>
              <w:rPr>
                <w:sz w:val="16"/>
              </w:rPr>
              <w:t>23 368</w:t>
            </w:r>
          </w:p>
        </w:tc>
        <w:tc>
          <w:tcPr>
            <w:tcW w:w="0" w:type="auto"/>
            <w:shd w:val="clear" w:color="auto" w:fill="FFFFFF" w:themeFill="background1"/>
            <w:vAlign w:val="center"/>
          </w:tcPr>
          <w:p w14:paraId="54C2FED9" w14:textId="77777777" w:rsidR="00FC0217" w:rsidRPr="00EF3506" w:rsidRDefault="3673165E" w:rsidP="005B4600">
            <w:pPr>
              <w:jc w:val="right"/>
              <w:rPr>
                <w:color w:val="000000"/>
                <w:sz w:val="16"/>
                <w:szCs w:val="16"/>
              </w:rPr>
            </w:pPr>
            <w:r>
              <w:rPr>
                <w:sz w:val="16"/>
              </w:rPr>
              <w:t>23 368</w:t>
            </w:r>
          </w:p>
        </w:tc>
        <w:tc>
          <w:tcPr>
            <w:tcW w:w="0" w:type="auto"/>
            <w:shd w:val="clear" w:color="auto" w:fill="FFFFFF" w:themeFill="background1"/>
            <w:vAlign w:val="center"/>
          </w:tcPr>
          <w:p w14:paraId="57B7B5FA" w14:textId="77777777" w:rsidR="00FC0217" w:rsidRPr="00EF3506" w:rsidRDefault="3673165E" w:rsidP="005B4600">
            <w:pPr>
              <w:jc w:val="right"/>
              <w:rPr>
                <w:color w:val="000000"/>
                <w:sz w:val="16"/>
                <w:szCs w:val="16"/>
              </w:rPr>
            </w:pPr>
            <w:r>
              <w:rPr>
                <w:sz w:val="16"/>
              </w:rPr>
              <w:t>–</w:t>
            </w:r>
          </w:p>
        </w:tc>
        <w:tc>
          <w:tcPr>
            <w:tcW w:w="0" w:type="auto"/>
            <w:shd w:val="clear" w:color="auto" w:fill="FFFFFF" w:themeFill="background1"/>
            <w:vAlign w:val="center"/>
          </w:tcPr>
          <w:p w14:paraId="3DCD2E48" w14:textId="77777777" w:rsidR="00FC0217" w:rsidRPr="00EF3506" w:rsidRDefault="3673165E" w:rsidP="005B4600">
            <w:pPr>
              <w:jc w:val="right"/>
              <w:rPr>
                <w:color w:val="000000"/>
                <w:sz w:val="16"/>
                <w:szCs w:val="16"/>
              </w:rPr>
            </w:pPr>
            <w:r>
              <w:rPr>
                <w:sz w:val="16"/>
              </w:rPr>
              <w:t>742 759</w:t>
            </w:r>
          </w:p>
        </w:tc>
        <w:tc>
          <w:tcPr>
            <w:tcW w:w="0" w:type="auto"/>
            <w:shd w:val="clear" w:color="auto" w:fill="FFFFFF" w:themeFill="background1"/>
            <w:vAlign w:val="center"/>
          </w:tcPr>
          <w:p w14:paraId="037560AB" w14:textId="77777777" w:rsidR="00FC0217" w:rsidRPr="00EF3506" w:rsidRDefault="3673165E" w:rsidP="005B4600">
            <w:pPr>
              <w:jc w:val="right"/>
              <w:rPr>
                <w:color w:val="000000"/>
                <w:sz w:val="16"/>
                <w:szCs w:val="16"/>
              </w:rPr>
            </w:pPr>
            <w:r>
              <w:rPr>
                <w:sz w:val="16"/>
              </w:rPr>
              <w:t>741 110</w:t>
            </w:r>
          </w:p>
        </w:tc>
        <w:tc>
          <w:tcPr>
            <w:tcW w:w="981" w:type="dxa"/>
            <w:shd w:val="clear" w:color="auto" w:fill="FFFFFF" w:themeFill="background1"/>
            <w:vAlign w:val="center"/>
          </w:tcPr>
          <w:p w14:paraId="490A31CC" w14:textId="77777777" w:rsidR="00FC0217" w:rsidRPr="00EF3506" w:rsidRDefault="3673165E" w:rsidP="005B4600">
            <w:pPr>
              <w:jc w:val="right"/>
              <w:rPr>
                <w:color w:val="000000"/>
                <w:sz w:val="16"/>
                <w:szCs w:val="16"/>
              </w:rPr>
            </w:pPr>
            <w:r>
              <w:rPr>
                <w:sz w:val="16"/>
              </w:rPr>
              <w:t>1 649</w:t>
            </w:r>
          </w:p>
        </w:tc>
      </w:tr>
      <w:tr w:rsidR="00FC0217" w:rsidRPr="00EF3506" w14:paraId="7A576999" w14:textId="77777777" w:rsidTr="00D9699C">
        <w:trPr>
          <w:trHeight w:val="300"/>
        </w:trPr>
        <w:tc>
          <w:tcPr>
            <w:tcW w:w="0" w:type="auto"/>
            <w:shd w:val="clear" w:color="auto" w:fill="FFFFFF" w:themeFill="background1"/>
            <w:vAlign w:val="center"/>
          </w:tcPr>
          <w:p w14:paraId="5C7C17A0" w14:textId="77777777" w:rsidR="00FC0217" w:rsidRPr="00EF3506" w:rsidRDefault="3673165E" w:rsidP="005B4600">
            <w:pPr>
              <w:jc w:val="center"/>
              <w:rPr>
                <w:color w:val="000000"/>
                <w:sz w:val="16"/>
                <w:szCs w:val="16"/>
              </w:rPr>
            </w:pPr>
            <w:r>
              <w:rPr>
                <w:sz w:val="16"/>
              </w:rPr>
              <w:t>8</w:t>
            </w:r>
          </w:p>
        </w:tc>
        <w:tc>
          <w:tcPr>
            <w:tcW w:w="2157" w:type="dxa"/>
            <w:shd w:val="clear" w:color="auto" w:fill="FFFFFF" w:themeFill="background1"/>
            <w:vAlign w:val="center"/>
          </w:tcPr>
          <w:p w14:paraId="1FA340B9" w14:textId="77777777" w:rsidR="00FC0217" w:rsidRPr="00EF3506" w:rsidRDefault="3673165E" w:rsidP="005B4600">
            <w:pPr>
              <w:rPr>
                <w:color w:val="000000"/>
                <w:sz w:val="16"/>
                <w:szCs w:val="16"/>
              </w:rPr>
            </w:pPr>
            <w:r>
              <w:rPr>
                <w:sz w:val="16"/>
              </w:rPr>
              <w:t>Сингапур</w:t>
            </w:r>
          </w:p>
        </w:tc>
        <w:tc>
          <w:tcPr>
            <w:tcW w:w="0" w:type="auto"/>
            <w:shd w:val="clear" w:color="auto" w:fill="FFFFFF" w:themeFill="background1"/>
            <w:vAlign w:val="center"/>
          </w:tcPr>
          <w:p w14:paraId="54F6CCC0" w14:textId="77777777" w:rsidR="00FC0217" w:rsidRPr="00EF3506" w:rsidRDefault="3673165E" w:rsidP="005B4600">
            <w:pPr>
              <w:jc w:val="right"/>
              <w:rPr>
                <w:color w:val="000000"/>
                <w:sz w:val="16"/>
                <w:szCs w:val="16"/>
              </w:rPr>
            </w:pPr>
            <w:r>
              <w:rPr>
                <w:sz w:val="16"/>
              </w:rPr>
              <w:t>238 244</w:t>
            </w:r>
          </w:p>
        </w:tc>
        <w:tc>
          <w:tcPr>
            <w:tcW w:w="0" w:type="auto"/>
            <w:shd w:val="clear" w:color="auto" w:fill="FFFFFF" w:themeFill="background1"/>
            <w:vAlign w:val="center"/>
          </w:tcPr>
          <w:p w14:paraId="1B19CFE6" w14:textId="77777777" w:rsidR="00FC0217" w:rsidRPr="00EF3506" w:rsidRDefault="3673165E" w:rsidP="005B4600">
            <w:pPr>
              <w:jc w:val="right"/>
              <w:rPr>
                <w:color w:val="000000"/>
                <w:sz w:val="16"/>
                <w:szCs w:val="16"/>
              </w:rPr>
            </w:pPr>
            <w:r>
              <w:rPr>
                <w:sz w:val="16"/>
              </w:rPr>
              <w:t>259 785</w:t>
            </w:r>
          </w:p>
        </w:tc>
        <w:tc>
          <w:tcPr>
            <w:tcW w:w="0" w:type="auto"/>
            <w:shd w:val="clear" w:color="auto" w:fill="FFFFFF" w:themeFill="background1"/>
            <w:vAlign w:val="center"/>
          </w:tcPr>
          <w:p w14:paraId="48495E7B" w14:textId="77777777" w:rsidR="00FC0217" w:rsidRPr="00EF3506" w:rsidRDefault="3673165E" w:rsidP="005B4600">
            <w:pPr>
              <w:jc w:val="right"/>
              <w:rPr>
                <w:color w:val="000000"/>
                <w:sz w:val="16"/>
                <w:szCs w:val="16"/>
              </w:rPr>
            </w:pPr>
            <w:r>
              <w:rPr>
                <w:sz w:val="16"/>
              </w:rPr>
              <w:t>(21 541)</w:t>
            </w:r>
          </w:p>
        </w:tc>
        <w:tc>
          <w:tcPr>
            <w:tcW w:w="0" w:type="auto"/>
            <w:shd w:val="clear" w:color="auto" w:fill="FFFFFF" w:themeFill="background1"/>
            <w:vAlign w:val="center"/>
          </w:tcPr>
          <w:p w14:paraId="41BA69CD" w14:textId="77777777" w:rsidR="00FC0217" w:rsidRPr="00EF3506" w:rsidRDefault="3673165E" w:rsidP="005B4600">
            <w:pPr>
              <w:jc w:val="right"/>
              <w:rPr>
                <w:color w:val="000000"/>
                <w:sz w:val="16"/>
                <w:szCs w:val="16"/>
              </w:rPr>
            </w:pPr>
            <w:r>
              <w:rPr>
                <w:sz w:val="16"/>
              </w:rPr>
              <w:t>43 486</w:t>
            </w:r>
          </w:p>
        </w:tc>
        <w:tc>
          <w:tcPr>
            <w:tcW w:w="0" w:type="auto"/>
            <w:shd w:val="clear" w:color="auto" w:fill="FFFFFF" w:themeFill="background1"/>
            <w:vAlign w:val="center"/>
          </w:tcPr>
          <w:p w14:paraId="2779C480" w14:textId="77777777" w:rsidR="00FC0217" w:rsidRPr="00EF3506" w:rsidRDefault="3673165E" w:rsidP="005B4600">
            <w:pPr>
              <w:jc w:val="right"/>
              <w:rPr>
                <w:color w:val="000000"/>
                <w:sz w:val="16"/>
                <w:szCs w:val="16"/>
              </w:rPr>
            </w:pPr>
            <w:r>
              <w:rPr>
                <w:sz w:val="16"/>
              </w:rPr>
              <w:t>34 539</w:t>
            </w:r>
          </w:p>
        </w:tc>
        <w:tc>
          <w:tcPr>
            <w:tcW w:w="0" w:type="auto"/>
            <w:shd w:val="clear" w:color="auto" w:fill="FFFFFF" w:themeFill="background1"/>
            <w:vAlign w:val="center"/>
          </w:tcPr>
          <w:p w14:paraId="057432FA" w14:textId="77777777" w:rsidR="00FC0217" w:rsidRPr="00EF3506" w:rsidRDefault="3673165E" w:rsidP="005B4600">
            <w:pPr>
              <w:jc w:val="right"/>
              <w:rPr>
                <w:color w:val="000000"/>
                <w:sz w:val="16"/>
                <w:szCs w:val="16"/>
              </w:rPr>
            </w:pPr>
            <w:r>
              <w:rPr>
                <w:sz w:val="16"/>
              </w:rPr>
              <w:t>8 947</w:t>
            </w:r>
          </w:p>
        </w:tc>
        <w:tc>
          <w:tcPr>
            <w:tcW w:w="0" w:type="auto"/>
            <w:shd w:val="clear" w:color="auto" w:fill="FFFFFF" w:themeFill="background1"/>
            <w:vAlign w:val="center"/>
          </w:tcPr>
          <w:p w14:paraId="55D45771" w14:textId="77777777" w:rsidR="00FC0217" w:rsidRPr="00EF3506" w:rsidRDefault="3673165E" w:rsidP="005B4600">
            <w:pPr>
              <w:jc w:val="right"/>
              <w:rPr>
                <w:color w:val="000000"/>
                <w:sz w:val="16"/>
                <w:szCs w:val="16"/>
              </w:rPr>
            </w:pPr>
            <w:r>
              <w:rPr>
                <w:sz w:val="16"/>
              </w:rPr>
              <w:t>901 303</w:t>
            </w:r>
          </w:p>
        </w:tc>
        <w:tc>
          <w:tcPr>
            <w:tcW w:w="0" w:type="auto"/>
            <w:shd w:val="clear" w:color="auto" w:fill="FFFFFF" w:themeFill="background1"/>
            <w:vAlign w:val="center"/>
          </w:tcPr>
          <w:p w14:paraId="4E2B73D9" w14:textId="77777777" w:rsidR="00FC0217" w:rsidRPr="00EF3506" w:rsidRDefault="3673165E" w:rsidP="005B4600">
            <w:pPr>
              <w:jc w:val="right"/>
              <w:rPr>
                <w:color w:val="000000"/>
                <w:sz w:val="16"/>
                <w:szCs w:val="16"/>
              </w:rPr>
            </w:pPr>
            <w:r>
              <w:rPr>
                <w:sz w:val="16"/>
              </w:rPr>
              <w:t>858 008</w:t>
            </w:r>
          </w:p>
        </w:tc>
        <w:tc>
          <w:tcPr>
            <w:tcW w:w="981" w:type="dxa"/>
            <w:shd w:val="clear" w:color="auto" w:fill="FFFFFF" w:themeFill="background1"/>
            <w:vAlign w:val="center"/>
          </w:tcPr>
          <w:p w14:paraId="740837F3" w14:textId="77777777" w:rsidR="00FC0217" w:rsidRPr="00EF3506" w:rsidRDefault="3673165E" w:rsidP="005B4600">
            <w:pPr>
              <w:jc w:val="right"/>
              <w:rPr>
                <w:color w:val="000000"/>
                <w:sz w:val="16"/>
                <w:szCs w:val="16"/>
              </w:rPr>
            </w:pPr>
            <w:r>
              <w:rPr>
                <w:sz w:val="16"/>
              </w:rPr>
              <w:t>43 295</w:t>
            </w:r>
          </w:p>
        </w:tc>
      </w:tr>
      <w:tr w:rsidR="00FC0217" w:rsidRPr="00EF3506" w14:paraId="2A349413" w14:textId="77777777" w:rsidTr="00D9699C">
        <w:trPr>
          <w:trHeight w:val="300"/>
        </w:trPr>
        <w:tc>
          <w:tcPr>
            <w:tcW w:w="0" w:type="auto"/>
            <w:shd w:val="clear" w:color="auto" w:fill="FFFFFF" w:themeFill="background1"/>
            <w:vAlign w:val="center"/>
          </w:tcPr>
          <w:p w14:paraId="067B0A65" w14:textId="77777777" w:rsidR="00FC0217" w:rsidRPr="00EF3506" w:rsidRDefault="3673165E" w:rsidP="005B4600">
            <w:pPr>
              <w:jc w:val="center"/>
              <w:rPr>
                <w:color w:val="000000"/>
                <w:sz w:val="16"/>
                <w:szCs w:val="16"/>
              </w:rPr>
            </w:pPr>
            <w:r>
              <w:rPr>
                <w:sz w:val="16"/>
              </w:rPr>
              <w:t>9</w:t>
            </w:r>
          </w:p>
        </w:tc>
        <w:tc>
          <w:tcPr>
            <w:tcW w:w="2157" w:type="dxa"/>
            <w:shd w:val="clear" w:color="auto" w:fill="FFFFFF" w:themeFill="background1"/>
            <w:vAlign w:val="center"/>
          </w:tcPr>
          <w:p w14:paraId="394A8940" w14:textId="77777777" w:rsidR="00FC0217" w:rsidRPr="00EF3506" w:rsidRDefault="3673165E" w:rsidP="005B4600">
            <w:pPr>
              <w:rPr>
                <w:color w:val="000000"/>
                <w:sz w:val="16"/>
                <w:szCs w:val="16"/>
              </w:rPr>
            </w:pPr>
            <w:r>
              <w:rPr>
                <w:sz w:val="16"/>
              </w:rPr>
              <w:t>Таиланд</w:t>
            </w:r>
          </w:p>
        </w:tc>
        <w:tc>
          <w:tcPr>
            <w:tcW w:w="0" w:type="auto"/>
            <w:shd w:val="clear" w:color="auto" w:fill="FFFFFF" w:themeFill="background1"/>
            <w:vAlign w:val="center"/>
          </w:tcPr>
          <w:p w14:paraId="7B803DCE" w14:textId="40C47E20" w:rsidR="00FC0217" w:rsidRPr="00EF3506" w:rsidRDefault="3673165E" w:rsidP="005B4600">
            <w:pPr>
              <w:jc w:val="right"/>
              <w:rPr>
                <w:color w:val="000000"/>
                <w:sz w:val="16"/>
                <w:szCs w:val="16"/>
              </w:rPr>
            </w:pPr>
            <w:r>
              <w:rPr>
                <w:sz w:val="16"/>
              </w:rPr>
              <w:t>161 515</w:t>
            </w:r>
          </w:p>
        </w:tc>
        <w:tc>
          <w:tcPr>
            <w:tcW w:w="0" w:type="auto"/>
            <w:shd w:val="clear" w:color="auto" w:fill="FFFFFF" w:themeFill="background1"/>
            <w:vAlign w:val="center"/>
          </w:tcPr>
          <w:p w14:paraId="01CFF4B6" w14:textId="77777777" w:rsidR="00FC0217" w:rsidRPr="00EF3506" w:rsidRDefault="3673165E" w:rsidP="005B4600">
            <w:pPr>
              <w:jc w:val="right"/>
              <w:rPr>
                <w:color w:val="000000"/>
                <w:sz w:val="16"/>
                <w:szCs w:val="16"/>
              </w:rPr>
            </w:pPr>
            <w:r>
              <w:rPr>
                <w:sz w:val="16"/>
              </w:rPr>
              <w:t>191 367</w:t>
            </w:r>
          </w:p>
        </w:tc>
        <w:tc>
          <w:tcPr>
            <w:tcW w:w="0" w:type="auto"/>
            <w:shd w:val="clear" w:color="auto" w:fill="FFFFFF" w:themeFill="background1"/>
            <w:vAlign w:val="center"/>
          </w:tcPr>
          <w:p w14:paraId="21EB9ABF" w14:textId="77777777" w:rsidR="00FC0217" w:rsidRPr="00EF3506" w:rsidRDefault="3673165E" w:rsidP="005B4600">
            <w:pPr>
              <w:jc w:val="right"/>
              <w:rPr>
                <w:color w:val="000000"/>
                <w:sz w:val="16"/>
                <w:szCs w:val="16"/>
              </w:rPr>
            </w:pPr>
            <w:r>
              <w:rPr>
                <w:sz w:val="16"/>
              </w:rPr>
              <w:t>(29 852)</w:t>
            </w:r>
          </w:p>
        </w:tc>
        <w:tc>
          <w:tcPr>
            <w:tcW w:w="0" w:type="auto"/>
            <w:shd w:val="clear" w:color="auto" w:fill="FFFFFF" w:themeFill="background1"/>
            <w:vAlign w:val="center"/>
          </w:tcPr>
          <w:p w14:paraId="669C66CE" w14:textId="77777777" w:rsidR="00FC0217" w:rsidRPr="00EF3506" w:rsidRDefault="3673165E" w:rsidP="005B4600">
            <w:pPr>
              <w:jc w:val="right"/>
              <w:rPr>
                <w:color w:val="000000"/>
                <w:sz w:val="16"/>
                <w:szCs w:val="16"/>
              </w:rPr>
            </w:pPr>
            <w:r>
              <w:rPr>
                <w:sz w:val="16"/>
              </w:rPr>
              <w:t>84 709</w:t>
            </w:r>
          </w:p>
        </w:tc>
        <w:tc>
          <w:tcPr>
            <w:tcW w:w="0" w:type="auto"/>
            <w:shd w:val="clear" w:color="auto" w:fill="FFFFFF" w:themeFill="background1"/>
            <w:vAlign w:val="center"/>
          </w:tcPr>
          <w:p w14:paraId="1920E061" w14:textId="77777777" w:rsidR="00FC0217" w:rsidRPr="00EF3506" w:rsidRDefault="3673165E" w:rsidP="005B4600">
            <w:pPr>
              <w:jc w:val="right"/>
              <w:rPr>
                <w:color w:val="000000"/>
                <w:sz w:val="16"/>
                <w:szCs w:val="16"/>
              </w:rPr>
            </w:pPr>
            <w:r>
              <w:rPr>
                <w:sz w:val="16"/>
              </w:rPr>
              <w:t>87 198</w:t>
            </w:r>
          </w:p>
        </w:tc>
        <w:tc>
          <w:tcPr>
            <w:tcW w:w="0" w:type="auto"/>
            <w:shd w:val="clear" w:color="auto" w:fill="FFFFFF" w:themeFill="background1"/>
            <w:vAlign w:val="center"/>
          </w:tcPr>
          <w:p w14:paraId="1D4CA02A" w14:textId="77777777" w:rsidR="00FC0217" w:rsidRPr="00EF3506" w:rsidRDefault="3673165E" w:rsidP="005B4600">
            <w:pPr>
              <w:jc w:val="right"/>
              <w:rPr>
                <w:color w:val="000000"/>
                <w:sz w:val="16"/>
                <w:szCs w:val="16"/>
              </w:rPr>
            </w:pPr>
            <w:r>
              <w:rPr>
                <w:sz w:val="16"/>
              </w:rPr>
              <w:t>(2 489)</w:t>
            </w:r>
          </w:p>
        </w:tc>
        <w:tc>
          <w:tcPr>
            <w:tcW w:w="0" w:type="auto"/>
            <w:shd w:val="clear" w:color="auto" w:fill="FFFFFF" w:themeFill="background1"/>
            <w:vAlign w:val="center"/>
          </w:tcPr>
          <w:p w14:paraId="1FA92435" w14:textId="77777777" w:rsidR="00FC0217" w:rsidRPr="00EF3506" w:rsidRDefault="3673165E" w:rsidP="005B4600">
            <w:pPr>
              <w:jc w:val="right"/>
              <w:rPr>
                <w:color w:val="000000"/>
                <w:sz w:val="16"/>
                <w:szCs w:val="16"/>
              </w:rPr>
            </w:pPr>
            <w:r>
              <w:rPr>
                <w:sz w:val="16"/>
              </w:rPr>
              <w:t>1 282 514</w:t>
            </w:r>
          </w:p>
        </w:tc>
        <w:tc>
          <w:tcPr>
            <w:tcW w:w="0" w:type="auto"/>
            <w:shd w:val="clear" w:color="auto" w:fill="FFFFFF" w:themeFill="background1"/>
            <w:vAlign w:val="center"/>
          </w:tcPr>
          <w:p w14:paraId="36DEBA87" w14:textId="77777777" w:rsidR="00FC0217" w:rsidRPr="00EF3506" w:rsidRDefault="3673165E" w:rsidP="005B4600">
            <w:pPr>
              <w:jc w:val="right"/>
              <w:rPr>
                <w:color w:val="000000"/>
                <w:sz w:val="16"/>
                <w:szCs w:val="16"/>
              </w:rPr>
            </w:pPr>
            <w:r>
              <w:rPr>
                <w:sz w:val="16"/>
              </w:rPr>
              <w:t>1 282 724</w:t>
            </w:r>
          </w:p>
        </w:tc>
        <w:tc>
          <w:tcPr>
            <w:tcW w:w="981" w:type="dxa"/>
            <w:shd w:val="clear" w:color="auto" w:fill="FFFFFF" w:themeFill="background1"/>
            <w:vAlign w:val="center"/>
          </w:tcPr>
          <w:p w14:paraId="19A6AC81" w14:textId="77777777" w:rsidR="00FC0217" w:rsidRPr="00EF3506" w:rsidRDefault="3673165E" w:rsidP="005B4600">
            <w:pPr>
              <w:jc w:val="right"/>
              <w:rPr>
                <w:color w:val="000000"/>
                <w:sz w:val="16"/>
                <w:szCs w:val="16"/>
              </w:rPr>
            </w:pPr>
            <w:r>
              <w:rPr>
                <w:sz w:val="16"/>
              </w:rPr>
              <w:t>(210)</w:t>
            </w:r>
          </w:p>
        </w:tc>
      </w:tr>
      <w:tr w:rsidR="00FC0217" w:rsidRPr="00EF3506" w14:paraId="2D70CA04" w14:textId="77777777" w:rsidTr="00D9699C">
        <w:trPr>
          <w:trHeight w:val="300"/>
        </w:trPr>
        <w:tc>
          <w:tcPr>
            <w:tcW w:w="0" w:type="auto"/>
            <w:shd w:val="clear" w:color="auto" w:fill="FFFFFF" w:themeFill="background1"/>
            <w:vAlign w:val="center"/>
          </w:tcPr>
          <w:p w14:paraId="3E21741F" w14:textId="77777777" w:rsidR="00FC0217" w:rsidRPr="00EF3506" w:rsidRDefault="3673165E" w:rsidP="005B4600">
            <w:pPr>
              <w:jc w:val="center"/>
              <w:rPr>
                <w:color w:val="000000"/>
                <w:sz w:val="16"/>
                <w:szCs w:val="16"/>
              </w:rPr>
            </w:pPr>
            <w:r>
              <w:rPr>
                <w:sz w:val="16"/>
              </w:rPr>
              <w:t>10</w:t>
            </w:r>
          </w:p>
        </w:tc>
        <w:tc>
          <w:tcPr>
            <w:tcW w:w="2157" w:type="dxa"/>
            <w:shd w:val="clear" w:color="auto" w:fill="FFFFFF" w:themeFill="background1"/>
            <w:vAlign w:val="center"/>
          </w:tcPr>
          <w:p w14:paraId="24708D39" w14:textId="77777777" w:rsidR="00FC0217" w:rsidRPr="00EF3506" w:rsidRDefault="3673165E" w:rsidP="005B4600">
            <w:pPr>
              <w:rPr>
                <w:color w:val="000000"/>
                <w:sz w:val="16"/>
                <w:szCs w:val="16"/>
              </w:rPr>
            </w:pPr>
            <w:r>
              <w:rPr>
                <w:sz w:val="16"/>
              </w:rPr>
              <w:t>Вьетнам</w:t>
            </w:r>
          </w:p>
        </w:tc>
        <w:tc>
          <w:tcPr>
            <w:tcW w:w="0" w:type="auto"/>
            <w:shd w:val="clear" w:color="auto" w:fill="FFFFFF" w:themeFill="background1"/>
            <w:vAlign w:val="center"/>
          </w:tcPr>
          <w:p w14:paraId="0CE693E2" w14:textId="77777777" w:rsidR="00FC0217" w:rsidRPr="00EF3506" w:rsidRDefault="3673165E" w:rsidP="005B4600">
            <w:pPr>
              <w:jc w:val="right"/>
              <w:rPr>
                <w:color w:val="000000"/>
                <w:sz w:val="16"/>
                <w:szCs w:val="16"/>
              </w:rPr>
            </w:pPr>
            <w:r>
              <w:rPr>
                <w:sz w:val="16"/>
              </w:rPr>
              <w:t>130 628</w:t>
            </w:r>
          </w:p>
        </w:tc>
        <w:tc>
          <w:tcPr>
            <w:tcW w:w="0" w:type="auto"/>
            <w:shd w:val="clear" w:color="auto" w:fill="FFFFFF" w:themeFill="background1"/>
            <w:vAlign w:val="center"/>
          </w:tcPr>
          <w:p w14:paraId="04C40638" w14:textId="77777777" w:rsidR="00FC0217" w:rsidRPr="00EF3506" w:rsidRDefault="3673165E" w:rsidP="005B4600">
            <w:pPr>
              <w:jc w:val="right"/>
              <w:rPr>
                <w:color w:val="000000"/>
                <w:sz w:val="16"/>
                <w:szCs w:val="16"/>
              </w:rPr>
            </w:pPr>
            <w:r>
              <w:rPr>
                <w:sz w:val="16"/>
              </w:rPr>
              <w:t>153 885</w:t>
            </w:r>
          </w:p>
        </w:tc>
        <w:tc>
          <w:tcPr>
            <w:tcW w:w="0" w:type="auto"/>
            <w:shd w:val="clear" w:color="auto" w:fill="FFFFFF" w:themeFill="background1"/>
            <w:vAlign w:val="center"/>
          </w:tcPr>
          <w:p w14:paraId="6F2F3FE6" w14:textId="77777777" w:rsidR="00FC0217" w:rsidRPr="00EF3506" w:rsidRDefault="3673165E" w:rsidP="005B4600">
            <w:pPr>
              <w:jc w:val="right"/>
              <w:rPr>
                <w:color w:val="000000"/>
                <w:sz w:val="16"/>
                <w:szCs w:val="16"/>
              </w:rPr>
            </w:pPr>
            <w:r>
              <w:rPr>
                <w:sz w:val="16"/>
              </w:rPr>
              <w:t>(23 257)</w:t>
            </w:r>
          </w:p>
        </w:tc>
        <w:tc>
          <w:tcPr>
            <w:tcW w:w="0" w:type="auto"/>
            <w:shd w:val="clear" w:color="auto" w:fill="FFFFFF" w:themeFill="background1"/>
            <w:vAlign w:val="center"/>
          </w:tcPr>
          <w:p w14:paraId="02B3452F" w14:textId="77777777" w:rsidR="00FC0217" w:rsidRPr="00EF3506" w:rsidRDefault="3673165E" w:rsidP="005B4600">
            <w:pPr>
              <w:jc w:val="right"/>
              <w:rPr>
                <w:color w:val="000000"/>
                <w:sz w:val="16"/>
                <w:szCs w:val="16"/>
              </w:rPr>
            </w:pPr>
            <w:r>
              <w:rPr>
                <w:sz w:val="16"/>
              </w:rPr>
              <w:t>60 593</w:t>
            </w:r>
          </w:p>
        </w:tc>
        <w:tc>
          <w:tcPr>
            <w:tcW w:w="0" w:type="auto"/>
            <w:shd w:val="clear" w:color="auto" w:fill="FFFFFF" w:themeFill="background1"/>
            <w:vAlign w:val="center"/>
          </w:tcPr>
          <w:p w14:paraId="3271BB78" w14:textId="77777777" w:rsidR="00FC0217" w:rsidRPr="00EF3506" w:rsidRDefault="3673165E" w:rsidP="005B4600">
            <w:pPr>
              <w:jc w:val="right"/>
              <w:rPr>
                <w:color w:val="000000"/>
                <w:sz w:val="16"/>
                <w:szCs w:val="16"/>
              </w:rPr>
            </w:pPr>
            <w:r>
              <w:rPr>
                <w:sz w:val="16"/>
              </w:rPr>
              <w:t>60 596</w:t>
            </w:r>
          </w:p>
        </w:tc>
        <w:tc>
          <w:tcPr>
            <w:tcW w:w="0" w:type="auto"/>
            <w:shd w:val="clear" w:color="auto" w:fill="FFFFFF" w:themeFill="background1"/>
            <w:vAlign w:val="center"/>
          </w:tcPr>
          <w:p w14:paraId="5031C88E" w14:textId="77777777" w:rsidR="00FC0217" w:rsidRPr="00EF3506" w:rsidRDefault="3673165E" w:rsidP="005B4600">
            <w:pPr>
              <w:jc w:val="right"/>
              <w:rPr>
                <w:color w:val="000000"/>
                <w:sz w:val="16"/>
                <w:szCs w:val="16"/>
              </w:rPr>
            </w:pPr>
            <w:r>
              <w:rPr>
                <w:sz w:val="16"/>
              </w:rPr>
              <w:t>(3)</w:t>
            </w:r>
          </w:p>
        </w:tc>
        <w:tc>
          <w:tcPr>
            <w:tcW w:w="0" w:type="auto"/>
            <w:shd w:val="clear" w:color="auto" w:fill="FFFFFF" w:themeFill="background1"/>
            <w:vAlign w:val="center"/>
          </w:tcPr>
          <w:p w14:paraId="20E7D7E3" w14:textId="77777777" w:rsidR="00FC0217" w:rsidRPr="00EF3506" w:rsidRDefault="3673165E" w:rsidP="005B4600">
            <w:pPr>
              <w:jc w:val="right"/>
              <w:rPr>
                <w:color w:val="000000"/>
                <w:sz w:val="16"/>
                <w:szCs w:val="16"/>
              </w:rPr>
            </w:pPr>
            <w:r>
              <w:rPr>
                <w:sz w:val="16"/>
              </w:rPr>
              <w:t>908 650</w:t>
            </w:r>
          </w:p>
        </w:tc>
        <w:tc>
          <w:tcPr>
            <w:tcW w:w="0" w:type="auto"/>
            <w:shd w:val="clear" w:color="auto" w:fill="FFFFFF" w:themeFill="background1"/>
            <w:vAlign w:val="center"/>
          </w:tcPr>
          <w:p w14:paraId="7951F34E" w14:textId="77777777" w:rsidR="00FC0217" w:rsidRPr="00EF3506" w:rsidRDefault="3673165E" w:rsidP="005B4600">
            <w:pPr>
              <w:jc w:val="right"/>
              <w:rPr>
                <w:color w:val="000000"/>
                <w:sz w:val="16"/>
                <w:szCs w:val="16"/>
              </w:rPr>
            </w:pPr>
            <w:r>
              <w:rPr>
                <w:sz w:val="16"/>
              </w:rPr>
              <w:t>909 661</w:t>
            </w:r>
          </w:p>
        </w:tc>
        <w:tc>
          <w:tcPr>
            <w:tcW w:w="981" w:type="dxa"/>
            <w:shd w:val="clear" w:color="auto" w:fill="FFFFFF" w:themeFill="background1"/>
            <w:vAlign w:val="center"/>
          </w:tcPr>
          <w:p w14:paraId="57F0015A" w14:textId="77777777" w:rsidR="00FC0217" w:rsidRPr="00EF3506" w:rsidRDefault="3673165E" w:rsidP="005B4600">
            <w:pPr>
              <w:jc w:val="right"/>
              <w:rPr>
                <w:color w:val="000000"/>
                <w:sz w:val="16"/>
                <w:szCs w:val="16"/>
              </w:rPr>
            </w:pPr>
            <w:r>
              <w:rPr>
                <w:sz w:val="16"/>
              </w:rPr>
              <w:t>(1 011)</w:t>
            </w:r>
          </w:p>
        </w:tc>
      </w:tr>
    </w:tbl>
    <w:p w14:paraId="5FF558E5" w14:textId="77777777" w:rsidR="004E30F5" w:rsidRPr="00EF3506" w:rsidRDefault="004E30F5" w:rsidP="00352816">
      <w:pPr>
        <w:pStyle w:val="LFARPara"/>
        <w:spacing w:before="120"/>
        <w:ind w:left="850" w:hanging="493"/>
      </w:pPr>
      <w:r>
        <w:t>В таблице выше показаны различия между данными Реестра ИС АСЕАН и данными ВОИС. Эти различия не обязательно означают, что данные ВОИС неточны. Это может отражать структурные ограничения добровольного участия ведомств ИС в предоставлении данных для глобальных баз данных. Более четкое информирование пользователей о масштабах охвата и более систематические усилия по устранению наиболее существенных пробелов повысили бы надежность баз данных и авторитет Организации.</w:t>
      </w:r>
    </w:p>
    <w:p w14:paraId="62603948" w14:textId="77777777" w:rsidR="004E30F5" w:rsidRPr="00EF3506" w:rsidRDefault="004E30F5" w:rsidP="00352816">
      <w:pPr>
        <w:pStyle w:val="LFARPara"/>
        <w:spacing w:before="120"/>
        <w:ind w:left="850" w:hanging="493"/>
      </w:pPr>
      <w:r>
        <w:t>По мнению сотрудника по глобальным базам данных, разница в количестве записей в Регистре ИС АСЕАН и глобальных базах данных ВОИС может быть обусловлена несколькими факторами, включая следующие:</w:t>
      </w:r>
    </w:p>
    <w:p w14:paraId="2082752C" w14:textId="5936F86C"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t>Различия в циклах обновления или датах синхронизации данных между двумя системами;</w:t>
      </w:r>
    </w:p>
    <w:p w14:paraId="47D5CFAF" w14:textId="77777777"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lastRenderedPageBreak/>
        <w:t>Устаревшие записи, которые существуют только в одной базе данных (либо в ГБДБ/ГБДО, либо в Реестре ИС АСЕАН);</w:t>
      </w:r>
    </w:p>
    <w:p w14:paraId="708D36FA" w14:textId="53CA9265"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t>Проблемы с качеством метаданных в старых записях, которые могут препятствовать успешной загрузке из-за различий в правилах валидации, применяемых глобальными базами данных и Реестром ИС АСЕАН;</w:t>
      </w:r>
    </w:p>
    <w:p w14:paraId="7482FCD1" w14:textId="77777777"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t>Недавняя реорганизация коллекции ведомства и последующая передача в Реестр ИС АСЕАН нового набора архивных данных, содержащего меньше патентных записей, чем было доступно ранее;</w:t>
      </w:r>
    </w:p>
    <w:p w14:paraId="6029E29F" w14:textId="77777777"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t>Необычно большие или массовые обновления патентных данных, которые, возможно, еще не были полностью обработаны или отражены в одной из систем; и</w:t>
      </w:r>
    </w:p>
    <w:p w14:paraId="41E7E1FA" w14:textId="77777777" w:rsidR="004E30F5" w:rsidRPr="00EF3506" w:rsidRDefault="004E30F5" w:rsidP="00352816">
      <w:pPr>
        <w:pStyle w:val="ListParagraph"/>
        <w:numPr>
          <w:ilvl w:val="0"/>
          <w:numId w:val="20"/>
        </w:numPr>
        <w:spacing w:before="120" w:after="120" w:line="280" w:lineRule="exact"/>
        <w:ind w:hanging="409"/>
        <w:contextualSpacing w:val="0"/>
        <w:jc w:val="both"/>
        <w:rPr>
          <w:rFonts w:ascii="Times New Roman" w:eastAsia="Times New Roman" w:hAnsi="Times New Roman" w:cs="Times New Roman"/>
        </w:rPr>
      </w:pPr>
      <w:r>
        <w:rPr>
          <w:rFonts w:ascii="Times New Roman" w:hAnsi="Times New Roman"/>
        </w:rPr>
        <w:t>Что касается баз данных по ИС Мьянмы, то в настоящее время ВОИС не имеет ни соглашения об обмене данными с ними, ни прямого доступа к ним.</w:t>
      </w:r>
    </w:p>
    <w:p w14:paraId="77D50317" w14:textId="3CECABB0" w:rsidR="004E30F5" w:rsidRPr="00EF3506" w:rsidRDefault="004E30F5" w:rsidP="00362D5A">
      <w:pPr>
        <w:pStyle w:val="ListParagraph"/>
        <w:numPr>
          <w:ilvl w:val="0"/>
          <w:numId w:val="26"/>
        </w:numPr>
        <w:spacing w:before="120" w:after="120" w:line="280" w:lineRule="exact"/>
        <w:contextualSpacing w:val="0"/>
        <w:jc w:val="both"/>
        <w:rPr>
          <w:rFonts w:ascii="Times New Roman" w:eastAsia="Times New Roman" w:hAnsi="Times New Roman" w:cs="Times New Roman"/>
          <w:b/>
          <w:bCs/>
          <w:i/>
          <w:iCs/>
        </w:rPr>
      </w:pPr>
      <w:r>
        <w:rPr>
          <w:rFonts w:ascii="Times New Roman" w:hAnsi="Times New Roman"/>
          <w:b/>
          <w:i/>
        </w:rPr>
        <w:t>Учет механизма полной перезагрузки данных для ГБДБ и ГБДО</w:t>
      </w:r>
    </w:p>
    <w:p w14:paraId="41E4904D" w14:textId="301E13A9" w:rsidR="004E30F5" w:rsidRPr="00EF3506" w:rsidRDefault="008A5C9A" w:rsidP="00352816">
      <w:pPr>
        <w:pStyle w:val="LFARPara"/>
        <w:spacing w:before="120"/>
        <w:ind w:left="910" w:hanging="484"/>
      </w:pPr>
      <w:r>
        <w:t>Некоторые ведомства ИС предоставляли данные в ГБДБ и ГБДО путем полной перезагрузки данных. Эти ведомства периодически предоставляли ВОИС свои актуальные наборы данных. Таким образом, записи, хранящиеся в системах ВОИС, соответствовали последней версии, находящейся у ведомства-источника, и снижали вероятность возникновения пробелов, вызванных поздними обновлениями или сбоями при передаче. Такой подход может рассматриваться как альтернативная практика, в частности для ведомств, которым трудно предоставлять регулярные обновления из-за ограниченности ресурсов или технических возможностей, чтобы снизить риск незамеченных несоответствий в коллекциях ВОИС.</w:t>
      </w:r>
    </w:p>
    <w:p w14:paraId="7880B90E" w14:textId="77777777" w:rsidR="004E30F5" w:rsidRPr="00EF3506" w:rsidRDefault="004E30F5" w:rsidP="00352816">
      <w:pPr>
        <w:pStyle w:val="LFARPara"/>
        <w:spacing w:before="120"/>
        <w:ind w:left="910" w:hanging="484"/>
      </w:pPr>
      <w:r>
        <w:t xml:space="preserve">Однако эффективность таких практик будет различаться в разных ведомствах. В ведомствах с большим объемом национальных записей передача полных наборов данных может привести к значительным нагрузкам на системы и пропускную способность. Организации целесообразно провести структурированную оценку осуществимости, чтобы определить ведомства, для которых это может быть подходящим вариантом, установить четкие операционные руководящие указания по внедрению и поощрять применение там, где это уместно, в рамках более широких усилий по повышению качества данных. </w:t>
      </w:r>
    </w:p>
    <w:p w14:paraId="7D483B2E" w14:textId="77777777" w:rsidR="004E30F5" w:rsidRPr="00EF3506" w:rsidRDefault="004E30F5" w:rsidP="00352816">
      <w:pPr>
        <w:pStyle w:val="LFARPara"/>
        <w:spacing w:before="120"/>
        <w:ind w:left="910" w:hanging="484"/>
      </w:pPr>
      <w:r>
        <w:t>Регулярное направление запроса на полную перезагрузку данных можно рассматривать как надлежащую практику, особенно при отсутствии ведомственных досье. Периодически получая полную выгрузку из систем ведомств ИС, ВОИС может обеспечить комплексный «снимок» данных и гарантировать, что на этот момент времени все обновления полностью отражены. Хотя полная перезагрузка требует дополнительных усилий со стороны команды глобальных баз данных для извлечения, повторного преобразования и повторной индексации данных, этот подход дает существенные преимущества, в частности при различном уровне зрелости управления данными в разных ведомствах, поскольку не все ведомства ИС обладают одинаковыми техническими возможностями.</w:t>
      </w:r>
    </w:p>
    <w:p w14:paraId="18792CEF" w14:textId="7DFB96D4" w:rsidR="004E30F5" w:rsidRPr="00EF3506" w:rsidRDefault="004E30F5" w:rsidP="00362D5A">
      <w:pPr>
        <w:pStyle w:val="ListParagraph"/>
        <w:numPr>
          <w:ilvl w:val="0"/>
          <w:numId w:val="26"/>
        </w:numPr>
        <w:spacing w:before="120" w:after="120" w:line="280" w:lineRule="exact"/>
        <w:contextualSpacing w:val="0"/>
        <w:jc w:val="both"/>
        <w:rPr>
          <w:rFonts w:ascii="Times New Roman" w:eastAsia="Times New Roman" w:hAnsi="Times New Roman" w:cs="Times New Roman"/>
          <w:b/>
          <w:bCs/>
          <w:i/>
          <w:iCs/>
        </w:rPr>
      </w:pPr>
      <w:r>
        <w:rPr>
          <w:rFonts w:ascii="Times New Roman" w:hAnsi="Times New Roman"/>
          <w:b/>
          <w:i/>
        </w:rPr>
        <w:t>Установление надежных каналов связи и подходов во взаимодействии с ведомствами ИС</w:t>
      </w:r>
    </w:p>
    <w:p w14:paraId="7BBD8F35" w14:textId="77777777" w:rsidR="004E30F5" w:rsidRPr="00EF3506" w:rsidRDefault="004E30F5" w:rsidP="00352816">
      <w:pPr>
        <w:pStyle w:val="LFARPara"/>
        <w:spacing w:before="120"/>
        <w:ind w:left="910" w:hanging="484"/>
      </w:pPr>
      <w:r>
        <w:t xml:space="preserve">В ходе аудита было отмечено, что участие одних и тех же ведомств ИС в глобальных базах данных не было последовательным во всех трех базах данных. Такое неравномерное взаимодействие свидетельствует о том, что охват можно </w:t>
      </w:r>
      <w:r>
        <w:lastRenderedPageBreak/>
        <w:t>дополнительно усилить за счет более структурированного и проактивного подхода к коммуникации и взаимодействию.</w:t>
      </w:r>
    </w:p>
    <w:p w14:paraId="322BE1E9" w14:textId="77777777" w:rsidR="004E30F5" w:rsidRPr="00056CF1" w:rsidRDefault="004E30F5" w:rsidP="00352816">
      <w:pPr>
        <w:pStyle w:val="LFARPara"/>
        <w:spacing w:before="120"/>
        <w:ind w:left="910" w:hanging="484"/>
      </w:pPr>
      <w:r>
        <w:t xml:space="preserve">Организация предприняла некоторые усилия для устранения этих пробелов, включая постоянную связь и последующие действия с ведомствами ИС через Отдел глобальных баз данных. Однако прогресс, как правило, достигался ситуативно и его по-прежнему трудно систематически отслеживать или оценивать из-за отсутствия структурированной системы коммуникации. </w:t>
      </w:r>
    </w:p>
    <w:p w14:paraId="588672A6" w14:textId="13EF6150" w:rsidR="004E30F5" w:rsidRDefault="00973EA0" w:rsidP="00352816">
      <w:pPr>
        <w:pStyle w:val="LFARPara"/>
        <w:spacing w:before="120"/>
        <w:ind w:left="907" w:hanging="482"/>
      </w:pPr>
      <w:r>
        <w:t>Приведенные выше наблюдения основаны на анализе охвата данных, обзоре документов и обсуждениях с координатором ВОИС. Однако они не в полной мере отражают опыт ведомств ИС как пользователей баз данных и как поставщиков данных для них. Для получения более полного представления можно провести структурированный опрос среди всех государств-членов ВОИС — как тех, которые в настоящее время предоставляют данные, так и тех, которые их не предоставляют, — чтобы собрать мнения ведомств ИС. Сбор этой информации даст ВОИС более четкую основу для определения приоритетов в информационно-разъяснительной работе, уточнения соглашений об обмене данными и устранения выявленных пробелов.</w:t>
      </w:r>
    </w:p>
    <w:tbl>
      <w:tblPr>
        <w:tblW w:w="0" w:type="auto"/>
        <w:tblInd w:w="421" w:type="dxa"/>
        <w:tblLook w:val="04A0" w:firstRow="1" w:lastRow="0" w:firstColumn="1" w:lastColumn="0" w:noHBand="0" w:noVBand="1"/>
      </w:tblPr>
      <w:tblGrid>
        <w:gridCol w:w="8617"/>
      </w:tblGrid>
      <w:tr w:rsidR="003B2B1F" w:rsidRPr="00EF3506" w14:paraId="60A5621A" w14:textId="77777777" w:rsidTr="00512EEE">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1BB36" w14:textId="2B420A82" w:rsidR="003B2B1F" w:rsidRPr="00EF3506" w:rsidRDefault="0059435C" w:rsidP="000079BF">
            <w:pPr>
              <w:spacing w:before="120" w:after="120" w:line="280" w:lineRule="exact"/>
              <w:rPr>
                <w:rFonts w:ascii="Times New Roman" w:hAnsi="Times New Roman" w:cs="Times New Roman"/>
                <w:b/>
                <w:bCs/>
              </w:rPr>
            </w:pPr>
            <w:r>
              <w:rPr>
                <w:rFonts w:ascii="Times New Roman" w:hAnsi="Times New Roman"/>
                <w:b/>
              </w:rPr>
              <w:t>Рекомендация 10</w:t>
            </w:r>
          </w:p>
          <w:p w14:paraId="1CC7D49F" w14:textId="77777777" w:rsidR="003B2B1F" w:rsidRPr="00EF3506" w:rsidRDefault="05AEB3DE" w:rsidP="000079BF">
            <w:pPr>
              <w:spacing w:before="120" w:after="120" w:line="280" w:lineRule="exact"/>
              <w:jc w:val="both"/>
              <w:rPr>
                <w:rFonts w:ascii="Times New Roman" w:hAnsi="Times New Roman" w:cs="Times New Roman"/>
              </w:rPr>
            </w:pPr>
            <w:r>
              <w:rPr>
                <w:rFonts w:ascii="Times New Roman" w:hAnsi="Times New Roman"/>
              </w:rPr>
              <w:t>Чтобы расширить охват данных и повысить своевременность обновления данных в глобальных базах данных, BPK рекомендует Организации:</w:t>
            </w:r>
          </w:p>
          <w:p w14:paraId="39348E9C" w14:textId="2FA59D04" w:rsidR="003B2B1F" w:rsidRPr="00EF3506" w:rsidRDefault="05AEB3DE" w:rsidP="000079BF">
            <w:pPr>
              <w:pStyle w:val="ListParagraph"/>
              <w:numPr>
                <w:ilvl w:val="0"/>
                <w:numId w:val="17"/>
              </w:numPr>
              <w:spacing w:before="120" w:after="120" w:line="280" w:lineRule="exact"/>
              <w:contextualSpacing w:val="0"/>
              <w:jc w:val="both"/>
              <w:rPr>
                <w:rFonts w:ascii="Times New Roman" w:hAnsi="Times New Roman" w:cs="Times New Roman"/>
              </w:rPr>
            </w:pPr>
            <w:r>
              <w:rPr>
                <w:rFonts w:ascii="Times New Roman" w:hAnsi="Times New Roman"/>
              </w:rPr>
              <w:t>внедрить механизм мониторинга, который позволит проверять периодичность обновления данных в соответствии с соглашениями об обмене данными;</w:t>
            </w:r>
          </w:p>
          <w:p w14:paraId="304FCF03" w14:textId="77777777" w:rsidR="003B2B1F" w:rsidRPr="00EF3506" w:rsidRDefault="05AEB3DE" w:rsidP="000079BF">
            <w:pPr>
              <w:pStyle w:val="ListParagraph"/>
              <w:numPr>
                <w:ilvl w:val="0"/>
                <w:numId w:val="17"/>
              </w:numPr>
              <w:spacing w:before="120" w:after="120" w:line="280" w:lineRule="exact"/>
              <w:contextualSpacing w:val="0"/>
              <w:jc w:val="both"/>
              <w:rPr>
                <w:rFonts w:ascii="Times New Roman" w:hAnsi="Times New Roman" w:cs="Times New Roman"/>
              </w:rPr>
            </w:pPr>
            <w:r>
              <w:rPr>
                <w:rFonts w:ascii="Times New Roman" w:hAnsi="Times New Roman"/>
              </w:rPr>
              <w:t>внедрить механизм проверки полноты данных по ведомственным досье ведомств ИС (когда они доступны) и запрашивать у ведомств обновления данных для загрузки недостающих записей в PATENTSCOPE;</w:t>
            </w:r>
          </w:p>
          <w:p w14:paraId="00C585DA" w14:textId="77777777" w:rsidR="003B2B1F" w:rsidRPr="00EF3506" w:rsidRDefault="05AEB3DE" w:rsidP="000079BF">
            <w:pPr>
              <w:pStyle w:val="ListParagraph"/>
              <w:numPr>
                <w:ilvl w:val="0"/>
                <w:numId w:val="17"/>
              </w:numPr>
              <w:spacing w:before="120" w:after="120" w:line="280" w:lineRule="exact"/>
              <w:contextualSpacing w:val="0"/>
              <w:jc w:val="both"/>
              <w:rPr>
                <w:rFonts w:ascii="Times New Roman" w:hAnsi="Times New Roman" w:cs="Times New Roman"/>
              </w:rPr>
            </w:pPr>
            <w:r>
              <w:rPr>
                <w:rFonts w:ascii="Times New Roman" w:hAnsi="Times New Roman"/>
              </w:rPr>
              <w:t>совместно с ведомствами ИС, где это уместно, изучить целесообразность подхода к полной ежегодной перезагрузке данных для ГБДБ и ГБДО, чтобы обеспечить синхронизацию и полноту коллекций данных;</w:t>
            </w:r>
          </w:p>
          <w:p w14:paraId="34ACB4EB" w14:textId="77777777" w:rsidR="003B2B1F" w:rsidRPr="00EF3506" w:rsidRDefault="05AEB3DE" w:rsidP="000079BF">
            <w:pPr>
              <w:pStyle w:val="ListParagraph"/>
              <w:widowControl w:val="0"/>
              <w:numPr>
                <w:ilvl w:val="0"/>
                <w:numId w:val="17"/>
              </w:numPr>
              <w:spacing w:before="120" w:after="120" w:line="280" w:lineRule="exact"/>
              <w:contextualSpacing w:val="0"/>
              <w:jc w:val="both"/>
              <w:rPr>
                <w:rFonts w:ascii="Times New Roman" w:hAnsi="Times New Roman" w:cs="Times New Roman"/>
              </w:rPr>
            </w:pPr>
            <w:r>
              <w:rPr>
                <w:rFonts w:ascii="Times New Roman" w:hAnsi="Times New Roman"/>
              </w:rPr>
              <w:t>провести структурированный опрос среди национальных ведомств ИС о глобальных базах данных (PATENTSCOPE, ГБДБ и ГБДО), чтобы собрать релевантные отзывы с целью улучшения стратегии информационно-разъяснительной работы, уточнения соглашений об обмене данными и устранения пробелов в охвате данных.</w:t>
            </w:r>
          </w:p>
        </w:tc>
      </w:tr>
      <w:tr w:rsidR="003B2B1F" w:rsidRPr="003B2B1F" w14:paraId="42807EC3" w14:textId="77777777" w:rsidTr="00512EEE">
        <w:trPr>
          <w:cantSplit/>
          <w:trHeight w:val="70"/>
        </w:trPr>
        <w:tc>
          <w:tcPr>
            <w:tcW w:w="86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B176C5" w14:textId="5BFF449C" w:rsidR="003B2B1F" w:rsidRPr="00EF3506" w:rsidRDefault="0059435C" w:rsidP="00512EEE">
            <w:pPr>
              <w:spacing w:before="120" w:after="120" w:line="280" w:lineRule="exact"/>
              <w:jc w:val="both"/>
              <w:rPr>
                <w:rFonts w:ascii="Times New Roman" w:hAnsi="Times New Roman" w:cs="Times New Roman"/>
                <w:b/>
                <w:bCs/>
              </w:rPr>
            </w:pPr>
            <w:r>
              <w:rPr>
                <w:rFonts w:ascii="Times New Roman" w:hAnsi="Times New Roman"/>
                <w:b/>
              </w:rPr>
              <w:lastRenderedPageBreak/>
              <w:t xml:space="preserve">Ответ руководства: </w:t>
            </w:r>
          </w:p>
          <w:p w14:paraId="06204779" w14:textId="6174F913" w:rsidR="00DC2B2D" w:rsidRPr="00EF3506" w:rsidRDefault="0059435C" w:rsidP="000079BF">
            <w:pPr>
              <w:spacing w:before="120" w:after="120" w:line="280" w:lineRule="exact"/>
              <w:jc w:val="both"/>
              <w:rPr>
                <w:rFonts w:ascii="Times New Roman" w:hAnsi="Times New Roman" w:cs="Times New Roman"/>
              </w:rPr>
            </w:pPr>
            <w:r>
              <w:rPr>
                <w:rFonts w:ascii="Times New Roman" w:hAnsi="Times New Roman"/>
              </w:rPr>
              <w:t>Руководство согласно с этой рекомендацией.</w:t>
            </w:r>
          </w:p>
          <w:p w14:paraId="595BCC9E" w14:textId="43E60930"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b/>
              </w:rPr>
              <w:t>Рекомендация 10.a:</w:t>
            </w:r>
            <w:r>
              <w:rPr>
                <w:rFonts w:ascii="Times New Roman" w:hAnsi="Times New Roman"/>
              </w:rPr>
              <w:t xml:space="preserve"> Механизм контроля периодичности обновления данных</w:t>
            </w:r>
          </w:p>
          <w:p w14:paraId="31C59F44" w14:textId="696DF1D7"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rPr>
              <w:t xml:space="preserve">Разработка и внедрение механизма мониторинга для проверки периодичности обновления данных о товарных знаках и промышленных образцах начнется в третьем квартале 2026 года и, как ожидается, будет завершена к концу второго квартала 2027 года. </w:t>
            </w:r>
          </w:p>
          <w:p w14:paraId="057BD3B1" w14:textId="2F17A838" w:rsidR="008B55DF" w:rsidRPr="00EF3506" w:rsidRDefault="65CF5FF0" w:rsidP="00512EEE">
            <w:pPr>
              <w:keepNext/>
              <w:keepLines/>
              <w:spacing w:before="120" w:after="120" w:line="280" w:lineRule="exact"/>
              <w:jc w:val="both"/>
              <w:rPr>
                <w:rFonts w:ascii="Times New Roman" w:hAnsi="Times New Roman" w:cs="Times New Roman"/>
              </w:rPr>
            </w:pPr>
            <w:r>
              <w:rPr>
                <w:rFonts w:ascii="Times New Roman" w:hAnsi="Times New Roman"/>
              </w:rPr>
              <w:t xml:space="preserve">Что касается PATENTSCOPE, рекомендация 10.a уже частично выполнена. На странице охвата PATENTSCOPE в настоящее время отображается информация о периодичности обновления и датах последних обновлений как библиографических данных, так и полных текстов. Информация о периодичности обновлений в настоящее время формируется на основе статистического анализа практики представления данных участвующими ведомствами или общедоступных графиков обновлений. Поскольку информация о периодичности будет предусмотрена в обновленных соглашениях с ведомствами ИС, страница охвата PATENTSCOPE также будет включать эту информацию. Кроме того, к концу второго квартала 2027 года будет разработана служба оповещения, чтобы дополнительно усилить функцию мониторинга. </w:t>
            </w:r>
          </w:p>
          <w:p w14:paraId="7A74D48F" w14:textId="6AFB5ECF"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b/>
              </w:rPr>
              <w:t>Рекомендация 10.b:</w:t>
            </w:r>
            <w:r>
              <w:rPr>
                <w:rFonts w:ascii="Times New Roman" w:hAnsi="Times New Roman"/>
              </w:rPr>
              <w:t xml:space="preserve"> Автоматизированная проверка полноты данных</w:t>
            </w:r>
          </w:p>
          <w:p w14:paraId="6F0B790B" w14:textId="6D66311B"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rPr>
              <w:t xml:space="preserve">Механизм автоматической проверки полноты данных о товарных знаках и промышленных образцах по ведомственным досье ведомств ИС будет внедрен во втором–третьем кварталах 2027 года как часть инструмента мониторинга, предусмотренного рекомендацией 10.a. Это будет касаться случаев, когда у ведомства ИС имеется онлайновый публичный реестр и когда такой автоматический механизм технически осуществим и соответствует условиям использования реестра. Аналогичным образом в 2027 году будет внедрен автоматизированный механизм проверки полноты патентных данных PATENTSCOPE с использованием ведомственных досье с Портала ведомственных досье. </w:t>
            </w:r>
          </w:p>
          <w:p w14:paraId="262F8805" w14:textId="48712C60"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b/>
              </w:rPr>
              <w:t>Рекомендация 10.c:</w:t>
            </w:r>
            <w:r>
              <w:rPr>
                <w:rFonts w:ascii="Times New Roman" w:hAnsi="Times New Roman"/>
              </w:rPr>
              <w:t xml:space="preserve"> Полный подход к ежегодной перезагрузке данных (только ГБДБ и ГБДО)</w:t>
            </w:r>
          </w:p>
          <w:p w14:paraId="0881E663" w14:textId="77777777"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rPr>
              <w:t>Оценка целесообразности подхода к полной ежегодной перезагрузке данных будет проведена в 2026 и 2027 годах. Изучение этой возможности совместно с ведомствами ИС — долгосрочная работа ввиду задержек в техническом обмене со многими ведомствами ИС.</w:t>
            </w:r>
          </w:p>
          <w:p w14:paraId="7A700AC6" w14:textId="38C03E69" w:rsidR="008B55DF" w:rsidRPr="00EF3506" w:rsidRDefault="65CF5FF0" w:rsidP="000079BF">
            <w:pPr>
              <w:spacing w:before="120" w:after="120" w:line="280" w:lineRule="exact"/>
              <w:jc w:val="both"/>
              <w:rPr>
                <w:rFonts w:ascii="Times New Roman" w:hAnsi="Times New Roman" w:cs="Times New Roman"/>
              </w:rPr>
            </w:pPr>
            <w:r>
              <w:rPr>
                <w:rFonts w:ascii="Times New Roman" w:hAnsi="Times New Roman"/>
                <w:b/>
              </w:rPr>
              <w:t>Рекомендация 10.d:</w:t>
            </w:r>
            <w:r>
              <w:rPr>
                <w:rFonts w:ascii="Times New Roman" w:hAnsi="Times New Roman"/>
              </w:rPr>
              <w:t xml:space="preserve"> Структурированный опрос</w:t>
            </w:r>
          </w:p>
          <w:p w14:paraId="76B2C019" w14:textId="5EAB8AE4" w:rsidR="003B2B1F" w:rsidRPr="003B2B1F" w:rsidRDefault="65CF5FF0" w:rsidP="000079BF">
            <w:pPr>
              <w:spacing w:before="120" w:after="120" w:line="280" w:lineRule="exact"/>
              <w:jc w:val="both"/>
              <w:rPr>
                <w:rFonts w:ascii="Times New Roman" w:hAnsi="Times New Roman" w:cs="Times New Roman"/>
              </w:rPr>
            </w:pPr>
            <w:r>
              <w:rPr>
                <w:rFonts w:ascii="Times New Roman" w:hAnsi="Times New Roman"/>
              </w:rPr>
              <w:t>Рекомендуемый структурированный опрос среди национальных ведомств ИС о глобальных базах данных будет проводиться со второго квартала 2026 года по четвертый квартал 2026 года.</w:t>
            </w:r>
          </w:p>
        </w:tc>
      </w:tr>
    </w:tbl>
    <w:p w14:paraId="0B3F8BCD" w14:textId="5EAE25EF" w:rsidR="47F2A432" w:rsidRDefault="47F2A432"/>
    <w:p w14:paraId="353104E3" w14:textId="280C9B17" w:rsidR="009810AE" w:rsidRPr="0059435C" w:rsidRDefault="00F8272A" w:rsidP="004A5F38">
      <w:pPr>
        <w:pStyle w:val="Heading3"/>
      </w:pPr>
      <w:bookmarkStart w:id="193" w:name="_Toc227826043"/>
      <w:bookmarkStart w:id="194" w:name="_Toc230784935"/>
      <w:r>
        <w:t>Передача информации руководством</w:t>
      </w:r>
      <w:bookmarkEnd w:id="193"/>
      <w:bookmarkEnd w:id="194"/>
      <w:r>
        <w:t xml:space="preserve">  </w:t>
      </w:r>
    </w:p>
    <w:p w14:paraId="038EF00D" w14:textId="25CCA112" w:rsidR="00643DCE" w:rsidRPr="00310BF2" w:rsidRDefault="00FF3204" w:rsidP="007F267B">
      <w:pPr>
        <w:pStyle w:val="Heading4"/>
        <w:numPr>
          <w:ilvl w:val="0"/>
          <w:numId w:val="21"/>
        </w:numPr>
        <w:spacing w:before="240" w:after="240" w:line="280" w:lineRule="exact"/>
        <w:ind w:left="392" w:hanging="392"/>
      </w:pPr>
      <w:bookmarkStart w:id="195" w:name="_Toc227826044"/>
      <w:bookmarkStart w:id="196" w:name="_Toc230784936"/>
      <w:r>
        <w:t>Списания и потери денежных средств и других активов</w:t>
      </w:r>
      <w:bookmarkEnd w:id="195"/>
      <w:bookmarkEnd w:id="196"/>
    </w:p>
    <w:p w14:paraId="3F3D6C70" w14:textId="10D004B0" w:rsidR="00643DCE" w:rsidRPr="00B26AF2" w:rsidRDefault="00ED498D" w:rsidP="00B44F8B">
      <w:pPr>
        <w:pStyle w:val="LFARPara"/>
        <w:spacing w:after="240"/>
        <w:ind w:left="907" w:hanging="482"/>
      </w:pPr>
      <w:r>
        <w:t xml:space="preserve"> В 2025 году Организацией было произведено выбытие устаревших объектов основных средств, при этом общая сумма убытков на момент выбытия составила 28 тыс. шв. франков.</w:t>
      </w:r>
    </w:p>
    <w:p w14:paraId="173C7366" w14:textId="7B5B341F" w:rsidR="00F76880" w:rsidRPr="00310BF2" w:rsidRDefault="00B44F8B">
      <w:pPr>
        <w:pStyle w:val="Heading4"/>
        <w:spacing w:before="240" w:after="240" w:line="280" w:lineRule="exact"/>
        <w:ind w:left="360"/>
      </w:pPr>
      <w:bookmarkStart w:id="197" w:name="_Toc96949272"/>
      <w:bookmarkStart w:id="198" w:name="_Toc227826045"/>
      <w:bookmarkStart w:id="199" w:name="_Toc230784937"/>
      <w:r>
        <w:lastRenderedPageBreak/>
        <w:t>Выплаты ex gratia</w:t>
      </w:r>
      <w:bookmarkEnd w:id="197"/>
      <w:bookmarkEnd w:id="198"/>
      <w:bookmarkEnd w:id="199"/>
      <w:r>
        <w:t xml:space="preserve"> </w:t>
      </w:r>
    </w:p>
    <w:p w14:paraId="165A94A8" w14:textId="364C608E" w:rsidR="00A10CA0" w:rsidRPr="0037010E" w:rsidRDefault="4DAE8F3D" w:rsidP="00B44F8B">
      <w:pPr>
        <w:pStyle w:val="LFARPara"/>
        <w:spacing w:after="240"/>
        <w:ind w:left="907" w:hanging="482"/>
        <w:rPr>
          <w:color w:val="EE0000"/>
        </w:rPr>
      </w:pPr>
      <w:r>
        <w:t>В 2025 году Организация не производила выплат ex gratia.</w:t>
      </w:r>
      <w:r>
        <w:rPr>
          <w:color w:val="EE0000"/>
        </w:rPr>
        <w:t xml:space="preserve"> </w:t>
      </w:r>
    </w:p>
    <w:p w14:paraId="18310D52" w14:textId="22B551B9" w:rsidR="006C5E4B" w:rsidRPr="00310BF2" w:rsidRDefault="00C21B1B" w:rsidP="66DE4C64">
      <w:pPr>
        <w:pStyle w:val="Heading4"/>
        <w:spacing w:before="240" w:after="240" w:line="280" w:lineRule="exact"/>
        <w:ind w:left="360"/>
      </w:pPr>
      <w:bookmarkStart w:id="200" w:name="_Toc96949273"/>
      <w:bookmarkStart w:id="201" w:name="_Toc227826046"/>
      <w:bookmarkStart w:id="202" w:name="_Toc230784938"/>
      <w:r>
        <w:t>Случаи мошенничества или предполагаемого мошенничества</w:t>
      </w:r>
      <w:bookmarkEnd w:id="200"/>
      <w:bookmarkEnd w:id="201"/>
      <w:bookmarkEnd w:id="202"/>
    </w:p>
    <w:p w14:paraId="438A5AE3" w14:textId="57850E9A" w:rsidR="006C5E4B" w:rsidRPr="00B26AF2" w:rsidRDefault="005F5C16" w:rsidP="00B44F8B">
      <w:pPr>
        <w:pStyle w:val="LFARPara"/>
        <w:spacing w:after="240"/>
        <w:ind w:left="907" w:hanging="482"/>
      </w:pPr>
      <w:r>
        <w:t>В соответствии с МСА 240 «Обязанности аудитора в отношении недобросовестных действий при проведении аудита финансовой отчетности» (пересмотренным), BPK планировал свои аудиты финансовых ведомостей таким образом, чтобы иметь разумные ожидания при выявлении существенных искажений и несоответствий (в том числе в результате мошенничества). Однако не следует считать, что наш аудит выявит все искажения или несоответствия. Основная ответственность за предотвращение и выявление мошенничества лежит на руководстве.</w:t>
      </w:r>
    </w:p>
    <w:p w14:paraId="1422622D" w14:textId="1B303F6F" w:rsidR="006C5E4B" w:rsidRPr="00B26AF2" w:rsidRDefault="00F31B70" w:rsidP="00F174DD">
      <w:pPr>
        <w:pStyle w:val="LFARPara"/>
        <w:spacing w:after="240"/>
        <w:ind w:left="907" w:hanging="482"/>
      </w:pPr>
      <w:r>
        <w:t>В ходе аудита BPK обращался к Организации с запросами, касающимися ее надзорных функций по оценке рисков существенного мошенничества и действующих процессов выявления этих рисков и реагирования на них, включая любые конкретные риски, выявленные руководством или доведенные до его сведения. BPK также направил запрос о том, известно ли Организации о каком-либо фактическом, вероятном или предполагаемом мошенничестве. В ходе аудита BPK не выявил случаев мошенничества, и мы не обнаружили их в ходе проверки.</w:t>
      </w:r>
    </w:p>
    <w:p w14:paraId="7334D241" w14:textId="0BED4C59" w:rsidR="00603EC2" w:rsidRPr="00B26AF2" w:rsidRDefault="0031767A" w:rsidP="00F174DD">
      <w:pPr>
        <w:pStyle w:val="LFARPara"/>
        <w:spacing w:after="240"/>
        <w:ind w:left="907" w:hanging="482"/>
      </w:pPr>
      <w:r>
        <w:t xml:space="preserve">Организация сообщила, что было зафиксировано два случая мошенничества на оцениваемую сумму 434,2 тыс. шв. франков, и в течение 2025 года в Организации не было зарегистрировано ни одного случая предполагаемого мошенничества. </w:t>
      </w:r>
    </w:p>
    <w:p w14:paraId="608F205A" w14:textId="5F200FAB" w:rsidR="009810AE" w:rsidRPr="00010AA7" w:rsidRDefault="009810AE" w:rsidP="004A5F38">
      <w:pPr>
        <w:pStyle w:val="Heading3"/>
        <w:rPr>
          <w:sz w:val="24"/>
          <w:szCs w:val="24"/>
        </w:rPr>
      </w:pPr>
      <w:bookmarkStart w:id="203" w:name="_Toc192095272"/>
      <w:bookmarkStart w:id="204" w:name="_Toc222751020"/>
      <w:bookmarkStart w:id="205" w:name="_Toc96949274"/>
      <w:bookmarkStart w:id="206" w:name="_Toc227826047"/>
      <w:bookmarkStart w:id="207" w:name="_Toc230784939"/>
      <w:bookmarkEnd w:id="203"/>
      <w:bookmarkEnd w:id="204"/>
      <w:r>
        <w:t>Благодарность</w:t>
      </w:r>
      <w:bookmarkEnd w:id="205"/>
      <w:bookmarkEnd w:id="206"/>
      <w:bookmarkEnd w:id="207"/>
    </w:p>
    <w:p w14:paraId="14357655" w14:textId="1DDC5AED" w:rsidR="00F8272A" w:rsidRPr="00B26AF2" w:rsidRDefault="00A801EC" w:rsidP="00F174DD">
      <w:pPr>
        <w:pStyle w:val="LFARPara"/>
        <w:spacing w:after="240"/>
        <w:ind w:left="907" w:hanging="482"/>
      </w:pPr>
      <w:r>
        <w:t>BPK выражает искреннюю признательность Генеральному директору и сотрудникам за их неизменное сотрудничество и поддержку на протяжении всего периода проведения аудита. BPK также высоко ценит доверие, оказанное ему государствами-членами при назначении Внешним аудитором. Можно надеяться, что этот аудит будет способствовать укреплению конструктивного партнерства в деле продвижения и поддержки глобального развития интеллектуальной собственности.</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BA4DBF" w:rsidRPr="00322027" w14:paraId="567DC536" w14:textId="77777777" w:rsidTr="66DE4C64">
        <w:tc>
          <w:tcPr>
            <w:tcW w:w="1985" w:type="dxa"/>
          </w:tcPr>
          <w:p w14:paraId="570A3F5D" w14:textId="77777777" w:rsidR="00BA4DBF" w:rsidRPr="00310BF2" w:rsidRDefault="00BA4DBF" w:rsidP="00BA4DBF">
            <w:pPr>
              <w:pStyle w:val="ListParagraph"/>
              <w:ind w:left="0"/>
              <w:jc w:val="both"/>
              <w:rPr>
                <w:rFonts w:ascii="Times New Roman" w:hAnsi="Times New Roman" w:cs="Times New Roman"/>
              </w:rPr>
            </w:pPr>
          </w:p>
        </w:tc>
        <w:tc>
          <w:tcPr>
            <w:tcW w:w="6378" w:type="dxa"/>
          </w:tcPr>
          <w:p w14:paraId="2669AA20" w14:textId="77777777" w:rsidR="00457F15" w:rsidRPr="00310BF2" w:rsidRDefault="00457F15" w:rsidP="66DE4C64">
            <w:pPr>
              <w:autoSpaceDE w:val="0"/>
              <w:autoSpaceDN w:val="0"/>
              <w:adjustRightInd w:val="0"/>
              <w:spacing w:line="280" w:lineRule="exact"/>
              <w:rPr>
                <w:rFonts w:ascii="Times New Roman" w:hAnsi="Times New Roman" w:cs="Times New Roman"/>
                <w:b/>
                <w:bCs/>
                <w:color w:val="000000"/>
              </w:rPr>
            </w:pPr>
          </w:p>
          <w:p w14:paraId="7D1E3D04" w14:textId="473426D7" w:rsidR="00B44F8B" w:rsidRDefault="00B44F8B" w:rsidP="66DE4C64">
            <w:pPr>
              <w:autoSpaceDE w:val="0"/>
              <w:autoSpaceDN w:val="0"/>
              <w:adjustRightInd w:val="0"/>
              <w:spacing w:line="280" w:lineRule="exact"/>
              <w:jc w:val="center"/>
              <w:rPr>
                <w:rFonts w:ascii="Times New Roman" w:hAnsi="Times New Roman" w:cs="Times New Roman"/>
                <w:b/>
                <w:bCs/>
                <w:color w:val="000000"/>
              </w:rPr>
            </w:pPr>
          </w:p>
          <w:p w14:paraId="36C2DC20" w14:textId="40111CC2" w:rsidR="004159E0" w:rsidRDefault="004159E0" w:rsidP="66DE4C64">
            <w:pPr>
              <w:autoSpaceDE w:val="0"/>
              <w:autoSpaceDN w:val="0"/>
              <w:adjustRightInd w:val="0"/>
              <w:spacing w:line="280" w:lineRule="exact"/>
              <w:jc w:val="center"/>
              <w:rPr>
                <w:rFonts w:ascii="Times New Roman" w:hAnsi="Times New Roman" w:cs="Times New Roman"/>
                <w:b/>
                <w:bCs/>
                <w:color w:val="000000"/>
              </w:rPr>
            </w:pPr>
          </w:p>
          <w:p w14:paraId="6B8904AF" w14:textId="1BFAF2CE" w:rsidR="007F5BD5" w:rsidRDefault="007F5BD5" w:rsidP="66DE4C64">
            <w:pPr>
              <w:autoSpaceDE w:val="0"/>
              <w:autoSpaceDN w:val="0"/>
              <w:adjustRightInd w:val="0"/>
              <w:spacing w:line="280" w:lineRule="exact"/>
              <w:jc w:val="center"/>
              <w:rPr>
                <w:rFonts w:ascii="Times New Roman" w:hAnsi="Times New Roman" w:cs="Times New Roman"/>
                <w:b/>
                <w:bCs/>
                <w:color w:val="000000"/>
              </w:rPr>
            </w:pPr>
          </w:p>
          <w:p w14:paraId="054197A0" w14:textId="77777777" w:rsidR="007F5BD5" w:rsidRDefault="007F5BD5" w:rsidP="66DE4C64">
            <w:pPr>
              <w:autoSpaceDE w:val="0"/>
              <w:autoSpaceDN w:val="0"/>
              <w:adjustRightInd w:val="0"/>
              <w:spacing w:line="280" w:lineRule="exact"/>
              <w:jc w:val="center"/>
              <w:rPr>
                <w:rFonts w:ascii="Times New Roman" w:hAnsi="Times New Roman" w:cs="Times New Roman"/>
                <w:b/>
                <w:bCs/>
                <w:color w:val="000000"/>
              </w:rPr>
            </w:pPr>
          </w:p>
          <w:p w14:paraId="7813C7CB" w14:textId="77777777" w:rsidR="0060689D" w:rsidRDefault="0060689D" w:rsidP="66DE4C64">
            <w:pPr>
              <w:autoSpaceDE w:val="0"/>
              <w:autoSpaceDN w:val="0"/>
              <w:adjustRightInd w:val="0"/>
              <w:spacing w:line="280" w:lineRule="exact"/>
              <w:rPr>
                <w:rFonts w:ascii="Times New Roman" w:hAnsi="Times New Roman" w:cs="Times New Roman"/>
                <w:b/>
                <w:bCs/>
                <w:color w:val="000000"/>
              </w:rPr>
            </w:pPr>
          </w:p>
          <w:p w14:paraId="47EC2759" w14:textId="77777777" w:rsidR="0060689D" w:rsidRDefault="0060689D" w:rsidP="66DE4C64">
            <w:pPr>
              <w:autoSpaceDE w:val="0"/>
              <w:autoSpaceDN w:val="0"/>
              <w:adjustRightInd w:val="0"/>
              <w:spacing w:line="280" w:lineRule="exact"/>
              <w:rPr>
                <w:rFonts w:ascii="Times New Roman" w:hAnsi="Times New Roman" w:cs="Times New Roman"/>
                <w:b/>
                <w:bCs/>
                <w:color w:val="000000"/>
              </w:rPr>
            </w:pPr>
          </w:p>
          <w:p w14:paraId="3FA35780" w14:textId="77777777" w:rsidR="0060689D" w:rsidRPr="00310BF2" w:rsidRDefault="0060689D" w:rsidP="66DE4C64">
            <w:pPr>
              <w:autoSpaceDE w:val="0"/>
              <w:autoSpaceDN w:val="0"/>
              <w:adjustRightInd w:val="0"/>
              <w:spacing w:line="280" w:lineRule="exact"/>
              <w:rPr>
                <w:rFonts w:ascii="Times New Roman" w:hAnsi="Times New Roman" w:cs="Times New Roman"/>
                <w:b/>
                <w:bCs/>
                <w:color w:val="000000"/>
              </w:rPr>
            </w:pPr>
          </w:p>
          <w:p w14:paraId="56862514" w14:textId="0069F20F" w:rsidR="00451273" w:rsidRPr="00310BF2" w:rsidRDefault="00D82CEC" w:rsidP="66DE4C64">
            <w:pPr>
              <w:autoSpaceDE w:val="0"/>
              <w:autoSpaceDN w:val="0"/>
              <w:adjustRightInd w:val="0"/>
              <w:jc w:val="center"/>
              <w:rPr>
                <w:rFonts w:ascii="Times New Roman" w:hAnsi="Times New Roman" w:cs="Times New Roman"/>
                <w:b/>
                <w:bCs/>
                <w:color w:val="000000"/>
              </w:rPr>
            </w:pPr>
            <w:r>
              <w:rPr>
                <w:rFonts w:ascii="Times New Roman" w:hAnsi="Times New Roman"/>
                <w:b/>
              </w:rPr>
              <w:t xml:space="preserve">                  Д-р Исма Ятун, сертифицированный государственный финансовый аудитор, сертифицированный судебный аудитор </w:t>
            </w:r>
          </w:p>
          <w:p w14:paraId="7349447B" w14:textId="77777777" w:rsidR="00451273" w:rsidRPr="00310BF2" w:rsidRDefault="00451273" w:rsidP="66DE4C64">
            <w:pPr>
              <w:autoSpaceDE w:val="0"/>
              <w:autoSpaceDN w:val="0"/>
              <w:adjustRightInd w:val="0"/>
              <w:jc w:val="right"/>
              <w:rPr>
                <w:rFonts w:ascii="Times New Roman" w:hAnsi="Times New Roman" w:cs="Times New Roman"/>
                <w:b/>
                <w:bCs/>
                <w:color w:val="000000"/>
              </w:rPr>
            </w:pPr>
            <w:r>
              <w:rPr>
                <w:rFonts w:ascii="Times New Roman" w:hAnsi="Times New Roman"/>
                <w:b/>
              </w:rPr>
              <w:t>Председатель Ревизионного совета Республики Индонезия</w:t>
            </w:r>
          </w:p>
          <w:p w14:paraId="5CD5292E" w14:textId="4737C541" w:rsidR="00451273" w:rsidRPr="00FB6582" w:rsidRDefault="00D82CEC" w:rsidP="66DE4C64">
            <w:pPr>
              <w:jc w:val="center"/>
              <w:rPr>
                <w:rFonts w:ascii="Times New Roman" w:hAnsi="Times New Roman" w:cs="Times New Roman"/>
                <w:b/>
                <w:bCs/>
                <w:color w:val="000000"/>
              </w:rPr>
            </w:pPr>
            <w:r>
              <w:rPr>
                <w:rFonts w:ascii="Times New Roman" w:hAnsi="Times New Roman"/>
                <w:b/>
              </w:rPr>
              <w:t xml:space="preserve">                Внешний аудитор</w:t>
            </w:r>
          </w:p>
          <w:p w14:paraId="11ECF7A8" w14:textId="77777777" w:rsidR="00D82CEC" w:rsidRPr="00FB6582" w:rsidRDefault="00D82CEC" w:rsidP="000B6DF9">
            <w:pPr>
              <w:rPr>
                <w:rFonts w:ascii="Times New Roman" w:hAnsi="Times New Roman" w:cs="Times New Roman"/>
                <w:shd w:val="clear" w:color="auto" w:fill="FFFFFF"/>
                <w:lang w:val="pt-PT"/>
              </w:rPr>
            </w:pPr>
          </w:p>
          <w:p w14:paraId="396926CB" w14:textId="76F536C9" w:rsidR="00451273" w:rsidRPr="00FB6582" w:rsidRDefault="00D82CEC" w:rsidP="66DE4C64">
            <w:pPr>
              <w:jc w:val="center"/>
              <w:rPr>
                <w:rFonts w:ascii="Times New Roman" w:hAnsi="Times New Roman" w:cs="Times New Roman"/>
                <w:b/>
                <w:bCs/>
                <w:color w:val="000000"/>
              </w:rPr>
            </w:pPr>
            <w:r>
              <w:rPr>
                <w:rFonts w:ascii="Times New Roman" w:hAnsi="Times New Roman"/>
                <w:b/>
              </w:rPr>
              <w:t xml:space="preserve">                 Джакарта, Индонезия</w:t>
            </w:r>
          </w:p>
          <w:p w14:paraId="3F2DAE20" w14:textId="1EDFCE02" w:rsidR="00BA4DBF" w:rsidRPr="00FB6582" w:rsidRDefault="00D82CEC" w:rsidP="00F839DC">
            <w:pPr>
              <w:jc w:val="center"/>
            </w:pPr>
            <w:r>
              <w:rPr>
                <w:rFonts w:ascii="Times New Roman" w:hAnsi="Times New Roman"/>
                <w:b/>
              </w:rPr>
              <w:t xml:space="preserve">                    11 мая 2026 года</w:t>
            </w:r>
          </w:p>
        </w:tc>
      </w:tr>
    </w:tbl>
    <w:p w14:paraId="35C566A2" w14:textId="211A8C47" w:rsidR="00E924B9" w:rsidRPr="00FB6582" w:rsidRDefault="00E924B9" w:rsidP="66DE4C64">
      <w:pPr>
        <w:rPr>
          <w:b/>
          <w:bCs/>
          <w:color w:val="000000"/>
          <w:lang w:val="pt-PT"/>
        </w:rPr>
        <w:sectPr w:rsidR="00E924B9" w:rsidRPr="00FB6582" w:rsidSect="005708A7">
          <w:headerReference w:type="default" r:id="rId27"/>
          <w:footerReference w:type="default" r:id="rId28"/>
          <w:pgSz w:w="11906" w:h="16838" w:code="9"/>
          <w:pgMar w:top="1440" w:right="1440" w:bottom="1440" w:left="1418" w:header="709" w:footer="709" w:gutter="0"/>
          <w:cols w:space="708"/>
          <w:docGrid w:linePitch="360"/>
        </w:sectPr>
      </w:pPr>
    </w:p>
    <w:p w14:paraId="727576A6" w14:textId="6234CDFE" w:rsidR="0040644E" w:rsidRPr="00310BF2" w:rsidRDefault="009D44E4" w:rsidP="00662CC7">
      <w:pPr>
        <w:pStyle w:val="Heading6"/>
        <w:ind w:left="0"/>
        <w:jc w:val="center"/>
      </w:pPr>
      <w:bookmarkStart w:id="208" w:name="_Toc63858690"/>
      <w:bookmarkStart w:id="209" w:name="_Toc96949275"/>
      <w:bookmarkStart w:id="210" w:name="_Toc227826048"/>
      <w:bookmarkStart w:id="211" w:name="_Toc230784940"/>
      <w:r>
        <w:lastRenderedPageBreak/>
        <w:t>Приложение</w:t>
      </w:r>
      <w:bookmarkEnd w:id="208"/>
      <w:r>
        <w:t xml:space="preserve"> 1</w:t>
      </w:r>
      <w:bookmarkEnd w:id="209"/>
      <w:r>
        <w:t xml:space="preserve">. </w:t>
      </w:r>
      <w:bookmarkStart w:id="212" w:name="_Toc96949276"/>
      <w:bookmarkStart w:id="213" w:name="_Toc96966450"/>
      <w:bookmarkStart w:id="214" w:name="_Toc129111495"/>
      <w:bookmarkStart w:id="215" w:name="_Toc129272753"/>
      <w:bookmarkStart w:id="216" w:name="_Toc161321387"/>
      <w:r>
        <w:t xml:space="preserve">Статус выполнения рекомендаций до финансового года, </w:t>
      </w:r>
      <w:bookmarkEnd w:id="212"/>
      <w:bookmarkEnd w:id="213"/>
      <w:bookmarkEnd w:id="214"/>
      <w:bookmarkEnd w:id="215"/>
      <w:bookmarkEnd w:id="216"/>
      <w:r>
        <w:t>закончившегося 31 декабря 2025 года</w:t>
      </w:r>
      <w:bookmarkEnd w:id="210"/>
      <w:bookmarkEnd w:id="211"/>
    </w:p>
    <w:p w14:paraId="1546FBE7" w14:textId="77777777" w:rsidR="0040644E" w:rsidRPr="00310BF2" w:rsidRDefault="0040644E" w:rsidP="66DE4C64">
      <w:pPr>
        <w:tabs>
          <w:tab w:val="left" w:pos="2955"/>
        </w:tabs>
        <w:spacing w:line="280" w:lineRule="exact"/>
        <w:rPr>
          <w:b/>
          <w:bCs/>
          <w:sz w:val="18"/>
          <w:szCs w:val="18"/>
        </w:rPr>
      </w:pPr>
    </w:p>
    <w:tbl>
      <w:tblPr>
        <w:tblStyle w:val="TableGrid"/>
        <w:tblW w:w="15221" w:type="dxa"/>
        <w:jc w:val="center"/>
        <w:tblLayout w:type="fixed"/>
        <w:tblLook w:val="04A0" w:firstRow="1" w:lastRow="0" w:firstColumn="1" w:lastColumn="0" w:noHBand="0" w:noVBand="1"/>
      </w:tblPr>
      <w:tblGrid>
        <w:gridCol w:w="846"/>
        <w:gridCol w:w="1984"/>
        <w:gridCol w:w="2552"/>
        <w:gridCol w:w="1984"/>
        <w:gridCol w:w="2159"/>
        <w:gridCol w:w="2273"/>
        <w:gridCol w:w="2126"/>
        <w:gridCol w:w="1276"/>
        <w:gridCol w:w="21"/>
      </w:tblGrid>
      <w:tr w:rsidR="005C4C62" w:rsidRPr="00310BF2" w14:paraId="4763DD20" w14:textId="77777777" w:rsidTr="00956F2A">
        <w:trPr>
          <w:gridAfter w:val="1"/>
          <w:wAfter w:w="21" w:type="dxa"/>
          <w:tblHeader/>
          <w:jc w:val="center"/>
        </w:trPr>
        <w:tc>
          <w:tcPr>
            <w:tcW w:w="846" w:type="dxa"/>
            <w:shd w:val="clear" w:color="auto" w:fill="BDD6EE" w:themeFill="accent1" w:themeFillTint="66"/>
            <w:vAlign w:val="center"/>
          </w:tcPr>
          <w:p w14:paraId="5679F88E" w14:textId="79A247B8" w:rsidR="005C4C62" w:rsidRPr="00310BF2" w:rsidRDefault="007A58A4" w:rsidP="007A58A4">
            <w:pPr>
              <w:tabs>
                <w:tab w:val="left" w:pos="2955"/>
              </w:tabs>
              <w:jc w:val="center"/>
              <w:rPr>
                <w:b/>
                <w:bCs/>
                <w:color w:val="000000"/>
                <w:sz w:val="16"/>
                <w:szCs w:val="16"/>
              </w:rPr>
            </w:pPr>
            <w:r>
              <w:rPr>
                <w:b/>
                <w:sz w:val="16"/>
              </w:rPr>
              <w:t>Фин. период</w:t>
            </w:r>
          </w:p>
        </w:tc>
        <w:tc>
          <w:tcPr>
            <w:tcW w:w="1984" w:type="dxa"/>
            <w:shd w:val="clear" w:color="auto" w:fill="BDD6EE" w:themeFill="accent1" w:themeFillTint="66"/>
            <w:vAlign w:val="center"/>
          </w:tcPr>
          <w:p w14:paraId="204152FA" w14:textId="47522C30" w:rsidR="005C4C62" w:rsidRPr="00310BF2" w:rsidRDefault="09D52A5A" w:rsidP="007A58A4">
            <w:pPr>
              <w:tabs>
                <w:tab w:val="left" w:pos="2955"/>
              </w:tabs>
              <w:jc w:val="center"/>
              <w:rPr>
                <w:b/>
                <w:bCs/>
                <w:color w:val="000000"/>
                <w:sz w:val="16"/>
                <w:szCs w:val="16"/>
              </w:rPr>
            </w:pPr>
            <w:r>
              <w:rPr>
                <w:b/>
                <w:sz w:val="16"/>
              </w:rPr>
              <w:t>Номер рекомендации в отчете</w:t>
            </w:r>
          </w:p>
        </w:tc>
        <w:tc>
          <w:tcPr>
            <w:tcW w:w="2552" w:type="dxa"/>
            <w:shd w:val="clear" w:color="auto" w:fill="BDD6EE" w:themeFill="accent1" w:themeFillTint="66"/>
            <w:vAlign w:val="center"/>
          </w:tcPr>
          <w:p w14:paraId="0519102C" w14:textId="534730D7" w:rsidR="005C4C62" w:rsidRPr="00310BF2" w:rsidRDefault="09D52A5A" w:rsidP="007A58A4">
            <w:pPr>
              <w:tabs>
                <w:tab w:val="left" w:pos="2955"/>
              </w:tabs>
              <w:jc w:val="center"/>
              <w:rPr>
                <w:b/>
                <w:bCs/>
                <w:color w:val="000000"/>
                <w:sz w:val="16"/>
                <w:szCs w:val="16"/>
              </w:rPr>
            </w:pPr>
            <w:r>
              <w:rPr>
                <w:b/>
                <w:sz w:val="16"/>
              </w:rPr>
              <w:t>Резюме выводов и рекомендаций</w:t>
            </w:r>
          </w:p>
        </w:tc>
        <w:tc>
          <w:tcPr>
            <w:tcW w:w="1984" w:type="dxa"/>
            <w:shd w:val="clear" w:color="auto" w:fill="BDD6EE" w:themeFill="accent1" w:themeFillTint="66"/>
            <w:vAlign w:val="center"/>
          </w:tcPr>
          <w:p w14:paraId="2D8E292C" w14:textId="77777777" w:rsidR="005C4C62" w:rsidRPr="00310BF2" w:rsidRDefault="4FB3A1D6" w:rsidP="66DE4C64">
            <w:pPr>
              <w:tabs>
                <w:tab w:val="left" w:pos="2955"/>
              </w:tabs>
              <w:spacing w:line="280" w:lineRule="exact"/>
              <w:jc w:val="center"/>
              <w:rPr>
                <w:b/>
                <w:bCs/>
                <w:color w:val="000000"/>
                <w:sz w:val="16"/>
                <w:szCs w:val="16"/>
              </w:rPr>
            </w:pPr>
            <w:r>
              <w:rPr>
                <w:b/>
                <w:sz w:val="16"/>
              </w:rPr>
              <w:t>Рекомендация</w:t>
            </w:r>
          </w:p>
        </w:tc>
        <w:tc>
          <w:tcPr>
            <w:tcW w:w="2159" w:type="dxa"/>
            <w:shd w:val="clear" w:color="auto" w:fill="BDD6EE" w:themeFill="accent1" w:themeFillTint="66"/>
            <w:vAlign w:val="center"/>
          </w:tcPr>
          <w:p w14:paraId="41CE57DF" w14:textId="58CE0025" w:rsidR="005C4C62" w:rsidRPr="00310BF2" w:rsidRDefault="09D52A5A" w:rsidP="66DE4C64">
            <w:pPr>
              <w:tabs>
                <w:tab w:val="left" w:pos="2955"/>
              </w:tabs>
              <w:spacing w:line="280" w:lineRule="exact"/>
              <w:jc w:val="center"/>
              <w:rPr>
                <w:b/>
                <w:bCs/>
                <w:color w:val="000000"/>
                <w:sz w:val="16"/>
                <w:szCs w:val="16"/>
              </w:rPr>
            </w:pPr>
            <w:r>
              <w:rPr>
                <w:b/>
                <w:sz w:val="16"/>
              </w:rPr>
              <w:t>Ответ руководства:</w:t>
            </w:r>
          </w:p>
        </w:tc>
        <w:tc>
          <w:tcPr>
            <w:tcW w:w="2273" w:type="dxa"/>
            <w:shd w:val="clear" w:color="auto" w:fill="BDD6EE" w:themeFill="accent1" w:themeFillTint="66"/>
            <w:vAlign w:val="center"/>
          </w:tcPr>
          <w:p w14:paraId="240DEC84" w14:textId="69EF1BB4" w:rsidR="005C4C62" w:rsidRPr="00310BF2" w:rsidRDefault="09D52A5A" w:rsidP="007A58A4">
            <w:pPr>
              <w:tabs>
                <w:tab w:val="left" w:pos="2955"/>
              </w:tabs>
              <w:jc w:val="center"/>
              <w:rPr>
                <w:b/>
                <w:bCs/>
                <w:color w:val="000000"/>
                <w:sz w:val="16"/>
                <w:szCs w:val="16"/>
              </w:rPr>
            </w:pPr>
            <w:r>
              <w:rPr>
                <w:b/>
                <w:sz w:val="16"/>
              </w:rPr>
              <w:t>Меры, принятые руководством</w:t>
            </w:r>
          </w:p>
        </w:tc>
        <w:tc>
          <w:tcPr>
            <w:tcW w:w="2126" w:type="dxa"/>
            <w:shd w:val="clear" w:color="auto" w:fill="BDD6EE" w:themeFill="accent1" w:themeFillTint="66"/>
            <w:vAlign w:val="center"/>
          </w:tcPr>
          <w:p w14:paraId="45374A03" w14:textId="7859973B" w:rsidR="005C4C62" w:rsidRPr="00310BF2" w:rsidRDefault="09D52A5A" w:rsidP="66DE4C64">
            <w:pPr>
              <w:tabs>
                <w:tab w:val="left" w:pos="2955"/>
              </w:tabs>
              <w:spacing w:line="280" w:lineRule="exact"/>
              <w:jc w:val="center"/>
              <w:rPr>
                <w:b/>
                <w:bCs/>
                <w:color w:val="000000"/>
                <w:sz w:val="16"/>
                <w:szCs w:val="16"/>
              </w:rPr>
            </w:pPr>
            <w:r>
              <w:rPr>
                <w:b/>
                <w:sz w:val="16"/>
              </w:rPr>
              <w:t>Комментарий аудитора</w:t>
            </w:r>
          </w:p>
        </w:tc>
        <w:tc>
          <w:tcPr>
            <w:tcW w:w="1276" w:type="dxa"/>
            <w:shd w:val="clear" w:color="auto" w:fill="BDD6EE" w:themeFill="accent1" w:themeFillTint="66"/>
            <w:vAlign w:val="center"/>
          </w:tcPr>
          <w:p w14:paraId="751F288F" w14:textId="77777777" w:rsidR="005C4C62" w:rsidRPr="00310BF2" w:rsidRDefault="4FB3A1D6" w:rsidP="66DE4C64">
            <w:pPr>
              <w:tabs>
                <w:tab w:val="left" w:pos="2955"/>
              </w:tabs>
              <w:spacing w:line="280" w:lineRule="exact"/>
              <w:jc w:val="center"/>
              <w:rPr>
                <w:b/>
                <w:bCs/>
                <w:color w:val="000000"/>
                <w:sz w:val="16"/>
                <w:szCs w:val="16"/>
              </w:rPr>
            </w:pPr>
            <w:r>
              <w:rPr>
                <w:b/>
                <w:sz w:val="16"/>
              </w:rPr>
              <w:t>Статус</w:t>
            </w:r>
          </w:p>
        </w:tc>
      </w:tr>
      <w:tr w:rsidR="005C4C62" w:rsidRPr="00310BF2" w14:paraId="16E61D03" w14:textId="77777777" w:rsidTr="00956F2A">
        <w:trPr>
          <w:gridAfter w:val="1"/>
          <w:wAfter w:w="21" w:type="dxa"/>
          <w:tblHeader/>
          <w:jc w:val="center"/>
        </w:trPr>
        <w:tc>
          <w:tcPr>
            <w:tcW w:w="846" w:type="dxa"/>
            <w:shd w:val="clear" w:color="auto" w:fill="BDD6EE" w:themeFill="accent1" w:themeFillTint="66"/>
          </w:tcPr>
          <w:p w14:paraId="5D26F31C" w14:textId="77777777" w:rsidR="005C4C62" w:rsidRPr="00310BF2" w:rsidRDefault="4FB3A1D6" w:rsidP="66DE4C64">
            <w:pPr>
              <w:tabs>
                <w:tab w:val="left" w:pos="2955"/>
              </w:tabs>
              <w:spacing w:line="280" w:lineRule="exact"/>
              <w:jc w:val="center"/>
              <w:rPr>
                <w:b/>
                <w:bCs/>
                <w:i/>
                <w:iCs/>
                <w:color w:val="000000"/>
                <w:sz w:val="16"/>
                <w:szCs w:val="16"/>
              </w:rPr>
            </w:pPr>
            <w:r>
              <w:rPr>
                <w:b/>
                <w:i/>
                <w:sz w:val="16"/>
              </w:rPr>
              <w:t>a</w:t>
            </w:r>
          </w:p>
        </w:tc>
        <w:tc>
          <w:tcPr>
            <w:tcW w:w="1984" w:type="dxa"/>
            <w:shd w:val="clear" w:color="auto" w:fill="BDD6EE" w:themeFill="accent1" w:themeFillTint="66"/>
          </w:tcPr>
          <w:p w14:paraId="3A4954E3" w14:textId="77777777" w:rsidR="005C4C62" w:rsidRPr="00310BF2" w:rsidRDefault="4FB3A1D6" w:rsidP="66DE4C64">
            <w:pPr>
              <w:tabs>
                <w:tab w:val="left" w:pos="2955"/>
              </w:tabs>
              <w:spacing w:line="280" w:lineRule="exact"/>
              <w:jc w:val="center"/>
              <w:rPr>
                <w:b/>
                <w:bCs/>
                <w:i/>
                <w:iCs/>
                <w:color w:val="000000"/>
                <w:sz w:val="16"/>
                <w:szCs w:val="16"/>
              </w:rPr>
            </w:pPr>
            <w:r>
              <w:rPr>
                <w:b/>
                <w:i/>
                <w:sz w:val="16"/>
              </w:rPr>
              <w:t>b</w:t>
            </w:r>
          </w:p>
        </w:tc>
        <w:tc>
          <w:tcPr>
            <w:tcW w:w="2552" w:type="dxa"/>
            <w:shd w:val="clear" w:color="auto" w:fill="BDD6EE" w:themeFill="accent1" w:themeFillTint="66"/>
          </w:tcPr>
          <w:p w14:paraId="2A4A4888" w14:textId="77777777" w:rsidR="005C4C62" w:rsidRPr="00310BF2" w:rsidRDefault="4FB3A1D6" w:rsidP="66DE4C64">
            <w:pPr>
              <w:tabs>
                <w:tab w:val="left" w:pos="2955"/>
              </w:tabs>
              <w:spacing w:line="280" w:lineRule="exact"/>
              <w:jc w:val="center"/>
              <w:rPr>
                <w:b/>
                <w:bCs/>
                <w:i/>
                <w:iCs/>
                <w:color w:val="000000"/>
                <w:sz w:val="16"/>
                <w:szCs w:val="16"/>
              </w:rPr>
            </w:pPr>
            <w:r>
              <w:rPr>
                <w:b/>
                <w:i/>
                <w:sz w:val="16"/>
              </w:rPr>
              <w:t>c</w:t>
            </w:r>
          </w:p>
        </w:tc>
        <w:tc>
          <w:tcPr>
            <w:tcW w:w="1984" w:type="dxa"/>
            <w:shd w:val="clear" w:color="auto" w:fill="BDD6EE" w:themeFill="accent1" w:themeFillTint="66"/>
          </w:tcPr>
          <w:p w14:paraId="7ECD487E" w14:textId="77777777" w:rsidR="005C4C62" w:rsidRPr="00310BF2" w:rsidRDefault="4FB3A1D6" w:rsidP="66DE4C64">
            <w:pPr>
              <w:tabs>
                <w:tab w:val="left" w:pos="2955"/>
              </w:tabs>
              <w:spacing w:line="280" w:lineRule="exact"/>
              <w:jc w:val="center"/>
              <w:rPr>
                <w:b/>
                <w:bCs/>
                <w:i/>
                <w:iCs/>
                <w:color w:val="000000"/>
                <w:sz w:val="16"/>
                <w:szCs w:val="16"/>
              </w:rPr>
            </w:pPr>
            <w:r>
              <w:rPr>
                <w:b/>
                <w:i/>
                <w:sz w:val="16"/>
              </w:rPr>
              <w:t>d</w:t>
            </w:r>
          </w:p>
        </w:tc>
        <w:tc>
          <w:tcPr>
            <w:tcW w:w="2159" w:type="dxa"/>
            <w:shd w:val="clear" w:color="auto" w:fill="BDD6EE" w:themeFill="accent1" w:themeFillTint="66"/>
          </w:tcPr>
          <w:p w14:paraId="246307BB" w14:textId="3F5E517A" w:rsidR="005C4C62" w:rsidRPr="00310BF2" w:rsidRDefault="58BA29DD" w:rsidP="66DE4C64">
            <w:pPr>
              <w:tabs>
                <w:tab w:val="left" w:pos="2955"/>
              </w:tabs>
              <w:spacing w:line="280" w:lineRule="exact"/>
              <w:jc w:val="center"/>
              <w:rPr>
                <w:b/>
                <w:bCs/>
                <w:i/>
                <w:iCs/>
                <w:color w:val="000000"/>
                <w:sz w:val="16"/>
                <w:szCs w:val="16"/>
              </w:rPr>
            </w:pPr>
            <w:r>
              <w:rPr>
                <w:b/>
                <w:i/>
                <w:sz w:val="16"/>
              </w:rPr>
              <w:t>e</w:t>
            </w:r>
          </w:p>
        </w:tc>
        <w:tc>
          <w:tcPr>
            <w:tcW w:w="2273" w:type="dxa"/>
            <w:shd w:val="clear" w:color="auto" w:fill="BDD6EE" w:themeFill="accent1" w:themeFillTint="66"/>
          </w:tcPr>
          <w:p w14:paraId="062C5173" w14:textId="77777777" w:rsidR="005C4C62" w:rsidRPr="00310BF2" w:rsidRDefault="4FB3A1D6" w:rsidP="66DE4C64">
            <w:pPr>
              <w:tabs>
                <w:tab w:val="left" w:pos="2955"/>
              </w:tabs>
              <w:spacing w:line="280" w:lineRule="exact"/>
              <w:jc w:val="center"/>
              <w:rPr>
                <w:b/>
                <w:bCs/>
                <w:i/>
                <w:iCs/>
                <w:color w:val="000000"/>
                <w:sz w:val="16"/>
                <w:szCs w:val="16"/>
              </w:rPr>
            </w:pPr>
            <w:r>
              <w:rPr>
                <w:b/>
                <w:i/>
                <w:sz w:val="16"/>
              </w:rPr>
              <w:t>f</w:t>
            </w:r>
          </w:p>
        </w:tc>
        <w:tc>
          <w:tcPr>
            <w:tcW w:w="2126" w:type="dxa"/>
            <w:shd w:val="clear" w:color="auto" w:fill="BDD6EE" w:themeFill="accent1" w:themeFillTint="66"/>
          </w:tcPr>
          <w:p w14:paraId="6D3D6B50" w14:textId="4A9D6282" w:rsidR="005C4C62" w:rsidRPr="00310BF2" w:rsidRDefault="00E5046E" w:rsidP="66DE4C64">
            <w:pPr>
              <w:tabs>
                <w:tab w:val="left" w:pos="2955"/>
              </w:tabs>
              <w:spacing w:line="280" w:lineRule="exact"/>
              <w:jc w:val="center"/>
              <w:rPr>
                <w:b/>
                <w:bCs/>
                <w:i/>
                <w:iCs/>
                <w:color w:val="000000"/>
                <w:sz w:val="16"/>
                <w:szCs w:val="16"/>
              </w:rPr>
            </w:pPr>
            <w:r>
              <w:rPr>
                <w:b/>
                <w:i/>
                <w:sz w:val="16"/>
              </w:rPr>
              <w:t>g</w:t>
            </w:r>
          </w:p>
        </w:tc>
        <w:tc>
          <w:tcPr>
            <w:tcW w:w="1276" w:type="dxa"/>
            <w:shd w:val="clear" w:color="auto" w:fill="BDD6EE" w:themeFill="accent1" w:themeFillTint="66"/>
          </w:tcPr>
          <w:p w14:paraId="684AC14A" w14:textId="63CDA625" w:rsidR="005C4C62" w:rsidRPr="00310BF2" w:rsidRDefault="58BA29DD" w:rsidP="66DE4C64">
            <w:pPr>
              <w:tabs>
                <w:tab w:val="left" w:pos="2955"/>
              </w:tabs>
              <w:spacing w:line="280" w:lineRule="exact"/>
              <w:jc w:val="center"/>
              <w:rPr>
                <w:b/>
                <w:bCs/>
                <w:i/>
                <w:iCs/>
                <w:color w:val="000000"/>
                <w:sz w:val="16"/>
                <w:szCs w:val="16"/>
              </w:rPr>
            </w:pPr>
            <w:r>
              <w:rPr>
                <w:b/>
                <w:i/>
                <w:sz w:val="16"/>
              </w:rPr>
              <w:t>h</w:t>
            </w:r>
          </w:p>
        </w:tc>
      </w:tr>
      <w:tr w:rsidR="00DA0057" w:rsidRPr="00310BF2" w14:paraId="21FA6299" w14:textId="77777777" w:rsidTr="00956F2A">
        <w:trPr>
          <w:trHeight w:val="201"/>
          <w:jc w:val="center"/>
        </w:trPr>
        <w:tc>
          <w:tcPr>
            <w:tcW w:w="15221" w:type="dxa"/>
            <w:gridSpan w:val="9"/>
            <w:shd w:val="clear" w:color="auto" w:fill="BDD6EE" w:themeFill="accent1" w:themeFillTint="66"/>
          </w:tcPr>
          <w:p w14:paraId="08723F7D" w14:textId="607F4D77" w:rsidR="00DA0057" w:rsidRPr="00310BF2" w:rsidRDefault="00DA0057" w:rsidP="007F5077">
            <w:pPr>
              <w:spacing w:before="60" w:after="60"/>
              <w:jc w:val="both"/>
              <w:rPr>
                <w:sz w:val="16"/>
                <w:szCs w:val="16"/>
              </w:rPr>
            </w:pPr>
            <w:r>
              <w:rPr>
                <w:b/>
                <w:sz w:val="16"/>
              </w:rPr>
              <w:t>Отчет об аудиторской проверке за год, закончившийся 31 декабря 2024 года</w:t>
            </w:r>
          </w:p>
        </w:tc>
      </w:tr>
      <w:tr w:rsidR="00DA0057" w:rsidRPr="00310BF2" w14:paraId="791BE3CD" w14:textId="77777777" w:rsidTr="00956F2A">
        <w:trPr>
          <w:gridAfter w:val="1"/>
          <w:wAfter w:w="21" w:type="dxa"/>
          <w:jc w:val="center"/>
        </w:trPr>
        <w:tc>
          <w:tcPr>
            <w:tcW w:w="846" w:type="dxa"/>
          </w:tcPr>
          <w:p w14:paraId="054EF3E4" w14:textId="4AB91070" w:rsidR="00DA0057" w:rsidRPr="003E5582" w:rsidRDefault="0FD93FB3" w:rsidP="003E5582">
            <w:pPr>
              <w:spacing w:before="60" w:after="60"/>
              <w:rPr>
                <w:sz w:val="16"/>
                <w:szCs w:val="16"/>
              </w:rPr>
            </w:pPr>
            <w:r>
              <w:rPr>
                <w:sz w:val="16"/>
              </w:rPr>
              <w:t>2024</w:t>
            </w:r>
          </w:p>
        </w:tc>
        <w:tc>
          <w:tcPr>
            <w:tcW w:w="1984" w:type="dxa"/>
          </w:tcPr>
          <w:p w14:paraId="40EF2A40" w14:textId="48EDA07F" w:rsidR="00DA0057" w:rsidRPr="003E5582" w:rsidRDefault="0FD93FB3" w:rsidP="003E5582">
            <w:pPr>
              <w:spacing w:before="60" w:after="60"/>
              <w:ind w:right="57"/>
              <w:textAlignment w:val="baseline"/>
              <w:rPr>
                <w:rFonts w:eastAsia="Times New Roman"/>
                <w:sz w:val="16"/>
                <w:szCs w:val="16"/>
              </w:rPr>
            </w:pPr>
            <w:r>
              <w:rPr>
                <w:sz w:val="16"/>
              </w:rPr>
              <w:t>2024, пп. 33–36, Рекомендация</w:t>
            </w:r>
            <w:r w:rsidR="00CB75FF">
              <w:rPr>
                <w:sz w:val="16"/>
              </w:rPr>
              <w:t> </w:t>
            </w:r>
            <w:r>
              <w:rPr>
                <w:sz w:val="16"/>
              </w:rPr>
              <w:t>№</w:t>
            </w:r>
            <w:r w:rsidR="00CB75FF">
              <w:rPr>
                <w:sz w:val="16"/>
              </w:rPr>
              <w:t> </w:t>
            </w:r>
            <w:r>
              <w:rPr>
                <w:sz w:val="16"/>
              </w:rPr>
              <w:t>1</w:t>
            </w:r>
            <w:r w:rsidR="001A09EC">
              <w:rPr>
                <w:sz w:val="16"/>
              </w:rPr>
              <w:t> </w:t>
            </w:r>
            <w:r>
              <w:rPr>
                <w:sz w:val="16"/>
              </w:rPr>
              <w:t>— Финансовый аудит (ФА)</w:t>
            </w:r>
          </w:p>
        </w:tc>
        <w:tc>
          <w:tcPr>
            <w:tcW w:w="2552" w:type="dxa"/>
          </w:tcPr>
          <w:p w14:paraId="1A9C364A" w14:textId="311898F0" w:rsidR="004041CF" w:rsidRDefault="0FD93FB3" w:rsidP="003E5582">
            <w:pPr>
              <w:spacing w:before="60" w:after="60"/>
              <w:rPr>
                <w:b/>
                <w:bCs/>
                <w:sz w:val="16"/>
                <w:szCs w:val="16"/>
              </w:rPr>
            </w:pPr>
            <w:bookmarkStart w:id="217" w:name="_Toc197377496"/>
            <w:r>
              <w:rPr>
                <w:b/>
                <w:sz w:val="16"/>
              </w:rPr>
              <w:t>Оптимизация использования систем и автоматизация финансовой отчетности</w:t>
            </w:r>
            <w:bookmarkEnd w:id="217"/>
          </w:p>
          <w:p w14:paraId="3E019D59" w14:textId="77777777" w:rsidR="007C1124" w:rsidRPr="003E5582" w:rsidRDefault="007C1124" w:rsidP="003E5582">
            <w:pPr>
              <w:spacing w:before="60" w:after="60"/>
              <w:rPr>
                <w:b/>
                <w:bCs/>
                <w:sz w:val="16"/>
                <w:szCs w:val="16"/>
              </w:rPr>
            </w:pPr>
          </w:p>
          <w:p w14:paraId="05F7E6A5" w14:textId="77777777" w:rsidR="00107000" w:rsidRPr="003E5582" w:rsidRDefault="0688978B" w:rsidP="003E5582">
            <w:pPr>
              <w:spacing w:before="60" w:after="60"/>
              <w:rPr>
                <w:sz w:val="16"/>
                <w:szCs w:val="16"/>
              </w:rPr>
            </w:pPr>
            <w:r>
              <w:rPr>
                <w:sz w:val="16"/>
              </w:rPr>
              <w:t>В рамках финансового аудита 2024 года BPK рассмотрел процесс финансовой отчетности Организации и ее Систему управления административной информацией (СУАИ), систему планирования общеорганизационных ресурсов (ПОР), созданную на платформе Oracle PeopleSoft. BPK выявил несколько областей для улучшения, включая недостаточное использование древовидной структуры СУАИ при сверке статей финансовых ведомостей, отсутствие функции формирования консолидированного пробного баланса и несоответствия в главной книге. В настоящее время Организация полагается на электронные таблицы и ручные процессы вместо использования встроенных функций СУАИ, что приводит к увеличению рабочей нагрузки, снижению эффективности и повышенному риску ошибок, в частности при консолидации пробных балансов по бизнес-единицам WIPO1, FITSW и WISP1.</w:t>
            </w:r>
          </w:p>
          <w:p w14:paraId="38534381" w14:textId="77777777" w:rsidR="00DA0057" w:rsidRPr="003E5582" w:rsidRDefault="0688978B" w:rsidP="003E5582">
            <w:pPr>
              <w:spacing w:before="60" w:after="60"/>
              <w:rPr>
                <w:sz w:val="16"/>
                <w:szCs w:val="16"/>
              </w:rPr>
            </w:pPr>
            <w:r>
              <w:rPr>
                <w:sz w:val="16"/>
              </w:rPr>
              <w:lastRenderedPageBreak/>
              <w:t>Кроме того, было выявлено расхождение между финансовыми ведомостями и главной книгой, извлеченной из СУАИ, возникшее в результате прямой отмены проводки операции, первоначально отраженной во вспомогательной книге. BPK также отметил, что в течение 2024 года несколько пользователей были уполномочены вносить ручные журнальные проводки, что указывает на необходимость усиления системы внутреннего контроля. Чтобы снизить риски несанкционированных или непреднамеренных изменений и уменьшить трудности при сверке, Организации следует уделить первоочередное внимание обеспечению разделения обязанностей в соответствии со стандартами информационной безопасности, а также доработать СУАИ за счет автоматизированных и более согласованных функций, чтобы повысить точность, последовательность и эффективность финансовой отчетности.</w:t>
            </w:r>
          </w:p>
          <w:p w14:paraId="3234AA79" w14:textId="2C5E4A40" w:rsidR="003E5582" w:rsidRPr="003E5582" w:rsidRDefault="003E5582" w:rsidP="003E5582">
            <w:pPr>
              <w:spacing w:before="60" w:after="60"/>
              <w:rPr>
                <w:sz w:val="16"/>
                <w:szCs w:val="16"/>
              </w:rPr>
            </w:pPr>
          </w:p>
        </w:tc>
        <w:tc>
          <w:tcPr>
            <w:tcW w:w="1984" w:type="dxa"/>
          </w:tcPr>
          <w:p w14:paraId="297CB9E7" w14:textId="00A74D6A" w:rsidR="00DA0057" w:rsidRPr="003E5582" w:rsidRDefault="0FD93FB3" w:rsidP="003E5582">
            <w:pPr>
              <w:spacing w:before="60" w:after="60"/>
              <w:rPr>
                <w:sz w:val="16"/>
                <w:szCs w:val="16"/>
              </w:rPr>
            </w:pPr>
            <w:r>
              <w:rPr>
                <w:sz w:val="16"/>
              </w:rPr>
              <w:lastRenderedPageBreak/>
              <w:t>BPK рекомендует Организации улучшить оптимизацию системы и автоматизацию подготовки финансовой отчетности, чтобы обеспечить автоматизированное обобщение финансовых ведомостей, консолидацию пробного баланса, минимизацию ошибок, оптимизацию финансовой отчетности и осуществление контроля в целях обеспечения целостности данных, эффективной и точной финансовой отчетности.</w:t>
            </w:r>
          </w:p>
        </w:tc>
        <w:tc>
          <w:tcPr>
            <w:tcW w:w="2159" w:type="dxa"/>
          </w:tcPr>
          <w:p w14:paraId="5A640BAC" w14:textId="7FB5F674" w:rsidR="004041CF" w:rsidRPr="003E5582" w:rsidRDefault="0FD93FB3" w:rsidP="003E5582">
            <w:pPr>
              <w:spacing w:before="60" w:after="60"/>
              <w:rPr>
                <w:sz w:val="16"/>
                <w:szCs w:val="16"/>
              </w:rPr>
            </w:pPr>
            <w:r>
              <w:rPr>
                <w:sz w:val="16"/>
              </w:rPr>
              <w:t>Руководство согласно с этой рекомендацией. Учитывая, что Организация вскоре перейдет на новую систему планирования общеорганизационных ресурсов (ПОР), рекомендованные конфигурации будут реализованы путем разработки плана счетов в новой системе ПОР СУАИ. Завершающим критерием будут результаты тестирования конфигурации новой системы с точки зрения контроля системы и рекомендованной древовидной структуры.</w:t>
            </w:r>
          </w:p>
          <w:p w14:paraId="30F49382" w14:textId="4B20B14E" w:rsidR="00DA0057" w:rsidRPr="003E5582" w:rsidRDefault="0FD93FB3" w:rsidP="003E5582">
            <w:pPr>
              <w:spacing w:before="60" w:after="60"/>
              <w:rPr>
                <w:sz w:val="16"/>
                <w:szCs w:val="16"/>
              </w:rPr>
            </w:pPr>
            <w:r>
              <w:rPr>
                <w:sz w:val="16"/>
              </w:rPr>
              <w:t>Предполагается, что эта работа будет завершена к 31 декабря 2026 года в соответствии с разработкой проекта и тестированием новой ПОР на предмет приемлемости для пользователей.</w:t>
            </w:r>
          </w:p>
        </w:tc>
        <w:tc>
          <w:tcPr>
            <w:tcW w:w="2273" w:type="dxa"/>
          </w:tcPr>
          <w:p w14:paraId="5451A41F" w14:textId="77777777" w:rsidR="009013CB" w:rsidRPr="003E5582" w:rsidRDefault="6E61D153" w:rsidP="003E5582">
            <w:pPr>
              <w:spacing w:before="60" w:after="60"/>
              <w:rPr>
                <w:rFonts w:eastAsiaTheme="minorEastAsia"/>
                <w:sz w:val="16"/>
                <w:szCs w:val="16"/>
              </w:rPr>
            </w:pPr>
            <w:r>
              <w:rPr>
                <w:sz w:val="16"/>
              </w:rPr>
              <w:t xml:space="preserve">План счетов был переработан для новой системы ПОР СУАИ, и структура дерева счетов в настоящее время пересматривается. </w:t>
            </w:r>
          </w:p>
          <w:p w14:paraId="31CBABBB" w14:textId="5B1229A7" w:rsidR="00DA0057" w:rsidRPr="003E5582" w:rsidRDefault="6E61D153" w:rsidP="003E5582">
            <w:pPr>
              <w:spacing w:before="60" w:after="60"/>
              <w:rPr>
                <w:rFonts w:eastAsiaTheme="minorEastAsia"/>
                <w:sz w:val="16"/>
                <w:szCs w:val="16"/>
              </w:rPr>
            </w:pPr>
            <w:r>
              <w:rPr>
                <w:sz w:val="16"/>
              </w:rPr>
              <w:t>В соответствии с графиком работы над ПОР СУАИ, ВОИС рассчитывает завершить это действие к 31 декабря 2027 года. Критерием закрытия является успешное пользовательское приемочное тестирование автоматизации финансовой отчетности.</w:t>
            </w:r>
          </w:p>
        </w:tc>
        <w:tc>
          <w:tcPr>
            <w:tcW w:w="2126" w:type="dxa"/>
          </w:tcPr>
          <w:p w14:paraId="6D88060A" w14:textId="3115C1F6" w:rsidR="00DA0057" w:rsidRPr="003E5582" w:rsidRDefault="1663D17F" w:rsidP="003E5582">
            <w:pPr>
              <w:spacing w:before="60" w:after="60"/>
              <w:rPr>
                <w:sz w:val="16"/>
                <w:szCs w:val="16"/>
              </w:rPr>
            </w:pPr>
            <w:r>
              <w:rPr>
                <w:sz w:val="16"/>
              </w:rPr>
              <w:t>Мы отмечаем прогресс, достигнутый в создании новой системы ПОР СУАИ, и рассмотрим завершение работы над системой после успешного пользовательского приемочного тестирования автоматизации финансовой отчетности.</w:t>
            </w:r>
          </w:p>
        </w:tc>
        <w:tc>
          <w:tcPr>
            <w:tcW w:w="1276" w:type="dxa"/>
          </w:tcPr>
          <w:p w14:paraId="165C970F" w14:textId="63F97A6F" w:rsidR="00DA0057" w:rsidRPr="003E5582" w:rsidRDefault="6E61D153" w:rsidP="003E5582">
            <w:pPr>
              <w:spacing w:before="60" w:after="60"/>
              <w:rPr>
                <w:sz w:val="16"/>
                <w:szCs w:val="16"/>
              </w:rPr>
            </w:pPr>
            <w:r>
              <w:rPr>
                <w:sz w:val="16"/>
              </w:rPr>
              <w:t>Выполняется</w:t>
            </w:r>
          </w:p>
        </w:tc>
      </w:tr>
      <w:tr w:rsidR="00DA0057" w:rsidRPr="00310BF2" w14:paraId="2C87A33B" w14:textId="77777777" w:rsidTr="00956F2A">
        <w:trPr>
          <w:gridAfter w:val="1"/>
          <w:wAfter w:w="21" w:type="dxa"/>
          <w:jc w:val="center"/>
        </w:trPr>
        <w:tc>
          <w:tcPr>
            <w:tcW w:w="846" w:type="dxa"/>
          </w:tcPr>
          <w:p w14:paraId="3DFF2902" w14:textId="561531D5" w:rsidR="00DA0057" w:rsidRPr="00310BF2" w:rsidRDefault="003E5582" w:rsidP="003E5582">
            <w:pPr>
              <w:spacing w:before="60" w:after="60"/>
              <w:rPr>
                <w:sz w:val="16"/>
                <w:szCs w:val="16"/>
              </w:rPr>
            </w:pPr>
            <w:r>
              <w:rPr>
                <w:sz w:val="16"/>
              </w:rPr>
              <w:t>2024</w:t>
            </w:r>
          </w:p>
        </w:tc>
        <w:tc>
          <w:tcPr>
            <w:tcW w:w="1984" w:type="dxa"/>
          </w:tcPr>
          <w:p w14:paraId="00D4FD2F" w14:textId="2FAC4CA5" w:rsidR="00DA0057" w:rsidRPr="00310BF2" w:rsidRDefault="75790B23" w:rsidP="003E5582">
            <w:pPr>
              <w:spacing w:before="60" w:after="60"/>
              <w:rPr>
                <w:sz w:val="16"/>
                <w:szCs w:val="16"/>
              </w:rPr>
            </w:pPr>
            <w:r>
              <w:rPr>
                <w:sz w:val="16"/>
              </w:rPr>
              <w:t>2024, пп.</w:t>
            </w:r>
            <w:r w:rsidR="00CB75FF">
              <w:rPr>
                <w:sz w:val="16"/>
              </w:rPr>
              <w:t> </w:t>
            </w:r>
            <w:r>
              <w:rPr>
                <w:sz w:val="16"/>
              </w:rPr>
              <w:t>37–40, рекомендация №</w:t>
            </w:r>
            <w:r w:rsidR="00CB75FF">
              <w:rPr>
                <w:sz w:val="16"/>
              </w:rPr>
              <w:t> </w:t>
            </w:r>
            <w:r>
              <w:rPr>
                <w:sz w:val="16"/>
              </w:rPr>
              <w:t>2</w:t>
            </w:r>
            <w:r w:rsidR="00CB75FF">
              <w:rPr>
                <w:sz w:val="16"/>
              </w:rPr>
              <w:t> </w:t>
            </w:r>
            <w:r>
              <w:rPr>
                <w:sz w:val="16"/>
              </w:rPr>
              <w:t>— ФА</w:t>
            </w:r>
          </w:p>
        </w:tc>
        <w:tc>
          <w:tcPr>
            <w:tcW w:w="2552" w:type="dxa"/>
          </w:tcPr>
          <w:p w14:paraId="23E0395D" w14:textId="25173B1A" w:rsidR="00CB22B6" w:rsidRPr="00310BF2" w:rsidRDefault="007C1124" w:rsidP="003E5582">
            <w:pPr>
              <w:spacing w:before="60" w:after="60"/>
              <w:rPr>
                <w:b/>
                <w:bCs/>
                <w:sz w:val="16"/>
                <w:szCs w:val="16"/>
              </w:rPr>
            </w:pPr>
            <w:bookmarkStart w:id="218" w:name="_Toc197377497"/>
            <w:r>
              <w:rPr>
                <w:b/>
                <w:sz w:val="16"/>
              </w:rPr>
              <w:t>Совершенствование учетной политики, регулирующей пошлины Мадридской системы</w:t>
            </w:r>
            <w:bookmarkEnd w:id="218"/>
          </w:p>
          <w:p w14:paraId="2DC40F46" w14:textId="76E6E85B" w:rsidR="00637841" w:rsidRPr="00310BF2" w:rsidRDefault="00637841" w:rsidP="003E5582">
            <w:pPr>
              <w:spacing w:before="60" w:after="60"/>
              <w:rPr>
                <w:b/>
                <w:bCs/>
                <w:sz w:val="16"/>
                <w:szCs w:val="16"/>
              </w:rPr>
            </w:pPr>
          </w:p>
          <w:p w14:paraId="5D598777" w14:textId="77777777" w:rsidR="004828B6" w:rsidRPr="00310BF2" w:rsidRDefault="65A1077D" w:rsidP="003E5582">
            <w:pPr>
              <w:pStyle w:val="font-claude-response-body"/>
              <w:spacing w:before="60" w:beforeAutospacing="0" w:after="60" w:afterAutospacing="0"/>
              <w:rPr>
                <w:rFonts w:ascii="Arial" w:eastAsiaTheme="minorEastAsia" w:hAnsi="Arial" w:cs="Arial"/>
                <w:sz w:val="16"/>
                <w:szCs w:val="16"/>
              </w:rPr>
            </w:pPr>
            <w:r>
              <w:rPr>
                <w:rFonts w:ascii="Arial" w:hAnsi="Arial"/>
                <w:sz w:val="16"/>
              </w:rPr>
              <w:t xml:space="preserve">BPK проанализировала Подробное руководство Организации по пошлинам </w:t>
            </w:r>
            <w:r>
              <w:rPr>
                <w:rFonts w:ascii="Arial" w:hAnsi="Arial"/>
                <w:sz w:val="16"/>
              </w:rPr>
              <w:lastRenderedPageBreak/>
              <w:t>Мадридской системы и отметила, что, хотя в нем и рассматриваются Авансовые поступления, в нем отсутствуют официальные указания по Подлежащим уплате переводам и Текущим счетам, которые тесно связаны с процессом учета доходов. В ходе бесед с руководством BPK выявила несколько установленных, но недокументированных бухгалтерских практик в этих областях, включая учет авансовых платежей, проводимых через Текущие счета, целевые Текущие счета, методологии оценки авансовых поступлений и подлежащих уплате переводов, классификацию статей финансовой ведомости и корректировки на конец года.</w:t>
            </w:r>
          </w:p>
          <w:p w14:paraId="136CD4A3" w14:textId="4C36FB10" w:rsidR="004828B6" w:rsidRPr="003E5582" w:rsidRDefault="65A1077D" w:rsidP="003E5582">
            <w:pPr>
              <w:spacing w:before="60" w:after="60"/>
              <w:rPr>
                <w:sz w:val="16"/>
                <w:szCs w:val="16"/>
              </w:rPr>
            </w:pPr>
            <w:r>
              <w:rPr>
                <w:sz w:val="16"/>
              </w:rPr>
              <w:t>По мнению BPK, включение этих устоявшихся практик в официальные рекомендации в области политики позволит значительно повысить ясность, последовательность и прозрачность процедур финансовой отчетности. Руководство признало этот недостаток и отметило, что в настоящее время Организация разрабатывает обновленные подробные методические рекомендации по учету пошлин Мадридской системы в рамках внедрения МСУГС</w:t>
            </w:r>
            <w:r w:rsidR="00956F2A">
              <w:rPr>
                <w:sz w:val="16"/>
              </w:rPr>
              <w:t> </w:t>
            </w:r>
            <w:r>
              <w:rPr>
                <w:sz w:val="16"/>
              </w:rPr>
              <w:t>47, в которых, как ожидается, данные практические подходы будут официально учтены.</w:t>
            </w:r>
          </w:p>
          <w:p w14:paraId="0601A42F" w14:textId="77777777" w:rsidR="00DA0057" w:rsidRPr="00310BF2" w:rsidRDefault="00DA0057" w:rsidP="003E5582">
            <w:pPr>
              <w:spacing w:before="60" w:after="60"/>
              <w:rPr>
                <w:b/>
                <w:bCs/>
                <w:sz w:val="16"/>
                <w:szCs w:val="16"/>
              </w:rPr>
            </w:pPr>
          </w:p>
        </w:tc>
        <w:tc>
          <w:tcPr>
            <w:tcW w:w="1984" w:type="dxa"/>
          </w:tcPr>
          <w:p w14:paraId="080443B8" w14:textId="56D3CBC0" w:rsidR="00DA0057" w:rsidRPr="00310BF2" w:rsidRDefault="75790B23" w:rsidP="003E5582">
            <w:pPr>
              <w:spacing w:before="60" w:after="60"/>
              <w:rPr>
                <w:sz w:val="16"/>
                <w:szCs w:val="16"/>
              </w:rPr>
            </w:pPr>
            <w:r>
              <w:rPr>
                <w:sz w:val="16"/>
              </w:rPr>
              <w:lastRenderedPageBreak/>
              <w:t xml:space="preserve">BPK рекомендует Организации усовершенствовать свою учетную политику с целью решения вопроса о классификации остатков средств, связанных с </w:t>
            </w:r>
            <w:r>
              <w:rPr>
                <w:sz w:val="16"/>
              </w:rPr>
              <w:lastRenderedPageBreak/>
              <w:t>пошлинами Мадридской системы.</w:t>
            </w:r>
          </w:p>
        </w:tc>
        <w:tc>
          <w:tcPr>
            <w:tcW w:w="2159" w:type="dxa"/>
          </w:tcPr>
          <w:p w14:paraId="198BB0A1" w14:textId="77777777" w:rsidR="00CB22B6" w:rsidRPr="00310BF2" w:rsidRDefault="75790B23" w:rsidP="003E5582">
            <w:pPr>
              <w:spacing w:before="60" w:after="60"/>
              <w:rPr>
                <w:sz w:val="16"/>
                <w:szCs w:val="16"/>
              </w:rPr>
            </w:pPr>
            <w:r>
              <w:rPr>
                <w:sz w:val="16"/>
              </w:rPr>
              <w:lastRenderedPageBreak/>
              <w:t xml:space="preserve">Руководство согласно с этой рекомендацией, и в рамках работы по внедрению МСУГС 47 Организация разрабатывает обновленные подробные методические рекомендации по учету </w:t>
            </w:r>
            <w:r>
              <w:rPr>
                <w:sz w:val="16"/>
              </w:rPr>
              <w:lastRenderedPageBreak/>
              <w:t>пошлин Мадридской системы. В этом контексте руководство обеспечит подготовку обновленных рекомендаций, в которых также будет учтен вопрос о классификации соответствующих остатков.</w:t>
            </w:r>
          </w:p>
          <w:p w14:paraId="26A6A200" w14:textId="1F03D99F" w:rsidR="00DA0057" w:rsidRPr="00310BF2" w:rsidRDefault="75790B23" w:rsidP="003E5582">
            <w:pPr>
              <w:spacing w:before="60" w:after="60"/>
              <w:rPr>
                <w:sz w:val="16"/>
                <w:szCs w:val="16"/>
              </w:rPr>
            </w:pPr>
            <w:r>
              <w:rPr>
                <w:sz w:val="16"/>
              </w:rPr>
              <w:t>Предполагается, что эта работа будет завершена к 30 сентября 2025 года.</w:t>
            </w:r>
          </w:p>
        </w:tc>
        <w:tc>
          <w:tcPr>
            <w:tcW w:w="2273" w:type="dxa"/>
          </w:tcPr>
          <w:p w14:paraId="417006F5" w14:textId="77777777" w:rsidR="003F1E76" w:rsidRPr="00951784" w:rsidRDefault="6A5CDCA0" w:rsidP="003E5582">
            <w:pPr>
              <w:spacing w:before="60" w:after="60"/>
              <w:rPr>
                <w:rFonts w:eastAsiaTheme="minorEastAsia"/>
                <w:sz w:val="16"/>
                <w:szCs w:val="16"/>
              </w:rPr>
            </w:pPr>
            <w:r>
              <w:rPr>
                <w:sz w:val="16"/>
              </w:rPr>
              <w:lastRenderedPageBreak/>
              <w:t xml:space="preserve">Для внедрения МСУГС 47 было разработано обновленное подробное руководство. </w:t>
            </w:r>
          </w:p>
          <w:p w14:paraId="61A19E64" w14:textId="5C6BEDD7" w:rsidR="00DA0057" w:rsidRPr="00310BF2" w:rsidRDefault="6A5CDCA0" w:rsidP="003E5582">
            <w:pPr>
              <w:spacing w:before="60" w:after="60"/>
              <w:rPr>
                <w:rFonts w:eastAsiaTheme="minorEastAsia"/>
                <w:sz w:val="16"/>
                <w:szCs w:val="16"/>
              </w:rPr>
            </w:pPr>
            <w:r>
              <w:rPr>
                <w:sz w:val="16"/>
              </w:rPr>
              <w:t xml:space="preserve">Руководство считает, что данная рекомендация была полностью выполнена и </w:t>
            </w:r>
            <w:r>
              <w:rPr>
                <w:sz w:val="16"/>
              </w:rPr>
              <w:lastRenderedPageBreak/>
              <w:t>соответствует критериям закрытия.</w:t>
            </w:r>
          </w:p>
        </w:tc>
        <w:tc>
          <w:tcPr>
            <w:tcW w:w="2126" w:type="dxa"/>
          </w:tcPr>
          <w:p w14:paraId="10463DD2" w14:textId="5E0BDB1C" w:rsidR="00DA0057" w:rsidRPr="00310BF2" w:rsidRDefault="0F7AB95D" w:rsidP="003E5582">
            <w:pPr>
              <w:spacing w:before="60" w:after="60"/>
              <w:rPr>
                <w:sz w:val="16"/>
                <w:szCs w:val="16"/>
              </w:rPr>
            </w:pPr>
            <w:r>
              <w:rPr>
                <w:sz w:val="16"/>
              </w:rPr>
              <w:lastRenderedPageBreak/>
              <w:t>Поскольку подробное руководство было разработано, мы считаем эту рекомендацию выполненной. </w:t>
            </w:r>
          </w:p>
        </w:tc>
        <w:tc>
          <w:tcPr>
            <w:tcW w:w="1276" w:type="dxa"/>
          </w:tcPr>
          <w:p w14:paraId="71BE4C72" w14:textId="4A411A9D" w:rsidR="00DA0057" w:rsidRPr="00310BF2" w:rsidRDefault="001C5D05" w:rsidP="003E5582">
            <w:pPr>
              <w:spacing w:before="60" w:after="60"/>
              <w:rPr>
                <w:sz w:val="16"/>
                <w:szCs w:val="16"/>
              </w:rPr>
            </w:pPr>
            <w:r>
              <w:rPr>
                <w:sz w:val="16"/>
              </w:rPr>
              <w:t>Выполнена</w:t>
            </w:r>
          </w:p>
        </w:tc>
      </w:tr>
      <w:tr w:rsidR="00DA0057" w:rsidRPr="00310BF2" w14:paraId="3AF5794A" w14:textId="77777777" w:rsidTr="00956F2A">
        <w:trPr>
          <w:gridAfter w:val="1"/>
          <w:wAfter w:w="21" w:type="dxa"/>
          <w:jc w:val="center"/>
        </w:trPr>
        <w:tc>
          <w:tcPr>
            <w:tcW w:w="846" w:type="dxa"/>
          </w:tcPr>
          <w:p w14:paraId="6A8DE4F9" w14:textId="7C14D212" w:rsidR="00DA0057" w:rsidRPr="00310BF2" w:rsidRDefault="003E5582" w:rsidP="003E5582">
            <w:pPr>
              <w:spacing w:before="60" w:after="60"/>
              <w:rPr>
                <w:sz w:val="16"/>
                <w:szCs w:val="16"/>
              </w:rPr>
            </w:pPr>
            <w:r>
              <w:rPr>
                <w:sz w:val="16"/>
              </w:rPr>
              <w:lastRenderedPageBreak/>
              <w:t>2024</w:t>
            </w:r>
          </w:p>
        </w:tc>
        <w:tc>
          <w:tcPr>
            <w:tcW w:w="1984" w:type="dxa"/>
          </w:tcPr>
          <w:p w14:paraId="60961CCA" w14:textId="2F07CA8D" w:rsidR="00DA0057" w:rsidRPr="00310BF2" w:rsidRDefault="75790B23" w:rsidP="003E5582">
            <w:pPr>
              <w:spacing w:before="60" w:after="60"/>
              <w:rPr>
                <w:sz w:val="16"/>
                <w:szCs w:val="16"/>
              </w:rPr>
            </w:pPr>
            <w:r>
              <w:rPr>
                <w:sz w:val="16"/>
              </w:rPr>
              <w:t>2024, пп. 41–46, рекомендация</w:t>
            </w:r>
            <w:r w:rsidR="001A09EC">
              <w:rPr>
                <w:sz w:val="16"/>
              </w:rPr>
              <w:t> </w:t>
            </w:r>
            <w:r>
              <w:rPr>
                <w:sz w:val="16"/>
              </w:rPr>
              <w:t>№</w:t>
            </w:r>
            <w:r w:rsidR="001A09EC">
              <w:rPr>
                <w:sz w:val="16"/>
              </w:rPr>
              <w:t> </w:t>
            </w:r>
            <w:r>
              <w:rPr>
                <w:sz w:val="16"/>
              </w:rPr>
              <w:t>3</w:t>
            </w:r>
            <w:r w:rsidR="001A09EC">
              <w:rPr>
                <w:sz w:val="16"/>
              </w:rPr>
              <w:t> </w:t>
            </w:r>
            <w:r>
              <w:rPr>
                <w:sz w:val="16"/>
              </w:rPr>
              <w:t>— ФА</w:t>
            </w:r>
          </w:p>
        </w:tc>
        <w:tc>
          <w:tcPr>
            <w:tcW w:w="2552" w:type="dxa"/>
          </w:tcPr>
          <w:p w14:paraId="474FC959" w14:textId="0136F35E" w:rsidR="00CB22B6" w:rsidRDefault="007C1124" w:rsidP="003E5582">
            <w:pPr>
              <w:spacing w:before="60" w:after="60"/>
              <w:rPr>
                <w:rFonts w:eastAsia="Times New Roman"/>
                <w:b/>
                <w:bCs/>
                <w:sz w:val="16"/>
                <w:szCs w:val="16"/>
              </w:rPr>
            </w:pPr>
            <w:bookmarkStart w:id="219" w:name="_Toc197377498"/>
            <w:r>
              <w:rPr>
                <w:b/>
                <w:sz w:val="16"/>
              </w:rPr>
              <w:t>Решение проблемы невозвращенных депозитов за товарные знаки</w:t>
            </w:r>
            <w:bookmarkEnd w:id="219"/>
          </w:p>
          <w:p w14:paraId="342310C6" w14:textId="77777777" w:rsidR="007C1124" w:rsidRPr="00310BF2" w:rsidRDefault="007C1124" w:rsidP="003E5582">
            <w:pPr>
              <w:spacing w:before="60" w:after="60"/>
              <w:rPr>
                <w:rFonts w:eastAsia="Times New Roman"/>
                <w:b/>
                <w:bCs/>
                <w:sz w:val="16"/>
                <w:szCs w:val="16"/>
                <w:lang w:eastAsia="id-ID"/>
              </w:rPr>
            </w:pPr>
          </w:p>
          <w:p w14:paraId="73D9182E" w14:textId="77777777" w:rsidR="006008AF" w:rsidRPr="00310BF2" w:rsidRDefault="43154421" w:rsidP="003E5582">
            <w:pPr>
              <w:pStyle w:val="font-claude-response-body"/>
              <w:spacing w:before="60" w:beforeAutospacing="0" w:after="60" w:afterAutospacing="0"/>
              <w:rPr>
                <w:rFonts w:ascii="Arial" w:hAnsi="Arial" w:cs="Arial"/>
                <w:sz w:val="16"/>
                <w:szCs w:val="16"/>
              </w:rPr>
            </w:pPr>
            <w:r>
              <w:rPr>
                <w:rFonts w:ascii="Arial" w:hAnsi="Arial"/>
                <w:sz w:val="16"/>
              </w:rPr>
              <w:t>Мадридская система, международная система ВОИС по регистрации товарных знаков, действующая в более чем 130 странах, требует согласования заявок на регистрацию товарных знаков и соответствующих платежей. По наблюдениям BPK, недостатки в выверке привели к накоплению непризнанных депозитов, причем по состоянию на 31 декабря 2024 года невозвращенными оставались в общей сложности 5,9 млн. франков, включая депозиты, относящиеся к 2012 году. Несмотря на то, что Организация придерживается установленной политики списания средств по депозитам старше трех лет, растущий объем непризнанных депозитов создает все большую административную нагрузку, поскольку старые депозиты становится все сложнее разрешить или отнести к соответствующим плательщикам.</w:t>
            </w:r>
          </w:p>
          <w:p w14:paraId="77A9F012" w14:textId="5A249624" w:rsidR="006008AF" w:rsidRPr="00310BF2" w:rsidRDefault="43154421" w:rsidP="003E5582">
            <w:pPr>
              <w:spacing w:before="60" w:after="60"/>
              <w:rPr>
                <w:rFonts w:eastAsia="Times New Roman"/>
                <w:sz w:val="16"/>
                <w:szCs w:val="16"/>
              </w:rPr>
            </w:pPr>
            <w:r>
              <w:rPr>
                <w:sz w:val="16"/>
              </w:rPr>
              <w:t xml:space="preserve">Руководство признало наличие этой проблемы и реализовало несколько инициатив по ее решению, включая назначение специальных сотрудников для отслеживания и установления контактов с соответствующими </w:t>
            </w:r>
            <w:r>
              <w:rPr>
                <w:sz w:val="16"/>
              </w:rPr>
              <w:lastRenderedPageBreak/>
              <w:t>клиентами, а также использование анализа данных для улучшения учета клиентов и контактной информации. Кроме того, в настоящее время Организация разрабатывает новую систему ПОР, включающую расширенные возможности подбора, уникальные номера ссылок и инструменты, основанные на искусственном интеллекте, чтобы упростить процессы сверки и возврата средств. BPK призывает продолжать реализацию этих инициатив, чтобы эффективно сократить накопление непризнанных депозитов и повысить общую эффективность процесса возмещения.</w:t>
            </w:r>
          </w:p>
          <w:p w14:paraId="79DB66A4" w14:textId="77777777" w:rsidR="00DA0057" w:rsidRPr="00310BF2" w:rsidRDefault="00DA0057" w:rsidP="003E5582">
            <w:pPr>
              <w:spacing w:before="60" w:after="60"/>
              <w:rPr>
                <w:rFonts w:eastAsia="Times New Roman"/>
                <w:sz w:val="16"/>
                <w:szCs w:val="16"/>
                <w:lang w:eastAsia="id-ID"/>
              </w:rPr>
            </w:pPr>
          </w:p>
        </w:tc>
        <w:tc>
          <w:tcPr>
            <w:tcW w:w="1984" w:type="dxa"/>
          </w:tcPr>
          <w:p w14:paraId="70FDAC0B" w14:textId="02C7A881" w:rsidR="00DA0057" w:rsidRPr="00310BF2" w:rsidRDefault="5F5C8B60" w:rsidP="003E5582">
            <w:pPr>
              <w:spacing w:before="60" w:after="60"/>
              <w:rPr>
                <w:sz w:val="16"/>
                <w:szCs w:val="16"/>
              </w:rPr>
            </w:pPr>
            <w:r>
              <w:rPr>
                <w:sz w:val="16"/>
              </w:rPr>
              <w:lastRenderedPageBreak/>
              <w:t>BPK рекомендует Организации разработать систему и механизм, которые позволят свести к минимуму пул неотнесенных депозитов за товарные знаки, и обеспечить, чтобы новая система ПОР включала механизм, позволяющий по возможности предотвращать возникновение неотнесенных остатков по депозитам.</w:t>
            </w:r>
          </w:p>
        </w:tc>
        <w:tc>
          <w:tcPr>
            <w:tcW w:w="2159" w:type="dxa"/>
          </w:tcPr>
          <w:p w14:paraId="38E70FA0" w14:textId="77777777" w:rsidR="00E709EA" w:rsidRPr="00310BF2" w:rsidRDefault="5F5C8B60" w:rsidP="003E5582">
            <w:pPr>
              <w:spacing w:before="60" w:after="60"/>
              <w:rPr>
                <w:sz w:val="16"/>
                <w:szCs w:val="16"/>
              </w:rPr>
            </w:pPr>
            <w:r>
              <w:rPr>
                <w:sz w:val="16"/>
              </w:rPr>
              <w:t>Руководство согласно с этой рекомендацией, и что касается будущих усовершенствований, то руководство активно участвует в разработке и внедрении нескольких новых систем в Организации, включая новую систему ПОР, которые, как ожидается, позволят улучшить процесс сопоставления и установления данных о клиентах. Итоговый проект и реализация могут предусматривать использование уникальных идентификационных номеров для облегчения такого сопоставления и упрощения любых возможных требований о возврате средств. Кроме того, руководство ожидает, что в рамках этих новых систем будут использоваться современные технологии, такие как функционирующие на основе ИИ инструменты сопоставления и поиска, что позволит усовершенствовать процедуры сопоставления и возврата платежей.</w:t>
            </w:r>
          </w:p>
          <w:p w14:paraId="4EBE159C" w14:textId="134F3A87" w:rsidR="00DA0057" w:rsidRPr="00310BF2" w:rsidRDefault="5F5C8B60" w:rsidP="003E5582">
            <w:pPr>
              <w:spacing w:before="60" w:after="60"/>
              <w:rPr>
                <w:sz w:val="16"/>
                <w:szCs w:val="16"/>
              </w:rPr>
            </w:pPr>
            <w:r>
              <w:rPr>
                <w:sz w:val="16"/>
              </w:rPr>
              <w:t>Предполагается, что эта работа будет завершена к 31 декабря 2027 года в соответствии с графиком внедрения новой системы ПОР.</w:t>
            </w:r>
          </w:p>
        </w:tc>
        <w:tc>
          <w:tcPr>
            <w:tcW w:w="2273" w:type="dxa"/>
          </w:tcPr>
          <w:p w14:paraId="40AE1D15" w14:textId="77777777" w:rsidR="008C6D02" w:rsidRPr="00951784" w:rsidRDefault="5E737F7A" w:rsidP="003E5582">
            <w:pPr>
              <w:spacing w:before="60" w:after="60"/>
              <w:rPr>
                <w:sz w:val="16"/>
                <w:szCs w:val="16"/>
              </w:rPr>
            </w:pPr>
            <w:r>
              <w:rPr>
                <w:sz w:val="16"/>
              </w:rPr>
              <w:t>Руководство активно участвует в разработке и внедрении нескольких новых систем, включая новую систему ПОР, которые, как ожидается, улучшат процесс подбора и идентификации данных о клиентах. Итоговый проект и реализация могут предусматривать использование уникальных идентификационных номеров для облегчения такого сопоставления и упрощения любых возможных требований о возврате средств. Кроме того, руководство ожидает, что в рамках этих новых систем будут использоваться современные технологии, такие как функционирующие на основе ИИ инструменты сопоставления и поиска, что позволит усовершенствовать процедуры сопоставления и возврата платежей.</w:t>
            </w:r>
          </w:p>
          <w:p w14:paraId="6D4FE600" w14:textId="77777777" w:rsidR="00DA0057" w:rsidRPr="00310BF2" w:rsidRDefault="00DA0057" w:rsidP="003E5582">
            <w:pPr>
              <w:spacing w:before="60" w:after="60"/>
              <w:rPr>
                <w:rFonts w:eastAsiaTheme="minorEastAsia"/>
                <w:sz w:val="16"/>
                <w:szCs w:val="16"/>
              </w:rPr>
            </w:pPr>
          </w:p>
        </w:tc>
        <w:tc>
          <w:tcPr>
            <w:tcW w:w="2126" w:type="dxa"/>
          </w:tcPr>
          <w:p w14:paraId="2D377028" w14:textId="3EA6DD5D" w:rsidR="00DA0057" w:rsidRPr="00310BF2" w:rsidRDefault="36AA6190" w:rsidP="003E5582">
            <w:pPr>
              <w:spacing w:before="60" w:after="60"/>
              <w:rPr>
                <w:sz w:val="16"/>
                <w:szCs w:val="16"/>
              </w:rPr>
            </w:pPr>
            <w:r>
              <w:rPr>
                <w:sz w:val="16"/>
              </w:rPr>
              <w:t>Мы отмечаем прогресс, достигнутый в работе над новой системой ПОР СУАИ, направленной на совершенствование процессов сопоставления и идентификации данных о клиентах, и рассмотрим завершение внедрения системы после его окончания.</w:t>
            </w:r>
          </w:p>
        </w:tc>
        <w:tc>
          <w:tcPr>
            <w:tcW w:w="1276" w:type="dxa"/>
          </w:tcPr>
          <w:p w14:paraId="42D68692" w14:textId="4DF8C0ED" w:rsidR="00DA0057" w:rsidRPr="00310BF2" w:rsidRDefault="5E737F7A" w:rsidP="003E5582">
            <w:pPr>
              <w:spacing w:before="60" w:after="60"/>
              <w:rPr>
                <w:sz w:val="16"/>
                <w:szCs w:val="16"/>
              </w:rPr>
            </w:pPr>
            <w:r>
              <w:rPr>
                <w:sz w:val="16"/>
              </w:rPr>
              <w:t>Выполняется</w:t>
            </w:r>
          </w:p>
        </w:tc>
      </w:tr>
      <w:tr w:rsidR="00DA0057" w:rsidRPr="00310BF2" w14:paraId="19C4813C" w14:textId="77777777" w:rsidTr="00956F2A">
        <w:trPr>
          <w:gridAfter w:val="1"/>
          <w:wAfter w:w="21" w:type="dxa"/>
          <w:jc w:val="center"/>
        </w:trPr>
        <w:tc>
          <w:tcPr>
            <w:tcW w:w="846" w:type="dxa"/>
          </w:tcPr>
          <w:p w14:paraId="699DC052" w14:textId="471E6BE1" w:rsidR="00DA0057" w:rsidRPr="007C1124" w:rsidRDefault="007C1124" w:rsidP="007C1124">
            <w:pPr>
              <w:spacing w:before="60" w:after="60"/>
              <w:rPr>
                <w:sz w:val="16"/>
                <w:szCs w:val="16"/>
              </w:rPr>
            </w:pPr>
            <w:r>
              <w:rPr>
                <w:sz w:val="16"/>
              </w:rPr>
              <w:t>2024</w:t>
            </w:r>
          </w:p>
        </w:tc>
        <w:tc>
          <w:tcPr>
            <w:tcW w:w="1984" w:type="dxa"/>
          </w:tcPr>
          <w:p w14:paraId="63E7EEB7" w14:textId="612EAB6B" w:rsidR="00DA0057" w:rsidRPr="007C1124" w:rsidRDefault="5F5C8B60" w:rsidP="007C1124">
            <w:pPr>
              <w:spacing w:before="60" w:after="60"/>
              <w:rPr>
                <w:sz w:val="16"/>
                <w:szCs w:val="16"/>
              </w:rPr>
            </w:pPr>
            <w:r>
              <w:rPr>
                <w:sz w:val="16"/>
              </w:rPr>
              <w:t>2024, пп. 50–52, рекомендация</w:t>
            </w:r>
            <w:r w:rsidR="001A09EC">
              <w:rPr>
                <w:sz w:val="16"/>
              </w:rPr>
              <w:t> </w:t>
            </w:r>
            <w:r>
              <w:rPr>
                <w:sz w:val="16"/>
              </w:rPr>
              <w:t>№</w:t>
            </w:r>
            <w:r w:rsidR="00CB75FF">
              <w:rPr>
                <w:sz w:val="16"/>
              </w:rPr>
              <w:t> </w:t>
            </w:r>
            <w:r>
              <w:rPr>
                <w:sz w:val="16"/>
              </w:rPr>
              <w:t>4</w:t>
            </w:r>
            <w:r w:rsidR="00CB75FF">
              <w:rPr>
                <w:sz w:val="16"/>
              </w:rPr>
              <w:t> </w:t>
            </w:r>
            <w:r>
              <w:rPr>
                <w:sz w:val="16"/>
              </w:rPr>
              <w:t>— аудит эффективности (АЭ)</w:t>
            </w:r>
          </w:p>
        </w:tc>
        <w:tc>
          <w:tcPr>
            <w:tcW w:w="2552" w:type="dxa"/>
          </w:tcPr>
          <w:p w14:paraId="734C6BD0" w14:textId="364CFB45" w:rsidR="00E709EA" w:rsidRPr="007C1124" w:rsidRDefault="007C1124" w:rsidP="007C1124">
            <w:pPr>
              <w:spacing w:before="60" w:after="60"/>
              <w:rPr>
                <w:rFonts w:eastAsia="Times New Roman"/>
                <w:b/>
                <w:bCs/>
                <w:sz w:val="16"/>
                <w:szCs w:val="16"/>
              </w:rPr>
            </w:pPr>
            <w:bookmarkStart w:id="220" w:name="_Toc197377502"/>
            <w:r>
              <w:rPr>
                <w:b/>
                <w:sz w:val="16"/>
              </w:rPr>
              <w:t>Установление единых стандартных рабочих процедур (СРП) для организации заседаний директивных органов ВОИС и органов ВОИС по ведению переговоров</w:t>
            </w:r>
            <w:bookmarkEnd w:id="220"/>
          </w:p>
          <w:p w14:paraId="5419FFF7" w14:textId="77777777" w:rsidR="007C1124" w:rsidRPr="007C1124" w:rsidRDefault="007C1124" w:rsidP="007C1124">
            <w:pPr>
              <w:spacing w:before="60" w:after="60"/>
              <w:rPr>
                <w:rFonts w:eastAsia="Times New Roman"/>
                <w:bCs/>
                <w:sz w:val="16"/>
                <w:szCs w:val="16"/>
                <w:lang w:eastAsia="id-ID"/>
              </w:rPr>
            </w:pPr>
          </w:p>
          <w:p w14:paraId="436CAB8A" w14:textId="56EFB043" w:rsidR="008D428C" w:rsidRPr="007C1124" w:rsidRDefault="0FCE5E3F" w:rsidP="007C1124">
            <w:pPr>
              <w:spacing w:before="60" w:after="60"/>
              <w:rPr>
                <w:rFonts w:eastAsia="Times New Roman"/>
                <w:sz w:val="16"/>
                <w:szCs w:val="16"/>
              </w:rPr>
            </w:pPr>
            <w:r>
              <w:rPr>
                <w:sz w:val="16"/>
              </w:rPr>
              <w:t>ВОИС содействует работе 18</w:t>
            </w:r>
            <w:r w:rsidR="00956F2A">
              <w:rPr>
                <w:sz w:val="16"/>
              </w:rPr>
              <w:t> </w:t>
            </w:r>
            <w:r>
              <w:rPr>
                <w:sz w:val="16"/>
              </w:rPr>
              <w:t>специализированных директивных и переговорных органов; в двухлетнем периоде 2024/25</w:t>
            </w:r>
            <w:r w:rsidR="00956F2A">
              <w:rPr>
                <w:sz w:val="16"/>
              </w:rPr>
              <w:t> </w:t>
            </w:r>
            <w:r>
              <w:rPr>
                <w:sz w:val="16"/>
              </w:rPr>
              <w:t>годов планируется ежегодно проводить от 21</w:t>
            </w:r>
            <w:r w:rsidR="00956F2A">
              <w:rPr>
                <w:sz w:val="16"/>
              </w:rPr>
              <w:t> </w:t>
            </w:r>
            <w:r>
              <w:rPr>
                <w:sz w:val="16"/>
              </w:rPr>
              <w:t>до 24</w:t>
            </w:r>
            <w:r w:rsidR="00956F2A">
              <w:rPr>
                <w:sz w:val="16"/>
              </w:rPr>
              <w:t> </w:t>
            </w:r>
            <w:r>
              <w:rPr>
                <w:sz w:val="16"/>
              </w:rPr>
              <w:t xml:space="preserve">заседаний. Хотя структурированная система координации заседаний существует и доступна через интранет Организации, она в основном охватывает </w:t>
            </w:r>
            <w:r>
              <w:rPr>
                <w:sz w:val="16"/>
              </w:rPr>
              <w:lastRenderedPageBreak/>
              <w:t>логистические аспекты, такие как составление расписания, управление помещениями и регистрация. Всеобъемлющий формализованный процесс, охватывающий весь жизненный цикл заседания — от первоначального планирования до последующих действий после его проведения, — пока не создан. Кроме того, существующие процедурные рамки существенно различаются между подразделениями и не предусматривают мер на случай непредвиденных обстоятельств в ходе заседаний, при этом межфункциональные роли остаются недостаточно определенными.</w:t>
            </w:r>
          </w:p>
          <w:p w14:paraId="7A8D087C" w14:textId="18FCFF4D" w:rsidR="00DA0057" w:rsidRPr="007C1124" w:rsidRDefault="007C1124" w:rsidP="007C1124">
            <w:pPr>
              <w:spacing w:before="60" w:after="60"/>
              <w:rPr>
                <w:rFonts w:eastAsia="Times New Roman"/>
                <w:sz w:val="16"/>
                <w:szCs w:val="16"/>
              </w:rPr>
            </w:pPr>
            <w:r>
              <w:rPr>
                <w:sz w:val="16"/>
              </w:rPr>
              <w:t xml:space="preserve">BPK считает целесообразным создание единой стандартной рабочей процедуры (СРП), которая включает передовую практику, гармонизирует различающиеся процессы и интегрирует механизмы управления логистикой во всех соответствующих подразделениях. Такая единая СРП позволит повысить оперативную согласованность, посысить эффективность процедур и ввести четкие руководящие принципы для координации будущих мероприятий. Кроме того, она будет служить ценным инструментом управления знаниями, позволяющим сохранить институциональный опыт и обеспечить преемственность в практике </w:t>
            </w:r>
            <w:r>
              <w:rPr>
                <w:sz w:val="16"/>
              </w:rPr>
              <w:lastRenderedPageBreak/>
              <w:t>многостороннего взаимодействия Организации.</w:t>
            </w:r>
          </w:p>
          <w:p w14:paraId="53BDD605" w14:textId="7D7E8A50" w:rsidR="008D428C" w:rsidRPr="007C1124" w:rsidRDefault="008D428C" w:rsidP="007C1124">
            <w:pPr>
              <w:spacing w:before="60" w:after="60"/>
              <w:rPr>
                <w:rFonts w:eastAsia="Times New Roman"/>
                <w:sz w:val="16"/>
                <w:szCs w:val="16"/>
                <w:lang w:eastAsia="id-ID"/>
              </w:rPr>
            </w:pPr>
          </w:p>
        </w:tc>
        <w:tc>
          <w:tcPr>
            <w:tcW w:w="1984" w:type="dxa"/>
          </w:tcPr>
          <w:p w14:paraId="296E7DD4" w14:textId="74DDDD9B" w:rsidR="00E709EA" w:rsidRPr="007C1124" w:rsidRDefault="5F5C8B60" w:rsidP="007C1124">
            <w:pPr>
              <w:spacing w:before="60" w:after="60"/>
              <w:rPr>
                <w:sz w:val="16"/>
                <w:szCs w:val="16"/>
              </w:rPr>
            </w:pPr>
            <w:r>
              <w:rPr>
                <w:sz w:val="16"/>
              </w:rPr>
              <w:lastRenderedPageBreak/>
              <w:t>BPK рекомендует Секретариату разработать формализованную СРП для координации совещаний директивных и переговорных органов. Такая СРП должна представлять собой всесторонний механизм, охватывающий ключевые этапы, включая в том числе следующие:</w:t>
            </w:r>
          </w:p>
          <w:p w14:paraId="0EDDFE44" w14:textId="77777777" w:rsidR="00E709EA" w:rsidRPr="007C1124" w:rsidRDefault="5F5C8B60" w:rsidP="007F267B">
            <w:pPr>
              <w:pStyle w:val="ListParagraph"/>
              <w:numPr>
                <w:ilvl w:val="1"/>
                <w:numId w:val="6"/>
              </w:numPr>
              <w:spacing w:before="60" w:after="60"/>
              <w:ind w:left="257" w:hanging="257"/>
              <w:contextualSpacing w:val="0"/>
              <w:rPr>
                <w:sz w:val="16"/>
                <w:szCs w:val="16"/>
              </w:rPr>
            </w:pPr>
            <w:r>
              <w:rPr>
                <w:sz w:val="16"/>
              </w:rPr>
              <w:t xml:space="preserve">Планирование до проведения заседания: Логистическая подготовка, составление </w:t>
            </w:r>
            <w:r>
              <w:rPr>
                <w:sz w:val="16"/>
              </w:rPr>
              <w:lastRenderedPageBreak/>
              <w:t>повестки дня и распределение функций (четкое распределение обязанностей и протоколы взаимодействия между подразделениями).</w:t>
            </w:r>
          </w:p>
          <w:p w14:paraId="1FD4BD31" w14:textId="77777777" w:rsidR="00E709EA" w:rsidRPr="007C1124" w:rsidRDefault="5F5C8B60" w:rsidP="007F267B">
            <w:pPr>
              <w:pStyle w:val="ListParagraph"/>
              <w:numPr>
                <w:ilvl w:val="1"/>
                <w:numId w:val="6"/>
              </w:numPr>
              <w:spacing w:before="60" w:after="60"/>
              <w:ind w:left="257" w:hanging="257"/>
              <w:contextualSpacing w:val="0"/>
              <w:rPr>
                <w:sz w:val="16"/>
                <w:szCs w:val="16"/>
              </w:rPr>
            </w:pPr>
            <w:r>
              <w:rPr>
                <w:sz w:val="16"/>
              </w:rPr>
              <w:t>Проведение заседания: Соответствие результатам предварительной подготовки совещаний, стратегии снижения рисков и планирование на случай непредвиденных обстоятельств.</w:t>
            </w:r>
          </w:p>
          <w:p w14:paraId="34C85B1A" w14:textId="7FDEC266" w:rsidR="00DA0057" w:rsidRPr="007C1124" w:rsidRDefault="5F5C8B60" w:rsidP="007F267B">
            <w:pPr>
              <w:pStyle w:val="ListParagraph"/>
              <w:numPr>
                <w:ilvl w:val="1"/>
                <w:numId w:val="6"/>
              </w:numPr>
              <w:spacing w:before="60" w:after="60"/>
              <w:ind w:left="257" w:hanging="257"/>
              <w:contextualSpacing w:val="0"/>
              <w:rPr>
                <w:sz w:val="16"/>
                <w:szCs w:val="16"/>
              </w:rPr>
            </w:pPr>
            <w:r>
              <w:rPr>
                <w:sz w:val="16"/>
              </w:rPr>
              <w:t>Мероприятия после заседания: Оценка совещания и последующие действия, завершение работы над документами и распространение результатов.</w:t>
            </w:r>
          </w:p>
        </w:tc>
        <w:tc>
          <w:tcPr>
            <w:tcW w:w="2159" w:type="dxa"/>
          </w:tcPr>
          <w:p w14:paraId="055BD3C2" w14:textId="6CCD37F9" w:rsidR="00DA0057" w:rsidRPr="007C1124" w:rsidRDefault="5F5C8B60" w:rsidP="007C1124">
            <w:pPr>
              <w:spacing w:before="60" w:after="60"/>
              <w:rPr>
                <w:sz w:val="16"/>
                <w:szCs w:val="16"/>
              </w:rPr>
            </w:pPr>
            <w:r>
              <w:rPr>
                <w:sz w:val="16"/>
              </w:rPr>
              <w:lastRenderedPageBreak/>
              <w:t>Руководство согласно с этой рекомендацией и рассчитывает выполнить ее к 31 декабря 2026 года.</w:t>
            </w:r>
          </w:p>
        </w:tc>
        <w:tc>
          <w:tcPr>
            <w:tcW w:w="2273" w:type="dxa"/>
          </w:tcPr>
          <w:p w14:paraId="2ED76EC1" w14:textId="34216771" w:rsidR="00DA0057" w:rsidRPr="007C1124" w:rsidRDefault="5E737F7A" w:rsidP="007C1124">
            <w:pPr>
              <w:spacing w:before="60" w:after="60"/>
              <w:rPr>
                <w:rFonts w:eastAsiaTheme="minorEastAsia"/>
                <w:sz w:val="16"/>
                <w:szCs w:val="16"/>
              </w:rPr>
            </w:pPr>
            <w:r>
              <w:rPr>
                <w:sz w:val="16"/>
              </w:rPr>
              <w:t>После реализации проекта «Цифровой секретариат», включая запуск инструмента WIPO Meet, выпуск всеобъемлющих руководящих указаний для пользователей и внедрение стандартизированных процессов, охватывающих этапы подготовки, проведения заседаний и последующих действий, руководство считает, что данная рекомендация полностью выполнена и соответствует критериям закрытия.</w:t>
            </w:r>
          </w:p>
        </w:tc>
        <w:tc>
          <w:tcPr>
            <w:tcW w:w="2126" w:type="dxa"/>
          </w:tcPr>
          <w:p w14:paraId="3FE5588E" w14:textId="598717FB" w:rsidR="00DA0057" w:rsidRPr="007C1124" w:rsidRDefault="6B74D41D" w:rsidP="007C1124">
            <w:pPr>
              <w:spacing w:before="60" w:after="60"/>
              <w:ind w:left="20" w:right="54"/>
              <w:rPr>
                <w:rFonts w:eastAsia="Arial"/>
                <w:sz w:val="16"/>
                <w:szCs w:val="16"/>
              </w:rPr>
            </w:pPr>
            <w:r>
              <w:rPr>
                <w:sz w:val="16"/>
              </w:rPr>
              <w:t xml:space="preserve">На основании анализа последующих действий Секретариата в рамках проекта «Цифровой секретариат», включая запуск инструмента WIPO Meet и выпуск всеобъемлющего руководства пользователя, можно сделать вывод, что руководство предприняло надлежащие и эффективные меры по выполнению рекомендации, а подтверждающая документация предоставляет достаточные и надежные </w:t>
            </w:r>
            <w:r>
              <w:rPr>
                <w:sz w:val="16"/>
              </w:rPr>
              <w:lastRenderedPageBreak/>
              <w:t>доказательства того, что создана и функционирует структурированная сквозная система координации заседаний директивных и переговорных органов.</w:t>
            </w:r>
          </w:p>
          <w:p w14:paraId="628B0F99" w14:textId="51D10462" w:rsidR="00DA0057" w:rsidRPr="007C1124" w:rsidRDefault="6B74D41D" w:rsidP="007C1124">
            <w:pPr>
              <w:spacing w:before="60" w:after="60"/>
              <w:ind w:left="20" w:right="54"/>
              <w:rPr>
                <w:rFonts w:eastAsia="Arial"/>
                <w:sz w:val="16"/>
                <w:szCs w:val="16"/>
              </w:rPr>
            </w:pPr>
            <w:r>
              <w:rPr>
                <w:sz w:val="16"/>
              </w:rPr>
              <w:t xml:space="preserve"> </w:t>
            </w:r>
          </w:p>
          <w:p w14:paraId="19C09B36" w14:textId="0925D5D8" w:rsidR="00DA0057" w:rsidRPr="007C1124" w:rsidRDefault="6B74D41D" w:rsidP="007C1124">
            <w:pPr>
              <w:spacing w:before="60" w:after="60"/>
              <w:rPr>
                <w:rFonts w:eastAsia="Arial"/>
                <w:sz w:val="16"/>
                <w:szCs w:val="16"/>
              </w:rPr>
            </w:pPr>
            <w:r>
              <w:rPr>
                <w:sz w:val="16"/>
              </w:rPr>
              <w:t>Соответственно, Внешний аудитор приходит к выводу, что рекомендация полностью выполнена и соответствует критериям закрытия.</w:t>
            </w:r>
          </w:p>
        </w:tc>
        <w:tc>
          <w:tcPr>
            <w:tcW w:w="1276" w:type="dxa"/>
          </w:tcPr>
          <w:p w14:paraId="0D0F29D5" w14:textId="4136AF72" w:rsidR="00DA0057" w:rsidRPr="007C1124" w:rsidRDefault="449BC0F7" w:rsidP="007C1124">
            <w:pPr>
              <w:spacing w:before="60" w:after="60"/>
              <w:rPr>
                <w:sz w:val="16"/>
                <w:szCs w:val="16"/>
              </w:rPr>
            </w:pPr>
            <w:r>
              <w:rPr>
                <w:sz w:val="16"/>
              </w:rPr>
              <w:lastRenderedPageBreak/>
              <w:t>Выполнена</w:t>
            </w:r>
          </w:p>
        </w:tc>
      </w:tr>
      <w:tr w:rsidR="00DA0057" w:rsidRPr="00310BF2" w14:paraId="5BF8C9F8" w14:textId="77777777" w:rsidTr="00956F2A">
        <w:trPr>
          <w:gridAfter w:val="1"/>
          <w:wAfter w:w="21" w:type="dxa"/>
          <w:jc w:val="center"/>
        </w:trPr>
        <w:tc>
          <w:tcPr>
            <w:tcW w:w="846" w:type="dxa"/>
          </w:tcPr>
          <w:p w14:paraId="229E9EC2" w14:textId="1A95A3F1" w:rsidR="00DA0057" w:rsidRPr="007C1124" w:rsidRDefault="007C1124" w:rsidP="007C1124">
            <w:pPr>
              <w:spacing w:before="60" w:after="60"/>
              <w:rPr>
                <w:sz w:val="16"/>
                <w:szCs w:val="16"/>
              </w:rPr>
            </w:pPr>
            <w:r>
              <w:rPr>
                <w:sz w:val="16"/>
              </w:rPr>
              <w:lastRenderedPageBreak/>
              <w:t>2024</w:t>
            </w:r>
          </w:p>
        </w:tc>
        <w:tc>
          <w:tcPr>
            <w:tcW w:w="1984" w:type="dxa"/>
          </w:tcPr>
          <w:p w14:paraId="3A3D48A7" w14:textId="71406C61" w:rsidR="00DA0057" w:rsidRPr="007C1124" w:rsidRDefault="5F5C8B60" w:rsidP="007C1124">
            <w:pPr>
              <w:spacing w:before="60" w:after="60"/>
              <w:rPr>
                <w:sz w:val="16"/>
                <w:szCs w:val="16"/>
              </w:rPr>
            </w:pPr>
            <w:r>
              <w:rPr>
                <w:sz w:val="16"/>
              </w:rPr>
              <w:t>2024, пп. 53–58, рекомендация №</w:t>
            </w:r>
            <w:r w:rsidR="00F01288">
              <w:rPr>
                <w:sz w:val="16"/>
              </w:rPr>
              <w:t> </w:t>
            </w:r>
            <w:r>
              <w:rPr>
                <w:sz w:val="16"/>
              </w:rPr>
              <w:t>5 (АЭ)</w:t>
            </w:r>
          </w:p>
        </w:tc>
        <w:tc>
          <w:tcPr>
            <w:tcW w:w="2552" w:type="dxa"/>
          </w:tcPr>
          <w:p w14:paraId="02D642B4" w14:textId="1CF8A366" w:rsidR="00E709EA" w:rsidRPr="007C1124" w:rsidRDefault="007C1124" w:rsidP="007C1124">
            <w:pPr>
              <w:spacing w:before="100" w:beforeAutospacing="1" w:after="100" w:afterAutospacing="1"/>
              <w:rPr>
                <w:rFonts w:eastAsia="Times New Roman"/>
                <w:b/>
                <w:bCs/>
                <w:sz w:val="16"/>
                <w:szCs w:val="16"/>
              </w:rPr>
            </w:pPr>
            <w:bookmarkStart w:id="221" w:name="_Toc196159473"/>
            <w:bookmarkStart w:id="222" w:name="_Toc197377503"/>
            <w:r>
              <w:rPr>
                <w:b/>
                <w:sz w:val="16"/>
              </w:rPr>
              <w:t>Уточнение формулировок и повышение согласованности КПР ВОИС в целях более эффективного измерения эффективности деятельности</w:t>
            </w:r>
            <w:bookmarkEnd w:id="221"/>
            <w:bookmarkEnd w:id="222"/>
          </w:p>
          <w:p w14:paraId="603EE892" w14:textId="77777777" w:rsidR="00670CCD" w:rsidRPr="007C1124" w:rsidRDefault="482DFE43" w:rsidP="007C1124">
            <w:pPr>
              <w:pStyle w:val="font-claude-response-body"/>
              <w:rPr>
                <w:rFonts w:ascii="Arial" w:hAnsi="Arial" w:cs="Arial"/>
                <w:sz w:val="16"/>
                <w:szCs w:val="16"/>
              </w:rPr>
            </w:pPr>
            <w:r>
              <w:rPr>
                <w:rFonts w:ascii="Arial" w:hAnsi="Arial"/>
                <w:sz w:val="16"/>
              </w:rPr>
              <w:t>Процесс планирования программ ВОИС предусматривает декомпозицию компонентов Среднесрочного стратегического плана (СССП) на ожидаемые результаты (ОР), КПР, исходные значения, целевые показатели, мероприятия и соответствующие бюджеты. Хотя руководящие документы на двухлетние периоды 2022–2023 и 2024–2025 годов подчеркивают важность применения критериев SMART и ориентации КПР на итоги, текущие формулировки остаются непоследовательными, и некоторые КПР по-прежнему определяются на уровне результатов. BPK рекомендует формулировать КПР более последовательно, соблюдая критерии SMART и используя четкие средства проверки, чтобы укрепить способность Организации эффективно измерять результативность.</w:t>
            </w:r>
          </w:p>
          <w:p w14:paraId="38836088" w14:textId="77777777" w:rsidR="00DA0057" w:rsidRDefault="482DFE43" w:rsidP="007C1124">
            <w:pPr>
              <w:pStyle w:val="font-claude-response-body"/>
              <w:rPr>
                <w:rFonts w:ascii="Arial" w:hAnsi="Arial" w:cs="Arial"/>
                <w:sz w:val="16"/>
                <w:szCs w:val="16"/>
              </w:rPr>
            </w:pPr>
            <w:r>
              <w:rPr>
                <w:rFonts w:ascii="Arial" w:hAnsi="Arial"/>
                <w:sz w:val="16"/>
              </w:rPr>
              <w:t xml:space="preserve">Кроме того, документы по программе работы и бюджету </w:t>
            </w:r>
            <w:r>
              <w:rPr>
                <w:rFonts w:ascii="Arial" w:hAnsi="Arial"/>
                <w:sz w:val="16"/>
              </w:rPr>
              <w:lastRenderedPageBreak/>
              <w:t>определяют связи между КПР и секторами, вносящими вклад в их достижение; однако некоторые КПР приписаны только одному сектору, несмотря на вклад других. BPK считает, что четкое указание всех секторов, вносящих вклад в достижение конкретного КПР, повысит прозрачность и улучшит мониторинг и оценку выполнения КПР в масштабах всей Организации.</w:t>
            </w:r>
          </w:p>
          <w:p w14:paraId="5C18EFC7" w14:textId="5DA90721" w:rsidR="007C1124" w:rsidRPr="008F0391" w:rsidRDefault="007C1124" w:rsidP="007C1124">
            <w:pPr>
              <w:pStyle w:val="font-claude-response-body"/>
              <w:rPr>
                <w:rFonts w:ascii="Arial" w:hAnsi="Arial" w:cs="Arial"/>
                <w:sz w:val="16"/>
                <w:szCs w:val="16"/>
              </w:rPr>
            </w:pPr>
          </w:p>
        </w:tc>
        <w:tc>
          <w:tcPr>
            <w:tcW w:w="1984" w:type="dxa"/>
          </w:tcPr>
          <w:p w14:paraId="54F805FE" w14:textId="77777777" w:rsidR="00E709EA" w:rsidRPr="007C1124" w:rsidRDefault="5F5C8B60" w:rsidP="007C1124">
            <w:pPr>
              <w:spacing w:before="60" w:after="60"/>
              <w:rPr>
                <w:sz w:val="16"/>
                <w:szCs w:val="16"/>
              </w:rPr>
            </w:pPr>
            <w:r>
              <w:rPr>
                <w:sz w:val="16"/>
              </w:rPr>
              <w:lastRenderedPageBreak/>
              <w:t>BPK рекомендует Организации оценить свои действующие КПР и предпринять следующие действия:</w:t>
            </w:r>
          </w:p>
          <w:p w14:paraId="58DA89F0" w14:textId="77777777" w:rsidR="00E709EA" w:rsidRPr="007C1124" w:rsidRDefault="5F5C8B60" w:rsidP="007F267B">
            <w:pPr>
              <w:pStyle w:val="ListParagraph"/>
              <w:numPr>
                <w:ilvl w:val="0"/>
                <w:numId w:val="7"/>
              </w:numPr>
              <w:spacing w:before="60" w:after="60"/>
              <w:ind w:left="310" w:hanging="333"/>
              <w:rPr>
                <w:sz w:val="16"/>
                <w:szCs w:val="16"/>
              </w:rPr>
            </w:pPr>
            <w:r>
              <w:rPr>
                <w:sz w:val="16"/>
              </w:rPr>
              <w:t>Сформулировать КПР, насколько это возможно, на уровне итогов, обеспечив четкие средства проверки и соблюдение критериев SMART.</w:t>
            </w:r>
          </w:p>
          <w:p w14:paraId="43B39F93" w14:textId="4608C0D5" w:rsidR="00DA0057" w:rsidRPr="007C1124" w:rsidRDefault="5F5C8B60" w:rsidP="007F267B">
            <w:pPr>
              <w:pStyle w:val="ListParagraph"/>
              <w:numPr>
                <w:ilvl w:val="0"/>
                <w:numId w:val="7"/>
              </w:numPr>
              <w:spacing w:before="60" w:after="60"/>
              <w:ind w:left="310" w:hanging="333"/>
              <w:rPr>
                <w:sz w:val="16"/>
                <w:szCs w:val="16"/>
              </w:rPr>
            </w:pPr>
            <w:r>
              <w:rPr>
                <w:sz w:val="16"/>
              </w:rPr>
              <w:t>Четко определить и указать все сектора, вносящие вклад в достижение КПР, чтобы повысить эффективность процесса мониторинга и оценки.</w:t>
            </w:r>
          </w:p>
        </w:tc>
        <w:tc>
          <w:tcPr>
            <w:tcW w:w="2159" w:type="dxa"/>
          </w:tcPr>
          <w:p w14:paraId="55AC51B7" w14:textId="008A365E" w:rsidR="00E709EA" w:rsidRPr="007C1124" w:rsidRDefault="5F5C8B60" w:rsidP="007C1124">
            <w:pPr>
              <w:spacing w:before="60" w:after="60"/>
              <w:rPr>
                <w:sz w:val="16"/>
                <w:szCs w:val="16"/>
              </w:rPr>
            </w:pPr>
            <w:r>
              <w:rPr>
                <w:sz w:val="16"/>
              </w:rPr>
              <w:t xml:space="preserve">Руководство согласно с этой рекомендацией и отмечает, что предусмотренные в Программе работы и бюджете (ПРБ) КПР, связанные с функционированием глобальных систем ИС, являются показателями на уровне результатов и подпадают под рекомендацию 5.a. </w:t>
            </w:r>
          </w:p>
          <w:p w14:paraId="5CFDB506" w14:textId="4EC7B438" w:rsidR="00DA0057" w:rsidRPr="007C1124" w:rsidRDefault="5F5C8B60" w:rsidP="007C1124">
            <w:pPr>
              <w:spacing w:before="60" w:after="60"/>
              <w:rPr>
                <w:sz w:val="16"/>
                <w:szCs w:val="16"/>
              </w:rPr>
            </w:pPr>
            <w:r>
              <w:rPr>
                <w:sz w:val="16"/>
              </w:rPr>
              <w:t>Руководство предполагает выполнить эту рекомендацию к 31 июля 2025 года.</w:t>
            </w:r>
          </w:p>
        </w:tc>
        <w:tc>
          <w:tcPr>
            <w:tcW w:w="2273" w:type="dxa"/>
          </w:tcPr>
          <w:p w14:paraId="0C16933B" w14:textId="123DB10B" w:rsidR="00DA0057" w:rsidRPr="007C1124" w:rsidRDefault="5E737F7A" w:rsidP="007C1124">
            <w:pPr>
              <w:spacing w:before="60" w:after="60"/>
              <w:rPr>
                <w:rFonts w:eastAsiaTheme="minorEastAsia"/>
                <w:sz w:val="16"/>
                <w:szCs w:val="16"/>
              </w:rPr>
            </w:pPr>
            <w:r>
              <w:rPr>
                <w:sz w:val="16"/>
              </w:rPr>
              <w:t>После утверждения КПР в ПРБ на 2026–2027 годы, где применимые КПР были повышены до уровня итогов, и принятия более четкого формата идентификации секторов руководство считает, что данная рекомендация полностью выполнена и соответствует критериям закрытия.</w:t>
            </w:r>
          </w:p>
        </w:tc>
        <w:tc>
          <w:tcPr>
            <w:tcW w:w="2126" w:type="dxa"/>
          </w:tcPr>
          <w:p w14:paraId="7BEFF73C" w14:textId="492E6557" w:rsidR="00DA0057" w:rsidRPr="007C1124" w:rsidRDefault="058BFF7B" w:rsidP="007C1124">
            <w:pPr>
              <w:spacing w:before="60" w:after="60"/>
              <w:ind w:left="57" w:right="57"/>
              <w:rPr>
                <w:rFonts w:eastAsia="Arial"/>
                <w:sz w:val="16"/>
                <w:szCs w:val="16"/>
              </w:rPr>
            </w:pPr>
            <w:r>
              <w:rPr>
                <w:sz w:val="16"/>
              </w:rPr>
              <w:t>На основании анализа Программы работы и бюджета на 2026–2027 годы (ПРБ), утверждения КПР, повышенных до уровня итогов, и принятия более четкого формата идентификации секторов можно сделать вывод, что руководство предприняло надлежащие меры для выполнения рекомендации. Подтверждающая документация — включая матрицу КПР, отражающую формулировку показателей на уровне итогов, и обзорный документ со снимками экрана, демонстрирующими выполнение рекомендации, — предоставляет достаточные и надежные доказательства.</w:t>
            </w:r>
          </w:p>
          <w:p w14:paraId="2B6A799E" w14:textId="606D44BA" w:rsidR="00DA0057" w:rsidRPr="007C1124" w:rsidRDefault="058BFF7B" w:rsidP="007C1124">
            <w:pPr>
              <w:spacing w:before="240" w:after="240"/>
              <w:rPr>
                <w:rFonts w:eastAsia="Arial"/>
                <w:sz w:val="16"/>
                <w:szCs w:val="16"/>
              </w:rPr>
            </w:pPr>
            <w:r>
              <w:rPr>
                <w:sz w:val="16"/>
              </w:rPr>
              <w:t>Соответственно, Внешний аудитор приходит к выводу, что рекомендация полностью выполнена и соответствует критериям закрытия.</w:t>
            </w:r>
          </w:p>
          <w:p w14:paraId="591AEF10" w14:textId="08F621CF" w:rsidR="00DA0057" w:rsidRPr="007C1124" w:rsidRDefault="00DA0057" w:rsidP="007C1124">
            <w:pPr>
              <w:spacing w:before="60" w:after="60"/>
              <w:rPr>
                <w:sz w:val="16"/>
                <w:szCs w:val="16"/>
              </w:rPr>
            </w:pPr>
          </w:p>
        </w:tc>
        <w:tc>
          <w:tcPr>
            <w:tcW w:w="1276" w:type="dxa"/>
          </w:tcPr>
          <w:p w14:paraId="79520E3A" w14:textId="0C6BAF0E" w:rsidR="00DA0057" w:rsidRPr="007C1124" w:rsidRDefault="449BC0F7" w:rsidP="007C1124">
            <w:pPr>
              <w:spacing w:before="60" w:after="60"/>
              <w:rPr>
                <w:sz w:val="16"/>
                <w:szCs w:val="16"/>
              </w:rPr>
            </w:pPr>
            <w:r>
              <w:rPr>
                <w:sz w:val="16"/>
              </w:rPr>
              <w:lastRenderedPageBreak/>
              <w:t>Выполнена</w:t>
            </w:r>
          </w:p>
        </w:tc>
      </w:tr>
      <w:tr w:rsidR="00E709EA" w:rsidRPr="00310BF2" w14:paraId="5663B552" w14:textId="77777777" w:rsidTr="00956F2A">
        <w:trPr>
          <w:gridAfter w:val="1"/>
          <w:wAfter w:w="21" w:type="dxa"/>
          <w:jc w:val="center"/>
        </w:trPr>
        <w:tc>
          <w:tcPr>
            <w:tcW w:w="846" w:type="dxa"/>
          </w:tcPr>
          <w:p w14:paraId="218F87BA" w14:textId="6ADE5944" w:rsidR="00E709EA" w:rsidRPr="007C1124" w:rsidRDefault="007C1124" w:rsidP="007C1124">
            <w:pPr>
              <w:spacing w:before="60" w:after="60"/>
              <w:rPr>
                <w:sz w:val="16"/>
                <w:szCs w:val="16"/>
              </w:rPr>
            </w:pPr>
            <w:r>
              <w:rPr>
                <w:sz w:val="16"/>
              </w:rPr>
              <w:t>2024</w:t>
            </w:r>
          </w:p>
        </w:tc>
        <w:tc>
          <w:tcPr>
            <w:tcW w:w="1984" w:type="dxa"/>
          </w:tcPr>
          <w:p w14:paraId="1A56B38E" w14:textId="159501D3" w:rsidR="00E709EA" w:rsidRPr="007C1124" w:rsidRDefault="5F5C8B60" w:rsidP="007C1124">
            <w:pPr>
              <w:spacing w:before="60" w:after="60"/>
              <w:rPr>
                <w:sz w:val="16"/>
                <w:szCs w:val="16"/>
              </w:rPr>
            </w:pPr>
            <w:r>
              <w:rPr>
                <w:sz w:val="16"/>
              </w:rPr>
              <w:t>2024, пп. 59–63, рекомендация №</w:t>
            </w:r>
            <w:r w:rsidR="00F01288">
              <w:rPr>
                <w:sz w:val="16"/>
              </w:rPr>
              <w:t> </w:t>
            </w:r>
            <w:r>
              <w:rPr>
                <w:sz w:val="16"/>
              </w:rPr>
              <w:t>6</w:t>
            </w:r>
            <w:r w:rsidR="00F01288">
              <w:rPr>
                <w:sz w:val="16"/>
              </w:rPr>
              <w:t> </w:t>
            </w:r>
            <w:r>
              <w:rPr>
                <w:sz w:val="16"/>
              </w:rPr>
              <w:t>— АЭ</w:t>
            </w:r>
          </w:p>
        </w:tc>
        <w:tc>
          <w:tcPr>
            <w:tcW w:w="2552" w:type="dxa"/>
          </w:tcPr>
          <w:p w14:paraId="2EFAAB9E" w14:textId="41259314" w:rsidR="00E709EA" w:rsidRDefault="007C1124" w:rsidP="007C1124">
            <w:pPr>
              <w:spacing w:before="60" w:after="60"/>
              <w:rPr>
                <w:rFonts w:eastAsia="Times New Roman"/>
                <w:b/>
                <w:bCs/>
                <w:sz w:val="16"/>
                <w:szCs w:val="16"/>
              </w:rPr>
            </w:pPr>
            <w:bookmarkStart w:id="223" w:name="_Toc196159474"/>
            <w:bookmarkStart w:id="224" w:name="_Toc197377504"/>
            <w:r>
              <w:rPr>
                <w:b/>
                <w:sz w:val="16"/>
              </w:rPr>
              <w:t>Оптимизация применения машинного перевода для публикаций ВОИС</w:t>
            </w:r>
            <w:bookmarkEnd w:id="223"/>
            <w:bookmarkEnd w:id="224"/>
          </w:p>
          <w:p w14:paraId="59884280" w14:textId="77777777" w:rsidR="007C1124" w:rsidRPr="007C1124" w:rsidRDefault="007C1124" w:rsidP="007C1124">
            <w:pPr>
              <w:spacing w:before="60" w:after="60"/>
              <w:rPr>
                <w:rFonts w:eastAsia="Times New Roman"/>
                <w:b/>
                <w:bCs/>
                <w:sz w:val="16"/>
                <w:szCs w:val="16"/>
                <w:lang w:eastAsia="id-ID"/>
              </w:rPr>
            </w:pPr>
          </w:p>
          <w:p w14:paraId="3EE5BDEF" w14:textId="77777777" w:rsidR="00670CCD" w:rsidRPr="007C1124" w:rsidRDefault="482DFE43" w:rsidP="007C1124">
            <w:pPr>
              <w:spacing w:before="60" w:after="60"/>
              <w:rPr>
                <w:rFonts w:eastAsia="Times New Roman"/>
                <w:sz w:val="16"/>
                <w:szCs w:val="16"/>
              </w:rPr>
            </w:pPr>
            <w:r>
              <w:rPr>
                <w:sz w:val="16"/>
              </w:rPr>
              <w:t xml:space="preserve">Издательская политика ВОИС и Рамки перевода подчеркивают приверженность Организации многоязычию и глобальному распространению информации об интеллектуальной собственности. Стратегия Организации в области перевода, изложенная в пересмотренной политике в отношении языка, определяет конкретные сценарии, в которых применим машинный перевод. Однако, несмотря на наличие WIPO Translate, машинный перевод пока не применяется в полном объеме ко всем подходящим публикациям, размещенным в сети. При ежегодном выпуске около 40 публикаций процесс перевода может занимать несколько месяцев в зависимости от сложности </w:t>
            </w:r>
            <w:r>
              <w:rPr>
                <w:sz w:val="16"/>
              </w:rPr>
              <w:lastRenderedPageBreak/>
              <w:t>содержания, что подчеркивает необходимость более эффективных подходов.</w:t>
            </w:r>
          </w:p>
          <w:p w14:paraId="42AD6933" w14:textId="1A67E13E" w:rsidR="00670CCD" w:rsidRPr="007C1124" w:rsidRDefault="482DFE43" w:rsidP="007C1124">
            <w:pPr>
              <w:spacing w:before="60" w:after="60"/>
              <w:rPr>
                <w:rFonts w:eastAsia="Times New Roman"/>
                <w:sz w:val="16"/>
                <w:szCs w:val="16"/>
              </w:rPr>
            </w:pPr>
            <w:r>
              <w:rPr>
                <w:sz w:val="16"/>
              </w:rPr>
              <w:t>Успешное пилотирование виджета машинного перевода в режиме реального времени на веб-сайте ВОИС продемонстрировало значительное повышение эффективности перевода, ускорив доступность многоязычного контента и расширив доступ к нему за пределы шести официальных языков Организации Объединенных Наций (ООН). BPK рекомендует расширить применение машинного перевода на все подходящие категории публикаций, поскольку это повысит эффективность, улучшит качество и ускорит распространение информации об ИС, что в конечном итоге позволит Организации более эффективно охватывать и обслуживать более широкую глобальную аудиторию.</w:t>
            </w:r>
          </w:p>
          <w:p w14:paraId="0B32FEEB" w14:textId="77777777" w:rsidR="00E709EA" w:rsidRPr="007C1124" w:rsidRDefault="00E709EA" w:rsidP="007C1124">
            <w:pPr>
              <w:spacing w:before="60" w:after="60"/>
              <w:rPr>
                <w:rFonts w:eastAsia="Times New Roman"/>
                <w:sz w:val="16"/>
                <w:szCs w:val="16"/>
                <w:lang w:eastAsia="id-ID"/>
              </w:rPr>
            </w:pPr>
          </w:p>
        </w:tc>
        <w:tc>
          <w:tcPr>
            <w:tcW w:w="1984" w:type="dxa"/>
          </w:tcPr>
          <w:p w14:paraId="3E6A36EB" w14:textId="3BFECFBE" w:rsidR="00E709EA" w:rsidRPr="007C1124" w:rsidRDefault="5F5C8B60" w:rsidP="007C1124">
            <w:pPr>
              <w:spacing w:before="60" w:after="60"/>
              <w:rPr>
                <w:sz w:val="16"/>
                <w:szCs w:val="16"/>
              </w:rPr>
            </w:pPr>
            <w:r>
              <w:rPr>
                <w:sz w:val="16"/>
              </w:rPr>
              <w:lastRenderedPageBreak/>
              <w:t>BPK рекомендует Секретариату расширить использование машинного перевода и распространить его на все публикации, которые соответствуют критериям, предусмотренным стратегией перевода.</w:t>
            </w:r>
          </w:p>
        </w:tc>
        <w:tc>
          <w:tcPr>
            <w:tcW w:w="2159" w:type="dxa"/>
          </w:tcPr>
          <w:p w14:paraId="28B88D4A" w14:textId="77777777" w:rsidR="00E709EA" w:rsidRPr="007C1124" w:rsidRDefault="5F5C8B60" w:rsidP="007C1124">
            <w:pPr>
              <w:spacing w:before="60" w:after="60"/>
              <w:rPr>
                <w:sz w:val="16"/>
                <w:szCs w:val="16"/>
              </w:rPr>
            </w:pPr>
            <w:r>
              <w:rPr>
                <w:sz w:val="16"/>
              </w:rPr>
              <w:t xml:space="preserve">Руководство согласно с этой рекомендацией и отмечает, что использование машинного перевода постепенно расширяется по мере совершенствования инструментов перевода. </w:t>
            </w:r>
          </w:p>
          <w:p w14:paraId="0BC99C08" w14:textId="4B11103F" w:rsidR="00E709EA" w:rsidRPr="007C1124" w:rsidRDefault="5F5C8B60" w:rsidP="007C1124">
            <w:pPr>
              <w:spacing w:before="60" w:after="60"/>
              <w:rPr>
                <w:sz w:val="16"/>
                <w:szCs w:val="16"/>
              </w:rPr>
            </w:pPr>
            <w:r>
              <w:rPr>
                <w:sz w:val="16"/>
              </w:rPr>
              <w:t>Руководство предполагает полностью выполнить эту рекомендацию к 31 декабря 2026 года.</w:t>
            </w:r>
          </w:p>
        </w:tc>
        <w:tc>
          <w:tcPr>
            <w:tcW w:w="2273" w:type="dxa"/>
          </w:tcPr>
          <w:p w14:paraId="50739D65" w14:textId="7DBB53B4" w:rsidR="00E709EA" w:rsidRPr="007C1124" w:rsidRDefault="5E737F7A" w:rsidP="007C1124">
            <w:pPr>
              <w:spacing w:before="60" w:after="60"/>
              <w:rPr>
                <w:rFonts w:eastAsiaTheme="minorEastAsia"/>
                <w:sz w:val="16"/>
                <w:szCs w:val="16"/>
              </w:rPr>
            </w:pPr>
            <w:r>
              <w:rPr>
                <w:sz w:val="16"/>
              </w:rPr>
              <w:t>После успешного пилотирования и внедрения виджета машинного перевода в режиме реального времени для соответствующих веб-публикаций, подкрепленного мерами обеспечения качества, оговорками и механизмами обратной связи с пользователями в соответствии с пересмотренной политикой в отношении языков, руководство считает, что данная рекомендация полностью выполнена и соответствует критериям закрытия.</w:t>
            </w:r>
          </w:p>
        </w:tc>
        <w:tc>
          <w:tcPr>
            <w:tcW w:w="2126" w:type="dxa"/>
          </w:tcPr>
          <w:p w14:paraId="27F89601" w14:textId="4B0C4552" w:rsidR="00E709EA" w:rsidRPr="007C1124" w:rsidRDefault="6E36B14A" w:rsidP="007C1124">
            <w:pPr>
              <w:spacing w:before="60" w:after="60"/>
              <w:ind w:left="57" w:right="57"/>
              <w:rPr>
                <w:rFonts w:eastAsia="Arial"/>
                <w:sz w:val="16"/>
                <w:szCs w:val="16"/>
              </w:rPr>
            </w:pPr>
            <w:r>
              <w:rPr>
                <w:sz w:val="16"/>
              </w:rPr>
              <w:t xml:space="preserve">На основании анализа последующих действий Секретариата, включая внедрение виджета машинного перевода в режиме реального времени для соответствующих веб-публикаций и применение мер обеспечения качества в соответствии с пересмотренной политикой в отношении языков, можно сделать вывод, что руководство предприняло надлежащие и эффективные меры для выполнения рекомендации. Подтверждающая документация предоставляет достаточные и надежные доказательства того, что машинный перевод систематически </w:t>
            </w:r>
            <w:r>
              <w:rPr>
                <w:sz w:val="16"/>
              </w:rPr>
              <w:lastRenderedPageBreak/>
              <w:t>применяется к соответствующим категориям публикаций для повышения эффективности и доступности.</w:t>
            </w:r>
          </w:p>
          <w:p w14:paraId="10F0DA8F" w14:textId="66DA8E2C" w:rsidR="00E709EA" w:rsidRPr="007C1124" w:rsidRDefault="6E36B14A" w:rsidP="007C1124">
            <w:pPr>
              <w:spacing w:before="60" w:after="60"/>
              <w:ind w:left="57" w:right="57"/>
              <w:rPr>
                <w:rFonts w:eastAsia="Arial"/>
                <w:sz w:val="16"/>
                <w:szCs w:val="16"/>
              </w:rPr>
            </w:pPr>
            <w:r>
              <w:rPr>
                <w:sz w:val="16"/>
              </w:rPr>
              <w:t xml:space="preserve"> </w:t>
            </w:r>
          </w:p>
          <w:p w14:paraId="7E6A1842" w14:textId="132D81EF" w:rsidR="00E709EA" w:rsidRPr="007C1124" w:rsidRDefault="6E36B14A" w:rsidP="007C1124">
            <w:pPr>
              <w:spacing w:before="60" w:after="60"/>
              <w:rPr>
                <w:rFonts w:eastAsia="Arial"/>
                <w:sz w:val="16"/>
                <w:szCs w:val="16"/>
              </w:rPr>
            </w:pPr>
            <w:r>
              <w:rPr>
                <w:sz w:val="16"/>
              </w:rPr>
              <w:t>Соответственно, Внешний аудитор приходит к выводу, что рекомендация полностью выполнена и соответствует критериям закрытия.</w:t>
            </w:r>
          </w:p>
        </w:tc>
        <w:tc>
          <w:tcPr>
            <w:tcW w:w="1276" w:type="dxa"/>
          </w:tcPr>
          <w:p w14:paraId="4731A3BF" w14:textId="60CDEE2D" w:rsidR="00E709EA" w:rsidRPr="009E1F4C" w:rsidRDefault="449BC0F7" w:rsidP="007C1124">
            <w:pPr>
              <w:spacing w:before="60" w:after="60"/>
              <w:rPr>
                <w:sz w:val="16"/>
                <w:szCs w:val="16"/>
              </w:rPr>
            </w:pPr>
            <w:r>
              <w:rPr>
                <w:sz w:val="16"/>
              </w:rPr>
              <w:lastRenderedPageBreak/>
              <w:t>Выполнена</w:t>
            </w:r>
          </w:p>
        </w:tc>
      </w:tr>
      <w:tr w:rsidR="00E709EA" w:rsidRPr="00310BF2" w14:paraId="5D0855FC" w14:textId="77777777" w:rsidTr="00956F2A">
        <w:trPr>
          <w:gridAfter w:val="1"/>
          <w:wAfter w:w="21" w:type="dxa"/>
          <w:jc w:val="center"/>
        </w:trPr>
        <w:tc>
          <w:tcPr>
            <w:tcW w:w="846" w:type="dxa"/>
          </w:tcPr>
          <w:p w14:paraId="509F2EB2" w14:textId="15F44744" w:rsidR="00E709EA" w:rsidRPr="007C1124" w:rsidRDefault="007C1124" w:rsidP="007C1124">
            <w:pPr>
              <w:spacing w:before="60" w:after="60"/>
              <w:rPr>
                <w:sz w:val="16"/>
                <w:szCs w:val="16"/>
              </w:rPr>
            </w:pPr>
            <w:r>
              <w:rPr>
                <w:sz w:val="16"/>
              </w:rPr>
              <w:t>2024</w:t>
            </w:r>
          </w:p>
        </w:tc>
        <w:tc>
          <w:tcPr>
            <w:tcW w:w="1984" w:type="dxa"/>
          </w:tcPr>
          <w:p w14:paraId="05CF548F" w14:textId="0566E067" w:rsidR="00E709EA" w:rsidRPr="007C1124" w:rsidRDefault="5F5C8B60" w:rsidP="007C1124">
            <w:pPr>
              <w:spacing w:before="60" w:after="60"/>
              <w:rPr>
                <w:sz w:val="16"/>
                <w:szCs w:val="16"/>
              </w:rPr>
            </w:pPr>
            <w:r>
              <w:rPr>
                <w:sz w:val="16"/>
              </w:rPr>
              <w:t>2024, пп. 64–65, рекомендация №</w:t>
            </w:r>
            <w:r w:rsidR="00F01288">
              <w:rPr>
                <w:sz w:val="16"/>
              </w:rPr>
              <w:t> </w:t>
            </w:r>
            <w:r>
              <w:rPr>
                <w:sz w:val="16"/>
              </w:rPr>
              <w:t>7</w:t>
            </w:r>
            <w:r w:rsidR="00F01288">
              <w:rPr>
                <w:sz w:val="16"/>
              </w:rPr>
              <w:t> </w:t>
            </w:r>
            <w:r>
              <w:rPr>
                <w:sz w:val="16"/>
              </w:rPr>
              <w:t>— АЭ</w:t>
            </w:r>
          </w:p>
        </w:tc>
        <w:tc>
          <w:tcPr>
            <w:tcW w:w="2552" w:type="dxa"/>
          </w:tcPr>
          <w:p w14:paraId="5349D3D5" w14:textId="01DC6F2D" w:rsidR="00E709EA" w:rsidRDefault="007C1124" w:rsidP="007C1124">
            <w:pPr>
              <w:spacing w:before="60" w:after="60"/>
              <w:rPr>
                <w:rFonts w:eastAsia="Times New Roman"/>
                <w:b/>
                <w:bCs/>
                <w:sz w:val="16"/>
                <w:szCs w:val="16"/>
              </w:rPr>
            </w:pPr>
            <w:bookmarkStart w:id="225" w:name="_Toc196159475"/>
            <w:bookmarkStart w:id="226" w:name="_Toc197377505"/>
            <w:r>
              <w:rPr>
                <w:b/>
                <w:sz w:val="16"/>
              </w:rPr>
              <w:t>Укрепление роли WePerform в процессе оценки результативности деятельности</w:t>
            </w:r>
            <w:bookmarkEnd w:id="225"/>
            <w:bookmarkEnd w:id="226"/>
          </w:p>
          <w:p w14:paraId="24903101" w14:textId="77777777" w:rsidR="007C1124" w:rsidRPr="007C1124" w:rsidRDefault="007C1124" w:rsidP="007C1124">
            <w:pPr>
              <w:spacing w:before="60" w:after="60"/>
              <w:rPr>
                <w:rFonts w:eastAsia="Times New Roman"/>
                <w:b/>
                <w:bCs/>
                <w:sz w:val="16"/>
                <w:szCs w:val="16"/>
                <w:lang w:eastAsia="id-ID"/>
              </w:rPr>
            </w:pPr>
          </w:p>
          <w:p w14:paraId="1A6B78BD" w14:textId="5D8F1861" w:rsidR="006E3C22" w:rsidRPr="007C1124" w:rsidRDefault="4463D3AD" w:rsidP="007C1124">
            <w:pPr>
              <w:pStyle w:val="font-claude-response-body"/>
              <w:spacing w:before="60" w:beforeAutospacing="0" w:after="60" w:afterAutospacing="0"/>
              <w:rPr>
                <w:rFonts w:ascii="Arial" w:hAnsi="Arial" w:cs="Arial"/>
                <w:sz w:val="16"/>
                <w:szCs w:val="16"/>
              </w:rPr>
            </w:pPr>
            <w:r>
              <w:rPr>
                <w:rFonts w:ascii="Arial" w:hAnsi="Arial"/>
                <w:sz w:val="16"/>
              </w:rPr>
              <w:t xml:space="preserve">Деятельность ВОИС осуществляется на основе принципов управления, ориентированного на конечный результат (УКР), охватывающих непрерывный цикл планирования, реализации, мониторинга, оценки и отчетности. Для </w:t>
            </w:r>
            <w:r>
              <w:rPr>
                <w:rFonts w:ascii="Arial" w:hAnsi="Arial"/>
                <w:sz w:val="16"/>
              </w:rPr>
              <w:lastRenderedPageBreak/>
              <w:t>поддержки этой системы Организация разработала WePerform — приложение, которое играет ключевую роль в процессах планирования и составления бюджета.</w:t>
            </w:r>
          </w:p>
          <w:p w14:paraId="7BD2DF0D" w14:textId="77777777" w:rsidR="007C1124" w:rsidRDefault="482DFE43" w:rsidP="007C1124">
            <w:pPr>
              <w:pStyle w:val="font-claude-response-body"/>
              <w:spacing w:before="60" w:beforeAutospacing="0" w:after="60" w:afterAutospacing="0"/>
              <w:rPr>
                <w:rFonts w:ascii="Arial" w:hAnsi="Arial" w:cs="Arial"/>
                <w:sz w:val="16"/>
                <w:szCs w:val="16"/>
              </w:rPr>
            </w:pPr>
            <w:r>
              <w:rPr>
                <w:rFonts w:ascii="Arial" w:hAnsi="Arial"/>
                <w:sz w:val="16"/>
              </w:rPr>
              <w:t xml:space="preserve">Хотя WePerform эффективно используется для целей планирования, его применение в оценке результативности остается ограниченным, поскольку окончательные результаты проверки достоверности не фиксируются в системе. </w:t>
            </w:r>
          </w:p>
          <w:p w14:paraId="7DEBA905" w14:textId="10EDE8EF" w:rsidR="00E709EA" w:rsidRPr="007C1124" w:rsidRDefault="007C1124" w:rsidP="007C1124">
            <w:pPr>
              <w:pStyle w:val="font-claude-response-body"/>
              <w:spacing w:before="60" w:beforeAutospacing="0" w:after="60" w:afterAutospacing="0"/>
              <w:rPr>
                <w:rFonts w:ascii="Arial" w:hAnsi="Arial" w:cs="Arial"/>
                <w:sz w:val="16"/>
                <w:szCs w:val="16"/>
              </w:rPr>
            </w:pPr>
            <w:r>
              <w:rPr>
                <w:rFonts w:ascii="Arial" w:hAnsi="Arial"/>
                <w:sz w:val="16"/>
              </w:rPr>
              <w:t>BPK считает целесообразным загрузить в WePerform окончательные результаты проверки достоверности, чтобы укрепить процесс оценки результативности, улучшить отслеживание этапов оценки и создать централизованное хранилище документации.</w:t>
            </w:r>
          </w:p>
        </w:tc>
        <w:tc>
          <w:tcPr>
            <w:tcW w:w="1984" w:type="dxa"/>
          </w:tcPr>
          <w:p w14:paraId="54C01210" w14:textId="695EB521" w:rsidR="00E709EA" w:rsidRPr="007C1124" w:rsidRDefault="4463D3AD" w:rsidP="007C1124">
            <w:pPr>
              <w:spacing w:before="60" w:after="60"/>
              <w:rPr>
                <w:sz w:val="16"/>
                <w:szCs w:val="16"/>
              </w:rPr>
            </w:pPr>
            <w:r>
              <w:rPr>
                <w:sz w:val="16"/>
              </w:rPr>
              <w:lastRenderedPageBreak/>
              <w:t xml:space="preserve">BPK рекомендует Секретариату рассмотреть возможность более широкого использования WePerform для оценки результативности деятельности путем загрузки окончательных результатов проверки достоверности данных о результативности деятельности после </w:t>
            </w:r>
            <w:r>
              <w:rPr>
                <w:sz w:val="16"/>
              </w:rPr>
              <w:lastRenderedPageBreak/>
              <w:t>публикации отчетов о результатах работы Организации.</w:t>
            </w:r>
          </w:p>
        </w:tc>
        <w:tc>
          <w:tcPr>
            <w:tcW w:w="2159" w:type="dxa"/>
          </w:tcPr>
          <w:p w14:paraId="5CADEF32" w14:textId="77777777" w:rsidR="006E3C22" w:rsidRPr="007C1124" w:rsidRDefault="4463D3AD" w:rsidP="007C1124">
            <w:pPr>
              <w:spacing w:before="60" w:after="60"/>
              <w:rPr>
                <w:sz w:val="16"/>
                <w:szCs w:val="16"/>
              </w:rPr>
            </w:pPr>
            <w:r>
              <w:rPr>
                <w:sz w:val="16"/>
              </w:rPr>
              <w:lastRenderedPageBreak/>
              <w:t xml:space="preserve">Руководство согласно с этой рекомендацией и будет загружать окончательные проверенные данные о результативности в WePerform не позднее, чем через месяц после публикации отчетов о результатах работы Организации. </w:t>
            </w:r>
          </w:p>
          <w:p w14:paraId="6781C35B" w14:textId="17BE44B5" w:rsidR="00E709EA" w:rsidRPr="007C1124" w:rsidRDefault="4463D3AD" w:rsidP="007C1124">
            <w:pPr>
              <w:spacing w:before="60" w:after="60"/>
              <w:rPr>
                <w:sz w:val="16"/>
                <w:szCs w:val="16"/>
              </w:rPr>
            </w:pPr>
            <w:r>
              <w:rPr>
                <w:sz w:val="16"/>
              </w:rPr>
              <w:t xml:space="preserve">Руководство предполагает выполнить </w:t>
            </w:r>
            <w:r>
              <w:rPr>
                <w:sz w:val="16"/>
              </w:rPr>
              <w:lastRenderedPageBreak/>
              <w:t>эту рекомендацию к 31 июля 2025 года.</w:t>
            </w:r>
          </w:p>
        </w:tc>
        <w:tc>
          <w:tcPr>
            <w:tcW w:w="2273" w:type="dxa"/>
          </w:tcPr>
          <w:p w14:paraId="5D626CFB" w14:textId="77777777" w:rsidR="008C6D02" w:rsidRPr="007C1124" w:rsidRDefault="5E737F7A" w:rsidP="007C1124">
            <w:pPr>
              <w:spacing w:before="60" w:after="60"/>
              <w:rPr>
                <w:rFonts w:eastAsiaTheme="minorEastAsia"/>
                <w:sz w:val="16"/>
                <w:szCs w:val="16"/>
              </w:rPr>
            </w:pPr>
            <w:r>
              <w:rPr>
                <w:sz w:val="16"/>
              </w:rPr>
              <w:lastRenderedPageBreak/>
              <w:t xml:space="preserve">Таблицы данных о результативности за 2024 год и файлы окончательной проверки достоверности для каждого сектора были загружены в систему WePerform. Руководство считает, что данная рекомендация была полностью выполнена и соответствует критериям закрытия. </w:t>
            </w:r>
          </w:p>
          <w:p w14:paraId="23FBBA38" w14:textId="77777777" w:rsidR="008C6D02" w:rsidRPr="007C1124" w:rsidRDefault="008C6D02" w:rsidP="007C1124">
            <w:pPr>
              <w:spacing w:before="60" w:after="60"/>
              <w:rPr>
                <w:rFonts w:eastAsiaTheme="minorEastAsia"/>
                <w:sz w:val="16"/>
                <w:szCs w:val="16"/>
              </w:rPr>
            </w:pPr>
          </w:p>
          <w:p w14:paraId="78306833" w14:textId="77777777" w:rsidR="00E709EA" w:rsidRPr="007C1124" w:rsidRDefault="00E709EA" w:rsidP="007C1124">
            <w:pPr>
              <w:spacing w:before="60" w:after="60"/>
              <w:rPr>
                <w:rFonts w:eastAsiaTheme="minorEastAsia"/>
                <w:sz w:val="16"/>
                <w:szCs w:val="16"/>
              </w:rPr>
            </w:pPr>
          </w:p>
        </w:tc>
        <w:tc>
          <w:tcPr>
            <w:tcW w:w="2126" w:type="dxa"/>
          </w:tcPr>
          <w:p w14:paraId="1F61BF66" w14:textId="44132A6E" w:rsidR="00E709EA" w:rsidRPr="007C1124" w:rsidRDefault="1AB498F7" w:rsidP="007C1124">
            <w:pPr>
              <w:spacing w:before="60" w:after="60"/>
              <w:ind w:left="57" w:right="57"/>
              <w:rPr>
                <w:rFonts w:eastAsia="Arial"/>
                <w:sz w:val="16"/>
                <w:szCs w:val="16"/>
              </w:rPr>
            </w:pPr>
            <w:r>
              <w:rPr>
                <w:sz w:val="16"/>
              </w:rPr>
              <w:lastRenderedPageBreak/>
              <w:t xml:space="preserve">На основании предоставленных доказательств, включая таблицы данных о результативности за 2024 год и файлы окончательной проверки достоверности, загруженные в систему WePerform, а также снимки экрана, демонстрирующие внедрение во всех </w:t>
            </w:r>
            <w:r>
              <w:rPr>
                <w:sz w:val="16"/>
              </w:rPr>
              <w:lastRenderedPageBreak/>
              <w:t>секторах, можно сделать вывод, что руководство предприняло надлежащие меры для выполнения рекомендации. Рассмотренная документация является достаточной и надежной для подтверждения выполнения.</w:t>
            </w:r>
          </w:p>
          <w:p w14:paraId="741A6D2D" w14:textId="4454BE73" w:rsidR="00E709EA" w:rsidRPr="007C1124" w:rsidRDefault="1AB498F7" w:rsidP="00432C41">
            <w:pPr>
              <w:spacing w:before="60" w:after="60"/>
              <w:ind w:left="57" w:right="57"/>
              <w:rPr>
                <w:rFonts w:eastAsia="Arial"/>
                <w:sz w:val="16"/>
                <w:szCs w:val="16"/>
              </w:rPr>
            </w:pPr>
            <w:r>
              <w:rPr>
                <w:sz w:val="16"/>
              </w:rPr>
              <w:t>Соответственно, Внешний аудитор приходит к выводу, что рекомендация полностью выполнена и соответствует критериям закрытия.</w:t>
            </w:r>
          </w:p>
        </w:tc>
        <w:tc>
          <w:tcPr>
            <w:tcW w:w="1276" w:type="dxa"/>
          </w:tcPr>
          <w:p w14:paraId="34DB52E8" w14:textId="2C0E7F02" w:rsidR="00E709EA" w:rsidRPr="007C1124" w:rsidRDefault="449BC0F7" w:rsidP="007C1124">
            <w:pPr>
              <w:spacing w:before="60" w:after="60"/>
              <w:rPr>
                <w:sz w:val="16"/>
                <w:szCs w:val="16"/>
              </w:rPr>
            </w:pPr>
            <w:r>
              <w:rPr>
                <w:sz w:val="16"/>
              </w:rPr>
              <w:lastRenderedPageBreak/>
              <w:t>Выполнена</w:t>
            </w:r>
          </w:p>
        </w:tc>
      </w:tr>
      <w:tr w:rsidR="00E709EA" w:rsidRPr="00310BF2" w14:paraId="2430A25D" w14:textId="77777777" w:rsidTr="00956F2A">
        <w:trPr>
          <w:gridAfter w:val="1"/>
          <w:wAfter w:w="21" w:type="dxa"/>
          <w:trHeight w:val="6834"/>
          <w:jc w:val="center"/>
        </w:trPr>
        <w:tc>
          <w:tcPr>
            <w:tcW w:w="846" w:type="dxa"/>
          </w:tcPr>
          <w:p w14:paraId="61FFA681" w14:textId="17BE650B" w:rsidR="00E709EA" w:rsidRPr="00432C41" w:rsidRDefault="00432C41" w:rsidP="00432C41">
            <w:pPr>
              <w:spacing w:before="60" w:after="60"/>
              <w:rPr>
                <w:sz w:val="16"/>
                <w:szCs w:val="16"/>
              </w:rPr>
            </w:pPr>
            <w:r>
              <w:rPr>
                <w:sz w:val="16"/>
              </w:rPr>
              <w:lastRenderedPageBreak/>
              <w:t>2024</w:t>
            </w:r>
          </w:p>
        </w:tc>
        <w:tc>
          <w:tcPr>
            <w:tcW w:w="1984" w:type="dxa"/>
          </w:tcPr>
          <w:p w14:paraId="27A38505" w14:textId="3DCD7A00" w:rsidR="00E709EA" w:rsidRPr="00432C41" w:rsidRDefault="4463D3AD" w:rsidP="00432C41">
            <w:pPr>
              <w:spacing w:before="60" w:after="60"/>
              <w:rPr>
                <w:sz w:val="16"/>
                <w:szCs w:val="16"/>
              </w:rPr>
            </w:pPr>
            <w:r>
              <w:rPr>
                <w:sz w:val="16"/>
              </w:rPr>
              <w:t>2024, пп. 66–68, рекомендация №</w:t>
            </w:r>
            <w:r w:rsidR="00F01288">
              <w:rPr>
                <w:sz w:val="16"/>
              </w:rPr>
              <w:t> </w:t>
            </w:r>
            <w:r>
              <w:rPr>
                <w:sz w:val="16"/>
              </w:rPr>
              <w:t>8</w:t>
            </w:r>
            <w:r w:rsidR="00F01288">
              <w:rPr>
                <w:sz w:val="16"/>
              </w:rPr>
              <w:t> </w:t>
            </w:r>
            <w:r>
              <w:rPr>
                <w:sz w:val="16"/>
              </w:rPr>
              <w:t>— АЭ</w:t>
            </w:r>
          </w:p>
        </w:tc>
        <w:tc>
          <w:tcPr>
            <w:tcW w:w="2552" w:type="dxa"/>
          </w:tcPr>
          <w:p w14:paraId="03DC5308" w14:textId="594D7482" w:rsidR="006E3C22" w:rsidRPr="00432C41" w:rsidRDefault="00432C41" w:rsidP="00432C41">
            <w:pPr>
              <w:spacing w:before="60" w:after="60"/>
              <w:rPr>
                <w:bCs/>
                <w:sz w:val="16"/>
                <w:szCs w:val="16"/>
              </w:rPr>
            </w:pPr>
            <w:bookmarkStart w:id="227" w:name="_Toc196159476"/>
            <w:bookmarkStart w:id="228" w:name="_Toc197377506"/>
            <w:r>
              <w:rPr>
                <w:sz w:val="16"/>
              </w:rPr>
              <w:t>Совершенствование процедуры проведения опросов с целью укрепления процесса оценки ВОИС</w:t>
            </w:r>
            <w:bookmarkEnd w:id="227"/>
            <w:bookmarkEnd w:id="228"/>
          </w:p>
          <w:p w14:paraId="0581B900" w14:textId="77777777" w:rsidR="006E3C22" w:rsidRPr="00432C41" w:rsidRDefault="4463D3AD" w:rsidP="00432C41">
            <w:pPr>
              <w:spacing w:before="60" w:after="60"/>
              <w:rPr>
                <w:rFonts w:eastAsia="Times New Roman"/>
                <w:sz w:val="16"/>
                <w:szCs w:val="16"/>
              </w:rPr>
            </w:pPr>
            <w:r>
              <w:rPr>
                <w:sz w:val="16"/>
              </w:rPr>
              <w:t>ВОИС проводит опросы заинтересованных сторон в рамках процесса оценки, охватывая такие области, как организация заседаний, юридические консультации, услуги по подаче заявок на объекты ИС, обучение и технические вопросы. Из 388 опросов, подтвержденных для целей КПР в отчете о результатах работы за 2022–2023 годы, средняя доля ответивших составила около 60%, при этом в этот показатель не включены опросы, проводившиеся вне рамок КПР.</w:t>
            </w:r>
          </w:p>
          <w:p w14:paraId="5CA2DF8F" w14:textId="77777777" w:rsidR="006E3C22" w:rsidRPr="00432C41" w:rsidRDefault="4463D3AD" w:rsidP="00432C41">
            <w:pPr>
              <w:spacing w:before="60" w:after="60"/>
              <w:rPr>
                <w:rFonts w:eastAsia="Times New Roman"/>
                <w:sz w:val="16"/>
                <w:szCs w:val="16"/>
              </w:rPr>
            </w:pPr>
            <w:r>
              <w:rPr>
                <w:sz w:val="16"/>
              </w:rPr>
              <w:t>На уровне секторов проводятся дополнительные технические опросы, в которых доля ответивших заметно ниже и составляет от 20% до 35%. Несмотря на признанную важность обратной связи по итогам опросов для выявления потребностей заинтересованных сторон, улучшения качества услуг и обеспечения измерения КПР, доля ответивших в этих областях остается недостаточной.</w:t>
            </w:r>
          </w:p>
          <w:p w14:paraId="4732E8B5" w14:textId="2D3AE815" w:rsidR="00460DF1" w:rsidRPr="00432C41" w:rsidRDefault="4463D3AD" w:rsidP="00532A21">
            <w:pPr>
              <w:spacing w:before="60" w:after="60"/>
              <w:rPr>
                <w:rFonts w:eastAsia="Times New Roman"/>
                <w:sz w:val="16"/>
                <w:szCs w:val="16"/>
              </w:rPr>
            </w:pPr>
            <w:r>
              <w:rPr>
                <w:sz w:val="16"/>
              </w:rPr>
              <w:t xml:space="preserve">BPK считает, что опросы являются важнейшим компонентом системы оценки ВОИС и служат ключевым механизмом проверки КПР. Повышение коэффициента отклика на опрос позволит </w:t>
            </w:r>
            <w:r>
              <w:rPr>
                <w:sz w:val="16"/>
              </w:rPr>
              <w:lastRenderedPageBreak/>
              <w:t>Организации получить более глубокое представление о развитии интеллектуальной собственности, улучшить предоставление услуг и создать более надежную основу для измерения КПР.</w:t>
            </w:r>
          </w:p>
        </w:tc>
        <w:tc>
          <w:tcPr>
            <w:tcW w:w="1984" w:type="dxa"/>
          </w:tcPr>
          <w:p w14:paraId="6B0F28FA" w14:textId="77777777" w:rsidR="006E3C22" w:rsidRPr="00432C41" w:rsidRDefault="4463D3AD" w:rsidP="00432C41">
            <w:pPr>
              <w:spacing w:before="60" w:after="60"/>
              <w:rPr>
                <w:sz w:val="16"/>
                <w:szCs w:val="16"/>
              </w:rPr>
            </w:pPr>
            <w:r>
              <w:rPr>
                <w:sz w:val="16"/>
              </w:rPr>
              <w:lastRenderedPageBreak/>
              <w:t>BPK рекомендует Организации провести всестороннюю оценку своих процессов проведения опросов, выявить основные причины низкой доли ответивших и изучить способы их устранения. Возможные стратегии могут включать, среди прочего, следующее:</w:t>
            </w:r>
          </w:p>
          <w:p w14:paraId="3FA3F342" w14:textId="77777777" w:rsidR="006E3C22" w:rsidRPr="00432C41" w:rsidRDefault="4463D3AD" w:rsidP="007F267B">
            <w:pPr>
              <w:pStyle w:val="ListParagraph"/>
              <w:numPr>
                <w:ilvl w:val="0"/>
                <w:numId w:val="8"/>
              </w:numPr>
              <w:spacing w:before="60" w:after="60"/>
              <w:ind w:left="304" w:hanging="310"/>
              <w:contextualSpacing w:val="0"/>
              <w:rPr>
                <w:sz w:val="16"/>
                <w:szCs w:val="16"/>
              </w:rPr>
            </w:pPr>
            <w:r>
              <w:rPr>
                <w:sz w:val="16"/>
              </w:rPr>
              <w:t>Сведение к минимуму дублирования опросов с целью снижения степени усталости от них.</w:t>
            </w:r>
          </w:p>
          <w:p w14:paraId="32C068EF" w14:textId="77777777" w:rsidR="006E3C22" w:rsidRPr="00432C41" w:rsidRDefault="4463D3AD" w:rsidP="007F267B">
            <w:pPr>
              <w:pStyle w:val="ListParagraph"/>
              <w:numPr>
                <w:ilvl w:val="0"/>
                <w:numId w:val="8"/>
              </w:numPr>
              <w:spacing w:before="60" w:after="60"/>
              <w:ind w:left="304" w:hanging="310"/>
              <w:contextualSpacing w:val="0"/>
              <w:rPr>
                <w:sz w:val="16"/>
                <w:szCs w:val="16"/>
              </w:rPr>
            </w:pPr>
            <w:r>
              <w:rPr>
                <w:sz w:val="16"/>
              </w:rPr>
              <w:t>Более тщательное планирование графика, чтобы не допускать проведения нескольких опросов одновременно.</w:t>
            </w:r>
          </w:p>
          <w:p w14:paraId="07164412" w14:textId="32599BF2" w:rsidR="00E709EA" w:rsidRPr="00432C41" w:rsidRDefault="4463D3AD" w:rsidP="007F267B">
            <w:pPr>
              <w:pStyle w:val="ListParagraph"/>
              <w:numPr>
                <w:ilvl w:val="0"/>
                <w:numId w:val="8"/>
              </w:numPr>
              <w:spacing w:before="60" w:after="60"/>
              <w:ind w:left="304" w:hanging="310"/>
              <w:contextualSpacing w:val="0"/>
              <w:rPr>
                <w:sz w:val="16"/>
                <w:szCs w:val="16"/>
              </w:rPr>
            </w:pPr>
            <w:r>
              <w:rPr>
                <w:sz w:val="16"/>
              </w:rPr>
              <w:t>Повышение эффективности последующих мер для увеличения доли ответивших.</w:t>
            </w:r>
          </w:p>
        </w:tc>
        <w:tc>
          <w:tcPr>
            <w:tcW w:w="2159" w:type="dxa"/>
          </w:tcPr>
          <w:p w14:paraId="0A352CE3" w14:textId="77777777" w:rsidR="006E3C22" w:rsidRPr="00432C41" w:rsidRDefault="4463D3AD" w:rsidP="00432C41">
            <w:pPr>
              <w:spacing w:before="60" w:after="60"/>
              <w:rPr>
                <w:sz w:val="16"/>
                <w:szCs w:val="16"/>
              </w:rPr>
            </w:pPr>
            <w:r>
              <w:rPr>
                <w:sz w:val="16"/>
              </w:rPr>
              <w:t xml:space="preserve">Руководство согласно с этой рекомендацией и будет работать с ОВН над ее выполнением. </w:t>
            </w:r>
          </w:p>
          <w:p w14:paraId="7C3E119F" w14:textId="3507A721" w:rsidR="00E709EA" w:rsidRPr="00432C41" w:rsidRDefault="4463D3AD" w:rsidP="00432C41">
            <w:pPr>
              <w:spacing w:before="60" w:after="60"/>
              <w:rPr>
                <w:sz w:val="16"/>
                <w:szCs w:val="16"/>
              </w:rPr>
            </w:pPr>
            <w:r>
              <w:rPr>
                <w:sz w:val="16"/>
              </w:rPr>
              <w:t>Ожидается, что эта рекомендация будет выполнена к 31 декабря 2026 года.</w:t>
            </w:r>
          </w:p>
        </w:tc>
        <w:tc>
          <w:tcPr>
            <w:tcW w:w="2273" w:type="dxa"/>
          </w:tcPr>
          <w:p w14:paraId="7436EB9B" w14:textId="4B4569F5" w:rsidR="00E709EA" w:rsidRPr="00432C41" w:rsidRDefault="5E737F7A" w:rsidP="00432C41">
            <w:pPr>
              <w:spacing w:before="60" w:after="60"/>
              <w:rPr>
                <w:rFonts w:eastAsiaTheme="minorEastAsia"/>
                <w:sz w:val="16"/>
                <w:szCs w:val="16"/>
              </w:rPr>
            </w:pPr>
            <w:r>
              <w:rPr>
                <w:sz w:val="16"/>
              </w:rPr>
              <w:t>В настоящее время проводится оценка процессов ВОИС по проведению опросов, которая должна быть завершена к 31 декабря 2026 года.</w:t>
            </w:r>
          </w:p>
        </w:tc>
        <w:tc>
          <w:tcPr>
            <w:tcW w:w="2126" w:type="dxa"/>
          </w:tcPr>
          <w:p w14:paraId="1A4C2696" w14:textId="1F980152" w:rsidR="00EF3506" w:rsidRPr="00432C41" w:rsidRDefault="4D600687" w:rsidP="00432C41">
            <w:pPr>
              <w:spacing w:before="60" w:after="60"/>
              <w:rPr>
                <w:rFonts w:eastAsiaTheme="minorEastAsia"/>
                <w:sz w:val="16"/>
                <w:szCs w:val="16"/>
              </w:rPr>
            </w:pPr>
            <w:r>
              <w:rPr>
                <w:sz w:val="16"/>
              </w:rPr>
              <w:t>Эта рекомендация остается в силе. Группа аудиторов принимает к сведению обновленную информацию руководства и будет следить за завершением и результатами оценки после ее предполагаемого завершения к 31 декабря 2026 года.</w:t>
            </w:r>
          </w:p>
          <w:p w14:paraId="79F99A68" w14:textId="77777777" w:rsidR="00E709EA" w:rsidRPr="00432C41" w:rsidRDefault="00E709EA" w:rsidP="00432C41">
            <w:pPr>
              <w:spacing w:before="60" w:after="60"/>
              <w:rPr>
                <w:rFonts w:eastAsiaTheme="minorEastAsia"/>
                <w:sz w:val="16"/>
                <w:szCs w:val="16"/>
              </w:rPr>
            </w:pPr>
          </w:p>
        </w:tc>
        <w:tc>
          <w:tcPr>
            <w:tcW w:w="1276" w:type="dxa"/>
          </w:tcPr>
          <w:p w14:paraId="77A586C8" w14:textId="210A594C" w:rsidR="00E709EA" w:rsidRPr="00432C41" w:rsidRDefault="449BC0F7" w:rsidP="00432C41">
            <w:pPr>
              <w:spacing w:before="60" w:after="60"/>
              <w:rPr>
                <w:bCs/>
                <w:sz w:val="16"/>
                <w:szCs w:val="16"/>
              </w:rPr>
            </w:pPr>
            <w:r>
              <w:rPr>
                <w:sz w:val="16"/>
              </w:rPr>
              <w:t>Выполняется</w:t>
            </w:r>
          </w:p>
        </w:tc>
      </w:tr>
      <w:tr w:rsidR="00CC7C3F" w:rsidRPr="00310BF2" w14:paraId="66D3F26F" w14:textId="77777777" w:rsidTr="00956F2A">
        <w:trPr>
          <w:trHeight w:val="467"/>
          <w:jc w:val="center"/>
        </w:trPr>
        <w:tc>
          <w:tcPr>
            <w:tcW w:w="15221" w:type="dxa"/>
            <w:gridSpan w:val="9"/>
            <w:shd w:val="clear" w:color="auto" w:fill="BDD6EE" w:themeFill="accent1" w:themeFillTint="66"/>
          </w:tcPr>
          <w:p w14:paraId="019907FC" w14:textId="2AEACA64" w:rsidR="00CC7C3F" w:rsidRPr="00310BF2" w:rsidRDefault="750E821D" w:rsidP="66DE4C64">
            <w:pPr>
              <w:spacing w:before="60" w:after="60"/>
              <w:rPr>
                <w:b/>
                <w:bCs/>
                <w:sz w:val="16"/>
                <w:szCs w:val="16"/>
              </w:rPr>
            </w:pPr>
            <w:r>
              <w:rPr>
                <w:b/>
                <w:sz w:val="16"/>
              </w:rPr>
              <w:t>Отчет об аудиторской проверке за год, закончившийся 31 декабря 2023 года</w:t>
            </w:r>
          </w:p>
        </w:tc>
      </w:tr>
      <w:tr w:rsidR="00CC7C3F" w:rsidRPr="00310BF2" w14:paraId="3CB259E3" w14:textId="77777777" w:rsidTr="00956F2A">
        <w:trPr>
          <w:gridAfter w:val="1"/>
          <w:wAfter w:w="21" w:type="dxa"/>
          <w:trHeight w:val="570"/>
          <w:jc w:val="center"/>
        </w:trPr>
        <w:tc>
          <w:tcPr>
            <w:tcW w:w="846" w:type="dxa"/>
          </w:tcPr>
          <w:p w14:paraId="0EAE5663" w14:textId="220A81A3" w:rsidR="00CC7C3F" w:rsidRPr="00310BF2" w:rsidRDefault="719CF16E" w:rsidP="00F709FC">
            <w:pPr>
              <w:spacing w:before="60" w:after="60"/>
              <w:rPr>
                <w:sz w:val="16"/>
                <w:szCs w:val="16"/>
              </w:rPr>
            </w:pPr>
            <w:r>
              <w:rPr>
                <w:sz w:val="16"/>
              </w:rPr>
              <w:t>2023 </w:t>
            </w:r>
          </w:p>
        </w:tc>
        <w:tc>
          <w:tcPr>
            <w:tcW w:w="1984" w:type="dxa"/>
          </w:tcPr>
          <w:p w14:paraId="53F05A40" w14:textId="77777777" w:rsidR="00DA0057" w:rsidRPr="00310BF2" w:rsidRDefault="00DA0057" w:rsidP="00DA0057">
            <w:pPr>
              <w:spacing w:before="60" w:after="60"/>
              <w:ind w:left="57" w:right="57"/>
              <w:textAlignment w:val="baseline"/>
              <w:rPr>
                <w:rFonts w:eastAsia="Times New Roman"/>
                <w:sz w:val="16"/>
                <w:szCs w:val="16"/>
              </w:rPr>
            </w:pPr>
            <w:r>
              <w:rPr>
                <w:sz w:val="16"/>
              </w:rPr>
              <w:t>Отчет об аудиторской проверке за 2023 год  </w:t>
            </w:r>
          </w:p>
          <w:p w14:paraId="5134BFCC" w14:textId="46C33ED0" w:rsidR="00CC7C3F" w:rsidRPr="00310BF2" w:rsidRDefault="00DA0057" w:rsidP="00F709FC">
            <w:pPr>
              <w:spacing w:before="60" w:after="60"/>
              <w:rPr>
                <w:sz w:val="16"/>
                <w:szCs w:val="16"/>
              </w:rPr>
            </w:pPr>
            <w:r>
              <w:rPr>
                <w:sz w:val="16"/>
              </w:rPr>
              <w:t> </w:t>
            </w:r>
          </w:p>
        </w:tc>
        <w:tc>
          <w:tcPr>
            <w:tcW w:w="2552" w:type="dxa"/>
          </w:tcPr>
          <w:p w14:paraId="4B4D8B2D" w14:textId="77777777" w:rsidR="00DA0057" w:rsidRPr="00310BF2" w:rsidRDefault="00DA0057" w:rsidP="00DA0057">
            <w:pPr>
              <w:spacing w:before="60" w:after="60"/>
              <w:ind w:left="57" w:right="57"/>
              <w:textAlignment w:val="baseline"/>
              <w:rPr>
                <w:rFonts w:eastAsia="Times New Roman"/>
                <w:sz w:val="16"/>
                <w:szCs w:val="16"/>
              </w:rPr>
            </w:pPr>
            <w:r>
              <w:rPr>
                <w:sz w:val="16"/>
              </w:rPr>
              <w:t>В Отчете об аудиторской проверке за 2023 год рекомендаций не было. </w:t>
            </w:r>
          </w:p>
          <w:p w14:paraId="6FAED8E9" w14:textId="78E1207A" w:rsidR="00CC7C3F" w:rsidRPr="00310BF2" w:rsidRDefault="00DA0057" w:rsidP="00F709FC">
            <w:pPr>
              <w:autoSpaceDE w:val="0"/>
              <w:autoSpaceDN w:val="0"/>
              <w:adjustRightInd w:val="0"/>
              <w:spacing w:before="60" w:after="60"/>
              <w:jc w:val="both"/>
              <w:rPr>
                <w:sz w:val="16"/>
                <w:szCs w:val="16"/>
              </w:rPr>
            </w:pPr>
            <w:r>
              <w:rPr>
                <w:sz w:val="16"/>
              </w:rPr>
              <w:t> </w:t>
            </w:r>
          </w:p>
        </w:tc>
        <w:tc>
          <w:tcPr>
            <w:tcW w:w="1984" w:type="dxa"/>
          </w:tcPr>
          <w:p w14:paraId="21C460C0" w14:textId="3467A540" w:rsidR="00CC7C3F" w:rsidRPr="00310BF2" w:rsidRDefault="00CC7C3F" w:rsidP="00F709FC">
            <w:pPr>
              <w:autoSpaceDE w:val="0"/>
              <w:autoSpaceDN w:val="0"/>
              <w:adjustRightInd w:val="0"/>
              <w:spacing w:before="60" w:after="60"/>
              <w:jc w:val="both"/>
              <w:rPr>
                <w:sz w:val="16"/>
                <w:szCs w:val="16"/>
              </w:rPr>
            </w:pPr>
          </w:p>
        </w:tc>
        <w:tc>
          <w:tcPr>
            <w:tcW w:w="2159" w:type="dxa"/>
          </w:tcPr>
          <w:p w14:paraId="05C07434" w14:textId="70D19C57" w:rsidR="00CC7C3F" w:rsidRPr="00310BF2" w:rsidRDefault="00CC7C3F" w:rsidP="00F709FC">
            <w:pPr>
              <w:autoSpaceDE w:val="0"/>
              <w:autoSpaceDN w:val="0"/>
              <w:adjustRightInd w:val="0"/>
              <w:spacing w:before="60" w:after="60"/>
              <w:jc w:val="both"/>
              <w:rPr>
                <w:sz w:val="16"/>
                <w:szCs w:val="16"/>
              </w:rPr>
            </w:pPr>
          </w:p>
        </w:tc>
        <w:tc>
          <w:tcPr>
            <w:tcW w:w="2273" w:type="dxa"/>
          </w:tcPr>
          <w:p w14:paraId="4336A92F" w14:textId="553F19E7" w:rsidR="00CC7C3F" w:rsidRPr="00310BF2" w:rsidRDefault="00CC7C3F" w:rsidP="00F709FC">
            <w:pPr>
              <w:pStyle w:val="ListParagraph"/>
              <w:spacing w:before="60" w:after="60"/>
              <w:ind w:left="0"/>
              <w:contextualSpacing w:val="0"/>
              <w:jc w:val="both"/>
              <w:rPr>
                <w:sz w:val="16"/>
                <w:szCs w:val="16"/>
              </w:rPr>
            </w:pPr>
          </w:p>
        </w:tc>
        <w:tc>
          <w:tcPr>
            <w:tcW w:w="2126" w:type="dxa"/>
          </w:tcPr>
          <w:p w14:paraId="2305560E" w14:textId="6414EEF0" w:rsidR="00CC7C3F" w:rsidRPr="00310BF2" w:rsidRDefault="00CC7C3F" w:rsidP="00F709FC">
            <w:pPr>
              <w:spacing w:before="60" w:after="60"/>
              <w:jc w:val="both"/>
              <w:rPr>
                <w:sz w:val="16"/>
                <w:szCs w:val="16"/>
              </w:rPr>
            </w:pPr>
          </w:p>
        </w:tc>
        <w:tc>
          <w:tcPr>
            <w:tcW w:w="1276" w:type="dxa"/>
          </w:tcPr>
          <w:p w14:paraId="1EC312BB" w14:textId="71C4B2C1" w:rsidR="00CC7C3F" w:rsidRPr="00310BF2" w:rsidRDefault="00CC7C3F" w:rsidP="00F709FC">
            <w:pPr>
              <w:spacing w:before="60" w:after="60"/>
              <w:rPr>
                <w:sz w:val="16"/>
                <w:szCs w:val="16"/>
              </w:rPr>
            </w:pPr>
          </w:p>
        </w:tc>
      </w:tr>
      <w:tr w:rsidR="00DA0057" w:rsidRPr="00331B8E" w14:paraId="73589F86" w14:textId="77777777" w:rsidTr="00956F2A">
        <w:trPr>
          <w:jc w:val="center"/>
        </w:trPr>
        <w:tc>
          <w:tcPr>
            <w:tcW w:w="15221" w:type="dxa"/>
            <w:gridSpan w:val="9"/>
            <w:shd w:val="clear" w:color="auto" w:fill="BDD6EE" w:themeFill="accent1" w:themeFillTint="66"/>
          </w:tcPr>
          <w:p w14:paraId="763F3EC9" w14:textId="57C108DF" w:rsidR="00DA0057" w:rsidRPr="00331B8E" w:rsidRDefault="00DA0057" w:rsidP="00DA0057">
            <w:pPr>
              <w:spacing w:before="60" w:after="60"/>
              <w:rPr>
                <w:sz w:val="16"/>
                <w:szCs w:val="16"/>
              </w:rPr>
            </w:pPr>
            <w:r>
              <w:rPr>
                <w:b/>
                <w:sz w:val="16"/>
              </w:rPr>
              <w:t>Отчет об аудиторской проверке за год, закончившийся 31 декабря 2022 года</w:t>
            </w:r>
          </w:p>
        </w:tc>
      </w:tr>
      <w:tr w:rsidR="00DA0057" w:rsidRPr="00310BF2" w14:paraId="2746B527" w14:textId="77777777" w:rsidTr="00956F2A">
        <w:trPr>
          <w:gridAfter w:val="1"/>
          <w:wAfter w:w="21" w:type="dxa"/>
          <w:trHeight w:val="6537"/>
          <w:jc w:val="center"/>
        </w:trPr>
        <w:tc>
          <w:tcPr>
            <w:tcW w:w="846" w:type="dxa"/>
          </w:tcPr>
          <w:p w14:paraId="553F4842" w14:textId="651AA9AD" w:rsidR="00DA0057" w:rsidRPr="00331B8E" w:rsidRDefault="75DC9AA2" w:rsidP="00432C41">
            <w:pPr>
              <w:spacing w:before="60" w:after="60"/>
              <w:rPr>
                <w:rFonts w:eastAsia="Times New Roman"/>
                <w:sz w:val="16"/>
                <w:szCs w:val="16"/>
              </w:rPr>
            </w:pPr>
            <w:r>
              <w:rPr>
                <w:sz w:val="16"/>
              </w:rPr>
              <w:lastRenderedPageBreak/>
              <w:t>2022</w:t>
            </w:r>
          </w:p>
        </w:tc>
        <w:tc>
          <w:tcPr>
            <w:tcW w:w="1984" w:type="dxa"/>
          </w:tcPr>
          <w:p w14:paraId="54BE2F95" w14:textId="77777777" w:rsidR="00E003EB" w:rsidRPr="00331B8E" w:rsidRDefault="2C2044A6" w:rsidP="00432C41">
            <w:pPr>
              <w:spacing w:before="60" w:after="60"/>
              <w:ind w:left="57" w:right="57"/>
              <w:textAlignment w:val="baseline"/>
              <w:rPr>
                <w:rFonts w:eastAsia="Times New Roman"/>
                <w:sz w:val="16"/>
                <w:szCs w:val="16"/>
              </w:rPr>
            </w:pPr>
            <w:r>
              <w:rPr>
                <w:sz w:val="16"/>
              </w:rPr>
              <w:t xml:space="preserve">Отчет об аудиторской проверке за 2022 год, </w:t>
            </w:r>
          </w:p>
          <w:p w14:paraId="7B38DDE9" w14:textId="6ED3CB95" w:rsidR="00DA0057" w:rsidRPr="00331B8E" w:rsidRDefault="2C2044A6" w:rsidP="00432C41">
            <w:pPr>
              <w:spacing w:before="60" w:after="60"/>
              <w:ind w:left="57" w:right="57"/>
              <w:textAlignment w:val="baseline"/>
              <w:rPr>
                <w:rFonts w:eastAsia="Times New Roman"/>
                <w:sz w:val="16"/>
                <w:szCs w:val="16"/>
              </w:rPr>
            </w:pPr>
            <w:r>
              <w:rPr>
                <w:sz w:val="16"/>
              </w:rPr>
              <w:t>Рекомендация</w:t>
            </w:r>
            <w:r w:rsidR="00CB75FF">
              <w:rPr>
                <w:sz w:val="16"/>
              </w:rPr>
              <w:t> </w:t>
            </w:r>
            <w:r>
              <w:rPr>
                <w:sz w:val="16"/>
              </w:rPr>
              <w:t>6 </w:t>
            </w:r>
          </w:p>
          <w:p w14:paraId="77C3E523" w14:textId="57B8DDF1" w:rsidR="00DA0057" w:rsidRPr="00331B8E" w:rsidRDefault="00DA0057" w:rsidP="00432C41">
            <w:pPr>
              <w:spacing w:before="60" w:after="60"/>
              <w:ind w:left="57" w:right="57"/>
              <w:textAlignment w:val="baseline"/>
              <w:rPr>
                <w:rFonts w:eastAsia="Times New Roman"/>
                <w:sz w:val="16"/>
                <w:szCs w:val="16"/>
                <w:lang w:eastAsia="en-GB"/>
              </w:rPr>
            </w:pPr>
          </w:p>
        </w:tc>
        <w:tc>
          <w:tcPr>
            <w:tcW w:w="2552" w:type="dxa"/>
          </w:tcPr>
          <w:p w14:paraId="79391517" w14:textId="77777777" w:rsidR="009D2F88" w:rsidRPr="0060450F" w:rsidRDefault="00947622" w:rsidP="00947622">
            <w:pPr>
              <w:spacing w:before="60" w:after="60"/>
              <w:ind w:left="57" w:right="57"/>
              <w:textAlignment w:val="baseline"/>
              <w:rPr>
                <w:rFonts w:eastAsia="Arial"/>
                <w:sz w:val="16"/>
                <w:szCs w:val="16"/>
              </w:rPr>
            </w:pPr>
            <w:r>
              <w:rPr>
                <w:sz w:val="16"/>
              </w:rPr>
              <w:t>При разработке системы экологического менеджмента ВОИС необходимо добиваться того, чтобы система позволяла собирать данные для подготовки релевантной, конкретной, комплексной, ясной, сбалансированной и доступной отчетности. Отчетность должна быть внутренне согласованной, достаточно надежной и измеримой, допуская проверку и подтверждение достоверности соответствующей информации. Публикация показателей устойчивого развития важна не только с точки зрения подотчетности, но и для обоснования принимаемых решений и управления рисками в области устойчивого развития.</w:t>
            </w:r>
          </w:p>
          <w:p w14:paraId="313A75C3" w14:textId="1474AAEE" w:rsidR="00331B8E" w:rsidRPr="0060450F" w:rsidRDefault="00331B8E" w:rsidP="00331B8E">
            <w:pPr>
              <w:spacing w:before="60" w:after="60"/>
              <w:ind w:left="57" w:right="57"/>
              <w:textAlignment w:val="baseline"/>
              <w:rPr>
                <w:rFonts w:eastAsia="Arial"/>
                <w:sz w:val="16"/>
                <w:szCs w:val="16"/>
              </w:rPr>
            </w:pPr>
            <w:r>
              <w:rPr>
                <w:sz w:val="16"/>
              </w:rPr>
              <w:t>ВОИС проинформировала внешнего аудитора, что она будет ожидать завершения Советом МСУГС его собственного проекта и публикации стандарта отчетности по вопросам устойчивого развития.</w:t>
            </w:r>
          </w:p>
        </w:tc>
        <w:tc>
          <w:tcPr>
            <w:tcW w:w="1984" w:type="dxa"/>
          </w:tcPr>
          <w:p w14:paraId="0A41BDF3" w14:textId="38B19978" w:rsidR="00432C41" w:rsidRPr="0060450F" w:rsidRDefault="00432C41" w:rsidP="00432C41">
            <w:pPr>
              <w:autoSpaceDE w:val="0"/>
              <w:autoSpaceDN w:val="0"/>
              <w:adjustRightInd w:val="0"/>
              <w:rPr>
                <w:sz w:val="16"/>
                <w:szCs w:val="16"/>
              </w:rPr>
            </w:pPr>
            <w:r>
              <w:rPr>
                <w:sz w:val="16"/>
              </w:rPr>
              <w:t>Включить в годовой отчет систему сбалансированных показателей,</w:t>
            </w:r>
          </w:p>
          <w:p w14:paraId="1720DB83" w14:textId="77777777" w:rsidR="00432C41" w:rsidRPr="0060450F" w:rsidRDefault="00432C41" w:rsidP="00432C41">
            <w:pPr>
              <w:autoSpaceDE w:val="0"/>
              <w:autoSpaceDN w:val="0"/>
              <w:adjustRightInd w:val="0"/>
              <w:rPr>
                <w:sz w:val="16"/>
                <w:szCs w:val="16"/>
              </w:rPr>
            </w:pPr>
          </w:p>
          <w:p w14:paraId="6291E7F6" w14:textId="77777777" w:rsidR="00432C41" w:rsidRPr="0060450F" w:rsidRDefault="00432C41" w:rsidP="00432C41">
            <w:pPr>
              <w:autoSpaceDE w:val="0"/>
              <w:autoSpaceDN w:val="0"/>
              <w:adjustRightInd w:val="0"/>
              <w:rPr>
                <w:sz w:val="16"/>
                <w:szCs w:val="16"/>
              </w:rPr>
            </w:pPr>
            <w:r>
              <w:rPr>
                <w:sz w:val="16"/>
              </w:rPr>
              <w:t>отражающих показатели</w:t>
            </w:r>
          </w:p>
          <w:p w14:paraId="127CAB20" w14:textId="77777777" w:rsidR="00432C41" w:rsidRPr="0060450F" w:rsidRDefault="00432C41" w:rsidP="00432C41">
            <w:pPr>
              <w:autoSpaceDE w:val="0"/>
              <w:autoSpaceDN w:val="0"/>
              <w:adjustRightInd w:val="0"/>
              <w:rPr>
                <w:sz w:val="16"/>
                <w:szCs w:val="16"/>
              </w:rPr>
            </w:pPr>
            <w:r>
              <w:rPr>
                <w:sz w:val="16"/>
              </w:rPr>
              <w:t>устойчивого развития</w:t>
            </w:r>
          </w:p>
          <w:p w14:paraId="2AC49208" w14:textId="2583FF1F" w:rsidR="00DA0057" w:rsidRPr="0060450F" w:rsidRDefault="00432C41" w:rsidP="00432C41">
            <w:pPr>
              <w:autoSpaceDE w:val="0"/>
              <w:autoSpaceDN w:val="0"/>
              <w:adjustRightInd w:val="0"/>
              <w:rPr>
                <w:sz w:val="16"/>
                <w:szCs w:val="16"/>
              </w:rPr>
            </w:pPr>
            <w:r>
              <w:rPr>
                <w:sz w:val="16"/>
              </w:rPr>
              <w:t>и результаты деятельности.</w:t>
            </w:r>
          </w:p>
        </w:tc>
        <w:tc>
          <w:tcPr>
            <w:tcW w:w="2159" w:type="dxa"/>
          </w:tcPr>
          <w:p w14:paraId="52230EBA" w14:textId="6D29CD00" w:rsidR="00DA0057" w:rsidRPr="0060450F" w:rsidRDefault="007D2DCA" w:rsidP="00432C41">
            <w:pPr>
              <w:autoSpaceDE w:val="0"/>
              <w:autoSpaceDN w:val="0"/>
              <w:adjustRightInd w:val="0"/>
              <w:spacing w:before="60" w:after="60"/>
              <w:rPr>
                <w:rFonts w:eastAsia="Arial"/>
                <w:sz w:val="16"/>
                <w:szCs w:val="16"/>
              </w:rPr>
            </w:pPr>
            <w:r>
              <w:rPr>
                <w:sz w:val="16"/>
              </w:rPr>
              <w:t>Согласовано</w:t>
            </w:r>
          </w:p>
        </w:tc>
        <w:tc>
          <w:tcPr>
            <w:tcW w:w="2273" w:type="dxa"/>
          </w:tcPr>
          <w:p w14:paraId="5C222507" w14:textId="38E9FEB5" w:rsidR="008C6D02" w:rsidRPr="00331B8E" w:rsidRDefault="5E737F7A" w:rsidP="00432C41">
            <w:pPr>
              <w:spacing w:before="60" w:after="60"/>
              <w:ind w:left="57" w:right="57"/>
              <w:textAlignment w:val="baseline"/>
              <w:rPr>
                <w:rFonts w:eastAsia="Times New Roman"/>
                <w:sz w:val="16"/>
                <w:szCs w:val="16"/>
              </w:rPr>
            </w:pPr>
            <w:r>
              <w:rPr>
                <w:sz w:val="16"/>
              </w:rPr>
              <w:t>ВОИС приняла участие в заседаниях Целевой группы ООН по стандартам бухгалтерского учета, присоединилась к обсуждениям Проекта стандарта (ED) Совета по МСУГС «Раскрытие связанной с климатом информации» и представила отзывы через Сеть по финансовым и бюджетным вопросам (FB Network). СМСУГС выпустил окончательный стандарт SRS 1 «Раскрытие связанной с климатом информации» в январе 2026 года; обязательная дата внедрения — 1 января 2028 года. ВОИС уже включила развернутое описание вопросов устойчивого развития в свои ежегодные финансовые ведомости.</w:t>
            </w:r>
          </w:p>
          <w:p w14:paraId="24F37714" w14:textId="77777777" w:rsidR="008C6D02" w:rsidRPr="00331B8E" w:rsidRDefault="5E737F7A" w:rsidP="00432C41">
            <w:pPr>
              <w:spacing w:before="60" w:after="60"/>
              <w:ind w:left="57" w:right="57"/>
              <w:textAlignment w:val="baseline"/>
              <w:rPr>
                <w:rFonts w:eastAsia="Times New Roman"/>
                <w:sz w:val="16"/>
                <w:szCs w:val="16"/>
              </w:rPr>
            </w:pPr>
            <w:r>
              <w:rPr>
                <w:sz w:val="16"/>
              </w:rPr>
              <w:t xml:space="preserve">ВОИС проанализирует окончательный стандарт и продолжит взаимодействие с СМСУГС, UNTFAS и Сетью по финансовым и бюджетным вопросам (FB Network). ВОИС будет придерживаться согласованного подхода всей системы ООН и продолжит раскрывать информацию об устойчивом развитии в финансовых ведомостях до тех пор, пока система </w:t>
            </w:r>
            <w:r>
              <w:rPr>
                <w:sz w:val="16"/>
              </w:rPr>
              <w:lastRenderedPageBreak/>
              <w:t>ООН не решит перейти к полному внедрению SRS 1.</w:t>
            </w:r>
          </w:p>
          <w:p w14:paraId="2B2C0592" w14:textId="77777777" w:rsidR="008C6D02" w:rsidRPr="00331B8E" w:rsidRDefault="5E737F7A" w:rsidP="00432C41">
            <w:pPr>
              <w:spacing w:before="60" w:after="60"/>
              <w:ind w:left="57" w:right="57"/>
              <w:textAlignment w:val="baseline"/>
              <w:rPr>
                <w:rFonts w:eastAsia="Times New Roman"/>
                <w:sz w:val="16"/>
                <w:szCs w:val="16"/>
              </w:rPr>
            </w:pPr>
            <w:r>
              <w:rPr>
                <w:sz w:val="16"/>
              </w:rPr>
              <w:t>Руководство считает, что данная рекомендация была выполнена.</w:t>
            </w:r>
          </w:p>
          <w:p w14:paraId="25F8DCE6" w14:textId="77777777" w:rsidR="00DA0057" w:rsidRPr="00331B8E" w:rsidRDefault="00DA0057" w:rsidP="00432C41">
            <w:pPr>
              <w:pStyle w:val="ListParagraph"/>
              <w:spacing w:before="60" w:after="60"/>
              <w:ind w:left="0"/>
              <w:contextualSpacing w:val="0"/>
              <w:rPr>
                <w:sz w:val="16"/>
                <w:szCs w:val="16"/>
              </w:rPr>
            </w:pPr>
          </w:p>
        </w:tc>
        <w:tc>
          <w:tcPr>
            <w:tcW w:w="2126" w:type="dxa"/>
          </w:tcPr>
          <w:p w14:paraId="562DAC05" w14:textId="0D24F0AF" w:rsidR="00145654" w:rsidRPr="00331B8E" w:rsidRDefault="33AD4B17" w:rsidP="00432C41">
            <w:pPr>
              <w:spacing w:before="60" w:after="60"/>
              <w:rPr>
                <w:rFonts w:eastAsia="Times New Roman"/>
                <w:sz w:val="16"/>
                <w:szCs w:val="16"/>
              </w:rPr>
            </w:pPr>
            <w:r>
              <w:rPr>
                <w:sz w:val="16"/>
              </w:rPr>
              <w:lastRenderedPageBreak/>
              <w:t>Мы отмечаем активное участие ВОИС в работе Целевой группы ООН по стандартам бухгалтерского учета, в обсуждениях Проекта стандарта (ED) СМСУГС «Раскрытие связанной с климатом информации» и в работе Сети по финансовым и бюджетным вопросам (FB Network).</w:t>
            </w:r>
          </w:p>
          <w:p w14:paraId="362FED9C" w14:textId="1E8A5969" w:rsidR="009F7690" w:rsidRDefault="00F13DCC" w:rsidP="009F7690">
            <w:pPr>
              <w:spacing w:before="60" w:after="60"/>
              <w:rPr>
                <w:rFonts w:eastAsia="Times New Roman"/>
                <w:sz w:val="16"/>
                <w:szCs w:val="16"/>
              </w:rPr>
            </w:pPr>
            <w:r>
              <w:rPr>
                <w:sz w:val="16"/>
              </w:rPr>
              <w:t>Учитывая, что соглашение о применении SRS 1 «Раскрытие связанной с климатом информации» в системе ООН так и не было достигнуто, мы считаем эту рекомендацию утратившей актуальность.</w:t>
            </w:r>
          </w:p>
          <w:p w14:paraId="573F2989" w14:textId="05423145" w:rsidR="00DA0057" w:rsidRPr="00331B8E" w:rsidRDefault="00DA0057" w:rsidP="009F7690">
            <w:pPr>
              <w:spacing w:before="60" w:after="60"/>
              <w:rPr>
                <w:sz w:val="16"/>
                <w:szCs w:val="16"/>
              </w:rPr>
            </w:pPr>
          </w:p>
        </w:tc>
        <w:tc>
          <w:tcPr>
            <w:tcW w:w="1276" w:type="dxa"/>
          </w:tcPr>
          <w:p w14:paraId="2D295FA3" w14:textId="3AB3D2B1" w:rsidR="00DA0057" w:rsidRPr="00331B8E" w:rsidRDefault="33AD4B17" w:rsidP="00432C41">
            <w:pPr>
              <w:spacing w:before="60" w:after="60"/>
              <w:rPr>
                <w:sz w:val="16"/>
                <w:szCs w:val="16"/>
              </w:rPr>
            </w:pPr>
            <w:r>
              <w:rPr>
                <w:b/>
                <w:sz w:val="16"/>
              </w:rPr>
              <w:t>Закрытые</w:t>
            </w:r>
          </w:p>
        </w:tc>
      </w:tr>
    </w:tbl>
    <w:p w14:paraId="18ED3260" w14:textId="77777777" w:rsidR="00E96ABD" w:rsidRPr="00310BF2" w:rsidRDefault="00E96ABD" w:rsidP="00A76200">
      <w:pPr>
        <w:rPr>
          <w:rFonts w:ascii="Times New Roman" w:hAnsi="Times New Roman" w:cs="Times New Roman"/>
        </w:rPr>
        <w:sectPr w:rsidR="00E96ABD" w:rsidRPr="00310BF2" w:rsidSect="00532A21">
          <w:headerReference w:type="even" r:id="rId29"/>
          <w:headerReference w:type="default" r:id="rId30"/>
          <w:footerReference w:type="default" r:id="rId31"/>
          <w:headerReference w:type="first" r:id="rId32"/>
          <w:pgSz w:w="16838" w:h="11906" w:orient="landscape" w:code="9"/>
          <w:pgMar w:top="1170" w:right="1245" w:bottom="1170" w:left="1814" w:header="709" w:footer="680" w:gutter="0"/>
          <w:pgNumType w:start="1"/>
          <w:cols w:space="708"/>
          <w:titlePg/>
          <w:docGrid w:linePitch="360"/>
        </w:sectPr>
      </w:pPr>
    </w:p>
    <w:p w14:paraId="267CFAD0" w14:textId="5C04E200" w:rsidR="005333E6" w:rsidRDefault="005333E6" w:rsidP="0060450F">
      <w:pPr>
        <w:pStyle w:val="Heading6"/>
        <w:jc w:val="center"/>
      </w:pPr>
      <w:bookmarkStart w:id="229" w:name="_Toc222223530"/>
      <w:bookmarkStart w:id="230" w:name="_Toc227826049"/>
      <w:bookmarkStart w:id="231" w:name="_Toc230784941"/>
      <w:r>
        <w:lastRenderedPageBreak/>
        <w:t xml:space="preserve">Приложение 2. Список </w:t>
      </w:r>
      <w:bookmarkEnd w:id="229"/>
      <w:r>
        <w:t>сокращений</w:t>
      </w:r>
      <w:bookmarkEnd w:id="230"/>
      <w:bookmarkEnd w:id="231"/>
    </w:p>
    <w:p w14:paraId="425EF6D6" w14:textId="77777777" w:rsidR="00B44F8B" w:rsidRPr="00B44F8B" w:rsidRDefault="00B44F8B" w:rsidP="00B44F8B"/>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655"/>
      </w:tblGrid>
      <w:tr w:rsidR="00E95C23" w:rsidRPr="0060450F" w14:paraId="6316900B" w14:textId="77777777" w:rsidTr="00FF3B92">
        <w:tc>
          <w:tcPr>
            <w:tcW w:w="1985" w:type="dxa"/>
          </w:tcPr>
          <w:p w14:paraId="5B68B062" w14:textId="0B566008" w:rsidR="00E95C23" w:rsidRPr="0060450F" w:rsidRDefault="79374EB5" w:rsidP="007E6D8F">
            <w:pPr>
              <w:spacing w:before="40"/>
              <w:rPr>
                <w:rFonts w:ascii="Times New Roman" w:eastAsiaTheme="majorEastAsia" w:hAnsi="Times New Roman" w:cs="Times New Roman"/>
              </w:rPr>
            </w:pPr>
            <w:r>
              <w:rPr>
                <w:rFonts w:ascii="Times New Roman" w:hAnsi="Times New Roman"/>
              </w:rPr>
              <w:t>ККИ</w:t>
            </w:r>
          </w:p>
        </w:tc>
        <w:tc>
          <w:tcPr>
            <w:tcW w:w="283" w:type="dxa"/>
          </w:tcPr>
          <w:p w14:paraId="5A438C52" w14:textId="71EDFDA0"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C6B1521" w14:textId="71E84ACC" w:rsidR="00E95C23" w:rsidRPr="0060450F" w:rsidRDefault="79374EB5" w:rsidP="007E6D8F">
            <w:pPr>
              <w:spacing w:before="40"/>
              <w:rPr>
                <w:rFonts w:ascii="Times New Roman" w:eastAsia="Times New Roman" w:hAnsi="Times New Roman" w:cs="Times New Roman"/>
              </w:rPr>
            </w:pPr>
            <w:r>
              <w:rPr>
                <w:rFonts w:ascii="Times New Roman" w:hAnsi="Times New Roman"/>
              </w:rPr>
              <w:t>Консультативный комитет по инвестициям</w:t>
            </w:r>
          </w:p>
        </w:tc>
      </w:tr>
      <w:tr w:rsidR="66DE4C64" w:rsidRPr="0060450F" w14:paraId="191E0ADC" w14:textId="77777777" w:rsidTr="00FF3B92">
        <w:trPr>
          <w:trHeight w:val="300"/>
        </w:trPr>
        <w:tc>
          <w:tcPr>
            <w:tcW w:w="1985" w:type="dxa"/>
          </w:tcPr>
          <w:p w14:paraId="5D484938" w14:textId="5AD125C4" w:rsidR="5FD1FE2E" w:rsidRPr="0060450F" w:rsidRDefault="5FD1FE2E" w:rsidP="007E6D8F">
            <w:pPr>
              <w:spacing w:before="40"/>
              <w:rPr>
                <w:rFonts w:ascii="Times New Roman" w:eastAsiaTheme="majorEastAsia" w:hAnsi="Times New Roman" w:cs="Times New Roman"/>
              </w:rPr>
            </w:pPr>
            <w:r>
              <w:rPr>
                <w:rFonts w:ascii="Times New Roman" w:hAnsi="Times New Roman"/>
              </w:rPr>
              <w:t>ИИ</w:t>
            </w:r>
          </w:p>
        </w:tc>
        <w:tc>
          <w:tcPr>
            <w:tcW w:w="283" w:type="dxa"/>
          </w:tcPr>
          <w:p w14:paraId="40C5AA64" w14:textId="533D12FB" w:rsidR="5FD1FE2E" w:rsidRPr="0060450F" w:rsidRDefault="5FD1FE2E"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0CCB25EE" w14:textId="2A0B2E56" w:rsidR="5FD1FE2E" w:rsidRPr="0060450F" w:rsidRDefault="5FD1FE2E" w:rsidP="007E6D8F">
            <w:pPr>
              <w:spacing w:before="40"/>
              <w:rPr>
                <w:rFonts w:ascii="Times New Roman" w:hAnsi="Times New Roman" w:cs="Times New Roman"/>
              </w:rPr>
            </w:pPr>
            <w:r>
              <w:rPr>
                <w:rFonts w:ascii="Times New Roman" w:hAnsi="Times New Roman"/>
              </w:rPr>
              <w:t>Искусственный интеллект</w:t>
            </w:r>
          </w:p>
        </w:tc>
      </w:tr>
      <w:tr w:rsidR="00E95C23" w:rsidRPr="0060450F" w14:paraId="1E842B7C" w14:textId="77777777" w:rsidTr="00FF3B92">
        <w:tc>
          <w:tcPr>
            <w:tcW w:w="1985" w:type="dxa"/>
          </w:tcPr>
          <w:p w14:paraId="73A0D5FA"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 xml:space="preserve">СУАИ </w:t>
            </w:r>
          </w:p>
        </w:tc>
        <w:tc>
          <w:tcPr>
            <w:tcW w:w="283" w:type="dxa"/>
          </w:tcPr>
          <w:p w14:paraId="7C3DCBCE"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9C0A4EE" w14:textId="77777777" w:rsidR="00E95C23" w:rsidRPr="0060450F" w:rsidRDefault="6480D3C6" w:rsidP="007E6D8F">
            <w:pPr>
              <w:spacing w:before="40"/>
              <w:rPr>
                <w:rFonts w:ascii="Times New Roman" w:eastAsia="Times New Roman" w:hAnsi="Times New Roman" w:cs="Times New Roman"/>
              </w:rPr>
            </w:pPr>
            <w:r>
              <w:rPr>
                <w:rFonts w:ascii="Times New Roman" w:hAnsi="Times New Roman"/>
              </w:rPr>
              <w:t>Система управления административной информацией</w:t>
            </w:r>
          </w:p>
        </w:tc>
      </w:tr>
      <w:tr w:rsidR="00E95C23" w:rsidRPr="0060450F" w14:paraId="38EA7F06" w14:textId="77777777" w:rsidTr="00FF3B92">
        <w:tc>
          <w:tcPr>
            <w:tcW w:w="1985" w:type="dxa"/>
          </w:tcPr>
          <w:p w14:paraId="4F84F289"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МСПС</w:t>
            </w:r>
          </w:p>
        </w:tc>
        <w:tc>
          <w:tcPr>
            <w:tcW w:w="283" w:type="dxa"/>
          </w:tcPr>
          <w:p w14:paraId="3A595E57"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11851104" w14:textId="77777777" w:rsidR="00E95C23" w:rsidRPr="0060450F" w:rsidRDefault="6480D3C6" w:rsidP="007E6D8F">
            <w:pPr>
              <w:spacing w:before="40"/>
              <w:rPr>
                <w:rFonts w:ascii="Times New Roman" w:hAnsi="Times New Roman" w:cs="Times New Roman"/>
              </w:rPr>
            </w:pPr>
            <w:r>
              <w:rPr>
                <w:rFonts w:ascii="Times New Roman" w:hAnsi="Times New Roman"/>
              </w:rPr>
              <w:t xml:space="preserve">Медицинское страхование после прекращения службы </w:t>
            </w:r>
          </w:p>
        </w:tc>
      </w:tr>
      <w:tr w:rsidR="009B21E4" w:rsidRPr="0060450F" w14:paraId="1CE7321A" w14:textId="77777777" w:rsidTr="00FF3B92">
        <w:tc>
          <w:tcPr>
            <w:tcW w:w="1985" w:type="dxa"/>
          </w:tcPr>
          <w:p w14:paraId="13676DC8" w14:textId="1FC3CD34" w:rsidR="009B21E4" w:rsidRPr="0060450F" w:rsidRDefault="79374EB5" w:rsidP="007E6D8F">
            <w:pPr>
              <w:spacing w:before="40"/>
              <w:rPr>
                <w:rFonts w:ascii="Times New Roman" w:eastAsiaTheme="majorEastAsia" w:hAnsi="Times New Roman" w:cs="Times New Roman"/>
              </w:rPr>
            </w:pPr>
            <w:r>
              <w:rPr>
                <w:rFonts w:ascii="Times New Roman" w:hAnsi="Times New Roman"/>
              </w:rPr>
              <w:t>СБО:</w:t>
            </w:r>
          </w:p>
        </w:tc>
        <w:tc>
          <w:tcPr>
            <w:tcW w:w="283" w:type="dxa"/>
          </w:tcPr>
          <w:p w14:paraId="01EB3A7F" w14:textId="35A400E2" w:rsidR="009B21E4" w:rsidRPr="0060450F" w:rsidRDefault="79374EB5"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82FCD63" w14:textId="1ECA3297" w:rsidR="009B21E4" w:rsidRPr="0060450F" w:rsidRDefault="79374EB5" w:rsidP="007E6D8F">
            <w:pPr>
              <w:spacing w:before="40"/>
              <w:rPr>
                <w:rStyle w:val="normaltextrun"/>
                <w:rFonts w:ascii="Times New Roman" w:hAnsi="Times New Roman" w:cs="Times New Roman"/>
              </w:rPr>
            </w:pPr>
            <w:r>
              <w:rPr>
                <w:rStyle w:val="normaltextrun"/>
                <w:rFonts w:ascii="Times New Roman" w:hAnsi="Times New Roman"/>
              </w:rPr>
              <w:t>Сектор брендов и образцов</w:t>
            </w:r>
          </w:p>
        </w:tc>
      </w:tr>
      <w:tr w:rsidR="004F118A" w:rsidRPr="0060450F" w14:paraId="23D026FD" w14:textId="77777777" w:rsidTr="00FF3B92">
        <w:tc>
          <w:tcPr>
            <w:tcW w:w="1985" w:type="dxa"/>
          </w:tcPr>
          <w:p w14:paraId="6C6A1B60" w14:textId="1E41BEF8" w:rsidR="004F118A" w:rsidRPr="0060450F" w:rsidRDefault="004F118A" w:rsidP="007E6D8F">
            <w:pPr>
              <w:spacing w:before="40"/>
              <w:rPr>
                <w:rFonts w:ascii="Times New Roman" w:eastAsiaTheme="majorEastAsia" w:hAnsi="Times New Roman" w:cs="Times New Roman"/>
              </w:rPr>
            </w:pPr>
            <w:r>
              <w:rPr>
                <w:rFonts w:ascii="Times New Roman" w:hAnsi="Times New Roman"/>
              </w:rPr>
              <w:t>СУЗ</w:t>
            </w:r>
          </w:p>
        </w:tc>
        <w:tc>
          <w:tcPr>
            <w:tcW w:w="283" w:type="dxa"/>
          </w:tcPr>
          <w:p w14:paraId="3DA92D82" w14:textId="5B47E897" w:rsidR="004F118A" w:rsidRPr="0060450F" w:rsidRDefault="004F118A"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1E43A2FB" w14:textId="16C1BC5D" w:rsidR="004F118A" w:rsidRPr="0060450F" w:rsidRDefault="004F118A" w:rsidP="007E6D8F">
            <w:pPr>
              <w:spacing w:before="40"/>
              <w:rPr>
                <w:rStyle w:val="normaltextrun"/>
                <w:rFonts w:ascii="Times New Roman" w:hAnsi="Times New Roman" w:cs="Times New Roman"/>
              </w:rPr>
            </w:pPr>
            <w:r>
              <w:rPr>
                <w:rStyle w:val="normaltextrun"/>
                <w:rFonts w:ascii="Times New Roman" w:hAnsi="Times New Roman"/>
              </w:rPr>
              <w:t>Система управления зданиями</w:t>
            </w:r>
          </w:p>
        </w:tc>
      </w:tr>
      <w:tr w:rsidR="00E95C23" w:rsidRPr="0060450F" w14:paraId="3ECD4D5B" w14:textId="77777777" w:rsidTr="00FF3B92">
        <w:tc>
          <w:tcPr>
            <w:tcW w:w="1985" w:type="dxa"/>
          </w:tcPr>
          <w:p w14:paraId="48E763FA"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BPK</w:t>
            </w:r>
          </w:p>
        </w:tc>
        <w:tc>
          <w:tcPr>
            <w:tcW w:w="283" w:type="dxa"/>
          </w:tcPr>
          <w:p w14:paraId="6FF35AFD"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5F68EB3"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Badan Pemeriksa Keuangan (Ревизионный совет Республики Индонезия)</w:t>
            </w:r>
          </w:p>
        </w:tc>
      </w:tr>
      <w:tr w:rsidR="00FA1CF1" w:rsidRPr="0060450F" w14:paraId="66707BF7" w14:textId="77777777" w:rsidTr="00FF3B92">
        <w:tc>
          <w:tcPr>
            <w:tcW w:w="1985" w:type="dxa"/>
          </w:tcPr>
          <w:p w14:paraId="4AE5D927" w14:textId="62DDFF3E" w:rsidR="00FA1CF1" w:rsidRPr="0060450F" w:rsidRDefault="00FA1CF1" w:rsidP="007E6D8F">
            <w:pPr>
              <w:spacing w:before="40"/>
              <w:rPr>
                <w:rFonts w:ascii="Times New Roman" w:eastAsiaTheme="majorEastAsia" w:hAnsi="Times New Roman" w:cs="Times New Roman"/>
              </w:rPr>
            </w:pPr>
            <w:r>
              <w:rPr>
                <w:rFonts w:ascii="Times New Roman" w:hAnsi="Times New Roman"/>
              </w:rPr>
              <w:t>ДС</w:t>
            </w:r>
          </w:p>
        </w:tc>
        <w:tc>
          <w:tcPr>
            <w:tcW w:w="283" w:type="dxa"/>
          </w:tcPr>
          <w:p w14:paraId="6EC88402" w14:textId="367D9744" w:rsidR="00FA1CF1" w:rsidRPr="0060450F" w:rsidRDefault="00FA1CF1"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1D7D2E93" w14:textId="16FAD34B" w:rsidR="00FA1CF1" w:rsidRPr="0060450F" w:rsidRDefault="00FA1CF1" w:rsidP="007E6D8F">
            <w:pPr>
              <w:spacing w:before="40"/>
              <w:rPr>
                <w:rFonts w:ascii="Times New Roman" w:eastAsiaTheme="majorEastAsia" w:hAnsi="Times New Roman" w:cs="Times New Roman"/>
              </w:rPr>
            </w:pPr>
            <w:r>
              <w:rPr>
                <w:rFonts w:ascii="Times New Roman" w:hAnsi="Times New Roman"/>
              </w:rPr>
              <w:t>Договаривающаяся сторона</w:t>
            </w:r>
          </w:p>
        </w:tc>
      </w:tr>
      <w:tr w:rsidR="00AD3142" w:rsidRPr="0060450F" w14:paraId="75DF3F70" w14:textId="77777777" w:rsidTr="00FF3B92">
        <w:tc>
          <w:tcPr>
            <w:tcW w:w="1985" w:type="dxa"/>
          </w:tcPr>
          <w:p w14:paraId="5C0546A1" w14:textId="3A6FA8C4" w:rsidR="00AD3142" w:rsidRPr="0060450F" w:rsidRDefault="00AD3142" w:rsidP="007E6D8F">
            <w:pPr>
              <w:spacing w:before="40"/>
              <w:rPr>
                <w:rFonts w:ascii="Times New Roman" w:eastAsiaTheme="majorEastAsia" w:hAnsi="Times New Roman" w:cs="Times New Roman"/>
              </w:rPr>
            </w:pPr>
            <w:r>
              <w:rPr>
                <w:rFonts w:ascii="Times New Roman" w:hAnsi="Times New Roman"/>
              </w:rPr>
              <w:t>CSD</w:t>
            </w:r>
          </w:p>
        </w:tc>
        <w:tc>
          <w:tcPr>
            <w:tcW w:w="283" w:type="dxa"/>
          </w:tcPr>
          <w:p w14:paraId="5173743D" w14:textId="68AA3AE5" w:rsidR="00AD3142" w:rsidRPr="0060450F" w:rsidRDefault="00AD3142"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553F3BA0" w14:textId="7F26E4A0" w:rsidR="00AD3142" w:rsidRPr="0060450F" w:rsidRDefault="00AD3142" w:rsidP="007E6D8F">
            <w:pPr>
              <w:spacing w:before="40"/>
              <w:rPr>
                <w:rFonts w:ascii="Times New Roman" w:eastAsiaTheme="majorEastAsia" w:hAnsi="Times New Roman" w:cs="Times New Roman"/>
              </w:rPr>
            </w:pPr>
            <w:r>
              <w:rPr>
                <w:rFonts w:ascii="Times New Roman" w:hAnsi="Times New Roman"/>
              </w:rPr>
              <w:t>Отдел централизованных услуг</w:t>
            </w:r>
          </w:p>
        </w:tc>
      </w:tr>
      <w:tr w:rsidR="00E95C23" w:rsidRPr="0060450F" w14:paraId="3684FF9A" w14:textId="77777777" w:rsidTr="00FF3B92">
        <w:trPr>
          <w:trHeight w:val="269"/>
        </w:trPr>
        <w:tc>
          <w:tcPr>
            <w:tcW w:w="1985" w:type="dxa"/>
          </w:tcPr>
          <w:p w14:paraId="651D7E36"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ED</w:t>
            </w:r>
          </w:p>
        </w:tc>
        <w:tc>
          <w:tcPr>
            <w:tcW w:w="283" w:type="dxa"/>
          </w:tcPr>
          <w:p w14:paraId="377FDBDF"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F22D653" w14:textId="77777777" w:rsidR="00E95C23" w:rsidRPr="0060450F" w:rsidRDefault="6480D3C6" w:rsidP="007E6D8F">
            <w:pPr>
              <w:spacing w:before="40"/>
              <w:rPr>
                <w:rStyle w:val="normaltextrun"/>
                <w:rFonts w:ascii="Times New Roman" w:hAnsi="Times New Roman" w:cs="Times New Roman"/>
              </w:rPr>
            </w:pPr>
            <w:r>
              <w:rPr>
                <w:rStyle w:val="normaltextrun"/>
                <w:rFonts w:ascii="Times New Roman" w:hAnsi="Times New Roman"/>
              </w:rPr>
              <w:t>Проект стандарта</w:t>
            </w:r>
          </w:p>
        </w:tc>
      </w:tr>
      <w:tr w:rsidR="00E95C23" w:rsidRPr="0060450F" w14:paraId="1188CDBE" w14:textId="77777777" w:rsidTr="00FF3B92">
        <w:tc>
          <w:tcPr>
            <w:tcW w:w="1985" w:type="dxa"/>
          </w:tcPr>
          <w:p w14:paraId="274E7B6E"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ОР</w:t>
            </w:r>
          </w:p>
        </w:tc>
        <w:tc>
          <w:tcPr>
            <w:tcW w:w="283" w:type="dxa"/>
          </w:tcPr>
          <w:p w14:paraId="08E2058E"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1FBBCD9" w14:textId="77777777" w:rsidR="00E95C23" w:rsidRPr="0060450F" w:rsidRDefault="6480D3C6" w:rsidP="007E6D8F">
            <w:pPr>
              <w:spacing w:before="40"/>
              <w:rPr>
                <w:rFonts w:ascii="Times New Roman" w:eastAsia="Times New Roman" w:hAnsi="Times New Roman" w:cs="Times New Roman"/>
              </w:rPr>
            </w:pPr>
            <w:r>
              <w:rPr>
                <w:rStyle w:val="normaltextrun"/>
                <w:rFonts w:ascii="Times New Roman" w:hAnsi="Times New Roman"/>
              </w:rPr>
              <w:t>Ожидаемые результаты</w:t>
            </w:r>
          </w:p>
        </w:tc>
      </w:tr>
      <w:tr w:rsidR="00E95C23" w:rsidRPr="0060450F" w14:paraId="571C91CF" w14:textId="77777777" w:rsidTr="00FF3B92">
        <w:tc>
          <w:tcPr>
            <w:tcW w:w="1985" w:type="dxa"/>
          </w:tcPr>
          <w:p w14:paraId="48499DA2"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ПОР</w:t>
            </w:r>
          </w:p>
        </w:tc>
        <w:tc>
          <w:tcPr>
            <w:tcW w:w="283" w:type="dxa"/>
          </w:tcPr>
          <w:p w14:paraId="4B311EC0"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6758FDB" w14:textId="77777777" w:rsidR="00E95C23" w:rsidRPr="0060450F" w:rsidRDefault="6480D3C6" w:rsidP="007E6D8F">
            <w:pPr>
              <w:spacing w:before="40"/>
              <w:rPr>
                <w:rFonts w:ascii="Times New Roman" w:eastAsia="Times New Roman" w:hAnsi="Times New Roman" w:cs="Times New Roman"/>
              </w:rPr>
            </w:pPr>
            <w:r>
              <w:rPr>
                <w:rFonts w:ascii="Times New Roman" w:hAnsi="Times New Roman"/>
              </w:rPr>
              <w:t>Планирование общеорганизационных ресурсов</w:t>
            </w:r>
          </w:p>
        </w:tc>
      </w:tr>
      <w:tr w:rsidR="009B21E4" w:rsidRPr="0060450F" w14:paraId="34718B02" w14:textId="77777777" w:rsidTr="00FF3B92">
        <w:tc>
          <w:tcPr>
            <w:tcW w:w="1985" w:type="dxa"/>
          </w:tcPr>
          <w:p w14:paraId="457FE015" w14:textId="3A5CA6DA" w:rsidR="009B21E4" w:rsidRPr="0060450F" w:rsidRDefault="79374EB5" w:rsidP="007E6D8F">
            <w:pPr>
              <w:spacing w:before="40"/>
              <w:rPr>
                <w:rFonts w:ascii="Times New Roman" w:eastAsia="Times New Roman" w:hAnsi="Times New Roman" w:cs="Times New Roman"/>
              </w:rPr>
            </w:pPr>
            <w:r>
              <w:rPr>
                <w:rFonts w:ascii="Times New Roman" w:hAnsi="Times New Roman"/>
              </w:rPr>
              <w:t>ФПП</w:t>
            </w:r>
          </w:p>
        </w:tc>
        <w:tc>
          <w:tcPr>
            <w:tcW w:w="283" w:type="dxa"/>
          </w:tcPr>
          <w:p w14:paraId="55C45281" w14:textId="0F79C04E" w:rsidR="009B21E4" w:rsidRPr="0060450F" w:rsidRDefault="79374EB5"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79E06A3" w14:textId="42C36D7E" w:rsidR="009B21E4" w:rsidRPr="0060450F" w:rsidRDefault="79374EB5" w:rsidP="007E6D8F">
            <w:pPr>
              <w:spacing w:before="40"/>
              <w:rPr>
                <w:rFonts w:ascii="Times New Roman" w:eastAsia="Times New Roman" w:hAnsi="Times New Roman" w:cs="Times New Roman"/>
              </w:rPr>
            </w:pPr>
            <w:r>
              <w:rPr>
                <w:rFonts w:ascii="Times New Roman" w:hAnsi="Times New Roman"/>
              </w:rPr>
              <w:t xml:space="preserve">Финансовые положения и правила </w:t>
            </w:r>
          </w:p>
        </w:tc>
      </w:tr>
      <w:tr w:rsidR="00E95C23" w:rsidRPr="0060450F" w14:paraId="4C5740FA" w14:textId="77777777" w:rsidTr="00FF3B92">
        <w:tc>
          <w:tcPr>
            <w:tcW w:w="1985" w:type="dxa"/>
          </w:tcPr>
          <w:p w14:paraId="7F9B9543" w14:textId="121FABCD" w:rsidR="00E95C23" w:rsidRPr="0060450F" w:rsidRDefault="79374EB5" w:rsidP="007E6D8F">
            <w:pPr>
              <w:spacing w:before="40"/>
              <w:rPr>
                <w:rFonts w:ascii="Times New Roman" w:eastAsia="Times New Roman" w:hAnsi="Times New Roman" w:cs="Times New Roman"/>
              </w:rPr>
            </w:pPr>
            <w:r>
              <w:rPr>
                <w:rFonts w:ascii="Times New Roman" w:hAnsi="Times New Roman"/>
              </w:rPr>
              <w:t>ГБДБ</w:t>
            </w:r>
          </w:p>
        </w:tc>
        <w:tc>
          <w:tcPr>
            <w:tcW w:w="283" w:type="dxa"/>
          </w:tcPr>
          <w:p w14:paraId="0EBA2C5F" w14:textId="39BF8A90"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1744FAD3" w14:textId="3688E9EB" w:rsidR="00E95C23" w:rsidRPr="0060450F" w:rsidRDefault="79374EB5" w:rsidP="007E6D8F">
            <w:pPr>
              <w:spacing w:before="40"/>
              <w:rPr>
                <w:rFonts w:ascii="Times New Roman" w:eastAsia="Times New Roman" w:hAnsi="Times New Roman" w:cs="Times New Roman"/>
              </w:rPr>
            </w:pPr>
            <w:r>
              <w:rPr>
                <w:rFonts w:ascii="Times New Roman" w:hAnsi="Times New Roman"/>
              </w:rPr>
              <w:t>Глобальная база данных по брендам</w:t>
            </w:r>
          </w:p>
        </w:tc>
      </w:tr>
      <w:tr w:rsidR="009B21E4" w:rsidRPr="0060450F" w14:paraId="05A1F3A8" w14:textId="77777777" w:rsidTr="00FF3B92">
        <w:tc>
          <w:tcPr>
            <w:tcW w:w="1985" w:type="dxa"/>
          </w:tcPr>
          <w:p w14:paraId="10D940DE" w14:textId="255E7DD3" w:rsidR="009B21E4" w:rsidRPr="0060450F" w:rsidRDefault="79374EB5" w:rsidP="007E6D8F">
            <w:pPr>
              <w:spacing w:before="40"/>
              <w:rPr>
                <w:rFonts w:ascii="Times New Roman" w:eastAsia="Times New Roman" w:hAnsi="Times New Roman" w:cs="Times New Roman"/>
              </w:rPr>
            </w:pPr>
            <w:r>
              <w:rPr>
                <w:rFonts w:ascii="Times New Roman" w:hAnsi="Times New Roman"/>
              </w:rPr>
              <w:t>ГБДО</w:t>
            </w:r>
          </w:p>
        </w:tc>
        <w:tc>
          <w:tcPr>
            <w:tcW w:w="283" w:type="dxa"/>
          </w:tcPr>
          <w:p w14:paraId="799A3F50" w14:textId="350DD055" w:rsidR="009B21E4" w:rsidRPr="0060450F" w:rsidRDefault="79374EB5"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2D7BE8E2" w14:textId="5A3B838B" w:rsidR="009B21E4" w:rsidRPr="0060450F" w:rsidRDefault="79374EB5" w:rsidP="007E6D8F">
            <w:pPr>
              <w:spacing w:before="40"/>
              <w:rPr>
                <w:rFonts w:ascii="Times New Roman" w:eastAsia="Times New Roman" w:hAnsi="Times New Roman" w:cs="Times New Roman"/>
              </w:rPr>
            </w:pPr>
            <w:r>
              <w:rPr>
                <w:rFonts w:ascii="Times New Roman" w:hAnsi="Times New Roman"/>
              </w:rPr>
              <w:t>Глобальная база данных по образцам</w:t>
            </w:r>
          </w:p>
        </w:tc>
      </w:tr>
      <w:tr w:rsidR="00FA1CF1" w:rsidRPr="0060450F" w14:paraId="2C74A48C" w14:textId="77777777" w:rsidTr="00FF3B92">
        <w:tc>
          <w:tcPr>
            <w:tcW w:w="1985" w:type="dxa"/>
          </w:tcPr>
          <w:p w14:paraId="5FE48E2D" w14:textId="3B645AA3" w:rsidR="00FA1CF1" w:rsidRPr="0060450F" w:rsidRDefault="00FA1CF1" w:rsidP="007E6D8F">
            <w:pPr>
              <w:spacing w:before="40"/>
              <w:rPr>
                <w:rFonts w:ascii="Times New Roman" w:eastAsia="Times New Roman" w:hAnsi="Times New Roman" w:cs="Times New Roman"/>
              </w:rPr>
            </w:pPr>
            <w:r>
              <w:rPr>
                <w:rFonts w:ascii="Times New Roman" w:hAnsi="Times New Roman"/>
              </w:rPr>
              <w:t>ДЛВЗ</w:t>
            </w:r>
          </w:p>
        </w:tc>
        <w:tc>
          <w:tcPr>
            <w:tcW w:w="283" w:type="dxa"/>
          </w:tcPr>
          <w:p w14:paraId="5E2F499C" w14:textId="746575EB" w:rsidR="00FA1CF1" w:rsidRPr="0060450F" w:rsidRDefault="00FA1CF1"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5727C9C6" w14:textId="7522885B" w:rsidR="00FA1CF1" w:rsidRPr="0060450F" w:rsidRDefault="00FA1CF1" w:rsidP="007E6D8F">
            <w:pPr>
              <w:spacing w:before="40"/>
              <w:rPr>
                <w:rFonts w:ascii="Times New Roman" w:eastAsia="Times New Roman" w:hAnsi="Times New Roman" w:cs="Times New Roman"/>
              </w:rPr>
            </w:pPr>
            <w:r>
              <w:rPr>
                <w:rFonts w:ascii="Times New Roman" w:hAnsi="Times New Roman"/>
              </w:rPr>
              <w:t>Должностное лицо высокого уровня по вопросам закупок</w:t>
            </w:r>
          </w:p>
        </w:tc>
      </w:tr>
      <w:tr w:rsidR="00775B8E" w:rsidRPr="0060450F" w14:paraId="7BBE0DCA" w14:textId="77777777" w:rsidTr="00FF3B92">
        <w:tc>
          <w:tcPr>
            <w:tcW w:w="1985" w:type="dxa"/>
          </w:tcPr>
          <w:p w14:paraId="7ED9CF13" w14:textId="0E892DA9" w:rsidR="00775B8E" w:rsidRPr="0060450F" w:rsidRDefault="00775B8E" w:rsidP="007E6D8F">
            <w:pPr>
              <w:spacing w:before="40"/>
              <w:rPr>
                <w:rFonts w:ascii="Times New Roman" w:eastAsiaTheme="majorEastAsia" w:hAnsi="Times New Roman" w:cs="Times New Roman"/>
              </w:rPr>
            </w:pPr>
            <w:r>
              <w:rPr>
                <w:rFonts w:ascii="Times New Roman" w:hAnsi="Times New Roman"/>
              </w:rPr>
              <w:t>IC</w:t>
            </w:r>
          </w:p>
        </w:tc>
        <w:tc>
          <w:tcPr>
            <w:tcW w:w="283" w:type="dxa"/>
          </w:tcPr>
          <w:p w14:paraId="04EA13C0" w14:textId="3FA95DB3" w:rsidR="00775B8E" w:rsidRPr="0060450F" w:rsidRDefault="00775B8E"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23046C5E" w14:textId="4FA39B7E" w:rsidR="00775B8E" w:rsidRPr="0060450F" w:rsidRDefault="00775B8E" w:rsidP="007E6D8F">
            <w:pPr>
              <w:spacing w:before="40"/>
              <w:rPr>
                <w:rFonts w:ascii="Times New Roman" w:eastAsia="Times New Roman" w:hAnsi="Times New Roman" w:cs="Times New Roman"/>
              </w:rPr>
            </w:pPr>
            <w:r>
              <w:rPr>
                <w:rFonts w:ascii="Times New Roman" w:hAnsi="Times New Roman"/>
              </w:rPr>
              <w:t>Информационный циркуляр</w:t>
            </w:r>
          </w:p>
        </w:tc>
      </w:tr>
      <w:tr w:rsidR="00AD3142" w:rsidRPr="0060450F" w14:paraId="34714624" w14:textId="77777777" w:rsidTr="00FF3B92">
        <w:tc>
          <w:tcPr>
            <w:tcW w:w="1985" w:type="dxa"/>
          </w:tcPr>
          <w:p w14:paraId="7C25B72A" w14:textId="17E2471A" w:rsidR="00AD3142" w:rsidRPr="0060450F" w:rsidRDefault="00AD3142" w:rsidP="007E6D8F">
            <w:pPr>
              <w:spacing w:before="40"/>
              <w:rPr>
                <w:rFonts w:ascii="Times New Roman" w:eastAsiaTheme="majorEastAsia" w:hAnsi="Times New Roman" w:cs="Times New Roman"/>
              </w:rPr>
            </w:pPr>
            <w:r>
              <w:rPr>
                <w:rFonts w:ascii="Times New Roman" w:hAnsi="Times New Roman"/>
              </w:rPr>
              <w:t>УИП</w:t>
            </w:r>
          </w:p>
        </w:tc>
        <w:tc>
          <w:tcPr>
            <w:tcW w:w="283" w:type="dxa"/>
          </w:tcPr>
          <w:p w14:paraId="4DF0C077" w14:textId="5ECE8051" w:rsidR="00AD3142" w:rsidRPr="0060450F" w:rsidRDefault="00AD3142"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281478F6" w14:textId="3BC44C0F" w:rsidR="00AD3142" w:rsidRPr="0060450F" w:rsidRDefault="00AD3142" w:rsidP="007E6D8F">
            <w:pPr>
              <w:spacing w:before="40"/>
              <w:rPr>
                <w:rFonts w:ascii="Times New Roman" w:eastAsia="Times New Roman" w:hAnsi="Times New Roman" w:cs="Times New Roman"/>
              </w:rPr>
            </w:pPr>
            <w:r>
              <w:rPr>
                <w:rFonts w:ascii="Times New Roman" w:hAnsi="Times New Roman"/>
              </w:rPr>
              <w:t>Услуги по контрактам с индивидуальными подрядчиками</w:t>
            </w:r>
          </w:p>
        </w:tc>
      </w:tr>
      <w:tr w:rsidR="00E95C23" w:rsidRPr="0060450F" w14:paraId="2982ED58" w14:textId="77777777" w:rsidTr="00FF3B92">
        <w:tc>
          <w:tcPr>
            <w:tcW w:w="1985" w:type="dxa"/>
          </w:tcPr>
          <w:p w14:paraId="59C94289"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ОВН</w:t>
            </w:r>
          </w:p>
        </w:tc>
        <w:tc>
          <w:tcPr>
            <w:tcW w:w="283" w:type="dxa"/>
          </w:tcPr>
          <w:p w14:paraId="190A5AF0"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D4F6282" w14:textId="77777777" w:rsidR="00E95C23" w:rsidRPr="0060450F" w:rsidRDefault="6480D3C6" w:rsidP="007E6D8F">
            <w:pPr>
              <w:spacing w:before="40"/>
              <w:rPr>
                <w:rFonts w:ascii="Times New Roman" w:eastAsia="Times New Roman" w:hAnsi="Times New Roman" w:cs="Times New Roman"/>
              </w:rPr>
            </w:pPr>
            <w:r>
              <w:rPr>
                <w:rFonts w:ascii="Times New Roman" w:hAnsi="Times New Roman"/>
              </w:rPr>
              <w:t>Отдел внутреннего надзора</w:t>
            </w:r>
          </w:p>
        </w:tc>
      </w:tr>
      <w:tr w:rsidR="00E95C23" w:rsidRPr="0060450F" w14:paraId="1C95F918" w14:textId="77777777" w:rsidTr="00FF3B92">
        <w:tc>
          <w:tcPr>
            <w:tcW w:w="1985" w:type="dxa"/>
          </w:tcPr>
          <w:p w14:paraId="1ED813D3"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СИП</w:t>
            </w:r>
          </w:p>
        </w:tc>
        <w:tc>
          <w:tcPr>
            <w:tcW w:w="283" w:type="dxa"/>
          </w:tcPr>
          <w:p w14:paraId="627D4ABC"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7BA8FA44" w14:textId="77777777" w:rsidR="00E95C23" w:rsidRPr="0060450F" w:rsidRDefault="6480D3C6" w:rsidP="007E6D8F">
            <w:pPr>
              <w:spacing w:before="40"/>
              <w:rPr>
                <w:rFonts w:ascii="Times New Roman" w:eastAsia="Times New Roman" w:hAnsi="Times New Roman" w:cs="Times New Roman"/>
              </w:rPr>
            </w:pPr>
            <w:r>
              <w:rPr>
                <w:rStyle w:val="normaltextrun"/>
                <w:rFonts w:ascii="Times New Roman" w:hAnsi="Times New Roman"/>
              </w:rPr>
              <w:t xml:space="preserve">Интеллектуальная собственность </w:t>
            </w:r>
          </w:p>
        </w:tc>
      </w:tr>
      <w:tr w:rsidR="00FA1CF1" w:rsidRPr="0060450F" w14:paraId="0FCB8CE3" w14:textId="77777777" w:rsidTr="00FF3B92">
        <w:tc>
          <w:tcPr>
            <w:tcW w:w="1985" w:type="dxa"/>
          </w:tcPr>
          <w:p w14:paraId="514CAD3C" w14:textId="0C442110" w:rsidR="00FA1CF1" w:rsidRPr="0060450F" w:rsidRDefault="00FA1CF1" w:rsidP="007E6D8F">
            <w:pPr>
              <w:spacing w:before="40"/>
              <w:rPr>
                <w:rFonts w:ascii="Times New Roman" w:eastAsiaTheme="majorEastAsia" w:hAnsi="Times New Roman" w:cs="Times New Roman"/>
              </w:rPr>
            </w:pPr>
            <w:r>
              <w:rPr>
                <w:rFonts w:ascii="Times New Roman" w:hAnsi="Times New Roman"/>
              </w:rPr>
              <w:t>СИП</w:t>
            </w:r>
          </w:p>
        </w:tc>
        <w:tc>
          <w:tcPr>
            <w:tcW w:w="283" w:type="dxa"/>
          </w:tcPr>
          <w:p w14:paraId="059EAD31" w14:textId="3E234F96" w:rsidR="00FA1CF1" w:rsidRPr="0060450F" w:rsidRDefault="00FA1CF1"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366F4D6" w14:textId="616E62E8" w:rsidR="00FA1CF1" w:rsidRPr="0060450F" w:rsidRDefault="00FA1CF1" w:rsidP="007E6D8F">
            <w:pPr>
              <w:spacing w:before="40"/>
              <w:rPr>
                <w:rStyle w:val="normaltextrun"/>
                <w:rFonts w:ascii="Times New Roman" w:hAnsi="Times New Roman" w:cs="Times New Roman"/>
              </w:rPr>
            </w:pPr>
            <w:r>
              <w:rPr>
                <w:rStyle w:val="normaltextrun"/>
                <w:rFonts w:ascii="Times New Roman" w:hAnsi="Times New Roman"/>
              </w:rPr>
              <w:t xml:space="preserve">Сектор инфраструктуры и платформ </w:t>
            </w:r>
          </w:p>
        </w:tc>
      </w:tr>
      <w:tr w:rsidR="00E95C23" w:rsidRPr="0060450F" w14:paraId="7EA9D0C3" w14:textId="77777777" w:rsidTr="00FF3B92">
        <w:tc>
          <w:tcPr>
            <w:tcW w:w="1985" w:type="dxa"/>
          </w:tcPr>
          <w:p w14:paraId="4081C0E5"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МСУГС</w:t>
            </w:r>
          </w:p>
        </w:tc>
        <w:tc>
          <w:tcPr>
            <w:tcW w:w="283" w:type="dxa"/>
          </w:tcPr>
          <w:p w14:paraId="4CD1ED5A"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2C8B7F92"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Международные стандарты учета в государственном секторе</w:t>
            </w:r>
          </w:p>
        </w:tc>
      </w:tr>
      <w:tr w:rsidR="00E95C23" w:rsidRPr="0060450F" w14:paraId="0C3B2AB6" w14:textId="77777777" w:rsidTr="00FF3B92">
        <w:tc>
          <w:tcPr>
            <w:tcW w:w="1985" w:type="dxa"/>
          </w:tcPr>
          <w:p w14:paraId="53BAC90B"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СМСУГС</w:t>
            </w:r>
          </w:p>
        </w:tc>
        <w:tc>
          <w:tcPr>
            <w:tcW w:w="283" w:type="dxa"/>
          </w:tcPr>
          <w:p w14:paraId="3FBF7CBE"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0216562" w14:textId="77777777" w:rsidR="00E95C23" w:rsidRPr="0060450F" w:rsidRDefault="6480D3C6" w:rsidP="007E6D8F">
            <w:pPr>
              <w:spacing w:before="40"/>
              <w:rPr>
                <w:rFonts w:ascii="Times New Roman" w:eastAsia="Times New Roman" w:hAnsi="Times New Roman" w:cs="Times New Roman"/>
              </w:rPr>
            </w:pPr>
            <w:r>
              <w:rPr>
                <w:rFonts w:ascii="Times New Roman" w:hAnsi="Times New Roman"/>
              </w:rPr>
              <w:t>Совет по международным стандартам учета в государственном секторе</w:t>
            </w:r>
          </w:p>
        </w:tc>
      </w:tr>
      <w:tr w:rsidR="00E95C23" w:rsidRPr="0060450F" w14:paraId="1FE1D077" w14:textId="77777777" w:rsidTr="00FF3B92">
        <w:tc>
          <w:tcPr>
            <w:tcW w:w="1985" w:type="dxa"/>
          </w:tcPr>
          <w:p w14:paraId="54E22DE1" w14:textId="72B45888" w:rsidR="00E95C23" w:rsidRPr="0060450F" w:rsidRDefault="00432C41" w:rsidP="007E6D8F">
            <w:pPr>
              <w:spacing w:before="40"/>
              <w:rPr>
                <w:rFonts w:ascii="Times New Roman" w:eastAsiaTheme="majorEastAsia" w:hAnsi="Times New Roman" w:cs="Times New Roman"/>
              </w:rPr>
            </w:pPr>
            <w:r>
              <w:rPr>
                <w:rFonts w:ascii="Times New Roman" w:hAnsi="Times New Roman"/>
              </w:rPr>
              <w:t>МСА</w:t>
            </w:r>
          </w:p>
        </w:tc>
        <w:tc>
          <w:tcPr>
            <w:tcW w:w="283" w:type="dxa"/>
          </w:tcPr>
          <w:p w14:paraId="0406FF90"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1B86DD3B"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Международные стандарты аудита</w:t>
            </w:r>
          </w:p>
        </w:tc>
      </w:tr>
      <w:tr w:rsidR="00E95C23" w:rsidRPr="0060450F" w14:paraId="1CAE5C19" w14:textId="77777777" w:rsidTr="00FF3B92">
        <w:tc>
          <w:tcPr>
            <w:tcW w:w="1985" w:type="dxa"/>
          </w:tcPr>
          <w:p w14:paraId="35072944"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ISSAI</w:t>
            </w:r>
          </w:p>
        </w:tc>
        <w:tc>
          <w:tcPr>
            <w:tcW w:w="283" w:type="dxa"/>
          </w:tcPr>
          <w:p w14:paraId="6EC6ECD8"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078FDD2" w14:textId="77777777" w:rsidR="00E95C23" w:rsidRPr="0060450F" w:rsidRDefault="6480D3C6" w:rsidP="007E6D8F">
            <w:pPr>
              <w:spacing w:before="40"/>
              <w:jc w:val="both"/>
              <w:rPr>
                <w:rFonts w:ascii="Times New Roman" w:hAnsi="Times New Roman" w:cs="Times New Roman"/>
              </w:rPr>
            </w:pPr>
            <w:r>
              <w:rPr>
                <w:rFonts w:ascii="Times New Roman" w:hAnsi="Times New Roman"/>
              </w:rPr>
              <w:t>Международные стандарты высших органов аудита</w:t>
            </w:r>
          </w:p>
        </w:tc>
      </w:tr>
      <w:tr w:rsidR="00E95C23" w:rsidRPr="0060450F" w14:paraId="156F0600" w14:textId="77777777" w:rsidTr="00FF3B92">
        <w:tc>
          <w:tcPr>
            <w:tcW w:w="1985" w:type="dxa"/>
          </w:tcPr>
          <w:p w14:paraId="680FF9C1"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ИТ</w:t>
            </w:r>
          </w:p>
        </w:tc>
        <w:tc>
          <w:tcPr>
            <w:tcW w:w="283" w:type="dxa"/>
          </w:tcPr>
          <w:p w14:paraId="47ED56AD"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77230475" w14:textId="77777777" w:rsidR="00E95C23" w:rsidRPr="0060450F" w:rsidRDefault="6480D3C6" w:rsidP="007E6D8F">
            <w:pPr>
              <w:spacing w:before="40"/>
              <w:jc w:val="both"/>
              <w:rPr>
                <w:rFonts w:ascii="Times New Roman" w:hAnsi="Times New Roman" w:cs="Times New Roman"/>
              </w:rPr>
            </w:pPr>
            <w:r>
              <w:rPr>
                <w:rFonts w:ascii="Times New Roman" w:hAnsi="Times New Roman"/>
              </w:rPr>
              <w:t>Информационные технологии</w:t>
            </w:r>
          </w:p>
        </w:tc>
      </w:tr>
      <w:tr w:rsidR="00E95C23" w:rsidRPr="0060450F" w14:paraId="69F2136C" w14:textId="77777777" w:rsidTr="00FF3B92">
        <w:tc>
          <w:tcPr>
            <w:tcW w:w="1985" w:type="dxa"/>
          </w:tcPr>
          <w:p w14:paraId="5F45ED76" w14:textId="38B2A2D5" w:rsidR="00E95C23" w:rsidRPr="0060450F" w:rsidRDefault="00FA1CF1" w:rsidP="007E6D8F">
            <w:pPr>
              <w:spacing w:before="40"/>
              <w:rPr>
                <w:rFonts w:ascii="Times New Roman" w:eastAsia="Times New Roman" w:hAnsi="Times New Roman" w:cs="Times New Roman"/>
              </w:rPr>
            </w:pPr>
            <w:r>
              <w:rPr>
                <w:rFonts w:ascii="Times New Roman" w:hAnsi="Times New Roman"/>
              </w:rPr>
              <w:t>КПР</w:t>
            </w:r>
          </w:p>
        </w:tc>
        <w:tc>
          <w:tcPr>
            <w:tcW w:w="283" w:type="dxa"/>
          </w:tcPr>
          <w:p w14:paraId="18B3C24E"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4331D62B" w14:textId="75B4707A" w:rsidR="00E95C23" w:rsidRPr="0060450F" w:rsidRDefault="00FA1CF1" w:rsidP="007E6D8F">
            <w:pPr>
              <w:spacing w:before="40"/>
              <w:rPr>
                <w:rFonts w:ascii="Times New Roman" w:eastAsia="Times New Roman" w:hAnsi="Times New Roman" w:cs="Times New Roman"/>
              </w:rPr>
            </w:pPr>
            <w:r>
              <w:rPr>
                <w:rFonts w:ascii="Times New Roman" w:hAnsi="Times New Roman"/>
              </w:rPr>
              <w:t>Ключевой показатель результативности</w:t>
            </w:r>
          </w:p>
        </w:tc>
      </w:tr>
      <w:tr w:rsidR="009B21E4" w:rsidRPr="0060450F" w14:paraId="3E29FC25" w14:textId="77777777" w:rsidTr="00FF3B92">
        <w:tc>
          <w:tcPr>
            <w:tcW w:w="1985" w:type="dxa"/>
          </w:tcPr>
          <w:p w14:paraId="64695E1F" w14:textId="59B1E97E" w:rsidR="009B21E4" w:rsidRPr="0060450F" w:rsidRDefault="79374EB5" w:rsidP="007E6D8F">
            <w:pPr>
              <w:spacing w:before="40"/>
              <w:rPr>
                <w:rFonts w:ascii="Times New Roman" w:eastAsia="Times New Roman" w:hAnsi="Times New Roman" w:cs="Times New Roman"/>
              </w:rPr>
            </w:pPr>
            <w:r>
              <w:rPr>
                <w:rFonts w:ascii="Times New Roman" w:hAnsi="Times New Roman"/>
              </w:rPr>
              <w:t>LTAs</w:t>
            </w:r>
          </w:p>
        </w:tc>
        <w:tc>
          <w:tcPr>
            <w:tcW w:w="283" w:type="dxa"/>
          </w:tcPr>
          <w:p w14:paraId="394CBB21" w14:textId="62CDD524" w:rsidR="009B21E4" w:rsidRPr="0060450F" w:rsidRDefault="79374EB5"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4FB3C218" w14:textId="64317DBF" w:rsidR="009B21E4" w:rsidRPr="0060450F" w:rsidRDefault="79374EB5" w:rsidP="007E6D8F">
            <w:pPr>
              <w:spacing w:before="40"/>
              <w:rPr>
                <w:rFonts w:ascii="Times New Roman" w:eastAsia="Times New Roman" w:hAnsi="Times New Roman" w:cs="Times New Roman"/>
              </w:rPr>
            </w:pPr>
            <w:r>
              <w:rPr>
                <w:rFonts w:ascii="Times New Roman" w:hAnsi="Times New Roman"/>
              </w:rPr>
              <w:t>Долгосрочные соглашения</w:t>
            </w:r>
          </w:p>
        </w:tc>
      </w:tr>
      <w:tr w:rsidR="00E95C23" w:rsidRPr="0060450F" w14:paraId="71CE14A2" w14:textId="77777777" w:rsidTr="00FF3B92">
        <w:tc>
          <w:tcPr>
            <w:tcW w:w="1985" w:type="dxa"/>
          </w:tcPr>
          <w:p w14:paraId="32B621CE" w14:textId="46DEA1C1" w:rsidR="00E95C23" w:rsidRPr="0060450F" w:rsidRDefault="79374EB5" w:rsidP="007E6D8F">
            <w:pPr>
              <w:spacing w:before="40"/>
              <w:rPr>
                <w:rFonts w:ascii="Times New Roman" w:eastAsia="Times New Roman" w:hAnsi="Times New Roman" w:cs="Times New Roman"/>
              </w:rPr>
            </w:pPr>
            <w:r>
              <w:rPr>
                <w:rFonts w:ascii="Times New Roman" w:hAnsi="Times New Roman"/>
              </w:rPr>
              <w:t>MIRIS</w:t>
            </w:r>
          </w:p>
        </w:tc>
        <w:tc>
          <w:tcPr>
            <w:tcW w:w="283" w:type="dxa"/>
          </w:tcPr>
          <w:p w14:paraId="103BA964" w14:textId="65739FA9"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5BDE14BA" w14:textId="3E500E26" w:rsidR="00E95C23" w:rsidRPr="0060450F" w:rsidRDefault="009B21E4" w:rsidP="007E6D8F">
            <w:pPr>
              <w:spacing w:before="40"/>
            </w:pPr>
            <w:r>
              <w:rPr>
                <w:rStyle w:val="normaltextrun"/>
                <w:rFonts w:ascii="Times New Roman" w:hAnsi="Times New Roman"/>
              </w:rPr>
              <w:t>Мадридская информационная система международных реестров</w:t>
            </w:r>
          </w:p>
        </w:tc>
      </w:tr>
      <w:tr w:rsidR="009B21E4" w:rsidRPr="0060450F" w14:paraId="774920EF" w14:textId="77777777" w:rsidTr="00FF3B92">
        <w:tc>
          <w:tcPr>
            <w:tcW w:w="1985" w:type="dxa"/>
          </w:tcPr>
          <w:p w14:paraId="570CEAE1" w14:textId="62E662D9" w:rsidR="009B21E4" w:rsidRPr="0060450F" w:rsidRDefault="79374EB5" w:rsidP="007E6D8F">
            <w:pPr>
              <w:spacing w:before="40"/>
              <w:rPr>
                <w:rFonts w:ascii="Times New Roman" w:eastAsia="Times New Roman" w:hAnsi="Times New Roman" w:cs="Times New Roman"/>
              </w:rPr>
            </w:pPr>
            <w:r>
              <w:rPr>
                <w:rFonts w:ascii="Times New Roman" w:hAnsi="Times New Roman"/>
              </w:rPr>
              <w:t>СССП</w:t>
            </w:r>
          </w:p>
        </w:tc>
        <w:tc>
          <w:tcPr>
            <w:tcW w:w="283" w:type="dxa"/>
          </w:tcPr>
          <w:p w14:paraId="259B971A" w14:textId="2E573E94" w:rsidR="009B21E4" w:rsidRPr="0060450F" w:rsidRDefault="79374EB5"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5D00805C" w14:textId="0FEA65FC" w:rsidR="009B21E4" w:rsidRPr="0060450F" w:rsidRDefault="79374EB5" w:rsidP="007E6D8F">
            <w:pPr>
              <w:spacing w:before="40"/>
              <w:rPr>
                <w:rStyle w:val="normaltextrun"/>
                <w:rFonts w:ascii="Times New Roman" w:hAnsi="Times New Roman" w:cs="Times New Roman"/>
              </w:rPr>
            </w:pPr>
            <w:r>
              <w:rPr>
                <w:rFonts w:ascii="Times New Roman" w:hAnsi="Times New Roman"/>
              </w:rPr>
              <w:t>Среднесрочный стратегический план</w:t>
            </w:r>
          </w:p>
        </w:tc>
      </w:tr>
      <w:tr w:rsidR="00FA1CF1" w:rsidRPr="0060450F" w14:paraId="582A2D2A" w14:textId="77777777" w:rsidTr="00FF3B92">
        <w:tc>
          <w:tcPr>
            <w:tcW w:w="1985" w:type="dxa"/>
          </w:tcPr>
          <w:p w14:paraId="1119DB29" w14:textId="7E2665AA" w:rsidR="00FA1CF1" w:rsidRPr="0060450F" w:rsidRDefault="00FA1CF1" w:rsidP="007E6D8F">
            <w:pPr>
              <w:spacing w:before="40"/>
              <w:rPr>
                <w:rFonts w:ascii="Times New Roman" w:eastAsia="Times New Roman" w:hAnsi="Times New Roman" w:cs="Times New Roman"/>
              </w:rPr>
            </w:pPr>
            <w:r>
              <w:rPr>
                <w:rFonts w:ascii="Times New Roman" w:hAnsi="Times New Roman"/>
              </w:rPr>
              <w:t>СИ</w:t>
            </w:r>
          </w:p>
        </w:tc>
        <w:tc>
          <w:tcPr>
            <w:tcW w:w="283" w:type="dxa"/>
          </w:tcPr>
          <w:p w14:paraId="27F98040" w14:textId="1D52C0DB" w:rsidR="00FA1CF1" w:rsidRPr="0060450F" w:rsidRDefault="00FA1CF1"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29B9CE40" w14:textId="21D53890" w:rsidR="00FA1CF1" w:rsidRPr="0060450F" w:rsidRDefault="00FA1CF1" w:rsidP="007E6D8F">
            <w:pPr>
              <w:spacing w:before="40"/>
              <w:rPr>
                <w:rFonts w:ascii="Times New Roman" w:hAnsi="Times New Roman" w:cs="Times New Roman"/>
              </w:rPr>
            </w:pPr>
            <w:r>
              <w:rPr>
                <w:rFonts w:ascii="Times New Roman" w:hAnsi="Times New Roman"/>
              </w:rPr>
              <w:t>Служебная инструкция</w:t>
            </w:r>
          </w:p>
        </w:tc>
      </w:tr>
      <w:tr w:rsidR="00E95C23" w:rsidRPr="0060450F" w14:paraId="2ADA3CF6" w14:textId="77777777" w:rsidTr="00FF3B92">
        <w:tc>
          <w:tcPr>
            <w:tcW w:w="1985" w:type="dxa"/>
          </w:tcPr>
          <w:p w14:paraId="09FA8EBB" w14:textId="77777777" w:rsidR="00E95C23" w:rsidRPr="0060450F" w:rsidRDefault="6480D3C6" w:rsidP="007E6D8F">
            <w:pPr>
              <w:spacing w:before="40"/>
              <w:rPr>
                <w:rFonts w:ascii="Times New Roman" w:eastAsia="Times New Roman" w:hAnsi="Times New Roman" w:cs="Times New Roman"/>
              </w:rPr>
            </w:pPr>
            <w:r>
              <w:rPr>
                <w:rFonts w:ascii="Times New Roman" w:hAnsi="Times New Roman"/>
              </w:rPr>
              <w:t>PCT</w:t>
            </w:r>
          </w:p>
        </w:tc>
        <w:tc>
          <w:tcPr>
            <w:tcW w:w="283" w:type="dxa"/>
          </w:tcPr>
          <w:p w14:paraId="6C42436B"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45215582" w14:textId="77777777" w:rsidR="00E95C23" w:rsidRPr="0060450F" w:rsidRDefault="6480D3C6" w:rsidP="007E6D8F">
            <w:pPr>
              <w:spacing w:before="40"/>
              <w:rPr>
                <w:rFonts w:ascii="Times New Roman" w:hAnsi="Times New Roman" w:cs="Times New Roman"/>
              </w:rPr>
            </w:pPr>
            <w:r>
              <w:rPr>
                <w:rFonts w:ascii="Times New Roman" w:hAnsi="Times New Roman"/>
              </w:rPr>
              <w:t>Договор о патентной кооперации</w:t>
            </w:r>
          </w:p>
        </w:tc>
      </w:tr>
      <w:tr w:rsidR="66352ADB" w:rsidRPr="0060450F" w14:paraId="0F8970B1" w14:textId="77777777" w:rsidTr="00FF3B92">
        <w:trPr>
          <w:trHeight w:val="300"/>
        </w:trPr>
        <w:tc>
          <w:tcPr>
            <w:tcW w:w="1985" w:type="dxa"/>
          </w:tcPr>
          <w:p w14:paraId="487FF1B2" w14:textId="6B470FAC" w:rsidR="66352ADB" w:rsidRPr="0060450F" w:rsidRDefault="4EFFF4E4" w:rsidP="007E6D8F">
            <w:pPr>
              <w:spacing w:before="40"/>
              <w:rPr>
                <w:rFonts w:ascii="Times New Roman" w:eastAsiaTheme="majorEastAsia" w:hAnsi="Times New Roman" w:cs="Times New Roman"/>
              </w:rPr>
            </w:pPr>
            <w:r>
              <w:rPr>
                <w:rFonts w:ascii="Times New Roman" w:hAnsi="Times New Roman"/>
              </w:rPr>
              <w:t>ЗН</w:t>
            </w:r>
          </w:p>
        </w:tc>
        <w:tc>
          <w:tcPr>
            <w:tcW w:w="283" w:type="dxa"/>
          </w:tcPr>
          <w:p w14:paraId="03A15730" w14:textId="3C43F62C" w:rsidR="66352ADB" w:rsidRPr="0060450F" w:rsidRDefault="4EFFF4E4"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611D36E1" w14:textId="6517D112" w:rsidR="66352ADB" w:rsidRPr="0060450F" w:rsidRDefault="4EFFF4E4" w:rsidP="007E6D8F">
            <w:pPr>
              <w:spacing w:before="40"/>
              <w:rPr>
                <w:rFonts w:ascii="Times New Roman" w:eastAsia="Times New Roman" w:hAnsi="Times New Roman" w:cs="Times New Roman"/>
              </w:rPr>
            </w:pPr>
            <w:r>
              <w:rPr>
                <w:rFonts w:ascii="Times New Roman" w:hAnsi="Times New Roman"/>
              </w:rPr>
              <w:t>Заказ-наряд</w:t>
            </w:r>
          </w:p>
        </w:tc>
      </w:tr>
      <w:tr w:rsidR="00E95C23" w:rsidRPr="0060450F" w14:paraId="2CA8AF87" w14:textId="77777777" w:rsidTr="00FF3B92">
        <w:tc>
          <w:tcPr>
            <w:tcW w:w="1985" w:type="dxa"/>
          </w:tcPr>
          <w:p w14:paraId="11616FF4"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ПРБ</w:t>
            </w:r>
          </w:p>
        </w:tc>
        <w:tc>
          <w:tcPr>
            <w:tcW w:w="283" w:type="dxa"/>
          </w:tcPr>
          <w:p w14:paraId="62109B29" w14:textId="77777777" w:rsidR="00E95C23" w:rsidRPr="0060450F" w:rsidRDefault="6480D3C6" w:rsidP="007E6D8F">
            <w:pPr>
              <w:spacing w:before="40"/>
              <w:rPr>
                <w:rFonts w:ascii="Times New Roman" w:eastAsiaTheme="majorEastAsia" w:hAnsi="Times New Roman" w:cs="Times New Roman"/>
              </w:rPr>
            </w:pPr>
            <w:r>
              <w:rPr>
                <w:rFonts w:ascii="Times New Roman" w:hAnsi="Times New Roman"/>
              </w:rPr>
              <w:t>:</w:t>
            </w:r>
          </w:p>
        </w:tc>
        <w:tc>
          <w:tcPr>
            <w:tcW w:w="7655" w:type="dxa"/>
          </w:tcPr>
          <w:p w14:paraId="321D6496" w14:textId="41AA3843" w:rsidR="00E95C23" w:rsidRPr="0060450F" w:rsidRDefault="6480D3C6" w:rsidP="007E6D8F">
            <w:pPr>
              <w:spacing w:before="40"/>
              <w:rPr>
                <w:rFonts w:ascii="Times New Roman" w:eastAsia="Times New Roman" w:hAnsi="Times New Roman" w:cs="Times New Roman"/>
              </w:rPr>
            </w:pPr>
            <w:r>
              <w:rPr>
                <w:rFonts w:ascii="Times New Roman" w:hAnsi="Times New Roman"/>
              </w:rPr>
              <w:t>Программа работы и бюджет</w:t>
            </w:r>
          </w:p>
        </w:tc>
      </w:tr>
      <w:tr w:rsidR="00574433" w:rsidRPr="0060450F" w14:paraId="14E903AA" w14:textId="77777777" w:rsidTr="00FF3B92">
        <w:tc>
          <w:tcPr>
            <w:tcW w:w="1985" w:type="dxa"/>
          </w:tcPr>
          <w:p w14:paraId="58240BA0" w14:textId="0DF0D2C7" w:rsidR="00574433" w:rsidRPr="0060450F" w:rsidRDefault="00574433" w:rsidP="00574433">
            <w:pPr>
              <w:spacing w:before="40"/>
              <w:rPr>
                <w:rFonts w:ascii="Times New Roman" w:eastAsiaTheme="majorEastAsia" w:hAnsi="Times New Roman" w:cs="Times New Roman"/>
              </w:rPr>
            </w:pPr>
            <w:r>
              <w:rPr>
                <w:rFonts w:ascii="Times New Roman" w:hAnsi="Times New Roman"/>
              </w:rPr>
              <w:t>УКР</w:t>
            </w:r>
          </w:p>
        </w:tc>
        <w:tc>
          <w:tcPr>
            <w:tcW w:w="283" w:type="dxa"/>
          </w:tcPr>
          <w:p w14:paraId="79DEEA6A" w14:textId="6AD2E69F"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77D3D6EC" w14:textId="37E642CB" w:rsidR="00574433" w:rsidRPr="0060450F" w:rsidRDefault="00574433" w:rsidP="00574433">
            <w:pPr>
              <w:spacing w:before="40"/>
              <w:rPr>
                <w:rFonts w:ascii="Times New Roman" w:eastAsia="Times New Roman" w:hAnsi="Times New Roman" w:cs="Times New Roman"/>
              </w:rPr>
            </w:pPr>
            <w:r>
              <w:rPr>
                <w:rStyle w:val="normaltextrun"/>
                <w:rFonts w:ascii="Times New Roman" w:hAnsi="Times New Roman"/>
              </w:rPr>
              <w:t>Управление, ориентированное на конечный результат</w:t>
            </w:r>
            <w:r>
              <w:rPr>
                <w:rFonts w:ascii="Times New Roman" w:hAnsi="Times New Roman"/>
              </w:rPr>
              <w:t xml:space="preserve"> </w:t>
            </w:r>
          </w:p>
        </w:tc>
      </w:tr>
      <w:tr w:rsidR="00574433" w:rsidRPr="0060450F" w14:paraId="32817310" w14:textId="77777777" w:rsidTr="00FF3B92">
        <w:tc>
          <w:tcPr>
            <w:tcW w:w="1985" w:type="dxa"/>
          </w:tcPr>
          <w:p w14:paraId="38B0B944" w14:textId="35809549" w:rsidR="00574433" w:rsidRPr="0060450F" w:rsidRDefault="00574433" w:rsidP="00574433">
            <w:pPr>
              <w:spacing w:before="40"/>
              <w:rPr>
                <w:rFonts w:ascii="Times New Roman" w:eastAsiaTheme="majorEastAsia" w:hAnsi="Times New Roman" w:cs="Times New Roman"/>
              </w:rPr>
            </w:pPr>
            <w:r>
              <w:rPr>
                <w:rFonts w:ascii="Times New Roman" w:hAnsi="Times New Roman"/>
              </w:rPr>
              <w:t>RO</w:t>
            </w:r>
          </w:p>
        </w:tc>
        <w:tc>
          <w:tcPr>
            <w:tcW w:w="283" w:type="dxa"/>
          </w:tcPr>
          <w:p w14:paraId="6EC02BAF" w14:textId="20EBEAB0"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5D58CB70" w14:textId="571F3406" w:rsidR="00574433" w:rsidRPr="0060450F" w:rsidRDefault="00574433" w:rsidP="00574433">
            <w:pPr>
              <w:spacing w:before="40"/>
              <w:rPr>
                <w:rFonts w:ascii="Times New Roman" w:eastAsia="Times New Roman" w:hAnsi="Times New Roman" w:cs="Times New Roman"/>
              </w:rPr>
            </w:pPr>
            <w:r>
              <w:rPr>
                <w:rFonts w:ascii="Times New Roman" w:hAnsi="Times New Roman"/>
              </w:rPr>
              <w:t>Региональное ведомство</w:t>
            </w:r>
          </w:p>
        </w:tc>
      </w:tr>
      <w:tr w:rsidR="00574433" w:rsidRPr="0060450F" w14:paraId="354A3110" w14:textId="77777777" w:rsidTr="00FF3B92">
        <w:tc>
          <w:tcPr>
            <w:tcW w:w="1985" w:type="dxa"/>
          </w:tcPr>
          <w:p w14:paraId="139477E2"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СРП</w:t>
            </w:r>
          </w:p>
        </w:tc>
        <w:tc>
          <w:tcPr>
            <w:tcW w:w="283" w:type="dxa"/>
          </w:tcPr>
          <w:p w14:paraId="41C7D0B3"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299E3454"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Стандартная рабочая процедура</w:t>
            </w:r>
          </w:p>
        </w:tc>
      </w:tr>
      <w:tr w:rsidR="00574433" w:rsidRPr="0060450F" w14:paraId="13B4096F" w14:textId="77777777" w:rsidTr="00FF3B92">
        <w:tc>
          <w:tcPr>
            <w:tcW w:w="1985" w:type="dxa"/>
          </w:tcPr>
          <w:p w14:paraId="0AC507A9" w14:textId="5922B335" w:rsidR="00574433" w:rsidRPr="0060450F" w:rsidRDefault="00574433" w:rsidP="00574433">
            <w:pPr>
              <w:spacing w:before="40"/>
              <w:rPr>
                <w:rFonts w:ascii="Times New Roman" w:eastAsiaTheme="majorEastAsia" w:hAnsi="Times New Roman" w:cs="Times New Roman"/>
              </w:rPr>
            </w:pPr>
            <w:r>
              <w:rPr>
                <w:rFonts w:ascii="Times New Roman" w:hAnsi="Times New Roman"/>
              </w:rPr>
              <w:t>SPR</w:t>
            </w:r>
          </w:p>
        </w:tc>
        <w:tc>
          <w:tcPr>
            <w:tcW w:w="283" w:type="dxa"/>
          </w:tcPr>
          <w:p w14:paraId="43C38E20" w14:textId="2341CF2C"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40303026" w14:textId="37FB8100" w:rsidR="00574433" w:rsidRPr="0060450F" w:rsidRDefault="00574433" w:rsidP="00574433">
            <w:pPr>
              <w:spacing w:before="40"/>
              <w:rPr>
                <w:rFonts w:ascii="Times New Roman" w:eastAsia="Times New Roman" w:hAnsi="Times New Roman" w:cs="Times New Roman"/>
              </w:rPr>
            </w:pPr>
            <w:r>
              <w:rPr>
                <w:rFonts w:ascii="Times New Roman" w:hAnsi="Times New Roman"/>
              </w:rPr>
              <w:t>Обзор эффективности работы поставщика</w:t>
            </w:r>
          </w:p>
        </w:tc>
      </w:tr>
      <w:tr w:rsidR="00574433" w:rsidRPr="0060450F" w14:paraId="18ED4AF0" w14:textId="77777777" w:rsidTr="00FF3B92">
        <w:tc>
          <w:tcPr>
            <w:tcW w:w="1985" w:type="dxa"/>
          </w:tcPr>
          <w:p w14:paraId="7A4915A4"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ООН</w:t>
            </w:r>
          </w:p>
        </w:tc>
        <w:tc>
          <w:tcPr>
            <w:tcW w:w="283" w:type="dxa"/>
          </w:tcPr>
          <w:p w14:paraId="60D024D2"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2C216A07" w14:textId="77777777" w:rsidR="00574433" w:rsidRPr="0060450F" w:rsidRDefault="00574433" w:rsidP="00574433">
            <w:pPr>
              <w:spacing w:before="40"/>
              <w:rPr>
                <w:rFonts w:ascii="Times New Roman" w:eastAsia="Times New Roman" w:hAnsi="Times New Roman" w:cs="Times New Roman"/>
              </w:rPr>
            </w:pPr>
            <w:r>
              <w:rPr>
                <w:rFonts w:ascii="Times New Roman" w:hAnsi="Times New Roman"/>
              </w:rPr>
              <w:t>Организация Объединенных Наций</w:t>
            </w:r>
          </w:p>
        </w:tc>
      </w:tr>
      <w:tr w:rsidR="00574433" w:rsidRPr="00310BF2" w14:paraId="3F7B54B1" w14:textId="77777777" w:rsidTr="00FF3B92">
        <w:tc>
          <w:tcPr>
            <w:tcW w:w="1985" w:type="dxa"/>
          </w:tcPr>
          <w:p w14:paraId="62609C19"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ВОИС</w:t>
            </w:r>
          </w:p>
        </w:tc>
        <w:tc>
          <w:tcPr>
            <w:tcW w:w="283" w:type="dxa"/>
          </w:tcPr>
          <w:p w14:paraId="2F514CCA" w14:textId="77777777" w:rsidR="00574433" w:rsidRPr="0060450F" w:rsidRDefault="00574433" w:rsidP="00574433">
            <w:pPr>
              <w:spacing w:before="40"/>
              <w:rPr>
                <w:rFonts w:ascii="Times New Roman" w:eastAsiaTheme="majorEastAsia" w:hAnsi="Times New Roman" w:cs="Times New Roman"/>
              </w:rPr>
            </w:pPr>
            <w:r>
              <w:rPr>
                <w:rFonts w:ascii="Times New Roman" w:hAnsi="Times New Roman"/>
              </w:rPr>
              <w:t>:</w:t>
            </w:r>
          </w:p>
        </w:tc>
        <w:tc>
          <w:tcPr>
            <w:tcW w:w="7655" w:type="dxa"/>
          </w:tcPr>
          <w:p w14:paraId="5CFBB5D3" w14:textId="77777777" w:rsidR="00574433" w:rsidRPr="004A73DB" w:rsidRDefault="00574433" w:rsidP="00574433">
            <w:pPr>
              <w:spacing w:before="40"/>
              <w:rPr>
                <w:rFonts w:ascii="Times New Roman" w:eastAsia="Times New Roman" w:hAnsi="Times New Roman" w:cs="Times New Roman"/>
              </w:rPr>
            </w:pPr>
            <w:r>
              <w:rPr>
                <w:rFonts w:ascii="Times New Roman" w:hAnsi="Times New Roman"/>
              </w:rPr>
              <w:t xml:space="preserve">Всемирная организация интеллектуальной собственности </w:t>
            </w:r>
          </w:p>
        </w:tc>
      </w:tr>
    </w:tbl>
    <w:p w14:paraId="6D671F13" w14:textId="77777777" w:rsidR="00A3688F" w:rsidRDefault="00A3688F" w:rsidP="002F07D8">
      <w:bookmarkStart w:id="232" w:name="_Toc96949277"/>
      <w:bookmarkStart w:id="233" w:name="_Toc96965729"/>
      <w:bookmarkStart w:id="234" w:name="_Toc96966235"/>
      <w:bookmarkStart w:id="235" w:name="_Toc96966451"/>
      <w:bookmarkStart w:id="236" w:name="_Toc227826050"/>
    </w:p>
    <w:bookmarkEnd w:id="232"/>
    <w:bookmarkEnd w:id="233"/>
    <w:bookmarkEnd w:id="234"/>
    <w:bookmarkEnd w:id="235"/>
    <w:bookmarkEnd w:id="236"/>
    <w:p w14:paraId="157C8D5F" w14:textId="77777777" w:rsidR="00281292" w:rsidRDefault="00281292" w:rsidP="002F07D8"/>
    <w:sectPr w:rsidR="00281292" w:rsidSect="0083626B">
      <w:headerReference w:type="even" r:id="rId33"/>
      <w:headerReference w:type="default" r:id="rId34"/>
      <w:footerReference w:type="default" r:id="rId35"/>
      <w:headerReference w:type="first" r:id="rId36"/>
      <w:pgSz w:w="11906" w:h="16838" w:code="9"/>
      <w:pgMar w:top="1814" w:right="1418" w:bottom="1440" w:left="1440" w:header="709"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E5F4" w14:textId="77777777" w:rsidR="00263051" w:rsidRDefault="00263051" w:rsidP="00691B0A">
      <w:r>
        <w:separator/>
      </w:r>
    </w:p>
  </w:endnote>
  <w:endnote w:type="continuationSeparator" w:id="0">
    <w:p w14:paraId="44C46E3F" w14:textId="77777777" w:rsidR="00263051" w:rsidRDefault="00263051" w:rsidP="00691B0A">
      <w:r>
        <w:continuationSeparator/>
      </w:r>
    </w:p>
  </w:endnote>
  <w:endnote w:type="continuationNotice" w:id="1">
    <w:p w14:paraId="597C90E9" w14:textId="77777777" w:rsidR="00263051" w:rsidRDefault="00263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7D5" w14:textId="79EB9207" w:rsidR="007F5BD5" w:rsidRDefault="00D33816">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D4E056F" wp14:editId="67695BE9">
              <wp:simplePos x="635" y="635"/>
              <wp:positionH relativeFrom="page">
                <wp:align>center</wp:align>
              </wp:positionH>
              <wp:positionV relativeFrom="page">
                <wp:align>bottom</wp:align>
              </wp:positionV>
              <wp:extent cx="1188720" cy="357505"/>
              <wp:effectExtent l="0" t="0" r="11430" b="0"/>
              <wp:wrapNone/>
              <wp:docPr id="1332207692"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57505"/>
                      </a:xfrm>
                      <a:prstGeom prst="rect">
                        <a:avLst/>
                      </a:prstGeom>
                      <a:noFill/>
                      <a:ln>
                        <a:noFill/>
                      </a:ln>
                    </wps:spPr>
                    <wps:txbx>
                      <w:txbxContent>
                        <w:p w14:paraId="6409867D" w14:textId="5C796378" w:rsidR="00D33816" w:rsidRPr="00D33816" w:rsidRDefault="00D33816" w:rsidP="00D33816">
                          <w:pPr>
                            <w:rPr>
                              <w:rFonts w:ascii="Aptos" w:eastAsia="Aptos" w:hAnsi="Aptos" w:cs="Aptos"/>
                              <w:color w:val="FF0000"/>
                              <w:sz w:val="20"/>
                              <w:szCs w:val="20"/>
                            </w:rPr>
                          </w:pPr>
                          <w:r>
                            <w:rPr>
                              <w:rFonts w:ascii="Aptos" w:hAnsi="Aptos"/>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E056F" id="_x0000_t202" coordsize="21600,21600" o:spt="202" path="m,l,21600r21600,l21600,xe">
              <v:stroke joinstyle="miter"/>
              <v:path gradientshapeok="t" o:connecttype="rect"/>
            </v:shapetype>
            <v:shape id="Text Box 2" o:spid="_x0000_s1036" type="#_x0000_t202" alt="WIPO CONFIDENTIAL " style="position:absolute;margin-left:0;margin-top:0;width:93.6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" filled="f" stroked="f">
              <v:textbox style="mso-fit-shape-to-text:t" inset="0,0,0,15pt">
                <w:txbxContent>
                  <w:p w14:paraId="6409867D" w14:textId="5C796378" w:rsidR="00D33816" w:rsidRPr="00D33816" w:rsidRDefault="00D33816" w:rsidP="00D33816">
                    <w:pPr>
                      <w:rPr>
                        <w:rFonts w:ascii="Aptos" w:eastAsia="Aptos" w:hAnsi="Aptos" w:cs="Aptos"/>
                        <w:color w:val="FF0000"/>
                        <w:sz w:val="20"/>
                        <w:szCs w:val="20"/>
                      </w:rPr>
                    </w:pPr>
                    <w:r>
                      <w:rPr>
                        <w:rFonts w:ascii="Aptos" w:hAnsi="Aptos"/>
                        <w:color w:val="FF0000"/>
                        <w:sz w:val="20"/>
                      </w:rPr>
                      <w:t xml:space="preserve">WIPO CONFIDENTIAL </w:t>
                    </w:r>
                  </w:p>
                </w:txbxContent>
              </v:textbox>
              <w10:wrap anchorx="page" anchory="page"/>
            </v:shape>
          </w:pict>
        </mc:Fallback>
      </mc:AlternateContent>
    </w:r>
    <w:sdt>
      <w:sdtPr>
        <w:rPr>
          <w:rStyle w:val="PageNumber"/>
        </w:rPr>
        <w:id w:val="-1809774934"/>
        <w:docPartObj>
          <w:docPartGallery w:val="Page Numbers (Bottom of Page)"/>
          <w:docPartUnique/>
        </w:docPartObj>
      </w:sdtPr>
      <w:sdtEndPr>
        <w:rPr>
          <w:rStyle w:val="PageNumber"/>
        </w:rPr>
      </w:sdtEndPr>
      <w:sdtContent>
        <w:r w:rsidR="007F5BD5">
          <w:rPr>
            <w:rStyle w:val="PageNumber"/>
          </w:rPr>
          <w:fldChar w:fldCharType="begin"/>
        </w:r>
        <w:r w:rsidR="007F5BD5">
          <w:rPr>
            <w:rStyle w:val="PageNumber"/>
          </w:rPr>
          <w:instrText xml:space="preserve"> PAGE </w:instrText>
        </w:r>
        <w:r w:rsidR="007F5BD5">
          <w:rPr>
            <w:rStyle w:val="PageNumber"/>
          </w:rPr>
          <w:fldChar w:fldCharType="separate"/>
        </w:r>
        <w:r w:rsidR="007F5BD5" w:rsidRPr="66DE4C64">
          <w:rPr>
            <w:rStyle w:val="PageNumber"/>
          </w:rPr>
          <w:t>5</w:t>
        </w:r>
        <w:r w:rsidR="007F5BD5">
          <w:rPr>
            <w:rStyle w:val="PageNumber"/>
          </w:rPr>
          <w:fldChar w:fldCharType="end"/>
        </w:r>
      </w:sdtContent>
    </w:sdt>
  </w:p>
  <w:p w14:paraId="57587175" w14:textId="77777777" w:rsidR="007F5BD5" w:rsidRDefault="007F5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1462" w14:textId="49738582" w:rsidR="007F5BD5" w:rsidRPr="00B65CF6" w:rsidRDefault="007F5BD5" w:rsidP="00B6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7ED8" w14:textId="39DEAC6A" w:rsidR="007F5BD5" w:rsidRDefault="007F5BD5" w:rsidP="00CD66EC">
    <w:pPr>
      <w:pStyle w:val="Footer"/>
      <w:tabs>
        <w:tab w:val="clear" w:pos="9360"/>
        <w:tab w:val="left" w:pos="8931"/>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3AB" w14:textId="77777777" w:rsidR="000B5662" w:rsidRDefault="000B5662" w:rsidP="000B5662">
    <w:pPr>
      <w:pStyle w:val="Footer"/>
      <w:rPr>
        <w:rFonts w:ascii="Times New Roman" w:hAnsi="Times New Roman" w:cs="Times New Roman"/>
        <w:sz w:val="20"/>
        <w:szCs w:val="20"/>
      </w:rPr>
    </w:pPr>
    <w:r>
      <w:rPr>
        <w:rFonts w:ascii="Times New Roman" w:hAnsi="Times New Roman"/>
        <w:noProof/>
        <w:sz w:val="20"/>
      </w:rPr>
      <mc:AlternateContent>
        <mc:Choice Requires="wps">
          <w:drawing>
            <wp:anchor distT="0" distB="0" distL="114300" distR="114300" simplePos="0" relativeHeight="251658244" behindDoc="0" locked="0" layoutInCell="1" allowOverlap="1" wp14:anchorId="4A7028C3" wp14:editId="4BD8906A">
              <wp:simplePos x="0" y="0"/>
              <wp:positionH relativeFrom="column">
                <wp:posOffset>5080</wp:posOffset>
              </wp:positionH>
              <wp:positionV relativeFrom="paragraph">
                <wp:posOffset>119049</wp:posOffset>
              </wp:positionV>
              <wp:extent cx="5778500" cy="0"/>
              <wp:effectExtent l="0" t="0" r="0" b="0"/>
              <wp:wrapNone/>
              <wp:docPr id="878728098" name="Straight Connector 878728098"/>
              <wp:cNvGraphicFramePr/>
              <a:graphic xmlns:a="http://schemas.openxmlformats.org/drawingml/2006/main">
                <a:graphicData uri="http://schemas.microsoft.com/office/word/2010/wordprocessingShape">
                  <wps:wsp>
                    <wps:cNvCnPr/>
                    <wps:spPr>
                      <a:xfrm flipV="1">
                        <a:off x="0" y="0"/>
                        <a:ext cx="5778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38266D4" id="Straight Connector 87872809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35pt" to="455.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" strokecolor="windowText" strokeweight="1pt">
              <v:stroke joinstyle="miter"/>
            </v:line>
          </w:pict>
        </mc:Fallback>
      </mc:AlternateContent>
    </w:r>
  </w:p>
  <w:p w14:paraId="243C9316" w14:textId="0CFB4556" w:rsidR="007F5BD5" w:rsidRPr="000B5662" w:rsidRDefault="000B5662" w:rsidP="000B5662">
    <w:pPr>
      <w:pStyle w:val="Footer"/>
      <w:rPr>
        <w:rFonts w:ascii="Times New Roman" w:hAnsi="Times New Roman" w:cs="Times New Roman"/>
        <w:sz w:val="20"/>
        <w:szCs w:val="20"/>
      </w:rPr>
    </w:pPr>
    <w:r>
      <w:t>Отчет об аудиторской проверке Всемирной организации интеллектуальной собственности</w:t>
    </w:r>
    <w:r>
      <w:tab/>
    </w:r>
    <w:sdt>
      <w:sdtPr>
        <w:rPr>
          <w:rFonts w:ascii="Times New Roman" w:hAnsi="Times New Roman" w:cs="Times New Roman"/>
          <w:sz w:val="20"/>
          <w:szCs w:val="20"/>
        </w:rPr>
        <w:id w:val="-1352953534"/>
        <w:docPartObj>
          <w:docPartGallery w:val="Page Numbers (Bottom of Page)"/>
          <w:docPartUnique/>
        </w:docPartObj>
      </w:sdtPr>
      <w:sdtEndPr/>
      <w:sdtContent>
        <w:r>
          <w:rPr>
            <w:rFonts w:ascii="Times New Roman" w:hAnsi="Times New Roman" w:cs="Times New Roman"/>
            <w:sz w:val="20"/>
          </w:rPr>
          <w:fldChar w:fldCharType="begin"/>
        </w:r>
        <w:r>
          <w:rPr>
            <w:rFonts w:ascii="Times New Roman" w:hAnsi="Times New Roman" w:cs="Times New Roman"/>
            <w:sz w:val="20"/>
          </w:rPr>
          <w:instrText xml:space="preserve"> PAGE  \* roman  \* MERGEFORMAT </w:instrText>
        </w:r>
        <w:r>
          <w:rPr>
            <w:rFonts w:ascii="Times New Roman" w:hAnsi="Times New Roman" w:cs="Times New Roman"/>
            <w:sz w:val="20"/>
          </w:rPr>
          <w:fldChar w:fldCharType="separate"/>
        </w:r>
        <w:r w:rsidR="00EC4DD4">
          <w:rPr>
            <w:rFonts w:ascii="Times New Roman" w:hAnsi="Times New Roman" w:cs="Times New Roman"/>
            <w:sz w:val="20"/>
          </w:rPr>
          <w:t>ii</w:t>
        </w:r>
        <w:r>
          <w:rPr>
            <w:rFonts w:ascii="Times New Roman" w:hAnsi="Times New Roman" w:cs="Times New Roman"/>
            <w:sz w:val="20"/>
          </w:rPr>
          <w:fldChar w:fldCharType="end"/>
        </w:r>
        <w:r>
          <w:rPr>
            <w:rFonts w:ascii="Times New Roman" w:hAnsi="Times New Roman"/>
            <w:sz w:val="20"/>
          </w:rPr>
          <w:t xml:space="preserve"> | стр.</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7B23" w14:textId="46846F9F" w:rsidR="005328CB" w:rsidRPr="00FC443A" w:rsidRDefault="005328CB" w:rsidP="00FC44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259" w14:textId="77777777" w:rsidR="007F5BD5" w:rsidRPr="009A2DD6" w:rsidRDefault="007F5BD5" w:rsidP="009A2D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B530" w14:textId="7DE635A7" w:rsidR="007F5BD5" w:rsidRPr="005708A7" w:rsidRDefault="007F5BD5" w:rsidP="005708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0DC" w14:textId="59215096" w:rsidR="007F5BD5" w:rsidRPr="00E24DCF" w:rsidRDefault="007F5BD5" w:rsidP="00E24D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848" w14:textId="7F220585" w:rsidR="007F5BD5" w:rsidRPr="007F703C" w:rsidRDefault="007F5BD5" w:rsidP="007F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A80B" w14:textId="77777777" w:rsidR="00263051" w:rsidRDefault="00263051" w:rsidP="00691B0A">
      <w:r>
        <w:separator/>
      </w:r>
    </w:p>
  </w:footnote>
  <w:footnote w:type="continuationSeparator" w:id="0">
    <w:p w14:paraId="57FFDFDF" w14:textId="77777777" w:rsidR="00263051" w:rsidRDefault="00263051" w:rsidP="00691B0A">
      <w:r>
        <w:continuationSeparator/>
      </w:r>
    </w:p>
  </w:footnote>
  <w:footnote w:type="continuationNotice" w:id="1">
    <w:p w14:paraId="3C71A747" w14:textId="77777777" w:rsidR="00263051" w:rsidRDefault="00263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0E05" w14:textId="77777777" w:rsidR="00D2664B" w:rsidRDefault="00D2664B" w:rsidP="00477D6B">
    <w:pPr>
      <w:jc w:val="right"/>
    </w:pPr>
    <w:bookmarkStart w:id="1" w:name="Code2"/>
    <w:bookmarkEnd w:id="1"/>
    <w:r>
      <w:t>WO/PBC/40/3</w:t>
    </w:r>
  </w:p>
  <w:p w14:paraId="5948B8B8" w14:textId="77777777" w:rsidR="00D2664B" w:rsidRDefault="00D2664B" w:rsidP="00477D6B">
    <w:pPr>
      <w:jc w:val="right"/>
    </w:pPr>
    <w:r>
      <w:t xml:space="preserve">cтр. </w:t>
    </w:r>
    <w:r>
      <w:fldChar w:fldCharType="begin"/>
    </w:r>
    <w:r>
      <w:instrText xml:space="preserve"> PAGE  \* MERGEFORMAT </w:instrText>
    </w:r>
    <w:r>
      <w:fldChar w:fldCharType="separate"/>
    </w:r>
    <w:r>
      <w:t>2</w:t>
    </w:r>
    <w:r>
      <w:fldChar w:fldCharType="end"/>
    </w:r>
  </w:p>
  <w:p w14:paraId="55E3620E" w14:textId="77777777" w:rsidR="00D2664B" w:rsidRDefault="00D2664B" w:rsidP="00477D6B">
    <w:pPr>
      <w:jc w:val="right"/>
    </w:pPr>
  </w:p>
  <w:p w14:paraId="0F358C8E" w14:textId="77777777" w:rsidR="00D2664B" w:rsidRDefault="00D266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818A" w14:textId="77777777" w:rsidR="00E24DCF" w:rsidRDefault="00E24DCF" w:rsidP="00E24DCF">
    <w:pPr>
      <w:jc w:val="right"/>
    </w:pPr>
    <w:r>
      <w:t>WO/PBC/40/3</w:t>
    </w:r>
  </w:p>
  <w:p w14:paraId="2BAD41C2" w14:textId="1FBD1D9D" w:rsidR="00E24DCF" w:rsidRPr="00526FEF" w:rsidRDefault="00E24DCF" w:rsidP="00E24DCF">
    <w:pPr>
      <w:jc w:val="right"/>
    </w:pPr>
    <w:r>
      <w:t>ПРИЛОЖЕНИЕ I</w:t>
    </w:r>
  </w:p>
  <w:p w14:paraId="605A4EB3" w14:textId="384662A3" w:rsidR="007F5BD5" w:rsidRDefault="007F5B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0171" w14:textId="25F16E50" w:rsidR="007F5BD5" w:rsidRDefault="007F5B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15132"/>
      <w:docPartObj>
        <w:docPartGallery w:val="Page Numbers (Top of Page)"/>
        <w:docPartUnique/>
      </w:docPartObj>
    </w:sdtPr>
    <w:sdtEndPr>
      <w:rPr>
        <w:noProof/>
      </w:rPr>
    </w:sdtEndPr>
    <w:sdtContent>
      <w:p w14:paraId="0CEBD876" w14:textId="77777777" w:rsidR="00183285" w:rsidRPr="00526FEF" w:rsidRDefault="00183285" w:rsidP="00183285">
        <w:pPr>
          <w:jc w:val="right"/>
        </w:pPr>
        <w:r>
          <w:t>WO/PBC/40/3</w:t>
        </w:r>
      </w:p>
      <w:p w14:paraId="4EDBDBC4" w14:textId="30223DE8" w:rsidR="00183285" w:rsidRDefault="00183285" w:rsidP="00183285">
        <w:pPr>
          <w:pStyle w:val="Header"/>
          <w:jc w:val="right"/>
        </w:pPr>
        <w:r>
          <w:t>Приложение II</w:t>
        </w:r>
      </w:p>
    </w:sdtContent>
  </w:sdt>
  <w:p w14:paraId="09E6BCCA" w14:textId="67E2AECD" w:rsidR="007F5BD5" w:rsidRDefault="007F5BD5" w:rsidP="0018328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FE75" w14:textId="5AAE2C57" w:rsidR="007F5BD5" w:rsidRDefault="007F5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46189"/>
      <w:docPartObj>
        <w:docPartGallery w:val="Page Numbers (Top of Page)"/>
        <w:docPartUnique/>
      </w:docPartObj>
    </w:sdtPr>
    <w:sdtEndPr>
      <w:rPr>
        <w:noProof/>
      </w:rPr>
    </w:sdtEndPr>
    <w:sdtContent>
      <w:p w14:paraId="2E8EEE55" w14:textId="77777777" w:rsidR="00526FEF" w:rsidRPr="00526FEF" w:rsidRDefault="00526FEF" w:rsidP="00526FEF">
        <w:pPr>
          <w:jc w:val="right"/>
        </w:pPr>
        <w:r>
          <w:t>WO/PBC/40/3</w:t>
        </w:r>
      </w:p>
      <w:p w14:paraId="2FDE5259" w14:textId="64566FA5" w:rsidR="00526FEF" w:rsidRDefault="00526FEF" w:rsidP="00526FEF">
        <w:pPr>
          <w:pStyle w:val="Header"/>
          <w:jc w:val="right"/>
        </w:pPr>
        <w:r>
          <w:t xml:space="preserve">стр. </w:t>
        </w:r>
        <w:r>
          <w:fldChar w:fldCharType="begin"/>
        </w:r>
        <w:r>
          <w:instrText xml:space="preserve"> PAGE   \* MERGEFORMAT </w:instrText>
        </w:r>
        <w:r>
          <w:fldChar w:fldCharType="separate"/>
        </w:r>
        <w:r>
          <w:t>2</w:t>
        </w:r>
        <w:r>
          <w:fldChar w:fldCharType="end"/>
        </w:r>
      </w:p>
    </w:sdtContent>
  </w:sdt>
  <w:p w14:paraId="5C2D3467" w14:textId="77777777" w:rsidR="007F5BD5" w:rsidRDefault="007F5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69503"/>
      <w:docPartObj>
        <w:docPartGallery w:val="Page Numbers (Top of Page)"/>
        <w:docPartUnique/>
      </w:docPartObj>
    </w:sdtPr>
    <w:sdtEndPr>
      <w:rPr>
        <w:noProof/>
      </w:rPr>
    </w:sdtEndPr>
    <w:sdtContent>
      <w:p w14:paraId="6B6C69E2" w14:textId="77777777" w:rsidR="005708A7" w:rsidRPr="00526FEF" w:rsidRDefault="005708A7" w:rsidP="005708A7">
        <w:pPr>
          <w:jc w:val="right"/>
        </w:pPr>
        <w:r>
          <w:t>WO/PBC/40/3</w:t>
        </w:r>
      </w:p>
      <w:p w14:paraId="6865AF26" w14:textId="28661CB5" w:rsidR="009F428A" w:rsidRDefault="005708A7" w:rsidP="005708A7">
        <w:pPr>
          <w:pStyle w:val="Header"/>
          <w:jc w:val="right"/>
        </w:pPr>
        <w:r>
          <w:t xml:space="preserve">стр. </w:t>
        </w:r>
        <w:r w:rsidR="009F428A">
          <w:fldChar w:fldCharType="begin"/>
        </w:r>
        <w:r w:rsidR="009F428A">
          <w:instrText xml:space="preserve"> PAGE   \* MERGEFORMAT </w:instrText>
        </w:r>
        <w:r w:rsidR="009F428A">
          <w:fldChar w:fldCharType="separate"/>
        </w:r>
        <w:r w:rsidR="009F428A">
          <w:t>2</w:t>
        </w:r>
        <w:r w:rsidR="009F428A">
          <w:fldChar w:fldCharType="end"/>
        </w:r>
      </w:p>
    </w:sdtContent>
  </w:sdt>
  <w:p w14:paraId="1AE17F11" w14:textId="77777777" w:rsidR="007F5BD5" w:rsidRPr="0090665E" w:rsidRDefault="007F5BD5" w:rsidP="00906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71355"/>
      <w:docPartObj>
        <w:docPartGallery w:val="Page Numbers (Top of Page)"/>
        <w:docPartUnique/>
      </w:docPartObj>
    </w:sdtPr>
    <w:sdtEndPr>
      <w:rPr>
        <w:noProof/>
      </w:rPr>
    </w:sdtEndPr>
    <w:sdtContent>
      <w:sdt>
        <w:sdtPr>
          <w:id w:val="2035069778"/>
          <w:docPartObj>
            <w:docPartGallery w:val="Page Numbers (Top of Page)"/>
            <w:docPartUnique/>
          </w:docPartObj>
        </w:sdtPr>
        <w:sdtEndPr>
          <w:rPr>
            <w:noProof/>
          </w:rPr>
        </w:sdtEndPr>
        <w:sdtContent>
          <w:p w14:paraId="5798113E" w14:textId="77777777" w:rsidR="009F428A" w:rsidRPr="00526FEF" w:rsidRDefault="009F428A" w:rsidP="009F428A">
            <w:pPr>
              <w:jc w:val="right"/>
            </w:pPr>
            <w:r>
              <w:t>WO/PBC/40/3</w:t>
            </w:r>
          </w:p>
          <w:p w14:paraId="7FDA5016" w14:textId="77777777" w:rsidR="009F428A" w:rsidRDefault="009F428A" w:rsidP="009F428A">
            <w:pPr>
              <w:pStyle w:val="Header"/>
              <w:jc w:val="right"/>
            </w:pPr>
            <w:r>
              <w:t xml:space="preserve">стр. </w:t>
            </w:r>
            <w:r>
              <w:fldChar w:fldCharType="begin"/>
            </w:r>
            <w:r>
              <w:instrText xml:space="preserve"> PAGE   \* MERGEFORMAT </w:instrText>
            </w:r>
            <w:r>
              <w:fldChar w:fldCharType="separate"/>
            </w:r>
            <w:r>
              <w:t>3</w:t>
            </w:r>
            <w:r>
              <w:fldChar w:fldCharType="end"/>
            </w:r>
          </w:p>
        </w:sdtContent>
      </w:sdt>
      <w:p w14:paraId="753F50A7" w14:textId="77777777" w:rsidR="009F428A" w:rsidRDefault="009F428A" w:rsidP="009F428A">
        <w:pPr>
          <w:pStyle w:val="Header"/>
        </w:pPr>
      </w:p>
      <w:p w14:paraId="4EE37C9F" w14:textId="27840B20" w:rsidR="009F428A" w:rsidRDefault="00E95EA8">
        <w:pPr>
          <w:pStyle w:val="Header"/>
          <w:jc w:val="right"/>
        </w:pPr>
      </w:p>
    </w:sdtContent>
  </w:sdt>
  <w:p w14:paraId="7A31363A" w14:textId="77777777" w:rsidR="009F428A" w:rsidRDefault="009F4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40D" w14:textId="76D0A318" w:rsidR="007F5BD5" w:rsidRDefault="007F5B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0D7F" w14:textId="160D3253" w:rsidR="007F5BD5" w:rsidRDefault="007F5BD5" w:rsidP="00962A41">
    <w:pPr>
      <w:pStyle w:val="Header"/>
      <w:jc w:val="center"/>
    </w:pPr>
  </w:p>
  <w:p w14:paraId="7E0814EC" w14:textId="77777777" w:rsidR="007F5BD5" w:rsidRDefault="007F5BD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34395"/>
      <w:docPartObj>
        <w:docPartGallery w:val="Page Numbers (Top of Page)"/>
        <w:docPartUnique/>
      </w:docPartObj>
    </w:sdtPr>
    <w:sdtEndPr>
      <w:rPr>
        <w:noProof/>
      </w:rPr>
    </w:sdtEndPr>
    <w:sdtContent>
      <w:p w14:paraId="493B5007" w14:textId="77777777" w:rsidR="005708A7" w:rsidRPr="00526FEF" w:rsidRDefault="005708A7" w:rsidP="005708A7">
        <w:pPr>
          <w:jc w:val="right"/>
        </w:pPr>
        <w:r>
          <w:t>WO/PBC/40/3</w:t>
        </w:r>
      </w:p>
      <w:p w14:paraId="0379E71A" w14:textId="77777777" w:rsidR="005708A7" w:rsidRDefault="005708A7" w:rsidP="005708A7">
        <w:pPr>
          <w:pStyle w:val="Header"/>
          <w:jc w:val="right"/>
        </w:pPr>
        <w:r>
          <w:t xml:space="preserve">стр. </w:t>
        </w:r>
        <w:r>
          <w:fldChar w:fldCharType="begin"/>
        </w:r>
        <w:r>
          <w:instrText xml:space="preserve"> PAGE   \* MERGEFORMAT </w:instrText>
        </w:r>
        <w:r>
          <w:fldChar w:fldCharType="separate"/>
        </w:r>
        <w:r>
          <w:t>2</w:t>
        </w:r>
        <w:r>
          <w:fldChar w:fldCharType="end"/>
        </w:r>
      </w:p>
    </w:sdtContent>
  </w:sdt>
  <w:p w14:paraId="76A379A7" w14:textId="77777777" w:rsidR="005708A7" w:rsidRPr="0090665E" w:rsidRDefault="005708A7" w:rsidP="009066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8411" w14:textId="1C40490B" w:rsidR="007F5BD5" w:rsidRDefault="007F5B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478471"/>
      <w:docPartObj>
        <w:docPartGallery w:val="Page Numbers (Top of Page)"/>
        <w:docPartUnique/>
      </w:docPartObj>
    </w:sdtPr>
    <w:sdtEndPr>
      <w:rPr>
        <w:noProof/>
      </w:rPr>
    </w:sdtEndPr>
    <w:sdtContent>
      <w:p w14:paraId="00E47C82" w14:textId="77777777" w:rsidR="00E24DCF" w:rsidRPr="00526FEF" w:rsidRDefault="00E24DCF" w:rsidP="00E24DCF">
        <w:pPr>
          <w:jc w:val="right"/>
        </w:pPr>
        <w:r>
          <w:t>WO/PBC/40/3</w:t>
        </w:r>
      </w:p>
      <w:p w14:paraId="17B2FA76" w14:textId="0C986961" w:rsidR="00E24DCF" w:rsidRDefault="00E24DCF">
        <w:pPr>
          <w:pStyle w:val="Header"/>
          <w:jc w:val="right"/>
        </w:pPr>
        <w:r>
          <w:t>Приложение I, стр. </w:t>
        </w:r>
        <w:r>
          <w:fldChar w:fldCharType="begin"/>
        </w:r>
        <w:r>
          <w:instrText xml:space="preserve"> PAGE   \* MERGEFORMAT </w:instrText>
        </w:r>
        <w:r>
          <w:fldChar w:fldCharType="separate"/>
        </w:r>
        <w:r>
          <w:t>2</w:t>
        </w:r>
        <w:r>
          <w:fldChar w:fldCharType="end"/>
        </w:r>
      </w:p>
    </w:sdtContent>
  </w:sdt>
  <w:p w14:paraId="63C1EE54" w14:textId="25B3BC37" w:rsidR="007F5BD5" w:rsidRDefault="007F5BD5" w:rsidP="000715F7">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kPxmBnUWOnRtAh" int2:id="0tSDwq9g">
      <int2:state int2:value="Rejected" int2:type="spell"/>
    </int2:textHash>
    <int2:textHash int2:hashCode="H5MVlXhvLxeDWN" int2:id="X9lm9pPp">
      <int2:state int2:value="Rejected" int2:type="spell"/>
    </int2:textHash>
    <int2:textHash int2:hashCode="wUUYRBelJv5o7w" int2:id="YCIeVORJ">
      <int2:state int2:value="Rejected" int2:type="spell"/>
    </int2:textHash>
    <int2:textHash int2:hashCode="bkns8BfwRVmF06" int2:id="ZrkwmEoQ">
      <int2:state int2:value="Rejected" int2:type="spell"/>
    </int2:textHash>
    <int2:textHash int2:hashCode="i5SID0s0udSJv2" int2:id="niX2LKg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A63"/>
    <w:multiLevelType w:val="hybridMultilevel"/>
    <w:tmpl w:val="549661EE"/>
    <w:lvl w:ilvl="0" w:tplc="04090019">
      <w:start w:val="1"/>
      <w:numFmt w:val="lowerLetter"/>
      <w:lvlText w:val="%1."/>
      <w:lvlJc w:val="left"/>
      <w:pPr>
        <w:ind w:left="121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9E32B2"/>
    <w:multiLevelType w:val="hybridMultilevel"/>
    <w:tmpl w:val="1E50612C"/>
    <w:lvl w:ilvl="0" w:tplc="0409000F">
      <w:start w:val="1"/>
      <w:numFmt w:val="decimal"/>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118132FB"/>
    <w:multiLevelType w:val="hybridMultilevel"/>
    <w:tmpl w:val="B0AC51C0"/>
    <w:lvl w:ilvl="0" w:tplc="B6624CFE">
      <w:start w:val="1"/>
      <w:numFmt w:val="decimal"/>
      <w:pStyle w:val="LFARPara"/>
      <w:lvlText w:val="%1."/>
      <w:lvlJc w:val="left"/>
      <w:pPr>
        <w:ind w:left="786"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632" w:hanging="360"/>
      </w:pPr>
    </w:lvl>
    <w:lvl w:ilvl="2" w:tplc="0409001B">
      <w:start w:val="1"/>
      <w:numFmt w:val="lowerRoman"/>
      <w:lvlText w:val="%3."/>
      <w:lvlJc w:val="right"/>
      <w:pPr>
        <w:ind w:left="316" w:hanging="180"/>
      </w:pPr>
    </w:lvl>
    <w:lvl w:ilvl="3" w:tplc="0409000F">
      <w:start w:val="1"/>
      <w:numFmt w:val="decimal"/>
      <w:lvlText w:val="%4."/>
      <w:lvlJc w:val="left"/>
      <w:pPr>
        <w:ind w:left="1036" w:hanging="360"/>
      </w:pPr>
    </w:lvl>
    <w:lvl w:ilvl="4" w:tplc="04090019" w:tentative="1">
      <w:start w:val="1"/>
      <w:numFmt w:val="lowerLetter"/>
      <w:lvlText w:val="%5."/>
      <w:lvlJc w:val="left"/>
      <w:pPr>
        <w:ind w:left="1756" w:hanging="360"/>
      </w:pPr>
    </w:lvl>
    <w:lvl w:ilvl="5" w:tplc="0409001B" w:tentative="1">
      <w:start w:val="1"/>
      <w:numFmt w:val="lowerRoman"/>
      <w:lvlText w:val="%6."/>
      <w:lvlJc w:val="right"/>
      <w:pPr>
        <w:ind w:left="2476" w:hanging="180"/>
      </w:pPr>
    </w:lvl>
    <w:lvl w:ilvl="6" w:tplc="0409000F" w:tentative="1">
      <w:start w:val="1"/>
      <w:numFmt w:val="decimal"/>
      <w:lvlText w:val="%7."/>
      <w:lvlJc w:val="left"/>
      <w:pPr>
        <w:ind w:left="3196" w:hanging="360"/>
      </w:pPr>
    </w:lvl>
    <w:lvl w:ilvl="7" w:tplc="04090019" w:tentative="1">
      <w:start w:val="1"/>
      <w:numFmt w:val="lowerLetter"/>
      <w:lvlText w:val="%8."/>
      <w:lvlJc w:val="left"/>
      <w:pPr>
        <w:ind w:left="3916" w:hanging="360"/>
      </w:pPr>
    </w:lvl>
    <w:lvl w:ilvl="8" w:tplc="0409001B" w:tentative="1">
      <w:start w:val="1"/>
      <w:numFmt w:val="lowerRoman"/>
      <w:lvlText w:val="%9."/>
      <w:lvlJc w:val="right"/>
      <w:pPr>
        <w:ind w:left="4636" w:hanging="180"/>
      </w:pPr>
    </w:lvl>
  </w:abstractNum>
  <w:abstractNum w:abstractNumId="3" w15:restartNumberingAfterBreak="0">
    <w:nsid w:val="118A055D"/>
    <w:multiLevelType w:val="hybridMultilevel"/>
    <w:tmpl w:val="3DB83090"/>
    <w:lvl w:ilvl="0" w:tplc="EAB826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18C4CF8"/>
    <w:multiLevelType w:val="hybridMultilevel"/>
    <w:tmpl w:val="04CAF80C"/>
    <w:lvl w:ilvl="0" w:tplc="AB9AC5C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8E8F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01C4B"/>
    <w:multiLevelType w:val="multilevel"/>
    <w:tmpl w:val="9776258A"/>
    <w:lvl w:ilvl="0">
      <w:start w:val="1"/>
      <w:numFmt w:val="upperLetter"/>
      <w:pStyle w:val="Heading3"/>
      <w:lvlText w:val="%1."/>
      <w:lvlJc w:val="left"/>
      <w:pPr>
        <w:ind w:left="360" w:hanging="360"/>
      </w:pPr>
      <w:rPr>
        <w:rFonts w:hint="default"/>
        <w:b/>
        <w:bCs/>
        <w:i w:val="0"/>
        <w:caps w:val="0"/>
        <w:strike w:val="0"/>
        <w:dstrike w:val="0"/>
        <w:vanish w:val="0"/>
        <w:sz w:val="22"/>
        <w:vertAlign w:val="baseline"/>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AEE4642"/>
    <w:multiLevelType w:val="hybridMultilevel"/>
    <w:tmpl w:val="4B10FC88"/>
    <w:lvl w:ilvl="0" w:tplc="04090017">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15:restartNumberingAfterBreak="0">
    <w:nsid w:val="1D010FAF"/>
    <w:multiLevelType w:val="hybridMultilevel"/>
    <w:tmpl w:val="FFFFFFFF"/>
    <w:lvl w:ilvl="0" w:tplc="17AA2E9E">
      <w:start w:val="1"/>
      <w:numFmt w:val="lowerLetter"/>
      <w:lvlText w:val="%1."/>
      <w:lvlJc w:val="left"/>
      <w:pPr>
        <w:ind w:left="786" w:hanging="360"/>
      </w:pPr>
    </w:lvl>
    <w:lvl w:ilvl="1" w:tplc="D99A8206">
      <w:start w:val="1"/>
      <w:numFmt w:val="lowerLetter"/>
      <w:lvlText w:val="%2."/>
      <w:lvlJc w:val="left"/>
      <w:pPr>
        <w:ind w:left="1506" w:hanging="360"/>
      </w:pPr>
    </w:lvl>
    <w:lvl w:ilvl="2" w:tplc="B3D81822">
      <w:start w:val="1"/>
      <w:numFmt w:val="lowerRoman"/>
      <w:lvlText w:val="%3."/>
      <w:lvlJc w:val="right"/>
      <w:pPr>
        <w:ind w:left="2226" w:hanging="180"/>
      </w:pPr>
    </w:lvl>
    <w:lvl w:ilvl="3" w:tplc="2FF2A2E2">
      <w:start w:val="1"/>
      <w:numFmt w:val="decimal"/>
      <w:lvlText w:val="%4."/>
      <w:lvlJc w:val="left"/>
      <w:pPr>
        <w:ind w:left="2946" w:hanging="360"/>
      </w:pPr>
    </w:lvl>
    <w:lvl w:ilvl="4" w:tplc="56847BC0">
      <w:start w:val="1"/>
      <w:numFmt w:val="lowerLetter"/>
      <w:lvlText w:val="%5."/>
      <w:lvlJc w:val="left"/>
      <w:pPr>
        <w:ind w:left="3666" w:hanging="360"/>
      </w:pPr>
    </w:lvl>
    <w:lvl w:ilvl="5" w:tplc="195C37F8">
      <w:start w:val="1"/>
      <w:numFmt w:val="lowerRoman"/>
      <w:lvlText w:val="%6."/>
      <w:lvlJc w:val="right"/>
      <w:pPr>
        <w:ind w:left="4386" w:hanging="180"/>
      </w:pPr>
    </w:lvl>
    <w:lvl w:ilvl="6" w:tplc="B07AB97E">
      <w:start w:val="1"/>
      <w:numFmt w:val="decimal"/>
      <w:lvlText w:val="%7."/>
      <w:lvlJc w:val="left"/>
      <w:pPr>
        <w:ind w:left="5106" w:hanging="360"/>
      </w:pPr>
    </w:lvl>
    <w:lvl w:ilvl="7" w:tplc="A9A2469E">
      <w:start w:val="1"/>
      <w:numFmt w:val="lowerLetter"/>
      <w:lvlText w:val="%8."/>
      <w:lvlJc w:val="left"/>
      <w:pPr>
        <w:ind w:left="5826" w:hanging="360"/>
      </w:pPr>
    </w:lvl>
    <w:lvl w:ilvl="8" w:tplc="7FFC559C">
      <w:start w:val="1"/>
      <w:numFmt w:val="lowerRoman"/>
      <w:lvlText w:val="%9."/>
      <w:lvlJc w:val="right"/>
      <w:pPr>
        <w:ind w:left="6546" w:hanging="180"/>
      </w:pPr>
    </w:lvl>
  </w:abstractNum>
  <w:abstractNum w:abstractNumId="9" w15:restartNumberingAfterBreak="0">
    <w:nsid w:val="1EAA0C34"/>
    <w:multiLevelType w:val="hybridMultilevel"/>
    <w:tmpl w:val="549661EE"/>
    <w:lvl w:ilvl="0" w:tplc="FFFFFFFF">
      <w:start w:val="1"/>
      <w:numFmt w:val="lowerLetter"/>
      <w:lvlText w:val="%1."/>
      <w:lvlJc w:val="left"/>
      <w:pPr>
        <w:ind w:left="644" w:hanging="360"/>
      </w:p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10" w15:restartNumberingAfterBreak="0">
    <w:nsid w:val="1FAF45A5"/>
    <w:multiLevelType w:val="hybridMultilevel"/>
    <w:tmpl w:val="0F0A3E60"/>
    <w:lvl w:ilvl="0" w:tplc="46D482C2">
      <w:start w:val="1"/>
      <w:numFmt w:val="upperRoman"/>
      <w:pStyle w:val="Heading2"/>
      <w:lvlText w:val="%1."/>
      <w:lvlJc w:val="right"/>
      <w:pPr>
        <w:ind w:left="360" w:hanging="360"/>
      </w:pPr>
      <w:rPr>
        <w:rFonts w:hint="default"/>
        <w:b/>
        <w:i w:val="0"/>
        <w:color w:val="auto"/>
        <w:sz w:val="22"/>
        <w:szCs w:val="22"/>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1" w15:restartNumberingAfterBreak="0">
    <w:nsid w:val="24151A66"/>
    <w:multiLevelType w:val="hybridMultilevel"/>
    <w:tmpl w:val="FFFFFFFF"/>
    <w:lvl w:ilvl="0" w:tplc="39F61BBC">
      <w:start w:val="1"/>
      <w:numFmt w:val="lowerLetter"/>
      <w:lvlText w:val="%1."/>
      <w:lvlJc w:val="left"/>
      <w:pPr>
        <w:ind w:left="780" w:hanging="360"/>
      </w:pPr>
    </w:lvl>
    <w:lvl w:ilvl="1" w:tplc="478408E6">
      <w:start w:val="1"/>
      <w:numFmt w:val="lowerLetter"/>
      <w:lvlText w:val="%2."/>
      <w:lvlJc w:val="left"/>
      <w:pPr>
        <w:ind w:left="1500" w:hanging="360"/>
      </w:pPr>
    </w:lvl>
    <w:lvl w:ilvl="2" w:tplc="B31A81CC">
      <w:start w:val="1"/>
      <w:numFmt w:val="lowerRoman"/>
      <w:lvlText w:val="%3."/>
      <w:lvlJc w:val="right"/>
      <w:pPr>
        <w:ind w:left="2220" w:hanging="180"/>
      </w:pPr>
    </w:lvl>
    <w:lvl w:ilvl="3" w:tplc="13F879EE">
      <w:start w:val="1"/>
      <w:numFmt w:val="decimal"/>
      <w:lvlText w:val="%4."/>
      <w:lvlJc w:val="left"/>
      <w:pPr>
        <w:ind w:left="2940" w:hanging="360"/>
      </w:pPr>
    </w:lvl>
    <w:lvl w:ilvl="4" w:tplc="25081A2E">
      <w:start w:val="1"/>
      <w:numFmt w:val="lowerLetter"/>
      <w:lvlText w:val="%5."/>
      <w:lvlJc w:val="left"/>
      <w:pPr>
        <w:ind w:left="3660" w:hanging="360"/>
      </w:pPr>
    </w:lvl>
    <w:lvl w:ilvl="5" w:tplc="E0CCB038">
      <w:start w:val="1"/>
      <w:numFmt w:val="lowerRoman"/>
      <w:lvlText w:val="%6."/>
      <w:lvlJc w:val="right"/>
      <w:pPr>
        <w:ind w:left="4380" w:hanging="180"/>
      </w:pPr>
    </w:lvl>
    <w:lvl w:ilvl="6" w:tplc="05780BCA">
      <w:start w:val="1"/>
      <w:numFmt w:val="decimal"/>
      <w:lvlText w:val="%7."/>
      <w:lvlJc w:val="left"/>
      <w:pPr>
        <w:ind w:left="5100" w:hanging="360"/>
      </w:pPr>
    </w:lvl>
    <w:lvl w:ilvl="7" w:tplc="86C23BDE">
      <w:start w:val="1"/>
      <w:numFmt w:val="lowerLetter"/>
      <w:lvlText w:val="%8."/>
      <w:lvlJc w:val="left"/>
      <w:pPr>
        <w:ind w:left="5820" w:hanging="360"/>
      </w:pPr>
    </w:lvl>
    <w:lvl w:ilvl="8" w:tplc="05029040">
      <w:start w:val="1"/>
      <w:numFmt w:val="lowerRoman"/>
      <w:lvlText w:val="%9."/>
      <w:lvlJc w:val="right"/>
      <w:pPr>
        <w:ind w:left="6540" w:hanging="180"/>
      </w:pPr>
    </w:lvl>
  </w:abstractNum>
  <w:abstractNum w:abstractNumId="12" w15:restartNumberingAfterBreak="0">
    <w:nsid w:val="357B5F65"/>
    <w:multiLevelType w:val="hybridMultilevel"/>
    <w:tmpl w:val="BF4C7AD8"/>
    <w:lvl w:ilvl="0" w:tplc="234A418C">
      <w:start w:val="1"/>
      <w:numFmt w:val="upp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3F896A"/>
    <w:multiLevelType w:val="hybridMultilevel"/>
    <w:tmpl w:val="FFFFFFFF"/>
    <w:lvl w:ilvl="0" w:tplc="3620F0E4">
      <w:start w:val="1"/>
      <w:numFmt w:val="lowerLetter"/>
      <w:lvlText w:val="%1."/>
      <w:lvlJc w:val="left"/>
      <w:pPr>
        <w:ind w:left="720" w:hanging="360"/>
      </w:pPr>
    </w:lvl>
    <w:lvl w:ilvl="1" w:tplc="E570AA40">
      <w:start w:val="1"/>
      <w:numFmt w:val="lowerLetter"/>
      <w:lvlText w:val="%2."/>
      <w:lvlJc w:val="left"/>
      <w:pPr>
        <w:ind w:left="1440" w:hanging="360"/>
      </w:pPr>
    </w:lvl>
    <w:lvl w:ilvl="2" w:tplc="0D4A43A0">
      <w:start w:val="1"/>
      <w:numFmt w:val="lowerRoman"/>
      <w:lvlText w:val="%3."/>
      <w:lvlJc w:val="right"/>
      <w:pPr>
        <w:ind w:left="2160" w:hanging="180"/>
      </w:pPr>
    </w:lvl>
    <w:lvl w:ilvl="3" w:tplc="BB845CF0">
      <w:start w:val="1"/>
      <w:numFmt w:val="decimal"/>
      <w:lvlText w:val="%4."/>
      <w:lvlJc w:val="left"/>
      <w:pPr>
        <w:ind w:left="2880" w:hanging="360"/>
      </w:pPr>
    </w:lvl>
    <w:lvl w:ilvl="4" w:tplc="F9E43C68">
      <w:start w:val="1"/>
      <w:numFmt w:val="lowerLetter"/>
      <w:lvlText w:val="%5."/>
      <w:lvlJc w:val="left"/>
      <w:pPr>
        <w:ind w:left="3600" w:hanging="360"/>
      </w:pPr>
    </w:lvl>
    <w:lvl w:ilvl="5" w:tplc="B4B0307E">
      <w:start w:val="1"/>
      <w:numFmt w:val="lowerRoman"/>
      <w:lvlText w:val="%6."/>
      <w:lvlJc w:val="right"/>
      <w:pPr>
        <w:ind w:left="4320" w:hanging="180"/>
      </w:pPr>
    </w:lvl>
    <w:lvl w:ilvl="6" w:tplc="DF904676">
      <w:start w:val="1"/>
      <w:numFmt w:val="decimal"/>
      <w:lvlText w:val="%7."/>
      <w:lvlJc w:val="left"/>
      <w:pPr>
        <w:ind w:left="5040" w:hanging="360"/>
      </w:pPr>
    </w:lvl>
    <w:lvl w:ilvl="7" w:tplc="7E9224EA">
      <w:start w:val="1"/>
      <w:numFmt w:val="lowerLetter"/>
      <w:lvlText w:val="%8."/>
      <w:lvlJc w:val="left"/>
      <w:pPr>
        <w:ind w:left="5760" w:hanging="360"/>
      </w:pPr>
    </w:lvl>
    <w:lvl w:ilvl="8" w:tplc="6BDC64A2">
      <w:start w:val="1"/>
      <w:numFmt w:val="lowerRoman"/>
      <w:lvlText w:val="%9."/>
      <w:lvlJc w:val="right"/>
      <w:pPr>
        <w:ind w:left="6480" w:hanging="180"/>
      </w:pPr>
    </w:lvl>
  </w:abstractNum>
  <w:abstractNum w:abstractNumId="14" w15:restartNumberingAfterBreak="0">
    <w:nsid w:val="3FD876C8"/>
    <w:multiLevelType w:val="hybridMultilevel"/>
    <w:tmpl w:val="6720CD5A"/>
    <w:lvl w:ilvl="0" w:tplc="8FB6CF80">
      <w:start w:val="1"/>
      <w:numFmt w:val="upperLetter"/>
      <w:lvlText w:val="%1."/>
      <w:lvlJc w:val="left"/>
      <w:pPr>
        <w:ind w:left="360" w:hanging="360"/>
      </w:pPr>
      <w:rPr>
        <w:rFonts w:ascii="Times New Roman" w:hAnsi="Times New Roman" w:cs="Times New Roman" w:hint="default"/>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36AC384"/>
    <w:multiLevelType w:val="hybridMultilevel"/>
    <w:tmpl w:val="FFFFFFFF"/>
    <w:lvl w:ilvl="0" w:tplc="35789114">
      <w:start w:val="1"/>
      <w:numFmt w:val="lowerLetter"/>
      <w:lvlText w:val="%1."/>
      <w:lvlJc w:val="left"/>
      <w:pPr>
        <w:ind w:left="158" w:hanging="360"/>
      </w:pPr>
    </w:lvl>
    <w:lvl w:ilvl="1" w:tplc="2BA85418">
      <w:start w:val="1"/>
      <w:numFmt w:val="lowerLetter"/>
      <w:lvlText w:val="%2."/>
      <w:lvlJc w:val="left"/>
      <w:pPr>
        <w:ind w:left="878" w:hanging="360"/>
      </w:pPr>
    </w:lvl>
    <w:lvl w:ilvl="2" w:tplc="6C4ACBF4">
      <w:start w:val="1"/>
      <w:numFmt w:val="lowerRoman"/>
      <w:lvlText w:val="%3."/>
      <w:lvlJc w:val="right"/>
      <w:pPr>
        <w:ind w:left="1598" w:hanging="180"/>
      </w:pPr>
    </w:lvl>
    <w:lvl w:ilvl="3" w:tplc="E49A7DB6">
      <w:start w:val="1"/>
      <w:numFmt w:val="decimal"/>
      <w:lvlText w:val="%4."/>
      <w:lvlJc w:val="left"/>
      <w:pPr>
        <w:ind w:left="2318" w:hanging="360"/>
      </w:pPr>
    </w:lvl>
    <w:lvl w:ilvl="4" w:tplc="35D227F4">
      <w:start w:val="1"/>
      <w:numFmt w:val="lowerLetter"/>
      <w:lvlText w:val="%5."/>
      <w:lvlJc w:val="left"/>
      <w:pPr>
        <w:ind w:left="3038" w:hanging="360"/>
      </w:pPr>
    </w:lvl>
    <w:lvl w:ilvl="5" w:tplc="17DA5CDC">
      <w:start w:val="1"/>
      <w:numFmt w:val="lowerRoman"/>
      <w:lvlText w:val="%6."/>
      <w:lvlJc w:val="right"/>
      <w:pPr>
        <w:ind w:left="3758" w:hanging="180"/>
      </w:pPr>
    </w:lvl>
    <w:lvl w:ilvl="6" w:tplc="BE78A86C">
      <w:start w:val="1"/>
      <w:numFmt w:val="decimal"/>
      <w:lvlText w:val="%7."/>
      <w:lvlJc w:val="left"/>
      <w:pPr>
        <w:ind w:left="4478" w:hanging="360"/>
      </w:pPr>
    </w:lvl>
    <w:lvl w:ilvl="7" w:tplc="BE900BCE">
      <w:start w:val="1"/>
      <w:numFmt w:val="lowerLetter"/>
      <w:lvlText w:val="%8."/>
      <w:lvlJc w:val="left"/>
      <w:pPr>
        <w:ind w:left="5198" w:hanging="360"/>
      </w:pPr>
    </w:lvl>
    <w:lvl w:ilvl="8" w:tplc="423C6210">
      <w:start w:val="1"/>
      <w:numFmt w:val="lowerRoman"/>
      <w:lvlText w:val="%9."/>
      <w:lvlJc w:val="right"/>
      <w:pPr>
        <w:ind w:left="5918" w:hanging="180"/>
      </w:pPr>
    </w:lvl>
  </w:abstractNum>
  <w:abstractNum w:abstractNumId="16" w15:restartNumberingAfterBreak="0">
    <w:nsid w:val="4A2110FC"/>
    <w:multiLevelType w:val="hybridMultilevel"/>
    <w:tmpl w:val="95C05B7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DF19D1D"/>
    <w:multiLevelType w:val="hybridMultilevel"/>
    <w:tmpl w:val="FFFFFFFF"/>
    <w:lvl w:ilvl="0" w:tplc="5A2EFB0C">
      <w:start w:val="1"/>
      <w:numFmt w:val="lowerLetter"/>
      <w:lvlText w:val="%1."/>
      <w:lvlJc w:val="left"/>
      <w:pPr>
        <w:ind w:left="720" w:hanging="360"/>
      </w:pPr>
    </w:lvl>
    <w:lvl w:ilvl="1" w:tplc="7F3ED73C">
      <w:start w:val="1"/>
      <w:numFmt w:val="lowerLetter"/>
      <w:lvlText w:val="%2."/>
      <w:lvlJc w:val="left"/>
      <w:pPr>
        <w:ind w:left="1440" w:hanging="360"/>
      </w:pPr>
    </w:lvl>
    <w:lvl w:ilvl="2" w:tplc="B3F686F6">
      <w:start w:val="1"/>
      <w:numFmt w:val="lowerRoman"/>
      <w:lvlText w:val="%3."/>
      <w:lvlJc w:val="right"/>
      <w:pPr>
        <w:ind w:left="2160" w:hanging="180"/>
      </w:pPr>
    </w:lvl>
    <w:lvl w:ilvl="3" w:tplc="26EA5CBE">
      <w:start w:val="1"/>
      <w:numFmt w:val="decimal"/>
      <w:lvlText w:val="%4."/>
      <w:lvlJc w:val="left"/>
      <w:pPr>
        <w:ind w:left="2880" w:hanging="360"/>
      </w:pPr>
    </w:lvl>
    <w:lvl w:ilvl="4" w:tplc="6DC2495E">
      <w:start w:val="1"/>
      <w:numFmt w:val="lowerLetter"/>
      <w:lvlText w:val="%5."/>
      <w:lvlJc w:val="left"/>
      <w:pPr>
        <w:ind w:left="3600" w:hanging="360"/>
      </w:pPr>
    </w:lvl>
    <w:lvl w:ilvl="5" w:tplc="E84E8E0E">
      <w:start w:val="1"/>
      <w:numFmt w:val="lowerRoman"/>
      <w:lvlText w:val="%6."/>
      <w:lvlJc w:val="right"/>
      <w:pPr>
        <w:ind w:left="4320" w:hanging="180"/>
      </w:pPr>
    </w:lvl>
    <w:lvl w:ilvl="6" w:tplc="18F26AF2">
      <w:start w:val="1"/>
      <w:numFmt w:val="decimal"/>
      <w:lvlText w:val="%7."/>
      <w:lvlJc w:val="left"/>
      <w:pPr>
        <w:ind w:left="5040" w:hanging="360"/>
      </w:pPr>
    </w:lvl>
    <w:lvl w:ilvl="7" w:tplc="3E3CED50">
      <w:start w:val="1"/>
      <w:numFmt w:val="lowerLetter"/>
      <w:lvlText w:val="%8."/>
      <w:lvlJc w:val="left"/>
      <w:pPr>
        <w:ind w:left="5760" w:hanging="360"/>
      </w:pPr>
    </w:lvl>
    <w:lvl w:ilvl="8" w:tplc="DF72A6B2">
      <w:start w:val="1"/>
      <w:numFmt w:val="lowerRoman"/>
      <w:lvlText w:val="%9."/>
      <w:lvlJc w:val="right"/>
      <w:pPr>
        <w:ind w:left="6480" w:hanging="180"/>
      </w:pPr>
    </w:lvl>
  </w:abstractNum>
  <w:abstractNum w:abstractNumId="18" w15:restartNumberingAfterBreak="0">
    <w:nsid w:val="50F06035"/>
    <w:multiLevelType w:val="hybridMultilevel"/>
    <w:tmpl w:val="2A2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F7FA0"/>
    <w:multiLevelType w:val="hybridMultilevel"/>
    <w:tmpl w:val="A5008D1E"/>
    <w:lvl w:ilvl="0" w:tplc="3A789202">
      <w:start w:val="1"/>
      <w:numFmt w:val="lowerLetter"/>
      <w:lvlText w:val="%1."/>
      <w:lvlJc w:val="left"/>
      <w:pPr>
        <w:ind w:left="1440" w:hanging="360"/>
      </w:pPr>
    </w:lvl>
    <w:lvl w:ilvl="1" w:tplc="E6E4388E">
      <w:start w:val="1"/>
      <w:numFmt w:val="lowerLetter"/>
      <w:lvlText w:val="%2."/>
      <w:lvlJc w:val="left"/>
      <w:pPr>
        <w:ind w:left="2160" w:hanging="360"/>
      </w:pPr>
    </w:lvl>
    <w:lvl w:ilvl="2" w:tplc="26D2A35E" w:tentative="1">
      <w:start w:val="1"/>
      <w:numFmt w:val="lowerRoman"/>
      <w:lvlText w:val="%3."/>
      <w:lvlJc w:val="right"/>
      <w:pPr>
        <w:ind w:left="2880" w:hanging="180"/>
      </w:pPr>
    </w:lvl>
    <w:lvl w:ilvl="3" w:tplc="E508EA5E" w:tentative="1">
      <w:start w:val="1"/>
      <w:numFmt w:val="decimal"/>
      <w:lvlText w:val="%4."/>
      <w:lvlJc w:val="left"/>
      <w:pPr>
        <w:ind w:left="3600" w:hanging="360"/>
      </w:pPr>
    </w:lvl>
    <w:lvl w:ilvl="4" w:tplc="9ACAA182" w:tentative="1">
      <w:start w:val="1"/>
      <w:numFmt w:val="lowerLetter"/>
      <w:lvlText w:val="%5."/>
      <w:lvlJc w:val="left"/>
      <w:pPr>
        <w:ind w:left="4320" w:hanging="360"/>
      </w:pPr>
    </w:lvl>
    <w:lvl w:ilvl="5" w:tplc="972CEA66" w:tentative="1">
      <w:start w:val="1"/>
      <w:numFmt w:val="lowerRoman"/>
      <w:lvlText w:val="%6."/>
      <w:lvlJc w:val="right"/>
      <w:pPr>
        <w:ind w:left="5040" w:hanging="180"/>
      </w:pPr>
    </w:lvl>
    <w:lvl w:ilvl="6" w:tplc="13CA9B82" w:tentative="1">
      <w:start w:val="1"/>
      <w:numFmt w:val="decimal"/>
      <w:lvlText w:val="%7."/>
      <w:lvlJc w:val="left"/>
      <w:pPr>
        <w:ind w:left="5760" w:hanging="360"/>
      </w:pPr>
    </w:lvl>
    <w:lvl w:ilvl="7" w:tplc="73526C30" w:tentative="1">
      <w:start w:val="1"/>
      <w:numFmt w:val="lowerLetter"/>
      <w:lvlText w:val="%8."/>
      <w:lvlJc w:val="left"/>
      <w:pPr>
        <w:ind w:left="6480" w:hanging="360"/>
      </w:pPr>
    </w:lvl>
    <w:lvl w:ilvl="8" w:tplc="EE3C0C28" w:tentative="1">
      <w:start w:val="1"/>
      <w:numFmt w:val="lowerRoman"/>
      <w:lvlText w:val="%9."/>
      <w:lvlJc w:val="right"/>
      <w:pPr>
        <w:ind w:left="7200" w:hanging="180"/>
      </w:pPr>
    </w:lvl>
  </w:abstractNum>
  <w:abstractNum w:abstractNumId="20" w15:restartNumberingAfterBreak="0">
    <w:nsid w:val="5604284F"/>
    <w:multiLevelType w:val="hybridMultilevel"/>
    <w:tmpl w:val="D9E2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D10D4"/>
    <w:multiLevelType w:val="hybridMultilevel"/>
    <w:tmpl w:val="FFFFFFFF"/>
    <w:lvl w:ilvl="0" w:tplc="3F74AFD2">
      <w:start w:val="1"/>
      <w:numFmt w:val="lowerLetter"/>
      <w:lvlText w:val="%1."/>
      <w:lvlJc w:val="left"/>
      <w:pPr>
        <w:ind w:left="786" w:hanging="360"/>
      </w:pPr>
    </w:lvl>
    <w:lvl w:ilvl="1" w:tplc="B41ABF84">
      <w:start w:val="1"/>
      <w:numFmt w:val="lowerLetter"/>
      <w:lvlText w:val="%2."/>
      <w:lvlJc w:val="left"/>
      <w:pPr>
        <w:ind w:left="1506" w:hanging="360"/>
      </w:pPr>
    </w:lvl>
    <w:lvl w:ilvl="2" w:tplc="9B5236A4">
      <w:start w:val="1"/>
      <w:numFmt w:val="lowerRoman"/>
      <w:lvlText w:val="%3."/>
      <w:lvlJc w:val="right"/>
      <w:pPr>
        <w:ind w:left="2226" w:hanging="180"/>
      </w:pPr>
    </w:lvl>
    <w:lvl w:ilvl="3" w:tplc="AF1664C6">
      <w:start w:val="1"/>
      <w:numFmt w:val="decimal"/>
      <w:lvlText w:val="%4."/>
      <w:lvlJc w:val="left"/>
      <w:pPr>
        <w:ind w:left="2946" w:hanging="360"/>
      </w:pPr>
    </w:lvl>
    <w:lvl w:ilvl="4" w:tplc="8A46389C">
      <w:start w:val="1"/>
      <w:numFmt w:val="lowerLetter"/>
      <w:lvlText w:val="%5."/>
      <w:lvlJc w:val="left"/>
      <w:pPr>
        <w:ind w:left="3666" w:hanging="360"/>
      </w:pPr>
    </w:lvl>
    <w:lvl w:ilvl="5" w:tplc="1CECD32C">
      <w:start w:val="1"/>
      <w:numFmt w:val="lowerRoman"/>
      <w:lvlText w:val="%6."/>
      <w:lvlJc w:val="right"/>
      <w:pPr>
        <w:ind w:left="4386" w:hanging="180"/>
      </w:pPr>
    </w:lvl>
    <w:lvl w:ilvl="6" w:tplc="C95A2192">
      <w:start w:val="1"/>
      <w:numFmt w:val="decimal"/>
      <w:lvlText w:val="%7."/>
      <w:lvlJc w:val="left"/>
      <w:pPr>
        <w:ind w:left="5106" w:hanging="360"/>
      </w:pPr>
    </w:lvl>
    <w:lvl w:ilvl="7" w:tplc="4F6EC722">
      <w:start w:val="1"/>
      <w:numFmt w:val="lowerLetter"/>
      <w:lvlText w:val="%8."/>
      <w:lvlJc w:val="left"/>
      <w:pPr>
        <w:ind w:left="5826" w:hanging="360"/>
      </w:pPr>
    </w:lvl>
    <w:lvl w:ilvl="8" w:tplc="1C1EF480">
      <w:start w:val="1"/>
      <w:numFmt w:val="lowerRoman"/>
      <w:lvlText w:val="%9."/>
      <w:lvlJc w:val="right"/>
      <w:pPr>
        <w:ind w:left="6546" w:hanging="180"/>
      </w:pPr>
    </w:lvl>
  </w:abstractNum>
  <w:abstractNum w:abstractNumId="22" w15:restartNumberingAfterBreak="0">
    <w:nsid w:val="60E9280A"/>
    <w:multiLevelType w:val="hybridMultilevel"/>
    <w:tmpl w:val="FFFFFFFF"/>
    <w:lvl w:ilvl="0" w:tplc="6F12A600">
      <w:start w:val="1"/>
      <w:numFmt w:val="lowerLetter"/>
      <w:lvlText w:val="%1."/>
      <w:lvlJc w:val="left"/>
      <w:pPr>
        <w:ind w:left="720" w:hanging="360"/>
      </w:pPr>
    </w:lvl>
    <w:lvl w:ilvl="1" w:tplc="FE00DF7A">
      <w:start w:val="1"/>
      <w:numFmt w:val="lowerLetter"/>
      <w:lvlText w:val="%2."/>
      <w:lvlJc w:val="left"/>
      <w:pPr>
        <w:ind w:left="1440" w:hanging="360"/>
      </w:pPr>
    </w:lvl>
    <w:lvl w:ilvl="2" w:tplc="C82E219C">
      <w:start w:val="1"/>
      <w:numFmt w:val="lowerRoman"/>
      <w:lvlText w:val="%3."/>
      <w:lvlJc w:val="right"/>
      <w:pPr>
        <w:ind w:left="2160" w:hanging="180"/>
      </w:pPr>
    </w:lvl>
    <w:lvl w:ilvl="3" w:tplc="9E989496">
      <w:start w:val="1"/>
      <w:numFmt w:val="decimal"/>
      <w:lvlText w:val="%4."/>
      <w:lvlJc w:val="left"/>
      <w:pPr>
        <w:ind w:left="2880" w:hanging="360"/>
      </w:pPr>
    </w:lvl>
    <w:lvl w:ilvl="4" w:tplc="CAFA4BC4">
      <w:start w:val="1"/>
      <w:numFmt w:val="lowerLetter"/>
      <w:lvlText w:val="%5."/>
      <w:lvlJc w:val="left"/>
      <w:pPr>
        <w:ind w:left="3600" w:hanging="360"/>
      </w:pPr>
    </w:lvl>
    <w:lvl w:ilvl="5" w:tplc="10D4DA70">
      <w:start w:val="1"/>
      <w:numFmt w:val="lowerRoman"/>
      <w:lvlText w:val="%6."/>
      <w:lvlJc w:val="right"/>
      <w:pPr>
        <w:ind w:left="4320" w:hanging="180"/>
      </w:pPr>
    </w:lvl>
    <w:lvl w:ilvl="6" w:tplc="AC1ADD82">
      <w:start w:val="1"/>
      <w:numFmt w:val="decimal"/>
      <w:lvlText w:val="%7."/>
      <w:lvlJc w:val="left"/>
      <w:pPr>
        <w:ind w:left="5040" w:hanging="360"/>
      </w:pPr>
    </w:lvl>
    <w:lvl w:ilvl="7" w:tplc="5E5C5198">
      <w:start w:val="1"/>
      <w:numFmt w:val="lowerLetter"/>
      <w:lvlText w:val="%8."/>
      <w:lvlJc w:val="left"/>
      <w:pPr>
        <w:ind w:left="5760" w:hanging="360"/>
      </w:pPr>
    </w:lvl>
    <w:lvl w:ilvl="8" w:tplc="BEEE4FA8">
      <w:start w:val="1"/>
      <w:numFmt w:val="lowerRoman"/>
      <w:lvlText w:val="%9."/>
      <w:lvlJc w:val="right"/>
      <w:pPr>
        <w:ind w:left="6480" w:hanging="180"/>
      </w:pPr>
    </w:lvl>
  </w:abstractNum>
  <w:abstractNum w:abstractNumId="23" w15:restartNumberingAfterBreak="0">
    <w:nsid w:val="60F30A01"/>
    <w:multiLevelType w:val="hybridMultilevel"/>
    <w:tmpl w:val="0CCC6AB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4" w15:restartNumberingAfterBreak="0">
    <w:nsid w:val="638FAF8C"/>
    <w:multiLevelType w:val="hybridMultilevel"/>
    <w:tmpl w:val="FFFFFFFF"/>
    <w:lvl w:ilvl="0" w:tplc="36129B0C">
      <w:start w:val="1"/>
      <w:numFmt w:val="lowerLetter"/>
      <w:lvlText w:val="%1."/>
      <w:lvlJc w:val="left"/>
      <w:pPr>
        <w:ind w:left="720" w:hanging="360"/>
      </w:pPr>
    </w:lvl>
    <w:lvl w:ilvl="1" w:tplc="91E48022">
      <w:start w:val="1"/>
      <w:numFmt w:val="lowerLetter"/>
      <w:lvlText w:val="%2."/>
      <w:lvlJc w:val="left"/>
      <w:pPr>
        <w:ind w:left="1440" w:hanging="360"/>
      </w:pPr>
    </w:lvl>
    <w:lvl w:ilvl="2" w:tplc="F59ABEB2">
      <w:start w:val="1"/>
      <w:numFmt w:val="lowerRoman"/>
      <w:lvlText w:val="%3."/>
      <w:lvlJc w:val="right"/>
      <w:pPr>
        <w:ind w:left="2160" w:hanging="180"/>
      </w:pPr>
    </w:lvl>
    <w:lvl w:ilvl="3" w:tplc="5F92F2E8">
      <w:start w:val="1"/>
      <w:numFmt w:val="decimal"/>
      <w:lvlText w:val="%4."/>
      <w:lvlJc w:val="left"/>
      <w:pPr>
        <w:ind w:left="2880" w:hanging="360"/>
      </w:pPr>
    </w:lvl>
    <w:lvl w:ilvl="4" w:tplc="502E7BAC">
      <w:start w:val="1"/>
      <w:numFmt w:val="lowerLetter"/>
      <w:lvlText w:val="%5."/>
      <w:lvlJc w:val="left"/>
      <w:pPr>
        <w:ind w:left="3600" w:hanging="360"/>
      </w:pPr>
    </w:lvl>
    <w:lvl w:ilvl="5" w:tplc="0C4E7332">
      <w:start w:val="1"/>
      <w:numFmt w:val="lowerRoman"/>
      <w:lvlText w:val="%6."/>
      <w:lvlJc w:val="right"/>
      <w:pPr>
        <w:ind w:left="4320" w:hanging="180"/>
      </w:pPr>
    </w:lvl>
    <w:lvl w:ilvl="6" w:tplc="A6EACA5C">
      <w:start w:val="1"/>
      <w:numFmt w:val="decimal"/>
      <w:lvlText w:val="%7."/>
      <w:lvlJc w:val="left"/>
      <w:pPr>
        <w:ind w:left="5040" w:hanging="360"/>
      </w:pPr>
    </w:lvl>
    <w:lvl w:ilvl="7" w:tplc="A6E0824E">
      <w:start w:val="1"/>
      <w:numFmt w:val="lowerLetter"/>
      <w:lvlText w:val="%8."/>
      <w:lvlJc w:val="left"/>
      <w:pPr>
        <w:ind w:left="5760" w:hanging="360"/>
      </w:pPr>
    </w:lvl>
    <w:lvl w:ilvl="8" w:tplc="63E47CCE">
      <w:start w:val="1"/>
      <w:numFmt w:val="lowerRoman"/>
      <w:lvlText w:val="%9."/>
      <w:lvlJc w:val="right"/>
      <w:pPr>
        <w:ind w:left="6480" w:hanging="180"/>
      </w:pPr>
    </w:lvl>
  </w:abstractNum>
  <w:abstractNum w:abstractNumId="25"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52886"/>
    <w:multiLevelType w:val="hybridMultilevel"/>
    <w:tmpl w:val="FFFFFFFF"/>
    <w:lvl w:ilvl="0" w:tplc="FDFC7812">
      <w:start w:val="1"/>
      <w:numFmt w:val="lowerLetter"/>
      <w:lvlText w:val="%1."/>
      <w:lvlJc w:val="left"/>
      <w:pPr>
        <w:ind w:left="720" w:hanging="360"/>
      </w:pPr>
    </w:lvl>
    <w:lvl w:ilvl="1" w:tplc="A584470E">
      <w:start w:val="1"/>
      <w:numFmt w:val="lowerLetter"/>
      <w:lvlText w:val="%2."/>
      <w:lvlJc w:val="left"/>
      <w:pPr>
        <w:ind w:left="1440" w:hanging="360"/>
      </w:pPr>
    </w:lvl>
    <w:lvl w:ilvl="2" w:tplc="751E75C0">
      <w:start w:val="1"/>
      <w:numFmt w:val="lowerRoman"/>
      <w:lvlText w:val="%3."/>
      <w:lvlJc w:val="right"/>
      <w:pPr>
        <w:ind w:left="2160" w:hanging="180"/>
      </w:pPr>
    </w:lvl>
    <w:lvl w:ilvl="3" w:tplc="E20CA994">
      <w:start w:val="1"/>
      <w:numFmt w:val="decimal"/>
      <w:lvlText w:val="%4."/>
      <w:lvlJc w:val="left"/>
      <w:pPr>
        <w:ind w:left="2880" w:hanging="360"/>
      </w:pPr>
    </w:lvl>
    <w:lvl w:ilvl="4" w:tplc="320A2A08">
      <w:start w:val="1"/>
      <w:numFmt w:val="lowerLetter"/>
      <w:lvlText w:val="%5."/>
      <w:lvlJc w:val="left"/>
      <w:pPr>
        <w:ind w:left="3600" w:hanging="360"/>
      </w:pPr>
    </w:lvl>
    <w:lvl w:ilvl="5" w:tplc="FED02542">
      <w:start w:val="1"/>
      <w:numFmt w:val="lowerRoman"/>
      <w:lvlText w:val="%6."/>
      <w:lvlJc w:val="right"/>
      <w:pPr>
        <w:ind w:left="4320" w:hanging="180"/>
      </w:pPr>
    </w:lvl>
    <w:lvl w:ilvl="6" w:tplc="A100F7AC">
      <w:start w:val="1"/>
      <w:numFmt w:val="decimal"/>
      <w:lvlText w:val="%7."/>
      <w:lvlJc w:val="left"/>
      <w:pPr>
        <w:ind w:left="5040" w:hanging="360"/>
      </w:pPr>
    </w:lvl>
    <w:lvl w:ilvl="7" w:tplc="4B72CBC6">
      <w:start w:val="1"/>
      <w:numFmt w:val="lowerLetter"/>
      <w:lvlText w:val="%8."/>
      <w:lvlJc w:val="left"/>
      <w:pPr>
        <w:ind w:left="5760" w:hanging="360"/>
      </w:pPr>
    </w:lvl>
    <w:lvl w:ilvl="8" w:tplc="240AFDA8">
      <w:start w:val="1"/>
      <w:numFmt w:val="lowerRoman"/>
      <w:lvlText w:val="%9."/>
      <w:lvlJc w:val="right"/>
      <w:pPr>
        <w:ind w:left="6480" w:hanging="180"/>
      </w:pPr>
    </w:lvl>
  </w:abstractNum>
  <w:abstractNum w:abstractNumId="28" w15:restartNumberingAfterBreak="0">
    <w:nsid w:val="69496B96"/>
    <w:multiLevelType w:val="hybridMultilevel"/>
    <w:tmpl w:val="E5BC11B4"/>
    <w:lvl w:ilvl="0" w:tplc="A5F06F00">
      <w:start w:val="1"/>
      <w:numFmt w:val="decimal"/>
      <w:pStyle w:val="Heading4"/>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70ED71F2"/>
    <w:multiLevelType w:val="hybridMultilevel"/>
    <w:tmpl w:val="3170E2D4"/>
    <w:lvl w:ilvl="0" w:tplc="BEBE387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7B47151B"/>
    <w:multiLevelType w:val="multilevel"/>
    <w:tmpl w:val="F5D20CB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08263440">
    <w:abstractNumId w:val="2"/>
  </w:num>
  <w:num w:numId="2" w16cid:durableId="960452092">
    <w:abstractNumId w:val="20"/>
  </w:num>
  <w:num w:numId="3" w16cid:durableId="1177384751">
    <w:abstractNumId w:val="10"/>
  </w:num>
  <w:num w:numId="4" w16cid:durableId="370805498">
    <w:abstractNumId w:val="23"/>
  </w:num>
  <w:num w:numId="5" w16cid:durableId="128474949">
    <w:abstractNumId w:val="6"/>
  </w:num>
  <w:num w:numId="6" w16cid:durableId="775559251">
    <w:abstractNumId w:val="26"/>
  </w:num>
  <w:num w:numId="7" w16cid:durableId="578029393">
    <w:abstractNumId w:val="25"/>
  </w:num>
  <w:num w:numId="8" w16cid:durableId="615214387">
    <w:abstractNumId w:val="19"/>
  </w:num>
  <w:num w:numId="9" w16cid:durableId="106510415">
    <w:abstractNumId w:val="0"/>
  </w:num>
  <w:num w:numId="10" w16cid:durableId="1468275893">
    <w:abstractNumId w:val="5"/>
  </w:num>
  <w:num w:numId="11" w16cid:durableId="1739787685">
    <w:abstractNumId w:val="24"/>
  </w:num>
  <w:num w:numId="12" w16cid:durableId="615405778">
    <w:abstractNumId w:val="13"/>
  </w:num>
  <w:num w:numId="13" w16cid:durableId="548416037">
    <w:abstractNumId w:val="27"/>
  </w:num>
  <w:num w:numId="14" w16cid:durableId="470097959">
    <w:abstractNumId w:val="17"/>
  </w:num>
  <w:num w:numId="15" w16cid:durableId="1698702022">
    <w:abstractNumId w:val="22"/>
  </w:num>
  <w:num w:numId="16" w16cid:durableId="1109928005">
    <w:abstractNumId w:val="15"/>
  </w:num>
  <w:num w:numId="17" w16cid:durableId="1180776184">
    <w:abstractNumId w:val="30"/>
  </w:num>
  <w:num w:numId="18" w16cid:durableId="982123605">
    <w:abstractNumId w:val="28"/>
  </w:num>
  <w:num w:numId="19" w16cid:durableId="420178643">
    <w:abstractNumId w:val="9"/>
  </w:num>
  <w:num w:numId="20" w16cid:durableId="1502356752">
    <w:abstractNumId w:val="7"/>
  </w:num>
  <w:num w:numId="21" w16cid:durableId="1635797375">
    <w:abstractNumId w:val="28"/>
    <w:lvlOverride w:ilvl="0">
      <w:startOverride w:val="1"/>
    </w:lvlOverride>
  </w:num>
  <w:num w:numId="22" w16cid:durableId="240331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536046">
    <w:abstractNumId w:val="4"/>
  </w:num>
  <w:num w:numId="24" w16cid:durableId="1254389054">
    <w:abstractNumId w:val="21"/>
  </w:num>
  <w:num w:numId="25" w16cid:durableId="666707326">
    <w:abstractNumId w:val="8"/>
  </w:num>
  <w:num w:numId="26" w16cid:durableId="547493097">
    <w:abstractNumId w:val="11"/>
  </w:num>
  <w:num w:numId="27" w16cid:durableId="999230919">
    <w:abstractNumId w:val="10"/>
  </w:num>
  <w:num w:numId="28" w16cid:durableId="1891843623">
    <w:abstractNumId w:val="12"/>
  </w:num>
  <w:num w:numId="29" w16cid:durableId="1428575163">
    <w:abstractNumId w:val="16"/>
  </w:num>
  <w:num w:numId="30" w16cid:durableId="1318270011">
    <w:abstractNumId w:val="2"/>
  </w:num>
  <w:num w:numId="31" w16cid:durableId="846292524">
    <w:abstractNumId w:val="2"/>
  </w:num>
  <w:num w:numId="32" w16cid:durableId="454712363">
    <w:abstractNumId w:val="2"/>
  </w:num>
  <w:num w:numId="33" w16cid:durableId="101800283">
    <w:abstractNumId w:val="2"/>
  </w:num>
  <w:num w:numId="34" w16cid:durableId="1657344970">
    <w:abstractNumId w:val="14"/>
  </w:num>
  <w:num w:numId="35" w16cid:durableId="1046951786">
    <w:abstractNumId w:val="2"/>
  </w:num>
  <w:num w:numId="36" w16cid:durableId="702287334">
    <w:abstractNumId w:val="29"/>
  </w:num>
  <w:num w:numId="37" w16cid:durableId="167598739">
    <w:abstractNumId w:val="1"/>
  </w:num>
  <w:num w:numId="38" w16cid:durableId="436607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46898">
    <w:abstractNumId w:val="18"/>
  </w:num>
  <w:num w:numId="40" w16cid:durableId="110366694">
    <w:abstractNumId w:val="10"/>
  </w:num>
  <w:num w:numId="41" w16cid:durableId="134729048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pt-PT" w:vendorID="64" w:dllVersion="0" w:nlCheck="1" w:checkStyle="0"/>
  <w:activeWritingStyle w:appName="MSWord" w:lang="en-GB"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D7"/>
    <w:rsid w:val="000006C5"/>
    <w:rsid w:val="000008F5"/>
    <w:rsid w:val="00000C40"/>
    <w:rsid w:val="00000E11"/>
    <w:rsid w:val="00000EE4"/>
    <w:rsid w:val="000012E7"/>
    <w:rsid w:val="00001A95"/>
    <w:rsid w:val="0000223C"/>
    <w:rsid w:val="000027FF"/>
    <w:rsid w:val="000038BA"/>
    <w:rsid w:val="00003B16"/>
    <w:rsid w:val="00003C28"/>
    <w:rsid w:val="00004581"/>
    <w:rsid w:val="00004CD9"/>
    <w:rsid w:val="00004D10"/>
    <w:rsid w:val="000057A8"/>
    <w:rsid w:val="00005A8F"/>
    <w:rsid w:val="00005B24"/>
    <w:rsid w:val="0000609E"/>
    <w:rsid w:val="000068FD"/>
    <w:rsid w:val="0000693E"/>
    <w:rsid w:val="0000711F"/>
    <w:rsid w:val="0000760C"/>
    <w:rsid w:val="000079BF"/>
    <w:rsid w:val="00007A28"/>
    <w:rsid w:val="00007A3B"/>
    <w:rsid w:val="00007AE3"/>
    <w:rsid w:val="00007AEB"/>
    <w:rsid w:val="000101DD"/>
    <w:rsid w:val="000106BE"/>
    <w:rsid w:val="00010AA7"/>
    <w:rsid w:val="00010ADC"/>
    <w:rsid w:val="00010AF4"/>
    <w:rsid w:val="000114DA"/>
    <w:rsid w:val="000117B9"/>
    <w:rsid w:val="00011F3C"/>
    <w:rsid w:val="00012E62"/>
    <w:rsid w:val="000130CE"/>
    <w:rsid w:val="00013239"/>
    <w:rsid w:val="00013450"/>
    <w:rsid w:val="0001356C"/>
    <w:rsid w:val="000135E6"/>
    <w:rsid w:val="0001365B"/>
    <w:rsid w:val="00013BAA"/>
    <w:rsid w:val="00014174"/>
    <w:rsid w:val="0001493E"/>
    <w:rsid w:val="00014ED9"/>
    <w:rsid w:val="00015464"/>
    <w:rsid w:val="0001567D"/>
    <w:rsid w:val="0001578D"/>
    <w:rsid w:val="000159B3"/>
    <w:rsid w:val="00015E3B"/>
    <w:rsid w:val="000160D8"/>
    <w:rsid w:val="0001626A"/>
    <w:rsid w:val="00016695"/>
    <w:rsid w:val="00016A80"/>
    <w:rsid w:val="00016B56"/>
    <w:rsid w:val="00016C11"/>
    <w:rsid w:val="00016F80"/>
    <w:rsid w:val="00016FF9"/>
    <w:rsid w:val="00017699"/>
    <w:rsid w:val="000178C8"/>
    <w:rsid w:val="00017B6E"/>
    <w:rsid w:val="00017EFC"/>
    <w:rsid w:val="00020C2A"/>
    <w:rsid w:val="00020C44"/>
    <w:rsid w:val="00020D72"/>
    <w:rsid w:val="00020E90"/>
    <w:rsid w:val="00020EB7"/>
    <w:rsid w:val="0002110E"/>
    <w:rsid w:val="00021542"/>
    <w:rsid w:val="00021708"/>
    <w:rsid w:val="00021B1E"/>
    <w:rsid w:val="00022015"/>
    <w:rsid w:val="0002232D"/>
    <w:rsid w:val="0002241A"/>
    <w:rsid w:val="000226C9"/>
    <w:rsid w:val="00022B5F"/>
    <w:rsid w:val="000231D4"/>
    <w:rsid w:val="00023746"/>
    <w:rsid w:val="000239B6"/>
    <w:rsid w:val="00023E2E"/>
    <w:rsid w:val="0002403C"/>
    <w:rsid w:val="00024602"/>
    <w:rsid w:val="00024841"/>
    <w:rsid w:val="0002588B"/>
    <w:rsid w:val="00025E44"/>
    <w:rsid w:val="0002600D"/>
    <w:rsid w:val="000261DE"/>
    <w:rsid w:val="00026D92"/>
    <w:rsid w:val="00026E2D"/>
    <w:rsid w:val="000272BE"/>
    <w:rsid w:val="000276F5"/>
    <w:rsid w:val="00027881"/>
    <w:rsid w:val="00027FE4"/>
    <w:rsid w:val="000301E2"/>
    <w:rsid w:val="00030466"/>
    <w:rsid w:val="000306D6"/>
    <w:rsid w:val="00030B53"/>
    <w:rsid w:val="00030E18"/>
    <w:rsid w:val="00031D2B"/>
    <w:rsid w:val="00031D68"/>
    <w:rsid w:val="00031E8C"/>
    <w:rsid w:val="00031F4F"/>
    <w:rsid w:val="0003226E"/>
    <w:rsid w:val="000325D9"/>
    <w:rsid w:val="00032F40"/>
    <w:rsid w:val="00032F59"/>
    <w:rsid w:val="00033266"/>
    <w:rsid w:val="0003333C"/>
    <w:rsid w:val="00033653"/>
    <w:rsid w:val="000338E1"/>
    <w:rsid w:val="00033F11"/>
    <w:rsid w:val="00033F88"/>
    <w:rsid w:val="0003464F"/>
    <w:rsid w:val="00034663"/>
    <w:rsid w:val="00035039"/>
    <w:rsid w:val="0003512C"/>
    <w:rsid w:val="00035470"/>
    <w:rsid w:val="0003591F"/>
    <w:rsid w:val="00035A89"/>
    <w:rsid w:val="00035CE0"/>
    <w:rsid w:val="00035E98"/>
    <w:rsid w:val="00036299"/>
    <w:rsid w:val="0003671E"/>
    <w:rsid w:val="00036875"/>
    <w:rsid w:val="000368F8"/>
    <w:rsid w:val="00036A39"/>
    <w:rsid w:val="00036ECC"/>
    <w:rsid w:val="000371CE"/>
    <w:rsid w:val="000373D9"/>
    <w:rsid w:val="000374D3"/>
    <w:rsid w:val="0003796B"/>
    <w:rsid w:val="00037B03"/>
    <w:rsid w:val="00037BE5"/>
    <w:rsid w:val="00037FB6"/>
    <w:rsid w:val="0004075D"/>
    <w:rsid w:val="00040D70"/>
    <w:rsid w:val="000416C4"/>
    <w:rsid w:val="000417EA"/>
    <w:rsid w:val="00041930"/>
    <w:rsid w:val="00041C90"/>
    <w:rsid w:val="00041DA3"/>
    <w:rsid w:val="00041F35"/>
    <w:rsid w:val="000423FB"/>
    <w:rsid w:val="00042C19"/>
    <w:rsid w:val="00043263"/>
    <w:rsid w:val="000436D9"/>
    <w:rsid w:val="00043811"/>
    <w:rsid w:val="00044431"/>
    <w:rsid w:val="00044BD5"/>
    <w:rsid w:val="00045D6A"/>
    <w:rsid w:val="0004708C"/>
    <w:rsid w:val="000472E6"/>
    <w:rsid w:val="00047319"/>
    <w:rsid w:val="00047698"/>
    <w:rsid w:val="000476C3"/>
    <w:rsid w:val="000501A2"/>
    <w:rsid w:val="00050309"/>
    <w:rsid w:val="0005060F"/>
    <w:rsid w:val="0005081C"/>
    <w:rsid w:val="000508D3"/>
    <w:rsid w:val="00050A79"/>
    <w:rsid w:val="00050CBD"/>
    <w:rsid w:val="0005122F"/>
    <w:rsid w:val="000512D4"/>
    <w:rsid w:val="000514F0"/>
    <w:rsid w:val="0005165E"/>
    <w:rsid w:val="0005187D"/>
    <w:rsid w:val="00051890"/>
    <w:rsid w:val="00051912"/>
    <w:rsid w:val="00052518"/>
    <w:rsid w:val="0005270D"/>
    <w:rsid w:val="00052E01"/>
    <w:rsid w:val="0005355E"/>
    <w:rsid w:val="00053983"/>
    <w:rsid w:val="00053F1B"/>
    <w:rsid w:val="00053FF3"/>
    <w:rsid w:val="00054244"/>
    <w:rsid w:val="00054372"/>
    <w:rsid w:val="000545E4"/>
    <w:rsid w:val="00054971"/>
    <w:rsid w:val="000549E0"/>
    <w:rsid w:val="00054DE0"/>
    <w:rsid w:val="00055524"/>
    <w:rsid w:val="000558A3"/>
    <w:rsid w:val="00055C19"/>
    <w:rsid w:val="0005636C"/>
    <w:rsid w:val="000565A8"/>
    <w:rsid w:val="00056CF1"/>
    <w:rsid w:val="0005774D"/>
    <w:rsid w:val="00057FE2"/>
    <w:rsid w:val="00060062"/>
    <w:rsid w:val="00060290"/>
    <w:rsid w:val="00060554"/>
    <w:rsid w:val="000608B4"/>
    <w:rsid w:val="00060DA9"/>
    <w:rsid w:val="00061609"/>
    <w:rsid w:val="0006269E"/>
    <w:rsid w:val="000627BC"/>
    <w:rsid w:val="00062B80"/>
    <w:rsid w:val="00063100"/>
    <w:rsid w:val="000639CB"/>
    <w:rsid w:val="00064096"/>
    <w:rsid w:val="0006419D"/>
    <w:rsid w:val="00064949"/>
    <w:rsid w:val="00065619"/>
    <w:rsid w:val="00065805"/>
    <w:rsid w:val="000660B4"/>
    <w:rsid w:val="0006687A"/>
    <w:rsid w:val="00066A2E"/>
    <w:rsid w:val="00066AC0"/>
    <w:rsid w:val="00066D34"/>
    <w:rsid w:val="00066E9B"/>
    <w:rsid w:val="000671A6"/>
    <w:rsid w:val="00067242"/>
    <w:rsid w:val="00067288"/>
    <w:rsid w:val="0006766E"/>
    <w:rsid w:val="00067A6B"/>
    <w:rsid w:val="00067B19"/>
    <w:rsid w:val="00067BAC"/>
    <w:rsid w:val="00067D4E"/>
    <w:rsid w:val="00067E93"/>
    <w:rsid w:val="00067F02"/>
    <w:rsid w:val="00070145"/>
    <w:rsid w:val="0007024C"/>
    <w:rsid w:val="0007064A"/>
    <w:rsid w:val="0007138A"/>
    <w:rsid w:val="000715F7"/>
    <w:rsid w:val="0007166D"/>
    <w:rsid w:val="000716F9"/>
    <w:rsid w:val="00071741"/>
    <w:rsid w:val="000717B2"/>
    <w:rsid w:val="00071BED"/>
    <w:rsid w:val="00071C5C"/>
    <w:rsid w:val="00072011"/>
    <w:rsid w:val="000722C6"/>
    <w:rsid w:val="000725E0"/>
    <w:rsid w:val="00072784"/>
    <w:rsid w:val="00072C88"/>
    <w:rsid w:val="000732DE"/>
    <w:rsid w:val="000733D1"/>
    <w:rsid w:val="00073791"/>
    <w:rsid w:val="00073ED4"/>
    <w:rsid w:val="0007421A"/>
    <w:rsid w:val="0007448B"/>
    <w:rsid w:val="00074704"/>
    <w:rsid w:val="00074DFB"/>
    <w:rsid w:val="0007502E"/>
    <w:rsid w:val="00075585"/>
    <w:rsid w:val="000757AE"/>
    <w:rsid w:val="00075917"/>
    <w:rsid w:val="00075C61"/>
    <w:rsid w:val="00075CE5"/>
    <w:rsid w:val="000763F4"/>
    <w:rsid w:val="000774E8"/>
    <w:rsid w:val="00077677"/>
    <w:rsid w:val="000779F9"/>
    <w:rsid w:val="00077C31"/>
    <w:rsid w:val="00077CBE"/>
    <w:rsid w:val="00077DAE"/>
    <w:rsid w:val="0008038C"/>
    <w:rsid w:val="000806B3"/>
    <w:rsid w:val="000809FE"/>
    <w:rsid w:val="00080CA1"/>
    <w:rsid w:val="0008156B"/>
    <w:rsid w:val="00081A34"/>
    <w:rsid w:val="00081D4B"/>
    <w:rsid w:val="00081D59"/>
    <w:rsid w:val="000823E0"/>
    <w:rsid w:val="00082404"/>
    <w:rsid w:val="00082F20"/>
    <w:rsid w:val="00082F3E"/>
    <w:rsid w:val="00083295"/>
    <w:rsid w:val="0008343E"/>
    <w:rsid w:val="000839C1"/>
    <w:rsid w:val="00084003"/>
    <w:rsid w:val="00084052"/>
    <w:rsid w:val="0008444F"/>
    <w:rsid w:val="00084628"/>
    <w:rsid w:val="0008462E"/>
    <w:rsid w:val="00085174"/>
    <w:rsid w:val="000857CA"/>
    <w:rsid w:val="00085C08"/>
    <w:rsid w:val="00086041"/>
    <w:rsid w:val="0008659A"/>
    <w:rsid w:val="000866C7"/>
    <w:rsid w:val="00086799"/>
    <w:rsid w:val="00086B4C"/>
    <w:rsid w:val="00086FE8"/>
    <w:rsid w:val="00087F20"/>
    <w:rsid w:val="00090670"/>
    <w:rsid w:val="00090BB4"/>
    <w:rsid w:val="00091073"/>
    <w:rsid w:val="0009126C"/>
    <w:rsid w:val="000912A1"/>
    <w:rsid w:val="00091447"/>
    <w:rsid w:val="0009172C"/>
    <w:rsid w:val="00091D4F"/>
    <w:rsid w:val="0009217A"/>
    <w:rsid w:val="00092655"/>
    <w:rsid w:val="000926E6"/>
    <w:rsid w:val="000928C2"/>
    <w:rsid w:val="00092A76"/>
    <w:rsid w:val="00093187"/>
    <w:rsid w:val="00093340"/>
    <w:rsid w:val="00093700"/>
    <w:rsid w:val="00093E24"/>
    <w:rsid w:val="00093E36"/>
    <w:rsid w:val="00093E78"/>
    <w:rsid w:val="00093FDF"/>
    <w:rsid w:val="0009409F"/>
    <w:rsid w:val="0009424A"/>
    <w:rsid w:val="000945F9"/>
    <w:rsid w:val="000950C8"/>
    <w:rsid w:val="00095142"/>
    <w:rsid w:val="0009558F"/>
    <w:rsid w:val="00095654"/>
    <w:rsid w:val="00095776"/>
    <w:rsid w:val="00095B5A"/>
    <w:rsid w:val="00095B7A"/>
    <w:rsid w:val="00096118"/>
    <w:rsid w:val="0009669A"/>
    <w:rsid w:val="00096B17"/>
    <w:rsid w:val="00096BEA"/>
    <w:rsid w:val="00096CBB"/>
    <w:rsid w:val="00096D45"/>
    <w:rsid w:val="000973F4"/>
    <w:rsid w:val="000979A9"/>
    <w:rsid w:val="000979BF"/>
    <w:rsid w:val="00097B1F"/>
    <w:rsid w:val="00097FB5"/>
    <w:rsid w:val="000A08CA"/>
    <w:rsid w:val="000A093A"/>
    <w:rsid w:val="000A0DB6"/>
    <w:rsid w:val="000A1009"/>
    <w:rsid w:val="000A1D48"/>
    <w:rsid w:val="000A230E"/>
    <w:rsid w:val="000A238F"/>
    <w:rsid w:val="000A28F4"/>
    <w:rsid w:val="000A2B8E"/>
    <w:rsid w:val="000A2DA8"/>
    <w:rsid w:val="000A31A8"/>
    <w:rsid w:val="000A31FA"/>
    <w:rsid w:val="000A35C4"/>
    <w:rsid w:val="000A3D88"/>
    <w:rsid w:val="000A3DF7"/>
    <w:rsid w:val="000A3F64"/>
    <w:rsid w:val="000A44BB"/>
    <w:rsid w:val="000A4A84"/>
    <w:rsid w:val="000A537A"/>
    <w:rsid w:val="000A5D5F"/>
    <w:rsid w:val="000A5DAA"/>
    <w:rsid w:val="000A618F"/>
    <w:rsid w:val="000A620C"/>
    <w:rsid w:val="000A71DB"/>
    <w:rsid w:val="000A7239"/>
    <w:rsid w:val="000A7E7B"/>
    <w:rsid w:val="000B0479"/>
    <w:rsid w:val="000B0800"/>
    <w:rsid w:val="000B129F"/>
    <w:rsid w:val="000B1341"/>
    <w:rsid w:val="000B1425"/>
    <w:rsid w:val="000B193A"/>
    <w:rsid w:val="000B19F3"/>
    <w:rsid w:val="000B19FE"/>
    <w:rsid w:val="000B1AAE"/>
    <w:rsid w:val="000B1AAF"/>
    <w:rsid w:val="000B1C6B"/>
    <w:rsid w:val="000B1CA1"/>
    <w:rsid w:val="000B1D1C"/>
    <w:rsid w:val="000B223F"/>
    <w:rsid w:val="000B2B9E"/>
    <w:rsid w:val="000B2F97"/>
    <w:rsid w:val="000B3E4C"/>
    <w:rsid w:val="000B409F"/>
    <w:rsid w:val="000B41EA"/>
    <w:rsid w:val="000B48DE"/>
    <w:rsid w:val="000B4AA3"/>
    <w:rsid w:val="000B4EBD"/>
    <w:rsid w:val="000B510C"/>
    <w:rsid w:val="000B547C"/>
    <w:rsid w:val="000B5662"/>
    <w:rsid w:val="000B578B"/>
    <w:rsid w:val="000B5B0B"/>
    <w:rsid w:val="000B604C"/>
    <w:rsid w:val="000B650F"/>
    <w:rsid w:val="000B658C"/>
    <w:rsid w:val="000B6932"/>
    <w:rsid w:val="000B6A83"/>
    <w:rsid w:val="000B6DF9"/>
    <w:rsid w:val="000B6F2F"/>
    <w:rsid w:val="000B72A4"/>
    <w:rsid w:val="000C0F08"/>
    <w:rsid w:val="000C1339"/>
    <w:rsid w:val="000C13D4"/>
    <w:rsid w:val="000C1405"/>
    <w:rsid w:val="000C142E"/>
    <w:rsid w:val="000C18B8"/>
    <w:rsid w:val="000C1CB7"/>
    <w:rsid w:val="000C1DFC"/>
    <w:rsid w:val="000C1F26"/>
    <w:rsid w:val="000C200C"/>
    <w:rsid w:val="000C30A9"/>
    <w:rsid w:val="000C362D"/>
    <w:rsid w:val="000C3B5F"/>
    <w:rsid w:val="000C44BC"/>
    <w:rsid w:val="000C44C2"/>
    <w:rsid w:val="000C49A0"/>
    <w:rsid w:val="000C4B11"/>
    <w:rsid w:val="000C4B9A"/>
    <w:rsid w:val="000C4E02"/>
    <w:rsid w:val="000C508B"/>
    <w:rsid w:val="000C535F"/>
    <w:rsid w:val="000C6337"/>
    <w:rsid w:val="000C6D91"/>
    <w:rsid w:val="000C6F81"/>
    <w:rsid w:val="000C7B4E"/>
    <w:rsid w:val="000D04C5"/>
    <w:rsid w:val="000D05B1"/>
    <w:rsid w:val="000D0693"/>
    <w:rsid w:val="000D0A0C"/>
    <w:rsid w:val="000D1986"/>
    <w:rsid w:val="000D1C62"/>
    <w:rsid w:val="000D1CA1"/>
    <w:rsid w:val="000D1D13"/>
    <w:rsid w:val="000D1D6E"/>
    <w:rsid w:val="000D2424"/>
    <w:rsid w:val="000D2B79"/>
    <w:rsid w:val="000D2DD0"/>
    <w:rsid w:val="000D2FB0"/>
    <w:rsid w:val="000D3BC6"/>
    <w:rsid w:val="000D3F22"/>
    <w:rsid w:val="000D404F"/>
    <w:rsid w:val="000D43DB"/>
    <w:rsid w:val="000D4BD5"/>
    <w:rsid w:val="000D4F99"/>
    <w:rsid w:val="000D56A4"/>
    <w:rsid w:val="000D5ADA"/>
    <w:rsid w:val="000D5E0D"/>
    <w:rsid w:val="000D63C5"/>
    <w:rsid w:val="000D6628"/>
    <w:rsid w:val="000D66FF"/>
    <w:rsid w:val="000D6860"/>
    <w:rsid w:val="000D7167"/>
    <w:rsid w:val="000D723B"/>
    <w:rsid w:val="000D7CB1"/>
    <w:rsid w:val="000E0439"/>
    <w:rsid w:val="000E0BB7"/>
    <w:rsid w:val="000E0C0E"/>
    <w:rsid w:val="000E10A6"/>
    <w:rsid w:val="000E1354"/>
    <w:rsid w:val="000E1639"/>
    <w:rsid w:val="000E17D8"/>
    <w:rsid w:val="000E1A2A"/>
    <w:rsid w:val="000E1F06"/>
    <w:rsid w:val="000E2044"/>
    <w:rsid w:val="000E216A"/>
    <w:rsid w:val="000E258B"/>
    <w:rsid w:val="000E27DD"/>
    <w:rsid w:val="000E2E41"/>
    <w:rsid w:val="000E2F9A"/>
    <w:rsid w:val="000E31E9"/>
    <w:rsid w:val="000E3F99"/>
    <w:rsid w:val="000E4692"/>
    <w:rsid w:val="000E4A34"/>
    <w:rsid w:val="000E4D17"/>
    <w:rsid w:val="000E4E5F"/>
    <w:rsid w:val="000E5414"/>
    <w:rsid w:val="000E544E"/>
    <w:rsid w:val="000E5C0C"/>
    <w:rsid w:val="000E7218"/>
    <w:rsid w:val="000E7598"/>
    <w:rsid w:val="000E7A2C"/>
    <w:rsid w:val="000E7A33"/>
    <w:rsid w:val="000F03E6"/>
    <w:rsid w:val="000F04DB"/>
    <w:rsid w:val="000F0782"/>
    <w:rsid w:val="000F0934"/>
    <w:rsid w:val="000F0A08"/>
    <w:rsid w:val="000F0D0A"/>
    <w:rsid w:val="000F1058"/>
    <w:rsid w:val="000F135D"/>
    <w:rsid w:val="000F13ED"/>
    <w:rsid w:val="000F1C3C"/>
    <w:rsid w:val="000F1D44"/>
    <w:rsid w:val="000F2339"/>
    <w:rsid w:val="000F335C"/>
    <w:rsid w:val="000F38B2"/>
    <w:rsid w:val="000F3C4A"/>
    <w:rsid w:val="000F3D92"/>
    <w:rsid w:val="000F3DE7"/>
    <w:rsid w:val="000F4035"/>
    <w:rsid w:val="000F4651"/>
    <w:rsid w:val="000F4CB4"/>
    <w:rsid w:val="000F4F46"/>
    <w:rsid w:val="000F5C83"/>
    <w:rsid w:val="000F5D1C"/>
    <w:rsid w:val="000F5D70"/>
    <w:rsid w:val="000F5FB0"/>
    <w:rsid w:val="000F60D5"/>
    <w:rsid w:val="000F6208"/>
    <w:rsid w:val="000F6BB7"/>
    <w:rsid w:val="000F6BE8"/>
    <w:rsid w:val="000F6FED"/>
    <w:rsid w:val="000F7100"/>
    <w:rsid w:val="000F716C"/>
    <w:rsid w:val="000F7B9D"/>
    <w:rsid w:val="000F7DD2"/>
    <w:rsid w:val="0010013A"/>
    <w:rsid w:val="00100245"/>
    <w:rsid w:val="00100389"/>
    <w:rsid w:val="0010038E"/>
    <w:rsid w:val="001004F3"/>
    <w:rsid w:val="00100ACC"/>
    <w:rsid w:val="00100CCD"/>
    <w:rsid w:val="00100D4A"/>
    <w:rsid w:val="001016F8"/>
    <w:rsid w:val="00101B36"/>
    <w:rsid w:val="00101C02"/>
    <w:rsid w:val="00101C35"/>
    <w:rsid w:val="00103446"/>
    <w:rsid w:val="001034A5"/>
    <w:rsid w:val="001035C2"/>
    <w:rsid w:val="00103C50"/>
    <w:rsid w:val="00103F6B"/>
    <w:rsid w:val="0010405B"/>
    <w:rsid w:val="00104658"/>
    <w:rsid w:val="00104ADD"/>
    <w:rsid w:val="00105256"/>
    <w:rsid w:val="0010553F"/>
    <w:rsid w:val="0010591C"/>
    <w:rsid w:val="00105CEC"/>
    <w:rsid w:val="00105CFF"/>
    <w:rsid w:val="001068D9"/>
    <w:rsid w:val="00106DB4"/>
    <w:rsid w:val="00107000"/>
    <w:rsid w:val="00107B1C"/>
    <w:rsid w:val="00107D16"/>
    <w:rsid w:val="00107F0A"/>
    <w:rsid w:val="001109BC"/>
    <w:rsid w:val="00110B2E"/>
    <w:rsid w:val="00111325"/>
    <w:rsid w:val="001113DE"/>
    <w:rsid w:val="00111461"/>
    <w:rsid w:val="001116C0"/>
    <w:rsid w:val="00111AE2"/>
    <w:rsid w:val="00111C0B"/>
    <w:rsid w:val="00111F86"/>
    <w:rsid w:val="00112181"/>
    <w:rsid w:val="0011234D"/>
    <w:rsid w:val="0011277A"/>
    <w:rsid w:val="00113331"/>
    <w:rsid w:val="001136F4"/>
    <w:rsid w:val="00113D94"/>
    <w:rsid w:val="00114871"/>
    <w:rsid w:val="00115029"/>
    <w:rsid w:val="00115197"/>
    <w:rsid w:val="00115521"/>
    <w:rsid w:val="00115D85"/>
    <w:rsid w:val="00115E63"/>
    <w:rsid w:val="00115EF9"/>
    <w:rsid w:val="001164CB"/>
    <w:rsid w:val="00116C62"/>
    <w:rsid w:val="00117A21"/>
    <w:rsid w:val="00117BF2"/>
    <w:rsid w:val="00117DD0"/>
    <w:rsid w:val="0012056A"/>
    <w:rsid w:val="00120E32"/>
    <w:rsid w:val="001214B1"/>
    <w:rsid w:val="0012165D"/>
    <w:rsid w:val="0012196F"/>
    <w:rsid w:val="00121B6D"/>
    <w:rsid w:val="0012218B"/>
    <w:rsid w:val="00122A64"/>
    <w:rsid w:val="00122E06"/>
    <w:rsid w:val="00122F63"/>
    <w:rsid w:val="00123070"/>
    <w:rsid w:val="001233E2"/>
    <w:rsid w:val="00123876"/>
    <w:rsid w:val="00123F53"/>
    <w:rsid w:val="00124AA0"/>
    <w:rsid w:val="00125283"/>
    <w:rsid w:val="001252EA"/>
    <w:rsid w:val="00125471"/>
    <w:rsid w:val="0012578C"/>
    <w:rsid w:val="00125DC0"/>
    <w:rsid w:val="001264D7"/>
    <w:rsid w:val="0012652B"/>
    <w:rsid w:val="001266F2"/>
    <w:rsid w:val="0012696D"/>
    <w:rsid w:val="00126970"/>
    <w:rsid w:val="00127B8A"/>
    <w:rsid w:val="00127F39"/>
    <w:rsid w:val="001300D6"/>
    <w:rsid w:val="001304B3"/>
    <w:rsid w:val="00130566"/>
    <w:rsid w:val="00130620"/>
    <w:rsid w:val="0013093F"/>
    <w:rsid w:val="00130BE9"/>
    <w:rsid w:val="00130BF7"/>
    <w:rsid w:val="00131383"/>
    <w:rsid w:val="00131429"/>
    <w:rsid w:val="00131594"/>
    <w:rsid w:val="001315A0"/>
    <w:rsid w:val="00131B48"/>
    <w:rsid w:val="00131CD4"/>
    <w:rsid w:val="00132041"/>
    <w:rsid w:val="00132102"/>
    <w:rsid w:val="00132539"/>
    <w:rsid w:val="00132944"/>
    <w:rsid w:val="001332EC"/>
    <w:rsid w:val="00133329"/>
    <w:rsid w:val="00133564"/>
    <w:rsid w:val="00133593"/>
    <w:rsid w:val="00133AC3"/>
    <w:rsid w:val="00134161"/>
    <w:rsid w:val="001349E5"/>
    <w:rsid w:val="00135477"/>
    <w:rsid w:val="001358A6"/>
    <w:rsid w:val="00135980"/>
    <w:rsid w:val="00135C35"/>
    <w:rsid w:val="00135D24"/>
    <w:rsid w:val="00135D95"/>
    <w:rsid w:val="00135DFB"/>
    <w:rsid w:val="00135EBC"/>
    <w:rsid w:val="00136D2D"/>
    <w:rsid w:val="0013705A"/>
    <w:rsid w:val="001370AE"/>
    <w:rsid w:val="00140009"/>
    <w:rsid w:val="0014026A"/>
    <w:rsid w:val="00140614"/>
    <w:rsid w:val="0014084C"/>
    <w:rsid w:val="00140B86"/>
    <w:rsid w:val="00140D08"/>
    <w:rsid w:val="00141574"/>
    <w:rsid w:val="001418A1"/>
    <w:rsid w:val="00141AC1"/>
    <w:rsid w:val="00141C8E"/>
    <w:rsid w:val="00141F51"/>
    <w:rsid w:val="00141F6B"/>
    <w:rsid w:val="001429EB"/>
    <w:rsid w:val="00142A73"/>
    <w:rsid w:val="00142EB4"/>
    <w:rsid w:val="001432EA"/>
    <w:rsid w:val="0014348C"/>
    <w:rsid w:val="0014403B"/>
    <w:rsid w:val="001446EE"/>
    <w:rsid w:val="00144D38"/>
    <w:rsid w:val="00144FAD"/>
    <w:rsid w:val="00145654"/>
    <w:rsid w:val="00146163"/>
    <w:rsid w:val="0014618B"/>
    <w:rsid w:val="001464D5"/>
    <w:rsid w:val="00146561"/>
    <w:rsid w:val="00146A15"/>
    <w:rsid w:val="00146C80"/>
    <w:rsid w:val="00147161"/>
    <w:rsid w:val="00147DCE"/>
    <w:rsid w:val="0015037C"/>
    <w:rsid w:val="001505CD"/>
    <w:rsid w:val="001506FB"/>
    <w:rsid w:val="001507C0"/>
    <w:rsid w:val="00150A51"/>
    <w:rsid w:val="0015101F"/>
    <w:rsid w:val="001518A4"/>
    <w:rsid w:val="001522A2"/>
    <w:rsid w:val="00152562"/>
    <w:rsid w:val="0015289F"/>
    <w:rsid w:val="00152999"/>
    <w:rsid w:val="00152A1E"/>
    <w:rsid w:val="00152E35"/>
    <w:rsid w:val="0015343E"/>
    <w:rsid w:val="001540AC"/>
    <w:rsid w:val="00154661"/>
    <w:rsid w:val="001546BD"/>
    <w:rsid w:val="00154B60"/>
    <w:rsid w:val="00154DF5"/>
    <w:rsid w:val="00154EE6"/>
    <w:rsid w:val="00155BF2"/>
    <w:rsid w:val="00155C71"/>
    <w:rsid w:val="00155E7A"/>
    <w:rsid w:val="001562B4"/>
    <w:rsid w:val="001562B9"/>
    <w:rsid w:val="0015632C"/>
    <w:rsid w:val="001564BE"/>
    <w:rsid w:val="00156C5F"/>
    <w:rsid w:val="00156C8E"/>
    <w:rsid w:val="0015717D"/>
    <w:rsid w:val="001578BB"/>
    <w:rsid w:val="00157B25"/>
    <w:rsid w:val="00157C4C"/>
    <w:rsid w:val="00157D04"/>
    <w:rsid w:val="0016087C"/>
    <w:rsid w:val="00160EFD"/>
    <w:rsid w:val="00161889"/>
    <w:rsid w:val="00161B6D"/>
    <w:rsid w:val="00161D0C"/>
    <w:rsid w:val="00161DC7"/>
    <w:rsid w:val="001622F9"/>
    <w:rsid w:val="00162647"/>
    <w:rsid w:val="00162885"/>
    <w:rsid w:val="001629BE"/>
    <w:rsid w:val="00163108"/>
    <w:rsid w:val="001631A5"/>
    <w:rsid w:val="001631E6"/>
    <w:rsid w:val="001637A6"/>
    <w:rsid w:val="0016392F"/>
    <w:rsid w:val="001640E8"/>
    <w:rsid w:val="00164A25"/>
    <w:rsid w:val="001664D5"/>
    <w:rsid w:val="001664F7"/>
    <w:rsid w:val="001665FA"/>
    <w:rsid w:val="00166EEA"/>
    <w:rsid w:val="00166EF9"/>
    <w:rsid w:val="00167450"/>
    <w:rsid w:val="00167600"/>
    <w:rsid w:val="001679E3"/>
    <w:rsid w:val="001679EA"/>
    <w:rsid w:val="00167D1F"/>
    <w:rsid w:val="00167D6E"/>
    <w:rsid w:val="00170700"/>
    <w:rsid w:val="00171CC7"/>
    <w:rsid w:val="00172094"/>
    <w:rsid w:val="0017244D"/>
    <w:rsid w:val="00172810"/>
    <w:rsid w:val="00172D4E"/>
    <w:rsid w:val="00174AD5"/>
    <w:rsid w:val="001751A1"/>
    <w:rsid w:val="0017531D"/>
    <w:rsid w:val="0017532C"/>
    <w:rsid w:val="00175441"/>
    <w:rsid w:val="00175720"/>
    <w:rsid w:val="00175871"/>
    <w:rsid w:val="00175BFE"/>
    <w:rsid w:val="001760F0"/>
    <w:rsid w:val="0017716C"/>
    <w:rsid w:val="0017721B"/>
    <w:rsid w:val="001774BA"/>
    <w:rsid w:val="001778C1"/>
    <w:rsid w:val="00177ECD"/>
    <w:rsid w:val="00180460"/>
    <w:rsid w:val="001804F6"/>
    <w:rsid w:val="0018051C"/>
    <w:rsid w:val="0018060E"/>
    <w:rsid w:val="00180666"/>
    <w:rsid w:val="00180A65"/>
    <w:rsid w:val="00180B63"/>
    <w:rsid w:val="001810F4"/>
    <w:rsid w:val="0018114A"/>
    <w:rsid w:val="001811BF"/>
    <w:rsid w:val="001818F9"/>
    <w:rsid w:val="0018218B"/>
    <w:rsid w:val="001821E2"/>
    <w:rsid w:val="00182747"/>
    <w:rsid w:val="00182956"/>
    <w:rsid w:val="00182D54"/>
    <w:rsid w:val="00183285"/>
    <w:rsid w:val="00183BB7"/>
    <w:rsid w:val="00183E19"/>
    <w:rsid w:val="0018403F"/>
    <w:rsid w:val="0018426B"/>
    <w:rsid w:val="00184753"/>
    <w:rsid w:val="00184792"/>
    <w:rsid w:val="001848D5"/>
    <w:rsid w:val="00184A16"/>
    <w:rsid w:val="00184CD1"/>
    <w:rsid w:val="00184D6B"/>
    <w:rsid w:val="00184EDD"/>
    <w:rsid w:val="0018563F"/>
    <w:rsid w:val="00185749"/>
    <w:rsid w:val="00185D74"/>
    <w:rsid w:val="001862FF"/>
    <w:rsid w:val="0018647B"/>
    <w:rsid w:val="001866E9"/>
    <w:rsid w:val="00186C82"/>
    <w:rsid w:val="00187447"/>
    <w:rsid w:val="001874DF"/>
    <w:rsid w:val="00187849"/>
    <w:rsid w:val="001878E1"/>
    <w:rsid w:val="00187B08"/>
    <w:rsid w:val="00187EB4"/>
    <w:rsid w:val="00190043"/>
    <w:rsid w:val="001908B6"/>
    <w:rsid w:val="00190DF9"/>
    <w:rsid w:val="00190F40"/>
    <w:rsid w:val="001910B9"/>
    <w:rsid w:val="0019137B"/>
    <w:rsid w:val="001913BD"/>
    <w:rsid w:val="001913F0"/>
    <w:rsid w:val="00191853"/>
    <w:rsid w:val="00191DC5"/>
    <w:rsid w:val="00192426"/>
    <w:rsid w:val="001927DC"/>
    <w:rsid w:val="00192C4D"/>
    <w:rsid w:val="0019356F"/>
    <w:rsid w:val="00193769"/>
    <w:rsid w:val="00193A1C"/>
    <w:rsid w:val="00193DAD"/>
    <w:rsid w:val="0019440F"/>
    <w:rsid w:val="00194627"/>
    <w:rsid w:val="00194960"/>
    <w:rsid w:val="0019499C"/>
    <w:rsid w:val="00194E1D"/>
    <w:rsid w:val="001950A0"/>
    <w:rsid w:val="00195B86"/>
    <w:rsid w:val="001969C9"/>
    <w:rsid w:val="00196BE7"/>
    <w:rsid w:val="00196EED"/>
    <w:rsid w:val="00197645"/>
    <w:rsid w:val="0019780A"/>
    <w:rsid w:val="001A028F"/>
    <w:rsid w:val="001A04AA"/>
    <w:rsid w:val="001A04BC"/>
    <w:rsid w:val="001A05E6"/>
    <w:rsid w:val="001A09EC"/>
    <w:rsid w:val="001A0B11"/>
    <w:rsid w:val="001A0F03"/>
    <w:rsid w:val="001A106E"/>
    <w:rsid w:val="001A12D5"/>
    <w:rsid w:val="001A2285"/>
    <w:rsid w:val="001A2692"/>
    <w:rsid w:val="001A335A"/>
    <w:rsid w:val="001A33F6"/>
    <w:rsid w:val="001A3968"/>
    <w:rsid w:val="001A397F"/>
    <w:rsid w:val="001A420C"/>
    <w:rsid w:val="001A4748"/>
    <w:rsid w:val="001A49C6"/>
    <w:rsid w:val="001A4CFA"/>
    <w:rsid w:val="001A4D8D"/>
    <w:rsid w:val="001A50B0"/>
    <w:rsid w:val="001A54E3"/>
    <w:rsid w:val="001A57FA"/>
    <w:rsid w:val="001A5C63"/>
    <w:rsid w:val="001A5D6E"/>
    <w:rsid w:val="001A60E8"/>
    <w:rsid w:val="001A665C"/>
    <w:rsid w:val="001A7013"/>
    <w:rsid w:val="001A7079"/>
    <w:rsid w:val="001A72A6"/>
    <w:rsid w:val="001A7357"/>
    <w:rsid w:val="001B0467"/>
    <w:rsid w:val="001B04B0"/>
    <w:rsid w:val="001B08DC"/>
    <w:rsid w:val="001B0A6F"/>
    <w:rsid w:val="001B0A7D"/>
    <w:rsid w:val="001B0B02"/>
    <w:rsid w:val="001B0C3C"/>
    <w:rsid w:val="001B1023"/>
    <w:rsid w:val="001B1146"/>
    <w:rsid w:val="001B13D2"/>
    <w:rsid w:val="001B1716"/>
    <w:rsid w:val="001B1DD2"/>
    <w:rsid w:val="001B22A9"/>
    <w:rsid w:val="001B2350"/>
    <w:rsid w:val="001B250C"/>
    <w:rsid w:val="001B25B0"/>
    <w:rsid w:val="001B2E25"/>
    <w:rsid w:val="001B2F52"/>
    <w:rsid w:val="001B358F"/>
    <w:rsid w:val="001B3948"/>
    <w:rsid w:val="001B3C3F"/>
    <w:rsid w:val="001B425F"/>
    <w:rsid w:val="001B4365"/>
    <w:rsid w:val="001B4554"/>
    <w:rsid w:val="001B4618"/>
    <w:rsid w:val="001B4C10"/>
    <w:rsid w:val="001B4C72"/>
    <w:rsid w:val="001B4E84"/>
    <w:rsid w:val="001B54A7"/>
    <w:rsid w:val="001B55E3"/>
    <w:rsid w:val="001B5FEB"/>
    <w:rsid w:val="001B615A"/>
    <w:rsid w:val="001B6B21"/>
    <w:rsid w:val="001B702F"/>
    <w:rsid w:val="001B70B6"/>
    <w:rsid w:val="001B715F"/>
    <w:rsid w:val="001B71DA"/>
    <w:rsid w:val="001B7318"/>
    <w:rsid w:val="001B7593"/>
    <w:rsid w:val="001B7740"/>
    <w:rsid w:val="001B7A94"/>
    <w:rsid w:val="001C013D"/>
    <w:rsid w:val="001C0A5B"/>
    <w:rsid w:val="001C0C20"/>
    <w:rsid w:val="001C0F25"/>
    <w:rsid w:val="001C0FA7"/>
    <w:rsid w:val="001C0FC1"/>
    <w:rsid w:val="001C1AEB"/>
    <w:rsid w:val="001C20E1"/>
    <w:rsid w:val="001C20F4"/>
    <w:rsid w:val="001C252F"/>
    <w:rsid w:val="001C2CCB"/>
    <w:rsid w:val="001C3062"/>
    <w:rsid w:val="001C314B"/>
    <w:rsid w:val="001C3A85"/>
    <w:rsid w:val="001C3D70"/>
    <w:rsid w:val="001C3F2C"/>
    <w:rsid w:val="001C4232"/>
    <w:rsid w:val="001C4D16"/>
    <w:rsid w:val="001C50D3"/>
    <w:rsid w:val="001C5249"/>
    <w:rsid w:val="001C54E8"/>
    <w:rsid w:val="001C58A7"/>
    <w:rsid w:val="001C5D05"/>
    <w:rsid w:val="001C5EF2"/>
    <w:rsid w:val="001C61E9"/>
    <w:rsid w:val="001C63D4"/>
    <w:rsid w:val="001C64D5"/>
    <w:rsid w:val="001C6AFA"/>
    <w:rsid w:val="001C6BCC"/>
    <w:rsid w:val="001C706B"/>
    <w:rsid w:val="001C7170"/>
    <w:rsid w:val="001C72C2"/>
    <w:rsid w:val="001C72DB"/>
    <w:rsid w:val="001C7E79"/>
    <w:rsid w:val="001D0DA2"/>
    <w:rsid w:val="001D17E9"/>
    <w:rsid w:val="001D1CC3"/>
    <w:rsid w:val="001D27A5"/>
    <w:rsid w:val="001D2A66"/>
    <w:rsid w:val="001D2FE8"/>
    <w:rsid w:val="001D3161"/>
    <w:rsid w:val="001D3210"/>
    <w:rsid w:val="001D32A5"/>
    <w:rsid w:val="001D369A"/>
    <w:rsid w:val="001D3E28"/>
    <w:rsid w:val="001D3F7B"/>
    <w:rsid w:val="001D40B9"/>
    <w:rsid w:val="001D4298"/>
    <w:rsid w:val="001D46C2"/>
    <w:rsid w:val="001D4B4F"/>
    <w:rsid w:val="001D4BF9"/>
    <w:rsid w:val="001D4CA4"/>
    <w:rsid w:val="001D4EB5"/>
    <w:rsid w:val="001D509B"/>
    <w:rsid w:val="001D5188"/>
    <w:rsid w:val="001D53D0"/>
    <w:rsid w:val="001D53EE"/>
    <w:rsid w:val="001D5FBF"/>
    <w:rsid w:val="001D6135"/>
    <w:rsid w:val="001D650F"/>
    <w:rsid w:val="001D6719"/>
    <w:rsid w:val="001D6BC2"/>
    <w:rsid w:val="001D6FEF"/>
    <w:rsid w:val="001D709E"/>
    <w:rsid w:val="001D7782"/>
    <w:rsid w:val="001D786E"/>
    <w:rsid w:val="001D7E4D"/>
    <w:rsid w:val="001E05B2"/>
    <w:rsid w:val="001E1313"/>
    <w:rsid w:val="001E1D8E"/>
    <w:rsid w:val="001E1EBD"/>
    <w:rsid w:val="001E1F22"/>
    <w:rsid w:val="001E2B8A"/>
    <w:rsid w:val="001E2C32"/>
    <w:rsid w:val="001E3239"/>
    <w:rsid w:val="001E3357"/>
    <w:rsid w:val="001E3674"/>
    <w:rsid w:val="001E3E02"/>
    <w:rsid w:val="001E3FA8"/>
    <w:rsid w:val="001E5277"/>
    <w:rsid w:val="001E53D2"/>
    <w:rsid w:val="001E5B17"/>
    <w:rsid w:val="001E5B4D"/>
    <w:rsid w:val="001E64CE"/>
    <w:rsid w:val="001E66E2"/>
    <w:rsid w:val="001E6F39"/>
    <w:rsid w:val="001E727A"/>
    <w:rsid w:val="001E7324"/>
    <w:rsid w:val="001E7454"/>
    <w:rsid w:val="001E757A"/>
    <w:rsid w:val="001E781F"/>
    <w:rsid w:val="001E7A2C"/>
    <w:rsid w:val="001F0199"/>
    <w:rsid w:val="001F06B3"/>
    <w:rsid w:val="001F07C9"/>
    <w:rsid w:val="001F0907"/>
    <w:rsid w:val="001F0CBD"/>
    <w:rsid w:val="001F17EA"/>
    <w:rsid w:val="001F1A68"/>
    <w:rsid w:val="001F1DC2"/>
    <w:rsid w:val="001F1DF2"/>
    <w:rsid w:val="001F1F29"/>
    <w:rsid w:val="001F20A0"/>
    <w:rsid w:val="001F2210"/>
    <w:rsid w:val="001F227C"/>
    <w:rsid w:val="001F2BE6"/>
    <w:rsid w:val="001F3081"/>
    <w:rsid w:val="001F39EF"/>
    <w:rsid w:val="001F3A14"/>
    <w:rsid w:val="001F3F75"/>
    <w:rsid w:val="001F467B"/>
    <w:rsid w:val="001F4924"/>
    <w:rsid w:val="001F50EB"/>
    <w:rsid w:val="001F5592"/>
    <w:rsid w:val="001F5712"/>
    <w:rsid w:val="001F60E5"/>
    <w:rsid w:val="001F632D"/>
    <w:rsid w:val="001F6500"/>
    <w:rsid w:val="001F74D7"/>
    <w:rsid w:val="001F77E5"/>
    <w:rsid w:val="001F78EB"/>
    <w:rsid w:val="001F7F1F"/>
    <w:rsid w:val="0020043A"/>
    <w:rsid w:val="002007E2"/>
    <w:rsid w:val="002008C4"/>
    <w:rsid w:val="0020134B"/>
    <w:rsid w:val="0020135C"/>
    <w:rsid w:val="002018C9"/>
    <w:rsid w:val="00201B9B"/>
    <w:rsid w:val="00201EFD"/>
    <w:rsid w:val="00202A0A"/>
    <w:rsid w:val="00202C84"/>
    <w:rsid w:val="00202ED6"/>
    <w:rsid w:val="002033FB"/>
    <w:rsid w:val="002037D6"/>
    <w:rsid w:val="00203D44"/>
    <w:rsid w:val="0020470C"/>
    <w:rsid w:val="00204878"/>
    <w:rsid w:val="0020497B"/>
    <w:rsid w:val="002053AF"/>
    <w:rsid w:val="00205A9A"/>
    <w:rsid w:val="00205B7E"/>
    <w:rsid w:val="00205EA7"/>
    <w:rsid w:val="00205FDB"/>
    <w:rsid w:val="00206386"/>
    <w:rsid w:val="002068B5"/>
    <w:rsid w:val="00206951"/>
    <w:rsid w:val="00206EF8"/>
    <w:rsid w:val="00207838"/>
    <w:rsid w:val="00207EC7"/>
    <w:rsid w:val="00210191"/>
    <w:rsid w:val="002104F4"/>
    <w:rsid w:val="00210E6E"/>
    <w:rsid w:val="00210FB4"/>
    <w:rsid w:val="0021162E"/>
    <w:rsid w:val="0021167A"/>
    <w:rsid w:val="002119A8"/>
    <w:rsid w:val="00211CAC"/>
    <w:rsid w:val="00211CEB"/>
    <w:rsid w:val="002124E5"/>
    <w:rsid w:val="002138F7"/>
    <w:rsid w:val="00213C48"/>
    <w:rsid w:val="00213D95"/>
    <w:rsid w:val="00214349"/>
    <w:rsid w:val="0021444B"/>
    <w:rsid w:val="002144CF"/>
    <w:rsid w:val="00214B54"/>
    <w:rsid w:val="00214BC4"/>
    <w:rsid w:val="0021523E"/>
    <w:rsid w:val="00215446"/>
    <w:rsid w:val="002157DD"/>
    <w:rsid w:val="0021663F"/>
    <w:rsid w:val="00216E00"/>
    <w:rsid w:val="00217157"/>
    <w:rsid w:val="002173AE"/>
    <w:rsid w:val="0022005C"/>
    <w:rsid w:val="002203FE"/>
    <w:rsid w:val="00220ABB"/>
    <w:rsid w:val="00220CE2"/>
    <w:rsid w:val="0022125A"/>
    <w:rsid w:val="0022137B"/>
    <w:rsid w:val="002220D2"/>
    <w:rsid w:val="00222184"/>
    <w:rsid w:val="002222A9"/>
    <w:rsid w:val="00222345"/>
    <w:rsid w:val="002227C1"/>
    <w:rsid w:val="002228EF"/>
    <w:rsid w:val="0022296A"/>
    <w:rsid w:val="00222BD7"/>
    <w:rsid w:val="00222C74"/>
    <w:rsid w:val="0022307B"/>
    <w:rsid w:val="0022340A"/>
    <w:rsid w:val="00223559"/>
    <w:rsid w:val="00223569"/>
    <w:rsid w:val="0022378E"/>
    <w:rsid w:val="002239C1"/>
    <w:rsid w:val="002239F9"/>
    <w:rsid w:val="00223A25"/>
    <w:rsid w:val="00223CB5"/>
    <w:rsid w:val="00224A6B"/>
    <w:rsid w:val="00225299"/>
    <w:rsid w:val="00225438"/>
    <w:rsid w:val="00225515"/>
    <w:rsid w:val="0022575A"/>
    <w:rsid w:val="0022585E"/>
    <w:rsid w:val="002259A3"/>
    <w:rsid w:val="00225C18"/>
    <w:rsid w:val="00225FB7"/>
    <w:rsid w:val="00226DC8"/>
    <w:rsid w:val="00226F77"/>
    <w:rsid w:val="00227055"/>
    <w:rsid w:val="00227975"/>
    <w:rsid w:val="00227DF4"/>
    <w:rsid w:val="00230F38"/>
    <w:rsid w:val="002312F2"/>
    <w:rsid w:val="00231894"/>
    <w:rsid w:val="00231E68"/>
    <w:rsid w:val="00232226"/>
    <w:rsid w:val="00232277"/>
    <w:rsid w:val="002329E9"/>
    <w:rsid w:val="00232A51"/>
    <w:rsid w:val="00232D53"/>
    <w:rsid w:val="00232EE5"/>
    <w:rsid w:val="002330B7"/>
    <w:rsid w:val="0023378B"/>
    <w:rsid w:val="00233E49"/>
    <w:rsid w:val="00233EFF"/>
    <w:rsid w:val="00233FB0"/>
    <w:rsid w:val="00234107"/>
    <w:rsid w:val="00234453"/>
    <w:rsid w:val="00234935"/>
    <w:rsid w:val="00234E58"/>
    <w:rsid w:val="00234FE3"/>
    <w:rsid w:val="0023545B"/>
    <w:rsid w:val="00236669"/>
    <w:rsid w:val="00236865"/>
    <w:rsid w:val="00236BEE"/>
    <w:rsid w:val="00236F09"/>
    <w:rsid w:val="00237133"/>
    <w:rsid w:val="0023748D"/>
    <w:rsid w:val="00240629"/>
    <w:rsid w:val="002406CF"/>
    <w:rsid w:val="00240AE5"/>
    <w:rsid w:val="00240E43"/>
    <w:rsid w:val="002419F6"/>
    <w:rsid w:val="00241A8C"/>
    <w:rsid w:val="00241B19"/>
    <w:rsid w:val="00241F01"/>
    <w:rsid w:val="002422D1"/>
    <w:rsid w:val="00242641"/>
    <w:rsid w:val="002428B7"/>
    <w:rsid w:val="00242A01"/>
    <w:rsid w:val="00242CE3"/>
    <w:rsid w:val="00242CFE"/>
    <w:rsid w:val="00243268"/>
    <w:rsid w:val="002432C5"/>
    <w:rsid w:val="00243414"/>
    <w:rsid w:val="00243C70"/>
    <w:rsid w:val="00243D4B"/>
    <w:rsid w:val="00243FA2"/>
    <w:rsid w:val="00244156"/>
    <w:rsid w:val="0024425F"/>
    <w:rsid w:val="002448A1"/>
    <w:rsid w:val="00245745"/>
    <w:rsid w:val="00246470"/>
    <w:rsid w:val="00246DC2"/>
    <w:rsid w:val="002470FF"/>
    <w:rsid w:val="0024742B"/>
    <w:rsid w:val="0024799B"/>
    <w:rsid w:val="00247D97"/>
    <w:rsid w:val="0025057D"/>
    <w:rsid w:val="00250A26"/>
    <w:rsid w:val="00251137"/>
    <w:rsid w:val="002516F1"/>
    <w:rsid w:val="00251E33"/>
    <w:rsid w:val="0025291E"/>
    <w:rsid w:val="00252B64"/>
    <w:rsid w:val="00252E82"/>
    <w:rsid w:val="00252F3D"/>
    <w:rsid w:val="002532EE"/>
    <w:rsid w:val="002536F6"/>
    <w:rsid w:val="00254542"/>
    <w:rsid w:val="0025456A"/>
    <w:rsid w:val="00254A04"/>
    <w:rsid w:val="00254AC6"/>
    <w:rsid w:val="002552C8"/>
    <w:rsid w:val="002553D7"/>
    <w:rsid w:val="00255867"/>
    <w:rsid w:val="0025617D"/>
    <w:rsid w:val="0025661F"/>
    <w:rsid w:val="002569E9"/>
    <w:rsid w:val="00256E33"/>
    <w:rsid w:val="00256F4D"/>
    <w:rsid w:val="002574F6"/>
    <w:rsid w:val="0025755F"/>
    <w:rsid w:val="00257B02"/>
    <w:rsid w:val="00260F0F"/>
    <w:rsid w:val="00261186"/>
    <w:rsid w:val="0026146A"/>
    <w:rsid w:val="00263051"/>
    <w:rsid w:val="002636CA"/>
    <w:rsid w:val="0026396E"/>
    <w:rsid w:val="00263CFC"/>
    <w:rsid w:val="00263E07"/>
    <w:rsid w:val="002657D5"/>
    <w:rsid w:val="002661EF"/>
    <w:rsid w:val="00266346"/>
    <w:rsid w:val="0026702F"/>
    <w:rsid w:val="002670F2"/>
    <w:rsid w:val="00267139"/>
    <w:rsid w:val="0026727F"/>
    <w:rsid w:val="00267647"/>
    <w:rsid w:val="002678AB"/>
    <w:rsid w:val="00267AFA"/>
    <w:rsid w:val="00267DE4"/>
    <w:rsid w:val="00270058"/>
    <w:rsid w:val="002700F7"/>
    <w:rsid w:val="002703C4"/>
    <w:rsid w:val="00270598"/>
    <w:rsid w:val="002708BB"/>
    <w:rsid w:val="00270A35"/>
    <w:rsid w:val="00270A85"/>
    <w:rsid w:val="00270F72"/>
    <w:rsid w:val="00271E79"/>
    <w:rsid w:val="00272A0C"/>
    <w:rsid w:val="00272CFD"/>
    <w:rsid w:val="00273391"/>
    <w:rsid w:val="002736FE"/>
    <w:rsid w:val="00273A0D"/>
    <w:rsid w:val="00274576"/>
    <w:rsid w:val="00274D1C"/>
    <w:rsid w:val="00274E58"/>
    <w:rsid w:val="00274EB7"/>
    <w:rsid w:val="0027504D"/>
    <w:rsid w:val="00275226"/>
    <w:rsid w:val="0027525D"/>
    <w:rsid w:val="00275695"/>
    <w:rsid w:val="002758C1"/>
    <w:rsid w:val="002759C6"/>
    <w:rsid w:val="00275A4A"/>
    <w:rsid w:val="00275BA4"/>
    <w:rsid w:val="00275F6D"/>
    <w:rsid w:val="002760B3"/>
    <w:rsid w:val="002766DC"/>
    <w:rsid w:val="00276978"/>
    <w:rsid w:val="00276AD4"/>
    <w:rsid w:val="00276EFA"/>
    <w:rsid w:val="00277180"/>
    <w:rsid w:val="002772E5"/>
    <w:rsid w:val="00277396"/>
    <w:rsid w:val="00277545"/>
    <w:rsid w:val="0027794D"/>
    <w:rsid w:val="00277D5E"/>
    <w:rsid w:val="00280484"/>
    <w:rsid w:val="0028056A"/>
    <w:rsid w:val="002806C2"/>
    <w:rsid w:val="00280A00"/>
    <w:rsid w:val="00281083"/>
    <w:rsid w:val="00281292"/>
    <w:rsid w:val="0028186D"/>
    <w:rsid w:val="00281A3A"/>
    <w:rsid w:val="00281B71"/>
    <w:rsid w:val="002821A7"/>
    <w:rsid w:val="002824AE"/>
    <w:rsid w:val="00282693"/>
    <w:rsid w:val="002832B7"/>
    <w:rsid w:val="00283F03"/>
    <w:rsid w:val="00284B3C"/>
    <w:rsid w:val="00284E76"/>
    <w:rsid w:val="00284FF4"/>
    <w:rsid w:val="002852E9"/>
    <w:rsid w:val="002855FB"/>
    <w:rsid w:val="00285F75"/>
    <w:rsid w:val="002861D4"/>
    <w:rsid w:val="00286E45"/>
    <w:rsid w:val="002874B5"/>
    <w:rsid w:val="002874E2"/>
    <w:rsid w:val="00287867"/>
    <w:rsid w:val="002904DF"/>
    <w:rsid w:val="00290AAE"/>
    <w:rsid w:val="00291273"/>
    <w:rsid w:val="00291AE0"/>
    <w:rsid w:val="00291F17"/>
    <w:rsid w:val="002922D4"/>
    <w:rsid w:val="00292541"/>
    <w:rsid w:val="002927C2"/>
    <w:rsid w:val="00292CD4"/>
    <w:rsid w:val="00293028"/>
    <w:rsid w:val="002933FF"/>
    <w:rsid w:val="002938CF"/>
    <w:rsid w:val="00294618"/>
    <w:rsid w:val="00294798"/>
    <w:rsid w:val="00294C56"/>
    <w:rsid w:val="00294E12"/>
    <w:rsid w:val="00294E57"/>
    <w:rsid w:val="00294F9B"/>
    <w:rsid w:val="00295EB6"/>
    <w:rsid w:val="002967A7"/>
    <w:rsid w:val="00296AA6"/>
    <w:rsid w:val="00296C3E"/>
    <w:rsid w:val="00296D39"/>
    <w:rsid w:val="002973A2"/>
    <w:rsid w:val="00297A83"/>
    <w:rsid w:val="00297BA0"/>
    <w:rsid w:val="00297C1A"/>
    <w:rsid w:val="00297E01"/>
    <w:rsid w:val="002A015E"/>
    <w:rsid w:val="002A0424"/>
    <w:rsid w:val="002A113D"/>
    <w:rsid w:val="002A13E4"/>
    <w:rsid w:val="002A1862"/>
    <w:rsid w:val="002A1B61"/>
    <w:rsid w:val="002A244D"/>
    <w:rsid w:val="002A2613"/>
    <w:rsid w:val="002A2D29"/>
    <w:rsid w:val="002A2F1F"/>
    <w:rsid w:val="002A3047"/>
    <w:rsid w:val="002A32C0"/>
    <w:rsid w:val="002A33B1"/>
    <w:rsid w:val="002A3533"/>
    <w:rsid w:val="002A3888"/>
    <w:rsid w:val="002A3987"/>
    <w:rsid w:val="002A3AB5"/>
    <w:rsid w:val="002A4428"/>
    <w:rsid w:val="002A44D6"/>
    <w:rsid w:val="002A4AF8"/>
    <w:rsid w:val="002A4CE6"/>
    <w:rsid w:val="002A4F27"/>
    <w:rsid w:val="002A5433"/>
    <w:rsid w:val="002A5999"/>
    <w:rsid w:val="002A5E6E"/>
    <w:rsid w:val="002A5E89"/>
    <w:rsid w:val="002A6161"/>
    <w:rsid w:val="002A6432"/>
    <w:rsid w:val="002A65FE"/>
    <w:rsid w:val="002A675D"/>
    <w:rsid w:val="002A68C6"/>
    <w:rsid w:val="002A691C"/>
    <w:rsid w:val="002A692F"/>
    <w:rsid w:val="002A6B99"/>
    <w:rsid w:val="002A6FC6"/>
    <w:rsid w:val="002A72BA"/>
    <w:rsid w:val="002A79D9"/>
    <w:rsid w:val="002B0255"/>
    <w:rsid w:val="002B1298"/>
    <w:rsid w:val="002B14BB"/>
    <w:rsid w:val="002B17C9"/>
    <w:rsid w:val="002B1980"/>
    <w:rsid w:val="002B1D21"/>
    <w:rsid w:val="002B201E"/>
    <w:rsid w:val="002B27CC"/>
    <w:rsid w:val="002B2943"/>
    <w:rsid w:val="002B3387"/>
    <w:rsid w:val="002B388C"/>
    <w:rsid w:val="002B3FCF"/>
    <w:rsid w:val="002B4380"/>
    <w:rsid w:val="002B4880"/>
    <w:rsid w:val="002B4EB0"/>
    <w:rsid w:val="002B5277"/>
    <w:rsid w:val="002B55B0"/>
    <w:rsid w:val="002B646B"/>
    <w:rsid w:val="002B6678"/>
    <w:rsid w:val="002B67CC"/>
    <w:rsid w:val="002B6911"/>
    <w:rsid w:val="002B6DB6"/>
    <w:rsid w:val="002B70A5"/>
    <w:rsid w:val="002B73B2"/>
    <w:rsid w:val="002B7433"/>
    <w:rsid w:val="002B74EB"/>
    <w:rsid w:val="002B7914"/>
    <w:rsid w:val="002B7C25"/>
    <w:rsid w:val="002C0C2F"/>
    <w:rsid w:val="002C1238"/>
    <w:rsid w:val="002C1E08"/>
    <w:rsid w:val="002C2603"/>
    <w:rsid w:val="002C2787"/>
    <w:rsid w:val="002C289D"/>
    <w:rsid w:val="002C2984"/>
    <w:rsid w:val="002C2A79"/>
    <w:rsid w:val="002C2B8E"/>
    <w:rsid w:val="002C2E2D"/>
    <w:rsid w:val="002C2E35"/>
    <w:rsid w:val="002C38DC"/>
    <w:rsid w:val="002C3C4E"/>
    <w:rsid w:val="002C3D1D"/>
    <w:rsid w:val="002C3E61"/>
    <w:rsid w:val="002C4326"/>
    <w:rsid w:val="002C4536"/>
    <w:rsid w:val="002C4A0F"/>
    <w:rsid w:val="002C4E8D"/>
    <w:rsid w:val="002C4FA8"/>
    <w:rsid w:val="002C4FE9"/>
    <w:rsid w:val="002C55DF"/>
    <w:rsid w:val="002C6834"/>
    <w:rsid w:val="002C6849"/>
    <w:rsid w:val="002C735A"/>
    <w:rsid w:val="002C77D9"/>
    <w:rsid w:val="002C7C82"/>
    <w:rsid w:val="002C7F4D"/>
    <w:rsid w:val="002D0DC0"/>
    <w:rsid w:val="002D0E6B"/>
    <w:rsid w:val="002D12B7"/>
    <w:rsid w:val="002D1654"/>
    <w:rsid w:val="002D174E"/>
    <w:rsid w:val="002D1C9B"/>
    <w:rsid w:val="002D1D59"/>
    <w:rsid w:val="002D2C43"/>
    <w:rsid w:val="002D338B"/>
    <w:rsid w:val="002D36CF"/>
    <w:rsid w:val="002D3BB2"/>
    <w:rsid w:val="002D3E03"/>
    <w:rsid w:val="002D4208"/>
    <w:rsid w:val="002D453A"/>
    <w:rsid w:val="002D4983"/>
    <w:rsid w:val="002D4F67"/>
    <w:rsid w:val="002D51F3"/>
    <w:rsid w:val="002D54CC"/>
    <w:rsid w:val="002D5B3B"/>
    <w:rsid w:val="002D5C15"/>
    <w:rsid w:val="002D5D88"/>
    <w:rsid w:val="002D5F7A"/>
    <w:rsid w:val="002D689F"/>
    <w:rsid w:val="002D70A5"/>
    <w:rsid w:val="002D716D"/>
    <w:rsid w:val="002D7906"/>
    <w:rsid w:val="002D7DE1"/>
    <w:rsid w:val="002D7DF5"/>
    <w:rsid w:val="002D7FC9"/>
    <w:rsid w:val="002E080E"/>
    <w:rsid w:val="002E0949"/>
    <w:rsid w:val="002E192E"/>
    <w:rsid w:val="002E1E55"/>
    <w:rsid w:val="002E1EE1"/>
    <w:rsid w:val="002E1F97"/>
    <w:rsid w:val="002E2748"/>
    <w:rsid w:val="002E27FF"/>
    <w:rsid w:val="002E3412"/>
    <w:rsid w:val="002E38B8"/>
    <w:rsid w:val="002E39D9"/>
    <w:rsid w:val="002E3A43"/>
    <w:rsid w:val="002E3BD4"/>
    <w:rsid w:val="002E4889"/>
    <w:rsid w:val="002E5026"/>
    <w:rsid w:val="002E5137"/>
    <w:rsid w:val="002E5209"/>
    <w:rsid w:val="002E53E4"/>
    <w:rsid w:val="002E5446"/>
    <w:rsid w:val="002E5A6E"/>
    <w:rsid w:val="002E63EE"/>
    <w:rsid w:val="002E6403"/>
    <w:rsid w:val="002E6719"/>
    <w:rsid w:val="002E71BD"/>
    <w:rsid w:val="002E72BC"/>
    <w:rsid w:val="002E797A"/>
    <w:rsid w:val="002F02B7"/>
    <w:rsid w:val="002F04B7"/>
    <w:rsid w:val="002F074E"/>
    <w:rsid w:val="002F07D8"/>
    <w:rsid w:val="002F0BB2"/>
    <w:rsid w:val="002F14C6"/>
    <w:rsid w:val="002F1CA6"/>
    <w:rsid w:val="002F1FE2"/>
    <w:rsid w:val="002F2A16"/>
    <w:rsid w:val="002F2BA7"/>
    <w:rsid w:val="002F2C62"/>
    <w:rsid w:val="002F2CE7"/>
    <w:rsid w:val="002F2FBD"/>
    <w:rsid w:val="002F2FD4"/>
    <w:rsid w:val="002F35B9"/>
    <w:rsid w:val="002F3866"/>
    <w:rsid w:val="002F3E2C"/>
    <w:rsid w:val="002F3FFD"/>
    <w:rsid w:val="002F4644"/>
    <w:rsid w:val="002F4CA5"/>
    <w:rsid w:val="002F6048"/>
    <w:rsid w:val="002F621C"/>
    <w:rsid w:val="002F7A0C"/>
    <w:rsid w:val="0030095A"/>
    <w:rsid w:val="00300F2F"/>
    <w:rsid w:val="0030127E"/>
    <w:rsid w:val="003012A8"/>
    <w:rsid w:val="003013E1"/>
    <w:rsid w:val="003013FA"/>
    <w:rsid w:val="0030153E"/>
    <w:rsid w:val="00301971"/>
    <w:rsid w:val="00301D0A"/>
    <w:rsid w:val="003021A3"/>
    <w:rsid w:val="00302233"/>
    <w:rsid w:val="003024AD"/>
    <w:rsid w:val="0030307F"/>
    <w:rsid w:val="003039F9"/>
    <w:rsid w:val="00303B07"/>
    <w:rsid w:val="00303CE1"/>
    <w:rsid w:val="00304493"/>
    <w:rsid w:val="0030463B"/>
    <w:rsid w:val="00304818"/>
    <w:rsid w:val="00304A14"/>
    <w:rsid w:val="00304B2B"/>
    <w:rsid w:val="00304B5B"/>
    <w:rsid w:val="0030513F"/>
    <w:rsid w:val="003054A4"/>
    <w:rsid w:val="00305A05"/>
    <w:rsid w:val="00305AAB"/>
    <w:rsid w:val="003075C8"/>
    <w:rsid w:val="00307711"/>
    <w:rsid w:val="00310004"/>
    <w:rsid w:val="00310294"/>
    <w:rsid w:val="003104E8"/>
    <w:rsid w:val="00310BF2"/>
    <w:rsid w:val="00311105"/>
    <w:rsid w:val="003111FF"/>
    <w:rsid w:val="003113D5"/>
    <w:rsid w:val="00311A83"/>
    <w:rsid w:val="00311AD7"/>
    <w:rsid w:val="00312473"/>
    <w:rsid w:val="00312523"/>
    <w:rsid w:val="0031344B"/>
    <w:rsid w:val="0031379F"/>
    <w:rsid w:val="00313C91"/>
    <w:rsid w:val="00313F54"/>
    <w:rsid w:val="00314ACC"/>
    <w:rsid w:val="00315022"/>
    <w:rsid w:val="00315882"/>
    <w:rsid w:val="00315F3D"/>
    <w:rsid w:val="00316061"/>
    <w:rsid w:val="0031611C"/>
    <w:rsid w:val="00316168"/>
    <w:rsid w:val="0031681E"/>
    <w:rsid w:val="00316B6D"/>
    <w:rsid w:val="00316E13"/>
    <w:rsid w:val="00316FED"/>
    <w:rsid w:val="0031767A"/>
    <w:rsid w:val="00317759"/>
    <w:rsid w:val="0031790F"/>
    <w:rsid w:val="00317D3F"/>
    <w:rsid w:val="00317FBB"/>
    <w:rsid w:val="003203A3"/>
    <w:rsid w:val="0032063B"/>
    <w:rsid w:val="003208B7"/>
    <w:rsid w:val="0032091B"/>
    <w:rsid w:val="0032099C"/>
    <w:rsid w:val="00320BA4"/>
    <w:rsid w:val="00320FBA"/>
    <w:rsid w:val="003213CD"/>
    <w:rsid w:val="0032142E"/>
    <w:rsid w:val="003216BD"/>
    <w:rsid w:val="00321E4D"/>
    <w:rsid w:val="00322027"/>
    <w:rsid w:val="0032232F"/>
    <w:rsid w:val="00322456"/>
    <w:rsid w:val="0032245F"/>
    <w:rsid w:val="003229C7"/>
    <w:rsid w:val="00322ECD"/>
    <w:rsid w:val="003237AC"/>
    <w:rsid w:val="00323E3F"/>
    <w:rsid w:val="0032430B"/>
    <w:rsid w:val="0032476B"/>
    <w:rsid w:val="00324DFF"/>
    <w:rsid w:val="003253CE"/>
    <w:rsid w:val="003258C7"/>
    <w:rsid w:val="00326B3B"/>
    <w:rsid w:val="00326FD4"/>
    <w:rsid w:val="003273CA"/>
    <w:rsid w:val="00327D18"/>
    <w:rsid w:val="00327FD7"/>
    <w:rsid w:val="00330290"/>
    <w:rsid w:val="0033045C"/>
    <w:rsid w:val="003306D1"/>
    <w:rsid w:val="003307EA"/>
    <w:rsid w:val="00330998"/>
    <w:rsid w:val="003311AE"/>
    <w:rsid w:val="00331517"/>
    <w:rsid w:val="00331B8E"/>
    <w:rsid w:val="00331E7F"/>
    <w:rsid w:val="00331EEA"/>
    <w:rsid w:val="00332193"/>
    <w:rsid w:val="00332295"/>
    <w:rsid w:val="00332538"/>
    <w:rsid w:val="00332664"/>
    <w:rsid w:val="003327E5"/>
    <w:rsid w:val="00332A08"/>
    <w:rsid w:val="00333781"/>
    <w:rsid w:val="003338ED"/>
    <w:rsid w:val="003339F6"/>
    <w:rsid w:val="00333CBC"/>
    <w:rsid w:val="00333D06"/>
    <w:rsid w:val="00333D15"/>
    <w:rsid w:val="00333F57"/>
    <w:rsid w:val="00333FCD"/>
    <w:rsid w:val="003349FE"/>
    <w:rsid w:val="00334BBE"/>
    <w:rsid w:val="00335126"/>
    <w:rsid w:val="00335342"/>
    <w:rsid w:val="00335A66"/>
    <w:rsid w:val="00335CAF"/>
    <w:rsid w:val="00335F65"/>
    <w:rsid w:val="00336C6F"/>
    <w:rsid w:val="00336F42"/>
    <w:rsid w:val="003374AD"/>
    <w:rsid w:val="00337614"/>
    <w:rsid w:val="00337956"/>
    <w:rsid w:val="00337DFA"/>
    <w:rsid w:val="00340296"/>
    <w:rsid w:val="0034039B"/>
    <w:rsid w:val="003403E9"/>
    <w:rsid w:val="00340804"/>
    <w:rsid w:val="00340B39"/>
    <w:rsid w:val="00341609"/>
    <w:rsid w:val="00342059"/>
    <w:rsid w:val="003420C8"/>
    <w:rsid w:val="003425E8"/>
    <w:rsid w:val="00342FA6"/>
    <w:rsid w:val="00343022"/>
    <w:rsid w:val="00343242"/>
    <w:rsid w:val="0034463E"/>
    <w:rsid w:val="0034481B"/>
    <w:rsid w:val="00344F36"/>
    <w:rsid w:val="0034525A"/>
    <w:rsid w:val="00345333"/>
    <w:rsid w:val="0034554E"/>
    <w:rsid w:val="00346053"/>
    <w:rsid w:val="003468B2"/>
    <w:rsid w:val="003469D9"/>
    <w:rsid w:val="00346D23"/>
    <w:rsid w:val="00346F31"/>
    <w:rsid w:val="00346FF0"/>
    <w:rsid w:val="003470C0"/>
    <w:rsid w:val="00347193"/>
    <w:rsid w:val="00347B49"/>
    <w:rsid w:val="00347C93"/>
    <w:rsid w:val="00347CD2"/>
    <w:rsid w:val="0035019E"/>
    <w:rsid w:val="003504AF"/>
    <w:rsid w:val="00350A08"/>
    <w:rsid w:val="00350FD5"/>
    <w:rsid w:val="00351018"/>
    <w:rsid w:val="00351300"/>
    <w:rsid w:val="003519C2"/>
    <w:rsid w:val="00352816"/>
    <w:rsid w:val="00352D00"/>
    <w:rsid w:val="00352FBC"/>
    <w:rsid w:val="003533C4"/>
    <w:rsid w:val="003533FE"/>
    <w:rsid w:val="003535E0"/>
    <w:rsid w:val="00353848"/>
    <w:rsid w:val="00353C59"/>
    <w:rsid w:val="00353E6D"/>
    <w:rsid w:val="00354212"/>
    <w:rsid w:val="0035490B"/>
    <w:rsid w:val="00354A7A"/>
    <w:rsid w:val="00354B01"/>
    <w:rsid w:val="00354EF9"/>
    <w:rsid w:val="003554D1"/>
    <w:rsid w:val="0035594D"/>
    <w:rsid w:val="00355A74"/>
    <w:rsid w:val="00355B35"/>
    <w:rsid w:val="00355B87"/>
    <w:rsid w:val="00355DEF"/>
    <w:rsid w:val="0035627A"/>
    <w:rsid w:val="0035680A"/>
    <w:rsid w:val="003569DA"/>
    <w:rsid w:val="00356A06"/>
    <w:rsid w:val="00356A48"/>
    <w:rsid w:val="00356E21"/>
    <w:rsid w:val="003571E2"/>
    <w:rsid w:val="003579B2"/>
    <w:rsid w:val="00357C3C"/>
    <w:rsid w:val="00357E6A"/>
    <w:rsid w:val="00360350"/>
    <w:rsid w:val="00360C08"/>
    <w:rsid w:val="003611CD"/>
    <w:rsid w:val="00361C8E"/>
    <w:rsid w:val="003620B2"/>
    <w:rsid w:val="003623BC"/>
    <w:rsid w:val="00362576"/>
    <w:rsid w:val="0036281D"/>
    <w:rsid w:val="00362D5A"/>
    <w:rsid w:val="00363048"/>
    <w:rsid w:val="003638E3"/>
    <w:rsid w:val="003642D5"/>
    <w:rsid w:val="0036445F"/>
    <w:rsid w:val="0036496D"/>
    <w:rsid w:val="00364C1F"/>
    <w:rsid w:val="00364CC3"/>
    <w:rsid w:val="00364E79"/>
    <w:rsid w:val="0036512A"/>
    <w:rsid w:val="003655A6"/>
    <w:rsid w:val="003658A2"/>
    <w:rsid w:val="00365B7B"/>
    <w:rsid w:val="00365CED"/>
    <w:rsid w:val="00365FE3"/>
    <w:rsid w:val="00366078"/>
    <w:rsid w:val="003661AC"/>
    <w:rsid w:val="00366208"/>
    <w:rsid w:val="0036624C"/>
    <w:rsid w:val="003662A5"/>
    <w:rsid w:val="0036638D"/>
    <w:rsid w:val="003678A2"/>
    <w:rsid w:val="00367C6A"/>
    <w:rsid w:val="003700A8"/>
    <w:rsid w:val="0037010E"/>
    <w:rsid w:val="003703DD"/>
    <w:rsid w:val="0037052D"/>
    <w:rsid w:val="003714B2"/>
    <w:rsid w:val="00371523"/>
    <w:rsid w:val="003715F9"/>
    <w:rsid w:val="00371AA9"/>
    <w:rsid w:val="00371E95"/>
    <w:rsid w:val="0037240C"/>
    <w:rsid w:val="0037242D"/>
    <w:rsid w:val="0037251B"/>
    <w:rsid w:val="0037263C"/>
    <w:rsid w:val="003728BC"/>
    <w:rsid w:val="0037298F"/>
    <w:rsid w:val="0037299B"/>
    <w:rsid w:val="00373041"/>
    <w:rsid w:val="0037314D"/>
    <w:rsid w:val="00373320"/>
    <w:rsid w:val="0037392A"/>
    <w:rsid w:val="00374563"/>
    <w:rsid w:val="003749B0"/>
    <w:rsid w:val="00374A91"/>
    <w:rsid w:val="00375244"/>
    <w:rsid w:val="003754B0"/>
    <w:rsid w:val="00375D5E"/>
    <w:rsid w:val="003764DB"/>
    <w:rsid w:val="00376680"/>
    <w:rsid w:val="0037745A"/>
    <w:rsid w:val="00377951"/>
    <w:rsid w:val="00377B4D"/>
    <w:rsid w:val="00377B99"/>
    <w:rsid w:val="00380D1E"/>
    <w:rsid w:val="00380FBA"/>
    <w:rsid w:val="0038133C"/>
    <w:rsid w:val="00381691"/>
    <w:rsid w:val="0038184B"/>
    <w:rsid w:val="0038196E"/>
    <w:rsid w:val="00381989"/>
    <w:rsid w:val="003819D1"/>
    <w:rsid w:val="003819DC"/>
    <w:rsid w:val="003825F8"/>
    <w:rsid w:val="00382FC0"/>
    <w:rsid w:val="0038300B"/>
    <w:rsid w:val="003830D8"/>
    <w:rsid w:val="0038318F"/>
    <w:rsid w:val="003832A2"/>
    <w:rsid w:val="003833E7"/>
    <w:rsid w:val="0038380F"/>
    <w:rsid w:val="00383AB9"/>
    <w:rsid w:val="00383B8E"/>
    <w:rsid w:val="00383D75"/>
    <w:rsid w:val="00383DF2"/>
    <w:rsid w:val="0038427A"/>
    <w:rsid w:val="0038442C"/>
    <w:rsid w:val="00385125"/>
    <w:rsid w:val="00385510"/>
    <w:rsid w:val="00385649"/>
    <w:rsid w:val="00385667"/>
    <w:rsid w:val="003858FB"/>
    <w:rsid w:val="00385A2B"/>
    <w:rsid w:val="00385D56"/>
    <w:rsid w:val="003861B4"/>
    <w:rsid w:val="003865BB"/>
    <w:rsid w:val="003867DC"/>
    <w:rsid w:val="003868B0"/>
    <w:rsid w:val="00386A91"/>
    <w:rsid w:val="00386DC9"/>
    <w:rsid w:val="00387611"/>
    <w:rsid w:val="00387791"/>
    <w:rsid w:val="00387CEE"/>
    <w:rsid w:val="00390935"/>
    <w:rsid w:val="00390CA9"/>
    <w:rsid w:val="0039134D"/>
    <w:rsid w:val="00391429"/>
    <w:rsid w:val="003919C0"/>
    <w:rsid w:val="00391D05"/>
    <w:rsid w:val="00392625"/>
    <w:rsid w:val="003928AD"/>
    <w:rsid w:val="0039300D"/>
    <w:rsid w:val="00393668"/>
    <w:rsid w:val="0039384F"/>
    <w:rsid w:val="00393AEC"/>
    <w:rsid w:val="00393EA5"/>
    <w:rsid w:val="00393F6E"/>
    <w:rsid w:val="0039431F"/>
    <w:rsid w:val="003949E0"/>
    <w:rsid w:val="00394B3D"/>
    <w:rsid w:val="003956E5"/>
    <w:rsid w:val="00395774"/>
    <w:rsid w:val="00395AC9"/>
    <w:rsid w:val="00395D1F"/>
    <w:rsid w:val="00396A60"/>
    <w:rsid w:val="00396CAC"/>
    <w:rsid w:val="00396D7C"/>
    <w:rsid w:val="00397167"/>
    <w:rsid w:val="00397866"/>
    <w:rsid w:val="003A0591"/>
    <w:rsid w:val="003A08C0"/>
    <w:rsid w:val="003A0FFE"/>
    <w:rsid w:val="003A185E"/>
    <w:rsid w:val="003A24DC"/>
    <w:rsid w:val="003A2515"/>
    <w:rsid w:val="003A2866"/>
    <w:rsid w:val="003A2D10"/>
    <w:rsid w:val="003A2E0C"/>
    <w:rsid w:val="003A312B"/>
    <w:rsid w:val="003A35C8"/>
    <w:rsid w:val="003A3F3B"/>
    <w:rsid w:val="003A462E"/>
    <w:rsid w:val="003A46A2"/>
    <w:rsid w:val="003A4A45"/>
    <w:rsid w:val="003A4D85"/>
    <w:rsid w:val="003A5972"/>
    <w:rsid w:val="003A5AD8"/>
    <w:rsid w:val="003A5D69"/>
    <w:rsid w:val="003A5E5A"/>
    <w:rsid w:val="003A6395"/>
    <w:rsid w:val="003A6FF9"/>
    <w:rsid w:val="003A7231"/>
    <w:rsid w:val="003A72AB"/>
    <w:rsid w:val="003A7A92"/>
    <w:rsid w:val="003A7CC8"/>
    <w:rsid w:val="003A7DB4"/>
    <w:rsid w:val="003A7F76"/>
    <w:rsid w:val="003AE9C3"/>
    <w:rsid w:val="003B12D4"/>
    <w:rsid w:val="003B14AE"/>
    <w:rsid w:val="003B16F0"/>
    <w:rsid w:val="003B18FF"/>
    <w:rsid w:val="003B1CF6"/>
    <w:rsid w:val="003B23B9"/>
    <w:rsid w:val="003B243B"/>
    <w:rsid w:val="003B269E"/>
    <w:rsid w:val="003B26F0"/>
    <w:rsid w:val="003B2B1F"/>
    <w:rsid w:val="003B3437"/>
    <w:rsid w:val="003B3582"/>
    <w:rsid w:val="003B3A4D"/>
    <w:rsid w:val="003B3B35"/>
    <w:rsid w:val="003B3DB3"/>
    <w:rsid w:val="003B4E0A"/>
    <w:rsid w:val="003B4E11"/>
    <w:rsid w:val="003B5514"/>
    <w:rsid w:val="003B5A01"/>
    <w:rsid w:val="003B5A92"/>
    <w:rsid w:val="003B5BF6"/>
    <w:rsid w:val="003B5F90"/>
    <w:rsid w:val="003B6276"/>
    <w:rsid w:val="003B627F"/>
    <w:rsid w:val="003B6917"/>
    <w:rsid w:val="003B6DC9"/>
    <w:rsid w:val="003B6E10"/>
    <w:rsid w:val="003B7170"/>
    <w:rsid w:val="003B7488"/>
    <w:rsid w:val="003B7E5F"/>
    <w:rsid w:val="003C0320"/>
    <w:rsid w:val="003C041B"/>
    <w:rsid w:val="003C04C7"/>
    <w:rsid w:val="003C0969"/>
    <w:rsid w:val="003C1546"/>
    <w:rsid w:val="003C186D"/>
    <w:rsid w:val="003C1B80"/>
    <w:rsid w:val="003C1E96"/>
    <w:rsid w:val="003C1F1D"/>
    <w:rsid w:val="003C21A5"/>
    <w:rsid w:val="003C24A7"/>
    <w:rsid w:val="003C280E"/>
    <w:rsid w:val="003C28E1"/>
    <w:rsid w:val="003C3239"/>
    <w:rsid w:val="003C3575"/>
    <w:rsid w:val="003C3ACC"/>
    <w:rsid w:val="003C3D2C"/>
    <w:rsid w:val="003C3ECC"/>
    <w:rsid w:val="003C45F7"/>
    <w:rsid w:val="003C496D"/>
    <w:rsid w:val="003C4A7B"/>
    <w:rsid w:val="003C525C"/>
    <w:rsid w:val="003C56BB"/>
    <w:rsid w:val="003C58AA"/>
    <w:rsid w:val="003C5930"/>
    <w:rsid w:val="003C5947"/>
    <w:rsid w:val="003C5A16"/>
    <w:rsid w:val="003C5D70"/>
    <w:rsid w:val="003C5FCA"/>
    <w:rsid w:val="003C6081"/>
    <w:rsid w:val="003C61ED"/>
    <w:rsid w:val="003C6427"/>
    <w:rsid w:val="003C6669"/>
    <w:rsid w:val="003C6807"/>
    <w:rsid w:val="003C7024"/>
    <w:rsid w:val="003C74CE"/>
    <w:rsid w:val="003C7AF6"/>
    <w:rsid w:val="003C7DFE"/>
    <w:rsid w:val="003C7EE5"/>
    <w:rsid w:val="003D03CC"/>
    <w:rsid w:val="003D06CB"/>
    <w:rsid w:val="003D0855"/>
    <w:rsid w:val="003D0A95"/>
    <w:rsid w:val="003D0E67"/>
    <w:rsid w:val="003D0F23"/>
    <w:rsid w:val="003D109B"/>
    <w:rsid w:val="003D1924"/>
    <w:rsid w:val="003D1BB2"/>
    <w:rsid w:val="003D1D3F"/>
    <w:rsid w:val="003D273F"/>
    <w:rsid w:val="003D2843"/>
    <w:rsid w:val="003D28AF"/>
    <w:rsid w:val="003D2985"/>
    <w:rsid w:val="003D29AC"/>
    <w:rsid w:val="003D2A17"/>
    <w:rsid w:val="003D2D74"/>
    <w:rsid w:val="003D333B"/>
    <w:rsid w:val="003D3429"/>
    <w:rsid w:val="003D3720"/>
    <w:rsid w:val="003D4371"/>
    <w:rsid w:val="003D483F"/>
    <w:rsid w:val="003D4F5B"/>
    <w:rsid w:val="003D51E7"/>
    <w:rsid w:val="003D5358"/>
    <w:rsid w:val="003D5393"/>
    <w:rsid w:val="003D6657"/>
    <w:rsid w:val="003D6C6E"/>
    <w:rsid w:val="003D7517"/>
    <w:rsid w:val="003D77AC"/>
    <w:rsid w:val="003D791D"/>
    <w:rsid w:val="003E0C00"/>
    <w:rsid w:val="003E0CB2"/>
    <w:rsid w:val="003E10DE"/>
    <w:rsid w:val="003E20D1"/>
    <w:rsid w:val="003E27F3"/>
    <w:rsid w:val="003E2842"/>
    <w:rsid w:val="003E3693"/>
    <w:rsid w:val="003E3805"/>
    <w:rsid w:val="003E3A04"/>
    <w:rsid w:val="003E3BC3"/>
    <w:rsid w:val="003E409C"/>
    <w:rsid w:val="003E4395"/>
    <w:rsid w:val="003E450F"/>
    <w:rsid w:val="003E487E"/>
    <w:rsid w:val="003E499F"/>
    <w:rsid w:val="003E5582"/>
    <w:rsid w:val="003E5725"/>
    <w:rsid w:val="003E5AD5"/>
    <w:rsid w:val="003E72EF"/>
    <w:rsid w:val="003E77B9"/>
    <w:rsid w:val="003E7815"/>
    <w:rsid w:val="003E783B"/>
    <w:rsid w:val="003F047B"/>
    <w:rsid w:val="003F05CA"/>
    <w:rsid w:val="003F0FE0"/>
    <w:rsid w:val="003F10F7"/>
    <w:rsid w:val="003F133B"/>
    <w:rsid w:val="003F1D91"/>
    <w:rsid w:val="003F1E76"/>
    <w:rsid w:val="003F22C6"/>
    <w:rsid w:val="003F2777"/>
    <w:rsid w:val="003F2C3B"/>
    <w:rsid w:val="003F2D47"/>
    <w:rsid w:val="003F410E"/>
    <w:rsid w:val="003F4439"/>
    <w:rsid w:val="003F452D"/>
    <w:rsid w:val="003F4531"/>
    <w:rsid w:val="003F50E5"/>
    <w:rsid w:val="003F5784"/>
    <w:rsid w:val="003F57CD"/>
    <w:rsid w:val="003F5973"/>
    <w:rsid w:val="003F648B"/>
    <w:rsid w:val="003F656D"/>
    <w:rsid w:val="003F65C2"/>
    <w:rsid w:val="003F71CC"/>
    <w:rsid w:val="003F72AB"/>
    <w:rsid w:val="003F7742"/>
    <w:rsid w:val="003F787C"/>
    <w:rsid w:val="003F7ACC"/>
    <w:rsid w:val="003F7B65"/>
    <w:rsid w:val="003F7B98"/>
    <w:rsid w:val="00400122"/>
    <w:rsid w:val="00400420"/>
    <w:rsid w:val="00400498"/>
    <w:rsid w:val="004009A2"/>
    <w:rsid w:val="00400C0D"/>
    <w:rsid w:val="00400F80"/>
    <w:rsid w:val="004010A3"/>
    <w:rsid w:val="0040125A"/>
    <w:rsid w:val="00401DBC"/>
    <w:rsid w:val="004023DF"/>
    <w:rsid w:val="00402681"/>
    <w:rsid w:val="004027BB"/>
    <w:rsid w:val="00403167"/>
    <w:rsid w:val="00403602"/>
    <w:rsid w:val="00403996"/>
    <w:rsid w:val="00403CC6"/>
    <w:rsid w:val="00404112"/>
    <w:rsid w:val="004041CF"/>
    <w:rsid w:val="00404305"/>
    <w:rsid w:val="00404326"/>
    <w:rsid w:val="004047F4"/>
    <w:rsid w:val="00404A0F"/>
    <w:rsid w:val="00404A73"/>
    <w:rsid w:val="00404C04"/>
    <w:rsid w:val="0040519B"/>
    <w:rsid w:val="00405C91"/>
    <w:rsid w:val="0040605A"/>
    <w:rsid w:val="0040644E"/>
    <w:rsid w:val="00406645"/>
    <w:rsid w:val="004066B4"/>
    <w:rsid w:val="00406749"/>
    <w:rsid w:val="00406E76"/>
    <w:rsid w:val="00407157"/>
    <w:rsid w:val="00407404"/>
    <w:rsid w:val="004077A7"/>
    <w:rsid w:val="00407A07"/>
    <w:rsid w:val="00407E93"/>
    <w:rsid w:val="00407FEB"/>
    <w:rsid w:val="004106FF"/>
    <w:rsid w:val="00410882"/>
    <w:rsid w:val="0041089E"/>
    <w:rsid w:val="00410B6D"/>
    <w:rsid w:val="00410BC4"/>
    <w:rsid w:val="00410C40"/>
    <w:rsid w:val="00410CDF"/>
    <w:rsid w:val="00411017"/>
    <w:rsid w:val="00411140"/>
    <w:rsid w:val="00411685"/>
    <w:rsid w:val="00411874"/>
    <w:rsid w:val="00411BE0"/>
    <w:rsid w:val="00411BF4"/>
    <w:rsid w:val="00411F88"/>
    <w:rsid w:val="00412EA2"/>
    <w:rsid w:val="004136FC"/>
    <w:rsid w:val="004137D1"/>
    <w:rsid w:val="00413C86"/>
    <w:rsid w:val="00414884"/>
    <w:rsid w:val="004148F8"/>
    <w:rsid w:val="00414BE1"/>
    <w:rsid w:val="004155A0"/>
    <w:rsid w:val="004159E0"/>
    <w:rsid w:val="00415A9F"/>
    <w:rsid w:val="00415D33"/>
    <w:rsid w:val="00416831"/>
    <w:rsid w:val="0041695F"/>
    <w:rsid w:val="00416C4E"/>
    <w:rsid w:val="00416C4F"/>
    <w:rsid w:val="00416C53"/>
    <w:rsid w:val="00416EB2"/>
    <w:rsid w:val="00417050"/>
    <w:rsid w:val="00417210"/>
    <w:rsid w:val="00417274"/>
    <w:rsid w:val="0041732A"/>
    <w:rsid w:val="00417ED2"/>
    <w:rsid w:val="00420396"/>
    <w:rsid w:val="00420662"/>
    <w:rsid w:val="004211F4"/>
    <w:rsid w:val="004214FD"/>
    <w:rsid w:val="0042174D"/>
    <w:rsid w:val="00421A58"/>
    <w:rsid w:val="00421B07"/>
    <w:rsid w:val="00422173"/>
    <w:rsid w:val="00422209"/>
    <w:rsid w:val="00422477"/>
    <w:rsid w:val="00422B88"/>
    <w:rsid w:val="00422E1F"/>
    <w:rsid w:val="0042367A"/>
    <w:rsid w:val="00423869"/>
    <w:rsid w:val="0042395A"/>
    <w:rsid w:val="00424084"/>
    <w:rsid w:val="004241FD"/>
    <w:rsid w:val="0042432F"/>
    <w:rsid w:val="00424443"/>
    <w:rsid w:val="004246AD"/>
    <w:rsid w:val="00424775"/>
    <w:rsid w:val="004250F4"/>
    <w:rsid w:val="00425415"/>
    <w:rsid w:val="004255DA"/>
    <w:rsid w:val="00425804"/>
    <w:rsid w:val="00425A4C"/>
    <w:rsid w:val="00425DF4"/>
    <w:rsid w:val="004264F5"/>
    <w:rsid w:val="00426571"/>
    <w:rsid w:val="0042681A"/>
    <w:rsid w:val="00426A04"/>
    <w:rsid w:val="00426A64"/>
    <w:rsid w:val="00426EA2"/>
    <w:rsid w:val="00427280"/>
    <w:rsid w:val="00427623"/>
    <w:rsid w:val="00427B96"/>
    <w:rsid w:val="00427E3B"/>
    <w:rsid w:val="00431496"/>
    <w:rsid w:val="0043169D"/>
    <w:rsid w:val="004319E2"/>
    <w:rsid w:val="00431A18"/>
    <w:rsid w:val="00431DF3"/>
    <w:rsid w:val="004321BD"/>
    <w:rsid w:val="00432345"/>
    <w:rsid w:val="00432357"/>
    <w:rsid w:val="00432C41"/>
    <w:rsid w:val="0043305B"/>
    <w:rsid w:val="00433157"/>
    <w:rsid w:val="00433226"/>
    <w:rsid w:val="00434863"/>
    <w:rsid w:val="00434A0B"/>
    <w:rsid w:val="0043514C"/>
    <w:rsid w:val="00435616"/>
    <w:rsid w:val="00435923"/>
    <w:rsid w:val="004359BF"/>
    <w:rsid w:val="00435C72"/>
    <w:rsid w:val="00435E71"/>
    <w:rsid w:val="00436180"/>
    <w:rsid w:val="00436454"/>
    <w:rsid w:val="004368C7"/>
    <w:rsid w:val="004373AC"/>
    <w:rsid w:val="00437DBB"/>
    <w:rsid w:val="00437DF9"/>
    <w:rsid w:val="004401AE"/>
    <w:rsid w:val="00440241"/>
    <w:rsid w:val="00440631"/>
    <w:rsid w:val="00440F6F"/>
    <w:rsid w:val="00441051"/>
    <w:rsid w:val="00441C89"/>
    <w:rsid w:val="00441F9B"/>
    <w:rsid w:val="004423C2"/>
    <w:rsid w:val="0044265D"/>
    <w:rsid w:val="004426CB"/>
    <w:rsid w:val="004426F6"/>
    <w:rsid w:val="00442D97"/>
    <w:rsid w:val="00443D0E"/>
    <w:rsid w:val="00443D8D"/>
    <w:rsid w:val="00443FE4"/>
    <w:rsid w:val="004440A2"/>
    <w:rsid w:val="004443A4"/>
    <w:rsid w:val="00445400"/>
    <w:rsid w:val="00445D27"/>
    <w:rsid w:val="00445E5E"/>
    <w:rsid w:val="004462D0"/>
    <w:rsid w:val="004465F9"/>
    <w:rsid w:val="00446AE8"/>
    <w:rsid w:val="00447273"/>
    <w:rsid w:val="00447EDF"/>
    <w:rsid w:val="00450010"/>
    <w:rsid w:val="00450242"/>
    <w:rsid w:val="004505B1"/>
    <w:rsid w:val="004510FE"/>
    <w:rsid w:val="00451273"/>
    <w:rsid w:val="004512D0"/>
    <w:rsid w:val="00451D6B"/>
    <w:rsid w:val="00451F91"/>
    <w:rsid w:val="00451FC3"/>
    <w:rsid w:val="004522DC"/>
    <w:rsid w:val="004522E8"/>
    <w:rsid w:val="00452457"/>
    <w:rsid w:val="0045249A"/>
    <w:rsid w:val="00452551"/>
    <w:rsid w:val="004528F1"/>
    <w:rsid w:val="00452B9D"/>
    <w:rsid w:val="00453755"/>
    <w:rsid w:val="00453A15"/>
    <w:rsid w:val="00453A4D"/>
    <w:rsid w:val="00453AC2"/>
    <w:rsid w:val="0045431A"/>
    <w:rsid w:val="004543A5"/>
    <w:rsid w:val="00454853"/>
    <w:rsid w:val="00454E6C"/>
    <w:rsid w:val="00455BFE"/>
    <w:rsid w:val="00456233"/>
    <w:rsid w:val="00456381"/>
    <w:rsid w:val="004565C2"/>
    <w:rsid w:val="00456C68"/>
    <w:rsid w:val="00456E7C"/>
    <w:rsid w:val="0045707E"/>
    <w:rsid w:val="00457605"/>
    <w:rsid w:val="0045765C"/>
    <w:rsid w:val="004579EC"/>
    <w:rsid w:val="00457A11"/>
    <w:rsid w:val="00457E54"/>
    <w:rsid w:val="00457F15"/>
    <w:rsid w:val="0046035D"/>
    <w:rsid w:val="004604B5"/>
    <w:rsid w:val="00460DF1"/>
    <w:rsid w:val="00460E01"/>
    <w:rsid w:val="0046128F"/>
    <w:rsid w:val="00461896"/>
    <w:rsid w:val="00461993"/>
    <w:rsid w:val="00461C34"/>
    <w:rsid w:val="00461DFF"/>
    <w:rsid w:val="00461E0C"/>
    <w:rsid w:val="00461F68"/>
    <w:rsid w:val="0046234D"/>
    <w:rsid w:val="00462856"/>
    <w:rsid w:val="00462F45"/>
    <w:rsid w:val="00463342"/>
    <w:rsid w:val="0046340E"/>
    <w:rsid w:val="00463A8B"/>
    <w:rsid w:val="00463DC6"/>
    <w:rsid w:val="00464A7F"/>
    <w:rsid w:val="00464BBC"/>
    <w:rsid w:val="00465106"/>
    <w:rsid w:val="004653BC"/>
    <w:rsid w:val="00466E6E"/>
    <w:rsid w:val="00466EF6"/>
    <w:rsid w:val="004678B6"/>
    <w:rsid w:val="00470558"/>
    <w:rsid w:val="00470FF8"/>
    <w:rsid w:val="00471016"/>
    <w:rsid w:val="004718D2"/>
    <w:rsid w:val="004719C9"/>
    <w:rsid w:val="00471E9E"/>
    <w:rsid w:val="00471F9C"/>
    <w:rsid w:val="00472843"/>
    <w:rsid w:val="004728C8"/>
    <w:rsid w:val="00472CBA"/>
    <w:rsid w:val="00472CC7"/>
    <w:rsid w:val="00473119"/>
    <w:rsid w:val="00473242"/>
    <w:rsid w:val="00473767"/>
    <w:rsid w:val="0047385E"/>
    <w:rsid w:val="004738D2"/>
    <w:rsid w:val="00473F4B"/>
    <w:rsid w:val="004741C8"/>
    <w:rsid w:val="00474440"/>
    <w:rsid w:val="00474C84"/>
    <w:rsid w:val="004752E0"/>
    <w:rsid w:val="00475421"/>
    <w:rsid w:val="004757DC"/>
    <w:rsid w:val="00476A2C"/>
    <w:rsid w:val="00476A59"/>
    <w:rsid w:val="00476B7F"/>
    <w:rsid w:val="00477734"/>
    <w:rsid w:val="00477AFE"/>
    <w:rsid w:val="00477B6A"/>
    <w:rsid w:val="00477C5E"/>
    <w:rsid w:val="00477CF6"/>
    <w:rsid w:val="004804DA"/>
    <w:rsid w:val="00480647"/>
    <w:rsid w:val="00480745"/>
    <w:rsid w:val="004807DE"/>
    <w:rsid w:val="00480BC7"/>
    <w:rsid w:val="0048148F"/>
    <w:rsid w:val="0048153A"/>
    <w:rsid w:val="004815B5"/>
    <w:rsid w:val="00481693"/>
    <w:rsid w:val="00482319"/>
    <w:rsid w:val="0048240E"/>
    <w:rsid w:val="00482653"/>
    <w:rsid w:val="004826B2"/>
    <w:rsid w:val="0048280E"/>
    <w:rsid w:val="004828B6"/>
    <w:rsid w:val="00482FD7"/>
    <w:rsid w:val="0048332C"/>
    <w:rsid w:val="004833DD"/>
    <w:rsid w:val="0048375B"/>
    <w:rsid w:val="004838D5"/>
    <w:rsid w:val="004839D4"/>
    <w:rsid w:val="00483A33"/>
    <w:rsid w:val="00484155"/>
    <w:rsid w:val="00484191"/>
    <w:rsid w:val="00484199"/>
    <w:rsid w:val="0048451B"/>
    <w:rsid w:val="00484CDA"/>
    <w:rsid w:val="00485BDF"/>
    <w:rsid w:val="00485BF9"/>
    <w:rsid w:val="00485E92"/>
    <w:rsid w:val="004864B8"/>
    <w:rsid w:val="0048658E"/>
    <w:rsid w:val="00486B46"/>
    <w:rsid w:val="00486D08"/>
    <w:rsid w:val="004877A0"/>
    <w:rsid w:val="00487A62"/>
    <w:rsid w:val="00487B8F"/>
    <w:rsid w:val="00487ECD"/>
    <w:rsid w:val="004907EC"/>
    <w:rsid w:val="00490D4F"/>
    <w:rsid w:val="004910BF"/>
    <w:rsid w:val="00491100"/>
    <w:rsid w:val="004912DB"/>
    <w:rsid w:val="004918CD"/>
    <w:rsid w:val="00491E3A"/>
    <w:rsid w:val="00491F3B"/>
    <w:rsid w:val="0049247C"/>
    <w:rsid w:val="00493068"/>
    <w:rsid w:val="004930EB"/>
    <w:rsid w:val="004937D4"/>
    <w:rsid w:val="00493B72"/>
    <w:rsid w:val="004945EF"/>
    <w:rsid w:val="00494733"/>
    <w:rsid w:val="004948D2"/>
    <w:rsid w:val="00494ECF"/>
    <w:rsid w:val="00495241"/>
    <w:rsid w:val="004953AE"/>
    <w:rsid w:val="0049574A"/>
    <w:rsid w:val="00495797"/>
    <w:rsid w:val="004959E6"/>
    <w:rsid w:val="00495C53"/>
    <w:rsid w:val="00495EB5"/>
    <w:rsid w:val="00496079"/>
    <w:rsid w:val="00496446"/>
    <w:rsid w:val="004965F6"/>
    <w:rsid w:val="00496751"/>
    <w:rsid w:val="0049685B"/>
    <w:rsid w:val="00497328"/>
    <w:rsid w:val="0049770A"/>
    <w:rsid w:val="0049779C"/>
    <w:rsid w:val="004977AC"/>
    <w:rsid w:val="00497AAD"/>
    <w:rsid w:val="00497BE4"/>
    <w:rsid w:val="00497F5F"/>
    <w:rsid w:val="004A0A6A"/>
    <w:rsid w:val="004A114D"/>
    <w:rsid w:val="004A11E2"/>
    <w:rsid w:val="004A17D6"/>
    <w:rsid w:val="004A19BE"/>
    <w:rsid w:val="004A1BB9"/>
    <w:rsid w:val="004A1CA7"/>
    <w:rsid w:val="004A2495"/>
    <w:rsid w:val="004A262D"/>
    <w:rsid w:val="004A26A5"/>
    <w:rsid w:val="004A2804"/>
    <w:rsid w:val="004A2D8F"/>
    <w:rsid w:val="004A2F84"/>
    <w:rsid w:val="004A3305"/>
    <w:rsid w:val="004A46FE"/>
    <w:rsid w:val="004A47D0"/>
    <w:rsid w:val="004A491C"/>
    <w:rsid w:val="004A4E01"/>
    <w:rsid w:val="004A4E11"/>
    <w:rsid w:val="004A4E6B"/>
    <w:rsid w:val="004A51E4"/>
    <w:rsid w:val="004A584F"/>
    <w:rsid w:val="004A5887"/>
    <w:rsid w:val="004A5EE7"/>
    <w:rsid w:val="004A5F38"/>
    <w:rsid w:val="004A5F58"/>
    <w:rsid w:val="004A65FD"/>
    <w:rsid w:val="004A6A56"/>
    <w:rsid w:val="004A6D27"/>
    <w:rsid w:val="004A6EA1"/>
    <w:rsid w:val="004A6EBA"/>
    <w:rsid w:val="004A7110"/>
    <w:rsid w:val="004A73DB"/>
    <w:rsid w:val="004A7A9B"/>
    <w:rsid w:val="004A7B4C"/>
    <w:rsid w:val="004B012C"/>
    <w:rsid w:val="004B0C24"/>
    <w:rsid w:val="004B0E59"/>
    <w:rsid w:val="004B1044"/>
    <w:rsid w:val="004B109E"/>
    <w:rsid w:val="004B1395"/>
    <w:rsid w:val="004B1B78"/>
    <w:rsid w:val="004B1ECF"/>
    <w:rsid w:val="004B23FD"/>
    <w:rsid w:val="004B25B6"/>
    <w:rsid w:val="004B29FF"/>
    <w:rsid w:val="004B2A78"/>
    <w:rsid w:val="004B2F16"/>
    <w:rsid w:val="004B355D"/>
    <w:rsid w:val="004B3574"/>
    <w:rsid w:val="004B35D6"/>
    <w:rsid w:val="004B371F"/>
    <w:rsid w:val="004B3945"/>
    <w:rsid w:val="004B3AE0"/>
    <w:rsid w:val="004B3DA0"/>
    <w:rsid w:val="004B4009"/>
    <w:rsid w:val="004B40EE"/>
    <w:rsid w:val="004B43B7"/>
    <w:rsid w:val="004B448E"/>
    <w:rsid w:val="004B44DC"/>
    <w:rsid w:val="004B472B"/>
    <w:rsid w:val="004B54C2"/>
    <w:rsid w:val="004B554A"/>
    <w:rsid w:val="004B59EB"/>
    <w:rsid w:val="004B5AE9"/>
    <w:rsid w:val="004B5F41"/>
    <w:rsid w:val="004B612B"/>
    <w:rsid w:val="004B6B6C"/>
    <w:rsid w:val="004B7155"/>
    <w:rsid w:val="004B7480"/>
    <w:rsid w:val="004B759F"/>
    <w:rsid w:val="004B7B2A"/>
    <w:rsid w:val="004B7EDC"/>
    <w:rsid w:val="004C0047"/>
    <w:rsid w:val="004C01A2"/>
    <w:rsid w:val="004C08E2"/>
    <w:rsid w:val="004C0AD2"/>
    <w:rsid w:val="004C0FF6"/>
    <w:rsid w:val="004C110B"/>
    <w:rsid w:val="004C130D"/>
    <w:rsid w:val="004C15BF"/>
    <w:rsid w:val="004C1FE8"/>
    <w:rsid w:val="004C2A5A"/>
    <w:rsid w:val="004C2C20"/>
    <w:rsid w:val="004C2CCC"/>
    <w:rsid w:val="004C2DE1"/>
    <w:rsid w:val="004C2E58"/>
    <w:rsid w:val="004C2F90"/>
    <w:rsid w:val="004C381C"/>
    <w:rsid w:val="004C3833"/>
    <w:rsid w:val="004C3D49"/>
    <w:rsid w:val="004C3F4A"/>
    <w:rsid w:val="004C3FB0"/>
    <w:rsid w:val="004C4483"/>
    <w:rsid w:val="004C4826"/>
    <w:rsid w:val="004C4CCE"/>
    <w:rsid w:val="004C4CDF"/>
    <w:rsid w:val="004C59E4"/>
    <w:rsid w:val="004C6265"/>
    <w:rsid w:val="004C64BB"/>
    <w:rsid w:val="004C67EF"/>
    <w:rsid w:val="004C6B4D"/>
    <w:rsid w:val="004C6BBC"/>
    <w:rsid w:val="004C6C55"/>
    <w:rsid w:val="004C7052"/>
    <w:rsid w:val="004C76D9"/>
    <w:rsid w:val="004C773D"/>
    <w:rsid w:val="004C7ECD"/>
    <w:rsid w:val="004D04C6"/>
    <w:rsid w:val="004D0BC3"/>
    <w:rsid w:val="004D107A"/>
    <w:rsid w:val="004D1222"/>
    <w:rsid w:val="004D1253"/>
    <w:rsid w:val="004D156F"/>
    <w:rsid w:val="004D17EA"/>
    <w:rsid w:val="004D1F6E"/>
    <w:rsid w:val="004D1FA5"/>
    <w:rsid w:val="004D1FF5"/>
    <w:rsid w:val="004D27F3"/>
    <w:rsid w:val="004D2BF5"/>
    <w:rsid w:val="004D2D06"/>
    <w:rsid w:val="004D3A4D"/>
    <w:rsid w:val="004D3BD4"/>
    <w:rsid w:val="004D3CEC"/>
    <w:rsid w:val="004D4119"/>
    <w:rsid w:val="004D44A1"/>
    <w:rsid w:val="004D4EF5"/>
    <w:rsid w:val="004D51B0"/>
    <w:rsid w:val="004D5459"/>
    <w:rsid w:val="004D547E"/>
    <w:rsid w:val="004D57EB"/>
    <w:rsid w:val="004D5B61"/>
    <w:rsid w:val="004D64EF"/>
    <w:rsid w:val="004D70E2"/>
    <w:rsid w:val="004E06E4"/>
    <w:rsid w:val="004E0735"/>
    <w:rsid w:val="004E0B9C"/>
    <w:rsid w:val="004E0C10"/>
    <w:rsid w:val="004E0CE9"/>
    <w:rsid w:val="004E12EF"/>
    <w:rsid w:val="004E14B8"/>
    <w:rsid w:val="004E1892"/>
    <w:rsid w:val="004E219F"/>
    <w:rsid w:val="004E22E0"/>
    <w:rsid w:val="004E2B88"/>
    <w:rsid w:val="004E30F5"/>
    <w:rsid w:val="004E3428"/>
    <w:rsid w:val="004E347C"/>
    <w:rsid w:val="004E34CA"/>
    <w:rsid w:val="004E3724"/>
    <w:rsid w:val="004E39DD"/>
    <w:rsid w:val="004E3B4A"/>
    <w:rsid w:val="004E40F3"/>
    <w:rsid w:val="004E424F"/>
    <w:rsid w:val="004E45DE"/>
    <w:rsid w:val="004E47FE"/>
    <w:rsid w:val="004E4A7D"/>
    <w:rsid w:val="004E4B9A"/>
    <w:rsid w:val="004E4FCD"/>
    <w:rsid w:val="004E55BD"/>
    <w:rsid w:val="004E5ADE"/>
    <w:rsid w:val="004E5B05"/>
    <w:rsid w:val="004E5BEC"/>
    <w:rsid w:val="004E6106"/>
    <w:rsid w:val="004E62F7"/>
    <w:rsid w:val="004E65FD"/>
    <w:rsid w:val="004E69D3"/>
    <w:rsid w:val="004E6E8B"/>
    <w:rsid w:val="004E7133"/>
    <w:rsid w:val="004E71DD"/>
    <w:rsid w:val="004E7280"/>
    <w:rsid w:val="004E75DA"/>
    <w:rsid w:val="004E7B99"/>
    <w:rsid w:val="004E7E3A"/>
    <w:rsid w:val="004F019E"/>
    <w:rsid w:val="004F0254"/>
    <w:rsid w:val="004F09D7"/>
    <w:rsid w:val="004F118A"/>
    <w:rsid w:val="004F1340"/>
    <w:rsid w:val="004F1367"/>
    <w:rsid w:val="004F1373"/>
    <w:rsid w:val="004F1646"/>
    <w:rsid w:val="004F1734"/>
    <w:rsid w:val="004F1762"/>
    <w:rsid w:val="004F2283"/>
    <w:rsid w:val="004F25EC"/>
    <w:rsid w:val="004F26EF"/>
    <w:rsid w:val="004F27DD"/>
    <w:rsid w:val="004F29D0"/>
    <w:rsid w:val="004F2DDF"/>
    <w:rsid w:val="004F3B20"/>
    <w:rsid w:val="004F3B69"/>
    <w:rsid w:val="004F3C7E"/>
    <w:rsid w:val="004F44D8"/>
    <w:rsid w:val="004F4601"/>
    <w:rsid w:val="004F460C"/>
    <w:rsid w:val="004F472A"/>
    <w:rsid w:val="004F4C1C"/>
    <w:rsid w:val="004F4DAD"/>
    <w:rsid w:val="004F5317"/>
    <w:rsid w:val="004F5374"/>
    <w:rsid w:val="004F53F2"/>
    <w:rsid w:val="004F5467"/>
    <w:rsid w:val="004F585B"/>
    <w:rsid w:val="004F5CE1"/>
    <w:rsid w:val="004F5D12"/>
    <w:rsid w:val="004F62A4"/>
    <w:rsid w:val="004F63B3"/>
    <w:rsid w:val="004F6928"/>
    <w:rsid w:val="004F6E80"/>
    <w:rsid w:val="004F7F37"/>
    <w:rsid w:val="00500156"/>
    <w:rsid w:val="00500217"/>
    <w:rsid w:val="005003E8"/>
    <w:rsid w:val="00500D2E"/>
    <w:rsid w:val="00500DAD"/>
    <w:rsid w:val="00500DD4"/>
    <w:rsid w:val="0050129B"/>
    <w:rsid w:val="00501FA0"/>
    <w:rsid w:val="00502FAE"/>
    <w:rsid w:val="00503004"/>
    <w:rsid w:val="0050394C"/>
    <w:rsid w:val="005039CB"/>
    <w:rsid w:val="005039DE"/>
    <w:rsid w:val="00503B60"/>
    <w:rsid w:val="00503D18"/>
    <w:rsid w:val="005040EA"/>
    <w:rsid w:val="0050416C"/>
    <w:rsid w:val="005047E7"/>
    <w:rsid w:val="00504FA7"/>
    <w:rsid w:val="00506283"/>
    <w:rsid w:val="005069B9"/>
    <w:rsid w:val="00506AE0"/>
    <w:rsid w:val="00506C53"/>
    <w:rsid w:val="00507367"/>
    <w:rsid w:val="00507532"/>
    <w:rsid w:val="00507838"/>
    <w:rsid w:val="00507A28"/>
    <w:rsid w:val="00507C0D"/>
    <w:rsid w:val="00507E6B"/>
    <w:rsid w:val="00507F29"/>
    <w:rsid w:val="0050ED3C"/>
    <w:rsid w:val="005100F8"/>
    <w:rsid w:val="005116C9"/>
    <w:rsid w:val="00511D96"/>
    <w:rsid w:val="0051267D"/>
    <w:rsid w:val="0051275A"/>
    <w:rsid w:val="00512C32"/>
    <w:rsid w:val="00512CCC"/>
    <w:rsid w:val="00512EEE"/>
    <w:rsid w:val="00513594"/>
    <w:rsid w:val="00513EF9"/>
    <w:rsid w:val="00514325"/>
    <w:rsid w:val="00514378"/>
    <w:rsid w:val="00514587"/>
    <w:rsid w:val="00514656"/>
    <w:rsid w:val="005146E4"/>
    <w:rsid w:val="0051487E"/>
    <w:rsid w:val="005148BC"/>
    <w:rsid w:val="00514A7A"/>
    <w:rsid w:val="00514D16"/>
    <w:rsid w:val="0051540C"/>
    <w:rsid w:val="00515C70"/>
    <w:rsid w:val="005167D7"/>
    <w:rsid w:val="00516990"/>
    <w:rsid w:val="00516DFE"/>
    <w:rsid w:val="005179D9"/>
    <w:rsid w:val="0052080B"/>
    <w:rsid w:val="00520B87"/>
    <w:rsid w:val="0052121F"/>
    <w:rsid w:val="00521675"/>
    <w:rsid w:val="00521913"/>
    <w:rsid w:val="0052193E"/>
    <w:rsid w:val="0052194C"/>
    <w:rsid w:val="00521E8F"/>
    <w:rsid w:val="00522217"/>
    <w:rsid w:val="00522302"/>
    <w:rsid w:val="00522632"/>
    <w:rsid w:val="005232E4"/>
    <w:rsid w:val="00523323"/>
    <w:rsid w:val="0052345D"/>
    <w:rsid w:val="0052366D"/>
    <w:rsid w:val="00523850"/>
    <w:rsid w:val="00523A75"/>
    <w:rsid w:val="0052461B"/>
    <w:rsid w:val="00524786"/>
    <w:rsid w:val="005249EC"/>
    <w:rsid w:val="005249F9"/>
    <w:rsid w:val="00524A8C"/>
    <w:rsid w:val="00524B2F"/>
    <w:rsid w:val="00524BBB"/>
    <w:rsid w:val="0052510B"/>
    <w:rsid w:val="00525AF2"/>
    <w:rsid w:val="005268CA"/>
    <w:rsid w:val="0052692A"/>
    <w:rsid w:val="00526BBE"/>
    <w:rsid w:val="00526F28"/>
    <w:rsid w:val="00526FEF"/>
    <w:rsid w:val="0052799F"/>
    <w:rsid w:val="00530545"/>
    <w:rsid w:val="0053090F"/>
    <w:rsid w:val="00530AC4"/>
    <w:rsid w:val="00531673"/>
    <w:rsid w:val="00531731"/>
    <w:rsid w:val="0053223A"/>
    <w:rsid w:val="005328CB"/>
    <w:rsid w:val="00532A21"/>
    <w:rsid w:val="005333E6"/>
    <w:rsid w:val="005335C2"/>
    <w:rsid w:val="00534931"/>
    <w:rsid w:val="00534B65"/>
    <w:rsid w:val="00534F30"/>
    <w:rsid w:val="00534F3C"/>
    <w:rsid w:val="005352F0"/>
    <w:rsid w:val="005353DD"/>
    <w:rsid w:val="005359EE"/>
    <w:rsid w:val="00535E0D"/>
    <w:rsid w:val="0053638B"/>
    <w:rsid w:val="005364B9"/>
    <w:rsid w:val="005365EB"/>
    <w:rsid w:val="00536D1D"/>
    <w:rsid w:val="005371A6"/>
    <w:rsid w:val="00537314"/>
    <w:rsid w:val="005375A2"/>
    <w:rsid w:val="00537E1D"/>
    <w:rsid w:val="00537FDC"/>
    <w:rsid w:val="005400A0"/>
    <w:rsid w:val="00540206"/>
    <w:rsid w:val="005406F5"/>
    <w:rsid w:val="005407B5"/>
    <w:rsid w:val="005408C6"/>
    <w:rsid w:val="00540D8A"/>
    <w:rsid w:val="00540F49"/>
    <w:rsid w:val="00540F81"/>
    <w:rsid w:val="0054101B"/>
    <w:rsid w:val="005411D2"/>
    <w:rsid w:val="0054142C"/>
    <w:rsid w:val="00541C6C"/>
    <w:rsid w:val="00541D01"/>
    <w:rsid w:val="00541F98"/>
    <w:rsid w:val="005423C4"/>
    <w:rsid w:val="005426CE"/>
    <w:rsid w:val="00542808"/>
    <w:rsid w:val="0054372B"/>
    <w:rsid w:val="00544310"/>
    <w:rsid w:val="00544835"/>
    <w:rsid w:val="00544B42"/>
    <w:rsid w:val="00544D88"/>
    <w:rsid w:val="00544E88"/>
    <w:rsid w:val="0054511A"/>
    <w:rsid w:val="005456DB"/>
    <w:rsid w:val="005457E9"/>
    <w:rsid w:val="005459EA"/>
    <w:rsid w:val="00546147"/>
    <w:rsid w:val="0054651B"/>
    <w:rsid w:val="00546781"/>
    <w:rsid w:val="005467F8"/>
    <w:rsid w:val="00546ACD"/>
    <w:rsid w:val="00547582"/>
    <w:rsid w:val="005479C2"/>
    <w:rsid w:val="00550685"/>
    <w:rsid w:val="005518A2"/>
    <w:rsid w:val="00551D5B"/>
    <w:rsid w:val="00552119"/>
    <w:rsid w:val="00552194"/>
    <w:rsid w:val="00552965"/>
    <w:rsid w:val="00553374"/>
    <w:rsid w:val="0055338F"/>
    <w:rsid w:val="005536ED"/>
    <w:rsid w:val="005536EF"/>
    <w:rsid w:val="005537B0"/>
    <w:rsid w:val="00553BB0"/>
    <w:rsid w:val="0055405C"/>
    <w:rsid w:val="0055494E"/>
    <w:rsid w:val="00554A7E"/>
    <w:rsid w:val="00554B62"/>
    <w:rsid w:val="00554C0C"/>
    <w:rsid w:val="00554E03"/>
    <w:rsid w:val="00555333"/>
    <w:rsid w:val="0055545E"/>
    <w:rsid w:val="0055561E"/>
    <w:rsid w:val="005557ED"/>
    <w:rsid w:val="0055596E"/>
    <w:rsid w:val="00555C4F"/>
    <w:rsid w:val="00555DB0"/>
    <w:rsid w:val="00555F55"/>
    <w:rsid w:val="0055635E"/>
    <w:rsid w:val="00556A12"/>
    <w:rsid w:val="00557CE3"/>
    <w:rsid w:val="00557EEC"/>
    <w:rsid w:val="0056015C"/>
    <w:rsid w:val="0056085B"/>
    <w:rsid w:val="00560935"/>
    <w:rsid w:val="0056131D"/>
    <w:rsid w:val="0056155D"/>
    <w:rsid w:val="00561A8A"/>
    <w:rsid w:val="00561D16"/>
    <w:rsid w:val="00562094"/>
    <w:rsid w:val="005623EC"/>
    <w:rsid w:val="00562A05"/>
    <w:rsid w:val="00562B05"/>
    <w:rsid w:val="005632A6"/>
    <w:rsid w:val="00563A58"/>
    <w:rsid w:val="005646FA"/>
    <w:rsid w:val="00564979"/>
    <w:rsid w:val="00564A83"/>
    <w:rsid w:val="00564E2E"/>
    <w:rsid w:val="00564F35"/>
    <w:rsid w:val="005652A5"/>
    <w:rsid w:val="00565401"/>
    <w:rsid w:val="00565B2F"/>
    <w:rsid w:val="00565FCF"/>
    <w:rsid w:val="00566AE8"/>
    <w:rsid w:val="00566C74"/>
    <w:rsid w:val="00566CB3"/>
    <w:rsid w:val="005670AE"/>
    <w:rsid w:val="0056715E"/>
    <w:rsid w:val="00567398"/>
    <w:rsid w:val="00567CE8"/>
    <w:rsid w:val="00567D66"/>
    <w:rsid w:val="00567DF0"/>
    <w:rsid w:val="0057069D"/>
    <w:rsid w:val="005707D1"/>
    <w:rsid w:val="005708A7"/>
    <w:rsid w:val="00570B47"/>
    <w:rsid w:val="00570C7D"/>
    <w:rsid w:val="00570D86"/>
    <w:rsid w:val="00570E72"/>
    <w:rsid w:val="005710B2"/>
    <w:rsid w:val="005717B7"/>
    <w:rsid w:val="00571BF5"/>
    <w:rsid w:val="00571C18"/>
    <w:rsid w:val="00572A42"/>
    <w:rsid w:val="00572C3D"/>
    <w:rsid w:val="00572C8C"/>
    <w:rsid w:val="005732FB"/>
    <w:rsid w:val="00573C20"/>
    <w:rsid w:val="00573C8B"/>
    <w:rsid w:val="00573F89"/>
    <w:rsid w:val="0057409F"/>
    <w:rsid w:val="00574296"/>
    <w:rsid w:val="00574433"/>
    <w:rsid w:val="00574D02"/>
    <w:rsid w:val="005756FB"/>
    <w:rsid w:val="00575D74"/>
    <w:rsid w:val="0057635B"/>
    <w:rsid w:val="005763BD"/>
    <w:rsid w:val="005769EC"/>
    <w:rsid w:val="00576CAD"/>
    <w:rsid w:val="00577545"/>
    <w:rsid w:val="005775F7"/>
    <w:rsid w:val="00577D3F"/>
    <w:rsid w:val="0058030C"/>
    <w:rsid w:val="00580A03"/>
    <w:rsid w:val="00580CE1"/>
    <w:rsid w:val="00581751"/>
    <w:rsid w:val="00582987"/>
    <w:rsid w:val="00582A2E"/>
    <w:rsid w:val="00582F21"/>
    <w:rsid w:val="00583114"/>
    <w:rsid w:val="0058372B"/>
    <w:rsid w:val="00583A2C"/>
    <w:rsid w:val="00583E6F"/>
    <w:rsid w:val="005840D0"/>
    <w:rsid w:val="005850CD"/>
    <w:rsid w:val="0058532B"/>
    <w:rsid w:val="00585A84"/>
    <w:rsid w:val="00585E01"/>
    <w:rsid w:val="00585E5A"/>
    <w:rsid w:val="00586207"/>
    <w:rsid w:val="005862DC"/>
    <w:rsid w:val="00586713"/>
    <w:rsid w:val="00586A9F"/>
    <w:rsid w:val="00587277"/>
    <w:rsid w:val="00587325"/>
    <w:rsid w:val="00587509"/>
    <w:rsid w:val="00587895"/>
    <w:rsid w:val="00587A6C"/>
    <w:rsid w:val="00590723"/>
    <w:rsid w:val="005907FD"/>
    <w:rsid w:val="00590973"/>
    <w:rsid w:val="00590AF3"/>
    <w:rsid w:val="005911A9"/>
    <w:rsid w:val="0059148A"/>
    <w:rsid w:val="005917FA"/>
    <w:rsid w:val="005918EF"/>
    <w:rsid w:val="0059210E"/>
    <w:rsid w:val="00592AE9"/>
    <w:rsid w:val="005930A2"/>
    <w:rsid w:val="005932C3"/>
    <w:rsid w:val="0059350F"/>
    <w:rsid w:val="00593D85"/>
    <w:rsid w:val="0059435C"/>
    <w:rsid w:val="00594ABA"/>
    <w:rsid w:val="00594C55"/>
    <w:rsid w:val="00594EB2"/>
    <w:rsid w:val="00595194"/>
    <w:rsid w:val="005958CA"/>
    <w:rsid w:val="00595C3B"/>
    <w:rsid w:val="00596165"/>
    <w:rsid w:val="00596262"/>
    <w:rsid w:val="005964D8"/>
    <w:rsid w:val="0059687A"/>
    <w:rsid w:val="00597042"/>
    <w:rsid w:val="0059738C"/>
    <w:rsid w:val="00597971"/>
    <w:rsid w:val="005979AF"/>
    <w:rsid w:val="00597C91"/>
    <w:rsid w:val="00597E35"/>
    <w:rsid w:val="005A032B"/>
    <w:rsid w:val="005A0604"/>
    <w:rsid w:val="005A0AF8"/>
    <w:rsid w:val="005A11F5"/>
    <w:rsid w:val="005A1273"/>
    <w:rsid w:val="005A162B"/>
    <w:rsid w:val="005A1B96"/>
    <w:rsid w:val="005A2488"/>
    <w:rsid w:val="005A2561"/>
    <w:rsid w:val="005A2584"/>
    <w:rsid w:val="005A2CCE"/>
    <w:rsid w:val="005A2DE7"/>
    <w:rsid w:val="005A2E1E"/>
    <w:rsid w:val="005A2F40"/>
    <w:rsid w:val="005A3300"/>
    <w:rsid w:val="005A37C8"/>
    <w:rsid w:val="005A3886"/>
    <w:rsid w:val="005A3E67"/>
    <w:rsid w:val="005A4489"/>
    <w:rsid w:val="005A4A09"/>
    <w:rsid w:val="005A5A1F"/>
    <w:rsid w:val="005A5ECB"/>
    <w:rsid w:val="005A63B3"/>
    <w:rsid w:val="005A6442"/>
    <w:rsid w:val="005A67A2"/>
    <w:rsid w:val="005A6887"/>
    <w:rsid w:val="005A6CCF"/>
    <w:rsid w:val="005A6CFB"/>
    <w:rsid w:val="005A7224"/>
    <w:rsid w:val="005A72CA"/>
    <w:rsid w:val="005A7582"/>
    <w:rsid w:val="005A7C95"/>
    <w:rsid w:val="005A7DE0"/>
    <w:rsid w:val="005A7FB3"/>
    <w:rsid w:val="005B0E43"/>
    <w:rsid w:val="005B11A8"/>
    <w:rsid w:val="005B1330"/>
    <w:rsid w:val="005B18F1"/>
    <w:rsid w:val="005B1BF2"/>
    <w:rsid w:val="005B23D9"/>
    <w:rsid w:val="005B3017"/>
    <w:rsid w:val="005B3690"/>
    <w:rsid w:val="005B3B41"/>
    <w:rsid w:val="005B400F"/>
    <w:rsid w:val="005B4600"/>
    <w:rsid w:val="005B4877"/>
    <w:rsid w:val="005B48B0"/>
    <w:rsid w:val="005B48BD"/>
    <w:rsid w:val="005B4F82"/>
    <w:rsid w:val="005B5510"/>
    <w:rsid w:val="005B5670"/>
    <w:rsid w:val="005B57DC"/>
    <w:rsid w:val="005B59FC"/>
    <w:rsid w:val="005B5A97"/>
    <w:rsid w:val="005B6248"/>
    <w:rsid w:val="005B627B"/>
    <w:rsid w:val="005B64B4"/>
    <w:rsid w:val="005B6B9F"/>
    <w:rsid w:val="005B6F5E"/>
    <w:rsid w:val="005B722C"/>
    <w:rsid w:val="005B72E4"/>
    <w:rsid w:val="005B760C"/>
    <w:rsid w:val="005B771C"/>
    <w:rsid w:val="005B7FAB"/>
    <w:rsid w:val="005C05FC"/>
    <w:rsid w:val="005C13F0"/>
    <w:rsid w:val="005C1442"/>
    <w:rsid w:val="005C14E4"/>
    <w:rsid w:val="005C1519"/>
    <w:rsid w:val="005C1569"/>
    <w:rsid w:val="005C15EA"/>
    <w:rsid w:val="005C2153"/>
    <w:rsid w:val="005C2370"/>
    <w:rsid w:val="005C2A7D"/>
    <w:rsid w:val="005C2CC4"/>
    <w:rsid w:val="005C3667"/>
    <w:rsid w:val="005C3A35"/>
    <w:rsid w:val="005C3C63"/>
    <w:rsid w:val="005C3E9A"/>
    <w:rsid w:val="005C416F"/>
    <w:rsid w:val="005C4372"/>
    <w:rsid w:val="005C454F"/>
    <w:rsid w:val="005C478D"/>
    <w:rsid w:val="005C4955"/>
    <w:rsid w:val="005C4C62"/>
    <w:rsid w:val="005C5011"/>
    <w:rsid w:val="005C57FD"/>
    <w:rsid w:val="005C5AEB"/>
    <w:rsid w:val="005C5E8A"/>
    <w:rsid w:val="005C6001"/>
    <w:rsid w:val="005C63A1"/>
    <w:rsid w:val="005C661B"/>
    <w:rsid w:val="005C69D1"/>
    <w:rsid w:val="005C78E2"/>
    <w:rsid w:val="005C7AFE"/>
    <w:rsid w:val="005C7DA5"/>
    <w:rsid w:val="005C7FB9"/>
    <w:rsid w:val="005D00F6"/>
    <w:rsid w:val="005D071F"/>
    <w:rsid w:val="005D088F"/>
    <w:rsid w:val="005D0B33"/>
    <w:rsid w:val="005D0C58"/>
    <w:rsid w:val="005D0D39"/>
    <w:rsid w:val="005D0DF5"/>
    <w:rsid w:val="005D11B7"/>
    <w:rsid w:val="005D16AA"/>
    <w:rsid w:val="005D1888"/>
    <w:rsid w:val="005D2877"/>
    <w:rsid w:val="005D2E11"/>
    <w:rsid w:val="005D2EDF"/>
    <w:rsid w:val="005D34F8"/>
    <w:rsid w:val="005D3573"/>
    <w:rsid w:val="005D43D7"/>
    <w:rsid w:val="005D44C0"/>
    <w:rsid w:val="005D4527"/>
    <w:rsid w:val="005D502B"/>
    <w:rsid w:val="005D5370"/>
    <w:rsid w:val="005D6085"/>
    <w:rsid w:val="005D60AD"/>
    <w:rsid w:val="005D63E4"/>
    <w:rsid w:val="005D6730"/>
    <w:rsid w:val="005D676C"/>
    <w:rsid w:val="005D6E27"/>
    <w:rsid w:val="005D7319"/>
    <w:rsid w:val="005D79B1"/>
    <w:rsid w:val="005D7E09"/>
    <w:rsid w:val="005E092E"/>
    <w:rsid w:val="005E0EDC"/>
    <w:rsid w:val="005E12C7"/>
    <w:rsid w:val="005E14B0"/>
    <w:rsid w:val="005E14B8"/>
    <w:rsid w:val="005E1526"/>
    <w:rsid w:val="005E1A3F"/>
    <w:rsid w:val="005E22E1"/>
    <w:rsid w:val="005E337F"/>
    <w:rsid w:val="005E406D"/>
    <w:rsid w:val="005E4090"/>
    <w:rsid w:val="005E4487"/>
    <w:rsid w:val="005E489A"/>
    <w:rsid w:val="005E4CAA"/>
    <w:rsid w:val="005E50E3"/>
    <w:rsid w:val="005E556D"/>
    <w:rsid w:val="005E5631"/>
    <w:rsid w:val="005E57A8"/>
    <w:rsid w:val="005E60F5"/>
    <w:rsid w:val="005E67A7"/>
    <w:rsid w:val="005E67B0"/>
    <w:rsid w:val="005E68DE"/>
    <w:rsid w:val="005E6C9E"/>
    <w:rsid w:val="005E6D82"/>
    <w:rsid w:val="005E6E87"/>
    <w:rsid w:val="005E6EF2"/>
    <w:rsid w:val="005E7786"/>
    <w:rsid w:val="005F0136"/>
    <w:rsid w:val="005F02D2"/>
    <w:rsid w:val="005F051B"/>
    <w:rsid w:val="005F059A"/>
    <w:rsid w:val="005F0703"/>
    <w:rsid w:val="005F0957"/>
    <w:rsid w:val="005F0AFD"/>
    <w:rsid w:val="005F0B48"/>
    <w:rsid w:val="005F147C"/>
    <w:rsid w:val="005F160C"/>
    <w:rsid w:val="005F1648"/>
    <w:rsid w:val="005F17C3"/>
    <w:rsid w:val="005F17CD"/>
    <w:rsid w:val="005F1B50"/>
    <w:rsid w:val="005F2C57"/>
    <w:rsid w:val="005F3319"/>
    <w:rsid w:val="005F3456"/>
    <w:rsid w:val="005F3BFC"/>
    <w:rsid w:val="005F3C71"/>
    <w:rsid w:val="005F3DD1"/>
    <w:rsid w:val="005F3FF0"/>
    <w:rsid w:val="005F4134"/>
    <w:rsid w:val="005F42D1"/>
    <w:rsid w:val="005F44F1"/>
    <w:rsid w:val="005F4510"/>
    <w:rsid w:val="005F46A3"/>
    <w:rsid w:val="005F47A0"/>
    <w:rsid w:val="005F48E4"/>
    <w:rsid w:val="005F4DF2"/>
    <w:rsid w:val="005F52F7"/>
    <w:rsid w:val="005F54AD"/>
    <w:rsid w:val="005F54AF"/>
    <w:rsid w:val="005F5C16"/>
    <w:rsid w:val="005F5E27"/>
    <w:rsid w:val="005F62BB"/>
    <w:rsid w:val="005F64B1"/>
    <w:rsid w:val="005F659D"/>
    <w:rsid w:val="005F6739"/>
    <w:rsid w:val="005F6BB9"/>
    <w:rsid w:val="005F6C90"/>
    <w:rsid w:val="005F7551"/>
    <w:rsid w:val="005F7942"/>
    <w:rsid w:val="005F7C6C"/>
    <w:rsid w:val="00600014"/>
    <w:rsid w:val="00600065"/>
    <w:rsid w:val="0060009E"/>
    <w:rsid w:val="006000FA"/>
    <w:rsid w:val="006004B2"/>
    <w:rsid w:val="006005D0"/>
    <w:rsid w:val="006008AF"/>
    <w:rsid w:val="00600A3D"/>
    <w:rsid w:val="00600B26"/>
    <w:rsid w:val="00600B69"/>
    <w:rsid w:val="00602873"/>
    <w:rsid w:val="00602B2F"/>
    <w:rsid w:val="00602BE8"/>
    <w:rsid w:val="00602F45"/>
    <w:rsid w:val="0060340F"/>
    <w:rsid w:val="0060356A"/>
    <w:rsid w:val="0060357E"/>
    <w:rsid w:val="0060358E"/>
    <w:rsid w:val="00603673"/>
    <w:rsid w:val="00603DFE"/>
    <w:rsid w:val="00603EC2"/>
    <w:rsid w:val="00604151"/>
    <w:rsid w:val="006041C9"/>
    <w:rsid w:val="0060450F"/>
    <w:rsid w:val="00605053"/>
    <w:rsid w:val="00605866"/>
    <w:rsid w:val="0060621B"/>
    <w:rsid w:val="0060671D"/>
    <w:rsid w:val="0060678E"/>
    <w:rsid w:val="0060689D"/>
    <w:rsid w:val="00606B85"/>
    <w:rsid w:val="00606EFF"/>
    <w:rsid w:val="00607005"/>
    <w:rsid w:val="00607785"/>
    <w:rsid w:val="00607AC0"/>
    <w:rsid w:val="00607B94"/>
    <w:rsid w:val="00610341"/>
    <w:rsid w:val="006103B3"/>
    <w:rsid w:val="00611017"/>
    <w:rsid w:val="0061120F"/>
    <w:rsid w:val="0061151C"/>
    <w:rsid w:val="00611ABE"/>
    <w:rsid w:val="00611C27"/>
    <w:rsid w:val="00612543"/>
    <w:rsid w:val="006125ED"/>
    <w:rsid w:val="006126A9"/>
    <w:rsid w:val="00612B41"/>
    <w:rsid w:val="00612F0B"/>
    <w:rsid w:val="006134E3"/>
    <w:rsid w:val="0061379D"/>
    <w:rsid w:val="006138BF"/>
    <w:rsid w:val="00613AA5"/>
    <w:rsid w:val="00613AE9"/>
    <w:rsid w:val="00613F9E"/>
    <w:rsid w:val="006142E6"/>
    <w:rsid w:val="00614405"/>
    <w:rsid w:val="0061480D"/>
    <w:rsid w:val="00614A74"/>
    <w:rsid w:val="00614BAC"/>
    <w:rsid w:val="00614F4C"/>
    <w:rsid w:val="006152FC"/>
    <w:rsid w:val="00615EE1"/>
    <w:rsid w:val="0061645C"/>
    <w:rsid w:val="006168AC"/>
    <w:rsid w:val="006171C4"/>
    <w:rsid w:val="0061726F"/>
    <w:rsid w:val="0062010D"/>
    <w:rsid w:val="00620752"/>
    <w:rsid w:val="00621177"/>
    <w:rsid w:val="00621681"/>
    <w:rsid w:val="0062193A"/>
    <w:rsid w:val="00621AEF"/>
    <w:rsid w:val="00621F55"/>
    <w:rsid w:val="006220F1"/>
    <w:rsid w:val="0062250D"/>
    <w:rsid w:val="00622645"/>
    <w:rsid w:val="00623341"/>
    <w:rsid w:val="0062345A"/>
    <w:rsid w:val="0062349C"/>
    <w:rsid w:val="006237E0"/>
    <w:rsid w:val="0062495A"/>
    <w:rsid w:val="00624BF0"/>
    <w:rsid w:val="00624D64"/>
    <w:rsid w:val="0062528C"/>
    <w:rsid w:val="006253B3"/>
    <w:rsid w:val="006253DD"/>
    <w:rsid w:val="00625DBE"/>
    <w:rsid w:val="00625F04"/>
    <w:rsid w:val="006260DF"/>
    <w:rsid w:val="00626226"/>
    <w:rsid w:val="00626401"/>
    <w:rsid w:val="00626716"/>
    <w:rsid w:val="006268BF"/>
    <w:rsid w:val="006268E5"/>
    <w:rsid w:val="00627595"/>
    <w:rsid w:val="0062769B"/>
    <w:rsid w:val="00627B73"/>
    <w:rsid w:val="00627E8E"/>
    <w:rsid w:val="00630178"/>
    <w:rsid w:val="006305AD"/>
    <w:rsid w:val="00630753"/>
    <w:rsid w:val="00630A13"/>
    <w:rsid w:val="0063136D"/>
    <w:rsid w:val="006318E5"/>
    <w:rsid w:val="00631C91"/>
    <w:rsid w:val="00631D61"/>
    <w:rsid w:val="0063232A"/>
    <w:rsid w:val="00632725"/>
    <w:rsid w:val="00632E5B"/>
    <w:rsid w:val="00633F09"/>
    <w:rsid w:val="00633F31"/>
    <w:rsid w:val="0063467A"/>
    <w:rsid w:val="00634797"/>
    <w:rsid w:val="006350AA"/>
    <w:rsid w:val="006355AD"/>
    <w:rsid w:val="00636171"/>
    <w:rsid w:val="0063640C"/>
    <w:rsid w:val="006364F4"/>
    <w:rsid w:val="006369AB"/>
    <w:rsid w:val="00636D18"/>
    <w:rsid w:val="00636F8D"/>
    <w:rsid w:val="0063739E"/>
    <w:rsid w:val="0063751C"/>
    <w:rsid w:val="00637841"/>
    <w:rsid w:val="006404DA"/>
    <w:rsid w:val="006407F7"/>
    <w:rsid w:val="00640F2A"/>
    <w:rsid w:val="00641084"/>
    <w:rsid w:val="006418B3"/>
    <w:rsid w:val="0064197A"/>
    <w:rsid w:val="00641EBF"/>
    <w:rsid w:val="006428B4"/>
    <w:rsid w:val="006428DB"/>
    <w:rsid w:val="00642DE8"/>
    <w:rsid w:val="00643031"/>
    <w:rsid w:val="006431D2"/>
    <w:rsid w:val="00643391"/>
    <w:rsid w:val="0064363B"/>
    <w:rsid w:val="006438AD"/>
    <w:rsid w:val="006439A9"/>
    <w:rsid w:val="00643DCE"/>
    <w:rsid w:val="006447A4"/>
    <w:rsid w:val="00644980"/>
    <w:rsid w:val="00645701"/>
    <w:rsid w:val="00645A41"/>
    <w:rsid w:val="00645C41"/>
    <w:rsid w:val="00645D19"/>
    <w:rsid w:val="006460B6"/>
    <w:rsid w:val="0064625B"/>
    <w:rsid w:val="0064659B"/>
    <w:rsid w:val="00646AE1"/>
    <w:rsid w:val="00646C93"/>
    <w:rsid w:val="00646E37"/>
    <w:rsid w:val="00646F33"/>
    <w:rsid w:val="00647085"/>
    <w:rsid w:val="00647468"/>
    <w:rsid w:val="00647A72"/>
    <w:rsid w:val="00647C84"/>
    <w:rsid w:val="00647DC0"/>
    <w:rsid w:val="00650046"/>
    <w:rsid w:val="006501A4"/>
    <w:rsid w:val="00650313"/>
    <w:rsid w:val="0065067C"/>
    <w:rsid w:val="00650F7D"/>
    <w:rsid w:val="00650F86"/>
    <w:rsid w:val="006517AA"/>
    <w:rsid w:val="00651828"/>
    <w:rsid w:val="00651855"/>
    <w:rsid w:val="0065187C"/>
    <w:rsid w:val="00651D8D"/>
    <w:rsid w:val="00651E8B"/>
    <w:rsid w:val="00651EF0"/>
    <w:rsid w:val="00651F7B"/>
    <w:rsid w:val="006523A9"/>
    <w:rsid w:val="00652D99"/>
    <w:rsid w:val="0065303E"/>
    <w:rsid w:val="00653569"/>
    <w:rsid w:val="00653AC8"/>
    <w:rsid w:val="00653DD6"/>
    <w:rsid w:val="00654268"/>
    <w:rsid w:val="006544B7"/>
    <w:rsid w:val="00654751"/>
    <w:rsid w:val="0065502B"/>
    <w:rsid w:val="006552BF"/>
    <w:rsid w:val="00655404"/>
    <w:rsid w:val="00655B71"/>
    <w:rsid w:val="00655C13"/>
    <w:rsid w:val="00655CD7"/>
    <w:rsid w:val="0065642A"/>
    <w:rsid w:val="006567C7"/>
    <w:rsid w:val="00656E12"/>
    <w:rsid w:val="00657460"/>
    <w:rsid w:val="00657921"/>
    <w:rsid w:val="00657A79"/>
    <w:rsid w:val="00660086"/>
    <w:rsid w:val="0066057C"/>
    <w:rsid w:val="006610A5"/>
    <w:rsid w:val="00661335"/>
    <w:rsid w:val="00661773"/>
    <w:rsid w:val="006617FD"/>
    <w:rsid w:val="00661F88"/>
    <w:rsid w:val="00662107"/>
    <w:rsid w:val="00662928"/>
    <w:rsid w:val="006629F1"/>
    <w:rsid w:val="00662C81"/>
    <w:rsid w:val="00662CC7"/>
    <w:rsid w:val="00662CE6"/>
    <w:rsid w:val="00662EB8"/>
    <w:rsid w:val="00664393"/>
    <w:rsid w:val="00664E28"/>
    <w:rsid w:val="00664EEA"/>
    <w:rsid w:val="00664F1B"/>
    <w:rsid w:val="00665C62"/>
    <w:rsid w:val="0066626E"/>
    <w:rsid w:val="00666F81"/>
    <w:rsid w:val="0066760B"/>
    <w:rsid w:val="00667644"/>
    <w:rsid w:val="0067016D"/>
    <w:rsid w:val="0067041B"/>
    <w:rsid w:val="006704B1"/>
    <w:rsid w:val="006704DA"/>
    <w:rsid w:val="00670CCD"/>
    <w:rsid w:val="00670D3A"/>
    <w:rsid w:val="00670DD2"/>
    <w:rsid w:val="00671651"/>
    <w:rsid w:val="00671C55"/>
    <w:rsid w:val="00671E23"/>
    <w:rsid w:val="00671E7F"/>
    <w:rsid w:val="00671FAB"/>
    <w:rsid w:val="006721CD"/>
    <w:rsid w:val="00672272"/>
    <w:rsid w:val="006724A8"/>
    <w:rsid w:val="006724E1"/>
    <w:rsid w:val="00672737"/>
    <w:rsid w:val="0067315E"/>
    <w:rsid w:val="00673AAF"/>
    <w:rsid w:val="00673FA3"/>
    <w:rsid w:val="006741D6"/>
    <w:rsid w:val="00674675"/>
    <w:rsid w:val="00674AFD"/>
    <w:rsid w:val="00674B24"/>
    <w:rsid w:val="00674BE4"/>
    <w:rsid w:val="00674F10"/>
    <w:rsid w:val="0067527D"/>
    <w:rsid w:val="00675A7F"/>
    <w:rsid w:val="00675B1B"/>
    <w:rsid w:val="00675C5D"/>
    <w:rsid w:val="0067687E"/>
    <w:rsid w:val="00676996"/>
    <w:rsid w:val="00676B68"/>
    <w:rsid w:val="00676C28"/>
    <w:rsid w:val="00676D8F"/>
    <w:rsid w:val="00677182"/>
    <w:rsid w:val="00677552"/>
    <w:rsid w:val="00677AC5"/>
    <w:rsid w:val="00677B0C"/>
    <w:rsid w:val="00677C5D"/>
    <w:rsid w:val="00677D25"/>
    <w:rsid w:val="00680140"/>
    <w:rsid w:val="006810D4"/>
    <w:rsid w:val="00681452"/>
    <w:rsid w:val="00681BD3"/>
    <w:rsid w:val="00681E59"/>
    <w:rsid w:val="00682777"/>
    <w:rsid w:val="00682AC3"/>
    <w:rsid w:val="00683670"/>
    <w:rsid w:val="006836CF"/>
    <w:rsid w:val="00683AC2"/>
    <w:rsid w:val="00683F78"/>
    <w:rsid w:val="006840A0"/>
    <w:rsid w:val="00684A92"/>
    <w:rsid w:val="00684B0D"/>
    <w:rsid w:val="00685DFA"/>
    <w:rsid w:val="0068650E"/>
    <w:rsid w:val="00686BA4"/>
    <w:rsid w:val="00686F68"/>
    <w:rsid w:val="0068789B"/>
    <w:rsid w:val="00687A14"/>
    <w:rsid w:val="00687F37"/>
    <w:rsid w:val="00690F18"/>
    <w:rsid w:val="0069143E"/>
    <w:rsid w:val="00691959"/>
    <w:rsid w:val="00691A28"/>
    <w:rsid w:val="00691B0A"/>
    <w:rsid w:val="0069214B"/>
    <w:rsid w:val="00692281"/>
    <w:rsid w:val="006922EF"/>
    <w:rsid w:val="006923D6"/>
    <w:rsid w:val="006926EE"/>
    <w:rsid w:val="00692701"/>
    <w:rsid w:val="00692FDB"/>
    <w:rsid w:val="006930C1"/>
    <w:rsid w:val="0069311A"/>
    <w:rsid w:val="00693AC5"/>
    <w:rsid w:val="00693DF8"/>
    <w:rsid w:val="00693ED3"/>
    <w:rsid w:val="006941CA"/>
    <w:rsid w:val="00694707"/>
    <w:rsid w:val="00694EF9"/>
    <w:rsid w:val="006950B1"/>
    <w:rsid w:val="00695549"/>
    <w:rsid w:val="00695A34"/>
    <w:rsid w:val="0069625A"/>
    <w:rsid w:val="00696654"/>
    <w:rsid w:val="0069694E"/>
    <w:rsid w:val="00696E35"/>
    <w:rsid w:val="006970CA"/>
    <w:rsid w:val="0069749C"/>
    <w:rsid w:val="00697688"/>
    <w:rsid w:val="00697811"/>
    <w:rsid w:val="00697A1C"/>
    <w:rsid w:val="00697A49"/>
    <w:rsid w:val="00697D91"/>
    <w:rsid w:val="00697EAE"/>
    <w:rsid w:val="00697F19"/>
    <w:rsid w:val="006A01A2"/>
    <w:rsid w:val="006A02E6"/>
    <w:rsid w:val="006A0569"/>
    <w:rsid w:val="006A0670"/>
    <w:rsid w:val="006A1276"/>
    <w:rsid w:val="006A1D66"/>
    <w:rsid w:val="006A216D"/>
    <w:rsid w:val="006A2C88"/>
    <w:rsid w:val="006A2DD2"/>
    <w:rsid w:val="006A2E1B"/>
    <w:rsid w:val="006A38D8"/>
    <w:rsid w:val="006A3C67"/>
    <w:rsid w:val="006A3CEB"/>
    <w:rsid w:val="006A3DEB"/>
    <w:rsid w:val="006A3E9D"/>
    <w:rsid w:val="006A3FFA"/>
    <w:rsid w:val="006A5364"/>
    <w:rsid w:val="006A5867"/>
    <w:rsid w:val="006A593B"/>
    <w:rsid w:val="006A5A42"/>
    <w:rsid w:val="006A6D16"/>
    <w:rsid w:val="006A6D4A"/>
    <w:rsid w:val="006A6E82"/>
    <w:rsid w:val="006A7639"/>
    <w:rsid w:val="006B001E"/>
    <w:rsid w:val="006B0058"/>
    <w:rsid w:val="006B07DF"/>
    <w:rsid w:val="006B0DB8"/>
    <w:rsid w:val="006B1404"/>
    <w:rsid w:val="006B1963"/>
    <w:rsid w:val="006B1DBD"/>
    <w:rsid w:val="006B226A"/>
    <w:rsid w:val="006B2701"/>
    <w:rsid w:val="006B283F"/>
    <w:rsid w:val="006B2D3C"/>
    <w:rsid w:val="006B3F02"/>
    <w:rsid w:val="006B433C"/>
    <w:rsid w:val="006B455F"/>
    <w:rsid w:val="006B465D"/>
    <w:rsid w:val="006B4EEC"/>
    <w:rsid w:val="006B506C"/>
    <w:rsid w:val="006B5A25"/>
    <w:rsid w:val="006B5EB3"/>
    <w:rsid w:val="006B63FF"/>
    <w:rsid w:val="006B7821"/>
    <w:rsid w:val="006B793E"/>
    <w:rsid w:val="006B7D5F"/>
    <w:rsid w:val="006B7D79"/>
    <w:rsid w:val="006B7F77"/>
    <w:rsid w:val="006C02D8"/>
    <w:rsid w:val="006C0815"/>
    <w:rsid w:val="006C0D84"/>
    <w:rsid w:val="006C2052"/>
    <w:rsid w:val="006C24F4"/>
    <w:rsid w:val="006C350C"/>
    <w:rsid w:val="006C35E3"/>
    <w:rsid w:val="006C37B1"/>
    <w:rsid w:val="006C3811"/>
    <w:rsid w:val="006C3B38"/>
    <w:rsid w:val="006C3C18"/>
    <w:rsid w:val="006C4424"/>
    <w:rsid w:val="006C469F"/>
    <w:rsid w:val="006C5A11"/>
    <w:rsid w:val="006C5E4B"/>
    <w:rsid w:val="006C60A4"/>
    <w:rsid w:val="006C61BF"/>
    <w:rsid w:val="006C6418"/>
    <w:rsid w:val="006C6656"/>
    <w:rsid w:val="006C6FD3"/>
    <w:rsid w:val="006C7105"/>
    <w:rsid w:val="006C73A0"/>
    <w:rsid w:val="006C78E8"/>
    <w:rsid w:val="006D0A6D"/>
    <w:rsid w:val="006D18A7"/>
    <w:rsid w:val="006D21AB"/>
    <w:rsid w:val="006D25AA"/>
    <w:rsid w:val="006D2AD0"/>
    <w:rsid w:val="006D2C18"/>
    <w:rsid w:val="006D3454"/>
    <w:rsid w:val="006D3A59"/>
    <w:rsid w:val="006D3AEC"/>
    <w:rsid w:val="006D3E82"/>
    <w:rsid w:val="006D3F92"/>
    <w:rsid w:val="006D4030"/>
    <w:rsid w:val="006D4632"/>
    <w:rsid w:val="006D466B"/>
    <w:rsid w:val="006D4C56"/>
    <w:rsid w:val="006D5659"/>
    <w:rsid w:val="006D5A39"/>
    <w:rsid w:val="006D6393"/>
    <w:rsid w:val="006D6554"/>
    <w:rsid w:val="006D6656"/>
    <w:rsid w:val="006D6EFC"/>
    <w:rsid w:val="006D70FE"/>
    <w:rsid w:val="006D795D"/>
    <w:rsid w:val="006D7ADF"/>
    <w:rsid w:val="006E039B"/>
    <w:rsid w:val="006E03F4"/>
    <w:rsid w:val="006E1396"/>
    <w:rsid w:val="006E1E73"/>
    <w:rsid w:val="006E2109"/>
    <w:rsid w:val="006E25DF"/>
    <w:rsid w:val="006E267C"/>
    <w:rsid w:val="006E26C3"/>
    <w:rsid w:val="006E27A9"/>
    <w:rsid w:val="006E294C"/>
    <w:rsid w:val="006E2985"/>
    <w:rsid w:val="006E2BB3"/>
    <w:rsid w:val="006E2E86"/>
    <w:rsid w:val="006E324A"/>
    <w:rsid w:val="006E330E"/>
    <w:rsid w:val="006E3C1D"/>
    <w:rsid w:val="006E3C22"/>
    <w:rsid w:val="006E41D3"/>
    <w:rsid w:val="006E4239"/>
    <w:rsid w:val="006E447E"/>
    <w:rsid w:val="006E5EC5"/>
    <w:rsid w:val="006E62D3"/>
    <w:rsid w:val="006E69E1"/>
    <w:rsid w:val="006E6D71"/>
    <w:rsid w:val="006E6FBC"/>
    <w:rsid w:val="006E7172"/>
    <w:rsid w:val="006E76BC"/>
    <w:rsid w:val="006F0257"/>
    <w:rsid w:val="006F0490"/>
    <w:rsid w:val="006F0A60"/>
    <w:rsid w:val="006F0D1C"/>
    <w:rsid w:val="006F0DBD"/>
    <w:rsid w:val="006F1138"/>
    <w:rsid w:val="006F161C"/>
    <w:rsid w:val="006F1EC7"/>
    <w:rsid w:val="006F1F0C"/>
    <w:rsid w:val="006F2FFA"/>
    <w:rsid w:val="006F36C6"/>
    <w:rsid w:val="006F3CED"/>
    <w:rsid w:val="006F3D26"/>
    <w:rsid w:val="006F3EF5"/>
    <w:rsid w:val="006F41E9"/>
    <w:rsid w:val="006F4917"/>
    <w:rsid w:val="006F5636"/>
    <w:rsid w:val="006F57BA"/>
    <w:rsid w:val="006F59DB"/>
    <w:rsid w:val="006F59EE"/>
    <w:rsid w:val="006F5DCE"/>
    <w:rsid w:val="006F6DF5"/>
    <w:rsid w:val="006F6E81"/>
    <w:rsid w:val="006F7167"/>
    <w:rsid w:val="006F731F"/>
    <w:rsid w:val="006F7A49"/>
    <w:rsid w:val="006F7EAB"/>
    <w:rsid w:val="00700329"/>
    <w:rsid w:val="00700680"/>
    <w:rsid w:val="00700CB8"/>
    <w:rsid w:val="007011B7"/>
    <w:rsid w:val="00701327"/>
    <w:rsid w:val="00701C20"/>
    <w:rsid w:val="00701C9B"/>
    <w:rsid w:val="00701EB2"/>
    <w:rsid w:val="00702A9D"/>
    <w:rsid w:val="00702CD9"/>
    <w:rsid w:val="0070344A"/>
    <w:rsid w:val="00703775"/>
    <w:rsid w:val="007037AB"/>
    <w:rsid w:val="00703800"/>
    <w:rsid w:val="00703ECA"/>
    <w:rsid w:val="00704228"/>
    <w:rsid w:val="007045FC"/>
    <w:rsid w:val="00704796"/>
    <w:rsid w:val="007049ED"/>
    <w:rsid w:val="00704A67"/>
    <w:rsid w:val="00704B69"/>
    <w:rsid w:val="00704BE8"/>
    <w:rsid w:val="0070551E"/>
    <w:rsid w:val="007057F5"/>
    <w:rsid w:val="00705E6A"/>
    <w:rsid w:val="007062B3"/>
    <w:rsid w:val="00706379"/>
    <w:rsid w:val="0070662B"/>
    <w:rsid w:val="007067A3"/>
    <w:rsid w:val="00706EAF"/>
    <w:rsid w:val="007074AF"/>
    <w:rsid w:val="00707616"/>
    <w:rsid w:val="00707695"/>
    <w:rsid w:val="00707905"/>
    <w:rsid w:val="00707D5F"/>
    <w:rsid w:val="00707DF0"/>
    <w:rsid w:val="00710190"/>
    <w:rsid w:val="0071029D"/>
    <w:rsid w:val="00710602"/>
    <w:rsid w:val="00711206"/>
    <w:rsid w:val="007112FA"/>
    <w:rsid w:val="00711357"/>
    <w:rsid w:val="0071196B"/>
    <w:rsid w:val="00711E2A"/>
    <w:rsid w:val="0071205A"/>
    <w:rsid w:val="007123F7"/>
    <w:rsid w:val="00712702"/>
    <w:rsid w:val="00712B26"/>
    <w:rsid w:val="00712BC4"/>
    <w:rsid w:val="007136E6"/>
    <w:rsid w:val="00713A3E"/>
    <w:rsid w:val="0071521E"/>
    <w:rsid w:val="007153BE"/>
    <w:rsid w:val="00715588"/>
    <w:rsid w:val="007156CF"/>
    <w:rsid w:val="00715819"/>
    <w:rsid w:val="00716213"/>
    <w:rsid w:val="007162A6"/>
    <w:rsid w:val="00716388"/>
    <w:rsid w:val="007168F6"/>
    <w:rsid w:val="00716A4D"/>
    <w:rsid w:val="00716BC5"/>
    <w:rsid w:val="00716CBE"/>
    <w:rsid w:val="007171E4"/>
    <w:rsid w:val="0071734B"/>
    <w:rsid w:val="007178EA"/>
    <w:rsid w:val="007178F6"/>
    <w:rsid w:val="00717950"/>
    <w:rsid w:val="00717A0C"/>
    <w:rsid w:val="00717D5E"/>
    <w:rsid w:val="007203EF"/>
    <w:rsid w:val="00720A31"/>
    <w:rsid w:val="00720C5E"/>
    <w:rsid w:val="00720CD5"/>
    <w:rsid w:val="007210B2"/>
    <w:rsid w:val="007210D9"/>
    <w:rsid w:val="00721163"/>
    <w:rsid w:val="007214C0"/>
    <w:rsid w:val="0072204B"/>
    <w:rsid w:val="00722523"/>
    <w:rsid w:val="00722996"/>
    <w:rsid w:val="00722B65"/>
    <w:rsid w:val="00722B7F"/>
    <w:rsid w:val="00723438"/>
    <w:rsid w:val="007237A8"/>
    <w:rsid w:val="007238F9"/>
    <w:rsid w:val="00723A4B"/>
    <w:rsid w:val="00723B51"/>
    <w:rsid w:val="00723F5B"/>
    <w:rsid w:val="007241F4"/>
    <w:rsid w:val="00724974"/>
    <w:rsid w:val="0072520E"/>
    <w:rsid w:val="007254CF"/>
    <w:rsid w:val="00725FA3"/>
    <w:rsid w:val="00727056"/>
    <w:rsid w:val="00727E3D"/>
    <w:rsid w:val="007301EB"/>
    <w:rsid w:val="0073074E"/>
    <w:rsid w:val="00731057"/>
    <w:rsid w:val="007313B7"/>
    <w:rsid w:val="00731767"/>
    <w:rsid w:val="0073189D"/>
    <w:rsid w:val="00731BEF"/>
    <w:rsid w:val="00731E45"/>
    <w:rsid w:val="0073285C"/>
    <w:rsid w:val="007328B5"/>
    <w:rsid w:val="00732987"/>
    <w:rsid w:val="00732B03"/>
    <w:rsid w:val="00732DAC"/>
    <w:rsid w:val="00732DE5"/>
    <w:rsid w:val="00732FAF"/>
    <w:rsid w:val="007331A9"/>
    <w:rsid w:val="007332AB"/>
    <w:rsid w:val="00733943"/>
    <w:rsid w:val="00734188"/>
    <w:rsid w:val="00734561"/>
    <w:rsid w:val="0073460F"/>
    <w:rsid w:val="00734BB5"/>
    <w:rsid w:val="00735607"/>
    <w:rsid w:val="00735CE8"/>
    <w:rsid w:val="00735D10"/>
    <w:rsid w:val="00735D2A"/>
    <w:rsid w:val="00736272"/>
    <w:rsid w:val="00736408"/>
    <w:rsid w:val="00736805"/>
    <w:rsid w:val="00736B29"/>
    <w:rsid w:val="00740A04"/>
    <w:rsid w:val="00740A0F"/>
    <w:rsid w:val="00740D97"/>
    <w:rsid w:val="00740F91"/>
    <w:rsid w:val="00741100"/>
    <w:rsid w:val="00741359"/>
    <w:rsid w:val="00741DDF"/>
    <w:rsid w:val="00741E11"/>
    <w:rsid w:val="00742331"/>
    <w:rsid w:val="00742522"/>
    <w:rsid w:val="007429E5"/>
    <w:rsid w:val="00742A52"/>
    <w:rsid w:val="007432A5"/>
    <w:rsid w:val="00743B5C"/>
    <w:rsid w:val="00744038"/>
    <w:rsid w:val="00745209"/>
    <w:rsid w:val="00745546"/>
    <w:rsid w:val="00745B34"/>
    <w:rsid w:val="00745E1A"/>
    <w:rsid w:val="007463E6"/>
    <w:rsid w:val="00746663"/>
    <w:rsid w:val="00746A00"/>
    <w:rsid w:val="00746DB6"/>
    <w:rsid w:val="0074729E"/>
    <w:rsid w:val="0074751B"/>
    <w:rsid w:val="007477D7"/>
    <w:rsid w:val="00747BCD"/>
    <w:rsid w:val="007500E6"/>
    <w:rsid w:val="007503A7"/>
    <w:rsid w:val="007503AB"/>
    <w:rsid w:val="007505E7"/>
    <w:rsid w:val="007506A5"/>
    <w:rsid w:val="00750A9A"/>
    <w:rsid w:val="00750AE1"/>
    <w:rsid w:val="00750BCB"/>
    <w:rsid w:val="00750C7E"/>
    <w:rsid w:val="00750D72"/>
    <w:rsid w:val="00751383"/>
    <w:rsid w:val="00751518"/>
    <w:rsid w:val="00751A3B"/>
    <w:rsid w:val="00751DF9"/>
    <w:rsid w:val="00751EF5"/>
    <w:rsid w:val="00751FD5"/>
    <w:rsid w:val="0075273F"/>
    <w:rsid w:val="007528B5"/>
    <w:rsid w:val="00752E4D"/>
    <w:rsid w:val="00752ED3"/>
    <w:rsid w:val="00752F91"/>
    <w:rsid w:val="0075332B"/>
    <w:rsid w:val="007539DE"/>
    <w:rsid w:val="0075405E"/>
    <w:rsid w:val="0075484F"/>
    <w:rsid w:val="00754883"/>
    <w:rsid w:val="00754920"/>
    <w:rsid w:val="00755067"/>
    <w:rsid w:val="00755544"/>
    <w:rsid w:val="007556B7"/>
    <w:rsid w:val="00755AB4"/>
    <w:rsid w:val="00755BAD"/>
    <w:rsid w:val="00756125"/>
    <w:rsid w:val="00756141"/>
    <w:rsid w:val="00756DBB"/>
    <w:rsid w:val="0075769A"/>
    <w:rsid w:val="007579D2"/>
    <w:rsid w:val="00757A77"/>
    <w:rsid w:val="00757F19"/>
    <w:rsid w:val="00757FC6"/>
    <w:rsid w:val="007602EF"/>
    <w:rsid w:val="0076052A"/>
    <w:rsid w:val="00760B21"/>
    <w:rsid w:val="00761106"/>
    <w:rsid w:val="007614CA"/>
    <w:rsid w:val="00761553"/>
    <w:rsid w:val="0076156C"/>
    <w:rsid w:val="00762638"/>
    <w:rsid w:val="007626F4"/>
    <w:rsid w:val="00762A79"/>
    <w:rsid w:val="00763076"/>
    <w:rsid w:val="0076378B"/>
    <w:rsid w:val="00763A13"/>
    <w:rsid w:val="00763DCC"/>
    <w:rsid w:val="00763DD8"/>
    <w:rsid w:val="00765384"/>
    <w:rsid w:val="00765BB8"/>
    <w:rsid w:val="00765D8E"/>
    <w:rsid w:val="00765ED8"/>
    <w:rsid w:val="00766946"/>
    <w:rsid w:val="00766F08"/>
    <w:rsid w:val="00766F0C"/>
    <w:rsid w:val="007672C2"/>
    <w:rsid w:val="0076781C"/>
    <w:rsid w:val="00767FA4"/>
    <w:rsid w:val="007704E9"/>
    <w:rsid w:val="007704F8"/>
    <w:rsid w:val="00770517"/>
    <w:rsid w:val="007708A3"/>
    <w:rsid w:val="00770BDC"/>
    <w:rsid w:val="00770E65"/>
    <w:rsid w:val="00771515"/>
    <w:rsid w:val="007718B4"/>
    <w:rsid w:val="00771AFB"/>
    <w:rsid w:val="00771FA6"/>
    <w:rsid w:val="007723CC"/>
    <w:rsid w:val="007724BD"/>
    <w:rsid w:val="00772855"/>
    <w:rsid w:val="00772ACF"/>
    <w:rsid w:val="00772B56"/>
    <w:rsid w:val="00772C25"/>
    <w:rsid w:val="00772F8D"/>
    <w:rsid w:val="007730B7"/>
    <w:rsid w:val="00773566"/>
    <w:rsid w:val="00773BCB"/>
    <w:rsid w:val="00774577"/>
    <w:rsid w:val="007746FD"/>
    <w:rsid w:val="00774A19"/>
    <w:rsid w:val="00774F13"/>
    <w:rsid w:val="007751D3"/>
    <w:rsid w:val="00775A16"/>
    <w:rsid w:val="00775A82"/>
    <w:rsid w:val="00775B8E"/>
    <w:rsid w:val="00775EBA"/>
    <w:rsid w:val="00775F3F"/>
    <w:rsid w:val="007761A5"/>
    <w:rsid w:val="00776246"/>
    <w:rsid w:val="00777016"/>
    <w:rsid w:val="00777B1C"/>
    <w:rsid w:val="00777CD8"/>
    <w:rsid w:val="00780290"/>
    <w:rsid w:val="007802E5"/>
    <w:rsid w:val="007810C0"/>
    <w:rsid w:val="0078126E"/>
    <w:rsid w:val="0078152A"/>
    <w:rsid w:val="00781AB2"/>
    <w:rsid w:val="00781C86"/>
    <w:rsid w:val="00781F32"/>
    <w:rsid w:val="00782073"/>
    <w:rsid w:val="00782C86"/>
    <w:rsid w:val="0078378B"/>
    <w:rsid w:val="007837FC"/>
    <w:rsid w:val="00783825"/>
    <w:rsid w:val="00783F9E"/>
    <w:rsid w:val="00784032"/>
    <w:rsid w:val="00784730"/>
    <w:rsid w:val="00784863"/>
    <w:rsid w:val="00784AEF"/>
    <w:rsid w:val="00784B67"/>
    <w:rsid w:val="00784DBB"/>
    <w:rsid w:val="00785102"/>
    <w:rsid w:val="0078540D"/>
    <w:rsid w:val="00785685"/>
    <w:rsid w:val="00785A2A"/>
    <w:rsid w:val="00785F4F"/>
    <w:rsid w:val="00785FC7"/>
    <w:rsid w:val="00786063"/>
    <w:rsid w:val="007860CA"/>
    <w:rsid w:val="00786A8A"/>
    <w:rsid w:val="00786C50"/>
    <w:rsid w:val="00787204"/>
    <w:rsid w:val="00787810"/>
    <w:rsid w:val="00787B18"/>
    <w:rsid w:val="007902C3"/>
    <w:rsid w:val="00790432"/>
    <w:rsid w:val="00790528"/>
    <w:rsid w:val="00790889"/>
    <w:rsid w:val="00790ABA"/>
    <w:rsid w:val="00790C7D"/>
    <w:rsid w:val="00790C9D"/>
    <w:rsid w:val="007910A7"/>
    <w:rsid w:val="00791A63"/>
    <w:rsid w:val="00791FD3"/>
    <w:rsid w:val="007922E0"/>
    <w:rsid w:val="007926C5"/>
    <w:rsid w:val="007928CD"/>
    <w:rsid w:val="00792E30"/>
    <w:rsid w:val="00793540"/>
    <w:rsid w:val="007936AC"/>
    <w:rsid w:val="00793BF7"/>
    <w:rsid w:val="007943E6"/>
    <w:rsid w:val="00794461"/>
    <w:rsid w:val="00794829"/>
    <w:rsid w:val="00794DF6"/>
    <w:rsid w:val="00794FF6"/>
    <w:rsid w:val="00795159"/>
    <w:rsid w:val="00795505"/>
    <w:rsid w:val="00795BBB"/>
    <w:rsid w:val="00795D4A"/>
    <w:rsid w:val="00795E88"/>
    <w:rsid w:val="00796D54"/>
    <w:rsid w:val="00797B67"/>
    <w:rsid w:val="007A01CE"/>
    <w:rsid w:val="007A0316"/>
    <w:rsid w:val="007A07F2"/>
    <w:rsid w:val="007A09EE"/>
    <w:rsid w:val="007A1157"/>
    <w:rsid w:val="007A1365"/>
    <w:rsid w:val="007A15D3"/>
    <w:rsid w:val="007A1CCE"/>
    <w:rsid w:val="007A1E93"/>
    <w:rsid w:val="007A30F3"/>
    <w:rsid w:val="007A39D4"/>
    <w:rsid w:val="007A3E07"/>
    <w:rsid w:val="007A3ECC"/>
    <w:rsid w:val="007A42CF"/>
    <w:rsid w:val="007A471F"/>
    <w:rsid w:val="007A4868"/>
    <w:rsid w:val="007A4C7C"/>
    <w:rsid w:val="007A5380"/>
    <w:rsid w:val="007A579B"/>
    <w:rsid w:val="007A58A4"/>
    <w:rsid w:val="007A5A69"/>
    <w:rsid w:val="007A5EBC"/>
    <w:rsid w:val="007A5F0B"/>
    <w:rsid w:val="007A6339"/>
    <w:rsid w:val="007A6CE2"/>
    <w:rsid w:val="007A7192"/>
    <w:rsid w:val="007A797A"/>
    <w:rsid w:val="007B016E"/>
    <w:rsid w:val="007B02A0"/>
    <w:rsid w:val="007B05B0"/>
    <w:rsid w:val="007B0A9D"/>
    <w:rsid w:val="007B0CF8"/>
    <w:rsid w:val="007B1094"/>
    <w:rsid w:val="007B10C9"/>
    <w:rsid w:val="007B1119"/>
    <w:rsid w:val="007B12E2"/>
    <w:rsid w:val="007B12E8"/>
    <w:rsid w:val="007B158F"/>
    <w:rsid w:val="007B1956"/>
    <w:rsid w:val="007B1A3E"/>
    <w:rsid w:val="007B1DAE"/>
    <w:rsid w:val="007B2924"/>
    <w:rsid w:val="007B2D41"/>
    <w:rsid w:val="007B35AC"/>
    <w:rsid w:val="007B38DE"/>
    <w:rsid w:val="007B3F96"/>
    <w:rsid w:val="007B4339"/>
    <w:rsid w:val="007B4A2F"/>
    <w:rsid w:val="007B4B0D"/>
    <w:rsid w:val="007B55F4"/>
    <w:rsid w:val="007B5D5A"/>
    <w:rsid w:val="007B7088"/>
    <w:rsid w:val="007B715E"/>
    <w:rsid w:val="007B7197"/>
    <w:rsid w:val="007B7300"/>
    <w:rsid w:val="007B7492"/>
    <w:rsid w:val="007B79AB"/>
    <w:rsid w:val="007B7BB1"/>
    <w:rsid w:val="007B7BCD"/>
    <w:rsid w:val="007B7D10"/>
    <w:rsid w:val="007B7F2D"/>
    <w:rsid w:val="007B7FF5"/>
    <w:rsid w:val="007C03E5"/>
    <w:rsid w:val="007C099D"/>
    <w:rsid w:val="007C0A3C"/>
    <w:rsid w:val="007C0F1B"/>
    <w:rsid w:val="007C1077"/>
    <w:rsid w:val="007C1124"/>
    <w:rsid w:val="007C177B"/>
    <w:rsid w:val="007C1B09"/>
    <w:rsid w:val="007C1ED1"/>
    <w:rsid w:val="007C2055"/>
    <w:rsid w:val="007C2658"/>
    <w:rsid w:val="007C366B"/>
    <w:rsid w:val="007C37D6"/>
    <w:rsid w:val="007C3B33"/>
    <w:rsid w:val="007C3ED9"/>
    <w:rsid w:val="007C40E8"/>
    <w:rsid w:val="007C440C"/>
    <w:rsid w:val="007C48EA"/>
    <w:rsid w:val="007C4BC1"/>
    <w:rsid w:val="007C4C00"/>
    <w:rsid w:val="007C4D73"/>
    <w:rsid w:val="007C502E"/>
    <w:rsid w:val="007C58B9"/>
    <w:rsid w:val="007C5955"/>
    <w:rsid w:val="007C5FC2"/>
    <w:rsid w:val="007C6117"/>
    <w:rsid w:val="007C6179"/>
    <w:rsid w:val="007C63FF"/>
    <w:rsid w:val="007C64E5"/>
    <w:rsid w:val="007C6711"/>
    <w:rsid w:val="007C6C03"/>
    <w:rsid w:val="007C6C07"/>
    <w:rsid w:val="007C797B"/>
    <w:rsid w:val="007C7C26"/>
    <w:rsid w:val="007D04C9"/>
    <w:rsid w:val="007D0E2D"/>
    <w:rsid w:val="007D1372"/>
    <w:rsid w:val="007D1379"/>
    <w:rsid w:val="007D152C"/>
    <w:rsid w:val="007D1618"/>
    <w:rsid w:val="007D1998"/>
    <w:rsid w:val="007D1F4F"/>
    <w:rsid w:val="007D2098"/>
    <w:rsid w:val="007D21BE"/>
    <w:rsid w:val="007D23B2"/>
    <w:rsid w:val="007D2769"/>
    <w:rsid w:val="007D2B25"/>
    <w:rsid w:val="007D2DCA"/>
    <w:rsid w:val="007D333F"/>
    <w:rsid w:val="007D349A"/>
    <w:rsid w:val="007D470E"/>
    <w:rsid w:val="007D4BA6"/>
    <w:rsid w:val="007D4FE3"/>
    <w:rsid w:val="007D59C3"/>
    <w:rsid w:val="007D5A94"/>
    <w:rsid w:val="007D5AD8"/>
    <w:rsid w:val="007D60CB"/>
    <w:rsid w:val="007D7191"/>
    <w:rsid w:val="007D7193"/>
    <w:rsid w:val="007D71D1"/>
    <w:rsid w:val="007E01EE"/>
    <w:rsid w:val="007E0626"/>
    <w:rsid w:val="007E08E7"/>
    <w:rsid w:val="007E0DAE"/>
    <w:rsid w:val="007E1160"/>
    <w:rsid w:val="007E1344"/>
    <w:rsid w:val="007E1808"/>
    <w:rsid w:val="007E2379"/>
    <w:rsid w:val="007E237E"/>
    <w:rsid w:val="007E2BA1"/>
    <w:rsid w:val="007E2C30"/>
    <w:rsid w:val="007E2C87"/>
    <w:rsid w:val="007E3018"/>
    <w:rsid w:val="007E30D3"/>
    <w:rsid w:val="007E34E4"/>
    <w:rsid w:val="007E3767"/>
    <w:rsid w:val="007E44B9"/>
    <w:rsid w:val="007E4C88"/>
    <w:rsid w:val="007E4F9C"/>
    <w:rsid w:val="007E4FDD"/>
    <w:rsid w:val="007E5011"/>
    <w:rsid w:val="007E50E5"/>
    <w:rsid w:val="007E52CA"/>
    <w:rsid w:val="007E5393"/>
    <w:rsid w:val="007E5453"/>
    <w:rsid w:val="007E5494"/>
    <w:rsid w:val="007E5543"/>
    <w:rsid w:val="007E58DD"/>
    <w:rsid w:val="007E5DA2"/>
    <w:rsid w:val="007E5DEF"/>
    <w:rsid w:val="007E5EC3"/>
    <w:rsid w:val="007E5EDA"/>
    <w:rsid w:val="007E633B"/>
    <w:rsid w:val="007E64F0"/>
    <w:rsid w:val="007E68BD"/>
    <w:rsid w:val="007E69F1"/>
    <w:rsid w:val="007E6D8F"/>
    <w:rsid w:val="007E7026"/>
    <w:rsid w:val="007E724E"/>
    <w:rsid w:val="007E77B1"/>
    <w:rsid w:val="007E7A9B"/>
    <w:rsid w:val="007E7ABE"/>
    <w:rsid w:val="007E7C63"/>
    <w:rsid w:val="007E7FDF"/>
    <w:rsid w:val="007F00EE"/>
    <w:rsid w:val="007F023C"/>
    <w:rsid w:val="007F031E"/>
    <w:rsid w:val="007F0493"/>
    <w:rsid w:val="007F0786"/>
    <w:rsid w:val="007F0B51"/>
    <w:rsid w:val="007F0C60"/>
    <w:rsid w:val="007F110A"/>
    <w:rsid w:val="007F143C"/>
    <w:rsid w:val="007F18C7"/>
    <w:rsid w:val="007F19B9"/>
    <w:rsid w:val="007F1CD7"/>
    <w:rsid w:val="007F225C"/>
    <w:rsid w:val="007F267B"/>
    <w:rsid w:val="007F2BC8"/>
    <w:rsid w:val="007F2EDB"/>
    <w:rsid w:val="007F3415"/>
    <w:rsid w:val="007F365F"/>
    <w:rsid w:val="007F3CFC"/>
    <w:rsid w:val="007F42D6"/>
    <w:rsid w:val="007F4441"/>
    <w:rsid w:val="007F4955"/>
    <w:rsid w:val="007F5077"/>
    <w:rsid w:val="007F50AB"/>
    <w:rsid w:val="007F5295"/>
    <w:rsid w:val="007F5792"/>
    <w:rsid w:val="007F5887"/>
    <w:rsid w:val="007F5BD5"/>
    <w:rsid w:val="007F5F27"/>
    <w:rsid w:val="007F6BAF"/>
    <w:rsid w:val="007F6E92"/>
    <w:rsid w:val="007F703C"/>
    <w:rsid w:val="007F748E"/>
    <w:rsid w:val="007F771D"/>
    <w:rsid w:val="007F7BEB"/>
    <w:rsid w:val="007F7CA2"/>
    <w:rsid w:val="008007A8"/>
    <w:rsid w:val="00800854"/>
    <w:rsid w:val="00800F8D"/>
    <w:rsid w:val="008012CA"/>
    <w:rsid w:val="008017FE"/>
    <w:rsid w:val="00801A99"/>
    <w:rsid w:val="00801DFE"/>
    <w:rsid w:val="00802B3D"/>
    <w:rsid w:val="00802E07"/>
    <w:rsid w:val="00802E89"/>
    <w:rsid w:val="008033FE"/>
    <w:rsid w:val="00803539"/>
    <w:rsid w:val="00803D7E"/>
    <w:rsid w:val="00803D8B"/>
    <w:rsid w:val="00803E00"/>
    <w:rsid w:val="008040FD"/>
    <w:rsid w:val="008041D5"/>
    <w:rsid w:val="0080474C"/>
    <w:rsid w:val="0080493A"/>
    <w:rsid w:val="00804BC8"/>
    <w:rsid w:val="00804C46"/>
    <w:rsid w:val="008053B5"/>
    <w:rsid w:val="00805E2F"/>
    <w:rsid w:val="0080660B"/>
    <w:rsid w:val="0080668C"/>
    <w:rsid w:val="00806A11"/>
    <w:rsid w:val="008072A7"/>
    <w:rsid w:val="0080799C"/>
    <w:rsid w:val="00807A7F"/>
    <w:rsid w:val="008107C5"/>
    <w:rsid w:val="00810E0F"/>
    <w:rsid w:val="0081112C"/>
    <w:rsid w:val="00811449"/>
    <w:rsid w:val="008116D7"/>
    <w:rsid w:val="00811767"/>
    <w:rsid w:val="0081190F"/>
    <w:rsid w:val="00812663"/>
    <w:rsid w:val="00813040"/>
    <w:rsid w:val="0081329B"/>
    <w:rsid w:val="00813FF8"/>
    <w:rsid w:val="008140FD"/>
    <w:rsid w:val="00814CA7"/>
    <w:rsid w:val="00814FAF"/>
    <w:rsid w:val="0081506D"/>
    <w:rsid w:val="0081536F"/>
    <w:rsid w:val="008157EA"/>
    <w:rsid w:val="00816636"/>
    <w:rsid w:val="00816930"/>
    <w:rsid w:val="0081719A"/>
    <w:rsid w:val="00817CE7"/>
    <w:rsid w:val="0082018B"/>
    <w:rsid w:val="00820227"/>
    <w:rsid w:val="00820309"/>
    <w:rsid w:val="00820335"/>
    <w:rsid w:val="00820523"/>
    <w:rsid w:val="0082069E"/>
    <w:rsid w:val="00820F58"/>
    <w:rsid w:val="00821221"/>
    <w:rsid w:val="0082132F"/>
    <w:rsid w:val="00821916"/>
    <w:rsid w:val="00821F7D"/>
    <w:rsid w:val="008222F2"/>
    <w:rsid w:val="00822827"/>
    <w:rsid w:val="0082304B"/>
    <w:rsid w:val="0082375C"/>
    <w:rsid w:val="0082394F"/>
    <w:rsid w:val="00823D53"/>
    <w:rsid w:val="00824123"/>
    <w:rsid w:val="008245B3"/>
    <w:rsid w:val="00824693"/>
    <w:rsid w:val="00824C63"/>
    <w:rsid w:val="008253B9"/>
    <w:rsid w:val="008254D3"/>
    <w:rsid w:val="008255B0"/>
    <w:rsid w:val="00825751"/>
    <w:rsid w:val="00825835"/>
    <w:rsid w:val="008258F9"/>
    <w:rsid w:val="00825F45"/>
    <w:rsid w:val="00825FCB"/>
    <w:rsid w:val="0082626A"/>
    <w:rsid w:val="0082640D"/>
    <w:rsid w:val="008264E7"/>
    <w:rsid w:val="0082693F"/>
    <w:rsid w:val="0082696A"/>
    <w:rsid w:val="00826999"/>
    <w:rsid w:val="00826A1B"/>
    <w:rsid w:val="00826B9D"/>
    <w:rsid w:val="00827874"/>
    <w:rsid w:val="00827BD1"/>
    <w:rsid w:val="00827C40"/>
    <w:rsid w:val="00830171"/>
    <w:rsid w:val="00830879"/>
    <w:rsid w:val="00830AC4"/>
    <w:rsid w:val="00830BEF"/>
    <w:rsid w:val="00830F19"/>
    <w:rsid w:val="008310BB"/>
    <w:rsid w:val="00831639"/>
    <w:rsid w:val="00831954"/>
    <w:rsid w:val="00831B51"/>
    <w:rsid w:val="00831BDA"/>
    <w:rsid w:val="00832494"/>
    <w:rsid w:val="008328A4"/>
    <w:rsid w:val="00832902"/>
    <w:rsid w:val="00833295"/>
    <w:rsid w:val="008333C3"/>
    <w:rsid w:val="00833820"/>
    <w:rsid w:val="00833B0D"/>
    <w:rsid w:val="00833E1A"/>
    <w:rsid w:val="0083432F"/>
    <w:rsid w:val="008346F8"/>
    <w:rsid w:val="008347E4"/>
    <w:rsid w:val="00834896"/>
    <w:rsid w:val="00834B12"/>
    <w:rsid w:val="00834B63"/>
    <w:rsid w:val="008352D7"/>
    <w:rsid w:val="00835454"/>
    <w:rsid w:val="00835598"/>
    <w:rsid w:val="0083574E"/>
    <w:rsid w:val="0083590E"/>
    <w:rsid w:val="00835C51"/>
    <w:rsid w:val="00835DC0"/>
    <w:rsid w:val="008361D2"/>
    <w:rsid w:val="00836220"/>
    <w:rsid w:val="0083626B"/>
    <w:rsid w:val="008368CE"/>
    <w:rsid w:val="00836F27"/>
    <w:rsid w:val="0083728F"/>
    <w:rsid w:val="00840150"/>
    <w:rsid w:val="0084026C"/>
    <w:rsid w:val="00840492"/>
    <w:rsid w:val="00841DF7"/>
    <w:rsid w:val="00842D0F"/>
    <w:rsid w:val="00843116"/>
    <w:rsid w:val="008431C8"/>
    <w:rsid w:val="008432C7"/>
    <w:rsid w:val="0084334E"/>
    <w:rsid w:val="00843E5E"/>
    <w:rsid w:val="00844030"/>
    <w:rsid w:val="008440B1"/>
    <w:rsid w:val="008447AD"/>
    <w:rsid w:val="00844DF2"/>
    <w:rsid w:val="00845575"/>
    <w:rsid w:val="008456D1"/>
    <w:rsid w:val="00845E5D"/>
    <w:rsid w:val="00845E8E"/>
    <w:rsid w:val="008462E5"/>
    <w:rsid w:val="00846368"/>
    <w:rsid w:val="008466BE"/>
    <w:rsid w:val="0084675A"/>
    <w:rsid w:val="008467C6"/>
    <w:rsid w:val="00846980"/>
    <w:rsid w:val="008470B7"/>
    <w:rsid w:val="00847BC3"/>
    <w:rsid w:val="00847EAB"/>
    <w:rsid w:val="00850FD6"/>
    <w:rsid w:val="00851438"/>
    <w:rsid w:val="00851732"/>
    <w:rsid w:val="00851A92"/>
    <w:rsid w:val="00851F49"/>
    <w:rsid w:val="00852656"/>
    <w:rsid w:val="00852DD8"/>
    <w:rsid w:val="0085333B"/>
    <w:rsid w:val="00853F94"/>
    <w:rsid w:val="00854249"/>
    <w:rsid w:val="0085463A"/>
    <w:rsid w:val="008546D3"/>
    <w:rsid w:val="00854EBA"/>
    <w:rsid w:val="00854FEC"/>
    <w:rsid w:val="0085553F"/>
    <w:rsid w:val="008556BB"/>
    <w:rsid w:val="00855753"/>
    <w:rsid w:val="00855B2D"/>
    <w:rsid w:val="00855DB0"/>
    <w:rsid w:val="008563B6"/>
    <w:rsid w:val="0085644B"/>
    <w:rsid w:val="0085648D"/>
    <w:rsid w:val="0085721C"/>
    <w:rsid w:val="00857673"/>
    <w:rsid w:val="00857AC5"/>
    <w:rsid w:val="00857BB1"/>
    <w:rsid w:val="00857BCA"/>
    <w:rsid w:val="00857C74"/>
    <w:rsid w:val="008604F8"/>
    <w:rsid w:val="008609FA"/>
    <w:rsid w:val="00860DFC"/>
    <w:rsid w:val="00861222"/>
    <w:rsid w:val="00861DF3"/>
    <w:rsid w:val="00861E6B"/>
    <w:rsid w:val="008626B1"/>
    <w:rsid w:val="008628D3"/>
    <w:rsid w:val="00862A69"/>
    <w:rsid w:val="00862B9C"/>
    <w:rsid w:val="00862BC0"/>
    <w:rsid w:val="00862E5E"/>
    <w:rsid w:val="00863654"/>
    <w:rsid w:val="008636F1"/>
    <w:rsid w:val="0086378E"/>
    <w:rsid w:val="008639CA"/>
    <w:rsid w:val="00863B28"/>
    <w:rsid w:val="00864075"/>
    <w:rsid w:val="00864233"/>
    <w:rsid w:val="00864633"/>
    <w:rsid w:val="008646F3"/>
    <w:rsid w:val="00864D02"/>
    <w:rsid w:val="00865117"/>
    <w:rsid w:val="008653AD"/>
    <w:rsid w:val="008656EE"/>
    <w:rsid w:val="0086575A"/>
    <w:rsid w:val="008658EC"/>
    <w:rsid w:val="00865B1B"/>
    <w:rsid w:val="00865B8D"/>
    <w:rsid w:val="00865DB4"/>
    <w:rsid w:val="00865F3E"/>
    <w:rsid w:val="00865F75"/>
    <w:rsid w:val="0086623D"/>
    <w:rsid w:val="008665ED"/>
    <w:rsid w:val="008666AB"/>
    <w:rsid w:val="00866867"/>
    <w:rsid w:val="00866C0E"/>
    <w:rsid w:val="0086712F"/>
    <w:rsid w:val="0086732C"/>
    <w:rsid w:val="0086759A"/>
    <w:rsid w:val="008677F7"/>
    <w:rsid w:val="008679A0"/>
    <w:rsid w:val="008703D4"/>
    <w:rsid w:val="00870969"/>
    <w:rsid w:val="0087137F"/>
    <w:rsid w:val="00871481"/>
    <w:rsid w:val="0087181A"/>
    <w:rsid w:val="00871DC5"/>
    <w:rsid w:val="00871E56"/>
    <w:rsid w:val="008734AD"/>
    <w:rsid w:val="0087357E"/>
    <w:rsid w:val="00873835"/>
    <w:rsid w:val="008740C3"/>
    <w:rsid w:val="00874292"/>
    <w:rsid w:val="0087433B"/>
    <w:rsid w:val="00874570"/>
    <w:rsid w:val="008747F2"/>
    <w:rsid w:val="00874CFA"/>
    <w:rsid w:val="00874FC0"/>
    <w:rsid w:val="008750AE"/>
    <w:rsid w:val="0087551F"/>
    <w:rsid w:val="008756DA"/>
    <w:rsid w:val="00875F4C"/>
    <w:rsid w:val="008766B5"/>
    <w:rsid w:val="0087706A"/>
    <w:rsid w:val="00877184"/>
    <w:rsid w:val="00877960"/>
    <w:rsid w:val="00877B6E"/>
    <w:rsid w:val="00877D76"/>
    <w:rsid w:val="00880188"/>
    <w:rsid w:val="0088050B"/>
    <w:rsid w:val="008806E8"/>
    <w:rsid w:val="00880D94"/>
    <w:rsid w:val="00881243"/>
    <w:rsid w:val="008816C8"/>
    <w:rsid w:val="00881B4C"/>
    <w:rsid w:val="00881BC9"/>
    <w:rsid w:val="008823AA"/>
    <w:rsid w:val="0088274C"/>
    <w:rsid w:val="008827CA"/>
    <w:rsid w:val="00882840"/>
    <w:rsid w:val="00882DD8"/>
    <w:rsid w:val="00883253"/>
    <w:rsid w:val="00883414"/>
    <w:rsid w:val="0088363D"/>
    <w:rsid w:val="008836B9"/>
    <w:rsid w:val="008838E2"/>
    <w:rsid w:val="00883E81"/>
    <w:rsid w:val="00883F63"/>
    <w:rsid w:val="008842A1"/>
    <w:rsid w:val="00884649"/>
    <w:rsid w:val="00884873"/>
    <w:rsid w:val="00885844"/>
    <w:rsid w:val="00885C8F"/>
    <w:rsid w:val="00886A50"/>
    <w:rsid w:val="00886CD5"/>
    <w:rsid w:val="00887018"/>
    <w:rsid w:val="00887DE0"/>
    <w:rsid w:val="0089010E"/>
    <w:rsid w:val="00890403"/>
    <w:rsid w:val="00890A79"/>
    <w:rsid w:val="00890B8B"/>
    <w:rsid w:val="00890C0E"/>
    <w:rsid w:val="008919F7"/>
    <w:rsid w:val="00891BED"/>
    <w:rsid w:val="008924E2"/>
    <w:rsid w:val="00892629"/>
    <w:rsid w:val="00892630"/>
    <w:rsid w:val="00892640"/>
    <w:rsid w:val="00892C88"/>
    <w:rsid w:val="00893C6D"/>
    <w:rsid w:val="00895531"/>
    <w:rsid w:val="00895D27"/>
    <w:rsid w:val="008968A0"/>
    <w:rsid w:val="008968C2"/>
    <w:rsid w:val="00896907"/>
    <w:rsid w:val="008970E2"/>
    <w:rsid w:val="008971C6"/>
    <w:rsid w:val="008971F2"/>
    <w:rsid w:val="0089743A"/>
    <w:rsid w:val="00897728"/>
    <w:rsid w:val="0089790E"/>
    <w:rsid w:val="008A05A0"/>
    <w:rsid w:val="008A078B"/>
    <w:rsid w:val="008A0ED4"/>
    <w:rsid w:val="008A1536"/>
    <w:rsid w:val="008A20F7"/>
    <w:rsid w:val="008A2235"/>
    <w:rsid w:val="008A23D2"/>
    <w:rsid w:val="008A2FAC"/>
    <w:rsid w:val="008A3A10"/>
    <w:rsid w:val="008A3DB2"/>
    <w:rsid w:val="008A45FA"/>
    <w:rsid w:val="008A4611"/>
    <w:rsid w:val="008A47A1"/>
    <w:rsid w:val="008A48D1"/>
    <w:rsid w:val="008A4B0A"/>
    <w:rsid w:val="008A4E65"/>
    <w:rsid w:val="008A4ECB"/>
    <w:rsid w:val="008A5056"/>
    <w:rsid w:val="008A5456"/>
    <w:rsid w:val="008A5661"/>
    <w:rsid w:val="008A5B8F"/>
    <w:rsid w:val="008A5C9A"/>
    <w:rsid w:val="008A5CB1"/>
    <w:rsid w:val="008A61B1"/>
    <w:rsid w:val="008A62BC"/>
    <w:rsid w:val="008A7835"/>
    <w:rsid w:val="008A7A81"/>
    <w:rsid w:val="008A7ABC"/>
    <w:rsid w:val="008B0950"/>
    <w:rsid w:val="008B139F"/>
    <w:rsid w:val="008B13C0"/>
    <w:rsid w:val="008B1738"/>
    <w:rsid w:val="008B1C40"/>
    <w:rsid w:val="008B1E78"/>
    <w:rsid w:val="008B2095"/>
    <w:rsid w:val="008B2950"/>
    <w:rsid w:val="008B29F1"/>
    <w:rsid w:val="008B2E02"/>
    <w:rsid w:val="008B3935"/>
    <w:rsid w:val="008B3948"/>
    <w:rsid w:val="008B3EF2"/>
    <w:rsid w:val="008B4416"/>
    <w:rsid w:val="008B55DF"/>
    <w:rsid w:val="008B5A3A"/>
    <w:rsid w:val="008B6377"/>
    <w:rsid w:val="008B689A"/>
    <w:rsid w:val="008B6EB3"/>
    <w:rsid w:val="008B754C"/>
    <w:rsid w:val="008B785F"/>
    <w:rsid w:val="008B7AE0"/>
    <w:rsid w:val="008B7C0C"/>
    <w:rsid w:val="008B7D39"/>
    <w:rsid w:val="008C002F"/>
    <w:rsid w:val="008C033B"/>
    <w:rsid w:val="008C0914"/>
    <w:rsid w:val="008C0E3F"/>
    <w:rsid w:val="008C1478"/>
    <w:rsid w:val="008C18B7"/>
    <w:rsid w:val="008C233D"/>
    <w:rsid w:val="008C2918"/>
    <w:rsid w:val="008C294E"/>
    <w:rsid w:val="008C2980"/>
    <w:rsid w:val="008C3829"/>
    <w:rsid w:val="008C3C22"/>
    <w:rsid w:val="008C4300"/>
    <w:rsid w:val="008C43DC"/>
    <w:rsid w:val="008C455B"/>
    <w:rsid w:val="008C4763"/>
    <w:rsid w:val="008C4948"/>
    <w:rsid w:val="008C4E79"/>
    <w:rsid w:val="008C5416"/>
    <w:rsid w:val="008C5585"/>
    <w:rsid w:val="008C55D3"/>
    <w:rsid w:val="008C59F0"/>
    <w:rsid w:val="008C5D66"/>
    <w:rsid w:val="008C65DA"/>
    <w:rsid w:val="008C6604"/>
    <w:rsid w:val="008C67A3"/>
    <w:rsid w:val="008C69C9"/>
    <w:rsid w:val="008C6B85"/>
    <w:rsid w:val="008C6D02"/>
    <w:rsid w:val="008C6EDE"/>
    <w:rsid w:val="008C78C5"/>
    <w:rsid w:val="008C7DBB"/>
    <w:rsid w:val="008D034B"/>
    <w:rsid w:val="008D0C75"/>
    <w:rsid w:val="008D0F2F"/>
    <w:rsid w:val="008D0FEE"/>
    <w:rsid w:val="008D10EC"/>
    <w:rsid w:val="008D1106"/>
    <w:rsid w:val="008D1172"/>
    <w:rsid w:val="008D16A3"/>
    <w:rsid w:val="008D16BA"/>
    <w:rsid w:val="008D186F"/>
    <w:rsid w:val="008D19D9"/>
    <w:rsid w:val="008D1D04"/>
    <w:rsid w:val="008D1D50"/>
    <w:rsid w:val="008D1D7C"/>
    <w:rsid w:val="008D1DF5"/>
    <w:rsid w:val="008D21FE"/>
    <w:rsid w:val="008D2B9D"/>
    <w:rsid w:val="008D2D79"/>
    <w:rsid w:val="008D38CD"/>
    <w:rsid w:val="008D3B16"/>
    <w:rsid w:val="008D3B19"/>
    <w:rsid w:val="008D3FE8"/>
    <w:rsid w:val="008D428C"/>
    <w:rsid w:val="008D47AC"/>
    <w:rsid w:val="008D49C7"/>
    <w:rsid w:val="008D4CAB"/>
    <w:rsid w:val="008D4F59"/>
    <w:rsid w:val="008D5A27"/>
    <w:rsid w:val="008D5B22"/>
    <w:rsid w:val="008D5E89"/>
    <w:rsid w:val="008D6181"/>
    <w:rsid w:val="008D61BB"/>
    <w:rsid w:val="008D62ED"/>
    <w:rsid w:val="008D669C"/>
    <w:rsid w:val="008D66B2"/>
    <w:rsid w:val="008D6732"/>
    <w:rsid w:val="008D6ACC"/>
    <w:rsid w:val="008D6D62"/>
    <w:rsid w:val="008D6F64"/>
    <w:rsid w:val="008D7AF7"/>
    <w:rsid w:val="008D7E5B"/>
    <w:rsid w:val="008E0B74"/>
    <w:rsid w:val="008E0DAE"/>
    <w:rsid w:val="008E1614"/>
    <w:rsid w:val="008E17F0"/>
    <w:rsid w:val="008E200B"/>
    <w:rsid w:val="008E216D"/>
    <w:rsid w:val="008E227E"/>
    <w:rsid w:val="008E2433"/>
    <w:rsid w:val="008E24F3"/>
    <w:rsid w:val="008E2976"/>
    <w:rsid w:val="008E2E31"/>
    <w:rsid w:val="008E3C76"/>
    <w:rsid w:val="008E3F34"/>
    <w:rsid w:val="008E4971"/>
    <w:rsid w:val="008E4BB6"/>
    <w:rsid w:val="008E4CAF"/>
    <w:rsid w:val="008E58F0"/>
    <w:rsid w:val="008E5A12"/>
    <w:rsid w:val="008E6192"/>
    <w:rsid w:val="008E6231"/>
    <w:rsid w:val="008E6383"/>
    <w:rsid w:val="008E6576"/>
    <w:rsid w:val="008E6879"/>
    <w:rsid w:val="008E689B"/>
    <w:rsid w:val="008E6CA8"/>
    <w:rsid w:val="008E6D22"/>
    <w:rsid w:val="008E6DAB"/>
    <w:rsid w:val="008E7424"/>
    <w:rsid w:val="008F0391"/>
    <w:rsid w:val="008F0472"/>
    <w:rsid w:val="008F07FB"/>
    <w:rsid w:val="008F0A3A"/>
    <w:rsid w:val="008F12F5"/>
    <w:rsid w:val="008F1529"/>
    <w:rsid w:val="008F2595"/>
    <w:rsid w:val="008F2683"/>
    <w:rsid w:val="008F2756"/>
    <w:rsid w:val="008F2762"/>
    <w:rsid w:val="008F276F"/>
    <w:rsid w:val="008F2819"/>
    <w:rsid w:val="008F2F6D"/>
    <w:rsid w:val="008F3807"/>
    <w:rsid w:val="008F432D"/>
    <w:rsid w:val="008F4813"/>
    <w:rsid w:val="008F5268"/>
    <w:rsid w:val="008F566E"/>
    <w:rsid w:val="008F58AB"/>
    <w:rsid w:val="008F5954"/>
    <w:rsid w:val="008F5A21"/>
    <w:rsid w:val="008F5A2F"/>
    <w:rsid w:val="008F6033"/>
    <w:rsid w:val="008F6446"/>
    <w:rsid w:val="008F64AA"/>
    <w:rsid w:val="008F67D8"/>
    <w:rsid w:val="008F6B73"/>
    <w:rsid w:val="008F7302"/>
    <w:rsid w:val="008F7516"/>
    <w:rsid w:val="008F76A0"/>
    <w:rsid w:val="00900455"/>
    <w:rsid w:val="00900809"/>
    <w:rsid w:val="00900E11"/>
    <w:rsid w:val="00900F94"/>
    <w:rsid w:val="0090116D"/>
    <w:rsid w:val="009013CB"/>
    <w:rsid w:val="009017DA"/>
    <w:rsid w:val="0090194D"/>
    <w:rsid w:val="00901DD4"/>
    <w:rsid w:val="00902390"/>
    <w:rsid w:val="00902477"/>
    <w:rsid w:val="009024A9"/>
    <w:rsid w:val="009026C4"/>
    <w:rsid w:val="009026E2"/>
    <w:rsid w:val="00902B6B"/>
    <w:rsid w:val="00902D55"/>
    <w:rsid w:val="00902E08"/>
    <w:rsid w:val="009031A5"/>
    <w:rsid w:val="009033FA"/>
    <w:rsid w:val="009038BB"/>
    <w:rsid w:val="00903A35"/>
    <w:rsid w:val="00903BCA"/>
    <w:rsid w:val="00903C9B"/>
    <w:rsid w:val="0090437E"/>
    <w:rsid w:val="00904609"/>
    <w:rsid w:val="00904686"/>
    <w:rsid w:val="00904948"/>
    <w:rsid w:val="00904DC2"/>
    <w:rsid w:val="0090539E"/>
    <w:rsid w:val="00905AE1"/>
    <w:rsid w:val="00905B51"/>
    <w:rsid w:val="00905B8C"/>
    <w:rsid w:val="00905D4D"/>
    <w:rsid w:val="009063AA"/>
    <w:rsid w:val="0090665E"/>
    <w:rsid w:val="00906A6F"/>
    <w:rsid w:val="00906B09"/>
    <w:rsid w:val="00906CCA"/>
    <w:rsid w:val="00907082"/>
    <w:rsid w:val="00907143"/>
    <w:rsid w:val="0090743C"/>
    <w:rsid w:val="009075F5"/>
    <w:rsid w:val="009076C6"/>
    <w:rsid w:val="00907815"/>
    <w:rsid w:val="009078D4"/>
    <w:rsid w:val="00907C7F"/>
    <w:rsid w:val="009107D8"/>
    <w:rsid w:val="00910B7D"/>
    <w:rsid w:val="00910E73"/>
    <w:rsid w:val="00911546"/>
    <w:rsid w:val="00911654"/>
    <w:rsid w:val="00911699"/>
    <w:rsid w:val="00911897"/>
    <w:rsid w:val="00912442"/>
    <w:rsid w:val="00913016"/>
    <w:rsid w:val="009134CB"/>
    <w:rsid w:val="00913B6A"/>
    <w:rsid w:val="00913DEF"/>
    <w:rsid w:val="00914040"/>
    <w:rsid w:val="0091446B"/>
    <w:rsid w:val="00914732"/>
    <w:rsid w:val="00914808"/>
    <w:rsid w:val="00914C9B"/>
    <w:rsid w:val="00914E6C"/>
    <w:rsid w:val="009150A7"/>
    <w:rsid w:val="0091533D"/>
    <w:rsid w:val="009153C9"/>
    <w:rsid w:val="0091581A"/>
    <w:rsid w:val="00915FFC"/>
    <w:rsid w:val="0091643F"/>
    <w:rsid w:val="00916B82"/>
    <w:rsid w:val="00917972"/>
    <w:rsid w:val="009179C1"/>
    <w:rsid w:val="00920A15"/>
    <w:rsid w:val="00920B80"/>
    <w:rsid w:val="00921606"/>
    <w:rsid w:val="00921935"/>
    <w:rsid w:val="009219E8"/>
    <w:rsid w:val="00921CB3"/>
    <w:rsid w:val="00921D62"/>
    <w:rsid w:val="00922422"/>
    <w:rsid w:val="00922729"/>
    <w:rsid w:val="00922CB3"/>
    <w:rsid w:val="00923586"/>
    <w:rsid w:val="00923A25"/>
    <w:rsid w:val="00923FC8"/>
    <w:rsid w:val="0092425E"/>
    <w:rsid w:val="0092450B"/>
    <w:rsid w:val="009247D4"/>
    <w:rsid w:val="0092481E"/>
    <w:rsid w:val="009249AE"/>
    <w:rsid w:val="00924A2E"/>
    <w:rsid w:val="00924E20"/>
    <w:rsid w:val="00924F60"/>
    <w:rsid w:val="0092525F"/>
    <w:rsid w:val="0092552A"/>
    <w:rsid w:val="009258BE"/>
    <w:rsid w:val="00926954"/>
    <w:rsid w:val="00926F04"/>
    <w:rsid w:val="0092724C"/>
    <w:rsid w:val="0092B2B2"/>
    <w:rsid w:val="0093086D"/>
    <w:rsid w:val="00930BBC"/>
    <w:rsid w:val="0093174D"/>
    <w:rsid w:val="009318F5"/>
    <w:rsid w:val="009323C4"/>
    <w:rsid w:val="00932492"/>
    <w:rsid w:val="00932BE2"/>
    <w:rsid w:val="00932C73"/>
    <w:rsid w:val="00932CCD"/>
    <w:rsid w:val="00932D3E"/>
    <w:rsid w:val="00932DD4"/>
    <w:rsid w:val="009331F5"/>
    <w:rsid w:val="009332EF"/>
    <w:rsid w:val="00933DFE"/>
    <w:rsid w:val="00934112"/>
    <w:rsid w:val="0093425C"/>
    <w:rsid w:val="00934921"/>
    <w:rsid w:val="00934A8F"/>
    <w:rsid w:val="00934CA9"/>
    <w:rsid w:val="0093533E"/>
    <w:rsid w:val="00935402"/>
    <w:rsid w:val="0093542A"/>
    <w:rsid w:val="00935AF5"/>
    <w:rsid w:val="00935B0E"/>
    <w:rsid w:val="00935E07"/>
    <w:rsid w:val="00935E66"/>
    <w:rsid w:val="00936E4F"/>
    <w:rsid w:val="009377BB"/>
    <w:rsid w:val="00937BA8"/>
    <w:rsid w:val="00937C78"/>
    <w:rsid w:val="0094030E"/>
    <w:rsid w:val="00940324"/>
    <w:rsid w:val="0094037C"/>
    <w:rsid w:val="009405D1"/>
    <w:rsid w:val="00940856"/>
    <w:rsid w:val="0094093B"/>
    <w:rsid w:val="0094127C"/>
    <w:rsid w:val="009414C7"/>
    <w:rsid w:val="00942A1C"/>
    <w:rsid w:val="00942E74"/>
    <w:rsid w:val="00942F17"/>
    <w:rsid w:val="00943403"/>
    <w:rsid w:val="00943A1C"/>
    <w:rsid w:val="009448FA"/>
    <w:rsid w:val="00944AEB"/>
    <w:rsid w:val="00944E1A"/>
    <w:rsid w:val="00944E5D"/>
    <w:rsid w:val="00944F05"/>
    <w:rsid w:val="00945672"/>
    <w:rsid w:val="009456F8"/>
    <w:rsid w:val="0094586D"/>
    <w:rsid w:val="00945BD6"/>
    <w:rsid w:val="00945FA8"/>
    <w:rsid w:val="009460D2"/>
    <w:rsid w:val="0094610C"/>
    <w:rsid w:val="009463EF"/>
    <w:rsid w:val="009468C8"/>
    <w:rsid w:val="00946C5A"/>
    <w:rsid w:val="00946E08"/>
    <w:rsid w:val="009474E0"/>
    <w:rsid w:val="009474E2"/>
    <w:rsid w:val="00947622"/>
    <w:rsid w:val="009479AE"/>
    <w:rsid w:val="00947D72"/>
    <w:rsid w:val="00950393"/>
    <w:rsid w:val="00950C0F"/>
    <w:rsid w:val="00952144"/>
    <w:rsid w:val="0095273B"/>
    <w:rsid w:val="009528E0"/>
    <w:rsid w:val="0095312A"/>
    <w:rsid w:val="0095337E"/>
    <w:rsid w:val="00953830"/>
    <w:rsid w:val="00954039"/>
    <w:rsid w:val="009542DF"/>
    <w:rsid w:val="009549D7"/>
    <w:rsid w:val="00954D07"/>
    <w:rsid w:val="00954FF0"/>
    <w:rsid w:val="00955258"/>
    <w:rsid w:val="00955668"/>
    <w:rsid w:val="00955ABE"/>
    <w:rsid w:val="00955B47"/>
    <w:rsid w:val="009560DC"/>
    <w:rsid w:val="0095637C"/>
    <w:rsid w:val="00956395"/>
    <w:rsid w:val="00956E48"/>
    <w:rsid w:val="00956E50"/>
    <w:rsid w:val="00956F2A"/>
    <w:rsid w:val="00957024"/>
    <w:rsid w:val="0095711B"/>
    <w:rsid w:val="0095745A"/>
    <w:rsid w:val="009574E7"/>
    <w:rsid w:val="00957A37"/>
    <w:rsid w:val="00957AE2"/>
    <w:rsid w:val="00957EC6"/>
    <w:rsid w:val="00960040"/>
    <w:rsid w:val="00960C1A"/>
    <w:rsid w:val="00961138"/>
    <w:rsid w:val="009612EA"/>
    <w:rsid w:val="00961660"/>
    <w:rsid w:val="0096190B"/>
    <w:rsid w:val="009622D5"/>
    <w:rsid w:val="00962A41"/>
    <w:rsid w:val="00962E3A"/>
    <w:rsid w:val="00962F08"/>
    <w:rsid w:val="00962FB2"/>
    <w:rsid w:val="00963003"/>
    <w:rsid w:val="009631F4"/>
    <w:rsid w:val="00963296"/>
    <w:rsid w:val="009632BB"/>
    <w:rsid w:val="0096358E"/>
    <w:rsid w:val="009635CB"/>
    <w:rsid w:val="00963787"/>
    <w:rsid w:val="009638D7"/>
    <w:rsid w:val="00963C17"/>
    <w:rsid w:val="00963F03"/>
    <w:rsid w:val="00964B73"/>
    <w:rsid w:val="00964DE1"/>
    <w:rsid w:val="0096525F"/>
    <w:rsid w:val="00965538"/>
    <w:rsid w:val="00965B80"/>
    <w:rsid w:val="00965CD7"/>
    <w:rsid w:val="0096654B"/>
    <w:rsid w:val="00966620"/>
    <w:rsid w:val="009666C4"/>
    <w:rsid w:val="00966985"/>
    <w:rsid w:val="00966C85"/>
    <w:rsid w:val="00966DC8"/>
    <w:rsid w:val="00966DCF"/>
    <w:rsid w:val="009674AF"/>
    <w:rsid w:val="0096750F"/>
    <w:rsid w:val="0096763A"/>
    <w:rsid w:val="00970B36"/>
    <w:rsid w:val="009711D4"/>
    <w:rsid w:val="00971682"/>
    <w:rsid w:val="00972658"/>
    <w:rsid w:val="00972A18"/>
    <w:rsid w:val="00973044"/>
    <w:rsid w:val="0097326A"/>
    <w:rsid w:val="00973394"/>
    <w:rsid w:val="009736AF"/>
    <w:rsid w:val="009738E0"/>
    <w:rsid w:val="00973A2E"/>
    <w:rsid w:val="00973EA0"/>
    <w:rsid w:val="0097409C"/>
    <w:rsid w:val="0097450C"/>
    <w:rsid w:val="00975A13"/>
    <w:rsid w:val="00975DAB"/>
    <w:rsid w:val="00976054"/>
    <w:rsid w:val="0097773C"/>
    <w:rsid w:val="0097779D"/>
    <w:rsid w:val="00977B1D"/>
    <w:rsid w:val="00980788"/>
    <w:rsid w:val="00980A07"/>
    <w:rsid w:val="00980A65"/>
    <w:rsid w:val="00980BA6"/>
    <w:rsid w:val="00980ED9"/>
    <w:rsid w:val="009810AE"/>
    <w:rsid w:val="0098133C"/>
    <w:rsid w:val="0098146D"/>
    <w:rsid w:val="00981A7D"/>
    <w:rsid w:val="00981D82"/>
    <w:rsid w:val="00982165"/>
    <w:rsid w:val="00982C89"/>
    <w:rsid w:val="00983051"/>
    <w:rsid w:val="00983808"/>
    <w:rsid w:val="00983C4E"/>
    <w:rsid w:val="00983EC7"/>
    <w:rsid w:val="00984593"/>
    <w:rsid w:val="009849A3"/>
    <w:rsid w:val="00984A72"/>
    <w:rsid w:val="00984F0B"/>
    <w:rsid w:val="00985313"/>
    <w:rsid w:val="009854DF"/>
    <w:rsid w:val="0098598A"/>
    <w:rsid w:val="0098599F"/>
    <w:rsid w:val="00986416"/>
    <w:rsid w:val="00986574"/>
    <w:rsid w:val="00986636"/>
    <w:rsid w:val="00986A47"/>
    <w:rsid w:val="00986A65"/>
    <w:rsid w:val="00986A98"/>
    <w:rsid w:val="00986CDA"/>
    <w:rsid w:val="00986E07"/>
    <w:rsid w:val="0098722E"/>
    <w:rsid w:val="00987785"/>
    <w:rsid w:val="009878F4"/>
    <w:rsid w:val="00990392"/>
    <w:rsid w:val="0099094D"/>
    <w:rsid w:val="00990A98"/>
    <w:rsid w:val="009914E4"/>
    <w:rsid w:val="00991849"/>
    <w:rsid w:val="0099184F"/>
    <w:rsid w:val="00992D8A"/>
    <w:rsid w:val="009930F6"/>
    <w:rsid w:val="00993639"/>
    <w:rsid w:val="00993DD1"/>
    <w:rsid w:val="00994452"/>
    <w:rsid w:val="009945ED"/>
    <w:rsid w:val="00994CBE"/>
    <w:rsid w:val="00994F72"/>
    <w:rsid w:val="00995347"/>
    <w:rsid w:val="009957C8"/>
    <w:rsid w:val="00995A05"/>
    <w:rsid w:val="00995A9B"/>
    <w:rsid w:val="00995E5C"/>
    <w:rsid w:val="00995ECB"/>
    <w:rsid w:val="009960D4"/>
    <w:rsid w:val="009961E7"/>
    <w:rsid w:val="009967A4"/>
    <w:rsid w:val="00996859"/>
    <w:rsid w:val="00996C27"/>
    <w:rsid w:val="00996E16"/>
    <w:rsid w:val="0099751C"/>
    <w:rsid w:val="00997B12"/>
    <w:rsid w:val="00997C01"/>
    <w:rsid w:val="00997EDE"/>
    <w:rsid w:val="009A0425"/>
    <w:rsid w:val="009A0A3A"/>
    <w:rsid w:val="009A0BFF"/>
    <w:rsid w:val="009A1355"/>
    <w:rsid w:val="009A1D1C"/>
    <w:rsid w:val="009A2230"/>
    <w:rsid w:val="009A2753"/>
    <w:rsid w:val="009A2A9A"/>
    <w:rsid w:val="009A2DD6"/>
    <w:rsid w:val="009A3096"/>
    <w:rsid w:val="009A30DD"/>
    <w:rsid w:val="009A3237"/>
    <w:rsid w:val="009A3DD2"/>
    <w:rsid w:val="009A3E55"/>
    <w:rsid w:val="009A4133"/>
    <w:rsid w:val="009A423F"/>
    <w:rsid w:val="009A469B"/>
    <w:rsid w:val="009A492A"/>
    <w:rsid w:val="009A4BC3"/>
    <w:rsid w:val="009A5985"/>
    <w:rsid w:val="009A5B9C"/>
    <w:rsid w:val="009A5BE0"/>
    <w:rsid w:val="009A6327"/>
    <w:rsid w:val="009A63B3"/>
    <w:rsid w:val="009A67E5"/>
    <w:rsid w:val="009A6DEE"/>
    <w:rsid w:val="009A6FEB"/>
    <w:rsid w:val="009A7A48"/>
    <w:rsid w:val="009A7ACF"/>
    <w:rsid w:val="009A7F12"/>
    <w:rsid w:val="009B03B0"/>
    <w:rsid w:val="009B03F6"/>
    <w:rsid w:val="009B0935"/>
    <w:rsid w:val="009B0AD1"/>
    <w:rsid w:val="009B11A1"/>
    <w:rsid w:val="009B131B"/>
    <w:rsid w:val="009B1E16"/>
    <w:rsid w:val="009B21E4"/>
    <w:rsid w:val="009B29BA"/>
    <w:rsid w:val="009B2DF6"/>
    <w:rsid w:val="009B3298"/>
    <w:rsid w:val="009B3EC8"/>
    <w:rsid w:val="009B3EE6"/>
    <w:rsid w:val="009B404F"/>
    <w:rsid w:val="009B4259"/>
    <w:rsid w:val="009B4283"/>
    <w:rsid w:val="009B5676"/>
    <w:rsid w:val="009B5995"/>
    <w:rsid w:val="009B61ED"/>
    <w:rsid w:val="009B63E2"/>
    <w:rsid w:val="009B666B"/>
    <w:rsid w:val="009B71B3"/>
    <w:rsid w:val="009B7273"/>
    <w:rsid w:val="009B7301"/>
    <w:rsid w:val="009B78DD"/>
    <w:rsid w:val="009B7C1B"/>
    <w:rsid w:val="009B7F0A"/>
    <w:rsid w:val="009C0382"/>
    <w:rsid w:val="009C0F3C"/>
    <w:rsid w:val="009C173E"/>
    <w:rsid w:val="009C22E6"/>
    <w:rsid w:val="009C24BA"/>
    <w:rsid w:val="009C2766"/>
    <w:rsid w:val="009C2778"/>
    <w:rsid w:val="009C2D17"/>
    <w:rsid w:val="009C3161"/>
    <w:rsid w:val="009C34ED"/>
    <w:rsid w:val="009C3524"/>
    <w:rsid w:val="009C3BE3"/>
    <w:rsid w:val="009C423A"/>
    <w:rsid w:val="009C429A"/>
    <w:rsid w:val="009C4559"/>
    <w:rsid w:val="009C48ED"/>
    <w:rsid w:val="009C49DA"/>
    <w:rsid w:val="009C4C60"/>
    <w:rsid w:val="009C58C0"/>
    <w:rsid w:val="009C594A"/>
    <w:rsid w:val="009C5BCF"/>
    <w:rsid w:val="009C5DAB"/>
    <w:rsid w:val="009C5ED5"/>
    <w:rsid w:val="009C6370"/>
    <w:rsid w:val="009C6A3D"/>
    <w:rsid w:val="009C6A6E"/>
    <w:rsid w:val="009C730B"/>
    <w:rsid w:val="009C73A1"/>
    <w:rsid w:val="009C76F5"/>
    <w:rsid w:val="009C7B3C"/>
    <w:rsid w:val="009C7B9D"/>
    <w:rsid w:val="009D02A1"/>
    <w:rsid w:val="009D0531"/>
    <w:rsid w:val="009D0540"/>
    <w:rsid w:val="009D07F4"/>
    <w:rsid w:val="009D0A6B"/>
    <w:rsid w:val="009D0F65"/>
    <w:rsid w:val="009D1B65"/>
    <w:rsid w:val="009D1BC4"/>
    <w:rsid w:val="009D1FE1"/>
    <w:rsid w:val="009D28E4"/>
    <w:rsid w:val="009D29D2"/>
    <w:rsid w:val="009D2A23"/>
    <w:rsid w:val="009D2BE7"/>
    <w:rsid w:val="009D2C47"/>
    <w:rsid w:val="009D2F88"/>
    <w:rsid w:val="009D3385"/>
    <w:rsid w:val="009D3825"/>
    <w:rsid w:val="009D44E4"/>
    <w:rsid w:val="009D4C46"/>
    <w:rsid w:val="009D503B"/>
    <w:rsid w:val="009D513D"/>
    <w:rsid w:val="009D56EE"/>
    <w:rsid w:val="009D5761"/>
    <w:rsid w:val="009D5EA1"/>
    <w:rsid w:val="009D65B8"/>
    <w:rsid w:val="009D65DE"/>
    <w:rsid w:val="009D65F5"/>
    <w:rsid w:val="009D6706"/>
    <w:rsid w:val="009D6BBA"/>
    <w:rsid w:val="009D70F9"/>
    <w:rsid w:val="009D7777"/>
    <w:rsid w:val="009D7D55"/>
    <w:rsid w:val="009E0D48"/>
    <w:rsid w:val="009E0FEF"/>
    <w:rsid w:val="009E0FF4"/>
    <w:rsid w:val="009E10FF"/>
    <w:rsid w:val="009E124E"/>
    <w:rsid w:val="009E153F"/>
    <w:rsid w:val="009E1793"/>
    <w:rsid w:val="009E189C"/>
    <w:rsid w:val="009E18D3"/>
    <w:rsid w:val="009E1BC4"/>
    <w:rsid w:val="009E1F4C"/>
    <w:rsid w:val="009E1F8F"/>
    <w:rsid w:val="009E253C"/>
    <w:rsid w:val="009E2546"/>
    <w:rsid w:val="009E268C"/>
    <w:rsid w:val="009E2838"/>
    <w:rsid w:val="009E2AA0"/>
    <w:rsid w:val="009E2DAF"/>
    <w:rsid w:val="009E31E7"/>
    <w:rsid w:val="009E3413"/>
    <w:rsid w:val="009E3795"/>
    <w:rsid w:val="009E42E1"/>
    <w:rsid w:val="009E464A"/>
    <w:rsid w:val="009E4896"/>
    <w:rsid w:val="009E498C"/>
    <w:rsid w:val="009E4A43"/>
    <w:rsid w:val="009E4D7D"/>
    <w:rsid w:val="009E4EE9"/>
    <w:rsid w:val="009E4FDB"/>
    <w:rsid w:val="009E56E8"/>
    <w:rsid w:val="009E5AB3"/>
    <w:rsid w:val="009E5B08"/>
    <w:rsid w:val="009E5F0B"/>
    <w:rsid w:val="009E6050"/>
    <w:rsid w:val="009E6321"/>
    <w:rsid w:val="009E6ABD"/>
    <w:rsid w:val="009E74DB"/>
    <w:rsid w:val="009E7632"/>
    <w:rsid w:val="009E77EF"/>
    <w:rsid w:val="009E7AB9"/>
    <w:rsid w:val="009F02A6"/>
    <w:rsid w:val="009F06ED"/>
    <w:rsid w:val="009F0782"/>
    <w:rsid w:val="009F13A3"/>
    <w:rsid w:val="009F14E2"/>
    <w:rsid w:val="009F171F"/>
    <w:rsid w:val="009F1A2F"/>
    <w:rsid w:val="009F1BF3"/>
    <w:rsid w:val="009F1EC3"/>
    <w:rsid w:val="009F1ECC"/>
    <w:rsid w:val="009F22CC"/>
    <w:rsid w:val="009F2326"/>
    <w:rsid w:val="009F24AC"/>
    <w:rsid w:val="009F2E45"/>
    <w:rsid w:val="009F36D6"/>
    <w:rsid w:val="009F3B2F"/>
    <w:rsid w:val="009F3C93"/>
    <w:rsid w:val="009F423F"/>
    <w:rsid w:val="009F428A"/>
    <w:rsid w:val="009F43A1"/>
    <w:rsid w:val="009F43B2"/>
    <w:rsid w:val="009F4C4C"/>
    <w:rsid w:val="009F62DB"/>
    <w:rsid w:val="009F62E9"/>
    <w:rsid w:val="009F639A"/>
    <w:rsid w:val="009F63B1"/>
    <w:rsid w:val="009F6D13"/>
    <w:rsid w:val="009F724B"/>
    <w:rsid w:val="009F75F2"/>
    <w:rsid w:val="009F7690"/>
    <w:rsid w:val="009F7F21"/>
    <w:rsid w:val="00A0001D"/>
    <w:rsid w:val="00A000EB"/>
    <w:rsid w:val="00A00253"/>
    <w:rsid w:val="00A007A5"/>
    <w:rsid w:val="00A011E4"/>
    <w:rsid w:val="00A0174B"/>
    <w:rsid w:val="00A01A17"/>
    <w:rsid w:val="00A01A79"/>
    <w:rsid w:val="00A01EC7"/>
    <w:rsid w:val="00A01F58"/>
    <w:rsid w:val="00A01F7E"/>
    <w:rsid w:val="00A01F9C"/>
    <w:rsid w:val="00A02282"/>
    <w:rsid w:val="00A02563"/>
    <w:rsid w:val="00A02566"/>
    <w:rsid w:val="00A02BBC"/>
    <w:rsid w:val="00A02C7D"/>
    <w:rsid w:val="00A02F30"/>
    <w:rsid w:val="00A02FE8"/>
    <w:rsid w:val="00A032FB"/>
    <w:rsid w:val="00A03329"/>
    <w:rsid w:val="00A03529"/>
    <w:rsid w:val="00A03806"/>
    <w:rsid w:val="00A0390A"/>
    <w:rsid w:val="00A03935"/>
    <w:rsid w:val="00A03B32"/>
    <w:rsid w:val="00A03FA2"/>
    <w:rsid w:val="00A044CA"/>
    <w:rsid w:val="00A046F8"/>
    <w:rsid w:val="00A04EA1"/>
    <w:rsid w:val="00A05535"/>
    <w:rsid w:val="00A0654F"/>
    <w:rsid w:val="00A068F6"/>
    <w:rsid w:val="00A06EAF"/>
    <w:rsid w:val="00A06F62"/>
    <w:rsid w:val="00A07007"/>
    <w:rsid w:val="00A071FC"/>
    <w:rsid w:val="00A074AF"/>
    <w:rsid w:val="00A07617"/>
    <w:rsid w:val="00A07929"/>
    <w:rsid w:val="00A07A58"/>
    <w:rsid w:val="00A07E33"/>
    <w:rsid w:val="00A102AB"/>
    <w:rsid w:val="00A1046F"/>
    <w:rsid w:val="00A105E4"/>
    <w:rsid w:val="00A107B1"/>
    <w:rsid w:val="00A10CA0"/>
    <w:rsid w:val="00A1124B"/>
    <w:rsid w:val="00A11644"/>
    <w:rsid w:val="00A1172B"/>
    <w:rsid w:val="00A117AF"/>
    <w:rsid w:val="00A11BB6"/>
    <w:rsid w:val="00A11D04"/>
    <w:rsid w:val="00A1248C"/>
    <w:rsid w:val="00A12725"/>
    <w:rsid w:val="00A1359B"/>
    <w:rsid w:val="00A138A7"/>
    <w:rsid w:val="00A13D99"/>
    <w:rsid w:val="00A14045"/>
    <w:rsid w:val="00A142F5"/>
    <w:rsid w:val="00A1448F"/>
    <w:rsid w:val="00A14F79"/>
    <w:rsid w:val="00A14FCA"/>
    <w:rsid w:val="00A1535C"/>
    <w:rsid w:val="00A15705"/>
    <w:rsid w:val="00A157DE"/>
    <w:rsid w:val="00A15838"/>
    <w:rsid w:val="00A16064"/>
    <w:rsid w:val="00A16DC8"/>
    <w:rsid w:val="00A17196"/>
    <w:rsid w:val="00A1735B"/>
    <w:rsid w:val="00A17868"/>
    <w:rsid w:val="00A17FE7"/>
    <w:rsid w:val="00A202A1"/>
    <w:rsid w:val="00A20651"/>
    <w:rsid w:val="00A20C3B"/>
    <w:rsid w:val="00A20DC6"/>
    <w:rsid w:val="00A21458"/>
    <w:rsid w:val="00A21A9C"/>
    <w:rsid w:val="00A21B17"/>
    <w:rsid w:val="00A21F40"/>
    <w:rsid w:val="00A21FF4"/>
    <w:rsid w:val="00A227D3"/>
    <w:rsid w:val="00A22F82"/>
    <w:rsid w:val="00A2323B"/>
    <w:rsid w:val="00A23263"/>
    <w:rsid w:val="00A2369F"/>
    <w:rsid w:val="00A2394F"/>
    <w:rsid w:val="00A239A1"/>
    <w:rsid w:val="00A23BD1"/>
    <w:rsid w:val="00A23F4F"/>
    <w:rsid w:val="00A23FE8"/>
    <w:rsid w:val="00A24C2D"/>
    <w:rsid w:val="00A25028"/>
    <w:rsid w:val="00A258FF"/>
    <w:rsid w:val="00A265E2"/>
    <w:rsid w:val="00A2687E"/>
    <w:rsid w:val="00A26E03"/>
    <w:rsid w:val="00A273CB"/>
    <w:rsid w:val="00A274FE"/>
    <w:rsid w:val="00A2764B"/>
    <w:rsid w:val="00A27BCC"/>
    <w:rsid w:val="00A27BFC"/>
    <w:rsid w:val="00A2F2FC"/>
    <w:rsid w:val="00A30ADF"/>
    <w:rsid w:val="00A311A7"/>
    <w:rsid w:val="00A312B9"/>
    <w:rsid w:val="00A31753"/>
    <w:rsid w:val="00A32426"/>
    <w:rsid w:val="00A32630"/>
    <w:rsid w:val="00A33146"/>
    <w:rsid w:val="00A3352A"/>
    <w:rsid w:val="00A339F7"/>
    <w:rsid w:val="00A33BCF"/>
    <w:rsid w:val="00A33F81"/>
    <w:rsid w:val="00A34989"/>
    <w:rsid w:val="00A34C87"/>
    <w:rsid w:val="00A34FA6"/>
    <w:rsid w:val="00A351B3"/>
    <w:rsid w:val="00A35D12"/>
    <w:rsid w:val="00A3688F"/>
    <w:rsid w:val="00A36C5C"/>
    <w:rsid w:val="00A36DEC"/>
    <w:rsid w:val="00A3717A"/>
    <w:rsid w:val="00A37235"/>
    <w:rsid w:val="00A3744F"/>
    <w:rsid w:val="00A374EA"/>
    <w:rsid w:val="00A3779D"/>
    <w:rsid w:val="00A37E50"/>
    <w:rsid w:val="00A40160"/>
    <w:rsid w:val="00A4076E"/>
    <w:rsid w:val="00A40AE2"/>
    <w:rsid w:val="00A415DC"/>
    <w:rsid w:val="00A4175F"/>
    <w:rsid w:val="00A4185A"/>
    <w:rsid w:val="00A41ABA"/>
    <w:rsid w:val="00A430EC"/>
    <w:rsid w:val="00A43768"/>
    <w:rsid w:val="00A43CEC"/>
    <w:rsid w:val="00A441A7"/>
    <w:rsid w:val="00A44549"/>
    <w:rsid w:val="00A44E53"/>
    <w:rsid w:val="00A4508C"/>
    <w:rsid w:val="00A454AE"/>
    <w:rsid w:val="00A455DA"/>
    <w:rsid w:val="00A45870"/>
    <w:rsid w:val="00A459D3"/>
    <w:rsid w:val="00A459DC"/>
    <w:rsid w:val="00A45EC8"/>
    <w:rsid w:val="00A4603D"/>
    <w:rsid w:val="00A46454"/>
    <w:rsid w:val="00A46996"/>
    <w:rsid w:val="00A46B5D"/>
    <w:rsid w:val="00A47076"/>
    <w:rsid w:val="00A47BC7"/>
    <w:rsid w:val="00A50DEB"/>
    <w:rsid w:val="00A50EBE"/>
    <w:rsid w:val="00A510E2"/>
    <w:rsid w:val="00A51A70"/>
    <w:rsid w:val="00A51F12"/>
    <w:rsid w:val="00A52252"/>
    <w:rsid w:val="00A52927"/>
    <w:rsid w:val="00A53440"/>
    <w:rsid w:val="00A536C2"/>
    <w:rsid w:val="00A539CF"/>
    <w:rsid w:val="00A53A90"/>
    <w:rsid w:val="00A54039"/>
    <w:rsid w:val="00A54951"/>
    <w:rsid w:val="00A54C03"/>
    <w:rsid w:val="00A54CC1"/>
    <w:rsid w:val="00A55537"/>
    <w:rsid w:val="00A55F74"/>
    <w:rsid w:val="00A55F79"/>
    <w:rsid w:val="00A55FF2"/>
    <w:rsid w:val="00A56F62"/>
    <w:rsid w:val="00A56F7B"/>
    <w:rsid w:val="00A576A2"/>
    <w:rsid w:val="00A5790A"/>
    <w:rsid w:val="00A57D5B"/>
    <w:rsid w:val="00A57EEE"/>
    <w:rsid w:val="00A607B6"/>
    <w:rsid w:val="00A60FC2"/>
    <w:rsid w:val="00A613E8"/>
    <w:rsid w:val="00A61987"/>
    <w:rsid w:val="00A62580"/>
    <w:rsid w:val="00A62ABA"/>
    <w:rsid w:val="00A62C1F"/>
    <w:rsid w:val="00A632B9"/>
    <w:rsid w:val="00A637DE"/>
    <w:rsid w:val="00A63855"/>
    <w:rsid w:val="00A63E5A"/>
    <w:rsid w:val="00A63FFA"/>
    <w:rsid w:val="00A64121"/>
    <w:rsid w:val="00A6438C"/>
    <w:rsid w:val="00A64A5E"/>
    <w:rsid w:val="00A64BC1"/>
    <w:rsid w:val="00A64D2A"/>
    <w:rsid w:val="00A64FF0"/>
    <w:rsid w:val="00A65640"/>
    <w:rsid w:val="00A65A7C"/>
    <w:rsid w:val="00A65BD1"/>
    <w:rsid w:val="00A6621C"/>
    <w:rsid w:val="00A66442"/>
    <w:rsid w:val="00A66F0D"/>
    <w:rsid w:val="00A6711E"/>
    <w:rsid w:val="00A67166"/>
    <w:rsid w:val="00A67717"/>
    <w:rsid w:val="00A67AE4"/>
    <w:rsid w:val="00A67E30"/>
    <w:rsid w:val="00A67E8B"/>
    <w:rsid w:val="00A67F48"/>
    <w:rsid w:val="00A70751"/>
    <w:rsid w:val="00A717EB"/>
    <w:rsid w:val="00A71CD2"/>
    <w:rsid w:val="00A71DC3"/>
    <w:rsid w:val="00A71EB4"/>
    <w:rsid w:val="00A7211B"/>
    <w:rsid w:val="00A728FF"/>
    <w:rsid w:val="00A72D07"/>
    <w:rsid w:val="00A72FEE"/>
    <w:rsid w:val="00A73012"/>
    <w:rsid w:val="00A7311E"/>
    <w:rsid w:val="00A73B68"/>
    <w:rsid w:val="00A73BD3"/>
    <w:rsid w:val="00A73D91"/>
    <w:rsid w:val="00A73F4E"/>
    <w:rsid w:val="00A74592"/>
    <w:rsid w:val="00A7467E"/>
    <w:rsid w:val="00A74EB3"/>
    <w:rsid w:val="00A75D73"/>
    <w:rsid w:val="00A76200"/>
    <w:rsid w:val="00A7627E"/>
    <w:rsid w:val="00A772E4"/>
    <w:rsid w:val="00A77448"/>
    <w:rsid w:val="00A779C6"/>
    <w:rsid w:val="00A77AB7"/>
    <w:rsid w:val="00A801EC"/>
    <w:rsid w:val="00A804EA"/>
    <w:rsid w:val="00A807D8"/>
    <w:rsid w:val="00A80A1B"/>
    <w:rsid w:val="00A819C6"/>
    <w:rsid w:val="00A81B46"/>
    <w:rsid w:val="00A82813"/>
    <w:rsid w:val="00A828EB"/>
    <w:rsid w:val="00A83416"/>
    <w:rsid w:val="00A83635"/>
    <w:rsid w:val="00A838F9"/>
    <w:rsid w:val="00A838FB"/>
    <w:rsid w:val="00A83C44"/>
    <w:rsid w:val="00A84330"/>
    <w:rsid w:val="00A846FB"/>
    <w:rsid w:val="00A847AF"/>
    <w:rsid w:val="00A84AB7"/>
    <w:rsid w:val="00A84E08"/>
    <w:rsid w:val="00A85043"/>
    <w:rsid w:val="00A852B2"/>
    <w:rsid w:val="00A85336"/>
    <w:rsid w:val="00A85358"/>
    <w:rsid w:val="00A85900"/>
    <w:rsid w:val="00A85D46"/>
    <w:rsid w:val="00A85E65"/>
    <w:rsid w:val="00A860DB"/>
    <w:rsid w:val="00A8657B"/>
    <w:rsid w:val="00A872F7"/>
    <w:rsid w:val="00A87633"/>
    <w:rsid w:val="00A8791C"/>
    <w:rsid w:val="00A879DF"/>
    <w:rsid w:val="00A879F8"/>
    <w:rsid w:val="00A87AD2"/>
    <w:rsid w:val="00A87B27"/>
    <w:rsid w:val="00A87D2F"/>
    <w:rsid w:val="00A9044A"/>
    <w:rsid w:val="00A90720"/>
    <w:rsid w:val="00A90A71"/>
    <w:rsid w:val="00A910DE"/>
    <w:rsid w:val="00A914A7"/>
    <w:rsid w:val="00A91AD5"/>
    <w:rsid w:val="00A91D83"/>
    <w:rsid w:val="00A91FD2"/>
    <w:rsid w:val="00A92222"/>
    <w:rsid w:val="00A92382"/>
    <w:rsid w:val="00A924E7"/>
    <w:rsid w:val="00A92B60"/>
    <w:rsid w:val="00A92F29"/>
    <w:rsid w:val="00A93748"/>
    <w:rsid w:val="00A93B64"/>
    <w:rsid w:val="00A94965"/>
    <w:rsid w:val="00A94B8B"/>
    <w:rsid w:val="00A94BF8"/>
    <w:rsid w:val="00A94FD9"/>
    <w:rsid w:val="00A951CA"/>
    <w:rsid w:val="00A956D3"/>
    <w:rsid w:val="00A965F1"/>
    <w:rsid w:val="00A9792D"/>
    <w:rsid w:val="00AA001D"/>
    <w:rsid w:val="00AA02E0"/>
    <w:rsid w:val="00AA064C"/>
    <w:rsid w:val="00AA085E"/>
    <w:rsid w:val="00AA09FA"/>
    <w:rsid w:val="00AA13CD"/>
    <w:rsid w:val="00AA14F5"/>
    <w:rsid w:val="00AA16FD"/>
    <w:rsid w:val="00AA16FE"/>
    <w:rsid w:val="00AA1FB4"/>
    <w:rsid w:val="00AA2238"/>
    <w:rsid w:val="00AA2400"/>
    <w:rsid w:val="00AA28BE"/>
    <w:rsid w:val="00AA3185"/>
    <w:rsid w:val="00AA37A2"/>
    <w:rsid w:val="00AA3EC6"/>
    <w:rsid w:val="00AA40C9"/>
    <w:rsid w:val="00AA4593"/>
    <w:rsid w:val="00AA4A91"/>
    <w:rsid w:val="00AA51BE"/>
    <w:rsid w:val="00AA5314"/>
    <w:rsid w:val="00AA5687"/>
    <w:rsid w:val="00AA5EDE"/>
    <w:rsid w:val="00AA69D9"/>
    <w:rsid w:val="00AA6B56"/>
    <w:rsid w:val="00AA7163"/>
    <w:rsid w:val="00AA7673"/>
    <w:rsid w:val="00AA779B"/>
    <w:rsid w:val="00AA7934"/>
    <w:rsid w:val="00AA7B8D"/>
    <w:rsid w:val="00AA7E7D"/>
    <w:rsid w:val="00AA7EF9"/>
    <w:rsid w:val="00AB0447"/>
    <w:rsid w:val="00AB0BDB"/>
    <w:rsid w:val="00AB0F2F"/>
    <w:rsid w:val="00AB1398"/>
    <w:rsid w:val="00AB1C83"/>
    <w:rsid w:val="00AB249E"/>
    <w:rsid w:val="00AB27A9"/>
    <w:rsid w:val="00AB2B53"/>
    <w:rsid w:val="00AB300C"/>
    <w:rsid w:val="00AB39B7"/>
    <w:rsid w:val="00AB3D35"/>
    <w:rsid w:val="00AB3DAC"/>
    <w:rsid w:val="00AB3DB4"/>
    <w:rsid w:val="00AB3FFB"/>
    <w:rsid w:val="00AB4400"/>
    <w:rsid w:val="00AB47EE"/>
    <w:rsid w:val="00AB485A"/>
    <w:rsid w:val="00AB4899"/>
    <w:rsid w:val="00AB5336"/>
    <w:rsid w:val="00AB5676"/>
    <w:rsid w:val="00AB57B1"/>
    <w:rsid w:val="00AB59A8"/>
    <w:rsid w:val="00AB6839"/>
    <w:rsid w:val="00AB6BD3"/>
    <w:rsid w:val="00AB6C09"/>
    <w:rsid w:val="00AB6FEA"/>
    <w:rsid w:val="00AB7954"/>
    <w:rsid w:val="00AB797C"/>
    <w:rsid w:val="00AC04AC"/>
    <w:rsid w:val="00AC0780"/>
    <w:rsid w:val="00AC07A1"/>
    <w:rsid w:val="00AC1968"/>
    <w:rsid w:val="00AC1EF2"/>
    <w:rsid w:val="00AC2920"/>
    <w:rsid w:val="00AC2948"/>
    <w:rsid w:val="00AC29FA"/>
    <w:rsid w:val="00AC2D54"/>
    <w:rsid w:val="00AC3E9B"/>
    <w:rsid w:val="00AC40AE"/>
    <w:rsid w:val="00AC428E"/>
    <w:rsid w:val="00AC4541"/>
    <w:rsid w:val="00AC51A7"/>
    <w:rsid w:val="00AC6296"/>
    <w:rsid w:val="00AC65F9"/>
    <w:rsid w:val="00AC6827"/>
    <w:rsid w:val="00AC69B2"/>
    <w:rsid w:val="00AC6B14"/>
    <w:rsid w:val="00AC7232"/>
    <w:rsid w:val="00AC73CF"/>
    <w:rsid w:val="00AC789D"/>
    <w:rsid w:val="00AC7F47"/>
    <w:rsid w:val="00AD0917"/>
    <w:rsid w:val="00AD0934"/>
    <w:rsid w:val="00AD0D74"/>
    <w:rsid w:val="00AD1463"/>
    <w:rsid w:val="00AD1634"/>
    <w:rsid w:val="00AD1B32"/>
    <w:rsid w:val="00AD1C1E"/>
    <w:rsid w:val="00AD1D4A"/>
    <w:rsid w:val="00AD1DBF"/>
    <w:rsid w:val="00AD1EC9"/>
    <w:rsid w:val="00AD1FDC"/>
    <w:rsid w:val="00AD2165"/>
    <w:rsid w:val="00AD2359"/>
    <w:rsid w:val="00AD2DA7"/>
    <w:rsid w:val="00AD3142"/>
    <w:rsid w:val="00AD3224"/>
    <w:rsid w:val="00AD38F6"/>
    <w:rsid w:val="00AD420F"/>
    <w:rsid w:val="00AD43AF"/>
    <w:rsid w:val="00AD4966"/>
    <w:rsid w:val="00AD501D"/>
    <w:rsid w:val="00AD593C"/>
    <w:rsid w:val="00AD5C38"/>
    <w:rsid w:val="00AD6108"/>
    <w:rsid w:val="00AD66D7"/>
    <w:rsid w:val="00AD69FE"/>
    <w:rsid w:val="00AD745B"/>
    <w:rsid w:val="00AD75E6"/>
    <w:rsid w:val="00AD7661"/>
    <w:rsid w:val="00AD76DE"/>
    <w:rsid w:val="00AD7707"/>
    <w:rsid w:val="00AE0250"/>
    <w:rsid w:val="00AE0264"/>
    <w:rsid w:val="00AE02CA"/>
    <w:rsid w:val="00AE0837"/>
    <w:rsid w:val="00AE10EA"/>
    <w:rsid w:val="00AE1252"/>
    <w:rsid w:val="00AE1457"/>
    <w:rsid w:val="00AE15C2"/>
    <w:rsid w:val="00AE1A2C"/>
    <w:rsid w:val="00AE248D"/>
    <w:rsid w:val="00AE2B38"/>
    <w:rsid w:val="00AE2DE4"/>
    <w:rsid w:val="00AE2F5D"/>
    <w:rsid w:val="00AE3085"/>
    <w:rsid w:val="00AE3294"/>
    <w:rsid w:val="00AE3CD3"/>
    <w:rsid w:val="00AE4691"/>
    <w:rsid w:val="00AE4F13"/>
    <w:rsid w:val="00AE5017"/>
    <w:rsid w:val="00AE5C55"/>
    <w:rsid w:val="00AE5D4A"/>
    <w:rsid w:val="00AE617A"/>
    <w:rsid w:val="00AE64A9"/>
    <w:rsid w:val="00AE6CC7"/>
    <w:rsid w:val="00AE7AB2"/>
    <w:rsid w:val="00AE7C32"/>
    <w:rsid w:val="00AE7CA0"/>
    <w:rsid w:val="00AF012E"/>
    <w:rsid w:val="00AF0CB9"/>
    <w:rsid w:val="00AF12EF"/>
    <w:rsid w:val="00AF1B24"/>
    <w:rsid w:val="00AF1CF4"/>
    <w:rsid w:val="00AF220C"/>
    <w:rsid w:val="00AF22C1"/>
    <w:rsid w:val="00AF22EC"/>
    <w:rsid w:val="00AF3123"/>
    <w:rsid w:val="00AF3461"/>
    <w:rsid w:val="00AF38B8"/>
    <w:rsid w:val="00AF3976"/>
    <w:rsid w:val="00AF39DC"/>
    <w:rsid w:val="00AF4257"/>
    <w:rsid w:val="00AF42FF"/>
    <w:rsid w:val="00AF43C4"/>
    <w:rsid w:val="00AF4406"/>
    <w:rsid w:val="00AF4557"/>
    <w:rsid w:val="00AF49BF"/>
    <w:rsid w:val="00AF524B"/>
    <w:rsid w:val="00AF5394"/>
    <w:rsid w:val="00AF5595"/>
    <w:rsid w:val="00AF5783"/>
    <w:rsid w:val="00AF5F99"/>
    <w:rsid w:val="00AF698F"/>
    <w:rsid w:val="00AF69E2"/>
    <w:rsid w:val="00AF6D1A"/>
    <w:rsid w:val="00AF753A"/>
    <w:rsid w:val="00B00328"/>
    <w:rsid w:val="00B004D9"/>
    <w:rsid w:val="00B005B5"/>
    <w:rsid w:val="00B00927"/>
    <w:rsid w:val="00B00E54"/>
    <w:rsid w:val="00B00E69"/>
    <w:rsid w:val="00B01062"/>
    <w:rsid w:val="00B013A9"/>
    <w:rsid w:val="00B01598"/>
    <w:rsid w:val="00B01DA3"/>
    <w:rsid w:val="00B021C7"/>
    <w:rsid w:val="00B0246D"/>
    <w:rsid w:val="00B026C8"/>
    <w:rsid w:val="00B02E6E"/>
    <w:rsid w:val="00B0302B"/>
    <w:rsid w:val="00B0303C"/>
    <w:rsid w:val="00B03266"/>
    <w:rsid w:val="00B03603"/>
    <w:rsid w:val="00B0381D"/>
    <w:rsid w:val="00B0411E"/>
    <w:rsid w:val="00B04861"/>
    <w:rsid w:val="00B04AEF"/>
    <w:rsid w:val="00B0518B"/>
    <w:rsid w:val="00B0524A"/>
    <w:rsid w:val="00B05F03"/>
    <w:rsid w:val="00B06E59"/>
    <w:rsid w:val="00B06E60"/>
    <w:rsid w:val="00B07379"/>
    <w:rsid w:val="00B076F5"/>
    <w:rsid w:val="00B07A6C"/>
    <w:rsid w:val="00B07AEC"/>
    <w:rsid w:val="00B10283"/>
    <w:rsid w:val="00B10386"/>
    <w:rsid w:val="00B1090A"/>
    <w:rsid w:val="00B109F1"/>
    <w:rsid w:val="00B10FB8"/>
    <w:rsid w:val="00B111CE"/>
    <w:rsid w:val="00B114A0"/>
    <w:rsid w:val="00B117C0"/>
    <w:rsid w:val="00B1218E"/>
    <w:rsid w:val="00B122CD"/>
    <w:rsid w:val="00B122E1"/>
    <w:rsid w:val="00B124CA"/>
    <w:rsid w:val="00B1256E"/>
    <w:rsid w:val="00B12701"/>
    <w:rsid w:val="00B13192"/>
    <w:rsid w:val="00B13290"/>
    <w:rsid w:val="00B135FE"/>
    <w:rsid w:val="00B1391D"/>
    <w:rsid w:val="00B13A86"/>
    <w:rsid w:val="00B13F5E"/>
    <w:rsid w:val="00B14041"/>
    <w:rsid w:val="00B142F7"/>
    <w:rsid w:val="00B14818"/>
    <w:rsid w:val="00B14B38"/>
    <w:rsid w:val="00B14EE0"/>
    <w:rsid w:val="00B15579"/>
    <w:rsid w:val="00B15876"/>
    <w:rsid w:val="00B159E8"/>
    <w:rsid w:val="00B15BF4"/>
    <w:rsid w:val="00B15DD7"/>
    <w:rsid w:val="00B16434"/>
    <w:rsid w:val="00B16785"/>
    <w:rsid w:val="00B16F87"/>
    <w:rsid w:val="00B1715C"/>
    <w:rsid w:val="00B17C10"/>
    <w:rsid w:val="00B20693"/>
    <w:rsid w:val="00B208D4"/>
    <w:rsid w:val="00B2110B"/>
    <w:rsid w:val="00B219C5"/>
    <w:rsid w:val="00B22026"/>
    <w:rsid w:val="00B22305"/>
    <w:rsid w:val="00B226D1"/>
    <w:rsid w:val="00B22833"/>
    <w:rsid w:val="00B22A58"/>
    <w:rsid w:val="00B22CF2"/>
    <w:rsid w:val="00B2310A"/>
    <w:rsid w:val="00B236AF"/>
    <w:rsid w:val="00B2372F"/>
    <w:rsid w:val="00B2381A"/>
    <w:rsid w:val="00B2392E"/>
    <w:rsid w:val="00B23CA0"/>
    <w:rsid w:val="00B240F9"/>
    <w:rsid w:val="00B246BB"/>
    <w:rsid w:val="00B25035"/>
    <w:rsid w:val="00B25872"/>
    <w:rsid w:val="00B25F49"/>
    <w:rsid w:val="00B25FBC"/>
    <w:rsid w:val="00B26150"/>
    <w:rsid w:val="00B26693"/>
    <w:rsid w:val="00B26863"/>
    <w:rsid w:val="00B26AF2"/>
    <w:rsid w:val="00B26F0C"/>
    <w:rsid w:val="00B27143"/>
    <w:rsid w:val="00B27256"/>
    <w:rsid w:val="00B272C6"/>
    <w:rsid w:val="00B27434"/>
    <w:rsid w:val="00B27800"/>
    <w:rsid w:val="00B27D4D"/>
    <w:rsid w:val="00B27EC5"/>
    <w:rsid w:val="00B30262"/>
    <w:rsid w:val="00B30456"/>
    <w:rsid w:val="00B30B83"/>
    <w:rsid w:val="00B30C9B"/>
    <w:rsid w:val="00B31373"/>
    <w:rsid w:val="00B31563"/>
    <w:rsid w:val="00B31A2D"/>
    <w:rsid w:val="00B320C0"/>
    <w:rsid w:val="00B32191"/>
    <w:rsid w:val="00B321C7"/>
    <w:rsid w:val="00B32431"/>
    <w:rsid w:val="00B327A4"/>
    <w:rsid w:val="00B32B74"/>
    <w:rsid w:val="00B32BC0"/>
    <w:rsid w:val="00B32C99"/>
    <w:rsid w:val="00B32F64"/>
    <w:rsid w:val="00B3301E"/>
    <w:rsid w:val="00B334AE"/>
    <w:rsid w:val="00B3397E"/>
    <w:rsid w:val="00B3399E"/>
    <w:rsid w:val="00B33A40"/>
    <w:rsid w:val="00B33ACE"/>
    <w:rsid w:val="00B33CE3"/>
    <w:rsid w:val="00B33E24"/>
    <w:rsid w:val="00B34551"/>
    <w:rsid w:val="00B345CC"/>
    <w:rsid w:val="00B34BA5"/>
    <w:rsid w:val="00B34BC5"/>
    <w:rsid w:val="00B35024"/>
    <w:rsid w:val="00B35D2B"/>
    <w:rsid w:val="00B35ECA"/>
    <w:rsid w:val="00B3629A"/>
    <w:rsid w:val="00B3634A"/>
    <w:rsid w:val="00B3669E"/>
    <w:rsid w:val="00B36AD0"/>
    <w:rsid w:val="00B36E09"/>
    <w:rsid w:val="00B37D6C"/>
    <w:rsid w:val="00B37F7A"/>
    <w:rsid w:val="00B401D7"/>
    <w:rsid w:val="00B40695"/>
    <w:rsid w:val="00B40A99"/>
    <w:rsid w:val="00B40ADB"/>
    <w:rsid w:val="00B40AE4"/>
    <w:rsid w:val="00B40E97"/>
    <w:rsid w:val="00B41360"/>
    <w:rsid w:val="00B41389"/>
    <w:rsid w:val="00B415CD"/>
    <w:rsid w:val="00B41D5E"/>
    <w:rsid w:val="00B41DB9"/>
    <w:rsid w:val="00B42177"/>
    <w:rsid w:val="00B422B8"/>
    <w:rsid w:val="00B42375"/>
    <w:rsid w:val="00B42C93"/>
    <w:rsid w:val="00B43619"/>
    <w:rsid w:val="00B436C8"/>
    <w:rsid w:val="00B4376F"/>
    <w:rsid w:val="00B43CFC"/>
    <w:rsid w:val="00B43F18"/>
    <w:rsid w:val="00B442B4"/>
    <w:rsid w:val="00B44602"/>
    <w:rsid w:val="00B44863"/>
    <w:rsid w:val="00B44A18"/>
    <w:rsid w:val="00B44D6A"/>
    <w:rsid w:val="00B44E4A"/>
    <w:rsid w:val="00B44F28"/>
    <w:rsid w:val="00B44F8B"/>
    <w:rsid w:val="00B45625"/>
    <w:rsid w:val="00B45C24"/>
    <w:rsid w:val="00B460FD"/>
    <w:rsid w:val="00B46182"/>
    <w:rsid w:val="00B46935"/>
    <w:rsid w:val="00B46995"/>
    <w:rsid w:val="00B46E29"/>
    <w:rsid w:val="00B46E32"/>
    <w:rsid w:val="00B47392"/>
    <w:rsid w:val="00B476FE"/>
    <w:rsid w:val="00B47EAD"/>
    <w:rsid w:val="00B47F5A"/>
    <w:rsid w:val="00B47FD5"/>
    <w:rsid w:val="00B50560"/>
    <w:rsid w:val="00B507E6"/>
    <w:rsid w:val="00B50BB2"/>
    <w:rsid w:val="00B51F9D"/>
    <w:rsid w:val="00B52192"/>
    <w:rsid w:val="00B52511"/>
    <w:rsid w:val="00B52958"/>
    <w:rsid w:val="00B52DDA"/>
    <w:rsid w:val="00B5304F"/>
    <w:rsid w:val="00B53885"/>
    <w:rsid w:val="00B53940"/>
    <w:rsid w:val="00B53CFA"/>
    <w:rsid w:val="00B53D4E"/>
    <w:rsid w:val="00B53F05"/>
    <w:rsid w:val="00B5463F"/>
    <w:rsid w:val="00B54851"/>
    <w:rsid w:val="00B54ABB"/>
    <w:rsid w:val="00B553E7"/>
    <w:rsid w:val="00B5551B"/>
    <w:rsid w:val="00B55A67"/>
    <w:rsid w:val="00B55B77"/>
    <w:rsid w:val="00B55EDB"/>
    <w:rsid w:val="00B5689D"/>
    <w:rsid w:val="00B56A7A"/>
    <w:rsid w:val="00B5735B"/>
    <w:rsid w:val="00B618D1"/>
    <w:rsid w:val="00B6239F"/>
    <w:rsid w:val="00B62693"/>
    <w:rsid w:val="00B62903"/>
    <w:rsid w:val="00B62928"/>
    <w:rsid w:val="00B62BF9"/>
    <w:rsid w:val="00B62F7E"/>
    <w:rsid w:val="00B62FC4"/>
    <w:rsid w:val="00B631A6"/>
    <w:rsid w:val="00B63A27"/>
    <w:rsid w:val="00B63AF5"/>
    <w:rsid w:val="00B63B76"/>
    <w:rsid w:val="00B64240"/>
    <w:rsid w:val="00B6426B"/>
    <w:rsid w:val="00B646C5"/>
    <w:rsid w:val="00B64D0B"/>
    <w:rsid w:val="00B65109"/>
    <w:rsid w:val="00B656E5"/>
    <w:rsid w:val="00B65778"/>
    <w:rsid w:val="00B65873"/>
    <w:rsid w:val="00B65C40"/>
    <w:rsid w:val="00B65C4E"/>
    <w:rsid w:val="00B65CF6"/>
    <w:rsid w:val="00B65FC2"/>
    <w:rsid w:val="00B66865"/>
    <w:rsid w:val="00B66905"/>
    <w:rsid w:val="00B66A88"/>
    <w:rsid w:val="00B66C0D"/>
    <w:rsid w:val="00B66E61"/>
    <w:rsid w:val="00B66E7E"/>
    <w:rsid w:val="00B670CF"/>
    <w:rsid w:val="00B676F2"/>
    <w:rsid w:val="00B67B9A"/>
    <w:rsid w:val="00B67BF5"/>
    <w:rsid w:val="00B67DE8"/>
    <w:rsid w:val="00B703AB"/>
    <w:rsid w:val="00B7041E"/>
    <w:rsid w:val="00B7051B"/>
    <w:rsid w:val="00B70816"/>
    <w:rsid w:val="00B70C64"/>
    <w:rsid w:val="00B712F0"/>
    <w:rsid w:val="00B72678"/>
    <w:rsid w:val="00B72AEB"/>
    <w:rsid w:val="00B72B24"/>
    <w:rsid w:val="00B72E05"/>
    <w:rsid w:val="00B72EB9"/>
    <w:rsid w:val="00B730F7"/>
    <w:rsid w:val="00B7316C"/>
    <w:rsid w:val="00B738EC"/>
    <w:rsid w:val="00B73A51"/>
    <w:rsid w:val="00B73C4A"/>
    <w:rsid w:val="00B73E55"/>
    <w:rsid w:val="00B74282"/>
    <w:rsid w:val="00B74C84"/>
    <w:rsid w:val="00B7577C"/>
    <w:rsid w:val="00B7581E"/>
    <w:rsid w:val="00B75B1D"/>
    <w:rsid w:val="00B75D12"/>
    <w:rsid w:val="00B76187"/>
    <w:rsid w:val="00B76732"/>
    <w:rsid w:val="00B767BD"/>
    <w:rsid w:val="00B768E6"/>
    <w:rsid w:val="00B76F00"/>
    <w:rsid w:val="00B76FE5"/>
    <w:rsid w:val="00B773CF"/>
    <w:rsid w:val="00B805EF"/>
    <w:rsid w:val="00B80ADF"/>
    <w:rsid w:val="00B80CFF"/>
    <w:rsid w:val="00B80D1E"/>
    <w:rsid w:val="00B810ED"/>
    <w:rsid w:val="00B81A01"/>
    <w:rsid w:val="00B81EDF"/>
    <w:rsid w:val="00B8252E"/>
    <w:rsid w:val="00B830F4"/>
    <w:rsid w:val="00B831A7"/>
    <w:rsid w:val="00B83C75"/>
    <w:rsid w:val="00B83D2F"/>
    <w:rsid w:val="00B83DFD"/>
    <w:rsid w:val="00B83FB5"/>
    <w:rsid w:val="00B84862"/>
    <w:rsid w:val="00B848AD"/>
    <w:rsid w:val="00B84B8B"/>
    <w:rsid w:val="00B84BCC"/>
    <w:rsid w:val="00B852A4"/>
    <w:rsid w:val="00B85803"/>
    <w:rsid w:val="00B8598A"/>
    <w:rsid w:val="00B86150"/>
    <w:rsid w:val="00B868EA"/>
    <w:rsid w:val="00B86BB2"/>
    <w:rsid w:val="00B8701A"/>
    <w:rsid w:val="00B870B0"/>
    <w:rsid w:val="00B87115"/>
    <w:rsid w:val="00B874BF"/>
    <w:rsid w:val="00B87594"/>
    <w:rsid w:val="00B9018D"/>
    <w:rsid w:val="00B90AD5"/>
    <w:rsid w:val="00B90E97"/>
    <w:rsid w:val="00B917B6"/>
    <w:rsid w:val="00B91FED"/>
    <w:rsid w:val="00B920F9"/>
    <w:rsid w:val="00B92497"/>
    <w:rsid w:val="00B925EF"/>
    <w:rsid w:val="00B926AA"/>
    <w:rsid w:val="00B92AC1"/>
    <w:rsid w:val="00B930FF"/>
    <w:rsid w:val="00B93356"/>
    <w:rsid w:val="00B93530"/>
    <w:rsid w:val="00B93662"/>
    <w:rsid w:val="00B93F07"/>
    <w:rsid w:val="00B94578"/>
    <w:rsid w:val="00B94B8E"/>
    <w:rsid w:val="00B94DCB"/>
    <w:rsid w:val="00B950B3"/>
    <w:rsid w:val="00B95ABC"/>
    <w:rsid w:val="00B95FC8"/>
    <w:rsid w:val="00B96977"/>
    <w:rsid w:val="00B97099"/>
    <w:rsid w:val="00B97DD8"/>
    <w:rsid w:val="00B97E1C"/>
    <w:rsid w:val="00B97F1B"/>
    <w:rsid w:val="00BA0167"/>
    <w:rsid w:val="00BA01A0"/>
    <w:rsid w:val="00BA02C9"/>
    <w:rsid w:val="00BA0625"/>
    <w:rsid w:val="00BA0F84"/>
    <w:rsid w:val="00BA178D"/>
    <w:rsid w:val="00BA1E8D"/>
    <w:rsid w:val="00BA24B1"/>
    <w:rsid w:val="00BA26FC"/>
    <w:rsid w:val="00BA2FA3"/>
    <w:rsid w:val="00BA31D8"/>
    <w:rsid w:val="00BA3344"/>
    <w:rsid w:val="00BA4360"/>
    <w:rsid w:val="00BA4676"/>
    <w:rsid w:val="00BA4C83"/>
    <w:rsid w:val="00BA4DBF"/>
    <w:rsid w:val="00BA5409"/>
    <w:rsid w:val="00BA54A0"/>
    <w:rsid w:val="00BA56B6"/>
    <w:rsid w:val="00BA581E"/>
    <w:rsid w:val="00BA5876"/>
    <w:rsid w:val="00BA5ABB"/>
    <w:rsid w:val="00BA5D1F"/>
    <w:rsid w:val="00BA6034"/>
    <w:rsid w:val="00BA658F"/>
    <w:rsid w:val="00BA661D"/>
    <w:rsid w:val="00BA6964"/>
    <w:rsid w:val="00BA70DF"/>
    <w:rsid w:val="00BA70EC"/>
    <w:rsid w:val="00BA7358"/>
    <w:rsid w:val="00BA7369"/>
    <w:rsid w:val="00BA73D4"/>
    <w:rsid w:val="00BA7562"/>
    <w:rsid w:val="00BA7B22"/>
    <w:rsid w:val="00BB03C1"/>
    <w:rsid w:val="00BB15E2"/>
    <w:rsid w:val="00BB1E8A"/>
    <w:rsid w:val="00BB2265"/>
    <w:rsid w:val="00BB241F"/>
    <w:rsid w:val="00BB2520"/>
    <w:rsid w:val="00BB2904"/>
    <w:rsid w:val="00BB3B0C"/>
    <w:rsid w:val="00BB405E"/>
    <w:rsid w:val="00BB46A0"/>
    <w:rsid w:val="00BB4951"/>
    <w:rsid w:val="00BB4B1C"/>
    <w:rsid w:val="00BB5334"/>
    <w:rsid w:val="00BB5B92"/>
    <w:rsid w:val="00BB5CBC"/>
    <w:rsid w:val="00BB6149"/>
    <w:rsid w:val="00BB63B8"/>
    <w:rsid w:val="00BB63D3"/>
    <w:rsid w:val="00BB643A"/>
    <w:rsid w:val="00BB6880"/>
    <w:rsid w:val="00BB6DDC"/>
    <w:rsid w:val="00BB6F78"/>
    <w:rsid w:val="00BB7895"/>
    <w:rsid w:val="00BB799A"/>
    <w:rsid w:val="00BB7C1E"/>
    <w:rsid w:val="00BB7CAA"/>
    <w:rsid w:val="00BB7CC3"/>
    <w:rsid w:val="00BB7EDD"/>
    <w:rsid w:val="00BB7FA0"/>
    <w:rsid w:val="00BC0EE6"/>
    <w:rsid w:val="00BC1148"/>
    <w:rsid w:val="00BC1534"/>
    <w:rsid w:val="00BC1D30"/>
    <w:rsid w:val="00BC1DCA"/>
    <w:rsid w:val="00BC1E61"/>
    <w:rsid w:val="00BC1FE6"/>
    <w:rsid w:val="00BC226F"/>
    <w:rsid w:val="00BC2539"/>
    <w:rsid w:val="00BC2CEE"/>
    <w:rsid w:val="00BC2E2E"/>
    <w:rsid w:val="00BC302B"/>
    <w:rsid w:val="00BC3211"/>
    <w:rsid w:val="00BC32A2"/>
    <w:rsid w:val="00BC32A5"/>
    <w:rsid w:val="00BC43C8"/>
    <w:rsid w:val="00BC53EE"/>
    <w:rsid w:val="00BC57E5"/>
    <w:rsid w:val="00BC5889"/>
    <w:rsid w:val="00BC6D3F"/>
    <w:rsid w:val="00BC71B6"/>
    <w:rsid w:val="00BC7DCC"/>
    <w:rsid w:val="00BD01E7"/>
    <w:rsid w:val="00BD0388"/>
    <w:rsid w:val="00BD08E8"/>
    <w:rsid w:val="00BD1068"/>
    <w:rsid w:val="00BD123A"/>
    <w:rsid w:val="00BD12BE"/>
    <w:rsid w:val="00BD13C5"/>
    <w:rsid w:val="00BD15BA"/>
    <w:rsid w:val="00BD1609"/>
    <w:rsid w:val="00BD170F"/>
    <w:rsid w:val="00BD1734"/>
    <w:rsid w:val="00BD186C"/>
    <w:rsid w:val="00BD188E"/>
    <w:rsid w:val="00BD196C"/>
    <w:rsid w:val="00BD1C3D"/>
    <w:rsid w:val="00BD1E3B"/>
    <w:rsid w:val="00BD26B3"/>
    <w:rsid w:val="00BD2759"/>
    <w:rsid w:val="00BD27CE"/>
    <w:rsid w:val="00BD2AD4"/>
    <w:rsid w:val="00BD2DE8"/>
    <w:rsid w:val="00BD3D5E"/>
    <w:rsid w:val="00BD3F09"/>
    <w:rsid w:val="00BD46E2"/>
    <w:rsid w:val="00BD489E"/>
    <w:rsid w:val="00BD4ACC"/>
    <w:rsid w:val="00BD5048"/>
    <w:rsid w:val="00BD6043"/>
    <w:rsid w:val="00BD63C5"/>
    <w:rsid w:val="00BD7067"/>
    <w:rsid w:val="00BD7A65"/>
    <w:rsid w:val="00BD7E19"/>
    <w:rsid w:val="00BE0047"/>
    <w:rsid w:val="00BE01D9"/>
    <w:rsid w:val="00BE02E7"/>
    <w:rsid w:val="00BE0471"/>
    <w:rsid w:val="00BE0671"/>
    <w:rsid w:val="00BE06E3"/>
    <w:rsid w:val="00BE07CD"/>
    <w:rsid w:val="00BE0FB6"/>
    <w:rsid w:val="00BE1108"/>
    <w:rsid w:val="00BE14F4"/>
    <w:rsid w:val="00BE15DF"/>
    <w:rsid w:val="00BE1974"/>
    <w:rsid w:val="00BE21DB"/>
    <w:rsid w:val="00BE22AE"/>
    <w:rsid w:val="00BE22C2"/>
    <w:rsid w:val="00BE2B91"/>
    <w:rsid w:val="00BE31A8"/>
    <w:rsid w:val="00BE3C52"/>
    <w:rsid w:val="00BE3C92"/>
    <w:rsid w:val="00BE4D0A"/>
    <w:rsid w:val="00BE4F8E"/>
    <w:rsid w:val="00BE50E6"/>
    <w:rsid w:val="00BE533E"/>
    <w:rsid w:val="00BE541D"/>
    <w:rsid w:val="00BE5A3A"/>
    <w:rsid w:val="00BE6289"/>
    <w:rsid w:val="00BE687E"/>
    <w:rsid w:val="00BE7205"/>
    <w:rsid w:val="00BE7528"/>
    <w:rsid w:val="00BE7E01"/>
    <w:rsid w:val="00BF00E0"/>
    <w:rsid w:val="00BF01FD"/>
    <w:rsid w:val="00BF05A9"/>
    <w:rsid w:val="00BF0A1B"/>
    <w:rsid w:val="00BF0B59"/>
    <w:rsid w:val="00BF1182"/>
    <w:rsid w:val="00BF1638"/>
    <w:rsid w:val="00BF1B09"/>
    <w:rsid w:val="00BF20B0"/>
    <w:rsid w:val="00BF277C"/>
    <w:rsid w:val="00BF2C75"/>
    <w:rsid w:val="00BF2EB5"/>
    <w:rsid w:val="00BF30F3"/>
    <w:rsid w:val="00BF33C5"/>
    <w:rsid w:val="00BF3861"/>
    <w:rsid w:val="00BF38AD"/>
    <w:rsid w:val="00BF3EDC"/>
    <w:rsid w:val="00BF4669"/>
    <w:rsid w:val="00BF48FD"/>
    <w:rsid w:val="00BF4932"/>
    <w:rsid w:val="00BF49F8"/>
    <w:rsid w:val="00BF4A6A"/>
    <w:rsid w:val="00BF50BD"/>
    <w:rsid w:val="00BF518F"/>
    <w:rsid w:val="00BF550C"/>
    <w:rsid w:val="00BF6416"/>
    <w:rsid w:val="00BF690C"/>
    <w:rsid w:val="00BF6B06"/>
    <w:rsid w:val="00BF6CBD"/>
    <w:rsid w:val="00BF6E6E"/>
    <w:rsid w:val="00BF6F4D"/>
    <w:rsid w:val="00BF756D"/>
    <w:rsid w:val="00BF764F"/>
    <w:rsid w:val="00BF7652"/>
    <w:rsid w:val="00C00057"/>
    <w:rsid w:val="00C00853"/>
    <w:rsid w:val="00C00F9F"/>
    <w:rsid w:val="00C0121A"/>
    <w:rsid w:val="00C0202F"/>
    <w:rsid w:val="00C02143"/>
    <w:rsid w:val="00C0260C"/>
    <w:rsid w:val="00C0302D"/>
    <w:rsid w:val="00C03B25"/>
    <w:rsid w:val="00C04001"/>
    <w:rsid w:val="00C044B8"/>
    <w:rsid w:val="00C04691"/>
    <w:rsid w:val="00C04CD8"/>
    <w:rsid w:val="00C05648"/>
    <w:rsid w:val="00C0598F"/>
    <w:rsid w:val="00C05B19"/>
    <w:rsid w:val="00C05EB0"/>
    <w:rsid w:val="00C062DA"/>
    <w:rsid w:val="00C06578"/>
    <w:rsid w:val="00C07467"/>
    <w:rsid w:val="00C07D03"/>
    <w:rsid w:val="00C10225"/>
    <w:rsid w:val="00C10543"/>
    <w:rsid w:val="00C1091C"/>
    <w:rsid w:val="00C11068"/>
    <w:rsid w:val="00C1118E"/>
    <w:rsid w:val="00C113F9"/>
    <w:rsid w:val="00C1189F"/>
    <w:rsid w:val="00C11930"/>
    <w:rsid w:val="00C11AB1"/>
    <w:rsid w:val="00C11B7A"/>
    <w:rsid w:val="00C12204"/>
    <w:rsid w:val="00C126BC"/>
    <w:rsid w:val="00C12A27"/>
    <w:rsid w:val="00C12A71"/>
    <w:rsid w:val="00C13261"/>
    <w:rsid w:val="00C13461"/>
    <w:rsid w:val="00C13FCF"/>
    <w:rsid w:val="00C1460F"/>
    <w:rsid w:val="00C14730"/>
    <w:rsid w:val="00C14916"/>
    <w:rsid w:val="00C14B76"/>
    <w:rsid w:val="00C14D40"/>
    <w:rsid w:val="00C15256"/>
    <w:rsid w:val="00C15447"/>
    <w:rsid w:val="00C15916"/>
    <w:rsid w:val="00C15999"/>
    <w:rsid w:val="00C15DEF"/>
    <w:rsid w:val="00C15F5F"/>
    <w:rsid w:val="00C16A37"/>
    <w:rsid w:val="00C16C99"/>
    <w:rsid w:val="00C16F4A"/>
    <w:rsid w:val="00C17CA3"/>
    <w:rsid w:val="00C2014D"/>
    <w:rsid w:val="00C20842"/>
    <w:rsid w:val="00C20A61"/>
    <w:rsid w:val="00C20C0A"/>
    <w:rsid w:val="00C20DBD"/>
    <w:rsid w:val="00C212C9"/>
    <w:rsid w:val="00C21403"/>
    <w:rsid w:val="00C21800"/>
    <w:rsid w:val="00C21B1B"/>
    <w:rsid w:val="00C21F2F"/>
    <w:rsid w:val="00C22465"/>
    <w:rsid w:val="00C22AF1"/>
    <w:rsid w:val="00C22BDE"/>
    <w:rsid w:val="00C22FED"/>
    <w:rsid w:val="00C230CC"/>
    <w:rsid w:val="00C23F06"/>
    <w:rsid w:val="00C240F3"/>
    <w:rsid w:val="00C24683"/>
    <w:rsid w:val="00C24E03"/>
    <w:rsid w:val="00C24F1C"/>
    <w:rsid w:val="00C254CB"/>
    <w:rsid w:val="00C2568B"/>
    <w:rsid w:val="00C256AF"/>
    <w:rsid w:val="00C26297"/>
    <w:rsid w:val="00C274C5"/>
    <w:rsid w:val="00C27A57"/>
    <w:rsid w:val="00C27AE0"/>
    <w:rsid w:val="00C27B25"/>
    <w:rsid w:val="00C27C22"/>
    <w:rsid w:val="00C30282"/>
    <w:rsid w:val="00C30B48"/>
    <w:rsid w:val="00C30CF0"/>
    <w:rsid w:val="00C31298"/>
    <w:rsid w:val="00C312A5"/>
    <w:rsid w:val="00C31398"/>
    <w:rsid w:val="00C315FA"/>
    <w:rsid w:val="00C3169C"/>
    <w:rsid w:val="00C322D8"/>
    <w:rsid w:val="00C325A0"/>
    <w:rsid w:val="00C331E9"/>
    <w:rsid w:val="00C33521"/>
    <w:rsid w:val="00C3356C"/>
    <w:rsid w:val="00C3379F"/>
    <w:rsid w:val="00C3394D"/>
    <w:rsid w:val="00C33D9E"/>
    <w:rsid w:val="00C33F95"/>
    <w:rsid w:val="00C34072"/>
    <w:rsid w:val="00C343AD"/>
    <w:rsid w:val="00C34A41"/>
    <w:rsid w:val="00C350B0"/>
    <w:rsid w:val="00C3539A"/>
    <w:rsid w:val="00C3573D"/>
    <w:rsid w:val="00C35C3E"/>
    <w:rsid w:val="00C35DD8"/>
    <w:rsid w:val="00C361E1"/>
    <w:rsid w:val="00C36265"/>
    <w:rsid w:val="00C3629F"/>
    <w:rsid w:val="00C3671D"/>
    <w:rsid w:val="00C36863"/>
    <w:rsid w:val="00C36895"/>
    <w:rsid w:val="00C36D06"/>
    <w:rsid w:val="00C37E9B"/>
    <w:rsid w:val="00C4052A"/>
    <w:rsid w:val="00C4075F"/>
    <w:rsid w:val="00C40E1C"/>
    <w:rsid w:val="00C40F39"/>
    <w:rsid w:val="00C40F6F"/>
    <w:rsid w:val="00C41057"/>
    <w:rsid w:val="00C410C3"/>
    <w:rsid w:val="00C41C72"/>
    <w:rsid w:val="00C42076"/>
    <w:rsid w:val="00C4254C"/>
    <w:rsid w:val="00C428D6"/>
    <w:rsid w:val="00C42A45"/>
    <w:rsid w:val="00C432CF"/>
    <w:rsid w:val="00C43DE2"/>
    <w:rsid w:val="00C44162"/>
    <w:rsid w:val="00C44642"/>
    <w:rsid w:val="00C449BA"/>
    <w:rsid w:val="00C45565"/>
    <w:rsid w:val="00C455C5"/>
    <w:rsid w:val="00C45617"/>
    <w:rsid w:val="00C45633"/>
    <w:rsid w:val="00C45F3C"/>
    <w:rsid w:val="00C45F73"/>
    <w:rsid w:val="00C46886"/>
    <w:rsid w:val="00C4718E"/>
    <w:rsid w:val="00C472B5"/>
    <w:rsid w:val="00C47788"/>
    <w:rsid w:val="00C47D74"/>
    <w:rsid w:val="00C505DB"/>
    <w:rsid w:val="00C506A6"/>
    <w:rsid w:val="00C506C1"/>
    <w:rsid w:val="00C50D4E"/>
    <w:rsid w:val="00C50EAA"/>
    <w:rsid w:val="00C51987"/>
    <w:rsid w:val="00C51AB3"/>
    <w:rsid w:val="00C51C9C"/>
    <w:rsid w:val="00C51DA3"/>
    <w:rsid w:val="00C521F9"/>
    <w:rsid w:val="00C529A6"/>
    <w:rsid w:val="00C52ADB"/>
    <w:rsid w:val="00C532A6"/>
    <w:rsid w:val="00C5374F"/>
    <w:rsid w:val="00C537A8"/>
    <w:rsid w:val="00C539A7"/>
    <w:rsid w:val="00C540D8"/>
    <w:rsid w:val="00C540F2"/>
    <w:rsid w:val="00C5473A"/>
    <w:rsid w:val="00C54DF6"/>
    <w:rsid w:val="00C551A8"/>
    <w:rsid w:val="00C551DB"/>
    <w:rsid w:val="00C55455"/>
    <w:rsid w:val="00C55BFE"/>
    <w:rsid w:val="00C55DA4"/>
    <w:rsid w:val="00C56AAA"/>
    <w:rsid w:val="00C57285"/>
    <w:rsid w:val="00C57AD2"/>
    <w:rsid w:val="00C57EEF"/>
    <w:rsid w:val="00C57FBD"/>
    <w:rsid w:val="00C60560"/>
    <w:rsid w:val="00C6065F"/>
    <w:rsid w:val="00C606F9"/>
    <w:rsid w:val="00C60A07"/>
    <w:rsid w:val="00C60A2F"/>
    <w:rsid w:val="00C60D16"/>
    <w:rsid w:val="00C61376"/>
    <w:rsid w:val="00C621F1"/>
    <w:rsid w:val="00C6236A"/>
    <w:rsid w:val="00C62588"/>
    <w:rsid w:val="00C6259A"/>
    <w:rsid w:val="00C634DD"/>
    <w:rsid w:val="00C637B9"/>
    <w:rsid w:val="00C63F6A"/>
    <w:rsid w:val="00C64495"/>
    <w:rsid w:val="00C64502"/>
    <w:rsid w:val="00C64699"/>
    <w:rsid w:val="00C64979"/>
    <w:rsid w:val="00C657B1"/>
    <w:rsid w:val="00C657D9"/>
    <w:rsid w:val="00C65B91"/>
    <w:rsid w:val="00C65CAD"/>
    <w:rsid w:val="00C66816"/>
    <w:rsid w:val="00C66A8E"/>
    <w:rsid w:val="00C66AF7"/>
    <w:rsid w:val="00C6703B"/>
    <w:rsid w:val="00C670C1"/>
    <w:rsid w:val="00C6714A"/>
    <w:rsid w:val="00C6722A"/>
    <w:rsid w:val="00C6723E"/>
    <w:rsid w:val="00C6724E"/>
    <w:rsid w:val="00C67255"/>
    <w:rsid w:val="00C67375"/>
    <w:rsid w:val="00C67521"/>
    <w:rsid w:val="00C6766B"/>
    <w:rsid w:val="00C6785A"/>
    <w:rsid w:val="00C703AC"/>
    <w:rsid w:val="00C707F8"/>
    <w:rsid w:val="00C71060"/>
    <w:rsid w:val="00C71232"/>
    <w:rsid w:val="00C71897"/>
    <w:rsid w:val="00C719CF"/>
    <w:rsid w:val="00C71D83"/>
    <w:rsid w:val="00C71EE0"/>
    <w:rsid w:val="00C73B8E"/>
    <w:rsid w:val="00C73E29"/>
    <w:rsid w:val="00C74ACC"/>
    <w:rsid w:val="00C7519F"/>
    <w:rsid w:val="00C7539A"/>
    <w:rsid w:val="00C756CC"/>
    <w:rsid w:val="00C75A57"/>
    <w:rsid w:val="00C75E5E"/>
    <w:rsid w:val="00C763B0"/>
    <w:rsid w:val="00C76F07"/>
    <w:rsid w:val="00C77119"/>
    <w:rsid w:val="00C7733E"/>
    <w:rsid w:val="00C773EF"/>
    <w:rsid w:val="00C7768B"/>
    <w:rsid w:val="00C80743"/>
    <w:rsid w:val="00C8115E"/>
    <w:rsid w:val="00C8135E"/>
    <w:rsid w:val="00C819FE"/>
    <w:rsid w:val="00C81B89"/>
    <w:rsid w:val="00C81DB6"/>
    <w:rsid w:val="00C81F17"/>
    <w:rsid w:val="00C81F95"/>
    <w:rsid w:val="00C823B7"/>
    <w:rsid w:val="00C82856"/>
    <w:rsid w:val="00C82AB2"/>
    <w:rsid w:val="00C84335"/>
    <w:rsid w:val="00C843D4"/>
    <w:rsid w:val="00C84909"/>
    <w:rsid w:val="00C84F14"/>
    <w:rsid w:val="00C854FD"/>
    <w:rsid w:val="00C85522"/>
    <w:rsid w:val="00C85985"/>
    <w:rsid w:val="00C859D7"/>
    <w:rsid w:val="00C85C01"/>
    <w:rsid w:val="00C85EAD"/>
    <w:rsid w:val="00C8622A"/>
    <w:rsid w:val="00C86403"/>
    <w:rsid w:val="00C868BD"/>
    <w:rsid w:val="00C8749A"/>
    <w:rsid w:val="00C87AAA"/>
    <w:rsid w:val="00C87BE5"/>
    <w:rsid w:val="00C87CC8"/>
    <w:rsid w:val="00C87F94"/>
    <w:rsid w:val="00C9039C"/>
    <w:rsid w:val="00C9060E"/>
    <w:rsid w:val="00C906C0"/>
    <w:rsid w:val="00C913E8"/>
    <w:rsid w:val="00C9193B"/>
    <w:rsid w:val="00C92052"/>
    <w:rsid w:val="00C920C5"/>
    <w:rsid w:val="00C92BF1"/>
    <w:rsid w:val="00C92CBE"/>
    <w:rsid w:val="00C93A87"/>
    <w:rsid w:val="00C9446A"/>
    <w:rsid w:val="00C94525"/>
    <w:rsid w:val="00C949A7"/>
    <w:rsid w:val="00C94B72"/>
    <w:rsid w:val="00C9510F"/>
    <w:rsid w:val="00C95630"/>
    <w:rsid w:val="00C96308"/>
    <w:rsid w:val="00C964CD"/>
    <w:rsid w:val="00C967F4"/>
    <w:rsid w:val="00C96DF6"/>
    <w:rsid w:val="00C96FBF"/>
    <w:rsid w:val="00C9757F"/>
    <w:rsid w:val="00C976B0"/>
    <w:rsid w:val="00C97C90"/>
    <w:rsid w:val="00CA00E4"/>
    <w:rsid w:val="00CA07EC"/>
    <w:rsid w:val="00CA09D4"/>
    <w:rsid w:val="00CA0A3A"/>
    <w:rsid w:val="00CA0A86"/>
    <w:rsid w:val="00CA0A87"/>
    <w:rsid w:val="00CA1385"/>
    <w:rsid w:val="00CA1461"/>
    <w:rsid w:val="00CA1ED3"/>
    <w:rsid w:val="00CA1F63"/>
    <w:rsid w:val="00CA23D9"/>
    <w:rsid w:val="00CA260D"/>
    <w:rsid w:val="00CA262A"/>
    <w:rsid w:val="00CA2948"/>
    <w:rsid w:val="00CA2CD0"/>
    <w:rsid w:val="00CA3B96"/>
    <w:rsid w:val="00CA3FAF"/>
    <w:rsid w:val="00CA4068"/>
    <w:rsid w:val="00CA40B0"/>
    <w:rsid w:val="00CA432E"/>
    <w:rsid w:val="00CA4766"/>
    <w:rsid w:val="00CA47AE"/>
    <w:rsid w:val="00CA497D"/>
    <w:rsid w:val="00CA4CA4"/>
    <w:rsid w:val="00CA4E1B"/>
    <w:rsid w:val="00CA5530"/>
    <w:rsid w:val="00CA5909"/>
    <w:rsid w:val="00CA5C85"/>
    <w:rsid w:val="00CA603C"/>
    <w:rsid w:val="00CA6526"/>
    <w:rsid w:val="00CA6690"/>
    <w:rsid w:val="00CA68CF"/>
    <w:rsid w:val="00CA6B76"/>
    <w:rsid w:val="00CA720F"/>
    <w:rsid w:val="00CA7373"/>
    <w:rsid w:val="00CA7BB3"/>
    <w:rsid w:val="00CB0367"/>
    <w:rsid w:val="00CB0848"/>
    <w:rsid w:val="00CB0AF7"/>
    <w:rsid w:val="00CB119B"/>
    <w:rsid w:val="00CB18D4"/>
    <w:rsid w:val="00CB1F90"/>
    <w:rsid w:val="00CB2184"/>
    <w:rsid w:val="00CB22B6"/>
    <w:rsid w:val="00CB230E"/>
    <w:rsid w:val="00CB26DE"/>
    <w:rsid w:val="00CB26E3"/>
    <w:rsid w:val="00CB287D"/>
    <w:rsid w:val="00CB2B0B"/>
    <w:rsid w:val="00CB2E20"/>
    <w:rsid w:val="00CB3835"/>
    <w:rsid w:val="00CB3883"/>
    <w:rsid w:val="00CB3936"/>
    <w:rsid w:val="00CB40BE"/>
    <w:rsid w:val="00CB485F"/>
    <w:rsid w:val="00CB4E40"/>
    <w:rsid w:val="00CB506F"/>
    <w:rsid w:val="00CB5DC1"/>
    <w:rsid w:val="00CB610D"/>
    <w:rsid w:val="00CB650E"/>
    <w:rsid w:val="00CB6A62"/>
    <w:rsid w:val="00CB6C52"/>
    <w:rsid w:val="00CB71FA"/>
    <w:rsid w:val="00CB75FF"/>
    <w:rsid w:val="00CB7699"/>
    <w:rsid w:val="00CB78CB"/>
    <w:rsid w:val="00CB7995"/>
    <w:rsid w:val="00CC020D"/>
    <w:rsid w:val="00CC06F2"/>
    <w:rsid w:val="00CC0744"/>
    <w:rsid w:val="00CC1852"/>
    <w:rsid w:val="00CC1CD8"/>
    <w:rsid w:val="00CC1CF6"/>
    <w:rsid w:val="00CC225A"/>
    <w:rsid w:val="00CC261D"/>
    <w:rsid w:val="00CC2B8A"/>
    <w:rsid w:val="00CC2C5A"/>
    <w:rsid w:val="00CC2DDD"/>
    <w:rsid w:val="00CC2FC0"/>
    <w:rsid w:val="00CC36C8"/>
    <w:rsid w:val="00CC3829"/>
    <w:rsid w:val="00CC3BC0"/>
    <w:rsid w:val="00CC3F8E"/>
    <w:rsid w:val="00CC419F"/>
    <w:rsid w:val="00CC4993"/>
    <w:rsid w:val="00CC5450"/>
    <w:rsid w:val="00CC61A6"/>
    <w:rsid w:val="00CC641E"/>
    <w:rsid w:val="00CC6940"/>
    <w:rsid w:val="00CC69E1"/>
    <w:rsid w:val="00CC71BD"/>
    <w:rsid w:val="00CC7C3F"/>
    <w:rsid w:val="00CC7CCD"/>
    <w:rsid w:val="00CC7FED"/>
    <w:rsid w:val="00CD00C3"/>
    <w:rsid w:val="00CD12A0"/>
    <w:rsid w:val="00CD166C"/>
    <w:rsid w:val="00CD18A3"/>
    <w:rsid w:val="00CD1A75"/>
    <w:rsid w:val="00CD24A2"/>
    <w:rsid w:val="00CD29E6"/>
    <w:rsid w:val="00CD2D08"/>
    <w:rsid w:val="00CD2EDE"/>
    <w:rsid w:val="00CD31FE"/>
    <w:rsid w:val="00CD3672"/>
    <w:rsid w:val="00CD36A5"/>
    <w:rsid w:val="00CD42BA"/>
    <w:rsid w:val="00CD4306"/>
    <w:rsid w:val="00CD4660"/>
    <w:rsid w:val="00CD4818"/>
    <w:rsid w:val="00CD485E"/>
    <w:rsid w:val="00CD49A5"/>
    <w:rsid w:val="00CD576E"/>
    <w:rsid w:val="00CD589D"/>
    <w:rsid w:val="00CD5930"/>
    <w:rsid w:val="00CD5D2A"/>
    <w:rsid w:val="00CD6306"/>
    <w:rsid w:val="00CD6583"/>
    <w:rsid w:val="00CD66EC"/>
    <w:rsid w:val="00CD687F"/>
    <w:rsid w:val="00CD6A3E"/>
    <w:rsid w:val="00CD6A9A"/>
    <w:rsid w:val="00CD6B1A"/>
    <w:rsid w:val="00CD6D89"/>
    <w:rsid w:val="00CD6D9C"/>
    <w:rsid w:val="00CD6ECE"/>
    <w:rsid w:val="00CD7B40"/>
    <w:rsid w:val="00CD7EDF"/>
    <w:rsid w:val="00CE0749"/>
    <w:rsid w:val="00CE07C1"/>
    <w:rsid w:val="00CE0953"/>
    <w:rsid w:val="00CE17F9"/>
    <w:rsid w:val="00CE1B9F"/>
    <w:rsid w:val="00CE232F"/>
    <w:rsid w:val="00CE34A0"/>
    <w:rsid w:val="00CE354C"/>
    <w:rsid w:val="00CE396C"/>
    <w:rsid w:val="00CE3C34"/>
    <w:rsid w:val="00CE3E99"/>
    <w:rsid w:val="00CE4165"/>
    <w:rsid w:val="00CE42C3"/>
    <w:rsid w:val="00CE4595"/>
    <w:rsid w:val="00CE4C17"/>
    <w:rsid w:val="00CE4C2C"/>
    <w:rsid w:val="00CE54BE"/>
    <w:rsid w:val="00CE557D"/>
    <w:rsid w:val="00CE5B9C"/>
    <w:rsid w:val="00CE6146"/>
    <w:rsid w:val="00CE61AA"/>
    <w:rsid w:val="00CE6DED"/>
    <w:rsid w:val="00CE70D4"/>
    <w:rsid w:val="00CE711C"/>
    <w:rsid w:val="00CE7DEC"/>
    <w:rsid w:val="00CE7E41"/>
    <w:rsid w:val="00CE7FE7"/>
    <w:rsid w:val="00CF06B6"/>
    <w:rsid w:val="00CF06BE"/>
    <w:rsid w:val="00CF0D7F"/>
    <w:rsid w:val="00CF100A"/>
    <w:rsid w:val="00CF1037"/>
    <w:rsid w:val="00CF132D"/>
    <w:rsid w:val="00CF19E9"/>
    <w:rsid w:val="00CF24D5"/>
    <w:rsid w:val="00CF2546"/>
    <w:rsid w:val="00CF316B"/>
    <w:rsid w:val="00CF34DF"/>
    <w:rsid w:val="00CF3E08"/>
    <w:rsid w:val="00CF3EBC"/>
    <w:rsid w:val="00CF4143"/>
    <w:rsid w:val="00CF44BF"/>
    <w:rsid w:val="00CF45A4"/>
    <w:rsid w:val="00CF4826"/>
    <w:rsid w:val="00CF4D19"/>
    <w:rsid w:val="00CF5154"/>
    <w:rsid w:val="00CF5660"/>
    <w:rsid w:val="00CF5684"/>
    <w:rsid w:val="00CF68D8"/>
    <w:rsid w:val="00CF6BBE"/>
    <w:rsid w:val="00CF6BD3"/>
    <w:rsid w:val="00CF71AC"/>
    <w:rsid w:val="00CF72B3"/>
    <w:rsid w:val="00CF7484"/>
    <w:rsid w:val="00D00B21"/>
    <w:rsid w:val="00D00C8B"/>
    <w:rsid w:val="00D0119F"/>
    <w:rsid w:val="00D01AF6"/>
    <w:rsid w:val="00D01D7C"/>
    <w:rsid w:val="00D026A9"/>
    <w:rsid w:val="00D029E4"/>
    <w:rsid w:val="00D02ED6"/>
    <w:rsid w:val="00D0305A"/>
    <w:rsid w:val="00D037A1"/>
    <w:rsid w:val="00D03B3D"/>
    <w:rsid w:val="00D03B7A"/>
    <w:rsid w:val="00D0401A"/>
    <w:rsid w:val="00D04136"/>
    <w:rsid w:val="00D05087"/>
    <w:rsid w:val="00D05575"/>
    <w:rsid w:val="00D05F34"/>
    <w:rsid w:val="00D060CA"/>
    <w:rsid w:val="00D062E5"/>
    <w:rsid w:val="00D06610"/>
    <w:rsid w:val="00D06620"/>
    <w:rsid w:val="00D069FF"/>
    <w:rsid w:val="00D06DB8"/>
    <w:rsid w:val="00D0709A"/>
    <w:rsid w:val="00D07C3C"/>
    <w:rsid w:val="00D07CB2"/>
    <w:rsid w:val="00D07DB7"/>
    <w:rsid w:val="00D07F5C"/>
    <w:rsid w:val="00D10380"/>
    <w:rsid w:val="00D10776"/>
    <w:rsid w:val="00D10838"/>
    <w:rsid w:val="00D1117E"/>
    <w:rsid w:val="00D111BC"/>
    <w:rsid w:val="00D11F1E"/>
    <w:rsid w:val="00D11FD8"/>
    <w:rsid w:val="00D12574"/>
    <w:rsid w:val="00D1273B"/>
    <w:rsid w:val="00D12914"/>
    <w:rsid w:val="00D1311C"/>
    <w:rsid w:val="00D13193"/>
    <w:rsid w:val="00D13218"/>
    <w:rsid w:val="00D1391E"/>
    <w:rsid w:val="00D13A0F"/>
    <w:rsid w:val="00D13A86"/>
    <w:rsid w:val="00D14E1B"/>
    <w:rsid w:val="00D14E1D"/>
    <w:rsid w:val="00D14EF1"/>
    <w:rsid w:val="00D155AA"/>
    <w:rsid w:val="00D155F4"/>
    <w:rsid w:val="00D1632A"/>
    <w:rsid w:val="00D17B2C"/>
    <w:rsid w:val="00D17DE9"/>
    <w:rsid w:val="00D17F05"/>
    <w:rsid w:val="00D20977"/>
    <w:rsid w:val="00D20B3F"/>
    <w:rsid w:val="00D20F96"/>
    <w:rsid w:val="00D21032"/>
    <w:rsid w:val="00D2111B"/>
    <w:rsid w:val="00D212B2"/>
    <w:rsid w:val="00D216D2"/>
    <w:rsid w:val="00D21F08"/>
    <w:rsid w:val="00D227B4"/>
    <w:rsid w:val="00D2280E"/>
    <w:rsid w:val="00D228D0"/>
    <w:rsid w:val="00D231E6"/>
    <w:rsid w:val="00D233BF"/>
    <w:rsid w:val="00D236E6"/>
    <w:rsid w:val="00D23910"/>
    <w:rsid w:val="00D23EFC"/>
    <w:rsid w:val="00D23F86"/>
    <w:rsid w:val="00D24178"/>
    <w:rsid w:val="00D244A8"/>
    <w:rsid w:val="00D24EBC"/>
    <w:rsid w:val="00D25167"/>
    <w:rsid w:val="00D2518D"/>
    <w:rsid w:val="00D2568E"/>
    <w:rsid w:val="00D25695"/>
    <w:rsid w:val="00D25A79"/>
    <w:rsid w:val="00D25D49"/>
    <w:rsid w:val="00D2600F"/>
    <w:rsid w:val="00D26026"/>
    <w:rsid w:val="00D260B4"/>
    <w:rsid w:val="00D2664B"/>
    <w:rsid w:val="00D26815"/>
    <w:rsid w:val="00D26878"/>
    <w:rsid w:val="00D26A29"/>
    <w:rsid w:val="00D2721D"/>
    <w:rsid w:val="00D279F7"/>
    <w:rsid w:val="00D27E38"/>
    <w:rsid w:val="00D3006C"/>
    <w:rsid w:val="00D30460"/>
    <w:rsid w:val="00D31308"/>
    <w:rsid w:val="00D31780"/>
    <w:rsid w:val="00D31AAF"/>
    <w:rsid w:val="00D31B82"/>
    <w:rsid w:val="00D31E5E"/>
    <w:rsid w:val="00D31F0C"/>
    <w:rsid w:val="00D320B3"/>
    <w:rsid w:val="00D32270"/>
    <w:rsid w:val="00D3236D"/>
    <w:rsid w:val="00D328D1"/>
    <w:rsid w:val="00D32D2F"/>
    <w:rsid w:val="00D33114"/>
    <w:rsid w:val="00D33816"/>
    <w:rsid w:val="00D33848"/>
    <w:rsid w:val="00D33A2C"/>
    <w:rsid w:val="00D33B0A"/>
    <w:rsid w:val="00D34727"/>
    <w:rsid w:val="00D349C1"/>
    <w:rsid w:val="00D34C4D"/>
    <w:rsid w:val="00D35304"/>
    <w:rsid w:val="00D3564E"/>
    <w:rsid w:val="00D35957"/>
    <w:rsid w:val="00D36093"/>
    <w:rsid w:val="00D36507"/>
    <w:rsid w:val="00D36950"/>
    <w:rsid w:val="00D36B51"/>
    <w:rsid w:val="00D37354"/>
    <w:rsid w:val="00D37AA3"/>
    <w:rsid w:val="00D407A1"/>
    <w:rsid w:val="00D40982"/>
    <w:rsid w:val="00D40AF1"/>
    <w:rsid w:val="00D40BAA"/>
    <w:rsid w:val="00D41183"/>
    <w:rsid w:val="00D419AA"/>
    <w:rsid w:val="00D41A88"/>
    <w:rsid w:val="00D41B19"/>
    <w:rsid w:val="00D41C8A"/>
    <w:rsid w:val="00D42B15"/>
    <w:rsid w:val="00D42FC9"/>
    <w:rsid w:val="00D431E7"/>
    <w:rsid w:val="00D43327"/>
    <w:rsid w:val="00D43A6B"/>
    <w:rsid w:val="00D43C3F"/>
    <w:rsid w:val="00D4505D"/>
    <w:rsid w:val="00D453F1"/>
    <w:rsid w:val="00D4552B"/>
    <w:rsid w:val="00D459C8"/>
    <w:rsid w:val="00D45A67"/>
    <w:rsid w:val="00D46023"/>
    <w:rsid w:val="00D462E0"/>
    <w:rsid w:val="00D46390"/>
    <w:rsid w:val="00D465B6"/>
    <w:rsid w:val="00D46C7F"/>
    <w:rsid w:val="00D46D9F"/>
    <w:rsid w:val="00D47A52"/>
    <w:rsid w:val="00D50086"/>
    <w:rsid w:val="00D504F9"/>
    <w:rsid w:val="00D508EF"/>
    <w:rsid w:val="00D50B9F"/>
    <w:rsid w:val="00D51111"/>
    <w:rsid w:val="00D51DEC"/>
    <w:rsid w:val="00D52027"/>
    <w:rsid w:val="00D52148"/>
    <w:rsid w:val="00D52723"/>
    <w:rsid w:val="00D52CAF"/>
    <w:rsid w:val="00D52F48"/>
    <w:rsid w:val="00D52F5E"/>
    <w:rsid w:val="00D5382A"/>
    <w:rsid w:val="00D53846"/>
    <w:rsid w:val="00D5385E"/>
    <w:rsid w:val="00D53E84"/>
    <w:rsid w:val="00D54180"/>
    <w:rsid w:val="00D5420F"/>
    <w:rsid w:val="00D54229"/>
    <w:rsid w:val="00D5493D"/>
    <w:rsid w:val="00D549A0"/>
    <w:rsid w:val="00D54FC0"/>
    <w:rsid w:val="00D55187"/>
    <w:rsid w:val="00D55674"/>
    <w:rsid w:val="00D55E37"/>
    <w:rsid w:val="00D560FD"/>
    <w:rsid w:val="00D56173"/>
    <w:rsid w:val="00D5663A"/>
    <w:rsid w:val="00D567A4"/>
    <w:rsid w:val="00D56E8C"/>
    <w:rsid w:val="00D5741B"/>
    <w:rsid w:val="00D5751B"/>
    <w:rsid w:val="00D57672"/>
    <w:rsid w:val="00D57728"/>
    <w:rsid w:val="00D57C1C"/>
    <w:rsid w:val="00D602FD"/>
    <w:rsid w:val="00D60DEA"/>
    <w:rsid w:val="00D60FE3"/>
    <w:rsid w:val="00D611C9"/>
    <w:rsid w:val="00D61203"/>
    <w:rsid w:val="00D61247"/>
    <w:rsid w:val="00D6124C"/>
    <w:rsid w:val="00D61AB7"/>
    <w:rsid w:val="00D6205C"/>
    <w:rsid w:val="00D6207C"/>
    <w:rsid w:val="00D624EA"/>
    <w:rsid w:val="00D62551"/>
    <w:rsid w:val="00D632E2"/>
    <w:rsid w:val="00D63857"/>
    <w:rsid w:val="00D63879"/>
    <w:rsid w:val="00D63BF0"/>
    <w:rsid w:val="00D63E63"/>
    <w:rsid w:val="00D644AA"/>
    <w:rsid w:val="00D64716"/>
    <w:rsid w:val="00D647A0"/>
    <w:rsid w:val="00D6487D"/>
    <w:rsid w:val="00D64A5A"/>
    <w:rsid w:val="00D650E0"/>
    <w:rsid w:val="00D6550E"/>
    <w:rsid w:val="00D66143"/>
    <w:rsid w:val="00D66AEB"/>
    <w:rsid w:val="00D67179"/>
    <w:rsid w:val="00D676E8"/>
    <w:rsid w:val="00D677EC"/>
    <w:rsid w:val="00D67C67"/>
    <w:rsid w:val="00D67E56"/>
    <w:rsid w:val="00D67F57"/>
    <w:rsid w:val="00D7006B"/>
    <w:rsid w:val="00D70279"/>
    <w:rsid w:val="00D702EF"/>
    <w:rsid w:val="00D71291"/>
    <w:rsid w:val="00D71402"/>
    <w:rsid w:val="00D71AA6"/>
    <w:rsid w:val="00D721BC"/>
    <w:rsid w:val="00D721C3"/>
    <w:rsid w:val="00D7235F"/>
    <w:rsid w:val="00D7276C"/>
    <w:rsid w:val="00D73579"/>
    <w:rsid w:val="00D73847"/>
    <w:rsid w:val="00D73D01"/>
    <w:rsid w:val="00D74151"/>
    <w:rsid w:val="00D741B0"/>
    <w:rsid w:val="00D747B4"/>
    <w:rsid w:val="00D748EB"/>
    <w:rsid w:val="00D74B11"/>
    <w:rsid w:val="00D7516E"/>
    <w:rsid w:val="00D756E4"/>
    <w:rsid w:val="00D7580A"/>
    <w:rsid w:val="00D765E2"/>
    <w:rsid w:val="00D765E3"/>
    <w:rsid w:val="00D7661E"/>
    <w:rsid w:val="00D76A9E"/>
    <w:rsid w:val="00D76AE1"/>
    <w:rsid w:val="00D76EAD"/>
    <w:rsid w:val="00D7709C"/>
    <w:rsid w:val="00D77291"/>
    <w:rsid w:val="00D77552"/>
    <w:rsid w:val="00D77607"/>
    <w:rsid w:val="00D77713"/>
    <w:rsid w:val="00D77775"/>
    <w:rsid w:val="00D77BAE"/>
    <w:rsid w:val="00D77D1C"/>
    <w:rsid w:val="00D80A02"/>
    <w:rsid w:val="00D80CB3"/>
    <w:rsid w:val="00D81767"/>
    <w:rsid w:val="00D817D0"/>
    <w:rsid w:val="00D818F5"/>
    <w:rsid w:val="00D819DF"/>
    <w:rsid w:val="00D81A7F"/>
    <w:rsid w:val="00D81C8F"/>
    <w:rsid w:val="00D8264A"/>
    <w:rsid w:val="00D82B92"/>
    <w:rsid w:val="00D82CC7"/>
    <w:rsid w:val="00D82CEC"/>
    <w:rsid w:val="00D83288"/>
    <w:rsid w:val="00D8330F"/>
    <w:rsid w:val="00D83310"/>
    <w:rsid w:val="00D83923"/>
    <w:rsid w:val="00D83F8E"/>
    <w:rsid w:val="00D842FA"/>
    <w:rsid w:val="00D844B6"/>
    <w:rsid w:val="00D84F1E"/>
    <w:rsid w:val="00D8505A"/>
    <w:rsid w:val="00D8506D"/>
    <w:rsid w:val="00D854CE"/>
    <w:rsid w:val="00D85555"/>
    <w:rsid w:val="00D867AE"/>
    <w:rsid w:val="00D86C1F"/>
    <w:rsid w:val="00D86D11"/>
    <w:rsid w:val="00D872C4"/>
    <w:rsid w:val="00D87895"/>
    <w:rsid w:val="00D87976"/>
    <w:rsid w:val="00D87A19"/>
    <w:rsid w:val="00D87DA6"/>
    <w:rsid w:val="00D90236"/>
    <w:rsid w:val="00D90375"/>
    <w:rsid w:val="00D9047B"/>
    <w:rsid w:val="00D905BD"/>
    <w:rsid w:val="00D90BE9"/>
    <w:rsid w:val="00D91F9B"/>
    <w:rsid w:val="00D9206B"/>
    <w:rsid w:val="00D92923"/>
    <w:rsid w:val="00D9295A"/>
    <w:rsid w:val="00D92D0F"/>
    <w:rsid w:val="00D930DB"/>
    <w:rsid w:val="00D93861"/>
    <w:rsid w:val="00D939BF"/>
    <w:rsid w:val="00D939CC"/>
    <w:rsid w:val="00D93C03"/>
    <w:rsid w:val="00D93F77"/>
    <w:rsid w:val="00D94410"/>
    <w:rsid w:val="00D945FA"/>
    <w:rsid w:val="00D94A1C"/>
    <w:rsid w:val="00D94D90"/>
    <w:rsid w:val="00D94DE7"/>
    <w:rsid w:val="00D94FAE"/>
    <w:rsid w:val="00D95109"/>
    <w:rsid w:val="00D95883"/>
    <w:rsid w:val="00D958B4"/>
    <w:rsid w:val="00D95AB0"/>
    <w:rsid w:val="00D964EA"/>
    <w:rsid w:val="00D9671D"/>
    <w:rsid w:val="00D9699C"/>
    <w:rsid w:val="00D969B2"/>
    <w:rsid w:val="00D96C97"/>
    <w:rsid w:val="00D9787D"/>
    <w:rsid w:val="00D979AB"/>
    <w:rsid w:val="00D97F79"/>
    <w:rsid w:val="00DA0057"/>
    <w:rsid w:val="00DA0552"/>
    <w:rsid w:val="00DA06E1"/>
    <w:rsid w:val="00DA0B27"/>
    <w:rsid w:val="00DA1187"/>
    <w:rsid w:val="00DA1E12"/>
    <w:rsid w:val="00DA26DE"/>
    <w:rsid w:val="00DA27C1"/>
    <w:rsid w:val="00DA2A01"/>
    <w:rsid w:val="00DA2BB6"/>
    <w:rsid w:val="00DA32FE"/>
    <w:rsid w:val="00DA3380"/>
    <w:rsid w:val="00DA3436"/>
    <w:rsid w:val="00DA3467"/>
    <w:rsid w:val="00DA3D76"/>
    <w:rsid w:val="00DA4D5D"/>
    <w:rsid w:val="00DA4F34"/>
    <w:rsid w:val="00DA5023"/>
    <w:rsid w:val="00DA50A3"/>
    <w:rsid w:val="00DA548A"/>
    <w:rsid w:val="00DA5A2B"/>
    <w:rsid w:val="00DA5AE2"/>
    <w:rsid w:val="00DA5D47"/>
    <w:rsid w:val="00DA6750"/>
    <w:rsid w:val="00DA6C1E"/>
    <w:rsid w:val="00DA6C61"/>
    <w:rsid w:val="00DA6EC0"/>
    <w:rsid w:val="00DA73FC"/>
    <w:rsid w:val="00DA74EF"/>
    <w:rsid w:val="00DA783C"/>
    <w:rsid w:val="00DA794E"/>
    <w:rsid w:val="00DB035C"/>
    <w:rsid w:val="00DB0A4E"/>
    <w:rsid w:val="00DB0B6A"/>
    <w:rsid w:val="00DB0BBC"/>
    <w:rsid w:val="00DB0E17"/>
    <w:rsid w:val="00DB0F76"/>
    <w:rsid w:val="00DB11B0"/>
    <w:rsid w:val="00DB1859"/>
    <w:rsid w:val="00DB1A02"/>
    <w:rsid w:val="00DB1B01"/>
    <w:rsid w:val="00DB1C09"/>
    <w:rsid w:val="00DB2092"/>
    <w:rsid w:val="00DB27E8"/>
    <w:rsid w:val="00DB2800"/>
    <w:rsid w:val="00DB3054"/>
    <w:rsid w:val="00DB3270"/>
    <w:rsid w:val="00DB35C2"/>
    <w:rsid w:val="00DB3796"/>
    <w:rsid w:val="00DB4455"/>
    <w:rsid w:val="00DB481C"/>
    <w:rsid w:val="00DB5359"/>
    <w:rsid w:val="00DB56B0"/>
    <w:rsid w:val="00DB5736"/>
    <w:rsid w:val="00DB5915"/>
    <w:rsid w:val="00DB5BC8"/>
    <w:rsid w:val="00DB61A8"/>
    <w:rsid w:val="00DB61FD"/>
    <w:rsid w:val="00DB6380"/>
    <w:rsid w:val="00DB65D7"/>
    <w:rsid w:val="00DB6617"/>
    <w:rsid w:val="00DB6D9A"/>
    <w:rsid w:val="00DB6E34"/>
    <w:rsid w:val="00DB6E9E"/>
    <w:rsid w:val="00DB72D0"/>
    <w:rsid w:val="00DB7470"/>
    <w:rsid w:val="00DB74B7"/>
    <w:rsid w:val="00DB7535"/>
    <w:rsid w:val="00DB7AE4"/>
    <w:rsid w:val="00DC0C7A"/>
    <w:rsid w:val="00DC0D04"/>
    <w:rsid w:val="00DC0D6C"/>
    <w:rsid w:val="00DC0E9D"/>
    <w:rsid w:val="00DC166C"/>
    <w:rsid w:val="00DC16B0"/>
    <w:rsid w:val="00DC2173"/>
    <w:rsid w:val="00DC2392"/>
    <w:rsid w:val="00DC2B2D"/>
    <w:rsid w:val="00DC2BB5"/>
    <w:rsid w:val="00DC2C2F"/>
    <w:rsid w:val="00DC3ADD"/>
    <w:rsid w:val="00DC3CE4"/>
    <w:rsid w:val="00DC3F7E"/>
    <w:rsid w:val="00DC41CE"/>
    <w:rsid w:val="00DC4A53"/>
    <w:rsid w:val="00DC4A8F"/>
    <w:rsid w:val="00DC506C"/>
    <w:rsid w:val="00DC545D"/>
    <w:rsid w:val="00DC54E0"/>
    <w:rsid w:val="00DC6D72"/>
    <w:rsid w:val="00DC70C5"/>
    <w:rsid w:val="00DC7816"/>
    <w:rsid w:val="00DC7C8D"/>
    <w:rsid w:val="00DC7E22"/>
    <w:rsid w:val="00DD0189"/>
    <w:rsid w:val="00DD028C"/>
    <w:rsid w:val="00DD068C"/>
    <w:rsid w:val="00DD0B64"/>
    <w:rsid w:val="00DD10CD"/>
    <w:rsid w:val="00DD1117"/>
    <w:rsid w:val="00DD1463"/>
    <w:rsid w:val="00DD17E0"/>
    <w:rsid w:val="00DD1996"/>
    <w:rsid w:val="00DD1B30"/>
    <w:rsid w:val="00DD1C82"/>
    <w:rsid w:val="00DD1D86"/>
    <w:rsid w:val="00DD2DD5"/>
    <w:rsid w:val="00DD33F0"/>
    <w:rsid w:val="00DD33F7"/>
    <w:rsid w:val="00DD365D"/>
    <w:rsid w:val="00DD39A5"/>
    <w:rsid w:val="00DD3A78"/>
    <w:rsid w:val="00DD3EFF"/>
    <w:rsid w:val="00DD4262"/>
    <w:rsid w:val="00DD42F1"/>
    <w:rsid w:val="00DD46BB"/>
    <w:rsid w:val="00DD487A"/>
    <w:rsid w:val="00DD4F73"/>
    <w:rsid w:val="00DD50F1"/>
    <w:rsid w:val="00DD525F"/>
    <w:rsid w:val="00DD53F8"/>
    <w:rsid w:val="00DD55A4"/>
    <w:rsid w:val="00DD6151"/>
    <w:rsid w:val="00DD6394"/>
    <w:rsid w:val="00DD63CD"/>
    <w:rsid w:val="00DD6721"/>
    <w:rsid w:val="00DD6BB9"/>
    <w:rsid w:val="00DD6E9C"/>
    <w:rsid w:val="00DD7855"/>
    <w:rsid w:val="00DD7985"/>
    <w:rsid w:val="00DD7FD2"/>
    <w:rsid w:val="00DE0587"/>
    <w:rsid w:val="00DE0AC9"/>
    <w:rsid w:val="00DE0AEF"/>
    <w:rsid w:val="00DE16C4"/>
    <w:rsid w:val="00DE1883"/>
    <w:rsid w:val="00DE1E1A"/>
    <w:rsid w:val="00DE1FEB"/>
    <w:rsid w:val="00DE24C6"/>
    <w:rsid w:val="00DE2CE6"/>
    <w:rsid w:val="00DE2FD7"/>
    <w:rsid w:val="00DE3137"/>
    <w:rsid w:val="00DE320E"/>
    <w:rsid w:val="00DE3E57"/>
    <w:rsid w:val="00DE3F02"/>
    <w:rsid w:val="00DE4046"/>
    <w:rsid w:val="00DE4258"/>
    <w:rsid w:val="00DE436E"/>
    <w:rsid w:val="00DE4C04"/>
    <w:rsid w:val="00DE4C3A"/>
    <w:rsid w:val="00DE5061"/>
    <w:rsid w:val="00DE506D"/>
    <w:rsid w:val="00DE50C0"/>
    <w:rsid w:val="00DE5515"/>
    <w:rsid w:val="00DE5871"/>
    <w:rsid w:val="00DE5AEB"/>
    <w:rsid w:val="00DE5F3A"/>
    <w:rsid w:val="00DE6069"/>
    <w:rsid w:val="00DE6308"/>
    <w:rsid w:val="00DE6614"/>
    <w:rsid w:val="00DE683A"/>
    <w:rsid w:val="00DE6C45"/>
    <w:rsid w:val="00DE6D08"/>
    <w:rsid w:val="00DE6F1B"/>
    <w:rsid w:val="00DE715A"/>
    <w:rsid w:val="00DE72FE"/>
    <w:rsid w:val="00DE7572"/>
    <w:rsid w:val="00DE76ED"/>
    <w:rsid w:val="00DE78EA"/>
    <w:rsid w:val="00DE7B45"/>
    <w:rsid w:val="00DF018F"/>
    <w:rsid w:val="00DF031E"/>
    <w:rsid w:val="00DF050F"/>
    <w:rsid w:val="00DF0F70"/>
    <w:rsid w:val="00DF108C"/>
    <w:rsid w:val="00DF1590"/>
    <w:rsid w:val="00DF1C47"/>
    <w:rsid w:val="00DF1C64"/>
    <w:rsid w:val="00DF1E1A"/>
    <w:rsid w:val="00DF240F"/>
    <w:rsid w:val="00DF2BF7"/>
    <w:rsid w:val="00DF2E3B"/>
    <w:rsid w:val="00DF33B2"/>
    <w:rsid w:val="00DF3C30"/>
    <w:rsid w:val="00DF3F54"/>
    <w:rsid w:val="00DF4D9F"/>
    <w:rsid w:val="00DF4DF7"/>
    <w:rsid w:val="00DF4F5A"/>
    <w:rsid w:val="00DF4F74"/>
    <w:rsid w:val="00DF5958"/>
    <w:rsid w:val="00DF5B35"/>
    <w:rsid w:val="00DF5BAB"/>
    <w:rsid w:val="00DF6C5E"/>
    <w:rsid w:val="00DF6DC2"/>
    <w:rsid w:val="00DF70A8"/>
    <w:rsid w:val="00DF7201"/>
    <w:rsid w:val="00DF77DF"/>
    <w:rsid w:val="00DF7DFB"/>
    <w:rsid w:val="00DF7FCC"/>
    <w:rsid w:val="00E00277"/>
    <w:rsid w:val="00E003EB"/>
    <w:rsid w:val="00E00622"/>
    <w:rsid w:val="00E00D01"/>
    <w:rsid w:val="00E00D64"/>
    <w:rsid w:val="00E00E55"/>
    <w:rsid w:val="00E01004"/>
    <w:rsid w:val="00E01606"/>
    <w:rsid w:val="00E017D2"/>
    <w:rsid w:val="00E01838"/>
    <w:rsid w:val="00E0187D"/>
    <w:rsid w:val="00E01EB0"/>
    <w:rsid w:val="00E023D6"/>
    <w:rsid w:val="00E0265B"/>
    <w:rsid w:val="00E02D6D"/>
    <w:rsid w:val="00E036EA"/>
    <w:rsid w:val="00E03926"/>
    <w:rsid w:val="00E03AEA"/>
    <w:rsid w:val="00E03B48"/>
    <w:rsid w:val="00E03BFA"/>
    <w:rsid w:val="00E0438E"/>
    <w:rsid w:val="00E049F7"/>
    <w:rsid w:val="00E04BCB"/>
    <w:rsid w:val="00E04D6F"/>
    <w:rsid w:val="00E053A2"/>
    <w:rsid w:val="00E05C13"/>
    <w:rsid w:val="00E06040"/>
    <w:rsid w:val="00E0662C"/>
    <w:rsid w:val="00E06703"/>
    <w:rsid w:val="00E069A4"/>
    <w:rsid w:val="00E06A26"/>
    <w:rsid w:val="00E06B1C"/>
    <w:rsid w:val="00E06C6A"/>
    <w:rsid w:val="00E0726F"/>
    <w:rsid w:val="00E0738A"/>
    <w:rsid w:val="00E07418"/>
    <w:rsid w:val="00E07C30"/>
    <w:rsid w:val="00E07D06"/>
    <w:rsid w:val="00E10573"/>
    <w:rsid w:val="00E10C45"/>
    <w:rsid w:val="00E10C98"/>
    <w:rsid w:val="00E1141B"/>
    <w:rsid w:val="00E115AE"/>
    <w:rsid w:val="00E1164B"/>
    <w:rsid w:val="00E1176E"/>
    <w:rsid w:val="00E11D4C"/>
    <w:rsid w:val="00E125AE"/>
    <w:rsid w:val="00E12819"/>
    <w:rsid w:val="00E129F2"/>
    <w:rsid w:val="00E12B23"/>
    <w:rsid w:val="00E12F8C"/>
    <w:rsid w:val="00E1313D"/>
    <w:rsid w:val="00E1327B"/>
    <w:rsid w:val="00E13403"/>
    <w:rsid w:val="00E13AAB"/>
    <w:rsid w:val="00E13E74"/>
    <w:rsid w:val="00E13F67"/>
    <w:rsid w:val="00E141A6"/>
    <w:rsid w:val="00E144EB"/>
    <w:rsid w:val="00E1469F"/>
    <w:rsid w:val="00E1496B"/>
    <w:rsid w:val="00E14CAB"/>
    <w:rsid w:val="00E14F91"/>
    <w:rsid w:val="00E15ADB"/>
    <w:rsid w:val="00E15DC2"/>
    <w:rsid w:val="00E15E10"/>
    <w:rsid w:val="00E15E13"/>
    <w:rsid w:val="00E15F76"/>
    <w:rsid w:val="00E168F0"/>
    <w:rsid w:val="00E16AFA"/>
    <w:rsid w:val="00E16B9A"/>
    <w:rsid w:val="00E170FD"/>
    <w:rsid w:val="00E17907"/>
    <w:rsid w:val="00E17F85"/>
    <w:rsid w:val="00E2018A"/>
    <w:rsid w:val="00E20773"/>
    <w:rsid w:val="00E2094D"/>
    <w:rsid w:val="00E20B7B"/>
    <w:rsid w:val="00E21384"/>
    <w:rsid w:val="00E21545"/>
    <w:rsid w:val="00E21A49"/>
    <w:rsid w:val="00E21A70"/>
    <w:rsid w:val="00E21D76"/>
    <w:rsid w:val="00E22300"/>
    <w:rsid w:val="00E22603"/>
    <w:rsid w:val="00E226A5"/>
    <w:rsid w:val="00E22C94"/>
    <w:rsid w:val="00E22E7E"/>
    <w:rsid w:val="00E22FAA"/>
    <w:rsid w:val="00E23651"/>
    <w:rsid w:val="00E2396F"/>
    <w:rsid w:val="00E23DDA"/>
    <w:rsid w:val="00E23E23"/>
    <w:rsid w:val="00E2409F"/>
    <w:rsid w:val="00E241A7"/>
    <w:rsid w:val="00E242A6"/>
    <w:rsid w:val="00E245D3"/>
    <w:rsid w:val="00E24DCF"/>
    <w:rsid w:val="00E251C5"/>
    <w:rsid w:val="00E25272"/>
    <w:rsid w:val="00E262B3"/>
    <w:rsid w:val="00E26557"/>
    <w:rsid w:val="00E266E8"/>
    <w:rsid w:val="00E26854"/>
    <w:rsid w:val="00E2736A"/>
    <w:rsid w:val="00E27684"/>
    <w:rsid w:val="00E278D5"/>
    <w:rsid w:val="00E30184"/>
    <w:rsid w:val="00E30223"/>
    <w:rsid w:val="00E30AD3"/>
    <w:rsid w:val="00E30CA3"/>
    <w:rsid w:val="00E31053"/>
    <w:rsid w:val="00E315B2"/>
    <w:rsid w:val="00E31931"/>
    <w:rsid w:val="00E31D28"/>
    <w:rsid w:val="00E31D9F"/>
    <w:rsid w:val="00E31F1D"/>
    <w:rsid w:val="00E320F5"/>
    <w:rsid w:val="00E32388"/>
    <w:rsid w:val="00E32A3D"/>
    <w:rsid w:val="00E32D0D"/>
    <w:rsid w:val="00E32E69"/>
    <w:rsid w:val="00E33325"/>
    <w:rsid w:val="00E33773"/>
    <w:rsid w:val="00E33925"/>
    <w:rsid w:val="00E33A20"/>
    <w:rsid w:val="00E33AB4"/>
    <w:rsid w:val="00E33B26"/>
    <w:rsid w:val="00E33B8D"/>
    <w:rsid w:val="00E33BC4"/>
    <w:rsid w:val="00E34711"/>
    <w:rsid w:val="00E34DFA"/>
    <w:rsid w:val="00E34ECE"/>
    <w:rsid w:val="00E35811"/>
    <w:rsid w:val="00E35D29"/>
    <w:rsid w:val="00E36429"/>
    <w:rsid w:val="00E36503"/>
    <w:rsid w:val="00E36842"/>
    <w:rsid w:val="00E36896"/>
    <w:rsid w:val="00E36ADA"/>
    <w:rsid w:val="00E36CA9"/>
    <w:rsid w:val="00E36F8B"/>
    <w:rsid w:val="00E371E1"/>
    <w:rsid w:val="00E37904"/>
    <w:rsid w:val="00E37D1C"/>
    <w:rsid w:val="00E37D8E"/>
    <w:rsid w:val="00E37F68"/>
    <w:rsid w:val="00E4030A"/>
    <w:rsid w:val="00E406F2"/>
    <w:rsid w:val="00E4109B"/>
    <w:rsid w:val="00E41290"/>
    <w:rsid w:val="00E41443"/>
    <w:rsid w:val="00E414CC"/>
    <w:rsid w:val="00E416E9"/>
    <w:rsid w:val="00E419CA"/>
    <w:rsid w:val="00E41BB6"/>
    <w:rsid w:val="00E41DC3"/>
    <w:rsid w:val="00E41EA8"/>
    <w:rsid w:val="00E4216C"/>
    <w:rsid w:val="00E42325"/>
    <w:rsid w:val="00E4245F"/>
    <w:rsid w:val="00E42A28"/>
    <w:rsid w:val="00E42A44"/>
    <w:rsid w:val="00E43CBB"/>
    <w:rsid w:val="00E4423A"/>
    <w:rsid w:val="00E4426E"/>
    <w:rsid w:val="00E446F3"/>
    <w:rsid w:val="00E44829"/>
    <w:rsid w:val="00E44E84"/>
    <w:rsid w:val="00E45196"/>
    <w:rsid w:val="00E453F1"/>
    <w:rsid w:val="00E45576"/>
    <w:rsid w:val="00E4578A"/>
    <w:rsid w:val="00E45916"/>
    <w:rsid w:val="00E45C03"/>
    <w:rsid w:val="00E45F0A"/>
    <w:rsid w:val="00E46618"/>
    <w:rsid w:val="00E4709B"/>
    <w:rsid w:val="00E473D1"/>
    <w:rsid w:val="00E47548"/>
    <w:rsid w:val="00E477FE"/>
    <w:rsid w:val="00E47B7C"/>
    <w:rsid w:val="00E5003E"/>
    <w:rsid w:val="00E502CA"/>
    <w:rsid w:val="00E5046E"/>
    <w:rsid w:val="00E50B1A"/>
    <w:rsid w:val="00E50C63"/>
    <w:rsid w:val="00E5105E"/>
    <w:rsid w:val="00E519E8"/>
    <w:rsid w:val="00E51B69"/>
    <w:rsid w:val="00E52337"/>
    <w:rsid w:val="00E52D91"/>
    <w:rsid w:val="00E52DE5"/>
    <w:rsid w:val="00E52F42"/>
    <w:rsid w:val="00E530B1"/>
    <w:rsid w:val="00E530F3"/>
    <w:rsid w:val="00E5344A"/>
    <w:rsid w:val="00E5354D"/>
    <w:rsid w:val="00E5374D"/>
    <w:rsid w:val="00E53C69"/>
    <w:rsid w:val="00E53EFF"/>
    <w:rsid w:val="00E54021"/>
    <w:rsid w:val="00E54F52"/>
    <w:rsid w:val="00E55503"/>
    <w:rsid w:val="00E556D6"/>
    <w:rsid w:val="00E5577B"/>
    <w:rsid w:val="00E55B21"/>
    <w:rsid w:val="00E569E0"/>
    <w:rsid w:val="00E56A63"/>
    <w:rsid w:val="00E56B43"/>
    <w:rsid w:val="00E5703A"/>
    <w:rsid w:val="00E5721A"/>
    <w:rsid w:val="00E577CD"/>
    <w:rsid w:val="00E57D6A"/>
    <w:rsid w:val="00E57FC9"/>
    <w:rsid w:val="00E60408"/>
    <w:rsid w:val="00E605C2"/>
    <w:rsid w:val="00E60A22"/>
    <w:rsid w:val="00E61043"/>
    <w:rsid w:val="00E61C95"/>
    <w:rsid w:val="00E62594"/>
    <w:rsid w:val="00E62CF1"/>
    <w:rsid w:val="00E63EA7"/>
    <w:rsid w:val="00E641F9"/>
    <w:rsid w:val="00E64460"/>
    <w:rsid w:val="00E645A3"/>
    <w:rsid w:val="00E6479D"/>
    <w:rsid w:val="00E64828"/>
    <w:rsid w:val="00E64FB2"/>
    <w:rsid w:val="00E6559A"/>
    <w:rsid w:val="00E65A08"/>
    <w:rsid w:val="00E65B78"/>
    <w:rsid w:val="00E65CDE"/>
    <w:rsid w:val="00E65E10"/>
    <w:rsid w:val="00E65F59"/>
    <w:rsid w:val="00E663A8"/>
    <w:rsid w:val="00E664BD"/>
    <w:rsid w:val="00E66C1C"/>
    <w:rsid w:val="00E66CA3"/>
    <w:rsid w:val="00E66D6F"/>
    <w:rsid w:val="00E674DF"/>
    <w:rsid w:val="00E67637"/>
    <w:rsid w:val="00E67842"/>
    <w:rsid w:val="00E67986"/>
    <w:rsid w:val="00E67AB2"/>
    <w:rsid w:val="00E67B01"/>
    <w:rsid w:val="00E67DED"/>
    <w:rsid w:val="00E67F65"/>
    <w:rsid w:val="00E701B7"/>
    <w:rsid w:val="00E70214"/>
    <w:rsid w:val="00E706DA"/>
    <w:rsid w:val="00E70850"/>
    <w:rsid w:val="00E709EA"/>
    <w:rsid w:val="00E70CB0"/>
    <w:rsid w:val="00E70D57"/>
    <w:rsid w:val="00E712BD"/>
    <w:rsid w:val="00E714C0"/>
    <w:rsid w:val="00E71A2F"/>
    <w:rsid w:val="00E72877"/>
    <w:rsid w:val="00E728D0"/>
    <w:rsid w:val="00E7290C"/>
    <w:rsid w:val="00E72E0B"/>
    <w:rsid w:val="00E73600"/>
    <w:rsid w:val="00E73604"/>
    <w:rsid w:val="00E73A42"/>
    <w:rsid w:val="00E73B76"/>
    <w:rsid w:val="00E7426C"/>
    <w:rsid w:val="00E7441A"/>
    <w:rsid w:val="00E744DA"/>
    <w:rsid w:val="00E74C8C"/>
    <w:rsid w:val="00E74D70"/>
    <w:rsid w:val="00E74F85"/>
    <w:rsid w:val="00E7520C"/>
    <w:rsid w:val="00E75A7E"/>
    <w:rsid w:val="00E75B83"/>
    <w:rsid w:val="00E75DBD"/>
    <w:rsid w:val="00E75F68"/>
    <w:rsid w:val="00E76EC3"/>
    <w:rsid w:val="00E76ED7"/>
    <w:rsid w:val="00E7717F"/>
    <w:rsid w:val="00E77636"/>
    <w:rsid w:val="00E776F2"/>
    <w:rsid w:val="00E778E8"/>
    <w:rsid w:val="00E80AFC"/>
    <w:rsid w:val="00E81003"/>
    <w:rsid w:val="00E8128D"/>
    <w:rsid w:val="00E81AAB"/>
    <w:rsid w:val="00E82189"/>
    <w:rsid w:val="00E82316"/>
    <w:rsid w:val="00E826EE"/>
    <w:rsid w:val="00E82744"/>
    <w:rsid w:val="00E827C4"/>
    <w:rsid w:val="00E834F8"/>
    <w:rsid w:val="00E838E2"/>
    <w:rsid w:val="00E83DD2"/>
    <w:rsid w:val="00E840F4"/>
    <w:rsid w:val="00E84712"/>
    <w:rsid w:val="00E84907"/>
    <w:rsid w:val="00E84C1B"/>
    <w:rsid w:val="00E84CFA"/>
    <w:rsid w:val="00E84D66"/>
    <w:rsid w:val="00E84D89"/>
    <w:rsid w:val="00E85875"/>
    <w:rsid w:val="00E85ECA"/>
    <w:rsid w:val="00E861A7"/>
    <w:rsid w:val="00E86394"/>
    <w:rsid w:val="00E86A53"/>
    <w:rsid w:val="00E86E80"/>
    <w:rsid w:val="00E87041"/>
    <w:rsid w:val="00E876C3"/>
    <w:rsid w:val="00E87C15"/>
    <w:rsid w:val="00E87C77"/>
    <w:rsid w:val="00E87D0C"/>
    <w:rsid w:val="00E9016D"/>
    <w:rsid w:val="00E909E2"/>
    <w:rsid w:val="00E912F9"/>
    <w:rsid w:val="00E91549"/>
    <w:rsid w:val="00E91944"/>
    <w:rsid w:val="00E91A37"/>
    <w:rsid w:val="00E91C51"/>
    <w:rsid w:val="00E91D2C"/>
    <w:rsid w:val="00E924B4"/>
    <w:rsid w:val="00E924B9"/>
    <w:rsid w:val="00E92A91"/>
    <w:rsid w:val="00E92AB7"/>
    <w:rsid w:val="00E92B2C"/>
    <w:rsid w:val="00E935E5"/>
    <w:rsid w:val="00E938B9"/>
    <w:rsid w:val="00E93B25"/>
    <w:rsid w:val="00E93BF6"/>
    <w:rsid w:val="00E93DF4"/>
    <w:rsid w:val="00E946AC"/>
    <w:rsid w:val="00E94FA9"/>
    <w:rsid w:val="00E959F8"/>
    <w:rsid w:val="00E95AA0"/>
    <w:rsid w:val="00E95B17"/>
    <w:rsid w:val="00E95B31"/>
    <w:rsid w:val="00E95C23"/>
    <w:rsid w:val="00E96120"/>
    <w:rsid w:val="00E9643A"/>
    <w:rsid w:val="00E9646D"/>
    <w:rsid w:val="00E96919"/>
    <w:rsid w:val="00E96ABD"/>
    <w:rsid w:val="00E97D66"/>
    <w:rsid w:val="00EA035F"/>
    <w:rsid w:val="00EA07A2"/>
    <w:rsid w:val="00EA10FC"/>
    <w:rsid w:val="00EA1513"/>
    <w:rsid w:val="00EA1814"/>
    <w:rsid w:val="00EA1B1F"/>
    <w:rsid w:val="00EA1C78"/>
    <w:rsid w:val="00EA1DFE"/>
    <w:rsid w:val="00EA2331"/>
    <w:rsid w:val="00EA2401"/>
    <w:rsid w:val="00EA2A7D"/>
    <w:rsid w:val="00EA2B92"/>
    <w:rsid w:val="00EA2EE1"/>
    <w:rsid w:val="00EA35C7"/>
    <w:rsid w:val="00EA3E01"/>
    <w:rsid w:val="00EA4626"/>
    <w:rsid w:val="00EA493B"/>
    <w:rsid w:val="00EA4D7B"/>
    <w:rsid w:val="00EA4EEE"/>
    <w:rsid w:val="00EA6257"/>
    <w:rsid w:val="00EA62F2"/>
    <w:rsid w:val="00EA6315"/>
    <w:rsid w:val="00EA6B5D"/>
    <w:rsid w:val="00EA7029"/>
    <w:rsid w:val="00EA77FE"/>
    <w:rsid w:val="00EA786F"/>
    <w:rsid w:val="00EB00DA"/>
    <w:rsid w:val="00EB01BC"/>
    <w:rsid w:val="00EB1564"/>
    <w:rsid w:val="00EB15D4"/>
    <w:rsid w:val="00EB210F"/>
    <w:rsid w:val="00EB26F3"/>
    <w:rsid w:val="00EB295D"/>
    <w:rsid w:val="00EB2D65"/>
    <w:rsid w:val="00EB344B"/>
    <w:rsid w:val="00EB4105"/>
    <w:rsid w:val="00EB44A7"/>
    <w:rsid w:val="00EB4E90"/>
    <w:rsid w:val="00EB526C"/>
    <w:rsid w:val="00EB5F8A"/>
    <w:rsid w:val="00EB6205"/>
    <w:rsid w:val="00EB68B3"/>
    <w:rsid w:val="00EB692C"/>
    <w:rsid w:val="00EB704B"/>
    <w:rsid w:val="00EB7396"/>
    <w:rsid w:val="00EB78BC"/>
    <w:rsid w:val="00EB7CED"/>
    <w:rsid w:val="00EC0954"/>
    <w:rsid w:val="00EC102D"/>
    <w:rsid w:val="00EC11C0"/>
    <w:rsid w:val="00EC14E6"/>
    <w:rsid w:val="00EC1985"/>
    <w:rsid w:val="00EC1E12"/>
    <w:rsid w:val="00EC25C4"/>
    <w:rsid w:val="00EC25D0"/>
    <w:rsid w:val="00EC2B75"/>
    <w:rsid w:val="00EC3118"/>
    <w:rsid w:val="00EC3818"/>
    <w:rsid w:val="00EC3FF4"/>
    <w:rsid w:val="00EC4014"/>
    <w:rsid w:val="00EC43EC"/>
    <w:rsid w:val="00EC4428"/>
    <w:rsid w:val="00EC448A"/>
    <w:rsid w:val="00EC49A7"/>
    <w:rsid w:val="00EC4A71"/>
    <w:rsid w:val="00EC4DD4"/>
    <w:rsid w:val="00EC4FD0"/>
    <w:rsid w:val="00EC5B29"/>
    <w:rsid w:val="00EC5FC7"/>
    <w:rsid w:val="00EC61AC"/>
    <w:rsid w:val="00EC6238"/>
    <w:rsid w:val="00EC6AFB"/>
    <w:rsid w:val="00ED04A8"/>
    <w:rsid w:val="00ED0897"/>
    <w:rsid w:val="00ED0B71"/>
    <w:rsid w:val="00ED0BAF"/>
    <w:rsid w:val="00ED0BF1"/>
    <w:rsid w:val="00ED1063"/>
    <w:rsid w:val="00ED1EF0"/>
    <w:rsid w:val="00ED2109"/>
    <w:rsid w:val="00ED26F5"/>
    <w:rsid w:val="00ED2725"/>
    <w:rsid w:val="00ED2793"/>
    <w:rsid w:val="00ED2B43"/>
    <w:rsid w:val="00ED2B9E"/>
    <w:rsid w:val="00ED2D26"/>
    <w:rsid w:val="00ED33D6"/>
    <w:rsid w:val="00ED39C8"/>
    <w:rsid w:val="00ED46F0"/>
    <w:rsid w:val="00ED480C"/>
    <w:rsid w:val="00ED498D"/>
    <w:rsid w:val="00ED4D76"/>
    <w:rsid w:val="00ED4EA3"/>
    <w:rsid w:val="00ED4FB1"/>
    <w:rsid w:val="00ED51BD"/>
    <w:rsid w:val="00ED5362"/>
    <w:rsid w:val="00ED53FB"/>
    <w:rsid w:val="00ED55B6"/>
    <w:rsid w:val="00ED5C52"/>
    <w:rsid w:val="00ED67E4"/>
    <w:rsid w:val="00ED6A24"/>
    <w:rsid w:val="00ED6ACE"/>
    <w:rsid w:val="00ED6DC9"/>
    <w:rsid w:val="00ED70FC"/>
    <w:rsid w:val="00ED73C9"/>
    <w:rsid w:val="00ED7B80"/>
    <w:rsid w:val="00EE020F"/>
    <w:rsid w:val="00EE021F"/>
    <w:rsid w:val="00EE085A"/>
    <w:rsid w:val="00EE0C99"/>
    <w:rsid w:val="00EE0E28"/>
    <w:rsid w:val="00EE12EE"/>
    <w:rsid w:val="00EE1938"/>
    <w:rsid w:val="00EE2241"/>
    <w:rsid w:val="00EE2644"/>
    <w:rsid w:val="00EE35CB"/>
    <w:rsid w:val="00EE37D6"/>
    <w:rsid w:val="00EE4198"/>
    <w:rsid w:val="00EE479B"/>
    <w:rsid w:val="00EE4B71"/>
    <w:rsid w:val="00EE4E35"/>
    <w:rsid w:val="00EE4E85"/>
    <w:rsid w:val="00EE4FD3"/>
    <w:rsid w:val="00EE50C1"/>
    <w:rsid w:val="00EE520C"/>
    <w:rsid w:val="00EE5AF6"/>
    <w:rsid w:val="00EE5C2C"/>
    <w:rsid w:val="00EE5F6D"/>
    <w:rsid w:val="00EE62C3"/>
    <w:rsid w:val="00EE666C"/>
    <w:rsid w:val="00EE6738"/>
    <w:rsid w:val="00EE67F4"/>
    <w:rsid w:val="00EE68D3"/>
    <w:rsid w:val="00EE6997"/>
    <w:rsid w:val="00EE73F3"/>
    <w:rsid w:val="00EE7505"/>
    <w:rsid w:val="00EE7B59"/>
    <w:rsid w:val="00EF0269"/>
    <w:rsid w:val="00EF0800"/>
    <w:rsid w:val="00EF0B77"/>
    <w:rsid w:val="00EF0EFB"/>
    <w:rsid w:val="00EF1096"/>
    <w:rsid w:val="00EF149F"/>
    <w:rsid w:val="00EF1E8E"/>
    <w:rsid w:val="00EF1EBB"/>
    <w:rsid w:val="00EF2241"/>
    <w:rsid w:val="00EF31B9"/>
    <w:rsid w:val="00EF32BE"/>
    <w:rsid w:val="00EF3506"/>
    <w:rsid w:val="00EF3AB2"/>
    <w:rsid w:val="00EF3DDB"/>
    <w:rsid w:val="00EF3EF7"/>
    <w:rsid w:val="00EF42DB"/>
    <w:rsid w:val="00EF45E2"/>
    <w:rsid w:val="00EF4600"/>
    <w:rsid w:val="00EF4D0C"/>
    <w:rsid w:val="00EF4DBD"/>
    <w:rsid w:val="00EF5513"/>
    <w:rsid w:val="00EF562A"/>
    <w:rsid w:val="00EF57E0"/>
    <w:rsid w:val="00EF5995"/>
    <w:rsid w:val="00EF5A3D"/>
    <w:rsid w:val="00EF5DED"/>
    <w:rsid w:val="00EF61B9"/>
    <w:rsid w:val="00EF6373"/>
    <w:rsid w:val="00EF6490"/>
    <w:rsid w:val="00EF6970"/>
    <w:rsid w:val="00EF6B88"/>
    <w:rsid w:val="00EF7320"/>
    <w:rsid w:val="00EF740D"/>
    <w:rsid w:val="00EF745A"/>
    <w:rsid w:val="00EF75FE"/>
    <w:rsid w:val="00EF7781"/>
    <w:rsid w:val="00EF7BAA"/>
    <w:rsid w:val="00F002B5"/>
    <w:rsid w:val="00F0086E"/>
    <w:rsid w:val="00F00A2E"/>
    <w:rsid w:val="00F00A80"/>
    <w:rsid w:val="00F00C8C"/>
    <w:rsid w:val="00F00D60"/>
    <w:rsid w:val="00F010D7"/>
    <w:rsid w:val="00F01288"/>
    <w:rsid w:val="00F01439"/>
    <w:rsid w:val="00F01866"/>
    <w:rsid w:val="00F0194C"/>
    <w:rsid w:val="00F01B41"/>
    <w:rsid w:val="00F01B98"/>
    <w:rsid w:val="00F021B2"/>
    <w:rsid w:val="00F02568"/>
    <w:rsid w:val="00F03061"/>
    <w:rsid w:val="00F03116"/>
    <w:rsid w:val="00F035C2"/>
    <w:rsid w:val="00F0370A"/>
    <w:rsid w:val="00F038AA"/>
    <w:rsid w:val="00F03C2A"/>
    <w:rsid w:val="00F03FB4"/>
    <w:rsid w:val="00F045CE"/>
    <w:rsid w:val="00F046C4"/>
    <w:rsid w:val="00F0493B"/>
    <w:rsid w:val="00F04FA6"/>
    <w:rsid w:val="00F04FCA"/>
    <w:rsid w:val="00F0507A"/>
    <w:rsid w:val="00F05991"/>
    <w:rsid w:val="00F05DA1"/>
    <w:rsid w:val="00F06097"/>
    <w:rsid w:val="00F064B2"/>
    <w:rsid w:val="00F065FF"/>
    <w:rsid w:val="00F06989"/>
    <w:rsid w:val="00F06F93"/>
    <w:rsid w:val="00F07057"/>
    <w:rsid w:val="00F07368"/>
    <w:rsid w:val="00F07E95"/>
    <w:rsid w:val="00F100EA"/>
    <w:rsid w:val="00F10440"/>
    <w:rsid w:val="00F10873"/>
    <w:rsid w:val="00F10D0E"/>
    <w:rsid w:val="00F10E37"/>
    <w:rsid w:val="00F1157F"/>
    <w:rsid w:val="00F1158E"/>
    <w:rsid w:val="00F11650"/>
    <w:rsid w:val="00F1165B"/>
    <w:rsid w:val="00F11A25"/>
    <w:rsid w:val="00F11CDD"/>
    <w:rsid w:val="00F1227C"/>
    <w:rsid w:val="00F1235C"/>
    <w:rsid w:val="00F12C69"/>
    <w:rsid w:val="00F12DD1"/>
    <w:rsid w:val="00F12F50"/>
    <w:rsid w:val="00F13018"/>
    <w:rsid w:val="00F13183"/>
    <w:rsid w:val="00F1335F"/>
    <w:rsid w:val="00F13607"/>
    <w:rsid w:val="00F13A62"/>
    <w:rsid w:val="00F13DCC"/>
    <w:rsid w:val="00F1403A"/>
    <w:rsid w:val="00F1482F"/>
    <w:rsid w:val="00F15487"/>
    <w:rsid w:val="00F1583D"/>
    <w:rsid w:val="00F1632A"/>
    <w:rsid w:val="00F168C0"/>
    <w:rsid w:val="00F16A52"/>
    <w:rsid w:val="00F16ADE"/>
    <w:rsid w:val="00F16DFF"/>
    <w:rsid w:val="00F170EB"/>
    <w:rsid w:val="00F174DD"/>
    <w:rsid w:val="00F1751B"/>
    <w:rsid w:val="00F20162"/>
    <w:rsid w:val="00F207EA"/>
    <w:rsid w:val="00F20BE8"/>
    <w:rsid w:val="00F20C72"/>
    <w:rsid w:val="00F211FF"/>
    <w:rsid w:val="00F21247"/>
    <w:rsid w:val="00F213C8"/>
    <w:rsid w:val="00F21436"/>
    <w:rsid w:val="00F2143E"/>
    <w:rsid w:val="00F2193B"/>
    <w:rsid w:val="00F21BD6"/>
    <w:rsid w:val="00F21E88"/>
    <w:rsid w:val="00F21EE6"/>
    <w:rsid w:val="00F21F16"/>
    <w:rsid w:val="00F21F2E"/>
    <w:rsid w:val="00F222A0"/>
    <w:rsid w:val="00F224ED"/>
    <w:rsid w:val="00F22746"/>
    <w:rsid w:val="00F22BD5"/>
    <w:rsid w:val="00F22C92"/>
    <w:rsid w:val="00F22F04"/>
    <w:rsid w:val="00F22F88"/>
    <w:rsid w:val="00F23014"/>
    <w:rsid w:val="00F23023"/>
    <w:rsid w:val="00F235CF"/>
    <w:rsid w:val="00F2395C"/>
    <w:rsid w:val="00F23F52"/>
    <w:rsid w:val="00F24CE3"/>
    <w:rsid w:val="00F25150"/>
    <w:rsid w:val="00F255A1"/>
    <w:rsid w:val="00F25E67"/>
    <w:rsid w:val="00F25EE1"/>
    <w:rsid w:val="00F2609C"/>
    <w:rsid w:val="00F263D3"/>
    <w:rsid w:val="00F26CCA"/>
    <w:rsid w:val="00F27BBC"/>
    <w:rsid w:val="00F30ABC"/>
    <w:rsid w:val="00F30B81"/>
    <w:rsid w:val="00F30B90"/>
    <w:rsid w:val="00F30BC8"/>
    <w:rsid w:val="00F30EFA"/>
    <w:rsid w:val="00F3109C"/>
    <w:rsid w:val="00F31217"/>
    <w:rsid w:val="00F31B70"/>
    <w:rsid w:val="00F31D42"/>
    <w:rsid w:val="00F31E9F"/>
    <w:rsid w:val="00F32628"/>
    <w:rsid w:val="00F32C93"/>
    <w:rsid w:val="00F32CFF"/>
    <w:rsid w:val="00F3304E"/>
    <w:rsid w:val="00F338B8"/>
    <w:rsid w:val="00F34D84"/>
    <w:rsid w:val="00F34E4F"/>
    <w:rsid w:val="00F3554A"/>
    <w:rsid w:val="00F355B3"/>
    <w:rsid w:val="00F35E43"/>
    <w:rsid w:val="00F36312"/>
    <w:rsid w:val="00F364F9"/>
    <w:rsid w:val="00F36C7F"/>
    <w:rsid w:val="00F376D2"/>
    <w:rsid w:val="00F37E5E"/>
    <w:rsid w:val="00F40692"/>
    <w:rsid w:val="00F40B31"/>
    <w:rsid w:val="00F40BCB"/>
    <w:rsid w:val="00F40C9C"/>
    <w:rsid w:val="00F40DF3"/>
    <w:rsid w:val="00F40E8A"/>
    <w:rsid w:val="00F41034"/>
    <w:rsid w:val="00F4194D"/>
    <w:rsid w:val="00F41D2D"/>
    <w:rsid w:val="00F42321"/>
    <w:rsid w:val="00F423A6"/>
    <w:rsid w:val="00F4248C"/>
    <w:rsid w:val="00F428BD"/>
    <w:rsid w:val="00F428DD"/>
    <w:rsid w:val="00F429C7"/>
    <w:rsid w:val="00F42A01"/>
    <w:rsid w:val="00F42CED"/>
    <w:rsid w:val="00F4377E"/>
    <w:rsid w:val="00F43801"/>
    <w:rsid w:val="00F43FED"/>
    <w:rsid w:val="00F4420C"/>
    <w:rsid w:val="00F44B91"/>
    <w:rsid w:val="00F45222"/>
    <w:rsid w:val="00F45365"/>
    <w:rsid w:val="00F458EA"/>
    <w:rsid w:val="00F45A00"/>
    <w:rsid w:val="00F45D38"/>
    <w:rsid w:val="00F45ED7"/>
    <w:rsid w:val="00F45F3B"/>
    <w:rsid w:val="00F45FFA"/>
    <w:rsid w:val="00F460B7"/>
    <w:rsid w:val="00F46393"/>
    <w:rsid w:val="00F46643"/>
    <w:rsid w:val="00F4665D"/>
    <w:rsid w:val="00F468B4"/>
    <w:rsid w:val="00F46C84"/>
    <w:rsid w:val="00F46C9B"/>
    <w:rsid w:val="00F47387"/>
    <w:rsid w:val="00F4796F"/>
    <w:rsid w:val="00F47BBF"/>
    <w:rsid w:val="00F47F4A"/>
    <w:rsid w:val="00F50C42"/>
    <w:rsid w:val="00F50EED"/>
    <w:rsid w:val="00F51051"/>
    <w:rsid w:val="00F510BF"/>
    <w:rsid w:val="00F5212C"/>
    <w:rsid w:val="00F5225F"/>
    <w:rsid w:val="00F522CE"/>
    <w:rsid w:val="00F52A3A"/>
    <w:rsid w:val="00F52FBC"/>
    <w:rsid w:val="00F531B7"/>
    <w:rsid w:val="00F53E2D"/>
    <w:rsid w:val="00F54933"/>
    <w:rsid w:val="00F551EE"/>
    <w:rsid w:val="00F55EBB"/>
    <w:rsid w:val="00F55F62"/>
    <w:rsid w:val="00F5608C"/>
    <w:rsid w:val="00F56178"/>
    <w:rsid w:val="00F56389"/>
    <w:rsid w:val="00F56452"/>
    <w:rsid w:val="00F566C3"/>
    <w:rsid w:val="00F571DE"/>
    <w:rsid w:val="00F5736D"/>
    <w:rsid w:val="00F57AC6"/>
    <w:rsid w:val="00F6078F"/>
    <w:rsid w:val="00F60A06"/>
    <w:rsid w:val="00F60FEA"/>
    <w:rsid w:val="00F611A0"/>
    <w:rsid w:val="00F611E7"/>
    <w:rsid w:val="00F612BB"/>
    <w:rsid w:val="00F621CC"/>
    <w:rsid w:val="00F6233A"/>
    <w:rsid w:val="00F623AD"/>
    <w:rsid w:val="00F633D7"/>
    <w:rsid w:val="00F63431"/>
    <w:rsid w:val="00F6345D"/>
    <w:rsid w:val="00F6365E"/>
    <w:rsid w:val="00F637EE"/>
    <w:rsid w:val="00F63B29"/>
    <w:rsid w:val="00F63B92"/>
    <w:rsid w:val="00F63D98"/>
    <w:rsid w:val="00F64575"/>
    <w:rsid w:val="00F64710"/>
    <w:rsid w:val="00F64FBC"/>
    <w:rsid w:val="00F6508A"/>
    <w:rsid w:val="00F652E7"/>
    <w:rsid w:val="00F65486"/>
    <w:rsid w:val="00F65517"/>
    <w:rsid w:val="00F655EF"/>
    <w:rsid w:val="00F6684B"/>
    <w:rsid w:val="00F668A2"/>
    <w:rsid w:val="00F66A97"/>
    <w:rsid w:val="00F66D68"/>
    <w:rsid w:val="00F6713A"/>
    <w:rsid w:val="00F672FB"/>
    <w:rsid w:val="00F67796"/>
    <w:rsid w:val="00F6788B"/>
    <w:rsid w:val="00F67CAA"/>
    <w:rsid w:val="00F70371"/>
    <w:rsid w:val="00F70497"/>
    <w:rsid w:val="00F706C6"/>
    <w:rsid w:val="00F709FC"/>
    <w:rsid w:val="00F70A68"/>
    <w:rsid w:val="00F70D36"/>
    <w:rsid w:val="00F7102E"/>
    <w:rsid w:val="00F717A1"/>
    <w:rsid w:val="00F71D94"/>
    <w:rsid w:val="00F720C9"/>
    <w:rsid w:val="00F720CB"/>
    <w:rsid w:val="00F722D6"/>
    <w:rsid w:val="00F73169"/>
    <w:rsid w:val="00F73C65"/>
    <w:rsid w:val="00F73DAB"/>
    <w:rsid w:val="00F73FC8"/>
    <w:rsid w:val="00F743D5"/>
    <w:rsid w:val="00F75149"/>
    <w:rsid w:val="00F755AE"/>
    <w:rsid w:val="00F75A85"/>
    <w:rsid w:val="00F75F49"/>
    <w:rsid w:val="00F75F8D"/>
    <w:rsid w:val="00F760CE"/>
    <w:rsid w:val="00F76257"/>
    <w:rsid w:val="00F76880"/>
    <w:rsid w:val="00F76AD4"/>
    <w:rsid w:val="00F76B5E"/>
    <w:rsid w:val="00F77019"/>
    <w:rsid w:val="00F773D8"/>
    <w:rsid w:val="00F77806"/>
    <w:rsid w:val="00F802CB"/>
    <w:rsid w:val="00F80B2F"/>
    <w:rsid w:val="00F8133F"/>
    <w:rsid w:val="00F8150E"/>
    <w:rsid w:val="00F816CC"/>
    <w:rsid w:val="00F82191"/>
    <w:rsid w:val="00F821E9"/>
    <w:rsid w:val="00F82628"/>
    <w:rsid w:val="00F8272A"/>
    <w:rsid w:val="00F82868"/>
    <w:rsid w:val="00F82DB5"/>
    <w:rsid w:val="00F839DC"/>
    <w:rsid w:val="00F8405A"/>
    <w:rsid w:val="00F846AD"/>
    <w:rsid w:val="00F849AA"/>
    <w:rsid w:val="00F84D8E"/>
    <w:rsid w:val="00F8590F"/>
    <w:rsid w:val="00F85E1B"/>
    <w:rsid w:val="00F85EDA"/>
    <w:rsid w:val="00F860B8"/>
    <w:rsid w:val="00F86242"/>
    <w:rsid w:val="00F86399"/>
    <w:rsid w:val="00F86420"/>
    <w:rsid w:val="00F86774"/>
    <w:rsid w:val="00F86A3A"/>
    <w:rsid w:val="00F86F1E"/>
    <w:rsid w:val="00F871EE"/>
    <w:rsid w:val="00F87575"/>
    <w:rsid w:val="00F87736"/>
    <w:rsid w:val="00F87AA4"/>
    <w:rsid w:val="00F87D4C"/>
    <w:rsid w:val="00F90148"/>
    <w:rsid w:val="00F90DAD"/>
    <w:rsid w:val="00F90E52"/>
    <w:rsid w:val="00F91046"/>
    <w:rsid w:val="00F92929"/>
    <w:rsid w:val="00F92E80"/>
    <w:rsid w:val="00F93030"/>
    <w:rsid w:val="00F9348A"/>
    <w:rsid w:val="00F93A47"/>
    <w:rsid w:val="00F93BC1"/>
    <w:rsid w:val="00F93D3E"/>
    <w:rsid w:val="00F93FD3"/>
    <w:rsid w:val="00F943DB"/>
    <w:rsid w:val="00F9489C"/>
    <w:rsid w:val="00F94A91"/>
    <w:rsid w:val="00F94C28"/>
    <w:rsid w:val="00F94C58"/>
    <w:rsid w:val="00F94E3B"/>
    <w:rsid w:val="00F94F2B"/>
    <w:rsid w:val="00F95364"/>
    <w:rsid w:val="00F95855"/>
    <w:rsid w:val="00F95A9F"/>
    <w:rsid w:val="00F95E52"/>
    <w:rsid w:val="00F95E6C"/>
    <w:rsid w:val="00F962EE"/>
    <w:rsid w:val="00F96A8C"/>
    <w:rsid w:val="00F96E2E"/>
    <w:rsid w:val="00F970D3"/>
    <w:rsid w:val="00F9710F"/>
    <w:rsid w:val="00F97743"/>
    <w:rsid w:val="00F97775"/>
    <w:rsid w:val="00FA02C3"/>
    <w:rsid w:val="00FA0E86"/>
    <w:rsid w:val="00FA1225"/>
    <w:rsid w:val="00FA16C7"/>
    <w:rsid w:val="00FA18FC"/>
    <w:rsid w:val="00FA18FE"/>
    <w:rsid w:val="00FA1BF0"/>
    <w:rsid w:val="00FA1CF1"/>
    <w:rsid w:val="00FA1EB4"/>
    <w:rsid w:val="00FA1FC3"/>
    <w:rsid w:val="00FA2002"/>
    <w:rsid w:val="00FA244D"/>
    <w:rsid w:val="00FA2555"/>
    <w:rsid w:val="00FA2562"/>
    <w:rsid w:val="00FA33ED"/>
    <w:rsid w:val="00FA343D"/>
    <w:rsid w:val="00FA3531"/>
    <w:rsid w:val="00FA3684"/>
    <w:rsid w:val="00FA3A92"/>
    <w:rsid w:val="00FA3F17"/>
    <w:rsid w:val="00FA4406"/>
    <w:rsid w:val="00FA496C"/>
    <w:rsid w:val="00FA49F2"/>
    <w:rsid w:val="00FA4B97"/>
    <w:rsid w:val="00FA5A8B"/>
    <w:rsid w:val="00FA5B16"/>
    <w:rsid w:val="00FA66C6"/>
    <w:rsid w:val="00FA67B4"/>
    <w:rsid w:val="00FA6EAB"/>
    <w:rsid w:val="00FA70AA"/>
    <w:rsid w:val="00FA7171"/>
    <w:rsid w:val="00FB0163"/>
    <w:rsid w:val="00FB0C78"/>
    <w:rsid w:val="00FB0DF0"/>
    <w:rsid w:val="00FB0FAC"/>
    <w:rsid w:val="00FB10FF"/>
    <w:rsid w:val="00FB1110"/>
    <w:rsid w:val="00FB15EA"/>
    <w:rsid w:val="00FB1D7C"/>
    <w:rsid w:val="00FB2076"/>
    <w:rsid w:val="00FB21B5"/>
    <w:rsid w:val="00FB221C"/>
    <w:rsid w:val="00FB2273"/>
    <w:rsid w:val="00FB2582"/>
    <w:rsid w:val="00FB2BCB"/>
    <w:rsid w:val="00FB38D4"/>
    <w:rsid w:val="00FB3CAC"/>
    <w:rsid w:val="00FB464E"/>
    <w:rsid w:val="00FB4A5F"/>
    <w:rsid w:val="00FB4E2F"/>
    <w:rsid w:val="00FB553F"/>
    <w:rsid w:val="00FB55B6"/>
    <w:rsid w:val="00FB5BAA"/>
    <w:rsid w:val="00FB5C04"/>
    <w:rsid w:val="00FB5D2E"/>
    <w:rsid w:val="00FB5DA6"/>
    <w:rsid w:val="00FB6136"/>
    <w:rsid w:val="00FB6244"/>
    <w:rsid w:val="00FB6582"/>
    <w:rsid w:val="00FB6726"/>
    <w:rsid w:val="00FB674F"/>
    <w:rsid w:val="00FB6D2A"/>
    <w:rsid w:val="00FB6DB8"/>
    <w:rsid w:val="00FB71C2"/>
    <w:rsid w:val="00FB7335"/>
    <w:rsid w:val="00FB745D"/>
    <w:rsid w:val="00FB7630"/>
    <w:rsid w:val="00FC0217"/>
    <w:rsid w:val="00FC05A3"/>
    <w:rsid w:val="00FC0667"/>
    <w:rsid w:val="00FC13B6"/>
    <w:rsid w:val="00FC1941"/>
    <w:rsid w:val="00FC1CE3"/>
    <w:rsid w:val="00FC2075"/>
    <w:rsid w:val="00FC229D"/>
    <w:rsid w:val="00FC2401"/>
    <w:rsid w:val="00FC28C0"/>
    <w:rsid w:val="00FC3B97"/>
    <w:rsid w:val="00FC3BD8"/>
    <w:rsid w:val="00FC3C63"/>
    <w:rsid w:val="00FC410C"/>
    <w:rsid w:val="00FC443A"/>
    <w:rsid w:val="00FC4702"/>
    <w:rsid w:val="00FC4720"/>
    <w:rsid w:val="00FC5243"/>
    <w:rsid w:val="00FC526A"/>
    <w:rsid w:val="00FC5369"/>
    <w:rsid w:val="00FC579F"/>
    <w:rsid w:val="00FC582B"/>
    <w:rsid w:val="00FC58A1"/>
    <w:rsid w:val="00FC5D7E"/>
    <w:rsid w:val="00FC5E7A"/>
    <w:rsid w:val="00FC6696"/>
    <w:rsid w:val="00FC6B4E"/>
    <w:rsid w:val="00FC6C69"/>
    <w:rsid w:val="00FC78D7"/>
    <w:rsid w:val="00FC7A88"/>
    <w:rsid w:val="00FC7D6F"/>
    <w:rsid w:val="00FC7D78"/>
    <w:rsid w:val="00FD001F"/>
    <w:rsid w:val="00FD005E"/>
    <w:rsid w:val="00FD0491"/>
    <w:rsid w:val="00FD06E9"/>
    <w:rsid w:val="00FD08CB"/>
    <w:rsid w:val="00FD0B0C"/>
    <w:rsid w:val="00FD0EFF"/>
    <w:rsid w:val="00FD10AB"/>
    <w:rsid w:val="00FD10FA"/>
    <w:rsid w:val="00FD13F0"/>
    <w:rsid w:val="00FD19C8"/>
    <w:rsid w:val="00FD1DEE"/>
    <w:rsid w:val="00FD2346"/>
    <w:rsid w:val="00FD2986"/>
    <w:rsid w:val="00FD2B8E"/>
    <w:rsid w:val="00FD2F54"/>
    <w:rsid w:val="00FD30F3"/>
    <w:rsid w:val="00FD3118"/>
    <w:rsid w:val="00FD313B"/>
    <w:rsid w:val="00FD33B8"/>
    <w:rsid w:val="00FD3861"/>
    <w:rsid w:val="00FD3A0B"/>
    <w:rsid w:val="00FD3CAD"/>
    <w:rsid w:val="00FD44EC"/>
    <w:rsid w:val="00FD4742"/>
    <w:rsid w:val="00FD53FC"/>
    <w:rsid w:val="00FD5C6A"/>
    <w:rsid w:val="00FD5CE9"/>
    <w:rsid w:val="00FD5EF4"/>
    <w:rsid w:val="00FD62D6"/>
    <w:rsid w:val="00FD685E"/>
    <w:rsid w:val="00FD69E4"/>
    <w:rsid w:val="00FD6B41"/>
    <w:rsid w:val="00FD6CFE"/>
    <w:rsid w:val="00FD7981"/>
    <w:rsid w:val="00FD7C53"/>
    <w:rsid w:val="00FE02C7"/>
    <w:rsid w:val="00FE0AC8"/>
    <w:rsid w:val="00FE0B3A"/>
    <w:rsid w:val="00FE0C6E"/>
    <w:rsid w:val="00FE0E29"/>
    <w:rsid w:val="00FE20E7"/>
    <w:rsid w:val="00FE2466"/>
    <w:rsid w:val="00FE24AB"/>
    <w:rsid w:val="00FE2742"/>
    <w:rsid w:val="00FE2837"/>
    <w:rsid w:val="00FE2DF6"/>
    <w:rsid w:val="00FE30BD"/>
    <w:rsid w:val="00FE3D67"/>
    <w:rsid w:val="00FE42D3"/>
    <w:rsid w:val="00FE4765"/>
    <w:rsid w:val="00FE5761"/>
    <w:rsid w:val="00FE5920"/>
    <w:rsid w:val="00FE59F3"/>
    <w:rsid w:val="00FE64DF"/>
    <w:rsid w:val="00FE653E"/>
    <w:rsid w:val="00FE6933"/>
    <w:rsid w:val="00FE6F81"/>
    <w:rsid w:val="00FE6FF1"/>
    <w:rsid w:val="00FE7144"/>
    <w:rsid w:val="00FE7448"/>
    <w:rsid w:val="00FE7A07"/>
    <w:rsid w:val="00FE7E8F"/>
    <w:rsid w:val="00FE7F2F"/>
    <w:rsid w:val="00FF001C"/>
    <w:rsid w:val="00FF03EA"/>
    <w:rsid w:val="00FF041E"/>
    <w:rsid w:val="00FF0CFB"/>
    <w:rsid w:val="00FF12DE"/>
    <w:rsid w:val="00FF179D"/>
    <w:rsid w:val="00FF198F"/>
    <w:rsid w:val="00FF19A4"/>
    <w:rsid w:val="00FF2B3F"/>
    <w:rsid w:val="00FF3204"/>
    <w:rsid w:val="00FF3436"/>
    <w:rsid w:val="00FF394D"/>
    <w:rsid w:val="00FF3B92"/>
    <w:rsid w:val="00FF3F99"/>
    <w:rsid w:val="00FF3FC7"/>
    <w:rsid w:val="00FF4539"/>
    <w:rsid w:val="00FF52B3"/>
    <w:rsid w:val="00FF5E9A"/>
    <w:rsid w:val="00FF626F"/>
    <w:rsid w:val="00FF6651"/>
    <w:rsid w:val="00FF69D8"/>
    <w:rsid w:val="00FF6C36"/>
    <w:rsid w:val="00FF6D32"/>
    <w:rsid w:val="00FF74BC"/>
    <w:rsid w:val="00FF7902"/>
    <w:rsid w:val="00FF7B8B"/>
    <w:rsid w:val="010D4EF3"/>
    <w:rsid w:val="0110720B"/>
    <w:rsid w:val="013B5E62"/>
    <w:rsid w:val="0158D90A"/>
    <w:rsid w:val="018B921F"/>
    <w:rsid w:val="01915A47"/>
    <w:rsid w:val="01A4D9C0"/>
    <w:rsid w:val="01CD2450"/>
    <w:rsid w:val="01DBB473"/>
    <w:rsid w:val="01DE80F9"/>
    <w:rsid w:val="020717D7"/>
    <w:rsid w:val="0229CB15"/>
    <w:rsid w:val="02487602"/>
    <w:rsid w:val="02512546"/>
    <w:rsid w:val="02FA3556"/>
    <w:rsid w:val="030B054F"/>
    <w:rsid w:val="03453BF2"/>
    <w:rsid w:val="038A8F56"/>
    <w:rsid w:val="039B9F6C"/>
    <w:rsid w:val="03AED9E9"/>
    <w:rsid w:val="03E12077"/>
    <w:rsid w:val="043C6FA7"/>
    <w:rsid w:val="044F3AF6"/>
    <w:rsid w:val="0485930B"/>
    <w:rsid w:val="04F1E420"/>
    <w:rsid w:val="05064DFE"/>
    <w:rsid w:val="051B804A"/>
    <w:rsid w:val="053D4E3D"/>
    <w:rsid w:val="058BFF7B"/>
    <w:rsid w:val="0596E631"/>
    <w:rsid w:val="05A88FBB"/>
    <w:rsid w:val="05AEB3DE"/>
    <w:rsid w:val="060251FC"/>
    <w:rsid w:val="0625F158"/>
    <w:rsid w:val="065C31A6"/>
    <w:rsid w:val="0688978B"/>
    <w:rsid w:val="06B5E69A"/>
    <w:rsid w:val="06CE1410"/>
    <w:rsid w:val="06D589F9"/>
    <w:rsid w:val="06F1756F"/>
    <w:rsid w:val="07766052"/>
    <w:rsid w:val="0779B079"/>
    <w:rsid w:val="077B2E59"/>
    <w:rsid w:val="07973D4F"/>
    <w:rsid w:val="079DF6F4"/>
    <w:rsid w:val="07A85448"/>
    <w:rsid w:val="07D18D9B"/>
    <w:rsid w:val="07DCF1C1"/>
    <w:rsid w:val="080A46B9"/>
    <w:rsid w:val="08183E3D"/>
    <w:rsid w:val="0818C38B"/>
    <w:rsid w:val="0840C7CA"/>
    <w:rsid w:val="08491E0E"/>
    <w:rsid w:val="085B1D09"/>
    <w:rsid w:val="0881C144"/>
    <w:rsid w:val="08AAF49C"/>
    <w:rsid w:val="0906B3B3"/>
    <w:rsid w:val="0908C0F0"/>
    <w:rsid w:val="0936A781"/>
    <w:rsid w:val="096081C7"/>
    <w:rsid w:val="09A5B761"/>
    <w:rsid w:val="09C6367B"/>
    <w:rsid w:val="09C9B72B"/>
    <w:rsid w:val="09D52A5A"/>
    <w:rsid w:val="09ED473C"/>
    <w:rsid w:val="0A25BF61"/>
    <w:rsid w:val="0A4CA2F7"/>
    <w:rsid w:val="0A6D97BB"/>
    <w:rsid w:val="0A6E8327"/>
    <w:rsid w:val="0A78C1F3"/>
    <w:rsid w:val="0A8C877A"/>
    <w:rsid w:val="0AB40C44"/>
    <w:rsid w:val="0AE9C777"/>
    <w:rsid w:val="0B056706"/>
    <w:rsid w:val="0B468BB2"/>
    <w:rsid w:val="0B747683"/>
    <w:rsid w:val="0B8E45EC"/>
    <w:rsid w:val="0B912725"/>
    <w:rsid w:val="0BB94194"/>
    <w:rsid w:val="0BD5D2A4"/>
    <w:rsid w:val="0BDACAB2"/>
    <w:rsid w:val="0C557BB8"/>
    <w:rsid w:val="0C61D0D8"/>
    <w:rsid w:val="0C910E43"/>
    <w:rsid w:val="0C9FC3A7"/>
    <w:rsid w:val="0CD5DAC4"/>
    <w:rsid w:val="0D08D841"/>
    <w:rsid w:val="0D3CFF4A"/>
    <w:rsid w:val="0D5A6175"/>
    <w:rsid w:val="0D8E9596"/>
    <w:rsid w:val="0DAFE5F5"/>
    <w:rsid w:val="0DB5304C"/>
    <w:rsid w:val="0DE7C1A4"/>
    <w:rsid w:val="0DF6AC52"/>
    <w:rsid w:val="0EA41F06"/>
    <w:rsid w:val="0EC8088F"/>
    <w:rsid w:val="0EFE39A5"/>
    <w:rsid w:val="0F0A6B35"/>
    <w:rsid w:val="0F4303D1"/>
    <w:rsid w:val="0F5B1D60"/>
    <w:rsid w:val="0F606D5F"/>
    <w:rsid w:val="0F6A71D0"/>
    <w:rsid w:val="0F7AB95D"/>
    <w:rsid w:val="0F81EE47"/>
    <w:rsid w:val="0FA2E03C"/>
    <w:rsid w:val="0FBA1C60"/>
    <w:rsid w:val="0FCE5E3F"/>
    <w:rsid w:val="0FD29891"/>
    <w:rsid w:val="0FD93FB3"/>
    <w:rsid w:val="0FF50E3B"/>
    <w:rsid w:val="101C89E7"/>
    <w:rsid w:val="103E059A"/>
    <w:rsid w:val="109DACAC"/>
    <w:rsid w:val="10F21B08"/>
    <w:rsid w:val="1107C062"/>
    <w:rsid w:val="110E6B07"/>
    <w:rsid w:val="11366280"/>
    <w:rsid w:val="114023B0"/>
    <w:rsid w:val="11696E63"/>
    <w:rsid w:val="117514F0"/>
    <w:rsid w:val="119C5AB0"/>
    <w:rsid w:val="11BBA930"/>
    <w:rsid w:val="11DE5F4B"/>
    <w:rsid w:val="11E205B5"/>
    <w:rsid w:val="1219A99B"/>
    <w:rsid w:val="124FD61B"/>
    <w:rsid w:val="12E3C30E"/>
    <w:rsid w:val="12F99E91"/>
    <w:rsid w:val="1306E970"/>
    <w:rsid w:val="131167C3"/>
    <w:rsid w:val="137AD2BE"/>
    <w:rsid w:val="1381C8D7"/>
    <w:rsid w:val="138E1D75"/>
    <w:rsid w:val="13D1FF04"/>
    <w:rsid w:val="13D3A6E6"/>
    <w:rsid w:val="13ED0B94"/>
    <w:rsid w:val="13FAC029"/>
    <w:rsid w:val="14181863"/>
    <w:rsid w:val="1418AFB2"/>
    <w:rsid w:val="149174D3"/>
    <w:rsid w:val="14C2F9F0"/>
    <w:rsid w:val="14DCC119"/>
    <w:rsid w:val="154EED97"/>
    <w:rsid w:val="1585721E"/>
    <w:rsid w:val="15F159B7"/>
    <w:rsid w:val="15F8BFD5"/>
    <w:rsid w:val="16122E3D"/>
    <w:rsid w:val="162E4B9E"/>
    <w:rsid w:val="162EE094"/>
    <w:rsid w:val="1663D17F"/>
    <w:rsid w:val="1668DCD5"/>
    <w:rsid w:val="16735439"/>
    <w:rsid w:val="168A73EB"/>
    <w:rsid w:val="16BD29C9"/>
    <w:rsid w:val="16C431E4"/>
    <w:rsid w:val="16CCBD4B"/>
    <w:rsid w:val="16EB66E7"/>
    <w:rsid w:val="16EE0F53"/>
    <w:rsid w:val="170948EA"/>
    <w:rsid w:val="1743710C"/>
    <w:rsid w:val="175BB971"/>
    <w:rsid w:val="178A6843"/>
    <w:rsid w:val="17C8C34F"/>
    <w:rsid w:val="18224FE5"/>
    <w:rsid w:val="189FDEDB"/>
    <w:rsid w:val="19054968"/>
    <w:rsid w:val="19159719"/>
    <w:rsid w:val="19233701"/>
    <w:rsid w:val="1980E4AC"/>
    <w:rsid w:val="198BA4CA"/>
    <w:rsid w:val="19BEBCCE"/>
    <w:rsid w:val="19DF5E42"/>
    <w:rsid w:val="19F7AC87"/>
    <w:rsid w:val="1A49A17D"/>
    <w:rsid w:val="1A4AAA64"/>
    <w:rsid w:val="1AB498F7"/>
    <w:rsid w:val="1ABFC06A"/>
    <w:rsid w:val="1AC313B8"/>
    <w:rsid w:val="1ACF6FA4"/>
    <w:rsid w:val="1AFD1168"/>
    <w:rsid w:val="1B0CAC0A"/>
    <w:rsid w:val="1B265264"/>
    <w:rsid w:val="1B2B3B80"/>
    <w:rsid w:val="1BBA0EC4"/>
    <w:rsid w:val="1C23A4C2"/>
    <w:rsid w:val="1C45C73A"/>
    <w:rsid w:val="1C4D8CB8"/>
    <w:rsid w:val="1C6D6358"/>
    <w:rsid w:val="1C90ABB1"/>
    <w:rsid w:val="1CC7DA0E"/>
    <w:rsid w:val="1D098C51"/>
    <w:rsid w:val="1D20BE29"/>
    <w:rsid w:val="1D417515"/>
    <w:rsid w:val="1D8B1CC5"/>
    <w:rsid w:val="1DB5BEF0"/>
    <w:rsid w:val="1DD4E3FF"/>
    <w:rsid w:val="1E12B500"/>
    <w:rsid w:val="1E333C4A"/>
    <w:rsid w:val="1E8F248E"/>
    <w:rsid w:val="1ED58F09"/>
    <w:rsid w:val="1ED69E09"/>
    <w:rsid w:val="1EE163BA"/>
    <w:rsid w:val="1F005750"/>
    <w:rsid w:val="1F21F18F"/>
    <w:rsid w:val="1FD0BFD4"/>
    <w:rsid w:val="1FD26E66"/>
    <w:rsid w:val="1FE05B3E"/>
    <w:rsid w:val="1FF2E142"/>
    <w:rsid w:val="1FF3B7EE"/>
    <w:rsid w:val="204581CD"/>
    <w:rsid w:val="2066A707"/>
    <w:rsid w:val="20A82A1E"/>
    <w:rsid w:val="20DD74BD"/>
    <w:rsid w:val="2133BA75"/>
    <w:rsid w:val="213E1CAC"/>
    <w:rsid w:val="218A70B1"/>
    <w:rsid w:val="218C8239"/>
    <w:rsid w:val="218F3172"/>
    <w:rsid w:val="21B3FF3F"/>
    <w:rsid w:val="21B9D786"/>
    <w:rsid w:val="21D9EBA2"/>
    <w:rsid w:val="2215CD6D"/>
    <w:rsid w:val="2225DF6C"/>
    <w:rsid w:val="224CC2D0"/>
    <w:rsid w:val="2262E1D2"/>
    <w:rsid w:val="22849EC0"/>
    <w:rsid w:val="2285DC69"/>
    <w:rsid w:val="22B58ABF"/>
    <w:rsid w:val="22B757E4"/>
    <w:rsid w:val="22C2D2D0"/>
    <w:rsid w:val="22EE478B"/>
    <w:rsid w:val="22F8BE4C"/>
    <w:rsid w:val="2312A126"/>
    <w:rsid w:val="23208B52"/>
    <w:rsid w:val="237AA866"/>
    <w:rsid w:val="23A1DA60"/>
    <w:rsid w:val="23D50EC0"/>
    <w:rsid w:val="240ADB35"/>
    <w:rsid w:val="256CD021"/>
    <w:rsid w:val="258445AF"/>
    <w:rsid w:val="259229C7"/>
    <w:rsid w:val="25C24E68"/>
    <w:rsid w:val="25E57D72"/>
    <w:rsid w:val="2603B644"/>
    <w:rsid w:val="26060D8B"/>
    <w:rsid w:val="2642E583"/>
    <w:rsid w:val="264DA37E"/>
    <w:rsid w:val="26722D98"/>
    <w:rsid w:val="26735697"/>
    <w:rsid w:val="26896B71"/>
    <w:rsid w:val="269DB888"/>
    <w:rsid w:val="26B1B17A"/>
    <w:rsid w:val="26B7B39A"/>
    <w:rsid w:val="2709508F"/>
    <w:rsid w:val="273DF949"/>
    <w:rsid w:val="27501669"/>
    <w:rsid w:val="277F5F70"/>
    <w:rsid w:val="27B3CFE5"/>
    <w:rsid w:val="27B9A72B"/>
    <w:rsid w:val="27C71385"/>
    <w:rsid w:val="27E62932"/>
    <w:rsid w:val="27EF2EDF"/>
    <w:rsid w:val="287AFB91"/>
    <w:rsid w:val="287B2953"/>
    <w:rsid w:val="288E41CC"/>
    <w:rsid w:val="290AFC59"/>
    <w:rsid w:val="292FE473"/>
    <w:rsid w:val="29C96226"/>
    <w:rsid w:val="29CE946A"/>
    <w:rsid w:val="29F96263"/>
    <w:rsid w:val="2A0DB9AB"/>
    <w:rsid w:val="2A24FB89"/>
    <w:rsid w:val="2A3F70A3"/>
    <w:rsid w:val="2A4D4C7B"/>
    <w:rsid w:val="2A9540BA"/>
    <w:rsid w:val="2AB88E25"/>
    <w:rsid w:val="2ACB7643"/>
    <w:rsid w:val="2AEE73EA"/>
    <w:rsid w:val="2B0A5D96"/>
    <w:rsid w:val="2B296EBB"/>
    <w:rsid w:val="2B2E5A27"/>
    <w:rsid w:val="2B360EED"/>
    <w:rsid w:val="2B8A7DB5"/>
    <w:rsid w:val="2B9071D6"/>
    <w:rsid w:val="2B9C4BA3"/>
    <w:rsid w:val="2C2044A6"/>
    <w:rsid w:val="2C35456D"/>
    <w:rsid w:val="2CA0DF79"/>
    <w:rsid w:val="2CA52919"/>
    <w:rsid w:val="2CB69949"/>
    <w:rsid w:val="2CD40E70"/>
    <w:rsid w:val="2CFA37F9"/>
    <w:rsid w:val="2D070E34"/>
    <w:rsid w:val="2D20FA71"/>
    <w:rsid w:val="2D45E8A5"/>
    <w:rsid w:val="2D4BA21E"/>
    <w:rsid w:val="2D5B28C0"/>
    <w:rsid w:val="2D678DC7"/>
    <w:rsid w:val="2D9917AD"/>
    <w:rsid w:val="2DF4446A"/>
    <w:rsid w:val="2E05C4B6"/>
    <w:rsid w:val="2E3F9E30"/>
    <w:rsid w:val="2E87F1C1"/>
    <w:rsid w:val="2EA43622"/>
    <w:rsid w:val="2ED41D40"/>
    <w:rsid w:val="2EEBB988"/>
    <w:rsid w:val="2EFAF661"/>
    <w:rsid w:val="2F4055CF"/>
    <w:rsid w:val="2F5E22D6"/>
    <w:rsid w:val="2F614632"/>
    <w:rsid w:val="2F68DA48"/>
    <w:rsid w:val="2F988BDE"/>
    <w:rsid w:val="306C191C"/>
    <w:rsid w:val="308C4BC0"/>
    <w:rsid w:val="30ADA9C5"/>
    <w:rsid w:val="30C3DC04"/>
    <w:rsid w:val="30CA01AC"/>
    <w:rsid w:val="313DDDF0"/>
    <w:rsid w:val="31555BD6"/>
    <w:rsid w:val="316211C0"/>
    <w:rsid w:val="3164ADF3"/>
    <w:rsid w:val="31801719"/>
    <w:rsid w:val="319E7CA9"/>
    <w:rsid w:val="31BF1159"/>
    <w:rsid w:val="31DA1FBD"/>
    <w:rsid w:val="31DB768D"/>
    <w:rsid w:val="32032B5A"/>
    <w:rsid w:val="322BDD8E"/>
    <w:rsid w:val="322C78C5"/>
    <w:rsid w:val="323B463C"/>
    <w:rsid w:val="323F89B5"/>
    <w:rsid w:val="325C29BC"/>
    <w:rsid w:val="325DFB6B"/>
    <w:rsid w:val="32A32457"/>
    <w:rsid w:val="32F1E6EE"/>
    <w:rsid w:val="3388B071"/>
    <w:rsid w:val="338D0939"/>
    <w:rsid w:val="33AD4B17"/>
    <w:rsid w:val="33D73358"/>
    <w:rsid w:val="33DB83A8"/>
    <w:rsid w:val="34371892"/>
    <w:rsid w:val="3445E848"/>
    <w:rsid w:val="346DB415"/>
    <w:rsid w:val="34798E59"/>
    <w:rsid w:val="3496952F"/>
    <w:rsid w:val="34A403C9"/>
    <w:rsid w:val="34D8B66B"/>
    <w:rsid w:val="351D9F1C"/>
    <w:rsid w:val="3535A77F"/>
    <w:rsid w:val="354477A1"/>
    <w:rsid w:val="355A0C6A"/>
    <w:rsid w:val="3581E643"/>
    <w:rsid w:val="3596F207"/>
    <w:rsid w:val="35C1D1B0"/>
    <w:rsid w:val="35D39FA9"/>
    <w:rsid w:val="35F67D27"/>
    <w:rsid w:val="35F7566F"/>
    <w:rsid w:val="3604CB27"/>
    <w:rsid w:val="3644DD28"/>
    <w:rsid w:val="3666C747"/>
    <w:rsid w:val="3673165E"/>
    <w:rsid w:val="36877C3F"/>
    <w:rsid w:val="368AB091"/>
    <w:rsid w:val="368F32F6"/>
    <w:rsid w:val="36AA6190"/>
    <w:rsid w:val="36B955B4"/>
    <w:rsid w:val="36DDBC2C"/>
    <w:rsid w:val="36DEB81A"/>
    <w:rsid w:val="36E97167"/>
    <w:rsid w:val="36FB54EF"/>
    <w:rsid w:val="3718DB80"/>
    <w:rsid w:val="3718EF06"/>
    <w:rsid w:val="376573AD"/>
    <w:rsid w:val="3776D610"/>
    <w:rsid w:val="37D19BFC"/>
    <w:rsid w:val="37ED9993"/>
    <w:rsid w:val="37FE72AE"/>
    <w:rsid w:val="380B35C7"/>
    <w:rsid w:val="381C1ADF"/>
    <w:rsid w:val="384A6A0E"/>
    <w:rsid w:val="3858EA93"/>
    <w:rsid w:val="385B1E94"/>
    <w:rsid w:val="38F46FD4"/>
    <w:rsid w:val="3915015F"/>
    <w:rsid w:val="395922B1"/>
    <w:rsid w:val="3985DFCA"/>
    <w:rsid w:val="39BDBC60"/>
    <w:rsid w:val="3A7F2863"/>
    <w:rsid w:val="3A858417"/>
    <w:rsid w:val="3B142326"/>
    <w:rsid w:val="3B6813BE"/>
    <w:rsid w:val="3B82ECA7"/>
    <w:rsid w:val="3B901125"/>
    <w:rsid w:val="3C8CAF2E"/>
    <w:rsid w:val="3C931405"/>
    <w:rsid w:val="3C95CE38"/>
    <w:rsid w:val="3CB90A26"/>
    <w:rsid w:val="3D60ADB3"/>
    <w:rsid w:val="3D8AABBD"/>
    <w:rsid w:val="3D8FA534"/>
    <w:rsid w:val="3D93B0F3"/>
    <w:rsid w:val="3DB24394"/>
    <w:rsid w:val="3DC9390B"/>
    <w:rsid w:val="3DD6D744"/>
    <w:rsid w:val="3DF377E1"/>
    <w:rsid w:val="3E049F04"/>
    <w:rsid w:val="3E0F08B8"/>
    <w:rsid w:val="3E1BF8F4"/>
    <w:rsid w:val="3E512C8B"/>
    <w:rsid w:val="3E913D94"/>
    <w:rsid w:val="3EA57174"/>
    <w:rsid w:val="3EC69BF6"/>
    <w:rsid w:val="3EF06426"/>
    <w:rsid w:val="3F565DE1"/>
    <w:rsid w:val="3F615A5F"/>
    <w:rsid w:val="3F65CF78"/>
    <w:rsid w:val="3F88842F"/>
    <w:rsid w:val="3F9CECFA"/>
    <w:rsid w:val="3FBFDF6D"/>
    <w:rsid w:val="3FC7A317"/>
    <w:rsid w:val="3FD04D7E"/>
    <w:rsid w:val="3FE71114"/>
    <w:rsid w:val="3FFC9097"/>
    <w:rsid w:val="4025A613"/>
    <w:rsid w:val="4069768E"/>
    <w:rsid w:val="407E7B4D"/>
    <w:rsid w:val="40FA34AF"/>
    <w:rsid w:val="41271E68"/>
    <w:rsid w:val="412ADC77"/>
    <w:rsid w:val="4143CBED"/>
    <w:rsid w:val="41473121"/>
    <w:rsid w:val="416F358C"/>
    <w:rsid w:val="41F37142"/>
    <w:rsid w:val="41F6122F"/>
    <w:rsid w:val="4201179B"/>
    <w:rsid w:val="421CE458"/>
    <w:rsid w:val="422E87F9"/>
    <w:rsid w:val="4235B0AD"/>
    <w:rsid w:val="424E808F"/>
    <w:rsid w:val="4267E6AC"/>
    <w:rsid w:val="4281059B"/>
    <w:rsid w:val="42881A2A"/>
    <w:rsid w:val="42DEEE06"/>
    <w:rsid w:val="43154421"/>
    <w:rsid w:val="432F3048"/>
    <w:rsid w:val="43733C14"/>
    <w:rsid w:val="43841178"/>
    <w:rsid w:val="43BBE763"/>
    <w:rsid w:val="440AB57C"/>
    <w:rsid w:val="44339281"/>
    <w:rsid w:val="443EEB05"/>
    <w:rsid w:val="4460ECC8"/>
    <w:rsid w:val="4463D3AD"/>
    <w:rsid w:val="4477D03A"/>
    <w:rsid w:val="449BC0F7"/>
    <w:rsid w:val="44A95477"/>
    <w:rsid w:val="44DAA64D"/>
    <w:rsid w:val="45CE94A8"/>
    <w:rsid w:val="460F11BE"/>
    <w:rsid w:val="465DC519"/>
    <w:rsid w:val="4675B5A2"/>
    <w:rsid w:val="467DF325"/>
    <w:rsid w:val="468B0A36"/>
    <w:rsid w:val="469A3367"/>
    <w:rsid w:val="46A9E00C"/>
    <w:rsid w:val="46ADB8D2"/>
    <w:rsid w:val="46BBD283"/>
    <w:rsid w:val="46BE8F44"/>
    <w:rsid w:val="46C16E5E"/>
    <w:rsid w:val="46D69E65"/>
    <w:rsid w:val="46F338E3"/>
    <w:rsid w:val="4705B7C0"/>
    <w:rsid w:val="47275AD3"/>
    <w:rsid w:val="473EC89B"/>
    <w:rsid w:val="47584FEA"/>
    <w:rsid w:val="476FA231"/>
    <w:rsid w:val="47750661"/>
    <w:rsid w:val="47C8D1A9"/>
    <w:rsid w:val="47F2A432"/>
    <w:rsid w:val="4811AA0E"/>
    <w:rsid w:val="481EA1D0"/>
    <w:rsid w:val="482DFE43"/>
    <w:rsid w:val="484B873E"/>
    <w:rsid w:val="487480B9"/>
    <w:rsid w:val="487F8335"/>
    <w:rsid w:val="48B6D9DB"/>
    <w:rsid w:val="491C9E3E"/>
    <w:rsid w:val="4921F05A"/>
    <w:rsid w:val="494D78E0"/>
    <w:rsid w:val="494E61A7"/>
    <w:rsid w:val="49720BFE"/>
    <w:rsid w:val="49727B9F"/>
    <w:rsid w:val="497D0574"/>
    <w:rsid w:val="497D3635"/>
    <w:rsid w:val="497FF032"/>
    <w:rsid w:val="49AB0232"/>
    <w:rsid w:val="49CC76AE"/>
    <w:rsid w:val="4A33A15A"/>
    <w:rsid w:val="4A8AB222"/>
    <w:rsid w:val="4A9ECDC4"/>
    <w:rsid w:val="4AA1A6D8"/>
    <w:rsid w:val="4B2E841B"/>
    <w:rsid w:val="4B562C72"/>
    <w:rsid w:val="4BC871F3"/>
    <w:rsid w:val="4BE0BEA2"/>
    <w:rsid w:val="4BFF6207"/>
    <w:rsid w:val="4C92F789"/>
    <w:rsid w:val="4CA66249"/>
    <w:rsid w:val="4CC32FF8"/>
    <w:rsid w:val="4CECF241"/>
    <w:rsid w:val="4D177814"/>
    <w:rsid w:val="4D36A912"/>
    <w:rsid w:val="4D45C66A"/>
    <w:rsid w:val="4D600687"/>
    <w:rsid w:val="4D896C72"/>
    <w:rsid w:val="4D950F30"/>
    <w:rsid w:val="4DAE8F3D"/>
    <w:rsid w:val="4DBC20F5"/>
    <w:rsid w:val="4DC6D71D"/>
    <w:rsid w:val="4DF632A4"/>
    <w:rsid w:val="4E1E58B5"/>
    <w:rsid w:val="4E5FC09A"/>
    <w:rsid w:val="4EECFC96"/>
    <w:rsid w:val="4EFFF4E4"/>
    <w:rsid w:val="4F2E2C7F"/>
    <w:rsid w:val="4F3906A9"/>
    <w:rsid w:val="4F5ECFE3"/>
    <w:rsid w:val="4F7EDD07"/>
    <w:rsid w:val="4FAADF1E"/>
    <w:rsid w:val="4FB294C0"/>
    <w:rsid w:val="4FB3A1D6"/>
    <w:rsid w:val="500A4E24"/>
    <w:rsid w:val="500ADB9F"/>
    <w:rsid w:val="5078EA54"/>
    <w:rsid w:val="50B2C50A"/>
    <w:rsid w:val="50C54803"/>
    <w:rsid w:val="50C5E2A1"/>
    <w:rsid w:val="50C6815B"/>
    <w:rsid w:val="50FA02F8"/>
    <w:rsid w:val="515400A7"/>
    <w:rsid w:val="516FB39C"/>
    <w:rsid w:val="517E1413"/>
    <w:rsid w:val="518E356B"/>
    <w:rsid w:val="51ACC31E"/>
    <w:rsid w:val="521FD97E"/>
    <w:rsid w:val="5225F29E"/>
    <w:rsid w:val="526F76F3"/>
    <w:rsid w:val="5285883E"/>
    <w:rsid w:val="52B5A5E9"/>
    <w:rsid w:val="53201CA3"/>
    <w:rsid w:val="532F497E"/>
    <w:rsid w:val="5330E47A"/>
    <w:rsid w:val="53377A0B"/>
    <w:rsid w:val="53641139"/>
    <w:rsid w:val="53A7521E"/>
    <w:rsid w:val="53E5E913"/>
    <w:rsid w:val="53E6D4D1"/>
    <w:rsid w:val="53FC6400"/>
    <w:rsid w:val="54F17DCF"/>
    <w:rsid w:val="550B5929"/>
    <w:rsid w:val="5511B103"/>
    <w:rsid w:val="5512F6ED"/>
    <w:rsid w:val="5537F359"/>
    <w:rsid w:val="559E9A10"/>
    <w:rsid w:val="5642029D"/>
    <w:rsid w:val="564638AF"/>
    <w:rsid w:val="56835A56"/>
    <w:rsid w:val="56B5C55C"/>
    <w:rsid w:val="56C652D1"/>
    <w:rsid w:val="56F4737D"/>
    <w:rsid w:val="56FBB274"/>
    <w:rsid w:val="57299A18"/>
    <w:rsid w:val="572B397A"/>
    <w:rsid w:val="577AC87C"/>
    <w:rsid w:val="57AD7CE4"/>
    <w:rsid w:val="57E1E2B6"/>
    <w:rsid w:val="583231BE"/>
    <w:rsid w:val="58528C5F"/>
    <w:rsid w:val="586AACB8"/>
    <w:rsid w:val="58BA29DD"/>
    <w:rsid w:val="58F81186"/>
    <w:rsid w:val="58FF7CDE"/>
    <w:rsid w:val="59091802"/>
    <w:rsid w:val="59564490"/>
    <w:rsid w:val="59915928"/>
    <w:rsid w:val="59B62BC4"/>
    <w:rsid w:val="59F7047B"/>
    <w:rsid w:val="5A05F24D"/>
    <w:rsid w:val="5A0A264A"/>
    <w:rsid w:val="5A43BD75"/>
    <w:rsid w:val="5A839FDB"/>
    <w:rsid w:val="5A8E0CE8"/>
    <w:rsid w:val="5A983920"/>
    <w:rsid w:val="5A9AB136"/>
    <w:rsid w:val="5AD57B1D"/>
    <w:rsid w:val="5AE418A2"/>
    <w:rsid w:val="5AF855A6"/>
    <w:rsid w:val="5B339B85"/>
    <w:rsid w:val="5B38C082"/>
    <w:rsid w:val="5B468128"/>
    <w:rsid w:val="5BABC783"/>
    <w:rsid w:val="5BD0D0F8"/>
    <w:rsid w:val="5C0852E5"/>
    <w:rsid w:val="5C08744B"/>
    <w:rsid w:val="5C15D75E"/>
    <w:rsid w:val="5C19E8D1"/>
    <w:rsid w:val="5C4EA476"/>
    <w:rsid w:val="5C661202"/>
    <w:rsid w:val="5C70DA38"/>
    <w:rsid w:val="5C8EF7A1"/>
    <w:rsid w:val="5C976A70"/>
    <w:rsid w:val="5C9E0292"/>
    <w:rsid w:val="5CA4180E"/>
    <w:rsid w:val="5CAB02C3"/>
    <w:rsid w:val="5D494F2F"/>
    <w:rsid w:val="5D6EA152"/>
    <w:rsid w:val="5D7163B5"/>
    <w:rsid w:val="5D7895F9"/>
    <w:rsid w:val="5D797988"/>
    <w:rsid w:val="5D8BFFE6"/>
    <w:rsid w:val="5DA399A2"/>
    <w:rsid w:val="5DA9377F"/>
    <w:rsid w:val="5DAED50B"/>
    <w:rsid w:val="5DCA7E79"/>
    <w:rsid w:val="5E09253A"/>
    <w:rsid w:val="5E506E3D"/>
    <w:rsid w:val="5E737F7A"/>
    <w:rsid w:val="5EB373C1"/>
    <w:rsid w:val="5EBEFA4B"/>
    <w:rsid w:val="5F150B10"/>
    <w:rsid w:val="5F21C257"/>
    <w:rsid w:val="5F3E43ED"/>
    <w:rsid w:val="5F570D5C"/>
    <w:rsid w:val="5F5BBE63"/>
    <w:rsid w:val="5F5C8B60"/>
    <w:rsid w:val="5FD1FE2E"/>
    <w:rsid w:val="5FDFE22C"/>
    <w:rsid w:val="5FE58C9C"/>
    <w:rsid w:val="6026BC4C"/>
    <w:rsid w:val="60334402"/>
    <w:rsid w:val="6083F577"/>
    <w:rsid w:val="60C3FD0A"/>
    <w:rsid w:val="60D2B1EA"/>
    <w:rsid w:val="60F71FD8"/>
    <w:rsid w:val="614CC663"/>
    <w:rsid w:val="6190B3E1"/>
    <w:rsid w:val="6204EE5D"/>
    <w:rsid w:val="620C7C66"/>
    <w:rsid w:val="623345C3"/>
    <w:rsid w:val="62340BF7"/>
    <w:rsid w:val="6238488B"/>
    <w:rsid w:val="623ED932"/>
    <w:rsid w:val="624DE1FE"/>
    <w:rsid w:val="62531692"/>
    <w:rsid w:val="6254C317"/>
    <w:rsid w:val="62C90B72"/>
    <w:rsid w:val="62E669EF"/>
    <w:rsid w:val="6313C711"/>
    <w:rsid w:val="631D9BBB"/>
    <w:rsid w:val="63341376"/>
    <w:rsid w:val="6347EEA5"/>
    <w:rsid w:val="634D844A"/>
    <w:rsid w:val="637D8E49"/>
    <w:rsid w:val="639C7D5E"/>
    <w:rsid w:val="63CFD5B0"/>
    <w:rsid w:val="63DA1723"/>
    <w:rsid w:val="6412458D"/>
    <w:rsid w:val="64636661"/>
    <w:rsid w:val="646658E9"/>
    <w:rsid w:val="6480D3C6"/>
    <w:rsid w:val="6496EAC7"/>
    <w:rsid w:val="650E94D8"/>
    <w:rsid w:val="6565E5FA"/>
    <w:rsid w:val="65A01D5A"/>
    <w:rsid w:val="65A1077D"/>
    <w:rsid w:val="65C5426F"/>
    <w:rsid w:val="65CF5FF0"/>
    <w:rsid w:val="66001A51"/>
    <w:rsid w:val="66352ADB"/>
    <w:rsid w:val="66596519"/>
    <w:rsid w:val="6678A539"/>
    <w:rsid w:val="6679F302"/>
    <w:rsid w:val="66908E8D"/>
    <w:rsid w:val="66CBD14A"/>
    <w:rsid w:val="66DE4C64"/>
    <w:rsid w:val="66DE654B"/>
    <w:rsid w:val="66EF305B"/>
    <w:rsid w:val="66FBED74"/>
    <w:rsid w:val="672165AC"/>
    <w:rsid w:val="6728D894"/>
    <w:rsid w:val="67447D93"/>
    <w:rsid w:val="6751D7A0"/>
    <w:rsid w:val="679D1EF2"/>
    <w:rsid w:val="6812EDA8"/>
    <w:rsid w:val="681C3E95"/>
    <w:rsid w:val="68221608"/>
    <w:rsid w:val="684E282A"/>
    <w:rsid w:val="6865BBA7"/>
    <w:rsid w:val="688256A6"/>
    <w:rsid w:val="689D2646"/>
    <w:rsid w:val="68E2C2D8"/>
    <w:rsid w:val="68F20773"/>
    <w:rsid w:val="69092CB5"/>
    <w:rsid w:val="691DB30E"/>
    <w:rsid w:val="69823D79"/>
    <w:rsid w:val="698F86EC"/>
    <w:rsid w:val="6997E611"/>
    <w:rsid w:val="69F36BC3"/>
    <w:rsid w:val="6A03CBAF"/>
    <w:rsid w:val="6A083417"/>
    <w:rsid w:val="6A3DDB80"/>
    <w:rsid w:val="6A40BCA9"/>
    <w:rsid w:val="6A534373"/>
    <w:rsid w:val="6A5705DF"/>
    <w:rsid w:val="6A5CDCA0"/>
    <w:rsid w:val="6A7AF181"/>
    <w:rsid w:val="6A7CB343"/>
    <w:rsid w:val="6A939557"/>
    <w:rsid w:val="6AA84397"/>
    <w:rsid w:val="6AD7A46D"/>
    <w:rsid w:val="6ADD5045"/>
    <w:rsid w:val="6B0FCA24"/>
    <w:rsid w:val="6B164870"/>
    <w:rsid w:val="6B2BA081"/>
    <w:rsid w:val="6B74D41D"/>
    <w:rsid w:val="6B8D888F"/>
    <w:rsid w:val="6BA61821"/>
    <w:rsid w:val="6BAD0380"/>
    <w:rsid w:val="6C78E126"/>
    <w:rsid w:val="6C7F8E10"/>
    <w:rsid w:val="6CBA940D"/>
    <w:rsid w:val="6D5238C1"/>
    <w:rsid w:val="6D5748B0"/>
    <w:rsid w:val="6D87A6A1"/>
    <w:rsid w:val="6D9A8D29"/>
    <w:rsid w:val="6DBF959A"/>
    <w:rsid w:val="6DCC906C"/>
    <w:rsid w:val="6E147AA1"/>
    <w:rsid w:val="6E29FF9E"/>
    <w:rsid w:val="6E35273B"/>
    <w:rsid w:val="6E36B14A"/>
    <w:rsid w:val="6E5FB046"/>
    <w:rsid w:val="6E619977"/>
    <w:rsid w:val="6E61D153"/>
    <w:rsid w:val="6E751585"/>
    <w:rsid w:val="6E7DB403"/>
    <w:rsid w:val="6E8BB091"/>
    <w:rsid w:val="6EF24BB4"/>
    <w:rsid w:val="6F631610"/>
    <w:rsid w:val="6FDB8C5C"/>
    <w:rsid w:val="700A4E36"/>
    <w:rsid w:val="70603FCE"/>
    <w:rsid w:val="7060D125"/>
    <w:rsid w:val="706B59AD"/>
    <w:rsid w:val="70898898"/>
    <w:rsid w:val="709C2225"/>
    <w:rsid w:val="70C5F0A7"/>
    <w:rsid w:val="71215E83"/>
    <w:rsid w:val="714AEFEF"/>
    <w:rsid w:val="719CF16E"/>
    <w:rsid w:val="71A2BD08"/>
    <w:rsid w:val="71C2AAE9"/>
    <w:rsid w:val="71EEF071"/>
    <w:rsid w:val="71FB7077"/>
    <w:rsid w:val="72004222"/>
    <w:rsid w:val="721F80AD"/>
    <w:rsid w:val="72365778"/>
    <w:rsid w:val="724938B0"/>
    <w:rsid w:val="726A01F6"/>
    <w:rsid w:val="7285BE35"/>
    <w:rsid w:val="72C51C64"/>
    <w:rsid w:val="73033E21"/>
    <w:rsid w:val="73223E9B"/>
    <w:rsid w:val="734FCE46"/>
    <w:rsid w:val="7366BD99"/>
    <w:rsid w:val="73685D5E"/>
    <w:rsid w:val="736F448A"/>
    <w:rsid w:val="737B7F64"/>
    <w:rsid w:val="73A89930"/>
    <w:rsid w:val="73D55451"/>
    <w:rsid w:val="7417569D"/>
    <w:rsid w:val="741C66FA"/>
    <w:rsid w:val="7454CC5E"/>
    <w:rsid w:val="748CCBC0"/>
    <w:rsid w:val="749BA5A2"/>
    <w:rsid w:val="74B58421"/>
    <w:rsid w:val="74E320DB"/>
    <w:rsid w:val="750E821D"/>
    <w:rsid w:val="75790B23"/>
    <w:rsid w:val="757DC94F"/>
    <w:rsid w:val="75823D7A"/>
    <w:rsid w:val="75B8D11B"/>
    <w:rsid w:val="75BEB091"/>
    <w:rsid w:val="75D9F143"/>
    <w:rsid w:val="75DC9AA2"/>
    <w:rsid w:val="7617FF85"/>
    <w:rsid w:val="761D7544"/>
    <w:rsid w:val="762F2554"/>
    <w:rsid w:val="763206B1"/>
    <w:rsid w:val="763F3D28"/>
    <w:rsid w:val="765A39F2"/>
    <w:rsid w:val="76C951CD"/>
    <w:rsid w:val="76E8A62F"/>
    <w:rsid w:val="76EC1BEB"/>
    <w:rsid w:val="770D549C"/>
    <w:rsid w:val="770FA831"/>
    <w:rsid w:val="77808A2C"/>
    <w:rsid w:val="77AFE43A"/>
    <w:rsid w:val="77B6D0F8"/>
    <w:rsid w:val="77D441C2"/>
    <w:rsid w:val="77D51E7C"/>
    <w:rsid w:val="77DB352C"/>
    <w:rsid w:val="7827FB87"/>
    <w:rsid w:val="782C029E"/>
    <w:rsid w:val="782DE031"/>
    <w:rsid w:val="785379A5"/>
    <w:rsid w:val="7872E0DF"/>
    <w:rsid w:val="7876100F"/>
    <w:rsid w:val="78814A10"/>
    <w:rsid w:val="78927356"/>
    <w:rsid w:val="78E98750"/>
    <w:rsid w:val="78FCBE48"/>
    <w:rsid w:val="7908F3BB"/>
    <w:rsid w:val="79233916"/>
    <w:rsid w:val="792D02AF"/>
    <w:rsid w:val="79374EB5"/>
    <w:rsid w:val="795D5F25"/>
    <w:rsid w:val="79E55FBA"/>
    <w:rsid w:val="7A471DC4"/>
    <w:rsid w:val="7A74A7D1"/>
    <w:rsid w:val="7A78B0F2"/>
    <w:rsid w:val="7AAE4FD1"/>
    <w:rsid w:val="7AC017C9"/>
    <w:rsid w:val="7ADF9FD6"/>
    <w:rsid w:val="7B3BECBE"/>
    <w:rsid w:val="7B3E807B"/>
    <w:rsid w:val="7B638FF6"/>
    <w:rsid w:val="7B8041BD"/>
    <w:rsid w:val="7BB27CB5"/>
    <w:rsid w:val="7BC1111E"/>
    <w:rsid w:val="7BC775BD"/>
    <w:rsid w:val="7BD0A2A3"/>
    <w:rsid w:val="7C40104B"/>
    <w:rsid w:val="7C553AE5"/>
    <w:rsid w:val="7C769188"/>
    <w:rsid w:val="7C9956FF"/>
    <w:rsid w:val="7CA36281"/>
    <w:rsid w:val="7CE00BEF"/>
    <w:rsid w:val="7CF4D36E"/>
    <w:rsid w:val="7D34F869"/>
    <w:rsid w:val="7DDF01F3"/>
    <w:rsid w:val="7DEFD879"/>
    <w:rsid w:val="7DF1C57D"/>
    <w:rsid w:val="7E191551"/>
    <w:rsid w:val="7E3E0BA4"/>
    <w:rsid w:val="7E5E5284"/>
    <w:rsid w:val="7E8E2555"/>
    <w:rsid w:val="7F038A60"/>
    <w:rsid w:val="7F3E554F"/>
    <w:rsid w:val="7F68C93D"/>
    <w:rsid w:val="7FB0F3D1"/>
    <w:rsid w:val="7FDAC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B741"/>
  <w15:docId w15:val="{2E2279D2-1A67-4605-8EC0-E42C2817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F7"/>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66DE4C64"/>
    <w:pPr>
      <w:outlineLvl w:val="0"/>
    </w:pPr>
    <w:rPr>
      <w:rFonts w:ascii="Times New Roman" w:hAnsi="Times New Roman" w:cs="Times New Roman"/>
      <w:b/>
      <w:bCs/>
      <w:color w:val="2E74B5" w:themeColor="accent1" w:themeShade="BF"/>
      <w:sz w:val="64"/>
      <w:szCs w:val="64"/>
    </w:rPr>
  </w:style>
  <w:style w:type="paragraph" w:styleId="Heading2">
    <w:name w:val="heading 2"/>
    <w:basedOn w:val="Normal"/>
    <w:next w:val="Normal"/>
    <w:link w:val="Heading2Char"/>
    <w:uiPriority w:val="9"/>
    <w:unhideWhenUsed/>
    <w:qFormat/>
    <w:rsid w:val="66DE4C64"/>
    <w:pPr>
      <w:keepNext/>
      <w:keepLines/>
      <w:numPr>
        <w:numId w:val="3"/>
      </w:numPr>
      <w:spacing w:before="120" w:after="120" w:line="280" w:lineRule="exact"/>
      <w:outlineLvl w:val="1"/>
    </w:pPr>
    <w:rPr>
      <w:rFonts w:ascii="Times New Roman" w:eastAsiaTheme="majorEastAsia" w:hAnsi="Times New Roman" w:cs="Times New Roman"/>
      <w:b/>
      <w:bCs/>
    </w:rPr>
  </w:style>
  <w:style w:type="paragraph" w:styleId="Heading3">
    <w:name w:val="heading 3"/>
    <w:basedOn w:val="Normal"/>
    <w:next w:val="Normal"/>
    <w:link w:val="Heading3Char"/>
    <w:uiPriority w:val="9"/>
    <w:unhideWhenUsed/>
    <w:qFormat/>
    <w:rsid w:val="66DE4C64"/>
    <w:pPr>
      <w:keepNext/>
      <w:keepLines/>
      <w:numPr>
        <w:numId w:val="5"/>
      </w:numPr>
      <w:spacing w:before="240" w:after="240" w:line="280" w:lineRule="exact"/>
      <w:outlineLvl w:val="2"/>
    </w:pPr>
    <w:rPr>
      <w:rFonts w:ascii="Times New Roman" w:eastAsiaTheme="majorEastAsia" w:hAnsi="Times New Roman" w:cs="Times New Roman"/>
      <w:b/>
      <w:bCs/>
    </w:rPr>
  </w:style>
  <w:style w:type="paragraph" w:styleId="Heading4">
    <w:name w:val="heading 4"/>
    <w:basedOn w:val="Normal"/>
    <w:next w:val="Normal"/>
    <w:link w:val="Heading4Char"/>
    <w:uiPriority w:val="9"/>
    <w:unhideWhenUsed/>
    <w:qFormat/>
    <w:rsid w:val="66DE4C64"/>
    <w:pPr>
      <w:keepNext/>
      <w:keepLines/>
      <w:numPr>
        <w:numId w:val="18"/>
      </w:numPr>
      <w:spacing w:before="40"/>
      <w:outlineLvl w:val="3"/>
    </w:pPr>
    <w:rPr>
      <w:rFonts w:ascii="Times New Roman" w:eastAsiaTheme="majorEastAsia" w:hAnsi="Times New Roman" w:cstheme="majorBidi"/>
      <w:b/>
      <w:bCs/>
    </w:rPr>
  </w:style>
  <w:style w:type="paragraph" w:styleId="Heading5">
    <w:name w:val="heading 5"/>
    <w:basedOn w:val="Normal"/>
    <w:next w:val="Normal"/>
    <w:link w:val="Heading5Char"/>
    <w:uiPriority w:val="9"/>
    <w:unhideWhenUsed/>
    <w:qFormat/>
    <w:rsid w:val="66DE4C64"/>
    <w:pPr>
      <w:keepNext/>
      <w:keepLines/>
      <w:spacing w:before="40"/>
      <w:ind w:left="426"/>
      <w:outlineLvl w:val="4"/>
    </w:pPr>
    <w:rPr>
      <w:rFonts w:ascii="Times New Roman" w:eastAsiaTheme="majorEastAsia" w:hAnsi="Times New Roman" w:cs="Times New Roman"/>
      <w:b/>
      <w:bCs/>
    </w:rPr>
  </w:style>
  <w:style w:type="paragraph" w:styleId="Heading6">
    <w:name w:val="heading 6"/>
    <w:basedOn w:val="Normal"/>
    <w:next w:val="Normal"/>
    <w:link w:val="Heading6Char"/>
    <w:uiPriority w:val="9"/>
    <w:unhideWhenUsed/>
    <w:qFormat/>
    <w:rsid w:val="66DE4C64"/>
    <w:pPr>
      <w:keepNext/>
      <w:keepLines/>
      <w:spacing w:before="40"/>
      <w:ind w:left="426"/>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semiHidden/>
    <w:unhideWhenUsed/>
    <w:qFormat/>
    <w:rsid w:val="66DE4C64"/>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66DE4C64"/>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66DE4C64"/>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66DE4C64"/>
    <w:pPr>
      <w:ind w:left="720"/>
      <w:contextualSpacing/>
    </w:pPr>
  </w:style>
  <w:style w:type="character" w:customStyle="1" w:styleId="Heading2Char">
    <w:name w:val="Heading 2 Char"/>
    <w:basedOn w:val="DefaultParagraphFont"/>
    <w:link w:val="Heading2"/>
    <w:uiPriority w:val="9"/>
    <w:rsid w:val="00031D68"/>
    <w:rPr>
      <w:rFonts w:ascii="Times New Roman" w:eastAsiaTheme="majorEastAsia" w:hAnsi="Times New Roman" w:cs="Times New Roman"/>
      <w:b/>
      <w:bCs/>
      <w:noProof/>
    </w:rPr>
  </w:style>
  <w:style w:type="character" w:customStyle="1" w:styleId="Heading1Char">
    <w:name w:val="Heading 1 Char"/>
    <w:basedOn w:val="DefaultParagraphFont"/>
    <w:link w:val="Heading1"/>
    <w:uiPriority w:val="9"/>
    <w:rsid w:val="008053B5"/>
    <w:rPr>
      <w:rFonts w:ascii="Times New Roman" w:hAnsi="Times New Roman" w:cs="Times New Roman"/>
      <w:b/>
      <w:color w:val="2E74B5" w:themeColor="accent1" w:themeShade="BF"/>
      <w:sz w:val="64"/>
      <w:szCs w:val="64"/>
    </w:rPr>
  </w:style>
  <w:style w:type="table" w:styleId="TableGrid">
    <w:name w:val="Table Grid"/>
    <w:basedOn w:val="TableNormal"/>
    <w:uiPriority w:val="39"/>
    <w:rsid w:val="00BD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66DE4C64"/>
    <w:pPr>
      <w:keepNext/>
      <w:spacing w:after="200"/>
      <w:jc w:val="center"/>
    </w:pPr>
    <w:rPr>
      <w:b/>
      <w:bCs/>
      <w:sz w:val="18"/>
      <w:szCs w:val="18"/>
    </w:rPr>
  </w:style>
  <w:style w:type="character" w:styleId="CommentReference">
    <w:name w:val="annotation reference"/>
    <w:basedOn w:val="DefaultParagraphFont"/>
    <w:uiPriority w:val="99"/>
    <w:semiHidden/>
    <w:unhideWhenUsed/>
    <w:rsid w:val="00ED55B6"/>
    <w:rPr>
      <w:sz w:val="16"/>
      <w:szCs w:val="16"/>
    </w:rPr>
  </w:style>
  <w:style w:type="paragraph" w:styleId="CommentText">
    <w:name w:val="annotation text"/>
    <w:basedOn w:val="Normal"/>
    <w:link w:val="CommentTextChar"/>
    <w:uiPriority w:val="99"/>
    <w:unhideWhenUsed/>
    <w:rsid w:val="66DE4C64"/>
    <w:rPr>
      <w:sz w:val="20"/>
      <w:szCs w:val="20"/>
    </w:rPr>
  </w:style>
  <w:style w:type="character" w:customStyle="1" w:styleId="CommentTextChar">
    <w:name w:val="Comment Text Char"/>
    <w:basedOn w:val="DefaultParagraphFont"/>
    <w:link w:val="CommentText"/>
    <w:uiPriority w:val="99"/>
    <w:rsid w:val="00ED55B6"/>
    <w:rPr>
      <w:sz w:val="20"/>
      <w:szCs w:val="20"/>
    </w:rPr>
  </w:style>
  <w:style w:type="paragraph" w:styleId="CommentSubject">
    <w:name w:val="annotation subject"/>
    <w:basedOn w:val="CommentText"/>
    <w:next w:val="CommentText"/>
    <w:link w:val="CommentSubjectChar"/>
    <w:uiPriority w:val="99"/>
    <w:semiHidden/>
    <w:unhideWhenUsed/>
    <w:rsid w:val="00ED55B6"/>
    <w:rPr>
      <w:b/>
      <w:bCs/>
    </w:rPr>
  </w:style>
  <w:style w:type="character" w:customStyle="1" w:styleId="CommentSubjectChar">
    <w:name w:val="Comment Subject Char"/>
    <w:basedOn w:val="CommentTextChar"/>
    <w:link w:val="CommentSubject"/>
    <w:uiPriority w:val="99"/>
    <w:semiHidden/>
    <w:rsid w:val="00ED55B6"/>
    <w:rPr>
      <w:b/>
      <w:bCs/>
      <w:sz w:val="20"/>
      <w:szCs w:val="20"/>
    </w:rPr>
  </w:style>
  <w:style w:type="paragraph" w:styleId="BalloonText">
    <w:name w:val="Balloon Text"/>
    <w:basedOn w:val="Normal"/>
    <w:link w:val="BalloonTextChar"/>
    <w:uiPriority w:val="99"/>
    <w:semiHidden/>
    <w:unhideWhenUsed/>
    <w:rsid w:val="66DE4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5B6"/>
    <w:rPr>
      <w:rFonts w:ascii="Segoe UI" w:hAnsi="Segoe UI" w:cs="Segoe UI"/>
      <w:sz w:val="18"/>
      <w:szCs w:val="18"/>
    </w:rPr>
  </w:style>
  <w:style w:type="character" w:customStyle="1" w:styleId="ListParagraphChar">
    <w:name w:val="List Paragraph Char"/>
    <w:link w:val="ListParagraph"/>
    <w:qFormat/>
    <w:locked/>
    <w:rsid w:val="006C5E4B"/>
  </w:style>
  <w:style w:type="paragraph" w:styleId="Header">
    <w:name w:val="header"/>
    <w:basedOn w:val="Normal"/>
    <w:link w:val="HeaderChar"/>
    <w:uiPriority w:val="99"/>
    <w:unhideWhenUsed/>
    <w:rsid w:val="66DE4C64"/>
    <w:pPr>
      <w:tabs>
        <w:tab w:val="center" w:pos="4680"/>
        <w:tab w:val="right" w:pos="9360"/>
      </w:tabs>
    </w:pPr>
  </w:style>
  <w:style w:type="character" w:customStyle="1" w:styleId="HeaderChar">
    <w:name w:val="Header Char"/>
    <w:basedOn w:val="DefaultParagraphFont"/>
    <w:link w:val="Header"/>
    <w:uiPriority w:val="99"/>
    <w:rsid w:val="00691B0A"/>
  </w:style>
  <w:style w:type="paragraph" w:styleId="Footer">
    <w:name w:val="footer"/>
    <w:basedOn w:val="Normal"/>
    <w:link w:val="FooterChar"/>
    <w:uiPriority w:val="99"/>
    <w:unhideWhenUsed/>
    <w:rsid w:val="66DE4C64"/>
    <w:pPr>
      <w:tabs>
        <w:tab w:val="center" w:pos="4680"/>
        <w:tab w:val="right" w:pos="9360"/>
      </w:tabs>
    </w:pPr>
  </w:style>
  <w:style w:type="character" w:customStyle="1" w:styleId="FooterChar">
    <w:name w:val="Footer Char"/>
    <w:basedOn w:val="DefaultParagraphFont"/>
    <w:link w:val="Footer"/>
    <w:uiPriority w:val="99"/>
    <w:rsid w:val="00691B0A"/>
  </w:style>
  <w:style w:type="paragraph" w:styleId="TOCHeading">
    <w:name w:val="TOC Heading"/>
    <w:basedOn w:val="Heading1"/>
    <w:next w:val="Normal"/>
    <w:uiPriority w:val="39"/>
    <w:unhideWhenUsed/>
    <w:qFormat/>
    <w:rsid w:val="00CD7EDF"/>
    <w:pPr>
      <w:outlineLvl w:val="9"/>
    </w:pPr>
    <w:rPr>
      <w:color w:val="auto"/>
      <w:sz w:val="28"/>
      <w:szCs w:val="28"/>
    </w:rPr>
  </w:style>
  <w:style w:type="paragraph" w:styleId="TOC1">
    <w:name w:val="toc 1"/>
    <w:basedOn w:val="Normal"/>
    <w:next w:val="Normal"/>
    <w:uiPriority w:val="39"/>
    <w:unhideWhenUsed/>
    <w:rsid w:val="66DE4C64"/>
    <w:pPr>
      <w:spacing w:line="360" w:lineRule="auto"/>
      <w:ind w:right="-2"/>
    </w:pPr>
    <w:rPr>
      <w:rFonts w:ascii="Times New Roman" w:hAnsi="Times New Roman" w:cs="Times New Roman"/>
      <w:b/>
      <w:bCs/>
    </w:rPr>
  </w:style>
  <w:style w:type="paragraph" w:styleId="TOC2">
    <w:name w:val="toc 2"/>
    <w:basedOn w:val="Normal"/>
    <w:next w:val="Normal"/>
    <w:uiPriority w:val="39"/>
    <w:unhideWhenUsed/>
    <w:rsid w:val="66DE4C64"/>
    <w:pPr>
      <w:tabs>
        <w:tab w:val="left" w:pos="630"/>
        <w:tab w:val="right" w:leader="dot" w:pos="9582"/>
      </w:tabs>
      <w:spacing w:before="120" w:after="120" w:line="280" w:lineRule="exact"/>
      <w:ind w:left="221"/>
    </w:pPr>
    <w:rPr>
      <w:rFonts w:ascii="Times New Roman" w:hAnsi="Times New Roman" w:cs="Times New Roman"/>
      <w:b/>
      <w:bCs/>
    </w:rPr>
  </w:style>
  <w:style w:type="character" w:styleId="Hyperlink">
    <w:name w:val="Hyperlink"/>
    <w:basedOn w:val="DefaultParagraphFont"/>
    <w:uiPriority w:val="99"/>
    <w:unhideWhenUsed/>
    <w:rsid w:val="00450242"/>
    <w:rPr>
      <w:color w:val="0563C1" w:themeColor="hyperlink"/>
      <w:u w:val="single"/>
    </w:rPr>
  </w:style>
  <w:style w:type="character" w:customStyle="1" w:styleId="Heading3Char">
    <w:name w:val="Heading 3 Char"/>
    <w:basedOn w:val="DefaultParagraphFont"/>
    <w:link w:val="Heading3"/>
    <w:uiPriority w:val="9"/>
    <w:rsid w:val="00453755"/>
    <w:rPr>
      <w:rFonts w:ascii="Times New Roman" w:eastAsiaTheme="majorEastAsia" w:hAnsi="Times New Roman" w:cs="Times New Roman"/>
      <w:b/>
      <w:bCs/>
      <w:noProof/>
    </w:rPr>
  </w:style>
  <w:style w:type="paragraph" w:styleId="TOC3">
    <w:name w:val="toc 3"/>
    <w:basedOn w:val="Normal"/>
    <w:next w:val="Normal"/>
    <w:uiPriority w:val="39"/>
    <w:unhideWhenUsed/>
    <w:rsid w:val="66DE4C64"/>
    <w:pPr>
      <w:tabs>
        <w:tab w:val="right" w:leader="dot" w:pos="9582"/>
      </w:tabs>
      <w:spacing w:line="360" w:lineRule="auto"/>
      <w:ind w:left="397" w:firstLine="113"/>
    </w:pPr>
    <w:rPr>
      <w:rFonts w:ascii="Times New Roman" w:hAnsi="Times New Roman" w:cs="Times New Roman"/>
    </w:rPr>
  </w:style>
  <w:style w:type="paragraph" w:styleId="NoSpacing">
    <w:name w:val="No Spacing"/>
    <w:link w:val="NoSpacingChar"/>
    <w:uiPriority w:val="1"/>
    <w:qFormat/>
    <w:rsid w:val="00EF1096"/>
    <w:pPr>
      <w:spacing w:after="0" w:line="240" w:lineRule="auto"/>
    </w:pPr>
    <w:rPr>
      <w:rFonts w:eastAsiaTheme="minorEastAsia"/>
    </w:rPr>
  </w:style>
  <w:style w:type="character" w:customStyle="1" w:styleId="NoSpacingChar">
    <w:name w:val="No Spacing Char"/>
    <w:basedOn w:val="DefaultParagraphFont"/>
    <w:link w:val="NoSpacing"/>
    <w:uiPriority w:val="1"/>
    <w:rsid w:val="00EF1096"/>
    <w:rPr>
      <w:rFonts w:eastAsiaTheme="minorEastAsia"/>
    </w:rPr>
  </w:style>
  <w:style w:type="paragraph" w:styleId="Revision">
    <w:name w:val="Revision"/>
    <w:hidden/>
    <w:uiPriority w:val="99"/>
    <w:semiHidden/>
    <w:rsid w:val="00092A76"/>
    <w:pPr>
      <w:spacing w:after="0" w:line="240" w:lineRule="auto"/>
    </w:pPr>
  </w:style>
  <w:style w:type="paragraph" w:customStyle="1" w:styleId="Default">
    <w:name w:val="Default"/>
    <w:rsid w:val="001464D5"/>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66DE4C64"/>
    <w:rPr>
      <w:rFonts w:eastAsiaTheme="minorEastAsia"/>
    </w:rPr>
  </w:style>
  <w:style w:type="paragraph" w:styleId="BodyText">
    <w:name w:val="Body Text"/>
    <w:basedOn w:val="Normal"/>
    <w:link w:val="BodyTextChar"/>
    <w:uiPriority w:val="1"/>
    <w:rsid w:val="66DE4C64"/>
    <w:rPr>
      <w:rFonts w:eastAsiaTheme="minorEastAsia"/>
    </w:rPr>
  </w:style>
  <w:style w:type="character" w:customStyle="1" w:styleId="BodyTextChar">
    <w:name w:val="Body Text Char"/>
    <w:basedOn w:val="DefaultParagraphFont"/>
    <w:link w:val="BodyText"/>
    <w:uiPriority w:val="1"/>
    <w:rsid w:val="008E216D"/>
    <w:rPr>
      <w:rFonts w:eastAsiaTheme="minorEastAsia"/>
    </w:rPr>
  </w:style>
  <w:style w:type="character" w:customStyle="1" w:styleId="Heading4Char">
    <w:name w:val="Heading 4 Char"/>
    <w:basedOn w:val="DefaultParagraphFont"/>
    <w:link w:val="Heading4"/>
    <w:uiPriority w:val="9"/>
    <w:rsid w:val="00E6479D"/>
    <w:rPr>
      <w:rFonts w:ascii="Times New Roman" w:eastAsiaTheme="majorEastAsia" w:hAnsi="Times New Roman" w:cstheme="majorBidi"/>
      <w:b/>
      <w:bCs/>
      <w:noProof/>
    </w:rPr>
  </w:style>
  <w:style w:type="character" w:customStyle="1" w:styleId="Heading5Char">
    <w:name w:val="Heading 5 Char"/>
    <w:basedOn w:val="DefaultParagraphFont"/>
    <w:link w:val="Heading5"/>
    <w:uiPriority w:val="9"/>
    <w:rsid w:val="005D6085"/>
    <w:rPr>
      <w:rFonts w:ascii="Times New Roman" w:eastAsiaTheme="majorEastAsia" w:hAnsi="Times New Roman" w:cs="Times New Roman"/>
      <w:b/>
      <w:bCs/>
    </w:rPr>
  </w:style>
  <w:style w:type="character" w:customStyle="1" w:styleId="Heading6Char">
    <w:name w:val="Heading 6 Char"/>
    <w:basedOn w:val="DefaultParagraphFont"/>
    <w:link w:val="Heading6"/>
    <w:uiPriority w:val="9"/>
    <w:rsid w:val="004A5887"/>
    <w:rPr>
      <w:rFonts w:ascii="Times New Roman" w:eastAsiaTheme="majorEastAsia" w:hAnsi="Times New Roman" w:cstheme="majorBidi"/>
      <w:b/>
    </w:rPr>
  </w:style>
  <w:style w:type="character" w:customStyle="1" w:styleId="Heading7Char">
    <w:name w:val="Heading 7 Char"/>
    <w:basedOn w:val="DefaultParagraphFont"/>
    <w:link w:val="Heading7"/>
    <w:uiPriority w:val="9"/>
    <w:semiHidden/>
    <w:rsid w:val="008E216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E216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E216D"/>
    <w:rPr>
      <w:rFonts w:asciiTheme="majorHAnsi" w:eastAsiaTheme="majorEastAsia" w:hAnsiTheme="majorHAnsi" w:cstheme="majorBidi"/>
      <w:i/>
      <w:iCs/>
      <w:color w:val="1F4E79" w:themeColor="accent1" w:themeShade="80"/>
    </w:rPr>
  </w:style>
  <w:style w:type="paragraph" w:customStyle="1" w:styleId="Bodycopy">
    <w:name w:val="Body copy"/>
    <w:link w:val="BodycopyChar"/>
    <w:qFormat/>
    <w:rsid w:val="008E216D"/>
    <w:pPr>
      <w:spacing w:after="120" w:line="260" w:lineRule="exact"/>
    </w:pPr>
    <w:rPr>
      <w:rFonts w:ascii="Arial" w:eastAsia="Times" w:hAnsi="Arial" w:cs="Times New Roman"/>
      <w:color w:val="000000"/>
      <w:sz w:val="20"/>
      <w:szCs w:val="20"/>
    </w:rPr>
  </w:style>
  <w:style w:type="paragraph" w:customStyle="1" w:styleId="Legalcopyletter">
    <w:name w:val="Legal copy letter"/>
    <w:rsid w:val="008E216D"/>
    <w:rPr>
      <w:rFonts w:ascii="Arial" w:eastAsia="Times" w:hAnsi="Arial" w:cs="Times New Roman"/>
      <w:color w:val="002776"/>
      <w:sz w:val="14"/>
      <w:szCs w:val="20"/>
    </w:rPr>
  </w:style>
  <w:style w:type="character" w:customStyle="1" w:styleId="BodycopyChar">
    <w:name w:val="Body copy Char"/>
    <w:link w:val="Bodycopy"/>
    <w:rsid w:val="008E216D"/>
    <w:rPr>
      <w:rFonts w:ascii="Arial" w:eastAsia="Times" w:hAnsi="Arial" w:cs="Times New Roman"/>
      <w:color w:val="000000"/>
      <w:sz w:val="20"/>
      <w:szCs w:val="20"/>
      <w:lang w:val="ru-RU"/>
    </w:rPr>
  </w:style>
  <w:style w:type="paragraph" w:styleId="Title">
    <w:name w:val="Title"/>
    <w:basedOn w:val="Normal"/>
    <w:next w:val="Normal"/>
    <w:link w:val="TitleChar"/>
    <w:uiPriority w:val="10"/>
    <w:qFormat/>
    <w:rsid w:val="66DE4C64"/>
    <w:pPr>
      <w:spacing w:line="204" w:lineRule="auto"/>
      <w:contextualSpacing/>
    </w:pPr>
    <w:rPr>
      <w:rFonts w:asciiTheme="majorHAnsi" w:eastAsiaTheme="majorEastAsia" w:hAnsiTheme="majorHAnsi" w:cstheme="majorBidi"/>
      <w:caps/>
      <w:color w:val="44546A" w:themeColor="text2"/>
      <w:sz w:val="72"/>
      <w:szCs w:val="72"/>
    </w:rPr>
  </w:style>
  <w:style w:type="character" w:customStyle="1" w:styleId="TitleChar">
    <w:name w:val="Title Char"/>
    <w:basedOn w:val="DefaultParagraphFont"/>
    <w:link w:val="Title"/>
    <w:uiPriority w:val="10"/>
    <w:rsid w:val="008E216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66DE4C64"/>
    <w:p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E216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E216D"/>
    <w:rPr>
      <w:b/>
      <w:bCs/>
    </w:rPr>
  </w:style>
  <w:style w:type="character" w:styleId="Emphasis">
    <w:name w:val="Emphasis"/>
    <w:basedOn w:val="DefaultParagraphFont"/>
    <w:uiPriority w:val="20"/>
    <w:qFormat/>
    <w:rsid w:val="008E216D"/>
    <w:rPr>
      <w:i/>
      <w:iCs/>
    </w:rPr>
  </w:style>
  <w:style w:type="paragraph" w:styleId="Quote">
    <w:name w:val="Quote"/>
    <w:basedOn w:val="Normal"/>
    <w:next w:val="Normal"/>
    <w:link w:val="QuoteChar"/>
    <w:uiPriority w:val="29"/>
    <w:qFormat/>
    <w:rsid w:val="66DE4C64"/>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8E216D"/>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66DE4C64"/>
    <w:pPr>
      <w:spacing w:beforeAutospacing="1" w:after="240"/>
      <w:ind w:left="720"/>
      <w:jc w:val="center"/>
    </w:pPr>
    <w:rPr>
      <w:rFonts w:asciiTheme="majorHAnsi" w:eastAsiaTheme="majorEastAsia" w:hAnsiTheme="majorHAnsi" w:cstheme="majorBidi"/>
      <w:color w:val="44546A" w:themeColor="text2"/>
      <w:sz w:val="32"/>
      <w:szCs w:val="32"/>
    </w:rPr>
  </w:style>
  <w:style w:type="character" w:customStyle="1" w:styleId="IntenseQuoteChar">
    <w:name w:val="Intense Quote Char"/>
    <w:basedOn w:val="DefaultParagraphFont"/>
    <w:link w:val="IntenseQuote"/>
    <w:uiPriority w:val="30"/>
    <w:rsid w:val="008E216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216D"/>
    <w:rPr>
      <w:i/>
      <w:iCs/>
      <w:color w:val="595959" w:themeColor="text1" w:themeTint="A6"/>
    </w:rPr>
  </w:style>
  <w:style w:type="character" w:styleId="IntenseEmphasis">
    <w:name w:val="Intense Emphasis"/>
    <w:basedOn w:val="DefaultParagraphFont"/>
    <w:uiPriority w:val="21"/>
    <w:qFormat/>
    <w:rsid w:val="008E216D"/>
    <w:rPr>
      <w:b/>
      <w:bCs/>
      <w:i/>
      <w:iCs/>
    </w:rPr>
  </w:style>
  <w:style w:type="character" w:styleId="SubtleReference">
    <w:name w:val="Subtle Reference"/>
    <w:basedOn w:val="DefaultParagraphFont"/>
    <w:uiPriority w:val="31"/>
    <w:qFormat/>
    <w:rsid w:val="008E21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216D"/>
    <w:rPr>
      <w:b/>
      <w:bCs/>
      <w:smallCaps/>
      <w:color w:val="44546A" w:themeColor="text2"/>
      <w:u w:val="single"/>
    </w:rPr>
  </w:style>
  <w:style w:type="character" w:styleId="BookTitle">
    <w:name w:val="Book Title"/>
    <w:basedOn w:val="DefaultParagraphFont"/>
    <w:uiPriority w:val="33"/>
    <w:qFormat/>
    <w:rsid w:val="008E216D"/>
    <w:rPr>
      <w:b/>
      <w:bCs/>
      <w:smallCaps/>
      <w:spacing w:val="10"/>
    </w:rPr>
  </w:style>
  <w:style w:type="paragraph" w:customStyle="1" w:styleId="TableColumnheader">
    <w:name w:val="Table Column header"/>
    <w:basedOn w:val="Normal"/>
    <w:uiPriority w:val="1"/>
    <w:qFormat/>
    <w:rsid w:val="66DE4C64"/>
    <w:pPr>
      <w:spacing w:before="60" w:after="60" w:line="280" w:lineRule="exact"/>
    </w:pPr>
    <w:rPr>
      <w:rFonts w:eastAsia="Times" w:cs="Times New Roman"/>
      <w:b/>
      <w:bCs/>
      <w:color w:val="FFFFFF" w:themeColor="background1"/>
      <w:sz w:val="20"/>
      <w:szCs w:val="20"/>
    </w:rPr>
  </w:style>
  <w:style w:type="paragraph" w:customStyle="1" w:styleId="TableentryQuals">
    <w:name w:val="Table entry Quals"/>
    <w:basedOn w:val="Normal"/>
    <w:uiPriority w:val="1"/>
    <w:qFormat/>
    <w:rsid w:val="66DE4C64"/>
    <w:pPr>
      <w:spacing w:before="60" w:after="60" w:line="260" w:lineRule="exact"/>
    </w:pPr>
    <w:rPr>
      <w:rFonts w:eastAsia="Times New Roman" w:cs="Times New Roman"/>
      <w:sz w:val="20"/>
      <w:szCs w:val="20"/>
    </w:rPr>
  </w:style>
  <w:style w:type="paragraph" w:styleId="BodyTextIndent3">
    <w:name w:val="Body Text Indent 3"/>
    <w:basedOn w:val="Normal"/>
    <w:link w:val="BodyTextIndent3Char"/>
    <w:uiPriority w:val="99"/>
    <w:unhideWhenUsed/>
    <w:rsid w:val="66DE4C64"/>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8E216D"/>
    <w:rPr>
      <w:rFonts w:ascii="Arial" w:eastAsia="Times New Roman" w:hAnsi="Arial" w:cs="Times New Roman"/>
      <w:sz w:val="16"/>
      <w:szCs w:val="16"/>
    </w:rPr>
  </w:style>
  <w:style w:type="paragraph" w:customStyle="1" w:styleId="Listoftable">
    <w:name w:val="List of table"/>
    <w:basedOn w:val="Caption"/>
    <w:link w:val="ListoftableChar"/>
    <w:qFormat/>
    <w:rsid w:val="00182956"/>
    <w:rPr>
      <w:b w:val="0"/>
      <w:i/>
      <w:sz w:val="22"/>
      <w:szCs w:val="22"/>
    </w:rPr>
  </w:style>
  <w:style w:type="paragraph" w:styleId="TableofFigures">
    <w:name w:val="table of figures"/>
    <w:basedOn w:val="Normal"/>
    <w:next w:val="Normal"/>
    <w:uiPriority w:val="99"/>
    <w:unhideWhenUsed/>
    <w:rsid w:val="66DE4C64"/>
    <w:pPr>
      <w:spacing w:line="280" w:lineRule="exact"/>
      <w:ind w:firstLine="1134"/>
    </w:pPr>
    <w:rPr>
      <w:rFonts w:ascii="Times New Roman" w:hAnsi="Times New Roman"/>
    </w:rPr>
  </w:style>
  <w:style w:type="character" w:customStyle="1" w:styleId="CaptionChar">
    <w:name w:val="Caption Char"/>
    <w:basedOn w:val="DefaultParagraphFont"/>
    <w:link w:val="Caption"/>
    <w:uiPriority w:val="35"/>
    <w:rsid w:val="00EE62C3"/>
    <w:rPr>
      <w:rFonts w:ascii="Arial" w:hAnsi="Arial" w:cs="Arial"/>
      <w:b/>
      <w:bCs/>
      <w:sz w:val="18"/>
      <w:szCs w:val="18"/>
    </w:rPr>
  </w:style>
  <w:style w:type="character" w:customStyle="1" w:styleId="ListoftableChar">
    <w:name w:val="List of table Char"/>
    <w:basedOn w:val="CaptionChar"/>
    <w:link w:val="Listoftable"/>
    <w:rsid w:val="00182956"/>
    <w:rPr>
      <w:rFonts w:ascii="Arial" w:hAnsi="Arial" w:cs="Arial"/>
      <w:b w:val="0"/>
      <w:bCs/>
      <w:i/>
      <w:iCs w:val="0"/>
      <w:color w:val="44546A" w:themeColor="text2"/>
      <w:sz w:val="18"/>
      <w:szCs w:val="18"/>
    </w:rPr>
  </w:style>
  <w:style w:type="paragraph" w:styleId="TOC4">
    <w:name w:val="toc 4"/>
    <w:basedOn w:val="Normal"/>
    <w:next w:val="Normal"/>
    <w:uiPriority w:val="39"/>
    <w:unhideWhenUsed/>
    <w:rsid w:val="66DE4C64"/>
    <w:pPr>
      <w:ind w:left="660"/>
    </w:pPr>
    <w:rPr>
      <w:rFonts w:ascii="Times New Roman" w:hAnsi="Times New Roman"/>
    </w:rPr>
  </w:style>
  <w:style w:type="paragraph" w:styleId="TOC5">
    <w:name w:val="toc 5"/>
    <w:basedOn w:val="Normal"/>
    <w:next w:val="Normal"/>
    <w:uiPriority w:val="39"/>
    <w:unhideWhenUsed/>
    <w:rsid w:val="66DE4C64"/>
    <w:pPr>
      <w:ind w:left="880"/>
    </w:pPr>
    <w:rPr>
      <w:rFonts w:ascii="Times New Roman" w:hAnsi="Times New Roman"/>
    </w:rPr>
  </w:style>
  <w:style w:type="paragraph" w:styleId="TOC6">
    <w:name w:val="toc 6"/>
    <w:basedOn w:val="Normal"/>
    <w:next w:val="Normal"/>
    <w:uiPriority w:val="39"/>
    <w:unhideWhenUsed/>
    <w:rsid w:val="66DE4C64"/>
    <w:pPr>
      <w:ind w:left="1100"/>
    </w:pPr>
    <w:rPr>
      <w:rFonts w:ascii="Times New Roman" w:hAnsi="Times New Roman"/>
    </w:rPr>
  </w:style>
  <w:style w:type="paragraph" w:styleId="TOC7">
    <w:name w:val="toc 7"/>
    <w:basedOn w:val="Normal"/>
    <w:next w:val="Normal"/>
    <w:uiPriority w:val="39"/>
    <w:unhideWhenUsed/>
    <w:rsid w:val="66DE4C64"/>
    <w:pPr>
      <w:ind w:left="1320"/>
    </w:pPr>
    <w:rPr>
      <w:sz w:val="20"/>
      <w:szCs w:val="20"/>
    </w:rPr>
  </w:style>
  <w:style w:type="paragraph" w:styleId="TOC8">
    <w:name w:val="toc 8"/>
    <w:basedOn w:val="Normal"/>
    <w:next w:val="Normal"/>
    <w:uiPriority w:val="39"/>
    <w:unhideWhenUsed/>
    <w:rsid w:val="66DE4C64"/>
    <w:pPr>
      <w:ind w:left="1540"/>
    </w:pPr>
    <w:rPr>
      <w:sz w:val="20"/>
      <w:szCs w:val="20"/>
    </w:rPr>
  </w:style>
  <w:style w:type="paragraph" w:styleId="TOC9">
    <w:name w:val="toc 9"/>
    <w:basedOn w:val="Normal"/>
    <w:next w:val="Normal"/>
    <w:uiPriority w:val="39"/>
    <w:unhideWhenUsed/>
    <w:rsid w:val="66DE4C64"/>
    <w:pPr>
      <w:ind w:left="1760"/>
    </w:pPr>
    <w:rPr>
      <w:sz w:val="20"/>
      <w:szCs w:val="20"/>
    </w:rPr>
  </w:style>
  <w:style w:type="table" w:customStyle="1" w:styleId="TableGrid1">
    <w:name w:val="Table Grid1"/>
    <w:basedOn w:val="TableNormal"/>
    <w:next w:val="TableGrid"/>
    <w:uiPriority w:val="39"/>
    <w:rsid w:val="00B7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66DE4C64"/>
    <w:pPr>
      <w:spacing w:beforeAutospacing="1" w:afterAutospacing="1"/>
    </w:pPr>
    <w:rPr>
      <w:rFonts w:ascii="Times New Roman" w:eastAsia="Times New Roman" w:hAnsi="Times New Roman" w:cs="Times New Roman"/>
      <w:sz w:val="24"/>
      <w:szCs w:val="24"/>
      <w:lang w:eastAsia="en-ID"/>
    </w:rPr>
  </w:style>
  <w:style w:type="table" w:customStyle="1" w:styleId="TableGrid4">
    <w:name w:val="Table Grid4"/>
    <w:basedOn w:val="TableNormal"/>
    <w:next w:val="TableGrid"/>
    <w:uiPriority w:val="39"/>
    <w:rsid w:val="002A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66EC"/>
  </w:style>
  <w:style w:type="character" w:customStyle="1" w:styleId="normaltextrun">
    <w:name w:val="normaltextrun"/>
    <w:basedOn w:val="DefaultParagraphFont"/>
    <w:rsid w:val="00E95C23"/>
  </w:style>
  <w:style w:type="paragraph" w:customStyle="1" w:styleId="font-claude-response-body">
    <w:name w:val="font-claude-response-body"/>
    <w:basedOn w:val="Normal"/>
    <w:uiPriority w:val="1"/>
    <w:rsid w:val="66DE4C64"/>
    <w:pPr>
      <w:spacing w:beforeAutospacing="1" w:afterAutospacing="1"/>
    </w:pPr>
    <w:rPr>
      <w:rFonts w:ascii="Times New Roman" w:eastAsia="Times New Roman" w:hAnsi="Times New Roman" w:cs="Times New Roman"/>
      <w:sz w:val="24"/>
      <w:szCs w:val="24"/>
      <w:lang w:eastAsia="id-ID"/>
    </w:rPr>
  </w:style>
  <w:style w:type="paragraph" w:customStyle="1" w:styleId="is-empty">
    <w:name w:val="is-empty"/>
    <w:basedOn w:val="Normal"/>
    <w:uiPriority w:val="1"/>
    <w:rsid w:val="66DE4C64"/>
    <w:pPr>
      <w:spacing w:beforeAutospacing="1" w:afterAutospacing="1"/>
    </w:pPr>
    <w:rPr>
      <w:rFonts w:ascii="Times New Roman" w:eastAsia="Times New Roman" w:hAnsi="Times New Roman" w:cs="Times New Roman"/>
      <w:sz w:val="24"/>
      <w:szCs w:val="24"/>
      <w:lang w:eastAsia="id-ID"/>
    </w:rPr>
  </w:style>
  <w:style w:type="table" w:customStyle="1" w:styleId="GridTable4-Accent11">
    <w:name w:val="Grid Table 4 - Accent 11"/>
    <w:basedOn w:val="TableNormal"/>
    <w:next w:val="GridTable4-Accent1"/>
    <w:uiPriority w:val="49"/>
    <w:rsid w:val="00E01EB0"/>
    <w:pPr>
      <w:spacing w:after="0" w:line="240" w:lineRule="auto"/>
    </w:pPr>
    <w:rPr>
      <w:rFonts w:eastAsia="Meiryo"/>
      <w:kern w:val="2"/>
      <w:sz w:val="24"/>
      <w:szCs w:val="24"/>
      <w:lang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E01EB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FE2DF6"/>
    <w:pPr>
      <w:spacing w:after="0" w:line="240" w:lineRule="auto"/>
    </w:pPr>
    <w:rPr>
      <w:rFonts w:eastAsia="Meiryo"/>
      <w:kern w:val="2"/>
      <w:sz w:val="24"/>
      <w:szCs w:val="24"/>
      <w:lang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13">
    <w:name w:val="Grid Table 4 - Accent 13"/>
    <w:basedOn w:val="TableNormal"/>
    <w:next w:val="GridTable4-Accent1"/>
    <w:uiPriority w:val="49"/>
    <w:rsid w:val="007203EF"/>
    <w:pPr>
      <w:spacing w:after="0" w:line="240" w:lineRule="auto"/>
    </w:pPr>
    <w:rPr>
      <w:rFonts w:eastAsia="Meiryo"/>
      <w:kern w:val="2"/>
      <w:sz w:val="24"/>
      <w:szCs w:val="24"/>
      <w:lang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LFARPara">
    <w:name w:val="LFAR Para"/>
    <w:basedOn w:val="ListParagraph"/>
    <w:link w:val="LFARParaChar"/>
    <w:qFormat/>
    <w:rsid w:val="00031D68"/>
    <w:pPr>
      <w:numPr>
        <w:numId w:val="1"/>
      </w:numPr>
      <w:spacing w:after="120" w:line="280" w:lineRule="exact"/>
      <w:contextualSpacing w:val="0"/>
      <w:jc w:val="both"/>
    </w:pPr>
    <w:rPr>
      <w:rFonts w:ascii="Times New Roman" w:eastAsia="Times New Roman" w:hAnsi="Times New Roman" w:cs="Times New Roman"/>
    </w:rPr>
  </w:style>
  <w:style w:type="character" w:customStyle="1" w:styleId="LFARParaChar">
    <w:name w:val="LFAR Para Char"/>
    <w:basedOn w:val="ListParagraphChar"/>
    <w:link w:val="LFARPara"/>
    <w:rsid w:val="00031D68"/>
    <w:rPr>
      <w:rFonts w:ascii="Times New Roman" w:eastAsia="Times New Roman" w:hAnsi="Times New Roman" w:cs="Times New Roman"/>
      <w:noProof/>
    </w:rPr>
  </w:style>
  <w:style w:type="character" w:customStyle="1" w:styleId="Mention1">
    <w:name w:val="Mention1"/>
    <w:basedOn w:val="DefaultParagraphFont"/>
    <w:uiPriority w:val="99"/>
    <w:unhideWhenUsed/>
    <w:rsid w:val="00C94B72"/>
    <w:rPr>
      <w:color w:val="2B579A"/>
      <w:shd w:val="clear" w:color="auto" w:fill="E1DFDD"/>
    </w:rPr>
  </w:style>
  <w:style w:type="table" w:styleId="ListTable7Colorful-Accent5">
    <w:name w:val="List Table 7 Colorful Accent 5"/>
    <w:basedOn w:val="TableNormal"/>
    <w:uiPriority w:val="99"/>
    <w:rsid w:val="0025661F"/>
    <w:pPr>
      <w:spacing w:after="0" w:line="240" w:lineRule="auto"/>
    </w:pPr>
    <w:rPr>
      <w:rFonts w:eastAsiaTheme="minorEastAsi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485">
      <w:bodyDiv w:val="1"/>
      <w:marLeft w:val="0"/>
      <w:marRight w:val="0"/>
      <w:marTop w:val="0"/>
      <w:marBottom w:val="0"/>
      <w:divBdr>
        <w:top w:val="none" w:sz="0" w:space="0" w:color="auto"/>
        <w:left w:val="none" w:sz="0" w:space="0" w:color="auto"/>
        <w:bottom w:val="none" w:sz="0" w:space="0" w:color="auto"/>
        <w:right w:val="none" w:sz="0" w:space="0" w:color="auto"/>
      </w:divBdr>
    </w:div>
    <w:div w:id="62483611">
      <w:bodyDiv w:val="1"/>
      <w:marLeft w:val="0"/>
      <w:marRight w:val="0"/>
      <w:marTop w:val="0"/>
      <w:marBottom w:val="0"/>
      <w:divBdr>
        <w:top w:val="none" w:sz="0" w:space="0" w:color="auto"/>
        <w:left w:val="none" w:sz="0" w:space="0" w:color="auto"/>
        <w:bottom w:val="none" w:sz="0" w:space="0" w:color="auto"/>
        <w:right w:val="none" w:sz="0" w:space="0" w:color="auto"/>
      </w:divBdr>
    </w:div>
    <w:div w:id="105775759">
      <w:bodyDiv w:val="1"/>
      <w:marLeft w:val="0"/>
      <w:marRight w:val="0"/>
      <w:marTop w:val="0"/>
      <w:marBottom w:val="0"/>
      <w:divBdr>
        <w:top w:val="none" w:sz="0" w:space="0" w:color="auto"/>
        <w:left w:val="none" w:sz="0" w:space="0" w:color="auto"/>
        <w:bottom w:val="none" w:sz="0" w:space="0" w:color="auto"/>
        <w:right w:val="none" w:sz="0" w:space="0" w:color="auto"/>
      </w:divBdr>
    </w:div>
    <w:div w:id="317225933">
      <w:bodyDiv w:val="1"/>
      <w:marLeft w:val="0"/>
      <w:marRight w:val="0"/>
      <w:marTop w:val="0"/>
      <w:marBottom w:val="0"/>
      <w:divBdr>
        <w:top w:val="none" w:sz="0" w:space="0" w:color="auto"/>
        <w:left w:val="none" w:sz="0" w:space="0" w:color="auto"/>
        <w:bottom w:val="none" w:sz="0" w:space="0" w:color="auto"/>
        <w:right w:val="none" w:sz="0" w:space="0" w:color="auto"/>
      </w:divBdr>
    </w:div>
    <w:div w:id="338852526">
      <w:bodyDiv w:val="1"/>
      <w:marLeft w:val="0"/>
      <w:marRight w:val="0"/>
      <w:marTop w:val="0"/>
      <w:marBottom w:val="0"/>
      <w:divBdr>
        <w:top w:val="none" w:sz="0" w:space="0" w:color="auto"/>
        <w:left w:val="none" w:sz="0" w:space="0" w:color="auto"/>
        <w:bottom w:val="none" w:sz="0" w:space="0" w:color="auto"/>
        <w:right w:val="none" w:sz="0" w:space="0" w:color="auto"/>
      </w:divBdr>
      <w:divsChild>
        <w:div w:id="2111508365">
          <w:marLeft w:val="0"/>
          <w:marRight w:val="0"/>
          <w:marTop w:val="0"/>
          <w:marBottom w:val="0"/>
          <w:divBdr>
            <w:top w:val="none" w:sz="0" w:space="0" w:color="auto"/>
            <w:left w:val="none" w:sz="0" w:space="0" w:color="auto"/>
            <w:bottom w:val="none" w:sz="0" w:space="0" w:color="auto"/>
            <w:right w:val="none" w:sz="0" w:space="0" w:color="auto"/>
          </w:divBdr>
        </w:div>
      </w:divsChild>
    </w:div>
    <w:div w:id="398865604">
      <w:bodyDiv w:val="1"/>
      <w:marLeft w:val="0"/>
      <w:marRight w:val="0"/>
      <w:marTop w:val="0"/>
      <w:marBottom w:val="0"/>
      <w:divBdr>
        <w:top w:val="none" w:sz="0" w:space="0" w:color="auto"/>
        <w:left w:val="none" w:sz="0" w:space="0" w:color="auto"/>
        <w:bottom w:val="none" w:sz="0" w:space="0" w:color="auto"/>
        <w:right w:val="none" w:sz="0" w:space="0" w:color="auto"/>
      </w:divBdr>
    </w:div>
    <w:div w:id="576404211">
      <w:bodyDiv w:val="1"/>
      <w:marLeft w:val="0"/>
      <w:marRight w:val="0"/>
      <w:marTop w:val="0"/>
      <w:marBottom w:val="0"/>
      <w:divBdr>
        <w:top w:val="none" w:sz="0" w:space="0" w:color="auto"/>
        <w:left w:val="none" w:sz="0" w:space="0" w:color="auto"/>
        <w:bottom w:val="none" w:sz="0" w:space="0" w:color="auto"/>
        <w:right w:val="none" w:sz="0" w:space="0" w:color="auto"/>
      </w:divBdr>
      <w:divsChild>
        <w:div w:id="296184080">
          <w:marLeft w:val="0"/>
          <w:marRight w:val="0"/>
          <w:marTop w:val="0"/>
          <w:marBottom w:val="0"/>
          <w:divBdr>
            <w:top w:val="none" w:sz="0" w:space="0" w:color="auto"/>
            <w:left w:val="none" w:sz="0" w:space="0" w:color="auto"/>
            <w:bottom w:val="none" w:sz="0" w:space="0" w:color="auto"/>
            <w:right w:val="none" w:sz="0" w:space="0" w:color="auto"/>
          </w:divBdr>
        </w:div>
      </w:divsChild>
    </w:div>
    <w:div w:id="648287609">
      <w:bodyDiv w:val="1"/>
      <w:marLeft w:val="0"/>
      <w:marRight w:val="0"/>
      <w:marTop w:val="0"/>
      <w:marBottom w:val="0"/>
      <w:divBdr>
        <w:top w:val="none" w:sz="0" w:space="0" w:color="auto"/>
        <w:left w:val="none" w:sz="0" w:space="0" w:color="auto"/>
        <w:bottom w:val="none" w:sz="0" w:space="0" w:color="auto"/>
        <w:right w:val="none" w:sz="0" w:space="0" w:color="auto"/>
      </w:divBdr>
    </w:div>
    <w:div w:id="679239071">
      <w:bodyDiv w:val="1"/>
      <w:marLeft w:val="0"/>
      <w:marRight w:val="0"/>
      <w:marTop w:val="0"/>
      <w:marBottom w:val="0"/>
      <w:divBdr>
        <w:top w:val="none" w:sz="0" w:space="0" w:color="auto"/>
        <w:left w:val="none" w:sz="0" w:space="0" w:color="auto"/>
        <w:bottom w:val="none" w:sz="0" w:space="0" w:color="auto"/>
        <w:right w:val="none" w:sz="0" w:space="0" w:color="auto"/>
      </w:divBdr>
      <w:divsChild>
        <w:div w:id="1316422346">
          <w:marLeft w:val="0"/>
          <w:marRight w:val="0"/>
          <w:marTop w:val="0"/>
          <w:marBottom w:val="0"/>
          <w:divBdr>
            <w:top w:val="none" w:sz="0" w:space="0" w:color="auto"/>
            <w:left w:val="none" w:sz="0" w:space="0" w:color="auto"/>
            <w:bottom w:val="none" w:sz="0" w:space="0" w:color="auto"/>
            <w:right w:val="none" w:sz="0" w:space="0" w:color="auto"/>
          </w:divBdr>
          <w:divsChild>
            <w:div w:id="1016660857">
              <w:marLeft w:val="0"/>
              <w:marRight w:val="0"/>
              <w:marTop w:val="0"/>
              <w:marBottom w:val="0"/>
              <w:divBdr>
                <w:top w:val="none" w:sz="0" w:space="0" w:color="auto"/>
                <w:left w:val="none" w:sz="0" w:space="0" w:color="auto"/>
                <w:bottom w:val="none" w:sz="0" w:space="0" w:color="auto"/>
                <w:right w:val="none" w:sz="0" w:space="0" w:color="auto"/>
              </w:divBdr>
              <w:divsChild>
                <w:div w:id="1717120572">
                  <w:marLeft w:val="0"/>
                  <w:marRight w:val="0"/>
                  <w:marTop w:val="0"/>
                  <w:marBottom w:val="0"/>
                  <w:divBdr>
                    <w:top w:val="none" w:sz="0" w:space="0" w:color="auto"/>
                    <w:left w:val="none" w:sz="0" w:space="0" w:color="auto"/>
                    <w:bottom w:val="none" w:sz="0" w:space="0" w:color="auto"/>
                    <w:right w:val="none" w:sz="0" w:space="0" w:color="auto"/>
                  </w:divBdr>
                  <w:divsChild>
                    <w:div w:id="1273123535">
                      <w:marLeft w:val="0"/>
                      <w:marRight w:val="0"/>
                      <w:marTop w:val="0"/>
                      <w:marBottom w:val="0"/>
                      <w:divBdr>
                        <w:top w:val="none" w:sz="0" w:space="0" w:color="auto"/>
                        <w:left w:val="none" w:sz="0" w:space="0" w:color="auto"/>
                        <w:bottom w:val="none" w:sz="0" w:space="0" w:color="auto"/>
                        <w:right w:val="none" w:sz="0" w:space="0" w:color="auto"/>
                      </w:divBdr>
                      <w:divsChild>
                        <w:div w:id="1870727431">
                          <w:marLeft w:val="0"/>
                          <w:marRight w:val="0"/>
                          <w:marTop w:val="0"/>
                          <w:marBottom w:val="0"/>
                          <w:divBdr>
                            <w:top w:val="none" w:sz="0" w:space="0" w:color="auto"/>
                            <w:left w:val="none" w:sz="0" w:space="0" w:color="auto"/>
                            <w:bottom w:val="none" w:sz="0" w:space="0" w:color="auto"/>
                            <w:right w:val="none" w:sz="0" w:space="0" w:color="auto"/>
                          </w:divBdr>
                          <w:divsChild>
                            <w:div w:id="466506360">
                              <w:marLeft w:val="0"/>
                              <w:marRight w:val="0"/>
                              <w:marTop w:val="0"/>
                              <w:marBottom w:val="0"/>
                              <w:divBdr>
                                <w:top w:val="none" w:sz="0" w:space="0" w:color="auto"/>
                                <w:left w:val="none" w:sz="0" w:space="0" w:color="auto"/>
                                <w:bottom w:val="none" w:sz="0" w:space="0" w:color="auto"/>
                                <w:right w:val="none" w:sz="0" w:space="0" w:color="auto"/>
                              </w:divBdr>
                              <w:divsChild>
                                <w:div w:id="1288470511">
                                  <w:marLeft w:val="0"/>
                                  <w:marRight w:val="0"/>
                                  <w:marTop w:val="0"/>
                                  <w:marBottom w:val="0"/>
                                  <w:divBdr>
                                    <w:top w:val="none" w:sz="0" w:space="0" w:color="auto"/>
                                    <w:left w:val="none" w:sz="0" w:space="0" w:color="auto"/>
                                    <w:bottom w:val="none" w:sz="0" w:space="0" w:color="auto"/>
                                    <w:right w:val="none" w:sz="0" w:space="0" w:color="auto"/>
                                  </w:divBdr>
                                  <w:divsChild>
                                    <w:div w:id="18126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3034">
          <w:marLeft w:val="0"/>
          <w:marRight w:val="0"/>
          <w:marTop w:val="0"/>
          <w:marBottom w:val="0"/>
          <w:divBdr>
            <w:top w:val="none" w:sz="0" w:space="0" w:color="auto"/>
            <w:left w:val="none" w:sz="0" w:space="0" w:color="auto"/>
            <w:bottom w:val="none" w:sz="0" w:space="0" w:color="auto"/>
            <w:right w:val="none" w:sz="0" w:space="0" w:color="auto"/>
          </w:divBdr>
          <w:divsChild>
            <w:div w:id="1855144463">
              <w:marLeft w:val="0"/>
              <w:marRight w:val="0"/>
              <w:marTop w:val="0"/>
              <w:marBottom w:val="0"/>
              <w:divBdr>
                <w:top w:val="none" w:sz="0" w:space="0" w:color="auto"/>
                <w:left w:val="none" w:sz="0" w:space="0" w:color="auto"/>
                <w:bottom w:val="none" w:sz="0" w:space="0" w:color="auto"/>
                <w:right w:val="none" w:sz="0" w:space="0" w:color="auto"/>
              </w:divBdr>
              <w:divsChild>
                <w:div w:id="2132823365">
                  <w:marLeft w:val="0"/>
                  <w:marRight w:val="0"/>
                  <w:marTop w:val="0"/>
                  <w:marBottom w:val="0"/>
                  <w:divBdr>
                    <w:top w:val="none" w:sz="0" w:space="0" w:color="auto"/>
                    <w:left w:val="none" w:sz="0" w:space="0" w:color="auto"/>
                    <w:bottom w:val="none" w:sz="0" w:space="0" w:color="auto"/>
                    <w:right w:val="none" w:sz="0" w:space="0" w:color="auto"/>
                  </w:divBdr>
                  <w:divsChild>
                    <w:div w:id="1116369951">
                      <w:marLeft w:val="0"/>
                      <w:marRight w:val="0"/>
                      <w:marTop w:val="0"/>
                      <w:marBottom w:val="0"/>
                      <w:divBdr>
                        <w:top w:val="none" w:sz="0" w:space="0" w:color="auto"/>
                        <w:left w:val="none" w:sz="0" w:space="0" w:color="auto"/>
                        <w:bottom w:val="none" w:sz="0" w:space="0" w:color="auto"/>
                        <w:right w:val="none" w:sz="0" w:space="0" w:color="auto"/>
                      </w:divBdr>
                      <w:divsChild>
                        <w:div w:id="1755005188">
                          <w:marLeft w:val="0"/>
                          <w:marRight w:val="0"/>
                          <w:marTop w:val="0"/>
                          <w:marBottom w:val="0"/>
                          <w:divBdr>
                            <w:top w:val="none" w:sz="0" w:space="0" w:color="auto"/>
                            <w:left w:val="none" w:sz="0" w:space="0" w:color="auto"/>
                            <w:bottom w:val="none" w:sz="0" w:space="0" w:color="auto"/>
                            <w:right w:val="none" w:sz="0" w:space="0" w:color="auto"/>
                          </w:divBdr>
                          <w:divsChild>
                            <w:div w:id="36706712">
                              <w:marLeft w:val="0"/>
                              <w:marRight w:val="0"/>
                              <w:marTop w:val="0"/>
                              <w:marBottom w:val="0"/>
                              <w:divBdr>
                                <w:top w:val="none" w:sz="0" w:space="0" w:color="auto"/>
                                <w:left w:val="none" w:sz="0" w:space="0" w:color="auto"/>
                                <w:bottom w:val="none" w:sz="0" w:space="0" w:color="auto"/>
                                <w:right w:val="none" w:sz="0" w:space="0" w:color="auto"/>
                              </w:divBdr>
                              <w:divsChild>
                                <w:div w:id="1855876274">
                                  <w:marLeft w:val="0"/>
                                  <w:marRight w:val="0"/>
                                  <w:marTop w:val="0"/>
                                  <w:marBottom w:val="0"/>
                                  <w:divBdr>
                                    <w:top w:val="none" w:sz="0" w:space="0" w:color="auto"/>
                                    <w:left w:val="none" w:sz="0" w:space="0" w:color="auto"/>
                                    <w:bottom w:val="none" w:sz="0" w:space="0" w:color="auto"/>
                                    <w:right w:val="none" w:sz="0" w:space="0" w:color="auto"/>
                                  </w:divBdr>
                                  <w:divsChild>
                                    <w:div w:id="1084185719">
                                      <w:marLeft w:val="0"/>
                                      <w:marRight w:val="0"/>
                                      <w:marTop w:val="0"/>
                                      <w:marBottom w:val="0"/>
                                      <w:divBdr>
                                        <w:top w:val="none" w:sz="0" w:space="0" w:color="auto"/>
                                        <w:left w:val="none" w:sz="0" w:space="0" w:color="auto"/>
                                        <w:bottom w:val="none" w:sz="0" w:space="0" w:color="auto"/>
                                        <w:right w:val="none" w:sz="0" w:space="0" w:color="auto"/>
                                      </w:divBdr>
                                      <w:divsChild>
                                        <w:div w:id="236594741">
                                          <w:marLeft w:val="0"/>
                                          <w:marRight w:val="0"/>
                                          <w:marTop w:val="0"/>
                                          <w:marBottom w:val="0"/>
                                          <w:divBdr>
                                            <w:top w:val="none" w:sz="0" w:space="0" w:color="auto"/>
                                            <w:left w:val="none" w:sz="0" w:space="0" w:color="auto"/>
                                            <w:bottom w:val="none" w:sz="0" w:space="0" w:color="auto"/>
                                            <w:right w:val="none" w:sz="0" w:space="0" w:color="auto"/>
                                          </w:divBdr>
                                          <w:divsChild>
                                            <w:div w:id="542710739">
                                              <w:marLeft w:val="0"/>
                                              <w:marRight w:val="0"/>
                                              <w:marTop w:val="0"/>
                                              <w:marBottom w:val="0"/>
                                              <w:divBdr>
                                                <w:top w:val="none" w:sz="0" w:space="0" w:color="auto"/>
                                                <w:left w:val="none" w:sz="0" w:space="0" w:color="auto"/>
                                                <w:bottom w:val="none" w:sz="0" w:space="0" w:color="auto"/>
                                                <w:right w:val="none" w:sz="0" w:space="0" w:color="auto"/>
                                              </w:divBdr>
                                              <w:divsChild>
                                                <w:div w:id="192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953355">
                              <w:marLeft w:val="0"/>
                              <w:marRight w:val="0"/>
                              <w:marTop w:val="0"/>
                              <w:marBottom w:val="0"/>
                              <w:divBdr>
                                <w:top w:val="none" w:sz="0" w:space="0" w:color="auto"/>
                                <w:left w:val="none" w:sz="0" w:space="0" w:color="auto"/>
                                <w:bottom w:val="none" w:sz="0" w:space="0" w:color="auto"/>
                                <w:right w:val="none" w:sz="0" w:space="0" w:color="auto"/>
                              </w:divBdr>
                              <w:divsChild>
                                <w:div w:id="1118064881">
                                  <w:marLeft w:val="0"/>
                                  <w:marRight w:val="0"/>
                                  <w:marTop w:val="0"/>
                                  <w:marBottom w:val="0"/>
                                  <w:divBdr>
                                    <w:top w:val="none" w:sz="0" w:space="0" w:color="auto"/>
                                    <w:left w:val="none" w:sz="0" w:space="0" w:color="auto"/>
                                    <w:bottom w:val="none" w:sz="0" w:space="0" w:color="auto"/>
                                    <w:right w:val="none" w:sz="0" w:space="0" w:color="auto"/>
                                  </w:divBdr>
                                  <w:divsChild>
                                    <w:div w:id="109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8932">
      <w:bodyDiv w:val="1"/>
      <w:marLeft w:val="0"/>
      <w:marRight w:val="0"/>
      <w:marTop w:val="0"/>
      <w:marBottom w:val="0"/>
      <w:divBdr>
        <w:top w:val="none" w:sz="0" w:space="0" w:color="auto"/>
        <w:left w:val="none" w:sz="0" w:space="0" w:color="auto"/>
        <w:bottom w:val="none" w:sz="0" w:space="0" w:color="auto"/>
        <w:right w:val="none" w:sz="0" w:space="0" w:color="auto"/>
      </w:divBdr>
    </w:div>
    <w:div w:id="749893218">
      <w:bodyDiv w:val="1"/>
      <w:marLeft w:val="0"/>
      <w:marRight w:val="0"/>
      <w:marTop w:val="0"/>
      <w:marBottom w:val="0"/>
      <w:divBdr>
        <w:top w:val="none" w:sz="0" w:space="0" w:color="auto"/>
        <w:left w:val="none" w:sz="0" w:space="0" w:color="auto"/>
        <w:bottom w:val="none" w:sz="0" w:space="0" w:color="auto"/>
        <w:right w:val="none" w:sz="0" w:space="0" w:color="auto"/>
      </w:divBdr>
    </w:div>
    <w:div w:id="914319071">
      <w:bodyDiv w:val="1"/>
      <w:marLeft w:val="0"/>
      <w:marRight w:val="0"/>
      <w:marTop w:val="0"/>
      <w:marBottom w:val="0"/>
      <w:divBdr>
        <w:top w:val="none" w:sz="0" w:space="0" w:color="auto"/>
        <w:left w:val="none" w:sz="0" w:space="0" w:color="auto"/>
        <w:bottom w:val="none" w:sz="0" w:space="0" w:color="auto"/>
        <w:right w:val="none" w:sz="0" w:space="0" w:color="auto"/>
      </w:divBdr>
      <w:divsChild>
        <w:div w:id="1460955785">
          <w:marLeft w:val="0"/>
          <w:marRight w:val="0"/>
          <w:marTop w:val="0"/>
          <w:marBottom w:val="0"/>
          <w:divBdr>
            <w:top w:val="none" w:sz="0" w:space="0" w:color="auto"/>
            <w:left w:val="none" w:sz="0" w:space="0" w:color="auto"/>
            <w:bottom w:val="none" w:sz="0" w:space="0" w:color="auto"/>
            <w:right w:val="none" w:sz="0" w:space="0" w:color="auto"/>
          </w:divBdr>
          <w:divsChild>
            <w:div w:id="886530127">
              <w:marLeft w:val="0"/>
              <w:marRight w:val="0"/>
              <w:marTop w:val="0"/>
              <w:marBottom w:val="0"/>
              <w:divBdr>
                <w:top w:val="none" w:sz="0" w:space="0" w:color="auto"/>
                <w:left w:val="none" w:sz="0" w:space="0" w:color="auto"/>
                <w:bottom w:val="none" w:sz="0" w:space="0" w:color="auto"/>
                <w:right w:val="none" w:sz="0" w:space="0" w:color="auto"/>
              </w:divBdr>
              <w:divsChild>
                <w:div w:id="181283687">
                  <w:marLeft w:val="0"/>
                  <w:marRight w:val="0"/>
                  <w:marTop w:val="0"/>
                  <w:marBottom w:val="0"/>
                  <w:divBdr>
                    <w:top w:val="none" w:sz="0" w:space="0" w:color="auto"/>
                    <w:left w:val="none" w:sz="0" w:space="0" w:color="auto"/>
                    <w:bottom w:val="none" w:sz="0" w:space="0" w:color="auto"/>
                    <w:right w:val="none" w:sz="0" w:space="0" w:color="auto"/>
                  </w:divBdr>
                  <w:divsChild>
                    <w:div w:id="1906647863">
                      <w:marLeft w:val="0"/>
                      <w:marRight w:val="0"/>
                      <w:marTop w:val="0"/>
                      <w:marBottom w:val="0"/>
                      <w:divBdr>
                        <w:top w:val="none" w:sz="0" w:space="0" w:color="auto"/>
                        <w:left w:val="none" w:sz="0" w:space="0" w:color="auto"/>
                        <w:bottom w:val="none" w:sz="0" w:space="0" w:color="auto"/>
                        <w:right w:val="none" w:sz="0" w:space="0" w:color="auto"/>
                      </w:divBdr>
                      <w:divsChild>
                        <w:div w:id="663239747">
                          <w:marLeft w:val="0"/>
                          <w:marRight w:val="0"/>
                          <w:marTop w:val="0"/>
                          <w:marBottom w:val="0"/>
                          <w:divBdr>
                            <w:top w:val="none" w:sz="0" w:space="0" w:color="auto"/>
                            <w:left w:val="none" w:sz="0" w:space="0" w:color="auto"/>
                            <w:bottom w:val="none" w:sz="0" w:space="0" w:color="auto"/>
                            <w:right w:val="none" w:sz="0" w:space="0" w:color="auto"/>
                          </w:divBdr>
                          <w:divsChild>
                            <w:div w:id="1208106052">
                              <w:marLeft w:val="0"/>
                              <w:marRight w:val="0"/>
                              <w:marTop w:val="0"/>
                              <w:marBottom w:val="0"/>
                              <w:divBdr>
                                <w:top w:val="none" w:sz="0" w:space="0" w:color="auto"/>
                                <w:left w:val="none" w:sz="0" w:space="0" w:color="auto"/>
                                <w:bottom w:val="none" w:sz="0" w:space="0" w:color="auto"/>
                                <w:right w:val="none" w:sz="0" w:space="0" w:color="auto"/>
                              </w:divBdr>
                              <w:divsChild>
                                <w:div w:id="821853932">
                                  <w:marLeft w:val="0"/>
                                  <w:marRight w:val="0"/>
                                  <w:marTop w:val="0"/>
                                  <w:marBottom w:val="0"/>
                                  <w:divBdr>
                                    <w:top w:val="none" w:sz="0" w:space="0" w:color="auto"/>
                                    <w:left w:val="none" w:sz="0" w:space="0" w:color="auto"/>
                                    <w:bottom w:val="none" w:sz="0" w:space="0" w:color="auto"/>
                                    <w:right w:val="none" w:sz="0" w:space="0" w:color="auto"/>
                                  </w:divBdr>
                                  <w:divsChild>
                                    <w:div w:id="117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32598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67">
          <w:marLeft w:val="0"/>
          <w:marRight w:val="0"/>
          <w:marTop w:val="0"/>
          <w:marBottom w:val="0"/>
          <w:divBdr>
            <w:top w:val="none" w:sz="0" w:space="0" w:color="auto"/>
            <w:left w:val="none" w:sz="0" w:space="0" w:color="auto"/>
            <w:bottom w:val="none" w:sz="0" w:space="0" w:color="auto"/>
            <w:right w:val="none" w:sz="0" w:space="0" w:color="auto"/>
          </w:divBdr>
          <w:divsChild>
            <w:div w:id="157163321">
              <w:marLeft w:val="0"/>
              <w:marRight w:val="0"/>
              <w:marTop w:val="0"/>
              <w:marBottom w:val="0"/>
              <w:divBdr>
                <w:top w:val="none" w:sz="0" w:space="0" w:color="auto"/>
                <w:left w:val="none" w:sz="0" w:space="0" w:color="auto"/>
                <w:bottom w:val="none" w:sz="0" w:space="0" w:color="auto"/>
                <w:right w:val="none" w:sz="0" w:space="0" w:color="auto"/>
              </w:divBdr>
              <w:divsChild>
                <w:div w:id="389577780">
                  <w:marLeft w:val="0"/>
                  <w:marRight w:val="0"/>
                  <w:marTop w:val="0"/>
                  <w:marBottom w:val="0"/>
                  <w:divBdr>
                    <w:top w:val="none" w:sz="0" w:space="0" w:color="auto"/>
                    <w:left w:val="none" w:sz="0" w:space="0" w:color="auto"/>
                    <w:bottom w:val="none" w:sz="0" w:space="0" w:color="auto"/>
                    <w:right w:val="none" w:sz="0" w:space="0" w:color="auto"/>
                  </w:divBdr>
                  <w:divsChild>
                    <w:div w:id="1353150195">
                      <w:marLeft w:val="0"/>
                      <w:marRight w:val="0"/>
                      <w:marTop w:val="0"/>
                      <w:marBottom w:val="0"/>
                      <w:divBdr>
                        <w:top w:val="none" w:sz="0" w:space="0" w:color="auto"/>
                        <w:left w:val="none" w:sz="0" w:space="0" w:color="auto"/>
                        <w:bottom w:val="none" w:sz="0" w:space="0" w:color="auto"/>
                        <w:right w:val="none" w:sz="0" w:space="0" w:color="auto"/>
                      </w:divBdr>
                      <w:divsChild>
                        <w:div w:id="908924254">
                          <w:marLeft w:val="0"/>
                          <w:marRight w:val="0"/>
                          <w:marTop w:val="0"/>
                          <w:marBottom w:val="0"/>
                          <w:divBdr>
                            <w:top w:val="none" w:sz="0" w:space="0" w:color="auto"/>
                            <w:left w:val="none" w:sz="0" w:space="0" w:color="auto"/>
                            <w:bottom w:val="none" w:sz="0" w:space="0" w:color="auto"/>
                            <w:right w:val="none" w:sz="0" w:space="0" w:color="auto"/>
                          </w:divBdr>
                          <w:divsChild>
                            <w:div w:id="849181306">
                              <w:marLeft w:val="0"/>
                              <w:marRight w:val="0"/>
                              <w:marTop w:val="0"/>
                              <w:marBottom w:val="0"/>
                              <w:divBdr>
                                <w:top w:val="none" w:sz="0" w:space="0" w:color="auto"/>
                                <w:left w:val="none" w:sz="0" w:space="0" w:color="auto"/>
                                <w:bottom w:val="none" w:sz="0" w:space="0" w:color="auto"/>
                                <w:right w:val="none" w:sz="0" w:space="0" w:color="auto"/>
                              </w:divBdr>
                              <w:divsChild>
                                <w:div w:id="546452818">
                                  <w:marLeft w:val="0"/>
                                  <w:marRight w:val="0"/>
                                  <w:marTop w:val="0"/>
                                  <w:marBottom w:val="0"/>
                                  <w:divBdr>
                                    <w:top w:val="none" w:sz="0" w:space="0" w:color="auto"/>
                                    <w:left w:val="none" w:sz="0" w:space="0" w:color="auto"/>
                                    <w:bottom w:val="none" w:sz="0" w:space="0" w:color="auto"/>
                                    <w:right w:val="none" w:sz="0" w:space="0" w:color="auto"/>
                                  </w:divBdr>
                                  <w:divsChild>
                                    <w:div w:id="845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970525">
      <w:bodyDiv w:val="1"/>
      <w:marLeft w:val="0"/>
      <w:marRight w:val="0"/>
      <w:marTop w:val="0"/>
      <w:marBottom w:val="0"/>
      <w:divBdr>
        <w:top w:val="none" w:sz="0" w:space="0" w:color="auto"/>
        <w:left w:val="none" w:sz="0" w:space="0" w:color="auto"/>
        <w:bottom w:val="none" w:sz="0" w:space="0" w:color="auto"/>
        <w:right w:val="none" w:sz="0" w:space="0" w:color="auto"/>
      </w:divBdr>
    </w:div>
    <w:div w:id="1135833243">
      <w:bodyDiv w:val="1"/>
      <w:marLeft w:val="0"/>
      <w:marRight w:val="0"/>
      <w:marTop w:val="0"/>
      <w:marBottom w:val="0"/>
      <w:divBdr>
        <w:top w:val="none" w:sz="0" w:space="0" w:color="auto"/>
        <w:left w:val="none" w:sz="0" w:space="0" w:color="auto"/>
        <w:bottom w:val="none" w:sz="0" w:space="0" w:color="auto"/>
        <w:right w:val="none" w:sz="0" w:space="0" w:color="auto"/>
      </w:divBdr>
      <w:divsChild>
        <w:div w:id="1721637428">
          <w:marLeft w:val="0"/>
          <w:marRight w:val="0"/>
          <w:marTop w:val="0"/>
          <w:marBottom w:val="0"/>
          <w:divBdr>
            <w:top w:val="none" w:sz="0" w:space="0" w:color="auto"/>
            <w:left w:val="none" w:sz="0" w:space="0" w:color="auto"/>
            <w:bottom w:val="none" w:sz="0" w:space="0" w:color="auto"/>
            <w:right w:val="none" w:sz="0" w:space="0" w:color="auto"/>
          </w:divBdr>
        </w:div>
      </w:divsChild>
    </w:div>
    <w:div w:id="1157576163">
      <w:bodyDiv w:val="1"/>
      <w:marLeft w:val="0"/>
      <w:marRight w:val="0"/>
      <w:marTop w:val="0"/>
      <w:marBottom w:val="0"/>
      <w:divBdr>
        <w:top w:val="none" w:sz="0" w:space="0" w:color="auto"/>
        <w:left w:val="none" w:sz="0" w:space="0" w:color="auto"/>
        <w:bottom w:val="none" w:sz="0" w:space="0" w:color="auto"/>
        <w:right w:val="none" w:sz="0" w:space="0" w:color="auto"/>
      </w:divBdr>
    </w:div>
    <w:div w:id="1190994459">
      <w:bodyDiv w:val="1"/>
      <w:marLeft w:val="0"/>
      <w:marRight w:val="0"/>
      <w:marTop w:val="0"/>
      <w:marBottom w:val="0"/>
      <w:divBdr>
        <w:top w:val="none" w:sz="0" w:space="0" w:color="auto"/>
        <w:left w:val="none" w:sz="0" w:space="0" w:color="auto"/>
        <w:bottom w:val="none" w:sz="0" w:space="0" w:color="auto"/>
        <w:right w:val="none" w:sz="0" w:space="0" w:color="auto"/>
      </w:divBdr>
    </w:div>
    <w:div w:id="1374118610">
      <w:bodyDiv w:val="1"/>
      <w:marLeft w:val="0"/>
      <w:marRight w:val="0"/>
      <w:marTop w:val="0"/>
      <w:marBottom w:val="0"/>
      <w:divBdr>
        <w:top w:val="none" w:sz="0" w:space="0" w:color="auto"/>
        <w:left w:val="none" w:sz="0" w:space="0" w:color="auto"/>
        <w:bottom w:val="none" w:sz="0" w:space="0" w:color="auto"/>
        <w:right w:val="none" w:sz="0" w:space="0" w:color="auto"/>
      </w:divBdr>
    </w:div>
    <w:div w:id="1461806558">
      <w:bodyDiv w:val="1"/>
      <w:marLeft w:val="0"/>
      <w:marRight w:val="0"/>
      <w:marTop w:val="0"/>
      <w:marBottom w:val="0"/>
      <w:divBdr>
        <w:top w:val="none" w:sz="0" w:space="0" w:color="auto"/>
        <w:left w:val="none" w:sz="0" w:space="0" w:color="auto"/>
        <w:bottom w:val="none" w:sz="0" w:space="0" w:color="auto"/>
        <w:right w:val="none" w:sz="0" w:space="0" w:color="auto"/>
      </w:divBdr>
    </w:div>
    <w:div w:id="1509783024">
      <w:bodyDiv w:val="1"/>
      <w:marLeft w:val="0"/>
      <w:marRight w:val="0"/>
      <w:marTop w:val="0"/>
      <w:marBottom w:val="0"/>
      <w:divBdr>
        <w:top w:val="none" w:sz="0" w:space="0" w:color="auto"/>
        <w:left w:val="none" w:sz="0" w:space="0" w:color="auto"/>
        <w:bottom w:val="none" w:sz="0" w:space="0" w:color="auto"/>
        <w:right w:val="none" w:sz="0" w:space="0" w:color="auto"/>
      </w:divBdr>
      <w:divsChild>
        <w:div w:id="31005036">
          <w:marLeft w:val="0"/>
          <w:marRight w:val="0"/>
          <w:marTop w:val="0"/>
          <w:marBottom w:val="0"/>
          <w:divBdr>
            <w:top w:val="none" w:sz="0" w:space="0" w:color="auto"/>
            <w:left w:val="none" w:sz="0" w:space="0" w:color="auto"/>
            <w:bottom w:val="none" w:sz="0" w:space="0" w:color="auto"/>
            <w:right w:val="none" w:sz="0" w:space="0" w:color="auto"/>
          </w:divBdr>
          <w:divsChild>
            <w:div w:id="599022538">
              <w:marLeft w:val="0"/>
              <w:marRight w:val="0"/>
              <w:marTop w:val="0"/>
              <w:marBottom w:val="0"/>
              <w:divBdr>
                <w:top w:val="none" w:sz="0" w:space="0" w:color="auto"/>
                <w:left w:val="none" w:sz="0" w:space="0" w:color="auto"/>
                <w:bottom w:val="none" w:sz="0" w:space="0" w:color="auto"/>
                <w:right w:val="none" w:sz="0" w:space="0" w:color="auto"/>
              </w:divBdr>
              <w:divsChild>
                <w:div w:id="1136920561">
                  <w:marLeft w:val="0"/>
                  <w:marRight w:val="0"/>
                  <w:marTop w:val="0"/>
                  <w:marBottom w:val="0"/>
                  <w:divBdr>
                    <w:top w:val="none" w:sz="0" w:space="0" w:color="auto"/>
                    <w:left w:val="none" w:sz="0" w:space="0" w:color="auto"/>
                    <w:bottom w:val="none" w:sz="0" w:space="0" w:color="auto"/>
                    <w:right w:val="none" w:sz="0" w:space="0" w:color="auto"/>
                  </w:divBdr>
                  <w:divsChild>
                    <w:div w:id="185146135">
                      <w:marLeft w:val="0"/>
                      <w:marRight w:val="0"/>
                      <w:marTop w:val="0"/>
                      <w:marBottom w:val="0"/>
                      <w:divBdr>
                        <w:top w:val="none" w:sz="0" w:space="0" w:color="auto"/>
                        <w:left w:val="none" w:sz="0" w:space="0" w:color="auto"/>
                        <w:bottom w:val="none" w:sz="0" w:space="0" w:color="auto"/>
                        <w:right w:val="none" w:sz="0" w:space="0" w:color="auto"/>
                      </w:divBdr>
                      <w:divsChild>
                        <w:div w:id="384766414">
                          <w:marLeft w:val="0"/>
                          <w:marRight w:val="0"/>
                          <w:marTop w:val="0"/>
                          <w:marBottom w:val="0"/>
                          <w:divBdr>
                            <w:top w:val="none" w:sz="0" w:space="0" w:color="auto"/>
                            <w:left w:val="none" w:sz="0" w:space="0" w:color="auto"/>
                            <w:bottom w:val="none" w:sz="0" w:space="0" w:color="auto"/>
                            <w:right w:val="none" w:sz="0" w:space="0" w:color="auto"/>
                          </w:divBdr>
                          <w:divsChild>
                            <w:div w:id="724762961">
                              <w:marLeft w:val="0"/>
                              <w:marRight w:val="0"/>
                              <w:marTop w:val="0"/>
                              <w:marBottom w:val="0"/>
                              <w:divBdr>
                                <w:top w:val="none" w:sz="0" w:space="0" w:color="auto"/>
                                <w:left w:val="none" w:sz="0" w:space="0" w:color="auto"/>
                                <w:bottom w:val="none" w:sz="0" w:space="0" w:color="auto"/>
                                <w:right w:val="none" w:sz="0" w:space="0" w:color="auto"/>
                              </w:divBdr>
                              <w:divsChild>
                                <w:div w:id="643120136">
                                  <w:marLeft w:val="0"/>
                                  <w:marRight w:val="0"/>
                                  <w:marTop w:val="0"/>
                                  <w:marBottom w:val="0"/>
                                  <w:divBdr>
                                    <w:top w:val="none" w:sz="0" w:space="0" w:color="auto"/>
                                    <w:left w:val="none" w:sz="0" w:space="0" w:color="auto"/>
                                    <w:bottom w:val="none" w:sz="0" w:space="0" w:color="auto"/>
                                    <w:right w:val="none" w:sz="0" w:space="0" w:color="auto"/>
                                  </w:divBdr>
                                  <w:divsChild>
                                    <w:div w:id="319775862">
                                      <w:marLeft w:val="0"/>
                                      <w:marRight w:val="0"/>
                                      <w:marTop w:val="0"/>
                                      <w:marBottom w:val="0"/>
                                      <w:divBdr>
                                        <w:top w:val="none" w:sz="0" w:space="0" w:color="auto"/>
                                        <w:left w:val="none" w:sz="0" w:space="0" w:color="auto"/>
                                        <w:bottom w:val="none" w:sz="0" w:space="0" w:color="auto"/>
                                        <w:right w:val="none" w:sz="0" w:space="0" w:color="auto"/>
                                      </w:divBdr>
                                      <w:divsChild>
                                        <w:div w:id="50230551">
                                          <w:marLeft w:val="0"/>
                                          <w:marRight w:val="0"/>
                                          <w:marTop w:val="0"/>
                                          <w:marBottom w:val="0"/>
                                          <w:divBdr>
                                            <w:top w:val="none" w:sz="0" w:space="0" w:color="auto"/>
                                            <w:left w:val="none" w:sz="0" w:space="0" w:color="auto"/>
                                            <w:bottom w:val="none" w:sz="0" w:space="0" w:color="auto"/>
                                            <w:right w:val="none" w:sz="0" w:space="0" w:color="auto"/>
                                          </w:divBdr>
                                          <w:divsChild>
                                            <w:div w:id="1671567141">
                                              <w:marLeft w:val="0"/>
                                              <w:marRight w:val="0"/>
                                              <w:marTop w:val="0"/>
                                              <w:marBottom w:val="0"/>
                                              <w:divBdr>
                                                <w:top w:val="none" w:sz="0" w:space="0" w:color="auto"/>
                                                <w:left w:val="none" w:sz="0" w:space="0" w:color="auto"/>
                                                <w:bottom w:val="none" w:sz="0" w:space="0" w:color="auto"/>
                                                <w:right w:val="none" w:sz="0" w:space="0" w:color="auto"/>
                                              </w:divBdr>
                                              <w:divsChild>
                                                <w:div w:id="7730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91872">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sChild>
                                    <w:div w:id="13140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4534">
          <w:marLeft w:val="0"/>
          <w:marRight w:val="0"/>
          <w:marTop w:val="0"/>
          <w:marBottom w:val="0"/>
          <w:divBdr>
            <w:top w:val="none" w:sz="0" w:space="0" w:color="auto"/>
            <w:left w:val="none" w:sz="0" w:space="0" w:color="auto"/>
            <w:bottom w:val="none" w:sz="0" w:space="0" w:color="auto"/>
            <w:right w:val="none" w:sz="0" w:space="0" w:color="auto"/>
          </w:divBdr>
          <w:divsChild>
            <w:div w:id="2087339654">
              <w:marLeft w:val="0"/>
              <w:marRight w:val="0"/>
              <w:marTop w:val="0"/>
              <w:marBottom w:val="0"/>
              <w:divBdr>
                <w:top w:val="none" w:sz="0" w:space="0" w:color="auto"/>
                <w:left w:val="none" w:sz="0" w:space="0" w:color="auto"/>
                <w:bottom w:val="none" w:sz="0" w:space="0" w:color="auto"/>
                <w:right w:val="none" w:sz="0" w:space="0" w:color="auto"/>
              </w:divBdr>
              <w:divsChild>
                <w:div w:id="1813404488">
                  <w:marLeft w:val="0"/>
                  <w:marRight w:val="0"/>
                  <w:marTop w:val="0"/>
                  <w:marBottom w:val="0"/>
                  <w:divBdr>
                    <w:top w:val="none" w:sz="0" w:space="0" w:color="auto"/>
                    <w:left w:val="none" w:sz="0" w:space="0" w:color="auto"/>
                    <w:bottom w:val="none" w:sz="0" w:space="0" w:color="auto"/>
                    <w:right w:val="none" w:sz="0" w:space="0" w:color="auto"/>
                  </w:divBdr>
                  <w:divsChild>
                    <w:div w:id="395012847">
                      <w:marLeft w:val="0"/>
                      <w:marRight w:val="0"/>
                      <w:marTop w:val="0"/>
                      <w:marBottom w:val="0"/>
                      <w:divBdr>
                        <w:top w:val="none" w:sz="0" w:space="0" w:color="auto"/>
                        <w:left w:val="none" w:sz="0" w:space="0" w:color="auto"/>
                        <w:bottom w:val="none" w:sz="0" w:space="0" w:color="auto"/>
                        <w:right w:val="none" w:sz="0" w:space="0" w:color="auto"/>
                      </w:divBdr>
                      <w:divsChild>
                        <w:div w:id="454956708">
                          <w:marLeft w:val="0"/>
                          <w:marRight w:val="0"/>
                          <w:marTop w:val="0"/>
                          <w:marBottom w:val="0"/>
                          <w:divBdr>
                            <w:top w:val="none" w:sz="0" w:space="0" w:color="auto"/>
                            <w:left w:val="none" w:sz="0" w:space="0" w:color="auto"/>
                            <w:bottom w:val="none" w:sz="0" w:space="0" w:color="auto"/>
                            <w:right w:val="none" w:sz="0" w:space="0" w:color="auto"/>
                          </w:divBdr>
                          <w:divsChild>
                            <w:div w:id="1630085129">
                              <w:marLeft w:val="0"/>
                              <w:marRight w:val="0"/>
                              <w:marTop w:val="0"/>
                              <w:marBottom w:val="0"/>
                              <w:divBdr>
                                <w:top w:val="none" w:sz="0" w:space="0" w:color="auto"/>
                                <w:left w:val="none" w:sz="0" w:space="0" w:color="auto"/>
                                <w:bottom w:val="none" w:sz="0" w:space="0" w:color="auto"/>
                                <w:right w:val="none" w:sz="0" w:space="0" w:color="auto"/>
                              </w:divBdr>
                              <w:divsChild>
                                <w:div w:id="1372419449">
                                  <w:marLeft w:val="0"/>
                                  <w:marRight w:val="0"/>
                                  <w:marTop w:val="0"/>
                                  <w:marBottom w:val="0"/>
                                  <w:divBdr>
                                    <w:top w:val="none" w:sz="0" w:space="0" w:color="auto"/>
                                    <w:left w:val="none" w:sz="0" w:space="0" w:color="auto"/>
                                    <w:bottom w:val="none" w:sz="0" w:space="0" w:color="auto"/>
                                    <w:right w:val="none" w:sz="0" w:space="0" w:color="auto"/>
                                  </w:divBdr>
                                  <w:divsChild>
                                    <w:div w:id="8575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310258">
      <w:bodyDiv w:val="1"/>
      <w:marLeft w:val="0"/>
      <w:marRight w:val="0"/>
      <w:marTop w:val="0"/>
      <w:marBottom w:val="0"/>
      <w:divBdr>
        <w:top w:val="none" w:sz="0" w:space="0" w:color="auto"/>
        <w:left w:val="none" w:sz="0" w:space="0" w:color="auto"/>
        <w:bottom w:val="none" w:sz="0" w:space="0" w:color="auto"/>
        <w:right w:val="none" w:sz="0" w:space="0" w:color="auto"/>
      </w:divBdr>
      <w:divsChild>
        <w:div w:id="93257782">
          <w:marLeft w:val="0"/>
          <w:marRight w:val="0"/>
          <w:marTop w:val="0"/>
          <w:marBottom w:val="0"/>
          <w:divBdr>
            <w:top w:val="none" w:sz="0" w:space="0" w:color="auto"/>
            <w:left w:val="none" w:sz="0" w:space="0" w:color="auto"/>
            <w:bottom w:val="none" w:sz="0" w:space="0" w:color="auto"/>
            <w:right w:val="none" w:sz="0" w:space="0" w:color="auto"/>
          </w:divBdr>
          <w:divsChild>
            <w:div w:id="1276598905">
              <w:marLeft w:val="0"/>
              <w:marRight w:val="0"/>
              <w:marTop w:val="0"/>
              <w:marBottom w:val="0"/>
              <w:divBdr>
                <w:top w:val="none" w:sz="0" w:space="0" w:color="auto"/>
                <w:left w:val="none" w:sz="0" w:space="0" w:color="auto"/>
                <w:bottom w:val="none" w:sz="0" w:space="0" w:color="auto"/>
                <w:right w:val="none" w:sz="0" w:space="0" w:color="auto"/>
              </w:divBdr>
              <w:divsChild>
                <w:div w:id="429741951">
                  <w:marLeft w:val="0"/>
                  <w:marRight w:val="0"/>
                  <w:marTop w:val="0"/>
                  <w:marBottom w:val="0"/>
                  <w:divBdr>
                    <w:top w:val="none" w:sz="0" w:space="0" w:color="auto"/>
                    <w:left w:val="none" w:sz="0" w:space="0" w:color="auto"/>
                    <w:bottom w:val="none" w:sz="0" w:space="0" w:color="auto"/>
                    <w:right w:val="none" w:sz="0" w:space="0" w:color="auto"/>
                  </w:divBdr>
                  <w:divsChild>
                    <w:div w:id="1222597199">
                      <w:marLeft w:val="0"/>
                      <w:marRight w:val="0"/>
                      <w:marTop w:val="0"/>
                      <w:marBottom w:val="0"/>
                      <w:divBdr>
                        <w:top w:val="none" w:sz="0" w:space="0" w:color="auto"/>
                        <w:left w:val="none" w:sz="0" w:space="0" w:color="auto"/>
                        <w:bottom w:val="none" w:sz="0" w:space="0" w:color="auto"/>
                        <w:right w:val="none" w:sz="0" w:space="0" w:color="auto"/>
                      </w:divBdr>
                      <w:divsChild>
                        <w:div w:id="1847133646">
                          <w:marLeft w:val="0"/>
                          <w:marRight w:val="0"/>
                          <w:marTop w:val="0"/>
                          <w:marBottom w:val="0"/>
                          <w:divBdr>
                            <w:top w:val="none" w:sz="0" w:space="0" w:color="auto"/>
                            <w:left w:val="none" w:sz="0" w:space="0" w:color="auto"/>
                            <w:bottom w:val="none" w:sz="0" w:space="0" w:color="auto"/>
                            <w:right w:val="none" w:sz="0" w:space="0" w:color="auto"/>
                          </w:divBdr>
                          <w:divsChild>
                            <w:div w:id="843784410">
                              <w:marLeft w:val="0"/>
                              <w:marRight w:val="0"/>
                              <w:marTop w:val="0"/>
                              <w:marBottom w:val="0"/>
                              <w:divBdr>
                                <w:top w:val="none" w:sz="0" w:space="0" w:color="auto"/>
                                <w:left w:val="none" w:sz="0" w:space="0" w:color="auto"/>
                                <w:bottom w:val="none" w:sz="0" w:space="0" w:color="auto"/>
                                <w:right w:val="none" w:sz="0" w:space="0" w:color="auto"/>
                              </w:divBdr>
                              <w:divsChild>
                                <w:div w:id="1248148749">
                                  <w:marLeft w:val="0"/>
                                  <w:marRight w:val="0"/>
                                  <w:marTop w:val="0"/>
                                  <w:marBottom w:val="0"/>
                                  <w:divBdr>
                                    <w:top w:val="none" w:sz="0" w:space="0" w:color="auto"/>
                                    <w:left w:val="none" w:sz="0" w:space="0" w:color="auto"/>
                                    <w:bottom w:val="none" w:sz="0" w:space="0" w:color="auto"/>
                                    <w:right w:val="none" w:sz="0" w:space="0" w:color="auto"/>
                                  </w:divBdr>
                                  <w:divsChild>
                                    <w:div w:id="8036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19506">
          <w:marLeft w:val="0"/>
          <w:marRight w:val="0"/>
          <w:marTop w:val="0"/>
          <w:marBottom w:val="0"/>
          <w:divBdr>
            <w:top w:val="none" w:sz="0" w:space="0" w:color="auto"/>
            <w:left w:val="none" w:sz="0" w:space="0" w:color="auto"/>
            <w:bottom w:val="none" w:sz="0" w:space="0" w:color="auto"/>
            <w:right w:val="none" w:sz="0" w:space="0" w:color="auto"/>
          </w:divBdr>
          <w:divsChild>
            <w:div w:id="1005596783">
              <w:marLeft w:val="0"/>
              <w:marRight w:val="0"/>
              <w:marTop w:val="0"/>
              <w:marBottom w:val="0"/>
              <w:divBdr>
                <w:top w:val="none" w:sz="0" w:space="0" w:color="auto"/>
                <w:left w:val="none" w:sz="0" w:space="0" w:color="auto"/>
                <w:bottom w:val="none" w:sz="0" w:space="0" w:color="auto"/>
                <w:right w:val="none" w:sz="0" w:space="0" w:color="auto"/>
              </w:divBdr>
              <w:divsChild>
                <w:div w:id="905846327">
                  <w:marLeft w:val="0"/>
                  <w:marRight w:val="0"/>
                  <w:marTop w:val="0"/>
                  <w:marBottom w:val="0"/>
                  <w:divBdr>
                    <w:top w:val="none" w:sz="0" w:space="0" w:color="auto"/>
                    <w:left w:val="none" w:sz="0" w:space="0" w:color="auto"/>
                    <w:bottom w:val="none" w:sz="0" w:space="0" w:color="auto"/>
                    <w:right w:val="none" w:sz="0" w:space="0" w:color="auto"/>
                  </w:divBdr>
                  <w:divsChild>
                    <w:div w:id="50661248">
                      <w:marLeft w:val="0"/>
                      <w:marRight w:val="0"/>
                      <w:marTop w:val="0"/>
                      <w:marBottom w:val="0"/>
                      <w:divBdr>
                        <w:top w:val="none" w:sz="0" w:space="0" w:color="auto"/>
                        <w:left w:val="none" w:sz="0" w:space="0" w:color="auto"/>
                        <w:bottom w:val="none" w:sz="0" w:space="0" w:color="auto"/>
                        <w:right w:val="none" w:sz="0" w:space="0" w:color="auto"/>
                      </w:divBdr>
                      <w:divsChild>
                        <w:div w:id="1956860520">
                          <w:marLeft w:val="0"/>
                          <w:marRight w:val="0"/>
                          <w:marTop w:val="0"/>
                          <w:marBottom w:val="0"/>
                          <w:divBdr>
                            <w:top w:val="none" w:sz="0" w:space="0" w:color="auto"/>
                            <w:left w:val="none" w:sz="0" w:space="0" w:color="auto"/>
                            <w:bottom w:val="none" w:sz="0" w:space="0" w:color="auto"/>
                            <w:right w:val="none" w:sz="0" w:space="0" w:color="auto"/>
                          </w:divBdr>
                          <w:divsChild>
                            <w:div w:id="123934247">
                              <w:marLeft w:val="0"/>
                              <w:marRight w:val="0"/>
                              <w:marTop w:val="0"/>
                              <w:marBottom w:val="0"/>
                              <w:divBdr>
                                <w:top w:val="none" w:sz="0" w:space="0" w:color="auto"/>
                                <w:left w:val="none" w:sz="0" w:space="0" w:color="auto"/>
                                <w:bottom w:val="none" w:sz="0" w:space="0" w:color="auto"/>
                                <w:right w:val="none" w:sz="0" w:space="0" w:color="auto"/>
                              </w:divBdr>
                              <w:divsChild>
                                <w:div w:id="926810229">
                                  <w:marLeft w:val="0"/>
                                  <w:marRight w:val="0"/>
                                  <w:marTop w:val="0"/>
                                  <w:marBottom w:val="0"/>
                                  <w:divBdr>
                                    <w:top w:val="none" w:sz="0" w:space="0" w:color="auto"/>
                                    <w:left w:val="none" w:sz="0" w:space="0" w:color="auto"/>
                                    <w:bottom w:val="none" w:sz="0" w:space="0" w:color="auto"/>
                                    <w:right w:val="none" w:sz="0" w:space="0" w:color="auto"/>
                                  </w:divBdr>
                                  <w:divsChild>
                                    <w:div w:id="1051920946">
                                      <w:marLeft w:val="0"/>
                                      <w:marRight w:val="0"/>
                                      <w:marTop w:val="0"/>
                                      <w:marBottom w:val="0"/>
                                      <w:divBdr>
                                        <w:top w:val="none" w:sz="0" w:space="0" w:color="auto"/>
                                        <w:left w:val="none" w:sz="0" w:space="0" w:color="auto"/>
                                        <w:bottom w:val="none" w:sz="0" w:space="0" w:color="auto"/>
                                        <w:right w:val="none" w:sz="0" w:space="0" w:color="auto"/>
                                      </w:divBdr>
                                      <w:divsChild>
                                        <w:div w:id="994838754">
                                          <w:marLeft w:val="0"/>
                                          <w:marRight w:val="0"/>
                                          <w:marTop w:val="0"/>
                                          <w:marBottom w:val="0"/>
                                          <w:divBdr>
                                            <w:top w:val="none" w:sz="0" w:space="0" w:color="auto"/>
                                            <w:left w:val="none" w:sz="0" w:space="0" w:color="auto"/>
                                            <w:bottom w:val="none" w:sz="0" w:space="0" w:color="auto"/>
                                            <w:right w:val="none" w:sz="0" w:space="0" w:color="auto"/>
                                          </w:divBdr>
                                          <w:divsChild>
                                            <w:div w:id="774595456">
                                              <w:marLeft w:val="0"/>
                                              <w:marRight w:val="0"/>
                                              <w:marTop w:val="0"/>
                                              <w:marBottom w:val="0"/>
                                              <w:divBdr>
                                                <w:top w:val="none" w:sz="0" w:space="0" w:color="auto"/>
                                                <w:left w:val="none" w:sz="0" w:space="0" w:color="auto"/>
                                                <w:bottom w:val="none" w:sz="0" w:space="0" w:color="auto"/>
                                                <w:right w:val="none" w:sz="0" w:space="0" w:color="auto"/>
                                              </w:divBdr>
                                              <w:divsChild>
                                                <w:div w:id="19590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445">
                              <w:marLeft w:val="0"/>
                              <w:marRight w:val="0"/>
                              <w:marTop w:val="0"/>
                              <w:marBottom w:val="0"/>
                              <w:divBdr>
                                <w:top w:val="none" w:sz="0" w:space="0" w:color="auto"/>
                                <w:left w:val="none" w:sz="0" w:space="0" w:color="auto"/>
                                <w:bottom w:val="none" w:sz="0" w:space="0" w:color="auto"/>
                                <w:right w:val="none" w:sz="0" w:space="0" w:color="auto"/>
                              </w:divBdr>
                              <w:divsChild>
                                <w:div w:id="930620750">
                                  <w:marLeft w:val="0"/>
                                  <w:marRight w:val="0"/>
                                  <w:marTop w:val="0"/>
                                  <w:marBottom w:val="0"/>
                                  <w:divBdr>
                                    <w:top w:val="none" w:sz="0" w:space="0" w:color="auto"/>
                                    <w:left w:val="none" w:sz="0" w:space="0" w:color="auto"/>
                                    <w:bottom w:val="none" w:sz="0" w:space="0" w:color="auto"/>
                                    <w:right w:val="none" w:sz="0" w:space="0" w:color="auto"/>
                                  </w:divBdr>
                                  <w:divsChild>
                                    <w:div w:id="5107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720703">
      <w:bodyDiv w:val="1"/>
      <w:marLeft w:val="0"/>
      <w:marRight w:val="0"/>
      <w:marTop w:val="0"/>
      <w:marBottom w:val="0"/>
      <w:divBdr>
        <w:top w:val="none" w:sz="0" w:space="0" w:color="auto"/>
        <w:left w:val="none" w:sz="0" w:space="0" w:color="auto"/>
        <w:bottom w:val="none" w:sz="0" w:space="0" w:color="auto"/>
        <w:right w:val="none" w:sz="0" w:space="0" w:color="auto"/>
      </w:divBdr>
      <w:divsChild>
        <w:div w:id="1477839480">
          <w:marLeft w:val="0"/>
          <w:marRight w:val="0"/>
          <w:marTop w:val="0"/>
          <w:marBottom w:val="0"/>
          <w:divBdr>
            <w:top w:val="none" w:sz="0" w:space="0" w:color="auto"/>
            <w:left w:val="none" w:sz="0" w:space="0" w:color="auto"/>
            <w:bottom w:val="none" w:sz="0" w:space="0" w:color="auto"/>
            <w:right w:val="none" w:sz="0" w:space="0" w:color="auto"/>
          </w:divBdr>
          <w:divsChild>
            <w:div w:id="1901864461">
              <w:marLeft w:val="0"/>
              <w:marRight w:val="0"/>
              <w:marTop w:val="0"/>
              <w:marBottom w:val="0"/>
              <w:divBdr>
                <w:top w:val="none" w:sz="0" w:space="0" w:color="auto"/>
                <w:left w:val="none" w:sz="0" w:space="0" w:color="auto"/>
                <w:bottom w:val="none" w:sz="0" w:space="0" w:color="auto"/>
                <w:right w:val="none" w:sz="0" w:space="0" w:color="auto"/>
              </w:divBdr>
              <w:divsChild>
                <w:div w:id="1549217134">
                  <w:marLeft w:val="0"/>
                  <w:marRight w:val="0"/>
                  <w:marTop w:val="0"/>
                  <w:marBottom w:val="0"/>
                  <w:divBdr>
                    <w:top w:val="none" w:sz="0" w:space="0" w:color="auto"/>
                    <w:left w:val="none" w:sz="0" w:space="0" w:color="auto"/>
                    <w:bottom w:val="none" w:sz="0" w:space="0" w:color="auto"/>
                    <w:right w:val="none" w:sz="0" w:space="0" w:color="auto"/>
                  </w:divBdr>
                  <w:divsChild>
                    <w:div w:id="1036126821">
                      <w:marLeft w:val="0"/>
                      <w:marRight w:val="0"/>
                      <w:marTop w:val="0"/>
                      <w:marBottom w:val="0"/>
                      <w:divBdr>
                        <w:top w:val="none" w:sz="0" w:space="0" w:color="auto"/>
                        <w:left w:val="none" w:sz="0" w:space="0" w:color="auto"/>
                        <w:bottom w:val="none" w:sz="0" w:space="0" w:color="auto"/>
                        <w:right w:val="none" w:sz="0" w:space="0" w:color="auto"/>
                      </w:divBdr>
                      <w:divsChild>
                        <w:div w:id="372653719">
                          <w:marLeft w:val="0"/>
                          <w:marRight w:val="0"/>
                          <w:marTop w:val="0"/>
                          <w:marBottom w:val="0"/>
                          <w:divBdr>
                            <w:top w:val="none" w:sz="0" w:space="0" w:color="auto"/>
                            <w:left w:val="none" w:sz="0" w:space="0" w:color="auto"/>
                            <w:bottom w:val="none" w:sz="0" w:space="0" w:color="auto"/>
                            <w:right w:val="none" w:sz="0" w:space="0" w:color="auto"/>
                          </w:divBdr>
                          <w:divsChild>
                            <w:div w:id="857352219">
                              <w:marLeft w:val="0"/>
                              <w:marRight w:val="0"/>
                              <w:marTop w:val="0"/>
                              <w:marBottom w:val="0"/>
                              <w:divBdr>
                                <w:top w:val="none" w:sz="0" w:space="0" w:color="auto"/>
                                <w:left w:val="none" w:sz="0" w:space="0" w:color="auto"/>
                                <w:bottom w:val="none" w:sz="0" w:space="0" w:color="auto"/>
                                <w:right w:val="none" w:sz="0" w:space="0" w:color="auto"/>
                              </w:divBdr>
                              <w:divsChild>
                                <w:div w:id="1043287981">
                                  <w:marLeft w:val="0"/>
                                  <w:marRight w:val="0"/>
                                  <w:marTop w:val="0"/>
                                  <w:marBottom w:val="0"/>
                                  <w:divBdr>
                                    <w:top w:val="none" w:sz="0" w:space="0" w:color="auto"/>
                                    <w:left w:val="none" w:sz="0" w:space="0" w:color="auto"/>
                                    <w:bottom w:val="none" w:sz="0" w:space="0" w:color="auto"/>
                                    <w:right w:val="none" w:sz="0" w:space="0" w:color="auto"/>
                                  </w:divBdr>
                                  <w:divsChild>
                                    <w:div w:id="192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6644">
          <w:marLeft w:val="0"/>
          <w:marRight w:val="0"/>
          <w:marTop w:val="0"/>
          <w:marBottom w:val="0"/>
          <w:divBdr>
            <w:top w:val="none" w:sz="0" w:space="0" w:color="auto"/>
            <w:left w:val="none" w:sz="0" w:space="0" w:color="auto"/>
            <w:bottom w:val="none" w:sz="0" w:space="0" w:color="auto"/>
            <w:right w:val="none" w:sz="0" w:space="0" w:color="auto"/>
          </w:divBdr>
          <w:divsChild>
            <w:div w:id="913931962">
              <w:marLeft w:val="0"/>
              <w:marRight w:val="0"/>
              <w:marTop w:val="0"/>
              <w:marBottom w:val="0"/>
              <w:divBdr>
                <w:top w:val="none" w:sz="0" w:space="0" w:color="auto"/>
                <w:left w:val="none" w:sz="0" w:space="0" w:color="auto"/>
                <w:bottom w:val="none" w:sz="0" w:space="0" w:color="auto"/>
                <w:right w:val="none" w:sz="0" w:space="0" w:color="auto"/>
              </w:divBdr>
              <w:divsChild>
                <w:div w:id="1451973543">
                  <w:marLeft w:val="0"/>
                  <w:marRight w:val="0"/>
                  <w:marTop w:val="0"/>
                  <w:marBottom w:val="0"/>
                  <w:divBdr>
                    <w:top w:val="none" w:sz="0" w:space="0" w:color="auto"/>
                    <w:left w:val="none" w:sz="0" w:space="0" w:color="auto"/>
                    <w:bottom w:val="none" w:sz="0" w:space="0" w:color="auto"/>
                    <w:right w:val="none" w:sz="0" w:space="0" w:color="auto"/>
                  </w:divBdr>
                  <w:divsChild>
                    <w:div w:id="404648243">
                      <w:marLeft w:val="0"/>
                      <w:marRight w:val="0"/>
                      <w:marTop w:val="0"/>
                      <w:marBottom w:val="0"/>
                      <w:divBdr>
                        <w:top w:val="none" w:sz="0" w:space="0" w:color="auto"/>
                        <w:left w:val="none" w:sz="0" w:space="0" w:color="auto"/>
                        <w:bottom w:val="none" w:sz="0" w:space="0" w:color="auto"/>
                        <w:right w:val="none" w:sz="0" w:space="0" w:color="auto"/>
                      </w:divBdr>
                      <w:divsChild>
                        <w:div w:id="837160551">
                          <w:marLeft w:val="0"/>
                          <w:marRight w:val="0"/>
                          <w:marTop w:val="0"/>
                          <w:marBottom w:val="0"/>
                          <w:divBdr>
                            <w:top w:val="none" w:sz="0" w:space="0" w:color="auto"/>
                            <w:left w:val="none" w:sz="0" w:space="0" w:color="auto"/>
                            <w:bottom w:val="none" w:sz="0" w:space="0" w:color="auto"/>
                            <w:right w:val="none" w:sz="0" w:space="0" w:color="auto"/>
                          </w:divBdr>
                          <w:divsChild>
                            <w:div w:id="56244389">
                              <w:marLeft w:val="0"/>
                              <w:marRight w:val="0"/>
                              <w:marTop w:val="0"/>
                              <w:marBottom w:val="0"/>
                              <w:divBdr>
                                <w:top w:val="none" w:sz="0" w:space="0" w:color="auto"/>
                                <w:left w:val="none" w:sz="0" w:space="0" w:color="auto"/>
                                <w:bottom w:val="none" w:sz="0" w:space="0" w:color="auto"/>
                                <w:right w:val="none" w:sz="0" w:space="0" w:color="auto"/>
                              </w:divBdr>
                              <w:divsChild>
                                <w:div w:id="149058932">
                                  <w:marLeft w:val="0"/>
                                  <w:marRight w:val="0"/>
                                  <w:marTop w:val="0"/>
                                  <w:marBottom w:val="0"/>
                                  <w:divBdr>
                                    <w:top w:val="none" w:sz="0" w:space="0" w:color="auto"/>
                                    <w:left w:val="none" w:sz="0" w:space="0" w:color="auto"/>
                                    <w:bottom w:val="none" w:sz="0" w:space="0" w:color="auto"/>
                                    <w:right w:val="none" w:sz="0" w:space="0" w:color="auto"/>
                                  </w:divBdr>
                                  <w:divsChild>
                                    <w:div w:id="1391418902">
                                      <w:marLeft w:val="0"/>
                                      <w:marRight w:val="0"/>
                                      <w:marTop w:val="0"/>
                                      <w:marBottom w:val="0"/>
                                      <w:divBdr>
                                        <w:top w:val="none" w:sz="0" w:space="0" w:color="auto"/>
                                        <w:left w:val="none" w:sz="0" w:space="0" w:color="auto"/>
                                        <w:bottom w:val="none" w:sz="0" w:space="0" w:color="auto"/>
                                        <w:right w:val="none" w:sz="0" w:space="0" w:color="auto"/>
                                      </w:divBdr>
                                      <w:divsChild>
                                        <w:div w:id="37168309">
                                          <w:marLeft w:val="0"/>
                                          <w:marRight w:val="0"/>
                                          <w:marTop w:val="0"/>
                                          <w:marBottom w:val="0"/>
                                          <w:divBdr>
                                            <w:top w:val="none" w:sz="0" w:space="0" w:color="auto"/>
                                            <w:left w:val="none" w:sz="0" w:space="0" w:color="auto"/>
                                            <w:bottom w:val="none" w:sz="0" w:space="0" w:color="auto"/>
                                            <w:right w:val="none" w:sz="0" w:space="0" w:color="auto"/>
                                          </w:divBdr>
                                          <w:divsChild>
                                            <w:div w:id="1335183635">
                                              <w:marLeft w:val="0"/>
                                              <w:marRight w:val="0"/>
                                              <w:marTop w:val="0"/>
                                              <w:marBottom w:val="0"/>
                                              <w:divBdr>
                                                <w:top w:val="none" w:sz="0" w:space="0" w:color="auto"/>
                                                <w:left w:val="none" w:sz="0" w:space="0" w:color="auto"/>
                                                <w:bottom w:val="none" w:sz="0" w:space="0" w:color="auto"/>
                                                <w:right w:val="none" w:sz="0" w:space="0" w:color="auto"/>
                                              </w:divBdr>
                                              <w:divsChild>
                                                <w:div w:id="17343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97726">
                              <w:marLeft w:val="0"/>
                              <w:marRight w:val="0"/>
                              <w:marTop w:val="0"/>
                              <w:marBottom w:val="0"/>
                              <w:divBdr>
                                <w:top w:val="none" w:sz="0" w:space="0" w:color="auto"/>
                                <w:left w:val="none" w:sz="0" w:space="0" w:color="auto"/>
                                <w:bottom w:val="none" w:sz="0" w:space="0" w:color="auto"/>
                                <w:right w:val="none" w:sz="0" w:space="0" w:color="auto"/>
                              </w:divBdr>
                              <w:divsChild>
                                <w:div w:id="1717895536">
                                  <w:marLeft w:val="0"/>
                                  <w:marRight w:val="0"/>
                                  <w:marTop w:val="0"/>
                                  <w:marBottom w:val="0"/>
                                  <w:divBdr>
                                    <w:top w:val="none" w:sz="0" w:space="0" w:color="auto"/>
                                    <w:left w:val="none" w:sz="0" w:space="0" w:color="auto"/>
                                    <w:bottom w:val="none" w:sz="0" w:space="0" w:color="auto"/>
                                    <w:right w:val="none" w:sz="0" w:space="0" w:color="auto"/>
                                  </w:divBdr>
                                  <w:divsChild>
                                    <w:div w:id="788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02429">
      <w:bodyDiv w:val="1"/>
      <w:marLeft w:val="0"/>
      <w:marRight w:val="0"/>
      <w:marTop w:val="0"/>
      <w:marBottom w:val="0"/>
      <w:divBdr>
        <w:top w:val="none" w:sz="0" w:space="0" w:color="auto"/>
        <w:left w:val="none" w:sz="0" w:space="0" w:color="auto"/>
        <w:bottom w:val="none" w:sz="0" w:space="0" w:color="auto"/>
        <w:right w:val="none" w:sz="0" w:space="0" w:color="auto"/>
      </w:divBdr>
    </w:div>
    <w:div w:id="1824202633">
      <w:bodyDiv w:val="1"/>
      <w:marLeft w:val="0"/>
      <w:marRight w:val="0"/>
      <w:marTop w:val="0"/>
      <w:marBottom w:val="0"/>
      <w:divBdr>
        <w:top w:val="none" w:sz="0" w:space="0" w:color="auto"/>
        <w:left w:val="none" w:sz="0" w:space="0" w:color="auto"/>
        <w:bottom w:val="none" w:sz="0" w:space="0" w:color="auto"/>
        <w:right w:val="none" w:sz="0" w:space="0" w:color="auto"/>
      </w:divBdr>
    </w:div>
    <w:div w:id="1920018147">
      <w:bodyDiv w:val="1"/>
      <w:marLeft w:val="0"/>
      <w:marRight w:val="0"/>
      <w:marTop w:val="0"/>
      <w:marBottom w:val="0"/>
      <w:divBdr>
        <w:top w:val="none" w:sz="0" w:space="0" w:color="auto"/>
        <w:left w:val="none" w:sz="0" w:space="0" w:color="auto"/>
        <w:bottom w:val="none" w:sz="0" w:space="0" w:color="auto"/>
        <w:right w:val="none" w:sz="0" w:space="0" w:color="auto"/>
      </w:divBdr>
    </w:div>
    <w:div w:id="1958875686">
      <w:bodyDiv w:val="1"/>
      <w:marLeft w:val="0"/>
      <w:marRight w:val="0"/>
      <w:marTop w:val="0"/>
      <w:marBottom w:val="0"/>
      <w:divBdr>
        <w:top w:val="none" w:sz="0" w:space="0" w:color="auto"/>
        <w:left w:val="none" w:sz="0" w:space="0" w:color="auto"/>
        <w:bottom w:val="none" w:sz="0" w:space="0" w:color="auto"/>
        <w:right w:val="none" w:sz="0" w:space="0" w:color="auto"/>
      </w:divBdr>
    </w:div>
    <w:div w:id="2011717016">
      <w:bodyDiv w:val="1"/>
      <w:marLeft w:val="0"/>
      <w:marRight w:val="0"/>
      <w:marTop w:val="0"/>
      <w:marBottom w:val="0"/>
      <w:divBdr>
        <w:top w:val="none" w:sz="0" w:space="0" w:color="auto"/>
        <w:left w:val="none" w:sz="0" w:space="0" w:color="auto"/>
        <w:bottom w:val="none" w:sz="0" w:space="0" w:color="auto"/>
        <w:right w:val="none" w:sz="0" w:space="0" w:color="auto"/>
      </w:divBdr>
      <w:divsChild>
        <w:div w:id="733509262">
          <w:marLeft w:val="0"/>
          <w:marRight w:val="0"/>
          <w:marTop w:val="0"/>
          <w:marBottom w:val="0"/>
          <w:divBdr>
            <w:top w:val="none" w:sz="0" w:space="0" w:color="auto"/>
            <w:left w:val="none" w:sz="0" w:space="0" w:color="auto"/>
            <w:bottom w:val="none" w:sz="0" w:space="0" w:color="auto"/>
            <w:right w:val="none" w:sz="0" w:space="0" w:color="auto"/>
          </w:divBdr>
          <w:divsChild>
            <w:div w:id="733968684">
              <w:marLeft w:val="0"/>
              <w:marRight w:val="0"/>
              <w:marTop w:val="0"/>
              <w:marBottom w:val="0"/>
              <w:divBdr>
                <w:top w:val="none" w:sz="0" w:space="0" w:color="auto"/>
                <w:left w:val="none" w:sz="0" w:space="0" w:color="auto"/>
                <w:bottom w:val="none" w:sz="0" w:space="0" w:color="auto"/>
                <w:right w:val="none" w:sz="0" w:space="0" w:color="auto"/>
              </w:divBdr>
              <w:divsChild>
                <w:div w:id="2137795301">
                  <w:marLeft w:val="0"/>
                  <w:marRight w:val="0"/>
                  <w:marTop w:val="0"/>
                  <w:marBottom w:val="0"/>
                  <w:divBdr>
                    <w:top w:val="none" w:sz="0" w:space="0" w:color="auto"/>
                    <w:left w:val="none" w:sz="0" w:space="0" w:color="auto"/>
                    <w:bottom w:val="none" w:sz="0" w:space="0" w:color="auto"/>
                    <w:right w:val="none" w:sz="0" w:space="0" w:color="auto"/>
                  </w:divBdr>
                  <w:divsChild>
                    <w:div w:id="235437825">
                      <w:marLeft w:val="0"/>
                      <w:marRight w:val="0"/>
                      <w:marTop w:val="0"/>
                      <w:marBottom w:val="0"/>
                      <w:divBdr>
                        <w:top w:val="none" w:sz="0" w:space="0" w:color="auto"/>
                        <w:left w:val="none" w:sz="0" w:space="0" w:color="auto"/>
                        <w:bottom w:val="none" w:sz="0" w:space="0" w:color="auto"/>
                        <w:right w:val="none" w:sz="0" w:space="0" w:color="auto"/>
                      </w:divBdr>
                      <w:divsChild>
                        <w:div w:id="1158039160">
                          <w:marLeft w:val="0"/>
                          <w:marRight w:val="0"/>
                          <w:marTop w:val="0"/>
                          <w:marBottom w:val="0"/>
                          <w:divBdr>
                            <w:top w:val="none" w:sz="0" w:space="0" w:color="auto"/>
                            <w:left w:val="none" w:sz="0" w:space="0" w:color="auto"/>
                            <w:bottom w:val="none" w:sz="0" w:space="0" w:color="auto"/>
                            <w:right w:val="none" w:sz="0" w:space="0" w:color="auto"/>
                          </w:divBdr>
                          <w:divsChild>
                            <w:div w:id="1558664593">
                              <w:marLeft w:val="0"/>
                              <w:marRight w:val="0"/>
                              <w:marTop w:val="0"/>
                              <w:marBottom w:val="0"/>
                              <w:divBdr>
                                <w:top w:val="none" w:sz="0" w:space="0" w:color="auto"/>
                                <w:left w:val="none" w:sz="0" w:space="0" w:color="auto"/>
                                <w:bottom w:val="none" w:sz="0" w:space="0" w:color="auto"/>
                                <w:right w:val="none" w:sz="0" w:space="0" w:color="auto"/>
                              </w:divBdr>
                              <w:divsChild>
                                <w:div w:id="555969516">
                                  <w:marLeft w:val="0"/>
                                  <w:marRight w:val="0"/>
                                  <w:marTop w:val="0"/>
                                  <w:marBottom w:val="0"/>
                                  <w:divBdr>
                                    <w:top w:val="none" w:sz="0" w:space="0" w:color="auto"/>
                                    <w:left w:val="none" w:sz="0" w:space="0" w:color="auto"/>
                                    <w:bottom w:val="none" w:sz="0" w:space="0" w:color="auto"/>
                                    <w:right w:val="none" w:sz="0" w:space="0" w:color="auto"/>
                                  </w:divBdr>
                                  <w:divsChild>
                                    <w:div w:id="18274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13606">
          <w:marLeft w:val="0"/>
          <w:marRight w:val="0"/>
          <w:marTop w:val="0"/>
          <w:marBottom w:val="0"/>
          <w:divBdr>
            <w:top w:val="none" w:sz="0" w:space="0" w:color="auto"/>
            <w:left w:val="none" w:sz="0" w:space="0" w:color="auto"/>
            <w:bottom w:val="none" w:sz="0" w:space="0" w:color="auto"/>
            <w:right w:val="none" w:sz="0" w:space="0" w:color="auto"/>
          </w:divBdr>
          <w:divsChild>
            <w:div w:id="1231189486">
              <w:marLeft w:val="0"/>
              <w:marRight w:val="0"/>
              <w:marTop w:val="0"/>
              <w:marBottom w:val="0"/>
              <w:divBdr>
                <w:top w:val="none" w:sz="0" w:space="0" w:color="auto"/>
                <w:left w:val="none" w:sz="0" w:space="0" w:color="auto"/>
                <w:bottom w:val="none" w:sz="0" w:space="0" w:color="auto"/>
                <w:right w:val="none" w:sz="0" w:space="0" w:color="auto"/>
              </w:divBdr>
              <w:divsChild>
                <w:div w:id="125053680">
                  <w:marLeft w:val="0"/>
                  <w:marRight w:val="0"/>
                  <w:marTop w:val="0"/>
                  <w:marBottom w:val="0"/>
                  <w:divBdr>
                    <w:top w:val="none" w:sz="0" w:space="0" w:color="auto"/>
                    <w:left w:val="none" w:sz="0" w:space="0" w:color="auto"/>
                    <w:bottom w:val="none" w:sz="0" w:space="0" w:color="auto"/>
                    <w:right w:val="none" w:sz="0" w:space="0" w:color="auto"/>
                  </w:divBdr>
                  <w:divsChild>
                    <w:div w:id="2022245283">
                      <w:marLeft w:val="0"/>
                      <w:marRight w:val="0"/>
                      <w:marTop w:val="0"/>
                      <w:marBottom w:val="0"/>
                      <w:divBdr>
                        <w:top w:val="none" w:sz="0" w:space="0" w:color="auto"/>
                        <w:left w:val="none" w:sz="0" w:space="0" w:color="auto"/>
                        <w:bottom w:val="none" w:sz="0" w:space="0" w:color="auto"/>
                        <w:right w:val="none" w:sz="0" w:space="0" w:color="auto"/>
                      </w:divBdr>
                      <w:divsChild>
                        <w:div w:id="779762775">
                          <w:marLeft w:val="0"/>
                          <w:marRight w:val="0"/>
                          <w:marTop w:val="0"/>
                          <w:marBottom w:val="0"/>
                          <w:divBdr>
                            <w:top w:val="none" w:sz="0" w:space="0" w:color="auto"/>
                            <w:left w:val="none" w:sz="0" w:space="0" w:color="auto"/>
                            <w:bottom w:val="none" w:sz="0" w:space="0" w:color="auto"/>
                            <w:right w:val="none" w:sz="0" w:space="0" w:color="auto"/>
                          </w:divBdr>
                          <w:divsChild>
                            <w:div w:id="1154299278">
                              <w:marLeft w:val="0"/>
                              <w:marRight w:val="0"/>
                              <w:marTop w:val="0"/>
                              <w:marBottom w:val="0"/>
                              <w:divBdr>
                                <w:top w:val="none" w:sz="0" w:space="0" w:color="auto"/>
                                <w:left w:val="none" w:sz="0" w:space="0" w:color="auto"/>
                                <w:bottom w:val="none" w:sz="0" w:space="0" w:color="auto"/>
                                <w:right w:val="none" w:sz="0" w:space="0" w:color="auto"/>
                              </w:divBdr>
                              <w:divsChild>
                                <w:div w:id="1591694767">
                                  <w:marLeft w:val="0"/>
                                  <w:marRight w:val="0"/>
                                  <w:marTop w:val="0"/>
                                  <w:marBottom w:val="0"/>
                                  <w:divBdr>
                                    <w:top w:val="none" w:sz="0" w:space="0" w:color="auto"/>
                                    <w:left w:val="none" w:sz="0" w:space="0" w:color="auto"/>
                                    <w:bottom w:val="none" w:sz="0" w:space="0" w:color="auto"/>
                                    <w:right w:val="none" w:sz="0" w:space="0" w:color="auto"/>
                                  </w:divBdr>
                                  <w:divsChild>
                                    <w:div w:id="16475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7150">
                              <w:marLeft w:val="0"/>
                              <w:marRight w:val="0"/>
                              <w:marTop w:val="0"/>
                              <w:marBottom w:val="0"/>
                              <w:divBdr>
                                <w:top w:val="none" w:sz="0" w:space="0" w:color="auto"/>
                                <w:left w:val="none" w:sz="0" w:space="0" w:color="auto"/>
                                <w:bottom w:val="none" w:sz="0" w:space="0" w:color="auto"/>
                                <w:right w:val="none" w:sz="0" w:space="0" w:color="auto"/>
                              </w:divBdr>
                              <w:divsChild>
                                <w:div w:id="1118183081">
                                  <w:marLeft w:val="0"/>
                                  <w:marRight w:val="0"/>
                                  <w:marTop w:val="0"/>
                                  <w:marBottom w:val="0"/>
                                  <w:divBdr>
                                    <w:top w:val="none" w:sz="0" w:space="0" w:color="auto"/>
                                    <w:left w:val="none" w:sz="0" w:space="0" w:color="auto"/>
                                    <w:bottom w:val="none" w:sz="0" w:space="0" w:color="auto"/>
                                    <w:right w:val="none" w:sz="0" w:space="0" w:color="auto"/>
                                  </w:divBdr>
                                  <w:divsChild>
                                    <w:div w:id="209465029">
                                      <w:marLeft w:val="0"/>
                                      <w:marRight w:val="0"/>
                                      <w:marTop w:val="0"/>
                                      <w:marBottom w:val="0"/>
                                      <w:divBdr>
                                        <w:top w:val="none" w:sz="0" w:space="0" w:color="auto"/>
                                        <w:left w:val="none" w:sz="0" w:space="0" w:color="auto"/>
                                        <w:bottom w:val="none" w:sz="0" w:space="0" w:color="auto"/>
                                        <w:right w:val="none" w:sz="0" w:space="0" w:color="auto"/>
                                      </w:divBdr>
                                      <w:divsChild>
                                        <w:div w:id="482283281">
                                          <w:marLeft w:val="0"/>
                                          <w:marRight w:val="0"/>
                                          <w:marTop w:val="0"/>
                                          <w:marBottom w:val="0"/>
                                          <w:divBdr>
                                            <w:top w:val="none" w:sz="0" w:space="0" w:color="auto"/>
                                            <w:left w:val="none" w:sz="0" w:space="0" w:color="auto"/>
                                            <w:bottom w:val="none" w:sz="0" w:space="0" w:color="auto"/>
                                            <w:right w:val="none" w:sz="0" w:space="0" w:color="auto"/>
                                          </w:divBdr>
                                          <w:divsChild>
                                            <w:div w:id="895968918">
                                              <w:marLeft w:val="0"/>
                                              <w:marRight w:val="0"/>
                                              <w:marTop w:val="0"/>
                                              <w:marBottom w:val="0"/>
                                              <w:divBdr>
                                                <w:top w:val="none" w:sz="0" w:space="0" w:color="auto"/>
                                                <w:left w:val="none" w:sz="0" w:space="0" w:color="auto"/>
                                                <w:bottom w:val="none" w:sz="0" w:space="0" w:color="auto"/>
                                                <w:right w:val="none" w:sz="0" w:space="0" w:color="auto"/>
                                              </w:divBdr>
                                              <w:divsChild>
                                                <w:div w:id="2278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12100">
      <w:bodyDiv w:val="1"/>
      <w:marLeft w:val="0"/>
      <w:marRight w:val="0"/>
      <w:marTop w:val="0"/>
      <w:marBottom w:val="0"/>
      <w:divBdr>
        <w:top w:val="none" w:sz="0" w:space="0" w:color="auto"/>
        <w:left w:val="none" w:sz="0" w:space="0" w:color="auto"/>
        <w:bottom w:val="none" w:sz="0" w:space="0" w:color="auto"/>
        <w:right w:val="none" w:sz="0" w:space="0" w:color="auto"/>
      </w:divBdr>
    </w:div>
    <w:div w:id="2048405348">
      <w:bodyDiv w:val="1"/>
      <w:marLeft w:val="0"/>
      <w:marRight w:val="0"/>
      <w:marTop w:val="0"/>
      <w:marBottom w:val="0"/>
      <w:divBdr>
        <w:top w:val="none" w:sz="0" w:space="0" w:color="auto"/>
        <w:left w:val="none" w:sz="0" w:space="0" w:color="auto"/>
        <w:bottom w:val="none" w:sz="0" w:space="0" w:color="auto"/>
        <w:right w:val="none" w:sz="0" w:space="0" w:color="auto"/>
      </w:divBdr>
    </w:div>
    <w:div w:id="20651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6.xml"/><Relationship Id="rId39" Type="http://schemas.microsoft.com/office/2020/10/relationships/intelligence" Target="intelligence2.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3.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DEAADBFP-1499948599-55138</_dlc_DocId>
    <_dlc_DocIdUrl xmlns="afdacc0a-6563-489f-9b51-6fc9acac5c48">
      <Url>https://wipoprod.sharepoint.com/sites/SPS-INT-BFP-DEAAD-AsseAffa/_layouts/15/DocIdRedir.aspx?ID=DEAADBFP-1499948599-55138</Url>
      <Description>DEAADBFP-1499948599-55138</Description>
    </_dlc_DocIdUrl>
    <gbd88f87496145e58da10973a57b07b8 xmlns="56500874-bba0-4b48-9090-b201492e8473">
      <Terms xmlns="http://schemas.microsoft.com/office/infopath/2007/PartnerControls"/>
    </gbd88f87496145e58da10973a57b07b8>
    <IPSystem xmlns="56500874-bba0-4b48-9090-b201492e8473" xsi:nil="true"/>
  </documentManagement>
</p:properties>
</file>

<file path=customXml/itemProps1.xml><?xml version="1.0" encoding="utf-8"?>
<ds:datastoreItem xmlns:ds="http://schemas.openxmlformats.org/officeDocument/2006/customXml" ds:itemID="{1B028FA5-5E20-4DFC-A785-3D7292F15147}">
  <ds:schemaRefs>
    <ds:schemaRef ds:uri="http://schemas.microsoft.com/sharepoint/events"/>
  </ds:schemaRefs>
</ds:datastoreItem>
</file>

<file path=customXml/itemProps2.xml><?xml version="1.0" encoding="utf-8"?>
<ds:datastoreItem xmlns:ds="http://schemas.openxmlformats.org/officeDocument/2006/customXml" ds:itemID="{F642202A-7910-48D3-9B20-CBF6EF278E89}">
  <ds:schemaRefs>
    <ds:schemaRef ds:uri="http://schemas.openxmlformats.org/officeDocument/2006/bibliography"/>
  </ds:schemaRefs>
</ds:datastoreItem>
</file>

<file path=customXml/itemProps3.xml><?xml version="1.0" encoding="utf-8"?>
<ds:datastoreItem xmlns:ds="http://schemas.openxmlformats.org/officeDocument/2006/customXml" ds:itemID="{7F6D5E89-90AE-4E26-A5D7-6E9D46F61BE0}">
  <ds:schemaRefs>
    <ds:schemaRef ds:uri="Microsoft.SharePoint.Taxonomy.ContentTypeSync"/>
  </ds:schemaRefs>
</ds:datastoreItem>
</file>

<file path=customXml/itemProps4.xml><?xml version="1.0" encoding="utf-8"?>
<ds:datastoreItem xmlns:ds="http://schemas.openxmlformats.org/officeDocument/2006/customXml" ds:itemID="{915E4945-F34E-4339-A5D8-8FC193A415D2}"/>
</file>

<file path=customXml/itemProps5.xml><?xml version="1.0" encoding="utf-8"?>
<ds:datastoreItem xmlns:ds="http://schemas.openxmlformats.org/officeDocument/2006/customXml" ds:itemID="{13B879E3-6C92-4586-B71D-05DA6161332F}">
  <ds:schemaRefs>
    <ds:schemaRef ds:uri="http://schemas.microsoft.com/sharepoint/v3/contenttype/forms"/>
  </ds:schemaRefs>
</ds:datastoreItem>
</file>

<file path=customXml/itemProps6.xml><?xml version="1.0" encoding="utf-8"?>
<ds:datastoreItem xmlns:ds="http://schemas.openxmlformats.org/officeDocument/2006/customXml" ds:itemID="{EA20DD98-B66F-4AE8-8C8D-E02E914D5A17}">
  <ds:schemaRefs>
    <ds:schemaRef ds:uri="http://schemas.microsoft.com/office/2006/metadata/properties"/>
    <ds:schemaRef ds:uri="http://schemas.microsoft.com/office/infopath/2007/PartnerControls"/>
    <ds:schemaRef ds:uri="f7672b27-fbab-4d6d-be72-bcd85cf367e7"/>
    <ds:schemaRef ds:uri="cd0d4953-b0b8-485f-82ae-1938e45b3d7a"/>
    <ds:schemaRef ds:uri="ffaa6062-2aba-4ca6-91a9-50f50ca0253d"/>
    <ds:schemaRef ds:uri="56500874-bba0-4b48-9090-b201492e8473"/>
    <ds:schemaRef ds:uri="0d6abe56-55ad-41de-8124-44420a0ee71d"/>
  </ds:schemaRefs>
</ds:datastoreItem>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57</Pages>
  <Words>17167</Words>
  <Characters>116568</Characters>
  <Application>Microsoft Office Word</Application>
  <DocSecurity>0</DocSecurity>
  <Lines>3760</Lines>
  <Paragraphs>1285</Paragraphs>
  <ScaleCrop>false</ScaleCrop>
  <Company/>
  <LinksUpToDate>false</LinksUpToDate>
  <CharactersWithSpaces>132450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DFM</dc:creator>
  <cp:keywords/>
  <dc:description/>
  <cp:lastModifiedBy>GENOUD Anne</cp:lastModifiedBy>
  <cp:revision>3</cp:revision>
  <cp:lastPrinted>2026-05-11T04:35:00Z</cp:lastPrinted>
  <dcterms:created xsi:type="dcterms:W3CDTF">2026-06-01T13:16:00Z</dcterms:created>
  <dcterms:modified xsi:type="dcterms:W3CDTF">2026-06-01T13:16:00Z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8bdb46643a1a30713c3f4b02c77e3d7ab80f0af9e7ae448bc9340cef0a082e38</vt:lpwstr>
  </property>
  <property fmtid="{D5CDD505-2E9C-101B-9397-08002B2CF9AE}" pid="3" name="ContentTypeId">
    <vt:lpwstr>0x01010043A0F979BE30A3469F998CB749C11FBD0F007FA3E1EBB780B94A848853097E393549</vt:lpwstr>
  </property>
  <property fmtid="{D5CDD505-2E9C-101B-9397-08002B2CF9AE}" pid="4" name="MediaServiceImageTags">
    <vt:lpwstr/>
  </property>
  <property fmtid="{D5CDD505-2E9C-101B-9397-08002B2CF9AE}" pid="5" name="ClassificationContentMarkingFooterShapeIds">
    <vt:lpwstr>152bcead,4f67e04c,654b3030,3cdca004,6c24892b,59fd10f4,50e512df,28cd81ae,365b07dd</vt:lpwstr>
  </property>
  <property fmtid="{D5CDD505-2E9C-101B-9397-08002B2CF9AE}" pid="6" name="ClassificationContentMarkingFooterFontProps">
    <vt:lpwstr>#ff0000,10,Aptos</vt:lpwstr>
  </property>
  <property fmtid="{D5CDD505-2E9C-101B-9397-08002B2CF9AE}" pid="7" name="ClassificationContentMarkingFooterText">
    <vt:lpwstr>WIPO CONFIDENTIAL </vt:lpwstr>
  </property>
  <property fmtid="{D5CDD505-2E9C-101B-9397-08002B2CF9AE}" pid="8" name="VisualMarkings">
    <vt:lpwstr>Footer</vt:lpwstr>
  </property>
  <property fmtid="{D5CDD505-2E9C-101B-9397-08002B2CF9AE}" pid="9" name="Classification">
    <vt:lpwstr>For Official Use Only</vt:lpwstr>
  </property>
  <property fmtid="{D5CDD505-2E9C-101B-9397-08002B2CF9AE}" pid="10" name="Alignment">
    <vt:lpwstr>Centre</vt:lpwstr>
  </property>
  <property fmtid="{D5CDD505-2E9C-101B-9397-08002B2CF9AE}" pid="11" name="Sensitivity">
    <vt:lpwstr>CONFIDENTIAL</vt:lpwstr>
  </property>
  <property fmtid="{D5CDD505-2E9C-101B-9397-08002B2CF9AE}" pid="12" name="MSIP_Label_129d12b7-1a6c-4a2a-bdcd-2c4f41019546_Extended_MSFT_Method">
    <vt:lpwstr>Standard</vt:lpwstr>
  </property>
  <property fmtid="{D5CDD505-2E9C-101B-9397-08002B2CF9AE}" pid="13" name="MSIP_Label_129d12b7-1a6c-4a2a-bdcd-2c4f41019546_Removed">
    <vt:lpwstr>False</vt:lpwstr>
  </property>
  <property fmtid="{D5CDD505-2E9C-101B-9397-08002B2CF9AE}" pid="14" name="MSIP_Label_129d12b7-1a6c-4a2a-bdcd-2c4f41019546_ActionId">
    <vt:lpwstr>17d8d87f-14ec-447a-88e2-abe726ff67f7</vt:lpwstr>
  </property>
  <property fmtid="{D5CDD505-2E9C-101B-9397-08002B2CF9AE}" pid="15" name="Language">
    <vt:lpwstr>English</vt:lpwstr>
  </property>
  <property fmtid="{D5CDD505-2E9C-101B-9397-08002B2CF9AE}" pid="16" name="MSIP_Label_129d12b7-1a6c-4a2a-bdcd-2c4f41019546_Name">
    <vt:lpwstr>CONFIDENTIAL</vt:lpwstr>
  </property>
  <property fmtid="{D5CDD505-2E9C-101B-9397-08002B2CF9AE}" pid="17" name="MSIP_Label_129d12b7-1a6c-4a2a-bdcd-2c4f41019546_SetDate">
    <vt:lpwstr>2026-06-30T15:41:42Z</vt:lpwstr>
  </property>
  <property fmtid="{D5CDD505-2E9C-101B-9397-08002B2CF9AE}" pid="18" name="TitusGUID">
    <vt:lpwstr>1e9ce151-ed55-4aa2-a1f1-4ee82bdce666</vt:lpwstr>
  </property>
  <property fmtid="{D5CDD505-2E9C-101B-9397-08002B2CF9AE}" pid="19" name="MSIP_Label_129d12b7-1a6c-4a2a-bdcd-2c4f41019546_SiteId">
    <vt:lpwstr>faa31b06-8ccc-48c9-867f-f7510dd11c02</vt:lpwstr>
  </property>
  <property fmtid="{D5CDD505-2E9C-101B-9397-08002B2CF9AE}" pid="20" name="MSIP_Label_129d12b7-1a6c-4a2a-bdcd-2c4f41019546_Enabled">
    <vt:lpwstr>True</vt:lpwstr>
  </property>
  <property fmtid="{D5CDD505-2E9C-101B-9397-08002B2CF9AE}" pid="21" name="TCSClassification">
    <vt:lpwstr>FOR OFFICIAL USE ONLY</vt:lpwstr>
  </property>
  <property fmtid="{D5CDD505-2E9C-101B-9397-08002B2CF9AE}" pid="22" name="_dlc_DocIdItemGuid">
    <vt:lpwstr>79ba609d-383d-4705-af67-ef724f387bd3</vt:lpwstr>
  </property>
  <property fmtid="{D5CDD505-2E9C-101B-9397-08002B2CF9AE}" pid="23" name="BusinessUnit">
    <vt:lpwstr>120;#Language Division|9d03c550-61a5-463a-85fe-6ed05e2d8eeb</vt:lpwstr>
  </property>
  <property fmtid="{D5CDD505-2E9C-101B-9397-08002B2CF9AE}" pid="24" name="RMClassification">
    <vt:lpwstr>116;#05 Reference Material|9ea5a724-be39-4cdd-b7fd-205cb2d62f2f</vt:lpwstr>
  </property>
  <property fmtid="{D5CDD505-2E9C-101B-9397-08002B2CF9AE}" pid="25" name="Languages">
    <vt:lpwstr>1;#English|950e6fa2-2df0-4983-a604-54e57c7a6d93</vt:lpwstr>
  </property>
  <property fmtid="{D5CDD505-2E9C-101B-9397-08002B2CF9AE}" pid="26" name="lcf76f155ced4ddcb4097134ff3c332f">
    <vt:lpwstr/>
  </property>
  <property fmtid="{D5CDD505-2E9C-101B-9397-08002B2CF9AE}" pid="27" name="Body1">
    <vt:lpwstr/>
  </property>
</Properties>
</file>