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8ABC" w14:textId="649FDE88" w:rsidR="008B2CC1" w:rsidRPr="008B2CC1" w:rsidRDefault="00BF5561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6428E118" wp14:editId="0F503FD2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4ECBE59" wp14:editId="1640ABF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4C069F5"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5947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30CD23DE" w14:textId="0B7985C9" w:rsidR="008B2CC1" w:rsidRPr="00A47928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A/68/</w:t>
      </w:r>
      <w:bookmarkStart w:id="0" w:name="Code"/>
      <w:r>
        <w:rPr>
          <w:rFonts w:ascii="Arial Black" w:hAnsi="Arial Black"/>
          <w:caps/>
          <w:sz w:val="15"/>
        </w:rPr>
        <w:t>3</w:t>
      </w:r>
      <w:r w:rsidR="008B6CBF" w:rsidRPr="00A47928">
        <w:rPr>
          <w:rFonts w:ascii="Arial Black" w:hAnsi="Arial Black"/>
          <w:caps/>
          <w:sz w:val="15"/>
        </w:rPr>
        <w:t xml:space="preserve"> </w:t>
      </w:r>
      <w:r w:rsidR="008B6CBF">
        <w:rPr>
          <w:rFonts w:ascii="Arial Black" w:hAnsi="Arial Black"/>
          <w:caps/>
          <w:sz w:val="15"/>
          <w:lang w:val="en-US"/>
        </w:rPr>
        <w:t>REV</w:t>
      </w:r>
      <w:r w:rsidR="0094308D" w:rsidRPr="00A47928">
        <w:rPr>
          <w:rFonts w:ascii="Arial Black" w:hAnsi="Arial Black"/>
          <w:caps/>
          <w:sz w:val="15"/>
        </w:rPr>
        <w:t>.</w:t>
      </w:r>
    </w:p>
    <w:bookmarkEnd w:id="0"/>
    <w:p w14:paraId="48E5BFC2" w14:textId="195766A3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0FA5396" w14:textId="44901C7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sz w:val="15"/>
        </w:rPr>
        <w:t>ДАТА: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F14D35" w:rsidRPr="00A47928">
        <w:rPr>
          <w:rFonts w:ascii="Arial Black" w:hAnsi="Arial Black"/>
          <w:caps/>
          <w:sz w:val="15"/>
        </w:rPr>
        <w:t>16</w:t>
      </w:r>
      <w:r>
        <w:rPr>
          <w:rFonts w:ascii="Arial Black" w:hAnsi="Arial Black"/>
          <w:caps/>
          <w:sz w:val="15"/>
        </w:rPr>
        <w:t xml:space="preserve"> </w:t>
      </w:r>
      <w:r w:rsidR="00F14D35">
        <w:rPr>
          <w:rFonts w:ascii="Arial Black" w:hAnsi="Arial Black"/>
          <w:caps/>
          <w:sz w:val="15"/>
        </w:rPr>
        <w:t>июн</w:t>
      </w:r>
      <w:r>
        <w:rPr>
          <w:rFonts w:ascii="Arial Black" w:hAnsi="Arial Black"/>
          <w:caps/>
          <w:sz w:val="15"/>
        </w:rPr>
        <w:t>я 2026 года</w:t>
      </w:r>
    </w:p>
    <w:bookmarkEnd w:id="2"/>
    <w:p w14:paraId="0E6580BB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Ассамблеи государств — членов ВОИС</w:t>
      </w:r>
    </w:p>
    <w:p w14:paraId="6708343D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восьмая серия заседаний</w:t>
      </w:r>
    </w:p>
    <w:p w14:paraId="40C8EBBD" w14:textId="77777777" w:rsidR="008B2CC1" w:rsidRPr="009F3BF9" w:rsidRDefault="005F10BC" w:rsidP="00CE65D4">
      <w:pPr>
        <w:spacing w:after="720"/>
      </w:pPr>
      <w:r>
        <w:rPr>
          <w:b/>
          <w:sz w:val="24"/>
        </w:rPr>
        <w:t>Женева, 7–15 июля 2026 года</w:t>
      </w:r>
    </w:p>
    <w:p w14:paraId="77089ADB" w14:textId="57309400" w:rsidR="008B2CC1" w:rsidRPr="009F3BF9" w:rsidRDefault="004315FD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ДОПУСК НАБЛЮДАТЕЛЕЙ</w:t>
      </w:r>
    </w:p>
    <w:p w14:paraId="2029C4AA" w14:textId="3A60C23A" w:rsidR="008B2CC1" w:rsidRPr="004D39C4" w:rsidRDefault="004315FD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2C41036C" w14:textId="4A2FE34C" w:rsidR="004315FD" w:rsidRPr="009366A1" w:rsidRDefault="004315FD" w:rsidP="004315FD">
      <w:pPr>
        <w:tabs>
          <w:tab w:val="left" w:pos="567"/>
        </w:tabs>
        <w:spacing w:after="24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Перечень наблюдателей, допущенных к участию в шестьдесят восьмой серии заседаний Ассамблей государств — 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 </w:t>
      </w:r>
      <w:hyperlink r:id="rId14" w:history="1">
        <w:r w:rsidRPr="00704B1F">
          <w:rPr>
            <w:rStyle w:val="Hyperlink"/>
          </w:rPr>
          <w:t>A/68/INF/1</w:t>
        </w:r>
      </w:hyperlink>
      <w:r>
        <w:t>.</w:t>
      </w:r>
    </w:p>
    <w:p w14:paraId="552D185B" w14:textId="77777777" w:rsidR="004315FD" w:rsidRPr="009366A1" w:rsidRDefault="004315FD" w:rsidP="004315FD">
      <w:pPr>
        <w:tabs>
          <w:tab w:val="left" w:pos="567"/>
        </w:tabs>
        <w:spacing w:after="240"/>
        <w:rPr>
          <w:szCs w:val="22"/>
        </w:rPr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Организация, допущенная к участию в заседаниях Ассамблей в качестве наблюдателя,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наблюдателя.</w:t>
      </w:r>
    </w:p>
    <w:p w14:paraId="3E0C37E5" w14:textId="01616604" w:rsidR="004315FD" w:rsidRDefault="004315FD" w:rsidP="004315FD">
      <w:pPr>
        <w:tabs>
          <w:tab w:val="left" w:pos="567"/>
        </w:tabs>
        <w:spacing w:after="240"/>
        <w:rPr>
          <w:szCs w:val="22"/>
        </w:rPr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В последний раз решения о допуске наблюдателей к участию в заседаниях Ассамблей принимались на шестьдесят шестой серии заседаний Ассамблей государств — членов ВОИС, проходившей 8–17 июля 2025 года (документ </w:t>
      </w:r>
      <w:hyperlink r:id="rId15" w:history="1">
        <w:r w:rsidRPr="00367E8D">
          <w:rPr>
            <w:rStyle w:val="Hyperlink"/>
          </w:rPr>
          <w:t>A/66/11</w:t>
        </w:r>
      </w:hyperlink>
      <w:r>
        <w:t>, пункт 39).</w:t>
      </w:r>
    </w:p>
    <w:p w14:paraId="7D6A6008" w14:textId="75C9280D" w:rsidR="002928D3" w:rsidRDefault="004315FD" w:rsidP="004315FD">
      <w:pPr>
        <w:spacing w:after="220"/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С тех пор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информация:</w:t>
      </w:r>
    </w:p>
    <w:p w14:paraId="6B2E4893" w14:textId="69A31D9F" w:rsidR="004315FD" w:rsidRDefault="004315FD">
      <w:r>
        <w:br w:type="page"/>
      </w:r>
    </w:p>
    <w:p w14:paraId="3AB1050A" w14:textId="77777777" w:rsidR="004315FD" w:rsidRDefault="004315FD" w:rsidP="004315FD">
      <w:pPr>
        <w:spacing w:after="240"/>
        <w:rPr>
          <w:szCs w:val="22"/>
        </w:rPr>
      </w:pPr>
      <w:r>
        <w:lastRenderedPageBreak/>
        <w:t>МЕЖПРАВИТЕЛЬСТВЕННАЯ ОРГАНИЗАЦИЯ (МПО)</w:t>
      </w:r>
    </w:p>
    <w:p w14:paraId="0FE8E4C3" w14:textId="7859F30C" w:rsidR="004315FD" w:rsidRDefault="004315FD" w:rsidP="00F65154">
      <w:pPr>
        <w:pStyle w:val="ListParagraph"/>
        <w:numPr>
          <w:ilvl w:val="0"/>
          <w:numId w:val="9"/>
        </w:numPr>
        <w:spacing w:before="240" w:after="240"/>
        <w:ind w:left="1620" w:hanging="630"/>
        <w:rPr>
          <w:szCs w:val="22"/>
        </w:rPr>
      </w:pPr>
      <w:r>
        <w:t>Организация цифрового сотрудничества (DCO).</w:t>
      </w:r>
    </w:p>
    <w:p w14:paraId="3FBDF03D" w14:textId="77777777" w:rsidR="004315FD" w:rsidRPr="00034C35" w:rsidRDefault="004315FD" w:rsidP="004315FD">
      <w:pPr>
        <w:pStyle w:val="Heading1"/>
        <w:spacing w:after="240"/>
        <w:rPr>
          <w:b w:val="0"/>
          <w:bCs w:val="0"/>
        </w:rPr>
      </w:pPr>
      <w:r>
        <w:rPr>
          <w:b w:val="0"/>
        </w:rPr>
        <w:t>МЕЖДУНАРОДНЫЕ НЕПРАВИТЕЛЬСТВЕННЫЕ ОРГАНИЗАЦИИ (НПО)</w:t>
      </w:r>
    </w:p>
    <w:p w14:paraId="74B63C62" w14:textId="20D8044A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Международная ассоциация этики и честности ИИ (AIEI);</w:t>
      </w:r>
    </w:p>
    <w:p w14:paraId="0E376ED8" w14:textId="1A2952AB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Европейский союз композиторов и авторов песен (ECSA);</w:t>
      </w:r>
    </w:p>
    <w:p w14:paraId="7FA41607" w14:textId="3E551E0C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Глобальный аудиовизуальный альянс (GAVA);</w:t>
      </w:r>
    </w:p>
    <w:p w14:paraId="54EE0846" w14:textId="626E877A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Международный альянс за права исполнителей музыкальных произведений (IMARA);</w:t>
      </w:r>
    </w:p>
    <w:p w14:paraId="4AC0377A" w14:textId="45503A59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«Мой гид по праву в области интеллектуальной собственности» (MIPLG);</w:t>
      </w:r>
    </w:p>
    <w:p w14:paraId="4B1D1930" w14:textId="31DB38CE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Фонд Wikimedia (WMF);</w:t>
      </w:r>
    </w:p>
    <w:p w14:paraId="365C266C" w14:textId="421F13D2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Альянс «Происхождение вина» (WOA);</w:t>
      </w:r>
    </w:p>
    <w:p w14:paraId="083ACADD" w14:textId="7808ECBB" w:rsidR="004315FD" w:rsidRDefault="004315FD" w:rsidP="004315FD">
      <w:pPr>
        <w:pStyle w:val="ListParagraph"/>
        <w:numPr>
          <w:ilvl w:val="0"/>
          <w:numId w:val="7"/>
        </w:numPr>
        <w:rPr>
          <w:szCs w:val="22"/>
        </w:rPr>
      </w:pPr>
      <w:r>
        <w:t>Всемирный совет игр коренных народов (WIG);</w:t>
      </w:r>
    </w:p>
    <w:p w14:paraId="52853AA7" w14:textId="096EBD1F" w:rsidR="004315FD" w:rsidRDefault="004315FD" w:rsidP="004315FD">
      <w:pPr>
        <w:pStyle w:val="ListParagraph"/>
        <w:numPr>
          <w:ilvl w:val="0"/>
          <w:numId w:val="7"/>
        </w:numPr>
        <w:spacing w:before="240" w:after="240"/>
        <w:ind w:left="1714"/>
        <w:rPr>
          <w:szCs w:val="22"/>
        </w:rPr>
      </w:pPr>
      <w:r>
        <w:t>Всемирный совет ремесел (WCC AISBL).</w:t>
      </w:r>
    </w:p>
    <w:p w14:paraId="066C35ED" w14:textId="77777777" w:rsidR="004315FD" w:rsidRPr="00034C35" w:rsidRDefault="004315FD" w:rsidP="004315FD">
      <w:pPr>
        <w:pStyle w:val="Heading1"/>
        <w:spacing w:after="240"/>
        <w:rPr>
          <w:b w:val="0"/>
          <w:bCs w:val="0"/>
        </w:rPr>
      </w:pPr>
      <w:r>
        <w:rPr>
          <w:b w:val="0"/>
        </w:rPr>
        <w:t>НАЦИОНАЛЬНЫЕ НЕПРАВИТЕЛЬСТВЕННЫЕ ОРГАНИЗАЦИИ</w:t>
      </w:r>
      <w:r w:rsidRPr="00034C35">
        <w:rPr>
          <w:rStyle w:val="FootnoteReference"/>
          <w:b w:val="0"/>
          <w:bCs w:val="0"/>
        </w:rPr>
        <w:footnoteReference w:id="2"/>
      </w:r>
      <w:r>
        <w:rPr>
          <w:b w:val="0"/>
        </w:rPr>
        <w:t xml:space="preserve"> (НПО)</w:t>
      </w:r>
    </w:p>
    <w:p w14:paraId="657C7B61" w14:textId="4FCA7972" w:rsidR="00B03FE4" w:rsidRPr="00B03FE4" w:rsidRDefault="00B03FE4" w:rsidP="00B03FE4">
      <w:pPr>
        <w:pStyle w:val="ListParagraph"/>
        <w:numPr>
          <w:ilvl w:val="0"/>
          <w:numId w:val="8"/>
        </w:numPr>
        <w:ind w:left="1710"/>
        <w:rPr>
          <w:szCs w:val="22"/>
        </w:rPr>
      </w:pPr>
      <w:bookmarkStart w:id="5" w:name="_Hlk169775998"/>
      <w:bookmarkStart w:id="6" w:name="_Hlk160528655"/>
      <w:r>
        <w:t>Секция права интеллектуальной собственности Американской ассоциации юристов;</w:t>
      </w:r>
    </w:p>
    <w:p w14:paraId="005D6911" w14:textId="5917148E" w:rsidR="004315FD" w:rsidRDefault="004315FD" w:rsidP="007645B9">
      <w:pPr>
        <w:pStyle w:val="ListParagraph"/>
        <w:numPr>
          <w:ilvl w:val="0"/>
          <w:numId w:val="8"/>
        </w:numPr>
        <w:ind w:left="1710"/>
        <w:rPr>
          <w:szCs w:val="22"/>
        </w:rPr>
      </w:pPr>
      <w:r>
        <w:t>Международная федерация обществ интеллектуальной собственности (FIPRO);</w:t>
      </w:r>
    </w:p>
    <w:p w14:paraId="1A946BD9" w14:textId="36025A75" w:rsidR="004315FD" w:rsidRPr="00AD1AF6" w:rsidRDefault="004315FD" w:rsidP="007645B9">
      <w:pPr>
        <w:pStyle w:val="ListParagraph"/>
        <w:numPr>
          <w:ilvl w:val="0"/>
          <w:numId w:val="8"/>
        </w:numPr>
        <w:spacing w:before="240" w:after="240"/>
        <w:ind w:left="1710"/>
        <w:rPr>
          <w:szCs w:val="22"/>
        </w:rPr>
      </w:pPr>
      <w:r>
        <w:t>Парагвайская ассоциация агентов по интеллектуальной собственности (APAPI);</w:t>
      </w:r>
    </w:p>
    <w:p w14:paraId="4F67CC61" w14:textId="31A70229" w:rsidR="00AD1AF6" w:rsidRPr="00AD1AF6" w:rsidRDefault="006D446F" w:rsidP="007645B9">
      <w:pPr>
        <w:pStyle w:val="ListParagraph"/>
        <w:numPr>
          <w:ilvl w:val="0"/>
          <w:numId w:val="8"/>
        </w:numPr>
        <w:spacing w:before="240" w:after="240"/>
        <w:ind w:left="1710"/>
        <w:rPr>
          <w:szCs w:val="22"/>
        </w:rPr>
      </w:pPr>
      <w:r>
        <w:t>Ассоциация интеллектуальной собственности</w:t>
      </w:r>
      <w:r w:rsidR="00A7765E">
        <w:t xml:space="preserve"> </w:t>
      </w:r>
      <w:r w:rsidR="00AA1C39" w:rsidRPr="00AA1C39">
        <w:t>«Татмир»</w:t>
      </w:r>
      <w:r w:rsidR="00AD1AF6">
        <w:t>;</w:t>
      </w:r>
    </w:p>
    <w:p w14:paraId="736446A5" w14:textId="4F2F3EB7" w:rsidR="00AD1AF6" w:rsidRDefault="00AD1AF6" w:rsidP="007645B9">
      <w:pPr>
        <w:pStyle w:val="ListParagraph"/>
        <w:numPr>
          <w:ilvl w:val="0"/>
          <w:numId w:val="8"/>
        </w:numPr>
        <w:spacing w:before="240" w:after="240"/>
        <w:ind w:left="1710"/>
        <w:rPr>
          <w:szCs w:val="22"/>
        </w:rPr>
      </w:pPr>
      <w:r>
        <w:t>Союз изобретате</w:t>
      </w:r>
      <w:r w:rsidR="006D446F">
        <w:t>лей</w:t>
      </w:r>
      <w:r>
        <w:rPr>
          <w:lang w:val="en-US"/>
        </w:rPr>
        <w:t>;</w:t>
      </w:r>
    </w:p>
    <w:p w14:paraId="1598FB89" w14:textId="3AD0ADAE" w:rsidR="00B03FE4" w:rsidRPr="00B03FE4" w:rsidRDefault="00B03FE4" w:rsidP="00B03FE4">
      <w:pPr>
        <w:pStyle w:val="ListParagraph"/>
        <w:numPr>
          <w:ilvl w:val="0"/>
          <w:numId w:val="8"/>
        </w:numPr>
        <w:ind w:left="1710"/>
        <w:rPr>
          <w:szCs w:val="22"/>
        </w:rPr>
      </w:pPr>
      <w:r>
        <w:t>НКО «Женская ИС сегодня».</w:t>
      </w:r>
    </w:p>
    <w:bookmarkEnd w:id="5"/>
    <w:bookmarkEnd w:id="6"/>
    <w:p w14:paraId="78A7A2DD" w14:textId="4CADFDD5" w:rsidR="004315FD" w:rsidRPr="009366A1" w:rsidRDefault="004315FD" w:rsidP="004315FD">
      <w:pPr>
        <w:keepNext/>
        <w:keepLines/>
        <w:spacing w:before="240" w:after="240"/>
        <w:rPr>
          <w:szCs w:val="22"/>
        </w:rPr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В приложениях к настоящему документу приводятся краткие сведения о каждой из перечисленных выше организаций, включая описание их целей, структуры и членского состава.</w:t>
      </w:r>
    </w:p>
    <w:p w14:paraId="7ACF32A0" w14:textId="7069F2CD" w:rsidR="004315FD" w:rsidRPr="00CD6979" w:rsidRDefault="004315FD" w:rsidP="004315FD">
      <w:pPr>
        <w:pStyle w:val="Endofdocument-Annex"/>
        <w:spacing w:before="240" w:after="840"/>
        <w:ind w:left="5533"/>
        <w:rPr>
          <w:i/>
        </w:rPr>
      </w:pPr>
      <w:r w:rsidRPr="00CD6979">
        <w:rPr>
          <w:i/>
        </w:rPr>
        <w:fldChar w:fldCharType="begin"/>
      </w:r>
      <w:r w:rsidRPr="00CD6979">
        <w:rPr>
          <w:i/>
        </w:rPr>
        <w:instrText xml:space="preserve"> AUTONUM  </w:instrText>
      </w:r>
      <w:r w:rsidRPr="00CD6979">
        <w:rPr>
          <w:i/>
        </w:rPr>
        <w:fldChar w:fldCharType="end"/>
      </w:r>
      <w:r w:rsidRPr="00CD6979">
        <w:rPr>
          <w:i/>
        </w:rPr>
        <w:tab/>
        <w:t>Ассамблеям ВОИС, каждой в той мере, в какой это ее касается, предлагается принять решение в отношении ходатайств организаций, перечисленных в пункте 4 документа A/68/3</w:t>
      </w:r>
      <w:r w:rsidR="00A47928" w:rsidRPr="00A47928">
        <w:rPr>
          <w:i/>
        </w:rPr>
        <w:t xml:space="preserve"> </w:t>
      </w:r>
      <w:r w:rsidR="00A47928">
        <w:rPr>
          <w:i/>
          <w:lang w:val="en-US"/>
        </w:rPr>
        <w:t>Rev</w:t>
      </w:r>
      <w:r w:rsidRPr="00CD6979">
        <w:rPr>
          <w:i/>
        </w:rPr>
        <w:t>.</w:t>
      </w:r>
    </w:p>
    <w:p w14:paraId="79D60EBF" w14:textId="77777777" w:rsidR="004315FD" w:rsidRDefault="004315FD" w:rsidP="004315FD">
      <w:pPr>
        <w:pStyle w:val="Endofdocument-Annex"/>
        <w:sectPr w:rsidR="004315FD" w:rsidSect="004315FD">
          <w:headerReference w:type="default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32719A3D" w14:textId="13E832B9" w:rsidR="00354B25" w:rsidRPr="00354B25" w:rsidRDefault="00354B25" w:rsidP="00354B25">
      <w:pPr>
        <w:ind w:left="8460"/>
      </w:pPr>
    </w:p>
    <w:p w14:paraId="4E7DF8DA" w14:textId="5F79BEE4" w:rsidR="00354B25" w:rsidRDefault="00354B25" w:rsidP="00354B25">
      <w:pPr>
        <w:pStyle w:val="Heading2"/>
      </w:pPr>
      <w:r>
        <w:t>СВЕДЕНИЯ О МЕЖПРАВИТЕЛЬСТВЕННОЙ ОРГАНИЗАЦИИ (МПО) (НА ОСНОВЕ ИНФОРМАЦИИ, ПОЛУЧЕННОЙ ОТ ОРГАНИЗАЦИ)</w:t>
      </w:r>
    </w:p>
    <w:p w14:paraId="51C0A7AC" w14:textId="77777777" w:rsidR="00354B25" w:rsidRPr="005A321B" w:rsidRDefault="00354B25" w:rsidP="00354B25">
      <w:pPr>
        <w:pStyle w:val="Heading2"/>
        <w:rPr>
          <w:caps w:val="0"/>
          <w:u w:val="single"/>
        </w:rPr>
      </w:pPr>
      <w:r>
        <w:rPr>
          <w:caps w:val="0"/>
          <w:u w:val="single"/>
        </w:rPr>
        <w:t>Организация цифрового сотрудничества (DCO)</w:t>
      </w:r>
    </w:p>
    <w:p w14:paraId="66ED6193" w14:textId="77777777" w:rsidR="00354B25" w:rsidRDefault="00354B25" w:rsidP="00354B25">
      <w:pPr>
        <w:spacing w:before="240"/>
      </w:pPr>
      <w:r>
        <w:t xml:space="preserve">Штаб-квартира.  Организация DCO была учреждена в 2020 году; ее штаб-квартира находится в Эр-Рияде, Саудовская Аравия. </w:t>
      </w:r>
    </w:p>
    <w:p w14:paraId="3BC53A6A" w14:textId="2047B6C5" w:rsidR="00354B25" w:rsidRDefault="00354B25" w:rsidP="00354B25">
      <w:pPr>
        <w:spacing w:before="240"/>
      </w:pPr>
      <w:r>
        <w:t xml:space="preserve">Цели. DCO стремится повысить уровень сотрудничества, взаимопонимания и координации позиций между членами, которые служат, среди прочего, научным, социальным и экономическим интересам на региональных и международных форумах таким образом, чтобы помочь предотвратить угрозы странам или риски для безопасности их граждан или жителей.  Цели DCO также включают координацию между членами по законодательству в отношении платформ, обеспечивающих цифровую трансформацию.  В этом контексте DCO стремится к развитию цифрового сотрудничества и достижению социального процветания и роста цифровой экономики путем объединения усилий по продвижению цифровой трансформации и продвижению общих интересов.  DCO стремится создать мир, в котором каждая страна, бизнес и человек имеют справедливые возможности для процветания в трансграничной и устойчивой цифровой экономике.  Ключевые инициативы DCO включают, в частности, программы, направленные на расширение трансграничных потоков данных, содействие расширению рынка для стартапов, расширение возможностей цифровых предпринимателей и содействие вовлечению в цифровые технологии женщин и молодежи.  Организация сотрудничает с правительствами, частным сектором, международными организациями, неправительственными организациями и гражданским обществом, чтобы обеспечить более инклюзивную цифровую трансформацию и рост цифровых отраслей. </w:t>
      </w:r>
    </w:p>
    <w:p w14:paraId="185ED192" w14:textId="128962E3" w:rsidR="00354B25" w:rsidRDefault="00354B25" w:rsidP="00617398">
      <w:pPr>
        <w:spacing w:before="240" w:after="240"/>
      </w:pPr>
      <w:r>
        <w:t xml:space="preserve">Структура.  DCO управляется Советом, который является высшим органом власти с ротацией председателей среди представителей государств-членов.  </w:t>
      </w:r>
      <w:r>
        <w:rPr>
          <w:shd w:val="clear" w:color="auto" w:fill="FFFFFF"/>
        </w:rPr>
        <w:t>Исполнительный комитет управляет процессом принятия решений, а Генеральный секретариат, возглавляемый</w:t>
      </w:r>
      <w:r>
        <w:t xml:space="preserve"> Генеральным секретарем, руководит деятельностью организации.</w:t>
      </w:r>
    </w:p>
    <w:p w14:paraId="2073650A" w14:textId="77777777" w:rsidR="003C266A" w:rsidRDefault="00354B25" w:rsidP="003C266A">
      <w:pPr>
        <w:spacing w:after="840"/>
        <w:rPr>
          <w:szCs w:val="22"/>
        </w:rPr>
      </w:pPr>
      <w:r>
        <w:t>Членский состав.  Членами DCO являются 16 стран.</w:t>
      </w:r>
    </w:p>
    <w:p w14:paraId="05F7E5EA" w14:textId="77777777" w:rsidR="003C266A" w:rsidRDefault="003C266A" w:rsidP="003C266A">
      <w:pPr>
        <w:pStyle w:val="Endofdocument-Annex"/>
        <w:ind w:left="5533"/>
        <w:sectPr w:rsidR="003C266A" w:rsidSect="003C266A">
          <w:headerReference w:type="default" r:id="rId20"/>
          <w:footerReference w:type="default" r:id="rId21"/>
          <w:headerReference w:type="first" r:id="rId22"/>
          <w:footerReference w:type="first" r:id="rId2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 II следует]</w:t>
      </w:r>
    </w:p>
    <w:p w14:paraId="6FDB86EB" w14:textId="77777777" w:rsidR="003C266A" w:rsidRDefault="003C266A" w:rsidP="003C266A">
      <w:pPr>
        <w:pStyle w:val="Heading2"/>
      </w:pPr>
      <w:r>
        <w:lastRenderedPageBreak/>
        <w:t>СВЕДЕНИЯ О МЕЖДУНАРОДНЫХ НЕПРАВИТЕЛЬСТВЕННЫХ ОРГАНИЗАЦИЯХ (НПО) (НА ОСНОВЕ ИНФОРМАЦИИ, ПОЛУЧЕННОЙ ОТ ОРГАНИЗАЦИЙ)</w:t>
      </w:r>
      <w:bookmarkStart w:id="7" w:name="_Hlk160528769"/>
    </w:p>
    <w:bookmarkEnd w:id="7"/>
    <w:p w14:paraId="53D3DA42" w14:textId="77777777" w:rsidR="003C266A" w:rsidRPr="005A321B" w:rsidRDefault="003C266A" w:rsidP="003C266A">
      <w:pPr>
        <w:pStyle w:val="Heading2"/>
        <w:rPr>
          <w:caps w:val="0"/>
          <w:u w:val="single"/>
        </w:rPr>
      </w:pPr>
      <w:r>
        <w:rPr>
          <w:caps w:val="0"/>
          <w:u w:val="single"/>
        </w:rPr>
        <w:t>Международная ассоциация этики и честности ИИ (AIEI)</w:t>
      </w:r>
    </w:p>
    <w:p w14:paraId="0168FD9B" w14:textId="77777777" w:rsidR="003C266A" w:rsidRPr="002572AC" w:rsidRDefault="003C266A" w:rsidP="003C266A"/>
    <w:p w14:paraId="33D5DECD" w14:textId="77777777" w:rsidR="003C266A" w:rsidRPr="00F90EDF" w:rsidRDefault="003C266A" w:rsidP="003C266A">
      <w:pPr>
        <w:spacing w:after="240"/>
        <w:rPr>
          <w:szCs w:val="22"/>
        </w:rPr>
      </w:pPr>
      <w:r>
        <w:t xml:space="preserve">Штаб-квартира.  AIEI была учреждена в 2024 году, ее штаб-квартира расположена в г. Лиссабон, Португалия. </w:t>
      </w:r>
    </w:p>
    <w:p w14:paraId="2ED140DB" w14:textId="77777777" w:rsidR="003C266A" w:rsidRPr="00F90EDF" w:rsidRDefault="003C266A" w:rsidP="003C266A">
      <w:pPr>
        <w:spacing w:after="240"/>
        <w:rPr>
          <w:szCs w:val="22"/>
        </w:rPr>
      </w:pPr>
      <w:r>
        <w:t xml:space="preserve">Цели.  AIEI занимается продвижением этичной, ответственной, справедливой и безопасной разработки, внедрения и использования систем искусственного интеллекта (ИИ) в глобальном масштабе.  Ассоциация оказывает содействие и поддержку разработке комплексных стандартов, принципов и лучших практик этичного ИИ, уделяя особое внимание прозрачности, подотчетности и минимизации рисков.  Для достижения этих целей AIEI способствует формированию активного глобального сообщества, которое содействует обмену знаниями и сотрудничеству в области этики и управления ИИ, а также активно поддерживает разработку ответственной политики и нормативных подходов в области ИИ на национальном, региональном и международном уровнях.  AIEI укрепляет профессиональный и институциональный потенциал с помощью тщательно разработанных программ обучения, сертификации, тренингов и повышения осведомленности, которые вооружают заинтересованные стороны инструментами и знаниями, необходимыми для того, чтобы ориентироваться в сложном этическом ландшафте искусственного интеллекта. </w:t>
      </w:r>
    </w:p>
    <w:p w14:paraId="2CB1E37F" w14:textId="2FD814BE" w:rsidR="003C266A" w:rsidRPr="00F90EDF" w:rsidRDefault="003C266A" w:rsidP="003C266A">
      <w:pPr>
        <w:spacing w:after="240"/>
        <w:rPr>
          <w:szCs w:val="22"/>
        </w:rPr>
      </w:pPr>
      <w:r>
        <w:t xml:space="preserve">Структура.  AIEI управляется Генеральной Ассамблеей, в которую входят все члены с правом голоса и которая является высшим органом, принимающим решения.  Исполнительный комитет AIEI состоит из председателя, вице-президента, секретаря, казначея и еще трех членов.  Независимый надзор за деятельностью AIEI осуществляет Наблюдательная комиссия, создаваемая Генеральной Ассамблеей. </w:t>
      </w:r>
    </w:p>
    <w:p w14:paraId="3F71375F" w14:textId="77777777" w:rsidR="003C266A" w:rsidRDefault="003C266A" w:rsidP="00617398">
      <w:pPr>
        <w:spacing w:after="480"/>
        <w:rPr>
          <w:szCs w:val="22"/>
        </w:rPr>
      </w:pPr>
      <w:r>
        <w:t>Членский состав.  Участниками AIEI являются 17 физических и юридических лиц.</w:t>
      </w:r>
    </w:p>
    <w:p w14:paraId="75660A7E" w14:textId="4CB791FB" w:rsidR="003C266A" w:rsidRPr="0037139F" w:rsidRDefault="003C266A" w:rsidP="00617398">
      <w:pPr>
        <w:pStyle w:val="Heading2"/>
        <w:spacing w:after="240"/>
        <w:rPr>
          <w:u w:val="single"/>
        </w:rPr>
      </w:pPr>
      <w:r>
        <w:rPr>
          <w:u w:val="single"/>
        </w:rPr>
        <w:t>Европейский союз композиторов и авторов песен (ECSA)</w:t>
      </w:r>
    </w:p>
    <w:p w14:paraId="27C1559C" w14:textId="39683568" w:rsidR="003C266A" w:rsidRDefault="003C266A" w:rsidP="003C266A">
      <w:pPr>
        <w:spacing w:after="240"/>
        <w:rPr>
          <w:szCs w:val="22"/>
        </w:rPr>
      </w:pPr>
      <w:r>
        <w:t>Штаб-квартира.  ECSA был основан в 2009 году и имеет свою штаб-квартиру в г. Брюссель, Бельгия.</w:t>
      </w:r>
    </w:p>
    <w:p w14:paraId="3EFE02DC" w14:textId="57DD04D4" w:rsidR="003C266A" w:rsidRDefault="003C266A" w:rsidP="003C266A">
      <w:pPr>
        <w:spacing w:after="240"/>
        <w:rPr>
          <w:szCs w:val="22"/>
        </w:rPr>
      </w:pPr>
      <w:r>
        <w:t>Цели.  Основная цель ECSA — защита и продвижение прав и интересов композиторов и авторов песен на национальном, европейском и международном уровне.  Союз выступает за справедливые коммерческие условия для композиторов и авторов песен и стремится улучшить социальное и экономическое развитие музыкального творчества в Европе.  В этом контексте ECSA стремится укрепить представление о культурной и экономической ценности музыки в Европе и мире.</w:t>
      </w:r>
    </w:p>
    <w:p w14:paraId="31C08CD0" w14:textId="0FA0773F" w:rsidR="003C266A" w:rsidRDefault="003C266A" w:rsidP="003C266A">
      <w:pPr>
        <w:spacing w:after="240"/>
        <w:rPr>
          <w:szCs w:val="22"/>
        </w:rPr>
      </w:pPr>
      <w:r>
        <w:t xml:space="preserve">Структура.  Структура управления ECSA разработана таким образом, чтобы представлять различные музыкальные сектора.  В его основе лежат три специализированных комитета:  APCOE (популярная музыка), FFACE (кино- и аудиовизуальная музыка) и ECF (современная и художественная музыка), состоящие из делегатов, назначенных действительными членами ECSA.  Каждый комитет избирает председателя и двух заместителей председателя, которые входят в состав Правления Союза, состоящего из девяти членов.  Затем члены правления избирают из своего состава председателя и казначея, которые возглавляют ECSA.  Генеральная ассамблея, состоящая из всех действительных членов, представленных через назначенных ими делегатов от трех комитетов, является высшим органом, принимающим решения. </w:t>
      </w:r>
    </w:p>
    <w:p w14:paraId="707038C0" w14:textId="1B76DE73" w:rsidR="00617398" w:rsidRDefault="003C266A" w:rsidP="00A47DD0">
      <w:pPr>
        <w:spacing w:after="480"/>
        <w:rPr>
          <w:szCs w:val="22"/>
        </w:rPr>
      </w:pPr>
      <w:r>
        <w:t>Членский состав.  Членами ECSA являются 57 юридических лиц.</w:t>
      </w:r>
      <w:r w:rsidR="00617398">
        <w:br w:type="page"/>
      </w:r>
    </w:p>
    <w:p w14:paraId="356DA510" w14:textId="77777777" w:rsidR="003C266A" w:rsidRPr="0037139F" w:rsidRDefault="003C266A" w:rsidP="00DC6F7F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lastRenderedPageBreak/>
        <w:t>Глобальный аудиовизуальный альянс (GAVA)</w:t>
      </w:r>
    </w:p>
    <w:p w14:paraId="34A0A074" w14:textId="26829861" w:rsidR="003C266A" w:rsidRDefault="003C266A" w:rsidP="003C266A">
      <w:pPr>
        <w:spacing w:after="240" w:line="276" w:lineRule="auto"/>
        <w:rPr>
          <w:szCs w:val="22"/>
        </w:rPr>
      </w:pPr>
      <w:r>
        <w:t>Штаб-квартира.  GAVA был учрежден в 2024 году, его штаб-квартира расположена в г. Женева, Швейцария.</w:t>
      </w:r>
    </w:p>
    <w:p w14:paraId="11384654" w14:textId="77777777" w:rsidR="003C266A" w:rsidRDefault="003C266A" w:rsidP="003C266A">
      <w:pPr>
        <w:spacing w:after="240"/>
        <w:rPr>
          <w:szCs w:val="22"/>
        </w:rPr>
      </w:pPr>
      <w:r>
        <w:t>Цели.  GAVA занимается популяризацией, защитой и продвижением прав аудиовизуальных исполнителей во всем мире.  Миссия GAVA заключается в создании среды, в которой авторы аудиовизуальных произведений могут процветать благодаря надежной защите интеллектуальной собственности, справедливому вознаграждению и глобальной пропаганде.  Деятельность Альянса включает политические исследования, представительство исполнителей, программы по наращиванию потенциала и сотрудничество с правительствами, международными организациями и заинтересованными сторонами отрасли.</w:t>
      </w:r>
    </w:p>
    <w:p w14:paraId="36EEC33B" w14:textId="1A0B6489" w:rsidR="003C266A" w:rsidRDefault="003C266A" w:rsidP="003C266A">
      <w:pPr>
        <w:spacing w:after="240"/>
        <w:rPr>
          <w:szCs w:val="22"/>
        </w:rPr>
      </w:pPr>
      <w:r>
        <w:t>Структура.  В состав руководящих органов GAVA входят Генеральная ассамблея, Исполнительный комитет и ревизионный орган.  Генеральная ассамблея является высшим органом Альянса, в состав которого входят все его члены.  Исполнительный комитет, состоящий из девяти членов, срок полномочий которых составляет два годи и может быть продлен, управляет делами GAVA и представляет ее на внешнем уровне.</w:t>
      </w:r>
    </w:p>
    <w:p w14:paraId="00C4898D" w14:textId="7B1C97C7" w:rsidR="003C266A" w:rsidRDefault="003C266A" w:rsidP="00DC6F7F">
      <w:pPr>
        <w:spacing w:after="480"/>
        <w:rPr>
          <w:szCs w:val="22"/>
        </w:rPr>
      </w:pPr>
      <w:r>
        <w:t>Членский состав.  Членами GAVA являются более 30 юридических лиц.</w:t>
      </w:r>
    </w:p>
    <w:p w14:paraId="65A641FA" w14:textId="77777777" w:rsidR="003C266A" w:rsidRPr="0037139F" w:rsidRDefault="003C266A" w:rsidP="005B7AE6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t>Международный альянс за права исполнителей музыкальных произведений (IMARA)</w:t>
      </w:r>
    </w:p>
    <w:p w14:paraId="01C3434F" w14:textId="77777777" w:rsidR="003C266A" w:rsidRDefault="003C266A" w:rsidP="003C266A">
      <w:pPr>
        <w:spacing w:after="240"/>
        <w:rPr>
          <w:szCs w:val="22"/>
        </w:rPr>
      </w:pPr>
      <w:r>
        <w:t xml:space="preserve">Штаб-квартира.  Организация IMARA была учреждена в 2025 году; ее штаб-квартира находится в г. Хитчин, Соединенное Королевство. </w:t>
      </w:r>
    </w:p>
    <w:p w14:paraId="3AF9E55F" w14:textId="77777777" w:rsidR="003C266A" w:rsidRDefault="003C266A" w:rsidP="003C266A">
      <w:pPr>
        <w:spacing w:after="240"/>
        <w:rPr>
          <w:szCs w:val="22"/>
        </w:rPr>
      </w:pPr>
      <w:r>
        <w:t xml:space="preserve">Цели.  Цель IMARA — защита и продвижение экономических и моральных прав исполнителей в цифровую эпоху.  В этой связи IMARA, представляющая интересы музыкальных артистов и исполнителей из многих регионов мира, ведет активную работу по таким вопросам, как справедливое вознаграждение на рынках потокового вещания, справедливое, ответственное и прозрачное внедрение технологий искусственного интеллекта и продвижение Пекинского договора по аудиовизуальным исполнениям.    </w:t>
      </w:r>
    </w:p>
    <w:p w14:paraId="1FE145C8" w14:textId="421C9B89" w:rsidR="003C266A" w:rsidRDefault="003C266A" w:rsidP="003C266A">
      <w:pPr>
        <w:spacing w:after="240"/>
        <w:rPr>
          <w:szCs w:val="22"/>
        </w:rPr>
      </w:pPr>
      <w:r>
        <w:t>Структура.  IMARA действует как международный координационный орган по правам исполнителей с контролируемой членами структурой управления, где высшая власть принадлежит общему собранию членов организаций коллективного управления.  Оперативное управление передано Совету директоров, состоящему из девяти человек.</w:t>
      </w:r>
    </w:p>
    <w:p w14:paraId="203ED317" w14:textId="2A7BC593" w:rsidR="003C266A" w:rsidRDefault="003C266A" w:rsidP="005B7AE6">
      <w:pPr>
        <w:spacing w:after="480"/>
        <w:rPr>
          <w:szCs w:val="22"/>
        </w:rPr>
      </w:pPr>
      <w:r>
        <w:t>Членский состав.  Членами IMARA являются 22 юридических лица.</w:t>
      </w:r>
    </w:p>
    <w:p w14:paraId="75AE5888" w14:textId="77777777" w:rsidR="003C266A" w:rsidRPr="0037139F" w:rsidRDefault="003C266A" w:rsidP="003C266A">
      <w:pPr>
        <w:pStyle w:val="Heading2"/>
        <w:rPr>
          <w:caps w:val="0"/>
          <w:u w:val="single"/>
        </w:rPr>
      </w:pPr>
      <w:r>
        <w:rPr>
          <w:caps w:val="0"/>
          <w:u w:val="single"/>
        </w:rPr>
        <w:t>«Мой гид по праву в области интеллектуальной собственности» (MIPLG)</w:t>
      </w:r>
    </w:p>
    <w:p w14:paraId="3C8748AD" w14:textId="77777777" w:rsidR="003C266A" w:rsidRPr="00FE7314" w:rsidRDefault="003C266A" w:rsidP="003C266A"/>
    <w:p w14:paraId="2CFBE4A6" w14:textId="77777777" w:rsidR="003C266A" w:rsidRDefault="003C266A" w:rsidP="003C266A">
      <w:pPr>
        <w:spacing w:after="240"/>
        <w:rPr>
          <w:szCs w:val="22"/>
        </w:rPr>
      </w:pPr>
      <w:r>
        <w:t xml:space="preserve">Штаб-квартира.  Компания MIPLG была основана в 2019 году и имеет свою штаб-квартиру в г. Абуджа, Нигерия. </w:t>
      </w:r>
    </w:p>
    <w:p w14:paraId="567F78F0" w14:textId="5E87A059" w:rsidR="003C266A" w:rsidRDefault="003C266A" w:rsidP="003C266A">
      <w:pPr>
        <w:spacing w:after="240"/>
        <w:rPr>
          <w:szCs w:val="22"/>
        </w:rPr>
      </w:pPr>
      <w:r>
        <w:t xml:space="preserve">Цели.  Основная цель MIPLG — повышение осведомленности и наращивание потенциала в области интеллектуальной собственности (ИС) и конкурентного права в Африке с упором на расширение возможностей развивающихся стран.  MIPLG стремится восполнить пробел в знаниях, разрабатывая и реализуя преобразующие инициативы, которые охватывают самых разных людей, включая молодежь, ученых, государственных служащих, профессионалов частного сектора и предпринимателей.  С помощью целевых программ, таких как конкурсы дебатов, программы наставничества, серии курсов повышения квалификации и низовые кампании, MIPLG стремится демократизировать </w:t>
      </w:r>
      <w:r>
        <w:lastRenderedPageBreak/>
        <w:t>образование в области ИС и сделать ресурсы доступными на многих африканских языках.  MIPLG стремится укрепить уважение к творчеству и инновациям, обеспечивая при этом эффективное функционирование систем ИС и конкурентного права для удовлетворения уникальных потребностей и развития Африки.</w:t>
      </w:r>
    </w:p>
    <w:p w14:paraId="734F77B6" w14:textId="7E607660" w:rsidR="003C266A" w:rsidRDefault="003C266A" w:rsidP="003C266A">
      <w:pPr>
        <w:spacing w:after="240"/>
        <w:rPr>
          <w:szCs w:val="22"/>
        </w:rPr>
      </w:pPr>
      <w:r>
        <w:t>Структура.  MIPLG управляется Советом директоров, состоящим из четырех человек, включая исполнительного директора, генерального секретаря и национальных координаторов по странам.</w:t>
      </w:r>
    </w:p>
    <w:p w14:paraId="4AB069DE" w14:textId="77777777" w:rsidR="003C266A" w:rsidRDefault="003C266A" w:rsidP="005B7AE6">
      <w:pPr>
        <w:spacing w:after="480"/>
        <w:rPr>
          <w:szCs w:val="22"/>
        </w:rPr>
      </w:pPr>
      <w:r>
        <w:t>Членский состав.  Членами MIPLG являются более 150 физических лиц.</w:t>
      </w:r>
    </w:p>
    <w:p w14:paraId="0BFFE839" w14:textId="3F084515" w:rsidR="003C266A" w:rsidRPr="0037139F" w:rsidRDefault="003C266A" w:rsidP="00617398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t>Фонд Wikimedia (WMF)</w:t>
      </w:r>
    </w:p>
    <w:p w14:paraId="0DACEE4C" w14:textId="641A0483" w:rsidR="003C266A" w:rsidRDefault="003C266A" w:rsidP="003C266A">
      <w:pPr>
        <w:spacing w:after="240"/>
        <w:rPr>
          <w:szCs w:val="22"/>
        </w:rPr>
      </w:pPr>
      <w:r>
        <w:t>Штаб-квартира. Фонд WMF был учрежден в 2003 году, его штаб-квартира находится в Сан-Франциско, штат Калифорния, Соединенные Штаты Америки.</w:t>
      </w:r>
    </w:p>
    <w:p w14:paraId="3E3E9ADF" w14:textId="552BEF94" w:rsidR="003C266A" w:rsidRDefault="003C266A" w:rsidP="003C266A">
      <w:pPr>
        <w:spacing w:after="240"/>
        <w:rPr>
          <w:szCs w:val="22"/>
        </w:rPr>
      </w:pPr>
      <w:r>
        <w:t>Цели.  WMF способствует вовлечению людей во всем мире в процесс генерирования образовательного контента в соответствии с бесплатными лицензиями и эффективного распространения этого контента в глобальном масштабе.  WMF обеспечивает инфраструктуру и организационную основу в поддержку разработки многоязычных веб-сайтов («проектов»), на которых публикуются генерируемые пользователями знания, и эта деятельность координируется с сетью волонтеров и независимых организаций.  WMF постоянно публикует информацию, генерируемую в рамках проектов, на своем веб-сайте, предоставляя бесплатный и непрерывный доступ к этой информации.</w:t>
      </w:r>
    </w:p>
    <w:p w14:paraId="02C83EDF" w14:textId="141F5E69" w:rsidR="003C266A" w:rsidRDefault="003C266A" w:rsidP="003C266A">
      <w:pPr>
        <w:spacing w:after="240"/>
        <w:rPr>
          <w:szCs w:val="22"/>
        </w:rPr>
      </w:pPr>
      <w:r>
        <w:t>Структура.  Руководящим органом WMF является Попечительский совет из 10 человек. Попечительский совет избирает из своего состава следующих должностных лиц:  председателя, вице-председателя и председателей различных комитетов Правления.  Попечительский совет также назначает следующих должностных лиц, не являющихся попечителями: исполнительного директора, секретаря, казначея и других должностных лиц, которые могут назначаться Правлением.</w:t>
      </w:r>
    </w:p>
    <w:p w14:paraId="5720AD07" w14:textId="77777777" w:rsidR="003C266A" w:rsidRDefault="003C266A" w:rsidP="005B7AE6">
      <w:pPr>
        <w:spacing w:after="480"/>
        <w:rPr>
          <w:szCs w:val="22"/>
        </w:rPr>
      </w:pPr>
      <w:r>
        <w:t>Членский состав.  У WMF нет организаций-членов; членами являются 144 групп пользователей, 40 региональных организаций и две связанные с ней тематические организации. Региональные организации являются независимыми некоммерческими организациями, основанными членами Wikimedia для поддержки и популяризации проектов Wikimedia в определенном регионе, тогда как тематические организации занимаются определенной тематикой.  Группы пользователей – это группы с открытым членством с менее формальными требованиями к формированию, которые могут быть географическими или предметными.  Все аффилированные лица имеют право получать гранты от WMF, подавать заявки на использование принадлежащих WMF товарных знаков, а также принимать участие в конференциях, обсуждениях стратегии и мероприятиях по взаимодействию с общественностью.  Однако эти аффилированные лица работают полностью независимо от WMF, и каждая группа может выбрать свое собственное название.</w:t>
      </w:r>
    </w:p>
    <w:p w14:paraId="1D843A8F" w14:textId="77777777" w:rsidR="003C266A" w:rsidRPr="0037139F" w:rsidRDefault="003C266A" w:rsidP="005B7AE6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t>Альянс «Происхождение вина» (WOA)</w:t>
      </w:r>
    </w:p>
    <w:p w14:paraId="1C59C840" w14:textId="77777777" w:rsidR="003C266A" w:rsidRDefault="003C266A" w:rsidP="003C266A">
      <w:pPr>
        <w:spacing w:after="240"/>
        <w:rPr>
          <w:szCs w:val="22"/>
        </w:rPr>
      </w:pPr>
      <w:r>
        <w:t xml:space="preserve">Штаб-квартира.  WOA был учрежден в 2005 году, его штаб-квартира находится в городе Вашингтон, округ Колумбия, Соединенные Штаты Америки. </w:t>
      </w:r>
    </w:p>
    <w:p w14:paraId="3B640250" w14:textId="77777777" w:rsidR="003C266A" w:rsidRDefault="003C266A" w:rsidP="003C266A">
      <w:pPr>
        <w:spacing w:after="240"/>
        <w:rPr>
          <w:szCs w:val="22"/>
        </w:rPr>
      </w:pPr>
      <w:r>
        <w:t xml:space="preserve">Цели.  Миссия WOA заключается в том, чтобы обеспечить защиту и уважение названий винодельческих регионов во всем мире и устранить барьеры в торговле вином, чтобы обеспечить наилучшую ценность для потребителей во всем мире.  В этом контексте WOA </w:t>
      </w:r>
      <w:r>
        <w:lastRenderedPageBreak/>
        <w:t xml:space="preserve">стремится просвещать политиков, специалистов в области торговли и потребителей о критической важности защиты географических названий вин, а также пропагандирует прозрачную практику маркировки, которая четко определяет подлинное происхождение вина, позволяя потребителям принимать взвешенные решения о покупке.  </w:t>
      </w:r>
    </w:p>
    <w:p w14:paraId="06B98059" w14:textId="77777777" w:rsidR="003C266A" w:rsidRDefault="003C266A" w:rsidP="003C266A">
      <w:pPr>
        <w:spacing w:after="240"/>
        <w:rPr>
          <w:szCs w:val="22"/>
        </w:rPr>
      </w:pPr>
      <w:r>
        <w:t>Структура.  WOA управляется Советом директоров, работой которого руководят сопредседатели, и Руководящим комитетом, члены которого назначаются Советом директоров.  Директор WOA назначается Руководящим комитетом и отвечает за повседневное управление Альянсом и его деятельностью.</w:t>
      </w:r>
    </w:p>
    <w:p w14:paraId="157D7C2C" w14:textId="77777777" w:rsidR="003C266A" w:rsidRDefault="003C266A" w:rsidP="003C266A">
      <w:pPr>
        <w:spacing w:after="240"/>
        <w:rPr>
          <w:szCs w:val="22"/>
        </w:rPr>
      </w:pPr>
      <w:r>
        <w:t>Членский состав.  Членами WOA являются 34 юридических лица.</w:t>
      </w:r>
    </w:p>
    <w:p w14:paraId="5A854B4D" w14:textId="77777777" w:rsidR="003C266A" w:rsidRPr="0037139F" w:rsidRDefault="003C266A" w:rsidP="005B7AE6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t>Всемирный совет игр коренных народов (WIG)</w:t>
      </w:r>
    </w:p>
    <w:p w14:paraId="014AFC8A" w14:textId="77777777" w:rsidR="003C266A" w:rsidRDefault="003C266A" w:rsidP="005B7AE6">
      <w:pPr>
        <w:spacing w:after="240"/>
      </w:pPr>
      <w:r>
        <w:t xml:space="preserve">Штаб-квартира.  WIG был основан в 1975 году и имеет свою штаб-квартиру в Тамилнаде, Индия. </w:t>
      </w:r>
    </w:p>
    <w:p w14:paraId="50D8115A" w14:textId="6D9E5AB5" w:rsidR="003C266A" w:rsidRDefault="003C266A" w:rsidP="005B7AE6">
      <w:pPr>
        <w:spacing w:after="240"/>
      </w:pPr>
      <w:r>
        <w:t>Цели.  Миссия WIG заключается в популяризации и развитии игр коренных народов и олимпийских ценностей в обществе с акцентом на молодежь.  WIG занимается сохранением, защитой и продвижением игр коренных народов, традиционных видов спорта и связанных с ними традиционных знаний коренных народов.  С этой целью WIG тесно сотрудничает с общинами коренных народов, учреждениями, исследователями и специалистами в области культуры в более чем 100 странах, уделяя особое внимание охране наследия коренных народов с помощью этических, правозащитных и общинных подходов.  Одна из ключевых областей работы WIG напрямую связана с интеллектуальной собственностью, в частности с защитой традиционных знаний, традиционных выражений культуры, символов, названий и спортивных практик, основанных на наследии коренных народов.</w:t>
      </w:r>
    </w:p>
    <w:p w14:paraId="07E9F485" w14:textId="259B1757" w:rsidR="003C266A" w:rsidRDefault="003C266A" w:rsidP="005B7AE6">
      <w:pPr>
        <w:spacing w:after="240"/>
      </w:pPr>
      <w:r>
        <w:t>Структура.  Организацией управляет Генеральная ассамблея всех членов и Совет директоров, состоящий из председателя, двух заместителей председателя, генерального секретаря, объединенного секретаря, финансового менеджера, пяти региональных президентов, а также активных и организационных членов.</w:t>
      </w:r>
    </w:p>
    <w:p w14:paraId="4775E8CD" w14:textId="77777777" w:rsidR="003C266A" w:rsidRDefault="003C266A" w:rsidP="005B7AE6">
      <w:pPr>
        <w:spacing w:after="480"/>
      </w:pPr>
      <w:r>
        <w:t>Членский состав.  Участниками WIG являются приблизительно 33 физических и юридических лица.</w:t>
      </w:r>
    </w:p>
    <w:p w14:paraId="62F85506" w14:textId="77777777" w:rsidR="003C266A" w:rsidRPr="0037139F" w:rsidRDefault="003C266A" w:rsidP="00EA5837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t>Всемирный совет ремесел (WCC AISBL)</w:t>
      </w:r>
    </w:p>
    <w:p w14:paraId="718FBFBE" w14:textId="447D076D" w:rsidR="003C266A" w:rsidRDefault="003C266A" w:rsidP="003C266A">
      <w:pPr>
        <w:spacing w:after="240"/>
        <w:rPr>
          <w:szCs w:val="22"/>
        </w:rPr>
      </w:pPr>
      <w:r>
        <w:t>Штаб-квартира.  WCC AISBL был учрежден в 1964 году; его штаб-квартира находится в г. Сафат, Кувейт.</w:t>
      </w:r>
    </w:p>
    <w:p w14:paraId="32BBD256" w14:textId="77777777" w:rsidR="003C266A" w:rsidRDefault="003C266A" w:rsidP="003C266A">
      <w:pPr>
        <w:spacing w:after="240"/>
        <w:rPr>
          <w:szCs w:val="22"/>
        </w:rPr>
      </w:pPr>
      <w:r>
        <w:t>Цели.  Деятельность WCC AISBL направлена на содействие устойчивому развитию, культурному разнообразию, экономическому участию и международному сотрудничеству между ремесленниками во всем мире. WCC AISBL оказывает содействие, поддержку и помощь ремесленникам во всем мире и укрепляет нормативно-правовую базу, защищающую ремесленников с помощью программ подтверждения подлинности, программ признания ремесленных городов и политического взаимодействия с национальными правительствами, защищая их от незаконного присвоения, подделки и утраты культурного наследия.</w:t>
      </w:r>
    </w:p>
    <w:p w14:paraId="6A80FFE3" w14:textId="77777777" w:rsidR="003C266A" w:rsidRDefault="003C266A" w:rsidP="003C266A">
      <w:pPr>
        <w:spacing w:after="240"/>
        <w:rPr>
          <w:szCs w:val="22"/>
        </w:rPr>
      </w:pPr>
      <w:r>
        <w:t xml:space="preserve">Структура.  WCC AISBL управляется Генеральной ассамблеей, которая является высшим руководящим органом организации, и Советом директоров (Совет управляющих), состоящим из международного председателя, заместителя председателя, региональных </w:t>
      </w:r>
      <w:r>
        <w:lastRenderedPageBreak/>
        <w:t xml:space="preserve">директоров, генерального директора, генерального секретаря, казначея и стратегического советника. </w:t>
      </w:r>
    </w:p>
    <w:p w14:paraId="71E58EB7" w14:textId="77777777" w:rsidR="003C266A" w:rsidRDefault="003C266A" w:rsidP="003C266A">
      <w:pPr>
        <w:spacing w:after="840"/>
        <w:rPr>
          <w:szCs w:val="22"/>
        </w:rPr>
      </w:pPr>
      <w:r>
        <w:t>Членский состав.  Участниками WCC AISBL являются приблизительно 250 физических и юридических лиц.</w:t>
      </w:r>
    </w:p>
    <w:p w14:paraId="4336B514" w14:textId="1C8A8AD9" w:rsidR="003C266A" w:rsidRDefault="003C266A" w:rsidP="003C266A">
      <w:pPr>
        <w:pStyle w:val="Endofdocument-Annex"/>
        <w:ind w:left="5533"/>
        <w:sectPr w:rsidR="003C266A" w:rsidSect="003C266A">
          <w:headerReference w:type="default" r:id="rId24"/>
          <w:footerReference w:type="default" r:id="rId25"/>
          <w:headerReference w:type="first" r:id="rId26"/>
          <w:footerReference w:type="first" r:id="rId2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III следует]</w:t>
      </w:r>
    </w:p>
    <w:p w14:paraId="706D4FE3" w14:textId="12D3C56D" w:rsidR="005B7AE6" w:rsidRDefault="005B7AE6" w:rsidP="005B7AE6">
      <w:pPr>
        <w:pStyle w:val="Heading2"/>
        <w:spacing w:after="480"/>
      </w:pPr>
      <w:r>
        <w:lastRenderedPageBreak/>
        <w:t>СВЕДЕНИЯ О НАЦИОНАЛЬНЫХ НЕПРАВИТЕЛЬСТВЕННЫХ ОРГАНИЗАЦИЯХ (НПО) (НА ОСНОВЕ ИНФОРМАЦИИ, ПОЛУЧЕННОЙ ОТ ОРГАНИЗАЦИЙ)</w:t>
      </w:r>
    </w:p>
    <w:p w14:paraId="7BC6DE33" w14:textId="77777777" w:rsidR="00B03FE4" w:rsidRPr="0037139F" w:rsidRDefault="00B03FE4" w:rsidP="0094384E">
      <w:pPr>
        <w:pStyle w:val="Heading2"/>
        <w:spacing w:after="240"/>
        <w:rPr>
          <w:caps w:val="0"/>
          <w:u w:val="single"/>
        </w:rPr>
      </w:pPr>
      <w:r>
        <w:rPr>
          <w:caps w:val="0"/>
          <w:u w:val="single"/>
        </w:rPr>
        <w:t>Секция права интеллектуальной собственности Американской ассоциации юристов</w:t>
      </w:r>
    </w:p>
    <w:p w14:paraId="244462AE" w14:textId="6690DD5E" w:rsidR="00B03FE4" w:rsidRDefault="00B03FE4" w:rsidP="0094384E">
      <w:pPr>
        <w:spacing w:before="240" w:after="240"/>
      </w:pPr>
      <w:r>
        <w:t>Штаб-квартира.  Секция права ИС Американской ассоциации юристов была учреждена в 1894 году, ее штаб-квартира находится в Чикаго, штат Иллинойс, Соединенные Штаты Америки.</w:t>
      </w:r>
    </w:p>
    <w:p w14:paraId="520FFF0B" w14:textId="203D8697" w:rsidR="00B03FE4" w:rsidRDefault="00B03FE4" w:rsidP="0094384E">
      <w:pPr>
        <w:spacing w:before="240" w:after="240"/>
      </w:pPr>
      <w:r>
        <w:t>Цели.  Целью Секции права ИС Американской ассоциации юристов является, среди прочего, содействие рациональному развитию и совершенствованию законов об интеллектуальной собственности и их честному и справедливому применению.  В этом контексте Секция права ИС Американской ассоциации юристов предоставляет информацию, аналитические материалы и практические инструменты юристам, специализирующимся на интеллектуальной собственности, а также служит источником информации и комментариев для политиков, рассматривающих законодательство, влияющее на правовые нормы и правила в сфере интеллектуальной собственности.  Секция занимается всеми областями права интеллектуальной собственности и, будучи первой профильной секцией Американской ассоциации юристов, разделяет цели продвижения верховенства права, установления академических стандартов для юридических школ, а также содействия безвозмездной и общественной деятельности юристов.</w:t>
      </w:r>
    </w:p>
    <w:p w14:paraId="0823698F" w14:textId="446A8E7C" w:rsidR="00B03FE4" w:rsidRDefault="00B03FE4" w:rsidP="00B03FE4">
      <w:r>
        <w:t>Структура.  Секция права ИС Американской ассоциации юристов управляется Советом, состоящим из председателя, избранного председателя, заместителя председателя, непосредственного прошлого председателя, делегатов секции в палате делегатов, секретаря, финансового директора, избранного финансового директора, директора по публикациям, директора по членству, директора по непрерывному юридическому образованию и директора по доходам.</w:t>
      </w:r>
    </w:p>
    <w:p w14:paraId="23151B59" w14:textId="51953890" w:rsidR="00B03FE4" w:rsidRDefault="00B03FE4" w:rsidP="0094384E">
      <w:pPr>
        <w:pStyle w:val="Heading2"/>
        <w:spacing w:after="480"/>
      </w:pPr>
      <w:r>
        <w:rPr>
          <w:caps w:val="0"/>
        </w:rPr>
        <w:t xml:space="preserve">Членский состав.  </w:t>
      </w:r>
      <w:r>
        <w:t>Членами Секции права ИС Американской ассоциации юристов являются более 15 000 физических лиц.</w:t>
      </w:r>
    </w:p>
    <w:p w14:paraId="60212B0E" w14:textId="127B666D" w:rsidR="005B7AE6" w:rsidRPr="0037139F" w:rsidRDefault="005B7AE6" w:rsidP="005B7AE6">
      <w:pPr>
        <w:pStyle w:val="Heading2"/>
        <w:rPr>
          <w:caps w:val="0"/>
          <w:u w:val="single"/>
        </w:rPr>
      </w:pPr>
      <w:r>
        <w:rPr>
          <w:caps w:val="0"/>
          <w:u w:val="single"/>
        </w:rPr>
        <w:t>Международная федерация обществ интеллектуальной собственности (FIPRO)</w:t>
      </w:r>
    </w:p>
    <w:p w14:paraId="737DAB79" w14:textId="36333F5A" w:rsidR="005B7AE6" w:rsidRDefault="005B7AE6" w:rsidP="005B7AE6">
      <w:pPr>
        <w:spacing w:before="240"/>
      </w:pPr>
      <w:r>
        <w:t>Штаб-квартира.  FIPRO была учреждена в 2021 году, ее штаб-квартира находится в Сеуле, Республика Корея.</w:t>
      </w:r>
    </w:p>
    <w:p w14:paraId="372836AC" w14:textId="1906D558" w:rsidR="005B7AE6" w:rsidRDefault="005B7AE6" w:rsidP="005B7AE6">
      <w:pPr>
        <w:spacing w:before="240"/>
      </w:pPr>
      <w:r>
        <w:t>Цели.  FIPRO стремится создать здоровую экосистему интеллектуальной собственности, основанную на общении и сотрудничестве между организациями, занимающимися интеллектуальной собственностью, способствуя тем самым развитию экономики, общества и культуры Республики Корея.  Занимаясь планированием, исследованиями и оказывая консультационные услуги по вопросам политики в области интеллектуальной собственности, FIPRO стремится содействовать более глубокому пониманию интеллектуальной собственности широкой общественностью.</w:t>
      </w:r>
    </w:p>
    <w:p w14:paraId="1CC625C0" w14:textId="671223E1" w:rsidR="005B7AE6" w:rsidRDefault="005B7AE6" w:rsidP="005B7AE6">
      <w:pPr>
        <w:spacing w:before="240"/>
      </w:pPr>
      <w:r>
        <w:t>Структура.  FIPRO управляется Советом директоров, состоящим из двух сопредседателей, старшего заместителя председателя, заместителя председателя по сотрудничеству по внешним связям и аудитора.  Общее собрание членов является высшим органом FIPRO, а Секретариат, возглавляемый Генеральным секретарем, занимается повседневными делами FIPRO.</w:t>
      </w:r>
    </w:p>
    <w:p w14:paraId="4B055A50" w14:textId="3718C7D4" w:rsidR="0094384E" w:rsidRDefault="005B7AE6" w:rsidP="00AE6F50">
      <w:pPr>
        <w:spacing w:before="240" w:after="480"/>
      </w:pPr>
      <w:r>
        <w:t>Членский состав.  Членами FIPRO являются 47 юридических лица.</w:t>
      </w:r>
      <w:r w:rsidR="0094384E">
        <w:br w:type="page"/>
      </w:r>
    </w:p>
    <w:p w14:paraId="4F5F88CA" w14:textId="77777777" w:rsidR="005B7AE6" w:rsidRPr="0037139F" w:rsidRDefault="005B7AE6" w:rsidP="005B7AE6">
      <w:pPr>
        <w:pStyle w:val="Heading2"/>
        <w:rPr>
          <w:caps w:val="0"/>
          <w:u w:val="single"/>
        </w:rPr>
      </w:pPr>
      <w:r>
        <w:rPr>
          <w:caps w:val="0"/>
          <w:u w:val="single"/>
        </w:rPr>
        <w:lastRenderedPageBreak/>
        <w:t>Парагвайская ассоциация агентов по интеллектуальной собственности (APAPI)</w:t>
      </w:r>
    </w:p>
    <w:p w14:paraId="1F0F844D" w14:textId="3DF753D1" w:rsidR="005B7AE6" w:rsidRDefault="005B7AE6" w:rsidP="005B7AE6">
      <w:pPr>
        <w:spacing w:before="240"/>
      </w:pPr>
      <w:r>
        <w:t>Штаб-квартира.  APAPI была учреждена в 1964 году, ее штаб-квартира находится в г. Асунсьон, Парагвай.</w:t>
      </w:r>
    </w:p>
    <w:p w14:paraId="31534C6C" w14:textId="77777777" w:rsidR="005B7AE6" w:rsidRDefault="005B7AE6" w:rsidP="005B7AE6">
      <w:pPr>
        <w:spacing w:before="240"/>
      </w:pPr>
      <w:r>
        <w:t>Цели.  Цель APAPI — объединить профессиональных специалистов в области промышленной собственности и способствовать развитию исследований с помощью образовательных программ, включающих курсы, семинары, конференции и конгрессы.  APAPI работает над распространением национальных законов о промышленной собственности и выступает за совершенствование законодательства, стремясь к большему единообразию систем и практики профессиональной работы среди своих членов.  Ассоциация также стремится пропагандировать достойное профессиональное поведение, публиковать работы, связанные с правом интеллектуальной собственности, и активно взаимодействовать с национальными органами власти.</w:t>
      </w:r>
    </w:p>
    <w:p w14:paraId="63A7ABE4" w14:textId="40D8A27B" w:rsidR="005B7AE6" w:rsidRDefault="005B7AE6" w:rsidP="00EA5837">
      <w:pPr>
        <w:spacing w:before="240" w:after="240"/>
      </w:pPr>
      <w:r>
        <w:t>Структура.  APAPI управляется Генеральной ассамблеей, Советом директоров и Избирательной комиссией.  Совет представляет ассоциацию и состоит из председателя, вице-президента, секретаря, заместителя секретаря, казначея, заместителя казначея, а также четырех постоянных членов.  Избирательная комиссия состоит из трех членов, избираемых Генеральной ассамблеей, и отвечает за организацию работы Генеральной ассамблеи.</w:t>
      </w:r>
    </w:p>
    <w:p w14:paraId="543F6210" w14:textId="77777777" w:rsidR="00CD7B7A" w:rsidRPr="00A47928" w:rsidRDefault="005B7AE6" w:rsidP="00CD7B7A">
      <w:pPr>
        <w:pStyle w:val="Heading2"/>
        <w:spacing w:after="480"/>
        <w:rPr>
          <w:caps w:val="0"/>
        </w:rPr>
      </w:pPr>
      <w:r>
        <w:rPr>
          <w:caps w:val="0"/>
        </w:rPr>
        <w:t>Членский состав.  Членами APAPI являются 48 физических лиц.</w:t>
      </w:r>
    </w:p>
    <w:p w14:paraId="1EA1EE42" w14:textId="6A2F1458" w:rsidR="00CD7B7A" w:rsidRPr="00CD7B7A" w:rsidRDefault="00960A52" w:rsidP="00CD7B7A">
      <w:pPr>
        <w:keepNext/>
        <w:spacing w:before="240" w:after="60"/>
        <w:outlineLvl w:val="1"/>
        <w:rPr>
          <w:bCs/>
          <w:iCs/>
          <w:szCs w:val="28"/>
          <w:u w:val="single"/>
        </w:rPr>
      </w:pPr>
      <w:r w:rsidRPr="00960A52">
        <w:rPr>
          <w:bCs/>
          <w:iCs/>
          <w:szCs w:val="28"/>
          <w:u w:val="single"/>
        </w:rPr>
        <w:t>Ассоциация интеллектуальной собственности «Татмир»</w:t>
      </w:r>
    </w:p>
    <w:p w14:paraId="453E29C6" w14:textId="4F7826C9" w:rsidR="00CD7B7A" w:rsidRPr="00CD7B7A" w:rsidRDefault="00960A52" w:rsidP="00CD7B7A">
      <w:pPr>
        <w:spacing w:before="240"/>
      </w:pPr>
      <w:r w:rsidRPr="00960A52">
        <w:t>Штаб-квартира.  Ассоциация интеллектуальной собственности «Татмир» была учреждена в 2024 году; ее штаб-квартира находится в Эр-Рияде, Саудовская Аравия</w:t>
      </w:r>
      <w:r w:rsidR="00CD7B7A" w:rsidRPr="00CD7B7A">
        <w:t xml:space="preserve">. </w:t>
      </w:r>
    </w:p>
    <w:p w14:paraId="7CD57BED" w14:textId="24BA5938" w:rsidR="00CD7B7A" w:rsidRPr="00CD7B7A" w:rsidRDefault="00AF0190" w:rsidP="00CD7B7A">
      <w:pPr>
        <w:spacing w:before="240"/>
      </w:pPr>
      <w:r w:rsidRPr="00AF0190">
        <w:t>Цели.  Ассоциация интеллектуальной собственности «Татмир» ставит перед собой цель поддерживать связь с соответствующими органами в области интеллектуальной собственности и повышать осведомленность о вопросах охраны интеллектуальной собственности.  Ассоциация активно участвует в подготовке научных исследований и аналитических материалов в области интеллектуальной собственности, занимается подготовкой национальных специалистов и предоставляет технические консультации в области ИС</w:t>
      </w:r>
      <w:r w:rsidR="00CD7B7A" w:rsidRPr="00CD7B7A">
        <w:t>.</w:t>
      </w:r>
    </w:p>
    <w:p w14:paraId="25001BA0" w14:textId="764F4F70" w:rsidR="00CD7B7A" w:rsidRPr="00CD7B7A" w:rsidRDefault="00E64A5F" w:rsidP="00CD7B7A">
      <w:pPr>
        <w:spacing w:before="240"/>
      </w:pPr>
      <w:r w:rsidRPr="00E64A5F">
        <w:t>Структура.  Деятельностью Ассоциации интеллектуальной собственности «Татмир» руководит генеральная ассамблея, являющаяся высшим органом ассоциации, и совет директоров, в состав которого входят председатель, заместитель председателя и четыре постоянных члена</w:t>
      </w:r>
      <w:r w:rsidR="00CD7B7A" w:rsidRPr="00CD7B7A">
        <w:t>.</w:t>
      </w:r>
    </w:p>
    <w:p w14:paraId="10308B97" w14:textId="4D158A80" w:rsidR="00CD7B7A" w:rsidRPr="00CD7B7A" w:rsidRDefault="00AF0190" w:rsidP="00CD7B7A">
      <w:pPr>
        <w:spacing w:before="240" w:after="480"/>
      </w:pPr>
      <w:r w:rsidRPr="00AF0190">
        <w:t>Членский состав.  Членами Ассоциации интеллектуальной собственности «Татмир» является 21 физическое лицо</w:t>
      </w:r>
      <w:r w:rsidR="00CD7B7A" w:rsidRPr="00CD7B7A">
        <w:t>.</w:t>
      </w:r>
    </w:p>
    <w:p w14:paraId="3167D7C1" w14:textId="6B5F1169" w:rsidR="00CD7B7A" w:rsidRPr="00CD7B7A" w:rsidRDefault="00AF0190" w:rsidP="00CD7B7A">
      <w:pPr>
        <w:keepNext/>
        <w:spacing w:before="240" w:after="60"/>
        <w:outlineLvl w:val="1"/>
        <w:rPr>
          <w:bCs/>
          <w:iCs/>
          <w:szCs w:val="28"/>
          <w:u w:val="single"/>
        </w:rPr>
      </w:pPr>
      <w:r w:rsidRPr="00AF0190">
        <w:rPr>
          <w:bCs/>
          <w:iCs/>
          <w:szCs w:val="28"/>
          <w:u w:val="single"/>
        </w:rPr>
        <w:t>Союз изобретателей</w:t>
      </w:r>
    </w:p>
    <w:p w14:paraId="77CCCDEB" w14:textId="7E8C2FA2" w:rsidR="00CD7B7A" w:rsidRPr="00CD7B7A" w:rsidRDefault="00982A9E" w:rsidP="00CD7B7A">
      <w:pPr>
        <w:spacing w:before="240"/>
      </w:pPr>
      <w:r w:rsidRPr="00982A9E">
        <w:t>Штаб-квартира.  Союз изобретателей был учрежден в 2002 году; его штаб-квартира находится в Марракеше, Марокко</w:t>
      </w:r>
      <w:r w:rsidR="00CD7B7A" w:rsidRPr="00CD7B7A">
        <w:t xml:space="preserve">. </w:t>
      </w:r>
    </w:p>
    <w:p w14:paraId="0704A32A" w14:textId="057EB5F3" w:rsidR="00CD7B7A" w:rsidRPr="00CD7B7A" w:rsidRDefault="00982A9E" w:rsidP="00982A9E">
      <w:pPr>
        <w:spacing w:before="240"/>
      </w:pPr>
      <w:r w:rsidRPr="00982A9E">
        <w:t xml:space="preserve">Цели.  Союз изобретателей ставит своей целью оказание поддержки изобретателям, новаторам и авторам в охране, развитии и коммерциализации их интеллектуальной собственности.  Союз изобретателей также ставит перед собой цель содействовать </w:t>
      </w:r>
      <w:r w:rsidRPr="00982A9E">
        <w:lastRenderedPageBreak/>
        <w:t>сотрудничеству между своими членами, обеспечивая доступность инноваций для жителей Марокко и удовлетворяя экономические и социальные потребности страны посредством изобретательской деятельности и предпринимательства.  Союз стремится содействовать инновациям путем поощрения и чествования изобретателей, а также повышать осведомленность общественности посредством публикаций, выставок и профессиональной подготовки в области ИС</w:t>
      </w:r>
      <w:r w:rsidR="00CD7B7A" w:rsidRPr="00CD7B7A">
        <w:t>.</w:t>
      </w:r>
    </w:p>
    <w:p w14:paraId="57F44039" w14:textId="6E35FFD6" w:rsidR="00CD7B7A" w:rsidRPr="00CD7B7A" w:rsidRDefault="00034F11" w:rsidP="00CD7B7A">
      <w:pPr>
        <w:spacing w:before="240"/>
      </w:pPr>
      <w:r w:rsidRPr="00034F11">
        <w:t>Структура.  Управление Союзом изобретателей осуществляет совет директоров, в состав которого входят председатель, генеральный секретарь и казначей.  В состав организационной структуры также входят постоянный секретариат, возглавляемый председателем или генеральным секретарем, а также правление и исполнительный комитет</w:t>
      </w:r>
      <w:r w:rsidR="00CD7B7A" w:rsidRPr="00CD7B7A">
        <w:t>.</w:t>
      </w:r>
    </w:p>
    <w:p w14:paraId="5050ACDD" w14:textId="59996EA1" w:rsidR="00CD7B7A" w:rsidRPr="00CD7B7A" w:rsidRDefault="00034F11" w:rsidP="00CD7B7A">
      <w:pPr>
        <w:spacing w:before="240" w:after="480"/>
      </w:pPr>
      <w:r w:rsidRPr="00034F11">
        <w:t>Членский состав.  Членами Союза изобретателей является 11 физических лиц</w:t>
      </w:r>
      <w:r w:rsidR="00CD7B7A" w:rsidRPr="00CD7B7A">
        <w:t>.</w:t>
      </w:r>
    </w:p>
    <w:p w14:paraId="39526EC3" w14:textId="327C30C7" w:rsidR="00B03FE4" w:rsidRPr="00B03FE4" w:rsidRDefault="00B03FE4" w:rsidP="00B03FE4">
      <w:pPr>
        <w:pStyle w:val="Heading2"/>
      </w:pPr>
      <w:r>
        <w:rPr>
          <w:caps w:val="0"/>
          <w:u w:val="single"/>
        </w:rPr>
        <w:t>НКО «Женская ИС сегодня»</w:t>
      </w:r>
    </w:p>
    <w:p w14:paraId="2A6FF772" w14:textId="77777777" w:rsidR="00B03FE4" w:rsidRDefault="00B03FE4" w:rsidP="00B03FE4">
      <w:pPr>
        <w:spacing w:before="240"/>
      </w:pPr>
      <w:r>
        <w:t>Штаб-квартира.  Некоммерческая организация «Женская ИС сегодня» была учреждена в 2015 году, ее штаб-квартира находится в Оушенсайд, штат Калифорния, Соединенные Штаты Америки.</w:t>
      </w:r>
    </w:p>
    <w:p w14:paraId="2474AAA1" w14:textId="77777777" w:rsidR="00B03FE4" w:rsidRDefault="00B03FE4" w:rsidP="00B03FE4">
      <w:pPr>
        <w:spacing w:before="240"/>
      </w:pPr>
      <w:r>
        <w:t xml:space="preserve">Цели.  Миссия НКО «Женская ИС сегодня» заключается в том, чтобы способствовать карьере женщин в сфере интеллектуальной собственности, предлагать сообщество поддержки, давать женщинам возможность раскрыть свой потенциал и поощрять возможности наставничества. </w:t>
      </w:r>
    </w:p>
    <w:p w14:paraId="3946C74C" w14:textId="2F036D7C" w:rsidR="0094384E" w:rsidRDefault="00B03FE4" w:rsidP="0094384E">
      <w:pPr>
        <w:spacing w:before="240" w:after="240"/>
      </w:pPr>
      <w:r>
        <w:t>Структура.  НКО «Женская ИС сегодня» управляется Советом директоров, отвечающим за общую политику и направление деятельности организации, и возглавляется председателем, финансовым директором, секретарем и еще пятью сотрудниками, обслуживающими организацию.</w:t>
      </w:r>
    </w:p>
    <w:p w14:paraId="5B5CFA65" w14:textId="42C3760E" w:rsidR="005B7AE6" w:rsidRDefault="00B03FE4" w:rsidP="005B7AE6">
      <w:pPr>
        <w:spacing w:after="840"/>
      </w:pPr>
      <w:r>
        <w:t>Членский состав.  НКО «Женская ИС сегодня» не является членской организацией.</w:t>
      </w:r>
    </w:p>
    <w:p w14:paraId="18FEDC78" w14:textId="5D9B6C01" w:rsidR="005B7AE6" w:rsidRPr="007A406D" w:rsidRDefault="005B7AE6" w:rsidP="005B7AE6">
      <w:pPr>
        <w:pStyle w:val="Endofdocument-Annex"/>
        <w:spacing w:before="840"/>
        <w:ind w:left="5533"/>
      </w:pPr>
      <w:r>
        <w:t>[Конец приложения III и документа]</w:t>
      </w:r>
    </w:p>
    <w:sectPr w:rsidR="005B7AE6" w:rsidRPr="007A406D" w:rsidSect="003C266A">
      <w:headerReference w:type="default" r:id="rId28"/>
      <w:headerReference w:type="first" r:id="rId2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DFDE" w14:textId="77777777" w:rsidR="00F4242A" w:rsidRDefault="00F4242A">
      <w:r>
        <w:separator/>
      </w:r>
    </w:p>
  </w:endnote>
  <w:endnote w:type="continuationSeparator" w:id="0">
    <w:p w14:paraId="29A7FE21" w14:textId="77777777" w:rsidR="00F4242A" w:rsidRDefault="00F4242A" w:rsidP="003B38C1">
      <w:r>
        <w:separator/>
      </w:r>
    </w:p>
    <w:p w14:paraId="2CCD03F8" w14:textId="77777777" w:rsidR="00F4242A" w:rsidRPr="00682662" w:rsidRDefault="00F4242A" w:rsidP="003B38C1">
      <w:pPr>
        <w:spacing w:after="60"/>
        <w:rPr>
          <w:sz w:val="17"/>
          <w:lang w:val="en-US"/>
        </w:rPr>
      </w:pPr>
      <w:r w:rsidRPr="00682662">
        <w:rPr>
          <w:sz w:val="17"/>
          <w:lang w:val="en-US"/>
        </w:rPr>
        <w:t>[Endnote continued from previous page]</w:t>
      </w:r>
    </w:p>
  </w:endnote>
  <w:endnote w:type="continuationNotice" w:id="1">
    <w:p w14:paraId="294A8A8E" w14:textId="77777777" w:rsidR="00F4242A" w:rsidRPr="00682662" w:rsidRDefault="00F4242A" w:rsidP="003B38C1">
      <w:pPr>
        <w:spacing w:before="60"/>
        <w:jc w:val="right"/>
        <w:rPr>
          <w:sz w:val="17"/>
          <w:szCs w:val="17"/>
          <w:lang w:val="en-US"/>
        </w:rPr>
      </w:pPr>
      <w:r w:rsidRPr="00682662">
        <w:rPr>
          <w:sz w:val="17"/>
          <w:szCs w:val="17"/>
          <w:lang w:val="en-US"/>
        </w:rPr>
        <w:t xml:space="preserve">[Endnote </w:t>
      </w:r>
      <w:proofErr w:type="gramStart"/>
      <w:r w:rsidRPr="00682662">
        <w:rPr>
          <w:sz w:val="17"/>
          <w:szCs w:val="17"/>
          <w:lang w:val="en-US"/>
        </w:rPr>
        <w:t>continued on</w:t>
      </w:r>
      <w:proofErr w:type="gramEnd"/>
      <w:r w:rsidRPr="00682662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20A5DE" w14:paraId="4C9BE9EA" w14:textId="77777777" w:rsidTr="5920A5DE">
      <w:trPr>
        <w:trHeight w:val="300"/>
      </w:trPr>
      <w:tc>
        <w:tcPr>
          <w:tcW w:w="3115" w:type="dxa"/>
        </w:tcPr>
        <w:p w14:paraId="7C4E0B1A" w14:textId="52C212CE" w:rsidR="5920A5DE" w:rsidRDefault="5920A5DE" w:rsidP="5920A5DE">
          <w:pPr>
            <w:pStyle w:val="Header"/>
            <w:ind w:left="-115"/>
          </w:pPr>
        </w:p>
      </w:tc>
      <w:tc>
        <w:tcPr>
          <w:tcW w:w="3115" w:type="dxa"/>
        </w:tcPr>
        <w:p w14:paraId="0A8E4B68" w14:textId="76322D26" w:rsidR="5920A5DE" w:rsidRDefault="5920A5DE" w:rsidP="5920A5DE">
          <w:pPr>
            <w:pStyle w:val="Header"/>
            <w:jc w:val="center"/>
          </w:pPr>
        </w:p>
      </w:tc>
      <w:tc>
        <w:tcPr>
          <w:tcW w:w="3115" w:type="dxa"/>
        </w:tcPr>
        <w:p w14:paraId="33BE10E2" w14:textId="39C69880" w:rsidR="5920A5DE" w:rsidRDefault="5920A5DE" w:rsidP="5920A5DE">
          <w:pPr>
            <w:pStyle w:val="Header"/>
            <w:ind w:right="-115"/>
            <w:jc w:val="right"/>
          </w:pPr>
        </w:p>
      </w:tc>
    </w:tr>
  </w:tbl>
  <w:p w14:paraId="05E82302" w14:textId="59DE91C7" w:rsidR="5920A5DE" w:rsidRDefault="5920A5DE" w:rsidP="5920A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20A5DE" w14:paraId="0802FDEA" w14:textId="77777777" w:rsidTr="5920A5DE">
      <w:trPr>
        <w:trHeight w:val="300"/>
      </w:trPr>
      <w:tc>
        <w:tcPr>
          <w:tcW w:w="3115" w:type="dxa"/>
        </w:tcPr>
        <w:p w14:paraId="3BDFAB26" w14:textId="6B0E7AF2" w:rsidR="5920A5DE" w:rsidRDefault="5920A5DE" w:rsidP="5920A5DE">
          <w:pPr>
            <w:pStyle w:val="Header"/>
            <w:ind w:left="-115"/>
          </w:pPr>
        </w:p>
      </w:tc>
      <w:tc>
        <w:tcPr>
          <w:tcW w:w="3115" w:type="dxa"/>
        </w:tcPr>
        <w:p w14:paraId="165F7181" w14:textId="364426B3" w:rsidR="5920A5DE" w:rsidRDefault="5920A5DE" w:rsidP="5920A5DE">
          <w:pPr>
            <w:pStyle w:val="Header"/>
            <w:jc w:val="center"/>
          </w:pPr>
        </w:p>
      </w:tc>
      <w:tc>
        <w:tcPr>
          <w:tcW w:w="3115" w:type="dxa"/>
        </w:tcPr>
        <w:p w14:paraId="24AB5EFF" w14:textId="6701995E" w:rsidR="5920A5DE" w:rsidRDefault="5920A5DE" w:rsidP="5920A5DE">
          <w:pPr>
            <w:pStyle w:val="Header"/>
            <w:ind w:right="-115"/>
            <w:jc w:val="right"/>
          </w:pPr>
        </w:p>
      </w:tc>
    </w:tr>
  </w:tbl>
  <w:p w14:paraId="36DBCFC9" w14:textId="4D93CE2F" w:rsidR="5920A5DE" w:rsidRDefault="5920A5DE" w:rsidP="5920A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3F1D" w14:textId="77777777" w:rsidR="003C266A" w:rsidRDefault="003C26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7141" w14:textId="77777777" w:rsidR="003C266A" w:rsidRDefault="003C266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642C" w14:textId="77777777" w:rsidR="003C266A" w:rsidRDefault="003C266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614C" w14:textId="77777777" w:rsidR="003C266A" w:rsidRDefault="003C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3178" w14:textId="77777777" w:rsidR="00F4242A" w:rsidRDefault="00F4242A">
      <w:r>
        <w:separator/>
      </w:r>
    </w:p>
  </w:footnote>
  <w:footnote w:type="continuationSeparator" w:id="0">
    <w:p w14:paraId="4CF5C1EE" w14:textId="77777777" w:rsidR="00F4242A" w:rsidRDefault="00F4242A" w:rsidP="008B60B2">
      <w:r>
        <w:separator/>
      </w:r>
    </w:p>
    <w:p w14:paraId="0B1D95FE" w14:textId="77777777" w:rsidR="00F4242A" w:rsidRPr="00682662" w:rsidRDefault="00F4242A" w:rsidP="008B60B2">
      <w:pPr>
        <w:spacing w:after="60"/>
        <w:rPr>
          <w:sz w:val="17"/>
          <w:szCs w:val="17"/>
          <w:lang w:val="en-US"/>
        </w:rPr>
      </w:pPr>
      <w:r w:rsidRPr="0068266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FD0620E" w14:textId="77777777" w:rsidR="00F4242A" w:rsidRPr="00682662" w:rsidRDefault="00F4242A" w:rsidP="008B60B2">
      <w:pPr>
        <w:spacing w:before="60"/>
        <w:jc w:val="right"/>
        <w:rPr>
          <w:sz w:val="17"/>
          <w:szCs w:val="17"/>
          <w:lang w:val="en-US"/>
        </w:rPr>
      </w:pPr>
      <w:r w:rsidRPr="00682662">
        <w:rPr>
          <w:sz w:val="17"/>
          <w:szCs w:val="17"/>
          <w:lang w:val="en-US"/>
        </w:rPr>
        <w:t xml:space="preserve">[Footnote </w:t>
      </w:r>
      <w:proofErr w:type="gramStart"/>
      <w:r w:rsidRPr="00682662">
        <w:rPr>
          <w:sz w:val="17"/>
          <w:szCs w:val="17"/>
          <w:lang w:val="en-US"/>
        </w:rPr>
        <w:t>continued on</w:t>
      </w:r>
      <w:proofErr w:type="gramEnd"/>
      <w:r w:rsidRPr="00682662">
        <w:rPr>
          <w:sz w:val="17"/>
          <w:szCs w:val="17"/>
          <w:lang w:val="en-US"/>
        </w:rPr>
        <w:t xml:space="preserve"> next page]</w:t>
      </w:r>
    </w:p>
  </w:footnote>
  <w:footnote w:id="2">
    <w:p w14:paraId="2DE8F80A" w14:textId="77777777" w:rsidR="004315FD" w:rsidRPr="002F6579" w:rsidRDefault="004315FD" w:rsidP="004315FD">
      <w:pPr>
        <w:pStyle w:val="FootnoteText"/>
      </w:pPr>
      <w:r>
        <w:rPr>
          <w:rStyle w:val="FootnoteReference"/>
        </w:rPr>
        <w:footnoteRef/>
      </w:r>
      <w:r>
        <w:tab/>
        <w:t>Принципы, применимые при направлении приглашений национальным НПО участвовать в работе в качестве наблюдателей, принятые Ассамблеями во время тридцать седьмой серии заседаний, состоявшейся с 23 сентября по 1 октября 2002 года, см. в документе A/37/14, пункт 316.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D643" w14:textId="7A1179C5" w:rsidR="004315FD" w:rsidRPr="0094308D" w:rsidRDefault="004315FD" w:rsidP="00477D6B">
    <w:pPr>
      <w:jc w:val="right"/>
      <w:rPr>
        <w:lang w:val="en-US"/>
      </w:rPr>
    </w:pPr>
    <w:r>
      <w:t>A/68/3</w:t>
    </w:r>
    <w:r w:rsidR="0094308D">
      <w:rPr>
        <w:lang w:val="en-US"/>
      </w:rPr>
      <w:t xml:space="preserve"> Rev.</w:t>
    </w:r>
  </w:p>
  <w:p w14:paraId="1D68A09C" w14:textId="77777777" w:rsidR="004315FD" w:rsidRDefault="004315FD" w:rsidP="00BE6B99">
    <w:pPr>
      <w:spacing w:after="480"/>
      <w:jc w:val="right"/>
    </w:pPr>
    <w:r>
      <w:t>стр. 2</w:t>
    </w:r>
  </w:p>
  <w:p w14:paraId="51E63319" w14:textId="77777777" w:rsidR="004315FD" w:rsidRDefault="004315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20A5DE" w14:paraId="4C400823" w14:textId="77777777" w:rsidTr="5920A5DE">
      <w:trPr>
        <w:trHeight w:val="300"/>
      </w:trPr>
      <w:tc>
        <w:tcPr>
          <w:tcW w:w="3115" w:type="dxa"/>
        </w:tcPr>
        <w:p w14:paraId="43E0776F" w14:textId="75C3CA02" w:rsidR="5920A5DE" w:rsidRDefault="5920A5DE" w:rsidP="5920A5DE">
          <w:pPr>
            <w:pStyle w:val="Header"/>
            <w:ind w:left="-115"/>
          </w:pPr>
        </w:p>
      </w:tc>
      <w:tc>
        <w:tcPr>
          <w:tcW w:w="3115" w:type="dxa"/>
        </w:tcPr>
        <w:p w14:paraId="02D02841" w14:textId="0D658F26" w:rsidR="5920A5DE" w:rsidRDefault="5920A5DE" w:rsidP="5920A5DE">
          <w:pPr>
            <w:pStyle w:val="Header"/>
            <w:jc w:val="center"/>
          </w:pPr>
        </w:p>
      </w:tc>
      <w:tc>
        <w:tcPr>
          <w:tcW w:w="3115" w:type="dxa"/>
        </w:tcPr>
        <w:p w14:paraId="40400461" w14:textId="7A24148F" w:rsidR="5920A5DE" w:rsidRDefault="5920A5DE" w:rsidP="5920A5DE">
          <w:pPr>
            <w:pStyle w:val="Header"/>
            <w:ind w:right="-115"/>
            <w:jc w:val="right"/>
          </w:pPr>
        </w:p>
      </w:tc>
    </w:tr>
  </w:tbl>
  <w:p w14:paraId="45D1BFF2" w14:textId="5C45037C" w:rsidR="5920A5DE" w:rsidRDefault="5920A5DE" w:rsidP="5920A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B889" w14:textId="77777777" w:rsidR="003C266A" w:rsidRDefault="003C266A">
    <w:pPr>
      <w:pStyle w:val="Header"/>
      <w:jc w:val="right"/>
    </w:pPr>
    <w:r>
      <w:rPr>
        <w:highlight w:val="yellow"/>
      </w:rPr>
      <w:t>A/66/XXX</w:t>
    </w:r>
  </w:p>
  <w:p w14:paraId="7EE71172" w14:textId="77777777" w:rsidR="003C266A" w:rsidRDefault="003C266A" w:rsidP="00A36297">
    <w:pPr>
      <w:pStyle w:val="Header"/>
      <w:spacing w:after="240"/>
      <w:jc w:val="right"/>
    </w:pPr>
    <w:r>
      <w:t xml:space="preserve">Приложение I, стр. </w:t>
    </w:r>
    <w:sdt>
      <w:sdtPr>
        <w:id w:val="1475034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247D" w14:textId="1C94C191" w:rsidR="00DD1472" w:rsidRDefault="5920A5DE" w:rsidP="5920A5DE">
    <w:pPr>
      <w:pStyle w:val="Heading2"/>
      <w:spacing w:before="0" w:after="0"/>
      <w:ind w:left="7920"/>
      <w:jc w:val="right"/>
      <w:rPr>
        <w:sz w:val="18"/>
        <w:szCs w:val="18"/>
      </w:rPr>
    </w:pPr>
    <w:r>
      <w:t xml:space="preserve">A/68/3 </w:t>
    </w:r>
    <w:r w:rsidRPr="5920A5DE">
      <w:rPr>
        <w:caps w:val="0"/>
        <w:sz w:val="20"/>
        <w:szCs w:val="20"/>
      </w:rPr>
      <w:t>Rev.</w:t>
    </w:r>
  </w:p>
  <w:p w14:paraId="5DF73131" w14:textId="3A8ED0AC" w:rsidR="003C266A" w:rsidRDefault="00DD1472" w:rsidP="00DD1472">
    <w:pPr>
      <w:pStyle w:val="Header"/>
      <w:jc w:val="right"/>
    </w:pPr>
    <w:r>
      <w:t>ПРИЛОЖЕНИЕ 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C35F" w14:textId="764D19AF" w:rsidR="5920A5DE" w:rsidRDefault="5920A5DE" w:rsidP="5920A5DE">
    <w:pPr>
      <w:pStyle w:val="Header"/>
      <w:jc w:val="right"/>
      <w:rPr>
        <w:szCs w:val="22"/>
      </w:rPr>
    </w:pPr>
    <w:r w:rsidRPr="5920A5DE">
      <w:rPr>
        <w:szCs w:val="22"/>
      </w:rPr>
      <w:t xml:space="preserve">A/68/3 </w:t>
    </w:r>
    <w:r w:rsidRPr="5920A5DE">
      <w:rPr>
        <w:szCs w:val="22"/>
      </w:rPr>
      <w:t>Rev.</w:t>
    </w:r>
  </w:p>
  <w:p w14:paraId="38F8D2EC" w14:textId="72DCEAC6" w:rsidR="003C266A" w:rsidRDefault="003C266A" w:rsidP="00A36297">
    <w:pPr>
      <w:pStyle w:val="Header"/>
      <w:spacing w:after="240"/>
      <w:jc w:val="right"/>
    </w:pPr>
    <w:r>
      <w:t xml:space="preserve">Приложение II, стр. </w:t>
    </w:r>
    <w:sdt>
      <w:sdtPr>
        <w:id w:val="12348931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163" w14:textId="0D64EE39" w:rsidR="00DD1472" w:rsidRDefault="5920A5DE" w:rsidP="5920A5DE">
    <w:pPr>
      <w:pStyle w:val="Heading2"/>
      <w:spacing w:before="0" w:after="0"/>
      <w:ind w:left="7920"/>
      <w:jc w:val="right"/>
    </w:pPr>
    <w:r>
      <w:t xml:space="preserve">A/68/3 </w:t>
    </w:r>
    <w:r w:rsidRPr="5920A5DE">
      <w:rPr>
        <w:caps w:val="0"/>
        <w:sz w:val="20"/>
        <w:szCs w:val="20"/>
      </w:rPr>
      <w:t>Rev.</w:t>
    </w:r>
    <w:r>
      <w:t xml:space="preserve"> </w:t>
    </w:r>
  </w:p>
  <w:p w14:paraId="0E1E32D4" w14:textId="12E0A341" w:rsidR="00DD1472" w:rsidRDefault="5920A5DE" w:rsidP="00A47DD0">
    <w:pPr>
      <w:ind w:left="7513" w:right="-1"/>
      <w:jc w:val="right"/>
    </w:pPr>
    <w:r>
      <w:t>ПРИЛОЖЕНИЕ 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CD9E" w14:textId="29BF8DEF" w:rsidR="00EC4E49" w:rsidRDefault="5920A5DE" w:rsidP="5920A5DE">
    <w:pPr>
      <w:pStyle w:val="Heading2"/>
      <w:spacing w:before="0" w:after="0"/>
      <w:ind w:left="7920"/>
      <w:jc w:val="right"/>
      <w:rPr>
        <w:sz w:val="18"/>
        <w:szCs w:val="18"/>
      </w:rPr>
    </w:pPr>
    <w:r>
      <w:t xml:space="preserve">A/68/3 </w:t>
    </w:r>
    <w:r w:rsidRPr="5920A5DE">
      <w:rPr>
        <w:caps w:val="0"/>
        <w:sz w:val="20"/>
        <w:szCs w:val="20"/>
      </w:rPr>
      <w:t>Rev.</w:t>
    </w:r>
  </w:p>
  <w:p w14:paraId="3AEA00C3" w14:textId="16FC5E70" w:rsidR="00EC4E49" w:rsidRDefault="003C266A" w:rsidP="00477D6B">
    <w:pPr>
      <w:jc w:val="right"/>
    </w:pPr>
    <w:r>
      <w:t xml:space="preserve">Приложение III, 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t>2</w:t>
    </w:r>
    <w:r w:rsidR="00EC4E49">
      <w:fldChar w:fldCharType="end"/>
    </w:r>
  </w:p>
  <w:p w14:paraId="3E2C14ED" w14:textId="77777777" w:rsidR="00EC4E49" w:rsidRDefault="00EC4E49" w:rsidP="00477D6B">
    <w:pPr>
      <w:jc w:val="right"/>
    </w:pPr>
  </w:p>
  <w:p w14:paraId="3C2BAB01" w14:textId="77777777" w:rsidR="00B50B99" w:rsidRDefault="00B50B99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D801" w14:textId="398F153F" w:rsidR="00DD1472" w:rsidRDefault="5920A5DE" w:rsidP="5920A5DE">
    <w:pPr>
      <w:pStyle w:val="Heading2"/>
      <w:spacing w:before="0" w:after="0"/>
      <w:ind w:left="7920"/>
      <w:jc w:val="right"/>
    </w:pPr>
    <w:r>
      <w:t xml:space="preserve">A/68/3 </w:t>
    </w:r>
    <w:r w:rsidRPr="5920A5DE">
      <w:rPr>
        <w:caps w:val="0"/>
        <w:sz w:val="20"/>
        <w:szCs w:val="20"/>
      </w:rPr>
      <w:t>Rev.</w:t>
    </w:r>
    <w:r>
      <w:t xml:space="preserve"> </w:t>
    </w:r>
  </w:p>
  <w:p w14:paraId="73727AF9" w14:textId="4028FF23" w:rsidR="00DD1472" w:rsidRDefault="5920A5DE" w:rsidP="000325F3">
    <w:pPr>
      <w:ind w:left="7513"/>
      <w:jc w:val="right"/>
    </w:pPr>
    <w:r>
      <w:t>ПРИЛОЖЕНИЕ 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586465"/>
    <w:multiLevelType w:val="hybridMultilevel"/>
    <w:tmpl w:val="80C6C62A"/>
    <w:lvl w:ilvl="0" w:tplc="FFFFFFFF">
      <w:start w:val="1"/>
      <w:numFmt w:val="lowerRoman"/>
      <w:lvlText w:val="(%1)"/>
      <w:lvlJc w:val="left"/>
      <w:pPr>
        <w:ind w:left="1854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FA1114"/>
    <w:multiLevelType w:val="hybridMultilevel"/>
    <w:tmpl w:val="087AB29A"/>
    <w:lvl w:ilvl="0" w:tplc="94F4DD3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FC156C"/>
    <w:multiLevelType w:val="hybridMultilevel"/>
    <w:tmpl w:val="80C6C62A"/>
    <w:lvl w:ilvl="0" w:tplc="C5FE1734">
      <w:start w:val="1"/>
      <w:numFmt w:val="lowerRoman"/>
      <w:lvlText w:val="(%1)"/>
      <w:lvlJc w:val="left"/>
      <w:pPr>
        <w:ind w:left="185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0116900">
    <w:abstractNumId w:val="4"/>
  </w:num>
  <w:num w:numId="2" w16cid:durableId="180895070">
    <w:abstractNumId w:val="6"/>
  </w:num>
  <w:num w:numId="3" w16cid:durableId="1356350649">
    <w:abstractNumId w:val="0"/>
  </w:num>
  <w:num w:numId="4" w16cid:durableId="1151099335">
    <w:abstractNumId w:val="7"/>
  </w:num>
  <w:num w:numId="5" w16cid:durableId="797770133">
    <w:abstractNumId w:val="1"/>
  </w:num>
  <w:num w:numId="6" w16cid:durableId="878471050">
    <w:abstractNumId w:val="5"/>
  </w:num>
  <w:num w:numId="7" w16cid:durableId="1686202236">
    <w:abstractNumId w:val="3"/>
  </w:num>
  <w:num w:numId="8" w16cid:durableId="1612588588">
    <w:abstractNumId w:val="8"/>
  </w:num>
  <w:num w:numId="9" w16cid:durableId="104163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FD"/>
    <w:rsid w:val="000000A8"/>
    <w:rsid w:val="0001647B"/>
    <w:rsid w:val="000325F3"/>
    <w:rsid w:val="00034F11"/>
    <w:rsid w:val="00043CAA"/>
    <w:rsid w:val="00075432"/>
    <w:rsid w:val="000968ED"/>
    <w:rsid w:val="000F5E56"/>
    <w:rsid w:val="001024FE"/>
    <w:rsid w:val="00110A18"/>
    <w:rsid w:val="00124096"/>
    <w:rsid w:val="001362EE"/>
    <w:rsid w:val="00142868"/>
    <w:rsid w:val="00167846"/>
    <w:rsid w:val="001832A6"/>
    <w:rsid w:val="001B7B25"/>
    <w:rsid w:val="001C6808"/>
    <w:rsid w:val="0021177F"/>
    <w:rsid w:val="002121FA"/>
    <w:rsid w:val="0024079C"/>
    <w:rsid w:val="002427DF"/>
    <w:rsid w:val="00253F52"/>
    <w:rsid w:val="002634C4"/>
    <w:rsid w:val="002928D3"/>
    <w:rsid w:val="00292EFB"/>
    <w:rsid w:val="002C322C"/>
    <w:rsid w:val="002D7F74"/>
    <w:rsid w:val="002F1FE6"/>
    <w:rsid w:val="002F4E68"/>
    <w:rsid w:val="00312F7F"/>
    <w:rsid w:val="003228B7"/>
    <w:rsid w:val="003262E2"/>
    <w:rsid w:val="003508A3"/>
    <w:rsid w:val="00354B25"/>
    <w:rsid w:val="003673CF"/>
    <w:rsid w:val="00367E8D"/>
    <w:rsid w:val="003845C1"/>
    <w:rsid w:val="00390481"/>
    <w:rsid w:val="003A6F89"/>
    <w:rsid w:val="003B38C1"/>
    <w:rsid w:val="003C266A"/>
    <w:rsid w:val="003D352A"/>
    <w:rsid w:val="003E683C"/>
    <w:rsid w:val="00423E3E"/>
    <w:rsid w:val="00427AF4"/>
    <w:rsid w:val="004315FD"/>
    <w:rsid w:val="004400E2"/>
    <w:rsid w:val="00461632"/>
    <w:rsid w:val="004632C1"/>
    <w:rsid w:val="004647DA"/>
    <w:rsid w:val="00470DAB"/>
    <w:rsid w:val="00474062"/>
    <w:rsid w:val="00474C68"/>
    <w:rsid w:val="00477D6B"/>
    <w:rsid w:val="004D39C4"/>
    <w:rsid w:val="004E60B9"/>
    <w:rsid w:val="00523979"/>
    <w:rsid w:val="0053057A"/>
    <w:rsid w:val="00560A29"/>
    <w:rsid w:val="005731C9"/>
    <w:rsid w:val="00594D27"/>
    <w:rsid w:val="005B106C"/>
    <w:rsid w:val="005B7AE6"/>
    <w:rsid w:val="005F042B"/>
    <w:rsid w:val="005F10BC"/>
    <w:rsid w:val="00601760"/>
    <w:rsid w:val="00605827"/>
    <w:rsid w:val="00617398"/>
    <w:rsid w:val="00646050"/>
    <w:rsid w:val="00665214"/>
    <w:rsid w:val="006713CA"/>
    <w:rsid w:val="00676C5C"/>
    <w:rsid w:val="00682662"/>
    <w:rsid w:val="00695558"/>
    <w:rsid w:val="006D446F"/>
    <w:rsid w:val="006D5E0F"/>
    <w:rsid w:val="006D5FD1"/>
    <w:rsid w:val="00704B1F"/>
    <w:rsid w:val="007058FB"/>
    <w:rsid w:val="00743843"/>
    <w:rsid w:val="007645B9"/>
    <w:rsid w:val="007A406D"/>
    <w:rsid w:val="007B6A58"/>
    <w:rsid w:val="007B6F87"/>
    <w:rsid w:val="007D1613"/>
    <w:rsid w:val="0080675B"/>
    <w:rsid w:val="00813C5E"/>
    <w:rsid w:val="00817E32"/>
    <w:rsid w:val="008417FC"/>
    <w:rsid w:val="00852A6E"/>
    <w:rsid w:val="00873EE5"/>
    <w:rsid w:val="008A7879"/>
    <w:rsid w:val="008B2CC1"/>
    <w:rsid w:val="008B2D2A"/>
    <w:rsid w:val="008B31C5"/>
    <w:rsid w:val="008B4B5E"/>
    <w:rsid w:val="008B60B2"/>
    <w:rsid w:val="008B6CBF"/>
    <w:rsid w:val="008C574C"/>
    <w:rsid w:val="008C745E"/>
    <w:rsid w:val="0090731E"/>
    <w:rsid w:val="00916B67"/>
    <w:rsid w:val="00916EE2"/>
    <w:rsid w:val="0094308D"/>
    <w:rsid w:val="0094384E"/>
    <w:rsid w:val="00960A52"/>
    <w:rsid w:val="00966A22"/>
    <w:rsid w:val="0096722F"/>
    <w:rsid w:val="00980843"/>
    <w:rsid w:val="00982A9E"/>
    <w:rsid w:val="00984124"/>
    <w:rsid w:val="009E2791"/>
    <w:rsid w:val="009E3F6F"/>
    <w:rsid w:val="009F3BF9"/>
    <w:rsid w:val="009F499F"/>
    <w:rsid w:val="00A42DAF"/>
    <w:rsid w:val="00A45BD8"/>
    <w:rsid w:val="00A47928"/>
    <w:rsid w:val="00A47DD0"/>
    <w:rsid w:val="00A7765E"/>
    <w:rsid w:val="00A778BF"/>
    <w:rsid w:val="00A81FF6"/>
    <w:rsid w:val="00A85B8E"/>
    <w:rsid w:val="00A95F8F"/>
    <w:rsid w:val="00AA1C39"/>
    <w:rsid w:val="00AC205C"/>
    <w:rsid w:val="00AD1AF6"/>
    <w:rsid w:val="00AE6F50"/>
    <w:rsid w:val="00AF0190"/>
    <w:rsid w:val="00AF5C73"/>
    <w:rsid w:val="00B03FE4"/>
    <w:rsid w:val="00B05A69"/>
    <w:rsid w:val="00B05C7E"/>
    <w:rsid w:val="00B40598"/>
    <w:rsid w:val="00B46C6A"/>
    <w:rsid w:val="00B50B99"/>
    <w:rsid w:val="00B62CD9"/>
    <w:rsid w:val="00B9734B"/>
    <w:rsid w:val="00BF1575"/>
    <w:rsid w:val="00BF5561"/>
    <w:rsid w:val="00C11BFE"/>
    <w:rsid w:val="00C1683C"/>
    <w:rsid w:val="00C4529A"/>
    <w:rsid w:val="00C837AC"/>
    <w:rsid w:val="00C94629"/>
    <w:rsid w:val="00CD6979"/>
    <w:rsid w:val="00CD7B7A"/>
    <w:rsid w:val="00CE65D4"/>
    <w:rsid w:val="00D45252"/>
    <w:rsid w:val="00D55934"/>
    <w:rsid w:val="00D57AAC"/>
    <w:rsid w:val="00D71B4D"/>
    <w:rsid w:val="00D90D54"/>
    <w:rsid w:val="00D93D55"/>
    <w:rsid w:val="00DC6F7F"/>
    <w:rsid w:val="00DD1472"/>
    <w:rsid w:val="00E007B3"/>
    <w:rsid w:val="00E06185"/>
    <w:rsid w:val="00E161A2"/>
    <w:rsid w:val="00E335FE"/>
    <w:rsid w:val="00E402B6"/>
    <w:rsid w:val="00E43DFA"/>
    <w:rsid w:val="00E5021F"/>
    <w:rsid w:val="00E64A5F"/>
    <w:rsid w:val="00E671A6"/>
    <w:rsid w:val="00EA5837"/>
    <w:rsid w:val="00EC4E49"/>
    <w:rsid w:val="00ED77FB"/>
    <w:rsid w:val="00EF12F8"/>
    <w:rsid w:val="00F021A6"/>
    <w:rsid w:val="00F11D94"/>
    <w:rsid w:val="00F14D35"/>
    <w:rsid w:val="00F2715B"/>
    <w:rsid w:val="00F301AE"/>
    <w:rsid w:val="00F42191"/>
    <w:rsid w:val="00F4242A"/>
    <w:rsid w:val="00F65154"/>
    <w:rsid w:val="00F66152"/>
    <w:rsid w:val="00F8074C"/>
    <w:rsid w:val="00FC5AB3"/>
    <w:rsid w:val="00FE68F3"/>
    <w:rsid w:val="03D2E98F"/>
    <w:rsid w:val="1DFEE3D6"/>
    <w:rsid w:val="1E5CC003"/>
    <w:rsid w:val="2AECAF89"/>
    <w:rsid w:val="4E1EC440"/>
    <w:rsid w:val="5920A5DE"/>
    <w:rsid w:val="5CA1F35F"/>
    <w:rsid w:val="6528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D97CC"/>
  <w15:docId w15:val="{91AF4394-C3BE-4D5A-84A2-220C2C1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4315FD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4315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354B25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354B2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354B25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C266A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B03FE4"/>
    <w:rPr>
      <w:rFonts w:ascii="Arial" w:eastAsia="SimSun" w:hAnsi="Arial" w:cs="Arial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7E3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17E32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704B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00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govbody/ru/a_66/a_66_11.pdf" TargetMode="Externa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govbody/ru/a_68/a_68_inf_1.pdf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50" ma:contentTypeDescription="" ma:contentTypeScope="" ma:versionID="4527fe33e2c21ad1d84f84477dd1a844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116</Value>
      <Value>120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Language Division</TermName>
          <TermId xmlns="http://schemas.microsoft.com/office/infopath/2007/PartnerControls">9d03c550-61a5-463a-85fe-6ed05e2d8eeb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Reference Material</TermName>
          <TermId xmlns="http://schemas.microsoft.com/office/infopath/2007/PartnerControls">9ea5a724-be39-4cdd-b7fd-205cb2d62f2f</TermId>
        </TermInfo>
      </Terms>
    </oec7080f59824b85bfab9bab42c36e68>
    <IPSystem xmlns="56500874-bba0-4b48-9090-b201492e8473" xsi:nil="true"/>
    <_dlc_DocId xmlns="afdacc0a-6563-489f-9b51-6fc9acac5c48">DEAADBFP-1499948599-55059</_dlc_DocId>
    <_dlc_DocIdUrl xmlns="afdacc0a-6563-489f-9b51-6fc9acac5c48">
      <Url>https://wipoprod.sharepoint.com/sites/SPS-INT-BFP-DEAAD-AsseAffa/_layouts/15/DocIdRedir.aspx?ID=DEAADBFP-1499948599-55059</Url>
      <Description>DEAADBFP-1499948599-55059</Description>
    </_dlc_DocIdUrl>
  </documentManagement>
</p:properti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5CC2-5C84-4010-A0D5-EB4BD57D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82A14-B8EF-42B1-983F-DCC5812A9200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3.xml><?xml version="1.0" encoding="utf-8"?>
<ds:datastoreItem xmlns:ds="http://schemas.openxmlformats.org/officeDocument/2006/customXml" ds:itemID="{967B79AF-7A58-498C-882D-88C8C71738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A0DBDD-87B9-4B3D-B4D9-352DC6D473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68ADF6-89EB-4202-9C1D-80DA553A1F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68 (E)</Template>
  <TotalTime>3</TotalTime>
  <Pages>11</Pages>
  <Words>3666</Words>
  <Characters>20900</Characters>
  <Application>Microsoft Office Word</Application>
  <DocSecurity>0</DocSecurity>
  <Lines>174</Lines>
  <Paragraphs>49</Paragraphs>
  <ScaleCrop>false</ScaleCrop>
  <Company>WIPO</Company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A/68/3</dc:title>
  <dc:creator>WIPO</dc:creator>
  <cp:keywords>PUBLIC</cp:keywords>
  <cp:lastModifiedBy>RUSSO Antonella</cp:lastModifiedBy>
  <cp:revision>6</cp:revision>
  <cp:lastPrinted>2026-06-17T19:00:00Z</cp:lastPrinted>
  <dcterms:created xsi:type="dcterms:W3CDTF">2026-06-17T12:33:00Z</dcterms:created>
  <dcterms:modified xsi:type="dcterms:W3CDTF">2026-06-17T19:01:00Z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_dlc_DocIdItemGuid">
    <vt:lpwstr>93a01d81-3cb6-41e3-81af-59385c7c426d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120;#Language Division|9d03c550-61a5-463a-85fe-6ed05e2d8eeb</vt:lpwstr>
  </property>
  <property fmtid="{D5CDD505-2E9C-101B-9397-08002B2CF9AE}" pid="19" name="MediaServiceImageTags">
    <vt:lpwstr/>
  </property>
  <property fmtid="{D5CDD505-2E9C-101B-9397-08002B2CF9AE}" pid="20" name="RMClassification">
    <vt:lpwstr>116;#05 Reference Material|9ea5a724-be39-4cdd-b7fd-205cb2d62f2f</vt:lpwstr>
  </property>
  <property fmtid="{D5CDD505-2E9C-101B-9397-08002B2CF9AE}" pid="21" name="lcf76f155ced4ddcb4097134ff3c332f">
    <vt:lpwstr/>
  </property>
  <property fmtid="{D5CDD505-2E9C-101B-9397-08002B2CF9AE}" pid="22" name="Body1">
    <vt:lpwstr/>
  </property>
</Properties>
</file>