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06FC" w14:textId="77777777" w:rsidR="00E21D13" w:rsidRPr="00123893" w:rsidRDefault="00E21D13" w:rsidP="00E21D13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14:paraId="5584B56E" w14:textId="77777777" w:rsidR="00E21D13" w:rsidRDefault="00E21D13" w:rsidP="00E21D13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2F5CB07C" wp14:editId="11EB3FF2">
            <wp:extent cx="1733550" cy="1285875"/>
            <wp:effectExtent l="0" t="0" r="0" b="0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2C87" w14:textId="35C552DF" w:rsidR="00E21D13" w:rsidRPr="007E452D" w:rsidRDefault="00E21D13" w:rsidP="00E21D13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</w:t>
      </w:r>
      <w:r w:rsidRPr="00AF29BA">
        <w:rPr>
          <w:rFonts w:ascii="Arial Black" w:hAnsi="Arial Black"/>
          <w:b/>
          <w:caps/>
          <w:sz w:val="15"/>
          <w:lang w:val="ru-RU"/>
        </w:rPr>
        <w:t>/59/</w:t>
      </w:r>
      <w:bookmarkStart w:id="1" w:name="Code"/>
      <w:bookmarkEnd w:id="1"/>
      <w:r>
        <w:rPr>
          <w:rFonts w:ascii="Arial Black" w:hAnsi="Arial Black"/>
          <w:b/>
          <w:caps/>
          <w:sz w:val="15"/>
        </w:rPr>
        <w:t>INF/3</w:t>
      </w:r>
    </w:p>
    <w:p w14:paraId="7C8622A3" w14:textId="77777777" w:rsidR="00E21D13" w:rsidRPr="00AF29BA" w:rsidRDefault="00E21D13" w:rsidP="00E21D13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Pr="00AF29BA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40EBC120" w14:textId="0577F98B" w:rsidR="00E21D13" w:rsidRPr="00AF29BA" w:rsidRDefault="00E21D13" w:rsidP="00E21D13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Pr="00AF29BA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</w:rPr>
        <w:t xml:space="preserve">12 </w:t>
      </w:r>
      <w:r>
        <w:rPr>
          <w:rFonts w:ascii="Arial Black" w:hAnsi="Arial Black"/>
          <w:b/>
          <w:caps/>
          <w:sz w:val="15"/>
          <w:lang w:val="ru-RU"/>
        </w:rPr>
        <w:t>сентября</w:t>
      </w:r>
      <w:r w:rsidRPr="00AF29BA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14:paraId="29855E9C" w14:textId="276D3807" w:rsidR="008B2CC1" w:rsidRPr="003D57B0" w:rsidRDefault="00AD6BD4" w:rsidP="000C117A">
      <w:pPr>
        <w:pStyle w:val="Heading1"/>
      </w:pPr>
      <w:r>
        <w:rPr>
          <w:lang w:val="ru-RU"/>
        </w:rPr>
        <w:t>Ассамблеи государств – членов ВОИС</w:t>
      </w:r>
    </w:p>
    <w:p w14:paraId="7C8B526C" w14:textId="0F266EBD" w:rsidR="008B2CC1" w:rsidRPr="00AD6BD4" w:rsidRDefault="00AD6BD4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девятая серия заседаний</w:t>
      </w:r>
      <w:r w:rsidRPr="009C127D">
        <w:rPr>
          <w:b/>
          <w:sz w:val="24"/>
        </w:rPr>
        <w:t xml:space="preserve"> 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FD53CC">
        <w:rPr>
          <w:b/>
          <w:sz w:val="24"/>
        </w:rPr>
        <w:t>, 30</w:t>
      </w:r>
      <w:r>
        <w:rPr>
          <w:b/>
          <w:sz w:val="24"/>
          <w:lang w:val="ru-RU"/>
        </w:rPr>
        <w:t xml:space="preserve"> сентября – </w:t>
      </w:r>
      <w:r w:rsidR="00FD53CC">
        <w:rPr>
          <w:b/>
          <w:sz w:val="24"/>
        </w:rPr>
        <w:t>9</w:t>
      </w:r>
      <w:r>
        <w:rPr>
          <w:b/>
          <w:sz w:val="24"/>
          <w:lang w:val="ru-RU"/>
        </w:rPr>
        <w:t> октября</w:t>
      </w:r>
      <w:r w:rsidR="00FD53CC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14:paraId="07E5EB94" w14:textId="660BC71B" w:rsidR="008B2CC1" w:rsidRPr="00AD6BD4" w:rsidRDefault="00AD6BD4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информация, запрошенная комитетом по программе и бюджету и упомянутая в документе </w:t>
      </w:r>
      <w:r w:rsidR="00762FF2">
        <w:rPr>
          <w:caps/>
          <w:sz w:val="24"/>
        </w:rPr>
        <w:t xml:space="preserve">WO/PBC/30/15 </w:t>
      </w:r>
      <w:r>
        <w:rPr>
          <w:caps/>
          <w:sz w:val="24"/>
          <w:lang w:val="ru-RU"/>
        </w:rPr>
        <w:t>в пункте</w:t>
      </w:r>
      <w:r w:rsidR="00AD3392">
        <w:rPr>
          <w:caps/>
          <w:sz w:val="24"/>
          <w:lang w:val="ru-RU"/>
        </w:rPr>
        <w:t> </w:t>
      </w:r>
      <w:r w:rsidR="00762FF2">
        <w:rPr>
          <w:caps/>
          <w:sz w:val="24"/>
        </w:rPr>
        <w:t>11(iv)</w:t>
      </w:r>
      <w:r>
        <w:rPr>
          <w:caps/>
          <w:sz w:val="24"/>
          <w:lang w:val="ru-RU"/>
        </w:rPr>
        <w:t xml:space="preserve"> повестки дня</w:t>
      </w:r>
    </w:p>
    <w:p w14:paraId="1A8B4770" w14:textId="3DC5C604" w:rsidR="009D0889" w:rsidRDefault="00AD6BD4" w:rsidP="00E43266">
      <w:pPr>
        <w:spacing w:after="720"/>
        <w:rPr>
          <w:i/>
        </w:rPr>
      </w:pPr>
      <w:bookmarkStart w:id="5" w:name="Prepared"/>
      <w:bookmarkEnd w:id="5"/>
      <w:r>
        <w:rPr>
          <w:i/>
          <w:lang w:val="ru-RU"/>
        </w:rPr>
        <w:t>Информационный документ подготовлен Секретариатом</w:t>
      </w:r>
    </w:p>
    <w:p w14:paraId="6C404FC7" w14:textId="282EF755" w:rsidR="00FA2F1A" w:rsidRPr="008543F3" w:rsidRDefault="00AD6BD4" w:rsidP="00FA2F1A">
      <w:pPr>
        <w:pStyle w:val="null"/>
        <w:spacing w:before="0" w:beforeAutospacing="0" w:after="0" w:afterAutospacing="0"/>
        <w:jc w:val="both"/>
        <w:rPr>
          <w:rFonts w:ascii="Arial" w:eastAsia="Times New Roman" w:hAnsi="Arial" w:cs="Arial"/>
          <w:b/>
          <w:i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iCs/>
          <w:color w:val="000000"/>
          <w:sz w:val="22"/>
          <w:szCs w:val="22"/>
          <w:lang w:val="ru-RU"/>
        </w:rPr>
        <w:t>История вопроса</w:t>
      </w:r>
    </w:p>
    <w:p w14:paraId="7A41790E" w14:textId="77777777" w:rsidR="00FA2F1A" w:rsidRDefault="00FA2F1A" w:rsidP="00FA2F1A">
      <w:pPr>
        <w:pStyle w:val="null"/>
        <w:spacing w:before="0" w:beforeAutospacing="0" w:after="0" w:afterAutospacing="0"/>
        <w:jc w:val="both"/>
        <w:rPr>
          <w:rFonts w:ascii="Arial" w:eastAsia="Times New Roman" w:hAnsi="Arial" w:cs="Arial"/>
          <w:iCs/>
          <w:color w:val="000000"/>
          <w:sz w:val="22"/>
          <w:szCs w:val="22"/>
        </w:rPr>
      </w:pPr>
    </w:p>
    <w:p w14:paraId="3CCE005A" w14:textId="3464FAF9" w:rsidR="00FA2F1A" w:rsidRDefault="00497D80" w:rsidP="00897AFA">
      <w:pPr>
        <w:pStyle w:val="null"/>
        <w:numPr>
          <w:ilvl w:val="0"/>
          <w:numId w:val="8"/>
        </w:numPr>
        <w:spacing w:before="0" w:beforeAutospacing="0" w:after="0" w:afterAutospacing="0"/>
        <w:ind w:left="0" w:firstLine="0"/>
        <w:rPr>
          <w:rFonts w:ascii="Arial" w:eastAsia="Times New Roman" w:hAnsi="Arial" w:cs="Arial"/>
          <w:iCs/>
          <w:color w:val="000000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 xml:space="preserve">Комитет по программе и бюджету (КПБ) на своей тридцатой сессии, состоявшейся в июле 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2019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 г.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, 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 xml:space="preserve">завершив всестороннее рассмотрение предлагаемых Программы и бюджета на двухлетний период 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2020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–20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21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 xml:space="preserve"> гг., которые содержатся в документе 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WO/PBC/30/10 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и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WO/PBC/30/10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 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Corr., </w:t>
      </w: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 xml:space="preserve">постановил вернуться к обсуждению вопроса, содержащегося </w:t>
      </w:r>
      <w:r w:rsidR="007A52FB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 xml:space="preserve">в документе 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WO/PBC/30/10</w:t>
      </w:r>
      <w:r w:rsidR="007A52FB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 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Corr.</w:t>
      </w:r>
      <w:r w:rsidR="007A52FB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, при рассмотрении Программы и бюджета на двухлетний период</w:t>
      </w:r>
      <w:r w:rsidR="00805D31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2020</w:t>
      </w:r>
      <w:r w:rsidR="007A52FB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–20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21</w:t>
      </w:r>
      <w:r w:rsidR="007A52FB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 гг. в ходе пятьдесят девятой серии заседаний Ассамблей ВОИС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.</w:t>
      </w:r>
    </w:p>
    <w:p w14:paraId="45F056AF" w14:textId="77777777" w:rsidR="00FA2F1A" w:rsidRDefault="00FA2F1A" w:rsidP="00897AFA">
      <w:pPr>
        <w:pStyle w:val="null"/>
        <w:spacing w:before="0" w:beforeAutospacing="0" w:after="0" w:afterAutospacing="0"/>
        <w:rPr>
          <w:rFonts w:ascii="Arial" w:eastAsia="Times New Roman" w:hAnsi="Arial" w:cs="Arial"/>
          <w:iCs/>
          <w:color w:val="000000"/>
          <w:sz w:val="22"/>
          <w:szCs w:val="22"/>
        </w:rPr>
      </w:pPr>
    </w:p>
    <w:p w14:paraId="303A572F" w14:textId="2D9334AB" w:rsidR="00FA2F1A" w:rsidRDefault="005B1969" w:rsidP="00897AFA">
      <w:pPr>
        <w:pStyle w:val="null"/>
        <w:numPr>
          <w:ilvl w:val="0"/>
          <w:numId w:val="8"/>
        </w:numPr>
        <w:spacing w:before="0" w:beforeAutospacing="0" w:after="0" w:afterAutospacing="0"/>
        <w:ind w:left="0" w:firstLine="0"/>
        <w:rPr>
          <w:rFonts w:ascii="Arial" w:eastAsia="Times New Roman" w:hAnsi="Arial" w:cs="Arial"/>
          <w:iCs/>
          <w:color w:val="000000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С учетом этого решения</w:t>
      </w:r>
      <w:r w:rsidR="00492AEA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 xml:space="preserve"> КПБ обратился к Секретариату с просьбой представить на рассмотрение Ассамблей рабочий документ с указанием точных сумм, подробного расчета, источников финансирования и условий выделения финансовых средств, необходимых для выполнения решения </w:t>
      </w:r>
      <w:r w:rsidR="002A222D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№ 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4138 </w:t>
      </w:r>
      <w:r w:rsidR="00492AEA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Административного трибунала МОТ</w:t>
      </w:r>
      <w:r w:rsidR="00F8321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(</w:t>
      </w:r>
      <w:r w:rsidR="00492AEA">
        <w:rPr>
          <w:rFonts w:ascii="Arial" w:eastAsia="Times New Roman" w:hAnsi="Arial" w:cs="Arial"/>
          <w:iCs/>
          <w:color w:val="000000"/>
          <w:sz w:val="22"/>
          <w:szCs w:val="22"/>
          <w:lang w:val="ru-RU"/>
        </w:rPr>
        <w:t>АТМОТ</w:t>
      </w:r>
      <w:r w:rsidR="00F8321C">
        <w:rPr>
          <w:rFonts w:ascii="Arial" w:eastAsia="Times New Roman" w:hAnsi="Arial" w:cs="Arial"/>
          <w:iCs/>
          <w:color w:val="000000"/>
          <w:sz w:val="22"/>
          <w:szCs w:val="22"/>
        </w:rPr>
        <w:t>)</w:t>
      </w:r>
      <w:r w:rsidR="00FA2F1A" w:rsidRPr="00FA2F1A">
        <w:rPr>
          <w:rFonts w:ascii="Arial" w:eastAsia="Times New Roman" w:hAnsi="Arial" w:cs="Arial"/>
          <w:iCs/>
          <w:color w:val="000000"/>
          <w:sz w:val="22"/>
          <w:szCs w:val="22"/>
        </w:rPr>
        <w:t>.</w:t>
      </w:r>
    </w:p>
    <w:p w14:paraId="492F7739" w14:textId="77777777" w:rsidR="00FA2F1A" w:rsidRPr="00492AEA" w:rsidRDefault="00FA2F1A" w:rsidP="00492AEA">
      <w:pPr>
        <w:rPr>
          <w:rFonts w:eastAsia="Times New Roman"/>
          <w:iCs/>
          <w:color w:val="000000"/>
          <w:szCs w:val="22"/>
        </w:rPr>
      </w:pPr>
    </w:p>
    <w:p w14:paraId="3CFD94AF" w14:textId="77777777" w:rsidR="00FA2F1A" w:rsidRPr="00FA2F1A" w:rsidRDefault="00FA2F1A" w:rsidP="00FA2F1A">
      <w:pPr>
        <w:pStyle w:val="null"/>
        <w:spacing w:before="0" w:beforeAutospacing="0" w:after="0" w:afterAutospacing="0"/>
        <w:jc w:val="both"/>
        <w:rPr>
          <w:rFonts w:ascii="Arial" w:eastAsia="Times New Roman" w:hAnsi="Arial" w:cs="Arial"/>
          <w:iCs/>
          <w:color w:val="000000"/>
          <w:sz w:val="22"/>
          <w:szCs w:val="22"/>
        </w:rPr>
      </w:pPr>
    </w:p>
    <w:p w14:paraId="673DC248" w14:textId="783059EA" w:rsidR="00FA2F1A" w:rsidRPr="00462E82" w:rsidRDefault="00462E82" w:rsidP="00FA2F1A">
      <w:pPr>
        <w:rPr>
          <w:rFonts w:eastAsia="Times New Roman"/>
          <w:b/>
          <w:iCs/>
          <w:color w:val="000000"/>
          <w:szCs w:val="22"/>
          <w:lang w:val="ru-RU" w:eastAsia="en-US"/>
        </w:rPr>
      </w:pPr>
      <w:r>
        <w:rPr>
          <w:rFonts w:eastAsia="Times New Roman"/>
          <w:b/>
          <w:iCs/>
          <w:color w:val="000000"/>
          <w:szCs w:val="22"/>
          <w:lang w:val="ru-RU" w:eastAsia="en-US"/>
        </w:rPr>
        <w:t xml:space="preserve">Сметные расходы на персонал в двухлетнем периоде </w:t>
      </w:r>
      <w:r w:rsidR="00FA2F1A" w:rsidRPr="008543F3">
        <w:rPr>
          <w:rFonts w:eastAsia="Times New Roman"/>
          <w:b/>
          <w:iCs/>
          <w:color w:val="000000"/>
          <w:szCs w:val="22"/>
          <w:lang w:eastAsia="en-US"/>
        </w:rPr>
        <w:t>2020</w:t>
      </w:r>
      <w:r>
        <w:rPr>
          <w:rFonts w:eastAsia="Times New Roman"/>
          <w:b/>
          <w:iCs/>
          <w:color w:val="000000"/>
          <w:szCs w:val="22"/>
          <w:lang w:val="ru-RU" w:eastAsia="en-US"/>
        </w:rPr>
        <w:t>–20</w:t>
      </w:r>
      <w:r w:rsidR="00FA2F1A" w:rsidRPr="008543F3">
        <w:rPr>
          <w:rFonts w:eastAsia="Times New Roman"/>
          <w:b/>
          <w:iCs/>
          <w:color w:val="000000"/>
          <w:szCs w:val="22"/>
          <w:lang w:eastAsia="en-US"/>
        </w:rPr>
        <w:t>21</w:t>
      </w:r>
      <w:r>
        <w:rPr>
          <w:rFonts w:eastAsia="Times New Roman"/>
          <w:b/>
          <w:iCs/>
          <w:color w:val="000000"/>
          <w:szCs w:val="22"/>
          <w:lang w:val="ru-RU" w:eastAsia="en-US"/>
        </w:rPr>
        <w:t> гг.</w:t>
      </w:r>
    </w:p>
    <w:p w14:paraId="475333A6" w14:textId="77777777" w:rsidR="00FA2F1A" w:rsidRDefault="00FA2F1A" w:rsidP="00FA2F1A">
      <w:pPr>
        <w:rPr>
          <w:rFonts w:eastAsia="Times New Roman"/>
          <w:iCs/>
          <w:color w:val="000000"/>
          <w:szCs w:val="22"/>
          <w:lang w:eastAsia="en-US"/>
        </w:rPr>
      </w:pPr>
    </w:p>
    <w:p w14:paraId="5DF14BEF" w14:textId="3E33CEB4" w:rsidR="0052447B" w:rsidRDefault="00520450" w:rsidP="00EA0BAA">
      <w:pPr>
        <w:pStyle w:val="ListParagraph"/>
        <w:numPr>
          <w:ilvl w:val="0"/>
          <w:numId w:val="8"/>
        </w:numPr>
        <w:ind w:left="0" w:firstLine="0"/>
      </w:pPr>
      <w:r>
        <w:rPr>
          <w:lang w:val="ru-RU"/>
        </w:rPr>
        <w:t xml:space="preserve">Объем </w:t>
      </w:r>
      <w:r w:rsidR="00462E82">
        <w:rPr>
          <w:lang w:val="ru-RU"/>
        </w:rPr>
        <w:t>расход</w:t>
      </w:r>
      <w:r>
        <w:rPr>
          <w:lang w:val="ru-RU"/>
        </w:rPr>
        <w:t>ов</w:t>
      </w:r>
      <w:r w:rsidR="00462E82">
        <w:rPr>
          <w:lang w:val="ru-RU"/>
        </w:rPr>
        <w:t xml:space="preserve"> на персонал в двухлетнем периоде </w:t>
      </w:r>
      <w:r w:rsidR="00EA0BAA">
        <w:t>2020</w:t>
      </w:r>
      <w:r w:rsidR="00462E82">
        <w:rPr>
          <w:lang w:val="ru-RU"/>
        </w:rPr>
        <w:t>–20</w:t>
      </w:r>
      <w:r w:rsidR="00EA0BAA">
        <w:t>21</w:t>
      </w:r>
      <w:r w:rsidR="00462E82">
        <w:rPr>
          <w:lang w:val="ru-RU"/>
        </w:rPr>
        <w:t xml:space="preserve"> гг. </w:t>
      </w:r>
      <w:r>
        <w:rPr>
          <w:lang w:val="ru-RU"/>
        </w:rPr>
        <w:t xml:space="preserve">оценивается на уровне </w:t>
      </w:r>
      <w:r w:rsidR="0052447B">
        <w:rPr>
          <w:rFonts w:eastAsia="Times New Roman"/>
          <w:iCs/>
          <w:color w:val="000000"/>
          <w:szCs w:val="22"/>
          <w:lang w:eastAsia="en-US"/>
        </w:rPr>
        <w:t>475</w:t>
      </w:r>
      <w:r w:rsidR="00462E82">
        <w:rPr>
          <w:rFonts w:eastAsia="Times New Roman"/>
          <w:iCs/>
          <w:color w:val="000000"/>
          <w:szCs w:val="22"/>
          <w:lang w:val="ru-RU" w:eastAsia="en-US"/>
        </w:rPr>
        <w:t> </w:t>
      </w:r>
      <w:r w:rsidR="0052447B">
        <w:rPr>
          <w:rFonts w:eastAsia="Times New Roman"/>
          <w:iCs/>
          <w:color w:val="000000"/>
          <w:szCs w:val="22"/>
          <w:lang w:eastAsia="en-US"/>
        </w:rPr>
        <w:t>91</w:t>
      </w:r>
      <w:r w:rsidR="00F06BAF">
        <w:rPr>
          <w:rFonts w:eastAsia="Times New Roman"/>
          <w:iCs/>
          <w:color w:val="000000"/>
          <w:szCs w:val="22"/>
          <w:lang w:eastAsia="en-US"/>
        </w:rPr>
        <w:t>8</w:t>
      </w:r>
      <w:r w:rsidR="00462E82">
        <w:rPr>
          <w:rFonts w:eastAsia="Times New Roman"/>
          <w:iCs/>
          <w:color w:val="000000"/>
          <w:szCs w:val="22"/>
          <w:lang w:val="ru-RU" w:eastAsia="en-US"/>
        </w:rPr>
        <w:t> </w:t>
      </w:r>
      <w:r w:rsidR="00F06BAF">
        <w:rPr>
          <w:rFonts w:eastAsia="Times New Roman"/>
          <w:iCs/>
          <w:color w:val="000000"/>
          <w:szCs w:val="22"/>
          <w:lang w:eastAsia="en-US"/>
        </w:rPr>
        <w:t>900</w:t>
      </w:r>
      <w:r w:rsidR="00462E82">
        <w:rPr>
          <w:rFonts w:eastAsia="Times New Roman"/>
          <w:iCs/>
          <w:color w:val="000000"/>
          <w:szCs w:val="22"/>
          <w:lang w:val="ru-RU" w:eastAsia="en-US"/>
        </w:rPr>
        <w:t xml:space="preserve"> шв. франков</w:t>
      </w:r>
      <w:r w:rsidR="0052447B">
        <w:t>.</w:t>
      </w:r>
      <w:r w:rsidR="00F06BAF">
        <w:t xml:space="preserve">  </w:t>
      </w:r>
      <w:r w:rsidR="00F143F0">
        <w:rPr>
          <w:lang w:val="ru-RU"/>
        </w:rPr>
        <w:t>Эт</w:t>
      </w:r>
      <w:r w:rsidR="002A222D">
        <w:rPr>
          <w:lang w:val="ru-RU"/>
        </w:rPr>
        <w:t xml:space="preserve">а цифра получена в результате </w:t>
      </w:r>
      <w:r w:rsidR="00F143F0">
        <w:rPr>
          <w:lang w:val="ru-RU"/>
        </w:rPr>
        <w:t>сокращени</w:t>
      </w:r>
      <w:r w:rsidR="002A222D">
        <w:rPr>
          <w:lang w:val="ru-RU"/>
        </w:rPr>
        <w:t>я</w:t>
      </w:r>
      <w:r w:rsidR="00F143F0">
        <w:rPr>
          <w:lang w:val="ru-RU"/>
        </w:rPr>
        <w:t xml:space="preserve"> объема средств, выделяемых на Программу награждения и поощрения сотрудников ВОИС, на </w:t>
      </w:r>
      <w:r w:rsidR="00F06BAF">
        <w:lastRenderedPageBreak/>
        <w:t>1</w:t>
      </w:r>
      <w:r w:rsidR="00F143F0">
        <w:rPr>
          <w:lang w:val="ru-RU"/>
        </w:rPr>
        <w:t> </w:t>
      </w:r>
      <w:r w:rsidR="00F06BAF">
        <w:t>655</w:t>
      </w:r>
      <w:r w:rsidR="00F143F0">
        <w:rPr>
          <w:lang w:val="ru-RU"/>
        </w:rPr>
        <w:t> </w:t>
      </w:r>
      <w:r w:rsidR="00F06BAF">
        <w:t>800</w:t>
      </w:r>
      <w:r w:rsidR="00F143F0">
        <w:rPr>
          <w:lang w:val="ru-RU"/>
        </w:rPr>
        <w:t xml:space="preserve"> шв. франков с уровня в</w:t>
      </w:r>
      <w:r w:rsidR="00F06BAF">
        <w:t xml:space="preserve"> 477</w:t>
      </w:r>
      <w:r w:rsidR="00F143F0">
        <w:rPr>
          <w:lang w:val="ru-RU"/>
        </w:rPr>
        <w:t> </w:t>
      </w:r>
      <w:r w:rsidR="00F06BAF">
        <w:t>574</w:t>
      </w:r>
      <w:r w:rsidR="00F143F0">
        <w:rPr>
          <w:lang w:val="ru-RU"/>
        </w:rPr>
        <w:t> </w:t>
      </w:r>
      <w:r w:rsidR="00F06BAF">
        <w:t xml:space="preserve">700 </w:t>
      </w:r>
      <w:r w:rsidR="00F143F0">
        <w:rPr>
          <w:lang w:val="ru-RU"/>
        </w:rPr>
        <w:t>шв. франков, указанного в документе</w:t>
      </w:r>
      <w:r w:rsidR="00F06BAF">
        <w:t xml:space="preserve"> </w:t>
      </w:r>
      <w:r w:rsidR="00F06BAF" w:rsidRPr="00FA2F1A">
        <w:rPr>
          <w:rFonts w:eastAsia="Times New Roman"/>
          <w:iCs/>
          <w:color w:val="000000"/>
          <w:szCs w:val="22"/>
        </w:rPr>
        <w:t>WO/PBC/30/10</w:t>
      </w:r>
      <w:r w:rsidR="00F143F0">
        <w:rPr>
          <w:rFonts w:eastAsia="Times New Roman"/>
          <w:iCs/>
          <w:color w:val="000000"/>
          <w:szCs w:val="22"/>
          <w:lang w:val="ru-RU"/>
        </w:rPr>
        <w:t> </w:t>
      </w:r>
      <w:r w:rsidR="00F06BAF" w:rsidRPr="00FA2F1A">
        <w:rPr>
          <w:rFonts w:eastAsia="Times New Roman"/>
          <w:iCs/>
          <w:color w:val="000000"/>
          <w:szCs w:val="22"/>
        </w:rPr>
        <w:t>Corr.</w:t>
      </w:r>
    </w:p>
    <w:p w14:paraId="0CFAE77E" w14:textId="77777777" w:rsidR="00E43266" w:rsidRDefault="00E43266" w:rsidP="00E43266">
      <w:pPr>
        <w:pStyle w:val="ListParagraph"/>
        <w:ind w:left="0"/>
        <w:rPr>
          <w:rFonts w:eastAsia="Times New Roman"/>
          <w:iCs/>
          <w:color w:val="000000"/>
          <w:szCs w:val="22"/>
          <w:lang w:eastAsia="en-US"/>
        </w:rPr>
      </w:pPr>
    </w:p>
    <w:p w14:paraId="108F942F" w14:textId="1C7A2DED" w:rsidR="0052447B" w:rsidRDefault="00F143F0" w:rsidP="00FA2F1A">
      <w:pPr>
        <w:pStyle w:val="ListParagraph"/>
        <w:numPr>
          <w:ilvl w:val="0"/>
          <w:numId w:val="8"/>
        </w:numPr>
        <w:ind w:left="0" w:firstLine="0"/>
        <w:rPr>
          <w:rFonts w:eastAsia="Times New Roman"/>
          <w:iCs/>
          <w:color w:val="000000"/>
          <w:szCs w:val="22"/>
          <w:lang w:eastAsia="en-US"/>
        </w:rPr>
      </w:pPr>
      <w:r>
        <w:rPr>
          <w:rFonts w:eastAsia="Times New Roman"/>
          <w:iCs/>
          <w:color w:val="000000"/>
          <w:szCs w:val="22"/>
          <w:lang w:val="ru-RU" w:eastAsia="en-US"/>
        </w:rPr>
        <w:t xml:space="preserve">В следующих разделах описана методика расчета расходов на персонал в двухлетнем периоде </w:t>
      </w:r>
      <w:r w:rsidR="0052447B">
        <w:rPr>
          <w:rFonts w:eastAsia="Times New Roman"/>
          <w:iCs/>
          <w:color w:val="000000"/>
          <w:szCs w:val="22"/>
          <w:lang w:eastAsia="en-US"/>
        </w:rPr>
        <w:t>2020</w:t>
      </w:r>
      <w:r>
        <w:rPr>
          <w:rFonts w:eastAsia="Times New Roman"/>
          <w:iCs/>
          <w:color w:val="000000"/>
          <w:szCs w:val="22"/>
          <w:lang w:val="ru-RU" w:eastAsia="en-US"/>
        </w:rPr>
        <w:t>–20</w:t>
      </w:r>
      <w:r w:rsidR="0052447B">
        <w:rPr>
          <w:rFonts w:eastAsia="Times New Roman"/>
          <w:iCs/>
          <w:color w:val="000000"/>
          <w:szCs w:val="22"/>
          <w:lang w:eastAsia="en-US"/>
        </w:rPr>
        <w:t>21</w:t>
      </w:r>
      <w:r>
        <w:rPr>
          <w:rFonts w:eastAsia="Times New Roman"/>
          <w:iCs/>
          <w:color w:val="000000"/>
          <w:szCs w:val="22"/>
          <w:lang w:val="ru-RU" w:eastAsia="en-US"/>
        </w:rPr>
        <w:t xml:space="preserve"> гг. и </w:t>
      </w:r>
      <w:r w:rsidR="00C975A7">
        <w:rPr>
          <w:rFonts w:eastAsia="Times New Roman"/>
          <w:iCs/>
          <w:color w:val="000000"/>
          <w:szCs w:val="22"/>
          <w:lang w:val="ru-RU" w:eastAsia="en-US"/>
        </w:rPr>
        <w:t>исходные плановые допущения</w:t>
      </w:r>
      <w:r w:rsidR="0052447B">
        <w:rPr>
          <w:rStyle w:val="FootnoteReference"/>
          <w:rFonts w:eastAsia="Times New Roman"/>
          <w:iCs/>
          <w:color w:val="000000"/>
          <w:szCs w:val="22"/>
          <w:lang w:eastAsia="en-US"/>
        </w:rPr>
        <w:footnoteReference w:id="2"/>
      </w:r>
      <w:r w:rsidR="0052447B">
        <w:rPr>
          <w:rFonts w:eastAsia="Times New Roman"/>
          <w:iCs/>
          <w:color w:val="000000"/>
          <w:szCs w:val="22"/>
          <w:lang w:eastAsia="en-US"/>
        </w:rPr>
        <w:t>.</w:t>
      </w:r>
    </w:p>
    <w:p w14:paraId="6F348685" w14:textId="77777777" w:rsidR="0052447B" w:rsidRPr="00C975A7" w:rsidRDefault="0052447B" w:rsidP="00C975A7">
      <w:pPr>
        <w:rPr>
          <w:rFonts w:eastAsia="Times New Roman"/>
          <w:iCs/>
          <w:color w:val="000000"/>
          <w:szCs w:val="22"/>
          <w:lang w:eastAsia="en-US"/>
        </w:rPr>
      </w:pPr>
    </w:p>
    <w:p w14:paraId="4D19860A" w14:textId="0B9EEFEE" w:rsidR="00FA2F1A" w:rsidRPr="008543F3" w:rsidRDefault="00FE1E1C" w:rsidP="0052447B">
      <w:pPr>
        <w:pStyle w:val="ListParagraph"/>
        <w:ind w:left="0"/>
        <w:rPr>
          <w:rFonts w:eastAsia="Times New Roman"/>
          <w:iCs/>
          <w:color w:val="000000"/>
          <w:szCs w:val="22"/>
          <w:u w:val="single"/>
          <w:lang w:eastAsia="en-US"/>
        </w:rPr>
      </w:pPr>
      <w:r>
        <w:rPr>
          <w:rFonts w:eastAsia="Times New Roman"/>
          <w:iCs/>
          <w:color w:val="000000"/>
          <w:szCs w:val="22"/>
          <w:u w:val="single"/>
          <w:lang w:val="ru-RU" w:eastAsia="en-US"/>
        </w:rPr>
        <w:t>Методика</w:t>
      </w:r>
    </w:p>
    <w:p w14:paraId="673812DC" w14:textId="77777777" w:rsidR="0052447B" w:rsidRDefault="0052447B" w:rsidP="0052447B">
      <w:pPr>
        <w:pStyle w:val="ListParagraph"/>
        <w:ind w:left="0"/>
        <w:rPr>
          <w:rFonts w:eastAsia="Times New Roman"/>
          <w:iCs/>
          <w:color w:val="000000"/>
          <w:szCs w:val="22"/>
          <w:lang w:eastAsia="en-US"/>
        </w:rPr>
      </w:pPr>
    </w:p>
    <w:p w14:paraId="6D386AF8" w14:textId="2F462559" w:rsidR="0052447B" w:rsidRPr="008543F3" w:rsidRDefault="00B45B53" w:rsidP="0052447B">
      <w:pPr>
        <w:pStyle w:val="NormalNumb"/>
        <w:numPr>
          <w:ilvl w:val="0"/>
          <w:numId w:val="8"/>
        </w:numPr>
        <w:ind w:left="0" w:firstLine="0"/>
        <w:rPr>
          <w:rFonts w:eastAsia="Times New Roman" w:cs="Arial"/>
          <w:iCs/>
          <w:color w:val="000000"/>
          <w:sz w:val="22"/>
          <w:lang w:val="en-US"/>
        </w:rPr>
      </w:pPr>
      <w:r>
        <w:rPr>
          <w:rFonts w:eastAsia="Times New Roman" w:cs="Arial"/>
          <w:iCs/>
          <w:color w:val="000000"/>
          <w:sz w:val="22"/>
          <w:lang w:val="ru-RU"/>
        </w:rPr>
        <w:t xml:space="preserve">Расходы на персонал </w:t>
      </w:r>
      <w:r w:rsidR="00777430">
        <w:rPr>
          <w:rFonts w:eastAsia="Times New Roman" w:cs="Arial"/>
          <w:iCs/>
          <w:color w:val="000000"/>
          <w:sz w:val="22"/>
          <w:lang w:val="ru-RU"/>
        </w:rPr>
        <w:t>в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 двухлетн</w:t>
      </w:r>
      <w:r w:rsidR="00777430">
        <w:rPr>
          <w:rFonts w:eastAsia="Times New Roman" w:cs="Arial"/>
          <w:iCs/>
          <w:color w:val="000000"/>
          <w:sz w:val="22"/>
          <w:lang w:val="ru-RU"/>
        </w:rPr>
        <w:t>ем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 период</w:t>
      </w:r>
      <w:r w:rsidR="00777430">
        <w:rPr>
          <w:rFonts w:eastAsia="Times New Roman" w:cs="Arial"/>
          <w:iCs/>
          <w:color w:val="000000"/>
          <w:sz w:val="22"/>
          <w:lang w:val="ru-RU"/>
        </w:rPr>
        <w:t>е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2020</w:t>
      </w:r>
      <w:r>
        <w:rPr>
          <w:rFonts w:eastAsia="Times New Roman" w:cs="Arial"/>
          <w:iCs/>
          <w:color w:val="000000"/>
          <w:sz w:val="22"/>
          <w:lang w:val="ru-RU"/>
        </w:rPr>
        <w:t>–20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21</w:t>
      </w:r>
      <w:r>
        <w:rPr>
          <w:rFonts w:eastAsia="Times New Roman" w:cs="Arial"/>
          <w:iCs/>
          <w:color w:val="000000"/>
          <w:sz w:val="22"/>
          <w:lang w:val="ru-RU"/>
        </w:rPr>
        <w:t> гг. вновь рассчитаны на основе фактических расходов с учетом ряда плановых допущений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 xml:space="preserve">. </w:t>
      </w:r>
    </w:p>
    <w:p w14:paraId="286C9F43" w14:textId="1AADB2CB" w:rsidR="0052447B" w:rsidRPr="008543F3" w:rsidRDefault="00B45B53" w:rsidP="0052447B">
      <w:pPr>
        <w:pStyle w:val="NormalNumb"/>
        <w:numPr>
          <w:ilvl w:val="0"/>
          <w:numId w:val="8"/>
        </w:numPr>
        <w:ind w:left="0" w:firstLine="0"/>
        <w:rPr>
          <w:rFonts w:eastAsia="Times New Roman" w:cs="Arial"/>
          <w:iCs/>
          <w:color w:val="000000"/>
          <w:sz w:val="22"/>
          <w:lang w:val="en-US"/>
        </w:rPr>
      </w:pPr>
      <w:r>
        <w:rPr>
          <w:rFonts w:eastAsia="Times New Roman" w:cs="Arial"/>
          <w:iCs/>
          <w:color w:val="000000"/>
          <w:sz w:val="22"/>
          <w:lang w:val="ru-RU"/>
        </w:rPr>
        <w:t xml:space="preserve">В расчетах расходов на персонал на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2020</w:t>
      </w:r>
      <w:r>
        <w:rPr>
          <w:rFonts w:eastAsia="Times New Roman" w:cs="Arial"/>
          <w:iCs/>
          <w:color w:val="000000"/>
          <w:sz w:val="22"/>
          <w:lang w:val="ru-RU"/>
        </w:rPr>
        <w:t>–20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21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 гг. </w:t>
      </w:r>
      <w:r w:rsidR="00174BF1">
        <w:rPr>
          <w:rFonts w:eastAsia="Times New Roman" w:cs="Arial"/>
          <w:iCs/>
          <w:color w:val="000000"/>
          <w:sz w:val="22"/>
          <w:lang w:val="ru-RU"/>
        </w:rPr>
        <w:t xml:space="preserve">отражены изменения, обусловленные введением с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1</w:t>
      </w:r>
      <w:r w:rsidR="00174BF1">
        <w:rPr>
          <w:rFonts w:eastAsia="Times New Roman" w:cs="Arial"/>
          <w:iCs/>
          <w:color w:val="000000"/>
          <w:sz w:val="22"/>
          <w:lang w:val="ru-RU"/>
        </w:rPr>
        <w:t xml:space="preserve"> января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2017</w:t>
      </w:r>
      <w:r w:rsidR="00174BF1">
        <w:rPr>
          <w:rFonts w:eastAsia="Times New Roman" w:cs="Arial"/>
          <w:iCs/>
          <w:color w:val="000000"/>
          <w:sz w:val="22"/>
          <w:lang w:val="ru-RU"/>
        </w:rPr>
        <w:t> г. единой шкалы окладов, принятием утвержденного Комиссией по международной гражданской службе (КМГС) нового пакета вознаграждения общей системы ООН для сотрудников категории специалистов и выше и внесением соответствующих поправок в Правила и положения о персонале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.</w:t>
      </w:r>
    </w:p>
    <w:p w14:paraId="6A2687DB" w14:textId="4CB65E93" w:rsidR="0052447B" w:rsidRPr="00853FEC" w:rsidRDefault="00853FEC" w:rsidP="0052447B">
      <w:pPr>
        <w:pStyle w:val="NormalNumb"/>
        <w:numPr>
          <w:ilvl w:val="0"/>
          <w:numId w:val="8"/>
        </w:numPr>
        <w:ind w:left="0" w:firstLine="0"/>
        <w:rPr>
          <w:rFonts w:eastAsia="Times New Roman" w:cs="Arial"/>
          <w:iCs/>
          <w:color w:val="000000"/>
          <w:sz w:val="22"/>
          <w:lang w:val="ru-RU"/>
        </w:rPr>
      </w:pPr>
      <w:r w:rsidRPr="00853FEC">
        <w:rPr>
          <w:rFonts w:eastAsia="Times New Roman" w:cs="Arial"/>
          <w:iCs/>
          <w:color w:val="000000"/>
          <w:sz w:val="22"/>
          <w:lang w:val="ru-RU"/>
        </w:rPr>
        <w:t>В то время как расходы, связанные с занятыми должностями, основаны на последних имеющихся шкалах окладов и зачитываемого для пенсии вознаграждения</w:t>
      </w:r>
      <w:r w:rsidR="00C75FAA">
        <w:rPr>
          <w:rFonts w:eastAsia="Times New Roman" w:cs="Arial"/>
          <w:iCs/>
          <w:color w:val="000000"/>
          <w:sz w:val="22"/>
          <w:lang w:val="ru-RU"/>
        </w:rPr>
        <w:t xml:space="preserve"> Организации Объединенных Наций</w:t>
      </w:r>
      <w:r w:rsidRPr="00853FEC">
        <w:rPr>
          <w:rFonts w:eastAsia="Times New Roman" w:cs="Arial"/>
          <w:iCs/>
          <w:color w:val="000000"/>
          <w:sz w:val="22"/>
          <w:lang w:val="ru-RU"/>
        </w:rPr>
        <w:t>, а также действующих правилах в отношении пособий и прав, расходы, связанные с вакантными должностями, определяются на основе средних нормативных расходов</w:t>
      </w:r>
      <w:r w:rsidR="0052447B" w:rsidRPr="00853FEC">
        <w:rPr>
          <w:rFonts w:eastAsia="Times New Roman" w:cs="Arial"/>
          <w:iCs/>
          <w:color w:val="000000"/>
          <w:sz w:val="22"/>
          <w:lang w:val="ru-RU"/>
        </w:rPr>
        <w:t>.</w:t>
      </w:r>
    </w:p>
    <w:p w14:paraId="6336D770" w14:textId="77777777" w:rsidR="0052447B" w:rsidRPr="008543F3" w:rsidRDefault="0052447B" w:rsidP="0052447B">
      <w:pPr>
        <w:pStyle w:val="ListParagraph"/>
        <w:ind w:left="0"/>
        <w:rPr>
          <w:rFonts w:eastAsia="Times New Roman"/>
          <w:iCs/>
          <w:color w:val="000000"/>
          <w:szCs w:val="22"/>
          <w:lang w:eastAsia="en-US"/>
        </w:rPr>
      </w:pPr>
    </w:p>
    <w:p w14:paraId="49F3DFB2" w14:textId="59C7BF1F" w:rsidR="0052447B" w:rsidRPr="008543F3" w:rsidRDefault="00C75FAA" w:rsidP="0052447B">
      <w:pPr>
        <w:pStyle w:val="ListParagraph"/>
        <w:ind w:left="0"/>
        <w:rPr>
          <w:rFonts w:eastAsia="Times New Roman"/>
          <w:iCs/>
          <w:color w:val="000000"/>
          <w:szCs w:val="22"/>
          <w:u w:val="single"/>
          <w:lang w:eastAsia="en-US"/>
        </w:rPr>
      </w:pPr>
      <w:r>
        <w:rPr>
          <w:rFonts w:eastAsia="Times New Roman"/>
          <w:iCs/>
          <w:color w:val="000000"/>
          <w:szCs w:val="22"/>
          <w:u w:val="single"/>
          <w:lang w:val="ru-RU" w:eastAsia="en-US"/>
        </w:rPr>
        <w:t>Плановые допущения</w:t>
      </w:r>
    </w:p>
    <w:p w14:paraId="2BD97ABE" w14:textId="77777777" w:rsidR="0052447B" w:rsidRPr="008543F3" w:rsidRDefault="0052447B" w:rsidP="0052447B">
      <w:pPr>
        <w:pStyle w:val="ListParagraph"/>
        <w:ind w:left="0"/>
        <w:rPr>
          <w:rFonts w:eastAsia="Times New Roman"/>
          <w:iCs/>
          <w:color w:val="000000"/>
          <w:szCs w:val="22"/>
          <w:lang w:eastAsia="en-US"/>
        </w:rPr>
      </w:pPr>
    </w:p>
    <w:p w14:paraId="5146A503" w14:textId="0988202D" w:rsidR="0078193C" w:rsidRDefault="00673CED" w:rsidP="0078193C">
      <w:pPr>
        <w:pStyle w:val="Bullet2"/>
        <w:ind w:hanging="500"/>
        <w:rPr>
          <w:rFonts w:eastAsia="Times New Roman" w:cs="Arial"/>
          <w:iCs/>
          <w:color w:val="000000"/>
          <w:sz w:val="22"/>
          <w:lang w:val="en-US"/>
        </w:rPr>
      </w:pPr>
      <w:r>
        <w:rPr>
          <w:rFonts w:eastAsia="Times New Roman" w:cs="Arial"/>
          <w:iCs/>
          <w:color w:val="000000"/>
          <w:sz w:val="22"/>
          <w:lang w:val="ru-RU"/>
        </w:rPr>
        <w:t xml:space="preserve">Для занятых должностей сметные расходы на выплату окладов в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2020</w:t>
      </w:r>
      <w:r>
        <w:rPr>
          <w:rFonts w:eastAsia="Times New Roman" w:cs="Arial"/>
          <w:iCs/>
          <w:color w:val="000000"/>
          <w:sz w:val="22"/>
          <w:lang w:val="ru-RU"/>
        </w:rPr>
        <w:t>–20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21</w:t>
      </w:r>
      <w:r>
        <w:rPr>
          <w:rFonts w:eastAsia="Times New Roman" w:cs="Arial"/>
          <w:iCs/>
          <w:color w:val="000000"/>
          <w:sz w:val="22"/>
          <w:lang w:val="ru-RU"/>
        </w:rPr>
        <w:t> гг.</w:t>
      </w:r>
      <w:r w:rsidR="0052447B" w:rsidRPr="00F06BAF">
        <w:rPr>
          <w:rFonts w:eastAsia="Times New Roman" w:cs="Arial"/>
          <w:iCs/>
          <w:color w:val="000000"/>
          <w:sz w:val="22"/>
          <w:vertAlign w:val="superscript"/>
          <w:lang w:val="en-US"/>
        </w:rPr>
        <w:footnoteReference w:id="3"/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 xml:space="preserve"> 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учитывают действующие шкалы окладов КМГС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(</w:t>
      </w:r>
      <w:r>
        <w:rPr>
          <w:rFonts w:eastAsia="Times New Roman" w:cs="Arial"/>
          <w:iCs/>
          <w:color w:val="000000"/>
          <w:sz w:val="22"/>
          <w:lang w:val="ru-RU"/>
        </w:rPr>
        <w:t>для должностей категории общего обслуживания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 xml:space="preserve">) </w:t>
      </w:r>
      <w:r>
        <w:rPr>
          <w:rFonts w:eastAsia="Times New Roman" w:cs="Arial"/>
          <w:iCs/>
          <w:color w:val="000000"/>
          <w:sz w:val="22"/>
          <w:lang w:val="ru-RU"/>
        </w:rPr>
        <w:t>и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/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или шкалу окладов и повышения ступеней классов должностей, вступившую в силу с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1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 января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2018</w:t>
      </w:r>
      <w:r>
        <w:rPr>
          <w:rFonts w:eastAsia="Times New Roman" w:cs="Arial"/>
          <w:iCs/>
          <w:color w:val="000000"/>
          <w:sz w:val="22"/>
          <w:lang w:val="ru-RU"/>
        </w:rPr>
        <w:t> г.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 xml:space="preserve"> (</w:t>
      </w:r>
      <w:proofErr w:type="gramStart"/>
      <w:r>
        <w:rPr>
          <w:rFonts w:eastAsia="Times New Roman" w:cs="Arial"/>
          <w:iCs/>
          <w:color w:val="000000"/>
          <w:sz w:val="22"/>
          <w:lang w:val="ru-RU"/>
        </w:rPr>
        <w:t>для</w:t>
      </w:r>
      <w:proofErr w:type="gramEnd"/>
      <w:r>
        <w:rPr>
          <w:rFonts w:eastAsia="Times New Roman" w:cs="Arial"/>
          <w:iCs/>
          <w:color w:val="000000"/>
          <w:sz w:val="22"/>
          <w:lang w:val="ru-RU"/>
        </w:rPr>
        <w:t xml:space="preserve"> должностей категории специалистов и выше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 xml:space="preserve">), 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пропорционально распределенные на период 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2020</w:t>
      </w:r>
      <w:r>
        <w:rPr>
          <w:rFonts w:eastAsia="Times New Roman" w:cs="Arial"/>
          <w:iCs/>
          <w:color w:val="000000"/>
          <w:sz w:val="22"/>
          <w:lang w:val="ru-RU"/>
        </w:rPr>
        <w:t>–20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21</w:t>
      </w:r>
      <w:r>
        <w:rPr>
          <w:rFonts w:eastAsia="Times New Roman" w:cs="Arial"/>
          <w:iCs/>
          <w:color w:val="000000"/>
          <w:sz w:val="22"/>
          <w:lang w:val="ru-RU"/>
        </w:rPr>
        <w:t> гг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 xml:space="preserve">. </w:t>
      </w:r>
      <w:r w:rsidR="003A727D">
        <w:rPr>
          <w:rFonts w:eastAsia="Times New Roman" w:cs="Arial"/>
          <w:iCs/>
          <w:color w:val="000000"/>
          <w:sz w:val="22"/>
          <w:lang w:val="ru-RU"/>
        </w:rPr>
        <w:t>Для вакантных должностей нормативные сметные расходы рассчитываются на основе ступени</w:t>
      </w:r>
      <w:r w:rsidR="00F227D6">
        <w:rPr>
          <w:rFonts w:eastAsia="Times New Roman" w:cs="Arial"/>
          <w:iCs/>
          <w:color w:val="000000"/>
          <w:sz w:val="22"/>
          <w:lang w:val="ru-RU"/>
        </w:rPr>
        <w:t> 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I</w:t>
      </w:r>
      <w:r w:rsidR="003A727D">
        <w:rPr>
          <w:rFonts w:eastAsia="Times New Roman" w:cs="Arial"/>
          <w:iCs/>
          <w:color w:val="000000"/>
          <w:sz w:val="22"/>
          <w:lang w:val="ru-RU"/>
        </w:rPr>
        <w:t xml:space="preserve"> класса соответствующей должности при допущении выплаты надбавки на супругу</w:t>
      </w:r>
      <w:r w:rsidR="003A727D">
        <w:rPr>
          <w:rFonts w:eastAsia="Times New Roman" w:cs="Arial"/>
          <w:iCs/>
          <w:color w:val="000000"/>
          <w:sz w:val="22"/>
          <w:lang w:val="en-US"/>
        </w:rPr>
        <w:t>/</w:t>
      </w:r>
      <w:r w:rsidR="003A727D">
        <w:rPr>
          <w:rFonts w:eastAsia="Times New Roman" w:cs="Arial"/>
          <w:iCs/>
          <w:color w:val="000000"/>
          <w:sz w:val="22"/>
          <w:lang w:val="ru-RU"/>
        </w:rPr>
        <w:t>супруга-иждивенца или ребенка-иждивенца</w:t>
      </w:r>
      <w:r w:rsidR="0052447B" w:rsidRPr="008543F3">
        <w:rPr>
          <w:rFonts w:eastAsia="Times New Roman" w:cs="Arial"/>
          <w:iCs/>
          <w:color w:val="000000"/>
          <w:sz w:val="22"/>
          <w:lang w:val="en-US"/>
        </w:rPr>
        <w:t>;</w:t>
      </w:r>
    </w:p>
    <w:p w14:paraId="1E3543B3" w14:textId="482806BA" w:rsidR="00F8321C" w:rsidRPr="0078193C" w:rsidRDefault="00991753" w:rsidP="0078193C">
      <w:pPr>
        <w:pStyle w:val="Bullet2"/>
        <w:ind w:hanging="500"/>
        <w:rPr>
          <w:rFonts w:eastAsia="Times New Roman" w:cs="Arial"/>
          <w:iCs/>
          <w:color w:val="000000"/>
          <w:sz w:val="22"/>
          <w:lang w:val="en-US"/>
        </w:rPr>
      </w:pPr>
      <w:r>
        <w:rPr>
          <w:rFonts w:eastAsia="Times New Roman" w:cs="Arial"/>
          <w:iCs/>
          <w:color w:val="000000"/>
          <w:sz w:val="22"/>
          <w:lang w:val="ru-RU"/>
        </w:rPr>
        <w:t xml:space="preserve">С учетом решения </w:t>
      </w:r>
      <w:r w:rsidR="00925A8D">
        <w:rPr>
          <w:rFonts w:eastAsia="Times New Roman" w:cs="Arial"/>
          <w:iCs/>
          <w:color w:val="000000"/>
          <w:sz w:val="22"/>
          <w:lang w:val="ru-RU"/>
        </w:rPr>
        <w:t>№ </w:t>
      </w:r>
      <w:r w:rsidR="00F8321C" w:rsidRPr="0078193C">
        <w:rPr>
          <w:rFonts w:eastAsia="Times New Roman" w:cs="Arial"/>
          <w:iCs/>
          <w:color w:val="000000"/>
          <w:sz w:val="22"/>
          <w:lang w:val="en-US"/>
        </w:rPr>
        <w:t>4138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 АТМОТ обменный курс и мультипликатор корректива по месту службы </w:t>
      </w:r>
      <w:r w:rsidR="00F8321C" w:rsidRPr="0078193C">
        <w:rPr>
          <w:rFonts w:eastAsia="Times New Roman" w:cs="Arial"/>
          <w:iCs/>
          <w:color w:val="000000"/>
          <w:sz w:val="22"/>
          <w:lang w:val="en-US"/>
        </w:rPr>
        <w:t>(</w:t>
      </w:r>
      <w:r>
        <w:rPr>
          <w:rFonts w:eastAsia="Times New Roman" w:cs="Arial"/>
          <w:iCs/>
          <w:color w:val="000000"/>
          <w:sz w:val="22"/>
          <w:lang w:val="ru-RU"/>
        </w:rPr>
        <w:t>МКМС</w:t>
      </w:r>
      <w:r w:rsidR="00F8321C" w:rsidRPr="0078193C">
        <w:rPr>
          <w:rFonts w:eastAsia="Times New Roman" w:cs="Arial"/>
          <w:iCs/>
          <w:color w:val="000000"/>
          <w:sz w:val="22"/>
          <w:lang w:val="en-US"/>
        </w:rPr>
        <w:t xml:space="preserve">) 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применяются с января </w:t>
      </w:r>
      <w:r w:rsidR="00F8321C" w:rsidRPr="0078193C">
        <w:rPr>
          <w:rFonts w:eastAsia="Times New Roman" w:cs="Arial"/>
          <w:iCs/>
          <w:color w:val="000000"/>
          <w:sz w:val="22"/>
          <w:lang w:val="en-US"/>
        </w:rPr>
        <w:t>2018</w:t>
      </w:r>
      <w:r>
        <w:rPr>
          <w:rFonts w:eastAsia="Times New Roman" w:cs="Arial"/>
          <w:iCs/>
          <w:color w:val="000000"/>
          <w:sz w:val="22"/>
          <w:lang w:val="ru-RU"/>
        </w:rPr>
        <w:t> г.</w:t>
      </w:r>
      <w:r w:rsidR="00F8321C" w:rsidRPr="0078193C">
        <w:rPr>
          <w:vertAlign w:val="superscript"/>
        </w:rPr>
        <w:footnoteReference w:id="4"/>
      </w:r>
      <w:r w:rsidR="00F8321C" w:rsidRPr="0078193C">
        <w:rPr>
          <w:rFonts w:eastAsia="Times New Roman" w:cs="Arial"/>
          <w:iCs/>
          <w:color w:val="000000"/>
          <w:sz w:val="22"/>
          <w:lang w:val="en-US"/>
        </w:rPr>
        <w:t>;</w:t>
      </w:r>
    </w:p>
    <w:p w14:paraId="621ABC52" w14:textId="3B380746" w:rsidR="0052447B" w:rsidRPr="00565DD9" w:rsidRDefault="008811AD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565DD9">
        <w:rPr>
          <w:rFonts w:eastAsia="Times New Roman" w:cs="Arial"/>
          <w:iCs/>
          <w:color w:val="000000"/>
          <w:sz w:val="22"/>
          <w:lang w:val="ru-RU"/>
        </w:rPr>
        <w:t>К зачитываемому для пенсии вознаграждению применяется обменный курс доллара США к швейцарскому франку 1:1. Шкала окладов КМГС, применяемая в отношении категории специалистов и выше, действует с февраля 2019 г.;  для должностей категории общего обслуживания шкала окладов в отношении занятых должностей действует с апреля 2011 г., а в отношении вакантных должностей с сентября 2017 г.</w:t>
      </w:r>
      <w:r w:rsidR="0052447B" w:rsidRPr="00565DD9">
        <w:rPr>
          <w:rFonts w:eastAsia="Times New Roman" w:cs="Arial"/>
          <w:iCs/>
          <w:color w:val="000000"/>
          <w:sz w:val="22"/>
          <w:lang w:val="ru-RU"/>
        </w:rPr>
        <w:t>;</w:t>
      </w:r>
    </w:p>
    <w:p w14:paraId="36B78103" w14:textId="5121CBCB" w:rsidR="0052447B" w:rsidRPr="00E9630B" w:rsidRDefault="009C4A8C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565DD9">
        <w:rPr>
          <w:rFonts w:eastAsia="Times New Roman" w:cs="Arial"/>
          <w:iCs/>
          <w:color w:val="000000"/>
          <w:sz w:val="22"/>
          <w:lang w:val="ru-RU"/>
        </w:rPr>
        <w:t xml:space="preserve">Сметные расходы на все применимые пособия и права для занятых должностей, включая оплату пособий на образование и оплату отпусков сотрудников на родину, рассчитываются с учетом уровня должности и последних данных по фонду </w:t>
      </w:r>
      <w:r w:rsidRPr="00E9630B">
        <w:rPr>
          <w:rFonts w:eastAsia="Times New Roman" w:cs="Arial"/>
          <w:iCs/>
          <w:color w:val="000000"/>
          <w:sz w:val="22"/>
          <w:lang w:val="ru-RU"/>
        </w:rPr>
        <w:lastRenderedPageBreak/>
        <w:t>заработной платы. Для вакантных должностей рассчитываются средние сметные расходы</w:t>
      </w:r>
      <w:r w:rsidR="0052447B" w:rsidRPr="00E9630B">
        <w:rPr>
          <w:rFonts w:eastAsia="Times New Roman" w:cs="Arial"/>
          <w:iCs/>
          <w:color w:val="000000"/>
          <w:sz w:val="22"/>
          <w:lang w:val="ru-RU"/>
        </w:rPr>
        <w:t>;</w:t>
      </w:r>
    </w:p>
    <w:p w14:paraId="38DD2728" w14:textId="468205E6" w:rsidR="0052447B" w:rsidRPr="00080F36" w:rsidRDefault="00E9630B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E9630B">
        <w:rPr>
          <w:rFonts w:eastAsia="Times New Roman" w:cs="Arial"/>
          <w:iCs/>
          <w:color w:val="000000"/>
          <w:sz w:val="22"/>
          <w:lang w:val="ru-RU"/>
        </w:rPr>
        <w:t xml:space="preserve">Ассигнования на оплату пособий на образование учитывают пересмотренную систему пособий на образование, основанную на глобальной скользящей шкале возмещения </w:t>
      </w:r>
      <w:r w:rsidRPr="00080F36">
        <w:rPr>
          <w:rFonts w:eastAsia="Times New Roman" w:cs="Arial"/>
          <w:iCs/>
          <w:color w:val="000000"/>
          <w:sz w:val="22"/>
          <w:lang w:val="ru-RU"/>
        </w:rPr>
        <w:t>расходов согласно упорядоченному перечню расходов, связанных с образованием</w:t>
      </w:r>
      <w:r w:rsidR="0052447B" w:rsidRPr="00080F36">
        <w:rPr>
          <w:rFonts w:eastAsia="Times New Roman" w:cs="Arial"/>
          <w:iCs/>
          <w:color w:val="000000"/>
          <w:sz w:val="22"/>
          <w:lang w:val="ru-RU"/>
        </w:rPr>
        <w:t>;</w:t>
      </w:r>
    </w:p>
    <w:p w14:paraId="173405EC" w14:textId="36B71F9A" w:rsidR="0052447B" w:rsidRPr="00080F36" w:rsidRDefault="00205871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080F36">
        <w:rPr>
          <w:rFonts w:eastAsia="Times New Roman" w:cs="Arial"/>
          <w:iCs/>
          <w:color w:val="000000"/>
          <w:sz w:val="22"/>
          <w:lang w:val="ru-RU"/>
        </w:rPr>
        <w:t>Введение в 2020–2021 гг. четырех новых должностей по формуле гибкости предусмотрено в соответствии с формулой бюджетной гибкости Мадридского союза, в результате чего общее число должностей возросло до 1209. При составлении общей сметы расходов было принято допущение, согласно которому общий коэффициент вакантных должностей с учетом задержек в найме находится на уровне 4 процентов</w:t>
      </w:r>
      <w:r w:rsidR="0052447B" w:rsidRPr="00080F36">
        <w:rPr>
          <w:rFonts w:eastAsia="Times New Roman" w:cs="Arial"/>
          <w:iCs/>
          <w:color w:val="000000"/>
          <w:sz w:val="22"/>
          <w:lang w:val="ru-RU"/>
        </w:rPr>
        <w:t>;</w:t>
      </w:r>
    </w:p>
    <w:p w14:paraId="41D3E0C9" w14:textId="65F9F6EB" w:rsidR="0052447B" w:rsidRPr="00080F36" w:rsidRDefault="00080F36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080F36">
        <w:rPr>
          <w:rFonts w:eastAsia="Times New Roman" w:cs="Arial"/>
          <w:iCs/>
          <w:color w:val="000000"/>
          <w:sz w:val="22"/>
          <w:lang w:val="ru-RU"/>
        </w:rPr>
        <w:t xml:space="preserve">В целях увеличения финансирования долгосрочных обязательств по выплате пособий, которые включают обязательства по медицинскому страхованию после прекращения службы (МСПС), ассигнования на покрытие расходов по МСПС были увеличены с 6 до 8 процентов; 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 </w:t>
      </w:r>
      <w:r w:rsidRPr="00080F36">
        <w:rPr>
          <w:rFonts w:eastAsia="Times New Roman" w:cs="Arial"/>
          <w:iCs/>
          <w:color w:val="000000"/>
          <w:sz w:val="22"/>
          <w:lang w:val="ru-RU"/>
        </w:rPr>
        <w:t>в случае временных должностей были предусмотрены ассигнования на оплату выходных пособий на уровне 2 процентов</w:t>
      </w:r>
      <w:r w:rsidR="0052447B" w:rsidRPr="00080F36">
        <w:rPr>
          <w:rFonts w:eastAsia="Times New Roman" w:cs="Arial"/>
          <w:iCs/>
          <w:color w:val="000000"/>
          <w:sz w:val="22"/>
          <w:lang w:val="ru-RU"/>
        </w:rPr>
        <w:t>;</w:t>
      </w:r>
    </w:p>
    <w:p w14:paraId="786365BE" w14:textId="3F9D5D72" w:rsidR="0052447B" w:rsidRPr="00587588" w:rsidRDefault="00CB1990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CB1990">
        <w:rPr>
          <w:rFonts w:eastAsia="Times New Roman" w:cs="Arial"/>
          <w:iCs/>
          <w:color w:val="000000"/>
          <w:sz w:val="22"/>
          <w:lang w:val="ru-RU"/>
        </w:rPr>
        <w:t>Другие расходы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 на </w:t>
      </w:r>
      <w:r w:rsidRPr="00CB1990">
        <w:rPr>
          <w:rFonts w:eastAsia="Times New Roman" w:cs="Arial"/>
          <w:iCs/>
          <w:color w:val="000000"/>
          <w:sz w:val="22"/>
          <w:lang w:val="ru-RU"/>
        </w:rPr>
        <w:t>персонал включают предусмотренные в бюджете ассигнования на двухлетний период для покрытия расходов на страхование от несчастных случае</w:t>
      </w:r>
      <w:r w:rsidRPr="00587588">
        <w:rPr>
          <w:rFonts w:eastAsia="Times New Roman" w:cs="Arial"/>
          <w:iCs/>
          <w:color w:val="000000"/>
          <w:sz w:val="22"/>
          <w:lang w:val="ru-RU"/>
        </w:rPr>
        <w:t>в на работе (PAI) (900 000 шв. франков), расходов по закрытому пенсионному фонду (700 000 шв. франков), расходов на урегулирование трудовых споров (400 000 шв. франков) и расходов по Программе награждения и поощрения сотрудников ВОИС (1 152 000 шв. франков</w:t>
      </w:r>
      <w:r w:rsidR="0052447B" w:rsidRPr="00587588">
        <w:rPr>
          <w:rFonts w:eastAsia="Times New Roman" w:cs="Arial"/>
          <w:iCs/>
          <w:color w:val="000000"/>
          <w:sz w:val="22"/>
          <w:lang w:val="ru-RU"/>
        </w:rPr>
        <w:t>);</w:t>
      </w:r>
    </w:p>
    <w:p w14:paraId="18432B5A" w14:textId="394989F5" w:rsidR="0052447B" w:rsidRPr="008B500C" w:rsidRDefault="00587588" w:rsidP="00396E9D">
      <w:pPr>
        <w:pStyle w:val="Bullet2"/>
        <w:ind w:hanging="500"/>
        <w:rPr>
          <w:rFonts w:eastAsia="Times New Roman" w:cs="Arial"/>
          <w:iCs/>
          <w:color w:val="000000"/>
          <w:sz w:val="22"/>
          <w:lang w:val="ru-RU"/>
        </w:rPr>
      </w:pPr>
      <w:r w:rsidRPr="00587588">
        <w:rPr>
          <w:rFonts w:eastAsia="Times New Roman" w:cs="Arial"/>
          <w:iCs/>
          <w:color w:val="000000"/>
          <w:sz w:val="22"/>
          <w:lang w:val="ru-RU"/>
        </w:rPr>
        <w:t xml:space="preserve">Ассигнования на покрытие расходов, связанных с реклассификацией должностей, с 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>целью внедрения результатов решений комитета по реклассификации составят 4 млн шв. франков по статье «Нераспределенные ресурсы (связанные с персоналом)»</w:t>
      </w:r>
      <w:r w:rsidR="0052447B" w:rsidRPr="008B500C">
        <w:rPr>
          <w:rFonts w:eastAsia="Times New Roman" w:cs="Arial"/>
          <w:iCs/>
          <w:color w:val="000000"/>
          <w:sz w:val="22"/>
          <w:lang w:val="ru-RU"/>
        </w:rPr>
        <w:t>;</w:t>
      </w:r>
    </w:p>
    <w:p w14:paraId="63E2E2F3" w14:textId="680546D7" w:rsidR="0052447B" w:rsidRPr="005659F2" w:rsidRDefault="008B500C" w:rsidP="00396E9D">
      <w:pPr>
        <w:pStyle w:val="Bullet2"/>
        <w:tabs>
          <w:tab w:val="clear" w:pos="680"/>
        </w:tabs>
        <w:spacing w:after="0"/>
        <w:ind w:left="692" w:hanging="500"/>
        <w:rPr>
          <w:rFonts w:eastAsia="Times New Roman" w:cs="Arial"/>
          <w:iCs/>
          <w:color w:val="000000"/>
          <w:sz w:val="22"/>
          <w:lang w:val="ru-RU"/>
        </w:rPr>
      </w:pPr>
      <w:r w:rsidRPr="008B500C">
        <w:rPr>
          <w:rFonts w:eastAsia="Times New Roman" w:cs="Arial"/>
          <w:iCs/>
          <w:color w:val="000000"/>
          <w:sz w:val="22"/>
          <w:lang w:val="ru-RU"/>
        </w:rPr>
        <w:t>Перевод сотрудников в штат планируется завершить в двухлетний период 2018–2019</w:t>
      </w:r>
      <w:r>
        <w:rPr>
          <w:rFonts w:eastAsia="Times New Roman" w:cs="Arial"/>
          <w:iCs/>
          <w:color w:val="000000"/>
          <w:sz w:val="22"/>
          <w:lang w:val="ru-RU"/>
        </w:rPr>
        <w:t> 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 xml:space="preserve">гг., поэтому никаких ассигнований на эти цели </w:t>
      </w:r>
      <w:r>
        <w:rPr>
          <w:rFonts w:eastAsia="Times New Roman" w:cs="Arial"/>
          <w:iCs/>
          <w:color w:val="000000"/>
          <w:sz w:val="22"/>
          <w:lang w:val="ru-RU"/>
        </w:rPr>
        <w:t>в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 xml:space="preserve"> 2020–2021</w:t>
      </w:r>
      <w:r>
        <w:rPr>
          <w:rFonts w:eastAsia="Times New Roman" w:cs="Arial"/>
          <w:iCs/>
          <w:color w:val="000000"/>
          <w:sz w:val="22"/>
          <w:lang w:val="ru-RU"/>
        </w:rPr>
        <w:t> 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>гг. не предусмотрено</w:t>
      </w:r>
      <w:r>
        <w:rPr>
          <w:rFonts w:eastAsia="Times New Roman" w:cs="Arial"/>
          <w:iCs/>
          <w:color w:val="000000"/>
          <w:sz w:val="22"/>
          <w:lang w:val="ru-RU"/>
        </w:rPr>
        <w:t xml:space="preserve">. 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 xml:space="preserve"> </w:t>
      </w:r>
      <w:r>
        <w:rPr>
          <w:rFonts w:eastAsia="Times New Roman" w:cs="Arial"/>
          <w:iCs/>
          <w:color w:val="000000"/>
          <w:sz w:val="22"/>
          <w:lang w:val="ru-RU"/>
        </w:rPr>
        <w:t>Д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>ля того чтобы Секретариат мог более эффективно отслеживать и контролировать расходы, связанные с оплатой сверхурочного рабочего времени, прогнозируемые расходы на оплату сверхурочного рабочего времени будут по</w:t>
      </w:r>
      <w:r>
        <w:rPr>
          <w:rFonts w:eastAsia="Times New Roman" w:cs="Arial"/>
          <w:iCs/>
          <w:color w:val="000000"/>
          <w:sz w:val="22"/>
          <w:lang w:val="ru-RU"/>
        </w:rPr>
        <w:t>-</w:t>
      </w:r>
      <w:r w:rsidRPr="008B500C">
        <w:rPr>
          <w:rFonts w:eastAsia="Times New Roman" w:cs="Arial"/>
          <w:iCs/>
          <w:color w:val="000000"/>
          <w:sz w:val="22"/>
          <w:lang w:val="ru-RU"/>
        </w:rPr>
        <w:t xml:space="preserve">прежнему покрываться </w:t>
      </w:r>
      <w:r w:rsidRPr="005659F2">
        <w:rPr>
          <w:rFonts w:eastAsia="Times New Roman" w:cs="Arial"/>
          <w:iCs/>
          <w:color w:val="000000"/>
          <w:sz w:val="22"/>
          <w:lang w:val="ru-RU"/>
        </w:rPr>
        <w:t>отдельным ассигнованием по статье «Нераспределенные ресурсы (связанные с персоналом)». В результате введения нового гибкого режима работы размеры этих ассигнований увеличены до 3 млн шв. франков. Эти расходы будут и далее тщательно контролироваться и координироваться с расходами по программе 23 (Управление людскими ресурсами и их развитие) и по другим соответствующим программным областям</w:t>
      </w:r>
      <w:r w:rsidR="0052447B" w:rsidRPr="005659F2">
        <w:rPr>
          <w:rFonts w:eastAsia="Times New Roman" w:cs="Arial"/>
          <w:iCs/>
          <w:color w:val="000000"/>
          <w:sz w:val="22"/>
          <w:lang w:val="ru-RU"/>
        </w:rPr>
        <w:t>.</w:t>
      </w:r>
    </w:p>
    <w:p w14:paraId="12297A84" w14:textId="77777777" w:rsidR="00396E9D" w:rsidRPr="005659F2" w:rsidRDefault="00396E9D" w:rsidP="00396E9D">
      <w:pPr>
        <w:pStyle w:val="Bullet2"/>
        <w:numPr>
          <w:ilvl w:val="0"/>
          <w:numId w:val="0"/>
        </w:numPr>
        <w:spacing w:after="0"/>
        <w:ind w:left="692"/>
        <w:rPr>
          <w:rFonts w:eastAsia="Times New Roman" w:cs="Arial"/>
          <w:iCs/>
          <w:color w:val="000000"/>
          <w:sz w:val="22"/>
          <w:lang w:val="ru-RU"/>
        </w:rPr>
      </w:pPr>
    </w:p>
    <w:p w14:paraId="5C4DE58E" w14:textId="25F8AA2E" w:rsidR="0052447B" w:rsidRPr="005659F2" w:rsidRDefault="005659F2" w:rsidP="0052447B">
      <w:pPr>
        <w:pStyle w:val="AlphaList"/>
        <w:numPr>
          <w:ilvl w:val="0"/>
          <w:numId w:val="8"/>
        </w:numPr>
        <w:ind w:left="0" w:firstLine="0"/>
        <w:rPr>
          <w:rFonts w:eastAsia="Times New Roman" w:cs="Arial"/>
          <w:iCs/>
          <w:color w:val="000000"/>
          <w:sz w:val="22"/>
          <w:lang w:val="ru-RU"/>
        </w:rPr>
      </w:pPr>
      <w:r w:rsidRPr="005659F2">
        <w:rPr>
          <w:rFonts w:eastAsia="Times New Roman" w:cs="Arial"/>
          <w:iCs/>
          <w:color w:val="000000"/>
          <w:sz w:val="22"/>
          <w:lang w:val="ru-RU"/>
        </w:rPr>
        <w:t>Исходя из указанных выше плановых допущений, расходы на персонал в 2020–2021 гг. увеличатся на 15,9 млн шв. франков, или на 3,5 процента, по сравнению с утвержденным бюджетом на 2018–2019 гг. Доля предусмотренных в бюджете расходов на персонал в сравнении с общим бюджетом сократилась с 62,4 процента в 2018–2019 гг. до 61,9 процента в 2020–2021 гг.</w:t>
      </w:r>
      <w:r w:rsidR="0052447B" w:rsidRPr="005659F2">
        <w:rPr>
          <w:rFonts w:eastAsia="Times New Roman" w:cs="Arial"/>
          <w:iCs/>
          <w:color w:val="000000"/>
          <w:sz w:val="22"/>
          <w:lang w:val="ru-RU"/>
        </w:rPr>
        <w:t xml:space="preserve"> </w:t>
      </w:r>
    </w:p>
    <w:p w14:paraId="336C5CFE" w14:textId="77777777" w:rsidR="0052447B" w:rsidRPr="008543F3" w:rsidRDefault="0052447B" w:rsidP="0052447B">
      <w:pPr>
        <w:pStyle w:val="AlphaList"/>
        <w:numPr>
          <w:ilvl w:val="0"/>
          <w:numId w:val="0"/>
        </w:numPr>
        <w:rPr>
          <w:rFonts w:eastAsia="Times New Roman" w:cs="Arial"/>
          <w:iCs/>
          <w:color w:val="000000"/>
          <w:sz w:val="22"/>
          <w:lang w:val="en-US"/>
        </w:rPr>
      </w:pPr>
    </w:p>
    <w:p w14:paraId="5F383F08" w14:textId="0B346E79" w:rsidR="0052447B" w:rsidRDefault="00E87745" w:rsidP="0052447B">
      <w:pPr>
        <w:pStyle w:val="ListParagraph"/>
        <w:ind w:left="0"/>
        <w:rPr>
          <w:rFonts w:eastAsia="Times New Roman"/>
          <w:b/>
          <w:iCs/>
          <w:color w:val="000000"/>
          <w:szCs w:val="22"/>
          <w:lang w:eastAsia="en-US"/>
        </w:rPr>
      </w:pPr>
      <w:r>
        <w:rPr>
          <w:rFonts w:eastAsia="Times New Roman"/>
          <w:b/>
          <w:iCs/>
          <w:color w:val="000000"/>
          <w:szCs w:val="22"/>
          <w:lang w:val="ru-RU" w:eastAsia="en-US"/>
        </w:rPr>
        <w:t>И</w:t>
      </w:r>
      <w:r w:rsidRPr="00E87745">
        <w:rPr>
          <w:rFonts w:eastAsia="Times New Roman"/>
          <w:b/>
          <w:iCs/>
          <w:color w:val="000000"/>
          <w:szCs w:val="22"/>
          <w:lang w:val="ru-RU" w:eastAsia="en-US"/>
        </w:rPr>
        <w:t>сточник</w:t>
      </w:r>
      <w:r>
        <w:rPr>
          <w:rFonts w:eastAsia="Times New Roman"/>
          <w:b/>
          <w:iCs/>
          <w:color w:val="000000"/>
          <w:szCs w:val="22"/>
          <w:lang w:val="ru-RU" w:eastAsia="en-US"/>
        </w:rPr>
        <w:t>и</w:t>
      </w:r>
      <w:r w:rsidRPr="00E87745">
        <w:rPr>
          <w:rFonts w:eastAsia="Times New Roman"/>
          <w:b/>
          <w:iCs/>
          <w:color w:val="000000"/>
          <w:szCs w:val="22"/>
          <w:lang w:val="ru-RU" w:eastAsia="en-US"/>
        </w:rPr>
        <w:t xml:space="preserve"> финансирования и услови</w:t>
      </w:r>
      <w:r>
        <w:rPr>
          <w:rFonts w:eastAsia="Times New Roman"/>
          <w:b/>
          <w:iCs/>
          <w:color w:val="000000"/>
          <w:szCs w:val="22"/>
          <w:lang w:val="ru-RU" w:eastAsia="en-US"/>
        </w:rPr>
        <w:t>я</w:t>
      </w:r>
      <w:r w:rsidRPr="00E87745">
        <w:rPr>
          <w:rFonts w:eastAsia="Times New Roman"/>
          <w:b/>
          <w:iCs/>
          <w:color w:val="000000"/>
          <w:szCs w:val="22"/>
          <w:lang w:val="ru-RU" w:eastAsia="en-US"/>
        </w:rPr>
        <w:t xml:space="preserve"> выделения финансовых средств</w:t>
      </w:r>
    </w:p>
    <w:p w14:paraId="0BD7100B" w14:textId="77777777" w:rsidR="008543F3" w:rsidRPr="008543F3" w:rsidRDefault="008543F3" w:rsidP="0052447B">
      <w:pPr>
        <w:pStyle w:val="ListParagraph"/>
        <w:ind w:left="0"/>
        <w:rPr>
          <w:rFonts w:eastAsia="Times New Roman"/>
          <w:iCs/>
          <w:color w:val="000000"/>
          <w:szCs w:val="22"/>
          <w:lang w:eastAsia="en-US"/>
        </w:rPr>
      </w:pPr>
    </w:p>
    <w:p w14:paraId="548F2C51" w14:textId="30DD19C3" w:rsidR="008543F3" w:rsidRDefault="008F62F2" w:rsidP="008543F3">
      <w:pPr>
        <w:pStyle w:val="ListParagraph"/>
        <w:numPr>
          <w:ilvl w:val="0"/>
          <w:numId w:val="8"/>
        </w:numPr>
        <w:ind w:left="0" w:firstLine="0"/>
        <w:rPr>
          <w:rFonts w:eastAsia="Times New Roman"/>
          <w:iCs/>
          <w:color w:val="000000"/>
          <w:szCs w:val="22"/>
          <w:lang w:eastAsia="en-US"/>
        </w:rPr>
      </w:pPr>
      <w:r>
        <w:rPr>
          <w:rFonts w:eastAsia="Times New Roman"/>
          <w:iCs/>
          <w:color w:val="000000"/>
          <w:szCs w:val="22"/>
          <w:lang w:val="ru-RU" w:eastAsia="en-US"/>
        </w:rPr>
        <w:t>По оценкам, б</w:t>
      </w:r>
      <w:r w:rsidR="00967188">
        <w:rPr>
          <w:rFonts w:eastAsia="Times New Roman"/>
          <w:iCs/>
          <w:color w:val="000000"/>
          <w:szCs w:val="22"/>
          <w:lang w:val="ru-RU" w:eastAsia="en-US"/>
        </w:rPr>
        <w:t xml:space="preserve">юджет 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Организации</w:t>
      </w:r>
      <w:r w:rsidR="00F77805">
        <w:rPr>
          <w:rFonts w:eastAsia="Times New Roman"/>
          <w:iCs/>
          <w:color w:val="000000"/>
          <w:szCs w:val="22"/>
          <w:lang w:eastAsia="en-US"/>
        </w:rPr>
        <w:t xml:space="preserve"> 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на двухлетний период 2020–2021 гг. состав</w:t>
      </w:r>
      <w:r w:rsidR="00D757DC">
        <w:rPr>
          <w:rFonts w:eastAsia="Times New Roman"/>
          <w:iCs/>
          <w:color w:val="000000"/>
          <w:szCs w:val="22"/>
          <w:lang w:val="ru-RU" w:eastAsia="en-US"/>
        </w:rPr>
        <w:t xml:space="preserve">ит </w:t>
      </w:r>
      <w:r w:rsidR="00504E34">
        <w:rPr>
          <w:rFonts w:eastAsia="Times New Roman"/>
          <w:iCs/>
          <w:color w:val="000000"/>
          <w:szCs w:val="22"/>
          <w:lang w:eastAsia="en-US"/>
        </w:rPr>
        <w:t>768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 </w:t>
      </w:r>
      <w:r w:rsidR="00504E34">
        <w:rPr>
          <w:rFonts w:eastAsia="Times New Roman"/>
          <w:iCs/>
          <w:color w:val="000000"/>
          <w:szCs w:val="22"/>
          <w:lang w:eastAsia="en-US"/>
        </w:rPr>
        <w:t>401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 </w:t>
      </w:r>
      <w:r w:rsidR="00504E34">
        <w:rPr>
          <w:rFonts w:eastAsia="Times New Roman"/>
          <w:iCs/>
          <w:color w:val="000000"/>
          <w:szCs w:val="22"/>
          <w:lang w:eastAsia="en-US"/>
        </w:rPr>
        <w:t xml:space="preserve">034 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шв.</w:t>
      </w:r>
      <w:r w:rsidR="00967188">
        <w:rPr>
          <w:rFonts w:eastAsia="Times New Roman"/>
          <w:iCs/>
          <w:color w:val="000000"/>
          <w:szCs w:val="22"/>
          <w:lang w:val="ru-RU" w:eastAsia="en-US"/>
        </w:rPr>
        <w:t> 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франка</w:t>
      </w:r>
      <w:r w:rsidR="00E86008">
        <w:rPr>
          <w:rFonts w:eastAsia="Times New Roman"/>
          <w:iCs/>
          <w:color w:val="000000"/>
          <w:szCs w:val="22"/>
          <w:lang w:eastAsia="en-US"/>
        </w:rPr>
        <w:t xml:space="preserve"> </w:t>
      </w:r>
      <w:r w:rsidR="00F77805">
        <w:rPr>
          <w:rFonts w:eastAsia="Times New Roman"/>
          <w:iCs/>
          <w:color w:val="000000"/>
          <w:szCs w:val="22"/>
          <w:lang w:val="ru-RU" w:eastAsia="en-US"/>
        </w:rPr>
        <w:t>и</w:t>
      </w:r>
      <w:r w:rsidR="00D757DC">
        <w:rPr>
          <w:rFonts w:eastAsia="Times New Roman"/>
          <w:iCs/>
          <w:color w:val="000000"/>
          <w:szCs w:val="22"/>
          <w:lang w:val="ru-RU" w:eastAsia="en-US"/>
        </w:rPr>
        <w:t xml:space="preserve"> будет финансироваться из общих доходов, сумма которых, </w:t>
      </w:r>
      <w:r w:rsidR="00D757DC">
        <w:rPr>
          <w:rFonts w:eastAsia="Times New Roman"/>
          <w:iCs/>
          <w:color w:val="000000"/>
          <w:szCs w:val="22"/>
          <w:lang w:val="ru-RU" w:eastAsia="en-US"/>
        </w:rPr>
        <w:lastRenderedPageBreak/>
        <w:t xml:space="preserve">согласно прогнозам, составит в двухлетнем периоде 2020–2021 гг. </w:t>
      </w:r>
      <w:r w:rsidR="008543F3">
        <w:rPr>
          <w:rFonts w:eastAsia="Times New Roman"/>
          <w:iCs/>
          <w:color w:val="000000"/>
          <w:szCs w:val="22"/>
          <w:lang w:eastAsia="en-US"/>
        </w:rPr>
        <w:t>88</w:t>
      </w:r>
      <w:r w:rsidR="00F9537B">
        <w:rPr>
          <w:rFonts w:eastAsia="Times New Roman"/>
          <w:iCs/>
          <w:color w:val="000000"/>
          <w:szCs w:val="22"/>
          <w:lang w:eastAsia="en-US"/>
        </w:rPr>
        <w:t>2</w:t>
      </w:r>
      <w:proofErr w:type="gramStart"/>
      <w:r w:rsidR="00D757DC">
        <w:rPr>
          <w:rFonts w:eastAsia="Times New Roman"/>
          <w:iCs/>
          <w:color w:val="000000"/>
          <w:szCs w:val="22"/>
          <w:lang w:val="ru-RU" w:eastAsia="en-US"/>
        </w:rPr>
        <w:t>,</w:t>
      </w:r>
      <w:r w:rsidR="008543F3">
        <w:rPr>
          <w:rFonts w:eastAsia="Times New Roman"/>
          <w:iCs/>
          <w:color w:val="000000"/>
          <w:szCs w:val="22"/>
          <w:lang w:eastAsia="en-US"/>
        </w:rPr>
        <w:t>8</w:t>
      </w:r>
      <w:proofErr w:type="gramEnd"/>
      <w:r w:rsidR="00D757DC">
        <w:rPr>
          <w:rFonts w:eastAsia="Times New Roman"/>
          <w:iCs/>
          <w:color w:val="000000"/>
          <w:szCs w:val="22"/>
          <w:lang w:val="ru-RU" w:eastAsia="en-US"/>
        </w:rPr>
        <w:t> млн шв. франков</w:t>
      </w:r>
      <w:r w:rsidR="001C10AB">
        <w:rPr>
          <w:rStyle w:val="FootnoteReference"/>
          <w:rFonts w:eastAsia="Times New Roman"/>
          <w:iCs/>
          <w:color w:val="000000"/>
          <w:szCs w:val="22"/>
          <w:lang w:eastAsia="en-US"/>
        </w:rPr>
        <w:footnoteReference w:id="5"/>
      </w:r>
      <w:r w:rsidR="008543F3">
        <w:rPr>
          <w:rFonts w:eastAsia="Times New Roman"/>
          <w:iCs/>
          <w:color w:val="000000"/>
          <w:szCs w:val="22"/>
          <w:lang w:eastAsia="en-US"/>
        </w:rPr>
        <w:t xml:space="preserve">.  </w:t>
      </w:r>
      <w:r w:rsidR="00DE3F79">
        <w:rPr>
          <w:rFonts w:eastAsia="Times New Roman"/>
          <w:iCs/>
          <w:color w:val="000000"/>
          <w:szCs w:val="22"/>
          <w:lang w:val="ru-RU" w:eastAsia="en-US"/>
        </w:rPr>
        <w:t>На диаграмме </w:t>
      </w:r>
      <w:r w:rsidR="001C10AB">
        <w:rPr>
          <w:rFonts w:eastAsia="Times New Roman"/>
          <w:iCs/>
          <w:color w:val="000000"/>
          <w:szCs w:val="22"/>
          <w:lang w:eastAsia="en-US"/>
        </w:rPr>
        <w:t xml:space="preserve">1 </w:t>
      </w:r>
      <w:r w:rsidR="00DE3F79">
        <w:rPr>
          <w:rFonts w:eastAsia="Times New Roman"/>
          <w:iCs/>
          <w:color w:val="000000"/>
          <w:szCs w:val="22"/>
          <w:lang w:val="ru-RU" w:eastAsia="en-US"/>
        </w:rPr>
        <w:t xml:space="preserve">ниже графически показано долевое распределение доходов по их источникам в </w:t>
      </w:r>
      <w:r w:rsidR="001C10AB">
        <w:rPr>
          <w:rFonts w:eastAsia="Times New Roman"/>
          <w:iCs/>
          <w:color w:val="000000"/>
          <w:szCs w:val="22"/>
          <w:lang w:eastAsia="en-US"/>
        </w:rPr>
        <w:t>2020</w:t>
      </w:r>
      <w:r w:rsidR="00DE3F79">
        <w:rPr>
          <w:rFonts w:eastAsia="Times New Roman"/>
          <w:iCs/>
          <w:color w:val="000000"/>
          <w:szCs w:val="22"/>
          <w:lang w:val="ru-RU" w:eastAsia="en-US"/>
        </w:rPr>
        <w:t>–20</w:t>
      </w:r>
      <w:r w:rsidR="001C10AB">
        <w:rPr>
          <w:rFonts w:eastAsia="Times New Roman"/>
          <w:iCs/>
          <w:color w:val="000000"/>
          <w:szCs w:val="22"/>
          <w:lang w:eastAsia="en-US"/>
        </w:rPr>
        <w:t>21</w:t>
      </w:r>
      <w:r w:rsidR="00DE3F79">
        <w:rPr>
          <w:rFonts w:eastAsia="Times New Roman"/>
          <w:iCs/>
          <w:color w:val="000000"/>
          <w:szCs w:val="22"/>
          <w:lang w:val="ru-RU" w:eastAsia="en-US"/>
        </w:rPr>
        <w:t> гг.</w:t>
      </w:r>
    </w:p>
    <w:p w14:paraId="13A413B8" w14:textId="77777777" w:rsidR="00F06BAF" w:rsidRDefault="00F06BAF" w:rsidP="001C79E0">
      <w:pPr>
        <w:pStyle w:val="ListParagraph"/>
        <w:ind w:left="0"/>
        <w:rPr>
          <w:rFonts w:eastAsia="Times New Roman"/>
          <w:iCs/>
          <w:color w:val="000000"/>
          <w:szCs w:val="22"/>
          <w:lang w:eastAsia="en-US"/>
        </w:rPr>
      </w:pPr>
    </w:p>
    <w:p w14:paraId="189529BA" w14:textId="4E62EFF8" w:rsidR="001C10AB" w:rsidRPr="00946B46" w:rsidRDefault="00530919" w:rsidP="00504E34">
      <w:pPr>
        <w:pStyle w:val="TableAndChartTitle"/>
        <w:spacing w:after="0"/>
        <w:ind w:left="-1411"/>
        <w:rPr>
          <w:szCs w:val="18"/>
          <w:lang w:val="en-US"/>
        </w:rPr>
      </w:pPr>
      <w:r>
        <w:rPr>
          <w:szCs w:val="18"/>
          <w:lang w:val="ru-RU"/>
        </w:rPr>
        <w:t>Диаграмма</w:t>
      </w:r>
      <w:r w:rsidR="001C10AB" w:rsidRPr="001C10AB">
        <w:rPr>
          <w:szCs w:val="18"/>
        </w:rPr>
        <w:t xml:space="preserve"> 1</w:t>
      </w:r>
      <w:r w:rsidR="00B27221">
        <w:rPr>
          <w:szCs w:val="18"/>
          <w:lang w:val="ru-RU"/>
        </w:rPr>
        <w:t>.</w:t>
      </w:r>
      <w:r w:rsidR="001C10AB" w:rsidRPr="001C10AB">
        <w:rPr>
          <w:szCs w:val="18"/>
        </w:rPr>
        <w:t xml:space="preserve">  </w:t>
      </w:r>
      <w:r w:rsidR="00B27221">
        <w:rPr>
          <w:szCs w:val="18"/>
          <w:lang w:val="ru-RU"/>
        </w:rPr>
        <w:t xml:space="preserve">Долевое распределение доходов по их источникам в </w:t>
      </w:r>
      <w:r w:rsidR="001C10AB" w:rsidRPr="001C10AB">
        <w:rPr>
          <w:szCs w:val="18"/>
        </w:rPr>
        <w:t>2020</w:t>
      </w:r>
      <w:r w:rsidR="00B27221">
        <w:rPr>
          <w:szCs w:val="18"/>
          <w:lang w:val="ru-RU"/>
        </w:rPr>
        <w:t>–20</w:t>
      </w:r>
      <w:r w:rsidR="001C10AB" w:rsidRPr="001C10AB">
        <w:rPr>
          <w:szCs w:val="18"/>
        </w:rPr>
        <w:t>21</w:t>
      </w:r>
      <w:r w:rsidR="00B27221">
        <w:rPr>
          <w:szCs w:val="18"/>
          <w:lang w:val="ru-RU"/>
        </w:rPr>
        <w:t> гг.</w:t>
      </w:r>
    </w:p>
    <w:p w14:paraId="2D6E7AAC" w14:textId="2987241E" w:rsidR="001C10AB" w:rsidRPr="001C10AB" w:rsidRDefault="00946B46" w:rsidP="001C10AB">
      <w:pPr>
        <w:pStyle w:val="TableAndChartTitle"/>
        <w:spacing w:after="240"/>
      </w:pPr>
      <w:r>
        <w:rPr>
          <w:noProof/>
          <w:lang w:val="en-US"/>
        </w:rPr>
        <w:drawing>
          <wp:inline distT="0" distB="0" distL="0" distR="0" wp14:anchorId="2FD269B6" wp14:editId="60F700FB">
            <wp:extent cx="4724400" cy="2507978"/>
            <wp:effectExtent l="0" t="0" r="0" b="6985"/>
            <wp:docPr id="4" name="Picture 4" descr="Диаграмма 1.  Долевое распределение доходов по их источникам в 2020–2021 гг." title="Диаграмма 1.  Долевое распределение доходов по их источникам в 2020–2021 г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38" cy="251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4D182" w14:textId="34A15700" w:rsidR="000765C4" w:rsidRPr="00504E34" w:rsidRDefault="009D0889" w:rsidP="00504E34">
      <w:pPr>
        <w:jc w:val="right"/>
        <w:rPr>
          <w:rFonts w:eastAsia="Times New Roman"/>
          <w:iCs/>
          <w:color w:val="000000"/>
          <w:szCs w:val="22"/>
          <w:lang w:eastAsia="en-US"/>
        </w:rPr>
      </w:pPr>
      <w:r>
        <w:rPr>
          <w:rFonts w:eastAsia="Times New Roman"/>
          <w:iCs/>
          <w:color w:val="000000"/>
          <w:szCs w:val="22"/>
          <w:lang w:eastAsia="en-US"/>
        </w:rPr>
        <w:t>[</w:t>
      </w:r>
      <w:r w:rsidR="002271F6">
        <w:rPr>
          <w:rFonts w:eastAsia="Times New Roman"/>
          <w:iCs/>
          <w:color w:val="000000"/>
          <w:szCs w:val="22"/>
          <w:lang w:val="ru-RU" w:eastAsia="en-US"/>
        </w:rPr>
        <w:t>Конец документа</w:t>
      </w:r>
      <w:r>
        <w:rPr>
          <w:rFonts w:eastAsia="Times New Roman"/>
          <w:iCs/>
          <w:color w:val="000000"/>
          <w:szCs w:val="22"/>
          <w:lang w:eastAsia="en-US"/>
        </w:rPr>
        <w:t xml:space="preserve">] </w:t>
      </w:r>
    </w:p>
    <w:sectPr w:rsidR="000765C4" w:rsidRPr="00504E34" w:rsidSect="00805D31">
      <w:headerReference w:type="default" r:id="rId10"/>
      <w:endnotePr>
        <w:numFmt w:val="decimal"/>
      </w:endnotePr>
      <w:pgSz w:w="11907" w:h="16840" w:code="9"/>
      <w:pgMar w:top="1368" w:right="1138" w:bottom="1368" w:left="1138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77595" w14:textId="77777777" w:rsidR="00AC0FA3" w:rsidRDefault="00AC0FA3">
      <w:r>
        <w:separator/>
      </w:r>
    </w:p>
  </w:endnote>
  <w:endnote w:type="continuationSeparator" w:id="0">
    <w:p w14:paraId="47B2CA31" w14:textId="77777777" w:rsidR="00AC0FA3" w:rsidRDefault="00AC0FA3" w:rsidP="003B38C1">
      <w:r>
        <w:separator/>
      </w:r>
    </w:p>
    <w:p w14:paraId="31039823" w14:textId="77777777" w:rsidR="00AC0FA3" w:rsidRPr="003B38C1" w:rsidRDefault="00AC0F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805E15" w14:textId="77777777" w:rsidR="00AC0FA3" w:rsidRPr="003B38C1" w:rsidRDefault="00AC0F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283C9" w14:textId="77777777" w:rsidR="00AC0FA3" w:rsidRDefault="00AC0FA3">
      <w:r>
        <w:separator/>
      </w:r>
    </w:p>
  </w:footnote>
  <w:footnote w:type="continuationSeparator" w:id="0">
    <w:p w14:paraId="4F4F0C42" w14:textId="77777777" w:rsidR="00AC0FA3" w:rsidRDefault="00AC0FA3" w:rsidP="008B60B2">
      <w:r>
        <w:separator/>
      </w:r>
    </w:p>
    <w:p w14:paraId="26961FF6" w14:textId="77777777" w:rsidR="00AC0FA3" w:rsidRPr="00ED77FB" w:rsidRDefault="00AC0F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3B0A02" w14:textId="77777777" w:rsidR="00AC0FA3" w:rsidRPr="00ED77FB" w:rsidRDefault="00AC0F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24A1496" w14:textId="3451C9C1" w:rsidR="0052447B" w:rsidRPr="00596F37" w:rsidRDefault="0052447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="00B45B53" w:rsidRPr="00596F37">
        <w:rPr>
          <w:lang w:val="ru-RU"/>
        </w:rPr>
        <w:t xml:space="preserve">См. документ </w:t>
      </w:r>
      <w:r w:rsidR="00F06BAF" w:rsidRPr="00596F37">
        <w:rPr>
          <w:lang w:val="ru-RU"/>
        </w:rPr>
        <w:t>A/59/8</w:t>
      </w:r>
      <w:r w:rsidR="00B45B53" w:rsidRPr="00596F37">
        <w:rPr>
          <w:lang w:val="ru-RU"/>
        </w:rPr>
        <w:t>, пункты </w:t>
      </w:r>
      <w:r w:rsidR="00F06BAF" w:rsidRPr="00596F37">
        <w:rPr>
          <w:lang w:val="ru-RU"/>
        </w:rPr>
        <w:t>25</w:t>
      </w:r>
      <w:r w:rsidR="00B45B53" w:rsidRPr="00596F37">
        <w:rPr>
          <w:lang w:val="ru-RU"/>
        </w:rPr>
        <w:t>–</w:t>
      </w:r>
      <w:r w:rsidR="00F06BAF" w:rsidRPr="00596F37">
        <w:rPr>
          <w:lang w:val="ru-RU"/>
        </w:rPr>
        <w:t>28</w:t>
      </w:r>
      <w:r w:rsidRPr="00596F37">
        <w:rPr>
          <w:lang w:val="ru-RU"/>
        </w:rPr>
        <w:t xml:space="preserve">. </w:t>
      </w:r>
    </w:p>
  </w:footnote>
  <w:footnote w:id="3">
    <w:p w14:paraId="2F048E98" w14:textId="47A84C52" w:rsidR="0052447B" w:rsidRPr="00596F37" w:rsidRDefault="0052447B" w:rsidP="0052447B">
      <w:pPr>
        <w:pStyle w:val="FootnoteText"/>
        <w:rPr>
          <w:lang w:val="ru-RU"/>
        </w:rPr>
      </w:pPr>
      <w:r w:rsidRPr="00596F37">
        <w:rPr>
          <w:rStyle w:val="FootnoteReference"/>
          <w:lang w:val="ru-RU"/>
        </w:rPr>
        <w:footnoteRef/>
      </w:r>
      <w:r w:rsidRPr="00596F37">
        <w:rPr>
          <w:lang w:val="ru-RU"/>
        </w:rPr>
        <w:t xml:space="preserve"> </w:t>
      </w:r>
      <w:r w:rsidR="00596F37" w:rsidRPr="00596F37">
        <w:rPr>
          <w:bCs/>
          <w:szCs w:val="16"/>
          <w:lang w:val="ru-RU"/>
        </w:rPr>
        <w:t>Шкала окладов, применяемая в отношении категории специалистов и выше, действует с 1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января 2019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г., а шкала, применяемая в отношении зачитываемого для пенсии вознаграждения, с 1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февраля 2019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г. Шкала окладов и зачитываемого для пенсии вознаграждения, применяемая в отношении занятых должностей категории общего обслуживания, действует с 1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апреля 2011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г., а в отношении вакантных должностей с 1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сентября 2017</w:t>
      </w:r>
      <w:r w:rsidR="00596F37">
        <w:rPr>
          <w:bCs/>
          <w:szCs w:val="16"/>
          <w:lang w:val="ru-RU"/>
        </w:rPr>
        <w:t> </w:t>
      </w:r>
      <w:r w:rsidR="00596F37" w:rsidRPr="00596F37">
        <w:rPr>
          <w:bCs/>
          <w:szCs w:val="16"/>
          <w:lang w:val="ru-RU"/>
        </w:rPr>
        <w:t>г</w:t>
      </w:r>
      <w:r w:rsidRPr="00596F37">
        <w:rPr>
          <w:bCs/>
          <w:szCs w:val="16"/>
          <w:lang w:val="ru-RU"/>
        </w:rPr>
        <w:t>.</w:t>
      </w:r>
    </w:p>
  </w:footnote>
  <w:footnote w:id="4">
    <w:p w14:paraId="5CDF175D" w14:textId="174D2A78" w:rsidR="00F8321C" w:rsidRPr="00F8321C" w:rsidRDefault="00F8321C">
      <w:pPr>
        <w:pStyle w:val="FootnoteText"/>
      </w:pPr>
      <w:r w:rsidRPr="00596F37">
        <w:rPr>
          <w:rStyle w:val="FootnoteReference"/>
          <w:lang w:val="ru-RU"/>
        </w:rPr>
        <w:footnoteRef/>
      </w:r>
      <w:r w:rsidRPr="00596F37">
        <w:rPr>
          <w:lang w:val="ru-RU"/>
        </w:rPr>
        <w:t xml:space="preserve"> </w:t>
      </w:r>
      <w:r w:rsidR="002A1F1C">
        <w:rPr>
          <w:lang w:val="ru-RU"/>
        </w:rPr>
        <w:t xml:space="preserve">В августе 2019 г. КМГС опубликовала новые МКМС, которые </w:t>
      </w:r>
      <w:r w:rsidR="00A17F08">
        <w:rPr>
          <w:lang w:val="ru-RU"/>
        </w:rPr>
        <w:t xml:space="preserve">по причине времени не могут быть использованы при расчете расходов на персонал на </w:t>
      </w:r>
      <w:r w:rsidRPr="002A1F1C">
        <w:t>2020</w:t>
      </w:r>
      <w:r w:rsidR="00A17F08">
        <w:rPr>
          <w:lang w:val="ru-RU"/>
        </w:rPr>
        <w:t>–20</w:t>
      </w:r>
      <w:r w:rsidRPr="002A1F1C">
        <w:t>21</w:t>
      </w:r>
      <w:r w:rsidR="00A17F08">
        <w:rPr>
          <w:lang w:val="ru-RU"/>
        </w:rPr>
        <w:t> гг</w:t>
      </w:r>
      <w:r w:rsidRPr="002A1F1C">
        <w:t xml:space="preserve">. </w:t>
      </w:r>
      <w:r w:rsidR="00196082">
        <w:rPr>
          <w:lang w:val="ru-RU"/>
        </w:rPr>
        <w:t>Разница между МКМС и обменным курсом по состоянию на январь</w:t>
      </w:r>
      <w:r w:rsidRPr="002A1F1C">
        <w:t xml:space="preserve"> 2018</w:t>
      </w:r>
      <w:r w:rsidR="00196082">
        <w:rPr>
          <w:lang w:val="ru-RU"/>
        </w:rPr>
        <w:t> г. и по состоянию на август</w:t>
      </w:r>
      <w:r w:rsidRPr="002A1F1C">
        <w:t xml:space="preserve"> 2019</w:t>
      </w:r>
      <w:r w:rsidR="00196082">
        <w:rPr>
          <w:lang w:val="ru-RU"/>
        </w:rPr>
        <w:t xml:space="preserve"> г. </w:t>
      </w:r>
      <w:r w:rsidR="00FE7E7D">
        <w:rPr>
          <w:lang w:val="ru-RU"/>
        </w:rPr>
        <w:t xml:space="preserve">существенно не влияет на расчеты расходов на персонал в двухлетнем периоде </w:t>
      </w:r>
      <w:r w:rsidR="000A16F5" w:rsidRPr="002A1F1C">
        <w:t>202</w:t>
      </w:r>
      <w:r w:rsidR="00966FA9" w:rsidRPr="002A1F1C">
        <w:t>0</w:t>
      </w:r>
      <w:r w:rsidR="00FE7E7D">
        <w:rPr>
          <w:lang w:val="ru-RU"/>
        </w:rPr>
        <w:t>–20</w:t>
      </w:r>
      <w:r w:rsidR="000A16F5" w:rsidRPr="002A1F1C">
        <w:t>2</w:t>
      </w:r>
      <w:r w:rsidR="00966FA9" w:rsidRPr="002A1F1C">
        <w:t>1</w:t>
      </w:r>
      <w:r w:rsidR="00FE7E7D">
        <w:rPr>
          <w:lang w:val="ru-RU"/>
        </w:rPr>
        <w:t> гг.</w:t>
      </w:r>
    </w:p>
  </w:footnote>
  <w:footnote w:id="5">
    <w:p w14:paraId="759022D3" w14:textId="2F45F8D0" w:rsidR="001C10AB" w:rsidRPr="001C10AB" w:rsidRDefault="001C10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84B8C">
        <w:rPr>
          <w:lang w:val="ru-RU"/>
        </w:rPr>
        <w:t xml:space="preserve">Дополнительную информацию см. в документе </w:t>
      </w:r>
      <w:r w:rsidRPr="001C10AB">
        <w:t xml:space="preserve">A/59/8, </w:t>
      </w:r>
      <w:r w:rsidR="00284B8C">
        <w:rPr>
          <w:lang w:val="ru-RU"/>
        </w:rPr>
        <w:t>пункты </w:t>
      </w:r>
      <w:r w:rsidRPr="001C10AB">
        <w:t>5</w:t>
      </w:r>
      <w:r w:rsidR="00284B8C">
        <w:rPr>
          <w:lang w:val="ru-RU"/>
        </w:rPr>
        <w:t>–</w:t>
      </w:r>
      <w:r w:rsidRPr="001C10AB">
        <w:t>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4D492" w14:textId="4224BF24" w:rsidR="003D2030" w:rsidRDefault="00762FF2" w:rsidP="00477D6B">
    <w:pPr>
      <w:jc w:val="right"/>
    </w:pPr>
    <w:bookmarkStart w:id="6" w:name="Code2"/>
    <w:bookmarkEnd w:id="6"/>
    <w:r>
      <w:t>A/59/INF</w:t>
    </w:r>
    <w:r w:rsidR="00F143F0">
      <w:t>/</w:t>
    </w:r>
    <w:r>
      <w:t>3</w:t>
    </w:r>
  </w:p>
  <w:p w14:paraId="580BE564" w14:textId="4EBF9E78" w:rsidR="00EC4E49" w:rsidRDefault="00F143F0" w:rsidP="00477D6B">
    <w:pPr>
      <w:jc w:val="right"/>
    </w:pP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7284E">
      <w:rPr>
        <w:noProof/>
      </w:rPr>
      <w:t>4</w:t>
    </w:r>
    <w:r w:rsidR="00EC4E49">
      <w:fldChar w:fldCharType="end"/>
    </w:r>
  </w:p>
  <w:p w14:paraId="5B6C0D03" w14:textId="77777777" w:rsidR="00EC4E49" w:rsidRDefault="00EC4E49" w:rsidP="00477D6B">
    <w:pPr>
      <w:jc w:val="right"/>
    </w:pPr>
  </w:p>
  <w:p w14:paraId="5B3C043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A959BE"/>
    <w:multiLevelType w:val="hybridMultilevel"/>
    <w:tmpl w:val="C92636EE"/>
    <w:lvl w:ilvl="0" w:tplc="3C6A37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B260A72"/>
    <w:multiLevelType w:val="multilevel"/>
    <w:tmpl w:val="C0D8AC20"/>
    <w:styleLink w:val="NUmbListBullet"/>
    <w:lvl w:ilvl="0">
      <w:start w:val="1"/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pStyle w:val="NumbList1"/>
      <w:lvlText w:val="(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pStyle w:val="AlphaList"/>
      <w:lvlText w:val="(%5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FE7C6A"/>
    <w:multiLevelType w:val="hybridMultilevel"/>
    <w:tmpl w:val="BFE4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F7A4C"/>
    <w:multiLevelType w:val="multilevel"/>
    <w:tmpl w:val="B1EC3128"/>
    <w:numStyleLink w:val="NumbListMain"/>
  </w:abstractNum>
  <w:abstractNum w:abstractNumId="10" w15:restartNumberingAfterBreak="0">
    <w:nsid w:val="7C7438A7"/>
    <w:multiLevelType w:val="multilevel"/>
    <w:tmpl w:val="C0D8AC20"/>
    <w:numStyleLink w:val="NUmbListBullet"/>
  </w:abstractNum>
  <w:abstractNum w:abstractNumId="11" w15:restartNumberingAfterBreak="0">
    <w:nsid w:val="7CE23054"/>
    <w:multiLevelType w:val="multilevel"/>
    <w:tmpl w:val="B1EC3128"/>
    <w:styleLink w:val="NumbListMain"/>
    <w:lvl w:ilvl="0">
      <w:start w:val="1"/>
      <w:numFmt w:val="upperRoman"/>
      <w:pStyle w:val="SectionTitleNumb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StrategyTitle"/>
      <w:lvlText w:val="Strategic Goal %2"/>
      <w:lvlJc w:val="left"/>
      <w:pPr>
        <w:tabs>
          <w:tab w:val="num" w:pos="2948"/>
        </w:tabs>
        <w:ind w:left="2948" w:hanging="2948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268" w:hanging="226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hanging="2268"/>
      </w:pPr>
      <w:rPr>
        <w:rFonts w:hint="default"/>
      </w:rPr>
    </w:lvl>
    <w:lvl w:ilvl="4">
      <w:start w:val="1"/>
      <w:numFmt w:val="decimal"/>
      <w:pStyle w:val="NormalNumb"/>
      <w:suff w:val="nothing"/>
      <w:lvlText w:val="%5.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F2"/>
    <w:rsid w:val="00043CAA"/>
    <w:rsid w:val="0006721C"/>
    <w:rsid w:val="00075432"/>
    <w:rsid w:val="000765C4"/>
    <w:rsid w:val="00080F36"/>
    <w:rsid w:val="000968ED"/>
    <w:rsid w:val="000A16F5"/>
    <w:rsid w:val="000C117A"/>
    <w:rsid w:val="000E5C7D"/>
    <w:rsid w:val="000E6FDE"/>
    <w:rsid w:val="000F5E56"/>
    <w:rsid w:val="000F6B7A"/>
    <w:rsid w:val="0010331B"/>
    <w:rsid w:val="0011688D"/>
    <w:rsid w:val="001273C5"/>
    <w:rsid w:val="001362EE"/>
    <w:rsid w:val="00156693"/>
    <w:rsid w:val="001647D5"/>
    <w:rsid w:val="00174BF1"/>
    <w:rsid w:val="001832A6"/>
    <w:rsid w:val="00196082"/>
    <w:rsid w:val="001C10AB"/>
    <w:rsid w:val="001C79E0"/>
    <w:rsid w:val="001E4E00"/>
    <w:rsid w:val="00205871"/>
    <w:rsid w:val="0021217E"/>
    <w:rsid w:val="002271F6"/>
    <w:rsid w:val="00240497"/>
    <w:rsid w:val="002634C4"/>
    <w:rsid w:val="00284B8C"/>
    <w:rsid w:val="002928D3"/>
    <w:rsid w:val="00292C5B"/>
    <w:rsid w:val="002932D7"/>
    <w:rsid w:val="002A1F1C"/>
    <w:rsid w:val="002A222D"/>
    <w:rsid w:val="002F1FE6"/>
    <w:rsid w:val="002F4E68"/>
    <w:rsid w:val="00312F7F"/>
    <w:rsid w:val="003178BA"/>
    <w:rsid w:val="00350AE2"/>
    <w:rsid w:val="00361450"/>
    <w:rsid w:val="003673CF"/>
    <w:rsid w:val="003845C1"/>
    <w:rsid w:val="00396E9D"/>
    <w:rsid w:val="003A6F89"/>
    <w:rsid w:val="003A727D"/>
    <w:rsid w:val="003B38C1"/>
    <w:rsid w:val="003D2030"/>
    <w:rsid w:val="003D57B0"/>
    <w:rsid w:val="004121E0"/>
    <w:rsid w:val="00423E3E"/>
    <w:rsid w:val="00427AF4"/>
    <w:rsid w:val="00462E82"/>
    <w:rsid w:val="004647DA"/>
    <w:rsid w:val="00474062"/>
    <w:rsid w:val="00477D6B"/>
    <w:rsid w:val="00492AEA"/>
    <w:rsid w:val="00497D80"/>
    <w:rsid w:val="004B2629"/>
    <w:rsid w:val="004E7872"/>
    <w:rsid w:val="005019FF"/>
    <w:rsid w:val="00502EC7"/>
    <w:rsid w:val="00504E34"/>
    <w:rsid w:val="00520450"/>
    <w:rsid w:val="0052447B"/>
    <w:rsid w:val="0053057A"/>
    <w:rsid w:val="00530919"/>
    <w:rsid w:val="00553198"/>
    <w:rsid w:val="00560A29"/>
    <w:rsid w:val="005659F2"/>
    <w:rsid w:val="00565DD9"/>
    <w:rsid w:val="00587588"/>
    <w:rsid w:val="00596F37"/>
    <w:rsid w:val="005B0E47"/>
    <w:rsid w:val="005B1969"/>
    <w:rsid w:val="005C6649"/>
    <w:rsid w:val="005D6C80"/>
    <w:rsid w:val="00600203"/>
    <w:rsid w:val="00605827"/>
    <w:rsid w:val="00646050"/>
    <w:rsid w:val="006713CA"/>
    <w:rsid w:val="0067262A"/>
    <w:rsid w:val="00672E7B"/>
    <w:rsid w:val="00673CED"/>
    <w:rsid w:val="00676C5C"/>
    <w:rsid w:val="006E4F5F"/>
    <w:rsid w:val="006F245D"/>
    <w:rsid w:val="006F745B"/>
    <w:rsid w:val="00762FF2"/>
    <w:rsid w:val="00776BA5"/>
    <w:rsid w:val="00777430"/>
    <w:rsid w:val="0078193C"/>
    <w:rsid w:val="007A52FB"/>
    <w:rsid w:val="007C71D7"/>
    <w:rsid w:val="007D1613"/>
    <w:rsid w:val="007D1A22"/>
    <w:rsid w:val="007E4C0E"/>
    <w:rsid w:val="00805D31"/>
    <w:rsid w:val="0081263E"/>
    <w:rsid w:val="00820C2F"/>
    <w:rsid w:val="00853FEC"/>
    <w:rsid w:val="008543F3"/>
    <w:rsid w:val="00860537"/>
    <w:rsid w:val="00877718"/>
    <w:rsid w:val="008811AD"/>
    <w:rsid w:val="00897AFA"/>
    <w:rsid w:val="008A134B"/>
    <w:rsid w:val="008B2CC1"/>
    <w:rsid w:val="008B500C"/>
    <w:rsid w:val="008B60B2"/>
    <w:rsid w:val="008F62F2"/>
    <w:rsid w:val="0090731E"/>
    <w:rsid w:val="00916EE2"/>
    <w:rsid w:val="00925A8D"/>
    <w:rsid w:val="00946B46"/>
    <w:rsid w:val="00966A22"/>
    <w:rsid w:val="00966FA9"/>
    <w:rsid w:val="00967188"/>
    <w:rsid w:val="0096722F"/>
    <w:rsid w:val="00980843"/>
    <w:rsid w:val="00984567"/>
    <w:rsid w:val="00991753"/>
    <w:rsid w:val="009B6777"/>
    <w:rsid w:val="009C127D"/>
    <w:rsid w:val="009C4A8C"/>
    <w:rsid w:val="009D0889"/>
    <w:rsid w:val="009E2791"/>
    <w:rsid w:val="009E3F6F"/>
    <w:rsid w:val="009F499F"/>
    <w:rsid w:val="009F7DB0"/>
    <w:rsid w:val="00A03320"/>
    <w:rsid w:val="00A17F08"/>
    <w:rsid w:val="00A37342"/>
    <w:rsid w:val="00A42DAF"/>
    <w:rsid w:val="00A45BD8"/>
    <w:rsid w:val="00A869B7"/>
    <w:rsid w:val="00AA2DD4"/>
    <w:rsid w:val="00AC0FA3"/>
    <w:rsid w:val="00AC205C"/>
    <w:rsid w:val="00AC3577"/>
    <w:rsid w:val="00AC48F4"/>
    <w:rsid w:val="00AD3392"/>
    <w:rsid w:val="00AD6BD4"/>
    <w:rsid w:val="00AF0A6B"/>
    <w:rsid w:val="00B05A69"/>
    <w:rsid w:val="00B27221"/>
    <w:rsid w:val="00B45B53"/>
    <w:rsid w:val="00B7284E"/>
    <w:rsid w:val="00B9734B"/>
    <w:rsid w:val="00BA30E2"/>
    <w:rsid w:val="00C11BFE"/>
    <w:rsid w:val="00C5068F"/>
    <w:rsid w:val="00C75FAA"/>
    <w:rsid w:val="00C7606C"/>
    <w:rsid w:val="00C86D74"/>
    <w:rsid w:val="00C952BD"/>
    <w:rsid w:val="00C975A7"/>
    <w:rsid w:val="00CB1990"/>
    <w:rsid w:val="00CD04F1"/>
    <w:rsid w:val="00CD7F59"/>
    <w:rsid w:val="00D44A0B"/>
    <w:rsid w:val="00D45252"/>
    <w:rsid w:val="00D548BE"/>
    <w:rsid w:val="00D66E37"/>
    <w:rsid w:val="00D71B4D"/>
    <w:rsid w:val="00D757DC"/>
    <w:rsid w:val="00D93D55"/>
    <w:rsid w:val="00DC0E7C"/>
    <w:rsid w:val="00DE3F79"/>
    <w:rsid w:val="00DF023A"/>
    <w:rsid w:val="00DF383E"/>
    <w:rsid w:val="00E15015"/>
    <w:rsid w:val="00E21D13"/>
    <w:rsid w:val="00E335FE"/>
    <w:rsid w:val="00E43266"/>
    <w:rsid w:val="00E5566B"/>
    <w:rsid w:val="00E85557"/>
    <w:rsid w:val="00E86008"/>
    <w:rsid w:val="00E87745"/>
    <w:rsid w:val="00E9439C"/>
    <w:rsid w:val="00E9630B"/>
    <w:rsid w:val="00EA0BAA"/>
    <w:rsid w:val="00EA7D6E"/>
    <w:rsid w:val="00EB2210"/>
    <w:rsid w:val="00EC4E49"/>
    <w:rsid w:val="00ED77FB"/>
    <w:rsid w:val="00EE45FA"/>
    <w:rsid w:val="00F06BAF"/>
    <w:rsid w:val="00F143F0"/>
    <w:rsid w:val="00F21A7A"/>
    <w:rsid w:val="00F227D6"/>
    <w:rsid w:val="00F66152"/>
    <w:rsid w:val="00F77805"/>
    <w:rsid w:val="00F8321C"/>
    <w:rsid w:val="00F9537B"/>
    <w:rsid w:val="00FA2F1A"/>
    <w:rsid w:val="00FD53CC"/>
    <w:rsid w:val="00FE1E1C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F592D9A"/>
  <w15:docId w15:val="{3F3E7E92-532B-4BE6-8AF9-6AA203EE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null">
    <w:name w:val="null"/>
    <w:basedOn w:val="Normal"/>
    <w:rsid w:val="00FA2F1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A2F1A"/>
    <w:pPr>
      <w:ind w:left="720"/>
      <w:contextualSpacing/>
    </w:pPr>
  </w:style>
  <w:style w:type="character" w:styleId="FootnoteReference">
    <w:name w:val="footnote reference"/>
    <w:aliases w:val="Footnote,callout"/>
    <w:basedOn w:val="DefaultParagraphFont"/>
    <w:uiPriority w:val="99"/>
    <w:unhideWhenUsed/>
    <w:rsid w:val="0052447B"/>
    <w:rPr>
      <w:vertAlign w:val="superscript"/>
    </w:rPr>
  </w:style>
  <w:style w:type="paragraph" w:customStyle="1" w:styleId="NormalNumb">
    <w:name w:val="NormalNumb"/>
    <w:basedOn w:val="Normal"/>
    <w:uiPriority w:val="6"/>
    <w:qFormat/>
    <w:rsid w:val="0052447B"/>
    <w:pPr>
      <w:numPr>
        <w:ilvl w:val="4"/>
        <w:numId w:val="10"/>
      </w:numPr>
      <w:spacing w:after="180" w:line="220" w:lineRule="atLeast"/>
    </w:pPr>
    <w:rPr>
      <w:rFonts w:eastAsiaTheme="minorHAnsi" w:cstheme="minorBidi"/>
      <w:sz w:val="18"/>
      <w:szCs w:val="22"/>
      <w:lang w:val="en-GB" w:eastAsia="en-US"/>
    </w:rPr>
  </w:style>
  <w:style w:type="numbering" w:customStyle="1" w:styleId="NumbListMain">
    <w:name w:val="NumbListMain"/>
    <w:uiPriority w:val="99"/>
    <w:rsid w:val="0052447B"/>
    <w:pPr>
      <w:numPr>
        <w:numId w:val="9"/>
      </w:numPr>
    </w:pPr>
  </w:style>
  <w:style w:type="paragraph" w:customStyle="1" w:styleId="SectionTitleNumb">
    <w:name w:val="SectionTitleNumb"/>
    <w:basedOn w:val="Normal"/>
    <w:uiPriority w:val="1"/>
    <w:qFormat/>
    <w:rsid w:val="0052447B"/>
    <w:pPr>
      <w:keepNext/>
      <w:keepLines/>
      <w:pageBreakBefore/>
      <w:numPr>
        <w:numId w:val="10"/>
      </w:numPr>
      <w:spacing w:after="480" w:line="220" w:lineRule="atLeast"/>
      <w:outlineLvl w:val="0"/>
    </w:pPr>
    <w:rPr>
      <w:rFonts w:eastAsiaTheme="minorHAnsi" w:cstheme="minorBidi"/>
      <w:caps/>
      <w:color w:val="1F497D" w:themeColor="text2"/>
      <w:sz w:val="44"/>
      <w:szCs w:val="22"/>
      <w:lang w:val="en-GB" w:eastAsia="en-US"/>
    </w:rPr>
  </w:style>
  <w:style w:type="paragraph" w:customStyle="1" w:styleId="StrategyTitle">
    <w:name w:val="StrategyTitle"/>
    <w:basedOn w:val="Normal"/>
    <w:uiPriority w:val="2"/>
    <w:qFormat/>
    <w:rsid w:val="0052447B"/>
    <w:pPr>
      <w:keepNext/>
      <w:keepLines/>
      <w:pageBreakBefore/>
      <w:numPr>
        <w:ilvl w:val="1"/>
        <w:numId w:val="10"/>
      </w:numPr>
      <w:spacing w:after="180" w:line="220" w:lineRule="atLeast"/>
      <w:outlineLvl w:val="0"/>
    </w:pPr>
    <w:rPr>
      <w:rFonts w:eastAsiaTheme="minorHAnsi" w:cstheme="minorBidi"/>
      <w:color w:val="1F497D" w:themeColor="text2"/>
      <w:sz w:val="32"/>
      <w:szCs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447B"/>
    <w:rPr>
      <w:rFonts w:ascii="Arial" w:eastAsia="SimSun" w:hAnsi="Arial" w:cs="Arial"/>
      <w:sz w:val="18"/>
      <w:lang w:val="en-US" w:eastAsia="zh-CN"/>
    </w:rPr>
  </w:style>
  <w:style w:type="paragraph" w:customStyle="1" w:styleId="Bullet1">
    <w:name w:val="Bullet 1"/>
    <w:basedOn w:val="Normal"/>
    <w:uiPriority w:val="6"/>
    <w:qFormat/>
    <w:rsid w:val="0052447B"/>
    <w:pPr>
      <w:numPr>
        <w:numId w:val="12"/>
      </w:numPr>
      <w:spacing w:after="180" w:line="220" w:lineRule="atLeast"/>
    </w:pPr>
    <w:rPr>
      <w:rFonts w:eastAsiaTheme="minorHAnsi" w:cstheme="minorBidi"/>
      <w:sz w:val="18"/>
      <w:szCs w:val="22"/>
      <w:lang w:val="en-GB" w:eastAsia="en-US"/>
    </w:rPr>
  </w:style>
  <w:style w:type="numbering" w:customStyle="1" w:styleId="NUmbListBullet">
    <w:name w:val="NUmbListBullet"/>
    <w:uiPriority w:val="99"/>
    <w:rsid w:val="0052447B"/>
    <w:pPr>
      <w:numPr>
        <w:numId w:val="11"/>
      </w:numPr>
    </w:pPr>
  </w:style>
  <w:style w:type="paragraph" w:customStyle="1" w:styleId="Bullet2">
    <w:name w:val="Bullet 2"/>
    <w:basedOn w:val="Normal"/>
    <w:uiPriority w:val="6"/>
    <w:qFormat/>
    <w:rsid w:val="0052447B"/>
    <w:pPr>
      <w:numPr>
        <w:ilvl w:val="1"/>
        <w:numId w:val="12"/>
      </w:numPr>
      <w:spacing w:after="180" w:line="220" w:lineRule="atLeast"/>
    </w:pPr>
    <w:rPr>
      <w:rFonts w:eastAsiaTheme="minorHAnsi" w:cstheme="minorBidi"/>
      <w:sz w:val="18"/>
      <w:szCs w:val="22"/>
      <w:lang w:val="en-GB" w:eastAsia="en-US"/>
    </w:rPr>
  </w:style>
  <w:style w:type="paragraph" w:customStyle="1" w:styleId="NumbList1">
    <w:name w:val="NumbList 1"/>
    <w:basedOn w:val="Normal"/>
    <w:uiPriority w:val="6"/>
    <w:qFormat/>
    <w:rsid w:val="0052447B"/>
    <w:pPr>
      <w:numPr>
        <w:ilvl w:val="3"/>
        <w:numId w:val="12"/>
      </w:numPr>
      <w:spacing w:after="180" w:line="220" w:lineRule="atLeast"/>
    </w:pPr>
    <w:rPr>
      <w:rFonts w:eastAsiaTheme="minorHAnsi" w:cstheme="minorBidi"/>
      <w:sz w:val="18"/>
      <w:szCs w:val="22"/>
      <w:lang w:val="en-GB" w:eastAsia="en-US"/>
    </w:rPr>
  </w:style>
  <w:style w:type="paragraph" w:customStyle="1" w:styleId="AlphaList">
    <w:name w:val="AlphaList"/>
    <w:basedOn w:val="Normal"/>
    <w:uiPriority w:val="6"/>
    <w:qFormat/>
    <w:rsid w:val="0052447B"/>
    <w:pPr>
      <w:numPr>
        <w:ilvl w:val="4"/>
        <w:numId w:val="12"/>
      </w:numPr>
      <w:spacing w:after="180" w:line="220" w:lineRule="atLeast"/>
    </w:pPr>
    <w:rPr>
      <w:rFonts w:eastAsiaTheme="minorHAnsi" w:cstheme="minorBidi"/>
      <w:sz w:val="18"/>
      <w:szCs w:val="22"/>
      <w:lang w:val="en-GB" w:eastAsia="en-US"/>
    </w:rPr>
  </w:style>
  <w:style w:type="paragraph" w:customStyle="1" w:styleId="TableAndChartTitle">
    <w:name w:val="TableAndChartTitle"/>
    <w:basedOn w:val="Normal"/>
    <w:next w:val="Normal"/>
    <w:uiPriority w:val="14"/>
    <w:qFormat/>
    <w:rsid w:val="001C10AB"/>
    <w:pPr>
      <w:keepNext/>
      <w:keepLines/>
      <w:spacing w:before="240" w:after="60" w:line="220" w:lineRule="atLeast"/>
      <w:jc w:val="center"/>
    </w:pPr>
    <w:rPr>
      <w:rFonts w:eastAsiaTheme="minorHAnsi" w:cstheme="minorBidi"/>
      <w:b/>
      <w:color w:val="1F497D" w:themeColor="text2"/>
      <w:sz w:val="18"/>
      <w:szCs w:val="22"/>
      <w:lang w:val="en-GB" w:eastAsia="en-US"/>
    </w:rPr>
  </w:style>
  <w:style w:type="paragraph" w:customStyle="1" w:styleId="null1">
    <w:name w:val="null1"/>
    <w:basedOn w:val="Normal"/>
    <w:rsid w:val="00F8321C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273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73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73C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73C5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C1F6-9474-4298-BD4C-B49B3531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4</TotalTime>
  <Pages>4</Pages>
  <Words>998</Words>
  <Characters>6263</Characters>
  <Application>Microsoft Office Word</Application>
  <DocSecurity>0</DocSecurity>
  <Lines>126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CHANG Shauna</dc:creator>
  <cp:keywords>PUBLIC</cp:keywords>
  <cp:lastModifiedBy>HÄFLIGER Patience</cp:lastModifiedBy>
  <cp:revision>6</cp:revision>
  <cp:lastPrinted>2019-09-13T08:10:00Z</cp:lastPrinted>
  <dcterms:created xsi:type="dcterms:W3CDTF">2019-09-13T14:35:00Z</dcterms:created>
  <dcterms:modified xsi:type="dcterms:W3CDTF">2019-09-16T14:31:00Z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94a0a0a0-6dbc-4b5f-85f7-47a1ac0bbb45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