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97F0D" w:rsidRPr="008B2CC1" w:rsidTr="0088278A">
        <w:tc>
          <w:tcPr>
            <w:tcW w:w="4513" w:type="dxa"/>
            <w:tcBorders>
              <w:bottom w:val="single" w:sz="4" w:space="0" w:color="auto"/>
            </w:tcBorders>
            <w:tcMar>
              <w:bottom w:w="170" w:type="dxa"/>
            </w:tcMar>
          </w:tcPr>
          <w:p w:rsidR="00F97F0D" w:rsidRPr="008B2CC1" w:rsidRDefault="00F97F0D" w:rsidP="0088278A">
            <w:bookmarkStart w:id="0" w:name="_Toc292715060"/>
          </w:p>
        </w:tc>
        <w:tc>
          <w:tcPr>
            <w:tcW w:w="4337" w:type="dxa"/>
            <w:tcBorders>
              <w:bottom w:val="single" w:sz="4" w:space="0" w:color="auto"/>
            </w:tcBorders>
            <w:tcMar>
              <w:left w:w="0" w:type="dxa"/>
              <w:right w:w="0" w:type="dxa"/>
            </w:tcMar>
          </w:tcPr>
          <w:p w:rsidR="00F97F0D" w:rsidRPr="008B2CC1" w:rsidRDefault="00EF01C3" w:rsidP="0088278A">
            <w:r w:rsidRPr="00634ABD">
              <w:rPr>
                <w:rFonts w:ascii="Arial" w:hAnsi="Arial"/>
                <w:noProof/>
                <w:sz w:val="22"/>
                <w:lang w:val="en-US" w:eastAsia="en-US"/>
              </w:rPr>
              <w:drawing>
                <wp:inline distT="0" distB="0" distL="0" distR="0" wp14:anchorId="11D076FA" wp14:editId="05710334">
                  <wp:extent cx="1739900" cy="1289685"/>
                  <wp:effectExtent l="0" t="0" r="0" b="5715"/>
                  <wp:docPr id="2"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97F0D" w:rsidRPr="00F97F0D" w:rsidRDefault="00F97F0D" w:rsidP="0088278A">
            <w:pPr>
              <w:jc w:val="right"/>
              <w:rPr>
                <w:rFonts w:ascii="Arial" w:hAnsi="Arial" w:cs="Arial"/>
                <w:lang w:val="en-US"/>
              </w:rPr>
            </w:pPr>
            <w:r w:rsidRPr="00F97F0D">
              <w:rPr>
                <w:rFonts w:ascii="Arial" w:hAnsi="Arial" w:cs="Arial"/>
                <w:b/>
                <w:sz w:val="40"/>
                <w:szCs w:val="40"/>
                <w:lang w:val="en-US"/>
              </w:rPr>
              <w:t>R</w:t>
            </w:r>
          </w:p>
        </w:tc>
      </w:tr>
      <w:tr w:rsidR="00F97F0D" w:rsidRPr="001832A6" w:rsidTr="0088278A">
        <w:trPr>
          <w:trHeight w:hRule="exact" w:val="340"/>
        </w:trPr>
        <w:tc>
          <w:tcPr>
            <w:tcW w:w="9356" w:type="dxa"/>
            <w:gridSpan w:val="3"/>
            <w:tcBorders>
              <w:top w:val="single" w:sz="4" w:space="0" w:color="auto"/>
            </w:tcBorders>
            <w:tcMar>
              <w:top w:w="170" w:type="dxa"/>
              <w:left w:w="0" w:type="dxa"/>
              <w:right w:w="0" w:type="dxa"/>
            </w:tcMar>
            <w:vAlign w:val="bottom"/>
          </w:tcPr>
          <w:p w:rsidR="00F97F0D" w:rsidRPr="0090731E" w:rsidRDefault="00F97F0D" w:rsidP="0088278A">
            <w:pPr>
              <w:jc w:val="right"/>
              <w:rPr>
                <w:rFonts w:ascii="Arial Black" w:hAnsi="Arial Black"/>
                <w:caps/>
                <w:sz w:val="15"/>
              </w:rPr>
            </w:pPr>
            <w:r>
              <w:rPr>
                <w:rFonts w:ascii="Arial Black" w:hAnsi="Arial Black"/>
                <w:caps/>
                <w:sz w:val="15"/>
              </w:rPr>
              <w:t xml:space="preserve">A/55/7 </w:t>
            </w:r>
            <w:r w:rsidRPr="0090731E">
              <w:rPr>
                <w:rFonts w:ascii="Arial Black" w:hAnsi="Arial Black"/>
                <w:caps/>
                <w:sz w:val="15"/>
              </w:rPr>
              <w:t xml:space="preserve">   </w:t>
            </w:r>
          </w:p>
        </w:tc>
      </w:tr>
      <w:tr w:rsidR="00F97F0D" w:rsidRPr="001832A6" w:rsidTr="0088278A">
        <w:trPr>
          <w:trHeight w:hRule="exact" w:val="170"/>
        </w:trPr>
        <w:tc>
          <w:tcPr>
            <w:tcW w:w="9356" w:type="dxa"/>
            <w:gridSpan w:val="3"/>
            <w:noWrap/>
            <w:tcMar>
              <w:left w:w="0" w:type="dxa"/>
              <w:right w:w="0" w:type="dxa"/>
            </w:tcMar>
            <w:vAlign w:val="bottom"/>
          </w:tcPr>
          <w:p w:rsidR="00F97F0D" w:rsidRPr="0090731E" w:rsidRDefault="00F97F0D" w:rsidP="00F97F0D">
            <w:pPr>
              <w:jc w:val="right"/>
              <w:rPr>
                <w:rFonts w:ascii="Arial Black" w:hAnsi="Arial Black"/>
                <w:caps/>
                <w:sz w:val="15"/>
              </w:rPr>
            </w:pPr>
            <w:r>
              <w:rPr>
                <w:rFonts w:ascii="Arial Black" w:hAnsi="Arial Black"/>
                <w:caps/>
                <w:sz w:val="15"/>
              </w:rPr>
              <w:t>оригинал</w:t>
            </w:r>
            <w:r w:rsidRPr="0090731E">
              <w:rPr>
                <w:rFonts w:ascii="Arial Black" w:hAnsi="Arial Black"/>
                <w:caps/>
                <w:sz w:val="15"/>
              </w:rPr>
              <w:t>:</w:t>
            </w:r>
            <w:r>
              <w:rPr>
                <w:rFonts w:ascii="Arial Black" w:hAnsi="Arial Black"/>
                <w:caps/>
                <w:sz w:val="15"/>
              </w:rPr>
              <w:t xml:space="preserve">  английский </w:t>
            </w:r>
            <w:r w:rsidRPr="0090731E">
              <w:rPr>
                <w:rFonts w:ascii="Arial Black" w:hAnsi="Arial Black"/>
                <w:caps/>
                <w:sz w:val="15"/>
              </w:rPr>
              <w:t xml:space="preserve"> </w:t>
            </w:r>
          </w:p>
        </w:tc>
      </w:tr>
      <w:tr w:rsidR="00F97F0D" w:rsidRPr="00F97F0D" w:rsidTr="0088278A">
        <w:trPr>
          <w:trHeight w:hRule="exact" w:val="198"/>
        </w:trPr>
        <w:tc>
          <w:tcPr>
            <w:tcW w:w="9356" w:type="dxa"/>
            <w:gridSpan w:val="3"/>
            <w:tcMar>
              <w:left w:w="0" w:type="dxa"/>
              <w:right w:w="0" w:type="dxa"/>
            </w:tcMar>
            <w:vAlign w:val="bottom"/>
          </w:tcPr>
          <w:p w:rsidR="00F97F0D" w:rsidRPr="00F97F0D" w:rsidRDefault="00F97F0D" w:rsidP="00F97F0D">
            <w:pPr>
              <w:jc w:val="right"/>
              <w:rPr>
                <w:rFonts w:ascii="Arial Black" w:hAnsi="Arial Black"/>
                <w:caps/>
                <w:sz w:val="15"/>
                <w:lang w:val="en-US"/>
              </w:rPr>
            </w:pPr>
            <w:r>
              <w:rPr>
                <w:rFonts w:ascii="Arial Black" w:hAnsi="Arial Black"/>
                <w:caps/>
                <w:sz w:val="15"/>
              </w:rPr>
              <w:t>дата</w:t>
            </w:r>
            <w:r w:rsidRPr="00F97F0D">
              <w:rPr>
                <w:rFonts w:ascii="Arial Black" w:hAnsi="Arial Black"/>
                <w:caps/>
                <w:sz w:val="15"/>
                <w:lang w:val="en-US"/>
              </w:rPr>
              <w:t xml:space="preserve">:  4 </w:t>
            </w:r>
            <w:r>
              <w:rPr>
                <w:rFonts w:ascii="Arial Black" w:hAnsi="Arial Black"/>
                <w:caps/>
                <w:sz w:val="15"/>
              </w:rPr>
              <w:t>августа</w:t>
            </w:r>
            <w:r w:rsidRPr="00F97F0D">
              <w:rPr>
                <w:rFonts w:ascii="Arial Black" w:hAnsi="Arial Black"/>
                <w:caps/>
                <w:sz w:val="15"/>
                <w:lang w:val="en-US"/>
              </w:rPr>
              <w:t xml:space="preserve"> 2015 </w:t>
            </w:r>
            <w:r>
              <w:rPr>
                <w:rFonts w:ascii="Arial Black" w:hAnsi="Arial Black"/>
                <w:caps/>
                <w:sz w:val="15"/>
              </w:rPr>
              <w:t>г</w:t>
            </w:r>
            <w:r w:rsidRPr="00F97F0D">
              <w:rPr>
                <w:rFonts w:ascii="Arial Black" w:hAnsi="Arial Black"/>
                <w:caps/>
                <w:sz w:val="15"/>
                <w:lang w:val="en-US"/>
              </w:rPr>
              <w:t xml:space="preserve">.  </w:t>
            </w:r>
          </w:p>
        </w:tc>
      </w:tr>
    </w:tbl>
    <w:p w:rsidR="00F97F0D" w:rsidRPr="00F97F0D" w:rsidRDefault="00F97F0D" w:rsidP="00F97F0D">
      <w:pPr>
        <w:rPr>
          <w:lang w:val="en-US"/>
        </w:rPr>
      </w:pPr>
    </w:p>
    <w:p w:rsidR="00F97F0D" w:rsidRPr="00F97F0D" w:rsidRDefault="00F97F0D" w:rsidP="00F97F0D">
      <w:pPr>
        <w:rPr>
          <w:lang w:val="en-US"/>
        </w:rPr>
      </w:pPr>
    </w:p>
    <w:p w:rsidR="00F97F0D" w:rsidRPr="00F97F0D" w:rsidRDefault="00F97F0D" w:rsidP="00F97F0D">
      <w:pPr>
        <w:rPr>
          <w:lang w:val="en-US"/>
        </w:rPr>
      </w:pPr>
    </w:p>
    <w:p w:rsidR="00F97F0D" w:rsidRPr="00F97F0D" w:rsidRDefault="00F97F0D" w:rsidP="00F97F0D">
      <w:pPr>
        <w:rPr>
          <w:lang w:val="en-US"/>
        </w:rPr>
      </w:pPr>
    </w:p>
    <w:p w:rsidR="00F97F0D" w:rsidRPr="00F97F0D" w:rsidRDefault="00F97F0D" w:rsidP="00F97F0D">
      <w:pPr>
        <w:rPr>
          <w:lang w:val="en-US"/>
        </w:rPr>
      </w:pPr>
    </w:p>
    <w:p w:rsidR="00F97F0D" w:rsidRPr="00F97F0D" w:rsidRDefault="00F97F0D" w:rsidP="00F97F0D">
      <w:pPr>
        <w:rPr>
          <w:rFonts w:ascii="Arial" w:hAnsi="Arial" w:cs="Arial"/>
        </w:rPr>
      </w:pPr>
      <w:r>
        <w:rPr>
          <w:rFonts w:ascii="Arial" w:hAnsi="Arial" w:cs="Arial"/>
          <w:b/>
          <w:sz w:val="28"/>
          <w:szCs w:val="28"/>
        </w:rPr>
        <w:t>Ассамблеи государств – членов ВОИС</w:t>
      </w:r>
    </w:p>
    <w:p w:rsidR="00F97F0D" w:rsidRPr="00F97F0D" w:rsidRDefault="00F97F0D" w:rsidP="00F97F0D">
      <w:pPr>
        <w:rPr>
          <w:rFonts w:ascii="Arial" w:hAnsi="Arial" w:cs="Arial"/>
        </w:rPr>
      </w:pPr>
    </w:p>
    <w:p w:rsidR="00F97F0D" w:rsidRPr="00F97F0D" w:rsidRDefault="00F97F0D" w:rsidP="00F97F0D">
      <w:pPr>
        <w:rPr>
          <w:rFonts w:ascii="Arial" w:hAnsi="Arial" w:cs="Arial"/>
        </w:rPr>
      </w:pPr>
    </w:p>
    <w:p w:rsidR="00F97F0D" w:rsidRPr="00F97F0D" w:rsidRDefault="00F97F0D" w:rsidP="00F97F0D">
      <w:pPr>
        <w:rPr>
          <w:rFonts w:ascii="Arial" w:hAnsi="Arial" w:cs="Arial"/>
          <w:b/>
        </w:rPr>
      </w:pPr>
      <w:r>
        <w:rPr>
          <w:rFonts w:ascii="Arial" w:hAnsi="Arial" w:cs="Arial"/>
          <w:b/>
        </w:rPr>
        <w:t>Пятьдесят пятая серия заседаний</w:t>
      </w:r>
    </w:p>
    <w:p w:rsidR="00F97F0D" w:rsidRPr="00F97F0D" w:rsidRDefault="00F97F0D" w:rsidP="00F97F0D">
      <w:pPr>
        <w:rPr>
          <w:rFonts w:ascii="Arial" w:hAnsi="Arial" w:cs="Arial"/>
        </w:rPr>
      </w:pPr>
      <w:r>
        <w:rPr>
          <w:rFonts w:ascii="Arial" w:hAnsi="Arial" w:cs="Arial"/>
          <w:b/>
        </w:rPr>
        <w:t>Женева, 5 – 14 октября 2015 г.</w:t>
      </w:r>
    </w:p>
    <w:p w:rsidR="00F97F0D" w:rsidRPr="00F97F0D" w:rsidRDefault="00F97F0D" w:rsidP="00F97F0D">
      <w:pPr>
        <w:rPr>
          <w:rFonts w:ascii="Arial" w:hAnsi="Arial" w:cs="Arial"/>
        </w:rPr>
      </w:pPr>
    </w:p>
    <w:p w:rsidR="00F97F0D" w:rsidRPr="00F97F0D" w:rsidRDefault="00F97F0D" w:rsidP="00F97F0D">
      <w:pPr>
        <w:rPr>
          <w:rFonts w:ascii="Arial" w:hAnsi="Arial" w:cs="Arial"/>
        </w:rPr>
      </w:pPr>
    </w:p>
    <w:p w:rsidR="00F97F0D" w:rsidRPr="00F97F0D" w:rsidRDefault="00F97F0D" w:rsidP="00F97F0D">
      <w:pPr>
        <w:rPr>
          <w:rFonts w:ascii="Arial" w:hAnsi="Arial" w:cs="Arial"/>
          <w:caps/>
        </w:rPr>
      </w:pPr>
    </w:p>
    <w:p w:rsidR="00F97F0D" w:rsidRPr="00E337BC" w:rsidRDefault="00F97F0D" w:rsidP="00F97F0D">
      <w:pPr>
        <w:rPr>
          <w:rFonts w:ascii="Arial" w:eastAsia="SimSun" w:hAnsi="Arial" w:cs="Arial"/>
          <w:caps/>
          <w:szCs w:val="20"/>
        </w:rPr>
      </w:pPr>
      <w:r>
        <w:rPr>
          <w:rFonts w:ascii="Arial" w:hAnsi="Arial"/>
          <w:caps/>
        </w:rPr>
        <w:t>ГОДОВОЙ ФИНАНСОВЫЙ ОТЧЕТ И ФИНАНСОВЫЕ ВЕДОМОСТИ ЗА 201</w:t>
      </w:r>
      <w:r w:rsidRPr="001311AA">
        <w:rPr>
          <w:rFonts w:ascii="Arial" w:hAnsi="Arial"/>
          <w:caps/>
        </w:rPr>
        <w:t>4 Г.</w:t>
      </w:r>
    </w:p>
    <w:p w:rsidR="00F97F0D" w:rsidRPr="00F97F0D" w:rsidRDefault="00F97F0D" w:rsidP="00F97F0D">
      <w:pPr>
        <w:rPr>
          <w:rFonts w:ascii="Arial" w:hAnsi="Arial" w:cs="Arial"/>
        </w:rPr>
      </w:pPr>
    </w:p>
    <w:p w:rsidR="00F97F0D" w:rsidRPr="00EF01C3" w:rsidRDefault="00F97F0D" w:rsidP="00F97F0D">
      <w:pPr>
        <w:rPr>
          <w:rFonts w:ascii="Arial" w:hAnsi="Arial" w:cs="Arial"/>
          <w:i/>
          <w:sz w:val="22"/>
          <w:szCs w:val="22"/>
        </w:rPr>
      </w:pPr>
      <w:r w:rsidRPr="00EF01C3">
        <w:rPr>
          <w:rFonts w:ascii="Arial" w:hAnsi="Arial" w:cs="Arial"/>
          <w:i/>
          <w:sz w:val="22"/>
          <w:szCs w:val="22"/>
        </w:rPr>
        <w:t>подготовлен</w:t>
      </w:r>
      <w:r w:rsidR="00EF01C3">
        <w:rPr>
          <w:rFonts w:ascii="Arial" w:hAnsi="Arial" w:cs="Arial"/>
          <w:i/>
          <w:sz w:val="22"/>
          <w:szCs w:val="22"/>
        </w:rPr>
        <w:t>ы</w:t>
      </w:r>
      <w:r w:rsidRPr="00EF01C3">
        <w:rPr>
          <w:rFonts w:ascii="Arial" w:hAnsi="Arial" w:cs="Arial"/>
          <w:i/>
          <w:sz w:val="22"/>
          <w:szCs w:val="22"/>
        </w:rPr>
        <w:t xml:space="preserve"> Секретариатом</w:t>
      </w:r>
    </w:p>
    <w:p w:rsidR="00F97F0D" w:rsidRPr="00F97F0D" w:rsidRDefault="00F97F0D" w:rsidP="00F97F0D">
      <w:pPr>
        <w:rPr>
          <w:rFonts w:ascii="Arial" w:hAnsi="Arial" w:cs="Arial"/>
        </w:rPr>
      </w:pPr>
    </w:p>
    <w:p w:rsidR="00F97F0D" w:rsidRPr="00F97F0D" w:rsidRDefault="00F97F0D" w:rsidP="00F97F0D">
      <w:pPr>
        <w:rPr>
          <w:rFonts w:ascii="Arial" w:hAnsi="Arial" w:cs="Arial"/>
        </w:rPr>
      </w:pPr>
    </w:p>
    <w:p w:rsidR="00F97F0D" w:rsidRPr="00F97F0D" w:rsidRDefault="00F97F0D" w:rsidP="00F97F0D">
      <w:pPr>
        <w:rPr>
          <w:rFonts w:ascii="Arial" w:hAnsi="Arial" w:cs="Arial"/>
        </w:rPr>
      </w:pPr>
    </w:p>
    <w:p w:rsidR="00F97F0D" w:rsidRPr="00F97F0D" w:rsidRDefault="00F97F0D" w:rsidP="00F97F0D">
      <w:pPr>
        <w:rPr>
          <w:rFonts w:ascii="Arial" w:hAnsi="Arial" w:cs="Arial"/>
        </w:rPr>
      </w:pPr>
    </w:p>
    <w:p w:rsidR="00F97F0D" w:rsidRPr="00EF01C3" w:rsidRDefault="00F97F0D" w:rsidP="00F97F0D">
      <w:pPr>
        <w:rPr>
          <w:rFonts w:ascii="Arial" w:hAnsi="Arial" w:cs="Arial"/>
          <w:sz w:val="22"/>
          <w:szCs w:val="22"/>
        </w:rPr>
      </w:pPr>
    </w:p>
    <w:p w:rsidR="00F97F0D" w:rsidRPr="00EF01C3" w:rsidRDefault="00F97F0D" w:rsidP="00F97F0D">
      <w:pPr>
        <w:pStyle w:val="ListParagraph"/>
        <w:numPr>
          <w:ilvl w:val="0"/>
          <w:numId w:val="22"/>
        </w:numPr>
        <w:ind w:left="0" w:firstLine="0"/>
        <w:contextualSpacing/>
        <w:rPr>
          <w:rFonts w:ascii="Arial" w:hAnsi="Arial" w:cs="Arial"/>
          <w:sz w:val="22"/>
          <w:szCs w:val="22"/>
        </w:rPr>
      </w:pPr>
      <w:r w:rsidRPr="00EF01C3">
        <w:rPr>
          <w:rFonts w:ascii="Arial" w:hAnsi="Arial" w:cs="Arial"/>
          <w:sz w:val="22"/>
          <w:szCs w:val="22"/>
        </w:rPr>
        <w:t xml:space="preserve">Настоящий документ содержит Годовой финансовый отчет и финансовые ведомости за 2014 г. (документ </w:t>
      </w:r>
      <w:r w:rsidRPr="00EF01C3">
        <w:rPr>
          <w:rFonts w:ascii="Arial" w:hAnsi="Arial" w:cs="Arial"/>
          <w:sz w:val="22"/>
          <w:szCs w:val="22"/>
          <w:lang w:val="en-US"/>
        </w:rPr>
        <w:t>WO</w:t>
      </w:r>
      <w:r w:rsidRPr="00EF01C3">
        <w:rPr>
          <w:rFonts w:ascii="Arial" w:hAnsi="Arial" w:cs="Arial"/>
          <w:sz w:val="22"/>
          <w:szCs w:val="22"/>
        </w:rPr>
        <w:t>/</w:t>
      </w:r>
      <w:r w:rsidRPr="00EF01C3">
        <w:rPr>
          <w:rFonts w:ascii="Arial" w:hAnsi="Arial" w:cs="Arial"/>
          <w:sz w:val="22"/>
          <w:szCs w:val="22"/>
          <w:lang w:val="en-US"/>
        </w:rPr>
        <w:t>PBC</w:t>
      </w:r>
      <w:r w:rsidRPr="00EF01C3">
        <w:rPr>
          <w:rFonts w:ascii="Arial" w:hAnsi="Arial" w:cs="Arial"/>
          <w:sz w:val="22"/>
          <w:szCs w:val="22"/>
        </w:rPr>
        <w:t xml:space="preserve">/24/8), который представляется Комитету ВОИС по программе и бюджету (КПБ) на его двадцать четвертой </w:t>
      </w:r>
      <w:r w:rsidR="00EF01C3" w:rsidRPr="00EF01C3">
        <w:rPr>
          <w:rFonts w:ascii="Arial" w:hAnsi="Arial" w:cs="Arial"/>
          <w:sz w:val="22"/>
          <w:szCs w:val="22"/>
        </w:rPr>
        <w:t>сессии</w:t>
      </w:r>
      <w:r w:rsidRPr="00EF01C3">
        <w:rPr>
          <w:rFonts w:ascii="Arial" w:hAnsi="Arial" w:cs="Arial"/>
          <w:sz w:val="22"/>
          <w:szCs w:val="22"/>
        </w:rPr>
        <w:t xml:space="preserve"> </w:t>
      </w:r>
      <w:r w:rsidR="00EF01C3" w:rsidRPr="00EF01C3">
        <w:rPr>
          <w:rFonts w:ascii="Arial" w:hAnsi="Arial" w:cs="Arial"/>
          <w:sz w:val="22"/>
          <w:szCs w:val="22"/>
        </w:rPr>
        <w:br/>
      </w:r>
      <w:r w:rsidRPr="00EF01C3">
        <w:rPr>
          <w:rFonts w:ascii="Arial" w:hAnsi="Arial" w:cs="Arial"/>
          <w:sz w:val="22"/>
          <w:szCs w:val="22"/>
        </w:rPr>
        <w:t>(</w:t>
      </w:r>
      <w:r w:rsidR="00EF01C3" w:rsidRPr="00EF01C3">
        <w:rPr>
          <w:rFonts w:ascii="Arial" w:hAnsi="Arial" w:cs="Arial"/>
          <w:sz w:val="22"/>
          <w:szCs w:val="22"/>
        </w:rPr>
        <w:t>14-18 сентября</w:t>
      </w:r>
      <w:r w:rsidRPr="00EF01C3">
        <w:rPr>
          <w:rFonts w:ascii="Arial" w:hAnsi="Arial" w:cs="Arial"/>
          <w:sz w:val="22"/>
          <w:szCs w:val="22"/>
        </w:rPr>
        <w:t xml:space="preserve"> 2015</w:t>
      </w:r>
      <w:r w:rsidR="00EF01C3" w:rsidRPr="00EF01C3">
        <w:rPr>
          <w:rFonts w:ascii="Arial" w:hAnsi="Arial" w:cs="Arial"/>
          <w:sz w:val="22"/>
          <w:szCs w:val="22"/>
        </w:rPr>
        <w:t> г.</w:t>
      </w:r>
      <w:r w:rsidRPr="00EF01C3">
        <w:rPr>
          <w:rFonts w:ascii="Arial" w:hAnsi="Arial" w:cs="Arial"/>
          <w:sz w:val="22"/>
          <w:szCs w:val="22"/>
        </w:rPr>
        <w:t>).</w:t>
      </w:r>
    </w:p>
    <w:p w:rsidR="00F97F0D" w:rsidRPr="00EF01C3" w:rsidRDefault="00F97F0D" w:rsidP="00F97F0D">
      <w:pPr>
        <w:rPr>
          <w:rFonts w:ascii="Arial" w:hAnsi="Arial" w:cs="Arial"/>
          <w:sz w:val="22"/>
          <w:szCs w:val="22"/>
        </w:rPr>
      </w:pPr>
    </w:p>
    <w:p w:rsidR="00EF01C3" w:rsidRPr="00EF01C3" w:rsidRDefault="00F97F0D" w:rsidP="00EF01C3">
      <w:pPr>
        <w:pStyle w:val="ListParagraph"/>
        <w:ind w:left="0"/>
        <w:contextualSpacing/>
        <w:rPr>
          <w:rFonts w:ascii="Arial" w:hAnsi="Arial" w:cs="Arial"/>
          <w:sz w:val="22"/>
          <w:szCs w:val="22"/>
        </w:rPr>
      </w:pPr>
      <w:r w:rsidRPr="00EF01C3">
        <w:rPr>
          <w:rFonts w:ascii="Arial" w:hAnsi="Arial" w:cs="Arial"/>
          <w:sz w:val="22"/>
          <w:szCs w:val="22"/>
        </w:rPr>
        <w:t>2.</w:t>
      </w:r>
      <w:r w:rsidRPr="00EF01C3">
        <w:rPr>
          <w:rFonts w:ascii="Arial" w:hAnsi="Arial" w:cs="Arial"/>
          <w:sz w:val="22"/>
          <w:szCs w:val="22"/>
        </w:rPr>
        <w:tab/>
      </w:r>
      <w:r w:rsidR="00EF01C3">
        <w:rPr>
          <w:rFonts w:ascii="Arial" w:hAnsi="Arial" w:cs="Arial"/>
          <w:sz w:val="22"/>
          <w:szCs w:val="22"/>
        </w:rPr>
        <w:t>Любые решения</w:t>
      </w:r>
      <w:r w:rsidR="00EF01C3" w:rsidRPr="00EF01C3">
        <w:rPr>
          <w:rFonts w:ascii="Arial" w:hAnsi="Arial" w:cs="Arial"/>
          <w:sz w:val="22"/>
          <w:szCs w:val="22"/>
        </w:rPr>
        <w:t xml:space="preserve"> КПБ в отношении этого документа приводятся в документе «Решения, принятые Комитетом по программе и бюджету» (документ A/55/4).</w:t>
      </w:r>
    </w:p>
    <w:p w:rsidR="00F97F0D" w:rsidRPr="00EF01C3" w:rsidRDefault="00F97F0D" w:rsidP="00F97F0D">
      <w:pPr>
        <w:rPr>
          <w:rFonts w:ascii="Arial" w:hAnsi="Arial" w:cs="Arial"/>
        </w:rPr>
      </w:pPr>
    </w:p>
    <w:p w:rsidR="00F97F0D" w:rsidRPr="00EF01C3" w:rsidRDefault="00F97F0D" w:rsidP="00F97F0D">
      <w:pPr>
        <w:rPr>
          <w:rFonts w:ascii="Arial" w:hAnsi="Arial" w:cs="Arial"/>
        </w:rPr>
      </w:pPr>
    </w:p>
    <w:p w:rsidR="00F97F0D" w:rsidRPr="00EF01C3" w:rsidRDefault="00F97F0D" w:rsidP="00F97F0D">
      <w:pPr>
        <w:rPr>
          <w:rFonts w:ascii="Arial" w:hAnsi="Arial" w:cs="Arial"/>
        </w:rPr>
      </w:pPr>
    </w:p>
    <w:p w:rsidR="00F97F0D" w:rsidRPr="00EF01C3" w:rsidRDefault="00F97F0D" w:rsidP="00F97F0D">
      <w:pPr>
        <w:rPr>
          <w:rFonts w:ascii="Arial" w:hAnsi="Arial" w:cs="Arial"/>
        </w:rPr>
      </w:pPr>
    </w:p>
    <w:p w:rsidR="00F97F0D" w:rsidRPr="00EF01C3" w:rsidRDefault="00F97F0D" w:rsidP="00F97F0D">
      <w:pPr>
        <w:ind w:left="5533"/>
        <w:rPr>
          <w:rFonts w:ascii="Arial" w:hAnsi="Arial" w:cs="Arial"/>
          <w:sz w:val="22"/>
          <w:szCs w:val="22"/>
        </w:rPr>
      </w:pPr>
      <w:r w:rsidRPr="00EF01C3">
        <w:rPr>
          <w:rFonts w:ascii="Arial" w:hAnsi="Arial" w:cs="Arial"/>
          <w:sz w:val="22"/>
          <w:szCs w:val="22"/>
        </w:rPr>
        <w:t>[Документ WO/PBC/24/8 следует]</w:t>
      </w:r>
    </w:p>
    <w:p w:rsidR="00F97F0D" w:rsidRDefault="00F97F0D" w:rsidP="00F97F0D"/>
    <w:p w:rsidR="00F97F0D" w:rsidRDefault="00F97F0D" w:rsidP="00EB19C4">
      <w:pPr>
        <w:rPr>
          <w:rFonts w:ascii="Arial" w:eastAsia="SimSun" w:hAnsi="Arial" w:cs="Arial"/>
          <w:sz w:val="22"/>
          <w:szCs w:val="20"/>
        </w:rPr>
      </w:pPr>
    </w:p>
    <w:p w:rsidR="00F97F0D" w:rsidRDefault="00F97F0D" w:rsidP="00EB19C4">
      <w:pPr>
        <w:rPr>
          <w:rFonts w:ascii="Arial" w:eastAsia="SimSun" w:hAnsi="Arial" w:cs="Arial"/>
          <w:sz w:val="22"/>
          <w:szCs w:val="20"/>
        </w:rPr>
      </w:pPr>
    </w:p>
    <w:p w:rsidR="00F97F0D" w:rsidRDefault="00F97F0D" w:rsidP="00EB19C4">
      <w:pPr>
        <w:rPr>
          <w:rFonts w:ascii="Arial" w:eastAsia="SimSun" w:hAnsi="Arial" w:cs="Arial"/>
          <w:sz w:val="22"/>
          <w:szCs w:val="20"/>
        </w:rPr>
      </w:pPr>
    </w:p>
    <w:p w:rsidR="00F97F0D" w:rsidRDefault="00F97F0D" w:rsidP="00EB19C4">
      <w:pPr>
        <w:rPr>
          <w:rFonts w:ascii="Arial" w:eastAsia="SimSun" w:hAnsi="Arial" w:cs="Arial"/>
          <w:sz w:val="22"/>
          <w:szCs w:val="20"/>
        </w:rPr>
        <w:sectPr w:rsidR="00F97F0D" w:rsidSect="00E337BC">
          <w:headerReference w:type="default" r:id="rId10"/>
          <w:endnotePr>
            <w:numFmt w:val="decimal"/>
          </w:endnotePr>
          <w:pgSz w:w="11907" w:h="16840" w:code="9"/>
          <w:pgMar w:top="567" w:right="1134" w:bottom="851" w:left="1418" w:header="510" w:footer="1021" w:gutter="0"/>
          <w:cols w:space="720"/>
          <w:titlePg/>
          <w:docGrid w:linePitch="299"/>
        </w:sectPr>
      </w:pPr>
    </w:p>
    <w:p w:rsidR="00EB19C4" w:rsidRPr="00EB19C4" w:rsidRDefault="00EB19C4" w:rsidP="00EB19C4">
      <w:pPr>
        <w:rPr>
          <w:rFonts w:ascii="Arial" w:eastAsia="SimSun" w:hAnsi="Arial" w:cs="Arial"/>
          <w:sz w:val="22"/>
          <w:szCs w:val="20"/>
        </w:rPr>
      </w:pPr>
    </w:p>
    <w:tbl>
      <w:tblPr>
        <w:tblW w:w="9356" w:type="dxa"/>
        <w:tblInd w:w="108" w:type="dxa"/>
        <w:tblLayout w:type="fixed"/>
        <w:tblLook w:val="01E0" w:firstRow="1" w:lastRow="1" w:firstColumn="1" w:lastColumn="1" w:noHBand="0" w:noVBand="0"/>
      </w:tblPr>
      <w:tblGrid>
        <w:gridCol w:w="4513"/>
        <w:gridCol w:w="4337"/>
        <w:gridCol w:w="506"/>
      </w:tblGrid>
      <w:tr w:rsidR="00E337BC" w:rsidRPr="00E337BC" w:rsidTr="00F1272F">
        <w:tc>
          <w:tcPr>
            <w:tcW w:w="4513" w:type="dxa"/>
            <w:tcBorders>
              <w:bottom w:val="single" w:sz="4" w:space="0" w:color="auto"/>
            </w:tcBorders>
            <w:tcMar>
              <w:bottom w:w="170" w:type="dxa"/>
            </w:tcMar>
          </w:tcPr>
          <w:p w:rsidR="00E337BC" w:rsidRPr="00E337BC" w:rsidRDefault="00E337BC" w:rsidP="00E337BC">
            <w:pPr>
              <w:rPr>
                <w:rFonts w:ascii="Arial" w:eastAsia="SimSun" w:hAnsi="Arial" w:cs="Arial"/>
                <w:sz w:val="22"/>
                <w:szCs w:val="20"/>
              </w:rPr>
            </w:pPr>
          </w:p>
        </w:tc>
        <w:tc>
          <w:tcPr>
            <w:tcW w:w="4337" w:type="dxa"/>
            <w:tcBorders>
              <w:bottom w:val="single" w:sz="4" w:space="0" w:color="auto"/>
            </w:tcBorders>
            <w:tcMar>
              <w:left w:w="0" w:type="dxa"/>
              <w:right w:w="0" w:type="dxa"/>
            </w:tcMar>
          </w:tcPr>
          <w:p w:rsidR="00E337BC" w:rsidRPr="00E337BC" w:rsidRDefault="00634ABD" w:rsidP="00E337BC">
            <w:pPr>
              <w:rPr>
                <w:rFonts w:ascii="Arial" w:eastAsia="SimSun" w:hAnsi="Arial" w:cs="Arial"/>
                <w:sz w:val="22"/>
                <w:szCs w:val="20"/>
              </w:rPr>
            </w:pPr>
            <w:r w:rsidRPr="00634ABD">
              <w:rPr>
                <w:rFonts w:ascii="Arial" w:hAnsi="Arial"/>
                <w:noProof/>
                <w:sz w:val="22"/>
                <w:lang w:val="en-US" w:eastAsia="en-US"/>
              </w:rPr>
              <w:drawing>
                <wp:inline distT="0" distB="0" distL="0" distR="0" wp14:anchorId="4AB4AF73" wp14:editId="10BBAFAA">
                  <wp:extent cx="1739900" cy="1289685"/>
                  <wp:effectExtent l="0" t="0" r="0" b="5715"/>
                  <wp:docPr id="93"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337BC" w:rsidRPr="00E337BC" w:rsidRDefault="005F29A3" w:rsidP="00E337BC">
            <w:pPr>
              <w:jc w:val="right"/>
              <w:rPr>
                <w:rFonts w:ascii="Arial" w:eastAsia="SimSun" w:hAnsi="Arial" w:cs="Arial"/>
                <w:sz w:val="22"/>
                <w:szCs w:val="20"/>
              </w:rPr>
            </w:pPr>
            <w:r>
              <w:rPr>
                <w:rFonts w:ascii="Arial" w:hAnsi="Arial"/>
                <w:b/>
                <w:sz w:val="40"/>
              </w:rPr>
              <w:t>R</w:t>
            </w:r>
          </w:p>
        </w:tc>
      </w:tr>
      <w:tr w:rsidR="00E337BC" w:rsidRPr="00E337BC" w:rsidTr="00F1272F">
        <w:trPr>
          <w:trHeight w:hRule="exact" w:val="340"/>
        </w:trPr>
        <w:tc>
          <w:tcPr>
            <w:tcW w:w="9356" w:type="dxa"/>
            <w:gridSpan w:val="3"/>
            <w:tcBorders>
              <w:top w:val="single" w:sz="4" w:space="0" w:color="auto"/>
            </w:tcBorders>
            <w:tcMar>
              <w:top w:w="170" w:type="dxa"/>
              <w:left w:w="0" w:type="dxa"/>
              <w:right w:w="0" w:type="dxa"/>
            </w:tcMar>
            <w:vAlign w:val="bottom"/>
          </w:tcPr>
          <w:p w:rsidR="00E337BC" w:rsidRPr="00E337BC" w:rsidRDefault="005F29A3" w:rsidP="00E337BC">
            <w:pPr>
              <w:jc w:val="right"/>
              <w:rPr>
                <w:rFonts w:ascii="Arial Black" w:eastAsia="SimSun" w:hAnsi="Arial Black" w:cs="Arial"/>
                <w:caps/>
                <w:sz w:val="15"/>
                <w:szCs w:val="20"/>
              </w:rPr>
            </w:pPr>
            <w:r>
              <w:rPr>
                <w:rFonts w:ascii="Arial Black" w:hAnsi="Arial Black"/>
                <w:caps/>
                <w:sz w:val="15"/>
              </w:rPr>
              <w:t>wo/pbc/24/</w:t>
            </w:r>
            <w:bookmarkStart w:id="1" w:name="Code"/>
            <w:bookmarkEnd w:id="1"/>
            <w:r>
              <w:rPr>
                <w:rFonts w:ascii="Arial Black" w:hAnsi="Arial Black"/>
                <w:caps/>
                <w:sz w:val="15"/>
              </w:rPr>
              <w:t xml:space="preserve">8    </w:t>
            </w:r>
          </w:p>
        </w:tc>
      </w:tr>
      <w:tr w:rsidR="00E337BC" w:rsidRPr="00E337BC" w:rsidTr="00F1272F">
        <w:trPr>
          <w:trHeight w:hRule="exact" w:val="170"/>
        </w:trPr>
        <w:tc>
          <w:tcPr>
            <w:tcW w:w="9356" w:type="dxa"/>
            <w:gridSpan w:val="3"/>
            <w:noWrap/>
            <w:tcMar>
              <w:left w:w="0" w:type="dxa"/>
              <w:right w:w="0" w:type="dxa"/>
            </w:tcMar>
            <w:vAlign w:val="bottom"/>
          </w:tcPr>
          <w:p w:rsidR="00E337BC" w:rsidRPr="00E337BC" w:rsidRDefault="005F29A3" w:rsidP="00E337BC">
            <w:pPr>
              <w:jc w:val="right"/>
              <w:rPr>
                <w:rFonts w:ascii="Arial Black" w:eastAsia="SimSun" w:hAnsi="Arial Black" w:cs="Arial"/>
                <w:caps/>
                <w:sz w:val="15"/>
                <w:szCs w:val="20"/>
              </w:rPr>
            </w:pPr>
            <w:r>
              <w:rPr>
                <w:rFonts w:ascii="Arial Black" w:hAnsi="Arial Black"/>
                <w:caps/>
                <w:sz w:val="15"/>
              </w:rPr>
              <w:t xml:space="preserve">ОРИГИНАЛ:  </w:t>
            </w:r>
            <w:bookmarkStart w:id="2" w:name="Original"/>
            <w:bookmarkEnd w:id="2"/>
            <w:r>
              <w:rPr>
                <w:rFonts w:ascii="Arial Black" w:hAnsi="Arial Black"/>
                <w:caps/>
                <w:sz w:val="15"/>
              </w:rPr>
              <w:t>АНГЛИЙСКИЙ</w:t>
            </w:r>
          </w:p>
        </w:tc>
      </w:tr>
      <w:tr w:rsidR="00E337BC" w:rsidRPr="00E337BC" w:rsidTr="00F1272F">
        <w:trPr>
          <w:trHeight w:hRule="exact" w:val="198"/>
        </w:trPr>
        <w:tc>
          <w:tcPr>
            <w:tcW w:w="9356" w:type="dxa"/>
            <w:gridSpan w:val="3"/>
            <w:tcMar>
              <w:left w:w="0" w:type="dxa"/>
              <w:right w:w="0" w:type="dxa"/>
            </w:tcMar>
            <w:vAlign w:val="bottom"/>
          </w:tcPr>
          <w:p w:rsidR="00E337BC" w:rsidRPr="00E337BC" w:rsidRDefault="005F29A3" w:rsidP="00E337BC">
            <w:pPr>
              <w:jc w:val="right"/>
              <w:rPr>
                <w:rFonts w:ascii="Arial Black" w:eastAsia="SimSun" w:hAnsi="Arial Black" w:cs="Arial"/>
                <w:caps/>
                <w:sz w:val="15"/>
                <w:szCs w:val="20"/>
              </w:rPr>
            </w:pPr>
            <w:r>
              <w:rPr>
                <w:rFonts w:ascii="Arial Black" w:hAnsi="Arial Black"/>
                <w:caps/>
                <w:sz w:val="15"/>
              </w:rPr>
              <w:t xml:space="preserve">ДАТА:  </w:t>
            </w:r>
            <w:bookmarkStart w:id="3" w:name="Date"/>
            <w:bookmarkEnd w:id="3"/>
            <w:r>
              <w:rPr>
                <w:rFonts w:ascii="Arial Black" w:hAnsi="Arial Black"/>
                <w:caps/>
                <w:sz w:val="15"/>
              </w:rPr>
              <w:t>1</w:t>
            </w:r>
            <w:r w:rsidRPr="001311AA">
              <w:rPr>
                <w:rFonts w:ascii="Arial Black" w:hAnsi="Arial Black"/>
                <w:caps/>
                <w:sz w:val="15"/>
              </w:rPr>
              <w:t>0</w:t>
            </w:r>
            <w:r w:rsidR="001311AA" w:rsidRPr="001311AA">
              <w:rPr>
                <w:rFonts w:ascii="Arial Black" w:hAnsi="Arial Black"/>
                <w:caps/>
                <w:sz w:val="15"/>
              </w:rPr>
              <w:t> </w:t>
            </w:r>
            <w:r w:rsidRPr="001311AA">
              <w:rPr>
                <w:rFonts w:ascii="Arial Black" w:hAnsi="Arial Black"/>
                <w:caps/>
                <w:sz w:val="15"/>
              </w:rPr>
              <w:t>июля</w:t>
            </w:r>
            <w:r>
              <w:rPr>
                <w:rFonts w:ascii="Arial Black" w:hAnsi="Arial Black"/>
                <w:caps/>
                <w:sz w:val="15"/>
              </w:rPr>
              <w:t xml:space="preserve"> 201</w:t>
            </w:r>
            <w:r w:rsidRPr="001311AA">
              <w:rPr>
                <w:rFonts w:ascii="Arial Black" w:hAnsi="Arial Black"/>
                <w:caps/>
                <w:sz w:val="15"/>
              </w:rPr>
              <w:t>5</w:t>
            </w:r>
            <w:r w:rsidR="001311AA" w:rsidRPr="001311AA">
              <w:rPr>
                <w:rFonts w:ascii="Arial Black" w:hAnsi="Arial Black"/>
                <w:caps/>
                <w:sz w:val="15"/>
              </w:rPr>
              <w:t> </w:t>
            </w:r>
            <w:r w:rsidRPr="001311AA">
              <w:rPr>
                <w:rFonts w:ascii="Arial Black" w:hAnsi="Arial Black"/>
                <w:caps/>
                <w:sz w:val="15"/>
              </w:rPr>
              <w:t>г.</w:t>
            </w:r>
          </w:p>
        </w:tc>
      </w:tr>
    </w:tbl>
    <w:p w:rsidR="00E337BC" w:rsidRPr="00E337BC" w:rsidRDefault="00E337BC" w:rsidP="00E337BC">
      <w:pPr>
        <w:rPr>
          <w:rFonts w:ascii="Arial" w:eastAsia="SimSun" w:hAnsi="Arial" w:cs="Arial"/>
          <w:sz w:val="22"/>
          <w:szCs w:val="20"/>
        </w:rPr>
      </w:pPr>
    </w:p>
    <w:p w:rsidR="00E337BC" w:rsidRPr="00E337BC" w:rsidRDefault="00E337BC" w:rsidP="00E337BC">
      <w:pPr>
        <w:rPr>
          <w:rFonts w:ascii="Arial" w:eastAsia="SimSun" w:hAnsi="Arial" w:cs="Arial"/>
          <w:sz w:val="22"/>
          <w:szCs w:val="20"/>
        </w:rPr>
      </w:pPr>
    </w:p>
    <w:p w:rsidR="00E337BC" w:rsidRPr="00E337BC" w:rsidRDefault="00E337BC" w:rsidP="00E337BC">
      <w:pPr>
        <w:rPr>
          <w:rFonts w:ascii="Arial" w:eastAsia="SimSun" w:hAnsi="Arial" w:cs="Arial"/>
          <w:sz w:val="22"/>
          <w:szCs w:val="20"/>
        </w:rPr>
      </w:pPr>
    </w:p>
    <w:p w:rsidR="00E337BC" w:rsidRPr="00E337BC" w:rsidRDefault="00E337BC" w:rsidP="00E337BC">
      <w:pPr>
        <w:rPr>
          <w:rFonts w:ascii="Arial" w:eastAsia="SimSun" w:hAnsi="Arial" w:cs="Arial"/>
          <w:sz w:val="22"/>
          <w:szCs w:val="20"/>
        </w:rPr>
      </w:pPr>
    </w:p>
    <w:p w:rsidR="00E337BC" w:rsidRPr="00E337BC" w:rsidRDefault="00E337BC" w:rsidP="00E337BC">
      <w:pPr>
        <w:rPr>
          <w:rFonts w:ascii="Arial" w:eastAsia="SimSun" w:hAnsi="Arial" w:cs="Arial"/>
          <w:sz w:val="22"/>
          <w:szCs w:val="20"/>
        </w:rPr>
      </w:pPr>
    </w:p>
    <w:p w:rsidR="00E337BC" w:rsidRPr="00136CD5" w:rsidRDefault="005F29A3" w:rsidP="00E337BC">
      <w:pPr>
        <w:rPr>
          <w:rFonts w:ascii="Arial" w:eastAsia="SimSun" w:hAnsi="Arial" w:cs="Arial"/>
          <w:b/>
          <w:sz w:val="28"/>
          <w:szCs w:val="28"/>
          <w:lang w:val="en-US"/>
        </w:rPr>
      </w:pPr>
      <w:r>
        <w:rPr>
          <w:rFonts w:ascii="Arial" w:hAnsi="Arial"/>
          <w:b/>
          <w:sz w:val="28"/>
        </w:rPr>
        <w:t>Комитет по программе и бюджету</w:t>
      </w:r>
    </w:p>
    <w:p w:rsidR="00E337BC" w:rsidRPr="00E337BC" w:rsidRDefault="00E337BC" w:rsidP="00E337BC">
      <w:pPr>
        <w:rPr>
          <w:rFonts w:ascii="Arial" w:eastAsia="SimSun" w:hAnsi="Arial" w:cs="Arial"/>
          <w:sz w:val="22"/>
          <w:szCs w:val="20"/>
        </w:rPr>
      </w:pPr>
    </w:p>
    <w:p w:rsidR="00E337BC" w:rsidRPr="00E337BC" w:rsidRDefault="00E337BC" w:rsidP="00E337BC">
      <w:pPr>
        <w:rPr>
          <w:rFonts w:ascii="Arial" w:eastAsia="SimSun" w:hAnsi="Arial" w:cs="Arial"/>
          <w:sz w:val="22"/>
          <w:szCs w:val="20"/>
        </w:rPr>
      </w:pPr>
    </w:p>
    <w:p w:rsidR="00E337BC" w:rsidRPr="00E337BC" w:rsidRDefault="005F29A3" w:rsidP="00E337BC">
      <w:pPr>
        <w:rPr>
          <w:rFonts w:ascii="Arial" w:eastAsia="SimSun" w:hAnsi="Arial" w:cs="Arial"/>
          <w:b/>
        </w:rPr>
      </w:pPr>
      <w:r>
        <w:rPr>
          <w:rFonts w:ascii="Arial" w:hAnsi="Arial"/>
          <w:b/>
        </w:rPr>
        <w:t>Двадцать четвертая сессия</w:t>
      </w:r>
    </w:p>
    <w:p w:rsidR="00E337BC" w:rsidRPr="00E337BC" w:rsidRDefault="005F29A3" w:rsidP="00E337BC">
      <w:pPr>
        <w:rPr>
          <w:rFonts w:ascii="Arial" w:eastAsia="SimSun" w:hAnsi="Arial" w:cs="Arial"/>
          <w:sz w:val="22"/>
          <w:szCs w:val="20"/>
        </w:rPr>
      </w:pPr>
      <w:r>
        <w:rPr>
          <w:rFonts w:ascii="Arial" w:hAnsi="Arial"/>
          <w:b/>
        </w:rPr>
        <w:t>Женева, 14–1</w:t>
      </w:r>
      <w:r w:rsidRPr="001311AA">
        <w:rPr>
          <w:rFonts w:ascii="Arial" w:hAnsi="Arial"/>
          <w:b/>
        </w:rPr>
        <w:t>8</w:t>
      </w:r>
      <w:r w:rsidR="001311AA" w:rsidRPr="001311AA">
        <w:rPr>
          <w:rFonts w:ascii="Arial" w:hAnsi="Arial"/>
          <w:b/>
        </w:rPr>
        <w:t> </w:t>
      </w:r>
      <w:r w:rsidRPr="001311AA">
        <w:rPr>
          <w:rFonts w:ascii="Arial" w:hAnsi="Arial"/>
          <w:b/>
        </w:rPr>
        <w:t>сентября</w:t>
      </w:r>
      <w:r>
        <w:rPr>
          <w:rFonts w:ascii="Arial" w:hAnsi="Arial"/>
          <w:b/>
        </w:rPr>
        <w:t xml:space="preserve"> 201</w:t>
      </w:r>
      <w:r w:rsidRPr="001311AA">
        <w:rPr>
          <w:rFonts w:ascii="Arial" w:hAnsi="Arial"/>
          <w:b/>
        </w:rPr>
        <w:t>5</w:t>
      </w:r>
      <w:r w:rsidR="001311AA" w:rsidRPr="001311AA">
        <w:rPr>
          <w:rFonts w:ascii="Arial" w:hAnsi="Arial"/>
          <w:b/>
        </w:rPr>
        <w:t> </w:t>
      </w:r>
      <w:r w:rsidRPr="001311AA">
        <w:rPr>
          <w:rFonts w:ascii="Arial" w:hAnsi="Arial"/>
          <w:b/>
        </w:rPr>
        <w:t>г.</w:t>
      </w:r>
    </w:p>
    <w:p w:rsidR="00E337BC" w:rsidRPr="00E337BC" w:rsidRDefault="00E337BC" w:rsidP="00E337BC">
      <w:pPr>
        <w:rPr>
          <w:rFonts w:ascii="Arial" w:eastAsia="SimSun" w:hAnsi="Arial" w:cs="Arial"/>
          <w:sz w:val="22"/>
          <w:szCs w:val="20"/>
        </w:rPr>
      </w:pPr>
    </w:p>
    <w:p w:rsidR="00E337BC" w:rsidRPr="00E337BC" w:rsidRDefault="00E337BC" w:rsidP="00E337BC">
      <w:pPr>
        <w:rPr>
          <w:rFonts w:ascii="Arial" w:eastAsia="SimSun" w:hAnsi="Arial" w:cs="Arial"/>
          <w:sz w:val="22"/>
          <w:szCs w:val="20"/>
        </w:rPr>
      </w:pPr>
    </w:p>
    <w:p w:rsidR="00E337BC" w:rsidRPr="00E337BC" w:rsidRDefault="005F29A3" w:rsidP="00E337BC">
      <w:pPr>
        <w:rPr>
          <w:rFonts w:ascii="Arial" w:eastAsia="SimSun" w:hAnsi="Arial" w:cs="Arial"/>
          <w:caps/>
          <w:szCs w:val="20"/>
        </w:rPr>
      </w:pPr>
      <w:bookmarkStart w:id="4" w:name="TitleOfDoc"/>
      <w:bookmarkEnd w:id="4"/>
      <w:r>
        <w:rPr>
          <w:rFonts w:ascii="Arial" w:hAnsi="Arial"/>
          <w:caps/>
        </w:rPr>
        <w:t>ГОДОВОЙ ФИНАНСОВЫЙ ОТЧЕТ И ФИНАНСОВЫЕ ВЕДОМОСТИ ЗА 201</w:t>
      </w:r>
      <w:r w:rsidRPr="001311AA">
        <w:rPr>
          <w:rFonts w:ascii="Arial" w:hAnsi="Arial"/>
          <w:caps/>
        </w:rPr>
        <w:t>4</w:t>
      </w:r>
      <w:r w:rsidR="001311AA" w:rsidRPr="001311AA">
        <w:rPr>
          <w:rFonts w:ascii="Arial" w:hAnsi="Arial"/>
          <w:caps/>
        </w:rPr>
        <w:t> </w:t>
      </w:r>
      <w:r w:rsidRPr="001311AA">
        <w:rPr>
          <w:rFonts w:ascii="Arial" w:hAnsi="Arial"/>
          <w:caps/>
        </w:rPr>
        <w:t>Г.</w:t>
      </w:r>
    </w:p>
    <w:p w:rsidR="00E337BC" w:rsidRPr="00E337BC" w:rsidRDefault="00E337BC" w:rsidP="00E337BC">
      <w:pPr>
        <w:rPr>
          <w:rFonts w:ascii="Arial" w:eastAsia="SimSun" w:hAnsi="Arial" w:cs="Arial"/>
          <w:sz w:val="22"/>
          <w:szCs w:val="20"/>
        </w:rPr>
      </w:pPr>
    </w:p>
    <w:p w:rsidR="00E337BC" w:rsidRPr="00E337BC" w:rsidRDefault="005F29A3" w:rsidP="00E337BC">
      <w:pPr>
        <w:rPr>
          <w:rFonts w:ascii="Arial" w:eastAsia="SimSun" w:hAnsi="Arial" w:cs="Arial"/>
          <w:i/>
          <w:sz w:val="22"/>
          <w:szCs w:val="20"/>
        </w:rPr>
      </w:pPr>
      <w:bookmarkStart w:id="5" w:name="Prepared"/>
      <w:bookmarkEnd w:id="5"/>
      <w:r>
        <w:rPr>
          <w:rFonts w:ascii="Arial" w:hAnsi="Arial"/>
          <w:i/>
          <w:sz w:val="22"/>
        </w:rPr>
        <w:t>подготовлены Секретариатом</w:t>
      </w:r>
    </w:p>
    <w:p w:rsidR="00E337BC" w:rsidRPr="00E337BC" w:rsidRDefault="00E337BC" w:rsidP="00E337BC">
      <w:pPr>
        <w:rPr>
          <w:rFonts w:ascii="Arial" w:eastAsia="SimSun" w:hAnsi="Arial" w:cs="Arial"/>
          <w:sz w:val="22"/>
          <w:szCs w:val="20"/>
        </w:rPr>
      </w:pPr>
    </w:p>
    <w:p w:rsidR="00E337BC" w:rsidRPr="00E337BC" w:rsidRDefault="00E337BC" w:rsidP="00E337BC">
      <w:pPr>
        <w:rPr>
          <w:rFonts w:ascii="Arial" w:eastAsia="SimSun" w:hAnsi="Arial" w:cs="Arial"/>
          <w:sz w:val="22"/>
          <w:szCs w:val="20"/>
        </w:rPr>
      </w:pPr>
    </w:p>
    <w:p w:rsidR="00E337BC" w:rsidRPr="00E337BC" w:rsidRDefault="00E337BC" w:rsidP="00E337BC">
      <w:pPr>
        <w:rPr>
          <w:rFonts w:ascii="Arial" w:eastAsia="SimSun" w:hAnsi="Arial" w:cs="Arial"/>
          <w:sz w:val="22"/>
          <w:szCs w:val="20"/>
        </w:rPr>
      </w:pPr>
    </w:p>
    <w:p w:rsidR="00E337BC" w:rsidRPr="00E337BC" w:rsidRDefault="005F29A3" w:rsidP="00E337BC">
      <w:pPr>
        <w:numPr>
          <w:ilvl w:val="0"/>
          <w:numId w:val="21"/>
        </w:numPr>
        <w:tabs>
          <w:tab w:val="left" w:pos="426"/>
        </w:tabs>
        <w:ind w:left="0" w:firstLine="0"/>
        <w:contextualSpacing/>
        <w:rPr>
          <w:rFonts w:ascii="Arial" w:eastAsia="SimSun" w:hAnsi="Arial" w:cs="Arial"/>
          <w:sz w:val="22"/>
          <w:szCs w:val="20"/>
        </w:rPr>
      </w:pPr>
      <w:r>
        <w:rPr>
          <w:rFonts w:ascii="Arial" w:hAnsi="Arial"/>
          <w:sz w:val="22"/>
        </w:rPr>
        <w:t>Финансовые ведомости Всемирной организации интеллектуальной собственности (ВОИС) за год, завершившийся 31 декабря 2014 г., препровождаются Комитету по программе и бюджету (КПБ) в соответствии с положением 8.11 Финансовых положений и правил, согласно которому КПБ обязан изучить финансовые ведомости и отчеты об аудиторской проверке и направить их Генеральной Ассамблее с замечаниями и рекомендациями, которые сочтет уместными.</w:t>
      </w:r>
    </w:p>
    <w:p w:rsidR="00E337BC" w:rsidRPr="00E337BC" w:rsidRDefault="00E337BC" w:rsidP="00E337BC">
      <w:pPr>
        <w:rPr>
          <w:rFonts w:ascii="Arial" w:eastAsia="SimSun" w:hAnsi="Arial" w:cs="Arial"/>
          <w:sz w:val="22"/>
          <w:szCs w:val="20"/>
        </w:rPr>
      </w:pPr>
    </w:p>
    <w:p w:rsidR="00E337BC" w:rsidRPr="00E337BC" w:rsidRDefault="005F29A3" w:rsidP="00E337BC">
      <w:pPr>
        <w:tabs>
          <w:tab w:val="left" w:pos="426"/>
        </w:tabs>
        <w:rPr>
          <w:rFonts w:ascii="Arial" w:eastAsia="SimSun" w:hAnsi="Arial" w:cs="Arial"/>
          <w:sz w:val="22"/>
          <w:szCs w:val="20"/>
        </w:rPr>
      </w:pPr>
      <w:r>
        <w:rPr>
          <w:rFonts w:ascii="Arial" w:hAnsi="Arial"/>
          <w:sz w:val="22"/>
        </w:rPr>
        <w:t>2.</w:t>
      </w:r>
      <w:r>
        <w:rPr>
          <w:rFonts w:ascii="Arial" w:hAnsi="Arial"/>
          <w:sz w:val="22"/>
        </w:rPr>
        <w:tab/>
        <w:t>Финансовые ведомости за 2014 г. подготовлены в соответствии с Международными стандартами учета в государственном секторе (МСУГС)</w:t>
      </w:r>
      <w:r w:rsidR="0005341A">
        <w:rPr>
          <w:rFonts w:ascii="Arial" w:hAnsi="Arial"/>
          <w:sz w:val="22"/>
        </w:rPr>
        <w:t>.  Н</w:t>
      </w:r>
      <w:r>
        <w:rPr>
          <w:rFonts w:ascii="Arial" w:hAnsi="Arial"/>
          <w:sz w:val="22"/>
        </w:rPr>
        <w:t>а сорок третьей сессии Ассамблей, состоявшейся 24 сентября – 3 октября 2007 г., государства-члены в принципе согласились с переходом ВОИС на МСУГС к 2010 г. (А/43/5)</w:t>
      </w:r>
      <w:r w:rsidR="0005341A">
        <w:rPr>
          <w:rFonts w:ascii="Arial" w:hAnsi="Arial"/>
          <w:sz w:val="22"/>
        </w:rPr>
        <w:t>.  Ф</w:t>
      </w:r>
      <w:r>
        <w:rPr>
          <w:rFonts w:ascii="Arial" w:hAnsi="Arial"/>
          <w:sz w:val="22"/>
        </w:rPr>
        <w:t>инансовые ведомости за 2014 г. являются пятым пакетом финансовых ведомостей, подготовленных в соответствии с МСУГС.</w:t>
      </w:r>
    </w:p>
    <w:p w:rsidR="00E337BC" w:rsidRPr="00E337BC" w:rsidRDefault="00E337BC" w:rsidP="00E337BC">
      <w:pPr>
        <w:rPr>
          <w:rFonts w:ascii="Arial" w:eastAsia="SimSun" w:hAnsi="Arial" w:cs="Arial"/>
          <w:sz w:val="22"/>
          <w:szCs w:val="20"/>
        </w:rPr>
      </w:pPr>
    </w:p>
    <w:p w:rsidR="00E337BC" w:rsidRPr="00E337BC" w:rsidRDefault="005F29A3" w:rsidP="00E337BC">
      <w:pPr>
        <w:tabs>
          <w:tab w:val="left" w:pos="426"/>
        </w:tabs>
        <w:rPr>
          <w:rFonts w:ascii="Arial" w:eastAsia="SimSun" w:hAnsi="Arial" w:cs="Arial"/>
          <w:sz w:val="22"/>
          <w:szCs w:val="20"/>
        </w:rPr>
      </w:pPr>
      <w:r>
        <w:rPr>
          <w:rFonts w:ascii="Arial" w:hAnsi="Arial"/>
          <w:sz w:val="22"/>
        </w:rPr>
        <w:t>3.</w:t>
      </w:r>
      <w:r>
        <w:rPr>
          <w:rFonts w:ascii="Arial" w:hAnsi="Arial"/>
          <w:sz w:val="22"/>
        </w:rPr>
        <w:tab/>
        <w:t>Отчет Внешнего аудитора об аудиторской проверке финансовых ведомостей за 2014 г. вместе с его рекомендациями, а также замечаниями Секретариа</w:t>
      </w:r>
      <w:r w:rsidR="001311AA">
        <w:rPr>
          <w:rFonts w:ascii="Arial" w:hAnsi="Arial"/>
          <w:sz w:val="22"/>
        </w:rPr>
        <w:t>та к ним содержится в документе </w:t>
      </w:r>
      <w:r>
        <w:rPr>
          <w:rFonts w:ascii="Arial" w:hAnsi="Arial"/>
          <w:sz w:val="22"/>
        </w:rPr>
        <w:t>WO/PBC/24/5.</w:t>
      </w:r>
    </w:p>
    <w:p w:rsidR="00E337BC" w:rsidRPr="00E337BC" w:rsidRDefault="00E337BC" w:rsidP="00E337BC">
      <w:pPr>
        <w:rPr>
          <w:rFonts w:ascii="Arial" w:eastAsia="SimSun" w:hAnsi="Arial" w:cs="Arial"/>
          <w:sz w:val="22"/>
          <w:szCs w:val="20"/>
        </w:rPr>
      </w:pPr>
    </w:p>
    <w:p w:rsidR="00E337BC" w:rsidRPr="00E337BC" w:rsidRDefault="005F29A3" w:rsidP="00E337BC">
      <w:pPr>
        <w:tabs>
          <w:tab w:val="left" w:pos="426"/>
        </w:tabs>
        <w:rPr>
          <w:rFonts w:ascii="Arial" w:eastAsia="SimSun" w:hAnsi="Arial" w:cs="Arial"/>
          <w:sz w:val="22"/>
          <w:szCs w:val="20"/>
        </w:rPr>
      </w:pPr>
      <w:r>
        <w:rPr>
          <w:rFonts w:ascii="Arial" w:hAnsi="Arial"/>
          <w:sz w:val="22"/>
        </w:rPr>
        <w:t>4.</w:t>
      </w:r>
      <w:r>
        <w:rPr>
          <w:rFonts w:ascii="Arial" w:hAnsi="Arial"/>
          <w:sz w:val="22"/>
        </w:rPr>
        <w:tab/>
        <w:t>Предлагается представленный ниже пункт решения.</w:t>
      </w:r>
    </w:p>
    <w:p w:rsidR="00E337BC" w:rsidRPr="00E337BC" w:rsidRDefault="00E337BC" w:rsidP="00E337BC">
      <w:pPr>
        <w:rPr>
          <w:rFonts w:ascii="Arial" w:eastAsia="SimSun" w:hAnsi="Arial" w:cs="Arial"/>
          <w:sz w:val="22"/>
          <w:szCs w:val="20"/>
        </w:rPr>
      </w:pPr>
    </w:p>
    <w:p w:rsidR="00E337BC" w:rsidRDefault="005F29A3" w:rsidP="00E337BC">
      <w:pPr>
        <w:tabs>
          <w:tab w:val="left" w:pos="5954"/>
        </w:tabs>
        <w:ind w:left="5533"/>
        <w:rPr>
          <w:rFonts w:ascii="Arial" w:eastAsia="SimSun" w:hAnsi="Arial" w:cs="Arial"/>
          <w:i/>
          <w:sz w:val="22"/>
          <w:szCs w:val="20"/>
        </w:rPr>
      </w:pPr>
      <w:r>
        <w:rPr>
          <w:rFonts w:ascii="Arial" w:hAnsi="Arial"/>
          <w:i/>
          <w:sz w:val="22"/>
        </w:rPr>
        <w:t>5.</w:t>
      </w:r>
      <w:r>
        <w:rPr>
          <w:rFonts w:ascii="Arial" w:hAnsi="Arial"/>
          <w:i/>
          <w:sz w:val="22"/>
        </w:rPr>
        <w:tab/>
        <w:t>Комитет по программе и бюджету (КПБ) рекомендовал Генеральной Ассамблее и другим Ассамблеям государств-членов ВОИС утвердить Годовой финансовый отчет и финансовые ведомости за 2014 г. (документ WO/PBC/</w:t>
      </w:r>
      <w:r w:rsidR="00E71763" w:rsidRPr="00E71763">
        <w:rPr>
          <w:rFonts w:ascii="Arial" w:hAnsi="Arial"/>
          <w:i/>
          <w:sz w:val="22"/>
        </w:rPr>
        <w:t>2</w:t>
      </w:r>
      <w:r>
        <w:rPr>
          <w:rFonts w:ascii="Arial" w:hAnsi="Arial"/>
          <w:i/>
          <w:sz w:val="22"/>
        </w:rPr>
        <w:t>4/8).</w:t>
      </w:r>
    </w:p>
    <w:p w:rsidR="00E337BC" w:rsidRDefault="00E337BC" w:rsidP="00E337BC">
      <w:pPr>
        <w:tabs>
          <w:tab w:val="left" w:pos="5954"/>
        </w:tabs>
        <w:ind w:left="5533"/>
        <w:rPr>
          <w:rFonts w:ascii="Arial" w:eastAsia="SimSun" w:hAnsi="Arial" w:cs="Arial"/>
          <w:i/>
          <w:sz w:val="22"/>
          <w:szCs w:val="20"/>
        </w:rPr>
      </w:pPr>
    </w:p>
    <w:p w:rsidR="00E337BC" w:rsidRDefault="00E337BC" w:rsidP="00E337BC">
      <w:pPr>
        <w:tabs>
          <w:tab w:val="left" w:pos="5954"/>
        </w:tabs>
        <w:ind w:left="5533"/>
        <w:rPr>
          <w:rFonts w:ascii="Arial" w:eastAsia="SimSun" w:hAnsi="Arial" w:cs="Arial"/>
          <w:i/>
          <w:sz w:val="22"/>
          <w:szCs w:val="20"/>
        </w:rPr>
      </w:pPr>
    </w:p>
    <w:p w:rsidR="00E337BC" w:rsidRPr="00E337BC" w:rsidRDefault="00E337BC" w:rsidP="00E337BC">
      <w:pPr>
        <w:tabs>
          <w:tab w:val="left" w:pos="5954"/>
        </w:tabs>
        <w:ind w:left="5533"/>
        <w:rPr>
          <w:rFonts w:ascii="Arial" w:eastAsia="SimSun" w:hAnsi="Arial" w:cs="Arial"/>
          <w:i/>
          <w:sz w:val="22"/>
          <w:szCs w:val="20"/>
        </w:rPr>
      </w:pPr>
    </w:p>
    <w:p w:rsidR="005F29A3" w:rsidRPr="000D2996" w:rsidRDefault="005F29A3" w:rsidP="00BC1E21">
      <w:pPr>
        <w:ind w:left="5526" w:firstLine="3"/>
        <w:rPr>
          <w:rFonts w:ascii="Arial" w:hAnsi="Arial"/>
          <w:sz w:val="22"/>
        </w:rPr>
      </w:pPr>
      <w:r>
        <w:rPr>
          <w:rFonts w:ascii="Arial" w:hAnsi="Arial"/>
          <w:sz w:val="22"/>
        </w:rPr>
        <w:t>[Финансовые ведомости за 2014 г. следуют]</w:t>
      </w:r>
    </w:p>
    <w:p w:rsidR="00BC1E21" w:rsidRPr="000D2996" w:rsidRDefault="00BC1E21" w:rsidP="00BC1E21">
      <w:pPr>
        <w:ind w:left="5526" w:firstLine="3"/>
        <w:rPr>
          <w:rFonts w:ascii="Arial" w:hAnsi="Arial"/>
          <w:sz w:val="22"/>
        </w:rPr>
      </w:pPr>
    </w:p>
    <w:p w:rsidR="00BC1E21" w:rsidRPr="000D2996" w:rsidRDefault="00BC1E21" w:rsidP="00BC1E21">
      <w:pPr>
        <w:ind w:left="5526" w:firstLine="3"/>
        <w:rPr>
          <w:rFonts w:ascii="Arial" w:hAnsi="Arial"/>
          <w:sz w:val="22"/>
        </w:rPr>
      </w:pPr>
    </w:p>
    <w:p w:rsidR="00BC1E21" w:rsidRPr="000D2996" w:rsidRDefault="00BC1E21" w:rsidP="00BC1E21">
      <w:pPr>
        <w:ind w:left="5526" w:firstLine="3"/>
        <w:rPr>
          <w:rFonts w:ascii="Arial" w:hAnsi="Arial"/>
          <w:sz w:val="22"/>
        </w:rPr>
        <w:sectPr w:rsidR="00BC1E21" w:rsidRPr="000D2996" w:rsidSect="00F97F0D">
          <w:headerReference w:type="even" r:id="rId11"/>
          <w:headerReference w:type="default" r:id="rId12"/>
          <w:endnotePr>
            <w:numFmt w:val="decimal"/>
          </w:endnotePr>
          <w:pgSz w:w="11907" w:h="16840" w:code="9"/>
          <w:pgMar w:top="567" w:right="1134" w:bottom="851" w:left="1418" w:header="510" w:footer="1021" w:gutter="0"/>
          <w:pgNumType w:start="1"/>
          <w:cols w:space="720"/>
          <w:titlePg/>
          <w:docGrid w:linePitch="326"/>
        </w:sectPr>
      </w:pPr>
    </w:p>
    <w:p w:rsidR="00EB19C4" w:rsidRPr="00EB19C4" w:rsidRDefault="00EB19C4" w:rsidP="00EB19C4">
      <w:pPr>
        <w:rPr>
          <w:rFonts w:ascii="Arial" w:eastAsia="SimSun" w:hAnsi="Arial" w:cs="Arial"/>
          <w:sz w:val="22"/>
          <w:szCs w:val="20"/>
        </w:rPr>
      </w:pPr>
    </w:p>
    <w:p w:rsidR="00CA655B" w:rsidRDefault="00CA655B" w:rsidP="00DD7624">
      <w:pPr>
        <w:pStyle w:val="StyleHeading1"/>
        <w:rPr>
          <w:sz w:val="28"/>
          <w:szCs w:val="28"/>
        </w:rPr>
      </w:pPr>
    </w:p>
    <w:p w:rsidR="00EB19C4" w:rsidRDefault="00EB19C4" w:rsidP="00DD7624">
      <w:pPr>
        <w:pStyle w:val="StyleHeading1"/>
        <w:rPr>
          <w:sz w:val="28"/>
          <w:szCs w:val="28"/>
        </w:rPr>
      </w:pPr>
    </w:p>
    <w:p w:rsidR="00EB19C4" w:rsidRDefault="00EB19C4" w:rsidP="00DD7624">
      <w:pPr>
        <w:pStyle w:val="StyleHeading1"/>
        <w:rPr>
          <w:sz w:val="28"/>
          <w:szCs w:val="28"/>
        </w:rPr>
      </w:pPr>
    </w:p>
    <w:bookmarkEnd w:id="0"/>
    <w:p w:rsidR="004F39C3" w:rsidRPr="00CA655B" w:rsidRDefault="005F29A3" w:rsidP="004F39C3">
      <w:pPr>
        <w:pStyle w:val="StyleHeading1"/>
        <w:rPr>
          <w:sz w:val="28"/>
          <w:szCs w:val="28"/>
        </w:rPr>
      </w:pPr>
      <w:r>
        <w:rPr>
          <w:sz w:val="28"/>
        </w:rPr>
        <w:t>Всемирная организация интеллектуальной собственности</w:t>
      </w:r>
    </w:p>
    <w:p w:rsidR="004F39C3" w:rsidRPr="00E87EAD" w:rsidRDefault="004F39C3" w:rsidP="004F39C3">
      <w:pPr>
        <w:tabs>
          <w:tab w:val="left" w:pos="0"/>
        </w:tabs>
        <w:jc w:val="center"/>
        <w:rPr>
          <w:rFonts w:ascii="Arial" w:hAnsi="Arial" w:cs="Arial"/>
        </w:rPr>
      </w:pPr>
    </w:p>
    <w:p w:rsidR="004F39C3" w:rsidRPr="00E87EAD" w:rsidRDefault="004F39C3" w:rsidP="004F39C3">
      <w:pPr>
        <w:tabs>
          <w:tab w:val="left" w:pos="0"/>
        </w:tabs>
        <w:jc w:val="center"/>
        <w:rPr>
          <w:rFonts w:ascii="Arial" w:hAnsi="Arial" w:cs="Arial"/>
        </w:rPr>
      </w:pPr>
    </w:p>
    <w:p w:rsidR="004F39C3" w:rsidRPr="00E87EAD" w:rsidRDefault="005F29A3" w:rsidP="004F39C3">
      <w:pPr>
        <w:tabs>
          <w:tab w:val="left" w:pos="0"/>
        </w:tabs>
        <w:jc w:val="center"/>
        <w:rPr>
          <w:rFonts w:ascii="Arial" w:hAnsi="Arial" w:cs="Arial"/>
        </w:rPr>
      </w:pPr>
      <w:r>
        <w:rPr>
          <w:rFonts w:ascii="Arial" w:hAnsi="Arial"/>
        </w:rPr>
        <w:t>Годовой финансовый отчет и финансовые ведомости</w:t>
      </w:r>
    </w:p>
    <w:p w:rsidR="004F39C3" w:rsidRPr="00E87EAD" w:rsidRDefault="004F39C3" w:rsidP="004F39C3">
      <w:pPr>
        <w:tabs>
          <w:tab w:val="left" w:pos="0"/>
        </w:tabs>
        <w:jc w:val="center"/>
        <w:rPr>
          <w:rFonts w:ascii="Arial" w:hAnsi="Arial" w:cs="Arial"/>
        </w:rPr>
      </w:pPr>
    </w:p>
    <w:p w:rsidR="004F39C3" w:rsidRDefault="005F29A3" w:rsidP="004F39C3">
      <w:pPr>
        <w:tabs>
          <w:tab w:val="left" w:pos="0"/>
        </w:tabs>
        <w:jc w:val="center"/>
        <w:rPr>
          <w:rFonts w:ascii="Arial" w:hAnsi="Arial" w:cs="Arial"/>
        </w:rPr>
      </w:pPr>
      <w:r>
        <w:rPr>
          <w:rFonts w:ascii="Arial" w:hAnsi="Arial"/>
        </w:rPr>
        <w:t>за год, завершившийся 31 декабря 2014 г.</w:t>
      </w:r>
    </w:p>
    <w:p w:rsidR="006E4AEC" w:rsidRDefault="006E4AEC" w:rsidP="006E4AEC">
      <w:pPr>
        <w:tabs>
          <w:tab w:val="left" w:pos="0"/>
        </w:tabs>
        <w:jc w:val="center"/>
        <w:rPr>
          <w:rFonts w:ascii="Arial" w:hAnsi="Arial" w:cs="Arial"/>
        </w:rPr>
      </w:pPr>
    </w:p>
    <w:p w:rsidR="006E4AEC" w:rsidRDefault="006E4AEC" w:rsidP="006E4AEC">
      <w:pPr>
        <w:tabs>
          <w:tab w:val="left" w:pos="0"/>
        </w:tabs>
        <w:jc w:val="center"/>
        <w:rPr>
          <w:rFonts w:ascii="Arial" w:hAnsi="Arial" w:cs="Arial"/>
        </w:rPr>
      </w:pPr>
    </w:p>
    <w:p w:rsidR="0025206F" w:rsidRDefault="0025206F" w:rsidP="006E4AEC">
      <w:pPr>
        <w:tabs>
          <w:tab w:val="left" w:pos="0"/>
        </w:tabs>
        <w:jc w:val="center"/>
        <w:rPr>
          <w:rFonts w:ascii="Arial" w:hAnsi="Arial" w:cs="Arial"/>
        </w:rPr>
      </w:pPr>
    </w:p>
    <w:p w:rsidR="0025206F" w:rsidRDefault="0025206F" w:rsidP="006E4AEC">
      <w:pPr>
        <w:tabs>
          <w:tab w:val="left" w:pos="0"/>
        </w:tabs>
        <w:jc w:val="center"/>
        <w:rPr>
          <w:rFonts w:ascii="Arial" w:hAnsi="Arial" w:cs="Arial"/>
        </w:rPr>
      </w:pPr>
    </w:p>
    <w:p w:rsidR="0025206F" w:rsidRPr="009D766F" w:rsidRDefault="0025206F" w:rsidP="006E4AEC">
      <w:pPr>
        <w:tabs>
          <w:tab w:val="left" w:pos="0"/>
        </w:tabs>
        <w:jc w:val="center"/>
        <w:rPr>
          <w:rFonts w:ascii="Arial" w:hAnsi="Arial" w:cs="Arial"/>
        </w:rPr>
      </w:pPr>
    </w:p>
    <w:p w:rsidR="0025206F" w:rsidRDefault="0025206F" w:rsidP="006E4AEC">
      <w:pPr>
        <w:tabs>
          <w:tab w:val="left" w:pos="0"/>
        </w:tabs>
        <w:jc w:val="center"/>
        <w:rPr>
          <w:rFonts w:ascii="Arial" w:hAnsi="Arial" w:cs="Arial"/>
        </w:rPr>
      </w:pPr>
    </w:p>
    <w:p w:rsidR="00C769FD" w:rsidRDefault="00C769FD" w:rsidP="006E4AEC">
      <w:pPr>
        <w:tabs>
          <w:tab w:val="left" w:pos="0"/>
        </w:tabs>
        <w:jc w:val="center"/>
        <w:rPr>
          <w:rFonts w:ascii="Arial" w:hAnsi="Arial" w:cs="Arial"/>
          <w:b/>
          <w:sz w:val="72"/>
          <w:szCs w:val="72"/>
        </w:rPr>
      </w:pPr>
    </w:p>
    <w:p w:rsidR="00C769FD" w:rsidRDefault="00C769FD" w:rsidP="006E4AEC">
      <w:pPr>
        <w:tabs>
          <w:tab w:val="left" w:pos="0"/>
        </w:tabs>
        <w:jc w:val="center"/>
        <w:rPr>
          <w:rFonts w:ascii="Arial" w:hAnsi="Arial" w:cs="Arial"/>
          <w:b/>
          <w:sz w:val="72"/>
          <w:szCs w:val="72"/>
        </w:rPr>
      </w:pPr>
    </w:p>
    <w:p w:rsidR="006E4AEC" w:rsidRDefault="006E4AEC" w:rsidP="006E4AEC">
      <w:pPr>
        <w:tabs>
          <w:tab w:val="left" w:pos="0"/>
        </w:tabs>
        <w:jc w:val="center"/>
        <w:rPr>
          <w:rFonts w:ascii="Arial" w:hAnsi="Arial" w:cs="Arial"/>
        </w:rPr>
      </w:pPr>
    </w:p>
    <w:p w:rsidR="005F29A3" w:rsidRDefault="005F29A3" w:rsidP="007C6D77">
      <w:pPr>
        <w:jc w:val="both"/>
        <w:sectPr w:rsidR="005F29A3" w:rsidSect="007901FC">
          <w:headerReference w:type="even" r:id="rId13"/>
          <w:headerReference w:type="default" r:id="rId14"/>
          <w:footerReference w:type="even" r:id="rId15"/>
          <w:footerReference w:type="default" r:id="rId16"/>
          <w:headerReference w:type="first" r:id="rId17"/>
          <w:footerReference w:type="first" r:id="rId18"/>
          <w:pgSz w:w="11907" w:h="16840" w:code="9"/>
          <w:pgMar w:top="851" w:right="1247" w:bottom="1191" w:left="1247" w:header="709" w:footer="709" w:gutter="0"/>
          <w:cols w:space="708"/>
          <w:docGrid w:linePitch="360"/>
        </w:sectPr>
      </w:pPr>
    </w:p>
    <w:p w:rsidR="008F3CD9" w:rsidRPr="00A320B0" w:rsidRDefault="005F29A3" w:rsidP="00CC1CA2">
      <w:pPr>
        <w:jc w:val="center"/>
        <w:rPr>
          <w:rFonts w:ascii="Arial" w:hAnsi="Arial" w:cs="Arial"/>
          <w:b/>
          <w:sz w:val="22"/>
          <w:szCs w:val="22"/>
        </w:rPr>
      </w:pPr>
      <w:r>
        <w:rPr>
          <w:rFonts w:ascii="Arial" w:hAnsi="Arial"/>
          <w:b/>
          <w:sz w:val="22"/>
        </w:rPr>
        <w:lastRenderedPageBreak/>
        <w:t>СОДЕРЖАНИЕ</w:t>
      </w:r>
    </w:p>
    <w:p w:rsidR="008F3CD9" w:rsidRDefault="008F3CD9" w:rsidP="00901633"/>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0"/>
        <w:gridCol w:w="1417"/>
      </w:tblGrid>
      <w:tr w:rsidR="005850EF" w:rsidTr="00F97F0D">
        <w:tc>
          <w:tcPr>
            <w:tcW w:w="8330" w:type="dxa"/>
            <w:shd w:val="clear" w:color="auto" w:fill="F2F2F2"/>
          </w:tcPr>
          <w:p w:rsidR="005850EF" w:rsidRPr="00060024" w:rsidRDefault="005850EF" w:rsidP="008F3CD9">
            <w:pPr>
              <w:rPr>
                <w:rFonts w:ascii="Arial" w:hAnsi="Arial" w:cs="Arial"/>
                <w:sz w:val="22"/>
                <w:szCs w:val="22"/>
              </w:rPr>
            </w:pPr>
          </w:p>
        </w:tc>
        <w:tc>
          <w:tcPr>
            <w:tcW w:w="1417" w:type="dxa"/>
            <w:shd w:val="clear" w:color="auto" w:fill="F2F2F2"/>
          </w:tcPr>
          <w:p w:rsidR="005850EF" w:rsidRPr="00060024" w:rsidRDefault="005F29A3" w:rsidP="00060024">
            <w:pPr>
              <w:jc w:val="center"/>
              <w:rPr>
                <w:rFonts w:ascii="Arial" w:hAnsi="Arial" w:cs="Arial"/>
                <w:b/>
                <w:sz w:val="22"/>
                <w:szCs w:val="22"/>
              </w:rPr>
            </w:pPr>
            <w:r>
              <w:rPr>
                <w:rFonts w:ascii="Arial" w:hAnsi="Arial"/>
                <w:b/>
                <w:sz w:val="22"/>
              </w:rPr>
              <w:t>Номер страницы</w:t>
            </w:r>
          </w:p>
        </w:tc>
      </w:tr>
      <w:tr w:rsidR="008E7610" w:rsidTr="00F97F0D">
        <w:tc>
          <w:tcPr>
            <w:tcW w:w="8330" w:type="dxa"/>
            <w:vAlign w:val="center"/>
          </w:tcPr>
          <w:p w:rsidR="008E7610" w:rsidRPr="00060024" w:rsidRDefault="005F29A3" w:rsidP="008E7610">
            <w:pPr>
              <w:rPr>
                <w:rFonts w:ascii="Arial" w:hAnsi="Arial" w:cs="Arial"/>
                <w:b/>
                <w:sz w:val="22"/>
                <w:szCs w:val="22"/>
              </w:rPr>
            </w:pPr>
            <w:r>
              <w:rPr>
                <w:rFonts w:ascii="Arial" w:hAnsi="Arial"/>
                <w:b/>
                <w:sz w:val="22"/>
              </w:rPr>
              <w:t>ГОДОВОЙ ФИНАНСОВЫЙ ОТЧЕТ</w:t>
            </w:r>
          </w:p>
        </w:tc>
        <w:tc>
          <w:tcPr>
            <w:tcW w:w="1417" w:type="dxa"/>
            <w:vAlign w:val="center"/>
          </w:tcPr>
          <w:p w:rsidR="008E7610" w:rsidRPr="00060024" w:rsidRDefault="008E7610" w:rsidP="008E7610">
            <w:pPr>
              <w:jc w:val="right"/>
              <w:rPr>
                <w:rFonts w:ascii="Arial" w:hAnsi="Arial" w:cs="Arial"/>
                <w:sz w:val="22"/>
                <w:szCs w:val="22"/>
              </w:rPr>
            </w:pPr>
          </w:p>
        </w:tc>
      </w:tr>
      <w:tr w:rsidR="008E7610" w:rsidTr="00F97F0D">
        <w:tc>
          <w:tcPr>
            <w:tcW w:w="8330" w:type="dxa"/>
            <w:vAlign w:val="center"/>
          </w:tcPr>
          <w:p w:rsidR="008E7610" w:rsidRPr="008E7610" w:rsidRDefault="005F29A3" w:rsidP="008E7610">
            <w:pPr>
              <w:rPr>
                <w:rFonts w:ascii="Arial" w:hAnsi="Arial" w:cs="Arial"/>
                <w:sz w:val="22"/>
                <w:szCs w:val="22"/>
              </w:rPr>
            </w:pPr>
            <w:r>
              <w:rPr>
                <w:rFonts w:ascii="Arial" w:hAnsi="Arial"/>
                <w:sz w:val="22"/>
              </w:rPr>
              <w:t>ВВЕДЕНИЕ</w:t>
            </w:r>
          </w:p>
        </w:tc>
        <w:tc>
          <w:tcPr>
            <w:tcW w:w="1417" w:type="dxa"/>
            <w:vAlign w:val="center"/>
          </w:tcPr>
          <w:p w:rsidR="008E7610" w:rsidRPr="00B84637" w:rsidRDefault="00B84637" w:rsidP="008E7610">
            <w:pPr>
              <w:jc w:val="right"/>
              <w:rPr>
                <w:rFonts w:ascii="Arial" w:hAnsi="Arial" w:cs="Arial"/>
                <w:sz w:val="22"/>
                <w:szCs w:val="22"/>
                <w:lang w:val="en-US"/>
              </w:rPr>
            </w:pPr>
            <w:r>
              <w:rPr>
                <w:rFonts w:ascii="Arial" w:hAnsi="Arial"/>
                <w:sz w:val="22"/>
                <w:lang w:val="en-US"/>
              </w:rPr>
              <w:t>2</w:t>
            </w:r>
          </w:p>
        </w:tc>
      </w:tr>
      <w:tr w:rsidR="008E7610" w:rsidTr="00F97F0D">
        <w:tc>
          <w:tcPr>
            <w:tcW w:w="8330" w:type="dxa"/>
            <w:vAlign w:val="center"/>
          </w:tcPr>
          <w:p w:rsidR="008E7610" w:rsidRPr="008E7610" w:rsidRDefault="005F29A3" w:rsidP="008E7610">
            <w:pPr>
              <w:rPr>
                <w:rFonts w:ascii="Arial" w:hAnsi="Arial" w:cs="Arial"/>
                <w:sz w:val="22"/>
                <w:szCs w:val="22"/>
              </w:rPr>
            </w:pPr>
            <w:r>
              <w:rPr>
                <w:rFonts w:ascii="Arial" w:hAnsi="Arial"/>
                <w:sz w:val="22"/>
              </w:rPr>
              <w:t>ОБСУЖДЕНИЕ И АНАЛИЗ ФИНАНСОВЫХ ВЕДОМОСТЕЙ</w:t>
            </w:r>
          </w:p>
        </w:tc>
        <w:tc>
          <w:tcPr>
            <w:tcW w:w="1417" w:type="dxa"/>
            <w:vAlign w:val="center"/>
          </w:tcPr>
          <w:p w:rsidR="008E7610" w:rsidRPr="00B84637" w:rsidRDefault="00B84637" w:rsidP="008E7610">
            <w:pPr>
              <w:jc w:val="right"/>
              <w:rPr>
                <w:rFonts w:ascii="Arial" w:hAnsi="Arial" w:cs="Arial"/>
                <w:sz w:val="22"/>
                <w:szCs w:val="22"/>
                <w:lang w:val="en-US"/>
              </w:rPr>
            </w:pPr>
            <w:r>
              <w:rPr>
                <w:rFonts w:ascii="Arial" w:hAnsi="Arial"/>
                <w:sz w:val="22"/>
                <w:lang w:val="en-US"/>
              </w:rPr>
              <w:t>2</w:t>
            </w:r>
          </w:p>
        </w:tc>
      </w:tr>
      <w:tr w:rsidR="00F057F7" w:rsidTr="00F97F0D">
        <w:tc>
          <w:tcPr>
            <w:tcW w:w="8330" w:type="dxa"/>
            <w:vAlign w:val="center"/>
          </w:tcPr>
          <w:p w:rsidR="00F057F7" w:rsidRPr="00060024" w:rsidRDefault="005F29A3" w:rsidP="008E7610">
            <w:pPr>
              <w:rPr>
                <w:rFonts w:ascii="Arial" w:hAnsi="Arial" w:cs="Arial"/>
                <w:b/>
                <w:sz w:val="22"/>
                <w:szCs w:val="22"/>
              </w:rPr>
            </w:pPr>
            <w:r>
              <w:rPr>
                <w:rFonts w:ascii="Arial" w:hAnsi="Arial"/>
                <w:b/>
                <w:sz w:val="22"/>
              </w:rPr>
              <w:t>ФИНАНСОВЫЕ ВЕДОМОСТИ</w:t>
            </w:r>
          </w:p>
        </w:tc>
        <w:tc>
          <w:tcPr>
            <w:tcW w:w="1417" w:type="dxa"/>
            <w:vAlign w:val="center"/>
          </w:tcPr>
          <w:p w:rsidR="00F057F7" w:rsidRPr="00060024" w:rsidRDefault="00F057F7" w:rsidP="008E7610">
            <w:pPr>
              <w:jc w:val="right"/>
              <w:rPr>
                <w:rFonts w:ascii="Arial" w:hAnsi="Arial" w:cs="Arial"/>
                <w:sz w:val="22"/>
                <w:szCs w:val="22"/>
              </w:rPr>
            </w:pPr>
          </w:p>
        </w:tc>
      </w:tr>
      <w:tr w:rsidR="005850EF" w:rsidTr="00F97F0D">
        <w:tc>
          <w:tcPr>
            <w:tcW w:w="8330" w:type="dxa"/>
            <w:vAlign w:val="center"/>
          </w:tcPr>
          <w:p w:rsidR="005850EF" w:rsidRPr="00060024" w:rsidRDefault="005F29A3" w:rsidP="008E7610">
            <w:pPr>
              <w:rPr>
                <w:rFonts w:ascii="Arial" w:hAnsi="Arial" w:cs="Arial"/>
                <w:sz w:val="22"/>
                <w:szCs w:val="22"/>
              </w:rPr>
            </w:pPr>
            <w:r>
              <w:rPr>
                <w:rFonts w:ascii="Arial" w:hAnsi="Arial"/>
                <w:sz w:val="22"/>
              </w:rPr>
              <w:t>ВЕДОМОСТЬ I – Отчет о финансовом положении</w:t>
            </w:r>
          </w:p>
        </w:tc>
        <w:tc>
          <w:tcPr>
            <w:tcW w:w="1417" w:type="dxa"/>
            <w:vAlign w:val="center"/>
          </w:tcPr>
          <w:p w:rsidR="005850EF" w:rsidRPr="00B84637" w:rsidRDefault="005F29A3" w:rsidP="00B84637">
            <w:pPr>
              <w:jc w:val="right"/>
              <w:rPr>
                <w:rFonts w:ascii="Arial" w:hAnsi="Arial" w:cs="Arial"/>
                <w:sz w:val="22"/>
                <w:szCs w:val="22"/>
                <w:lang w:val="en-US"/>
              </w:rPr>
            </w:pPr>
            <w:r>
              <w:rPr>
                <w:rFonts w:ascii="Arial" w:hAnsi="Arial"/>
                <w:sz w:val="22"/>
              </w:rPr>
              <w:t>2</w:t>
            </w:r>
            <w:r w:rsidR="00B84637">
              <w:rPr>
                <w:rFonts w:ascii="Arial" w:hAnsi="Arial"/>
                <w:sz w:val="22"/>
                <w:lang w:val="en-US"/>
              </w:rPr>
              <w:t>7</w:t>
            </w:r>
          </w:p>
        </w:tc>
      </w:tr>
      <w:tr w:rsidR="005850EF" w:rsidTr="00F97F0D">
        <w:tc>
          <w:tcPr>
            <w:tcW w:w="8330" w:type="dxa"/>
            <w:vAlign w:val="center"/>
          </w:tcPr>
          <w:p w:rsidR="005850EF" w:rsidRPr="00060024" w:rsidRDefault="005F29A3" w:rsidP="008E7610">
            <w:pPr>
              <w:rPr>
                <w:rFonts w:ascii="Arial" w:hAnsi="Arial" w:cs="Arial"/>
                <w:sz w:val="22"/>
                <w:szCs w:val="22"/>
              </w:rPr>
            </w:pPr>
            <w:r>
              <w:rPr>
                <w:rFonts w:ascii="Arial" w:hAnsi="Arial"/>
                <w:sz w:val="22"/>
              </w:rPr>
              <w:t>ВЕДОМОСТЬ II – Отчет о финансовых результатах</w:t>
            </w:r>
          </w:p>
        </w:tc>
        <w:tc>
          <w:tcPr>
            <w:tcW w:w="1417" w:type="dxa"/>
            <w:vAlign w:val="center"/>
          </w:tcPr>
          <w:p w:rsidR="005850EF" w:rsidRPr="00B84637" w:rsidRDefault="005F29A3" w:rsidP="00B84637">
            <w:pPr>
              <w:jc w:val="right"/>
              <w:rPr>
                <w:rFonts w:ascii="Arial" w:hAnsi="Arial" w:cs="Arial"/>
                <w:sz w:val="22"/>
                <w:szCs w:val="22"/>
                <w:lang w:val="en-US"/>
              </w:rPr>
            </w:pPr>
            <w:r>
              <w:rPr>
                <w:rFonts w:ascii="Arial" w:hAnsi="Arial"/>
                <w:sz w:val="22"/>
              </w:rPr>
              <w:t>2</w:t>
            </w:r>
            <w:r w:rsidR="00B84637">
              <w:rPr>
                <w:rFonts w:ascii="Arial" w:hAnsi="Arial"/>
                <w:sz w:val="22"/>
                <w:lang w:val="en-US"/>
              </w:rPr>
              <w:t>8</w:t>
            </w:r>
          </w:p>
        </w:tc>
      </w:tr>
      <w:tr w:rsidR="005850EF" w:rsidTr="00F97F0D">
        <w:tc>
          <w:tcPr>
            <w:tcW w:w="8330" w:type="dxa"/>
            <w:vAlign w:val="center"/>
          </w:tcPr>
          <w:p w:rsidR="005850EF" w:rsidRPr="00060024" w:rsidRDefault="005F29A3" w:rsidP="008E7610">
            <w:pPr>
              <w:rPr>
                <w:rFonts w:ascii="Arial" w:hAnsi="Arial" w:cs="Arial"/>
                <w:sz w:val="22"/>
                <w:szCs w:val="22"/>
              </w:rPr>
            </w:pPr>
            <w:r>
              <w:rPr>
                <w:rFonts w:ascii="Arial" w:hAnsi="Arial"/>
                <w:sz w:val="22"/>
              </w:rPr>
              <w:t>ВЕДОМОСТЬ III – Отчет об изменениях в чистых активах</w:t>
            </w:r>
          </w:p>
        </w:tc>
        <w:tc>
          <w:tcPr>
            <w:tcW w:w="1417" w:type="dxa"/>
            <w:vAlign w:val="center"/>
          </w:tcPr>
          <w:p w:rsidR="005850EF" w:rsidRPr="00B84637" w:rsidRDefault="005F29A3" w:rsidP="00B84637">
            <w:pPr>
              <w:jc w:val="right"/>
              <w:rPr>
                <w:rFonts w:ascii="Arial" w:hAnsi="Arial" w:cs="Arial"/>
                <w:sz w:val="22"/>
                <w:szCs w:val="22"/>
                <w:lang w:val="en-US"/>
              </w:rPr>
            </w:pPr>
            <w:r>
              <w:rPr>
                <w:rFonts w:ascii="Arial" w:hAnsi="Arial"/>
                <w:sz w:val="22"/>
              </w:rPr>
              <w:t>2</w:t>
            </w:r>
            <w:r w:rsidR="00B84637">
              <w:rPr>
                <w:rFonts w:ascii="Arial" w:hAnsi="Arial"/>
                <w:sz w:val="22"/>
                <w:lang w:val="en-US"/>
              </w:rPr>
              <w:t>9</w:t>
            </w:r>
          </w:p>
        </w:tc>
      </w:tr>
      <w:tr w:rsidR="005850EF" w:rsidTr="00F97F0D">
        <w:tc>
          <w:tcPr>
            <w:tcW w:w="8330" w:type="dxa"/>
            <w:vAlign w:val="center"/>
          </w:tcPr>
          <w:p w:rsidR="005850EF" w:rsidRPr="00060024" w:rsidRDefault="005F29A3" w:rsidP="008E7610">
            <w:pPr>
              <w:rPr>
                <w:rFonts w:ascii="Arial" w:hAnsi="Arial" w:cs="Arial"/>
                <w:sz w:val="22"/>
                <w:szCs w:val="22"/>
              </w:rPr>
            </w:pPr>
            <w:r>
              <w:rPr>
                <w:rFonts w:ascii="Arial" w:hAnsi="Arial"/>
                <w:sz w:val="22"/>
              </w:rPr>
              <w:t>ВЕДОМОСТЬ IV – Отчет о движении денежных средств</w:t>
            </w:r>
          </w:p>
        </w:tc>
        <w:tc>
          <w:tcPr>
            <w:tcW w:w="1417" w:type="dxa"/>
            <w:vAlign w:val="center"/>
          </w:tcPr>
          <w:p w:rsidR="005850EF" w:rsidRPr="00B84637" w:rsidRDefault="00B84637" w:rsidP="008E7610">
            <w:pPr>
              <w:jc w:val="right"/>
              <w:rPr>
                <w:rFonts w:ascii="Arial" w:hAnsi="Arial" w:cs="Arial"/>
                <w:sz w:val="22"/>
                <w:szCs w:val="22"/>
                <w:lang w:val="en-US"/>
              </w:rPr>
            </w:pPr>
            <w:r>
              <w:rPr>
                <w:rFonts w:ascii="Arial" w:hAnsi="Arial"/>
                <w:sz w:val="22"/>
                <w:lang w:val="en-US"/>
              </w:rPr>
              <w:t>30</w:t>
            </w:r>
          </w:p>
        </w:tc>
      </w:tr>
      <w:tr w:rsidR="005850EF" w:rsidTr="00F97F0D">
        <w:tc>
          <w:tcPr>
            <w:tcW w:w="8330" w:type="dxa"/>
            <w:vAlign w:val="center"/>
          </w:tcPr>
          <w:p w:rsidR="005850EF" w:rsidRPr="00060024" w:rsidRDefault="005F29A3" w:rsidP="008E7610">
            <w:pPr>
              <w:rPr>
                <w:rFonts w:ascii="Arial" w:hAnsi="Arial" w:cs="Arial"/>
                <w:sz w:val="22"/>
                <w:szCs w:val="22"/>
              </w:rPr>
            </w:pPr>
            <w:r>
              <w:rPr>
                <w:rFonts w:ascii="Arial" w:hAnsi="Arial"/>
                <w:sz w:val="22"/>
              </w:rPr>
              <w:t>ВЕДОМОСТЬ V – Отчет о сравнении бюджетных и фактических сумм</w:t>
            </w:r>
          </w:p>
        </w:tc>
        <w:tc>
          <w:tcPr>
            <w:tcW w:w="1417" w:type="dxa"/>
            <w:vAlign w:val="center"/>
          </w:tcPr>
          <w:p w:rsidR="005850EF" w:rsidRPr="00B84637" w:rsidRDefault="00B84637" w:rsidP="008E7610">
            <w:pPr>
              <w:jc w:val="right"/>
              <w:rPr>
                <w:rFonts w:ascii="Arial" w:hAnsi="Arial" w:cs="Arial"/>
                <w:sz w:val="22"/>
                <w:szCs w:val="22"/>
                <w:lang w:val="en-US"/>
              </w:rPr>
            </w:pPr>
            <w:r>
              <w:rPr>
                <w:rFonts w:ascii="Arial" w:hAnsi="Arial"/>
                <w:sz w:val="22"/>
                <w:lang w:val="en-US"/>
              </w:rPr>
              <w:t>31</w:t>
            </w:r>
          </w:p>
        </w:tc>
      </w:tr>
      <w:tr w:rsidR="005850EF" w:rsidTr="00F97F0D">
        <w:tc>
          <w:tcPr>
            <w:tcW w:w="8330" w:type="dxa"/>
            <w:vAlign w:val="center"/>
          </w:tcPr>
          <w:p w:rsidR="005850EF" w:rsidRPr="00060024" w:rsidRDefault="005F29A3" w:rsidP="008E7610">
            <w:pPr>
              <w:rPr>
                <w:rFonts w:ascii="Arial" w:hAnsi="Arial" w:cs="Arial"/>
                <w:sz w:val="22"/>
                <w:szCs w:val="22"/>
              </w:rPr>
            </w:pPr>
            <w:r>
              <w:rPr>
                <w:rFonts w:ascii="Arial" w:hAnsi="Arial"/>
                <w:sz w:val="22"/>
              </w:rPr>
              <w:t>ПРИМЕЧАНИЯ К ФИНАНСОВЫМ ВЕДОМОСТЯМ</w:t>
            </w:r>
          </w:p>
        </w:tc>
        <w:tc>
          <w:tcPr>
            <w:tcW w:w="1417" w:type="dxa"/>
            <w:vAlign w:val="center"/>
          </w:tcPr>
          <w:p w:rsidR="005850EF" w:rsidRPr="00B84637" w:rsidRDefault="00B84637" w:rsidP="00B84637">
            <w:pPr>
              <w:jc w:val="right"/>
              <w:rPr>
                <w:rFonts w:ascii="Arial" w:hAnsi="Arial" w:cs="Arial"/>
                <w:sz w:val="22"/>
                <w:szCs w:val="22"/>
                <w:lang w:val="en-US"/>
              </w:rPr>
            </w:pPr>
            <w:r>
              <w:rPr>
                <w:rFonts w:ascii="Arial" w:hAnsi="Arial"/>
                <w:sz w:val="22"/>
                <w:lang w:val="en-US"/>
              </w:rPr>
              <w:t>33</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1</w:t>
            </w:r>
            <w:r>
              <w:rPr>
                <w:rFonts w:ascii="Arial" w:hAnsi="Arial"/>
                <w:sz w:val="22"/>
              </w:rPr>
              <w:t>: Цели и бюджет Организации</w:t>
            </w:r>
          </w:p>
        </w:tc>
        <w:tc>
          <w:tcPr>
            <w:tcW w:w="1417" w:type="dxa"/>
            <w:vAlign w:val="center"/>
          </w:tcPr>
          <w:p w:rsidR="005850EF" w:rsidRPr="00B84637" w:rsidRDefault="005F29A3" w:rsidP="00B84637">
            <w:pPr>
              <w:jc w:val="right"/>
              <w:rPr>
                <w:rFonts w:ascii="Arial" w:hAnsi="Arial" w:cs="Arial"/>
                <w:sz w:val="22"/>
                <w:szCs w:val="22"/>
                <w:lang w:val="en-US"/>
              </w:rPr>
            </w:pPr>
            <w:r>
              <w:rPr>
                <w:rFonts w:ascii="Arial" w:hAnsi="Arial"/>
                <w:sz w:val="22"/>
              </w:rPr>
              <w:t>3</w:t>
            </w:r>
            <w:r w:rsidR="00B84637">
              <w:rPr>
                <w:rFonts w:ascii="Arial" w:hAnsi="Arial"/>
                <w:sz w:val="22"/>
                <w:lang w:val="en-US"/>
              </w:rPr>
              <w:t>3</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2</w:t>
            </w:r>
            <w:r>
              <w:rPr>
                <w:rFonts w:ascii="Arial" w:hAnsi="Arial"/>
                <w:sz w:val="22"/>
              </w:rPr>
              <w:t>: Основные принципы бухгалтерского учета</w:t>
            </w:r>
          </w:p>
        </w:tc>
        <w:tc>
          <w:tcPr>
            <w:tcW w:w="1417" w:type="dxa"/>
            <w:vAlign w:val="center"/>
          </w:tcPr>
          <w:p w:rsidR="005850EF" w:rsidRPr="00F54EDC" w:rsidRDefault="005F29A3" w:rsidP="00F54EDC">
            <w:pPr>
              <w:jc w:val="right"/>
              <w:rPr>
                <w:rFonts w:ascii="Arial" w:hAnsi="Arial" w:cs="Arial"/>
                <w:sz w:val="22"/>
                <w:szCs w:val="22"/>
                <w:lang w:val="en-US"/>
              </w:rPr>
            </w:pPr>
            <w:r>
              <w:rPr>
                <w:rFonts w:ascii="Arial" w:hAnsi="Arial"/>
                <w:sz w:val="22"/>
              </w:rPr>
              <w:t>3</w:t>
            </w:r>
            <w:r w:rsidR="00F54EDC">
              <w:rPr>
                <w:rFonts w:ascii="Arial" w:hAnsi="Arial"/>
                <w:sz w:val="22"/>
                <w:lang w:val="en-US"/>
              </w:rPr>
              <w:t>4</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3</w:t>
            </w:r>
            <w:r>
              <w:rPr>
                <w:rFonts w:ascii="Arial" w:hAnsi="Arial"/>
                <w:sz w:val="22"/>
              </w:rPr>
              <w:t>: Денежные средства и их эквиваленты</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43</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4</w:t>
            </w:r>
            <w:r>
              <w:rPr>
                <w:rFonts w:ascii="Arial" w:hAnsi="Arial"/>
                <w:sz w:val="22"/>
              </w:rPr>
              <w:t>: Дебиторская задолженность, авансы и предоплата</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44</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5</w:t>
            </w:r>
            <w:r>
              <w:rPr>
                <w:rFonts w:ascii="Arial" w:hAnsi="Arial"/>
                <w:sz w:val="22"/>
              </w:rPr>
              <w:t>: Товарно-материальные запасы</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46</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6</w:t>
            </w:r>
            <w:r>
              <w:rPr>
                <w:rFonts w:ascii="Arial" w:hAnsi="Arial"/>
                <w:sz w:val="22"/>
              </w:rPr>
              <w:t>: Оборудование</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46</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7</w:t>
            </w:r>
            <w:r>
              <w:rPr>
                <w:rFonts w:ascii="Arial" w:hAnsi="Arial"/>
                <w:sz w:val="22"/>
              </w:rPr>
              <w:t>: Инвестиционная недвижимость</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rPr>
              <w:t>4</w:t>
            </w:r>
            <w:r>
              <w:rPr>
                <w:rFonts w:ascii="Arial" w:hAnsi="Arial"/>
                <w:sz w:val="22"/>
                <w:lang w:val="en-US"/>
              </w:rPr>
              <w:t>7</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8</w:t>
            </w:r>
            <w:r>
              <w:rPr>
                <w:rFonts w:ascii="Arial" w:hAnsi="Arial"/>
                <w:sz w:val="22"/>
              </w:rPr>
              <w:t>: Нематериальные активы</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49</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9</w:t>
            </w:r>
            <w:r>
              <w:rPr>
                <w:rFonts w:ascii="Arial" w:hAnsi="Arial"/>
                <w:sz w:val="22"/>
              </w:rPr>
              <w:t>: Земля и здания</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50</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1</w:t>
            </w:r>
            <w:r>
              <w:rPr>
                <w:rFonts w:ascii="Arial" w:hAnsi="Arial"/>
                <w:sz w:val="22"/>
              </w:rPr>
              <w:t>0: Прочие необоротные активы</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54</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1</w:t>
            </w:r>
            <w:r>
              <w:rPr>
                <w:rFonts w:ascii="Arial" w:hAnsi="Arial"/>
                <w:sz w:val="22"/>
              </w:rPr>
              <w:t>1: Кредиторская задолженность</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55</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1</w:t>
            </w:r>
            <w:r>
              <w:rPr>
                <w:rFonts w:ascii="Arial" w:hAnsi="Arial"/>
                <w:sz w:val="22"/>
              </w:rPr>
              <w:t>2: Пособия сотрудникам</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55</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1</w:t>
            </w:r>
            <w:r>
              <w:rPr>
                <w:rFonts w:ascii="Arial" w:hAnsi="Arial"/>
                <w:sz w:val="22"/>
              </w:rPr>
              <w:t>3: Суммы к перечислению</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63</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1</w:t>
            </w:r>
            <w:r>
              <w:rPr>
                <w:rFonts w:ascii="Arial" w:hAnsi="Arial"/>
                <w:sz w:val="22"/>
              </w:rPr>
              <w:t>4: Авансовые поступления</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65</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1</w:t>
            </w:r>
            <w:r>
              <w:rPr>
                <w:rFonts w:ascii="Arial" w:hAnsi="Arial"/>
                <w:sz w:val="22"/>
              </w:rPr>
              <w:t>5: Заемные средства</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66</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1</w:t>
            </w:r>
            <w:r>
              <w:rPr>
                <w:rFonts w:ascii="Arial" w:hAnsi="Arial"/>
                <w:sz w:val="22"/>
              </w:rPr>
              <w:t>6</w:t>
            </w:r>
            <w:r w:rsidR="008861C2">
              <w:rPr>
                <w:rFonts w:ascii="Arial" w:hAnsi="Arial"/>
                <w:sz w:val="22"/>
              </w:rPr>
              <w:t>:  А</w:t>
            </w:r>
            <w:r>
              <w:rPr>
                <w:rFonts w:ascii="Arial" w:hAnsi="Arial"/>
                <w:sz w:val="22"/>
              </w:rPr>
              <w:t>ссигнования</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67</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1</w:t>
            </w:r>
            <w:r>
              <w:rPr>
                <w:rFonts w:ascii="Arial" w:hAnsi="Arial"/>
                <w:sz w:val="22"/>
              </w:rPr>
              <w:t>7: Прочие краткосрочные обязательства</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67</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1</w:t>
            </w:r>
            <w:r>
              <w:rPr>
                <w:rFonts w:ascii="Arial" w:hAnsi="Arial"/>
                <w:sz w:val="22"/>
              </w:rPr>
              <w:t>8: Условные активы и пассивы</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68</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1</w:t>
            </w:r>
            <w:r>
              <w:rPr>
                <w:rFonts w:ascii="Arial" w:hAnsi="Arial"/>
                <w:sz w:val="22"/>
              </w:rPr>
              <w:t>9: Договоры аренды</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68</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2</w:t>
            </w:r>
            <w:r>
              <w:rPr>
                <w:rFonts w:ascii="Arial" w:hAnsi="Arial"/>
                <w:sz w:val="22"/>
              </w:rPr>
              <w:t>0: Операции с третьими лицами</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69</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2</w:t>
            </w:r>
            <w:r>
              <w:rPr>
                <w:rFonts w:ascii="Arial" w:hAnsi="Arial"/>
                <w:sz w:val="22"/>
              </w:rPr>
              <w:t>1: Резервы и остаток средств</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70</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2</w:t>
            </w:r>
            <w:r>
              <w:rPr>
                <w:rFonts w:ascii="Arial" w:hAnsi="Arial"/>
                <w:sz w:val="22"/>
              </w:rPr>
              <w:t>2: Сверка Отчета о сравнении бюджетных и фактических сумм и Отчета о финансовых результатах</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72</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2</w:t>
            </w:r>
            <w:r>
              <w:rPr>
                <w:rFonts w:ascii="Arial" w:hAnsi="Arial"/>
                <w:sz w:val="22"/>
              </w:rPr>
              <w:t>3: Доходы</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74</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2</w:t>
            </w:r>
            <w:r>
              <w:rPr>
                <w:rFonts w:ascii="Arial" w:hAnsi="Arial"/>
                <w:sz w:val="22"/>
              </w:rPr>
              <w:t>4: Расходы</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75</w:t>
            </w:r>
          </w:p>
        </w:tc>
      </w:tr>
      <w:tr w:rsidR="006C1085" w:rsidTr="00F97F0D">
        <w:tc>
          <w:tcPr>
            <w:tcW w:w="8330" w:type="dxa"/>
            <w:vAlign w:val="center"/>
          </w:tcPr>
          <w:p w:rsidR="006C1085"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2</w:t>
            </w:r>
            <w:r>
              <w:rPr>
                <w:rFonts w:ascii="Arial" w:hAnsi="Arial"/>
                <w:sz w:val="22"/>
              </w:rPr>
              <w:t>5: Финансовые инструменты</w:t>
            </w:r>
          </w:p>
        </w:tc>
        <w:tc>
          <w:tcPr>
            <w:tcW w:w="1417" w:type="dxa"/>
            <w:vAlign w:val="center"/>
          </w:tcPr>
          <w:p w:rsidR="006C1085" w:rsidRPr="00F54EDC" w:rsidRDefault="00F54EDC" w:rsidP="008E7610">
            <w:pPr>
              <w:jc w:val="right"/>
              <w:rPr>
                <w:rFonts w:ascii="Arial" w:hAnsi="Arial" w:cs="Arial"/>
                <w:sz w:val="22"/>
                <w:szCs w:val="22"/>
                <w:lang w:val="en-US"/>
              </w:rPr>
            </w:pPr>
            <w:r>
              <w:rPr>
                <w:rFonts w:ascii="Arial" w:hAnsi="Arial"/>
                <w:sz w:val="22"/>
                <w:lang w:val="en-US"/>
              </w:rPr>
              <w:t>76</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2</w:t>
            </w:r>
            <w:r>
              <w:rPr>
                <w:rFonts w:ascii="Arial" w:hAnsi="Arial"/>
                <w:sz w:val="22"/>
              </w:rPr>
              <w:t>6: Курсовые прибыли и убытки</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82</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2</w:t>
            </w:r>
            <w:r>
              <w:rPr>
                <w:rFonts w:ascii="Arial" w:hAnsi="Arial"/>
                <w:sz w:val="22"/>
              </w:rPr>
              <w:t>7: События, произошедшие после отчетной даты</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83</w:t>
            </w:r>
          </w:p>
        </w:tc>
      </w:tr>
      <w:tr w:rsidR="005850EF" w:rsidTr="00F97F0D">
        <w:tc>
          <w:tcPr>
            <w:tcW w:w="8330" w:type="dxa"/>
            <w:vAlign w:val="center"/>
          </w:tcPr>
          <w:p w:rsidR="005850EF" w:rsidRPr="00060024" w:rsidRDefault="005F29A3" w:rsidP="008E7610">
            <w:pPr>
              <w:ind w:left="900"/>
              <w:rPr>
                <w:rFonts w:ascii="Arial" w:hAnsi="Arial" w:cs="Arial"/>
                <w:sz w:val="22"/>
                <w:szCs w:val="22"/>
              </w:rPr>
            </w:pPr>
            <w:r w:rsidRPr="001311AA">
              <w:rPr>
                <w:rFonts w:ascii="Arial" w:hAnsi="Arial"/>
                <w:sz w:val="22"/>
              </w:rPr>
              <w:t>Примечание</w:t>
            </w:r>
            <w:r w:rsidR="001311AA" w:rsidRPr="001311AA">
              <w:rPr>
                <w:rFonts w:ascii="Arial" w:hAnsi="Arial"/>
                <w:sz w:val="22"/>
              </w:rPr>
              <w:t> </w:t>
            </w:r>
            <w:r w:rsidRPr="001311AA">
              <w:rPr>
                <w:rFonts w:ascii="Arial" w:hAnsi="Arial"/>
                <w:sz w:val="22"/>
              </w:rPr>
              <w:t>2</w:t>
            </w:r>
            <w:r>
              <w:rPr>
                <w:rFonts w:ascii="Arial" w:hAnsi="Arial"/>
                <w:sz w:val="22"/>
              </w:rPr>
              <w:t>8: Сегментная отчетность</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83</w:t>
            </w:r>
          </w:p>
        </w:tc>
      </w:tr>
      <w:tr w:rsidR="0084254D" w:rsidTr="00F97F0D">
        <w:tc>
          <w:tcPr>
            <w:tcW w:w="8330" w:type="dxa"/>
            <w:vAlign w:val="center"/>
          </w:tcPr>
          <w:p w:rsidR="0084254D" w:rsidRPr="0084254D" w:rsidRDefault="005F29A3" w:rsidP="0084254D">
            <w:pPr>
              <w:rPr>
                <w:rFonts w:ascii="Arial" w:hAnsi="Arial" w:cs="Arial"/>
                <w:b/>
                <w:sz w:val="22"/>
                <w:szCs w:val="22"/>
              </w:rPr>
            </w:pPr>
            <w:r>
              <w:rPr>
                <w:rFonts w:ascii="Arial" w:hAnsi="Arial"/>
                <w:b/>
                <w:sz w:val="22"/>
              </w:rPr>
              <w:t>ПРИЛОЖЕНИЯ</w:t>
            </w:r>
          </w:p>
        </w:tc>
        <w:tc>
          <w:tcPr>
            <w:tcW w:w="1417" w:type="dxa"/>
            <w:vAlign w:val="center"/>
          </w:tcPr>
          <w:p w:rsidR="0084254D" w:rsidRDefault="0084254D" w:rsidP="008E7610">
            <w:pPr>
              <w:jc w:val="right"/>
              <w:rPr>
                <w:rFonts w:ascii="Arial" w:hAnsi="Arial" w:cs="Arial"/>
                <w:sz w:val="22"/>
                <w:szCs w:val="22"/>
              </w:rPr>
            </w:pPr>
          </w:p>
        </w:tc>
      </w:tr>
      <w:tr w:rsidR="005850EF" w:rsidTr="00F97F0D">
        <w:tc>
          <w:tcPr>
            <w:tcW w:w="8330" w:type="dxa"/>
            <w:vAlign w:val="center"/>
          </w:tcPr>
          <w:p w:rsidR="005850EF" w:rsidRPr="00060024" w:rsidRDefault="005F29A3" w:rsidP="008E7610">
            <w:pPr>
              <w:rPr>
                <w:rFonts w:ascii="Arial" w:hAnsi="Arial" w:cs="Arial"/>
                <w:sz w:val="22"/>
                <w:szCs w:val="22"/>
              </w:rPr>
            </w:pPr>
            <w:r>
              <w:rPr>
                <w:rFonts w:ascii="Arial" w:hAnsi="Arial"/>
                <w:sz w:val="22"/>
              </w:rPr>
              <w:t>ПРИЛОЖЕНИЕ I – Отчет о финансовом положении в разбивке по источникам финансирования [не прошло аудиторскую проверку]</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86</w:t>
            </w:r>
          </w:p>
        </w:tc>
      </w:tr>
      <w:tr w:rsidR="005850EF" w:rsidTr="00F97F0D">
        <w:tc>
          <w:tcPr>
            <w:tcW w:w="8330" w:type="dxa"/>
            <w:vAlign w:val="center"/>
          </w:tcPr>
          <w:p w:rsidR="005850EF" w:rsidRPr="00060024" w:rsidRDefault="005F29A3" w:rsidP="008E7610">
            <w:pPr>
              <w:rPr>
                <w:rFonts w:ascii="Arial" w:hAnsi="Arial" w:cs="Arial"/>
                <w:sz w:val="22"/>
                <w:szCs w:val="22"/>
              </w:rPr>
            </w:pPr>
            <w:r>
              <w:rPr>
                <w:rFonts w:ascii="Arial" w:hAnsi="Arial"/>
                <w:sz w:val="22"/>
              </w:rPr>
              <w:t>ПРИЛОЖЕНИЕ II – Отчет о финансовых результатах в разбивке по источникам финансирования [не прошло аудиторскую проверку]</w:t>
            </w:r>
          </w:p>
        </w:tc>
        <w:tc>
          <w:tcPr>
            <w:tcW w:w="1417" w:type="dxa"/>
            <w:vAlign w:val="center"/>
          </w:tcPr>
          <w:p w:rsidR="005850EF" w:rsidRPr="00F54EDC" w:rsidRDefault="00F54EDC" w:rsidP="008E7610">
            <w:pPr>
              <w:jc w:val="right"/>
              <w:rPr>
                <w:rFonts w:ascii="Arial" w:hAnsi="Arial" w:cs="Arial"/>
                <w:sz w:val="22"/>
                <w:szCs w:val="22"/>
                <w:lang w:val="en-US"/>
              </w:rPr>
            </w:pPr>
            <w:r>
              <w:rPr>
                <w:rFonts w:ascii="Arial" w:hAnsi="Arial"/>
                <w:sz w:val="22"/>
                <w:lang w:val="en-US"/>
              </w:rPr>
              <w:t>87</w:t>
            </w:r>
          </w:p>
        </w:tc>
      </w:tr>
      <w:tr w:rsidR="0076210C" w:rsidTr="00F97F0D">
        <w:tc>
          <w:tcPr>
            <w:tcW w:w="8330" w:type="dxa"/>
            <w:vAlign w:val="center"/>
          </w:tcPr>
          <w:p w:rsidR="0076210C" w:rsidRPr="00233FBD" w:rsidRDefault="005F29A3" w:rsidP="008E7610">
            <w:pPr>
              <w:rPr>
                <w:rFonts w:ascii="Arial" w:hAnsi="Arial" w:cs="Arial"/>
                <w:sz w:val="22"/>
                <w:szCs w:val="22"/>
              </w:rPr>
            </w:pPr>
            <w:r>
              <w:rPr>
                <w:rFonts w:ascii="Arial" w:hAnsi="Arial"/>
                <w:sz w:val="22"/>
              </w:rPr>
              <w:t>ПРИЛОЖЕНИЕ III – Специальные счета в разбивке по взносам доноров</w:t>
            </w:r>
          </w:p>
        </w:tc>
        <w:tc>
          <w:tcPr>
            <w:tcW w:w="1417" w:type="dxa"/>
            <w:vAlign w:val="center"/>
          </w:tcPr>
          <w:p w:rsidR="0076210C" w:rsidRPr="00F54EDC" w:rsidRDefault="00F54EDC" w:rsidP="008E7610">
            <w:pPr>
              <w:jc w:val="right"/>
              <w:rPr>
                <w:rFonts w:ascii="Arial" w:hAnsi="Arial" w:cs="Arial"/>
                <w:sz w:val="22"/>
                <w:szCs w:val="22"/>
                <w:lang w:val="en-US"/>
              </w:rPr>
            </w:pPr>
            <w:r>
              <w:rPr>
                <w:rFonts w:ascii="Arial" w:hAnsi="Arial"/>
                <w:sz w:val="22"/>
                <w:lang w:val="en-US"/>
              </w:rPr>
              <w:t>88</w:t>
            </w:r>
          </w:p>
        </w:tc>
      </w:tr>
      <w:tr w:rsidR="001F6A09" w:rsidRPr="001F6A09" w:rsidTr="00F97F0D">
        <w:tc>
          <w:tcPr>
            <w:tcW w:w="8330" w:type="dxa"/>
            <w:vAlign w:val="center"/>
          </w:tcPr>
          <w:p w:rsidR="001F6A09" w:rsidRPr="00233FBD" w:rsidRDefault="005F29A3" w:rsidP="008E7610">
            <w:pPr>
              <w:rPr>
                <w:rFonts w:ascii="Arial" w:hAnsi="Arial" w:cs="Arial"/>
                <w:sz w:val="22"/>
                <w:szCs w:val="22"/>
              </w:rPr>
            </w:pPr>
            <w:r>
              <w:rPr>
                <w:rFonts w:ascii="Arial" w:hAnsi="Arial"/>
                <w:sz w:val="22"/>
              </w:rPr>
              <w:t xml:space="preserve">ПРИЛОЖЕНИЕ IV – Выплаты Еx Gratia </w:t>
            </w:r>
          </w:p>
        </w:tc>
        <w:tc>
          <w:tcPr>
            <w:tcW w:w="1417" w:type="dxa"/>
            <w:vAlign w:val="center"/>
          </w:tcPr>
          <w:p w:rsidR="001F6A09" w:rsidRPr="00F54EDC" w:rsidRDefault="00F54EDC" w:rsidP="008E7610">
            <w:pPr>
              <w:jc w:val="right"/>
              <w:rPr>
                <w:rFonts w:ascii="Arial" w:hAnsi="Arial" w:cs="Arial"/>
                <w:sz w:val="22"/>
                <w:szCs w:val="22"/>
                <w:lang w:val="en-US"/>
              </w:rPr>
            </w:pPr>
            <w:r>
              <w:rPr>
                <w:rFonts w:ascii="Arial" w:hAnsi="Arial"/>
                <w:sz w:val="22"/>
                <w:lang w:val="en-US"/>
              </w:rPr>
              <w:t>89</w:t>
            </w:r>
          </w:p>
        </w:tc>
      </w:tr>
    </w:tbl>
    <w:p w:rsidR="008F3CD9" w:rsidRPr="001F6A09" w:rsidRDefault="008F3CD9" w:rsidP="008F3CD9"/>
    <w:p w:rsidR="008F3CD9" w:rsidRPr="001F6A09" w:rsidRDefault="008F3CD9" w:rsidP="008F3CD9">
      <w:pPr>
        <w:rPr>
          <w:sz w:val="20"/>
          <w:szCs w:val="20"/>
        </w:rPr>
      </w:pPr>
    </w:p>
    <w:p w:rsidR="00E1681D" w:rsidRPr="001F6A09" w:rsidRDefault="00E1681D" w:rsidP="007C6D77">
      <w:pPr>
        <w:jc w:val="both"/>
        <w:rPr>
          <w:rFonts w:ascii="Arial Narrow" w:hAnsi="Arial Narrow"/>
          <w:sz w:val="18"/>
          <w:szCs w:val="18"/>
        </w:rPr>
      </w:pPr>
    </w:p>
    <w:p w:rsidR="00E1681D" w:rsidRPr="001F6A09" w:rsidRDefault="00E1681D" w:rsidP="007C6D77">
      <w:pPr>
        <w:jc w:val="both"/>
        <w:rPr>
          <w:rFonts w:ascii="Arial Narrow" w:hAnsi="Arial Narrow"/>
          <w:sz w:val="18"/>
          <w:szCs w:val="18"/>
        </w:rPr>
      </w:pPr>
    </w:p>
    <w:p w:rsidR="00EA665C" w:rsidRPr="001F6A09" w:rsidRDefault="00EA665C" w:rsidP="007C6D77">
      <w:pPr>
        <w:jc w:val="both"/>
        <w:rPr>
          <w:rFonts w:ascii="Arial Narrow" w:hAnsi="Arial Narrow"/>
          <w:sz w:val="18"/>
          <w:szCs w:val="18"/>
        </w:rPr>
      </w:pPr>
    </w:p>
    <w:p w:rsidR="005F29A3" w:rsidRDefault="005F29A3" w:rsidP="007C6D77">
      <w:pPr>
        <w:jc w:val="both"/>
        <w:sectPr w:rsidR="005F29A3" w:rsidSect="00E337BC">
          <w:headerReference w:type="default" r:id="rId19"/>
          <w:footerReference w:type="default" r:id="rId20"/>
          <w:headerReference w:type="first" r:id="rId21"/>
          <w:pgSz w:w="11907" w:h="16840" w:code="9"/>
          <w:pgMar w:top="851" w:right="1247" w:bottom="1191" w:left="1247" w:header="709" w:footer="709" w:gutter="0"/>
          <w:pgNumType w:start="1"/>
          <w:cols w:space="708"/>
          <w:titlePg/>
          <w:docGrid w:linePitch="360"/>
        </w:sectPr>
      </w:pPr>
    </w:p>
    <w:p w:rsidR="00B9245C" w:rsidRPr="00B9245C" w:rsidRDefault="005F29A3" w:rsidP="00B9245C">
      <w:pPr>
        <w:keepNext/>
        <w:jc w:val="center"/>
        <w:outlineLvl w:val="0"/>
        <w:rPr>
          <w:rFonts w:ascii="Arial" w:eastAsia="SimSun" w:hAnsi="Arial" w:cs="Arial"/>
          <w:b/>
          <w:bCs/>
          <w:caps/>
          <w:kern w:val="32"/>
          <w:sz w:val="22"/>
          <w:szCs w:val="22"/>
        </w:rPr>
      </w:pPr>
      <w:bookmarkStart w:id="6" w:name="_Toc292716986"/>
      <w:bookmarkStart w:id="7" w:name="_Toc292717126"/>
      <w:bookmarkStart w:id="8" w:name="_Toc292717463"/>
      <w:r>
        <w:rPr>
          <w:rFonts w:ascii="Arial" w:hAnsi="Arial"/>
          <w:b/>
          <w:caps/>
          <w:kern w:val="32"/>
          <w:sz w:val="22"/>
        </w:rPr>
        <w:lastRenderedPageBreak/>
        <w:t>ГОДОВОЙ ФИНАНСОВЫЙ ОТЧЕТ</w:t>
      </w:r>
    </w:p>
    <w:p w:rsidR="00B9245C" w:rsidRPr="00B9245C" w:rsidRDefault="00B9245C" w:rsidP="00B9245C">
      <w:pPr>
        <w:keepNext/>
        <w:jc w:val="both"/>
        <w:outlineLvl w:val="0"/>
        <w:rPr>
          <w:rFonts w:ascii="Arial" w:eastAsia="SimSun" w:hAnsi="Arial" w:cs="Arial"/>
          <w:b/>
          <w:bCs/>
          <w:caps/>
          <w:kern w:val="32"/>
          <w:sz w:val="22"/>
          <w:szCs w:val="22"/>
        </w:rPr>
      </w:pPr>
    </w:p>
    <w:p w:rsidR="00B9245C" w:rsidRPr="00B9245C" w:rsidRDefault="005F29A3" w:rsidP="00B9245C">
      <w:pPr>
        <w:keepNext/>
        <w:jc w:val="both"/>
        <w:outlineLvl w:val="0"/>
        <w:rPr>
          <w:rFonts w:ascii="Times New Roman Bold" w:hAnsi="Times New Roman Bold"/>
          <w:b/>
          <w:bCs/>
          <w:kern w:val="40"/>
          <w:sz w:val="22"/>
          <w:szCs w:val="22"/>
        </w:rPr>
      </w:pPr>
      <w:r>
        <w:rPr>
          <w:rFonts w:ascii="Arial" w:hAnsi="Arial"/>
          <w:b/>
          <w:caps/>
          <w:kern w:val="32"/>
          <w:sz w:val="22"/>
        </w:rPr>
        <w:t>ВВЕДЕНИЕ</w:t>
      </w:r>
      <w:bookmarkEnd w:id="6"/>
      <w:bookmarkEnd w:id="7"/>
      <w:bookmarkEnd w:id="8"/>
    </w:p>
    <w:p w:rsidR="00B9245C" w:rsidRPr="00B9245C" w:rsidRDefault="005F29A3" w:rsidP="00B9245C">
      <w:pPr>
        <w:ind w:left="284" w:hanging="284"/>
        <w:jc w:val="both"/>
        <w:outlineLvl w:val="0"/>
        <w:rPr>
          <w:rFonts w:ascii="Arial" w:hAnsi="Arial"/>
          <w:b/>
          <w:bCs/>
          <w:color w:val="FFFFFF"/>
          <w:kern w:val="40"/>
          <w:sz w:val="22"/>
          <w:szCs w:val="22"/>
        </w:rPr>
      </w:pPr>
      <w:bookmarkStart w:id="9" w:name="_Toc301187110"/>
      <w:r>
        <w:rPr>
          <w:rFonts w:ascii="Arial" w:hAnsi="Arial"/>
          <w:b/>
          <w:color w:val="FFFFFF"/>
          <w:kern w:val="40"/>
          <w:sz w:val="16"/>
        </w:rPr>
        <w:t>Введение</w:t>
      </w:r>
      <w:bookmarkEnd w:id="9"/>
    </w:p>
    <w:p w:rsidR="00B9245C" w:rsidRPr="004D2395" w:rsidRDefault="005F29A3" w:rsidP="00F73729">
      <w:pPr>
        <w:numPr>
          <w:ilvl w:val="0"/>
          <w:numId w:val="2"/>
        </w:numPr>
        <w:spacing w:after="220"/>
        <w:jc w:val="both"/>
        <w:rPr>
          <w:rFonts w:ascii="Arial" w:eastAsia="SimSun" w:hAnsi="Arial" w:cs="Arial"/>
          <w:sz w:val="22"/>
          <w:szCs w:val="20"/>
        </w:rPr>
      </w:pPr>
      <w:r>
        <w:rPr>
          <w:rFonts w:ascii="Arial" w:hAnsi="Arial"/>
          <w:sz w:val="22"/>
        </w:rPr>
        <w:t>Финансовые ведомости Всемирной организации интеллектуальной собственности (ВОИС) за год, закончившийся 31 декабря 2014 г., представляются на рассмотрение Ассамблей государств-членов ВОИС в соответствии с положением 6.7 Финансовых положений и правил ВОИС</w:t>
      </w:r>
      <w:r w:rsidR="0005341A">
        <w:rPr>
          <w:rFonts w:ascii="Arial" w:hAnsi="Arial"/>
          <w:sz w:val="22"/>
        </w:rPr>
        <w:t>.  Ф</w:t>
      </w:r>
      <w:r>
        <w:rPr>
          <w:rFonts w:ascii="Arial" w:hAnsi="Arial"/>
          <w:sz w:val="22"/>
        </w:rPr>
        <w:t>инансовые ведомости были подготовлены в соответствии с Международными стандартами учета в государственном секторе (МСУГС)</w:t>
      </w:r>
      <w:r w:rsidR="0005341A">
        <w:rPr>
          <w:rFonts w:ascii="Arial" w:hAnsi="Arial"/>
          <w:sz w:val="22"/>
        </w:rPr>
        <w:t>.  Э</w:t>
      </w:r>
      <w:r>
        <w:rPr>
          <w:rFonts w:ascii="Arial" w:hAnsi="Arial"/>
          <w:sz w:val="22"/>
        </w:rPr>
        <w:t>то пятый пакет финансовых ведомостей, подготовленных в соответствии с МСУГС после введения этих стандартов в ВОИС с 1 января 2010 г.</w:t>
      </w:r>
    </w:p>
    <w:p w:rsidR="00B9245C" w:rsidRPr="00F31F5C" w:rsidRDefault="005F29A3" w:rsidP="00F73729">
      <w:pPr>
        <w:numPr>
          <w:ilvl w:val="0"/>
          <w:numId w:val="2"/>
        </w:numPr>
        <w:spacing w:after="220"/>
        <w:jc w:val="both"/>
        <w:rPr>
          <w:rFonts w:ascii="Arial" w:eastAsia="SimSun" w:hAnsi="Arial" w:cs="Arial"/>
          <w:sz w:val="22"/>
          <w:szCs w:val="22"/>
        </w:rPr>
      </w:pPr>
      <w:r>
        <w:rPr>
          <w:rFonts w:ascii="Arial" w:hAnsi="Arial"/>
          <w:sz w:val="22"/>
        </w:rPr>
        <w:t>Отчет Внешнего аудитора об аудиторской проверке финансовой отчетности за 2014 г. вместе с его заключением по финансовым ведомостям также передается на рассмотрение Ассамблей государств-членов ВОИС, как это предписано согласно положению 8.11 и приложению II Финансовых положений и правил (ФПП).</w:t>
      </w:r>
    </w:p>
    <w:p w:rsidR="00B9245C" w:rsidRPr="004D2395" w:rsidRDefault="005F29A3" w:rsidP="00F73729">
      <w:pPr>
        <w:numPr>
          <w:ilvl w:val="0"/>
          <w:numId w:val="2"/>
        </w:numPr>
        <w:jc w:val="both"/>
        <w:rPr>
          <w:rFonts w:ascii="Arial" w:eastAsia="SimSun" w:hAnsi="Arial" w:cs="Arial"/>
          <w:sz w:val="22"/>
          <w:szCs w:val="22"/>
        </w:rPr>
      </w:pPr>
      <w:r>
        <w:rPr>
          <w:rFonts w:ascii="Arial" w:hAnsi="Arial"/>
          <w:sz w:val="22"/>
        </w:rPr>
        <w:t>В настоящем годовом финансовом отчете представлены упомянутые финансовые ведомости с их обсуждением и анализом.</w:t>
      </w:r>
    </w:p>
    <w:p w:rsidR="00B9245C" w:rsidRPr="00B9245C" w:rsidRDefault="00B9245C" w:rsidP="00B9245C">
      <w:pPr>
        <w:jc w:val="both"/>
        <w:rPr>
          <w:rFonts w:ascii="Arial" w:eastAsia="SimSun" w:hAnsi="Arial" w:cs="Arial"/>
          <w:sz w:val="22"/>
          <w:szCs w:val="22"/>
        </w:rPr>
      </w:pPr>
    </w:p>
    <w:p w:rsidR="00B9245C" w:rsidRPr="00B9245C" w:rsidRDefault="005F29A3" w:rsidP="00B9245C">
      <w:pPr>
        <w:keepNext/>
        <w:jc w:val="both"/>
        <w:outlineLvl w:val="0"/>
        <w:rPr>
          <w:rFonts w:ascii="Times New Roman Bold" w:hAnsi="Times New Roman Bold"/>
          <w:b/>
          <w:bCs/>
          <w:kern w:val="40"/>
          <w:sz w:val="22"/>
          <w:szCs w:val="22"/>
        </w:rPr>
      </w:pPr>
      <w:r>
        <w:rPr>
          <w:rFonts w:ascii="Arial" w:hAnsi="Arial"/>
          <w:b/>
          <w:caps/>
          <w:kern w:val="32"/>
          <w:sz w:val="22"/>
        </w:rPr>
        <w:t>ОБСУЖДЕНИЕ И АНАЛИЗ ФИНАНСОВЫХ ВЕДОМОСТЕЙ</w:t>
      </w:r>
    </w:p>
    <w:p w:rsidR="00B9245C" w:rsidRPr="00B9245C" w:rsidRDefault="005F29A3" w:rsidP="00B9245C">
      <w:pPr>
        <w:ind w:left="284" w:hanging="284"/>
        <w:jc w:val="both"/>
        <w:outlineLvl w:val="0"/>
        <w:rPr>
          <w:rFonts w:ascii="Arial" w:hAnsi="Arial"/>
          <w:b/>
          <w:bCs/>
          <w:color w:val="FFFFFF"/>
          <w:kern w:val="40"/>
          <w:sz w:val="22"/>
          <w:szCs w:val="22"/>
        </w:rPr>
      </w:pPr>
      <w:r>
        <w:rPr>
          <w:rFonts w:ascii="Arial" w:hAnsi="Arial"/>
          <w:b/>
          <w:color w:val="FFFFFF"/>
          <w:kern w:val="40"/>
          <w:sz w:val="22"/>
        </w:rPr>
        <w:t>Введение</w:t>
      </w:r>
    </w:p>
    <w:p w:rsidR="00B9245C" w:rsidRPr="00A24B2E" w:rsidRDefault="005F29A3" w:rsidP="00F73729">
      <w:pPr>
        <w:numPr>
          <w:ilvl w:val="0"/>
          <w:numId w:val="2"/>
        </w:numPr>
        <w:jc w:val="both"/>
        <w:rPr>
          <w:rFonts w:ascii="Arial" w:eastAsia="SimSun" w:hAnsi="Arial" w:cs="Arial"/>
          <w:sz w:val="22"/>
          <w:szCs w:val="22"/>
        </w:rPr>
      </w:pPr>
      <w:r>
        <w:rPr>
          <w:rFonts w:ascii="Arial" w:hAnsi="Arial"/>
          <w:sz w:val="22"/>
        </w:rPr>
        <w:t>В данном разделе годового финансового отчета ВОИС содержится обсуждение и анализ осуществляемой Организацией деятельности и условий, в которых она работает, финансовых целей и стратегий, финансовых результатов и финансового положения за год, закончившийся 31 декабря 2014 г</w:t>
      </w:r>
      <w:r w:rsidR="0005341A">
        <w:rPr>
          <w:rFonts w:ascii="Arial" w:hAnsi="Arial"/>
          <w:sz w:val="22"/>
        </w:rPr>
        <w:t>.  О</w:t>
      </w:r>
      <w:r>
        <w:rPr>
          <w:rFonts w:ascii="Arial" w:hAnsi="Arial"/>
          <w:sz w:val="22"/>
        </w:rPr>
        <w:t>бсуждение и анализ не являются частью финансовых ведомостей ВОИС, однако должны рассматриваться вместе с финансовыми ведомост</w:t>
      </w:r>
      <w:r w:rsidR="00E26959">
        <w:rPr>
          <w:rFonts w:ascii="Arial" w:hAnsi="Arial"/>
          <w:sz w:val="22"/>
        </w:rPr>
        <w:t>ями ВОИС на страницах с 2</w:t>
      </w:r>
      <w:r w:rsidR="00E26959" w:rsidRPr="00E26959">
        <w:rPr>
          <w:rFonts w:ascii="Arial" w:hAnsi="Arial"/>
          <w:sz w:val="22"/>
        </w:rPr>
        <w:t>7</w:t>
      </w:r>
      <w:bookmarkStart w:id="10" w:name="_GoBack"/>
      <w:bookmarkEnd w:id="10"/>
      <w:r w:rsidR="00E26959">
        <w:rPr>
          <w:rFonts w:ascii="Arial" w:hAnsi="Arial"/>
          <w:sz w:val="22"/>
        </w:rPr>
        <w:t xml:space="preserve"> по </w:t>
      </w:r>
      <w:r w:rsidR="00E26959" w:rsidRPr="00E26959">
        <w:rPr>
          <w:rFonts w:ascii="Arial" w:hAnsi="Arial"/>
          <w:sz w:val="22"/>
        </w:rPr>
        <w:t>85</w:t>
      </w:r>
      <w:r>
        <w:rPr>
          <w:rFonts w:ascii="Arial" w:hAnsi="Arial"/>
          <w:sz w:val="22"/>
        </w:rPr>
        <w:t>.</w:t>
      </w:r>
    </w:p>
    <w:p w:rsidR="00185945" w:rsidRDefault="00185945" w:rsidP="00185945">
      <w:pPr>
        <w:jc w:val="both"/>
        <w:rPr>
          <w:rFonts w:ascii="Arial" w:eastAsia="SimSun" w:hAnsi="Arial" w:cs="Arial"/>
          <w:sz w:val="22"/>
          <w:szCs w:val="22"/>
        </w:rPr>
      </w:pPr>
    </w:p>
    <w:p w:rsidR="00185945" w:rsidRPr="00A635A1" w:rsidRDefault="005F29A3" w:rsidP="00185945">
      <w:pPr>
        <w:jc w:val="both"/>
        <w:rPr>
          <w:rFonts w:ascii="Arial" w:eastAsia="SimSun" w:hAnsi="Arial" w:cs="Arial"/>
          <w:b/>
          <w:sz w:val="22"/>
          <w:szCs w:val="22"/>
        </w:rPr>
      </w:pPr>
      <w:r>
        <w:rPr>
          <w:rFonts w:ascii="Arial" w:hAnsi="Arial"/>
          <w:b/>
          <w:sz w:val="22"/>
        </w:rPr>
        <w:t>Обзор деятельности ВОИС и условий работы</w:t>
      </w:r>
    </w:p>
    <w:p w:rsidR="00185945" w:rsidRDefault="00185945" w:rsidP="00185945">
      <w:pPr>
        <w:jc w:val="both"/>
        <w:rPr>
          <w:rFonts w:ascii="Arial" w:eastAsia="SimSun" w:hAnsi="Arial" w:cs="Arial"/>
          <w:sz w:val="22"/>
          <w:szCs w:val="22"/>
        </w:rPr>
      </w:pPr>
    </w:p>
    <w:p w:rsidR="00185945" w:rsidRPr="003050ED" w:rsidRDefault="005F29A3" w:rsidP="00F73729">
      <w:pPr>
        <w:numPr>
          <w:ilvl w:val="0"/>
          <w:numId w:val="2"/>
        </w:numPr>
        <w:jc w:val="both"/>
        <w:rPr>
          <w:rFonts w:ascii="Arial" w:eastAsia="SimSun" w:hAnsi="Arial" w:cs="Arial"/>
          <w:sz w:val="22"/>
          <w:szCs w:val="22"/>
        </w:rPr>
      </w:pPr>
      <w:r>
        <w:rPr>
          <w:rFonts w:ascii="Arial" w:hAnsi="Arial"/>
          <w:sz w:val="22"/>
        </w:rPr>
        <w:t>ВОИС представляет собой глобальный форум для разработки политики и укрепления сотрудничества в области интеллектуальной собственности, а также для предоставления соответствующих услуг и информации</w:t>
      </w:r>
      <w:r w:rsidR="006B1BEC">
        <w:rPr>
          <w:rFonts w:ascii="Arial" w:hAnsi="Arial"/>
          <w:sz w:val="22"/>
        </w:rPr>
        <w:t>.  В</w:t>
      </w:r>
      <w:r>
        <w:rPr>
          <w:rFonts w:ascii="Arial" w:hAnsi="Arial"/>
          <w:sz w:val="22"/>
        </w:rPr>
        <w:t>ОИС является специализированным учреждением Организации Объединенных Наци</w:t>
      </w:r>
      <w:r w:rsidR="00136CD5">
        <w:rPr>
          <w:rFonts w:ascii="Arial" w:hAnsi="Arial"/>
          <w:sz w:val="22"/>
        </w:rPr>
        <w:t>й со 188 государствами-членами.</w:t>
      </w:r>
    </w:p>
    <w:p w:rsidR="003050ED" w:rsidRPr="003050ED" w:rsidRDefault="003050ED" w:rsidP="003050ED">
      <w:pPr>
        <w:jc w:val="both"/>
        <w:rPr>
          <w:rFonts w:ascii="Arial" w:eastAsia="SimSun" w:hAnsi="Arial" w:cs="Arial"/>
          <w:sz w:val="22"/>
          <w:szCs w:val="22"/>
        </w:rPr>
      </w:pPr>
    </w:p>
    <w:p w:rsidR="003050ED" w:rsidRPr="00B76CC4" w:rsidRDefault="005F29A3" w:rsidP="00F73729">
      <w:pPr>
        <w:numPr>
          <w:ilvl w:val="0"/>
          <w:numId w:val="2"/>
        </w:numPr>
        <w:jc w:val="both"/>
        <w:rPr>
          <w:rFonts w:ascii="Arial" w:eastAsia="SimSun" w:hAnsi="Arial" w:cs="Arial"/>
          <w:sz w:val="22"/>
          <w:szCs w:val="22"/>
        </w:rPr>
      </w:pPr>
      <w:r>
        <w:rPr>
          <w:rFonts w:ascii="Arial" w:hAnsi="Arial"/>
          <w:sz w:val="22"/>
        </w:rPr>
        <w:t>Миссия Организации состоит в том, чтобы играть ведущую роль в разработке сбалансированной и эффективной международной системы интеллектуальной собственности, создающей возможности для инновации и творчества на благо экономического, социального и культурного развития всех стран</w:t>
      </w:r>
      <w:r w:rsidR="0005341A">
        <w:rPr>
          <w:rFonts w:ascii="Arial" w:hAnsi="Arial"/>
          <w:sz w:val="22"/>
        </w:rPr>
        <w:t>.  М</w:t>
      </w:r>
      <w:r>
        <w:rPr>
          <w:rFonts w:ascii="Arial" w:hAnsi="Arial"/>
          <w:sz w:val="22"/>
        </w:rPr>
        <w:t>андат ВОИС, структура ее руководящих органов и процедуры определены в Конвенции ВОИС, в соответствии с которой Организация была учреждена в 1967 г.</w:t>
      </w:r>
    </w:p>
    <w:p w:rsidR="00B76CC4" w:rsidRDefault="00B76CC4" w:rsidP="00B76CC4">
      <w:pPr>
        <w:pStyle w:val="ListParagraph"/>
        <w:rPr>
          <w:rFonts w:ascii="Arial" w:eastAsia="SimSun" w:hAnsi="Arial" w:cs="Arial"/>
          <w:sz w:val="22"/>
          <w:szCs w:val="22"/>
        </w:rPr>
      </w:pPr>
    </w:p>
    <w:p w:rsidR="00275AA0" w:rsidRPr="00275AA0" w:rsidRDefault="005F29A3" w:rsidP="00982FE4">
      <w:pPr>
        <w:numPr>
          <w:ilvl w:val="0"/>
          <w:numId w:val="2"/>
        </w:numPr>
        <w:jc w:val="both"/>
        <w:rPr>
          <w:rFonts w:ascii="Arial" w:eastAsia="SimSun" w:hAnsi="Arial" w:cs="Arial"/>
          <w:sz w:val="22"/>
          <w:szCs w:val="22"/>
        </w:rPr>
      </w:pPr>
      <w:r>
        <w:rPr>
          <w:rFonts w:ascii="Arial" w:hAnsi="Arial"/>
          <w:sz w:val="22"/>
        </w:rPr>
        <w:t>Направление развития, бюджет и деятельность Организации определяют государства-члены, действующие через руководящие органы</w:t>
      </w:r>
      <w:r w:rsidR="0005341A">
        <w:rPr>
          <w:rFonts w:ascii="Arial" w:hAnsi="Arial"/>
          <w:sz w:val="22"/>
        </w:rPr>
        <w:t>.  О</w:t>
      </w:r>
      <w:r>
        <w:rPr>
          <w:rFonts w:ascii="Arial" w:hAnsi="Arial"/>
          <w:sz w:val="22"/>
        </w:rPr>
        <w:t>сновными руководящими органами ВОИС являются Генеральная Ассамблея и Координационный комитет</w:t>
      </w:r>
      <w:r w:rsidR="006B1BEC">
        <w:rPr>
          <w:rFonts w:ascii="Arial" w:hAnsi="Arial"/>
          <w:sz w:val="22"/>
        </w:rPr>
        <w:t>.  В</w:t>
      </w:r>
      <w:r>
        <w:rPr>
          <w:rFonts w:ascii="Arial" w:hAnsi="Arial"/>
          <w:sz w:val="22"/>
        </w:rPr>
        <w:t xml:space="preserve"> Генеральной Ассамблее представлены государства – участники Конвенции ВОИС, являющиеся членами любого из Союзов, административные функции которых выполняет ВОИС</w:t>
      </w:r>
      <w:r w:rsidR="006B1BEC">
        <w:rPr>
          <w:rFonts w:ascii="Arial" w:hAnsi="Arial"/>
          <w:sz w:val="22"/>
        </w:rPr>
        <w:t>.  В</w:t>
      </w:r>
      <w:r>
        <w:rPr>
          <w:rFonts w:ascii="Arial" w:hAnsi="Arial"/>
          <w:sz w:val="22"/>
        </w:rPr>
        <w:t xml:space="preserve"> Координационный комитет входят избранные члены исполнительных комитетов Парижского или Бернского союзов, четверть государств – участников Конвенции ВОИС, не входящих ни в один из союзов, и Швейцария как государство, на территории которой расположена штаб-квартира Организации.</w:t>
      </w:r>
    </w:p>
    <w:p w:rsidR="00275AA0" w:rsidRDefault="00275AA0" w:rsidP="00275AA0">
      <w:pPr>
        <w:pStyle w:val="ListParagraph"/>
        <w:rPr>
          <w:rFonts w:ascii="Arial" w:hAnsi="Arial" w:cs="Arial"/>
          <w:sz w:val="22"/>
          <w:szCs w:val="22"/>
        </w:rPr>
      </w:pPr>
    </w:p>
    <w:p w:rsidR="005A2041" w:rsidRPr="00CA103E" w:rsidRDefault="005F29A3" w:rsidP="00982FE4">
      <w:pPr>
        <w:numPr>
          <w:ilvl w:val="0"/>
          <w:numId w:val="2"/>
        </w:numPr>
        <w:jc w:val="both"/>
        <w:rPr>
          <w:rFonts w:ascii="Arial" w:eastAsia="SimSun" w:hAnsi="Arial" w:cs="Arial"/>
          <w:sz w:val="22"/>
          <w:szCs w:val="22"/>
        </w:rPr>
      </w:pPr>
      <w:r>
        <w:rPr>
          <w:rFonts w:ascii="Arial" w:hAnsi="Arial"/>
          <w:sz w:val="22"/>
        </w:rPr>
        <w:t>Генеральная Ассамблея назначает Генерального директора ВОИС по представлению Координационного комитета</w:t>
      </w:r>
      <w:r w:rsidR="0005341A">
        <w:rPr>
          <w:rFonts w:ascii="Arial" w:hAnsi="Arial"/>
          <w:sz w:val="22"/>
        </w:rPr>
        <w:t>.  Г</w:t>
      </w:r>
      <w:r>
        <w:rPr>
          <w:rFonts w:ascii="Arial" w:hAnsi="Arial"/>
          <w:sz w:val="22"/>
        </w:rPr>
        <w:t xml:space="preserve">енеральный директор является высшим </w:t>
      </w:r>
      <w:r>
        <w:rPr>
          <w:rFonts w:ascii="Arial" w:hAnsi="Arial"/>
          <w:sz w:val="22"/>
        </w:rPr>
        <w:lastRenderedPageBreak/>
        <w:t>должностным лицом Организации</w:t>
      </w:r>
      <w:r w:rsidR="0005341A">
        <w:rPr>
          <w:rFonts w:ascii="Arial" w:hAnsi="Arial"/>
          <w:sz w:val="22"/>
        </w:rPr>
        <w:t>.  Г</w:t>
      </w:r>
      <w:r>
        <w:rPr>
          <w:rFonts w:ascii="Arial" w:hAnsi="Arial"/>
          <w:sz w:val="22"/>
        </w:rPr>
        <w:t>енеральному директору помогают такие высшие должностные лица, как четыре заместителя Генерального директора, четыре помощника Генерального директора, Юрисконсульт и директор Департамента управления людскими ресурсами</w:t>
      </w:r>
      <w:r w:rsidR="0005341A">
        <w:rPr>
          <w:rFonts w:ascii="Arial" w:hAnsi="Arial"/>
          <w:sz w:val="22"/>
        </w:rPr>
        <w:t>.  О</w:t>
      </w:r>
      <w:r>
        <w:rPr>
          <w:rFonts w:ascii="Arial" w:hAnsi="Arial"/>
          <w:sz w:val="22"/>
        </w:rPr>
        <w:t>ни задают стратегическое направление программам ВОИС и руководят соответствующими секторами и программами, обеспечивая достижение результатов в соответствии с Программой и бюджетом.</w:t>
      </w:r>
    </w:p>
    <w:p w:rsidR="003050ED" w:rsidRDefault="003050ED" w:rsidP="003050ED">
      <w:pPr>
        <w:pStyle w:val="ListParagraph"/>
        <w:rPr>
          <w:rFonts w:ascii="Arial" w:eastAsia="SimSun" w:hAnsi="Arial" w:cs="Arial"/>
          <w:sz w:val="22"/>
          <w:szCs w:val="22"/>
        </w:rPr>
      </w:pPr>
    </w:p>
    <w:p w:rsidR="00EE77A1" w:rsidRPr="00EE77A1" w:rsidRDefault="005F29A3" w:rsidP="00EE77A1">
      <w:pPr>
        <w:numPr>
          <w:ilvl w:val="0"/>
          <w:numId w:val="2"/>
        </w:numPr>
        <w:jc w:val="both"/>
        <w:rPr>
          <w:rFonts w:ascii="Arial" w:eastAsia="SimSun" w:hAnsi="Arial" w:cs="Arial"/>
          <w:sz w:val="22"/>
          <w:szCs w:val="22"/>
        </w:rPr>
      </w:pPr>
      <w:r>
        <w:rPr>
          <w:rFonts w:ascii="Arial" w:hAnsi="Arial"/>
          <w:sz w:val="22"/>
        </w:rPr>
        <w:t>Основная часть доходов ВОИС формируется за счет платных услуг, предоставляемых пользователям систем международной регистрации, таких как Договор о патентной кооперации (РСТ), Мадридская и Гаагская системы</w:t>
      </w:r>
      <w:r w:rsidR="006B1BEC">
        <w:rPr>
          <w:rFonts w:ascii="Arial" w:hAnsi="Arial"/>
          <w:sz w:val="22"/>
        </w:rPr>
        <w:t>.  В</w:t>
      </w:r>
      <w:r>
        <w:rPr>
          <w:rFonts w:ascii="Arial" w:hAnsi="Arial"/>
          <w:sz w:val="22"/>
        </w:rPr>
        <w:t xml:space="preserve"> 2014 г. выручка от платных услуг составила 91,0% от общей прибыли Организации, при этом на долю пошлин в системе РСТ пришлось 75,2%.</w:t>
      </w:r>
    </w:p>
    <w:p w:rsidR="00EE77A1" w:rsidRDefault="00EE77A1" w:rsidP="00EE77A1">
      <w:pPr>
        <w:pStyle w:val="ListParagraph"/>
        <w:rPr>
          <w:rFonts w:ascii="Arial" w:eastAsia="SimSun" w:hAnsi="Arial" w:cs="Arial"/>
          <w:sz w:val="22"/>
          <w:szCs w:val="22"/>
        </w:rPr>
      </w:pPr>
    </w:p>
    <w:p w:rsidR="00982FE4" w:rsidRPr="00321708" w:rsidRDefault="005F29A3" w:rsidP="00321708">
      <w:pPr>
        <w:numPr>
          <w:ilvl w:val="0"/>
          <w:numId w:val="2"/>
        </w:numPr>
        <w:jc w:val="both"/>
        <w:rPr>
          <w:rFonts w:ascii="Arial" w:eastAsia="SimSun" w:hAnsi="Arial" w:cs="Arial"/>
          <w:sz w:val="22"/>
          <w:szCs w:val="22"/>
        </w:rPr>
      </w:pPr>
      <w:r>
        <w:rPr>
          <w:rFonts w:ascii="Arial" w:hAnsi="Arial"/>
          <w:sz w:val="22"/>
        </w:rPr>
        <w:t>Прибыль от платных услуг зависит от мирового спроса на охранные документы в области интеллектуальной собственности</w:t>
      </w:r>
      <w:r w:rsidR="0005341A">
        <w:rPr>
          <w:rFonts w:ascii="Arial" w:hAnsi="Arial"/>
          <w:sz w:val="22"/>
        </w:rPr>
        <w:t>.  С</w:t>
      </w:r>
      <w:r>
        <w:rPr>
          <w:rFonts w:ascii="Arial" w:hAnsi="Arial"/>
          <w:sz w:val="22"/>
        </w:rPr>
        <w:t>прос в свою очередь зависит от состояния мировой экономики</w:t>
      </w:r>
      <w:r w:rsidR="0005341A">
        <w:rPr>
          <w:rFonts w:ascii="Arial" w:hAnsi="Arial"/>
          <w:sz w:val="22"/>
        </w:rPr>
        <w:t>.  П</w:t>
      </w:r>
      <w:r>
        <w:rPr>
          <w:rFonts w:ascii="Arial" w:hAnsi="Arial"/>
          <w:sz w:val="22"/>
        </w:rPr>
        <w:t>ри этом с 2010 г. число заявок на регистрацию объектов интеллектуальной собственности продолжает расти, несмотря на нестабильное восстановление экономики после глобального финансового кризиса 2008 г</w:t>
      </w:r>
      <w:r w:rsidR="0005341A">
        <w:rPr>
          <w:rFonts w:ascii="Arial" w:hAnsi="Arial"/>
          <w:sz w:val="22"/>
        </w:rPr>
        <w:t>.  Н</w:t>
      </w:r>
      <w:r>
        <w:rPr>
          <w:rFonts w:ascii="Arial" w:hAnsi="Arial"/>
          <w:sz w:val="22"/>
        </w:rPr>
        <w:t>а прибыль Организации от этих услуг также влияют такие внешние факторы, как объем инвестиций в научные исследования и разработки, уровень доверия к технологиям и колебания валютных курсов</w:t>
      </w:r>
      <w:r w:rsidR="0005341A">
        <w:rPr>
          <w:rFonts w:ascii="Arial" w:hAnsi="Arial"/>
          <w:sz w:val="22"/>
        </w:rPr>
        <w:t>.  Н</w:t>
      </w:r>
      <w:r>
        <w:rPr>
          <w:rFonts w:ascii="Arial" w:hAnsi="Arial"/>
          <w:sz w:val="22"/>
        </w:rPr>
        <w:t>а систему РСТ также оказывают существенное влияние такие факторы, как размер пошлин в системе РСТ по сравнению с другими возможностями подачи заявок, привлекательность и полезность услуг РСТ по сравнению с другими возможностями подачи заявок, а также патентные стратегии конкретных компаний</w:t>
      </w:r>
      <w:r w:rsidR="00136CD5">
        <w:rPr>
          <w:rFonts w:ascii="Arial" w:hAnsi="Arial"/>
          <w:sz w:val="22"/>
        </w:rPr>
        <w:t>.</w:t>
      </w:r>
    </w:p>
    <w:p w:rsidR="009F5BE9" w:rsidRDefault="009F5BE9" w:rsidP="009F5BE9">
      <w:pPr>
        <w:jc w:val="both"/>
        <w:rPr>
          <w:rFonts w:ascii="Arial" w:eastAsia="SimSun" w:hAnsi="Arial" w:cs="Arial"/>
          <w:sz w:val="22"/>
          <w:szCs w:val="22"/>
        </w:rPr>
      </w:pPr>
    </w:p>
    <w:p w:rsidR="009F5BE9" w:rsidRPr="00A635A1" w:rsidRDefault="005F29A3" w:rsidP="009F5BE9">
      <w:pPr>
        <w:jc w:val="both"/>
        <w:rPr>
          <w:rFonts w:ascii="Arial" w:eastAsia="SimSun" w:hAnsi="Arial" w:cs="Arial"/>
          <w:b/>
          <w:sz w:val="22"/>
          <w:szCs w:val="22"/>
        </w:rPr>
      </w:pPr>
      <w:r>
        <w:rPr>
          <w:rFonts w:ascii="Arial" w:hAnsi="Arial"/>
          <w:b/>
          <w:sz w:val="22"/>
        </w:rPr>
        <w:t>Обзор финансовых целей и стратегий ВОИС</w:t>
      </w:r>
    </w:p>
    <w:p w:rsidR="009F5BE9" w:rsidRDefault="009F5BE9" w:rsidP="009F5BE9">
      <w:pPr>
        <w:jc w:val="both"/>
        <w:rPr>
          <w:rFonts w:ascii="Arial" w:eastAsia="SimSun" w:hAnsi="Arial" w:cs="Arial"/>
          <w:sz w:val="22"/>
          <w:szCs w:val="22"/>
        </w:rPr>
      </w:pPr>
    </w:p>
    <w:p w:rsidR="00321708" w:rsidRPr="00321708" w:rsidRDefault="005F29A3" w:rsidP="00321708">
      <w:pPr>
        <w:numPr>
          <w:ilvl w:val="0"/>
          <w:numId w:val="2"/>
        </w:numPr>
        <w:jc w:val="both"/>
        <w:rPr>
          <w:rFonts w:ascii="Arial" w:eastAsia="SimSun" w:hAnsi="Arial" w:cs="Arial"/>
          <w:sz w:val="22"/>
          <w:szCs w:val="22"/>
        </w:rPr>
      </w:pPr>
      <w:r>
        <w:rPr>
          <w:rFonts w:ascii="Arial" w:hAnsi="Arial"/>
          <w:sz w:val="22"/>
        </w:rPr>
        <w:t>Финансовая деятельность ВОИС регулируется Финансовыми положениями, которые утверждаются Генеральной Ассамблеей</w:t>
      </w:r>
      <w:r w:rsidR="0005341A">
        <w:rPr>
          <w:rFonts w:ascii="Arial" w:hAnsi="Arial"/>
          <w:sz w:val="22"/>
        </w:rPr>
        <w:t>.  Ф</w:t>
      </w:r>
      <w:r>
        <w:rPr>
          <w:rFonts w:ascii="Arial" w:hAnsi="Arial"/>
          <w:sz w:val="22"/>
        </w:rPr>
        <w:t>инансовые правила устанавливаются Генеральным директором в соответствии с Финансовыми положениями</w:t>
      </w:r>
      <w:r w:rsidR="0005341A">
        <w:rPr>
          <w:rFonts w:ascii="Arial" w:hAnsi="Arial"/>
          <w:sz w:val="22"/>
        </w:rPr>
        <w:t>.  К</w:t>
      </w:r>
      <w:r>
        <w:rPr>
          <w:rFonts w:ascii="Arial" w:hAnsi="Arial"/>
          <w:sz w:val="22"/>
        </w:rPr>
        <w:t>омитет ВОИС по программе и бюджету ставится в известность о любом изменении Финансовых правил</w:t>
      </w:r>
      <w:r w:rsidR="0005341A">
        <w:rPr>
          <w:rFonts w:ascii="Arial" w:hAnsi="Arial"/>
          <w:sz w:val="22"/>
        </w:rPr>
        <w:t>.  Ф</w:t>
      </w:r>
      <w:r>
        <w:rPr>
          <w:rFonts w:ascii="Arial" w:hAnsi="Arial"/>
          <w:sz w:val="22"/>
        </w:rPr>
        <w:t>инансовые правила регулируют всю финансовую деятельность Организации</w:t>
      </w:r>
      <w:r w:rsidR="0005341A">
        <w:rPr>
          <w:rFonts w:ascii="Arial" w:hAnsi="Arial"/>
          <w:sz w:val="22"/>
        </w:rPr>
        <w:t>.  П</w:t>
      </w:r>
      <w:r>
        <w:rPr>
          <w:rFonts w:ascii="Arial" w:hAnsi="Arial"/>
          <w:sz w:val="22"/>
        </w:rPr>
        <w:t>олномочия и ответственность за исполнение Финансовых положений и правил Генеральный директор делегирует Контролеру.</w:t>
      </w:r>
    </w:p>
    <w:p w:rsidR="00321708" w:rsidRDefault="005F29A3" w:rsidP="00321708">
      <w:pPr>
        <w:jc w:val="both"/>
        <w:rPr>
          <w:rFonts w:ascii="Arial" w:eastAsia="SimSun" w:hAnsi="Arial" w:cs="Arial"/>
          <w:sz w:val="22"/>
          <w:szCs w:val="22"/>
        </w:rPr>
      </w:pPr>
      <w:r>
        <w:rPr>
          <w:rFonts w:ascii="Arial" w:hAnsi="Arial"/>
          <w:sz w:val="22"/>
        </w:rPr>
        <w:t xml:space="preserve"> </w:t>
      </w:r>
    </w:p>
    <w:p w:rsidR="00135356" w:rsidRDefault="005F29A3" w:rsidP="00135356">
      <w:pPr>
        <w:numPr>
          <w:ilvl w:val="0"/>
          <w:numId w:val="2"/>
        </w:numPr>
        <w:jc w:val="both"/>
        <w:rPr>
          <w:rFonts w:ascii="Arial" w:eastAsia="SimSun" w:hAnsi="Arial" w:cs="Arial"/>
          <w:sz w:val="22"/>
          <w:szCs w:val="22"/>
        </w:rPr>
      </w:pPr>
      <w:r>
        <w:rPr>
          <w:rFonts w:ascii="Arial" w:hAnsi="Arial"/>
          <w:sz w:val="22"/>
        </w:rPr>
        <w:t>Каждые два года Генеральный директор представляет государствам-членам Программу и бюджет для одобрения</w:t>
      </w:r>
      <w:r w:rsidR="006B1BEC">
        <w:rPr>
          <w:rFonts w:ascii="Arial" w:hAnsi="Arial"/>
          <w:sz w:val="22"/>
        </w:rPr>
        <w:t>.  В</w:t>
      </w:r>
      <w:r>
        <w:rPr>
          <w:rFonts w:ascii="Arial" w:hAnsi="Arial"/>
          <w:sz w:val="22"/>
        </w:rPr>
        <w:t xml:space="preserve"> этом документе содержится информация о целях, показателях результативности работы и бюджетном планировании применительно ко всем предлагаемым направлениям деятельности</w:t>
      </w:r>
      <w:r w:rsidR="0005341A">
        <w:rPr>
          <w:rFonts w:ascii="Arial" w:hAnsi="Arial"/>
          <w:sz w:val="22"/>
        </w:rPr>
        <w:t>.  П</w:t>
      </w:r>
      <w:r>
        <w:t>рограмма и бюджет на двухлетний период 2014–2015 гг. были одобрены Ассамблеями государств-членов ВОИС 12 декабря 2013 г</w:t>
      </w:r>
      <w:r w:rsidR="0005341A">
        <w:t>.  П</w:t>
      </w:r>
      <w:r>
        <w:rPr>
          <w:rFonts w:ascii="Arial" w:hAnsi="Arial"/>
          <w:sz w:val="22"/>
        </w:rPr>
        <w:t>рограмма и бюджет содержат планы на двухлетний период в рамках общего стратегического контекста Средне</w:t>
      </w:r>
      <w:r w:rsidR="00136CD5">
        <w:rPr>
          <w:rFonts w:ascii="Arial" w:hAnsi="Arial"/>
          <w:sz w:val="22"/>
        </w:rPr>
        <w:t>срочного стратегического плана.</w:t>
      </w:r>
    </w:p>
    <w:p w:rsidR="000E5973" w:rsidRPr="00A053E6" w:rsidRDefault="000E5973" w:rsidP="00C4234D">
      <w:pPr>
        <w:pStyle w:val="ListParagraph"/>
        <w:ind w:left="0"/>
        <w:rPr>
          <w:rFonts w:ascii="Arial" w:hAnsi="Arial" w:cs="Arial"/>
          <w:sz w:val="22"/>
          <w:szCs w:val="22"/>
        </w:rPr>
      </w:pPr>
    </w:p>
    <w:p w:rsidR="00911E8D" w:rsidRPr="00911E8D" w:rsidRDefault="005F29A3" w:rsidP="008452EC">
      <w:pPr>
        <w:numPr>
          <w:ilvl w:val="0"/>
          <w:numId w:val="2"/>
        </w:numPr>
        <w:jc w:val="both"/>
        <w:rPr>
          <w:rFonts w:ascii="Arial" w:eastAsia="SimSun" w:hAnsi="Arial" w:cs="Arial"/>
          <w:sz w:val="22"/>
          <w:szCs w:val="22"/>
        </w:rPr>
      </w:pPr>
      <w:r>
        <w:rPr>
          <w:rFonts w:ascii="Arial" w:hAnsi="Arial"/>
          <w:sz w:val="22"/>
        </w:rPr>
        <w:t>В Организации используется система управления, ориентированного на конкретные результаты, призванная обеспечить бюджетирование и освоение ресурсов в соответствии с целями и приоритетами Организации</w:t>
      </w:r>
      <w:r w:rsidR="0005341A">
        <w:rPr>
          <w:rFonts w:ascii="Arial" w:hAnsi="Arial"/>
          <w:sz w:val="22"/>
        </w:rPr>
        <w:t>.  Э</w:t>
      </w:r>
      <w:r>
        <w:rPr>
          <w:rFonts w:ascii="Arial" w:hAnsi="Arial"/>
          <w:sz w:val="22"/>
        </w:rPr>
        <w:t>ффективность работы Организации регулярно измеряется и анализируется с использованием показателей, целей и ориентиров</w:t>
      </w:r>
      <w:r w:rsidR="0005341A">
        <w:rPr>
          <w:rFonts w:ascii="Arial" w:hAnsi="Arial"/>
          <w:sz w:val="22"/>
        </w:rPr>
        <w:t>.  П</w:t>
      </w:r>
      <w:r>
        <w:rPr>
          <w:rFonts w:ascii="Arial" w:hAnsi="Arial"/>
          <w:sz w:val="22"/>
        </w:rPr>
        <w:t>рограмма и бюджет и Среднесрочный стратегический план наряду с годовыми планами работы и индивидуальными профориентирами сотрудников входят в систему планирования ВОИС.</w:t>
      </w:r>
    </w:p>
    <w:p w:rsidR="00911E8D" w:rsidRDefault="00911E8D" w:rsidP="00911E8D">
      <w:pPr>
        <w:pStyle w:val="ListParagraph"/>
        <w:rPr>
          <w:rFonts w:ascii="Arial" w:eastAsia="SimSun" w:hAnsi="Arial" w:cs="Arial"/>
          <w:sz w:val="22"/>
          <w:szCs w:val="22"/>
        </w:rPr>
      </w:pPr>
    </w:p>
    <w:p w:rsidR="00911E8D" w:rsidRPr="00911E8D" w:rsidRDefault="005F29A3" w:rsidP="00911E8D">
      <w:pPr>
        <w:numPr>
          <w:ilvl w:val="0"/>
          <w:numId w:val="2"/>
        </w:numPr>
        <w:jc w:val="both"/>
        <w:rPr>
          <w:rFonts w:ascii="Arial" w:eastAsia="SimSun" w:hAnsi="Arial" w:cs="Arial"/>
          <w:sz w:val="22"/>
          <w:szCs w:val="22"/>
        </w:rPr>
      </w:pPr>
      <w:r>
        <w:rPr>
          <w:rFonts w:ascii="Arial" w:hAnsi="Arial"/>
          <w:sz w:val="22"/>
        </w:rPr>
        <w:t>Организация контролирует уровень резервов, руководствуясь политикой в отношении резервов</w:t>
      </w:r>
      <w:r w:rsidR="0005341A">
        <w:rPr>
          <w:rFonts w:ascii="Arial" w:hAnsi="Arial"/>
          <w:sz w:val="22"/>
        </w:rPr>
        <w:t>.  К</w:t>
      </w:r>
      <w:r>
        <w:rPr>
          <w:rFonts w:ascii="Arial" w:hAnsi="Arial"/>
          <w:sz w:val="22"/>
        </w:rPr>
        <w:t>лючевым элементом этой политики является механизм определения требуемого уровня резервов в процентах от прогнозируемого объема расходов Союзов, административные функции которых выполняет ВОИС, за двухлетний период</w:t>
      </w:r>
      <w:r w:rsidR="0005341A">
        <w:rPr>
          <w:rFonts w:ascii="Arial" w:hAnsi="Arial"/>
          <w:sz w:val="22"/>
        </w:rPr>
        <w:t>.  П</w:t>
      </w:r>
      <w:r>
        <w:rPr>
          <w:rFonts w:ascii="Arial" w:hAnsi="Arial"/>
          <w:sz w:val="22"/>
        </w:rPr>
        <w:t xml:space="preserve">олитика также устанавливает принципы и механизм санкционирования </w:t>
      </w:r>
      <w:r>
        <w:rPr>
          <w:rFonts w:ascii="Arial" w:hAnsi="Arial"/>
          <w:sz w:val="22"/>
        </w:rPr>
        <w:lastRenderedPageBreak/>
        <w:t>использования резервов для приобретения основного капитала и реализации стратегических инициатив.</w:t>
      </w:r>
    </w:p>
    <w:p w:rsidR="00911E8D" w:rsidRDefault="00911E8D" w:rsidP="00911E8D">
      <w:pPr>
        <w:pStyle w:val="ListParagraph"/>
        <w:rPr>
          <w:rFonts w:ascii="Arial" w:hAnsi="Arial" w:cs="Arial"/>
          <w:color w:val="000000"/>
          <w:sz w:val="22"/>
          <w:szCs w:val="22"/>
        </w:rPr>
      </w:pPr>
    </w:p>
    <w:p w:rsidR="000E5973" w:rsidRPr="006B2E65" w:rsidRDefault="005F29A3" w:rsidP="006B2E65">
      <w:pPr>
        <w:numPr>
          <w:ilvl w:val="0"/>
          <w:numId w:val="2"/>
        </w:numPr>
        <w:jc w:val="both"/>
        <w:rPr>
          <w:rFonts w:ascii="Arial" w:eastAsia="SimSun" w:hAnsi="Arial" w:cs="Arial"/>
          <w:sz w:val="22"/>
          <w:szCs w:val="22"/>
        </w:rPr>
      </w:pPr>
      <w:r>
        <w:rPr>
          <w:rFonts w:ascii="Arial" w:hAnsi="Arial"/>
          <w:color w:val="000000"/>
          <w:sz w:val="22"/>
        </w:rPr>
        <w:t>Организация управляет инвестициями, руководствуясь политикой в отношении инвестиций</w:t>
      </w:r>
      <w:r w:rsidR="006B1BEC">
        <w:rPr>
          <w:rFonts w:ascii="Arial" w:hAnsi="Arial"/>
          <w:color w:val="000000"/>
          <w:sz w:val="22"/>
        </w:rPr>
        <w:t>.  В</w:t>
      </w:r>
      <w:r>
        <w:rPr>
          <w:rFonts w:ascii="Arial" w:hAnsi="Arial"/>
          <w:color w:val="000000"/>
          <w:sz w:val="22"/>
        </w:rPr>
        <w:t xml:space="preserve"> этой политике указано, что первостепенными целями инвестиционной деятельности Организации являются (в порядке убывания важности) следующие: (i) сохранение капитала; (ii) обеспечение ликвидности и (iii) получение дохода с собл</w:t>
      </w:r>
      <w:r w:rsidR="00136CD5">
        <w:rPr>
          <w:rFonts w:ascii="Arial" w:hAnsi="Arial"/>
          <w:color w:val="000000"/>
          <w:sz w:val="22"/>
        </w:rPr>
        <w:t>юдением ограничений (i) и (ii).</w:t>
      </w:r>
    </w:p>
    <w:p w:rsidR="00B9245C" w:rsidRPr="00B9245C" w:rsidRDefault="00B9245C" w:rsidP="00B9245C">
      <w:pPr>
        <w:jc w:val="both"/>
        <w:rPr>
          <w:rFonts w:ascii="Arial" w:eastAsia="SimSun" w:hAnsi="Arial" w:cs="Arial"/>
          <w:sz w:val="22"/>
          <w:szCs w:val="22"/>
        </w:rPr>
      </w:pPr>
    </w:p>
    <w:p w:rsidR="00B9245C" w:rsidRPr="00B9245C" w:rsidRDefault="005F29A3" w:rsidP="00B9245C">
      <w:pPr>
        <w:spacing w:after="220"/>
        <w:jc w:val="both"/>
        <w:rPr>
          <w:rFonts w:ascii="Arial" w:eastAsia="SimSun" w:hAnsi="Arial" w:cs="Arial"/>
          <w:b/>
          <w:sz w:val="22"/>
          <w:szCs w:val="22"/>
        </w:rPr>
      </w:pPr>
      <w:r>
        <w:rPr>
          <w:rFonts w:ascii="Arial" w:hAnsi="Arial"/>
          <w:b/>
          <w:sz w:val="22"/>
        </w:rPr>
        <w:t>Обзор финансовых ведомостей</w:t>
      </w:r>
    </w:p>
    <w:p w:rsidR="00B9245C" w:rsidRPr="00B9245C" w:rsidRDefault="005F29A3" w:rsidP="00F73729">
      <w:pPr>
        <w:numPr>
          <w:ilvl w:val="0"/>
          <w:numId w:val="2"/>
        </w:numPr>
        <w:spacing w:after="220"/>
        <w:jc w:val="both"/>
        <w:rPr>
          <w:rFonts w:ascii="Arial" w:eastAsia="SimSun" w:hAnsi="Arial" w:cs="Arial"/>
          <w:sz w:val="22"/>
          <w:szCs w:val="22"/>
        </w:rPr>
      </w:pPr>
      <w:r>
        <w:rPr>
          <w:rFonts w:ascii="Arial" w:hAnsi="Arial"/>
          <w:sz w:val="22"/>
        </w:rPr>
        <w:t>Финансовые ведомости, подготовленные в соответствии с МСУГС, включают:</w:t>
      </w:r>
    </w:p>
    <w:p w:rsidR="00B9245C" w:rsidRPr="00B9245C" w:rsidRDefault="005F29A3" w:rsidP="00EC2015">
      <w:pPr>
        <w:numPr>
          <w:ilvl w:val="0"/>
          <w:numId w:val="6"/>
        </w:numPr>
        <w:tabs>
          <w:tab w:val="clear" w:pos="1021"/>
          <w:tab w:val="num" w:pos="720"/>
        </w:tabs>
        <w:spacing w:after="220"/>
        <w:ind w:left="720" w:hanging="360"/>
        <w:jc w:val="both"/>
        <w:rPr>
          <w:rFonts w:ascii="Arial" w:eastAsia="SimSun" w:hAnsi="Arial" w:cs="Arial"/>
          <w:sz w:val="22"/>
          <w:szCs w:val="22"/>
        </w:rPr>
      </w:pPr>
      <w:r w:rsidRPr="00C950F5">
        <w:rPr>
          <w:rFonts w:ascii="Arial" w:hAnsi="Arial" w:cs="Arial"/>
          <w:sz w:val="22"/>
          <w:szCs w:val="22"/>
          <w:u w:val="single"/>
        </w:rPr>
        <w:t>Отчет о финансовом положении</w:t>
      </w:r>
      <w:r w:rsidRPr="00C950F5">
        <w:rPr>
          <w:rFonts w:ascii="Arial" w:hAnsi="Arial" w:cs="Arial"/>
          <w:sz w:val="22"/>
          <w:szCs w:val="22"/>
        </w:rPr>
        <w:t xml:space="preserve"> – в нем приводятся подробные данные о чистых активах (совокупные активы за вычетом совокупных пассивов) Организации</w:t>
      </w:r>
      <w:r w:rsidR="0005341A">
        <w:rPr>
          <w:rFonts w:ascii="Arial" w:hAnsi="Arial" w:cs="Arial"/>
          <w:sz w:val="22"/>
          <w:szCs w:val="22"/>
        </w:rPr>
        <w:t>.  Э</w:t>
      </w:r>
      <w:r>
        <w:rPr>
          <w:rFonts w:ascii="Arial" w:hAnsi="Arial"/>
          <w:sz w:val="22"/>
        </w:rPr>
        <w:t>та ведомость содержит информацию о прочности финансового положения Организации и ресурсах, имеющихся для решения ее задач в будущем;</w:t>
      </w:r>
    </w:p>
    <w:p w:rsidR="00B9245C" w:rsidRPr="00B9245C" w:rsidRDefault="005F29A3" w:rsidP="00EC2015">
      <w:pPr>
        <w:numPr>
          <w:ilvl w:val="0"/>
          <w:numId w:val="6"/>
        </w:numPr>
        <w:tabs>
          <w:tab w:val="clear" w:pos="1021"/>
          <w:tab w:val="num" w:pos="720"/>
        </w:tabs>
        <w:spacing w:after="220"/>
        <w:ind w:left="720" w:hanging="360"/>
        <w:jc w:val="both"/>
        <w:rPr>
          <w:rFonts w:ascii="Arial" w:eastAsia="SimSun" w:hAnsi="Arial" w:cs="Arial"/>
          <w:sz w:val="22"/>
          <w:szCs w:val="22"/>
        </w:rPr>
      </w:pPr>
      <w:r w:rsidRPr="00C950F5">
        <w:rPr>
          <w:rFonts w:ascii="Arial" w:hAnsi="Arial" w:cs="Arial"/>
          <w:sz w:val="22"/>
          <w:szCs w:val="22"/>
          <w:u w:val="single"/>
        </w:rPr>
        <w:t>Отчет о финансовых результатах</w:t>
      </w:r>
      <w:r w:rsidRPr="00C950F5">
        <w:rPr>
          <w:rFonts w:ascii="Arial" w:hAnsi="Arial" w:cs="Arial"/>
          <w:sz w:val="22"/>
          <w:szCs w:val="22"/>
        </w:rPr>
        <w:t xml:space="preserve"> – в нем показан чистый профицит или дефицит (совокупные доходы за вычетом совокупных расходов) за год</w:t>
      </w:r>
      <w:r w:rsidR="0005341A">
        <w:rPr>
          <w:rFonts w:ascii="Arial" w:hAnsi="Arial" w:cs="Arial"/>
          <w:sz w:val="22"/>
          <w:szCs w:val="22"/>
        </w:rPr>
        <w:t>.  Э</w:t>
      </w:r>
      <w:r>
        <w:rPr>
          <w:rFonts w:ascii="Arial" w:hAnsi="Arial"/>
          <w:sz w:val="22"/>
        </w:rPr>
        <w:t>та ведомость содержит информацию об источниках доходов Организации, а также о том, во что обходится ее деятельность</w:t>
      </w:r>
      <w:r w:rsidR="0005341A">
        <w:rPr>
          <w:rFonts w:ascii="Arial" w:hAnsi="Arial"/>
          <w:sz w:val="22"/>
        </w:rPr>
        <w:t>.  Г</w:t>
      </w:r>
      <w:r>
        <w:rPr>
          <w:rFonts w:ascii="Arial" w:hAnsi="Arial"/>
          <w:sz w:val="22"/>
        </w:rPr>
        <w:t>одовой профицит или дефицит показан на основе учета полностью по методу начисления с признанием доходов и расходов в период их образования независимо от момента получения или выплаты соответствующих денежных сумм;</w:t>
      </w:r>
    </w:p>
    <w:p w:rsidR="00B9245C" w:rsidRPr="00B9245C" w:rsidRDefault="005F29A3" w:rsidP="00EC2015">
      <w:pPr>
        <w:numPr>
          <w:ilvl w:val="0"/>
          <w:numId w:val="6"/>
        </w:numPr>
        <w:tabs>
          <w:tab w:val="clear" w:pos="1021"/>
          <w:tab w:val="num" w:pos="720"/>
        </w:tabs>
        <w:spacing w:after="220"/>
        <w:ind w:left="720" w:hanging="360"/>
        <w:jc w:val="both"/>
        <w:rPr>
          <w:rFonts w:ascii="Arial" w:eastAsia="SimSun" w:hAnsi="Arial" w:cs="Arial"/>
          <w:sz w:val="22"/>
          <w:szCs w:val="22"/>
        </w:rPr>
      </w:pPr>
      <w:r w:rsidRPr="00C950F5">
        <w:rPr>
          <w:rFonts w:ascii="Arial" w:hAnsi="Arial" w:cs="Arial"/>
          <w:sz w:val="22"/>
          <w:szCs w:val="22"/>
          <w:u w:val="single"/>
        </w:rPr>
        <w:t>Отчет об изменениях в чистых активах</w:t>
      </w:r>
      <w:r w:rsidRPr="00C950F5">
        <w:rPr>
          <w:rFonts w:ascii="Arial" w:hAnsi="Arial" w:cs="Arial"/>
          <w:sz w:val="22"/>
          <w:szCs w:val="22"/>
        </w:rPr>
        <w:t xml:space="preserve"> – в нем показана динамика состояния чистых активов за год</w:t>
      </w:r>
      <w:r w:rsidR="006B1BEC">
        <w:rPr>
          <w:rFonts w:ascii="Arial" w:hAnsi="Arial" w:cs="Arial"/>
          <w:sz w:val="22"/>
          <w:szCs w:val="22"/>
        </w:rPr>
        <w:t>.  В</w:t>
      </w:r>
      <w:r>
        <w:rPr>
          <w:rFonts w:ascii="Arial" w:hAnsi="Arial"/>
          <w:sz w:val="22"/>
        </w:rPr>
        <w:t xml:space="preserve"> этой ведомости выделены источники изменения общего финансового положения Организации, включая изменения, обусловленные образованием профицита или дефицита за указанный период;</w:t>
      </w:r>
    </w:p>
    <w:p w:rsidR="00B9245C" w:rsidRPr="00B9245C" w:rsidRDefault="005F29A3" w:rsidP="00EC2015">
      <w:pPr>
        <w:numPr>
          <w:ilvl w:val="0"/>
          <w:numId w:val="6"/>
        </w:numPr>
        <w:tabs>
          <w:tab w:val="clear" w:pos="1021"/>
          <w:tab w:val="num" w:pos="720"/>
        </w:tabs>
        <w:spacing w:after="220"/>
        <w:ind w:left="720" w:hanging="360"/>
        <w:jc w:val="both"/>
        <w:rPr>
          <w:rFonts w:ascii="Arial" w:eastAsia="SimSun" w:hAnsi="Arial" w:cs="Arial"/>
          <w:sz w:val="22"/>
          <w:szCs w:val="22"/>
        </w:rPr>
      </w:pPr>
      <w:r w:rsidRPr="00C950F5">
        <w:rPr>
          <w:rFonts w:ascii="Arial" w:hAnsi="Arial" w:cs="Arial"/>
          <w:sz w:val="22"/>
          <w:szCs w:val="22"/>
          <w:u w:val="single"/>
        </w:rPr>
        <w:t>Отчет о движении денежных средств</w:t>
      </w:r>
      <w:r w:rsidRPr="00C950F5">
        <w:rPr>
          <w:rFonts w:ascii="Arial" w:hAnsi="Arial" w:cs="Arial"/>
          <w:sz w:val="22"/>
          <w:szCs w:val="22"/>
        </w:rPr>
        <w:t xml:space="preserve"> – в нем показано движение денежных средств за год, связанное с оперативной, инвестиционной и финансовой деятельностью</w:t>
      </w:r>
      <w:r w:rsidR="006B1BEC">
        <w:rPr>
          <w:rFonts w:ascii="Arial" w:hAnsi="Arial" w:cs="Arial"/>
          <w:sz w:val="22"/>
          <w:szCs w:val="22"/>
        </w:rPr>
        <w:t>.  В</w:t>
      </w:r>
      <w:r>
        <w:rPr>
          <w:rFonts w:ascii="Arial" w:hAnsi="Arial"/>
          <w:sz w:val="22"/>
        </w:rPr>
        <w:t xml:space="preserve"> этой ведомости содержится информация о том, каким образом направлялись и расходовались денежные средства в течение года, включая привлечение заемных средств и погашение займов, а также приобретение и выбытие основных средств</w:t>
      </w:r>
      <w:r w:rsidR="006B1BEC">
        <w:rPr>
          <w:rFonts w:ascii="Arial" w:hAnsi="Arial"/>
          <w:sz w:val="22"/>
        </w:rPr>
        <w:t>.  В</w:t>
      </w:r>
      <w:r>
        <w:rPr>
          <w:rFonts w:ascii="Arial" w:hAnsi="Arial"/>
          <w:sz w:val="22"/>
        </w:rPr>
        <w:t xml:space="preserve"> отличие от Отчета о финансовых результатах чистое движение денежных средств отражает разность между поступлением денежных средств в Организацию и их оттоком из нее;</w:t>
      </w:r>
    </w:p>
    <w:p w:rsidR="00B9245C" w:rsidRPr="00B9245C" w:rsidRDefault="005F29A3" w:rsidP="00EC2015">
      <w:pPr>
        <w:numPr>
          <w:ilvl w:val="0"/>
          <w:numId w:val="6"/>
        </w:numPr>
        <w:tabs>
          <w:tab w:val="clear" w:pos="1021"/>
          <w:tab w:val="num" w:pos="720"/>
        </w:tabs>
        <w:spacing w:after="220"/>
        <w:ind w:left="720" w:hanging="360"/>
        <w:jc w:val="both"/>
        <w:rPr>
          <w:rFonts w:ascii="Arial" w:eastAsia="SimSun" w:hAnsi="Arial" w:cs="Arial"/>
          <w:sz w:val="22"/>
          <w:szCs w:val="22"/>
        </w:rPr>
      </w:pPr>
      <w:r w:rsidRPr="00C950F5">
        <w:rPr>
          <w:rFonts w:ascii="Arial" w:hAnsi="Arial" w:cs="Arial"/>
          <w:sz w:val="22"/>
          <w:szCs w:val="22"/>
          <w:u w:val="single"/>
        </w:rPr>
        <w:t>Отчет о сравнении бюджетных и фактических сумм</w:t>
      </w:r>
      <w:r w:rsidRPr="00C950F5">
        <w:rPr>
          <w:rFonts w:ascii="Arial" w:hAnsi="Arial" w:cs="Arial"/>
          <w:sz w:val="22"/>
          <w:szCs w:val="22"/>
        </w:rPr>
        <w:t xml:space="preserve"> – в нем ассигнования, предусмотренные в Программе и бюджете, сопоставляются с фактическими расходами за год</w:t>
      </w:r>
      <w:r w:rsidR="0005341A">
        <w:rPr>
          <w:rFonts w:ascii="Arial" w:hAnsi="Arial" w:cs="Arial"/>
          <w:sz w:val="22"/>
          <w:szCs w:val="22"/>
        </w:rPr>
        <w:t>.  Э</w:t>
      </w:r>
      <w:r>
        <w:rPr>
          <w:rFonts w:ascii="Arial" w:hAnsi="Arial"/>
          <w:sz w:val="22"/>
        </w:rPr>
        <w:t>та ведомость составлена на бюджетной основе, т.е. по модифицированному методу начислений</w:t>
      </w:r>
      <w:r w:rsidR="006B1BEC">
        <w:rPr>
          <w:rFonts w:ascii="Arial" w:hAnsi="Arial"/>
          <w:sz w:val="22"/>
        </w:rPr>
        <w:t>.  В</w:t>
      </w:r>
      <w:r>
        <w:rPr>
          <w:rFonts w:ascii="Arial" w:hAnsi="Arial"/>
          <w:sz w:val="22"/>
        </w:rPr>
        <w:t xml:space="preserve"> ней содержится информация о том, в какой степени получение и использование средств происходило в соответствии с утвержденным бюджетом;</w:t>
      </w:r>
    </w:p>
    <w:p w:rsidR="00B9245C" w:rsidRPr="00B9245C" w:rsidRDefault="005F29A3" w:rsidP="00EC2015">
      <w:pPr>
        <w:numPr>
          <w:ilvl w:val="0"/>
          <w:numId w:val="6"/>
        </w:numPr>
        <w:tabs>
          <w:tab w:val="clear" w:pos="1021"/>
          <w:tab w:val="num" w:pos="720"/>
        </w:tabs>
        <w:spacing w:after="220"/>
        <w:ind w:left="720" w:hanging="360"/>
        <w:jc w:val="both"/>
        <w:rPr>
          <w:rFonts w:ascii="Arial" w:eastAsia="SimSun" w:hAnsi="Arial" w:cs="Arial"/>
          <w:sz w:val="22"/>
          <w:szCs w:val="22"/>
        </w:rPr>
      </w:pPr>
      <w:r w:rsidRPr="00C950F5">
        <w:rPr>
          <w:rFonts w:ascii="Arial" w:hAnsi="Arial" w:cs="Arial"/>
          <w:sz w:val="22"/>
          <w:szCs w:val="22"/>
          <w:u w:val="single"/>
        </w:rPr>
        <w:t>Примечания к финансовым ведомостям</w:t>
      </w:r>
      <w:r w:rsidRPr="00C950F5">
        <w:rPr>
          <w:rFonts w:ascii="Arial" w:hAnsi="Arial" w:cs="Arial"/>
          <w:sz w:val="22"/>
          <w:szCs w:val="22"/>
        </w:rPr>
        <w:t xml:space="preserve"> – эти примечания облегчают понимание основных финансовых ведомостей</w:t>
      </w:r>
      <w:r w:rsidR="006B1BEC">
        <w:rPr>
          <w:rFonts w:ascii="Arial" w:hAnsi="Arial" w:cs="Arial"/>
          <w:sz w:val="22"/>
          <w:szCs w:val="22"/>
        </w:rPr>
        <w:t>.  В</w:t>
      </w:r>
      <w:r>
        <w:rPr>
          <w:rFonts w:ascii="Arial" w:hAnsi="Arial"/>
          <w:sz w:val="22"/>
        </w:rPr>
        <w:t xml:space="preserve"> них кратко излагаются основные принципы учета и содержится другая пояснительная информация</w:t>
      </w:r>
      <w:r w:rsidR="006B1BEC">
        <w:rPr>
          <w:rFonts w:ascii="Arial" w:hAnsi="Arial"/>
          <w:sz w:val="22"/>
        </w:rPr>
        <w:t>.  В</w:t>
      </w:r>
      <w:r>
        <w:rPr>
          <w:rFonts w:ascii="Arial" w:hAnsi="Arial"/>
          <w:sz w:val="22"/>
        </w:rPr>
        <w:t xml:space="preserve"> них также содержатся требуемые согласно МСУГС сведения, не указываемые в основных ведомостях.</w:t>
      </w:r>
    </w:p>
    <w:p w:rsidR="00B9245C" w:rsidRPr="00B9245C" w:rsidRDefault="005F29A3" w:rsidP="00B9245C">
      <w:pPr>
        <w:spacing w:after="220"/>
        <w:jc w:val="both"/>
        <w:rPr>
          <w:rFonts w:ascii="Arial" w:eastAsia="SimSun" w:hAnsi="Arial" w:cs="Arial"/>
          <w:b/>
          <w:sz w:val="22"/>
          <w:szCs w:val="22"/>
        </w:rPr>
      </w:pPr>
      <w:r>
        <w:rPr>
          <w:rFonts w:ascii="Arial" w:hAnsi="Arial"/>
          <w:b/>
          <w:sz w:val="22"/>
        </w:rPr>
        <w:t>Ключевые элементы финансовых ведомостей</w:t>
      </w:r>
    </w:p>
    <w:p w:rsidR="00807A16" w:rsidRDefault="005F29A3" w:rsidP="00F73729">
      <w:pPr>
        <w:numPr>
          <w:ilvl w:val="0"/>
          <w:numId w:val="2"/>
        </w:numPr>
        <w:spacing w:after="220"/>
        <w:jc w:val="both"/>
        <w:rPr>
          <w:rFonts w:ascii="Arial" w:eastAsia="SimSun" w:hAnsi="Arial" w:cs="Arial"/>
          <w:sz w:val="22"/>
          <w:szCs w:val="22"/>
        </w:rPr>
      </w:pPr>
      <w:r>
        <w:rPr>
          <w:rFonts w:ascii="Arial" w:hAnsi="Arial"/>
          <w:sz w:val="22"/>
        </w:rPr>
        <w:t xml:space="preserve">В финансовых ведомостях ВОИС за 2014 г., подготовленных в соответствии с МСУГС, зафиксирован годовой профицит в размере 37,0 млн шв. франков и </w:t>
      </w:r>
      <w:r>
        <w:rPr>
          <w:rFonts w:ascii="Arial" w:hAnsi="Arial"/>
          <w:sz w:val="22"/>
        </w:rPr>
        <w:lastRenderedPageBreak/>
        <w:t>соответствующее увеличение чистых активов с 208,8 млн шв. франков в 2013 г. до 245,8 млн шв. франков по состоянию на 31 декабря 2014 г.</w:t>
      </w:r>
    </w:p>
    <w:p w:rsidR="00B9245C" w:rsidRPr="006E3855" w:rsidRDefault="005F29A3" w:rsidP="00F73729">
      <w:pPr>
        <w:numPr>
          <w:ilvl w:val="0"/>
          <w:numId w:val="2"/>
        </w:numPr>
        <w:spacing w:after="220"/>
        <w:jc w:val="both"/>
        <w:rPr>
          <w:rFonts w:ascii="Arial" w:eastAsia="SimSun" w:hAnsi="Arial" w:cs="Arial"/>
          <w:sz w:val="22"/>
          <w:szCs w:val="22"/>
        </w:rPr>
      </w:pPr>
      <w:r>
        <w:rPr>
          <w:rFonts w:ascii="Arial" w:hAnsi="Arial"/>
          <w:sz w:val="22"/>
        </w:rPr>
        <w:t>Полученный в 2014 г. профицит в размере 37,0 млн шв. франков можно сравнить с профицитом в размере 15,1 млн шв. франков, образовавшемся в 2013 г</w:t>
      </w:r>
      <w:r w:rsidR="0005341A">
        <w:rPr>
          <w:rFonts w:ascii="Arial" w:hAnsi="Arial"/>
          <w:sz w:val="22"/>
        </w:rPr>
        <w:t>.  С</w:t>
      </w:r>
      <w:r>
        <w:rPr>
          <w:rFonts w:ascii="Arial" w:hAnsi="Arial"/>
          <w:sz w:val="22"/>
        </w:rPr>
        <w:t>овокупный доход за 2014 г. вырос по сравнению с 2013 г. на 18,6 млн шв. франков;  это произошло главным образом благодаря росту прибыли от пошлин в системе РСТ на 21,1 млн шв. франков за вычетом снижения на 3,2 млн шв. франков других/прочих доходов</w:t>
      </w:r>
      <w:r w:rsidR="0005341A">
        <w:rPr>
          <w:rFonts w:ascii="Arial" w:hAnsi="Arial"/>
          <w:sz w:val="22"/>
        </w:rPr>
        <w:t>.  С</w:t>
      </w:r>
      <w:r>
        <w:rPr>
          <w:rFonts w:ascii="Arial" w:hAnsi="Arial"/>
          <w:sz w:val="22"/>
        </w:rPr>
        <w:t>овокупные расходы в сравнении с 2013 г. снизились на 3,3 млн шв. франков</w:t>
      </w:r>
      <w:r w:rsidR="0005341A">
        <w:rPr>
          <w:rFonts w:ascii="Arial" w:hAnsi="Arial"/>
          <w:sz w:val="22"/>
        </w:rPr>
        <w:t>.  Р</w:t>
      </w:r>
      <w:r>
        <w:rPr>
          <w:rFonts w:ascii="Arial" w:hAnsi="Arial"/>
          <w:sz w:val="22"/>
        </w:rPr>
        <w:t>асходы на персонал выросли на 2,4 млн шв. франков, но расходы на оплату проезда и стипендии, принадлежности и материалы, услуги по контрактам и эксплуатационные расходы оказались меньше, чем в предыдущем году.</w:t>
      </w:r>
    </w:p>
    <w:p w:rsidR="00B9245C" w:rsidRPr="00355EB2" w:rsidRDefault="005F29A3" w:rsidP="00F73729">
      <w:pPr>
        <w:numPr>
          <w:ilvl w:val="0"/>
          <w:numId w:val="2"/>
        </w:numPr>
        <w:spacing w:after="220"/>
        <w:jc w:val="both"/>
        <w:rPr>
          <w:rFonts w:ascii="Arial" w:eastAsia="SimSun" w:hAnsi="Arial" w:cs="Arial"/>
          <w:sz w:val="22"/>
          <w:szCs w:val="22"/>
        </w:rPr>
      </w:pPr>
      <w:r>
        <w:rPr>
          <w:rFonts w:ascii="Arial" w:hAnsi="Arial"/>
          <w:sz w:val="22"/>
        </w:rPr>
        <w:t>Объем совокупных активов ВОИС вырос с 900,6 млн шв. франков по состоянию на декабрь 2013 г. до 969,4 млн шв. франков по состоянию на 31 декабря 2014 г</w:t>
      </w:r>
      <w:r w:rsidR="0005341A">
        <w:rPr>
          <w:rFonts w:ascii="Arial" w:hAnsi="Arial"/>
          <w:sz w:val="22"/>
        </w:rPr>
        <w:t>.  П</w:t>
      </w:r>
      <w:r>
        <w:rPr>
          <w:rFonts w:ascii="Arial" w:hAnsi="Arial"/>
          <w:sz w:val="22"/>
        </w:rPr>
        <w:t>римечательно, что сумма денежных средств и их эквивалентов на 31 декабря 2014 г. составила 474,5 млн шв. франков (48,9% от совокупных активов), что на 64,6 млн шв. франков больше, чем в предыдущем году</w:t>
      </w:r>
      <w:r w:rsidR="0005341A">
        <w:rPr>
          <w:rFonts w:ascii="Arial" w:hAnsi="Arial"/>
          <w:sz w:val="22"/>
        </w:rPr>
        <w:t>.  О</w:t>
      </w:r>
      <w:r>
        <w:rPr>
          <w:rFonts w:ascii="Arial" w:hAnsi="Arial"/>
          <w:sz w:val="22"/>
        </w:rPr>
        <w:t>рганизация продолжает вкладывать значительные суммы в основные средства, в том числе в земельные участки, здания, инвестиционную недвижимость, нематериальные активы и оборудование, совокупная чистая балансовая стоимость которых составила 419,7 млн шв. франков (43,3% от общего объема активов)</w:t>
      </w:r>
      <w:r w:rsidR="006B1BEC">
        <w:rPr>
          <w:rFonts w:ascii="Arial" w:hAnsi="Arial"/>
          <w:sz w:val="22"/>
        </w:rPr>
        <w:t>.  В</w:t>
      </w:r>
      <w:r>
        <w:rPr>
          <w:rFonts w:ascii="Arial" w:hAnsi="Arial"/>
          <w:sz w:val="22"/>
        </w:rPr>
        <w:t xml:space="preserve"> 2014 г. инвестиции в основные средства продолжились, а их совокупная чистая балансовая стоимость по сравнению с 2013 г. выросла на 23,3 млн шв. франков</w:t>
      </w:r>
      <w:r w:rsidR="006B1BEC">
        <w:rPr>
          <w:rFonts w:ascii="Arial" w:hAnsi="Arial"/>
          <w:sz w:val="22"/>
        </w:rPr>
        <w:t>.  В</w:t>
      </w:r>
      <w:r>
        <w:rPr>
          <w:rFonts w:ascii="Arial" w:hAnsi="Arial"/>
          <w:sz w:val="22"/>
        </w:rPr>
        <w:t xml:space="preserve"> течение года было завершено строительство нового конференц-зала и ремонт здания А. Богша</w:t>
      </w:r>
      <w:r w:rsidR="0005341A">
        <w:rPr>
          <w:rFonts w:ascii="Arial" w:hAnsi="Arial"/>
          <w:sz w:val="22"/>
        </w:rPr>
        <w:t>.  Н</w:t>
      </w:r>
      <w:r>
        <w:rPr>
          <w:rFonts w:ascii="Arial" w:hAnsi="Arial"/>
          <w:sz w:val="22"/>
        </w:rPr>
        <w:t>овый конференц-зал введен в эксплуатацию и будет амортизироваться в течение его срока службы</w:t>
      </w:r>
      <w:r w:rsidR="0005341A">
        <w:rPr>
          <w:rFonts w:ascii="Arial" w:hAnsi="Arial"/>
          <w:sz w:val="22"/>
        </w:rPr>
        <w:t>.  П</w:t>
      </w:r>
      <w:r>
        <w:rPr>
          <w:rFonts w:ascii="Arial" w:hAnsi="Arial"/>
          <w:sz w:val="22"/>
        </w:rPr>
        <w:t>роект строительства сооружений безопасности, в том числе нового центра доступа и периметра безопасности, должен быть завершен в первой половине 2015 г.</w:t>
      </w:r>
    </w:p>
    <w:p w:rsidR="00135356" w:rsidRPr="00215815" w:rsidRDefault="005F29A3" w:rsidP="00B9245C">
      <w:pPr>
        <w:numPr>
          <w:ilvl w:val="0"/>
          <w:numId w:val="2"/>
        </w:numPr>
        <w:spacing w:after="220"/>
        <w:jc w:val="both"/>
        <w:rPr>
          <w:rFonts w:ascii="Arial" w:eastAsia="SimSun" w:hAnsi="Arial" w:cs="Arial"/>
          <w:sz w:val="22"/>
          <w:szCs w:val="22"/>
        </w:rPr>
      </w:pPr>
      <w:r>
        <w:rPr>
          <w:rFonts w:ascii="Arial" w:hAnsi="Arial"/>
          <w:sz w:val="22"/>
        </w:rPr>
        <w:t>Основными статьями обязательств Организации по состоянию на 31 декабря 2014 г. являются счета к оплате и суммы к перечислению и авансовые платежи общим размером 358,7 млн шв. франков (49,6% от общего объема обязательств), обязательства по выплате пособий сотрудникам на сумму 161,2 млн шв. франков (22,3% от общего объема обязательств) и заемные средства в размере 139,2 млн шв. франков (19,2%).</w:t>
      </w:r>
    </w:p>
    <w:p w:rsidR="00B9245C" w:rsidRPr="00135356" w:rsidRDefault="005F29A3" w:rsidP="00C4234D">
      <w:pPr>
        <w:spacing w:after="220"/>
        <w:jc w:val="both"/>
        <w:rPr>
          <w:rFonts w:ascii="Arial" w:eastAsia="SimSun" w:hAnsi="Arial" w:cs="Arial"/>
          <w:sz w:val="22"/>
          <w:szCs w:val="22"/>
        </w:rPr>
      </w:pPr>
      <w:r>
        <w:rPr>
          <w:rFonts w:ascii="Arial" w:hAnsi="Arial"/>
          <w:b/>
          <w:sz w:val="22"/>
        </w:rPr>
        <w:t>Результаты финансовой деятельности</w:t>
      </w:r>
    </w:p>
    <w:p w:rsidR="00B9245C" w:rsidRPr="00EA6E42" w:rsidRDefault="005F29A3" w:rsidP="00F73729">
      <w:pPr>
        <w:numPr>
          <w:ilvl w:val="0"/>
          <w:numId w:val="2"/>
        </w:numPr>
        <w:spacing w:after="220"/>
        <w:jc w:val="both"/>
        <w:rPr>
          <w:rFonts w:ascii="Arial" w:eastAsia="SimSun" w:hAnsi="Arial" w:cs="Arial"/>
          <w:sz w:val="22"/>
          <w:szCs w:val="22"/>
        </w:rPr>
      </w:pPr>
      <w:r>
        <w:rPr>
          <w:rFonts w:ascii="Arial" w:hAnsi="Arial"/>
          <w:sz w:val="22"/>
        </w:rPr>
        <w:t>Как показывают результаты деятельности Организации за 2014 г., на конец года образовался профицит в размере 37,0 млн шв. франков, при этом общий объем доходов составил 370,2 млн шв. франков, а общий объем расходов — 333,2 млн шв. франков</w:t>
      </w:r>
      <w:r w:rsidR="0005341A">
        <w:rPr>
          <w:rFonts w:ascii="Arial" w:hAnsi="Arial"/>
          <w:sz w:val="22"/>
        </w:rPr>
        <w:t>.  Д</w:t>
      </w:r>
      <w:r>
        <w:rPr>
          <w:rFonts w:ascii="Arial" w:hAnsi="Arial"/>
          <w:sz w:val="22"/>
        </w:rPr>
        <w:t>ля сравнения следует отметить, что в 2013 г</w:t>
      </w:r>
      <w:r w:rsidR="0005341A">
        <w:rPr>
          <w:rFonts w:ascii="Arial" w:hAnsi="Arial"/>
          <w:sz w:val="22"/>
        </w:rPr>
        <w:t>.  О</w:t>
      </w:r>
      <w:r>
        <w:rPr>
          <w:rFonts w:ascii="Arial" w:hAnsi="Arial"/>
          <w:sz w:val="22"/>
        </w:rPr>
        <w:t>рганизация имела бюджетный профицит в размере 15,1 млн шв. франков, при общем объеме доходов в 351,6 млн шв. франков и общем объеме расходов в 336,5 млн шв. франков.</w:t>
      </w:r>
    </w:p>
    <w:p w:rsidR="006B2E65" w:rsidRDefault="005F29A3" w:rsidP="006B2E65">
      <w:pPr>
        <w:numPr>
          <w:ilvl w:val="0"/>
          <w:numId w:val="2"/>
        </w:numPr>
        <w:spacing w:after="220"/>
        <w:jc w:val="both"/>
        <w:rPr>
          <w:rFonts w:ascii="Arial" w:eastAsia="SimSun" w:hAnsi="Arial" w:cs="Arial"/>
          <w:sz w:val="22"/>
          <w:szCs w:val="22"/>
        </w:rPr>
      </w:pPr>
      <w:r>
        <w:rPr>
          <w:rFonts w:ascii="Arial" w:hAnsi="Arial"/>
          <w:sz w:val="22"/>
        </w:rPr>
        <w:t>Результаты по Программе и бюджету за 2014 г., подготовленные с использованием модифицированного метода начисления (т.е. до применения корректировок МСУГС), отражали профицит в размере 69,9 млн шв. франков</w:t>
      </w:r>
      <w:r w:rsidR="0005341A">
        <w:rPr>
          <w:rFonts w:ascii="Arial" w:hAnsi="Arial"/>
          <w:sz w:val="22"/>
        </w:rPr>
        <w:t>.  Р</w:t>
      </w:r>
      <w:r>
        <w:rPr>
          <w:rFonts w:ascii="Arial" w:hAnsi="Arial"/>
          <w:sz w:val="22"/>
        </w:rPr>
        <w:t>езультаты финансовой деятельности Организации за 2014 г. с применением корректировок МСУГС отражают показатели по специальным счетам, проектам, финансируемым из резервных средств, и влияние корректировок в связи с учетом по методу полного начисления в соответствии с МСУГС.</w:t>
      </w:r>
    </w:p>
    <w:p w:rsidR="00BC1E21" w:rsidRDefault="00BC1E21">
      <w:pPr>
        <w:rPr>
          <w:rFonts w:ascii="Arial" w:hAnsi="Arial"/>
          <w:sz w:val="22"/>
          <w:u w:val="single"/>
        </w:rPr>
      </w:pPr>
      <w:r>
        <w:rPr>
          <w:rFonts w:ascii="Arial" w:hAnsi="Arial"/>
          <w:sz w:val="22"/>
          <w:u w:val="single"/>
        </w:rPr>
        <w:br w:type="page"/>
      </w:r>
    </w:p>
    <w:p w:rsidR="00B9245C" w:rsidRPr="00845C44" w:rsidRDefault="005F29A3" w:rsidP="006B2E65">
      <w:pPr>
        <w:spacing w:after="220"/>
        <w:jc w:val="center"/>
        <w:rPr>
          <w:rFonts w:ascii="Arial" w:eastAsia="SimSun" w:hAnsi="Arial" w:cs="Arial"/>
          <w:sz w:val="22"/>
          <w:szCs w:val="22"/>
          <w:u w:val="single"/>
        </w:rPr>
      </w:pPr>
      <w:r>
        <w:rPr>
          <w:rFonts w:ascii="Arial" w:hAnsi="Arial"/>
          <w:sz w:val="22"/>
          <w:u w:val="single"/>
        </w:rPr>
        <w:lastRenderedPageBreak/>
        <w:t>Сводная таблица показателей финансовой деятельности по источнику финансирования</w:t>
      </w:r>
    </w:p>
    <w:p w:rsidR="00EA6E42" w:rsidRDefault="00634ABD" w:rsidP="00996523">
      <w:pPr>
        <w:jc w:val="center"/>
        <w:rPr>
          <w:rFonts w:eastAsia="SimSun"/>
          <w:lang w:val="en-US"/>
        </w:rPr>
      </w:pPr>
      <w:r>
        <w:rPr>
          <w:rFonts w:eastAsia="SimSun"/>
          <w:noProof/>
          <w:lang w:val="en-US" w:eastAsia="en-US"/>
        </w:rPr>
        <w:drawing>
          <wp:inline distT="0" distB="0" distL="0" distR="0">
            <wp:extent cx="5977255" cy="1201776"/>
            <wp:effectExtent l="0" t="0" r="444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7255" cy="1201776"/>
                    </a:xfrm>
                    <a:prstGeom prst="rect">
                      <a:avLst/>
                    </a:prstGeom>
                    <a:noFill/>
                    <a:ln>
                      <a:noFill/>
                    </a:ln>
                  </pic:spPr>
                </pic:pic>
              </a:graphicData>
            </a:graphic>
          </wp:inline>
        </w:drawing>
      </w:r>
    </w:p>
    <w:p w:rsidR="00634ABD" w:rsidRPr="00634ABD" w:rsidRDefault="00634ABD" w:rsidP="00996523">
      <w:pPr>
        <w:jc w:val="center"/>
        <w:rPr>
          <w:rFonts w:eastAsia="SimSun"/>
          <w:lang w:val="en-US"/>
        </w:rPr>
      </w:pPr>
    </w:p>
    <w:p w:rsidR="00B9245C" w:rsidRDefault="005F29A3" w:rsidP="00996523">
      <w:pPr>
        <w:numPr>
          <w:ilvl w:val="0"/>
          <w:numId w:val="2"/>
        </w:numPr>
        <w:jc w:val="both"/>
        <w:rPr>
          <w:rFonts w:ascii="Arial" w:eastAsia="SimSun" w:hAnsi="Arial" w:cs="Arial"/>
          <w:sz w:val="22"/>
          <w:szCs w:val="22"/>
        </w:rPr>
      </w:pPr>
      <w:r>
        <w:rPr>
          <w:rFonts w:ascii="Arial" w:hAnsi="Arial"/>
          <w:sz w:val="22"/>
        </w:rPr>
        <w:t>На приведенной ниже диаграмме отражены основные различия между профицитом по программе и бюджету в размере 69,9 млн шв. франков и профицитом всей Организации, рассчитанным на основе МСУГС, в размере 37,0 млн шв. франков:</w:t>
      </w:r>
    </w:p>
    <w:p w:rsidR="00996523" w:rsidRPr="00B9245C" w:rsidRDefault="00996523" w:rsidP="00996523">
      <w:pPr>
        <w:jc w:val="both"/>
        <w:rPr>
          <w:rFonts w:ascii="Arial" w:eastAsia="SimSun" w:hAnsi="Arial" w:cs="Arial"/>
          <w:sz w:val="22"/>
          <w:szCs w:val="22"/>
        </w:rPr>
      </w:pPr>
    </w:p>
    <w:p w:rsidR="00B9245C" w:rsidRPr="00845C44" w:rsidRDefault="005F29A3" w:rsidP="00CA0CDD">
      <w:pPr>
        <w:jc w:val="center"/>
        <w:rPr>
          <w:rFonts w:ascii="Arial" w:eastAsia="SimSun" w:hAnsi="Arial" w:cs="Arial"/>
          <w:sz w:val="22"/>
          <w:szCs w:val="22"/>
          <w:u w:val="single"/>
        </w:rPr>
      </w:pPr>
      <w:r>
        <w:rPr>
          <w:rFonts w:ascii="Arial" w:hAnsi="Arial"/>
          <w:sz w:val="22"/>
          <w:u w:val="single"/>
        </w:rPr>
        <w:t>Переход от учета результатов по бюджету к учету результатов с применением МСУГС, данные за 2014 г.</w:t>
      </w:r>
    </w:p>
    <w:p w:rsidR="00CA0CDD" w:rsidRPr="00CA0CDD" w:rsidRDefault="00CA0CDD" w:rsidP="00845C44">
      <w:pPr>
        <w:rPr>
          <w:rFonts w:ascii="Arial" w:eastAsia="SimSun" w:hAnsi="Arial" w:cs="Arial"/>
          <w:i/>
          <w:sz w:val="22"/>
          <w:szCs w:val="22"/>
        </w:rPr>
      </w:pPr>
    </w:p>
    <w:p w:rsidR="00B9245C" w:rsidRDefault="00634ABD" w:rsidP="00CA0CDD">
      <w:pPr>
        <w:jc w:val="center"/>
        <w:rPr>
          <w:rFonts w:ascii="Arial" w:eastAsia="SimSun" w:hAnsi="Arial" w:cs="Arial"/>
          <w:sz w:val="22"/>
          <w:szCs w:val="22"/>
          <w:lang w:val="en-US"/>
        </w:rPr>
      </w:pPr>
      <w:r>
        <w:rPr>
          <w:rFonts w:ascii="Arial" w:eastAsia="SimSun" w:hAnsi="Arial" w:cs="Arial"/>
          <w:noProof/>
          <w:sz w:val="22"/>
          <w:szCs w:val="22"/>
          <w:lang w:val="en-US" w:eastAsia="en-US"/>
        </w:rPr>
        <w:drawing>
          <wp:inline distT="0" distB="0" distL="0" distR="0">
            <wp:extent cx="5977255" cy="3096326"/>
            <wp:effectExtent l="0" t="0" r="4445" b="889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7255" cy="3096326"/>
                    </a:xfrm>
                    <a:prstGeom prst="rect">
                      <a:avLst/>
                    </a:prstGeom>
                    <a:noFill/>
                    <a:ln>
                      <a:noFill/>
                    </a:ln>
                  </pic:spPr>
                </pic:pic>
              </a:graphicData>
            </a:graphic>
          </wp:inline>
        </w:drawing>
      </w:r>
    </w:p>
    <w:p w:rsidR="00634ABD" w:rsidRPr="00634ABD" w:rsidRDefault="00634ABD" w:rsidP="00CA0CDD">
      <w:pPr>
        <w:jc w:val="center"/>
        <w:rPr>
          <w:rFonts w:ascii="Arial" w:eastAsia="SimSun" w:hAnsi="Arial" w:cs="Arial"/>
          <w:sz w:val="22"/>
          <w:szCs w:val="22"/>
          <w:lang w:val="en-US"/>
        </w:rPr>
      </w:pPr>
    </w:p>
    <w:p w:rsidR="00B9245C" w:rsidRPr="00B9245C" w:rsidRDefault="005F29A3" w:rsidP="00F73729">
      <w:pPr>
        <w:numPr>
          <w:ilvl w:val="0"/>
          <w:numId w:val="2"/>
        </w:numPr>
        <w:spacing w:after="220"/>
        <w:jc w:val="both"/>
        <w:rPr>
          <w:rFonts w:ascii="Arial" w:eastAsia="SimSun" w:hAnsi="Arial" w:cs="Arial"/>
          <w:sz w:val="22"/>
          <w:szCs w:val="22"/>
        </w:rPr>
      </w:pPr>
      <w:r>
        <w:rPr>
          <w:rFonts w:ascii="Arial" w:hAnsi="Arial"/>
          <w:sz w:val="22"/>
        </w:rPr>
        <w:t>Финансовые ведомости ВОИС, подготовленные в соответствии с МСУГС, охватывают все области и направления деятельности Организации</w:t>
      </w:r>
      <w:r w:rsidR="006B1BEC">
        <w:rPr>
          <w:rFonts w:ascii="Arial" w:hAnsi="Arial"/>
          <w:sz w:val="22"/>
        </w:rPr>
        <w:t>.  В</w:t>
      </w:r>
      <w:r>
        <w:rPr>
          <w:rFonts w:ascii="Arial" w:hAnsi="Arial"/>
          <w:sz w:val="22"/>
        </w:rPr>
        <w:t>ключение результатов до корректировок на основе МСУГС по специальным счетам (профицит в размере 0,8 млн шв. франков) и по проектам, финансируемым из резервных средств (дефицит в размере 35,2 млн шв. франков), отражает «различие в учетных единицах» между результатами по бюджету и положительным сальдо по финансовым ведомостям по МСУГС.</w:t>
      </w:r>
    </w:p>
    <w:p w:rsidR="00B9245C" w:rsidRPr="00B9245C" w:rsidRDefault="005F29A3" w:rsidP="00F73729">
      <w:pPr>
        <w:numPr>
          <w:ilvl w:val="0"/>
          <w:numId w:val="2"/>
        </w:numPr>
        <w:spacing w:after="220"/>
        <w:jc w:val="both"/>
        <w:rPr>
          <w:rFonts w:ascii="Arial" w:eastAsia="SimSun" w:hAnsi="Arial" w:cs="Arial"/>
          <w:sz w:val="22"/>
          <w:szCs w:val="22"/>
        </w:rPr>
      </w:pPr>
      <w:r>
        <w:rPr>
          <w:rFonts w:ascii="Arial" w:hAnsi="Arial"/>
          <w:sz w:val="22"/>
        </w:rPr>
        <w:t>Применение метода учета на основе полного начисления в соответствии с МСУГС приводит к ряду «различий, обусловленных разными методами учета», что сказывается на итоговых показателях за год</w:t>
      </w:r>
      <w:r w:rsidR="0005341A">
        <w:rPr>
          <w:rFonts w:ascii="Arial" w:hAnsi="Arial"/>
          <w:sz w:val="22"/>
        </w:rPr>
        <w:t>.  Ч</w:t>
      </w:r>
      <w:r>
        <w:rPr>
          <w:rFonts w:ascii="Arial" w:hAnsi="Arial"/>
          <w:sz w:val="22"/>
        </w:rPr>
        <w:t>истый результат применения этих корректировок — профицит в размере 1,5 млн шв. франков:</w:t>
      </w:r>
    </w:p>
    <w:p w:rsidR="00B9245C" w:rsidRPr="00B9245C" w:rsidRDefault="005F29A3" w:rsidP="00EC2015">
      <w:pPr>
        <w:numPr>
          <w:ilvl w:val="0"/>
          <w:numId w:val="7"/>
        </w:numPr>
        <w:tabs>
          <w:tab w:val="clear" w:pos="1174"/>
          <w:tab w:val="num" w:pos="720"/>
        </w:tabs>
        <w:spacing w:after="220"/>
        <w:ind w:left="720" w:hanging="360"/>
        <w:jc w:val="both"/>
        <w:rPr>
          <w:rFonts w:ascii="Arial" w:eastAsia="SimSun" w:hAnsi="Arial" w:cs="Arial"/>
          <w:sz w:val="22"/>
          <w:szCs w:val="22"/>
        </w:rPr>
      </w:pPr>
      <w:r>
        <w:rPr>
          <w:rFonts w:ascii="Arial" w:hAnsi="Arial"/>
          <w:sz w:val="22"/>
        </w:rPr>
        <w:t>В соответствии с МСУГС, полученные поступления от добровольных взносов в рамках специальных счетов рассматриваются как результат выполнения условий соглашений с донорами и как возможность производить расходы в соответствии с программой работы</w:t>
      </w:r>
      <w:r w:rsidR="0005341A">
        <w:rPr>
          <w:rFonts w:ascii="Arial" w:hAnsi="Arial"/>
          <w:sz w:val="22"/>
        </w:rPr>
        <w:t>.  Е</w:t>
      </w:r>
      <w:r>
        <w:rPr>
          <w:rFonts w:ascii="Arial" w:hAnsi="Arial"/>
          <w:sz w:val="22"/>
        </w:rPr>
        <w:t xml:space="preserve">сли размер поступивших взносов превышает стоимость произведенных работ, то взносы рассматриваются как пассив в виде отсроченных </w:t>
      </w:r>
      <w:r>
        <w:rPr>
          <w:rFonts w:ascii="Arial" w:hAnsi="Arial"/>
          <w:sz w:val="22"/>
        </w:rPr>
        <w:lastRenderedPageBreak/>
        <w:t>поступлений, что привело к сокращению итоговых показателей доходов по этой статье за год в размере 0,8 млн шв. франков.</w:t>
      </w:r>
    </w:p>
    <w:p w:rsidR="00D72CDF" w:rsidRPr="00D72CDF" w:rsidRDefault="005F29A3" w:rsidP="00EC2015">
      <w:pPr>
        <w:numPr>
          <w:ilvl w:val="0"/>
          <w:numId w:val="8"/>
        </w:numPr>
        <w:tabs>
          <w:tab w:val="clear" w:pos="1174"/>
          <w:tab w:val="num" w:pos="720"/>
        </w:tabs>
        <w:spacing w:after="220"/>
        <w:ind w:left="720" w:hanging="360"/>
        <w:jc w:val="both"/>
        <w:rPr>
          <w:rFonts w:ascii="Arial" w:eastAsia="SimSun" w:hAnsi="Arial" w:cs="Arial"/>
          <w:sz w:val="22"/>
          <w:szCs w:val="22"/>
        </w:rPr>
      </w:pPr>
      <w:r>
        <w:rPr>
          <w:rFonts w:ascii="Arial" w:hAnsi="Arial"/>
          <w:sz w:val="22"/>
        </w:rPr>
        <w:t>При применении МСУГС доход от пошлин рассматривается как отсроченный до того момента, когда он не будет признан полученным, что в случае международных заявок происходит после окончательного их опубликования</w:t>
      </w:r>
      <w:r w:rsidR="0005341A">
        <w:rPr>
          <w:rFonts w:ascii="Arial" w:hAnsi="Arial"/>
          <w:sz w:val="22"/>
        </w:rPr>
        <w:t>.  Д</w:t>
      </w:r>
      <w:r>
        <w:rPr>
          <w:rFonts w:ascii="Arial" w:hAnsi="Arial"/>
          <w:sz w:val="22"/>
        </w:rPr>
        <w:t xml:space="preserve">ебиторская задолженность по заявкам РСТ также признается, если заявка была фактически подана, но Организация не получила причитающуюся пошлину. </w:t>
      </w:r>
    </w:p>
    <w:p w:rsidR="00D72CDF" w:rsidRDefault="005F29A3" w:rsidP="00D72CDF">
      <w:pPr>
        <w:spacing w:after="220"/>
        <w:ind w:left="720"/>
        <w:jc w:val="both"/>
        <w:rPr>
          <w:rFonts w:ascii="Arial" w:eastAsia="SimSun" w:hAnsi="Arial" w:cs="Arial"/>
          <w:sz w:val="22"/>
          <w:szCs w:val="20"/>
        </w:rPr>
      </w:pPr>
      <w:r>
        <w:rPr>
          <w:rFonts w:ascii="Arial" w:hAnsi="Arial"/>
          <w:sz w:val="22"/>
        </w:rPr>
        <w:t>Сумма отсроченного дохода от пошлин (РСТ, товарные знаки, промышленные образцы) выросла с 198,5 млн шв. франков по состоянию на 31 декабря 2013 г. до 203,7 млн шв. франков по состоянию на 31 декабря 2014 г</w:t>
      </w:r>
      <w:r w:rsidR="0005341A">
        <w:rPr>
          <w:rFonts w:ascii="Arial" w:hAnsi="Arial"/>
          <w:sz w:val="22"/>
        </w:rPr>
        <w:t>.  З</w:t>
      </w:r>
      <w:r>
        <w:rPr>
          <w:rFonts w:ascii="Arial" w:hAnsi="Arial"/>
          <w:sz w:val="22"/>
        </w:rPr>
        <w:t>а этот же период дебиторская задолженность по пошлинам РСТ снизилась за 62,4 млн шв. франков до 46,7 млн шв. франков</w:t>
      </w:r>
      <w:r w:rsidR="0005341A">
        <w:rPr>
          <w:rFonts w:ascii="Arial" w:hAnsi="Arial"/>
          <w:sz w:val="22"/>
        </w:rPr>
        <w:t>.  Ч</w:t>
      </w:r>
      <w:r>
        <w:rPr>
          <w:rFonts w:ascii="Arial" w:hAnsi="Arial"/>
          <w:sz w:val="22"/>
        </w:rPr>
        <w:t>астично снижение дебиторской задолженности объясняется зачетом части текущих счетов РСТ в размере 3,9 млн шв. франков на 31 декабря 2014 г.</w:t>
      </w:r>
      <w:r w:rsidR="008861C2">
        <w:rPr>
          <w:rFonts w:ascii="Arial" w:hAnsi="Arial"/>
          <w:sz w:val="22"/>
        </w:rPr>
        <w:t>:  б</w:t>
      </w:r>
      <w:r>
        <w:rPr>
          <w:rFonts w:ascii="Arial" w:hAnsi="Arial"/>
          <w:sz w:val="22"/>
        </w:rPr>
        <w:t>ыло определено, что часть балансов текущих счетов относятся к поданным заявкам</w:t>
      </w:r>
      <w:r w:rsidR="006B1BEC">
        <w:rPr>
          <w:rFonts w:ascii="Arial" w:hAnsi="Arial"/>
          <w:sz w:val="22"/>
        </w:rPr>
        <w:t>.  В</w:t>
      </w:r>
      <w:r>
        <w:rPr>
          <w:rFonts w:ascii="Arial" w:hAnsi="Arial"/>
          <w:sz w:val="22"/>
        </w:rPr>
        <w:t xml:space="preserve"> результате доходы сократились на 17,0 млн </w:t>
      </w:r>
      <w:r w:rsidRPr="001311AA">
        <w:rPr>
          <w:rFonts w:ascii="Arial" w:hAnsi="Arial"/>
          <w:sz w:val="22"/>
        </w:rPr>
        <w:t>шв.</w:t>
      </w:r>
      <w:r w:rsidR="001311AA" w:rsidRPr="001311AA">
        <w:rPr>
          <w:rFonts w:ascii="Arial" w:hAnsi="Arial"/>
          <w:sz w:val="22"/>
        </w:rPr>
        <w:t> </w:t>
      </w:r>
      <w:r w:rsidRPr="001311AA">
        <w:rPr>
          <w:rFonts w:ascii="Arial" w:hAnsi="Arial"/>
          <w:sz w:val="22"/>
        </w:rPr>
        <w:t>франков</w:t>
      </w:r>
      <w:r>
        <w:rPr>
          <w:rFonts w:ascii="Arial" w:hAnsi="Arial"/>
          <w:sz w:val="22"/>
        </w:rPr>
        <w:t>.</w:t>
      </w:r>
    </w:p>
    <w:p w:rsidR="00B9245C" w:rsidRPr="00136CD5" w:rsidRDefault="005F29A3" w:rsidP="00D72CDF">
      <w:pPr>
        <w:spacing w:after="220"/>
        <w:ind w:left="720"/>
        <w:jc w:val="both"/>
        <w:rPr>
          <w:rFonts w:ascii="Arial" w:eastAsia="SimSun" w:hAnsi="Arial" w:cs="Arial"/>
          <w:sz w:val="22"/>
          <w:szCs w:val="22"/>
        </w:rPr>
      </w:pPr>
      <w:r>
        <w:rPr>
          <w:rFonts w:ascii="Arial" w:hAnsi="Arial"/>
          <w:sz w:val="22"/>
        </w:rPr>
        <w:t>В 2014 г. также были признаны отсроченные доходы в размере 1,1 млн шв. франков, связанные с финансированием строительных работ по укреплению безопасности по линии Фонда служебных помещений для международных организаций (ФИПОИ)</w:t>
      </w:r>
      <w:r w:rsidR="0005341A">
        <w:rPr>
          <w:rFonts w:ascii="Arial" w:hAnsi="Arial"/>
          <w:sz w:val="22"/>
        </w:rPr>
        <w:t>.  Т</w:t>
      </w:r>
      <w:r>
        <w:rPr>
          <w:rFonts w:ascii="Arial" w:hAnsi="Arial"/>
          <w:sz w:val="22"/>
        </w:rPr>
        <w:t>аким образом, сумма корректировки для отсроченных доходов, составившая 18,1 млн шв. франков, вклю</w:t>
      </w:r>
      <w:r w:rsidR="00136CD5">
        <w:rPr>
          <w:rFonts w:ascii="Arial" w:hAnsi="Arial"/>
          <w:sz w:val="22"/>
        </w:rPr>
        <w:t>чает в себя следующие элементы:</w:t>
      </w:r>
    </w:p>
    <w:p w:rsidR="00407191" w:rsidRPr="00845C44" w:rsidRDefault="005F29A3" w:rsidP="00407191">
      <w:pPr>
        <w:spacing w:after="220"/>
        <w:ind w:left="720"/>
        <w:jc w:val="center"/>
        <w:rPr>
          <w:rFonts w:ascii="Arial" w:eastAsia="SimSun" w:hAnsi="Arial" w:cs="Arial"/>
          <w:sz w:val="22"/>
          <w:szCs w:val="22"/>
          <w:u w:val="single"/>
        </w:rPr>
      </w:pPr>
      <w:r>
        <w:rPr>
          <w:rFonts w:ascii="Arial" w:hAnsi="Arial"/>
          <w:sz w:val="22"/>
          <w:u w:val="single"/>
        </w:rPr>
        <w:t>Сводные данные о корректировках отсроченных доходов по МСУГС за 2014 г.</w:t>
      </w:r>
    </w:p>
    <w:p w:rsidR="003A687E" w:rsidRPr="00B9245C" w:rsidRDefault="00634ABD" w:rsidP="00996523">
      <w:pPr>
        <w:ind w:left="720"/>
        <w:jc w:val="center"/>
        <w:rPr>
          <w:rFonts w:ascii="Arial" w:eastAsia="SimSun" w:hAnsi="Arial" w:cs="Arial"/>
          <w:sz w:val="22"/>
          <w:szCs w:val="22"/>
        </w:rPr>
      </w:pPr>
      <w:r>
        <w:rPr>
          <w:rFonts w:ascii="Arial" w:eastAsia="SimSun" w:hAnsi="Arial" w:cs="Arial"/>
          <w:noProof/>
          <w:sz w:val="22"/>
          <w:szCs w:val="22"/>
          <w:lang w:val="en-US" w:eastAsia="en-US"/>
        </w:rPr>
        <w:drawing>
          <wp:inline distT="0" distB="0" distL="0" distR="0">
            <wp:extent cx="5229225" cy="14954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29225" cy="1495425"/>
                    </a:xfrm>
                    <a:prstGeom prst="rect">
                      <a:avLst/>
                    </a:prstGeom>
                    <a:noFill/>
                    <a:ln>
                      <a:noFill/>
                    </a:ln>
                  </pic:spPr>
                </pic:pic>
              </a:graphicData>
            </a:graphic>
          </wp:inline>
        </w:drawing>
      </w:r>
    </w:p>
    <w:p w:rsidR="00B9245C" w:rsidRPr="00F06A31" w:rsidRDefault="005F29A3" w:rsidP="00996523">
      <w:pPr>
        <w:numPr>
          <w:ilvl w:val="0"/>
          <w:numId w:val="9"/>
        </w:numPr>
        <w:tabs>
          <w:tab w:val="clear" w:pos="1174"/>
          <w:tab w:val="num" w:pos="720"/>
        </w:tabs>
        <w:ind w:left="720" w:hanging="360"/>
        <w:jc w:val="both"/>
        <w:rPr>
          <w:rFonts w:ascii="Arial" w:eastAsia="SimSun" w:hAnsi="Arial" w:cs="Arial"/>
          <w:sz w:val="22"/>
          <w:szCs w:val="22"/>
        </w:rPr>
      </w:pPr>
      <w:r>
        <w:rPr>
          <w:rFonts w:ascii="Arial" w:hAnsi="Arial"/>
          <w:sz w:val="22"/>
        </w:rPr>
        <w:t>Итоговые показатели за 2014 г., подсчитанные на основе МСУГС, включают расходы, обусловленные естественным износом зданий и оборудования, и амортизационные отчисления на нематериальные активы, поскольку стоимость этих активов распределяется на весь полезный срок их службы</w:t>
      </w:r>
      <w:r w:rsidR="0005341A">
        <w:rPr>
          <w:rFonts w:ascii="Arial" w:hAnsi="Arial"/>
          <w:sz w:val="22"/>
        </w:rPr>
        <w:t>.  О</w:t>
      </w:r>
      <w:r>
        <w:rPr>
          <w:rFonts w:ascii="Arial" w:hAnsi="Arial"/>
          <w:sz w:val="22"/>
        </w:rPr>
        <w:t>бщие расходы по статье износа и амортизации за год составили 9,1 млн шв. франков.</w:t>
      </w:r>
    </w:p>
    <w:p w:rsidR="00F06A31" w:rsidRPr="00B9245C" w:rsidRDefault="00F06A31" w:rsidP="00F06A31">
      <w:pPr>
        <w:ind w:left="720"/>
        <w:jc w:val="both"/>
        <w:rPr>
          <w:rFonts w:ascii="Arial" w:eastAsia="SimSun" w:hAnsi="Arial" w:cs="Arial"/>
          <w:sz w:val="22"/>
          <w:szCs w:val="22"/>
        </w:rPr>
      </w:pPr>
    </w:p>
    <w:p w:rsidR="004837F5" w:rsidRDefault="005F29A3" w:rsidP="004837F5">
      <w:pPr>
        <w:numPr>
          <w:ilvl w:val="0"/>
          <w:numId w:val="10"/>
        </w:numPr>
        <w:tabs>
          <w:tab w:val="clear" w:pos="1174"/>
          <w:tab w:val="num" w:pos="720"/>
        </w:tabs>
        <w:spacing w:after="220"/>
        <w:ind w:left="720" w:hanging="360"/>
        <w:jc w:val="both"/>
        <w:rPr>
          <w:rFonts w:ascii="Arial" w:eastAsia="SimSun" w:hAnsi="Arial" w:cs="Arial"/>
          <w:sz w:val="22"/>
          <w:szCs w:val="22"/>
        </w:rPr>
      </w:pPr>
      <w:r>
        <w:rPr>
          <w:rFonts w:ascii="Arial" w:hAnsi="Arial"/>
          <w:sz w:val="22"/>
        </w:rPr>
        <w:t>МСУГС требуют, чтобы пособия, причитающиеся сотрудникам, но еще не выплаченные им, рассматривались как обязательства Организации</w:t>
      </w:r>
      <w:r w:rsidR="006B1BEC">
        <w:rPr>
          <w:rFonts w:ascii="Arial" w:hAnsi="Arial"/>
          <w:sz w:val="22"/>
        </w:rPr>
        <w:t>.  Б</w:t>
      </w:r>
      <w:r>
        <w:rPr>
          <w:rFonts w:ascii="Arial" w:hAnsi="Arial"/>
          <w:sz w:val="22"/>
        </w:rPr>
        <w:t>лагодаря корректировкам МСУГС все обязательства, признанные в финансовых ведомостях, соответствуют расчетам пассивов по МСУГС, в том числе подготовленным внешними актуариями</w:t>
      </w:r>
      <w:r w:rsidR="0005341A">
        <w:rPr>
          <w:rFonts w:ascii="Arial" w:hAnsi="Arial"/>
          <w:sz w:val="22"/>
        </w:rPr>
        <w:t>.  О</w:t>
      </w:r>
      <w:r>
        <w:rPr>
          <w:rFonts w:ascii="Arial" w:hAnsi="Arial"/>
          <w:sz w:val="22"/>
        </w:rPr>
        <w:t>бязательства по выплате пособий сотрудникам, признаваемые в соответствии с МСУГС (обязательства по медицинскому страхованию после прекращения службы (МСПС)</w:t>
      </w:r>
      <w:r w:rsidR="006B1BEC">
        <w:rPr>
          <w:rFonts w:ascii="Arial" w:hAnsi="Arial"/>
          <w:sz w:val="22"/>
        </w:rPr>
        <w:t>;  п</w:t>
      </w:r>
      <w:r>
        <w:rPr>
          <w:rFonts w:ascii="Arial" w:hAnsi="Arial"/>
          <w:sz w:val="22"/>
        </w:rPr>
        <w:t>особие на репатриацию и проезд в связи с репатриацией</w:t>
      </w:r>
      <w:r w:rsidR="006B1BEC">
        <w:rPr>
          <w:rFonts w:ascii="Arial" w:hAnsi="Arial"/>
          <w:sz w:val="22"/>
        </w:rPr>
        <w:t>;  н</w:t>
      </w:r>
      <w:r>
        <w:rPr>
          <w:rFonts w:ascii="Arial" w:hAnsi="Arial"/>
          <w:sz w:val="22"/>
        </w:rPr>
        <w:t>акопленный ежегодный отпуск</w:t>
      </w:r>
      <w:r w:rsidR="006B1BEC">
        <w:rPr>
          <w:rFonts w:ascii="Arial" w:hAnsi="Arial"/>
          <w:sz w:val="22"/>
        </w:rPr>
        <w:t>;  о</w:t>
      </w:r>
      <w:r>
        <w:rPr>
          <w:rFonts w:ascii="Arial" w:hAnsi="Arial"/>
          <w:sz w:val="22"/>
        </w:rPr>
        <w:t>тпуск на родину</w:t>
      </w:r>
      <w:r w:rsidR="006B1BEC">
        <w:rPr>
          <w:rFonts w:ascii="Arial" w:hAnsi="Arial"/>
          <w:sz w:val="22"/>
        </w:rPr>
        <w:t>;  с</w:t>
      </w:r>
      <w:r>
        <w:rPr>
          <w:rFonts w:ascii="Arial" w:hAnsi="Arial"/>
          <w:sz w:val="22"/>
        </w:rPr>
        <w:t>верхурочные и закрытый пенсионный фонд) в 2014 г. выросли на 10,2 млн шв. франков</w:t>
      </w:r>
      <w:r w:rsidR="006B1BEC">
        <w:rPr>
          <w:rFonts w:ascii="Arial" w:hAnsi="Arial"/>
          <w:sz w:val="22"/>
        </w:rPr>
        <w:t>.  В</w:t>
      </w:r>
      <w:r>
        <w:rPr>
          <w:rFonts w:ascii="Arial" w:hAnsi="Arial"/>
          <w:sz w:val="22"/>
        </w:rPr>
        <w:t xml:space="preserve"> соответствии с Программой и бюджетом, к расходам на должности добавляется 6% надбавка на финансирование положения о выплатах сотрудникам после прекращения службы</w:t>
      </w:r>
      <w:r w:rsidR="006B1BEC">
        <w:rPr>
          <w:rFonts w:ascii="Arial" w:hAnsi="Arial"/>
          <w:sz w:val="22"/>
        </w:rPr>
        <w:t>.  В</w:t>
      </w:r>
      <w:r>
        <w:rPr>
          <w:rFonts w:ascii="Arial" w:hAnsi="Arial"/>
          <w:sz w:val="22"/>
        </w:rPr>
        <w:t xml:space="preserve"> 2014 г. эта надбавка составила 7,4 млн шв. франков после вычета платежей бывшим сотрудникам в течение </w:t>
      </w:r>
      <w:r>
        <w:rPr>
          <w:rFonts w:ascii="Arial" w:hAnsi="Arial"/>
          <w:sz w:val="22"/>
        </w:rPr>
        <w:lastRenderedPageBreak/>
        <w:t>периода (в основном вклад Организации в страховые взносы пенсионеров по МСПС)</w:t>
      </w:r>
      <w:r w:rsidR="006B1BEC">
        <w:rPr>
          <w:rFonts w:ascii="Arial" w:hAnsi="Arial"/>
          <w:sz w:val="22"/>
        </w:rPr>
        <w:t>.  В</w:t>
      </w:r>
      <w:r>
        <w:rPr>
          <w:rFonts w:ascii="Arial" w:hAnsi="Arial"/>
          <w:sz w:val="22"/>
        </w:rPr>
        <w:t xml:space="preserve"> результате корректировка по МСУГС, необходимая для покрытия оставшейся части от 10,2 млн шв. франков, на которые увеличились расходы по обязательствам по выплате пособий сотрудникам, составила 2,8 млн шв. франков.</w:t>
      </w:r>
    </w:p>
    <w:p w:rsidR="004837F5" w:rsidRPr="004837F5" w:rsidRDefault="005F29A3" w:rsidP="004837F5">
      <w:pPr>
        <w:numPr>
          <w:ilvl w:val="0"/>
          <w:numId w:val="10"/>
        </w:numPr>
        <w:tabs>
          <w:tab w:val="clear" w:pos="1174"/>
          <w:tab w:val="num" w:pos="720"/>
        </w:tabs>
        <w:spacing w:after="220"/>
        <w:ind w:left="720" w:hanging="360"/>
        <w:jc w:val="both"/>
        <w:rPr>
          <w:rFonts w:ascii="Arial" w:eastAsia="SimSun" w:hAnsi="Arial" w:cs="Arial"/>
          <w:sz w:val="22"/>
          <w:szCs w:val="22"/>
        </w:rPr>
      </w:pPr>
      <w:r>
        <w:rPr>
          <w:rFonts w:ascii="Arial" w:hAnsi="Arial"/>
          <w:sz w:val="22"/>
        </w:rPr>
        <w:t>Другие корректировки по МСУГС относятся к сокращению материально-производственных запасов (расход в размере 0,4 млн шв. франков) и снижению резерва по дебиторской задолженности по уплате начисленных взносов (доход в размере 0,3 млн шв. франков).</w:t>
      </w:r>
    </w:p>
    <w:p w:rsidR="00B9245C" w:rsidRDefault="005F29A3" w:rsidP="009A1F9C">
      <w:pPr>
        <w:numPr>
          <w:ilvl w:val="0"/>
          <w:numId w:val="11"/>
        </w:numPr>
        <w:tabs>
          <w:tab w:val="clear" w:pos="1174"/>
          <w:tab w:val="num" w:pos="720"/>
        </w:tabs>
        <w:ind w:left="720" w:hanging="360"/>
        <w:jc w:val="both"/>
        <w:rPr>
          <w:rFonts w:ascii="Arial" w:eastAsia="SimSun" w:hAnsi="Arial" w:cs="Arial"/>
          <w:sz w:val="22"/>
          <w:szCs w:val="22"/>
        </w:rPr>
      </w:pPr>
      <w:r>
        <w:rPr>
          <w:rFonts w:ascii="Arial" w:hAnsi="Arial"/>
          <w:sz w:val="22"/>
        </w:rPr>
        <w:t>В соответствии с МСУГС расходы, связанные со строительством и ремонтом зданий, были капитализированы</w:t>
      </w:r>
      <w:r w:rsidR="0005341A">
        <w:rPr>
          <w:rFonts w:ascii="Arial" w:hAnsi="Arial"/>
          <w:sz w:val="22"/>
        </w:rPr>
        <w:t>.  Э</w:t>
      </w:r>
      <w:r>
        <w:rPr>
          <w:rFonts w:ascii="Arial" w:hAnsi="Arial"/>
          <w:sz w:val="22"/>
        </w:rPr>
        <w:t>то привело к сокращению расходов в 2014 г. на 30,4 млн шв. франков</w:t>
      </w:r>
      <w:r w:rsidR="006B1BEC">
        <w:rPr>
          <w:rFonts w:ascii="Arial" w:hAnsi="Arial"/>
          <w:sz w:val="22"/>
        </w:rPr>
        <w:t>.  А</w:t>
      </w:r>
      <w:r>
        <w:rPr>
          <w:rFonts w:ascii="Arial" w:hAnsi="Arial"/>
          <w:sz w:val="22"/>
        </w:rPr>
        <w:t>налогично в соответствии с МСУГС расходы на приобретение определенного оборудования и программного обеспечения также капитализируются, в результате чего расходы за прошедший год дополнительно уменьшились на 2,0 млн шв. франков.</w:t>
      </w:r>
    </w:p>
    <w:p w:rsidR="009A1F9C" w:rsidRDefault="009A1F9C" w:rsidP="009A1F9C">
      <w:pPr>
        <w:jc w:val="both"/>
        <w:rPr>
          <w:rFonts w:ascii="Arial" w:eastAsia="SimSun" w:hAnsi="Arial" w:cs="Arial"/>
          <w:b/>
          <w:i/>
          <w:sz w:val="22"/>
          <w:szCs w:val="20"/>
        </w:rPr>
      </w:pPr>
    </w:p>
    <w:p w:rsidR="00B9245C" w:rsidRPr="00ED5474" w:rsidRDefault="005F29A3" w:rsidP="00B9245C">
      <w:pPr>
        <w:spacing w:after="220"/>
        <w:jc w:val="both"/>
        <w:rPr>
          <w:rFonts w:ascii="Arial" w:eastAsia="SimSun" w:hAnsi="Arial" w:cs="Arial"/>
          <w:b/>
          <w:i/>
          <w:sz w:val="22"/>
          <w:szCs w:val="20"/>
        </w:rPr>
      </w:pPr>
      <w:r>
        <w:rPr>
          <w:rFonts w:ascii="Arial" w:hAnsi="Arial"/>
          <w:b/>
          <w:i/>
          <w:sz w:val="22"/>
        </w:rPr>
        <w:t>Анализ доходов</w:t>
      </w:r>
    </w:p>
    <w:p w:rsidR="00B9245C" w:rsidRPr="00845C44" w:rsidRDefault="00C950F5" w:rsidP="00CA0CDD">
      <w:pPr>
        <w:jc w:val="center"/>
        <w:rPr>
          <w:rFonts w:ascii="Arial" w:eastAsia="SimSun" w:hAnsi="Arial" w:cs="Arial"/>
          <w:sz w:val="22"/>
          <w:szCs w:val="20"/>
          <w:u w:val="single"/>
        </w:rPr>
      </w:pPr>
      <w:r>
        <w:rPr>
          <w:rFonts w:ascii="Arial" w:hAnsi="Arial"/>
          <w:sz w:val="22"/>
          <w:u w:val="single"/>
        </w:rPr>
        <w:t>Структура доходов в</w:t>
      </w:r>
      <w:r w:rsidR="005F29A3">
        <w:rPr>
          <w:rFonts w:ascii="Arial" w:hAnsi="Arial"/>
          <w:sz w:val="22"/>
          <w:u w:val="single"/>
        </w:rPr>
        <w:t xml:space="preserve"> 2014 г. согласно МСУГС</w:t>
      </w:r>
    </w:p>
    <w:p w:rsidR="00CA0CDD" w:rsidRPr="00CA0CDD" w:rsidRDefault="005F29A3" w:rsidP="00CA0CDD">
      <w:pPr>
        <w:jc w:val="center"/>
        <w:rPr>
          <w:rFonts w:ascii="Arial" w:eastAsia="SimSun" w:hAnsi="Arial" w:cs="Arial"/>
          <w:i/>
          <w:sz w:val="22"/>
          <w:szCs w:val="20"/>
        </w:rPr>
      </w:pPr>
      <w:r>
        <w:rPr>
          <w:rFonts w:ascii="Arial" w:hAnsi="Arial"/>
          <w:i/>
          <w:sz w:val="22"/>
        </w:rPr>
        <w:t>(в млн шв. франков)</w:t>
      </w:r>
    </w:p>
    <w:p w:rsidR="00B9245C" w:rsidRPr="00B9245C" w:rsidRDefault="00634ABD" w:rsidP="009A1F9C">
      <w:pPr>
        <w:jc w:val="center"/>
        <w:rPr>
          <w:rFonts w:ascii="Arial" w:eastAsia="SimSun" w:hAnsi="Arial" w:cs="Arial"/>
          <w:i/>
          <w:sz w:val="22"/>
          <w:szCs w:val="22"/>
        </w:rPr>
      </w:pPr>
      <w:r>
        <w:rPr>
          <w:rFonts w:ascii="Arial" w:eastAsia="SimSun" w:hAnsi="Arial" w:cs="Arial"/>
          <w:i/>
          <w:noProof/>
          <w:sz w:val="22"/>
          <w:szCs w:val="22"/>
          <w:lang w:val="en-US" w:eastAsia="en-US"/>
        </w:rPr>
        <w:drawing>
          <wp:inline distT="0" distB="0" distL="0" distR="0">
            <wp:extent cx="4695825" cy="3016093"/>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95825" cy="3016093"/>
                    </a:xfrm>
                    <a:prstGeom prst="rect">
                      <a:avLst/>
                    </a:prstGeom>
                    <a:noFill/>
                    <a:ln>
                      <a:noFill/>
                    </a:ln>
                  </pic:spPr>
                </pic:pic>
              </a:graphicData>
            </a:graphic>
          </wp:inline>
        </w:drawing>
      </w:r>
    </w:p>
    <w:p w:rsidR="00B9245C" w:rsidRPr="00FA5E71" w:rsidRDefault="005F29A3" w:rsidP="009A1F9C">
      <w:pPr>
        <w:numPr>
          <w:ilvl w:val="0"/>
          <w:numId w:val="2"/>
        </w:numPr>
        <w:jc w:val="both"/>
        <w:rPr>
          <w:rFonts w:ascii="Arial" w:eastAsia="SimSun" w:hAnsi="Arial" w:cs="Arial"/>
          <w:sz w:val="22"/>
          <w:szCs w:val="22"/>
        </w:rPr>
      </w:pPr>
      <w:r>
        <w:rPr>
          <w:rFonts w:ascii="Arial" w:hAnsi="Arial"/>
          <w:sz w:val="22"/>
        </w:rPr>
        <w:t>Общий объем доходов Организации за 2014 г. составил 370,2 млн шв. франков, что представляет собой увеличение на 5,3% по сравнению с общим объемом доходов за 2013 г. в размере 351,6 млн </w:t>
      </w:r>
      <w:r w:rsidRPr="001311AA">
        <w:rPr>
          <w:rFonts w:ascii="Arial" w:hAnsi="Arial"/>
          <w:sz w:val="22"/>
        </w:rPr>
        <w:t>шв.</w:t>
      </w:r>
      <w:r w:rsidR="001311AA" w:rsidRPr="001311AA">
        <w:rPr>
          <w:rFonts w:ascii="Arial" w:hAnsi="Arial"/>
          <w:sz w:val="22"/>
        </w:rPr>
        <w:t> </w:t>
      </w:r>
      <w:r w:rsidRPr="001311AA">
        <w:rPr>
          <w:rFonts w:ascii="Arial" w:hAnsi="Arial"/>
          <w:sz w:val="22"/>
        </w:rPr>
        <w:t>франков</w:t>
      </w:r>
      <w:r w:rsidR="0005341A">
        <w:rPr>
          <w:rFonts w:ascii="Arial" w:hAnsi="Arial"/>
          <w:sz w:val="22"/>
        </w:rPr>
        <w:t>.  С</w:t>
      </w:r>
      <w:r>
        <w:rPr>
          <w:rFonts w:ascii="Arial" w:hAnsi="Arial"/>
          <w:sz w:val="22"/>
        </w:rPr>
        <w:t>амым крупным источником доходов в 2014 г. стали пошлины РСТ, на которые приходится 75,2% общего объема доходов</w:t>
      </w:r>
      <w:r w:rsidR="0005341A">
        <w:rPr>
          <w:rFonts w:ascii="Arial" w:hAnsi="Arial"/>
          <w:sz w:val="22"/>
        </w:rPr>
        <w:t>.  П</w:t>
      </w:r>
      <w:r>
        <w:rPr>
          <w:rFonts w:ascii="Arial" w:hAnsi="Arial"/>
          <w:sz w:val="22"/>
        </w:rPr>
        <w:t>о сравнению с 2013 г. объем доход</w:t>
      </w:r>
      <w:r w:rsidR="00136CD5">
        <w:rPr>
          <w:rFonts w:ascii="Arial" w:hAnsi="Arial"/>
          <w:sz w:val="22"/>
        </w:rPr>
        <w:t>ов от пошлин РСТ вырос на 8,2%.</w:t>
      </w:r>
    </w:p>
    <w:p w:rsidR="009A1F9C" w:rsidRPr="00FA5E71" w:rsidRDefault="009A1F9C" w:rsidP="009A1F9C">
      <w:pPr>
        <w:jc w:val="both"/>
        <w:rPr>
          <w:rFonts w:ascii="Arial" w:eastAsia="SimSun" w:hAnsi="Arial" w:cs="Arial"/>
          <w:sz w:val="22"/>
          <w:szCs w:val="22"/>
        </w:rPr>
      </w:pPr>
    </w:p>
    <w:p w:rsidR="009A1F9C" w:rsidRDefault="005F29A3" w:rsidP="009A1F9C">
      <w:pPr>
        <w:numPr>
          <w:ilvl w:val="0"/>
          <w:numId w:val="2"/>
        </w:numPr>
        <w:jc w:val="both"/>
        <w:rPr>
          <w:rFonts w:ascii="Arial" w:eastAsia="SimSun" w:hAnsi="Arial" w:cs="Arial"/>
          <w:sz w:val="22"/>
          <w:szCs w:val="22"/>
        </w:rPr>
      </w:pPr>
      <w:r>
        <w:rPr>
          <w:rFonts w:ascii="Arial" w:hAnsi="Arial"/>
          <w:sz w:val="22"/>
        </w:rPr>
        <w:t>Пошлины Мадридской системы стали вторым по величине источником доходов в 2014 г. (14,9% от общего объема), хотя их размер и снизился по сравнению с 2013 г. на 0,3 млн шв. франков</w:t>
      </w:r>
      <w:r w:rsidR="0005341A">
        <w:rPr>
          <w:rFonts w:ascii="Arial" w:hAnsi="Arial"/>
          <w:sz w:val="22"/>
        </w:rPr>
        <w:t>.  П</w:t>
      </w:r>
      <w:r>
        <w:rPr>
          <w:rFonts w:ascii="Arial" w:hAnsi="Arial"/>
          <w:sz w:val="22"/>
        </w:rPr>
        <w:t>ошлины Гаагской системы, начисленные и добровольные взносы и другие доходы (от инвестиций, публикаций, арбитража и посредничества, другие/прочие доходы и сборы) составляют остальные 9,9% совокупных доходов Организации</w:t>
      </w:r>
      <w:r w:rsidR="006B1BEC">
        <w:rPr>
          <w:rFonts w:ascii="Arial" w:hAnsi="Arial"/>
          <w:sz w:val="22"/>
        </w:rPr>
        <w:t>.  В</w:t>
      </w:r>
      <w:r>
        <w:rPr>
          <w:rFonts w:ascii="Arial" w:hAnsi="Arial"/>
          <w:sz w:val="22"/>
        </w:rPr>
        <w:t xml:space="preserve"> таблице ниже представлены сводные данные о динамике различных видов доходов в сравнении с предыдущим годом.</w:t>
      </w:r>
    </w:p>
    <w:p w:rsidR="001B392D" w:rsidRDefault="001B392D" w:rsidP="001B392D">
      <w:pPr>
        <w:pStyle w:val="ListParagraph"/>
        <w:rPr>
          <w:rFonts w:ascii="Arial" w:eastAsia="SimSun" w:hAnsi="Arial" w:cs="Arial"/>
          <w:sz w:val="22"/>
          <w:szCs w:val="22"/>
        </w:rPr>
      </w:pPr>
    </w:p>
    <w:p w:rsidR="001B392D" w:rsidRPr="00845C44" w:rsidRDefault="005F29A3" w:rsidP="001B392D">
      <w:pPr>
        <w:jc w:val="center"/>
        <w:rPr>
          <w:rFonts w:ascii="Arial" w:eastAsia="SimSun" w:hAnsi="Arial" w:cs="Arial"/>
          <w:sz w:val="22"/>
          <w:szCs w:val="22"/>
          <w:u w:val="single"/>
        </w:rPr>
      </w:pPr>
      <w:r>
        <w:br w:type="page"/>
      </w:r>
      <w:r>
        <w:rPr>
          <w:rFonts w:ascii="Arial" w:hAnsi="Arial"/>
          <w:sz w:val="22"/>
          <w:u w:val="single"/>
        </w:rPr>
        <w:lastRenderedPageBreak/>
        <w:t>Изменения объема доходов за 2014 г. в сравнении с 2013 г.</w:t>
      </w:r>
    </w:p>
    <w:p w:rsidR="001B392D" w:rsidRDefault="001B392D" w:rsidP="001B392D">
      <w:pPr>
        <w:jc w:val="center"/>
        <w:rPr>
          <w:rFonts w:ascii="Arial" w:eastAsia="SimSun" w:hAnsi="Arial" w:cs="Arial"/>
          <w:sz w:val="22"/>
          <w:szCs w:val="22"/>
        </w:rPr>
      </w:pPr>
    </w:p>
    <w:p w:rsidR="009A1F9C" w:rsidRPr="009A1F9C" w:rsidRDefault="00634ABD" w:rsidP="001B392D">
      <w:pPr>
        <w:jc w:val="center"/>
        <w:rPr>
          <w:rFonts w:ascii="Arial" w:eastAsia="SimSun" w:hAnsi="Arial" w:cs="Arial"/>
          <w:sz w:val="22"/>
          <w:szCs w:val="22"/>
        </w:rPr>
      </w:pPr>
      <w:r>
        <w:rPr>
          <w:rFonts w:ascii="Arial" w:eastAsia="SimSun" w:hAnsi="Arial" w:cs="Arial"/>
          <w:noProof/>
          <w:sz w:val="22"/>
          <w:szCs w:val="22"/>
          <w:lang w:val="en-US" w:eastAsia="en-US"/>
        </w:rPr>
        <w:drawing>
          <wp:inline distT="0" distB="0" distL="0" distR="0">
            <wp:extent cx="5972175" cy="33909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72175" cy="3390900"/>
                    </a:xfrm>
                    <a:prstGeom prst="rect">
                      <a:avLst/>
                    </a:prstGeom>
                    <a:noFill/>
                    <a:ln>
                      <a:noFill/>
                    </a:ln>
                  </pic:spPr>
                </pic:pic>
              </a:graphicData>
            </a:graphic>
          </wp:inline>
        </w:drawing>
      </w:r>
    </w:p>
    <w:p w:rsidR="00902E69" w:rsidRDefault="005F29A3" w:rsidP="00F73729">
      <w:pPr>
        <w:numPr>
          <w:ilvl w:val="0"/>
          <w:numId w:val="2"/>
        </w:numPr>
        <w:spacing w:after="220"/>
        <w:jc w:val="both"/>
        <w:rPr>
          <w:rFonts w:ascii="Arial" w:eastAsia="SimSun" w:hAnsi="Arial" w:cs="Arial"/>
          <w:sz w:val="22"/>
          <w:szCs w:val="22"/>
        </w:rPr>
      </w:pPr>
      <w:r>
        <w:rPr>
          <w:rFonts w:ascii="Arial" w:hAnsi="Arial"/>
          <w:sz w:val="22"/>
        </w:rPr>
        <w:t>Активность пользователей системы РСТ в 2014 г. продолжала расти, и общее число поданных в 2014 г. заявок составило 214 900 (на основе оценки, подготовленной в феврале 2015 г.)</w:t>
      </w:r>
      <w:r w:rsidR="0005341A">
        <w:rPr>
          <w:rFonts w:ascii="Arial" w:hAnsi="Arial"/>
          <w:sz w:val="22"/>
        </w:rPr>
        <w:t>.  Ч</w:t>
      </w:r>
      <w:r>
        <w:rPr>
          <w:rFonts w:ascii="Arial" w:hAnsi="Arial"/>
          <w:sz w:val="22"/>
        </w:rPr>
        <w:t>исло поданных заявок по РСТ позволяет судить об уровне поступлений от пошлин РСТ, и этот показатель растет год от года, начиная с 2010 г</w:t>
      </w:r>
      <w:r w:rsidR="0005341A">
        <w:rPr>
          <w:rFonts w:ascii="Arial" w:hAnsi="Arial"/>
          <w:sz w:val="22"/>
        </w:rPr>
        <w:t>.  П</w:t>
      </w:r>
      <w:r>
        <w:rPr>
          <w:rFonts w:ascii="Arial" w:hAnsi="Arial"/>
          <w:sz w:val="22"/>
        </w:rPr>
        <w:t>рогнозы, подготовленные в январе 2015 г., говорят о том, что число заявок бу</w:t>
      </w:r>
      <w:r w:rsidR="00136CD5">
        <w:rPr>
          <w:rFonts w:ascii="Arial" w:hAnsi="Arial"/>
          <w:sz w:val="22"/>
        </w:rPr>
        <w:t>дет расти в следующие три года.</w:t>
      </w:r>
    </w:p>
    <w:p w:rsidR="003B559A" w:rsidRPr="00845C44" w:rsidRDefault="005F29A3" w:rsidP="001B392D">
      <w:pPr>
        <w:jc w:val="center"/>
        <w:rPr>
          <w:rFonts w:ascii="Arial" w:eastAsia="SimSun" w:hAnsi="Arial" w:cs="Arial"/>
          <w:sz w:val="22"/>
          <w:szCs w:val="22"/>
          <w:u w:val="single"/>
        </w:rPr>
      </w:pPr>
      <w:r>
        <w:rPr>
          <w:rFonts w:ascii="Arial" w:hAnsi="Arial"/>
          <w:sz w:val="22"/>
          <w:u w:val="single"/>
        </w:rPr>
        <w:t>Число заявок по процедуре PCT, 2010–2017 гг.</w:t>
      </w:r>
    </w:p>
    <w:p w:rsidR="003B559A" w:rsidRDefault="00634ABD" w:rsidP="003B559A">
      <w:pPr>
        <w:spacing w:after="220"/>
        <w:jc w:val="center"/>
        <w:rPr>
          <w:rFonts w:ascii="Arial" w:eastAsia="SimSun" w:hAnsi="Arial" w:cs="Arial"/>
          <w:sz w:val="22"/>
          <w:szCs w:val="22"/>
        </w:rPr>
      </w:pPr>
      <w:r>
        <w:rPr>
          <w:rFonts w:ascii="Arial" w:eastAsia="SimSun" w:hAnsi="Arial" w:cs="Arial"/>
          <w:noProof/>
          <w:sz w:val="22"/>
          <w:szCs w:val="22"/>
          <w:lang w:val="en-US" w:eastAsia="en-US"/>
        </w:rPr>
        <w:drawing>
          <wp:inline distT="0" distB="0" distL="0" distR="0">
            <wp:extent cx="4572000" cy="273367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72000" cy="2733675"/>
                    </a:xfrm>
                    <a:prstGeom prst="rect">
                      <a:avLst/>
                    </a:prstGeom>
                    <a:noFill/>
                    <a:ln>
                      <a:noFill/>
                    </a:ln>
                  </pic:spPr>
                </pic:pic>
              </a:graphicData>
            </a:graphic>
          </wp:inline>
        </w:drawing>
      </w:r>
    </w:p>
    <w:p w:rsidR="00F22EC4" w:rsidRDefault="005F29A3" w:rsidP="00F73729">
      <w:pPr>
        <w:numPr>
          <w:ilvl w:val="0"/>
          <w:numId w:val="2"/>
        </w:numPr>
        <w:spacing w:after="220"/>
        <w:jc w:val="both"/>
        <w:rPr>
          <w:rFonts w:ascii="Arial" w:eastAsia="SimSun" w:hAnsi="Arial" w:cs="Arial"/>
          <w:sz w:val="22"/>
          <w:szCs w:val="22"/>
        </w:rPr>
      </w:pPr>
      <w:r>
        <w:rPr>
          <w:rFonts w:ascii="Arial" w:hAnsi="Arial"/>
          <w:sz w:val="22"/>
        </w:rPr>
        <w:t>Доход системы РСТ в основном складывается из международных пошлин за подачу заявки (основная пошлина и пошлина за дополнительные страницы за вычетом скидок для электронной подачи заявок и для наименее развитых стран)</w:t>
      </w:r>
      <w:r w:rsidR="0005341A">
        <w:rPr>
          <w:rFonts w:ascii="Arial" w:hAnsi="Arial"/>
          <w:sz w:val="22"/>
        </w:rPr>
        <w:t>.  О</w:t>
      </w:r>
      <w:r>
        <w:rPr>
          <w:rFonts w:ascii="Arial" w:hAnsi="Arial"/>
          <w:sz w:val="22"/>
        </w:rPr>
        <w:t>бщий показатель дохода от пошлин в системе РСТ также включает другие пошлины (за обработку и перевод), а также курсовые прибыли и убытки:</w:t>
      </w:r>
    </w:p>
    <w:p w:rsidR="00AD4A36" w:rsidRPr="00CB44CD" w:rsidRDefault="005F29A3" w:rsidP="00AD4A36">
      <w:pPr>
        <w:spacing w:after="220"/>
        <w:jc w:val="center"/>
        <w:rPr>
          <w:rFonts w:ascii="Arial" w:eastAsia="SimSun" w:hAnsi="Arial" w:cs="Arial"/>
          <w:sz w:val="22"/>
          <w:szCs w:val="22"/>
          <w:u w:val="single"/>
        </w:rPr>
      </w:pPr>
      <w:r>
        <w:br w:type="page"/>
      </w:r>
      <w:r>
        <w:rPr>
          <w:rFonts w:ascii="Arial" w:hAnsi="Arial"/>
          <w:sz w:val="22"/>
          <w:u w:val="single"/>
        </w:rPr>
        <w:lastRenderedPageBreak/>
        <w:t>Пошлины системы РСТ в разбивке по типам, 2012–2014 гг.</w:t>
      </w:r>
    </w:p>
    <w:p w:rsidR="002C3006" w:rsidRDefault="00634ABD" w:rsidP="00AD4A36">
      <w:pPr>
        <w:spacing w:after="220"/>
        <w:jc w:val="center"/>
        <w:rPr>
          <w:rFonts w:ascii="Arial" w:eastAsia="SimSun" w:hAnsi="Arial" w:cs="Arial"/>
          <w:sz w:val="22"/>
          <w:szCs w:val="22"/>
        </w:rPr>
      </w:pPr>
      <w:r>
        <w:rPr>
          <w:rFonts w:ascii="Arial" w:eastAsia="SimSun" w:hAnsi="Arial" w:cs="Arial"/>
          <w:noProof/>
          <w:sz w:val="22"/>
          <w:szCs w:val="22"/>
          <w:lang w:val="en-US" w:eastAsia="en-US"/>
        </w:rPr>
        <w:drawing>
          <wp:inline distT="0" distB="0" distL="0" distR="0">
            <wp:extent cx="5000625" cy="1743075"/>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00625" cy="1743075"/>
                    </a:xfrm>
                    <a:prstGeom prst="rect">
                      <a:avLst/>
                    </a:prstGeom>
                    <a:noFill/>
                    <a:ln>
                      <a:noFill/>
                    </a:ln>
                  </pic:spPr>
                </pic:pic>
              </a:graphicData>
            </a:graphic>
          </wp:inline>
        </w:drawing>
      </w:r>
    </w:p>
    <w:p w:rsidR="004E2B48" w:rsidRDefault="005F29A3" w:rsidP="00F73729">
      <w:pPr>
        <w:numPr>
          <w:ilvl w:val="0"/>
          <w:numId w:val="2"/>
        </w:numPr>
        <w:spacing w:after="220"/>
        <w:jc w:val="both"/>
        <w:rPr>
          <w:rFonts w:ascii="Arial" w:eastAsia="SimSun" w:hAnsi="Arial" w:cs="Arial"/>
          <w:sz w:val="22"/>
          <w:szCs w:val="22"/>
        </w:rPr>
      </w:pPr>
      <w:r>
        <w:rPr>
          <w:rFonts w:ascii="Arial" w:hAnsi="Arial"/>
          <w:sz w:val="22"/>
        </w:rPr>
        <w:t>В финансовых ведомостях, составленных в соответствии с МСУГС, доходы от международных пошлин за подачу заявок по РСТ признаются только после публикации последних</w:t>
      </w:r>
      <w:r w:rsidR="006B1BEC">
        <w:rPr>
          <w:rFonts w:ascii="Arial" w:hAnsi="Arial"/>
          <w:sz w:val="22"/>
        </w:rPr>
        <w:t>.  В</w:t>
      </w:r>
      <w:r>
        <w:rPr>
          <w:rFonts w:ascii="Arial" w:hAnsi="Arial"/>
          <w:sz w:val="22"/>
        </w:rPr>
        <w:t xml:space="preserve"> большинстве случаев публикация производится через шесть месяцев после подачи международной заявки по процедуре PCT</w:t>
      </w:r>
      <w:r w:rsidR="0005341A">
        <w:rPr>
          <w:rFonts w:ascii="Arial" w:hAnsi="Arial"/>
          <w:sz w:val="22"/>
        </w:rPr>
        <w:t>.  П</w:t>
      </w:r>
      <w:r>
        <w:rPr>
          <w:rFonts w:ascii="Arial" w:hAnsi="Arial"/>
          <w:sz w:val="22"/>
        </w:rPr>
        <w:t>ри подаче заявки признается дебиторская задолженность, которая существует до тех пор, пока Организация не получит соответствующую пошлину</w:t>
      </w:r>
      <w:r w:rsidR="0005341A">
        <w:rPr>
          <w:rFonts w:ascii="Arial" w:hAnsi="Arial"/>
          <w:sz w:val="22"/>
        </w:rPr>
        <w:t>.  Д</w:t>
      </w:r>
      <w:r>
        <w:rPr>
          <w:rFonts w:ascii="Arial" w:hAnsi="Arial"/>
          <w:sz w:val="22"/>
        </w:rPr>
        <w:t>ля каждой подачи до публикации признается пассив в виде отсроченных поступлений</w:t>
      </w:r>
      <w:r w:rsidR="0005341A">
        <w:rPr>
          <w:rFonts w:ascii="Arial" w:hAnsi="Arial"/>
          <w:sz w:val="22"/>
        </w:rPr>
        <w:t>.  У</w:t>
      </w:r>
      <w:r>
        <w:rPr>
          <w:rFonts w:ascii="Arial" w:hAnsi="Arial"/>
          <w:sz w:val="22"/>
        </w:rPr>
        <w:t>чет для целей Программы и бюджета осуществляется иначе</w:t>
      </w:r>
      <w:r w:rsidR="008861C2">
        <w:rPr>
          <w:rFonts w:ascii="Arial" w:hAnsi="Arial"/>
          <w:sz w:val="22"/>
        </w:rPr>
        <w:t>:  в</w:t>
      </w:r>
      <w:r>
        <w:rPr>
          <w:rFonts w:ascii="Arial" w:hAnsi="Arial"/>
          <w:sz w:val="22"/>
        </w:rPr>
        <w:t xml:space="preserve"> этом случае доходы признаются при получении денежных средств в виде оплаты пошлины</w:t>
      </w:r>
      <w:r w:rsidR="0005341A">
        <w:rPr>
          <w:rFonts w:ascii="Arial" w:hAnsi="Arial"/>
          <w:sz w:val="22"/>
        </w:rPr>
        <w:t>.  Е</w:t>
      </w:r>
      <w:r>
        <w:rPr>
          <w:rFonts w:ascii="Arial" w:hAnsi="Arial"/>
          <w:sz w:val="22"/>
        </w:rPr>
        <w:t>сли посмотреть на поступления от международных пошлин за подачу заявок по процедуре РСТ, признаваемые в соответствии с МСУГС, то увидим, что этот показатель растет вместе с числом ежегодных публикаций:</w:t>
      </w:r>
    </w:p>
    <w:p w:rsidR="004E2B48" w:rsidRPr="00845C44" w:rsidRDefault="005F29A3" w:rsidP="00E81D53">
      <w:pPr>
        <w:jc w:val="center"/>
        <w:rPr>
          <w:rFonts w:ascii="Arial" w:eastAsia="SimSun" w:hAnsi="Arial" w:cs="Arial"/>
          <w:sz w:val="22"/>
          <w:szCs w:val="22"/>
          <w:u w:val="single"/>
        </w:rPr>
      </w:pPr>
      <w:r>
        <w:rPr>
          <w:rFonts w:ascii="Arial" w:hAnsi="Arial"/>
          <w:sz w:val="22"/>
          <w:u w:val="single"/>
        </w:rPr>
        <w:t>РСТ: международные пошлины за подачу заявок и публикации, 2012–2014 гг.</w:t>
      </w:r>
    </w:p>
    <w:p w:rsidR="004E2B48" w:rsidRDefault="00634ABD" w:rsidP="008E2667">
      <w:pPr>
        <w:jc w:val="center"/>
        <w:rPr>
          <w:rFonts w:ascii="Arial" w:eastAsia="SimSun" w:hAnsi="Arial" w:cs="Arial"/>
          <w:sz w:val="22"/>
          <w:szCs w:val="22"/>
        </w:rPr>
      </w:pPr>
      <w:r>
        <w:rPr>
          <w:rFonts w:ascii="Arial" w:eastAsia="SimSun" w:hAnsi="Arial" w:cs="Arial"/>
          <w:noProof/>
          <w:sz w:val="22"/>
          <w:szCs w:val="22"/>
          <w:lang w:val="en-US" w:eastAsia="en-US"/>
        </w:rPr>
        <w:drawing>
          <wp:inline distT="0" distB="0" distL="0" distR="0">
            <wp:extent cx="5762625" cy="3152775"/>
            <wp:effectExtent l="0" t="0" r="9525"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2625" cy="3152775"/>
                    </a:xfrm>
                    <a:prstGeom prst="rect">
                      <a:avLst/>
                    </a:prstGeom>
                    <a:noFill/>
                    <a:ln>
                      <a:noFill/>
                    </a:ln>
                  </pic:spPr>
                </pic:pic>
              </a:graphicData>
            </a:graphic>
          </wp:inline>
        </w:drawing>
      </w:r>
    </w:p>
    <w:p w:rsidR="00B9245C" w:rsidRPr="00D910E2" w:rsidRDefault="005F29A3" w:rsidP="00F73729">
      <w:pPr>
        <w:numPr>
          <w:ilvl w:val="0"/>
          <w:numId w:val="2"/>
        </w:numPr>
        <w:spacing w:after="220"/>
        <w:jc w:val="both"/>
        <w:rPr>
          <w:rFonts w:ascii="Arial" w:eastAsia="SimSun" w:hAnsi="Arial" w:cs="Arial"/>
          <w:sz w:val="22"/>
          <w:szCs w:val="22"/>
        </w:rPr>
      </w:pPr>
      <w:r>
        <w:rPr>
          <w:rFonts w:ascii="Arial" w:hAnsi="Arial"/>
          <w:sz w:val="22"/>
        </w:rPr>
        <w:t>Курсовые прибыли и убытки по международным пошлинам за подачу заявок в системе РСТ фиксируются при получении пошлин в валюте, отличной от швейцарского франка</w:t>
      </w:r>
      <w:r w:rsidR="0005341A">
        <w:rPr>
          <w:rFonts w:ascii="Arial" w:hAnsi="Arial"/>
          <w:sz w:val="22"/>
        </w:rPr>
        <w:t>.  К</w:t>
      </w:r>
      <w:r>
        <w:rPr>
          <w:rFonts w:ascii="Arial" w:hAnsi="Arial"/>
          <w:sz w:val="22"/>
        </w:rPr>
        <w:t>аждый год ВОИС устанавливает эквивалентные значения пошлин в разных валютах</w:t>
      </w:r>
      <w:r w:rsidR="0005341A">
        <w:rPr>
          <w:rFonts w:ascii="Arial" w:hAnsi="Arial"/>
          <w:sz w:val="22"/>
        </w:rPr>
        <w:t>.  Э</w:t>
      </w:r>
      <w:r>
        <w:rPr>
          <w:rFonts w:ascii="Arial" w:hAnsi="Arial"/>
          <w:sz w:val="22"/>
        </w:rPr>
        <w:t>квиваленты, действующие в день подачи заявки, определяют, сколько именно необходимо заплатить в местной валюте</w:t>
      </w:r>
      <w:r w:rsidR="0005341A">
        <w:rPr>
          <w:rFonts w:ascii="Arial" w:hAnsi="Arial"/>
          <w:sz w:val="22"/>
        </w:rPr>
        <w:t>.  С</w:t>
      </w:r>
      <w:r>
        <w:rPr>
          <w:rFonts w:ascii="Arial" w:hAnsi="Arial"/>
          <w:sz w:val="22"/>
        </w:rPr>
        <w:t>уммы, фактически признаваемые ВОИС в швейцарских франках, определяются системой установления ежемесячного оперативного обменного курса Организации Объединенных Наций (ООКООН) на дату получения платежа</w:t>
      </w:r>
      <w:r w:rsidR="0005341A">
        <w:rPr>
          <w:rFonts w:ascii="Arial" w:hAnsi="Arial"/>
          <w:sz w:val="22"/>
        </w:rPr>
        <w:t>.  К</w:t>
      </w:r>
      <w:r>
        <w:rPr>
          <w:rFonts w:ascii="Arial" w:hAnsi="Arial"/>
          <w:sz w:val="22"/>
        </w:rPr>
        <w:t>урсовая прибыль или убыток представляют собой разницу между эквивалентной суммой в швейцарских франках и фактической суммой в швейцарских франках на день платежа</w:t>
      </w:r>
      <w:r w:rsidR="006B1BEC">
        <w:rPr>
          <w:rFonts w:ascii="Arial" w:hAnsi="Arial"/>
          <w:sz w:val="22"/>
        </w:rPr>
        <w:t>.  В</w:t>
      </w:r>
      <w:r>
        <w:rPr>
          <w:rFonts w:ascii="Arial" w:hAnsi="Arial"/>
          <w:sz w:val="22"/>
        </w:rPr>
        <w:t xml:space="preserve"> 2014 г. Организация получила чистый курсовой убыток по </w:t>
      </w:r>
      <w:r>
        <w:rPr>
          <w:rFonts w:ascii="Arial" w:hAnsi="Arial"/>
          <w:sz w:val="22"/>
        </w:rPr>
        <w:lastRenderedPageBreak/>
        <w:t>пошлинам РСТ в размере 1,7 млн шв. франков (международные пошлины за подачу заявок и пошлины за обработку)</w:t>
      </w:r>
      <w:r w:rsidR="0005341A">
        <w:rPr>
          <w:rFonts w:ascii="Arial" w:hAnsi="Arial"/>
          <w:sz w:val="22"/>
        </w:rPr>
        <w:t>.  О</w:t>
      </w:r>
      <w:r>
        <w:rPr>
          <w:rFonts w:ascii="Arial" w:hAnsi="Arial"/>
          <w:sz w:val="22"/>
        </w:rPr>
        <w:t>сновным источником убытков стали платежи в японской иене (убыток составил 1,3 млн шв. франков)</w:t>
      </w:r>
      <w:r w:rsidR="006B1BEC">
        <w:rPr>
          <w:rFonts w:ascii="Arial" w:hAnsi="Arial"/>
          <w:sz w:val="22"/>
        </w:rPr>
        <w:t>.  В</w:t>
      </w:r>
      <w:r>
        <w:rPr>
          <w:rFonts w:ascii="Arial" w:hAnsi="Arial"/>
          <w:sz w:val="22"/>
        </w:rPr>
        <w:t xml:space="preserve"> 2013 г. Организация получила чистый курсовой убыток по пошлинам РСТ в размере 6,0 млн шв. франков, а в 2012 г. – чистую прибыль в размере 7,5 млн шв. франков.</w:t>
      </w:r>
    </w:p>
    <w:p w:rsidR="00D910E2" w:rsidRPr="00845C44" w:rsidRDefault="005F29A3" w:rsidP="00D910E2">
      <w:pPr>
        <w:spacing w:after="220"/>
        <w:jc w:val="center"/>
        <w:rPr>
          <w:rFonts w:ascii="Arial" w:eastAsia="SimSun" w:hAnsi="Arial" w:cs="Arial"/>
          <w:sz w:val="22"/>
          <w:szCs w:val="22"/>
          <w:u w:val="single"/>
        </w:rPr>
      </w:pPr>
      <w:r>
        <w:rPr>
          <w:rFonts w:ascii="Arial" w:hAnsi="Arial"/>
          <w:sz w:val="22"/>
          <w:u w:val="single"/>
        </w:rPr>
        <w:t>Курсовая прибыль/убыток по пошлинам РСТ в разбивке по валютам, 2012–2014 гг.</w:t>
      </w:r>
    </w:p>
    <w:p w:rsidR="00D910E2" w:rsidRPr="00634ABD" w:rsidRDefault="00634ABD" w:rsidP="00E81D53">
      <w:pPr>
        <w:jc w:val="center"/>
        <w:rPr>
          <w:rFonts w:ascii="Arial" w:eastAsia="SimSun" w:hAnsi="Arial" w:cs="Arial"/>
          <w:sz w:val="22"/>
          <w:szCs w:val="22"/>
        </w:rPr>
      </w:pPr>
      <w:r>
        <w:rPr>
          <w:rFonts w:ascii="Arial" w:eastAsia="SimSun" w:hAnsi="Arial" w:cs="Arial"/>
          <w:noProof/>
          <w:sz w:val="22"/>
          <w:szCs w:val="22"/>
          <w:lang w:val="en-US" w:eastAsia="en-US"/>
        </w:rPr>
        <w:drawing>
          <wp:inline distT="0" distB="0" distL="0" distR="0">
            <wp:extent cx="5086350" cy="17145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86350" cy="1714500"/>
                    </a:xfrm>
                    <a:prstGeom prst="rect">
                      <a:avLst/>
                    </a:prstGeom>
                    <a:noFill/>
                    <a:ln>
                      <a:noFill/>
                    </a:ln>
                  </pic:spPr>
                </pic:pic>
              </a:graphicData>
            </a:graphic>
          </wp:inline>
        </w:drawing>
      </w:r>
    </w:p>
    <w:p w:rsidR="00D910E2" w:rsidRDefault="005F29A3" w:rsidP="00E81D53">
      <w:pPr>
        <w:numPr>
          <w:ilvl w:val="0"/>
          <w:numId w:val="2"/>
        </w:numPr>
        <w:jc w:val="both"/>
        <w:rPr>
          <w:rFonts w:ascii="Arial" w:eastAsia="SimSun" w:hAnsi="Arial" w:cs="Arial"/>
          <w:sz w:val="22"/>
          <w:szCs w:val="22"/>
        </w:rPr>
      </w:pPr>
      <w:r>
        <w:rPr>
          <w:rFonts w:ascii="Arial" w:hAnsi="Arial"/>
          <w:sz w:val="22"/>
        </w:rPr>
        <w:t>Эквивалентные суммы пошлин в валютах, отличных от швейцарского франка, устанавливаются для каждого года в соответствии с обменными курсами, превалировавшими в первый понедельник октября предыдущего года</w:t>
      </w:r>
      <w:r w:rsidR="0005341A">
        <w:rPr>
          <w:rFonts w:ascii="Arial" w:hAnsi="Arial"/>
          <w:sz w:val="22"/>
        </w:rPr>
        <w:t>.  Э</w:t>
      </w:r>
      <w:r>
        <w:rPr>
          <w:rFonts w:ascii="Arial" w:hAnsi="Arial"/>
          <w:sz w:val="22"/>
        </w:rPr>
        <w:t>квивалентные суммы могут быть пересмотрены в течение года, если обменный курс другой валютой к швейцарскому франку изменится на 5% или более на протяжении более четырех идущих друг за другом пятниц</w:t>
      </w:r>
      <w:r w:rsidR="0005341A">
        <w:rPr>
          <w:rFonts w:ascii="Arial" w:hAnsi="Arial"/>
          <w:sz w:val="22"/>
        </w:rPr>
        <w:t>.  Т</w:t>
      </w:r>
      <w:r>
        <w:rPr>
          <w:rFonts w:ascii="Arial" w:hAnsi="Arial"/>
          <w:sz w:val="22"/>
        </w:rPr>
        <w:t>аблицы ниже иллюстрируют расхождение между обменным курсом, который использовался для определения эквивалентных сумм, и курсом ООКООН в 2012–2014 гг. для доллара США, японской иены и евро:</w:t>
      </w:r>
    </w:p>
    <w:p w:rsidR="001B392D" w:rsidRDefault="001B392D" w:rsidP="00E81D53">
      <w:pPr>
        <w:jc w:val="center"/>
        <w:rPr>
          <w:rFonts w:ascii="Arial" w:eastAsia="SimSun" w:hAnsi="Arial" w:cs="Arial"/>
          <w:sz w:val="22"/>
          <w:szCs w:val="22"/>
        </w:rPr>
      </w:pPr>
    </w:p>
    <w:p w:rsidR="001B392D" w:rsidRPr="00CB44CD" w:rsidRDefault="005F29A3" w:rsidP="001B392D">
      <w:pPr>
        <w:jc w:val="center"/>
        <w:rPr>
          <w:rFonts w:ascii="Arial" w:eastAsia="SimSun" w:hAnsi="Arial" w:cs="Arial"/>
          <w:sz w:val="22"/>
          <w:szCs w:val="22"/>
          <w:u w:val="single"/>
        </w:rPr>
      </w:pPr>
      <w:r>
        <w:rPr>
          <w:rFonts w:ascii="Arial" w:hAnsi="Arial"/>
          <w:sz w:val="22"/>
          <w:u w:val="single"/>
        </w:rPr>
        <w:t>USD – Сравнение «эквивалентного курса» и курса ООКООН, 2012-2014 гг.</w:t>
      </w:r>
    </w:p>
    <w:p w:rsidR="00210093" w:rsidRDefault="00634ABD" w:rsidP="001B392D">
      <w:pPr>
        <w:jc w:val="center"/>
        <w:rPr>
          <w:rFonts w:eastAsia="SimSun"/>
        </w:rPr>
      </w:pPr>
      <w:r>
        <w:rPr>
          <w:rFonts w:eastAsia="SimSun"/>
          <w:noProof/>
          <w:lang w:val="en-US" w:eastAsia="en-US"/>
        </w:rPr>
        <w:drawing>
          <wp:inline distT="0" distB="0" distL="0" distR="0">
            <wp:extent cx="4572000" cy="2733675"/>
            <wp:effectExtent l="0" t="0" r="0"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0" cy="2733675"/>
                    </a:xfrm>
                    <a:prstGeom prst="rect">
                      <a:avLst/>
                    </a:prstGeom>
                    <a:noFill/>
                    <a:ln>
                      <a:noFill/>
                    </a:ln>
                  </pic:spPr>
                </pic:pic>
              </a:graphicData>
            </a:graphic>
          </wp:inline>
        </w:drawing>
      </w:r>
    </w:p>
    <w:p w:rsidR="008E2667" w:rsidRDefault="008E2667" w:rsidP="001B392D">
      <w:pPr>
        <w:jc w:val="center"/>
        <w:rPr>
          <w:rFonts w:eastAsia="SimSun"/>
        </w:rPr>
      </w:pPr>
    </w:p>
    <w:p w:rsidR="00634ABD" w:rsidRDefault="00634ABD">
      <w:pPr>
        <w:rPr>
          <w:rFonts w:ascii="Arial" w:hAnsi="Arial"/>
          <w:sz w:val="22"/>
          <w:u w:val="single"/>
        </w:rPr>
      </w:pPr>
      <w:r>
        <w:rPr>
          <w:rFonts w:ascii="Arial" w:hAnsi="Arial"/>
          <w:sz w:val="22"/>
          <w:u w:val="single"/>
        </w:rPr>
        <w:br w:type="page"/>
      </w:r>
    </w:p>
    <w:p w:rsidR="003E6C2E" w:rsidRPr="00CB44CD" w:rsidRDefault="005F29A3" w:rsidP="00E81D53">
      <w:pPr>
        <w:jc w:val="center"/>
        <w:rPr>
          <w:rFonts w:ascii="Arial" w:eastAsia="SimSun" w:hAnsi="Arial" w:cs="Arial"/>
          <w:sz w:val="22"/>
          <w:szCs w:val="22"/>
          <w:u w:val="single"/>
        </w:rPr>
      </w:pPr>
      <w:r>
        <w:rPr>
          <w:rFonts w:ascii="Arial" w:hAnsi="Arial"/>
          <w:sz w:val="22"/>
          <w:u w:val="single"/>
        </w:rPr>
        <w:lastRenderedPageBreak/>
        <w:t>JPY – Сравнение «эквивалентного курса» и курса ООКООН, 2012-2014 гг.</w:t>
      </w:r>
    </w:p>
    <w:p w:rsidR="008776EB" w:rsidRDefault="008776EB" w:rsidP="00E81D53">
      <w:pPr>
        <w:jc w:val="center"/>
      </w:pPr>
    </w:p>
    <w:p w:rsidR="003E6C2E" w:rsidRPr="00634ABD" w:rsidRDefault="00634ABD" w:rsidP="00E81D53">
      <w:pPr>
        <w:jc w:val="center"/>
      </w:pPr>
      <w:r>
        <w:rPr>
          <w:noProof/>
          <w:lang w:val="en-US" w:eastAsia="en-US"/>
        </w:rPr>
        <w:drawing>
          <wp:inline distT="0" distB="0" distL="0" distR="0">
            <wp:extent cx="4572000" cy="2733675"/>
            <wp:effectExtent l="0" t="0" r="0" b="952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72000" cy="2733675"/>
                    </a:xfrm>
                    <a:prstGeom prst="rect">
                      <a:avLst/>
                    </a:prstGeom>
                    <a:noFill/>
                    <a:ln>
                      <a:noFill/>
                    </a:ln>
                  </pic:spPr>
                </pic:pic>
              </a:graphicData>
            </a:graphic>
          </wp:inline>
        </w:drawing>
      </w:r>
    </w:p>
    <w:p w:rsidR="00690EB2" w:rsidRPr="005713A6" w:rsidRDefault="00690EB2" w:rsidP="00E81D53">
      <w:pPr>
        <w:jc w:val="center"/>
      </w:pPr>
    </w:p>
    <w:p w:rsidR="00243546" w:rsidRPr="005713A6" w:rsidRDefault="005F29A3" w:rsidP="00243546">
      <w:pPr>
        <w:jc w:val="center"/>
        <w:rPr>
          <w:rFonts w:ascii="Arial" w:eastAsia="SimSun" w:hAnsi="Arial" w:cs="Arial"/>
          <w:sz w:val="22"/>
          <w:szCs w:val="22"/>
          <w:u w:val="single"/>
        </w:rPr>
      </w:pPr>
      <w:r>
        <w:rPr>
          <w:rFonts w:ascii="Arial" w:hAnsi="Arial"/>
          <w:sz w:val="22"/>
          <w:u w:val="single"/>
        </w:rPr>
        <w:t>EUR – Сравнение «эквивалентного курса» и курса ООКООН, 2012-2014 гг.</w:t>
      </w:r>
    </w:p>
    <w:p w:rsidR="00243546" w:rsidRPr="005713A6" w:rsidRDefault="00243546" w:rsidP="00E81D53">
      <w:pPr>
        <w:jc w:val="center"/>
      </w:pPr>
    </w:p>
    <w:p w:rsidR="00D30A9C" w:rsidRPr="005713A6" w:rsidRDefault="00634ABD" w:rsidP="00E81D53">
      <w:pPr>
        <w:jc w:val="center"/>
        <w:rPr>
          <w:rFonts w:ascii="Arial" w:eastAsia="SimSun" w:hAnsi="Arial" w:cs="Arial"/>
          <w:sz w:val="22"/>
          <w:szCs w:val="22"/>
        </w:rPr>
      </w:pPr>
      <w:r>
        <w:rPr>
          <w:rFonts w:ascii="Arial" w:eastAsia="SimSun" w:hAnsi="Arial" w:cs="Arial"/>
          <w:noProof/>
          <w:sz w:val="22"/>
          <w:szCs w:val="22"/>
          <w:lang w:val="en-US" w:eastAsia="en-US"/>
        </w:rPr>
        <w:drawing>
          <wp:inline distT="0" distB="0" distL="0" distR="0" wp14:anchorId="7E09FA07" wp14:editId="5FC9CCFC">
            <wp:extent cx="4648200" cy="2695575"/>
            <wp:effectExtent l="0" t="0" r="0"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48200" cy="2695575"/>
                    </a:xfrm>
                    <a:prstGeom prst="rect">
                      <a:avLst/>
                    </a:prstGeom>
                    <a:noFill/>
                    <a:ln>
                      <a:noFill/>
                    </a:ln>
                  </pic:spPr>
                </pic:pic>
              </a:graphicData>
            </a:graphic>
          </wp:inline>
        </w:drawing>
      </w:r>
    </w:p>
    <w:p w:rsidR="005713A6" w:rsidRDefault="005F29A3" w:rsidP="005713A6">
      <w:pPr>
        <w:numPr>
          <w:ilvl w:val="0"/>
          <w:numId w:val="2"/>
        </w:numPr>
        <w:spacing w:after="220"/>
        <w:jc w:val="both"/>
        <w:rPr>
          <w:rFonts w:ascii="Arial" w:eastAsia="SimSun" w:hAnsi="Arial" w:cs="Arial"/>
          <w:sz w:val="22"/>
          <w:szCs w:val="22"/>
        </w:rPr>
      </w:pPr>
      <w:r>
        <w:rPr>
          <w:rFonts w:ascii="Arial" w:hAnsi="Arial"/>
          <w:sz w:val="22"/>
        </w:rPr>
        <w:t>В сентябре 2011 г. Национальный банк Швейцарии (НБШ) объявил о политике удерживания курса франка к евро на минимальном уровне 1,20</w:t>
      </w:r>
      <w:r w:rsidR="0005341A">
        <w:rPr>
          <w:rFonts w:ascii="Arial" w:hAnsi="Arial"/>
          <w:sz w:val="22"/>
        </w:rPr>
        <w:t>.  Э</w:t>
      </w:r>
      <w:r>
        <w:rPr>
          <w:rFonts w:ascii="Arial" w:hAnsi="Arial"/>
          <w:sz w:val="22"/>
        </w:rPr>
        <w:t>та политика объективно снизила риск получения курсового убытка по пошлинам, оплачиваемым в евро</w:t>
      </w:r>
      <w:r w:rsidR="0005341A">
        <w:rPr>
          <w:rFonts w:ascii="Arial" w:hAnsi="Arial"/>
          <w:sz w:val="22"/>
        </w:rPr>
        <w:t>.  О</w:t>
      </w:r>
      <w:r>
        <w:rPr>
          <w:rFonts w:ascii="Arial" w:hAnsi="Arial"/>
          <w:sz w:val="22"/>
        </w:rPr>
        <w:t>днако 15 января 2015 г. НБШ объявил об отказе от привязки к евро</w:t>
      </w:r>
      <w:r w:rsidR="006B1BEC">
        <w:rPr>
          <w:rFonts w:ascii="Arial" w:hAnsi="Arial"/>
          <w:sz w:val="22"/>
        </w:rPr>
        <w:t>.  В</w:t>
      </w:r>
      <w:r>
        <w:rPr>
          <w:rFonts w:ascii="Arial" w:hAnsi="Arial"/>
          <w:sz w:val="22"/>
        </w:rPr>
        <w:t xml:space="preserve"> результате швейцарский франк резко, в среднем на 15%, укрепился на валютных рынках к другим валютам</w:t>
      </w:r>
      <w:r w:rsidR="0005341A">
        <w:rPr>
          <w:rFonts w:ascii="Arial" w:hAnsi="Arial"/>
          <w:sz w:val="22"/>
        </w:rPr>
        <w:t>.  Т</w:t>
      </w:r>
      <w:r>
        <w:rPr>
          <w:rFonts w:ascii="Arial" w:hAnsi="Arial"/>
          <w:sz w:val="22"/>
        </w:rPr>
        <w:t>аблица ниже иллюстрирует расхождение между обменным курсом, который использовался для определения эквивалентных сумм для оплаты пошлин в конце 2014 г. и в начале 2015 г. для доллара США, японской иены и евро, и курсом ООКООН после отказа НБШ от привязки к евро:</w:t>
      </w:r>
    </w:p>
    <w:p w:rsidR="000141BC" w:rsidRPr="000141BC" w:rsidRDefault="00634ABD" w:rsidP="000141BC">
      <w:pPr>
        <w:spacing w:after="220"/>
        <w:jc w:val="center"/>
        <w:rPr>
          <w:rFonts w:eastAsia="SimSun"/>
        </w:rPr>
      </w:pPr>
      <w:r>
        <w:rPr>
          <w:rFonts w:eastAsia="SimSun"/>
          <w:noProof/>
          <w:lang w:val="en-US" w:eastAsia="en-US"/>
        </w:rPr>
        <w:lastRenderedPageBreak/>
        <w:drawing>
          <wp:inline distT="0" distB="0" distL="0" distR="0" wp14:anchorId="514937A5" wp14:editId="00E8A3D7">
            <wp:extent cx="5977255" cy="3098823"/>
            <wp:effectExtent l="0" t="0" r="4445" b="635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77255" cy="3098823"/>
                    </a:xfrm>
                    <a:prstGeom prst="rect">
                      <a:avLst/>
                    </a:prstGeom>
                    <a:noFill/>
                    <a:ln>
                      <a:noFill/>
                    </a:ln>
                  </pic:spPr>
                </pic:pic>
              </a:graphicData>
            </a:graphic>
          </wp:inline>
        </w:drawing>
      </w:r>
    </w:p>
    <w:p w:rsidR="00FF1482" w:rsidRDefault="005F29A3" w:rsidP="000C2770">
      <w:pPr>
        <w:pStyle w:val="ONUME"/>
        <w:jc w:val="both"/>
      </w:pPr>
      <w:r>
        <w:t xml:space="preserve">Ожидается, что ВОИС понесет курсовые убытки как на поданных в 2014 г., но оплаченных после заявления НБШ заявках, так и на заявках, поданных в первые три месяца 2015 г., то есть до введения начиная с </w:t>
      </w:r>
      <w:r w:rsidRPr="001311AA">
        <w:t>1</w:t>
      </w:r>
      <w:r w:rsidR="001311AA" w:rsidRPr="001311AA">
        <w:t> </w:t>
      </w:r>
      <w:r w:rsidRPr="001311AA">
        <w:t>апреля</w:t>
      </w:r>
      <w:r>
        <w:t xml:space="preserve"> 2015 г. новых эквивалентных сумм</w:t>
      </w:r>
      <w:r w:rsidR="0005341A">
        <w:t>.  П</w:t>
      </w:r>
      <w:r>
        <w:t>оступления от оплаты этих заявок ожидаются в первые пять месяцев 2015 г., соответственно, размер убытков зависит от сроков поступления средств и обменного курса в будущем</w:t>
      </w:r>
      <w:r w:rsidR="0005341A">
        <w:t>.  С</w:t>
      </w:r>
      <w:r>
        <w:t>ледует отметить, что с 1 апреля 2015 г. вводятся новые эквивалентные суммы только в отношении платежей в евро, поскольку и доллар США, и японская иена восстановились по отношению к швейцарскому франку и не удовлетворяют условиям для установления новой эквивалентной суммы</w:t>
      </w:r>
      <w:r w:rsidR="0005341A">
        <w:t>.  О</w:t>
      </w:r>
      <w:r>
        <w:t>жидается, что в результате отмены НБШ привязки к евро ВОИС получит курсовой убыток в размере 2,0–5,0 млн шв. франков по международным пошлинам за подачу заявок по процедуре РСТ, полученным в первые пять месяцев 2015 г.</w:t>
      </w:r>
    </w:p>
    <w:p w:rsidR="000A1F0C" w:rsidRPr="000A1F0C" w:rsidRDefault="005F29A3" w:rsidP="001404A2">
      <w:pPr>
        <w:pStyle w:val="ONUME"/>
        <w:jc w:val="both"/>
      </w:pPr>
      <w:r>
        <w:t>В Мадридской системе взимаются основные пошлины за прием заявок на регистрацию или продление, а также пошлины за последующие указания.</w:t>
      </w:r>
    </w:p>
    <w:p w:rsidR="006E58E3" w:rsidRDefault="005F29A3" w:rsidP="000A1F0C">
      <w:pPr>
        <w:jc w:val="center"/>
        <w:rPr>
          <w:rFonts w:ascii="Arial" w:eastAsia="SimSun" w:hAnsi="Arial" w:cs="Arial"/>
          <w:sz w:val="22"/>
          <w:szCs w:val="22"/>
          <w:u w:val="single"/>
        </w:rPr>
      </w:pPr>
      <w:r>
        <w:rPr>
          <w:rFonts w:ascii="Arial" w:hAnsi="Arial"/>
          <w:sz w:val="22"/>
          <w:u w:val="single"/>
        </w:rPr>
        <w:t>Пошлины Мадридской системы в разбивке по типам, 2012–2014 гг.</w:t>
      </w:r>
    </w:p>
    <w:p w:rsidR="000A1F0C" w:rsidRPr="002E5935" w:rsidRDefault="000A1F0C" w:rsidP="000A1F0C">
      <w:pPr>
        <w:jc w:val="center"/>
        <w:rPr>
          <w:rFonts w:ascii="Arial" w:eastAsia="SimSun" w:hAnsi="Arial" w:cs="Arial"/>
          <w:sz w:val="22"/>
          <w:szCs w:val="22"/>
          <w:u w:val="single"/>
        </w:rPr>
      </w:pPr>
    </w:p>
    <w:p w:rsidR="00AC64C2" w:rsidRDefault="00634ABD" w:rsidP="00996523">
      <w:pPr>
        <w:jc w:val="center"/>
        <w:rPr>
          <w:rFonts w:ascii="Arial" w:eastAsia="SimSun" w:hAnsi="Arial" w:cs="Arial"/>
          <w:sz w:val="22"/>
          <w:szCs w:val="22"/>
        </w:rPr>
      </w:pPr>
      <w:r>
        <w:rPr>
          <w:rFonts w:ascii="Arial" w:eastAsia="SimSun" w:hAnsi="Arial" w:cs="Arial"/>
          <w:noProof/>
          <w:sz w:val="22"/>
          <w:szCs w:val="22"/>
          <w:lang w:val="en-US" w:eastAsia="en-US"/>
        </w:rPr>
        <w:drawing>
          <wp:inline distT="0" distB="0" distL="0" distR="0">
            <wp:extent cx="5000625" cy="1628775"/>
            <wp:effectExtent l="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00625" cy="1628775"/>
                    </a:xfrm>
                    <a:prstGeom prst="rect">
                      <a:avLst/>
                    </a:prstGeom>
                    <a:noFill/>
                    <a:ln>
                      <a:noFill/>
                    </a:ln>
                  </pic:spPr>
                </pic:pic>
              </a:graphicData>
            </a:graphic>
          </wp:inline>
        </w:drawing>
      </w:r>
    </w:p>
    <w:p w:rsidR="006E58E3" w:rsidRDefault="005F29A3" w:rsidP="00996523">
      <w:pPr>
        <w:numPr>
          <w:ilvl w:val="0"/>
          <w:numId w:val="2"/>
        </w:numPr>
        <w:jc w:val="both"/>
        <w:rPr>
          <w:rFonts w:ascii="Arial" w:eastAsia="SimSun" w:hAnsi="Arial" w:cs="Arial"/>
          <w:sz w:val="22"/>
          <w:szCs w:val="22"/>
        </w:rPr>
      </w:pPr>
      <w:r>
        <w:rPr>
          <w:rFonts w:ascii="Arial" w:hAnsi="Arial"/>
          <w:sz w:val="22"/>
        </w:rPr>
        <w:t>В соответствии с МСУГС, доходы от пошлин за регистрацию, продление и последующие указания в Мадридской системе проводятся по финансовым ведомостям в качестве таковых только после опубликования заявки</w:t>
      </w:r>
      <w:r w:rsidR="0005341A">
        <w:rPr>
          <w:rFonts w:ascii="Arial" w:hAnsi="Arial"/>
          <w:sz w:val="22"/>
        </w:rPr>
        <w:t>.  Д</w:t>
      </w:r>
      <w:r>
        <w:rPr>
          <w:rFonts w:ascii="Arial" w:hAnsi="Arial"/>
          <w:sz w:val="22"/>
        </w:rPr>
        <w:t>оходы от регистрации и продления регистраций (но не включая другие пошлины), признаваемые по МСУГС, растут по мере росту числа регистраций и продлений год от года:</w:t>
      </w:r>
    </w:p>
    <w:p w:rsidR="00996523" w:rsidRDefault="00996523" w:rsidP="00966EE7">
      <w:pPr>
        <w:jc w:val="both"/>
        <w:rPr>
          <w:rFonts w:ascii="Arial" w:eastAsia="SimSun" w:hAnsi="Arial" w:cs="Arial"/>
          <w:sz w:val="22"/>
          <w:szCs w:val="22"/>
        </w:rPr>
      </w:pPr>
    </w:p>
    <w:p w:rsidR="00634ABD" w:rsidRDefault="00634ABD">
      <w:pPr>
        <w:rPr>
          <w:rFonts w:ascii="Arial" w:eastAsia="SimSun" w:hAnsi="Arial" w:cs="Arial"/>
          <w:sz w:val="22"/>
          <w:szCs w:val="20"/>
          <w:u w:val="single"/>
        </w:rPr>
      </w:pPr>
      <w:r>
        <w:rPr>
          <w:u w:val="single"/>
        </w:rPr>
        <w:br w:type="page"/>
      </w:r>
    </w:p>
    <w:p w:rsidR="006E188C" w:rsidRPr="00CB44CD" w:rsidRDefault="005F29A3" w:rsidP="00E81D53">
      <w:pPr>
        <w:pStyle w:val="ONUME"/>
        <w:numPr>
          <w:ilvl w:val="0"/>
          <w:numId w:val="0"/>
        </w:numPr>
        <w:spacing w:after="0"/>
        <w:jc w:val="center"/>
        <w:rPr>
          <w:u w:val="single"/>
        </w:rPr>
      </w:pPr>
      <w:r>
        <w:rPr>
          <w:u w:val="single"/>
        </w:rPr>
        <w:lastRenderedPageBreak/>
        <w:t xml:space="preserve">Мадридская система: </w:t>
      </w:r>
      <w:r w:rsidR="006B1BEC">
        <w:rPr>
          <w:u w:val="single"/>
        </w:rPr>
        <w:t xml:space="preserve"> </w:t>
      </w:r>
      <w:r>
        <w:rPr>
          <w:u w:val="single"/>
        </w:rPr>
        <w:t>основные пошлины и число регистраций/продлений, 2012–2014 гг.</w:t>
      </w:r>
    </w:p>
    <w:p w:rsidR="006E188C" w:rsidRPr="00CB44CD" w:rsidRDefault="00634ABD" w:rsidP="00E81D53">
      <w:pPr>
        <w:jc w:val="both"/>
        <w:rPr>
          <w:rFonts w:ascii="Arial" w:eastAsia="SimSun" w:hAnsi="Arial" w:cs="Arial"/>
          <w:sz w:val="22"/>
          <w:szCs w:val="22"/>
        </w:rPr>
      </w:pPr>
      <w:r>
        <w:rPr>
          <w:rFonts w:ascii="Arial" w:eastAsia="SimSun" w:hAnsi="Arial" w:cs="Arial"/>
          <w:noProof/>
          <w:sz w:val="22"/>
          <w:szCs w:val="22"/>
          <w:lang w:val="en-US" w:eastAsia="en-US"/>
        </w:rPr>
        <w:drawing>
          <wp:inline distT="0" distB="0" distL="0" distR="0">
            <wp:extent cx="5977255" cy="3049978"/>
            <wp:effectExtent l="0" t="0" r="4445"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77255" cy="3049978"/>
                    </a:xfrm>
                    <a:prstGeom prst="rect">
                      <a:avLst/>
                    </a:prstGeom>
                    <a:noFill/>
                    <a:ln>
                      <a:noFill/>
                    </a:ln>
                  </pic:spPr>
                </pic:pic>
              </a:graphicData>
            </a:graphic>
          </wp:inline>
        </w:drawing>
      </w:r>
    </w:p>
    <w:p w:rsidR="00B9245C" w:rsidRPr="00CA37A9" w:rsidRDefault="005F29A3" w:rsidP="00E81D53">
      <w:pPr>
        <w:numPr>
          <w:ilvl w:val="0"/>
          <w:numId w:val="2"/>
        </w:numPr>
        <w:jc w:val="both"/>
        <w:rPr>
          <w:rFonts w:ascii="Arial" w:eastAsia="SimSun" w:hAnsi="Arial" w:cs="Arial"/>
          <w:sz w:val="22"/>
          <w:szCs w:val="22"/>
        </w:rPr>
      </w:pPr>
      <w:r>
        <w:rPr>
          <w:rFonts w:ascii="Arial" w:hAnsi="Arial"/>
          <w:sz w:val="22"/>
        </w:rPr>
        <w:t>Сумма пошлин в Гаагской системе в 2014 г. составила 3,2 млн шв. франков</w:t>
      </w:r>
      <w:r w:rsidR="0005341A">
        <w:rPr>
          <w:rFonts w:ascii="Arial" w:hAnsi="Arial"/>
          <w:sz w:val="22"/>
        </w:rPr>
        <w:t>.  К</w:t>
      </w:r>
      <w:r>
        <w:rPr>
          <w:rFonts w:ascii="Arial" w:hAnsi="Arial"/>
          <w:sz w:val="22"/>
        </w:rPr>
        <w:t>ак и в случае с РСТ и Мадридской системой, доходы от уплаты пошлин, связанных с обработкой заявок, признаются после публикации заявки</w:t>
      </w:r>
      <w:r w:rsidR="0005341A">
        <w:rPr>
          <w:rFonts w:ascii="Arial" w:hAnsi="Arial"/>
          <w:sz w:val="22"/>
        </w:rPr>
        <w:t>.  Р</w:t>
      </w:r>
      <w:r>
        <w:rPr>
          <w:rFonts w:ascii="Arial" w:hAnsi="Arial"/>
          <w:sz w:val="22"/>
        </w:rPr>
        <w:t>азмер пошлин в Гаагской системе стабилен и существенно не поменялся по сравнению с предыдущим годом.</w:t>
      </w:r>
    </w:p>
    <w:p w:rsidR="00E81D53" w:rsidRPr="00942AF2" w:rsidRDefault="00E81D53" w:rsidP="00E81D53">
      <w:pPr>
        <w:jc w:val="both"/>
        <w:rPr>
          <w:rFonts w:ascii="Arial" w:eastAsia="SimSun" w:hAnsi="Arial" w:cs="Arial"/>
          <w:sz w:val="22"/>
          <w:szCs w:val="22"/>
        </w:rPr>
      </w:pPr>
    </w:p>
    <w:p w:rsidR="00B9245C" w:rsidRPr="00B9245C" w:rsidRDefault="005F29A3" w:rsidP="00F73729">
      <w:pPr>
        <w:numPr>
          <w:ilvl w:val="0"/>
          <w:numId w:val="2"/>
        </w:numPr>
        <w:spacing w:after="220"/>
        <w:jc w:val="both"/>
        <w:rPr>
          <w:rFonts w:ascii="Arial" w:eastAsia="SimSun" w:hAnsi="Arial" w:cs="Arial"/>
          <w:sz w:val="22"/>
          <w:szCs w:val="22"/>
        </w:rPr>
      </w:pPr>
      <w:r>
        <w:rPr>
          <w:rFonts w:ascii="Arial" w:hAnsi="Arial"/>
          <w:sz w:val="22"/>
        </w:rPr>
        <w:t>Поступления от начисленных взносов в размере 17,9 млн шв. франков составляют 4,8% общего объема доходов, тогда как поступления по линии добровольных взносов в рамках специальных счетов в размере 8,9 млн шв. франков составляют 2,4% общего объема доходов</w:t>
      </w:r>
      <w:r w:rsidR="0005341A">
        <w:rPr>
          <w:rFonts w:ascii="Arial" w:hAnsi="Arial"/>
          <w:sz w:val="22"/>
        </w:rPr>
        <w:t>.  П</w:t>
      </w:r>
      <w:r>
        <w:rPr>
          <w:rFonts w:ascii="Arial" w:hAnsi="Arial"/>
          <w:sz w:val="22"/>
        </w:rPr>
        <w:t>оступления от добровольных взносов проводятся в качестве доходов после того, как выполнены работы и произведены расходы согласно соответствующему соглашению.</w:t>
      </w:r>
    </w:p>
    <w:p w:rsidR="00EC2015" w:rsidRPr="00DA6C29" w:rsidRDefault="005F29A3" w:rsidP="00DA6C29">
      <w:pPr>
        <w:numPr>
          <w:ilvl w:val="0"/>
          <w:numId w:val="2"/>
        </w:numPr>
        <w:spacing w:after="220"/>
        <w:jc w:val="both"/>
        <w:rPr>
          <w:rFonts w:ascii="Arial" w:eastAsia="SimSun" w:hAnsi="Arial" w:cs="Arial"/>
          <w:sz w:val="22"/>
          <w:szCs w:val="22"/>
        </w:rPr>
      </w:pPr>
      <w:r>
        <w:rPr>
          <w:rFonts w:ascii="Arial" w:hAnsi="Arial"/>
          <w:sz w:val="22"/>
        </w:rPr>
        <w:t>Инвестиционный доход составил в 2014 г. 1,6 млн шв. франков, что на 23,8% меньше, чем в 2013 г</w:t>
      </w:r>
      <w:r w:rsidR="0005341A">
        <w:rPr>
          <w:rFonts w:ascii="Arial" w:hAnsi="Arial"/>
          <w:sz w:val="22"/>
        </w:rPr>
        <w:t>.  П</w:t>
      </w:r>
      <w:r>
        <w:rPr>
          <w:rFonts w:ascii="Arial" w:hAnsi="Arial"/>
          <w:sz w:val="22"/>
        </w:rPr>
        <w:t>роцентный доход снизился</w:t>
      </w:r>
      <w:r w:rsidR="008861C2">
        <w:rPr>
          <w:rFonts w:ascii="Arial" w:hAnsi="Arial"/>
          <w:sz w:val="22"/>
        </w:rPr>
        <w:t>:  в</w:t>
      </w:r>
      <w:r>
        <w:rPr>
          <w:rFonts w:ascii="Arial" w:hAnsi="Arial"/>
          <w:sz w:val="22"/>
        </w:rPr>
        <w:t xml:space="preserve"> 2014 г. средняя ставка процента, «заработанного» по процентным счетам и инвестициям, которые держатся в Федеральной финансовой администрации (ФФА) Швейцарии, составила 0,421% (в 2013 г. этот показатель составил 0,558%)</w:t>
      </w:r>
      <w:r w:rsidR="0005341A">
        <w:rPr>
          <w:rFonts w:ascii="Arial" w:hAnsi="Arial"/>
          <w:sz w:val="22"/>
        </w:rPr>
        <w:t>.  Д</w:t>
      </w:r>
      <w:r>
        <w:rPr>
          <w:rFonts w:ascii="Arial" w:hAnsi="Arial"/>
          <w:sz w:val="22"/>
        </w:rPr>
        <w:t>оходы от арбитража и посредничества (1,5 млн шв. франков) и от продажи публикаций (0,4 млн шв. франков) в 2014 г. оставались примерно на уровне предыдущего года</w:t>
      </w:r>
      <w:r w:rsidR="0005341A">
        <w:rPr>
          <w:rFonts w:ascii="Arial" w:hAnsi="Arial"/>
          <w:sz w:val="22"/>
        </w:rPr>
        <w:t>.  Д</w:t>
      </w:r>
      <w:r>
        <w:rPr>
          <w:rFonts w:ascii="Arial" w:hAnsi="Arial"/>
          <w:sz w:val="22"/>
        </w:rPr>
        <w:t>ругие/прочие доходы сократились с 6,2 млн шв. франков в 2013 г. до 3,0 млн шв. франков в 2014 г</w:t>
      </w:r>
      <w:r w:rsidR="006B1BEC">
        <w:rPr>
          <w:rFonts w:ascii="Arial" w:hAnsi="Arial"/>
          <w:sz w:val="22"/>
        </w:rPr>
        <w:t>.  В</w:t>
      </w:r>
      <w:r>
        <w:rPr>
          <w:rFonts w:ascii="Arial" w:hAnsi="Arial"/>
          <w:sz w:val="22"/>
        </w:rPr>
        <w:t xml:space="preserve"> 2013 г. сумма была выше, поскольку в том году Организация получила 4,3 млн шв. франков поступлений от возвратных накладных, причем почти во всех случаях от Международного вычислительного центра (МВЦ).</w:t>
      </w:r>
    </w:p>
    <w:p w:rsidR="00634ABD" w:rsidRDefault="00634ABD">
      <w:pPr>
        <w:rPr>
          <w:rFonts w:ascii="Arial" w:hAnsi="Arial"/>
          <w:b/>
          <w:i/>
          <w:sz w:val="22"/>
        </w:rPr>
      </w:pPr>
      <w:r>
        <w:rPr>
          <w:rFonts w:ascii="Arial" w:hAnsi="Arial"/>
          <w:b/>
          <w:i/>
          <w:sz w:val="22"/>
        </w:rPr>
        <w:br w:type="page"/>
      </w:r>
    </w:p>
    <w:p w:rsidR="00B9245C" w:rsidRPr="00ED5474" w:rsidRDefault="005F29A3" w:rsidP="00B9245C">
      <w:pPr>
        <w:spacing w:after="220"/>
        <w:rPr>
          <w:rFonts w:ascii="Arial" w:eastAsia="SimSun" w:hAnsi="Arial" w:cs="Arial"/>
          <w:b/>
          <w:sz w:val="22"/>
          <w:szCs w:val="20"/>
        </w:rPr>
      </w:pPr>
      <w:r>
        <w:rPr>
          <w:rFonts w:ascii="Arial" w:hAnsi="Arial"/>
          <w:b/>
          <w:i/>
          <w:sz w:val="22"/>
        </w:rPr>
        <w:lastRenderedPageBreak/>
        <w:t>Анализ расходов</w:t>
      </w:r>
    </w:p>
    <w:p w:rsidR="00B9245C" w:rsidRPr="002F1990" w:rsidRDefault="005F29A3" w:rsidP="006C53CD">
      <w:pPr>
        <w:jc w:val="center"/>
        <w:rPr>
          <w:rFonts w:ascii="Arial" w:eastAsia="SimSun" w:hAnsi="Arial" w:cs="Arial"/>
          <w:sz w:val="22"/>
          <w:szCs w:val="22"/>
          <w:u w:val="single"/>
        </w:rPr>
      </w:pPr>
      <w:r>
        <w:rPr>
          <w:rFonts w:ascii="Arial" w:hAnsi="Arial"/>
          <w:sz w:val="22"/>
          <w:u w:val="single"/>
        </w:rPr>
        <w:t>Структура расходов за 2014 г. согласно МСУГС</w:t>
      </w:r>
    </w:p>
    <w:p w:rsidR="006C53CD" w:rsidRPr="006C53CD" w:rsidRDefault="005F29A3" w:rsidP="006C53CD">
      <w:pPr>
        <w:jc w:val="center"/>
        <w:rPr>
          <w:rFonts w:ascii="Arial" w:eastAsia="SimSun" w:hAnsi="Arial" w:cs="Arial"/>
          <w:i/>
          <w:sz w:val="22"/>
          <w:szCs w:val="20"/>
        </w:rPr>
      </w:pPr>
      <w:r>
        <w:rPr>
          <w:rFonts w:ascii="Arial" w:hAnsi="Arial"/>
          <w:i/>
          <w:sz w:val="22"/>
        </w:rPr>
        <w:t>(в млн шв. франков)</w:t>
      </w:r>
    </w:p>
    <w:p w:rsidR="00B9245C" w:rsidRPr="00B9245C" w:rsidRDefault="00E71763" w:rsidP="006C53CD">
      <w:pPr>
        <w:jc w:val="center"/>
        <w:rPr>
          <w:rFonts w:ascii="Arial" w:eastAsia="SimSun" w:hAnsi="Arial" w:cs="Arial"/>
          <w:sz w:val="22"/>
          <w:szCs w:val="22"/>
        </w:rPr>
      </w:pPr>
      <w:r>
        <w:rPr>
          <w:rFonts w:ascii="Arial" w:eastAsia="SimSun" w:hAnsi="Arial" w:cs="Arial"/>
          <w:noProof/>
          <w:sz w:val="22"/>
          <w:szCs w:val="22"/>
          <w:lang w:val="en-US" w:eastAsia="en-US"/>
        </w:rPr>
        <w:drawing>
          <wp:inline distT="0" distB="0" distL="0" distR="0" wp14:anchorId="2B453C03" wp14:editId="1A1BF929">
            <wp:extent cx="5762625" cy="3324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62625" cy="3324225"/>
                    </a:xfrm>
                    <a:prstGeom prst="rect">
                      <a:avLst/>
                    </a:prstGeom>
                    <a:noFill/>
                    <a:ln>
                      <a:noFill/>
                    </a:ln>
                  </pic:spPr>
                </pic:pic>
              </a:graphicData>
            </a:graphic>
          </wp:inline>
        </w:drawing>
      </w:r>
    </w:p>
    <w:p w:rsidR="009775C8" w:rsidRDefault="005F29A3" w:rsidP="009775C8">
      <w:pPr>
        <w:numPr>
          <w:ilvl w:val="0"/>
          <w:numId w:val="2"/>
        </w:numPr>
        <w:spacing w:after="220"/>
        <w:jc w:val="both"/>
        <w:rPr>
          <w:rFonts w:ascii="Arial" w:eastAsia="SimSun" w:hAnsi="Arial" w:cs="Arial"/>
          <w:sz w:val="22"/>
          <w:szCs w:val="22"/>
        </w:rPr>
      </w:pPr>
      <w:r>
        <w:rPr>
          <w:rFonts w:ascii="Arial" w:hAnsi="Arial"/>
          <w:sz w:val="22"/>
        </w:rPr>
        <w:t>Общий объем расходов Организации за 2014 г. составил 333,2 млн </w:t>
      </w:r>
      <w:r w:rsidRPr="001311AA">
        <w:rPr>
          <w:rFonts w:ascii="Arial" w:hAnsi="Arial"/>
          <w:sz w:val="22"/>
        </w:rPr>
        <w:t>шв.</w:t>
      </w:r>
      <w:r w:rsidR="001311AA" w:rsidRPr="001311AA">
        <w:rPr>
          <w:rFonts w:ascii="Arial" w:hAnsi="Arial"/>
          <w:sz w:val="22"/>
        </w:rPr>
        <w:t> </w:t>
      </w:r>
      <w:r w:rsidRPr="001311AA">
        <w:rPr>
          <w:rFonts w:ascii="Arial" w:hAnsi="Arial"/>
          <w:sz w:val="22"/>
        </w:rPr>
        <w:t>франков</w:t>
      </w:r>
      <w:r>
        <w:rPr>
          <w:rFonts w:ascii="Arial" w:hAnsi="Arial"/>
          <w:sz w:val="22"/>
        </w:rPr>
        <w:t>, что на 1% меньше, чем в 2013 г., когда этот показатель составил 336,5 млн </w:t>
      </w:r>
      <w:r w:rsidRPr="001311AA">
        <w:rPr>
          <w:rFonts w:ascii="Arial" w:hAnsi="Arial"/>
          <w:sz w:val="22"/>
        </w:rPr>
        <w:t>шв.</w:t>
      </w:r>
      <w:r w:rsidR="001311AA" w:rsidRPr="001311AA">
        <w:rPr>
          <w:rFonts w:ascii="Arial" w:hAnsi="Arial"/>
          <w:sz w:val="22"/>
        </w:rPr>
        <w:t> </w:t>
      </w:r>
      <w:r w:rsidRPr="001311AA">
        <w:rPr>
          <w:rFonts w:ascii="Arial" w:hAnsi="Arial"/>
          <w:sz w:val="22"/>
        </w:rPr>
        <w:t>франков</w:t>
      </w:r>
      <w:r w:rsidR="0005341A">
        <w:rPr>
          <w:rFonts w:ascii="Arial" w:hAnsi="Arial"/>
          <w:sz w:val="22"/>
        </w:rPr>
        <w:t>.  К</w:t>
      </w:r>
      <w:r>
        <w:rPr>
          <w:rFonts w:ascii="Arial" w:hAnsi="Arial"/>
          <w:sz w:val="22"/>
        </w:rPr>
        <w:t>рупнейшая статья расходов Организации — расходы на персонал, которые составили 216,4 млн </w:t>
      </w:r>
      <w:r w:rsidRPr="001311AA">
        <w:rPr>
          <w:rFonts w:ascii="Arial" w:hAnsi="Arial"/>
          <w:sz w:val="22"/>
        </w:rPr>
        <w:t>шв.</w:t>
      </w:r>
      <w:r w:rsidR="001311AA" w:rsidRPr="001311AA">
        <w:rPr>
          <w:rFonts w:ascii="Arial" w:hAnsi="Arial"/>
          <w:sz w:val="22"/>
        </w:rPr>
        <w:t> </w:t>
      </w:r>
      <w:r w:rsidRPr="001311AA">
        <w:rPr>
          <w:rFonts w:ascii="Arial" w:hAnsi="Arial"/>
          <w:sz w:val="22"/>
        </w:rPr>
        <w:t>франков</w:t>
      </w:r>
      <w:r>
        <w:rPr>
          <w:rFonts w:ascii="Arial" w:hAnsi="Arial"/>
          <w:sz w:val="22"/>
        </w:rPr>
        <w:t xml:space="preserve"> или 64,9% общего объема расходов</w:t>
      </w:r>
      <w:r w:rsidR="006B1BEC">
        <w:rPr>
          <w:rFonts w:ascii="Arial" w:hAnsi="Arial"/>
          <w:sz w:val="22"/>
        </w:rPr>
        <w:t>.  В</w:t>
      </w:r>
      <w:r>
        <w:rPr>
          <w:rFonts w:ascii="Arial" w:hAnsi="Arial"/>
          <w:sz w:val="22"/>
        </w:rPr>
        <w:t>торой по величине статьей расходов Организации являются услуги по контрактам, за ними следуют эксплуатационные расходы, которые составили 20,8 млн шв. франков</w:t>
      </w:r>
      <w:r w:rsidR="006B1BEC">
        <w:rPr>
          <w:rFonts w:ascii="Arial" w:hAnsi="Arial"/>
          <w:sz w:val="22"/>
        </w:rPr>
        <w:t>.  В</w:t>
      </w:r>
      <w:r>
        <w:rPr>
          <w:rFonts w:ascii="Arial" w:hAnsi="Arial"/>
          <w:sz w:val="22"/>
        </w:rPr>
        <w:t xml:space="preserve"> таблице ниже представлены сводные данные о динамике различных видов расходов в сравнении с предыдущим годом.</w:t>
      </w:r>
    </w:p>
    <w:p w:rsidR="00751E88" w:rsidRPr="002F1990" w:rsidRDefault="005F29A3" w:rsidP="00751E88">
      <w:pPr>
        <w:pStyle w:val="ONUME"/>
        <w:numPr>
          <w:ilvl w:val="0"/>
          <w:numId w:val="0"/>
        </w:numPr>
        <w:jc w:val="center"/>
        <w:rPr>
          <w:u w:val="single"/>
        </w:rPr>
      </w:pPr>
      <w:r>
        <w:rPr>
          <w:u w:val="single"/>
        </w:rPr>
        <w:t>Сравнение расходов в 2013 г. и 2014 г.</w:t>
      </w:r>
    </w:p>
    <w:p w:rsidR="00751E88" w:rsidRDefault="006F4DA7" w:rsidP="004372FF">
      <w:pPr>
        <w:spacing w:after="220"/>
        <w:jc w:val="center"/>
        <w:rPr>
          <w:rFonts w:ascii="Arial" w:eastAsia="SimSun" w:hAnsi="Arial" w:cs="Arial"/>
          <w:sz w:val="22"/>
          <w:szCs w:val="22"/>
        </w:rPr>
      </w:pPr>
      <w:r>
        <w:rPr>
          <w:rFonts w:ascii="Arial" w:eastAsia="SimSun" w:hAnsi="Arial" w:cs="Arial"/>
          <w:noProof/>
          <w:sz w:val="22"/>
          <w:szCs w:val="22"/>
          <w:lang w:val="en-US" w:eastAsia="en-US"/>
        </w:rPr>
        <w:drawing>
          <wp:inline distT="0" distB="0" distL="0" distR="0">
            <wp:extent cx="5972175" cy="2695575"/>
            <wp:effectExtent l="0" t="0" r="9525"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72175" cy="2695575"/>
                    </a:xfrm>
                    <a:prstGeom prst="rect">
                      <a:avLst/>
                    </a:prstGeom>
                    <a:noFill/>
                    <a:ln>
                      <a:noFill/>
                    </a:ln>
                  </pic:spPr>
                </pic:pic>
              </a:graphicData>
            </a:graphic>
          </wp:inline>
        </w:drawing>
      </w:r>
    </w:p>
    <w:p w:rsidR="006C53CD" w:rsidRPr="00751E88" w:rsidRDefault="005F29A3" w:rsidP="00751E88">
      <w:pPr>
        <w:numPr>
          <w:ilvl w:val="0"/>
          <w:numId w:val="2"/>
        </w:numPr>
        <w:spacing w:after="220"/>
        <w:jc w:val="both"/>
        <w:rPr>
          <w:rFonts w:ascii="Arial" w:eastAsia="SimSun" w:hAnsi="Arial" w:cs="Arial"/>
          <w:sz w:val="22"/>
          <w:szCs w:val="22"/>
        </w:rPr>
      </w:pPr>
      <w:r>
        <w:rPr>
          <w:rFonts w:ascii="Arial" w:hAnsi="Arial"/>
          <w:sz w:val="22"/>
        </w:rPr>
        <w:t>Расходы на персонал в основном складываются из чистого базового оклада и корректива по месту службы для штатных и временных должностей</w:t>
      </w:r>
      <w:r w:rsidR="0005341A">
        <w:rPr>
          <w:rFonts w:ascii="Arial" w:hAnsi="Arial"/>
          <w:sz w:val="22"/>
        </w:rPr>
        <w:t>.  Н</w:t>
      </w:r>
      <w:r>
        <w:rPr>
          <w:rFonts w:ascii="Arial" w:hAnsi="Arial"/>
          <w:sz w:val="22"/>
        </w:rPr>
        <w:t xml:space="preserve">а их выплату в 2014 г. ушло 145,3 млн шв. франков, что соответствует 67,2% от совокупных расходов на </w:t>
      </w:r>
      <w:r>
        <w:rPr>
          <w:rFonts w:ascii="Arial" w:hAnsi="Arial"/>
          <w:sz w:val="22"/>
        </w:rPr>
        <w:lastRenderedPageBreak/>
        <w:t>персонал</w:t>
      </w:r>
      <w:r w:rsidR="0005341A">
        <w:rPr>
          <w:rFonts w:ascii="Arial" w:hAnsi="Arial"/>
          <w:sz w:val="22"/>
        </w:rPr>
        <w:t>.  С</w:t>
      </w:r>
      <w:r>
        <w:rPr>
          <w:rFonts w:ascii="Arial" w:hAnsi="Arial"/>
          <w:sz w:val="22"/>
        </w:rPr>
        <w:t xml:space="preserve">ледующим по величине элементом расходов на персонал являются взносы Организации с Объединенный пенсионный фонд персонала Организации Объединенных Наций (ОПФПООН): </w:t>
      </w:r>
      <w:r w:rsidR="006B1BEC">
        <w:rPr>
          <w:rFonts w:ascii="Arial" w:hAnsi="Arial"/>
          <w:sz w:val="22"/>
        </w:rPr>
        <w:t xml:space="preserve"> </w:t>
      </w:r>
      <w:r>
        <w:rPr>
          <w:rFonts w:ascii="Arial" w:hAnsi="Arial"/>
          <w:sz w:val="22"/>
        </w:rPr>
        <w:t>на эти цели в 2014 г. было потрачено 26,0 млн шв. франков</w:t>
      </w:r>
      <w:r w:rsidR="006B1BEC">
        <w:rPr>
          <w:rFonts w:ascii="Arial" w:hAnsi="Arial"/>
          <w:sz w:val="22"/>
        </w:rPr>
        <w:t>.  В</w:t>
      </w:r>
      <w:r>
        <w:rPr>
          <w:rFonts w:ascii="Arial" w:hAnsi="Arial"/>
          <w:sz w:val="22"/>
        </w:rPr>
        <w:t xml:space="preserve"> настоящее время ВОИС обязана выплачивать в виде взносов в ОПФПООН 15,8% от зачитываемого для пенсии вознаграждения сотрудника</w:t>
      </w:r>
      <w:r w:rsidR="0005341A">
        <w:rPr>
          <w:rFonts w:ascii="Arial" w:hAnsi="Arial"/>
          <w:sz w:val="22"/>
        </w:rPr>
        <w:t>.  Н</w:t>
      </w:r>
      <w:r>
        <w:rPr>
          <w:rFonts w:ascii="Arial" w:hAnsi="Arial"/>
          <w:sz w:val="22"/>
        </w:rPr>
        <w:t>адбавки в размере 16,3 млн шв. франков составляют 7,5% совокупных расходов на персонал</w:t>
      </w:r>
      <w:r w:rsidR="0005341A">
        <w:rPr>
          <w:rFonts w:ascii="Arial" w:hAnsi="Arial"/>
          <w:sz w:val="22"/>
        </w:rPr>
        <w:t>.  О</w:t>
      </w:r>
      <w:r>
        <w:rPr>
          <w:rFonts w:ascii="Arial" w:hAnsi="Arial"/>
          <w:sz w:val="22"/>
        </w:rPr>
        <w:t>сновную часть выплаченных надбавок составляют надбавки на иждивенцев (4,8 млн шв. франков), пособия на образование (5,4 млн шв. франков) и оплата расходов в связи с отпуском на родину (3,0 млн шв. франков)</w:t>
      </w:r>
      <w:r w:rsidR="006B1BEC">
        <w:rPr>
          <w:rFonts w:ascii="Arial" w:hAnsi="Arial"/>
          <w:sz w:val="22"/>
        </w:rPr>
        <w:t>.  В</w:t>
      </w:r>
      <w:r>
        <w:rPr>
          <w:rFonts w:ascii="Arial" w:hAnsi="Arial"/>
          <w:sz w:val="22"/>
        </w:rPr>
        <w:t xml:space="preserve"> 2014 г. расходы на оплату Организацией ежемесячных страховых премий по медицинскому страхованию работающих сотрудников составили 10,0 млн шв. франков</w:t>
      </w:r>
      <w:r w:rsidR="0005341A">
        <w:rPr>
          <w:rFonts w:ascii="Arial" w:hAnsi="Arial"/>
          <w:sz w:val="22"/>
        </w:rPr>
        <w:t>.  П</w:t>
      </w:r>
      <w:r>
        <w:rPr>
          <w:rFonts w:ascii="Arial" w:hAnsi="Arial"/>
          <w:sz w:val="22"/>
        </w:rPr>
        <w:t>рочие расходы на персонал в размере 5,1 млн шв. франков связаны с прочими страховыми выплатами в интересах сотрудников и соглашениями о прекращении службы.</w:t>
      </w:r>
    </w:p>
    <w:p w:rsidR="001965DD" w:rsidRPr="00CB44CD" w:rsidRDefault="005F29A3" w:rsidP="001965DD">
      <w:pPr>
        <w:pStyle w:val="ONUME"/>
        <w:numPr>
          <w:ilvl w:val="0"/>
          <w:numId w:val="0"/>
        </w:numPr>
        <w:spacing w:after="0"/>
        <w:jc w:val="center"/>
        <w:rPr>
          <w:u w:val="single"/>
        </w:rPr>
      </w:pPr>
      <w:r>
        <w:rPr>
          <w:u w:val="single"/>
        </w:rPr>
        <w:t>Структура расходов на персонал за 2014 г. согласно МСУГС</w:t>
      </w:r>
    </w:p>
    <w:p w:rsidR="006C53CD" w:rsidRPr="001965DD" w:rsidRDefault="005F29A3" w:rsidP="001965DD">
      <w:pPr>
        <w:pStyle w:val="ONUME"/>
        <w:numPr>
          <w:ilvl w:val="0"/>
          <w:numId w:val="0"/>
        </w:numPr>
        <w:spacing w:after="0"/>
        <w:jc w:val="center"/>
        <w:rPr>
          <w:i/>
        </w:rPr>
      </w:pPr>
      <w:r>
        <w:rPr>
          <w:i/>
        </w:rPr>
        <w:t>(в млн шв. франков)</w:t>
      </w:r>
    </w:p>
    <w:p w:rsidR="002C2EAF" w:rsidRDefault="006F4DA7" w:rsidP="001965DD">
      <w:pPr>
        <w:jc w:val="center"/>
        <w:rPr>
          <w:rFonts w:ascii="Arial" w:eastAsia="SimSun" w:hAnsi="Arial" w:cs="Arial"/>
          <w:sz w:val="22"/>
          <w:szCs w:val="22"/>
        </w:rPr>
      </w:pPr>
      <w:r>
        <w:rPr>
          <w:rFonts w:ascii="Arial" w:eastAsia="SimSun" w:hAnsi="Arial" w:cs="Arial"/>
          <w:noProof/>
          <w:sz w:val="22"/>
          <w:szCs w:val="22"/>
          <w:lang w:val="en-US" w:eastAsia="en-US"/>
        </w:rPr>
        <w:drawing>
          <wp:inline distT="0" distB="0" distL="0" distR="0">
            <wp:extent cx="4410075" cy="2990850"/>
            <wp:effectExtent l="0" t="0" r="9525"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10075" cy="2990850"/>
                    </a:xfrm>
                    <a:prstGeom prst="rect">
                      <a:avLst/>
                    </a:prstGeom>
                    <a:noFill/>
                    <a:ln>
                      <a:noFill/>
                    </a:ln>
                  </pic:spPr>
                </pic:pic>
              </a:graphicData>
            </a:graphic>
          </wp:inline>
        </w:drawing>
      </w:r>
    </w:p>
    <w:p w:rsidR="000A1F0C" w:rsidRDefault="005F29A3" w:rsidP="000A1F0C">
      <w:pPr>
        <w:numPr>
          <w:ilvl w:val="0"/>
          <w:numId w:val="2"/>
        </w:numPr>
        <w:spacing w:after="220"/>
        <w:jc w:val="both"/>
        <w:rPr>
          <w:rFonts w:ascii="Arial" w:eastAsia="SimSun" w:hAnsi="Arial" w:cs="Arial"/>
          <w:sz w:val="22"/>
          <w:szCs w:val="22"/>
        </w:rPr>
      </w:pPr>
      <w:r>
        <w:rPr>
          <w:rFonts w:ascii="Arial" w:hAnsi="Arial"/>
          <w:sz w:val="22"/>
        </w:rPr>
        <w:t>В 13,7 млн шв. франков, выплаченных Организацией сотрудникам после прекращения службы входят обязательства по медицинскому страхованию после прекращения службы (МСПС), пособие на репатриацию и проезд в связи с репатриацией, а также накопленный ежегодный отпуск</w:t>
      </w:r>
      <w:r w:rsidR="0005341A">
        <w:rPr>
          <w:rFonts w:ascii="Arial" w:hAnsi="Arial"/>
          <w:sz w:val="22"/>
        </w:rPr>
        <w:t>.  Р</w:t>
      </w:r>
      <w:r>
        <w:rPr>
          <w:rFonts w:ascii="Arial" w:hAnsi="Arial"/>
          <w:sz w:val="22"/>
        </w:rPr>
        <w:t>асходы за 2014 г. эквивалентны фактическим денежным выплатам по этим пособиям и изменению суммы общих обязательств по сравнению с 31 декабря 2013 г.</w:t>
      </w:r>
    </w:p>
    <w:p w:rsidR="000F7D7A" w:rsidRPr="000A1F0C" w:rsidRDefault="005F29A3" w:rsidP="000A1F0C">
      <w:pPr>
        <w:spacing w:after="220"/>
        <w:jc w:val="center"/>
        <w:rPr>
          <w:rFonts w:ascii="Arial" w:eastAsia="SimSun" w:hAnsi="Arial" w:cs="Arial"/>
          <w:sz w:val="22"/>
          <w:szCs w:val="22"/>
        </w:rPr>
      </w:pPr>
      <w:r>
        <w:rPr>
          <w:rFonts w:ascii="Arial" w:hAnsi="Arial"/>
          <w:sz w:val="22"/>
          <w:u w:val="single"/>
        </w:rPr>
        <w:t>Расходы на выплаты сотрудникам после прекращения службы, 2014 г.</w:t>
      </w:r>
    </w:p>
    <w:p w:rsidR="000F7D7A" w:rsidRPr="00DB46AC" w:rsidRDefault="006F4DA7" w:rsidP="00BA668A">
      <w:pPr>
        <w:spacing w:after="220"/>
        <w:jc w:val="center"/>
        <w:rPr>
          <w:rFonts w:ascii="Arial" w:eastAsia="SimSun" w:hAnsi="Arial" w:cs="Arial"/>
          <w:sz w:val="22"/>
          <w:szCs w:val="22"/>
        </w:rPr>
      </w:pPr>
      <w:r>
        <w:rPr>
          <w:rFonts w:ascii="Arial" w:eastAsia="SimSun" w:hAnsi="Arial" w:cs="Arial"/>
          <w:noProof/>
          <w:sz w:val="22"/>
          <w:szCs w:val="22"/>
          <w:lang w:val="en-US" w:eastAsia="en-US"/>
        </w:rPr>
        <w:drawing>
          <wp:inline distT="0" distB="0" distL="0" distR="0">
            <wp:extent cx="4675109" cy="2042169"/>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88714" cy="2048112"/>
                    </a:xfrm>
                    <a:prstGeom prst="rect">
                      <a:avLst/>
                    </a:prstGeom>
                    <a:noFill/>
                    <a:ln>
                      <a:noFill/>
                    </a:ln>
                  </pic:spPr>
                </pic:pic>
              </a:graphicData>
            </a:graphic>
          </wp:inline>
        </w:drawing>
      </w:r>
    </w:p>
    <w:p w:rsidR="00B9245C" w:rsidRDefault="005F29A3" w:rsidP="00F73729">
      <w:pPr>
        <w:numPr>
          <w:ilvl w:val="0"/>
          <w:numId w:val="2"/>
        </w:numPr>
        <w:spacing w:after="220"/>
        <w:jc w:val="both"/>
        <w:rPr>
          <w:rFonts w:ascii="Arial" w:eastAsia="SimSun" w:hAnsi="Arial" w:cs="Arial"/>
          <w:sz w:val="22"/>
          <w:szCs w:val="22"/>
        </w:rPr>
      </w:pPr>
      <w:r>
        <w:rPr>
          <w:rFonts w:ascii="Arial" w:hAnsi="Arial"/>
          <w:sz w:val="22"/>
        </w:rPr>
        <w:lastRenderedPageBreak/>
        <w:t>Совокупные расходы на персонал составили 216,4 млн шв. франков, что на 1,1% выше, чем в 2013 г. (214,0 млн шв. франков)</w:t>
      </w:r>
      <w:r w:rsidR="006B1BEC">
        <w:rPr>
          <w:rFonts w:ascii="Arial" w:hAnsi="Arial"/>
          <w:sz w:val="22"/>
        </w:rPr>
        <w:t>.  В</w:t>
      </w:r>
      <w:r>
        <w:rPr>
          <w:rFonts w:ascii="Arial" w:hAnsi="Arial"/>
          <w:sz w:val="22"/>
        </w:rPr>
        <w:t xml:space="preserve"> таблице ниже приведены подробные данные о расходах на персонал в сравнении с 2013 г.</w:t>
      </w:r>
    </w:p>
    <w:p w:rsidR="005713A6" w:rsidRPr="002F1990" w:rsidRDefault="005F29A3" w:rsidP="005713A6">
      <w:pPr>
        <w:spacing w:after="220"/>
        <w:jc w:val="center"/>
        <w:rPr>
          <w:rFonts w:ascii="Arial" w:eastAsia="SimSun" w:hAnsi="Arial" w:cs="Arial"/>
          <w:sz w:val="22"/>
          <w:szCs w:val="22"/>
          <w:u w:val="single"/>
        </w:rPr>
      </w:pPr>
      <w:r>
        <w:rPr>
          <w:rFonts w:ascii="Arial" w:hAnsi="Arial"/>
          <w:sz w:val="22"/>
          <w:u w:val="single"/>
        </w:rPr>
        <w:t>Структура расходов на персонал, 2013–2014 гг.</w:t>
      </w:r>
    </w:p>
    <w:p w:rsidR="003363D5" w:rsidRPr="00244ABC" w:rsidRDefault="006F4DA7" w:rsidP="00996523">
      <w:pPr>
        <w:jc w:val="center"/>
        <w:rPr>
          <w:rFonts w:ascii="Arial" w:eastAsia="SimSun" w:hAnsi="Arial" w:cs="Arial"/>
          <w:sz w:val="22"/>
          <w:szCs w:val="22"/>
        </w:rPr>
      </w:pPr>
      <w:r>
        <w:rPr>
          <w:rFonts w:ascii="Arial" w:eastAsia="SimSun" w:hAnsi="Arial" w:cs="Arial"/>
          <w:noProof/>
          <w:sz w:val="22"/>
          <w:szCs w:val="22"/>
          <w:lang w:val="en-US" w:eastAsia="en-US"/>
        </w:rPr>
        <w:drawing>
          <wp:inline distT="0" distB="0" distL="0" distR="0">
            <wp:extent cx="5791200" cy="4829175"/>
            <wp:effectExtent l="0" t="0" r="0"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91200" cy="4829175"/>
                    </a:xfrm>
                    <a:prstGeom prst="rect">
                      <a:avLst/>
                    </a:prstGeom>
                    <a:noFill/>
                    <a:ln>
                      <a:noFill/>
                    </a:ln>
                  </pic:spPr>
                </pic:pic>
              </a:graphicData>
            </a:graphic>
          </wp:inline>
        </w:drawing>
      </w:r>
    </w:p>
    <w:p w:rsidR="00517A5C" w:rsidRPr="004372FF" w:rsidRDefault="005F29A3" w:rsidP="00996523">
      <w:pPr>
        <w:numPr>
          <w:ilvl w:val="0"/>
          <w:numId w:val="2"/>
        </w:numPr>
        <w:jc w:val="both"/>
        <w:rPr>
          <w:rFonts w:ascii="Arial" w:eastAsia="SimSun" w:hAnsi="Arial" w:cs="Arial"/>
          <w:i/>
          <w:sz w:val="22"/>
          <w:szCs w:val="22"/>
        </w:rPr>
      </w:pPr>
      <w:r>
        <w:rPr>
          <w:rFonts w:ascii="Arial" w:hAnsi="Arial"/>
          <w:sz w:val="22"/>
        </w:rPr>
        <w:t>Расходы на сотрудников, занимающих штатные должности, выросли по сравнению с 2013 г. на 6,9 млн шв. франков, а расходы на временных сотрудников, напротив, снизились на 4,5 млн шв. франков</w:t>
      </w:r>
      <w:r w:rsidR="006B1BEC">
        <w:rPr>
          <w:rFonts w:ascii="Arial" w:hAnsi="Arial"/>
          <w:sz w:val="22"/>
        </w:rPr>
        <w:t>.  В</w:t>
      </w:r>
      <w:r>
        <w:rPr>
          <w:rFonts w:ascii="Arial" w:hAnsi="Arial"/>
          <w:sz w:val="22"/>
        </w:rPr>
        <w:t xml:space="preserve"> основном это объясняется преобразованием временных должностей в штатные для сотрудников, в течение длительного времени работающих по временным контрактам</w:t>
      </w:r>
      <w:r w:rsidR="0005341A">
        <w:rPr>
          <w:rFonts w:ascii="Arial" w:hAnsi="Arial"/>
          <w:sz w:val="22"/>
        </w:rPr>
        <w:t>.  У</w:t>
      </w:r>
      <w:r>
        <w:rPr>
          <w:rFonts w:ascii="Arial" w:hAnsi="Arial"/>
          <w:sz w:val="22"/>
        </w:rPr>
        <w:t>величение расходов на выплаты сотрудникам после прекращения службы на 2,1 млн шв. франков связано с общей динамикой обязательств по таким выплатам, которые выше в период 2013–2014 гг., чем в 2012–2013 гг</w:t>
      </w:r>
      <w:r w:rsidR="0005341A">
        <w:rPr>
          <w:rFonts w:ascii="Arial" w:hAnsi="Arial"/>
          <w:sz w:val="22"/>
        </w:rPr>
        <w:t>.  Д</w:t>
      </w:r>
      <w:r>
        <w:rPr>
          <w:rFonts w:ascii="Arial" w:hAnsi="Arial"/>
          <w:sz w:val="22"/>
        </w:rPr>
        <w:t>ругие расходы на персонал, приведенные отдельно в таблице, включают расходы, связанные как с постоянными, так и с временными должностями (страхование от несчастных случаев при выполнении профессиональных обязанностей, закрытый пенсионный фонд, судебные разбирательства).</w:t>
      </w:r>
    </w:p>
    <w:p w:rsidR="004372FF" w:rsidRPr="004372FF" w:rsidRDefault="004372FF" w:rsidP="004372FF">
      <w:pPr>
        <w:jc w:val="both"/>
        <w:rPr>
          <w:rFonts w:ascii="Arial" w:eastAsia="SimSun" w:hAnsi="Arial" w:cs="Arial"/>
          <w:i/>
          <w:sz w:val="22"/>
          <w:szCs w:val="22"/>
        </w:rPr>
      </w:pPr>
    </w:p>
    <w:p w:rsidR="004372FF" w:rsidRPr="00DB3DE3" w:rsidRDefault="005F29A3" w:rsidP="00996523">
      <w:pPr>
        <w:numPr>
          <w:ilvl w:val="0"/>
          <w:numId w:val="2"/>
        </w:numPr>
        <w:jc w:val="both"/>
        <w:rPr>
          <w:rFonts w:ascii="Arial" w:eastAsia="SimSun" w:hAnsi="Arial" w:cs="Arial"/>
          <w:i/>
          <w:sz w:val="22"/>
          <w:szCs w:val="22"/>
        </w:rPr>
      </w:pPr>
      <w:r>
        <w:rPr>
          <w:rFonts w:ascii="Arial" w:hAnsi="Arial"/>
          <w:sz w:val="22"/>
        </w:rPr>
        <w:t>В финансовых ведомостях за 2014 г. расходы на стажеров не включены в расходы на персонал</w:t>
      </w:r>
      <w:r w:rsidR="0005341A">
        <w:rPr>
          <w:rFonts w:ascii="Arial" w:hAnsi="Arial"/>
          <w:sz w:val="22"/>
        </w:rPr>
        <w:t>.  С</w:t>
      </w:r>
      <w:r>
        <w:rPr>
          <w:rFonts w:ascii="Arial" w:hAnsi="Arial"/>
          <w:sz w:val="22"/>
        </w:rPr>
        <w:t>читается, что это лучше соответствует природе отношений стажеров с Организацией, поскольку на них не распространяется действие Положений и правил о персонале</w:t>
      </w:r>
      <w:r w:rsidR="0005341A">
        <w:rPr>
          <w:rFonts w:ascii="Arial" w:hAnsi="Arial"/>
          <w:sz w:val="22"/>
        </w:rPr>
        <w:t>.  Р</w:t>
      </w:r>
      <w:r>
        <w:rPr>
          <w:rFonts w:ascii="Arial" w:hAnsi="Arial"/>
          <w:sz w:val="22"/>
        </w:rPr>
        <w:t>асходы на стажеров было решено объединить со стипендиями, которые ранее были включены в статью расходов "оплата проезда и стипендии"</w:t>
      </w:r>
      <w:r w:rsidR="0005341A">
        <w:rPr>
          <w:rFonts w:ascii="Arial" w:hAnsi="Arial"/>
          <w:sz w:val="22"/>
        </w:rPr>
        <w:t>.  С</w:t>
      </w:r>
      <w:r>
        <w:rPr>
          <w:rFonts w:ascii="Arial" w:hAnsi="Arial"/>
          <w:sz w:val="22"/>
        </w:rPr>
        <w:t>типендии ВОИС выдаются для того, чтобы стипендиаты могли углубить знания и нарастить профессиональный опыт</w:t>
      </w:r>
      <w:r w:rsidR="0005341A">
        <w:rPr>
          <w:rFonts w:ascii="Arial" w:hAnsi="Arial"/>
          <w:sz w:val="22"/>
        </w:rPr>
        <w:t>.  Э</w:t>
      </w:r>
      <w:r>
        <w:rPr>
          <w:rFonts w:ascii="Arial" w:hAnsi="Arial"/>
          <w:sz w:val="22"/>
        </w:rPr>
        <w:t xml:space="preserve">ти расходы учитываются отдельно от расходов на учебные стипендии, под которыми понимаются расходы, связанные с направлением практикантов, </w:t>
      </w:r>
      <w:r>
        <w:rPr>
          <w:rFonts w:ascii="Arial" w:hAnsi="Arial"/>
          <w:sz w:val="22"/>
        </w:rPr>
        <w:lastRenderedPageBreak/>
        <w:t>не являющихся сотрудниками, для прохождения учебных курсов и семинаров</w:t>
      </w:r>
      <w:r w:rsidR="0005341A">
        <w:rPr>
          <w:rFonts w:ascii="Arial" w:hAnsi="Arial"/>
          <w:sz w:val="22"/>
        </w:rPr>
        <w:t>.  Т</w:t>
      </w:r>
      <w:r>
        <w:rPr>
          <w:rFonts w:ascii="Arial" w:hAnsi="Arial"/>
          <w:sz w:val="22"/>
        </w:rPr>
        <w:t>акие расходы включены в статью расходов "оплата проезда и стипендии"</w:t>
      </w:r>
      <w:r w:rsidR="0005341A">
        <w:rPr>
          <w:rFonts w:ascii="Arial" w:hAnsi="Arial"/>
          <w:sz w:val="22"/>
        </w:rPr>
        <w:t>.  Р</w:t>
      </w:r>
      <w:r>
        <w:rPr>
          <w:rFonts w:ascii="Arial" w:hAnsi="Arial"/>
          <w:sz w:val="22"/>
        </w:rPr>
        <w:t>асходы на стипендии ВОИС увеличились по сравнению с 2013 г. на 0,8 млн шв. франков, что может быть связано с предусмотренным бюджетом развитием программ обмена между Организацией и национальными ведомствами ИС, а также с реализацией программы стипендий в Центре по арбитражу и посредничеству.</w:t>
      </w:r>
    </w:p>
    <w:p w:rsidR="00DB3DE3" w:rsidRDefault="00DB3DE3" w:rsidP="00DB3DE3">
      <w:pPr>
        <w:pStyle w:val="ListParagraph"/>
        <w:rPr>
          <w:rFonts w:ascii="Arial" w:eastAsia="SimSun" w:hAnsi="Arial" w:cs="Arial"/>
          <w:i/>
          <w:sz w:val="22"/>
          <w:szCs w:val="22"/>
        </w:rPr>
      </w:pPr>
    </w:p>
    <w:p w:rsidR="00517A5C" w:rsidRPr="00DB3DE3" w:rsidRDefault="005F29A3" w:rsidP="00DB3DE3">
      <w:pPr>
        <w:numPr>
          <w:ilvl w:val="0"/>
          <w:numId w:val="2"/>
        </w:numPr>
        <w:spacing w:after="220"/>
        <w:jc w:val="both"/>
        <w:rPr>
          <w:rFonts w:ascii="Arial" w:eastAsia="SimSun" w:hAnsi="Arial" w:cs="Arial"/>
          <w:sz w:val="22"/>
          <w:szCs w:val="22"/>
        </w:rPr>
      </w:pPr>
      <w:r>
        <w:rPr>
          <w:rFonts w:ascii="Arial" w:hAnsi="Arial"/>
          <w:sz w:val="22"/>
        </w:rPr>
        <w:t>Расходы на оплату проезда и стипендии в 2014 г. составили 15,4 млн </w:t>
      </w:r>
      <w:r w:rsidRPr="001311AA">
        <w:rPr>
          <w:rFonts w:ascii="Arial" w:hAnsi="Arial"/>
          <w:sz w:val="22"/>
        </w:rPr>
        <w:t>шв.</w:t>
      </w:r>
      <w:r w:rsidR="001311AA" w:rsidRPr="001311AA">
        <w:rPr>
          <w:rFonts w:ascii="Arial" w:hAnsi="Arial"/>
          <w:sz w:val="22"/>
        </w:rPr>
        <w:t> </w:t>
      </w:r>
      <w:r w:rsidRPr="001311AA">
        <w:rPr>
          <w:rFonts w:ascii="Arial" w:hAnsi="Arial"/>
          <w:sz w:val="22"/>
        </w:rPr>
        <w:t>франков</w:t>
      </w:r>
      <w:r>
        <w:rPr>
          <w:rFonts w:ascii="Arial" w:hAnsi="Arial"/>
          <w:sz w:val="22"/>
        </w:rPr>
        <w:t>, что соответствует 4,6% от общего объема расходов</w:t>
      </w:r>
      <w:r w:rsidR="0005341A">
        <w:rPr>
          <w:rFonts w:ascii="Arial" w:hAnsi="Arial"/>
          <w:sz w:val="22"/>
        </w:rPr>
        <w:t>.  Э</w:t>
      </w:r>
      <w:r>
        <w:rPr>
          <w:rFonts w:ascii="Arial" w:hAnsi="Arial"/>
          <w:sz w:val="22"/>
        </w:rPr>
        <w:t>ти расходы снизились на 19,8% по сравнению с 2013 г. (19,2 млн шв. франков)</w:t>
      </w:r>
      <w:r w:rsidR="006B1BEC">
        <w:rPr>
          <w:rFonts w:ascii="Arial" w:hAnsi="Arial"/>
          <w:sz w:val="22"/>
        </w:rPr>
        <w:t>.  В</w:t>
      </w:r>
      <w:r>
        <w:rPr>
          <w:rFonts w:ascii="Arial" w:hAnsi="Arial"/>
          <w:sz w:val="22"/>
        </w:rPr>
        <w:t xml:space="preserve"> расходы на оплату проезда включены расходы на оплату проезда третьих лиц (участники конференций и лекторы) в размере 7,6 млн шв. франков и расходы на командировки сотрудников и консультантов в размере 5,7 млн шв. франков</w:t>
      </w:r>
      <w:r w:rsidR="0005341A">
        <w:rPr>
          <w:rFonts w:ascii="Arial" w:hAnsi="Arial"/>
          <w:sz w:val="22"/>
        </w:rPr>
        <w:t>.  Р</w:t>
      </w:r>
      <w:r>
        <w:rPr>
          <w:rFonts w:ascii="Arial" w:hAnsi="Arial"/>
          <w:sz w:val="22"/>
        </w:rPr>
        <w:t>асходы на оплату проезда снизились по сравнению с 2013 г. на 3,5 млн шв. франков, что соответствует заложенному в бюджет сокращению расходов этой категории</w:t>
      </w:r>
      <w:r w:rsidR="006B1BEC">
        <w:rPr>
          <w:rFonts w:ascii="Arial" w:hAnsi="Arial"/>
          <w:sz w:val="22"/>
        </w:rPr>
        <w:t>.  В</w:t>
      </w:r>
      <w:r>
        <w:rPr>
          <w:rFonts w:ascii="Arial" w:hAnsi="Arial"/>
          <w:sz w:val="22"/>
        </w:rPr>
        <w:t xml:space="preserve"> 2013 г. в Марракеше прошла важная конференция (Дипломатическая конференция по заключению договора для облегчения доступа лиц с нарушениями зрения или иными ограниченными способностями воспринимать печатную информацию к опубликованным произведениям)</w:t>
      </w:r>
      <w:r w:rsidR="006B1BEC">
        <w:rPr>
          <w:rFonts w:ascii="Arial" w:hAnsi="Arial"/>
          <w:sz w:val="22"/>
        </w:rPr>
        <w:t>.  В</w:t>
      </w:r>
      <w:r>
        <w:rPr>
          <w:rFonts w:ascii="Arial" w:hAnsi="Arial"/>
          <w:sz w:val="22"/>
        </w:rPr>
        <w:t xml:space="preserve"> 2014 г. начал работу новый онлайн-механизм бронирования, который также позволит сократить расходы Организации на поездки</w:t>
      </w:r>
      <w:r w:rsidR="0005341A">
        <w:rPr>
          <w:rFonts w:ascii="Arial" w:hAnsi="Arial"/>
          <w:sz w:val="22"/>
        </w:rPr>
        <w:t>.  Р</w:t>
      </w:r>
      <w:r>
        <w:rPr>
          <w:rFonts w:ascii="Arial" w:hAnsi="Arial"/>
          <w:sz w:val="22"/>
        </w:rPr>
        <w:t xml:space="preserve">асходы на учебные стипендии в 2014 г. составили 2,1 млн шв. франков (в </w:t>
      </w:r>
      <w:r w:rsidR="00136CD5">
        <w:rPr>
          <w:rFonts w:ascii="Arial" w:hAnsi="Arial"/>
          <w:sz w:val="22"/>
        </w:rPr>
        <w:t>2013 г. – 2,4 млн шв. франков).</w:t>
      </w:r>
    </w:p>
    <w:p w:rsidR="00B9245C" w:rsidRPr="00DB16DB" w:rsidRDefault="005F29A3" w:rsidP="00996523">
      <w:pPr>
        <w:numPr>
          <w:ilvl w:val="0"/>
          <w:numId w:val="2"/>
        </w:numPr>
        <w:jc w:val="both"/>
        <w:rPr>
          <w:rFonts w:ascii="Arial" w:eastAsia="SimSun" w:hAnsi="Arial" w:cs="Arial"/>
          <w:i/>
          <w:sz w:val="22"/>
          <w:szCs w:val="22"/>
        </w:rPr>
      </w:pPr>
      <w:r>
        <w:rPr>
          <w:rFonts w:ascii="Arial" w:hAnsi="Arial"/>
          <w:sz w:val="22"/>
        </w:rPr>
        <w:t>На оплату услуг, оказываемых по контрактам, в 2014 г. было потрачено 63,6 млн шв. франков</w:t>
      </w:r>
      <w:r w:rsidR="0005341A">
        <w:rPr>
          <w:rFonts w:ascii="Arial" w:hAnsi="Arial"/>
          <w:sz w:val="22"/>
        </w:rPr>
        <w:t>.  Э</w:t>
      </w:r>
      <w:r>
        <w:rPr>
          <w:rFonts w:ascii="Arial" w:hAnsi="Arial"/>
          <w:sz w:val="22"/>
        </w:rPr>
        <w:t>ти расходы снизились на 2,2% по сравнению с 2013 г. (65,0 млн шв. франков)</w:t>
      </w:r>
      <w:r w:rsidR="0005341A">
        <w:rPr>
          <w:rFonts w:ascii="Arial" w:hAnsi="Arial"/>
          <w:sz w:val="22"/>
        </w:rPr>
        <w:t>.  О</w:t>
      </w:r>
      <w:r>
        <w:rPr>
          <w:rFonts w:ascii="Arial" w:hAnsi="Arial"/>
          <w:sz w:val="22"/>
        </w:rPr>
        <w:t xml:space="preserve">сновные категории услуг по контрактам в 2014 г.: </w:t>
      </w:r>
      <w:r w:rsidR="006B1BEC">
        <w:rPr>
          <w:rFonts w:ascii="Arial" w:hAnsi="Arial"/>
          <w:sz w:val="22"/>
        </w:rPr>
        <w:t xml:space="preserve"> </w:t>
      </w:r>
      <w:r>
        <w:rPr>
          <w:rFonts w:ascii="Arial" w:hAnsi="Arial"/>
          <w:sz w:val="22"/>
        </w:rPr>
        <w:t>коммерческие услуги по письменному переводу (22,5 млн шв. франков), услуги Международного вычислительного центра (11,5 млн шв. франков), коммерческие услуги в области ИТ (10,1 млн шв. франков) и услуги по индивидуальным контрактам (10,5 млн шв. франков)</w:t>
      </w:r>
      <w:r w:rsidR="0005341A">
        <w:rPr>
          <w:rFonts w:ascii="Arial" w:hAnsi="Arial"/>
          <w:sz w:val="22"/>
        </w:rPr>
        <w:t>.  Р</w:t>
      </w:r>
      <w:r>
        <w:rPr>
          <w:rFonts w:ascii="Arial" w:hAnsi="Arial"/>
          <w:sz w:val="22"/>
        </w:rPr>
        <w:t>асходы на коммерческие услуги по письменному переводу по сравнению с 2013 г. выросли на 2,1 млн шв. франков, частично из-за увеличения среднего количества слов в заключениях о патентоспособности, которые переводятся по контрактам на аутсорсинг (с 612 слов в 2013 г. до 687 слов в 2014 г.)</w:t>
      </w:r>
      <w:r w:rsidR="0005341A">
        <w:rPr>
          <w:rFonts w:ascii="Arial" w:hAnsi="Arial"/>
          <w:sz w:val="22"/>
        </w:rPr>
        <w:t>.  П</w:t>
      </w:r>
      <w:r>
        <w:rPr>
          <w:rFonts w:ascii="Arial" w:hAnsi="Arial"/>
          <w:sz w:val="22"/>
        </w:rPr>
        <w:t>ри этом расходы на услуги по индивидуальным контрактам снизились по сравнению с 2013 г. на 2,1 млн шв. франков, а расходы на проведение конференций – на 0,9 млн шв. франков.</w:t>
      </w:r>
    </w:p>
    <w:p w:rsidR="001965DD" w:rsidRPr="00DB16DB" w:rsidRDefault="001965DD" w:rsidP="001965DD">
      <w:pPr>
        <w:jc w:val="both"/>
        <w:rPr>
          <w:rFonts w:ascii="Arial" w:eastAsia="SimSun" w:hAnsi="Arial" w:cs="Arial"/>
          <w:sz w:val="22"/>
          <w:szCs w:val="22"/>
        </w:rPr>
      </w:pPr>
    </w:p>
    <w:p w:rsidR="00B6264E" w:rsidRPr="00DB16DB" w:rsidRDefault="005F29A3" w:rsidP="00B6264E">
      <w:pPr>
        <w:numPr>
          <w:ilvl w:val="0"/>
          <w:numId w:val="2"/>
        </w:numPr>
        <w:spacing w:after="220"/>
        <w:jc w:val="both"/>
        <w:rPr>
          <w:rFonts w:ascii="Arial" w:eastAsia="SimSun" w:hAnsi="Arial" w:cs="Arial"/>
          <w:sz w:val="22"/>
          <w:szCs w:val="22"/>
        </w:rPr>
      </w:pPr>
      <w:r>
        <w:rPr>
          <w:rFonts w:ascii="Arial" w:hAnsi="Arial"/>
          <w:sz w:val="22"/>
        </w:rPr>
        <w:t>Эксплуатационные расходы Организации за 2014 г. составили 20,8 млн</w:t>
      </w:r>
      <w:r w:rsidR="00C950F5">
        <w:rPr>
          <w:rFonts w:ascii="Arial" w:hAnsi="Arial"/>
          <w:sz w:val="22"/>
        </w:rPr>
        <w:t> </w:t>
      </w:r>
      <w:r w:rsidRPr="001311AA">
        <w:rPr>
          <w:rFonts w:ascii="Arial" w:hAnsi="Arial"/>
          <w:sz w:val="22"/>
        </w:rPr>
        <w:t>шв.</w:t>
      </w:r>
      <w:r w:rsidR="001311AA" w:rsidRPr="001311AA">
        <w:rPr>
          <w:rFonts w:ascii="Arial" w:hAnsi="Arial"/>
          <w:sz w:val="22"/>
        </w:rPr>
        <w:t> </w:t>
      </w:r>
      <w:r w:rsidRPr="001311AA">
        <w:rPr>
          <w:rFonts w:ascii="Arial" w:hAnsi="Arial"/>
          <w:sz w:val="22"/>
        </w:rPr>
        <w:t>франков</w:t>
      </w:r>
      <w:r>
        <w:rPr>
          <w:rFonts w:ascii="Arial" w:hAnsi="Arial"/>
          <w:sz w:val="22"/>
        </w:rPr>
        <w:t>, что на 1,4% меньше, чем в 2013 г., когда этот показатель составил 21,1 млн</w:t>
      </w:r>
      <w:r w:rsidR="00C950F5">
        <w:rPr>
          <w:rFonts w:ascii="Arial" w:hAnsi="Arial"/>
          <w:sz w:val="22"/>
        </w:rPr>
        <w:t> </w:t>
      </w:r>
      <w:r w:rsidRPr="001311AA">
        <w:rPr>
          <w:rFonts w:ascii="Arial" w:hAnsi="Arial"/>
          <w:sz w:val="22"/>
        </w:rPr>
        <w:t>шв.</w:t>
      </w:r>
      <w:r w:rsidR="001311AA" w:rsidRPr="001311AA">
        <w:rPr>
          <w:rFonts w:ascii="Arial" w:hAnsi="Arial"/>
          <w:sz w:val="22"/>
        </w:rPr>
        <w:t> </w:t>
      </w:r>
      <w:r w:rsidRPr="001311AA">
        <w:rPr>
          <w:rFonts w:ascii="Arial" w:hAnsi="Arial"/>
          <w:sz w:val="22"/>
        </w:rPr>
        <w:t>франков</w:t>
      </w:r>
      <w:r w:rsidR="0005341A">
        <w:rPr>
          <w:rFonts w:ascii="Arial" w:hAnsi="Arial"/>
          <w:sz w:val="22"/>
        </w:rPr>
        <w:t>.  К</w:t>
      </w:r>
      <w:r>
        <w:rPr>
          <w:rFonts w:ascii="Arial" w:hAnsi="Arial"/>
          <w:sz w:val="22"/>
        </w:rPr>
        <w:t xml:space="preserve"> эксплуатационным расходам относятся в основном расходы на содержание помещений (16,8 млн шв. франков), расходы на связь (2,3 млн шв. франков) и административные расходы (0,8 млн шв. франков)</w:t>
      </w:r>
      <w:r w:rsidR="0005341A">
        <w:rPr>
          <w:rFonts w:ascii="Arial" w:hAnsi="Arial"/>
          <w:sz w:val="22"/>
        </w:rPr>
        <w:t>.  С</w:t>
      </w:r>
      <w:r>
        <w:rPr>
          <w:rFonts w:ascii="Arial" w:hAnsi="Arial"/>
          <w:sz w:val="22"/>
        </w:rPr>
        <w:t>окращение на 0,3 млн шв. франков расходов н</w:t>
      </w:r>
      <w:r w:rsidR="00C950F5">
        <w:rPr>
          <w:rFonts w:ascii="Arial" w:hAnsi="Arial"/>
          <w:sz w:val="22"/>
        </w:rPr>
        <w:t>а связь по сравнению с 2013 г. с</w:t>
      </w:r>
      <w:r>
        <w:rPr>
          <w:rFonts w:ascii="Arial" w:hAnsi="Arial"/>
          <w:sz w:val="22"/>
        </w:rPr>
        <w:t>вязано со снижением числа почтовых отправлений</w:t>
      </w:r>
      <w:r w:rsidR="00136CD5">
        <w:rPr>
          <w:rFonts w:ascii="Arial" w:hAnsi="Arial"/>
          <w:sz w:val="22"/>
        </w:rPr>
        <w:t>.</w:t>
      </w:r>
    </w:p>
    <w:p w:rsidR="00F06A31" w:rsidRPr="00DB16DB" w:rsidRDefault="005F29A3" w:rsidP="00F6398F">
      <w:pPr>
        <w:numPr>
          <w:ilvl w:val="0"/>
          <w:numId w:val="2"/>
        </w:numPr>
        <w:spacing w:after="220"/>
        <w:jc w:val="both"/>
        <w:rPr>
          <w:rFonts w:ascii="Arial" w:eastAsia="SimSun" w:hAnsi="Arial" w:cs="Arial"/>
          <w:sz w:val="22"/>
          <w:szCs w:val="22"/>
        </w:rPr>
      </w:pPr>
      <w:r>
        <w:rPr>
          <w:rFonts w:ascii="Arial" w:hAnsi="Arial"/>
          <w:sz w:val="22"/>
        </w:rPr>
        <w:t>Расходы на принадлежности и материалы (1,8 млн шв. франков) снизились на 45,5% по сравнению с 2013 г</w:t>
      </w:r>
      <w:r w:rsidR="0005341A">
        <w:rPr>
          <w:rFonts w:ascii="Arial" w:hAnsi="Arial"/>
          <w:sz w:val="22"/>
        </w:rPr>
        <w:t>.  Р</w:t>
      </w:r>
      <w:r>
        <w:rPr>
          <w:rFonts w:ascii="Arial" w:hAnsi="Arial"/>
          <w:sz w:val="22"/>
        </w:rPr>
        <w:t>асходы на мебель и оборудование также снизились до 0,2 млн шв. франков в 2014 г. (в 2013 г. – 0,9 млн шв. франков)</w:t>
      </w:r>
      <w:r w:rsidR="0005341A">
        <w:rPr>
          <w:rFonts w:ascii="Arial" w:hAnsi="Arial"/>
          <w:sz w:val="22"/>
        </w:rPr>
        <w:t>.  Р</w:t>
      </w:r>
      <w:r>
        <w:rPr>
          <w:rFonts w:ascii="Arial" w:hAnsi="Arial"/>
          <w:sz w:val="22"/>
        </w:rPr>
        <w:t>асходы на мебель и оборудование включают приобретение предметов стоимостью ниже 5000 шв. франков (установленный в Организации порог для капитализации), которые сразу признаются в качестве расхода</w:t>
      </w:r>
      <w:r w:rsidR="0005341A">
        <w:rPr>
          <w:rFonts w:ascii="Arial" w:hAnsi="Arial"/>
          <w:sz w:val="22"/>
        </w:rPr>
        <w:t>.  С</w:t>
      </w:r>
      <w:r>
        <w:rPr>
          <w:rFonts w:ascii="Arial" w:hAnsi="Arial"/>
          <w:sz w:val="22"/>
        </w:rPr>
        <w:t>ледует отметить, что расходы на ИТ-оборудование такого рода сократились с 0,6 млн шв. франков в 2013 г. до 0,1 млн шв. </w:t>
      </w:r>
      <w:r w:rsidR="00136CD5">
        <w:rPr>
          <w:rFonts w:ascii="Arial" w:hAnsi="Arial"/>
          <w:sz w:val="22"/>
        </w:rPr>
        <w:t>франков в 2014 г.</w:t>
      </w:r>
    </w:p>
    <w:p w:rsidR="003A687E" w:rsidRPr="004A62D6" w:rsidRDefault="005F29A3" w:rsidP="00F6398F">
      <w:pPr>
        <w:numPr>
          <w:ilvl w:val="0"/>
          <w:numId w:val="2"/>
        </w:numPr>
        <w:spacing w:after="220"/>
        <w:jc w:val="both"/>
        <w:rPr>
          <w:rFonts w:ascii="Arial" w:eastAsia="SimSun" w:hAnsi="Arial" w:cs="Arial"/>
          <w:sz w:val="22"/>
          <w:szCs w:val="22"/>
        </w:rPr>
      </w:pPr>
      <w:r>
        <w:rPr>
          <w:rFonts w:ascii="Arial" w:hAnsi="Arial"/>
          <w:sz w:val="22"/>
        </w:rPr>
        <w:t>Как отмечалось выше, расходы, подсчитанные на основе МСУГС, включают расходы, обусловленные естественным износом зданий и оборудования, и амортизационные отчисления на нематериальные активы, поскольку стоимость этих активов распределяется на весь полезный срок их службы</w:t>
      </w:r>
      <w:r w:rsidR="006B1BEC">
        <w:rPr>
          <w:rFonts w:ascii="Arial" w:hAnsi="Arial"/>
          <w:sz w:val="22"/>
        </w:rPr>
        <w:t>.  В</w:t>
      </w:r>
      <w:r>
        <w:rPr>
          <w:rFonts w:ascii="Arial" w:hAnsi="Arial"/>
          <w:sz w:val="22"/>
        </w:rPr>
        <w:t xml:space="preserve"> 2014 г. такие расходы составили 9,1 млн шв. франков (в 2013 г. – 7,9 млн шв. франков)</w:t>
      </w:r>
      <w:r w:rsidR="0005341A">
        <w:rPr>
          <w:rFonts w:ascii="Arial" w:hAnsi="Arial"/>
          <w:sz w:val="22"/>
        </w:rPr>
        <w:t>.  У</w:t>
      </w:r>
      <w:r>
        <w:rPr>
          <w:rFonts w:ascii="Arial" w:hAnsi="Arial"/>
          <w:sz w:val="22"/>
        </w:rPr>
        <w:t xml:space="preserve">величение расходов связано с завершением строительства нового конференц-зала, по которому после ввода в </w:t>
      </w:r>
      <w:r>
        <w:rPr>
          <w:rFonts w:ascii="Arial" w:hAnsi="Arial"/>
          <w:sz w:val="22"/>
        </w:rPr>
        <w:lastRenderedPageBreak/>
        <w:t>эксплуатацию в сентябре 2014 г. был получен амортизационный расход в размере 0,7 млн шв. франков, а также с завершением в начале 2014 г. внутреннего проекта по разработке программного обеспечения, по которому за год также возник амортизационный расход в размере 0,6 млн шв. франков.</w:t>
      </w:r>
    </w:p>
    <w:p w:rsidR="004A62D6" w:rsidRPr="00DB16DB" w:rsidRDefault="005F29A3" w:rsidP="00F6398F">
      <w:pPr>
        <w:numPr>
          <w:ilvl w:val="0"/>
          <w:numId w:val="2"/>
        </w:numPr>
        <w:spacing w:after="220"/>
        <w:jc w:val="both"/>
        <w:rPr>
          <w:rFonts w:ascii="Arial" w:eastAsia="SimSun" w:hAnsi="Arial" w:cs="Arial"/>
          <w:sz w:val="22"/>
          <w:szCs w:val="22"/>
        </w:rPr>
      </w:pPr>
      <w:r>
        <w:rPr>
          <w:rFonts w:ascii="Arial" w:hAnsi="Arial"/>
          <w:sz w:val="22"/>
        </w:rPr>
        <w:t>В финансовых ведомостях за 2014 г. финансовые издержки впервые указываются отдельно в результатах финансовой деятельности</w:t>
      </w:r>
      <w:r w:rsidR="0005341A">
        <w:rPr>
          <w:rFonts w:ascii="Arial" w:hAnsi="Arial"/>
          <w:sz w:val="22"/>
        </w:rPr>
        <w:t>.  Р</w:t>
      </w:r>
      <w:r>
        <w:rPr>
          <w:rFonts w:ascii="Arial" w:hAnsi="Arial"/>
          <w:sz w:val="22"/>
        </w:rPr>
        <w:t>аньше они включались в эксплуатационные расходы</w:t>
      </w:r>
      <w:r w:rsidR="0005341A">
        <w:rPr>
          <w:rFonts w:ascii="Arial" w:hAnsi="Arial"/>
          <w:sz w:val="22"/>
        </w:rPr>
        <w:t>.  Ф</w:t>
      </w:r>
      <w:r>
        <w:rPr>
          <w:rFonts w:ascii="Arial" w:hAnsi="Arial"/>
          <w:sz w:val="22"/>
        </w:rPr>
        <w:t>инансовые издержки остались примерно на том же уровне: 3,3 млн шв. франков в 2014 г. против 3,4 млн шв. франков в 2013 г</w:t>
      </w:r>
      <w:r w:rsidR="0005341A">
        <w:rPr>
          <w:rFonts w:ascii="Arial" w:hAnsi="Arial"/>
          <w:sz w:val="22"/>
        </w:rPr>
        <w:t>.  К</w:t>
      </w:r>
      <w:r>
        <w:rPr>
          <w:rFonts w:ascii="Arial" w:hAnsi="Arial"/>
          <w:sz w:val="22"/>
        </w:rPr>
        <w:t xml:space="preserve"> финансовым издержкам относятся в первую очередь процентные платежи по займу на строительство нового здания, выданному банками BCG и BCV, которые в 2014 г. составили 3,1 млн шв. франков</w:t>
      </w:r>
      <w:r w:rsidR="0005341A">
        <w:rPr>
          <w:rFonts w:ascii="Arial" w:hAnsi="Arial"/>
          <w:sz w:val="22"/>
        </w:rPr>
        <w:t>.  О</w:t>
      </w:r>
      <w:r>
        <w:rPr>
          <w:rFonts w:ascii="Arial" w:hAnsi="Arial"/>
          <w:sz w:val="22"/>
        </w:rPr>
        <w:t>стальные финансовые издержки представляют собой комиссионные сборы банков.</w:t>
      </w:r>
    </w:p>
    <w:p w:rsidR="00B9245C" w:rsidRPr="00DB16DB" w:rsidRDefault="005F29A3" w:rsidP="000E49CA">
      <w:pPr>
        <w:spacing w:after="220"/>
        <w:rPr>
          <w:rFonts w:eastAsia="SimSun"/>
        </w:rPr>
      </w:pPr>
      <w:r>
        <w:rPr>
          <w:rFonts w:ascii="Arial" w:hAnsi="Arial"/>
          <w:b/>
          <w:sz w:val="22"/>
        </w:rPr>
        <w:t>Финансовое положение</w:t>
      </w:r>
    </w:p>
    <w:p w:rsidR="00797DF5" w:rsidRPr="00DB16DB" w:rsidRDefault="005F29A3" w:rsidP="00F73729">
      <w:pPr>
        <w:numPr>
          <w:ilvl w:val="0"/>
          <w:numId w:val="2"/>
        </w:numPr>
        <w:spacing w:after="220"/>
        <w:jc w:val="both"/>
        <w:rPr>
          <w:rFonts w:ascii="Arial" w:eastAsia="SimSun" w:hAnsi="Arial" w:cs="Arial"/>
          <w:sz w:val="22"/>
          <w:szCs w:val="22"/>
        </w:rPr>
      </w:pPr>
      <w:r>
        <w:rPr>
          <w:rFonts w:ascii="Arial" w:hAnsi="Arial"/>
          <w:sz w:val="22"/>
        </w:rPr>
        <w:t>По состоянию на 3</w:t>
      </w:r>
      <w:r w:rsidRPr="001311AA">
        <w:rPr>
          <w:rFonts w:ascii="Arial" w:hAnsi="Arial"/>
          <w:sz w:val="22"/>
        </w:rPr>
        <w:t>1</w:t>
      </w:r>
      <w:r w:rsidR="001311AA" w:rsidRPr="001311AA">
        <w:rPr>
          <w:rFonts w:ascii="Arial" w:hAnsi="Arial"/>
          <w:sz w:val="22"/>
        </w:rPr>
        <w:t> </w:t>
      </w:r>
      <w:r w:rsidRPr="001311AA">
        <w:rPr>
          <w:rFonts w:ascii="Arial" w:hAnsi="Arial"/>
          <w:sz w:val="22"/>
        </w:rPr>
        <w:t>декабря</w:t>
      </w:r>
      <w:r>
        <w:rPr>
          <w:rFonts w:ascii="Arial" w:hAnsi="Arial"/>
          <w:sz w:val="22"/>
        </w:rPr>
        <w:t xml:space="preserve"> 201</w:t>
      </w:r>
      <w:r w:rsidRPr="001311AA">
        <w:rPr>
          <w:rFonts w:ascii="Arial" w:hAnsi="Arial"/>
          <w:sz w:val="22"/>
        </w:rPr>
        <w:t>4</w:t>
      </w:r>
      <w:r w:rsidR="001311AA" w:rsidRPr="001311AA">
        <w:rPr>
          <w:rFonts w:ascii="Arial" w:hAnsi="Arial"/>
          <w:sz w:val="22"/>
        </w:rPr>
        <w:t> </w:t>
      </w:r>
      <w:r w:rsidRPr="001311AA">
        <w:rPr>
          <w:rFonts w:ascii="Arial" w:hAnsi="Arial"/>
          <w:sz w:val="22"/>
        </w:rPr>
        <w:t>г.</w:t>
      </w:r>
      <w:r>
        <w:rPr>
          <w:rFonts w:ascii="Arial" w:hAnsi="Arial"/>
          <w:sz w:val="22"/>
        </w:rPr>
        <w:t xml:space="preserve"> Организация располагала чистыми активами в размере 245,</w:t>
      </w:r>
      <w:r w:rsidRPr="001311AA">
        <w:rPr>
          <w:rFonts w:ascii="Arial" w:hAnsi="Arial"/>
          <w:sz w:val="22"/>
        </w:rPr>
        <w:t>8</w:t>
      </w:r>
      <w:r w:rsidR="001311AA" w:rsidRPr="001311AA">
        <w:rPr>
          <w:rFonts w:ascii="Arial" w:hAnsi="Arial"/>
          <w:sz w:val="22"/>
        </w:rPr>
        <w:t> </w:t>
      </w:r>
      <w:r w:rsidRPr="001311AA">
        <w:rPr>
          <w:rFonts w:ascii="Arial" w:hAnsi="Arial"/>
          <w:sz w:val="22"/>
        </w:rPr>
        <w:t>млн</w:t>
      </w:r>
      <w:r>
        <w:rPr>
          <w:rFonts w:ascii="Arial" w:hAnsi="Arial"/>
          <w:sz w:val="22"/>
        </w:rPr>
        <w:t> шв. франков, при этом сумма совокупных активов составила 969,4 млн шв. франков, а сумма совокупных обязательств — 723,6 млн шв. франков</w:t>
      </w:r>
      <w:r w:rsidR="006B1BEC">
        <w:rPr>
          <w:rFonts w:ascii="Arial" w:hAnsi="Arial"/>
          <w:sz w:val="22"/>
        </w:rPr>
        <w:t>.  В</w:t>
      </w:r>
      <w:r>
        <w:rPr>
          <w:rFonts w:ascii="Arial" w:hAnsi="Arial"/>
          <w:sz w:val="22"/>
        </w:rPr>
        <w:t xml:space="preserve"> результате образовавшегося в 2014 г. профицита в размере 37,0 млн шв. франков объем чистых активов вырос до 245,8 млн шв. франков на конец 2014 г. с 208,8 млн шв. франков по состоянию на конец 201</w:t>
      </w:r>
      <w:r w:rsidR="00136CD5">
        <w:rPr>
          <w:rFonts w:ascii="Arial" w:hAnsi="Arial"/>
          <w:sz w:val="22"/>
        </w:rPr>
        <w:t>3 г.</w:t>
      </w:r>
    </w:p>
    <w:p w:rsidR="00B9245C" w:rsidRPr="00DB16DB" w:rsidRDefault="005F29A3" w:rsidP="00F73729">
      <w:pPr>
        <w:numPr>
          <w:ilvl w:val="0"/>
          <w:numId w:val="2"/>
        </w:numPr>
        <w:spacing w:after="220"/>
        <w:jc w:val="both"/>
        <w:rPr>
          <w:rFonts w:ascii="Arial" w:eastAsia="SimSun" w:hAnsi="Arial" w:cs="Arial"/>
          <w:sz w:val="22"/>
          <w:szCs w:val="22"/>
        </w:rPr>
      </w:pPr>
      <w:r>
        <w:rPr>
          <w:rFonts w:ascii="Arial" w:hAnsi="Arial"/>
          <w:sz w:val="22"/>
        </w:rPr>
        <w:t>Следует отметить, что после изменения учетной политики в части, касающейся признания доходов от международных патентных заявок, ВОИС пересмотрела размер чистых активов по состоянию на 31 декабря 2012 г</w:t>
      </w:r>
      <w:r w:rsidR="0005341A">
        <w:rPr>
          <w:rFonts w:ascii="Arial" w:hAnsi="Arial"/>
          <w:sz w:val="22"/>
        </w:rPr>
        <w:t>.  П</w:t>
      </w:r>
      <w:r>
        <w:rPr>
          <w:rFonts w:ascii="Arial" w:hAnsi="Arial"/>
          <w:sz w:val="22"/>
        </w:rPr>
        <w:t>о состоянию на конец 2012 г. пересчитанный размер чистых активов составил 193,7 млн шв. франков по сравнению с ранее показанными 178,2 млн шв. франков</w:t>
      </w:r>
      <w:r w:rsidR="006B1BEC">
        <w:rPr>
          <w:rFonts w:ascii="Arial" w:hAnsi="Arial"/>
          <w:sz w:val="22"/>
        </w:rPr>
        <w:t>.  В</w:t>
      </w:r>
      <w:r>
        <w:rPr>
          <w:rFonts w:ascii="Arial" w:hAnsi="Arial"/>
          <w:sz w:val="22"/>
        </w:rPr>
        <w:t xml:space="preserve"> 2013 г. по итогам деятельности Организации образовался профицит в размере 15,1 млн шв. франков.</w:t>
      </w:r>
    </w:p>
    <w:p w:rsidR="00B9245C" w:rsidRPr="00AB3DCC" w:rsidRDefault="005F29A3" w:rsidP="00B50911">
      <w:pPr>
        <w:jc w:val="center"/>
        <w:rPr>
          <w:rFonts w:ascii="Arial" w:eastAsia="SimSun" w:hAnsi="Arial" w:cs="Arial"/>
          <w:sz w:val="22"/>
          <w:szCs w:val="20"/>
          <w:u w:val="single"/>
        </w:rPr>
      </w:pPr>
      <w:r>
        <w:rPr>
          <w:rFonts w:ascii="Arial" w:hAnsi="Arial"/>
          <w:sz w:val="22"/>
          <w:u w:val="single"/>
        </w:rPr>
        <w:t>Движение чистых активов в 2012–2014 гг.</w:t>
      </w:r>
    </w:p>
    <w:p w:rsidR="006F31BE" w:rsidRPr="004333BB" w:rsidRDefault="006F31BE" w:rsidP="00B50911">
      <w:pPr>
        <w:jc w:val="center"/>
        <w:rPr>
          <w:rFonts w:ascii="Arial" w:eastAsia="SimSun" w:hAnsi="Arial" w:cs="Arial"/>
          <w:i/>
          <w:sz w:val="16"/>
          <w:szCs w:val="16"/>
        </w:rPr>
      </w:pPr>
    </w:p>
    <w:p w:rsidR="00B9245C" w:rsidRPr="00716C41" w:rsidRDefault="006F4DA7" w:rsidP="00716C41">
      <w:pPr>
        <w:spacing w:after="220"/>
        <w:jc w:val="center"/>
        <w:rPr>
          <w:rFonts w:ascii="Arial" w:eastAsia="SimSun" w:hAnsi="Arial" w:cs="Arial"/>
          <w:sz w:val="22"/>
          <w:szCs w:val="20"/>
        </w:rPr>
      </w:pPr>
      <w:r>
        <w:rPr>
          <w:rFonts w:ascii="Arial" w:eastAsia="SimSun" w:hAnsi="Arial" w:cs="Arial"/>
          <w:noProof/>
          <w:sz w:val="22"/>
          <w:szCs w:val="20"/>
          <w:lang w:val="en-US" w:eastAsia="en-US"/>
        </w:rPr>
        <w:drawing>
          <wp:inline distT="0" distB="0" distL="0" distR="0">
            <wp:extent cx="5229225" cy="3200400"/>
            <wp:effectExtent l="0" t="0" r="9525"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29225" cy="3200400"/>
                    </a:xfrm>
                    <a:prstGeom prst="rect">
                      <a:avLst/>
                    </a:prstGeom>
                    <a:noFill/>
                    <a:ln>
                      <a:noFill/>
                    </a:ln>
                  </pic:spPr>
                </pic:pic>
              </a:graphicData>
            </a:graphic>
          </wp:inline>
        </w:drawing>
      </w:r>
    </w:p>
    <w:p w:rsidR="00B9245C" w:rsidRDefault="005F29A3" w:rsidP="004333BB">
      <w:pPr>
        <w:numPr>
          <w:ilvl w:val="0"/>
          <w:numId w:val="2"/>
        </w:numPr>
        <w:jc w:val="both"/>
        <w:rPr>
          <w:rFonts w:ascii="Arial" w:eastAsia="SimSun" w:hAnsi="Arial" w:cs="Arial"/>
          <w:sz w:val="22"/>
          <w:szCs w:val="22"/>
        </w:rPr>
      </w:pPr>
      <w:r>
        <w:rPr>
          <w:rFonts w:ascii="Arial" w:hAnsi="Arial"/>
          <w:sz w:val="22"/>
        </w:rPr>
        <w:t>На графике ниже наглядно представлены данные Отчета о финансовом положении ВОИС по состоянию на 31 декабря 2014 г.</w:t>
      </w:r>
    </w:p>
    <w:p w:rsidR="004333BB" w:rsidRPr="004333BB" w:rsidRDefault="004333BB" w:rsidP="004333BB">
      <w:pPr>
        <w:jc w:val="both"/>
        <w:rPr>
          <w:rFonts w:ascii="Arial" w:eastAsia="SimSun" w:hAnsi="Arial" w:cs="Arial"/>
          <w:sz w:val="16"/>
          <w:szCs w:val="22"/>
        </w:rPr>
      </w:pPr>
    </w:p>
    <w:p w:rsidR="006F4DA7" w:rsidRDefault="006F4DA7">
      <w:pPr>
        <w:rPr>
          <w:rFonts w:ascii="Arial" w:hAnsi="Arial"/>
          <w:sz w:val="22"/>
          <w:u w:val="single"/>
        </w:rPr>
      </w:pPr>
      <w:r>
        <w:rPr>
          <w:rFonts w:ascii="Arial" w:hAnsi="Arial"/>
          <w:sz w:val="22"/>
          <w:u w:val="single"/>
        </w:rPr>
        <w:br w:type="page"/>
      </w:r>
    </w:p>
    <w:p w:rsidR="00B9245C" w:rsidRPr="00870F9A" w:rsidRDefault="005F29A3" w:rsidP="004333BB">
      <w:pPr>
        <w:jc w:val="center"/>
        <w:rPr>
          <w:rFonts w:ascii="Arial" w:eastAsia="SimSun" w:hAnsi="Arial" w:cs="Arial"/>
          <w:sz w:val="22"/>
          <w:szCs w:val="22"/>
          <w:u w:val="single"/>
        </w:rPr>
      </w:pPr>
      <w:r>
        <w:rPr>
          <w:rFonts w:ascii="Arial" w:hAnsi="Arial"/>
          <w:sz w:val="22"/>
          <w:u w:val="single"/>
        </w:rPr>
        <w:lastRenderedPageBreak/>
        <w:t>Сводные данные по активам и пассивам по состоянию на 31 декабря 2014 г.</w:t>
      </w:r>
    </w:p>
    <w:p w:rsidR="007E09BF" w:rsidRPr="004333BB" w:rsidRDefault="007E09BF" w:rsidP="00996523">
      <w:pPr>
        <w:jc w:val="center"/>
        <w:rPr>
          <w:rFonts w:ascii="Arial" w:eastAsia="SimSun" w:hAnsi="Arial" w:cs="Arial"/>
          <w:sz w:val="16"/>
          <w:szCs w:val="22"/>
        </w:rPr>
      </w:pPr>
    </w:p>
    <w:p w:rsidR="00B9245C" w:rsidRPr="00B9245C" w:rsidRDefault="006F4DA7" w:rsidP="00996523">
      <w:pPr>
        <w:jc w:val="center"/>
        <w:rPr>
          <w:rFonts w:ascii="Arial" w:eastAsia="SimSun" w:hAnsi="Arial" w:cs="Arial"/>
          <w:sz w:val="22"/>
          <w:szCs w:val="22"/>
        </w:rPr>
      </w:pPr>
      <w:r>
        <w:rPr>
          <w:rFonts w:ascii="Arial" w:eastAsia="SimSun" w:hAnsi="Arial" w:cs="Arial"/>
          <w:noProof/>
          <w:sz w:val="22"/>
          <w:szCs w:val="22"/>
          <w:lang w:val="en-US" w:eastAsia="en-US"/>
        </w:rPr>
        <w:drawing>
          <wp:inline distT="0" distB="0" distL="0" distR="0">
            <wp:extent cx="5977255" cy="3543040"/>
            <wp:effectExtent l="0" t="0" r="4445"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77255" cy="3543040"/>
                    </a:xfrm>
                    <a:prstGeom prst="rect">
                      <a:avLst/>
                    </a:prstGeom>
                    <a:noFill/>
                    <a:ln>
                      <a:noFill/>
                    </a:ln>
                  </pic:spPr>
                </pic:pic>
              </a:graphicData>
            </a:graphic>
          </wp:inline>
        </w:drawing>
      </w:r>
    </w:p>
    <w:p w:rsidR="000A2C65" w:rsidRPr="000A2C65" w:rsidRDefault="005F29A3" w:rsidP="000A2C65">
      <w:pPr>
        <w:spacing w:after="220"/>
        <w:jc w:val="both"/>
        <w:rPr>
          <w:rFonts w:ascii="Arial" w:eastAsia="SimSun" w:hAnsi="Arial" w:cs="Arial"/>
          <w:b/>
          <w:i/>
          <w:sz w:val="22"/>
          <w:szCs w:val="22"/>
        </w:rPr>
      </w:pPr>
      <w:r>
        <w:rPr>
          <w:rFonts w:ascii="Arial" w:hAnsi="Arial"/>
          <w:b/>
          <w:i/>
          <w:sz w:val="22"/>
        </w:rPr>
        <w:t>Активы</w:t>
      </w:r>
    </w:p>
    <w:p w:rsidR="00B9245C" w:rsidRPr="00B9245C" w:rsidRDefault="005F29A3" w:rsidP="00F73729">
      <w:pPr>
        <w:numPr>
          <w:ilvl w:val="0"/>
          <w:numId w:val="2"/>
        </w:numPr>
        <w:spacing w:after="220"/>
        <w:jc w:val="both"/>
        <w:rPr>
          <w:rFonts w:ascii="Arial" w:eastAsia="SimSun" w:hAnsi="Arial" w:cs="Arial"/>
          <w:sz w:val="22"/>
          <w:szCs w:val="22"/>
        </w:rPr>
      </w:pPr>
      <w:r>
        <w:rPr>
          <w:rFonts w:ascii="Arial" w:hAnsi="Arial"/>
          <w:sz w:val="22"/>
        </w:rPr>
        <w:t>Остатки денежных средств на счетах Организации составили 474,5 млн шв. франков (48,9% совокупных активов), однако 249,8 млн шв. франков из этой суммы классифицируются по МСУГС как «ограниченные»</w:t>
      </w:r>
      <w:r w:rsidR="0005341A">
        <w:rPr>
          <w:rFonts w:ascii="Arial" w:hAnsi="Arial"/>
          <w:sz w:val="22"/>
        </w:rPr>
        <w:t>.  С</w:t>
      </w:r>
      <w:r>
        <w:rPr>
          <w:rFonts w:ascii="Arial" w:hAnsi="Arial"/>
          <w:sz w:val="22"/>
        </w:rPr>
        <w:t>овокупные остатки денежных средств существенно выросли по сравнению с 409,9 млн шв. франков по состоянию на 31 декабря 2013 г</w:t>
      </w:r>
      <w:r w:rsidR="0005341A">
        <w:rPr>
          <w:rFonts w:ascii="Arial" w:hAnsi="Arial"/>
          <w:sz w:val="22"/>
        </w:rPr>
        <w:t>.  Э</w:t>
      </w:r>
      <w:r>
        <w:rPr>
          <w:rFonts w:ascii="Arial" w:hAnsi="Arial"/>
          <w:sz w:val="22"/>
        </w:rPr>
        <w:t>ти средства инвестированы в соответствии с</w:t>
      </w:r>
      <w:r w:rsidR="00136CD5">
        <w:rPr>
          <w:rFonts w:ascii="Arial" w:hAnsi="Arial"/>
          <w:sz w:val="22"/>
        </w:rPr>
        <w:t xml:space="preserve"> инвестиционной политикой ВОИС.</w:t>
      </w:r>
    </w:p>
    <w:p w:rsidR="00C31509" w:rsidRPr="006B1231" w:rsidRDefault="005F29A3" w:rsidP="00F73729">
      <w:pPr>
        <w:numPr>
          <w:ilvl w:val="0"/>
          <w:numId w:val="2"/>
        </w:numPr>
        <w:spacing w:after="220"/>
        <w:jc w:val="both"/>
        <w:rPr>
          <w:rFonts w:ascii="Arial" w:eastAsia="SimSun" w:hAnsi="Arial" w:cs="Arial"/>
          <w:sz w:val="22"/>
          <w:szCs w:val="22"/>
        </w:rPr>
      </w:pPr>
      <w:r>
        <w:rPr>
          <w:rFonts w:ascii="Arial" w:hAnsi="Arial"/>
          <w:sz w:val="22"/>
        </w:rPr>
        <w:t>Организации принадлежат значительные основные средства (земельные участки, здания, инвестиционная недвижимость, нематериальные активы и оборудование) с совокупной чистой балансовой стоимостью 419,7 млн шв. франков, в то время как по состоянию на 31 декабря 2013 г. этот показатель составлял 396,4 млн шв. франков</w:t>
      </w:r>
      <w:r w:rsidR="006B1BEC">
        <w:rPr>
          <w:rFonts w:ascii="Arial" w:hAnsi="Arial"/>
          <w:sz w:val="22"/>
        </w:rPr>
        <w:t>.  В</w:t>
      </w:r>
      <w:r>
        <w:rPr>
          <w:rFonts w:ascii="Arial" w:hAnsi="Arial"/>
          <w:sz w:val="22"/>
        </w:rPr>
        <w:t xml:space="preserve"> течение 2014 г. Организация капитализировала расходы на строительство нового конференц-зала и осуществление проекта строительства сооружений безопасности (включая центр доступа и периметр безопасности), а также расходы на реконструкцию и ремонт существующих и используемых зданий, в первую очередь здания А. Богша</w:t>
      </w:r>
      <w:r w:rsidR="0005341A">
        <w:rPr>
          <w:rFonts w:ascii="Arial" w:hAnsi="Arial"/>
          <w:sz w:val="22"/>
        </w:rPr>
        <w:t>.  Н</w:t>
      </w:r>
      <w:r>
        <w:rPr>
          <w:rFonts w:ascii="Arial" w:hAnsi="Arial"/>
          <w:sz w:val="22"/>
        </w:rPr>
        <w:t>овый конференц-зал был введен в эксплуатацию в сентябре 2014 г., а проект строительства сооружений безопасности, как ожидается, будет завершен в первой половине 2015 г</w:t>
      </w:r>
      <w:r w:rsidR="0005341A">
        <w:rPr>
          <w:rFonts w:ascii="Arial" w:hAnsi="Arial"/>
          <w:sz w:val="22"/>
        </w:rPr>
        <w:t>.  Р</w:t>
      </w:r>
      <w:r>
        <w:rPr>
          <w:rFonts w:ascii="Arial" w:hAnsi="Arial"/>
          <w:sz w:val="22"/>
        </w:rPr>
        <w:t>асходы в размере 30,4 млн шв. франков были капитализированы и добавлены к расходам на здания Организации в 2014 г</w:t>
      </w:r>
      <w:r w:rsidR="0005341A">
        <w:rPr>
          <w:rFonts w:ascii="Arial" w:hAnsi="Arial"/>
          <w:sz w:val="22"/>
        </w:rPr>
        <w:t>.  Ч</w:t>
      </w:r>
      <w:r>
        <w:rPr>
          <w:rFonts w:ascii="Arial" w:hAnsi="Arial"/>
          <w:sz w:val="22"/>
        </w:rPr>
        <w:t>астично это было компенсировано амортизационными отчислениями по зданиям за год в размере 7,1 млн шв. франков.</w:t>
      </w:r>
    </w:p>
    <w:p w:rsidR="006B1231" w:rsidRPr="00A81B23" w:rsidRDefault="005F29A3" w:rsidP="00F73729">
      <w:pPr>
        <w:numPr>
          <w:ilvl w:val="0"/>
          <w:numId w:val="2"/>
        </w:numPr>
        <w:spacing w:after="220"/>
        <w:jc w:val="both"/>
        <w:rPr>
          <w:rFonts w:ascii="Arial" w:eastAsia="SimSun" w:hAnsi="Arial" w:cs="Arial"/>
          <w:sz w:val="22"/>
          <w:szCs w:val="22"/>
        </w:rPr>
      </w:pPr>
      <w:r>
        <w:rPr>
          <w:rFonts w:ascii="Arial" w:hAnsi="Arial"/>
          <w:sz w:val="22"/>
        </w:rPr>
        <w:t>В таблице ниже приведены сводные данные по основным средствам, принадлежащим Организации</w:t>
      </w:r>
      <w:r w:rsidR="006B1BEC">
        <w:rPr>
          <w:rFonts w:ascii="Arial" w:hAnsi="Arial"/>
          <w:sz w:val="22"/>
        </w:rPr>
        <w:t>.  В</w:t>
      </w:r>
      <w:r>
        <w:rPr>
          <w:rFonts w:ascii="Arial" w:hAnsi="Arial"/>
          <w:sz w:val="22"/>
        </w:rPr>
        <w:t xml:space="preserve"> МСУГС земельные участки и недвижимость классифицируются по-разному в зависимости от назначения или природы договорных прав или соглашений, по которым они отошли Организации</w:t>
      </w:r>
      <w:r w:rsidR="0005341A">
        <w:rPr>
          <w:rFonts w:ascii="Arial" w:hAnsi="Arial"/>
          <w:sz w:val="22"/>
        </w:rPr>
        <w:t>.  П</w:t>
      </w:r>
      <w:r w:rsidRPr="00C950F5">
        <w:rPr>
          <w:rFonts w:ascii="Arial" w:hAnsi="Arial" w:cs="Arial"/>
          <w:sz w:val="22"/>
          <w:szCs w:val="22"/>
        </w:rPr>
        <w:t>омимо земельных участков и недвижимости, указанных ниже как основные средства, Организация также арендует дополнительные площади, помещения для хранения и объекты недвижимости</w:t>
      </w:r>
      <w:r w:rsidR="0005341A">
        <w:rPr>
          <w:rFonts w:ascii="Arial" w:hAnsi="Arial" w:cs="Arial"/>
          <w:sz w:val="22"/>
          <w:szCs w:val="22"/>
        </w:rPr>
        <w:t>.  К</w:t>
      </w:r>
      <w:r w:rsidRPr="00C950F5">
        <w:rPr>
          <w:rFonts w:ascii="Arial" w:hAnsi="Arial" w:cs="Arial"/>
          <w:sz w:val="22"/>
          <w:szCs w:val="22"/>
        </w:rPr>
        <w:t>роме того, Организация арендует помещения для некоторых внешних бюро (см. примечание 19)</w:t>
      </w:r>
      <w:r w:rsidR="0005341A">
        <w:rPr>
          <w:rFonts w:ascii="Arial" w:hAnsi="Arial" w:cs="Arial"/>
          <w:sz w:val="22"/>
          <w:szCs w:val="22"/>
        </w:rPr>
        <w:t>.  О</w:t>
      </w:r>
      <w:r>
        <w:rPr>
          <w:rFonts w:ascii="Arial" w:hAnsi="Arial"/>
          <w:sz w:val="22"/>
        </w:rPr>
        <w:t xml:space="preserve">рганизации были переданы права суперфиция на земельные участки, </w:t>
      </w:r>
      <w:r>
        <w:rPr>
          <w:rFonts w:ascii="Arial" w:hAnsi="Arial"/>
          <w:sz w:val="22"/>
        </w:rPr>
        <w:lastRenderedPageBreak/>
        <w:t>на которых расположены некоторые из зданий штаб-квартиры</w:t>
      </w:r>
      <w:r w:rsidR="0005341A">
        <w:rPr>
          <w:rFonts w:ascii="Arial" w:hAnsi="Arial"/>
          <w:sz w:val="22"/>
        </w:rPr>
        <w:t>.  Э</w:t>
      </w:r>
      <w:r>
        <w:rPr>
          <w:rFonts w:ascii="Arial" w:hAnsi="Arial"/>
          <w:sz w:val="22"/>
        </w:rPr>
        <w:t>ти права были переданы безвозмездно, поэтому они не отражаются в финансовых ведомостях, но информация о них раскрывается (см. примечание 8).</w:t>
      </w:r>
    </w:p>
    <w:p w:rsidR="00A81B23" w:rsidRPr="00A81B23" w:rsidRDefault="005F29A3" w:rsidP="00A81B23">
      <w:pPr>
        <w:spacing w:after="220"/>
        <w:jc w:val="center"/>
        <w:rPr>
          <w:rFonts w:ascii="Arial" w:eastAsia="SimSun" w:hAnsi="Arial" w:cs="Arial"/>
          <w:sz w:val="22"/>
          <w:szCs w:val="22"/>
          <w:u w:val="single"/>
        </w:rPr>
      </w:pPr>
      <w:r>
        <w:rPr>
          <w:rFonts w:ascii="Arial" w:hAnsi="Arial"/>
          <w:sz w:val="22"/>
          <w:u w:val="single"/>
        </w:rPr>
        <w:t>Основные средства по состоянию на 31 декабря 2014 г.</w:t>
      </w:r>
    </w:p>
    <w:p w:rsidR="00A52FC2" w:rsidRDefault="006F4DA7" w:rsidP="006B1231">
      <w:pPr>
        <w:spacing w:after="220"/>
        <w:jc w:val="center"/>
        <w:rPr>
          <w:rFonts w:eastAsia="SimSun"/>
        </w:rPr>
      </w:pPr>
      <w:r>
        <w:rPr>
          <w:rFonts w:eastAsia="SimSun"/>
          <w:noProof/>
          <w:lang w:val="en-US" w:eastAsia="en-US"/>
        </w:rPr>
        <w:drawing>
          <wp:inline distT="0" distB="0" distL="0" distR="0">
            <wp:extent cx="5977255" cy="3677636"/>
            <wp:effectExtent l="0" t="0" r="4445"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77255" cy="3677636"/>
                    </a:xfrm>
                    <a:prstGeom prst="rect">
                      <a:avLst/>
                    </a:prstGeom>
                    <a:noFill/>
                    <a:ln>
                      <a:noFill/>
                    </a:ln>
                  </pic:spPr>
                </pic:pic>
              </a:graphicData>
            </a:graphic>
          </wp:inline>
        </w:drawing>
      </w:r>
    </w:p>
    <w:p w:rsidR="00713282" w:rsidRPr="00713282" w:rsidRDefault="005F29A3" w:rsidP="00F73729">
      <w:pPr>
        <w:numPr>
          <w:ilvl w:val="0"/>
          <w:numId w:val="2"/>
        </w:numPr>
        <w:spacing w:after="220"/>
        <w:jc w:val="both"/>
        <w:rPr>
          <w:rFonts w:ascii="Arial" w:eastAsia="SimSun" w:hAnsi="Arial" w:cs="Arial"/>
          <w:sz w:val="22"/>
          <w:szCs w:val="22"/>
        </w:rPr>
      </w:pPr>
      <w:r>
        <w:rPr>
          <w:rFonts w:ascii="Arial" w:hAnsi="Arial"/>
          <w:sz w:val="22"/>
        </w:rPr>
        <w:t>Чистая балансовая стоимость оборудования, принадлежащего Организации, снизилась на 0,6 млн шв. франков с 2,3 млн шв. франков на конец 2013 г. до 1,7 млн шв. франков на конец 2014 г</w:t>
      </w:r>
      <w:r w:rsidR="0005341A">
        <w:rPr>
          <w:rFonts w:ascii="Arial" w:hAnsi="Arial"/>
          <w:sz w:val="22"/>
        </w:rPr>
        <w:t>.  Э</w:t>
      </w:r>
      <w:r>
        <w:rPr>
          <w:rFonts w:ascii="Arial" w:hAnsi="Arial"/>
          <w:sz w:val="22"/>
        </w:rPr>
        <w:t>то снижение объясняется амортизацией в размере 0,8 млн шв. франков, которая была частично компенсирована приобретением нового оборудования</w:t>
      </w:r>
      <w:r w:rsidR="006B1BEC">
        <w:rPr>
          <w:rFonts w:ascii="Arial" w:hAnsi="Arial"/>
          <w:sz w:val="22"/>
        </w:rPr>
        <w:t>.  В</w:t>
      </w:r>
      <w:r>
        <w:rPr>
          <w:rFonts w:ascii="Arial" w:hAnsi="Arial"/>
          <w:sz w:val="22"/>
        </w:rPr>
        <w:t xml:space="preserve"> течение года было утилизировано много ИТ-оборудования, в основном устаревшего</w:t>
      </w:r>
      <w:r w:rsidR="0005341A">
        <w:rPr>
          <w:rFonts w:ascii="Arial" w:hAnsi="Arial"/>
          <w:sz w:val="22"/>
        </w:rPr>
        <w:t>.  С</w:t>
      </w:r>
      <w:r>
        <w:rPr>
          <w:rFonts w:ascii="Arial" w:hAnsi="Arial"/>
          <w:sz w:val="22"/>
        </w:rPr>
        <w:t>овокупная балансовая стоимость оборудования составляла 5,3 млн шв. франков, но чистая балансовая стоимость составляла лишь 8771 шв. франков, поскольку оно было почти полностью амортизировано</w:t>
      </w:r>
      <w:r w:rsidR="0005341A">
        <w:rPr>
          <w:rFonts w:ascii="Arial" w:hAnsi="Arial"/>
          <w:sz w:val="22"/>
        </w:rPr>
        <w:t>.  Ч</w:t>
      </w:r>
      <w:r>
        <w:rPr>
          <w:rFonts w:ascii="Arial" w:hAnsi="Arial"/>
          <w:sz w:val="22"/>
        </w:rPr>
        <w:t>истая балансовая стоимость нематериальных активов Организации выросла в 2014 г. на 0,6 млн шв. франков за счет нового программного обеспечения, которое было капитализировано.</w:t>
      </w:r>
    </w:p>
    <w:p w:rsidR="0017635C" w:rsidRPr="0017635C" w:rsidRDefault="005F29A3" w:rsidP="00F73729">
      <w:pPr>
        <w:numPr>
          <w:ilvl w:val="0"/>
          <w:numId w:val="2"/>
        </w:numPr>
        <w:spacing w:after="220"/>
        <w:jc w:val="both"/>
        <w:rPr>
          <w:rFonts w:ascii="Arial" w:eastAsia="SimSun" w:hAnsi="Arial" w:cs="Arial"/>
          <w:sz w:val="22"/>
          <w:szCs w:val="22"/>
        </w:rPr>
      </w:pPr>
      <w:r>
        <w:rPr>
          <w:rFonts w:ascii="Arial" w:hAnsi="Arial"/>
          <w:sz w:val="22"/>
        </w:rPr>
        <w:t>Прочие активы Организации, в т.ч. дебиторская задолженность, материально-производственные запасы и авансовые платежи, составляют 75,2 млн шв. франков</w:t>
      </w:r>
      <w:r w:rsidR="0005341A">
        <w:rPr>
          <w:rFonts w:ascii="Arial" w:hAnsi="Arial"/>
          <w:sz w:val="22"/>
        </w:rPr>
        <w:t>.  С</w:t>
      </w:r>
      <w:r>
        <w:rPr>
          <w:rFonts w:ascii="Arial" w:hAnsi="Arial"/>
          <w:sz w:val="22"/>
        </w:rPr>
        <w:t>амая существенная доля этих активов приходится на дебиторскую задолженность в рамках РСТ, которая составляет 46,7 млн шв. франков</w:t>
      </w:r>
      <w:r w:rsidR="006B1BEC">
        <w:rPr>
          <w:rFonts w:ascii="Arial" w:hAnsi="Arial"/>
          <w:sz w:val="22"/>
        </w:rPr>
        <w:t>.  В</w:t>
      </w:r>
      <w:r>
        <w:rPr>
          <w:rFonts w:ascii="Arial" w:hAnsi="Arial"/>
          <w:sz w:val="22"/>
        </w:rPr>
        <w:t xml:space="preserve"> любой отдельно взятый момент времени в получающие ведомства было подано большое число заявок РСТ, которые, возможно, были получены и ВОИС, при этом Организация не получила за них причитающиеся пошлины</w:t>
      </w:r>
      <w:r w:rsidR="0005341A">
        <w:rPr>
          <w:rFonts w:ascii="Arial" w:hAnsi="Arial"/>
          <w:sz w:val="22"/>
        </w:rPr>
        <w:t>.  Д</w:t>
      </w:r>
      <w:r>
        <w:rPr>
          <w:rFonts w:ascii="Arial" w:hAnsi="Arial"/>
          <w:sz w:val="22"/>
        </w:rPr>
        <w:t>ебиторская задолженность по РСТ по сравнению с предыдущим годом, когда она составляла 62,4 млн шв. франков, существенно сократилась</w:t>
      </w:r>
      <w:r w:rsidR="0005341A">
        <w:rPr>
          <w:rFonts w:ascii="Arial" w:hAnsi="Arial"/>
          <w:sz w:val="22"/>
        </w:rPr>
        <w:t>.  Н</w:t>
      </w:r>
      <w:r>
        <w:rPr>
          <w:rFonts w:ascii="Arial" w:hAnsi="Arial"/>
          <w:sz w:val="22"/>
        </w:rPr>
        <w:t>а конец 2013 г. примерно 23,8% заявок, поданных в течение предыдущих двенадцати месяцев, оставались неоплаченными</w:t>
      </w:r>
      <w:r w:rsidR="0005341A">
        <w:rPr>
          <w:rFonts w:ascii="Arial" w:hAnsi="Arial"/>
          <w:sz w:val="22"/>
        </w:rPr>
        <w:t>.  К</w:t>
      </w:r>
      <w:r>
        <w:rPr>
          <w:rFonts w:ascii="Arial" w:hAnsi="Arial"/>
          <w:sz w:val="22"/>
        </w:rPr>
        <w:t xml:space="preserve"> концу 2014 г. этот показатель сократился до примерно 16%</w:t>
      </w:r>
      <w:r w:rsidR="0005341A">
        <w:rPr>
          <w:rFonts w:ascii="Arial" w:hAnsi="Arial"/>
          <w:sz w:val="22"/>
        </w:rPr>
        <w:t>.  П</w:t>
      </w:r>
      <w:r>
        <w:rPr>
          <w:rFonts w:ascii="Arial" w:hAnsi="Arial"/>
          <w:sz w:val="22"/>
        </w:rPr>
        <w:t>омимо упомянутого снижения доли просроченных платежей по заявкам на конец года, в 2014 г. также было отмечено сокращение задолженности по платежам за 2013 г</w:t>
      </w:r>
      <w:r w:rsidR="006B1BEC">
        <w:rPr>
          <w:rFonts w:ascii="Arial" w:hAnsi="Arial"/>
          <w:sz w:val="22"/>
        </w:rPr>
        <w:t>.  В</w:t>
      </w:r>
      <w:r>
        <w:rPr>
          <w:rFonts w:ascii="Arial" w:hAnsi="Arial"/>
          <w:sz w:val="22"/>
        </w:rPr>
        <w:t>месте эти два фактора объясняют снижение суммы дебиторской задолженности по РСТ.</w:t>
      </w:r>
    </w:p>
    <w:p w:rsidR="0017635C" w:rsidRPr="00B20E50" w:rsidRDefault="005F29A3" w:rsidP="0017635C">
      <w:pPr>
        <w:spacing w:after="220"/>
        <w:jc w:val="center"/>
        <w:rPr>
          <w:rFonts w:ascii="Arial" w:eastAsia="SimSun" w:hAnsi="Arial" w:cs="Arial"/>
          <w:sz w:val="22"/>
          <w:szCs w:val="22"/>
          <w:u w:val="single"/>
        </w:rPr>
      </w:pPr>
      <w:r>
        <w:rPr>
          <w:rFonts w:ascii="Arial" w:hAnsi="Arial"/>
          <w:sz w:val="22"/>
          <w:u w:val="single"/>
        </w:rPr>
        <w:lastRenderedPageBreak/>
        <w:t>Задолженность по РСТ, 2013–2014 гг.</w:t>
      </w:r>
    </w:p>
    <w:p w:rsidR="00B9245C" w:rsidRPr="00B20E50" w:rsidRDefault="006F4DA7" w:rsidP="00F1544E">
      <w:pPr>
        <w:jc w:val="center"/>
        <w:rPr>
          <w:rFonts w:ascii="Arial" w:eastAsia="SimSun" w:hAnsi="Arial" w:cs="Arial"/>
          <w:sz w:val="22"/>
          <w:szCs w:val="22"/>
        </w:rPr>
      </w:pPr>
      <w:r>
        <w:rPr>
          <w:rFonts w:ascii="Arial" w:eastAsia="SimSun" w:hAnsi="Arial" w:cs="Arial"/>
          <w:noProof/>
          <w:sz w:val="22"/>
          <w:szCs w:val="22"/>
          <w:lang w:val="en-US" w:eastAsia="en-US"/>
        </w:rPr>
        <w:drawing>
          <wp:inline distT="0" distB="0" distL="0" distR="0">
            <wp:extent cx="4819650" cy="2314575"/>
            <wp:effectExtent l="0" t="0" r="0"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819650" cy="2314575"/>
                    </a:xfrm>
                    <a:prstGeom prst="rect">
                      <a:avLst/>
                    </a:prstGeom>
                    <a:noFill/>
                    <a:ln>
                      <a:noFill/>
                    </a:ln>
                  </pic:spPr>
                </pic:pic>
              </a:graphicData>
            </a:graphic>
          </wp:inline>
        </w:drawing>
      </w:r>
    </w:p>
    <w:p w:rsidR="00A52FC2" w:rsidRDefault="00A52FC2" w:rsidP="000A2C65">
      <w:pPr>
        <w:rPr>
          <w:rFonts w:ascii="Arial" w:eastAsia="SimSun" w:hAnsi="Arial" w:cs="Arial"/>
          <w:b/>
          <w:i/>
          <w:sz w:val="22"/>
          <w:szCs w:val="22"/>
        </w:rPr>
      </w:pPr>
    </w:p>
    <w:p w:rsidR="000A2C65" w:rsidRPr="00B20E50" w:rsidRDefault="005F29A3" w:rsidP="000A2C65">
      <w:pPr>
        <w:rPr>
          <w:rFonts w:ascii="Arial" w:eastAsia="SimSun" w:hAnsi="Arial" w:cs="Arial"/>
          <w:b/>
          <w:i/>
          <w:sz w:val="22"/>
          <w:szCs w:val="22"/>
        </w:rPr>
      </w:pPr>
      <w:r>
        <w:rPr>
          <w:rFonts w:ascii="Arial" w:hAnsi="Arial"/>
          <w:b/>
          <w:i/>
          <w:sz w:val="22"/>
        </w:rPr>
        <w:t>Обязательства</w:t>
      </w:r>
    </w:p>
    <w:p w:rsidR="000A2C65" w:rsidRPr="0017635C" w:rsidRDefault="000A2C65" w:rsidP="00F1544E">
      <w:pPr>
        <w:jc w:val="center"/>
        <w:rPr>
          <w:rFonts w:ascii="Arial" w:eastAsia="SimSun" w:hAnsi="Arial" w:cs="Arial"/>
          <w:sz w:val="22"/>
          <w:szCs w:val="22"/>
        </w:rPr>
      </w:pPr>
    </w:p>
    <w:p w:rsidR="00F1544E" w:rsidRPr="00F1544E" w:rsidRDefault="005F29A3" w:rsidP="00F73729">
      <w:pPr>
        <w:numPr>
          <w:ilvl w:val="0"/>
          <w:numId w:val="2"/>
        </w:numPr>
        <w:spacing w:after="220"/>
        <w:jc w:val="both"/>
        <w:rPr>
          <w:rFonts w:ascii="Arial" w:eastAsia="SimSun" w:hAnsi="Arial" w:cs="Arial"/>
          <w:sz w:val="22"/>
          <w:szCs w:val="22"/>
        </w:rPr>
      </w:pPr>
      <w:r>
        <w:rPr>
          <w:rFonts w:ascii="Arial" w:hAnsi="Arial"/>
          <w:sz w:val="22"/>
        </w:rPr>
        <w:t>Кредиторская задолженность и авансовые поступления составляют 358,7 млн шв. франков</w:t>
      </w:r>
      <w:r w:rsidR="0005341A">
        <w:rPr>
          <w:rFonts w:ascii="Arial" w:hAnsi="Arial"/>
          <w:sz w:val="22"/>
        </w:rPr>
        <w:t>.  О</w:t>
      </w:r>
      <w:r>
        <w:rPr>
          <w:rFonts w:ascii="Arial" w:hAnsi="Arial"/>
          <w:sz w:val="22"/>
        </w:rPr>
        <w:t>сновную часть этой суммы составляют доходы будущих периодов за обработку международных заявок (товарные знаки, промышленные образцы, патенты) в размере 203,7 млн шв. франков</w:t>
      </w:r>
      <w:r w:rsidR="0005341A">
        <w:rPr>
          <w:rFonts w:ascii="Arial" w:hAnsi="Arial"/>
          <w:sz w:val="22"/>
        </w:rPr>
        <w:t>.  О</w:t>
      </w:r>
      <w:r>
        <w:rPr>
          <w:rFonts w:ascii="Arial" w:hAnsi="Arial"/>
          <w:sz w:val="22"/>
        </w:rPr>
        <w:t>тсроченными доходами главным образом являются пошлины РСТ, размер которых составляет 199,7 млн шв. франков</w:t>
      </w:r>
      <w:r w:rsidR="0005341A">
        <w:rPr>
          <w:rFonts w:ascii="Arial" w:hAnsi="Arial"/>
          <w:sz w:val="22"/>
        </w:rPr>
        <w:t>.  Д</w:t>
      </w:r>
      <w:r>
        <w:rPr>
          <w:rFonts w:ascii="Arial" w:hAnsi="Arial"/>
          <w:sz w:val="22"/>
        </w:rPr>
        <w:t>оходы от пошлин за обработку международных заявок являются отсроченными до тех пор, пока соответствующие заявки не будут опубликованы</w:t>
      </w:r>
      <w:r w:rsidR="006B1BEC">
        <w:rPr>
          <w:rFonts w:ascii="Arial" w:hAnsi="Arial"/>
          <w:sz w:val="22"/>
        </w:rPr>
        <w:t>.  В</w:t>
      </w:r>
      <w:r>
        <w:rPr>
          <w:rFonts w:ascii="Arial" w:hAnsi="Arial"/>
          <w:sz w:val="22"/>
        </w:rPr>
        <w:t xml:space="preserve"> любой отдельно взятый момент времени заявки РСТ были поданы либо в получающие ведомства, либо ВОИС, но еще не были опубликованы</w:t>
      </w:r>
      <w:r w:rsidR="0005341A">
        <w:rPr>
          <w:rFonts w:ascii="Arial" w:hAnsi="Arial"/>
          <w:sz w:val="22"/>
        </w:rPr>
        <w:t>.  П</w:t>
      </w:r>
      <w:r>
        <w:rPr>
          <w:rFonts w:ascii="Arial" w:hAnsi="Arial"/>
          <w:sz w:val="22"/>
        </w:rPr>
        <w:t>о состоянию на 31 декабря 2014 г., согласно проведенным расчетам, порядка 145 157 заявок, поданных в 2013 г. или 2014 г., ожидали публикации. Хотя эта сумма и ниже, чем на конец 2013 г., общий размер отсроченных доходов вырос в результате укрепления доллара США к швейцарскому франку во второй половине 2014 г., а также в связи с возросшей средней стоимостью перевода заключений о патентоспособности.</w:t>
      </w:r>
    </w:p>
    <w:p w:rsidR="00F1544E" w:rsidRDefault="005F29A3" w:rsidP="00F1544E">
      <w:pPr>
        <w:spacing w:after="220"/>
        <w:jc w:val="center"/>
        <w:rPr>
          <w:rFonts w:ascii="Arial" w:eastAsia="SimSun" w:hAnsi="Arial" w:cs="Arial"/>
          <w:sz w:val="22"/>
          <w:szCs w:val="20"/>
        </w:rPr>
      </w:pPr>
      <w:r>
        <w:rPr>
          <w:rFonts w:ascii="Arial" w:hAnsi="Arial"/>
          <w:sz w:val="22"/>
          <w:u w:val="single"/>
        </w:rPr>
        <w:t>Отсроченные доходы по РСТ, 2013–2014 гг.</w:t>
      </w:r>
    </w:p>
    <w:p w:rsidR="00F1544E" w:rsidRPr="006F4DA7" w:rsidRDefault="006F4DA7" w:rsidP="008720FD">
      <w:pPr>
        <w:jc w:val="center"/>
        <w:rPr>
          <w:rFonts w:ascii="Arial" w:eastAsia="SimSun" w:hAnsi="Arial" w:cs="Arial"/>
          <w:sz w:val="22"/>
          <w:szCs w:val="22"/>
          <w:u w:val="single"/>
        </w:rPr>
      </w:pPr>
      <w:r>
        <w:rPr>
          <w:rFonts w:ascii="Arial" w:eastAsia="SimSun" w:hAnsi="Arial" w:cs="Arial"/>
          <w:noProof/>
          <w:sz w:val="22"/>
          <w:szCs w:val="22"/>
          <w:u w:val="single"/>
          <w:lang w:val="en-US" w:eastAsia="en-US"/>
        </w:rPr>
        <w:drawing>
          <wp:inline distT="0" distB="0" distL="0" distR="0" wp14:anchorId="59C1E5FF" wp14:editId="7EA14BD0">
            <wp:extent cx="5438775" cy="311467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438775" cy="3114675"/>
                    </a:xfrm>
                    <a:prstGeom prst="rect">
                      <a:avLst/>
                    </a:prstGeom>
                    <a:noFill/>
                    <a:ln>
                      <a:noFill/>
                    </a:ln>
                  </pic:spPr>
                </pic:pic>
              </a:graphicData>
            </a:graphic>
          </wp:inline>
        </w:drawing>
      </w:r>
    </w:p>
    <w:p w:rsidR="00B9245C" w:rsidRPr="00B9245C" w:rsidRDefault="005F29A3" w:rsidP="00F73729">
      <w:pPr>
        <w:numPr>
          <w:ilvl w:val="0"/>
          <w:numId w:val="2"/>
        </w:numPr>
        <w:spacing w:after="220"/>
        <w:jc w:val="both"/>
        <w:rPr>
          <w:rFonts w:ascii="Arial" w:eastAsia="SimSun" w:hAnsi="Arial" w:cs="Arial"/>
          <w:sz w:val="22"/>
          <w:szCs w:val="22"/>
        </w:rPr>
      </w:pPr>
      <w:r>
        <w:rPr>
          <w:rFonts w:ascii="Arial" w:hAnsi="Arial"/>
          <w:sz w:val="22"/>
        </w:rPr>
        <w:lastRenderedPageBreak/>
        <w:t>По состоянию на 31 декабря 2014 г. основную часть (79,4%) обязательств по выплате пособий сотрудникам (всего 161,2 млн шв. франков) составляли обязательства по медицинскому страхованию после прекращения службы (МСПС) в размере 127,9 млн шв. франков</w:t>
      </w:r>
      <w:r w:rsidR="0005341A">
        <w:rPr>
          <w:rFonts w:ascii="Arial" w:hAnsi="Arial"/>
          <w:sz w:val="22"/>
        </w:rPr>
        <w:t>.  О</w:t>
      </w:r>
      <w:r>
        <w:rPr>
          <w:rFonts w:ascii="Arial" w:hAnsi="Arial"/>
          <w:sz w:val="22"/>
        </w:rPr>
        <w:t>бязательства по МСПС в сравнении с 2013 г. выросли на 8,3 млн шв. франков</w:t>
      </w:r>
      <w:r w:rsidR="0005341A">
        <w:rPr>
          <w:rFonts w:ascii="Arial" w:hAnsi="Arial"/>
          <w:sz w:val="22"/>
        </w:rPr>
        <w:t>.  Р</w:t>
      </w:r>
      <w:r>
        <w:rPr>
          <w:rFonts w:ascii="Arial" w:hAnsi="Arial"/>
          <w:sz w:val="22"/>
        </w:rPr>
        <w:t>азмер обязательств рассчитывается независимым актуарием и отражает полный объем платежей ВОИС в связи с медицинским страхованием как уже вышедших на пенсию сотрудников ВОИС, так и действующих сотрудников, которые выйдут на пенсию в будущем.</w:t>
      </w:r>
    </w:p>
    <w:p w:rsidR="00B9245C" w:rsidRPr="00EC3C4C" w:rsidRDefault="005F29A3" w:rsidP="00B9245C">
      <w:pPr>
        <w:spacing w:after="220"/>
        <w:jc w:val="center"/>
        <w:rPr>
          <w:rFonts w:ascii="Arial" w:eastAsia="SimSun" w:hAnsi="Arial" w:cs="Arial"/>
          <w:sz w:val="22"/>
          <w:szCs w:val="22"/>
          <w:u w:val="single"/>
        </w:rPr>
      </w:pPr>
      <w:r>
        <w:rPr>
          <w:rFonts w:ascii="Arial" w:hAnsi="Arial"/>
          <w:sz w:val="22"/>
          <w:u w:val="single"/>
        </w:rPr>
        <w:t xml:space="preserve">Структура обязательств по выплате пособий сотрудникам по состоянию на 31 декабря 2014 г. </w:t>
      </w:r>
    </w:p>
    <w:p w:rsidR="008B510E" w:rsidRDefault="006F4DA7" w:rsidP="006F31BE">
      <w:pPr>
        <w:jc w:val="center"/>
        <w:rPr>
          <w:rFonts w:eastAsia="SimSun"/>
        </w:rPr>
      </w:pPr>
      <w:r>
        <w:rPr>
          <w:rFonts w:eastAsia="SimSun"/>
          <w:noProof/>
          <w:lang w:val="en-US" w:eastAsia="en-US"/>
        </w:rPr>
        <w:drawing>
          <wp:inline distT="0" distB="0" distL="0" distR="0">
            <wp:extent cx="5657850" cy="292417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657850" cy="2924175"/>
                    </a:xfrm>
                    <a:prstGeom prst="rect">
                      <a:avLst/>
                    </a:prstGeom>
                    <a:noFill/>
                    <a:ln>
                      <a:noFill/>
                    </a:ln>
                  </pic:spPr>
                </pic:pic>
              </a:graphicData>
            </a:graphic>
          </wp:inline>
        </w:drawing>
      </w:r>
    </w:p>
    <w:p w:rsidR="00A81B23" w:rsidRPr="008B510E" w:rsidRDefault="00A81B23" w:rsidP="006F31BE">
      <w:pPr>
        <w:jc w:val="center"/>
        <w:rPr>
          <w:rFonts w:ascii="Arial" w:eastAsia="SimSun" w:hAnsi="Arial" w:cs="Arial"/>
          <w:sz w:val="22"/>
          <w:szCs w:val="22"/>
        </w:rPr>
      </w:pPr>
    </w:p>
    <w:p w:rsidR="006F31BE" w:rsidRPr="00025E27" w:rsidRDefault="005F29A3" w:rsidP="006F31BE">
      <w:pPr>
        <w:numPr>
          <w:ilvl w:val="0"/>
          <w:numId w:val="2"/>
        </w:numPr>
        <w:jc w:val="both"/>
        <w:rPr>
          <w:rFonts w:ascii="Arial" w:eastAsia="SimSun" w:hAnsi="Arial" w:cs="Arial"/>
          <w:sz w:val="22"/>
          <w:szCs w:val="22"/>
        </w:rPr>
      </w:pPr>
      <w:r>
        <w:rPr>
          <w:rFonts w:ascii="Arial" w:hAnsi="Arial"/>
          <w:sz w:val="22"/>
        </w:rPr>
        <w:t>Обязательства по МСПС стабильно растут на протяжении последних шести лет, и прогнозы актуариев говорят о том, что в будущем эта тенденция продолжится</w:t>
      </w:r>
      <w:r w:rsidR="0005341A">
        <w:rPr>
          <w:rFonts w:ascii="Arial" w:hAnsi="Arial"/>
          <w:sz w:val="22"/>
        </w:rPr>
        <w:t>.  О</w:t>
      </w:r>
      <w:r>
        <w:rPr>
          <w:rFonts w:ascii="Arial" w:hAnsi="Arial"/>
          <w:sz w:val="22"/>
        </w:rPr>
        <w:t>бязательства растут каждый год за счет увеличения как расходов по текущему периоду службы, так и расходов по процентным платежам, и уменьшаются каждый год на сумму пособий, выплаченных Организацией</w:t>
      </w:r>
      <w:r w:rsidR="0005341A">
        <w:rPr>
          <w:rFonts w:ascii="Arial" w:hAnsi="Arial"/>
          <w:sz w:val="22"/>
        </w:rPr>
        <w:t>.  Р</w:t>
      </w:r>
      <w:r>
        <w:rPr>
          <w:rFonts w:ascii="Arial" w:hAnsi="Arial"/>
          <w:sz w:val="22"/>
        </w:rPr>
        <w:t>асходы по текущему периоду службы представляют собой чистый результат работы сотрудника за год</w:t>
      </w:r>
      <w:r w:rsidR="0005341A">
        <w:rPr>
          <w:rFonts w:ascii="Arial" w:hAnsi="Arial"/>
          <w:sz w:val="22"/>
        </w:rPr>
        <w:t>.  Р</w:t>
      </w:r>
      <w:r>
        <w:rPr>
          <w:rFonts w:ascii="Arial" w:hAnsi="Arial"/>
          <w:sz w:val="22"/>
        </w:rPr>
        <w:t>асходы по процентным платежам – следствие того, что каждый работающий сотрудник приближается на один год к достижению возраста приобретения права на МСПС при выходе в отставку</w:t>
      </w:r>
      <w:r w:rsidR="0005341A">
        <w:rPr>
          <w:rFonts w:ascii="Arial" w:hAnsi="Arial"/>
          <w:sz w:val="22"/>
        </w:rPr>
        <w:t>.  П</w:t>
      </w:r>
      <w:r>
        <w:rPr>
          <w:rFonts w:ascii="Arial" w:hAnsi="Arial"/>
          <w:sz w:val="22"/>
        </w:rPr>
        <w:t>од пособиями, ежегодно выплачиваемыми Организацией, понимаются ежемесячные выплаты (в настоящее время – 65% стоимости страховых взносов) в пользу пенсионеров, участвующих в МСПС</w:t>
      </w:r>
      <w:r w:rsidR="0005341A">
        <w:rPr>
          <w:rFonts w:ascii="Arial" w:hAnsi="Arial"/>
          <w:sz w:val="22"/>
        </w:rPr>
        <w:t>.  Т</w:t>
      </w:r>
      <w:r>
        <w:rPr>
          <w:rFonts w:ascii="Arial" w:hAnsi="Arial"/>
          <w:sz w:val="22"/>
        </w:rPr>
        <w:t>аким образом, на динамику обязательств большое влияние оказывает демографическая структура персонала ВОИС и соотношение числа работающих сотрудников к числу вышедших на пенсию</w:t>
      </w:r>
      <w:r w:rsidR="006B1BEC">
        <w:rPr>
          <w:rFonts w:ascii="Arial" w:hAnsi="Arial"/>
          <w:sz w:val="22"/>
        </w:rPr>
        <w:t>.  В</w:t>
      </w:r>
      <w:r>
        <w:rPr>
          <w:rFonts w:ascii="Arial" w:hAnsi="Arial"/>
          <w:sz w:val="22"/>
        </w:rPr>
        <w:t xml:space="preserve"> этом контексте также важно отметить недавнее изменение возраста выхода на пенсию сотрудников, назначенных 1 января 2014 г. и после этой даты</w:t>
      </w:r>
      <w:r w:rsidR="0005341A">
        <w:rPr>
          <w:rFonts w:ascii="Arial" w:hAnsi="Arial"/>
          <w:sz w:val="22"/>
        </w:rPr>
        <w:t>.  Э</w:t>
      </w:r>
      <w:r>
        <w:rPr>
          <w:rFonts w:ascii="Arial" w:hAnsi="Arial"/>
          <w:sz w:val="22"/>
        </w:rPr>
        <w:t>ти сотрудники выйдут на пенсию в 6</w:t>
      </w:r>
      <w:r w:rsidRPr="001311AA">
        <w:rPr>
          <w:rFonts w:ascii="Arial" w:hAnsi="Arial"/>
          <w:sz w:val="22"/>
        </w:rPr>
        <w:t>5</w:t>
      </w:r>
      <w:r w:rsidR="001311AA" w:rsidRPr="001311AA">
        <w:rPr>
          <w:rFonts w:ascii="Arial" w:hAnsi="Arial"/>
          <w:sz w:val="22"/>
        </w:rPr>
        <w:t> </w:t>
      </w:r>
      <w:r w:rsidRPr="001311AA">
        <w:rPr>
          <w:rFonts w:ascii="Arial" w:hAnsi="Arial"/>
          <w:sz w:val="22"/>
        </w:rPr>
        <w:t>лет</w:t>
      </w:r>
      <w:r>
        <w:rPr>
          <w:rFonts w:ascii="Arial" w:hAnsi="Arial"/>
          <w:sz w:val="22"/>
        </w:rPr>
        <w:t>, в отличие от сотрудников, принятых на службу 1 ноября 1990 года или после этой даты, но до 1 января 2014 г.</w:t>
      </w:r>
    </w:p>
    <w:p w:rsidR="00A65C21" w:rsidRDefault="00A65C21">
      <w:pPr>
        <w:rPr>
          <w:rFonts w:ascii="Arial" w:hAnsi="Arial"/>
          <w:sz w:val="22"/>
          <w:u w:val="single"/>
        </w:rPr>
      </w:pPr>
      <w:r>
        <w:rPr>
          <w:rFonts w:ascii="Arial" w:hAnsi="Arial"/>
          <w:sz w:val="22"/>
          <w:u w:val="single"/>
        </w:rPr>
        <w:br w:type="page"/>
      </w:r>
    </w:p>
    <w:p w:rsidR="00F70EEC" w:rsidRPr="00AB3DCC" w:rsidRDefault="005F29A3" w:rsidP="00F70EEC">
      <w:pPr>
        <w:spacing w:after="220"/>
        <w:jc w:val="center"/>
        <w:rPr>
          <w:rFonts w:ascii="Arial" w:eastAsia="SimSun" w:hAnsi="Arial" w:cs="Arial"/>
          <w:sz w:val="22"/>
          <w:szCs w:val="22"/>
          <w:u w:val="single"/>
        </w:rPr>
      </w:pPr>
      <w:r>
        <w:rPr>
          <w:rFonts w:ascii="Arial" w:hAnsi="Arial"/>
          <w:sz w:val="22"/>
          <w:u w:val="single"/>
        </w:rPr>
        <w:lastRenderedPageBreak/>
        <w:t>Динамика обязательств по МСПС, 2009–2018 гг.</w:t>
      </w:r>
    </w:p>
    <w:p w:rsidR="00D1073A" w:rsidRPr="00A36363" w:rsidRDefault="00A65C21" w:rsidP="00A36363">
      <w:pPr>
        <w:jc w:val="center"/>
        <w:rPr>
          <w:rFonts w:eastAsia="SimSun"/>
        </w:rPr>
      </w:pPr>
      <w:r>
        <w:rPr>
          <w:rFonts w:eastAsia="SimSun"/>
          <w:noProof/>
          <w:lang w:val="en-US" w:eastAsia="en-US"/>
        </w:rPr>
        <w:drawing>
          <wp:inline distT="0" distB="0" distL="0" distR="0">
            <wp:extent cx="4981575" cy="3019425"/>
            <wp:effectExtent l="0" t="0" r="9525"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981575" cy="3019425"/>
                    </a:xfrm>
                    <a:prstGeom prst="rect">
                      <a:avLst/>
                    </a:prstGeom>
                    <a:noFill/>
                    <a:ln>
                      <a:noFill/>
                    </a:ln>
                  </pic:spPr>
                </pic:pic>
              </a:graphicData>
            </a:graphic>
          </wp:inline>
        </w:drawing>
      </w:r>
    </w:p>
    <w:p w:rsidR="002775E5" w:rsidRDefault="005F29A3" w:rsidP="0003705B">
      <w:pPr>
        <w:numPr>
          <w:ilvl w:val="0"/>
          <w:numId w:val="2"/>
        </w:numPr>
        <w:jc w:val="both"/>
        <w:rPr>
          <w:rFonts w:ascii="Arial" w:eastAsia="SimSun" w:hAnsi="Arial" w:cs="Arial"/>
          <w:sz w:val="22"/>
          <w:szCs w:val="22"/>
        </w:rPr>
      </w:pPr>
      <w:r>
        <w:rPr>
          <w:rFonts w:ascii="Arial" w:hAnsi="Arial"/>
          <w:sz w:val="22"/>
        </w:rPr>
        <w:t>При проведении расчетов независимый актуарий также учитывает ряд актуарных допущений, включая ставку дисконтирования, тенденции изменения стоимости медицинских услуг, текучесть кадров и смертность</w:t>
      </w:r>
      <w:r w:rsidR="0005341A">
        <w:rPr>
          <w:rFonts w:ascii="Arial" w:hAnsi="Arial"/>
          <w:sz w:val="22"/>
        </w:rPr>
        <w:t>.  И</w:t>
      </w:r>
      <w:r>
        <w:rPr>
          <w:rFonts w:ascii="Arial" w:hAnsi="Arial"/>
          <w:sz w:val="22"/>
        </w:rPr>
        <w:t>зменение этих допущений приводит к возникновению актуарных прибылей или убытков</w:t>
      </w:r>
      <w:r w:rsidR="006B1BEC">
        <w:rPr>
          <w:rFonts w:ascii="Arial" w:hAnsi="Arial"/>
          <w:sz w:val="22"/>
        </w:rPr>
        <w:t>.  В</w:t>
      </w:r>
      <w:r>
        <w:rPr>
          <w:rFonts w:ascii="Arial" w:hAnsi="Arial"/>
          <w:sz w:val="22"/>
        </w:rPr>
        <w:t xml:space="preserve"> соответствии с МСУГС ВОИС при учете таких актуарных прибылей и убытков применяет «коридорный» подход:  такие прибыли и убытки не сразу признаются в финансовых ведомостях</w:t>
      </w:r>
      <w:r w:rsidR="0005341A">
        <w:rPr>
          <w:rFonts w:ascii="Arial" w:hAnsi="Arial"/>
          <w:sz w:val="22"/>
        </w:rPr>
        <w:t>.  С</w:t>
      </w:r>
      <w:r>
        <w:rPr>
          <w:rFonts w:ascii="Arial" w:hAnsi="Arial"/>
          <w:sz w:val="22"/>
        </w:rPr>
        <w:t>ледует отметить, что Международные стандарты финансовой отчетности (МСФО) более не предполагают использование «коридорного» метода в целях отсрочки признания таких прибылей и убытков</w:t>
      </w:r>
      <w:r w:rsidR="0005341A">
        <w:rPr>
          <w:rFonts w:ascii="Arial" w:hAnsi="Arial"/>
          <w:sz w:val="22"/>
        </w:rPr>
        <w:t>.  Е</w:t>
      </w:r>
      <w:r>
        <w:rPr>
          <w:rFonts w:ascii="Arial" w:hAnsi="Arial"/>
          <w:sz w:val="22"/>
        </w:rPr>
        <w:t>сли МСУГС вслед за МСФО также откажутся от данного метода, это может привести к резкому росту волатильности обязательств по МСПС, признаваемых в Отчете о финансовом положении</w:t>
      </w:r>
      <w:r w:rsidR="0005341A">
        <w:rPr>
          <w:rFonts w:ascii="Arial" w:hAnsi="Arial"/>
          <w:sz w:val="22"/>
        </w:rPr>
        <w:t>.  П</w:t>
      </w:r>
      <w:r>
        <w:rPr>
          <w:rFonts w:ascii="Arial" w:hAnsi="Arial"/>
          <w:sz w:val="22"/>
        </w:rPr>
        <w:t>о состоянию но 31 декабря 2014 г. ВОИС получила совокупные непризнанные актуарные убытки по МСПС в размере 26,6 млн шв. франков.</w:t>
      </w:r>
    </w:p>
    <w:p w:rsidR="002775E5" w:rsidRPr="002775E5" w:rsidRDefault="002775E5" w:rsidP="002775E5">
      <w:pPr>
        <w:jc w:val="both"/>
        <w:rPr>
          <w:rFonts w:ascii="Arial" w:eastAsia="SimSun" w:hAnsi="Arial" w:cs="Arial"/>
          <w:sz w:val="22"/>
          <w:szCs w:val="22"/>
        </w:rPr>
      </w:pPr>
    </w:p>
    <w:p w:rsidR="0003705B" w:rsidRPr="0003705B" w:rsidRDefault="005F29A3" w:rsidP="0003705B">
      <w:pPr>
        <w:numPr>
          <w:ilvl w:val="0"/>
          <w:numId w:val="2"/>
        </w:numPr>
        <w:jc w:val="both"/>
        <w:rPr>
          <w:rFonts w:ascii="Arial" w:eastAsia="SimSun" w:hAnsi="Arial" w:cs="Arial"/>
          <w:sz w:val="22"/>
          <w:szCs w:val="22"/>
        </w:rPr>
      </w:pPr>
      <w:r>
        <w:rPr>
          <w:rFonts w:ascii="Arial" w:hAnsi="Arial"/>
          <w:sz w:val="22"/>
        </w:rPr>
        <w:t>К заимствованиям относятся заем Фонда служебных помещений для международных организаций (ФИПОИ) в размере 20,9 млн шв. франков и заем Кантонального банка Женевы и Банка кантона Во (BCG/BCV) на строительство нового здания в размере 118,3 млн шв. франков</w:t>
      </w:r>
      <w:r w:rsidR="0005341A">
        <w:rPr>
          <w:rFonts w:ascii="Arial" w:hAnsi="Arial"/>
          <w:sz w:val="22"/>
        </w:rPr>
        <w:t>.  П</w:t>
      </w:r>
      <w:r>
        <w:rPr>
          <w:rFonts w:ascii="Arial" w:hAnsi="Arial"/>
          <w:sz w:val="22"/>
        </w:rPr>
        <w:t>латежи в погашение основной суммы этих займов в 2014 г. составили 5,3 млн шв. франков</w:t>
      </w:r>
      <w:r w:rsidR="006B1BEC">
        <w:rPr>
          <w:rFonts w:ascii="Arial" w:hAnsi="Arial"/>
          <w:sz w:val="22"/>
        </w:rPr>
        <w:t>.  В</w:t>
      </w:r>
      <w:r>
        <w:rPr>
          <w:rFonts w:ascii="Arial" w:hAnsi="Arial"/>
          <w:sz w:val="22"/>
        </w:rPr>
        <w:t xml:space="preserve"> ноябре 2015 г. Организация должна произвести выплату первого из нескольких запланированных единовременных платежей в погашение займа BCG/BCV на строительство нового здания в размере 24,0 млн шв. франков</w:t>
      </w:r>
      <w:r w:rsidR="0005341A">
        <w:rPr>
          <w:rFonts w:ascii="Arial" w:hAnsi="Arial"/>
          <w:sz w:val="22"/>
        </w:rPr>
        <w:t>.  Р</w:t>
      </w:r>
      <w:r>
        <w:rPr>
          <w:rFonts w:ascii="Arial" w:hAnsi="Arial"/>
          <w:sz w:val="22"/>
        </w:rPr>
        <w:t>азмер прочих обязательств (64,5 млн шв. франков) включает главным образом 63,6 млн шв. франков на текущих счетах, открытых от имени заявителей и договаривающихся сторон, а также 0,9 млн шв. франков ассигнований для покрытия расходов на юридическое обеспечение.</w:t>
      </w:r>
    </w:p>
    <w:p w:rsidR="00025E27" w:rsidRDefault="00025E27" w:rsidP="0003705B">
      <w:pPr>
        <w:jc w:val="both"/>
        <w:rPr>
          <w:rFonts w:ascii="Arial" w:eastAsia="SimSun" w:hAnsi="Arial" w:cs="Arial"/>
          <w:b/>
          <w:sz w:val="22"/>
          <w:szCs w:val="20"/>
        </w:rPr>
      </w:pPr>
    </w:p>
    <w:p w:rsidR="0003705B" w:rsidRDefault="005F29A3" w:rsidP="0003705B">
      <w:pPr>
        <w:jc w:val="both"/>
        <w:rPr>
          <w:rFonts w:ascii="Arial" w:eastAsia="SimSun" w:hAnsi="Arial" w:cs="Arial"/>
          <w:b/>
          <w:sz w:val="22"/>
          <w:szCs w:val="20"/>
        </w:rPr>
      </w:pPr>
      <w:r>
        <w:rPr>
          <w:rFonts w:ascii="Arial" w:hAnsi="Arial"/>
          <w:b/>
          <w:sz w:val="22"/>
        </w:rPr>
        <w:t>Движение денежных средств</w:t>
      </w:r>
    </w:p>
    <w:p w:rsidR="0003705B" w:rsidRPr="0003705B" w:rsidRDefault="0003705B" w:rsidP="0003705B">
      <w:pPr>
        <w:jc w:val="both"/>
        <w:rPr>
          <w:rFonts w:ascii="Arial" w:eastAsia="SimSun" w:hAnsi="Arial" w:cs="Arial"/>
          <w:b/>
          <w:sz w:val="22"/>
          <w:szCs w:val="22"/>
        </w:rPr>
      </w:pPr>
    </w:p>
    <w:p w:rsidR="000D3BEE" w:rsidRPr="000D3BEE" w:rsidRDefault="005F29A3" w:rsidP="005D5F23">
      <w:pPr>
        <w:pStyle w:val="ONUME"/>
        <w:spacing w:after="0"/>
        <w:jc w:val="both"/>
        <w:rPr>
          <w:szCs w:val="22"/>
        </w:rPr>
      </w:pPr>
      <w:r>
        <w:t>Остатки денежных средств Организации на 31 декабря 2014 г. составили 474,5 млн шв. франков (409,9 млн шв. франков по состоянию на 3</w:t>
      </w:r>
      <w:r w:rsidRPr="001311AA">
        <w:t>1</w:t>
      </w:r>
      <w:r w:rsidR="001311AA" w:rsidRPr="001311AA">
        <w:t> </w:t>
      </w:r>
      <w:r w:rsidRPr="001311AA">
        <w:t>декабря</w:t>
      </w:r>
      <w:r>
        <w:t xml:space="preserve"> 201</w:t>
      </w:r>
      <w:r w:rsidRPr="001311AA">
        <w:t>3</w:t>
      </w:r>
      <w:r w:rsidR="001311AA" w:rsidRPr="001311AA">
        <w:t> </w:t>
      </w:r>
      <w:r w:rsidRPr="001311AA">
        <w:t>г.</w:t>
      </w:r>
      <w:r>
        <w:t>)</w:t>
      </w:r>
      <w:r w:rsidR="0005341A">
        <w:t>.  С</w:t>
      </w:r>
      <w:r>
        <w:t>овокупные остатки денежных средств продолжают расти с 2011 г</w:t>
      </w:r>
      <w:r w:rsidR="0005341A">
        <w:t>.  Р</w:t>
      </w:r>
      <w:r>
        <w:t>ост на 64,6 млн шв. франков с 2013 по 2014 г. в основном вызван поступлениями наличных средств от оплаты пошлин в системе РСТ в течение года</w:t>
      </w:r>
      <w:r w:rsidR="0005341A">
        <w:t>.  Н</w:t>
      </w:r>
      <w:r>
        <w:t>а текущих счетах, открытых от имени третьих сторон, наблюдается рост остатков в размере 8,7 млн шв. франков, как и на депозитах в рамках Мадридского союза (8,4 млн шв. франков), средства на которых относят либо к трансфертам к выплате, либо к авансовым поступлениям.</w:t>
      </w:r>
    </w:p>
    <w:p w:rsidR="000D3BEE" w:rsidRPr="000D3BEE" w:rsidRDefault="000D3BEE" w:rsidP="000D3BEE">
      <w:pPr>
        <w:pStyle w:val="ONUME"/>
        <w:numPr>
          <w:ilvl w:val="0"/>
          <w:numId w:val="0"/>
        </w:numPr>
        <w:spacing w:after="0"/>
        <w:jc w:val="both"/>
        <w:rPr>
          <w:szCs w:val="22"/>
        </w:rPr>
      </w:pPr>
    </w:p>
    <w:p w:rsidR="00631F76" w:rsidRDefault="005F29A3" w:rsidP="005D5F23">
      <w:pPr>
        <w:pStyle w:val="ONUME"/>
        <w:spacing w:after="0"/>
        <w:jc w:val="both"/>
        <w:rPr>
          <w:szCs w:val="22"/>
        </w:rPr>
      </w:pPr>
      <w:r>
        <w:t>В финансовых ведомостях (см. примечание 3) денежные средства разнесены на средства с ограничениями и без ограничений</w:t>
      </w:r>
      <w:r w:rsidR="0005341A">
        <w:t>.  С</w:t>
      </w:r>
      <w:r>
        <w:t>редства с ограничениями включают средства, которые хранятся от имени третьих лиц для целей регистрации товарных знаков или промышленных образцов</w:t>
      </w:r>
      <w:r w:rsidR="0005341A">
        <w:t>.  К</w:t>
      </w:r>
      <w:r>
        <w:t xml:space="preserve"> ним также относятся пошлины, взимаемые от имени договаривающихся государств в рамках Мадридского и Гаагского соглашений, а также от имени международных поисковых органов (МПО) РСТ</w:t>
      </w:r>
      <w:r w:rsidR="0005341A">
        <w:t>.  Д</w:t>
      </w:r>
      <w:r>
        <w:t>епозиты, полученные в связи с предстоящими процедурами по регистрации товарных знаков, кроме той части, которая рассматривается в качестве авансовых поступлений Организации, также считаются средствами с ограничениями, как и средства на счетах, управляемых от имени доноров добровольных взносов.</w:t>
      </w:r>
    </w:p>
    <w:p w:rsidR="00631F76" w:rsidRDefault="005F29A3" w:rsidP="00631F76">
      <w:pPr>
        <w:pStyle w:val="ONUME"/>
        <w:numPr>
          <w:ilvl w:val="0"/>
          <w:numId w:val="0"/>
        </w:numPr>
        <w:spacing w:after="0"/>
        <w:jc w:val="both"/>
        <w:rPr>
          <w:szCs w:val="22"/>
        </w:rPr>
      </w:pPr>
      <w:r>
        <w:t xml:space="preserve"> </w:t>
      </w:r>
    </w:p>
    <w:p w:rsidR="005D5F23" w:rsidRDefault="005F29A3" w:rsidP="005D5F23">
      <w:pPr>
        <w:pStyle w:val="ONUME"/>
        <w:spacing w:after="0"/>
        <w:jc w:val="both"/>
        <w:rPr>
          <w:szCs w:val="22"/>
        </w:rPr>
      </w:pPr>
      <w:r>
        <w:t>В 2014 г. Организация перевела 85,2 млн шв. франков на отдельный банковский счет, открытый для размещения средств, предназначенных для будущего финансирования обязательств по выплате пособий сотрудникам, вышедшим на пенсию</w:t>
      </w:r>
      <w:r w:rsidR="0005341A">
        <w:t>.  О</w:t>
      </w:r>
      <w:r>
        <w:t>статок на этом счету на 31 декабря 2014 г. также относит</w:t>
      </w:r>
      <w:r w:rsidR="00136CD5">
        <w:t>ся к средствам с ограничениями.</w:t>
      </w:r>
    </w:p>
    <w:p w:rsidR="00E85ADB" w:rsidRPr="009921E6" w:rsidRDefault="00E85ADB" w:rsidP="00312264">
      <w:pPr>
        <w:pStyle w:val="Style3"/>
        <w:spacing w:after="0"/>
        <w:rPr>
          <w:rFonts w:eastAsia="SimSun" w:cs="Arial"/>
          <w:szCs w:val="22"/>
        </w:rPr>
      </w:pPr>
    </w:p>
    <w:p w:rsidR="009921E6" w:rsidRPr="00482B48" w:rsidRDefault="005F29A3" w:rsidP="007B2C21">
      <w:pPr>
        <w:jc w:val="center"/>
        <w:rPr>
          <w:rFonts w:ascii="Arial" w:eastAsia="SimSun" w:hAnsi="Arial" w:cs="Arial"/>
          <w:sz w:val="22"/>
          <w:szCs w:val="22"/>
          <w:u w:val="single"/>
        </w:rPr>
      </w:pPr>
      <w:r>
        <w:rPr>
          <w:rFonts w:ascii="Arial" w:hAnsi="Arial"/>
          <w:sz w:val="22"/>
          <w:u w:val="single"/>
        </w:rPr>
        <w:t>Остаток денежных средств с ограничениями и без ограничений, 2010–2014 гг.</w:t>
      </w:r>
    </w:p>
    <w:p w:rsidR="007B2C21" w:rsidRDefault="00A65C21" w:rsidP="0090701F">
      <w:pPr>
        <w:jc w:val="center"/>
        <w:rPr>
          <w:rFonts w:eastAsia="SimSun"/>
        </w:rPr>
      </w:pPr>
      <w:r>
        <w:rPr>
          <w:noProof/>
          <w:lang w:val="en-US" w:eastAsia="en-US"/>
        </w:rPr>
        <w:drawing>
          <wp:inline distT="0" distB="0" distL="0" distR="0">
            <wp:extent cx="5486400" cy="3609975"/>
            <wp:effectExtent l="0" t="0" r="0"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86400" cy="3609975"/>
                    </a:xfrm>
                    <a:prstGeom prst="rect">
                      <a:avLst/>
                    </a:prstGeom>
                    <a:noFill/>
                    <a:ln>
                      <a:noFill/>
                    </a:ln>
                  </pic:spPr>
                </pic:pic>
              </a:graphicData>
            </a:graphic>
          </wp:inline>
        </w:drawing>
      </w:r>
    </w:p>
    <w:p w:rsidR="00231DD0" w:rsidRPr="00231DD0" w:rsidRDefault="005F29A3" w:rsidP="006A5E25">
      <w:pPr>
        <w:pStyle w:val="ONUME"/>
        <w:jc w:val="both"/>
      </w:pPr>
      <w:r>
        <w:t>Как отмечалось выше при анализе заимствований, в 2015 г. Организация должна начать выплату единовременных сумм для погашения займа BCG/BCV на строительство нового здания</w:t>
      </w:r>
      <w:r w:rsidR="0005341A">
        <w:t>.  П</w:t>
      </w:r>
      <w:r>
        <w:t>ервый такой платеж в размере 24,0 млн шв. франков, запланированный на ноябрь 2015 г., очевидно существенно повлияет на остаток денежных средств Организации на конец 2015 г.</w:t>
      </w:r>
    </w:p>
    <w:p w:rsidR="00E85ADB" w:rsidRPr="007C1D0B" w:rsidRDefault="005F29A3" w:rsidP="00F26E55">
      <w:pPr>
        <w:pStyle w:val="ONUME"/>
        <w:jc w:val="both"/>
        <w:rPr>
          <w:szCs w:val="22"/>
        </w:rPr>
      </w:pPr>
      <w:r>
        <w:t>Основной объем поступлений денежных средств обеспечивает Организации деятельность, связанная с РСТ</w:t>
      </w:r>
      <w:r w:rsidR="0005341A">
        <w:t>.  С</w:t>
      </w:r>
      <w:r>
        <w:t>умма средних ежемесячных поступлений от деятельности в рамках РСТ в 2014 г. составила 24,6 млн шв. франков (в 2013 г. – 21,1 млн шв. франков), при этом средние ежемесячные поступления от других источников в 2014 г. находились на уровне 7,0 млн шв. франков (в 2013 г. – 7,3 млн шв. франков)</w:t>
      </w:r>
      <w:r w:rsidR="0005341A">
        <w:t>.  К</w:t>
      </w:r>
      <w:r>
        <w:t>ак видно из таблиц на следующей странице, суммы поступлений могут существенно отличаться от месяца к месяцу</w:t>
      </w:r>
      <w:r w:rsidR="006B1BEC">
        <w:t>.  В</w:t>
      </w:r>
      <w:r>
        <w:t xml:space="preserve"> апреле-мае 2014 г. поступления от деятельности в рамках РСТ были значительно выше благодаря «догоняющим» платежам за заявки, поданные в 2013 г., а также благодаря большому числу заявок в марте 2014 г</w:t>
      </w:r>
      <w:r w:rsidR="006B1BEC">
        <w:t>.  В</w:t>
      </w:r>
      <w:r>
        <w:t xml:space="preserve"> июле </w:t>
      </w:r>
      <w:r>
        <w:lastRenderedPageBreak/>
        <w:t>2014 г. поступления были меньше среднего уровня, поскольку в этом месяце не были получены средства от двух получающих ведомств.</w:t>
      </w:r>
    </w:p>
    <w:p w:rsidR="007C1D0B" w:rsidRDefault="007C1D0B" w:rsidP="007C1D0B">
      <w:pPr>
        <w:pStyle w:val="ListParagraph"/>
        <w:rPr>
          <w:szCs w:val="22"/>
        </w:rPr>
      </w:pPr>
    </w:p>
    <w:p w:rsidR="007C1D0B" w:rsidRPr="005C3097" w:rsidRDefault="005F29A3" w:rsidP="007C1D0B">
      <w:pPr>
        <w:pStyle w:val="ONUME"/>
        <w:numPr>
          <w:ilvl w:val="0"/>
          <w:numId w:val="0"/>
        </w:numPr>
        <w:jc w:val="center"/>
        <w:rPr>
          <w:szCs w:val="22"/>
          <w:u w:val="single"/>
        </w:rPr>
      </w:pPr>
      <w:r>
        <w:rPr>
          <w:u w:val="single"/>
        </w:rPr>
        <w:t>Поступление денежных средств по месяцам, 2014 г.</w:t>
      </w:r>
    </w:p>
    <w:p w:rsidR="005D662B" w:rsidRPr="00A65C21" w:rsidRDefault="00A65C21" w:rsidP="00F26E55">
      <w:pPr>
        <w:pStyle w:val="ONUME"/>
        <w:numPr>
          <w:ilvl w:val="0"/>
          <w:numId w:val="0"/>
        </w:numPr>
        <w:jc w:val="center"/>
      </w:pPr>
      <w:r>
        <w:rPr>
          <w:noProof/>
          <w:lang w:val="en-US" w:eastAsia="en-US"/>
        </w:rPr>
        <w:drawing>
          <wp:inline distT="0" distB="0" distL="0" distR="0">
            <wp:extent cx="5124450" cy="3133725"/>
            <wp:effectExtent l="0" t="0" r="0"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24450" cy="3133725"/>
                    </a:xfrm>
                    <a:prstGeom prst="rect">
                      <a:avLst/>
                    </a:prstGeom>
                    <a:noFill/>
                    <a:ln>
                      <a:noFill/>
                    </a:ln>
                  </pic:spPr>
                </pic:pic>
              </a:graphicData>
            </a:graphic>
          </wp:inline>
        </w:drawing>
      </w:r>
    </w:p>
    <w:p w:rsidR="005D662B" w:rsidRPr="005C3097" w:rsidRDefault="005F29A3" w:rsidP="005D662B">
      <w:pPr>
        <w:pStyle w:val="ONUME"/>
        <w:numPr>
          <w:ilvl w:val="0"/>
          <w:numId w:val="0"/>
        </w:numPr>
        <w:jc w:val="center"/>
        <w:rPr>
          <w:szCs w:val="22"/>
          <w:u w:val="single"/>
        </w:rPr>
      </w:pPr>
      <w:r>
        <w:rPr>
          <w:u w:val="single"/>
        </w:rPr>
        <w:t>Поступление денежных средств по месяцам, 2013 г.</w:t>
      </w:r>
    </w:p>
    <w:p w:rsidR="003928E9" w:rsidRPr="00AE7FAD" w:rsidRDefault="00A65C21" w:rsidP="00AE7FAD">
      <w:pPr>
        <w:pStyle w:val="ONUME"/>
        <w:numPr>
          <w:ilvl w:val="0"/>
          <w:numId w:val="0"/>
        </w:numPr>
        <w:jc w:val="center"/>
        <w:rPr>
          <w:szCs w:val="22"/>
        </w:rPr>
      </w:pPr>
      <w:r>
        <w:rPr>
          <w:noProof/>
          <w:lang w:val="en-US" w:eastAsia="en-US"/>
        </w:rPr>
        <w:drawing>
          <wp:inline distT="0" distB="0" distL="0" distR="0">
            <wp:extent cx="5124450" cy="308610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124450" cy="3086100"/>
                    </a:xfrm>
                    <a:prstGeom prst="rect">
                      <a:avLst/>
                    </a:prstGeom>
                    <a:noFill/>
                    <a:ln>
                      <a:noFill/>
                    </a:ln>
                  </pic:spPr>
                </pic:pic>
              </a:graphicData>
            </a:graphic>
          </wp:inline>
        </w:drawing>
      </w:r>
      <w:r w:rsidR="005F29A3">
        <w:br w:type="page"/>
      </w:r>
      <w:r w:rsidR="005F29A3">
        <w:rPr>
          <w:b/>
          <w:caps/>
          <w:kern w:val="32"/>
        </w:rPr>
        <w:lastRenderedPageBreak/>
        <w:t>ВЕДОМОСТЬ I</w:t>
      </w:r>
      <w:r w:rsidR="005F29A3">
        <w:br/>
      </w:r>
      <w:r w:rsidR="005F29A3">
        <w:br/>
      </w:r>
      <w:r w:rsidR="005F29A3">
        <w:rPr>
          <w:b/>
          <w:caps/>
          <w:kern w:val="32"/>
        </w:rPr>
        <w:t>ОТЧЕТ О ФИНАНСОВОМ ПОЛОЖЕНИИ</w:t>
      </w:r>
    </w:p>
    <w:p w:rsidR="003928E9" w:rsidRPr="00A320B0" w:rsidRDefault="005F29A3" w:rsidP="00A320B0">
      <w:pPr>
        <w:jc w:val="center"/>
        <w:rPr>
          <w:rFonts w:ascii="Arial" w:eastAsia="SimSun" w:hAnsi="Arial" w:cs="Arial"/>
          <w:b/>
          <w:sz w:val="22"/>
          <w:szCs w:val="22"/>
        </w:rPr>
      </w:pPr>
      <w:r>
        <w:rPr>
          <w:rFonts w:ascii="Arial" w:hAnsi="Arial"/>
          <w:b/>
          <w:sz w:val="22"/>
        </w:rPr>
        <w:t>по состоянию на 3</w:t>
      </w:r>
      <w:r w:rsidRPr="001311AA">
        <w:rPr>
          <w:rFonts w:ascii="Arial" w:hAnsi="Arial"/>
          <w:b/>
          <w:sz w:val="22"/>
        </w:rPr>
        <w:t>1</w:t>
      </w:r>
      <w:r w:rsidR="001311AA" w:rsidRPr="001311AA">
        <w:rPr>
          <w:rFonts w:ascii="Arial" w:hAnsi="Arial"/>
          <w:b/>
          <w:sz w:val="22"/>
        </w:rPr>
        <w:t> </w:t>
      </w:r>
      <w:r w:rsidRPr="001311AA">
        <w:rPr>
          <w:rFonts w:ascii="Arial" w:hAnsi="Arial"/>
          <w:b/>
          <w:sz w:val="22"/>
        </w:rPr>
        <w:t>декабря</w:t>
      </w:r>
      <w:r>
        <w:rPr>
          <w:rFonts w:ascii="Arial" w:hAnsi="Arial"/>
          <w:b/>
          <w:sz w:val="22"/>
        </w:rPr>
        <w:t xml:space="preserve"> 201</w:t>
      </w:r>
      <w:r w:rsidRPr="001311AA">
        <w:rPr>
          <w:rFonts w:ascii="Arial" w:hAnsi="Arial"/>
          <w:b/>
          <w:sz w:val="22"/>
        </w:rPr>
        <w:t>4</w:t>
      </w:r>
      <w:r w:rsidR="001311AA" w:rsidRPr="001311AA">
        <w:rPr>
          <w:rFonts w:ascii="Arial" w:hAnsi="Arial"/>
          <w:b/>
          <w:sz w:val="22"/>
        </w:rPr>
        <w:t> </w:t>
      </w:r>
      <w:r w:rsidRPr="001311AA">
        <w:rPr>
          <w:rFonts w:ascii="Arial" w:hAnsi="Arial"/>
          <w:b/>
          <w:sz w:val="22"/>
        </w:rPr>
        <w:t>г.</w:t>
      </w:r>
    </w:p>
    <w:p w:rsidR="003928E9" w:rsidRPr="006160AF" w:rsidRDefault="005F29A3" w:rsidP="00A320B0">
      <w:pPr>
        <w:jc w:val="center"/>
        <w:rPr>
          <w:rFonts w:ascii="Arial" w:eastAsia="SimSun" w:hAnsi="Arial" w:cs="Arial"/>
          <w:i/>
          <w:sz w:val="22"/>
          <w:szCs w:val="22"/>
        </w:rPr>
      </w:pPr>
      <w:r>
        <w:rPr>
          <w:rFonts w:ascii="Arial" w:hAnsi="Arial"/>
          <w:i/>
          <w:sz w:val="22"/>
        </w:rPr>
        <w:t>(в тыс. шв. франков)</w:t>
      </w:r>
    </w:p>
    <w:p w:rsidR="003928E9" w:rsidRPr="00F447E9" w:rsidRDefault="003928E9" w:rsidP="003928E9">
      <w:pPr>
        <w:rPr>
          <w:rFonts w:ascii="Arial" w:eastAsia="SimSun" w:hAnsi="Arial" w:cs="Arial"/>
          <w:sz w:val="22"/>
          <w:szCs w:val="22"/>
        </w:rPr>
      </w:pPr>
    </w:p>
    <w:p w:rsidR="003928E9" w:rsidRPr="00F447E9" w:rsidRDefault="003928E9" w:rsidP="003928E9">
      <w:pPr>
        <w:rPr>
          <w:rFonts w:ascii="Arial" w:eastAsia="SimSun" w:hAnsi="Arial" w:cs="Arial"/>
          <w:sz w:val="22"/>
          <w:szCs w:val="22"/>
        </w:rPr>
      </w:pPr>
    </w:p>
    <w:p w:rsidR="003928E9" w:rsidRPr="002134D5" w:rsidRDefault="00A65C21" w:rsidP="007A66B4">
      <w:pPr>
        <w:jc w:val="center"/>
        <w:rPr>
          <w:rFonts w:eastAsia="SimSun"/>
        </w:rPr>
      </w:pPr>
      <w:r>
        <w:rPr>
          <w:noProof/>
          <w:lang w:val="en-US" w:eastAsia="en-US"/>
        </w:rPr>
        <w:drawing>
          <wp:inline distT="0" distB="0" distL="0" distR="0">
            <wp:extent cx="5977255" cy="6665598"/>
            <wp:effectExtent l="0" t="0" r="4445" b="190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77255" cy="6665598"/>
                    </a:xfrm>
                    <a:prstGeom prst="rect">
                      <a:avLst/>
                    </a:prstGeom>
                    <a:noFill/>
                    <a:ln>
                      <a:noFill/>
                    </a:ln>
                  </pic:spPr>
                </pic:pic>
              </a:graphicData>
            </a:graphic>
          </wp:inline>
        </w:drawing>
      </w:r>
    </w:p>
    <w:p w:rsidR="003928E9" w:rsidRDefault="003928E9" w:rsidP="003928E9"/>
    <w:p w:rsidR="00BB62A3" w:rsidRDefault="005F29A3" w:rsidP="00BB62A3">
      <w:r>
        <w:tab/>
      </w:r>
    </w:p>
    <w:p w:rsidR="00F447E9" w:rsidRPr="003928E9" w:rsidRDefault="005F29A3" w:rsidP="00F447E9">
      <w:pPr>
        <w:pStyle w:val="Heading1"/>
        <w:keepNext/>
        <w:spacing w:before="240" w:after="220"/>
        <w:ind w:left="0" w:firstLine="0"/>
        <w:jc w:val="center"/>
        <w:rPr>
          <w:rFonts w:ascii="Arial" w:eastAsia="SimSun" w:hAnsi="Arial" w:cs="Arial"/>
          <w:bCs/>
          <w:caps/>
          <w:color w:val="000000"/>
          <w:kern w:val="32"/>
          <w:sz w:val="22"/>
          <w:szCs w:val="32"/>
        </w:rPr>
      </w:pPr>
      <w:r>
        <w:tab/>
      </w:r>
      <w:r>
        <w:tab/>
      </w:r>
      <w:r>
        <w:tab/>
      </w:r>
      <w:r>
        <w:tab/>
      </w:r>
      <w:r>
        <w:tab/>
      </w:r>
      <w:r>
        <w:br w:type="page"/>
      </w:r>
      <w:r>
        <w:rPr>
          <w:rFonts w:ascii="Arial" w:hAnsi="Arial"/>
          <w:caps/>
          <w:color w:val="000000"/>
          <w:kern w:val="32"/>
          <w:sz w:val="22"/>
        </w:rPr>
        <w:lastRenderedPageBreak/>
        <w:t xml:space="preserve"> ВЕДОМОСТЬ II</w:t>
      </w:r>
      <w:r>
        <w:br/>
      </w:r>
      <w:r>
        <w:br/>
      </w:r>
      <w:r>
        <w:rPr>
          <w:rFonts w:ascii="Arial" w:hAnsi="Arial"/>
          <w:caps/>
          <w:color w:val="000000"/>
          <w:kern w:val="32"/>
          <w:sz w:val="22"/>
        </w:rPr>
        <w:t>ОТЧЕТ О ФИНАНСОВЫХ РЕЗУЛЬТАТАХ</w:t>
      </w:r>
    </w:p>
    <w:p w:rsidR="00F447E9" w:rsidRPr="00A320B0" w:rsidRDefault="005F29A3" w:rsidP="00F447E9">
      <w:pPr>
        <w:jc w:val="center"/>
        <w:rPr>
          <w:rFonts w:ascii="Arial" w:eastAsia="SimSun" w:hAnsi="Arial" w:cs="Arial"/>
          <w:b/>
          <w:sz w:val="22"/>
          <w:szCs w:val="22"/>
        </w:rPr>
      </w:pPr>
      <w:r>
        <w:rPr>
          <w:rFonts w:ascii="Arial" w:hAnsi="Arial"/>
          <w:b/>
          <w:sz w:val="22"/>
        </w:rPr>
        <w:t>за год, окончившийся 3</w:t>
      </w:r>
      <w:r w:rsidRPr="001311AA">
        <w:rPr>
          <w:rFonts w:ascii="Arial" w:hAnsi="Arial"/>
          <w:b/>
          <w:sz w:val="22"/>
        </w:rPr>
        <w:t>1</w:t>
      </w:r>
      <w:r w:rsidR="001311AA" w:rsidRPr="001311AA">
        <w:rPr>
          <w:rFonts w:ascii="Arial" w:hAnsi="Arial"/>
          <w:b/>
          <w:sz w:val="22"/>
        </w:rPr>
        <w:t> </w:t>
      </w:r>
      <w:r w:rsidRPr="001311AA">
        <w:rPr>
          <w:rFonts w:ascii="Arial" w:hAnsi="Arial"/>
          <w:b/>
          <w:sz w:val="22"/>
        </w:rPr>
        <w:t>декабря</w:t>
      </w:r>
      <w:r>
        <w:rPr>
          <w:rFonts w:ascii="Arial" w:hAnsi="Arial"/>
          <w:b/>
          <w:sz w:val="22"/>
        </w:rPr>
        <w:t xml:space="preserve"> 201</w:t>
      </w:r>
      <w:r w:rsidRPr="001311AA">
        <w:rPr>
          <w:rFonts w:ascii="Arial" w:hAnsi="Arial"/>
          <w:b/>
          <w:sz w:val="22"/>
        </w:rPr>
        <w:t>4</w:t>
      </w:r>
      <w:r w:rsidR="001311AA" w:rsidRPr="001311AA">
        <w:rPr>
          <w:rFonts w:ascii="Arial" w:hAnsi="Arial"/>
          <w:b/>
          <w:sz w:val="22"/>
        </w:rPr>
        <w:t> </w:t>
      </w:r>
      <w:r w:rsidRPr="001311AA">
        <w:rPr>
          <w:rFonts w:ascii="Arial" w:hAnsi="Arial"/>
          <w:b/>
          <w:sz w:val="22"/>
        </w:rPr>
        <w:t>г.</w:t>
      </w:r>
    </w:p>
    <w:p w:rsidR="00B21AF0" w:rsidRPr="006160AF" w:rsidRDefault="005F29A3" w:rsidP="00F447E9">
      <w:pPr>
        <w:jc w:val="center"/>
        <w:rPr>
          <w:i/>
          <w:sz w:val="20"/>
        </w:rPr>
      </w:pPr>
      <w:r>
        <w:rPr>
          <w:rFonts w:ascii="Arial" w:hAnsi="Arial"/>
          <w:i/>
          <w:sz w:val="22"/>
        </w:rPr>
        <w:t>(в тыс. шв. франков)</w:t>
      </w:r>
    </w:p>
    <w:p w:rsidR="006C388C" w:rsidRDefault="006C388C" w:rsidP="007C6D77">
      <w:pPr>
        <w:jc w:val="both"/>
        <w:rPr>
          <w:rFonts w:ascii="Arial" w:hAnsi="Arial" w:cs="Arial"/>
          <w:sz w:val="22"/>
          <w:szCs w:val="22"/>
        </w:rPr>
      </w:pPr>
    </w:p>
    <w:p w:rsidR="00F447E9" w:rsidRPr="00F447E9" w:rsidRDefault="00F447E9" w:rsidP="007C6D77">
      <w:pPr>
        <w:jc w:val="both"/>
        <w:rPr>
          <w:rFonts w:ascii="Arial" w:hAnsi="Arial" w:cs="Arial"/>
          <w:sz w:val="22"/>
          <w:szCs w:val="22"/>
        </w:rPr>
      </w:pPr>
    </w:p>
    <w:p w:rsidR="003B5F73" w:rsidRDefault="003B5F73" w:rsidP="007C6D77">
      <w:pPr>
        <w:jc w:val="both"/>
        <w:rPr>
          <w:sz w:val="20"/>
          <w:szCs w:val="20"/>
        </w:rPr>
      </w:pPr>
    </w:p>
    <w:p w:rsidR="00A65C21" w:rsidRDefault="00A65C21" w:rsidP="00DC576D">
      <w:pPr>
        <w:pStyle w:val="STYLE2LASTONE"/>
        <w:jc w:val="center"/>
        <w:rPr>
          <w:lang w:val="en-US"/>
        </w:rPr>
      </w:pPr>
      <w:r>
        <w:rPr>
          <w:noProof/>
          <w:lang w:val="en-US" w:eastAsia="en-US"/>
        </w:rPr>
        <w:drawing>
          <wp:inline distT="0" distB="0" distL="0" distR="0">
            <wp:extent cx="5838825" cy="5743575"/>
            <wp:effectExtent l="0" t="0" r="9525"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838825" cy="5743575"/>
                    </a:xfrm>
                    <a:prstGeom prst="rect">
                      <a:avLst/>
                    </a:prstGeom>
                    <a:noFill/>
                    <a:ln>
                      <a:noFill/>
                    </a:ln>
                  </pic:spPr>
                </pic:pic>
              </a:graphicData>
            </a:graphic>
          </wp:inline>
        </w:drawing>
      </w:r>
    </w:p>
    <w:p w:rsidR="00F447E9" w:rsidRPr="001D0D7E" w:rsidRDefault="005F29A3" w:rsidP="00DC576D">
      <w:pPr>
        <w:pStyle w:val="STYLE2LASTONE"/>
        <w:jc w:val="center"/>
        <w:rPr>
          <w:rFonts w:eastAsia="SimSun" w:cs="Arial"/>
          <w:caps/>
          <w:color w:val="000000"/>
          <w:kern w:val="32"/>
          <w:sz w:val="22"/>
          <w:szCs w:val="32"/>
        </w:rPr>
      </w:pPr>
      <w:r>
        <w:br w:type="page"/>
      </w:r>
      <w:r>
        <w:rPr>
          <w:caps/>
          <w:color w:val="000000"/>
          <w:kern w:val="32"/>
          <w:sz w:val="22"/>
        </w:rPr>
        <w:lastRenderedPageBreak/>
        <w:t>ВЕДОМОСТЬ III</w:t>
      </w:r>
      <w:r>
        <w:br/>
      </w:r>
      <w:r>
        <w:br/>
      </w:r>
      <w:r>
        <w:rPr>
          <w:caps/>
          <w:color w:val="000000"/>
          <w:kern w:val="32"/>
          <w:sz w:val="22"/>
        </w:rPr>
        <w:t>ОТЧЕТ ОБ ИЗМЕНЕНИЯХ В ЧИСТЫХ АКТИВАХ</w:t>
      </w:r>
    </w:p>
    <w:p w:rsidR="000908AD" w:rsidRPr="001D0D7E" w:rsidRDefault="000908AD" w:rsidP="000908AD">
      <w:pPr>
        <w:pStyle w:val="STYLE2LASTONE"/>
        <w:jc w:val="center"/>
        <w:rPr>
          <w:rFonts w:eastAsia="SimSun" w:cs="Arial"/>
          <w:caps/>
          <w:color w:val="000000"/>
          <w:kern w:val="32"/>
          <w:sz w:val="22"/>
          <w:szCs w:val="32"/>
        </w:rPr>
      </w:pPr>
    </w:p>
    <w:p w:rsidR="00825A8A" w:rsidRPr="00A320B0" w:rsidRDefault="005F29A3" w:rsidP="00825A8A">
      <w:pPr>
        <w:jc w:val="center"/>
        <w:rPr>
          <w:rFonts w:ascii="Arial" w:eastAsia="SimSun" w:hAnsi="Arial" w:cs="Arial"/>
          <w:b/>
          <w:sz w:val="22"/>
          <w:szCs w:val="22"/>
        </w:rPr>
      </w:pPr>
      <w:r>
        <w:rPr>
          <w:rFonts w:ascii="Arial" w:hAnsi="Arial"/>
          <w:b/>
          <w:sz w:val="22"/>
        </w:rPr>
        <w:t>за год, окончившийся 3</w:t>
      </w:r>
      <w:r w:rsidRPr="001311AA">
        <w:rPr>
          <w:rFonts w:ascii="Arial" w:hAnsi="Arial"/>
          <w:b/>
          <w:sz w:val="22"/>
        </w:rPr>
        <w:t>1</w:t>
      </w:r>
      <w:r w:rsidR="001311AA" w:rsidRPr="001311AA">
        <w:rPr>
          <w:rFonts w:ascii="Arial" w:hAnsi="Arial"/>
          <w:b/>
          <w:sz w:val="22"/>
        </w:rPr>
        <w:t> </w:t>
      </w:r>
      <w:r w:rsidRPr="001311AA">
        <w:rPr>
          <w:rFonts w:ascii="Arial" w:hAnsi="Arial"/>
          <w:b/>
          <w:sz w:val="22"/>
        </w:rPr>
        <w:t>декабря</w:t>
      </w:r>
      <w:r>
        <w:rPr>
          <w:rFonts w:ascii="Arial" w:hAnsi="Arial"/>
          <w:b/>
          <w:sz w:val="22"/>
        </w:rPr>
        <w:t xml:space="preserve"> 201</w:t>
      </w:r>
      <w:r w:rsidRPr="001311AA">
        <w:rPr>
          <w:rFonts w:ascii="Arial" w:hAnsi="Arial"/>
          <w:b/>
          <w:sz w:val="22"/>
        </w:rPr>
        <w:t>4</w:t>
      </w:r>
      <w:r w:rsidR="001311AA" w:rsidRPr="001311AA">
        <w:rPr>
          <w:rFonts w:ascii="Arial" w:hAnsi="Arial"/>
          <w:b/>
          <w:sz w:val="22"/>
        </w:rPr>
        <w:t> </w:t>
      </w:r>
      <w:r w:rsidRPr="001311AA">
        <w:rPr>
          <w:rFonts w:ascii="Arial" w:hAnsi="Arial"/>
          <w:b/>
          <w:sz w:val="22"/>
        </w:rPr>
        <w:t>г.</w:t>
      </w:r>
    </w:p>
    <w:p w:rsidR="00F447E9" w:rsidRPr="00463FEA" w:rsidRDefault="005F29A3" w:rsidP="00825A8A">
      <w:pPr>
        <w:jc w:val="center"/>
        <w:rPr>
          <w:rFonts w:ascii="Arial" w:eastAsia="SimSun" w:hAnsi="Arial" w:cs="Arial"/>
          <w:i/>
          <w:sz w:val="22"/>
          <w:szCs w:val="22"/>
        </w:rPr>
      </w:pPr>
      <w:r>
        <w:rPr>
          <w:rFonts w:ascii="Arial" w:hAnsi="Arial"/>
          <w:i/>
          <w:sz w:val="22"/>
        </w:rPr>
        <w:t>(в тыс. шв. франков)</w:t>
      </w:r>
    </w:p>
    <w:p w:rsidR="006C388C" w:rsidRPr="00F447E9" w:rsidRDefault="006C388C" w:rsidP="00C373AB">
      <w:pPr>
        <w:pStyle w:val="STYLE2LASTONE"/>
        <w:ind w:left="0" w:firstLine="0"/>
        <w:jc w:val="both"/>
        <w:rPr>
          <w:rFonts w:cs="Arial"/>
          <w:color w:val="000000"/>
          <w:sz w:val="22"/>
          <w:szCs w:val="22"/>
        </w:rPr>
      </w:pPr>
      <w:bookmarkStart w:id="11" w:name="_Toc292717464"/>
    </w:p>
    <w:bookmarkEnd w:id="11"/>
    <w:p w:rsidR="00826893" w:rsidRPr="00F447E9" w:rsidRDefault="00826893" w:rsidP="00F447E9">
      <w:pPr>
        <w:pStyle w:val="STYLE2LASTONE"/>
        <w:ind w:left="0" w:firstLine="0"/>
        <w:rPr>
          <w:rFonts w:cs="Arial"/>
          <w:sz w:val="22"/>
          <w:szCs w:val="22"/>
        </w:rPr>
      </w:pPr>
    </w:p>
    <w:p w:rsidR="00A65C21" w:rsidRPr="00A65C21" w:rsidRDefault="00A65C21" w:rsidP="00C373AB">
      <w:pPr>
        <w:pStyle w:val="Heading1"/>
        <w:keepNext/>
        <w:spacing w:before="240" w:after="220"/>
        <w:ind w:left="0" w:firstLine="0"/>
        <w:jc w:val="center"/>
        <w:rPr>
          <w:color w:val="auto"/>
          <w:sz w:val="24"/>
          <w:lang w:val="en-US"/>
        </w:rPr>
      </w:pPr>
      <w:r>
        <w:rPr>
          <w:noProof/>
          <w:lang w:val="en-US" w:eastAsia="en-US"/>
        </w:rPr>
        <w:drawing>
          <wp:inline distT="0" distB="0" distL="0" distR="0">
            <wp:extent cx="5977255" cy="3245568"/>
            <wp:effectExtent l="0" t="0" r="444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77255" cy="3245568"/>
                    </a:xfrm>
                    <a:prstGeom prst="rect">
                      <a:avLst/>
                    </a:prstGeom>
                    <a:noFill/>
                    <a:ln>
                      <a:noFill/>
                    </a:ln>
                  </pic:spPr>
                </pic:pic>
              </a:graphicData>
            </a:graphic>
          </wp:inline>
        </w:drawing>
      </w:r>
    </w:p>
    <w:p w:rsidR="00C373AB" w:rsidRPr="003928E9" w:rsidRDefault="005F29A3" w:rsidP="00A65C21">
      <w:pPr>
        <w:pStyle w:val="Heading1"/>
        <w:keepNext/>
        <w:spacing w:after="0"/>
        <w:ind w:left="0" w:firstLine="0"/>
        <w:jc w:val="center"/>
        <w:rPr>
          <w:rFonts w:ascii="Arial" w:eastAsia="SimSun" w:hAnsi="Arial" w:cs="Arial"/>
          <w:bCs/>
          <w:caps/>
          <w:color w:val="000000"/>
          <w:kern w:val="32"/>
          <w:sz w:val="22"/>
          <w:szCs w:val="32"/>
        </w:rPr>
      </w:pPr>
      <w:r>
        <w:br w:type="page"/>
      </w:r>
      <w:r>
        <w:rPr>
          <w:rFonts w:ascii="Arial" w:hAnsi="Arial"/>
          <w:caps/>
          <w:color w:val="000000"/>
          <w:kern w:val="32"/>
          <w:sz w:val="22"/>
        </w:rPr>
        <w:lastRenderedPageBreak/>
        <w:t>ВЕДОМОСТЬ IV</w:t>
      </w:r>
      <w:r>
        <w:br/>
      </w:r>
      <w:r w:rsidRPr="00A65C21">
        <w:rPr>
          <w:rFonts w:ascii="Arial" w:hAnsi="Arial"/>
          <w:caps/>
          <w:color w:val="000000"/>
          <w:kern w:val="32"/>
          <w:sz w:val="22"/>
        </w:rPr>
        <w:br/>
      </w:r>
      <w:r>
        <w:rPr>
          <w:rFonts w:ascii="Arial" w:hAnsi="Arial"/>
          <w:caps/>
          <w:color w:val="000000"/>
          <w:kern w:val="32"/>
          <w:sz w:val="22"/>
        </w:rPr>
        <w:t>ОТЧЕТ О ДВИЖЕНИИ ДЕНЕЖНЫХ СРЕДСТВ</w:t>
      </w:r>
    </w:p>
    <w:p w:rsidR="00A16D00" w:rsidRPr="00A320B0" w:rsidRDefault="005F29A3" w:rsidP="00A16D00">
      <w:pPr>
        <w:jc w:val="center"/>
        <w:rPr>
          <w:rFonts w:ascii="Arial" w:eastAsia="SimSun" w:hAnsi="Arial" w:cs="Arial"/>
          <w:b/>
          <w:sz w:val="22"/>
          <w:szCs w:val="22"/>
        </w:rPr>
      </w:pPr>
      <w:r>
        <w:rPr>
          <w:rFonts w:ascii="Arial" w:hAnsi="Arial"/>
          <w:b/>
          <w:sz w:val="22"/>
        </w:rPr>
        <w:t>за год, окончившийся 3</w:t>
      </w:r>
      <w:r w:rsidRPr="001311AA">
        <w:rPr>
          <w:rFonts w:ascii="Arial" w:hAnsi="Arial"/>
          <w:b/>
          <w:sz w:val="22"/>
        </w:rPr>
        <w:t>1</w:t>
      </w:r>
      <w:r w:rsidR="001311AA" w:rsidRPr="001311AA">
        <w:rPr>
          <w:rFonts w:ascii="Arial" w:hAnsi="Arial"/>
          <w:b/>
          <w:sz w:val="22"/>
        </w:rPr>
        <w:t> </w:t>
      </w:r>
      <w:r w:rsidRPr="001311AA">
        <w:rPr>
          <w:rFonts w:ascii="Arial" w:hAnsi="Arial"/>
          <w:b/>
          <w:sz w:val="22"/>
        </w:rPr>
        <w:t>декабря</w:t>
      </w:r>
      <w:r>
        <w:rPr>
          <w:rFonts w:ascii="Arial" w:hAnsi="Arial"/>
          <w:b/>
          <w:sz w:val="22"/>
        </w:rPr>
        <w:t xml:space="preserve"> 201</w:t>
      </w:r>
      <w:r w:rsidRPr="001311AA">
        <w:rPr>
          <w:rFonts w:ascii="Arial" w:hAnsi="Arial"/>
          <w:b/>
          <w:sz w:val="22"/>
        </w:rPr>
        <w:t>4</w:t>
      </w:r>
      <w:r w:rsidR="001311AA" w:rsidRPr="001311AA">
        <w:rPr>
          <w:rFonts w:ascii="Arial" w:hAnsi="Arial"/>
          <w:b/>
          <w:sz w:val="22"/>
        </w:rPr>
        <w:t> </w:t>
      </w:r>
      <w:r w:rsidRPr="001311AA">
        <w:rPr>
          <w:rFonts w:ascii="Arial" w:hAnsi="Arial"/>
          <w:b/>
          <w:sz w:val="22"/>
        </w:rPr>
        <w:t>г.</w:t>
      </w:r>
    </w:p>
    <w:p w:rsidR="00E56A37" w:rsidRDefault="005F29A3" w:rsidP="00A16D00">
      <w:pPr>
        <w:jc w:val="center"/>
        <w:rPr>
          <w:rFonts w:ascii="Arial" w:hAnsi="Arial"/>
          <w:i/>
          <w:sz w:val="22"/>
          <w:lang w:val="en-US"/>
        </w:rPr>
      </w:pPr>
      <w:r>
        <w:rPr>
          <w:rFonts w:ascii="Arial" w:hAnsi="Arial"/>
          <w:i/>
          <w:sz w:val="22"/>
        </w:rPr>
        <w:t>(в тыс. шв. франков)</w:t>
      </w:r>
    </w:p>
    <w:p w:rsidR="00323B8C" w:rsidRPr="00323B8C" w:rsidRDefault="00323B8C" w:rsidP="00A16D00">
      <w:pPr>
        <w:jc w:val="center"/>
        <w:rPr>
          <w:rFonts w:ascii="Arial" w:eastAsia="SimSun" w:hAnsi="Arial" w:cs="Arial"/>
          <w:i/>
          <w:sz w:val="22"/>
          <w:szCs w:val="22"/>
          <w:lang w:val="en-US"/>
        </w:rPr>
      </w:pPr>
    </w:p>
    <w:p w:rsidR="00FB0EF3" w:rsidRDefault="00A65C21" w:rsidP="00B2754B">
      <w:pPr>
        <w:jc w:val="center"/>
      </w:pPr>
      <w:r>
        <w:rPr>
          <w:noProof/>
          <w:lang w:val="en-US" w:eastAsia="en-US"/>
        </w:rPr>
        <w:drawing>
          <wp:inline distT="0" distB="0" distL="0" distR="0">
            <wp:extent cx="5438775" cy="7450033"/>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445563" cy="7459331"/>
                    </a:xfrm>
                    <a:prstGeom prst="rect">
                      <a:avLst/>
                    </a:prstGeom>
                    <a:noFill/>
                    <a:ln>
                      <a:noFill/>
                    </a:ln>
                  </pic:spPr>
                </pic:pic>
              </a:graphicData>
            </a:graphic>
          </wp:inline>
        </w:drawing>
      </w:r>
    </w:p>
    <w:p w:rsidR="00A4756A" w:rsidRPr="00A4756A" w:rsidRDefault="005F29A3" w:rsidP="006F785A">
      <w:pPr>
        <w:jc w:val="both"/>
        <w:rPr>
          <w:rFonts w:ascii="Arial" w:hAnsi="Arial" w:cs="Arial"/>
          <w:sz w:val="16"/>
          <w:szCs w:val="16"/>
        </w:rPr>
      </w:pPr>
      <w:r>
        <w:rPr>
          <w:rFonts w:ascii="Arial" w:hAnsi="Arial"/>
          <w:b/>
          <w:sz w:val="16"/>
        </w:rPr>
        <w:t>(1)</w:t>
      </w:r>
      <w:r>
        <w:rPr>
          <w:rFonts w:ascii="Arial" w:hAnsi="Arial"/>
          <w:sz w:val="16"/>
        </w:rPr>
        <w:t xml:space="preserve"> – За исключением полученных процентных поступлений и выплаченных процентов по займам, без учета колебаний валютного курса на денежные средства и их эквиваленты</w:t>
      </w:r>
      <w:r w:rsidR="0005341A">
        <w:rPr>
          <w:rFonts w:ascii="Arial" w:hAnsi="Arial"/>
          <w:sz w:val="16"/>
        </w:rPr>
        <w:t>.  П</w:t>
      </w:r>
      <w:r>
        <w:rPr>
          <w:rFonts w:ascii="Arial" w:hAnsi="Arial"/>
          <w:sz w:val="16"/>
        </w:rPr>
        <w:t>олученные процентные поступления указаны в качестве инвестиционного дохода, см. примечание 23</w:t>
      </w:r>
      <w:r w:rsidR="0005341A">
        <w:rPr>
          <w:rFonts w:ascii="Arial" w:hAnsi="Arial"/>
          <w:sz w:val="16"/>
        </w:rPr>
        <w:t>.  П</w:t>
      </w:r>
      <w:r>
        <w:rPr>
          <w:rFonts w:ascii="Arial" w:hAnsi="Arial"/>
          <w:sz w:val="16"/>
        </w:rPr>
        <w:t>одробные сведения о процентах, выплаченных по займам, см. примечание 15</w:t>
      </w:r>
      <w:r w:rsidR="006B1BEC">
        <w:rPr>
          <w:rFonts w:ascii="Arial" w:hAnsi="Arial"/>
          <w:sz w:val="16"/>
        </w:rPr>
        <w:t>.  В</w:t>
      </w:r>
      <w:r>
        <w:rPr>
          <w:rFonts w:ascii="Arial" w:hAnsi="Arial"/>
          <w:sz w:val="16"/>
        </w:rPr>
        <w:t>оздействие колебаний обменного курса на денежные средства и их эквиваленты разъясняется в примечании 26.</w:t>
      </w:r>
    </w:p>
    <w:p w:rsidR="00C373AB" w:rsidRDefault="005F29A3" w:rsidP="00695C8B">
      <w:pPr>
        <w:pStyle w:val="STYLE2LASTONE"/>
        <w:ind w:left="0" w:firstLine="0"/>
        <w:jc w:val="center"/>
        <w:rPr>
          <w:rFonts w:eastAsia="SimSun" w:cs="Arial"/>
          <w:bCs w:val="0"/>
          <w:caps/>
          <w:color w:val="000000"/>
          <w:kern w:val="32"/>
          <w:sz w:val="22"/>
          <w:szCs w:val="32"/>
        </w:rPr>
      </w:pPr>
      <w:r>
        <w:br w:type="page"/>
      </w:r>
      <w:r>
        <w:rPr>
          <w:caps/>
          <w:color w:val="000000"/>
          <w:kern w:val="32"/>
          <w:sz w:val="22"/>
        </w:rPr>
        <w:lastRenderedPageBreak/>
        <w:t>ВЕДОМОСТЬ V</w:t>
      </w:r>
      <w:r>
        <w:br/>
      </w:r>
      <w:r>
        <w:br/>
      </w:r>
      <w:r>
        <w:rPr>
          <w:caps/>
          <w:color w:val="000000"/>
          <w:kern w:val="32"/>
          <w:sz w:val="22"/>
        </w:rPr>
        <w:t>ОТЧЕТ О СРАВНЕНИИ БЮДЖЕТНЫХ И ФАКТИЧЕСКИХ СУММ – ДОХОДЫ</w:t>
      </w:r>
    </w:p>
    <w:p w:rsidR="008F285E" w:rsidRPr="00695C8B" w:rsidRDefault="008F285E" w:rsidP="00695C8B">
      <w:pPr>
        <w:pStyle w:val="STYLE2LASTONE"/>
        <w:ind w:left="0" w:firstLine="0"/>
        <w:jc w:val="center"/>
        <w:rPr>
          <w:rFonts w:cs="Arial"/>
          <w:color w:val="000000"/>
          <w:sz w:val="22"/>
          <w:szCs w:val="22"/>
        </w:rPr>
      </w:pPr>
    </w:p>
    <w:p w:rsidR="00A16D00" w:rsidRPr="00A320B0" w:rsidRDefault="005F29A3" w:rsidP="00A16D00">
      <w:pPr>
        <w:jc w:val="center"/>
        <w:rPr>
          <w:rFonts w:ascii="Arial" w:eastAsia="SimSun" w:hAnsi="Arial" w:cs="Arial"/>
          <w:b/>
          <w:sz w:val="22"/>
          <w:szCs w:val="22"/>
        </w:rPr>
      </w:pPr>
      <w:r>
        <w:rPr>
          <w:rFonts w:ascii="Arial" w:hAnsi="Arial"/>
          <w:b/>
          <w:sz w:val="22"/>
        </w:rPr>
        <w:t>за год, окончившийся 31 декабря 2014 г.</w:t>
      </w:r>
    </w:p>
    <w:p w:rsidR="00C373AB" w:rsidRPr="00824733" w:rsidRDefault="005F29A3" w:rsidP="00A16D00">
      <w:pPr>
        <w:jc w:val="center"/>
        <w:rPr>
          <w:rFonts w:ascii="Arial" w:eastAsia="SimSun" w:hAnsi="Arial" w:cs="Arial"/>
          <w:i/>
          <w:sz w:val="22"/>
          <w:szCs w:val="22"/>
        </w:rPr>
      </w:pPr>
      <w:r>
        <w:rPr>
          <w:rFonts w:ascii="Arial" w:hAnsi="Arial"/>
          <w:i/>
          <w:sz w:val="22"/>
        </w:rPr>
        <w:t>(в тыс. шв. франков)</w:t>
      </w:r>
    </w:p>
    <w:p w:rsidR="00605D33" w:rsidRPr="00130405" w:rsidRDefault="00605D33" w:rsidP="00C373AB">
      <w:pPr>
        <w:pStyle w:val="StyleArial10pt"/>
        <w:ind w:firstLineChars="0" w:firstLine="0"/>
        <w:rPr>
          <w:rFonts w:cs="Arial"/>
          <w:sz w:val="22"/>
          <w:szCs w:val="22"/>
        </w:rPr>
      </w:pPr>
    </w:p>
    <w:p w:rsidR="00605D33" w:rsidRPr="00130405" w:rsidRDefault="00605D33" w:rsidP="00EE3BDA">
      <w:pPr>
        <w:pStyle w:val="StyleArial10pt"/>
        <w:ind w:firstLineChars="0" w:firstLine="0"/>
        <w:rPr>
          <w:rFonts w:cs="Arial"/>
          <w:sz w:val="22"/>
          <w:szCs w:val="22"/>
        </w:rPr>
      </w:pPr>
    </w:p>
    <w:p w:rsidR="003B5F73" w:rsidRDefault="003B5F73" w:rsidP="00C373AB">
      <w:pPr>
        <w:pStyle w:val="StyleArial10pt"/>
        <w:ind w:firstLineChars="0" w:firstLine="0"/>
        <w:rPr>
          <w:rFonts w:ascii="Times New Roman" w:hAnsi="Times New Roman"/>
        </w:rPr>
      </w:pPr>
    </w:p>
    <w:p w:rsidR="00641F69" w:rsidRPr="002134D5" w:rsidRDefault="00A65C21" w:rsidP="008F285E">
      <w:pPr>
        <w:jc w:val="center"/>
        <w:rPr>
          <w:rFonts w:ascii="Arial" w:hAnsi="Arial" w:cs="Arial"/>
          <w:sz w:val="22"/>
          <w:szCs w:val="22"/>
        </w:rPr>
      </w:pPr>
      <w:r>
        <w:rPr>
          <w:rFonts w:ascii="Arial" w:hAnsi="Arial" w:cs="Arial"/>
          <w:noProof/>
          <w:sz w:val="22"/>
          <w:szCs w:val="22"/>
          <w:lang w:val="en-US" w:eastAsia="en-US"/>
        </w:rPr>
        <w:drawing>
          <wp:inline distT="0" distB="0" distL="0" distR="0">
            <wp:extent cx="5977255" cy="3496130"/>
            <wp:effectExtent l="0" t="0" r="444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77255" cy="3496130"/>
                    </a:xfrm>
                    <a:prstGeom prst="rect">
                      <a:avLst/>
                    </a:prstGeom>
                    <a:noFill/>
                    <a:ln>
                      <a:noFill/>
                    </a:ln>
                  </pic:spPr>
                </pic:pic>
              </a:graphicData>
            </a:graphic>
          </wp:inline>
        </w:drawing>
      </w:r>
    </w:p>
    <w:p w:rsidR="00641F69" w:rsidRPr="00136CD5" w:rsidRDefault="005F29A3" w:rsidP="00ED404C">
      <w:pPr>
        <w:tabs>
          <w:tab w:val="left" w:pos="644"/>
        </w:tabs>
        <w:jc w:val="both"/>
        <w:rPr>
          <w:rFonts w:ascii="Arial" w:hAnsi="Arial" w:cs="Arial"/>
          <w:sz w:val="16"/>
          <w:szCs w:val="16"/>
        </w:rPr>
      </w:pPr>
      <w:r>
        <w:rPr>
          <w:rFonts w:ascii="Arial" w:hAnsi="Arial"/>
          <w:sz w:val="16"/>
        </w:rPr>
        <w:t xml:space="preserve">(1) – в колонках «Первоначальный бюджет» и «Окончательный бюджет» приводятся данные за первый год утвержденного бюджета на </w:t>
      </w:r>
      <w:r w:rsidR="00136CD5">
        <w:rPr>
          <w:rFonts w:ascii="Arial" w:hAnsi="Arial"/>
          <w:sz w:val="16"/>
        </w:rPr>
        <w:t>двухлетний период 2014-2015 гг.</w:t>
      </w:r>
    </w:p>
    <w:p w:rsidR="00641F69" w:rsidRPr="00A5420D" w:rsidRDefault="005F29A3" w:rsidP="00A463BD">
      <w:pPr>
        <w:tabs>
          <w:tab w:val="left" w:pos="540"/>
        </w:tabs>
        <w:jc w:val="both"/>
        <w:rPr>
          <w:rFonts w:ascii="Arial" w:hAnsi="Arial" w:cs="Arial"/>
          <w:sz w:val="16"/>
          <w:szCs w:val="16"/>
        </w:rPr>
      </w:pPr>
      <w:r>
        <w:rPr>
          <w:rFonts w:ascii="Arial" w:hAnsi="Arial"/>
          <w:sz w:val="16"/>
        </w:rPr>
        <w:t>(2) – представляет собой разницу между «окончательным» бюджетом на 2014 г. и фактическими доходами на сопоставимой основе за год, завершившийся 3</w:t>
      </w:r>
      <w:r w:rsidRPr="001311AA">
        <w:rPr>
          <w:rFonts w:ascii="Arial" w:hAnsi="Arial"/>
          <w:sz w:val="16"/>
        </w:rPr>
        <w:t>1</w:t>
      </w:r>
      <w:r w:rsidR="001311AA" w:rsidRPr="001311AA">
        <w:rPr>
          <w:rFonts w:ascii="Arial" w:hAnsi="Arial"/>
          <w:sz w:val="16"/>
        </w:rPr>
        <w:t> </w:t>
      </w:r>
      <w:r w:rsidRPr="001311AA">
        <w:rPr>
          <w:rFonts w:ascii="Arial" w:hAnsi="Arial"/>
          <w:sz w:val="16"/>
        </w:rPr>
        <w:t>декабря</w:t>
      </w:r>
      <w:r>
        <w:rPr>
          <w:rFonts w:ascii="Arial" w:hAnsi="Arial"/>
          <w:sz w:val="16"/>
        </w:rPr>
        <w:t xml:space="preserve"> 201</w:t>
      </w:r>
      <w:r w:rsidRPr="001311AA">
        <w:rPr>
          <w:rFonts w:ascii="Arial" w:hAnsi="Arial"/>
          <w:sz w:val="16"/>
        </w:rPr>
        <w:t>4</w:t>
      </w:r>
      <w:r w:rsidR="001311AA" w:rsidRPr="001311AA">
        <w:rPr>
          <w:rFonts w:ascii="Arial" w:hAnsi="Arial"/>
          <w:sz w:val="16"/>
        </w:rPr>
        <w:t> </w:t>
      </w:r>
      <w:r w:rsidRPr="001311AA">
        <w:rPr>
          <w:rFonts w:ascii="Arial" w:hAnsi="Arial"/>
          <w:sz w:val="16"/>
        </w:rPr>
        <w:t>г.</w:t>
      </w:r>
    </w:p>
    <w:p w:rsidR="00641F69" w:rsidRPr="00515569" w:rsidRDefault="00641F69" w:rsidP="007C6D77">
      <w:pPr>
        <w:jc w:val="both"/>
        <w:rPr>
          <w:rFonts w:ascii="Arial" w:hAnsi="Arial" w:cs="Arial"/>
          <w:sz w:val="20"/>
          <w:szCs w:val="20"/>
        </w:rPr>
      </w:pPr>
    </w:p>
    <w:p w:rsidR="00515569" w:rsidRPr="003928E9" w:rsidRDefault="005F29A3" w:rsidP="00515569">
      <w:pPr>
        <w:pStyle w:val="Heading1"/>
        <w:keepNext/>
        <w:spacing w:before="240" w:after="220"/>
        <w:ind w:left="0" w:firstLine="0"/>
        <w:jc w:val="center"/>
        <w:rPr>
          <w:rFonts w:ascii="Arial" w:eastAsia="SimSun" w:hAnsi="Arial" w:cs="Arial"/>
          <w:bCs/>
          <w:caps/>
          <w:color w:val="000000"/>
          <w:kern w:val="32"/>
          <w:sz w:val="22"/>
          <w:szCs w:val="32"/>
        </w:rPr>
      </w:pPr>
      <w:r>
        <w:br w:type="page"/>
      </w:r>
      <w:r>
        <w:rPr>
          <w:rFonts w:ascii="Arial" w:hAnsi="Arial"/>
          <w:caps/>
          <w:color w:val="000000"/>
          <w:kern w:val="32"/>
          <w:sz w:val="22"/>
        </w:rPr>
        <w:lastRenderedPageBreak/>
        <w:t>ВЕДОМОСТЬ V</w:t>
      </w:r>
      <w:r>
        <w:br/>
      </w:r>
      <w:r w:rsidRPr="00A65C21">
        <w:rPr>
          <w:sz w:val="36"/>
          <w:szCs w:val="36"/>
        </w:rPr>
        <w:br/>
      </w:r>
      <w:r>
        <w:rPr>
          <w:rFonts w:ascii="Arial" w:hAnsi="Arial"/>
          <w:caps/>
          <w:color w:val="000000"/>
          <w:kern w:val="32"/>
          <w:sz w:val="22"/>
        </w:rPr>
        <w:t>ОТЧЕТ О СРАВНЕНИИ БЮДЖЕТНЫХ И ФАКТИЧЕСКИХ СУММ — РАСХОДЫ</w:t>
      </w:r>
    </w:p>
    <w:p w:rsidR="00A16D00" w:rsidRPr="00A320B0" w:rsidRDefault="005F29A3" w:rsidP="00A16D00">
      <w:pPr>
        <w:jc w:val="center"/>
        <w:rPr>
          <w:rFonts w:ascii="Arial" w:eastAsia="SimSun" w:hAnsi="Arial" w:cs="Arial"/>
          <w:b/>
          <w:sz w:val="22"/>
          <w:szCs w:val="22"/>
        </w:rPr>
      </w:pPr>
      <w:r>
        <w:rPr>
          <w:rFonts w:ascii="Arial" w:hAnsi="Arial"/>
          <w:b/>
          <w:sz w:val="22"/>
        </w:rPr>
        <w:t>за год, окончившийся 31 декабря 2014 г.</w:t>
      </w:r>
    </w:p>
    <w:p w:rsidR="00641F69" w:rsidRPr="00824733" w:rsidRDefault="005F29A3" w:rsidP="00A16D00">
      <w:pPr>
        <w:jc w:val="center"/>
        <w:rPr>
          <w:rFonts w:ascii="Arial" w:hAnsi="Arial" w:cs="Arial"/>
          <w:i/>
          <w:sz w:val="22"/>
          <w:szCs w:val="22"/>
        </w:rPr>
      </w:pPr>
      <w:r>
        <w:rPr>
          <w:rFonts w:ascii="Arial" w:hAnsi="Arial"/>
          <w:i/>
          <w:sz w:val="22"/>
        </w:rPr>
        <w:t>(в тыс. шв. франков)</w:t>
      </w:r>
    </w:p>
    <w:p w:rsidR="00641F69" w:rsidRPr="00515569" w:rsidRDefault="00641F69" w:rsidP="007C6D77">
      <w:pPr>
        <w:jc w:val="both"/>
        <w:rPr>
          <w:rFonts w:ascii="Arial" w:hAnsi="Arial" w:cs="Arial"/>
          <w:sz w:val="22"/>
          <w:szCs w:val="22"/>
        </w:rPr>
      </w:pPr>
    </w:p>
    <w:p w:rsidR="00641F69" w:rsidRPr="00CC0680" w:rsidRDefault="00A65C21" w:rsidP="006401B6">
      <w:pPr>
        <w:jc w:val="center"/>
      </w:pPr>
      <w:r>
        <w:rPr>
          <w:noProof/>
          <w:lang w:val="en-US" w:eastAsia="en-US"/>
        </w:rPr>
        <w:drawing>
          <wp:inline distT="0" distB="0" distL="0" distR="0">
            <wp:extent cx="5854964" cy="665797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851682" cy="6654243"/>
                    </a:xfrm>
                    <a:prstGeom prst="rect">
                      <a:avLst/>
                    </a:prstGeom>
                    <a:noFill/>
                    <a:ln>
                      <a:noFill/>
                    </a:ln>
                  </pic:spPr>
                </pic:pic>
              </a:graphicData>
            </a:graphic>
          </wp:inline>
        </w:drawing>
      </w:r>
    </w:p>
    <w:p w:rsidR="008A195D" w:rsidRPr="00041DBB" w:rsidRDefault="005F29A3" w:rsidP="00EB07C0">
      <w:pPr>
        <w:tabs>
          <w:tab w:val="left" w:pos="644"/>
        </w:tabs>
        <w:jc w:val="both"/>
        <w:rPr>
          <w:rFonts w:ascii="Arial" w:hAnsi="Arial" w:cs="Arial"/>
          <w:sz w:val="16"/>
          <w:szCs w:val="16"/>
        </w:rPr>
      </w:pPr>
      <w:r>
        <w:rPr>
          <w:rFonts w:ascii="Arial" w:hAnsi="Arial"/>
          <w:sz w:val="16"/>
        </w:rPr>
        <w:t>(1) – в колонках «Первоначальный бюджет» и «Окончательный бюджет» приводятся данные за первый год утвержденного бюджета на двухлетний период 2014-2015 гг</w:t>
      </w:r>
      <w:r w:rsidR="0005341A">
        <w:rPr>
          <w:rFonts w:ascii="Arial" w:hAnsi="Arial"/>
          <w:sz w:val="16"/>
        </w:rPr>
        <w:t>.  П</w:t>
      </w:r>
      <w:r>
        <w:rPr>
          <w:rFonts w:ascii="Arial" w:hAnsi="Arial"/>
          <w:sz w:val="16"/>
        </w:rPr>
        <w:t>ервоначальный бюджет основан на бюджете на двухлетний период в размере 674,0 млн шв. франков, который был одобрен Ассамблеями государств – членов ВОИС 12 декабря 2013 гг.</w:t>
      </w:r>
    </w:p>
    <w:p w:rsidR="00AE4C80" w:rsidRPr="00041DBB" w:rsidRDefault="005F29A3" w:rsidP="00A463BD">
      <w:pPr>
        <w:jc w:val="both"/>
        <w:rPr>
          <w:rFonts w:ascii="Arial" w:hAnsi="Arial" w:cs="Arial"/>
          <w:sz w:val="16"/>
          <w:szCs w:val="16"/>
        </w:rPr>
      </w:pPr>
      <w:r>
        <w:rPr>
          <w:rFonts w:ascii="Arial" w:hAnsi="Arial"/>
          <w:sz w:val="16"/>
        </w:rPr>
        <w:t>(2) – представляет собой разницу между «окончательным» бюджетом на 2014 г. и фактическими расходами на сопоставимой основе за год, завершившийся 31 декабря 2014 г.</w:t>
      </w:r>
    </w:p>
    <w:p w:rsidR="001B3146" w:rsidRDefault="005F29A3" w:rsidP="00313BE7">
      <w:pPr>
        <w:jc w:val="both"/>
        <w:rPr>
          <w:rFonts w:ascii="Arial" w:hAnsi="Arial" w:cs="Arial"/>
          <w:sz w:val="16"/>
          <w:szCs w:val="16"/>
        </w:rPr>
      </w:pPr>
      <w:r>
        <w:rPr>
          <w:rFonts w:ascii="Arial" w:hAnsi="Arial"/>
          <w:sz w:val="16"/>
        </w:rPr>
        <w:t>(3) – более подробные сведения о корректировках положительного сальдо в соответствии с МСУГС приводятся в примечании 22 к настоящим финансовым ведомостям.</w:t>
      </w:r>
    </w:p>
    <w:p w:rsidR="005F29A3" w:rsidRDefault="005F29A3" w:rsidP="00C30AA6">
      <w:pPr>
        <w:sectPr w:rsidR="005F29A3" w:rsidSect="00F97F0D">
          <w:headerReference w:type="even" r:id="rId58"/>
          <w:headerReference w:type="default" r:id="rId59"/>
          <w:pgSz w:w="11907" w:h="16840" w:code="9"/>
          <w:pgMar w:top="851" w:right="1247" w:bottom="1191" w:left="1247" w:header="709" w:footer="709" w:gutter="0"/>
          <w:cols w:space="708"/>
          <w:docGrid w:linePitch="360"/>
        </w:sectPr>
      </w:pPr>
    </w:p>
    <w:p w:rsidR="00105EBF" w:rsidRPr="00CA655B" w:rsidRDefault="005F29A3" w:rsidP="00901633">
      <w:pPr>
        <w:pStyle w:val="STYLE1LASTONE"/>
        <w:spacing w:after="0"/>
        <w:rPr>
          <w:rStyle w:val="Style1Char"/>
          <w:color w:val="000000"/>
          <w:sz w:val="28"/>
        </w:rPr>
      </w:pPr>
      <w:bookmarkStart w:id="12" w:name="_Toc301187116"/>
      <w:r>
        <w:rPr>
          <w:caps/>
          <w:kern w:val="32"/>
          <w:sz w:val="22"/>
        </w:rPr>
        <w:lastRenderedPageBreak/>
        <w:t>ПРИМЕЧАНИЯ К ФИНАНСОВЫМ ВЕДОМОСТЯМ</w:t>
      </w:r>
      <w:bookmarkEnd w:id="12"/>
    </w:p>
    <w:p w:rsidR="00616460" w:rsidRDefault="00616460" w:rsidP="00901633">
      <w:pPr>
        <w:jc w:val="both"/>
        <w:rPr>
          <w:rFonts w:ascii="Arial" w:hAnsi="Arial" w:cs="Arial"/>
          <w:b/>
          <w:sz w:val="22"/>
          <w:szCs w:val="22"/>
        </w:rPr>
      </w:pPr>
    </w:p>
    <w:p w:rsidR="00901633" w:rsidRPr="008A65BF" w:rsidRDefault="00901633" w:rsidP="00901633">
      <w:pPr>
        <w:jc w:val="both"/>
        <w:rPr>
          <w:rFonts w:ascii="Arial" w:hAnsi="Arial" w:cs="Arial"/>
          <w:b/>
          <w:sz w:val="22"/>
          <w:szCs w:val="22"/>
        </w:rPr>
      </w:pPr>
    </w:p>
    <w:p w:rsidR="00616460" w:rsidRPr="00797AED" w:rsidRDefault="005F29A3" w:rsidP="00901633">
      <w:pPr>
        <w:pStyle w:val="STYLETITRENOTES"/>
      </w:pPr>
      <w:r w:rsidRPr="001311AA">
        <w:t>ПРИМЕЧАНИЕ</w:t>
      </w:r>
      <w:r w:rsidR="001311AA" w:rsidRPr="001311AA">
        <w:t> </w:t>
      </w:r>
      <w:r w:rsidRPr="001311AA">
        <w:t>1</w:t>
      </w:r>
      <w:r>
        <w:t>:</w:t>
      </w:r>
      <w:r>
        <w:tab/>
        <w:t>ЦЕЛИ И БЮДЖЕТ ОРГАНИЗАЦИИ</w:t>
      </w:r>
    </w:p>
    <w:p w:rsidR="00616460" w:rsidRPr="003520CF" w:rsidRDefault="00616460" w:rsidP="00901633">
      <w:pPr>
        <w:jc w:val="both"/>
        <w:rPr>
          <w:rFonts w:ascii="Arial" w:hAnsi="Arial" w:cs="Arial"/>
          <w:b/>
          <w:sz w:val="20"/>
          <w:szCs w:val="20"/>
        </w:rPr>
      </w:pPr>
    </w:p>
    <w:p w:rsidR="00E5032E" w:rsidRPr="008A65BF" w:rsidRDefault="005F29A3" w:rsidP="007C6D77">
      <w:pPr>
        <w:pStyle w:val="Style3"/>
        <w:spacing w:after="0"/>
        <w:rPr>
          <w:rFonts w:cs="Arial"/>
          <w:szCs w:val="22"/>
        </w:rPr>
      </w:pPr>
      <w:r>
        <w:t xml:space="preserve">Всемирная организация интеллектуальной собственности (ВОИС) была создана в 1967 г. и заменила собой Бюро по охране интеллектуальной собственности (БИРПИ), которое было основано в 1893 г. (БИРПИ является французским сокращением, означающим </w:t>
      </w:r>
      <w:r>
        <w:rPr>
          <w:i/>
        </w:rPr>
        <w:t>Bureaux Internationaux Réunis pour la Protection de la Propriété Intellectuelle</w:t>
      </w:r>
      <w:r>
        <w:t>) для выполнения административных функций Парижской конвенции по охране промышленной собственности (1883 г.) и Бернской конвенции по охране литературных и художественных произведений (1886 г.)</w:t>
      </w:r>
      <w:r w:rsidR="006B1BEC">
        <w:t>.  В</w:t>
      </w:r>
      <w:r>
        <w:t xml:space="preserve"> 1974 г. ВОИС была признана специализированным учреждением Ор</w:t>
      </w:r>
      <w:r w:rsidR="00C950F5">
        <w:t>ганизации Объединенных Наций.</w:t>
      </w:r>
    </w:p>
    <w:p w:rsidR="00E5032E" w:rsidRPr="008A65BF" w:rsidRDefault="00E5032E" w:rsidP="007C6D77">
      <w:pPr>
        <w:pStyle w:val="Style3"/>
        <w:spacing w:after="0"/>
        <w:rPr>
          <w:rFonts w:cs="Arial"/>
          <w:szCs w:val="22"/>
        </w:rPr>
      </w:pPr>
    </w:p>
    <w:p w:rsidR="00E5032E" w:rsidRPr="008A65BF" w:rsidRDefault="005F29A3" w:rsidP="007C6D77">
      <w:pPr>
        <w:pStyle w:val="Style3"/>
        <w:spacing w:after="0"/>
        <w:rPr>
          <w:rFonts w:cs="Arial"/>
          <w:szCs w:val="22"/>
        </w:rPr>
      </w:pPr>
      <w:r>
        <w:t xml:space="preserve">ВОИС выполняет широкий спектр задач, связанных с охраной прав ИС, включая: </w:t>
      </w:r>
      <w:r w:rsidR="006B1BEC">
        <w:t xml:space="preserve"> </w:t>
      </w:r>
      <w:r>
        <w:t>оказание помощи правительствам и организациям в разработке политики, создании структур и привитии профессиональных навыков, необходимых для задействования  потенциала ИС в целях экономического развития;  взаимодействие с государствами-членами в целях развития международного права ИС;  выполнение административных функций международных договоров;  управление глобальными регистрационными системами в области товарных знаков, промышленных образцов, наименований мест происхождения и системой подачи заявок на выдачу патента</w:t>
      </w:r>
      <w:r w:rsidR="006B1BEC">
        <w:t>;  п</w:t>
      </w:r>
      <w:r>
        <w:t>редоставление услуг по урегулированию споров;  и выполнение функций форума для проведения обсуждений, основанных на всей имеющейся информации, и обмена экспертными знаниями.</w:t>
      </w:r>
    </w:p>
    <w:p w:rsidR="00E5032E" w:rsidRPr="008A65BF" w:rsidRDefault="00E5032E" w:rsidP="007C6D77">
      <w:pPr>
        <w:pStyle w:val="Style3"/>
        <w:spacing w:after="0"/>
        <w:rPr>
          <w:rFonts w:cs="Arial"/>
          <w:szCs w:val="22"/>
        </w:rPr>
      </w:pPr>
    </w:p>
    <w:p w:rsidR="0028170E" w:rsidRPr="008A65BF" w:rsidRDefault="005F29A3" w:rsidP="007C6D77">
      <w:pPr>
        <w:pStyle w:val="Style3"/>
        <w:spacing w:after="0"/>
        <w:rPr>
          <w:rFonts w:cs="Arial"/>
          <w:szCs w:val="22"/>
        </w:rPr>
      </w:pPr>
      <w:r>
        <w:t>Организация функционирует в соответствии с Конвенцией ВОИС, подписанной 14 июля 1967 г. в Стокгольме и измененной 28 сентября 1979 г</w:t>
      </w:r>
      <w:r w:rsidR="006B1BEC">
        <w:t>.  В</w:t>
      </w:r>
      <w:r>
        <w:t xml:space="preserve"> состав ВОИС в настоящее время входят 188 государств-членов</w:t>
      </w:r>
      <w:r w:rsidR="006B1BEC">
        <w:t>.  В</w:t>
      </w:r>
      <w:r>
        <w:t>ОИС расположена в Женеве, Швейцария, и имеет представительства в Пекине, Москве (оба открыты в 2014 г.), Нью-Йорке, Рио-де-Жанейро, Сингапуре и Токио</w:t>
      </w:r>
      <w:r w:rsidR="0005341A">
        <w:t>.  О</w:t>
      </w:r>
      <w:r>
        <w:t>рганизация пользуется привилегиями и иммунитетами, которые предоставлены в соответствии с Конвенцией 1947 г. о привилегиях и иммунитетах специализированных учреждений Организации Объединенных Наций и Соглашением о штаб-квартире 1970 г., заключенным с Федеральным Советом Швейцарии и предусматривающим, в частности, освобождение от уплаты большинства прямых и косвенных налогов.</w:t>
      </w:r>
    </w:p>
    <w:p w:rsidR="0028170E" w:rsidRPr="008A65BF" w:rsidRDefault="0028170E" w:rsidP="007C6D77">
      <w:pPr>
        <w:pStyle w:val="Style3"/>
        <w:spacing w:after="0"/>
        <w:rPr>
          <w:rFonts w:cs="Arial"/>
          <w:szCs w:val="22"/>
        </w:rPr>
      </w:pPr>
    </w:p>
    <w:p w:rsidR="0028170E" w:rsidRPr="00136CD5" w:rsidRDefault="005F29A3" w:rsidP="007C6D77">
      <w:pPr>
        <w:pStyle w:val="Style3"/>
        <w:spacing w:after="0"/>
        <w:rPr>
          <w:rFonts w:cs="Arial"/>
          <w:szCs w:val="22"/>
        </w:rPr>
      </w:pPr>
      <w:r>
        <w:t>Руководство ВОИС осуществляется следующими органами, учрежденными в соответствии с Конвенцией ВОИС, которые проводят очередные сессии не реже одного раза в два года и которые могут проводить внеочередные сессии в промежу</w:t>
      </w:r>
      <w:r w:rsidR="00136CD5">
        <w:t>тке между очередными сессиями:</w:t>
      </w:r>
    </w:p>
    <w:p w:rsidR="0028170E" w:rsidRPr="008A65BF" w:rsidRDefault="0028170E" w:rsidP="007C6D77">
      <w:pPr>
        <w:pStyle w:val="Style3"/>
        <w:spacing w:after="0"/>
        <w:rPr>
          <w:rFonts w:cs="Arial"/>
          <w:szCs w:val="22"/>
        </w:rPr>
      </w:pPr>
    </w:p>
    <w:p w:rsidR="00E5032E" w:rsidRPr="008A65BF" w:rsidRDefault="005F29A3" w:rsidP="00BC3ED4">
      <w:pPr>
        <w:pStyle w:val="STYLEDUTEXTE"/>
        <w:numPr>
          <w:ilvl w:val="0"/>
          <w:numId w:val="20"/>
        </w:numPr>
        <w:rPr>
          <w:rFonts w:cs="Arial"/>
          <w:szCs w:val="22"/>
        </w:rPr>
      </w:pPr>
      <w:r>
        <w:t>Генеральная Ассамблея, состоящая из государств-участников Конвенции ВОИС, которые являются членами какого-либо из Союзов, назначает Генерального директора на срок не менее чем шесть лет, принимает бюджет расходов, общих для всех Союзов, принимает финансовый регламент, приглашает государства стать участниками Конвенции и выполняет другие функции, оговоренные в Конвенции</w:t>
      </w:r>
      <w:r w:rsidR="00136CD5">
        <w:t>.</w:t>
      </w:r>
    </w:p>
    <w:p w:rsidR="007628A0" w:rsidRPr="008A65BF" w:rsidRDefault="007628A0" w:rsidP="00BB447D">
      <w:pPr>
        <w:pStyle w:val="STYLEDUTEXTE"/>
        <w:rPr>
          <w:rFonts w:cs="Arial"/>
          <w:szCs w:val="22"/>
        </w:rPr>
      </w:pPr>
    </w:p>
    <w:p w:rsidR="0028170E" w:rsidRPr="008A65BF" w:rsidRDefault="005F29A3" w:rsidP="00BC3ED4">
      <w:pPr>
        <w:pStyle w:val="STYLEDUTEXTE"/>
        <w:numPr>
          <w:ilvl w:val="0"/>
          <w:numId w:val="20"/>
        </w:numPr>
        <w:rPr>
          <w:rFonts w:cs="Arial"/>
          <w:szCs w:val="22"/>
        </w:rPr>
      </w:pPr>
      <w:r>
        <w:t>Конференция состоит из всех государств-членов, независимо от того, являются ли они членами какого-либо из Союзов или нет</w:t>
      </w:r>
      <w:r w:rsidR="0005341A">
        <w:t>.  К</w:t>
      </w:r>
      <w:r>
        <w:t>онференция принимает бюджет, принимает поправки к Конвенции и выполняет другие надлежащие функции.</w:t>
      </w:r>
    </w:p>
    <w:p w:rsidR="007628A0" w:rsidRPr="008A65BF" w:rsidRDefault="007628A0" w:rsidP="00BB447D">
      <w:pPr>
        <w:pStyle w:val="STYLEDUTEXTE"/>
        <w:rPr>
          <w:rFonts w:cs="Arial"/>
          <w:szCs w:val="22"/>
        </w:rPr>
      </w:pPr>
    </w:p>
    <w:p w:rsidR="0028170E" w:rsidRPr="008A65BF" w:rsidRDefault="005F29A3" w:rsidP="00BC3ED4">
      <w:pPr>
        <w:pStyle w:val="Style3"/>
        <w:numPr>
          <w:ilvl w:val="0"/>
          <w:numId w:val="20"/>
        </w:numPr>
        <w:spacing w:after="0"/>
        <w:rPr>
          <w:rFonts w:cs="Arial"/>
          <w:szCs w:val="22"/>
        </w:rPr>
      </w:pPr>
      <w:r>
        <w:t xml:space="preserve">В Координационный комитет входят члены исполнительных комитетов Парижского или Бернского союзов, четверть государств – участников Конвенции ВОИС, не </w:t>
      </w:r>
      <w:r>
        <w:lastRenderedPageBreak/>
        <w:t>входящих ни в один из союзов, и Швейцария как государство, на территории которой расположена штаб-квартира Организации</w:t>
      </w:r>
      <w:r w:rsidR="0005341A">
        <w:t>.  К</w:t>
      </w:r>
      <w:r>
        <w:t>оординационный комитет предлагает кандидатуры на пост Генерального директора, составляет повестки дня Генеральной Ассамблеи, подготавливает программу и бюджет Конференции и выполняет другие функции, возложенные на него в соответствии с Конвенцией ВОИС.</w:t>
      </w:r>
    </w:p>
    <w:p w:rsidR="006E695B" w:rsidRPr="008A65BF" w:rsidRDefault="006E695B" w:rsidP="007C6D77">
      <w:pPr>
        <w:pStyle w:val="Style3"/>
        <w:spacing w:after="0"/>
        <w:rPr>
          <w:rFonts w:cs="Arial"/>
          <w:szCs w:val="22"/>
        </w:rPr>
      </w:pPr>
    </w:p>
    <w:p w:rsidR="00C86375" w:rsidRPr="008A65BF" w:rsidRDefault="005F29A3" w:rsidP="00BC3ED4">
      <w:pPr>
        <w:pStyle w:val="Style3"/>
        <w:numPr>
          <w:ilvl w:val="0"/>
          <w:numId w:val="20"/>
        </w:numPr>
        <w:spacing w:after="0"/>
        <w:rPr>
          <w:rFonts w:cs="Arial"/>
          <w:szCs w:val="22"/>
        </w:rPr>
      </w:pPr>
      <w:r>
        <w:t>Ассамблеи Бернского, Гаагского, Ниццкого, Лиссабонского, Локарнского, Венского, Будапештского и Парижского союзов, а также Союза МПК проводят свои сессии в соответствии с положениями отдельных договоров, учреждающих каждый из Союзов, административные функции которых выполняет ВОИС, и принимают те части бюджета ВОИС, которые касаются доходов и расходов исключительно каждого из них, а также определяют размер пошлин, уплачиваемых ВОИС за услуги, оказываемые в рамках каждого соответствующего договора</w:t>
      </w:r>
      <w:r w:rsidR="00136CD5">
        <w:t>.</w:t>
      </w:r>
    </w:p>
    <w:p w:rsidR="00C86375" w:rsidRPr="008A65BF" w:rsidRDefault="00C86375" w:rsidP="007C6D77">
      <w:pPr>
        <w:pStyle w:val="Style3"/>
        <w:spacing w:after="0"/>
        <w:rPr>
          <w:rFonts w:cs="Arial"/>
          <w:szCs w:val="22"/>
        </w:rPr>
      </w:pPr>
    </w:p>
    <w:p w:rsidR="0028170E" w:rsidRPr="008A65BF" w:rsidRDefault="005F29A3" w:rsidP="007C6D77">
      <w:pPr>
        <w:pStyle w:val="Style3"/>
        <w:spacing w:after="0"/>
        <w:rPr>
          <w:rFonts w:cs="Arial"/>
          <w:szCs w:val="22"/>
        </w:rPr>
      </w:pPr>
      <w:r>
        <w:t>ВОИС финансируется за счет пошлин, взимаемых за оказываемые Организацией услуги, начисленных взносов, уплачиваемых ее государствами-членами, и добровольных взносов государств-членов и других доноров</w:t>
      </w:r>
      <w:r w:rsidR="0005341A">
        <w:t>.  О</w:t>
      </w:r>
      <w:r>
        <w:t>рганизация осуществляет свою деятельность на основе двухлетних программы и бюджета, предусматривающих ассигнования под разрешенные бюджетные расходы, которые утверждаются Генеральной Ассамблеей на каждый финансовый период</w:t>
      </w:r>
      <w:r w:rsidR="0005341A">
        <w:t>.  П</w:t>
      </w:r>
      <w:r>
        <w:t>ри утверждении ассигнований Генеральному директору предоставляются полномочия на то, чтобы брать обязательства, разрешать осуществлять расходы и производить платежи в оговоренных целях в пределах ассигнований.</w:t>
      </w:r>
    </w:p>
    <w:p w:rsidR="00BB0B8D" w:rsidRDefault="00BB0B8D" w:rsidP="00901633">
      <w:pPr>
        <w:jc w:val="both"/>
        <w:rPr>
          <w:rFonts w:ascii="Arial" w:hAnsi="Arial" w:cs="Arial"/>
          <w:b/>
          <w:sz w:val="22"/>
          <w:szCs w:val="22"/>
        </w:rPr>
      </w:pPr>
    </w:p>
    <w:p w:rsidR="00E1413C" w:rsidRPr="008A65BF" w:rsidRDefault="00E1413C" w:rsidP="00901633">
      <w:pPr>
        <w:jc w:val="both"/>
        <w:rPr>
          <w:rFonts w:ascii="Arial" w:hAnsi="Arial" w:cs="Arial"/>
          <w:b/>
          <w:sz w:val="22"/>
          <w:szCs w:val="22"/>
        </w:rPr>
      </w:pPr>
    </w:p>
    <w:p w:rsidR="00E1413C" w:rsidRPr="00E1413C" w:rsidRDefault="005F29A3" w:rsidP="00901633">
      <w:pPr>
        <w:pStyle w:val="StyleHeading211ptNotBoldNotItalicAllcaps"/>
        <w:tabs>
          <w:tab w:val="left" w:pos="1260"/>
        </w:tabs>
        <w:spacing w:before="0" w:after="0"/>
        <w:rPr>
          <w:rFonts w:eastAsia="SimSun"/>
          <w:szCs w:val="22"/>
        </w:rPr>
      </w:pPr>
      <w:r w:rsidRPr="001311AA">
        <w:t>Примечание</w:t>
      </w:r>
      <w:r w:rsidR="001311AA" w:rsidRPr="001311AA">
        <w:t> </w:t>
      </w:r>
      <w:r w:rsidRPr="001311AA">
        <w:t>2</w:t>
      </w:r>
      <w:r>
        <w:t>:</w:t>
      </w:r>
      <w:r>
        <w:rPr>
          <w:i/>
        </w:rPr>
        <w:tab/>
      </w:r>
      <w:r>
        <w:t>Основные принципы бухгалтерского учета</w:t>
      </w:r>
    </w:p>
    <w:p w:rsidR="00BB0B8D" w:rsidRPr="00E1413C" w:rsidRDefault="00BB0B8D" w:rsidP="00901633">
      <w:pPr>
        <w:pStyle w:val="StyleHeading211ptNotBoldNotItalicAllcaps"/>
        <w:tabs>
          <w:tab w:val="left" w:pos="1260"/>
        </w:tabs>
        <w:spacing w:before="0" w:after="0"/>
      </w:pPr>
    </w:p>
    <w:p w:rsidR="00BB0B8D" w:rsidRPr="00E1413C" w:rsidRDefault="005F29A3" w:rsidP="00901633">
      <w:pPr>
        <w:pStyle w:val="Style3Bold"/>
        <w:spacing w:after="0"/>
        <w:rPr>
          <w:rFonts w:cs="Arial"/>
          <w:szCs w:val="22"/>
        </w:rPr>
      </w:pPr>
      <w:r>
        <w:t>Основа для подготовки</w:t>
      </w:r>
    </w:p>
    <w:p w:rsidR="000A2080" w:rsidRPr="00E1413C" w:rsidRDefault="000A2080" w:rsidP="00E1413C">
      <w:pPr>
        <w:pStyle w:val="Style3"/>
        <w:spacing w:after="0"/>
        <w:rPr>
          <w:rFonts w:cs="Arial"/>
          <w:szCs w:val="22"/>
        </w:rPr>
      </w:pPr>
    </w:p>
    <w:p w:rsidR="000A2080" w:rsidRDefault="005F29A3" w:rsidP="00E1413C">
      <w:pPr>
        <w:pStyle w:val="Style3"/>
        <w:spacing w:after="0"/>
        <w:rPr>
          <w:rFonts w:cs="Arial"/>
          <w:szCs w:val="22"/>
        </w:rPr>
      </w:pPr>
      <w:r>
        <w:t>Настоящая финансовая отчетность подготовлена с использованием метода начисления и на основе принципа «действующего предприятия», и политика бухгалтерского учета последовательно применялась в течение всего отчетного периода</w:t>
      </w:r>
      <w:r w:rsidR="0005341A">
        <w:t>.  О</w:t>
      </w:r>
      <w:r>
        <w:t>тчетность соответствует требованиям Международных стандартов учета в государственном секторе (МСУГС).</w:t>
      </w:r>
    </w:p>
    <w:p w:rsidR="00E8347F" w:rsidRPr="00E1413C" w:rsidRDefault="00E8347F" w:rsidP="00D602C9">
      <w:pPr>
        <w:pStyle w:val="Style3"/>
        <w:spacing w:after="0"/>
        <w:rPr>
          <w:rFonts w:cs="Arial"/>
          <w:szCs w:val="22"/>
        </w:rPr>
      </w:pPr>
    </w:p>
    <w:p w:rsidR="005845E8" w:rsidRPr="00E1413C" w:rsidRDefault="005F29A3" w:rsidP="00D602C9">
      <w:pPr>
        <w:pStyle w:val="Style3Bold"/>
        <w:spacing w:after="0"/>
        <w:rPr>
          <w:rFonts w:cs="Arial"/>
          <w:szCs w:val="22"/>
        </w:rPr>
      </w:pPr>
      <w:r>
        <w:t>Расходы по займам</w:t>
      </w:r>
    </w:p>
    <w:p w:rsidR="005845E8" w:rsidRPr="00E1413C" w:rsidRDefault="005845E8" w:rsidP="007C6D77">
      <w:pPr>
        <w:pStyle w:val="Style3"/>
        <w:spacing w:after="0"/>
        <w:rPr>
          <w:rFonts w:cs="Arial"/>
          <w:szCs w:val="22"/>
        </w:rPr>
      </w:pPr>
    </w:p>
    <w:p w:rsidR="005845E8" w:rsidRPr="00E1413C" w:rsidRDefault="005F29A3" w:rsidP="007C6D77">
      <w:pPr>
        <w:pStyle w:val="Style3"/>
        <w:spacing w:after="0"/>
        <w:rPr>
          <w:rFonts w:cs="Arial"/>
          <w:szCs w:val="22"/>
        </w:rPr>
      </w:pPr>
      <w:r>
        <w:t>Все расходы, учтенные в связи с заимствованием средств, рассматриваются в качестве расходов того периода, в котором они были произведены</w:t>
      </w:r>
      <w:r w:rsidR="0005341A">
        <w:t>.  Р</w:t>
      </w:r>
      <w:r>
        <w:t>асходы по займам (проценты и комиссионные сборы), связанные со строительством нового административного здания, капитализировались как часть незавершенных работ на этапе строительства (см. примечание 9)</w:t>
      </w:r>
      <w:r w:rsidR="0005341A">
        <w:t>.  Р</w:t>
      </w:r>
      <w:r>
        <w:t>асходы по займам (комиссия за неиспользованные ссуды), связанные со строительством нового конференц-зала, капитализировались как часть незавершенных работ на этапе строительства (см. примечание 9)</w:t>
      </w:r>
      <w:r w:rsidR="0005341A">
        <w:t>.  Р</w:t>
      </w:r>
      <w:r>
        <w:t>асходы по займам (проценты и комиссионные сборы), связанные с приобретением у Всемирной метеорологической организации прав суперфиция на земельный участок (</w:t>
      </w:r>
      <w:r>
        <w:rPr>
          <w:i/>
        </w:rPr>
        <w:t>droits de superficie</w:t>
      </w:r>
      <w:r>
        <w:t>), на котором было построено здание РСТ, капитализируются как часть номинальной стоимости активов и амортизируются исходя из оставшегося срока действия прав суперфиция (см. примечание 8).</w:t>
      </w:r>
    </w:p>
    <w:p w:rsidR="00E47BB1" w:rsidRDefault="00E47BB1" w:rsidP="007C6D77">
      <w:pPr>
        <w:pStyle w:val="Style3"/>
        <w:spacing w:after="0"/>
        <w:rPr>
          <w:rFonts w:cs="Arial"/>
          <w:szCs w:val="22"/>
        </w:rPr>
      </w:pPr>
    </w:p>
    <w:p w:rsidR="00CA4EAA" w:rsidRPr="00E1413C" w:rsidRDefault="005F29A3" w:rsidP="00CA4EAA">
      <w:pPr>
        <w:pStyle w:val="Style3Bold"/>
        <w:spacing w:after="0"/>
        <w:rPr>
          <w:rFonts w:cs="Arial"/>
          <w:szCs w:val="22"/>
        </w:rPr>
      </w:pPr>
      <w:r>
        <w:t>Денежные средства, инвестиции и другие финансовые активы</w:t>
      </w:r>
    </w:p>
    <w:p w:rsidR="00CA4EAA" w:rsidRPr="00E1413C" w:rsidRDefault="00CA4EAA" w:rsidP="00CA4EAA">
      <w:pPr>
        <w:pStyle w:val="Style3"/>
        <w:spacing w:after="0"/>
        <w:rPr>
          <w:rFonts w:cs="Arial"/>
          <w:szCs w:val="22"/>
        </w:rPr>
      </w:pPr>
    </w:p>
    <w:p w:rsidR="00CA4EAA" w:rsidRDefault="005F29A3" w:rsidP="00CA4EAA">
      <w:pPr>
        <w:pStyle w:val="Style3"/>
        <w:spacing w:after="0"/>
        <w:rPr>
          <w:rFonts w:cs="Arial"/>
          <w:szCs w:val="22"/>
        </w:rPr>
      </w:pPr>
      <w:r>
        <w:t xml:space="preserve">Денежные средства и их эквиваленты включают кассовую наличность, банковские депозиты на условиях выдачи по требованию, депозиты на срок до 90 дней и другие </w:t>
      </w:r>
      <w:r>
        <w:lastRenderedPageBreak/>
        <w:t>краткосрочные высоколиквидные инвестиции, которые легко конвертируются в наличные деньги и подвержены лишь незначительным рискам изменения стоимости.</w:t>
      </w:r>
    </w:p>
    <w:p w:rsidR="00CA4EAA" w:rsidRPr="00E1413C" w:rsidRDefault="00CA4EAA" w:rsidP="007C6D77">
      <w:pPr>
        <w:pStyle w:val="Style3"/>
        <w:spacing w:after="0"/>
        <w:rPr>
          <w:rFonts w:cs="Arial"/>
          <w:szCs w:val="22"/>
        </w:rPr>
      </w:pPr>
    </w:p>
    <w:p w:rsidR="002760C4" w:rsidRPr="00E1413C" w:rsidRDefault="005F29A3" w:rsidP="007C6D77">
      <w:pPr>
        <w:pStyle w:val="Style3Bold"/>
        <w:spacing w:after="0"/>
        <w:rPr>
          <w:rFonts w:cs="Arial"/>
          <w:szCs w:val="22"/>
        </w:rPr>
      </w:pPr>
      <w:r>
        <w:t>Пособия сотрудникам</w:t>
      </w:r>
    </w:p>
    <w:p w:rsidR="002760C4" w:rsidRPr="00E1413C" w:rsidRDefault="002760C4" w:rsidP="007C6D77">
      <w:pPr>
        <w:pStyle w:val="Style3"/>
        <w:spacing w:after="0"/>
        <w:rPr>
          <w:rFonts w:cs="Arial"/>
          <w:szCs w:val="22"/>
        </w:rPr>
      </w:pPr>
    </w:p>
    <w:p w:rsidR="00562598" w:rsidRDefault="005F29A3" w:rsidP="007C6D77">
      <w:pPr>
        <w:pStyle w:val="Style3"/>
        <w:spacing w:after="0"/>
        <w:rPr>
          <w:rFonts w:cs="Arial"/>
          <w:szCs w:val="22"/>
        </w:rPr>
      </w:pPr>
      <w:r>
        <w:t>Предусмотрены ассигнования на покрытие обязательств по медицинскому страхованию после прекращения службы (МСПС) и выплате пособий на репатриацию и оплату проезда, которые определяются независимым актуарием на ежегодной основе с использованием методики прогнозируемой условной единицы</w:t>
      </w:r>
      <w:r w:rsidR="0005341A">
        <w:t>.  Ч</w:t>
      </w:r>
      <w:r>
        <w:t>то касается обязательств по МСПС, то актуарные прибыли и убытки учитываются на основе коридорного метода и амортизируются в течение среднего числа лет дальнейшей службы действующего сотрудника</w:t>
      </w:r>
      <w:r w:rsidR="0005341A">
        <w:t>.  К</w:t>
      </w:r>
      <w:r>
        <w:t>роме того, предусмотрены ассигнования на оплату накопленного отпуска, неиспользованного отпуска на родину и сверхурочных часов, «заработанных», но не оплаченных, пособий после прекращения службы и премий за трудовые достижения, а также выплаты пособий на образование, подлежащих выплате на отчетную дату, которые не включены в текущие расходы.</w:t>
      </w:r>
    </w:p>
    <w:p w:rsidR="00562598" w:rsidRPr="00954730" w:rsidRDefault="00562598" w:rsidP="00954730">
      <w:pPr>
        <w:pStyle w:val="Style3"/>
        <w:spacing w:after="0"/>
        <w:rPr>
          <w:rFonts w:cs="Arial"/>
          <w:szCs w:val="22"/>
        </w:rPr>
      </w:pPr>
    </w:p>
    <w:p w:rsidR="00271CA9" w:rsidRPr="00954730" w:rsidRDefault="005F29A3" w:rsidP="00954730">
      <w:pPr>
        <w:autoSpaceDE w:val="0"/>
        <w:autoSpaceDN w:val="0"/>
        <w:adjustRightInd w:val="0"/>
        <w:jc w:val="both"/>
        <w:rPr>
          <w:rFonts w:ascii="Arial" w:hAnsi="Arial" w:cs="Arial"/>
          <w:sz w:val="22"/>
          <w:szCs w:val="22"/>
        </w:rPr>
      </w:pPr>
      <w:r>
        <w:rPr>
          <w:rFonts w:ascii="Arial" w:hAnsi="Arial"/>
          <w:sz w:val="22"/>
        </w:rPr>
        <w:t>ВОИС является одной из организаций, участвующих в Объединенном пенсионном фонде персонала Организации Объединенных Наций (ОПФПООН), который был учрежден Генеральной Ассамблеей Организации Объединенных Наций в целях обеспечения выплаты пенсионных пособий, а также пособий в случае смерти, потери трудоспособности и других пособий сотрудникам</w:t>
      </w:r>
      <w:r w:rsidR="0005341A">
        <w:rPr>
          <w:rFonts w:ascii="Arial" w:hAnsi="Arial"/>
          <w:sz w:val="22"/>
        </w:rPr>
        <w:t>.  П</w:t>
      </w:r>
      <w:r>
        <w:rPr>
          <w:rFonts w:ascii="Arial" w:hAnsi="Arial"/>
          <w:sz w:val="22"/>
        </w:rPr>
        <w:t>енсионный фонд представляет собой финансируемый план с фиксированным уровнем пособий, выплачиваемый различными работодателями</w:t>
      </w:r>
      <w:r w:rsidR="0005341A">
        <w:rPr>
          <w:rFonts w:ascii="Arial" w:hAnsi="Arial"/>
          <w:sz w:val="22"/>
        </w:rPr>
        <w:t>.  К</w:t>
      </w:r>
      <w:r>
        <w:rPr>
          <w:rFonts w:ascii="Arial" w:hAnsi="Arial"/>
          <w:sz w:val="22"/>
        </w:rPr>
        <w:t>ак гласит статья 3(b) Положений Фонда, участие в Фонде открыто для специализированных учреждений и для любых других международных и межправительственных организаций, которые участвуют в общей системе окладов, пособий и других условий службы Организации Объединенных Наций и специализированных учреждений.</w:t>
      </w:r>
    </w:p>
    <w:p w:rsidR="00954730" w:rsidRPr="00954730" w:rsidRDefault="00954730" w:rsidP="00954730">
      <w:pPr>
        <w:autoSpaceDE w:val="0"/>
        <w:autoSpaceDN w:val="0"/>
        <w:adjustRightInd w:val="0"/>
        <w:jc w:val="both"/>
        <w:rPr>
          <w:rFonts w:ascii="Arial" w:hAnsi="Arial" w:cs="Arial"/>
          <w:sz w:val="22"/>
          <w:szCs w:val="22"/>
        </w:rPr>
      </w:pPr>
    </w:p>
    <w:p w:rsidR="007C6D77" w:rsidRPr="00954730" w:rsidRDefault="005F29A3" w:rsidP="00954730">
      <w:pPr>
        <w:autoSpaceDE w:val="0"/>
        <w:autoSpaceDN w:val="0"/>
        <w:adjustRightInd w:val="0"/>
        <w:jc w:val="both"/>
        <w:rPr>
          <w:rFonts w:ascii="Arial" w:hAnsi="Arial" w:cs="Arial"/>
          <w:sz w:val="22"/>
          <w:szCs w:val="22"/>
        </w:rPr>
      </w:pPr>
      <w:r>
        <w:rPr>
          <w:rFonts w:ascii="Arial" w:hAnsi="Arial"/>
          <w:sz w:val="22"/>
        </w:rPr>
        <w:t>Организации, участвующие в плане, подвергаются актуарным рискам, связанным с нынешними и бывшими сотрудниками других организаций, участвующих в Фонде, в результате чего отсутствует согласованная и надежная основа для распределения обязательств, активов и расходов в связи с этим планом среди участвующих в нем отдельных организаций</w:t>
      </w:r>
      <w:r w:rsidR="006B1BEC">
        <w:rPr>
          <w:rFonts w:ascii="Arial" w:hAnsi="Arial"/>
          <w:sz w:val="22"/>
        </w:rPr>
        <w:t>.  В</w:t>
      </w:r>
      <w:r>
        <w:rPr>
          <w:rFonts w:ascii="Arial" w:hAnsi="Arial"/>
          <w:sz w:val="22"/>
        </w:rPr>
        <w:t>ОИС и ОПФПООН, как и другие организации, участвующие в Фонде, не в состоянии с достаточной степенью надежности определить пропорциональную долю ВОИС в обязательстве по выплате пособий фиксированного размера и в активах и пассивах плана для целей отчетности</w:t>
      </w:r>
      <w:r w:rsidR="0005341A">
        <w:rPr>
          <w:rFonts w:ascii="Arial" w:hAnsi="Arial"/>
          <w:sz w:val="22"/>
        </w:rPr>
        <w:t>.  П</w:t>
      </w:r>
      <w:r>
        <w:rPr>
          <w:rFonts w:ascii="Arial" w:hAnsi="Arial"/>
          <w:sz w:val="22"/>
        </w:rPr>
        <w:t>оэтому ВОИС рассматривает этот план как план с фиксированным взносом в соответствии с требованиями стандарта МСУГС 25</w:t>
      </w:r>
      <w:r w:rsidR="006B1BEC">
        <w:rPr>
          <w:rFonts w:ascii="Arial" w:hAnsi="Arial"/>
          <w:sz w:val="22"/>
        </w:rPr>
        <w:t>.  В</w:t>
      </w:r>
      <w:r>
        <w:rPr>
          <w:rFonts w:ascii="Arial" w:hAnsi="Arial"/>
          <w:sz w:val="22"/>
        </w:rPr>
        <w:t xml:space="preserve"> течение финансового периода взносы ВОИС в этот план учитываются в качестве расходов в ведомости финансовых результатов.</w:t>
      </w:r>
    </w:p>
    <w:p w:rsidR="00954730" w:rsidRPr="00271CA9" w:rsidRDefault="00954730" w:rsidP="00954730">
      <w:pPr>
        <w:pStyle w:val="Style3"/>
        <w:spacing w:after="0"/>
        <w:rPr>
          <w:rFonts w:cs="Arial"/>
          <w:szCs w:val="22"/>
        </w:rPr>
      </w:pPr>
    </w:p>
    <w:p w:rsidR="00A22046" w:rsidRPr="00E1413C" w:rsidRDefault="005F29A3" w:rsidP="007C6D77">
      <w:pPr>
        <w:pStyle w:val="Style3Bold"/>
        <w:spacing w:after="0"/>
        <w:rPr>
          <w:rFonts w:cs="Arial"/>
          <w:szCs w:val="22"/>
        </w:rPr>
      </w:pPr>
      <w:r>
        <w:t>Учет расходов</w:t>
      </w:r>
    </w:p>
    <w:p w:rsidR="00A22046" w:rsidRPr="00E1413C" w:rsidRDefault="00A22046" w:rsidP="007C6D77">
      <w:pPr>
        <w:pStyle w:val="Style3"/>
        <w:spacing w:after="0"/>
        <w:rPr>
          <w:rFonts w:cs="Arial"/>
          <w:szCs w:val="22"/>
        </w:rPr>
      </w:pPr>
    </w:p>
    <w:p w:rsidR="00A22046" w:rsidRPr="00E1413C" w:rsidRDefault="005F29A3" w:rsidP="007C6D77">
      <w:pPr>
        <w:pStyle w:val="Style3"/>
        <w:spacing w:after="0"/>
        <w:rPr>
          <w:rFonts w:cs="Arial"/>
          <w:szCs w:val="22"/>
        </w:rPr>
      </w:pPr>
      <w:r>
        <w:t>Расходы учитываются по мере получения товаров и оказания услуг.</w:t>
      </w:r>
    </w:p>
    <w:p w:rsidR="00A22046" w:rsidRPr="00E1413C" w:rsidRDefault="00A22046" w:rsidP="007C6D77">
      <w:pPr>
        <w:pStyle w:val="Style3"/>
        <w:spacing w:after="0"/>
        <w:rPr>
          <w:rFonts w:cs="Arial"/>
          <w:szCs w:val="22"/>
        </w:rPr>
      </w:pPr>
    </w:p>
    <w:p w:rsidR="002760C4" w:rsidRPr="00E1413C" w:rsidRDefault="005F29A3" w:rsidP="007C6D77">
      <w:pPr>
        <w:pStyle w:val="Style3Bold"/>
        <w:spacing w:after="0"/>
        <w:rPr>
          <w:rFonts w:cs="Arial"/>
          <w:szCs w:val="22"/>
        </w:rPr>
      </w:pPr>
      <w:r>
        <w:t>Финансовые инструменты</w:t>
      </w:r>
    </w:p>
    <w:p w:rsidR="002760C4" w:rsidRDefault="002760C4" w:rsidP="007C6D77">
      <w:pPr>
        <w:pStyle w:val="Style3"/>
        <w:spacing w:after="0"/>
        <w:rPr>
          <w:rFonts w:cs="Arial"/>
          <w:szCs w:val="22"/>
        </w:rPr>
      </w:pPr>
    </w:p>
    <w:p w:rsidR="00E01D49" w:rsidRPr="00E01D49" w:rsidRDefault="005F29A3" w:rsidP="00E01D49">
      <w:pPr>
        <w:pStyle w:val="Style3"/>
        <w:spacing w:after="0"/>
        <w:rPr>
          <w:rFonts w:cs="Arial"/>
          <w:b/>
          <w:i/>
          <w:szCs w:val="22"/>
        </w:rPr>
      </w:pPr>
      <w:r>
        <w:rPr>
          <w:b/>
          <w:i/>
        </w:rPr>
        <w:t>Финансовые активы</w:t>
      </w:r>
    </w:p>
    <w:p w:rsidR="00E01D49" w:rsidRDefault="00E01D49" w:rsidP="00E01D49">
      <w:pPr>
        <w:autoSpaceDE w:val="0"/>
        <w:autoSpaceDN w:val="0"/>
        <w:adjustRightInd w:val="0"/>
        <w:rPr>
          <w:rFonts w:ascii="Arial" w:hAnsi="Arial" w:cs="Arial"/>
          <w:bCs/>
          <w:sz w:val="22"/>
          <w:szCs w:val="22"/>
        </w:rPr>
      </w:pPr>
    </w:p>
    <w:p w:rsidR="00E01D49" w:rsidRPr="00634ABD" w:rsidRDefault="005F29A3" w:rsidP="00E01D49">
      <w:pPr>
        <w:autoSpaceDE w:val="0"/>
        <w:autoSpaceDN w:val="0"/>
        <w:adjustRightInd w:val="0"/>
        <w:rPr>
          <w:rFonts w:ascii="Arial" w:hAnsi="Arial" w:cs="Arial"/>
          <w:bCs/>
          <w:sz w:val="22"/>
          <w:szCs w:val="22"/>
        </w:rPr>
      </w:pPr>
      <w:r>
        <w:rPr>
          <w:rFonts w:ascii="Arial" w:hAnsi="Arial"/>
          <w:sz w:val="22"/>
        </w:rPr>
        <w:t>Пер</w:t>
      </w:r>
      <w:r w:rsidR="00136CD5">
        <w:rPr>
          <w:rFonts w:ascii="Arial" w:hAnsi="Arial"/>
          <w:sz w:val="22"/>
        </w:rPr>
        <w:t>воначальное признание и оценка:</w:t>
      </w:r>
    </w:p>
    <w:p w:rsidR="00E01D49" w:rsidRPr="00E01D49" w:rsidRDefault="005F29A3" w:rsidP="00E01D49">
      <w:pPr>
        <w:autoSpaceDE w:val="0"/>
        <w:autoSpaceDN w:val="0"/>
        <w:adjustRightInd w:val="0"/>
        <w:jc w:val="both"/>
        <w:rPr>
          <w:rFonts w:ascii="Arial" w:hAnsi="Arial" w:cs="Arial"/>
          <w:sz w:val="22"/>
          <w:szCs w:val="22"/>
        </w:rPr>
      </w:pPr>
      <w:r>
        <w:t>На основании МСУГС 29 «</w:t>
      </w:r>
      <w:r>
        <w:rPr>
          <w:i/>
        </w:rPr>
        <w:t>Финансовые инструменты</w:t>
      </w:r>
      <w:r>
        <w:t>:</w:t>
      </w:r>
      <w:r w:rsidR="006B1BEC">
        <w:t xml:space="preserve"> </w:t>
      </w:r>
      <w:r>
        <w:rPr>
          <w:rFonts w:ascii="Arial" w:hAnsi="Arial"/>
          <w:i/>
          <w:sz w:val="22"/>
        </w:rPr>
        <w:t xml:space="preserve"> </w:t>
      </w:r>
      <w:r>
        <w:rPr>
          <w:i/>
        </w:rPr>
        <w:t>признание и оценка</w:t>
      </w:r>
      <w:r>
        <w:t xml:space="preserve">» финансовые активы подразделяются на финансовые активы, учитываемые по справедливой стоимости, изменения которой отражаются в составе профицита или дефицита, займы и дебиторскую задолженность, инвестиции, удерживаемые до погашения, и финансовые активы, </w:t>
      </w:r>
      <w:r>
        <w:lastRenderedPageBreak/>
        <w:t>имеющиеся в наличии для продажи, в зависимости от того, что применимо</w:t>
      </w:r>
      <w:r w:rsidR="0005341A">
        <w:t>.  О</w:t>
      </w:r>
      <w:r>
        <w:rPr>
          <w:rFonts w:ascii="Arial" w:hAnsi="Arial"/>
          <w:sz w:val="22"/>
        </w:rPr>
        <w:t>рганизация относит свои финансовые активы к тому или иному классу при первоначальном признании</w:t>
      </w:r>
      <w:r w:rsidR="006B1BEC">
        <w:rPr>
          <w:rFonts w:ascii="Arial" w:hAnsi="Arial"/>
          <w:sz w:val="22"/>
        </w:rPr>
        <w:t>.  В</w:t>
      </w:r>
      <w:r>
        <w:rPr>
          <w:rFonts w:ascii="Arial" w:hAnsi="Arial"/>
          <w:sz w:val="22"/>
        </w:rPr>
        <w:t xml:space="preserve"> состав финансовых активов Организации входят денежные средства и краткосрочные депозиты, ссуды и дебиторская задолженность.</w:t>
      </w:r>
    </w:p>
    <w:p w:rsidR="00E01D49" w:rsidRPr="00E01D49" w:rsidRDefault="00E01D49" w:rsidP="00E01D49">
      <w:pPr>
        <w:autoSpaceDE w:val="0"/>
        <w:autoSpaceDN w:val="0"/>
        <w:adjustRightInd w:val="0"/>
        <w:jc w:val="both"/>
        <w:rPr>
          <w:rFonts w:ascii="Arial" w:hAnsi="Arial" w:cs="Arial"/>
          <w:sz w:val="22"/>
          <w:szCs w:val="22"/>
        </w:rPr>
      </w:pPr>
    </w:p>
    <w:p w:rsidR="00E01D49" w:rsidRPr="00271D81" w:rsidRDefault="005F29A3" w:rsidP="00E01D49">
      <w:pPr>
        <w:autoSpaceDE w:val="0"/>
        <w:autoSpaceDN w:val="0"/>
        <w:adjustRightInd w:val="0"/>
        <w:jc w:val="both"/>
        <w:rPr>
          <w:rFonts w:ascii="Arial" w:hAnsi="Arial" w:cs="Arial"/>
          <w:i/>
          <w:iCs/>
          <w:sz w:val="22"/>
          <w:szCs w:val="22"/>
        </w:rPr>
      </w:pPr>
      <w:r>
        <w:rPr>
          <w:rFonts w:ascii="Arial" w:hAnsi="Arial"/>
          <w:sz w:val="22"/>
        </w:rPr>
        <w:t>Последующая оценка:</w:t>
      </w:r>
    </w:p>
    <w:p w:rsidR="00E01D49" w:rsidRPr="00E01D49" w:rsidRDefault="005F29A3" w:rsidP="00E01D49">
      <w:pPr>
        <w:autoSpaceDE w:val="0"/>
        <w:autoSpaceDN w:val="0"/>
        <w:adjustRightInd w:val="0"/>
        <w:jc w:val="both"/>
        <w:rPr>
          <w:rFonts w:ascii="Arial" w:hAnsi="Arial" w:cs="Arial"/>
          <w:sz w:val="22"/>
          <w:szCs w:val="22"/>
        </w:rPr>
      </w:pPr>
      <w:r>
        <w:rPr>
          <w:rFonts w:ascii="Arial" w:hAnsi="Arial"/>
          <w:sz w:val="22"/>
        </w:rPr>
        <w:t>Последующая оценка финансовых активов зависит от их классификации.</w:t>
      </w:r>
    </w:p>
    <w:p w:rsidR="00271D81" w:rsidRDefault="00271D81" w:rsidP="00E01D49">
      <w:pPr>
        <w:autoSpaceDE w:val="0"/>
        <w:autoSpaceDN w:val="0"/>
        <w:adjustRightInd w:val="0"/>
        <w:jc w:val="both"/>
        <w:rPr>
          <w:rFonts w:ascii="Arial" w:hAnsi="Arial" w:cs="Arial"/>
          <w:bCs/>
          <w:i/>
          <w:sz w:val="22"/>
          <w:szCs w:val="22"/>
        </w:rPr>
      </w:pPr>
    </w:p>
    <w:p w:rsidR="00E01D49" w:rsidRPr="00271D81" w:rsidRDefault="005F29A3" w:rsidP="00E01D49">
      <w:pPr>
        <w:autoSpaceDE w:val="0"/>
        <w:autoSpaceDN w:val="0"/>
        <w:adjustRightInd w:val="0"/>
        <w:jc w:val="both"/>
        <w:rPr>
          <w:rFonts w:ascii="Arial" w:hAnsi="Arial" w:cs="Arial"/>
          <w:bCs/>
          <w:i/>
          <w:sz w:val="22"/>
          <w:szCs w:val="22"/>
        </w:rPr>
      </w:pPr>
      <w:r>
        <w:rPr>
          <w:rFonts w:ascii="Arial" w:hAnsi="Arial"/>
          <w:i/>
          <w:sz w:val="22"/>
        </w:rPr>
        <w:t>Финансовые активы, учитываемые по справедливой стоимости, изменения которой отражаются в составе профицита или дефицита</w:t>
      </w:r>
    </w:p>
    <w:p w:rsidR="00E01D49" w:rsidRPr="00E01D49" w:rsidRDefault="005F29A3" w:rsidP="00E01D49">
      <w:pPr>
        <w:autoSpaceDE w:val="0"/>
        <w:autoSpaceDN w:val="0"/>
        <w:adjustRightInd w:val="0"/>
        <w:jc w:val="both"/>
        <w:rPr>
          <w:rFonts w:ascii="Arial" w:hAnsi="Arial" w:cs="Arial"/>
          <w:sz w:val="22"/>
          <w:szCs w:val="22"/>
        </w:rPr>
      </w:pPr>
      <w:r>
        <w:rPr>
          <w:rFonts w:ascii="Arial" w:hAnsi="Arial"/>
          <w:sz w:val="22"/>
        </w:rPr>
        <w:t>Финансовыми активами, учитываемыми по справедливой стоимости, изменения которой отражаются в составе профицита или дефицита, являются финансовые активы, предназначенные для продажи, и финансовые активы, отнесенные при первоначальном признании к категории «учитываемые по справедливой стоимости, изменения которой отражаются в составе профицита или дефицита»</w:t>
      </w:r>
      <w:r w:rsidR="0005341A">
        <w:rPr>
          <w:rFonts w:ascii="Arial" w:hAnsi="Arial"/>
          <w:sz w:val="22"/>
        </w:rPr>
        <w:t>.  Ф</w:t>
      </w:r>
      <w:r>
        <w:rPr>
          <w:rFonts w:ascii="Arial" w:hAnsi="Arial"/>
          <w:sz w:val="22"/>
        </w:rPr>
        <w:t>инансовые активы классифицируются как предназначенные для продажи, если они приобретены с целью перепродажи или выкупа в ближайшем будущем</w:t>
      </w:r>
      <w:r w:rsidR="0005341A">
        <w:rPr>
          <w:rFonts w:ascii="Arial" w:hAnsi="Arial"/>
          <w:sz w:val="22"/>
        </w:rPr>
        <w:t>.  Ф</w:t>
      </w:r>
      <w:r>
        <w:rPr>
          <w:rFonts w:ascii="Arial" w:hAnsi="Arial"/>
          <w:sz w:val="22"/>
        </w:rPr>
        <w:t>инансовые активы, учитываемые по справедливой стоимости, вносятся в отчет о финансовом положении по справедливой стоимости, а ее изменения признаются в составе профицита или дефицита.</w:t>
      </w:r>
    </w:p>
    <w:p w:rsidR="00E01D49" w:rsidRPr="00E01D49" w:rsidRDefault="00E01D49" w:rsidP="00E01D49">
      <w:pPr>
        <w:autoSpaceDE w:val="0"/>
        <w:autoSpaceDN w:val="0"/>
        <w:adjustRightInd w:val="0"/>
        <w:jc w:val="both"/>
        <w:rPr>
          <w:rFonts w:ascii="Arial" w:hAnsi="Arial" w:cs="Arial"/>
          <w:i/>
          <w:iCs/>
          <w:sz w:val="22"/>
          <w:szCs w:val="22"/>
        </w:rPr>
      </w:pPr>
    </w:p>
    <w:p w:rsidR="00E01D49" w:rsidRPr="00271D81" w:rsidRDefault="005F29A3" w:rsidP="00E01D49">
      <w:pPr>
        <w:autoSpaceDE w:val="0"/>
        <w:autoSpaceDN w:val="0"/>
        <w:adjustRightInd w:val="0"/>
        <w:jc w:val="both"/>
        <w:rPr>
          <w:rFonts w:ascii="Arial" w:hAnsi="Arial" w:cs="Arial"/>
          <w:bCs/>
          <w:i/>
          <w:sz w:val="22"/>
          <w:szCs w:val="22"/>
        </w:rPr>
      </w:pPr>
      <w:r>
        <w:rPr>
          <w:rFonts w:ascii="Arial" w:hAnsi="Arial"/>
          <w:i/>
          <w:sz w:val="22"/>
        </w:rPr>
        <w:t>Займы и дебиторская задолженность</w:t>
      </w:r>
    </w:p>
    <w:p w:rsidR="00A37730" w:rsidRPr="00136CD5" w:rsidRDefault="005F29A3" w:rsidP="00271D81">
      <w:pPr>
        <w:autoSpaceDE w:val="0"/>
        <w:autoSpaceDN w:val="0"/>
        <w:adjustRightInd w:val="0"/>
        <w:jc w:val="both"/>
        <w:rPr>
          <w:rFonts w:ascii="Arial" w:hAnsi="Arial" w:cs="Arial"/>
          <w:sz w:val="22"/>
          <w:szCs w:val="22"/>
        </w:rPr>
      </w:pPr>
      <w:r>
        <w:rPr>
          <w:rFonts w:ascii="Arial" w:hAnsi="Arial"/>
          <w:sz w:val="22"/>
        </w:rPr>
        <w:t>Займы и дебиторская задолженность представляют собой непроизводные финансовые активы с фиксированными или определяемыми платежами, некотируемые на активном рынке</w:t>
      </w:r>
      <w:r w:rsidR="0005341A">
        <w:rPr>
          <w:rFonts w:ascii="Arial" w:hAnsi="Arial"/>
          <w:sz w:val="22"/>
        </w:rPr>
        <w:t>.  П</w:t>
      </w:r>
      <w:r>
        <w:rPr>
          <w:rFonts w:ascii="Arial" w:hAnsi="Arial"/>
          <w:sz w:val="22"/>
        </w:rPr>
        <w:t>осле первоначальной оценки эти финансовые активы повторно оцениваются по амортизированной стоимости с использованием метода эффективной процентной ставки за вычетом убытков от обесценения</w:t>
      </w:r>
      <w:r w:rsidR="006B1BEC">
        <w:rPr>
          <w:rFonts w:ascii="Arial" w:hAnsi="Arial"/>
          <w:sz w:val="22"/>
        </w:rPr>
        <w:t>.  А</w:t>
      </w:r>
      <w:r>
        <w:rPr>
          <w:rFonts w:ascii="Arial" w:hAnsi="Arial"/>
          <w:sz w:val="22"/>
        </w:rPr>
        <w:t>мортизированная стоимость рассчитывается с учетом любой скидки или премии на приобретение либо сборов и издержек, являющихся неотъемлемой частью эффективной процентной ставки</w:t>
      </w:r>
      <w:r w:rsidR="0005341A">
        <w:rPr>
          <w:rFonts w:ascii="Arial" w:hAnsi="Arial"/>
          <w:sz w:val="22"/>
        </w:rPr>
        <w:t>.  П</w:t>
      </w:r>
      <w:r>
        <w:rPr>
          <w:rFonts w:ascii="Arial" w:hAnsi="Arial"/>
          <w:sz w:val="22"/>
        </w:rPr>
        <w:t xml:space="preserve">отери, связанные с амортизацией, признаются в </w:t>
      </w:r>
      <w:r w:rsidR="00136CD5">
        <w:rPr>
          <w:rFonts w:ascii="Arial" w:hAnsi="Arial"/>
          <w:sz w:val="22"/>
        </w:rPr>
        <w:t>составе профицита или дефицита.</w:t>
      </w:r>
    </w:p>
    <w:p w:rsidR="00271D81" w:rsidRPr="00F256F2" w:rsidRDefault="00271D81" w:rsidP="00F256F2">
      <w:pPr>
        <w:autoSpaceDE w:val="0"/>
        <w:autoSpaceDN w:val="0"/>
        <w:adjustRightInd w:val="0"/>
        <w:jc w:val="both"/>
        <w:rPr>
          <w:rFonts w:ascii="Arial" w:hAnsi="Arial" w:cs="Arial"/>
          <w:sz w:val="22"/>
          <w:szCs w:val="22"/>
        </w:rPr>
      </w:pPr>
    </w:p>
    <w:p w:rsidR="00F256F2" w:rsidRPr="002632FD" w:rsidRDefault="005F29A3" w:rsidP="00F256F2">
      <w:pPr>
        <w:autoSpaceDE w:val="0"/>
        <w:autoSpaceDN w:val="0"/>
        <w:adjustRightInd w:val="0"/>
        <w:jc w:val="both"/>
        <w:rPr>
          <w:rFonts w:ascii="Arial" w:hAnsi="Arial" w:cs="Arial"/>
          <w:bCs/>
          <w:sz w:val="22"/>
          <w:szCs w:val="22"/>
        </w:rPr>
      </w:pPr>
      <w:r>
        <w:rPr>
          <w:rFonts w:ascii="Arial" w:hAnsi="Arial"/>
          <w:sz w:val="22"/>
        </w:rPr>
        <w:t>Прекращение признания:</w:t>
      </w:r>
    </w:p>
    <w:p w:rsidR="002632FD" w:rsidRDefault="005F29A3" w:rsidP="00F256F2">
      <w:pPr>
        <w:autoSpaceDE w:val="0"/>
        <w:autoSpaceDN w:val="0"/>
        <w:adjustRightInd w:val="0"/>
        <w:jc w:val="both"/>
        <w:rPr>
          <w:rFonts w:ascii="Arial" w:hAnsi="Arial" w:cs="Arial"/>
          <w:sz w:val="22"/>
          <w:szCs w:val="22"/>
        </w:rPr>
      </w:pPr>
      <w:r>
        <w:rPr>
          <w:rFonts w:ascii="Arial" w:hAnsi="Arial"/>
          <w:sz w:val="22"/>
        </w:rPr>
        <w:t>Организация прекращает признавать финансовый актив, его часть или часть группы схожих финансовых активов, в зависимости от того, что применимо, в случае истечения срока действия прав на получение денежных потоков от данного актива или отказа от обозначенных прав.</w:t>
      </w:r>
    </w:p>
    <w:p w:rsidR="002632FD" w:rsidRDefault="002632FD" w:rsidP="00F256F2">
      <w:pPr>
        <w:autoSpaceDE w:val="0"/>
        <w:autoSpaceDN w:val="0"/>
        <w:adjustRightInd w:val="0"/>
        <w:jc w:val="both"/>
        <w:rPr>
          <w:rFonts w:ascii="Arial" w:hAnsi="Arial" w:cs="Arial"/>
          <w:sz w:val="22"/>
          <w:szCs w:val="22"/>
        </w:rPr>
      </w:pPr>
    </w:p>
    <w:p w:rsidR="00BC3ED4" w:rsidRDefault="00BC3ED4" w:rsidP="00F256F2">
      <w:pPr>
        <w:autoSpaceDE w:val="0"/>
        <w:autoSpaceDN w:val="0"/>
        <w:adjustRightInd w:val="0"/>
        <w:jc w:val="both"/>
        <w:rPr>
          <w:rFonts w:ascii="Arial" w:hAnsi="Arial" w:cs="Arial"/>
          <w:bCs/>
          <w:sz w:val="22"/>
          <w:szCs w:val="22"/>
        </w:rPr>
      </w:pPr>
    </w:p>
    <w:p w:rsidR="00F256F2" w:rsidRPr="002632FD" w:rsidRDefault="005F29A3" w:rsidP="00F256F2">
      <w:pPr>
        <w:autoSpaceDE w:val="0"/>
        <w:autoSpaceDN w:val="0"/>
        <w:adjustRightInd w:val="0"/>
        <w:jc w:val="both"/>
        <w:rPr>
          <w:rFonts w:ascii="Arial" w:hAnsi="Arial" w:cs="Arial"/>
          <w:sz w:val="22"/>
          <w:szCs w:val="22"/>
        </w:rPr>
      </w:pPr>
      <w:r>
        <w:rPr>
          <w:rFonts w:ascii="Arial" w:hAnsi="Arial"/>
          <w:sz w:val="22"/>
        </w:rPr>
        <w:t>Обременение финансовых активов:</w:t>
      </w:r>
    </w:p>
    <w:p w:rsidR="00F256F2" w:rsidRPr="00136CD5" w:rsidRDefault="005F29A3" w:rsidP="002632FD">
      <w:pPr>
        <w:autoSpaceDE w:val="0"/>
        <w:autoSpaceDN w:val="0"/>
        <w:adjustRightInd w:val="0"/>
        <w:jc w:val="both"/>
        <w:rPr>
          <w:rFonts w:ascii="Arial" w:hAnsi="Arial" w:cs="Arial"/>
          <w:i/>
          <w:iCs/>
          <w:sz w:val="22"/>
          <w:szCs w:val="22"/>
        </w:rPr>
      </w:pPr>
      <w:r>
        <w:rPr>
          <w:rFonts w:ascii="Arial" w:hAnsi="Arial"/>
          <w:sz w:val="22"/>
        </w:rPr>
        <w:t>Каждый раз при составлении отчетности Организация проводит анализ на предмет наличия объективных сведений об обременении финансового актива или группы финансовых активов</w:t>
      </w:r>
      <w:r w:rsidR="0005341A">
        <w:rPr>
          <w:rFonts w:ascii="Arial" w:hAnsi="Arial"/>
          <w:sz w:val="22"/>
        </w:rPr>
        <w:t>.  С</w:t>
      </w:r>
      <w:r>
        <w:rPr>
          <w:rFonts w:ascii="Arial" w:hAnsi="Arial"/>
          <w:sz w:val="22"/>
        </w:rPr>
        <w:t>читается, что финансовый актив или группа финансовых активов является обремененным, если (и только в этом случае) есть объективные сведения об обременении в результате одного или нескольких событий, имевших место после первоначального признания актива (событие вмененного ущерба), и это событие отражается на оценке будущих денежных потоков от данного финансового актива или группы финансовых активов, оценка которых может б</w:t>
      </w:r>
      <w:r w:rsidR="00136CD5">
        <w:rPr>
          <w:rFonts w:ascii="Arial" w:hAnsi="Arial"/>
          <w:sz w:val="22"/>
        </w:rPr>
        <w:t>ыть проведена надежным образом.</w:t>
      </w:r>
    </w:p>
    <w:p w:rsidR="002632FD" w:rsidRPr="009134FD" w:rsidRDefault="002632FD" w:rsidP="00F256F2">
      <w:pPr>
        <w:autoSpaceDE w:val="0"/>
        <w:autoSpaceDN w:val="0"/>
        <w:adjustRightInd w:val="0"/>
        <w:jc w:val="both"/>
        <w:rPr>
          <w:rFonts w:ascii="Arial" w:hAnsi="Arial" w:cs="Arial"/>
          <w:b/>
          <w:bCs/>
          <w:sz w:val="22"/>
          <w:szCs w:val="22"/>
        </w:rPr>
      </w:pPr>
    </w:p>
    <w:p w:rsidR="009134FD" w:rsidRPr="009134FD" w:rsidRDefault="005F29A3" w:rsidP="009134FD">
      <w:pPr>
        <w:autoSpaceDE w:val="0"/>
        <w:autoSpaceDN w:val="0"/>
        <w:adjustRightInd w:val="0"/>
        <w:rPr>
          <w:rFonts w:ascii="Arial" w:hAnsi="Arial" w:cs="Arial"/>
          <w:b/>
          <w:bCs/>
          <w:i/>
          <w:sz w:val="22"/>
          <w:szCs w:val="22"/>
        </w:rPr>
      </w:pPr>
      <w:r>
        <w:rPr>
          <w:rFonts w:ascii="Arial" w:hAnsi="Arial"/>
          <w:b/>
          <w:i/>
          <w:sz w:val="22"/>
        </w:rPr>
        <w:t>Финансовые обязательства</w:t>
      </w:r>
    </w:p>
    <w:p w:rsidR="009134FD" w:rsidRDefault="009134FD" w:rsidP="009134FD">
      <w:pPr>
        <w:autoSpaceDE w:val="0"/>
        <w:autoSpaceDN w:val="0"/>
        <w:adjustRightInd w:val="0"/>
        <w:rPr>
          <w:rFonts w:ascii="Arial" w:hAnsi="Arial" w:cs="Arial"/>
          <w:b/>
          <w:bCs/>
          <w:sz w:val="22"/>
          <w:szCs w:val="22"/>
        </w:rPr>
      </w:pPr>
    </w:p>
    <w:p w:rsidR="009134FD" w:rsidRPr="009134FD" w:rsidRDefault="005F29A3" w:rsidP="009134FD">
      <w:pPr>
        <w:autoSpaceDE w:val="0"/>
        <w:autoSpaceDN w:val="0"/>
        <w:adjustRightInd w:val="0"/>
        <w:rPr>
          <w:rFonts w:ascii="Arial" w:hAnsi="Arial" w:cs="Arial"/>
          <w:bCs/>
          <w:sz w:val="22"/>
          <w:szCs w:val="22"/>
        </w:rPr>
      </w:pPr>
      <w:r>
        <w:rPr>
          <w:rFonts w:ascii="Arial" w:hAnsi="Arial"/>
          <w:sz w:val="22"/>
        </w:rPr>
        <w:t>Первоначальное признание и оценка:</w:t>
      </w:r>
    </w:p>
    <w:p w:rsidR="009134FD" w:rsidRPr="009134FD" w:rsidRDefault="005F29A3" w:rsidP="009134FD">
      <w:pPr>
        <w:autoSpaceDE w:val="0"/>
        <w:autoSpaceDN w:val="0"/>
        <w:adjustRightInd w:val="0"/>
        <w:jc w:val="both"/>
        <w:rPr>
          <w:rFonts w:ascii="Arial" w:hAnsi="Arial" w:cs="Arial"/>
          <w:sz w:val="22"/>
          <w:szCs w:val="22"/>
        </w:rPr>
      </w:pPr>
      <w:r>
        <w:rPr>
          <w:rFonts w:ascii="Arial" w:hAnsi="Arial"/>
          <w:sz w:val="22"/>
        </w:rPr>
        <w:t>На основании МСУГС 29 финансовые обязательства подразделяются на финансовые обязательства, учитываемые по справедливой стоимости, изменения которой отражаются в составе профицита или дефицита, и ссуды или займы, в зависимости от того, что применимо</w:t>
      </w:r>
      <w:r w:rsidR="0005341A">
        <w:rPr>
          <w:rFonts w:ascii="Arial" w:hAnsi="Arial"/>
          <w:sz w:val="22"/>
        </w:rPr>
        <w:t>.  О</w:t>
      </w:r>
      <w:r>
        <w:rPr>
          <w:rFonts w:ascii="Arial" w:hAnsi="Arial"/>
          <w:sz w:val="22"/>
        </w:rPr>
        <w:t>рганизация относит свои финансовые обязательства к той или иной категории при первоначальном признании</w:t>
      </w:r>
      <w:r w:rsidR="006B1BEC">
        <w:rPr>
          <w:rFonts w:ascii="Arial" w:hAnsi="Arial"/>
          <w:sz w:val="22"/>
        </w:rPr>
        <w:t>.  В</w:t>
      </w:r>
      <w:r>
        <w:rPr>
          <w:rFonts w:ascii="Arial" w:hAnsi="Arial"/>
          <w:sz w:val="22"/>
        </w:rPr>
        <w:t xml:space="preserve">се финансовые обязательства </w:t>
      </w:r>
      <w:r>
        <w:rPr>
          <w:rFonts w:ascii="Arial" w:hAnsi="Arial"/>
          <w:sz w:val="22"/>
        </w:rPr>
        <w:lastRenderedPageBreak/>
        <w:t>первоначально признаются по справедливой стоимости, а ссуды и займы учитываются по справедливой стоимости плюс непосредственно связанные транзакционные издержки</w:t>
      </w:r>
      <w:r w:rsidR="0005341A">
        <w:rPr>
          <w:rFonts w:ascii="Arial" w:hAnsi="Arial"/>
          <w:sz w:val="22"/>
        </w:rPr>
        <w:t>.  Ф</w:t>
      </w:r>
      <w:r>
        <w:rPr>
          <w:rFonts w:ascii="Arial" w:hAnsi="Arial"/>
          <w:sz w:val="22"/>
        </w:rPr>
        <w:t>инансовые обязательства Организации включают в себя торговую и другую кредиторскую задолженность, а также ссуды и займы.</w:t>
      </w:r>
    </w:p>
    <w:p w:rsidR="006D25DB" w:rsidRDefault="006D25DB" w:rsidP="009134FD">
      <w:pPr>
        <w:autoSpaceDE w:val="0"/>
        <w:autoSpaceDN w:val="0"/>
        <w:adjustRightInd w:val="0"/>
        <w:jc w:val="both"/>
        <w:rPr>
          <w:rFonts w:ascii="Arial" w:hAnsi="Arial" w:cs="Arial"/>
          <w:b/>
          <w:bCs/>
          <w:sz w:val="22"/>
          <w:szCs w:val="22"/>
        </w:rPr>
      </w:pPr>
    </w:p>
    <w:p w:rsidR="009134FD" w:rsidRPr="006D25DB" w:rsidRDefault="005F29A3" w:rsidP="009134FD">
      <w:pPr>
        <w:autoSpaceDE w:val="0"/>
        <w:autoSpaceDN w:val="0"/>
        <w:adjustRightInd w:val="0"/>
        <w:jc w:val="both"/>
        <w:rPr>
          <w:rFonts w:ascii="Arial" w:hAnsi="Arial" w:cs="Arial"/>
          <w:bCs/>
          <w:sz w:val="22"/>
          <w:szCs w:val="22"/>
        </w:rPr>
      </w:pPr>
      <w:r>
        <w:rPr>
          <w:rFonts w:ascii="Arial" w:hAnsi="Arial"/>
          <w:sz w:val="22"/>
        </w:rPr>
        <w:t>Последующая оценка:</w:t>
      </w:r>
    </w:p>
    <w:p w:rsidR="009134FD" w:rsidRPr="009134FD" w:rsidRDefault="005F29A3" w:rsidP="009134FD">
      <w:pPr>
        <w:autoSpaceDE w:val="0"/>
        <w:autoSpaceDN w:val="0"/>
        <w:adjustRightInd w:val="0"/>
        <w:jc w:val="both"/>
        <w:rPr>
          <w:rFonts w:ascii="Arial" w:hAnsi="Arial" w:cs="Arial"/>
          <w:sz w:val="22"/>
          <w:szCs w:val="22"/>
        </w:rPr>
      </w:pPr>
      <w:r>
        <w:rPr>
          <w:rFonts w:ascii="Arial" w:hAnsi="Arial"/>
          <w:sz w:val="22"/>
        </w:rPr>
        <w:t>Последующая оценка финансовых активов зависит от их классификации.</w:t>
      </w:r>
    </w:p>
    <w:p w:rsidR="006D25DB" w:rsidRDefault="006D25DB" w:rsidP="009134FD">
      <w:pPr>
        <w:autoSpaceDE w:val="0"/>
        <w:autoSpaceDN w:val="0"/>
        <w:adjustRightInd w:val="0"/>
        <w:jc w:val="both"/>
        <w:rPr>
          <w:rFonts w:ascii="Arial" w:hAnsi="Arial" w:cs="Arial"/>
          <w:b/>
          <w:bCs/>
          <w:sz w:val="22"/>
          <w:szCs w:val="22"/>
        </w:rPr>
      </w:pPr>
    </w:p>
    <w:p w:rsidR="009134FD" w:rsidRPr="006D25DB" w:rsidRDefault="005F29A3" w:rsidP="009134FD">
      <w:pPr>
        <w:autoSpaceDE w:val="0"/>
        <w:autoSpaceDN w:val="0"/>
        <w:adjustRightInd w:val="0"/>
        <w:jc w:val="both"/>
        <w:rPr>
          <w:rFonts w:ascii="Arial" w:hAnsi="Arial" w:cs="Arial"/>
          <w:bCs/>
          <w:i/>
          <w:sz w:val="22"/>
          <w:szCs w:val="22"/>
        </w:rPr>
      </w:pPr>
      <w:r>
        <w:rPr>
          <w:rFonts w:ascii="Arial" w:hAnsi="Arial"/>
          <w:i/>
          <w:sz w:val="22"/>
        </w:rPr>
        <w:t>Финансовые обязательства, учитываемые по справедливой стоимости, изменения которой отражаются в составе профицита или дефицита</w:t>
      </w:r>
    </w:p>
    <w:p w:rsidR="003401A4" w:rsidRPr="006D25DB" w:rsidRDefault="005F29A3" w:rsidP="006D25DB">
      <w:pPr>
        <w:autoSpaceDE w:val="0"/>
        <w:autoSpaceDN w:val="0"/>
        <w:adjustRightInd w:val="0"/>
        <w:jc w:val="both"/>
        <w:rPr>
          <w:rFonts w:ascii="Arial" w:hAnsi="Arial" w:cs="Arial"/>
          <w:sz w:val="22"/>
          <w:szCs w:val="22"/>
        </w:rPr>
      </w:pPr>
      <w:r>
        <w:rPr>
          <w:rFonts w:ascii="Arial" w:hAnsi="Arial"/>
          <w:sz w:val="22"/>
        </w:rPr>
        <w:t>Финансовыми обязательствами, учитываемыми по справедливой стоимости, изменения которой отражаются в составе профицита или дефицита, являются финансовые обязательства, предназначенные для продажи, и финансовые обязательства, отнесенные при первоначальном признании к категории «учитываемые по справедливой стоимости, изменения которой отражаются в составе профицита или дефицита»</w:t>
      </w:r>
      <w:r w:rsidR="0005341A">
        <w:rPr>
          <w:rFonts w:ascii="Arial" w:hAnsi="Arial"/>
          <w:sz w:val="22"/>
        </w:rPr>
        <w:t>.  Ф</w:t>
      </w:r>
      <w:r>
        <w:rPr>
          <w:rFonts w:ascii="Arial" w:hAnsi="Arial"/>
          <w:sz w:val="22"/>
        </w:rPr>
        <w:t>инансовые обязательства классифицируются как предназначенные для продажи, если они приобретены с целью перепродажи в ближайшем будущем</w:t>
      </w:r>
      <w:r w:rsidR="0005341A">
        <w:rPr>
          <w:rFonts w:ascii="Arial" w:hAnsi="Arial"/>
          <w:sz w:val="22"/>
        </w:rPr>
        <w:t>.  П</w:t>
      </w:r>
      <w:r>
        <w:rPr>
          <w:rFonts w:ascii="Arial" w:hAnsi="Arial"/>
          <w:sz w:val="22"/>
        </w:rPr>
        <w:t>рибыли и убытки, связанные с предназначенными для продажи обязательствами, признаются в составе профицита или дефицита.</w:t>
      </w:r>
    </w:p>
    <w:p w:rsidR="009134FD" w:rsidRPr="009134FD" w:rsidRDefault="009134FD" w:rsidP="009134FD">
      <w:pPr>
        <w:pStyle w:val="Style3"/>
        <w:spacing w:after="0"/>
        <w:rPr>
          <w:rFonts w:cs="Arial"/>
          <w:szCs w:val="22"/>
        </w:rPr>
      </w:pPr>
    </w:p>
    <w:p w:rsidR="009134FD" w:rsidRPr="006D25DB" w:rsidRDefault="005F29A3" w:rsidP="009134FD">
      <w:pPr>
        <w:autoSpaceDE w:val="0"/>
        <w:autoSpaceDN w:val="0"/>
        <w:adjustRightInd w:val="0"/>
        <w:jc w:val="both"/>
        <w:rPr>
          <w:rFonts w:ascii="Arial" w:hAnsi="Arial" w:cs="Arial"/>
          <w:bCs/>
          <w:i/>
          <w:sz w:val="22"/>
          <w:szCs w:val="22"/>
        </w:rPr>
      </w:pPr>
      <w:r>
        <w:rPr>
          <w:rFonts w:ascii="Arial" w:hAnsi="Arial"/>
          <w:i/>
          <w:sz w:val="22"/>
        </w:rPr>
        <w:t>Займы и дебиторская задолженность</w:t>
      </w:r>
    </w:p>
    <w:p w:rsidR="009134FD" w:rsidRPr="009134FD" w:rsidRDefault="005F29A3" w:rsidP="009134FD">
      <w:pPr>
        <w:autoSpaceDE w:val="0"/>
        <w:autoSpaceDN w:val="0"/>
        <w:adjustRightInd w:val="0"/>
        <w:jc w:val="both"/>
        <w:rPr>
          <w:rFonts w:ascii="Arial" w:hAnsi="Arial" w:cs="Arial"/>
          <w:sz w:val="22"/>
          <w:szCs w:val="22"/>
        </w:rPr>
      </w:pPr>
      <w:r>
        <w:rPr>
          <w:rFonts w:ascii="Arial" w:hAnsi="Arial"/>
          <w:sz w:val="22"/>
        </w:rPr>
        <w:t>После первоначального признания займы и дебиторская задолженность повторно оцениваются по амортизированной стоимости с использованием метода эффективной процентной ставки</w:t>
      </w:r>
      <w:r w:rsidR="0005341A">
        <w:rPr>
          <w:rFonts w:ascii="Arial" w:hAnsi="Arial"/>
          <w:sz w:val="22"/>
        </w:rPr>
        <w:t>.  П</w:t>
      </w:r>
      <w:r>
        <w:rPr>
          <w:rFonts w:ascii="Arial" w:hAnsi="Arial"/>
          <w:sz w:val="22"/>
        </w:rPr>
        <w:t>рибыли и убытки признаются в составе профицита или дефицита по мере прекращения признания обязательств, а также в процессе амортизации по методу эффективной процентной ставки</w:t>
      </w:r>
      <w:r w:rsidR="006B1BEC">
        <w:rPr>
          <w:rFonts w:ascii="Arial" w:hAnsi="Arial"/>
          <w:sz w:val="22"/>
        </w:rPr>
        <w:t>.  А</w:t>
      </w:r>
      <w:r>
        <w:rPr>
          <w:rFonts w:ascii="Arial" w:hAnsi="Arial"/>
          <w:sz w:val="22"/>
        </w:rPr>
        <w:t>мортизированная стоимость рассчитывается с учетом любой скидки или премии на приобретение либо сборов и издержек, являющихся неотъемлемой частью эффективной процентной ставки.</w:t>
      </w:r>
    </w:p>
    <w:p w:rsidR="006D25DB" w:rsidRDefault="006D25DB" w:rsidP="009134FD">
      <w:pPr>
        <w:autoSpaceDE w:val="0"/>
        <w:autoSpaceDN w:val="0"/>
        <w:adjustRightInd w:val="0"/>
        <w:jc w:val="both"/>
        <w:rPr>
          <w:rFonts w:ascii="Arial" w:hAnsi="Arial" w:cs="Arial"/>
          <w:b/>
          <w:bCs/>
          <w:sz w:val="22"/>
          <w:szCs w:val="22"/>
        </w:rPr>
      </w:pPr>
    </w:p>
    <w:p w:rsidR="009134FD" w:rsidRPr="006D25DB" w:rsidRDefault="005F29A3" w:rsidP="009134FD">
      <w:pPr>
        <w:autoSpaceDE w:val="0"/>
        <w:autoSpaceDN w:val="0"/>
        <w:adjustRightInd w:val="0"/>
        <w:jc w:val="both"/>
        <w:rPr>
          <w:rFonts w:ascii="Arial" w:hAnsi="Arial" w:cs="Arial"/>
          <w:bCs/>
          <w:sz w:val="22"/>
          <w:szCs w:val="22"/>
        </w:rPr>
      </w:pPr>
      <w:r>
        <w:rPr>
          <w:rFonts w:ascii="Arial" w:hAnsi="Arial"/>
          <w:sz w:val="22"/>
        </w:rPr>
        <w:t>Прекращение признания:</w:t>
      </w:r>
    </w:p>
    <w:p w:rsidR="009134FD" w:rsidRPr="00C950F5" w:rsidRDefault="005F29A3" w:rsidP="006D25DB">
      <w:pPr>
        <w:autoSpaceDE w:val="0"/>
        <w:autoSpaceDN w:val="0"/>
        <w:adjustRightInd w:val="0"/>
        <w:jc w:val="both"/>
        <w:rPr>
          <w:rFonts w:ascii="Arial" w:hAnsi="Arial" w:cs="Arial"/>
          <w:i/>
          <w:iCs/>
          <w:sz w:val="22"/>
          <w:szCs w:val="22"/>
        </w:rPr>
      </w:pPr>
      <w:r>
        <w:rPr>
          <w:rFonts w:ascii="Arial" w:hAnsi="Arial"/>
          <w:sz w:val="22"/>
        </w:rPr>
        <w:t>Прекращение признания финансового обязательства производится в том случае, если связанное с этим долговым инструментом обязательство погашено, аннулировано или утратило силу</w:t>
      </w:r>
      <w:r w:rsidR="0005341A">
        <w:rPr>
          <w:rFonts w:ascii="Arial" w:hAnsi="Arial"/>
          <w:sz w:val="22"/>
        </w:rPr>
        <w:t>.  Е</w:t>
      </w:r>
      <w:r w:rsidRPr="00C950F5">
        <w:rPr>
          <w:rFonts w:ascii="Arial" w:hAnsi="Arial" w:cs="Arial"/>
          <w:sz w:val="22"/>
          <w:szCs w:val="22"/>
        </w:rPr>
        <w:t>сли действующее финансовое обязательство заменено другим обязательством перед тем же кредитором со значительным изменением условий или если условия конкретно взятого долгового инструмента претерпели значительные изменения, то имеет место прекращение признания первоначального обязательства и производится признание нового обязательства, при этом разница в соответствующей балансовой стоимости учитывается в составе профицита или дефицита.</w:t>
      </w:r>
    </w:p>
    <w:p w:rsidR="004463ED" w:rsidRPr="009134FD" w:rsidRDefault="004463ED" w:rsidP="009134FD">
      <w:pPr>
        <w:pStyle w:val="Style3Bold"/>
        <w:spacing w:after="0"/>
        <w:rPr>
          <w:rFonts w:cs="Arial"/>
          <w:szCs w:val="22"/>
        </w:rPr>
      </w:pPr>
    </w:p>
    <w:p w:rsidR="00E8347F" w:rsidRPr="00E1413C" w:rsidRDefault="005F29A3" w:rsidP="007C6D77">
      <w:pPr>
        <w:pStyle w:val="Style3Bold"/>
        <w:spacing w:after="0"/>
        <w:rPr>
          <w:rFonts w:cs="Arial"/>
          <w:szCs w:val="22"/>
        </w:rPr>
      </w:pPr>
      <w:r>
        <w:t>Операции в иностранной валюте</w:t>
      </w:r>
    </w:p>
    <w:p w:rsidR="00E8347F" w:rsidRPr="00E1413C" w:rsidRDefault="00E8347F" w:rsidP="007C6D77">
      <w:pPr>
        <w:pStyle w:val="Style3"/>
        <w:spacing w:after="0"/>
        <w:rPr>
          <w:rFonts w:cs="Arial"/>
          <w:szCs w:val="22"/>
        </w:rPr>
      </w:pPr>
    </w:p>
    <w:p w:rsidR="00E8347F" w:rsidRPr="00E1413C" w:rsidRDefault="005F29A3" w:rsidP="007C6D77">
      <w:pPr>
        <w:pStyle w:val="Style3"/>
        <w:spacing w:after="0"/>
        <w:rPr>
          <w:rFonts w:cs="Arial"/>
          <w:szCs w:val="22"/>
        </w:rPr>
      </w:pPr>
      <w:r>
        <w:t>Функциональной валютой ВОИС является швейцарский франк (шв. франк), и настоящая финансовая отчетность представлена в этой валюте</w:t>
      </w:r>
      <w:r w:rsidR="006B1BEC">
        <w:t>.  В</w:t>
      </w:r>
      <w:r>
        <w:t>се операции, осуществляемые в других валютах, конвертируются в швейцарский франк с использованием системы установления оперативного обменного курса Организации Объединенных Наций (ООКООН) на дату проведения операции</w:t>
      </w:r>
      <w:r w:rsidR="0005341A">
        <w:t>.  Р</w:t>
      </w:r>
      <w:r>
        <w:t>еализованные и нереализованные прибыли и убытки, возникающие при таких операциях, а также при пересчете на дату отчетности активов и пассивов, деноминированных в иных валютах, чем функциональная валюта ВОИС, признаются в отчете о финансовых результатах.</w:t>
      </w:r>
    </w:p>
    <w:p w:rsidR="00584861" w:rsidRDefault="00584861" w:rsidP="007C6D77">
      <w:pPr>
        <w:pStyle w:val="Style3"/>
        <w:spacing w:after="0"/>
        <w:rPr>
          <w:rFonts w:cs="Arial"/>
          <w:szCs w:val="22"/>
        </w:rPr>
      </w:pPr>
    </w:p>
    <w:p w:rsidR="00BC3ED4" w:rsidRDefault="00BC3ED4" w:rsidP="007C6D77">
      <w:pPr>
        <w:pStyle w:val="Style3Bold"/>
        <w:spacing w:after="0"/>
        <w:rPr>
          <w:rFonts w:cs="Arial"/>
          <w:szCs w:val="22"/>
        </w:rPr>
      </w:pPr>
    </w:p>
    <w:p w:rsidR="00323B8C" w:rsidRDefault="00323B8C">
      <w:pPr>
        <w:rPr>
          <w:rFonts w:ascii="Arial" w:hAnsi="Arial"/>
          <w:b/>
          <w:bCs/>
          <w:sz w:val="22"/>
          <w:szCs w:val="20"/>
        </w:rPr>
      </w:pPr>
      <w:r>
        <w:br w:type="page"/>
      </w:r>
    </w:p>
    <w:p w:rsidR="0028170E" w:rsidRPr="00E1413C" w:rsidRDefault="005F29A3" w:rsidP="007C6D77">
      <w:pPr>
        <w:pStyle w:val="Style3Bold"/>
        <w:spacing w:after="0"/>
        <w:rPr>
          <w:rFonts w:cs="Arial"/>
          <w:szCs w:val="22"/>
        </w:rPr>
      </w:pPr>
      <w:r>
        <w:lastRenderedPageBreak/>
        <w:t>Основные фонды</w:t>
      </w:r>
    </w:p>
    <w:p w:rsidR="007C6D77" w:rsidRPr="00E260D4" w:rsidRDefault="007C6D77" w:rsidP="007C6D77">
      <w:pPr>
        <w:pStyle w:val="Style3Bold"/>
        <w:spacing w:after="0"/>
        <w:rPr>
          <w:rFonts w:cs="Arial"/>
          <w:b w:val="0"/>
          <w:szCs w:val="22"/>
        </w:rPr>
      </w:pPr>
    </w:p>
    <w:p w:rsidR="001234DA" w:rsidRPr="00E1413C" w:rsidRDefault="005F29A3" w:rsidP="007C6D77">
      <w:pPr>
        <w:pStyle w:val="Style3"/>
        <w:spacing w:after="0"/>
        <w:rPr>
          <w:rFonts w:cs="Arial"/>
          <w:szCs w:val="22"/>
        </w:rPr>
      </w:pPr>
      <w:r>
        <w:t>Оборудование оценивается по его стоимости за вычетом накопленной амортизации и износа</w:t>
      </w:r>
      <w:r w:rsidR="0005341A">
        <w:t>.  О</w:t>
      </w:r>
      <w:r>
        <w:t>борудование признается в качестве актива, если стоимость его единицы составляет 5 тыс. шв. франков или более</w:t>
      </w:r>
      <w:r w:rsidR="0005341A">
        <w:t>.  З</w:t>
      </w:r>
      <w:r>
        <w:t>емля и недвижимость учитываются по текущей рыночной стоимости, которая определяется путем независимой оценки в соответствии с Международными стандартами оценки</w:t>
      </w:r>
      <w:r w:rsidR="0005341A">
        <w:t>.  Э</w:t>
      </w:r>
      <w:r>
        <w:t>ксплуатируемые здания оцениваются по стоимости строительства, когда они являлись новыми, плюс расходы, связанные с последующей реконструкцией, как это определено независимым экспертом, за вычетом накопленной амортизации</w:t>
      </w:r>
      <w:r w:rsidR="0005341A">
        <w:t>.  Ч</w:t>
      </w:r>
      <w:r>
        <w:t>то касается первоначального признания зданий, занятых 1 января 2010 г., т.е. на дату перехода на МСУГС, стоимость нового объекта определяется исходя из условных расходов, исчисленных внешним консультантом и представляющих собой стоимость каждого компонента строительства плюс реконструкция, произведенная на дату первоначального признания, за вычетом накопленной амортизации из расчета оставшегося срока службы каждого компонента</w:t>
      </w:r>
      <w:r w:rsidR="0005341A">
        <w:t>.  П</w:t>
      </w:r>
      <w:r>
        <w:t>оследующие расходы в связи со значительной реконструкцией и модернизацией основных фондов, которые увеличивают объем экономических выгод или продлевают срок службы, оцениваются по фактической себестоимости</w:t>
      </w:r>
      <w:r w:rsidR="0005341A">
        <w:t>.  П</w:t>
      </w:r>
      <w:r>
        <w:t>рибыли и убытки от отчуждения определяются путем сравнения поступлений с балансовой стоимостью актива и включаются в отчет о результатах финансовой деятельности</w:t>
      </w:r>
      <w:r w:rsidR="0005341A">
        <w:t>.  У</w:t>
      </w:r>
      <w:r>
        <w:t>наследованные активы, включая полученные в дар произведения искусства, в финансовых ведомостях не оцениваются.</w:t>
      </w:r>
    </w:p>
    <w:p w:rsidR="00572323" w:rsidRPr="00E1413C" w:rsidRDefault="00572323" w:rsidP="007C6D77">
      <w:pPr>
        <w:pStyle w:val="Style3"/>
        <w:spacing w:after="0"/>
        <w:rPr>
          <w:rFonts w:cs="Arial"/>
          <w:szCs w:val="22"/>
        </w:rPr>
      </w:pPr>
    </w:p>
    <w:p w:rsidR="00E5032E" w:rsidRPr="00E1413C" w:rsidRDefault="005F29A3" w:rsidP="00D602C9">
      <w:pPr>
        <w:pStyle w:val="Style3"/>
        <w:spacing w:after="0"/>
        <w:rPr>
          <w:rFonts w:cs="Arial"/>
          <w:szCs w:val="22"/>
        </w:rPr>
      </w:pPr>
      <w:r>
        <w:t>Амортизационные отчисления производятся таким образом, чтобы списать полную стоимость основных фондов, за исключением земли и строящихся объектов, на протяжении прогнозируемого срока их службы с использованием метода прямого списания</w:t>
      </w:r>
      <w:r w:rsidR="006B1BEC">
        <w:t>.  В</w:t>
      </w:r>
      <w:r>
        <w:t xml:space="preserve"> случаях, когда основные фонды используются на протяжении лишь части года (в связи с приобретением, реализацией или списанием в рамках одного года), амортизация начисляется только за месяцы, в течение которых данные фонды использовались</w:t>
      </w:r>
      <w:r w:rsidR="0005341A">
        <w:t>.  Д</w:t>
      </w:r>
      <w:r>
        <w:t>ля разных категорий основных фондов применяются следующие сроки службы:</w:t>
      </w:r>
    </w:p>
    <w:p w:rsidR="007C6D77" w:rsidRPr="00E1413C" w:rsidRDefault="007C6D77" w:rsidP="007C6D77">
      <w:pPr>
        <w:pStyle w:val="Style3"/>
        <w:spacing w:after="0"/>
        <w:rPr>
          <w:rFonts w:cs="Arial"/>
          <w:szCs w:val="22"/>
        </w:rPr>
      </w:pPr>
    </w:p>
    <w:tbl>
      <w:tblPr>
        <w:tblW w:w="7710" w:type="dxa"/>
        <w:jc w:val="center"/>
        <w:tblLook w:val="0000" w:firstRow="0" w:lastRow="0" w:firstColumn="0" w:lastColumn="0" w:noHBand="0" w:noVBand="0"/>
      </w:tblPr>
      <w:tblGrid>
        <w:gridCol w:w="3109"/>
        <w:gridCol w:w="2520"/>
        <w:gridCol w:w="2081"/>
      </w:tblGrid>
      <w:tr w:rsidR="00B47991" w:rsidRPr="006B05EE" w:rsidTr="002A0C27">
        <w:trPr>
          <w:trHeight w:val="345"/>
          <w:jc w:val="center"/>
        </w:trPr>
        <w:tc>
          <w:tcPr>
            <w:tcW w:w="3109" w:type="dxa"/>
            <w:tcBorders>
              <w:top w:val="single" w:sz="4" w:space="0" w:color="auto"/>
              <w:left w:val="nil"/>
              <w:bottom w:val="single" w:sz="4" w:space="0" w:color="auto"/>
              <w:right w:val="nil"/>
            </w:tcBorders>
            <w:shd w:val="clear" w:color="auto" w:fill="F2F2F2"/>
            <w:noWrap/>
            <w:vAlign w:val="center"/>
          </w:tcPr>
          <w:p w:rsidR="00B47991" w:rsidRPr="00E260D4" w:rsidRDefault="005F29A3" w:rsidP="00E260D4">
            <w:pPr>
              <w:jc w:val="center"/>
              <w:rPr>
                <w:rFonts w:ascii="Arial" w:hAnsi="Arial" w:cs="Arial"/>
                <w:b/>
                <w:sz w:val="18"/>
                <w:szCs w:val="18"/>
              </w:rPr>
            </w:pPr>
            <w:r>
              <w:rPr>
                <w:rFonts w:ascii="Arial" w:hAnsi="Arial"/>
                <w:b/>
                <w:sz w:val="18"/>
              </w:rPr>
              <w:t>Класс</w:t>
            </w:r>
          </w:p>
        </w:tc>
        <w:tc>
          <w:tcPr>
            <w:tcW w:w="2520" w:type="dxa"/>
            <w:tcBorders>
              <w:top w:val="single" w:sz="4" w:space="0" w:color="auto"/>
              <w:left w:val="nil"/>
              <w:bottom w:val="single" w:sz="4" w:space="0" w:color="auto"/>
              <w:right w:val="nil"/>
            </w:tcBorders>
            <w:shd w:val="clear" w:color="auto" w:fill="F2F2F2"/>
            <w:vAlign w:val="center"/>
          </w:tcPr>
          <w:p w:rsidR="00B47991" w:rsidRPr="00E260D4" w:rsidRDefault="005F29A3" w:rsidP="00E260D4">
            <w:pPr>
              <w:jc w:val="center"/>
              <w:rPr>
                <w:rFonts w:ascii="Arial" w:hAnsi="Arial" w:cs="Arial"/>
                <w:b/>
                <w:sz w:val="18"/>
                <w:szCs w:val="18"/>
              </w:rPr>
            </w:pPr>
            <w:r>
              <w:rPr>
                <w:rFonts w:ascii="Arial" w:hAnsi="Arial"/>
                <w:b/>
                <w:sz w:val="18"/>
              </w:rPr>
              <w:t>Компонент</w:t>
            </w:r>
          </w:p>
        </w:tc>
        <w:tc>
          <w:tcPr>
            <w:tcW w:w="2081" w:type="dxa"/>
            <w:tcBorders>
              <w:top w:val="single" w:sz="4" w:space="0" w:color="auto"/>
              <w:left w:val="nil"/>
              <w:bottom w:val="single" w:sz="4" w:space="0" w:color="auto"/>
              <w:right w:val="nil"/>
            </w:tcBorders>
            <w:shd w:val="clear" w:color="auto" w:fill="F2F2F2"/>
            <w:vAlign w:val="center"/>
          </w:tcPr>
          <w:p w:rsidR="00B47991" w:rsidRPr="0043404D" w:rsidRDefault="005F29A3" w:rsidP="00E260D4">
            <w:pPr>
              <w:jc w:val="center"/>
              <w:rPr>
                <w:rFonts w:ascii="Arial" w:hAnsi="Arial" w:cs="Arial"/>
                <w:b/>
                <w:sz w:val="18"/>
                <w:szCs w:val="18"/>
              </w:rPr>
            </w:pPr>
            <w:r>
              <w:rPr>
                <w:rFonts w:ascii="Arial" w:hAnsi="Arial"/>
                <w:b/>
                <w:sz w:val="18"/>
              </w:rPr>
              <w:t>Прогнозируемый срок службы</w:t>
            </w:r>
          </w:p>
        </w:tc>
      </w:tr>
      <w:tr w:rsidR="00B47991" w:rsidTr="00E1696F">
        <w:trPr>
          <w:trHeight w:val="285"/>
          <w:jc w:val="center"/>
        </w:trPr>
        <w:tc>
          <w:tcPr>
            <w:tcW w:w="3109" w:type="dxa"/>
            <w:tcBorders>
              <w:top w:val="nil"/>
              <w:left w:val="nil"/>
              <w:bottom w:val="nil"/>
              <w:right w:val="nil"/>
            </w:tcBorders>
            <w:noWrap/>
            <w:vAlign w:val="center"/>
          </w:tcPr>
          <w:p w:rsidR="00B47991" w:rsidRPr="00E260D4" w:rsidRDefault="005F29A3" w:rsidP="00F03904">
            <w:pPr>
              <w:rPr>
                <w:rFonts w:ascii="Arial" w:hAnsi="Arial" w:cs="Arial"/>
                <w:sz w:val="18"/>
                <w:szCs w:val="18"/>
              </w:rPr>
            </w:pPr>
            <w:r>
              <w:rPr>
                <w:rFonts w:ascii="Arial" w:hAnsi="Arial"/>
                <w:sz w:val="18"/>
              </w:rPr>
              <w:t>Коммуникации и оборудование ИТ</w:t>
            </w:r>
          </w:p>
        </w:tc>
        <w:tc>
          <w:tcPr>
            <w:tcW w:w="2520" w:type="dxa"/>
            <w:tcBorders>
              <w:top w:val="nil"/>
              <w:left w:val="nil"/>
              <w:bottom w:val="nil"/>
              <w:right w:val="nil"/>
            </w:tcBorders>
            <w:vAlign w:val="center"/>
          </w:tcPr>
          <w:p w:rsidR="00B47991" w:rsidRPr="00E260D4" w:rsidRDefault="00B47991" w:rsidP="00F03904">
            <w:pPr>
              <w:rPr>
                <w:rFonts w:ascii="Arial" w:hAnsi="Arial" w:cs="Arial"/>
                <w:sz w:val="18"/>
                <w:szCs w:val="18"/>
              </w:rPr>
            </w:pPr>
          </w:p>
        </w:tc>
        <w:tc>
          <w:tcPr>
            <w:tcW w:w="2081" w:type="dxa"/>
            <w:tcBorders>
              <w:top w:val="nil"/>
              <w:left w:val="nil"/>
              <w:bottom w:val="nil"/>
              <w:right w:val="nil"/>
            </w:tcBorders>
            <w:vAlign w:val="center"/>
          </w:tcPr>
          <w:p w:rsidR="00B47991" w:rsidRPr="001311AA" w:rsidRDefault="005F29A3" w:rsidP="00F03904">
            <w:pPr>
              <w:jc w:val="right"/>
              <w:rPr>
                <w:rFonts w:ascii="Arial" w:hAnsi="Arial" w:cs="Arial"/>
                <w:sz w:val="18"/>
                <w:szCs w:val="18"/>
              </w:rPr>
            </w:pPr>
            <w:r w:rsidRPr="001311AA">
              <w:rPr>
                <w:rFonts w:ascii="Arial" w:hAnsi="Arial"/>
                <w:sz w:val="18"/>
              </w:rPr>
              <w:t>5</w:t>
            </w:r>
            <w:r w:rsidR="001311AA" w:rsidRPr="001311AA">
              <w:rPr>
                <w:rFonts w:ascii="Arial" w:hAnsi="Arial"/>
                <w:sz w:val="18"/>
              </w:rPr>
              <w:t> </w:t>
            </w:r>
            <w:r w:rsidRPr="001311AA">
              <w:rPr>
                <w:rFonts w:ascii="Arial" w:hAnsi="Arial"/>
                <w:sz w:val="18"/>
              </w:rPr>
              <w:t>лет</w:t>
            </w:r>
          </w:p>
        </w:tc>
      </w:tr>
      <w:tr w:rsidR="00B47991" w:rsidTr="00E1696F">
        <w:trPr>
          <w:trHeight w:val="285"/>
          <w:jc w:val="center"/>
        </w:trPr>
        <w:tc>
          <w:tcPr>
            <w:tcW w:w="3109" w:type="dxa"/>
            <w:tcBorders>
              <w:top w:val="nil"/>
              <w:left w:val="nil"/>
              <w:bottom w:val="nil"/>
              <w:right w:val="nil"/>
            </w:tcBorders>
            <w:noWrap/>
            <w:vAlign w:val="center"/>
          </w:tcPr>
          <w:p w:rsidR="00B47991" w:rsidRPr="00E260D4" w:rsidRDefault="005F29A3" w:rsidP="00F03904">
            <w:pPr>
              <w:rPr>
                <w:rFonts w:ascii="Arial" w:hAnsi="Arial" w:cs="Arial"/>
                <w:sz w:val="18"/>
                <w:szCs w:val="18"/>
              </w:rPr>
            </w:pPr>
            <w:r>
              <w:rPr>
                <w:rFonts w:ascii="Arial" w:hAnsi="Arial"/>
                <w:sz w:val="18"/>
              </w:rPr>
              <w:t>Автотранспортные средства</w:t>
            </w:r>
          </w:p>
        </w:tc>
        <w:tc>
          <w:tcPr>
            <w:tcW w:w="2520" w:type="dxa"/>
            <w:tcBorders>
              <w:top w:val="nil"/>
              <w:left w:val="nil"/>
              <w:bottom w:val="nil"/>
              <w:right w:val="nil"/>
            </w:tcBorders>
            <w:vAlign w:val="center"/>
          </w:tcPr>
          <w:p w:rsidR="00B47991" w:rsidRPr="00E260D4" w:rsidRDefault="00B47991" w:rsidP="00F03904">
            <w:pPr>
              <w:rPr>
                <w:rFonts w:ascii="Arial" w:hAnsi="Arial" w:cs="Arial"/>
                <w:sz w:val="18"/>
                <w:szCs w:val="18"/>
              </w:rPr>
            </w:pPr>
          </w:p>
        </w:tc>
        <w:tc>
          <w:tcPr>
            <w:tcW w:w="2081" w:type="dxa"/>
            <w:tcBorders>
              <w:top w:val="nil"/>
              <w:left w:val="nil"/>
              <w:bottom w:val="nil"/>
              <w:right w:val="nil"/>
            </w:tcBorders>
            <w:vAlign w:val="center"/>
          </w:tcPr>
          <w:p w:rsidR="00B47991" w:rsidRPr="001311AA" w:rsidRDefault="005F29A3" w:rsidP="00F03904">
            <w:pPr>
              <w:jc w:val="right"/>
              <w:rPr>
                <w:rFonts w:ascii="Arial" w:hAnsi="Arial" w:cs="Arial"/>
                <w:sz w:val="18"/>
                <w:szCs w:val="18"/>
              </w:rPr>
            </w:pPr>
            <w:r w:rsidRPr="001311AA">
              <w:rPr>
                <w:rFonts w:ascii="Arial" w:hAnsi="Arial"/>
                <w:sz w:val="18"/>
              </w:rPr>
              <w:t>5</w:t>
            </w:r>
            <w:r w:rsidR="001311AA" w:rsidRPr="001311AA">
              <w:rPr>
                <w:rFonts w:ascii="Arial" w:hAnsi="Arial"/>
                <w:sz w:val="18"/>
              </w:rPr>
              <w:t> </w:t>
            </w:r>
            <w:r w:rsidRPr="001311AA">
              <w:rPr>
                <w:rFonts w:ascii="Arial" w:hAnsi="Arial"/>
                <w:sz w:val="18"/>
              </w:rPr>
              <w:t>лет</w:t>
            </w:r>
          </w:p>
        </w:tc>
      </w:tr>
      <w:tr w:rsidR="00B47991" w:rsidTr="00E1696F">
        <w:trPr>
          <w:trHeight w:val="285"/>
          <w:jc w:val="center"/>
        </w:trPr>
        <w:tc>
          <w:tcPr>
            <w:tcW w:w="3109" w:type="dxa"/>
            <w:tcBorders>
              <w:top w:val="nil"/>
              <w:left w:val="nil"/>
              <w:bottom w:val="nil"/>
              <w:right w:val="nil"/>
            </w:tcBorders>
            <w:noWrap/>
            <w:vAlign w:val="center"/>
          </w:tcPr>
          <w:p w:rsidR="00B47991" w:rsidRPr="00E260D4" w:rsidRDefault="005F29A3" w:rsidP="00F03904">
            <w:pPr>
              <w:rPr>
                <w:rFonts w:ascii="Arial" w:hAnsi="Arial" w:cs="Arial"/>
                <w:sz w:val="18"/>
                <w:szCs w:val="18"/>
              </w:rPr>
            </w:pPr>
            <w:r>
              <w:rPr>
                <w:rFonts w:ascii="Arial" w:hAnsi="Arial"/>
                <w:sz w:val="18"/>
              </w:rPr>
              <w:t>Мебель и арматура</w:t>
            </w:r>
          </w:p>
        </w:tc>
        <w:tc>
          <w:tcPr>
            <w:tcW w:w="2520" w:type="dxa"/>
            <w:tcBorders>
              <w:top w:val="nil"/>
              <w:left w:val="nil"/>
              <w:bottom w:val="nil"/>
              <w:right w:val="nil"/>
            </w:tcBorders>
            <w:vAlign w:val="center"/>
          </w:tcPr>
          <w:p w:rsidR="00B47991" w:rsidRPr="00E260D4" w:rsidRDefault="00B47991" w:rsidP="00F03904">
            <w:pPr>
              <w:rPr>
                <w:rFonts w:ascii="Arial" w:hAnsi="Arial" w:cs="Arial"/>
                <w:sz w:val="18"/>
                <w:szCs w:val="18"/>
              </w:rPr>
            </w:pPr>
          </w:p>
        </w:tc>
        <w:tc>
          <w:tcPr>
            <w:tcW w:w="2081" w:type="dxa"/>
            <w:tcBorders>
              <w:top w:val="nil"/>
              <w:left w:val="nil"/>
              <w:bottom w:val="nil"/>
              <w:right w:val="nil"/>
            </w:tcBorders>
            <w:vAlign w:val="center"/>
          </w:tcPr>
          <w:p w:rsidR="00B47991" w:rsidRPr="00E260D4" w:rsidRDefault="005F29A3" w:rsidP="00F03904">
            <w:pPr>
              <w:jc w:val="right"/>
              <w:rPr>
                <w:rFonts w:ascii="Arial" w:hAnsi="Arial" w:cs="Arial"/>
                <w:sz w:val="18"/>
                <w:szCs w:val="18"/>
              </w:rPr>
            </w:pPr>
            <w:r>
              <w:rPr>
                <w:rFonts w:ascii="Arial" w:hAnsi="Arial"/>
                <w:sz w:val="18"/>
              </w:rPr>
              <w:t>1</w:t>
            </w:r>
            <w:r w:rsidRPr="001311AA">
              <w:rPr>
                <w:rFonts w:ascii="Arial" w:hAnsi="Arial"/>
                <w:sz w:val="18"/>
              </w:rPr>
              <w:t>0</w:t>
            </w:r>
            <w:r w:rsidR="001311AA" w:rsidRPr="001311AA">
              <w:rPr>
                <w:rFonts w:ascii="Arial" w:hAnsi="Arial"/>
                <w:sz w:val="18"/>
              </w:rPr>
              <w:t> </w:t>
            </w:r>
            <w:r w:rsidRPr="001311AA">
              <w:rPr>
                <w:rFonts w:ascii="Arial" w:hAnsi="Arial"/>
                <w:sz w:val="18"/>
              </w:rPr>
              <w:t>лет</w:t>
            </w:r>
          </w:p>
        </w:tc>
      </w:tr>
      <w:tr w:rsidR="00B47991" w:rsidTr="00E1696F">
        <w:trPr>
          <w:trHeight w:val="285"/>
          <w:jc w:val="center"/>
        </w:trPr>
        <w:tc>
          <w:tcPr>
            <w:tcW w:w="3109" w:type="dxa"/>
            <w:tcBorders>
              <w:top w:val="nil"/>
              <w:left w:val="nil"/>
              <w:bottom w:val="nil"/>
              <w:right w:val="nil"/>
            </w:tcBorders>
            <w:noWrap/>
            <w:vAlign w:val="center"/>
          </w:tcPr>
          <w:p w:rsidR="00B47991" w:rsidRPr="00E260D4" w:rsidRDefault="005F29A3" w:rsidP="00F03904">
            <w:pPr>
              <w:rPr>
                <w:rFonts w:ascii="Arial" w:hAnsi="Arial" w:cs="Arial"/>
                <w:sz w:val="18"/>
                <w:szCs w:val="18"/>
              </w:rPr>
            </w:pPr>
            <w:r>
              <w:rPr>
                <w:rFonts w:ascii="Arial" w:hAnsi="Arial"/>
                <w:sz w:val="18"/>
              </w:rPr>
              <w:t>Здания:</w:t>
            </w:r>
          </w:p>
        </w:tc>
        <w:tc>
          <w:tcPr>
            <w:tcW w:w="2520" w:type="dxa"/>
            <w:tcBorders>
              <w:top w:val="nil"/>
              <w:left w:val="nil"/>
              <w:bottom w:val="nil"/>
              <w:right w:val="nil"/>
            </w:tcBorders>
            <w:vAlign w:val="center"/>
          </w:tcPr>
          <w:p w:rsidR="00B47991" w:rsidRPr="00E260D4" w:rsidRDefault="005F29A3" w:rsidP="00F03904">
            <w:pPr>
              <w:rPr>
                <w:rFonts w:ascii="Arial" w:hAnsi="Arial" w:cs="Arial"/>
                <w:sz w:val="18"/>
                <w:szCs w:val="18"/>
              </w:rPr>
            </w:pPr>
            <w:r>
              <w:rPr>
                <w:rFonts w:ascii="Arial" w:hAnsi="Arial"/>
                <w:sz w:val="18"/>
              </w:rPr>
              <w:t>Каркас</w:t>
            </w:r>
          </w:p>
        </w:tc>
        <w:tc>
          <w:tcPr>
            <w:tcW w:w="2081" w:type="dxa"/>
            <w:tcBorders>
              <w:top w:val="nil"/>
              <w:left w:val="nil"/>
              <w:bottom w:val="nil"/>
              <w:right w:val="nil"/>
            </w:tcBorders>
            <w:vAlign w:val="center"/>
          </w:tcPr>
          <w:p w:rsidR="00B47991" w:rsidRPr="00E260D4" w:rsidRDefault="005F29A3" w:rsidP="00F03904">
            <w:pPr>
              <w:jc w:val="right"/>
              <w:rPr>
                <w:rFonts w:ascii="Arial" w:hAnsi="Arial" w:cs="Arial"/>
                <w:sz w:val="18"/>
                <w:szCs w:val="18"/>
              </w:rPr>
            </w:pPr>
            <w:r>
              <w:rPr>
                <w:rFonts w:ascii="Arial" w:hAnsi="Arial"/>
                <w:sz w:val="18"/>
              </w:rPr>
              <w:t>80-10</w:t>
            </w:r>
            <w:r w:rsidRPr="001311AA">
              <w:rPr>
                <w:rFonts w:ascii="Arial" w:hAnsi="Arial"/>
                <w:sz w:val="18"/>
              </w:rPr>
              <w:t>0</w:t>
            </w:r>
            <w:r w:rsidR="001311AA" w:rsidRPr="001311AA">
              <w:rPr>
                <w:rFonts w:ascii="Arial" w:hAnsi="Arial"/>
                <w:sz w:val="18"/>
              </w:rPr>
              <w:t> </w:t>
            </w:r>
            <w:r w:rsidRPr="001311AA">
              <w:rPr>
                <w:rFonts w:ascii="Arial" w:hAnsi="Arial"/>
                <w:sz w:val="18"/>
              </w:rPr>
              <w:t>лет</w:t>
            </w:r>
          </w:p>
        </w:tc>
      </w:tr>
      <w:tr w:rsidR="00B47991" w:rsidTr="00E1696F">
        <w:trPr>
          <w:trHeight w:val="285"/>
          <w:jc w:val="center"/>
        </w:trPr>
        <w:tc>
          <w:tcPr>
            <w:tcW w:w="3109" w:type="dxa"/>
            <w:tcBorders>
              <w:top w:val="nil"/>
              <w:left w:val="nil"/>
              <w:bottom w:val="nil"/>
              <w:right w:val="nil"/>
            </w:tcBorders>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vAlign w:val="center"/>
          </w:tcPr>
          <w:p w:rsidR="00B47991" w:rsidRPr="00E260D4" w:rsidRDefault="005F29A3" w:rsidP="00F03904">
            <w:pPr>
              <w:rPr>
                <w:rFonts w:ascii="Arial" w:hAnsi="Arial" w:cs="Arial"/>
                <w:sz w:val="18"/>
                <w:szCs w:val="18"/>
              </w:rPr>
            </w:pPr>
            <w:r>
              <w:rPr>
                <w:rFonts w:ascii="Arial" w:hAnsi="Arial"/>
                <w:sz w:val="18"/>
              </w:rPr>
              <w:t>Фасад</w:t>
            </w:r>
          </w:p>
        </w:tc>
        <w:tc>
          <w:tcPr>
            <w:tcW w:w="2081" w:type="dxa"/>
            <w:tcBorders>
              <w:top w:val="nil"/>
              <w:left w:val="nil"/>
              <w:bottom w:val="nil"/>
              <w:right w:val="nil"/>
            </w:tcBorders>
            <w:vAlign w:val="center"/>
          </w:tcPr>
          <w:p w:rsidR="00B47991" w:rsidRPr="00E260D4" w:rsidRDefault="005F29A3" w:rsidP="00F03904">
            <w:pPr>
              <w:jc w:val="right"/>
              <w:rPr>
                <w:rFonts w:ascii="Arial" w:hAnsi="Arial" w:cs="Arial"/>
                <w:sz w:val="18"/>
                <w:szCs w:val="18"/>
              </w:rPr>
            </w:pPr>
            <w:r>
              <w:rPr>
                <w:rFonts w:ascii="Arial" w:hAnsi="Arial"/>
                <w:sz w:val="18"/>
              </w:rPr>
              <w:t>5</w:t>
            </w:r>
            <w:r w:rsidRPr="001311AA">
              <w:rPr>
                <w:rFonts w:ascii="Arial" w:hAnsi="Arial"/>
                <w:sz w:val="18"/>
              </w:rPr>
              <w:t>0</w:t>
            </w:r>
            <w:r w:rsidR="001311AA" w:rsidRPr="001311AA">
              <w:rPr>
                <w:rFonts w:ascii="Arial" w:hAnsi="Arial"/>
                <w:sz w:val="18"/>
              </w:rPr>
              <w:t> </w:t>
            </w:r>
            <w:r w:rsidRPr="001311AA">
              <w:rPr>
                <w:rFonts w:ascii="Arial" w:hAnsi="Arial"/>
                <w:sz w:val="18"/>
              </w:rPr>
              <w:t>лет</w:t>
            </w:r>
          </w:p>
        </w:tc>
      </w:tr>
      <w:tr w:rsidR="00B47991" w:rsidTr="00E1696F">
        <w:trPr>
          <w:trHeight w:val="285"/>
          <w:jc w:val="center"/>
        </w:trPr>
        <w:tc>
          <w:tcPr>
            <w:tcW w:w="3109" w:type="dxa"/>
            <w:tcBorders>
              <w:top w:val="nil"/>
              <w:left w:val="nil"/>
              <w:bottom w:val="nil"/>
              <w:right w:val="nil"/>
            </w:tcBorders>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vAlign w:val="center"/>
          </w:tcPr>
          <w:p w:rsidR="00B47991" w:rsidRPr="00E260D4" w:rsidRDefault="005F29A3" w:rsidP="00F03904">
            <w:pPr>
              <w:rPr>
                <w:rFonts w:ascii="Arial" w:hAnsi="Arial" w:cs="Arial"/>
                <w:sz w:val="18"/>
                <w:szCs w:val="18"/>
              </w:rPr>
            </w:pPr>
            <w:r>
              <w:rPr>
                <w:rFonts w:ascii="Arial" w:hAnsi="Arial"/>
                <w:sz w:val="18"/>
              </w:rPr>
              <w:t>Облагораживание земли</w:t>
            </w:r>
          </w:p>
        </w:tc>
        <w:tc>
          <w:tcPr>
            <w:tcW w:w="2081" w:type="dxa"/>
            <w:tcBorders>
              <w:top w:val="nil"/>
              <w:left w:val="nil"/>
              <w:bottom w:val="nil"/>
              <w:right w:val="nil"/>
            </w:tcBorders>
            <w:vAlign w:val="center"/>
          </w:tcPr>
          <w:p w:rsidR="00B47991" w:rsidRPr="00E260D4" w:rsidRDefault="005F29A3" w:rsidP="00F03904">
            <w:pPr>
              <w:jc w:val="right"/>
              <w:rPr>
                <w:rFonts w:ascii="Arial" w:hAnsi="Arial" w:cs="Arial"/>
                <w:sz w:val="18"/>
                <w:szCs w:val="18"/>
              </w:rPr>
            </w:pPr>
            <w:r>
              <w:rPr>
                <w:rFonts w:ascii="Arial" w:hAnsi="Arial"/>
                <w:sz w:val="18"/>
              </w:rPr>
              <w:t>40-5</w:t>
            </w:r>
            <w:r w:rsidRPr="001311AA">
              <w:rPr>
                <w:rFonts w:ascii="Arial" w:hAnsi="Arial"/>
                <w:sz w:val="18"/>
              </w:rPr>
              <w:t>0</w:t>
            </w:r>
            <w:r w:rsidR="001311AA" w:rsidRPr="001311AA">
              <w:rPr>
                <w:rFonts w:ascii="Arial" w:hAnsi="Arial"/>
                <w:sz w:val="18"/>
              </w:rPr>
              <w:t> </w:t>
            </w:r>
            <w:r w:rsidRPr="001311AA">
              <w:rPr>
                <w:rFonts w:ascii="Arial" w:hAnsi="Arial"/>
                <w:sz w:val="18"/>
              </w:rPr>
              <w:t>лет</w:t>
            </w:r>
          </w:p>
        </w:tc>
      </w:tr>
      <w:tr w:rsidR="00B47991" w:rsidTr="00E1696F">
        <w:trPr>
          <w:trHeight w:val="285"/>
          <w:jc w:val="center"/>
        </w:trPr>
        <w:tc>
          <w:tcPr>
            <w:tcW w:w="3109" w:type="dxa"/>
            <w:tcBorders>
              <w:top w:val="nil"/>
              <w:left w:val="nil"/>
              <w:bottom w:val="nil"/>
              <w:right w:val="nil"/>
            </w:tcBorders>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vAlign w:val="center"/>
          </w:tcPr>
          <w:p w:rsidR="00B47991" w:rsidRPr="00E260D4" w:rsidRDefault="005F29A3" w:rsidP="00F03904">
            <w:pPr>
              <w:rPr>
                <w:rFonts w:ascii="Arial" w:hAnsi="Arial" w:cs="Arial"/>
                <w:sz w:val="18"/>
                <w:szCs w:val="18"/>
              </w:rPr>
            </w:pPr>
            <w:r>
              <w:rPr>
                <w:rFonts w:ascii="Arial" w:hAnsi="Arial"/>
                <w:sz w:val="18"/>
              </w:rPr>
              <w:t>Крыша</w:t>
            </w:r>
          </w:p>
        </w:tc>
        <w:tc>
          <w:tcPr>
            <w:tcW w:w="2081" w:type="dxa"/>
            <w:tcBorders>
              <w:top w:val="nil"/>
              <w:left w:val="nil"/>
              <w:bottom w:val="nil"/>
              <w:right w:val="nil"/>
            </w:tcBorders>
            <w:vAlign w:val="center"/>
          </w:tcPr>
          <w:p w:rsidR="00B47991" w:rsidRPr="00E260D4" w:rsidRDefault="005F29A3" w:rsidP="00F03904">
            <w:pPr>
              <w:jc w:val="right"/>
              <w:rPr>
                <w:rFonts w:ascii="Arial" w:hAnsi="Arial" w:cs="Arial"/>
                <w:sz w:val="18"/>
                <w:szCs w:val="18"/>
              </w:rPr>
            </w:pPr>
            <w:r>
              <w:rPr>
                <w:rFonts w:ascii="Arial" w:hAnsi="Arial"/>
                <w:sz w:val="18"/>
              </w:rPr>
              <w:t>50-6</w:t>
            </w:r>
            <w:r w:rsidRPr="001311AA">
              <w:rPr>
                <w:rFonts w:ascii="Arial" w:hAnsi="Arial"/>
                <w:sz w:val="18"/>
              </w:rPr>
              <w:t>0</w:t>
            </w:r>
            <w:r w:rsidR="001311AA" w:rsidRPr="001311AA">
              <w:rPr>
                <w:rFonts w:ascii="Arial" w:hAnsi="Arial"/>
                <w:sz w:val="18"/>
              </w:rPr>
              <w:t> </w:t>
            </w:r>
            <w:r w:rsidRPr="001311AA">
              <w:rPr>
                <w:rFonts w:ascii="Arial" w:hAnsi="Arial"/>
                <w:sz w:val="18"/>
              </w:rPr>
              <w:t>лет</w:t>
            </w:r>
          </w:p>
        </w:tc>
      </w:tr>
      <w:tr w:rsidR="00B47991" w:rsidTr="00E1696F">
        <w:trPr>
          <w:trHeight w:val="285"/>
          <w:jc w:val="center"/>
        </w:trPr>
        <w:tc>
          <w:tcPr>
            <w:tcW w:w="3109" w:type="dxa"/>
            <w:tcBorders>
              <w:top w:val="nil"/>
              <w:left w:val="nil"/>
              <w:bottom w:val="nil"/>
              <w:right w:val="nil"/>
            </w:tcBorders>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vAlign w:val="center"/>
          </w:tcPr>
          <w:p w:rsidR="00B47991" w:rsidRPr="00E260D4" w:rsidRDefault="005F29A3" w:rsidP="00F03904">
            <w:pPr>
              <w:rPr>
                <w:rFonts w:ascii="Arial" w:hAnsi="Arial" w:cs="Arial"/>
                <w:sz w:val="18"/>
                <w:szCs w:val="18"/>
              </w:rPr>
            </w:pPr>
            <w:r>
              <w:rPr>
                <w:rFonts w:ascii="Arial" w:hAnsi="Arial"/>
                <w:sz w:val="18"/>
              </w:rPr>
              <w:t>Полы, стены, лестничные пролеты</w:t>
            </w:r>
          </w:p>
        </w:tc>
        <w:tc>
          <w:tcPr>
            <w:tcW w:w="2081" w:type="dxa"/>
            <w:tcBorders>
              <w:top w:val="nil"/>
              <w:left w:val="nil"/>
              <w:bottom w:val="nil"/>
              <w:right w:val="nil"/>
            </w:tcBorders>
            <w:vAlign w:val="center"/>
          </w:tcPr>
          <w:p w:rsidR="00B47991" w:rsidRPr="00E260D4" w:rsidRDefault="005F29A3" w:rsidP="00F03904">
            <w:pPr>
              <w:jc w:val="right"/>
              <w:rPr>
                <w:rFonts w:ascii="Arial" w:hAnsi="Arial" w:cs="Arial"/>
                <w:sz w:val="18"/>
                <w:szCs w:val="18"/>
              </w:rPr>
            </w:pPr>
            <w:r>
              <w:rPr>
                <w:rFonts w:ascii="Arial" w:hAnsi="Arial"/>
                <w:sz w:val="18"/>
              </w:rPr>
              <w:t>5</w:t>
            </w:r>
            <w:r w:rsidRPr="001311AA">
              <w:rPr>
                <w:rFonts w:ascii="Arial" w:hAnsi="Arial"/>
                <w:sz w:val="18"/>
              </w:rPr>
              <w:t>0</w:t>
            </w:r>
            <w:r w:rsidR="001311AA" w:rsidRPr="001311AA">
              <w:rPr>
                <w:rFonts w:ascii="Arial" w:hAnsi="Arial"/>
                <w:sz w:val="18"/>
              </w:rPr>
              <w:t> </w:t>
            </w:r>
            <w:r w:rsidRPr="001311AA">
              <w:rPr>
                <w:rFonts w:ascii="Arial" w:hAnsi="Arial"/>
                <w:sz w:val="18"/>
              </w:rPr>
              <w:t>лет</w:t>
            </w:r>
          </w:p>
        </w:tc>
      </w:tr>
      <w:tr w:rsidR="00B47991" w:rsidTr="00E1696F">
        <w:trPr>
          <w:trHeight w:val="285"/>
          <w:jc w:val="center"/>
        </w:trPr>
        <w:tc>
          <w:tcPr>
            <w:tcW w:w="3109" w:type="dxa"/>
            <w:tcBorders>
              <w:top w:val="nil"/>
              <w:left w:val="nil"/>
              <w:bottom w:val="nil"/>
              <w:right w:val="nil"/>
            </w:tcBorders>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vAlign w:val="center"/>
          </w:tcPr>
          <w:p w:rsidR="00B47991" w:rsidRPr="00E260D4" w:rsidRDefault="005F29A3" w:rsidP="00F03904">
            <w:pPr>
              <w:rPr>
                <w:rFonts w:ascii="Arial" w:hAnsi="Arial" w:cs="Arial"/>
                <w:sz w:val="18"/>
                <w:szCs w:val="18"/>
              </w:rPr>
            </w:pPr>
            <w:r>
              <w:rPr>
                <w:rFonts w:ascii="Arial" w:hAnsi="Arial"/>
                <w:sz w:val="18"/>
              </w:rPr>
              <w:t>Настил полов, стеновые покрытия</w:t>
            </w:r>
          </w:p>
        </w:tc>
        <w:tc>
          <w:tcPr>
            <w:tcW w:w="2081" w:type="dxa"/>
            <w:tcBorders>
              <w:top w:val="nil"/>
              <w:left w:val="nil"/>
              <w:bottom w:val="nil"/>
              <w:right w:val="nil"/>
            </w:tcBorders>
            <w:vAlign w:val="center"/>
          </w:tcPr>
          <w:p w:rsidR="00B47991" w:rsidRPr="00E260D4" w:rsidRDefault="005F29A3" w:rsidP="00F03904">
            <w:pPr>
              <w:jc w:val="right"/>
              <w:rPr>
                <w:rFonts w:ascii="Arial" w:hAnsi="Arial" w:cs="Arial"/>
                <w:sz w:val="18"/>
                <w:szCs w:val="18"/>
              </w:rPr>
            </w:pPr>
            <w:r>
              <w:rPr>
                <w:rFonts w:ascii="Arial" w:hAnsi="Arial"/>
                <w:sz w:val="18"/>
              </w:rPr>
              <w:t>30-4</w:t>
            </w:r>
            <w:r w:rsidRPr="001311AA">
              <w:rPr>
                <w:rFonts w:ascii="Arial" w:hAnsi="Arial"/>
                <w:sz w:val="18"/>
              </w:rPr>
              <w:t>0</w:t>
            </w:r>
            <w:r w:rsidR="001311AA" w:rsidRPr="001311AA">
              <w:rPr>
                <w:rFonts w:ascii="Arial" w:hAnsi="Arial"/>
                <w:sz w:val="18"/>
              </w:rPr>
              <w:t> </w:t>
            </w:r>
            <w:r w:rsidRPr="001311AA">
              <w:rPr>
                <w:rFonts w:ascii="Arial" w:hAnsi="Arial"/>
                <w:sz w:val="18"/>
              </w:rPr>
              <w:t>лет</w:t>
            </w:r>
          </w:p>
        </w:tc>
      </w:tr>
      <w:tr w:rsidR="00B47991" w:rsidTr="00E1696F">
        <w:trPr>
          <w:trHeight w:val="285"/>
          <w:jc w:val="center"/>
        </w:trPr>
        <w:tc>
          <w:tcPr>
            <w:tcW w:w="3109" w:type="dxa"/>
            <w:tcBorders>
              <w:top w:val="nil"/>
              <w:left w:val="nil"/>
              <w:bottom w:val="nil"/>
              <w:right w:val="nil"/>
            </w:tcBorders>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vAlign w:val="center"/>
          </w:tcPr>
          <w:p w:rsidR="00B47991" w:rsidRPr="00E260D4" w:rsidRDefault="005F29A3" w:rsidP="00F03904">
            <w:pPr>
              <w:rPr>
                <w:rFonts w:ascii="Arial" w:hAnsi="Arial" w:cs="Arial"/>
                <w:sz w:val="18"/>
                <w:szCs w:val="18"/>
              </w:rPr>
            </w:pPr>
            <w:r>
              <w:rPr>
                <w:rFonts w:ascii="Arial" w:hAnsi="Arial"/>
                <w:sz w:val="18"/>
              </w:rPr>
              <w:t>Кухонное оборудование</w:t>
            </w:r>
          </w:p>
        </w:tc>
        <w:tc>
          <w:tcPr>
            <w:tcW w:w="2081" w:type="dxa"/>
            <w:tcBorders>
              <w:top w:val="nil"/>
              <w:left w:val="nil"/>
              <w:bottom w:val="nil"/>
              <w:right w:val="nil"/>
            </w:tcBorders>
            <w:vAlign w:val="center"/>
          </w:tcPr>
          <w:p w:rsidR="00B47991" w:rsidRPr="00E260D4" w:rsidRDefault="005F29A3" w:rsidP="00F03904">
            <w:pPr>
              <w:jc w:val="right"/>
              <w:rPr>
                <w:rFonts w:ascii="Arial" w:hAnsi="Arial" w:cs="Arial"/>
                <w:sz w:val="18"/>
                <w:szCs w:val="18"/>
              </w:rPr>
            </w:pPr>
            <w:r>
              <w:rPr>
                <w:rFonts w:ascii="Arial" w:hAnsi="Arial"/>
                <w:sz w:val="18"/>
              </w:rPr>
              <w:t>20-4</w:t>
            </w:r>
            <w:r w:rsidRPr="001311AA">
              <w:rPr>
                <w:rFonts w:ascii="Arial" w:hAnsi="Arial"/>
                <w:sz w:val="18"/>
              </w:rPr>
              <w:t>0</w:t>
            </w:r>
            <w:r w:rsidR="001311AA" w:rsidRPr="001311AA">
              <w:rPr>
                <w:rFonts w:ascii="Arial" w:hAnsi="Arial"/>
                <w:sz w:val="18"/>
              </w:rPr>
              <w:t> </w:t>
            </w:r>
            <w:r w:rsidRPr="001311AA">
              <w:rPr>
                <w:rFonts w:ascii="Arial" w:hAnsi="Arial"/>
                <w:sz w:val="18"/>
              </w:rPr>
              <w:t>лет</w:t>
            </w:r>
          </w:p>
        </w:tc>
      </w:tr>
      <w:tr w:rsidR="00B47991" w:rsidTr="00E1696F">
        <w:trPr>
          <w:trHeight w:val="285"/>
          <w:jc w:val="center"/>
        </w:trPr>
        <w:tc>
          <w:tcPr>
            <w:tcW w:w="3109" w:type="dxa"/>
            <w:tcBorders>
              <w:top w:val="nil"/>
              <w:left w:val="nil"/>
              <w:bottom w:val="nil"/>
              <w:right w:val="nil"/>
            </w:tcBorders>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vAlign w:val="center"/>
          </w:tcPr>
          <w:p w:rsidR="00B47991" w:rsidRPr="00E260D4" w:rsidRDefault="005F29A3" w:rsidP="00F03904">
            <w:pPr>
              <w:rPr>
                <w:rFonts w:ascii="Arial" w:hAnsi="Arial" w:cs="Arial"/>
                <w:sz w:val="18"/>
                <w:szCs w:val="18"/>
              </w:rPr>
            </w:pPr>
            <w:r>
              <w:rPr>
                <w:rFonts w:ascii="Arial" w:hAnsi="Arial"/>
                <w:sz w:val="18"/>
              </w:rPr>
              <w:t>Конференционное оборудование</w:t>
            </w:r>
          </w:p>
        </w:tc>
        <w:tc>
          <w:tcPr>
            <w:tcW w:w="2081" w:type="dxa"/>
            <w:tcBorders>
              <w:top w:val="nil"/>
              <w:left w:val="nil"/>
              <w:bottom w:val="nil"/>
              <w:right w:val="nil"/>
            </w:tcBorders>
            <w:vAlign w:val="center"/>
          </w:tcPr>
          <w:p w:rsidR="00B47991" w:rsidRPr="00E260D4" w:rsidRDefault="005F29A3" w:rsidP="00F03904">
            <w:pPr>
              <w:jc w:val="right"/>
              <w:rPr>
                <w:rFonts w:ascii="Arial" w:hAnsi="Arial" w:cs="Arial"/>
                <w:sz w:val="18"/>
                <w:szCs w:val="18"/>
              </w:rPr>
            </w:pPr>
            <w:r>
              <w:rPr>
                <w:rFonts w:ascii="Arial" w:hAnsi="Arial"/>
                <w:sz w:val="18"/>
              </w:rPr>
              <w:t>5-4</w:t>
            </w:r>
            <w:r w:rsidRPr="001311AA">
              <w:rPr>
                <w:rFonts w:ascii="Arial" w:hAnsi="Arial"/>
                <w:sz w:val="18"/>
              </w:rPr>
              <w:t>0</w:t>
            </w:r>
            <w:r w:rsidR="001311AA" w:rsidRPr="001311AA">
              <w:rPr>
                <w:rFonts w:ascii="Arial" w:hAnsi="Arial"/>
                <w:sz w:val="18"/>
              </w:rPr>
              <w:t> </w:t>
            </w:r>
            <w:r w:rsidRPr="001311AA">
              <w:rPr>
                <w:rFonts w:ascii="Arial" w:hAnsi="Arial"/>
                <w:sz w:val="18"/>
              </w:rPr>
              <w:t>лет</w:t>
            </w:r>
          </w:p>
        </w:tc>
      </w:tr>
      <w:tr w:rsidR="00B47991" w:rsidTr="00E1696F">
        <w:trPr>
          <w:trHeight w:val="285"/>
          <w:jc w:val="center"/>
        </w:trPr>
        <w:tc>
          <w:tcPr>
            <w:tcW w:w="3109" w:type="dxa"/>
            <w:tcBorders>
              <w:top w:val="nil"/>
              <w:left w:val="nil"/>
              <w:bottom w:val="nil"/>
              <w:right w:val="nil"/>
            </w:tcBorders>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vAlign w:val="center"/>
          </w:tcPr>
          <w:p w:rsidR="00B47991" w:rsidRPr="00E260D4" w:rsidRDefault="005F29A3" w:rsidP="00F03904">
            <w:pPr>
              <w:rPr>
                <w:rFonts w:ascii="Arial" w:hAnsi="Arial" w:cs="Arial"/>
                <w:sz w:val="18"/>
                <w:szCs w:val="18"/>
              </w:rPr>
            </w:pPr>
            <w:r>
              <w:rPr>
                <w:rFonts w:ascii="Arial" w:hAnsi="Arial"/>
                <w:sz w:val="18"/>
              </w:rPr>
              <w:t>Отопление, вентиляция</w:t>
            </w:r>
          </w:p>
        </w:tc>
        <w:tc>
          <w:tcPr>
            <w:tcW w:w="2081" w:type="dxa"/>
            <w:tcBorders>
              <w:top w:val="nil"/>
              <w:left w:val="nil"/>
              <w:bottom w:val="nil"/>
              <w:right w:val="nil"/>
            </w:tcBorders>
            <w:vAlign w:val="center"/>
          </w:tcPr>
          <w:p w:rsidR="00B47991" w:rsidRPr="00E260D4" w:rsidRDefault="005F29A3" w:rsidP="00F03904">
            <w:pPr>
              <w:jc w:val="right"/>
              <w:rPr>
                <w:rFonts w:ascii="Arial" w:hAnsi="Arial" w:cs="Arial"/>
                <w:sz w:val="18"/>
                <w:szCs w:val="18"/>
              </w:rPr>
            </w:pPr>
            <w:r>
              <w:rPr>
                <w:rFonts w:ascii="Arial" w:hAnsi="Arial"/>
                <w:sz w:val="18"/>
              </w:rPr>
              <w:t>3</w:t>
            </w:r>
            <w:r w:rsidRPr="001311AA">
              <w:rPr>
                <w:rFonts w:ascii="Arial" w:hAnsi="Arial"/>
                <w:sz w:val="18"/>
              </w:rPr>
              <w:t>0</w:t>
            </w:r>
            <w:r w:rsidR="001311AA" w:rsidRPr="001311AA">
              <w:rPr>
                <w:rFonts w:ascii="Arial" w:hAnsi="Arial"/>
                <w:sz w:val="18"/>
              </w:rPr>
              <w:t> </w:t>
            </w:r>
            <w:r w:rsidRPr="001311AA">
              <w:rPr>
                <w:rFonts w:ascii="Arial" w:hAnsi="Arial"/>
                <w:sz w:val="18"/>
              </w:rPr>
              <w:t>лет</w:t>
            </w:r>
          </w:p>
        </w:tc>
      </w:tr>
      <w:tr w:rsidR="00B47991" w:rsidTr="00E1696F">
        <w:trPr>
          <w:trHeight w:val="285"/>
          <w:jc w:val="center"/>
        </w:trPr>
        <w:tc>
          <w:tcPr>
            <w:tcW w:w="3109" w:type="dxa"/>
            <w:tcBorders>
              <w:top w:val="nil"/>
              <w:left w:val="nil"/>
              <w:bottom w:val="nil"/>
              <w:right w:val="nil"/>
            </w:tcBorders>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vAlign w:val="center"/>
          </w:tcPr>
          <w:p w:rsidR="00B47991" w:rsidRPr="00E260D4" w:rsidRDefault="005F29A3" w:rsidP="00F03904">
            <w:pPr>
              <w:rPr>
                <w:rFonts w:ascii="Arial" w:hAnsi="Arial" w:cs="Arial"/>
                <w:sz w:val="18"/>
                <w:szCs w:val="18"/>
              </w:rPr>
            </w:pPr>
            <w:r>
              <w:rPr>
                <w:rFonts w:ascii="Arial" w:hAnsi="Arial"/>
                <w:sz w:val="18"/>
              </w:rPr>
              <w:t>Водопровод, канализация</w:t>
            </w:r>
          </w:p>
        </w:tc>
        <w:tc>
          <w:tcPr>
            <w:tcW w:w="2081" w:type="dxa"/>
            <w:tcBorders>
              <w:top w:val="nil"/>
              <w:left w:val="nil"/>
              <w:bottom w:val="nil"/>
              <w:right w:val="nil"/>
            </w:tcBorders>
            <w:vAlign w:val="center"/>
          </w:tcPr>
          <w:p w:rsidR="00B47991" w:rsidRPr="00E260D4" w:rsidRDefault="005F29A3" w:rsidP="00F03904">
            <w:pPr>
              <w:jc w:val="right"/>
              <w:rPr>
                <w:rFonts w:ascii="Arial" w:hAnsi="Arial" w:cs="Arial"/>
                <w:sz w:val="18"/>
                <w:szCs w:val="18"/>
              </w:rPr>
            </w:pPr>
            <w:r>
              <w:rPr>
                <w:rFonts w:ascii="Arial" w:hAnsi="Arial"/>
                <w:sz w:val="18"/>
              </w:rPr>
              <w:t>4</w:t>
            </w:r>
            <w:r w:rsidRPr="001311AA">
              <w:rPr>
                <w:rFonts w:ascii="Arial" w:hAnsi="Arial"/>
                <w:sz w:val="18"/>
              </w:rPr>
              <w:t>0</w:t>
            </w:r>
            <w:r w:rsidR="001311AA" w:rsidRPr="001311AA">
              <w:rPr>
                <w:rFonts w:ascii="Arial" w:hAnsi="Arial"/>
                <w:sz w:val="18"/>
              </w:rPr>
              <w:t> </w:t>
            </w:r>
            <w:r w:rsidRPr="001311AA">
              <w:rPr>
                <w:rFonts w:ascii="Arial" w:hAnsi="Arial"/>
                <w:sz w:val="18"/>
              </w:rPr>
              <w:t>лет</w:t>
            </w:r>
          </w:p>
        </w:tc>
      </w:tr>
      <w:tr w:rsidR="00B47991" w:rsidTr="00E1696F">
        <w:trPr>
          <w:trHeight w:val="285"/>
          <w:jc w:val="center"/>
        </w:trPr>
        <w:tc>
          <w:tcPr>
            <w:tcW w:w="3109" w:type="dxa"/>
            <w:tcBorders>
              <w:top w:val="nil"/>
              <w:left w:val="nil"/>
              <w:bottom w:val="nil"/>
              <w:right w:val="nil"/>
            </w:tcBorders>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vAlign w:val="center"/>
          </w:tcPr>
          <w:p w:rsidR="00B47991" w:rsidRPr="00E260D4" w:rsidRDefault="005F29A3" w:rsidP="00F03904">
            <w:pPr>
              <w:rPr>
                <w:rFonts w:ascii="Arial" w:hAnsi="Arial" w:cs="Arial"/>
                <w:sz w:val="18"/>
                <w:szCs w:val="18"/>
              </w:rPr>
            </w:pPr>
            <w:r>
              <w:rPr>
                <w:rFonts w:ascii="Arial" w:hAnsi="Arial"/>
                <w:sz w:val="18"/>
              </w:rPr>
              <w:t>Электрооборудование</w:t>
            </w:r>
          </w:p>
        </w:tc>
        <w:tc>
          <w:tcPr>
            <w:tcW w:w="2081" w:type="dxa"/>
            <w:tcBorders>
              <w:top w:val="nil"/>
              <w:left w:val="nil"/>
              <w:bottom w:val="nil"/>
              <w:right w:val="nil"/>
            </w:tcBorders>
            <w:vAlign w:val="center"/>
          </w:tcPr>
          <w:p w:rsidR="00B47991" w:rsidRPr="00E260D4" w:rsidRDefault="005F29A3" w:rsidP="00F03904">
            <w:pPr>
              <w:jc w:val="right"/>
              <w:rPr>
                <w:rFonts w:ascii="Arial" w:hAnsi="Arial" w:cs="Arial"/>
                <w:sz w:val="18"/>
                <w:szCs w:val="18"/>
              </w:rPr>
            </w:pPr>
            <w:r>
              <w:rPr>
                <w:rFonts w:ascii="Arial" w:hAnsi="Arial"/>
                <w:sz w:val="18"/>
              </w:rPr>
              <w:t>30-5</w:t>
            </w:r>
            <w:r w:rsidRPr="001311AA">
              <w:rPr>
                <w:rFonts w:ascii="Arial" w:hAnsi="Arial"/>
                <w:sz w:val="18"/>
              </w:rPr>
              <w:t>0</w:t>
            </w:r>
            <w:r w:rsidR="001311AA" w:rsidRPr="001311AA">
              <w:rPr>
                <w:rFonts w:ascii="Arial" w:hAnsi="Arial"/>
                <w:sz w:val="18"/>
              </w:rPr>
              <w:t> </w:t>
            </w:r>
            <w:r w:rsidRPr="001311AA">
              <w:rPr>
                <w:rFonts w:ascii="Arial" w:hAnsi="Arial"/>
                <w:sz w:val="18"/>
              </w:rPr>
              <w:t>лет</w:t>
            </w:r>
          </w:p>
        </w:tc>
      </w:tr>
      <w:tr w:rsidR="00B47991" w:rsidTr="00E1696F">
        <w:trPr>
          <w:trHeight w:val="285"/>
          <w:jc w:val="center"/>
        </w:trPr>
        <w:tc>
          <w:tcPr>
            <w:tcW w:w="3109" w:type="dxa"/>
            <w:tcBorders>
              <w:top w:val="nil"/>
              <w:left w:val="nil"/>
              <w:bottom w:val="nil"/>
              <w:right w:val="nil"/>
            </w:tcBorders>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vAlign w:val="center"/>
          </w:tcPr>
          <w:p w:rsidR="00B47991" w:rsidRPr="00E260D4" w:rsidRDefault="005F29A3" w:rsidP="00F03904">
            <w:pPr>
              <w:rPr>
                <w:rFonts w:ascii="Arial" w:hAnsi="Arial" w:cs="Arial"/>
                <w:sz w:val="18"/>
                <w:szCs w:val="18"/>
              </w:rPr>
            </w:pPr>
            <w:r>
              <w:rPr>
                <w:rFonts w:ascii="Arial" w:hAnsi="Arial"/>
                <w:sz w:val="18"/>
              </w:rPr>
              <w:t>Лифты</w:t>
            </w:r>
          </w:p>
        </w:tc>
        <w:tc>
          <w:tcPr>
            <w:tcW w:w="2081" w:type="dxa"/>
            <w:tcBorders>
              <w:top w:val="nil"/>
              <w:left w:val="nil"/>
              <w:bottom w:val="nil"/>
              <w:right w:val="nil"/>
            </w:tcBorders>
            <w:vAlign w:val="center"/>
          </w:tcPr>
          <w:p w:rsidR="00B47991" w:rsidRPr="00E260D4" w:rsidRDefault="005F29A3" w:rsidP="00F03904">
            <w:pPr>
              <w:jc w:val="right"/>
              <w:rPr>
                <w:rFonts w:ascii="Arial" w:hAnsi="Arial" w:cs="Arial"/>
                <w:sz w:val="18"/>
                <w:szCs w:val="18"/>
              </w:rPr>
            </w:pPr>
            <w:r>
              <w:rPr>
                <w:rFonts w:ascii="Arial" w:hAnsi="Arial"/>
                <w:sz w:val="18"/>
              </w:rPr>
              <w:t>4</w:t>
            </w:r>
            <w:r w:rsidRPr="001311AA">
              <w:rPr>
                <w:rFonts w:ascii="Arial" w:hAnsi="Arial"/>
                <w:sz w:val="18"/>
              </w:rPr>
              <w:t>0</w:t>
            </w:r>
            <w:r w:rsidR="001311AA" w:rsidRPr="001311AA">
              <w:rPr>
                <w:rFonts w:ascii="Arial" w:hAnsi="Arial"/>
                <w:sz w:val="18"/>
              </w:rPr>
              <w:t> </w:t>
            </w:r>
            <w:r w:rsidRPr="001311AA">
              <w:rPr>
                <w:rFonts w:ascii="Arial" w:hAnsi="Arial"/>
                <w:sz w:val="18"/>
              </w:rPr>
              <w:t>лет</w:t>
            </w:r>
          </w:p>
        </w:tc>
      </w:tr>
      <w:tr w:rsidR="00B47991" w:rsidTr="00E1696F">
        <w:trPr>
          <w:trHeight w:val="285"/>
          <w:jc w:val="center"/>
        </w:trPr>
        <w:tc>
          <w:tcPr>
            <w:tcW w:w="3109" w:type="dxa"/>
            <w:tcBorders>
              <w:top w:val="nil"/>
              <w:left w:val="nil"/>
              <w:bottom w:val="nil"/>
              <w:right w:val="nil"/>
            </w:tcBorders>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vAlign w:val="center"/>
          </w:tcPr>
          <w:p w:rsidR="00B47991" w:rsidRPr="00E260D4" w:rsidRDefault="005F29A3" w:rsidP="00F03904">
            <w:pPr>
              <w:rPr>
                <w:rFonts w:ascii="Arial" w:hAnsi="Arial" w:cs="Arial"/>
                <w:sz w:val="18"/>
                <w:szCs w:val="18"/>
              </w:rPr>
            </w:pPr>
            <w:r>
              <w:rPr>
                <w:rFonts w:ascii="Arial" w:hAnsi="Arial"/>
                <w:sz w:val="18"/>
              </w:rPr>
              <w:t>Оборудование для очистки внешних поверхностей</w:t>
            </w:r>
          </w:p>
        </w:tc>
        <w:tc>
          <w:tcPr>
            <w:tcW w:w="2081" w:type="dxa"/>
            <w:tcBorders>
              <w:top w:val="nil"/>
              <w:left w:val="nil"/>
              <w:bottom w:val="nil"/>
              <w:right w:val="nil"/>
            </w:tcBorders>
            <w:vAlign w:val="center"/>
          </w:tcPr>
          <w:p w:rsidR="00B47991" w:rsidRPr="00E260D4" w:rsidRDefault="005F29A3" w:rsidP="00F03904">
            <w:pPr>
              <w:jc w:val="right"/>
              <w:rPr>
                <w:rFonts w:ascii="Arial" w:hAnsi="Arial" w:cs="Arial"/>
                <w:sz w:val="18"/>
                <w:szCs w:val="18"/>
              </w:rPr>
            </w:pPr>
            <w:r>
              <w:rPr>
                <w:rFonts w:ascii="Arial" w:hAnsi="Arial"/>
                <w:sz w:val="18"/>
              </w:rPr>
              <w:t>4</w:t>
            </w:r>
            <w:r w:rsidRPr="001311AA">
              <w:rPr>
                <w:rFonts w:ascii="Arial" w:hAnsi="Arial"/>
                <w:sz w:val="18"/>
              </w:rPr>
              <w:t>5</w:t>
            </w:r>
            <w:r w:rsidR="001311AA" w:rsidRPr="001311AA">
              <w:rPr>
                <w:rFonts w:ascii="Arial" w:hAnsi="Arial"/>
                <w:sz w:val="18"/>
              </w:rPr>
              <w:t> </w:t>
            </w:r>
            <w:r w:rsidRPr="001311AA">
              <w:rPr>
                <w:rFonts w:ascii="Arial" w:hAnsi="Arial"/>
                <w:sz w:val="18"/>
              </w:rPr>
              <w:t>лет</w:t>
            </w:r>
          </w:p>
        </w:tc>
      </w:tr>
    </w:tbl>
    <w:p w:rsidR="007C6D77" w:rsidRPr="00AA1144" w:rsidRDefault="007C6D77" w:rsidP="007C6D77">
      <w:pPr>
        <w:pStyle w:val="Style3"/>
        <w:spacing w:after="0"/>
        <w:rPr>
          <w:sz w:val="20"/>
        </w:rPr>
      </w:pPr>
    </w:p>
    <w:p w:rsidR="00BB2205" w:rsidRPr="00136CD5" w:rsidRDefault="005F29A3" w:rsidP="007C6D77">
      <w:pPr>
        <w:pStyle w:val="Style3"/>
        <w:spacing w:after="0"/>
        <w:rPr>
          <w:rFonts w:cs="Arial"/>
          <w:szCs w:val="22"/>
        </w:rPr>
      </w:pPr>
      <w:r>
        <w:lastRenderedPageBreak/>
        <w:t>Балансовая стоимость основных фондов пересматривается на предмет износа, если какие-либо события или изменение обстоятельств указывают на то, что балансовая стоимость актива не может быть восстановлена</w:t>
      </w:r>
      <w:r w:rsidR="0005341A">
        <w:t>.  Е</w:t>
      </w:r>
      <w:r>
        <w:t>сли такое указание существует, то рассчитывается восстанавливаемая сумма стоимости данного актива в целях определения размера потерь в связи с износом, если таковые возникают</w:t>
      </w:r>
      <w:r w:rsidR="0005341A">
        <w:t>.  Л</w:t>
      </w:r>
      <w:r>
        <w:t>юбые ассигнования под износ отражаются в Отчете о финансовых результатах</w:t>
      </w:r>
      <w:r w:rsidR="00136CD5">
        <w:t>.</w:t>
      </w:r>
    </w:p>
    <w:p w:rsidR="00323B8C" w:rsidRPr="00F97F0D" w:rsidRDefault="00323B8C" w:rsidP="007C6D77">
      <w:pPr>
        <w:pStyle w:val="Style3Bold"/>
        <w:spacing w:after="0"/>
      </w:pPr>
    </w:p>
    <w:p w:rsidR="00C12637" w:rsidRPr="00485D9F" w:rsidRDefault="005F29A3" w:rsidP="007C6D77">
      <w:pPr>
        <w:pStyle w:val="Style3Bold"/>
        <w:spacing w:after="0"/>
        <w:rPr>
          <w:rFonts w:cs="Arial"/>
          <w:szCs w:val="22"/>
        </w:rPr>
      </w:pPr>
      <w:r>
        <w:t>Товарно-материальные запасы</w:t>
      </w:r>
    </w:p>
    <w:p w:rsidR="007C6D77" w:rsidRPr="00E05FB0" w:rsidRDefault="007C6D77" w:rsidP="007C6D77">
      <w:pPr>
        <w:pStyle w:val="Style3Bold"/>
        <w:spacing w:after="0"/>
        <w:rPr>
          <w:rFonts w:cs="Arial"/>
          <w:b w:val="0"/>
          <w:szCs w:val="22"/>
        </w:rPr>
      </w:pPr>
    </w:p>
    <w:p w:rsidR="00DB3D0E" w:rsidRPr="00485D9F" w:rsidRDefault="005F29A3" w:rsidP="007C6D77">
      <w:pPr>
        <w:pStyle w:val="Style3"/>
        <w:spacing w:after="0"/>
        <w:rPr>
          <w:rFonts w:cs="Arial"/>
          <w:szCs w:val="22"/>
        </w:rPr>
      </w:pPr>
      <w:r>
        <w:t>Товарно-материальные запасы включают стоимость публикаций, предназначенных для продажи, а также публикаций, распространяемых бесплатно, стоимость принадлежностей и материалов, используемых для производства публикаций, а также стоимость товаров в розничном магазине</w:t>
      </w:r>
      <w:r w:rsidR="0005341A">
        <w:t>.  О</w:t>
      </w:r>
      <w:r>
        <w:t>бщая стоимость готовых публикаций определяется путем умножения средней стоимости печатной страницы (за вычетом расходов на маркетинг и распространение) на число страниц публикаций, учтенных в качестве товарно-материальных запасов, и корректировки для отражения снижения затрат или чистой реализационной стоимости</w:t>
      </w:r>
      <w:r w:rsidR="0005341A">
        <w:t>.  С</w:t>
      </w:r>
      <w:r>
        <w:t>тоимость публикаций, изъятых из продажи или бесплатного распространения, списывается в течение года, в котором они стали устаревшими.</w:t>
      </w:r>
    </w:p>
    <w:p w:rsidR="00DB3D0E" w:rsidRPr="00485D9F" w:rsidRDefault="00DB3D0E" w:rsidP="007C6D77">
      <w:pPr>
        <w:jc w:val="both"/>
        <w:rPr>
          <w:rFonts w:ascii="Arial" w:hAnsi="Arial" w:cs="Arial"/>
          <w:sz w:val="22"/>
          <w:szCs w:val="22"/>
        </w:rPr>
      </w:pPr>
    </w:p>
    <w:p w:rsidR="00DB3D0E" w:rsidRPr="00485D9F" w:rsidRDefault="005F29A3" w:rsidP="007C6D77">
      <w:pPr>
        <w:pStyle w:val="Style3"/>
        <w:spacing w:after="0"/>
        <w:rPr>
          <w:rFonts w:cs="Arial"/>
          <w:szCs w:val="22"/>
        </w:rPr>
      </w:pPr>
      <w:r>
        <w:t>Ежегодно проводится физическая инвентаризация всех запасов публикаций, а также товаров, предназначенных для продажи в розничном магазине</w:t>
      </w:r>
      <w:r w:rsidR="006B1BEC">
        <w:t>.  В</w:t>
      </w:r>
      <w:r>
        <w:t>едется постоянная инвентарная ведомость публикаций, предназначенных для продажи, и на протяжении года проводится физический учет для установления уровня запасов</w:t>
      </w:r>
      <w:r w:rsidR="006B1BEC">
        <w:t>.  В</w:t>
      </w:r>
      <w:r>
        <w:t xml:space="preserve"> конце каждого года позиции, исключенные из каталога публикаций, подлежащих продаже или бесплатному распространению, вместе с позициями, которые больше не предполагается распространять бесплатно или выставлять на продажу, исключаются из инвентарных ведомостей, а их стоимость обнуляется.</w:t>
      </w:r>
    </w:p>
    <w:p w:rsidR="00DB3D0E" w:rsidRPr="00485D9F" w:rsidRDefault="00DB3D0E" w:rsidP="007C6D77">
      <w:pPr>
        <w:pStyle w:val="Style3"/>
        <w:spacing w:after="0"/>
        <w:rPr>
          <w:rFonts w:cs="Arial"/>
          <w:szCs w:val="22"/>
        </w:rPr>
      </w:pPr>
    </w:p>
    <w:p w:rsidR="00EB3407" w:rsidRPr="00485D9F" w:rsidRDefault="005F29A3" w:rsidP="007C6D77">
      <w:pPr>
        <w:pStyle w:val="Style3"/>
        <w:spacing w:after="0"/>
        <w:rPr>
          <w:rFonts w:cs="Arial"/>
          <w:szCs w:val="22"/>
        </w:rPr>
      </w:pPr>
      <w:r>
        <w:t>Стоимость бумаги и других материалов, используемых в процессе производства, оценивается с использованием метода «первое поступление – первый отпуск» (ФИФО)</w:t>
      </w:r>
      <w:r w:rsidR="0005341A">
        <w:t>.  Т</w:t>
      </w:r>
      <w:r>
        <w:t>овары, находящиеся в розничном магазине, оцениваются по их себестоимости для Организации</w:t>
      </w:r>
      <w:r w:rsidR="0005341A">
        <w:t>.  Т</w:t>
      </w:r>
      <w:r>
        <w:t>оварно-материальные запасы уцениваются для отражения чистой реализационной стоимости испорченных или устаревших товаров</w:t>
      </w:r>
      <w:r w:rsidR="0005341A">
        <w:t>.  Т</w:t>
      </w:r>
      <w:r>
        <w:t>оварно-материальные запасы не используются в качестве обеспечения по обязательствам.</w:t>
      </w:r>
    </w:p>
    <w:p w:rsidR="00A621A1" w:rsidRDefault="00A621A1" w:rsidP="007C6D77">
      <w:pPr>
        <w:pStyle w:val="Style3"/>
        <w:spacing w:after="0"/>
        <w:rPr>
          <w:rFonts w:cs="Arial"/>
          <w:b/>
          <w:szCs w:val="22"/>
        </w:rPr>
      </w:pPr>
    </w:p>
    <w:p w:rsidR="006023DB" w:rsidRPr="00CE0C6C" w:rsidRDefault="005F29A3" w:rsidP="007C6D77">
      <w:pPr>
        <w:pStyle w:val="Style3"/>
        <w:spacing w:after="0"/>
        <w:rPr>
          <w:rFonts w:cs="Arial"/>
          <w:b/>
          <w:szCs w:val="22"/>
        </w:rPr>
      </w:pPr>
      <w:r>
        <w:rPr>
          <w:b/>
        </w:rPr>
        <w:t>Нематериальные активы</w:t>
      </w:r>
    </w:p>
    <w:p w:rsidR="00740AE2" w:rsidRPr="002D1D97" w:rsidRDefault="00740AE2" w:rsidP="007C6D77">
      <w:pPr>
        <w:pStyle w:val="Style3"/>
        <w:spacing w:after="0"/>
        <w:rPr>
          <w:rFonts w:cs="Arial"/>
          <w:szCs w:val="22"/>
        </w:rPr>
      </w:pPr>
    </w:p>
    <w:p w:rsidR="00A74529" w:rsidRPr="007000F9" w:rsidRDefault="005F29A3" w:rsidP="007000F9">
      <w:pPr>
        <w:jc w:val="both"/>
        <w:rPr>
          <w:rFonts w:ascii="Arial" w:hAnsi="Arial" w:cs="Arial"/>
          <w:sz w:val="22"/>
          <w:szCs w:val="22"/>
        </w:rPr>
      </w:pPr>
      <w:r>
        <w:rPr>
          <w:rFonts w:ascii="Arial" w:hAnsi="Arial"/>
          <w:sz w:val="22"/>
        </w:rPr>
        <w:t>Нематериальные активы проводятся по стоимости за вычетом накопившихся амортизационных отчислений и потери их стоимости в связи со снижением их качества</w:t>
      </w:r>
      <w:r w:rsidR="006B1BEC">
        <w:rPr>
          <w:rFonts w:ascii="Arial" w:hAnsi="Arial"/>
          <w:sz w:val="22"/>
        </w:rPr>
        <w:t>.  А</w:t>
      </w:r>
      <w:r>
        <w:rPr>
          <w:rFonts w:ascii="Arial" w:hAnsi="Arial"/>
          <w:sz w:val="22"/>
        </w:rPr>
        <w:t>мортизационные отчисления производятся по методу прямого списания в отношении всех нематериальных активов, имеющих ограниченный срок службы, по ставкам, которые обеспечивают списание их стоимости или цены в течение срока их службы</w:t>
      </w:r>
      <w:r w:rsidR="0005341A">
        <w:rPr>
          <w:rFonts w:ascii="Arial" w:hAnsi="Arial"/>
          <w:sz w:val="22"/>
        </w:rPr>
        <w:t>.  П</w:t>
      </w:r>
      <w:r>
        <w:rPr>
          <w:rFonts w:ascii="Arial" w:hAnsi="Arial"/>
          <w:sz w:val="22"/>
        </w:rPr>
        <w:t>римерный срок службы основных категорий нематериальных активов является следующим:</w:t>
      </w:r>
    </w:p>
    <w:p w:rsidR="00A74529" w:rsidRPr="004A1F02" w:rsidRDefault="00A74529" w:rsidP="00A74529">
      <w:pPr>
        <w:pStyle w:val="Style3"/>
        <w:spacing w:after="0"/>
        <w:rPr>
          <w:rFonts w:cs="Arial"/>
          <w:szCs w:val="22"/>
        </w:rPr>
      </w:pPr>
    </w:p>
    <w:tbl>
      <w:tblPr>
        <w:tblW w:w="5610" w:type="dxa"/>
        <w:jc w:val="center"/>
        <w:tblInd w:w="328" w:type="dxa"/>
        <w:tblLook w:val="0000" w:firstRow="0" w:lastRow="0" w:firstColumn="0" w:lastColumn="0" w:noHBand="0" w:noVBand="0"/>
      </w:tblPr>
      <w:tblGrid>
        <w:gridCol w:w="3080"/>
        <w:gridCol w:w="2530"/>
      </w:tblGrid>
      <w:tr w:rsidR="00A74529" w:rsidRPr="004A1F02" w:rsidTr="002A0C27">
        <w:trPr>
          <w:trHeight w:val="345"/>
          <w:jc w:val="center"/>
        </w:trPr>
        <w:tc>
          <w:tcPr>
            <w:tcW w:w="3080" w:type="dxa"/>
            <w:tcBorders>
              <w:top w:val="single" w:sz="4" w:space="0" w:color="auto"/>
              <w:left w:val="nil"/>
              <w:bottom w:val="single" w:sz="4" w:space="0" w:color="auto"/>
              <w:right w:val="nil"/>
            </w:tcBorders>
            <w:shd w:val="clear" w:color="auto" w:fill="F2F2F2"/>
            <w:noWrap/>
            <w:vAlign w:val="center"/>
          </w:tcPr>
          <w:p w:rsidR="00A74529" w:rsidRPr="004A1F02" w:rsidRDefault="005F29A3" w:rsidP="00B51C60">
            <w:pPr>
              <w:jc w:val="center"/>
              <w:rPr>
                <w:rFonts w:ascii="Arial" w:hAnsi="Arial" w:cs="Arial"/>
                <w:b/>
                <w:sz w:val="18"/>
                <w:szCs w:val="18"/>
              </w:rPr>
            </w:pPr>
            <w:r>
              <w:rPr>
                <w:rFonts w:ascii="Arial" w:hAnsi="Arial"/>
                <w:b/>
                <w:sz w:val="18"/>
              </w:rPr>
              <w:t>Класс</w:t>
            </w:r>
          </w:p>
        </w:tc>
        <w:tc>
          <w:tcPr>
            <w:tcW w:w="2530" w:type="dxa"/>
            <w:tcBorders>
              <w:top w:val="single" w:sz="4" w:space="0" w:color="auto"/>
              <w:left w:val="nil"/>
              <w:bottom w:val="single" w:sz="4" w:space="0" w:color="auto"/>
              <w:right w:val="nil"/>
            </w:tcBorders>
            <w:shd w:val="clear" w:color="auto" w:fill="F2F2F2"/>
            <w:vAlign w:val="center"/>
          </w:tcPr>
          <w:p w:rsidR="00A74529" w:rsidRPr="004A1F02" w:rsidRDefault="005F29A3" w:rsidP="00B51C60">
            <w:pPr>
              <w:jc w:val="center"/>
              <w:rPr>
                <w:rFonts w:ascii="Arial" w:hAnsi="Arial" w:cs="Arial"/>
                <w:b/>
                <w:sz w:val="18"/>
                <w:szCs w:val="18"/>
              </w:rPr>
            </w:pPr>
            <w:r>
              <w:rPr>
                <w:rFonts w:ascii="Arial" w:hAnsi="Arial"/>
                <w:b/>
                <w:sz w:val="18"/>
              </w:rPr>
              <w:t>Прогнозируемый срок службы</w:t>
            </w:r>
          </w:p>
        </w:tc>
      </w:tr>
      <w:tr w:rsidR="00A74529" w:rsidRPr="004A1F02" w:rsidTr="00EC204E">
        <w:trPr>
          <w:trHeight w:val="285"/>
          <w:jc w:val="center"/>
        </w:trPr>
        <w:tc>
          <w:tcPr>
            <w:tcW w:w="3080" w:type="dxa"/>
            <w:tcBorders>
              <w:top w:val="nil"/>
              <w:left w:val="nil"/>
              <w:bottom w:val="nil"/>
              <w:right w:val="nil"/>
            </w:tcBorders>
            <w:noWrap/>
            <w:vAlign w:val="center"/>
          </w:tcPr>
          <w:p w:rsidR="00A74529" w:rsidRPr="004A1F02" w:rsidRDefault="005F29A3" w:rsidP="00B51C60">
            <w:pPr>
              <w:rPr>
                <w:rFonts w:ascii="Arial" w:hAnsi="Arial" w:cs="Arial"/>
                <w:sz w:val="18"/>
                <w:szCs w:val="18"/>
              </w:rPr>
            </w:pPr>
            <w:r>
              <w:rPr>
                <w:rFonts w:ascii="Arial" w:hAnsi="Arial"/>
                <w:sz w:val="18"/>
              </w:rPr>
              <w:t>Приобретенное ПО</w:t>
            </w:r>
          </w:p>
        </w:tc>
        <w:tc>
          <w:tcPr>
            <w:tcW w:w="2530" w:type="dxa"/>
            <w:tcBorders>
              <w:top w:val="nil"/>
              <w:left w:val="nil"/>
              <w:bottom w:val="nil"/>
              <w:right w:val="nil"/>
            </w:tcBorders>
            <w:vAlign w:val="center"/>
          </w:tcPr>
          <w:p w:rsidR="00A74529" w:rsidRPr="001311AA" w:rsidRDefault="005F29A3" w:rsidP="00B51C60">
            <w:pPr>
              <w:jc w:val="center"/>
              <w:rPr>
                <w:rFonts w:ascii="Arial" w:hAnsi="Arial" w:cs="Arial"/>
                <w:sz w:val="18"/>
                <w:szCs w:val="18"/>
              </w:rPr>
            </w:pPr>
            <w:r w:rsidRPr="001311AA">
              <w:rPr>
                <w:rFonts w:ascii="Arial" w:hAnsi="Arial"/>
                <w:sz w:val="18"/>
              </w:rPr>
              <w:t>5</w:t>
            </w:r>
            <w:r w:rsidR="001311AA" w:rsidRPr="001311AA">
              <w:rPr>
                <w:rFonts w:ascii="Arial" w:hAnsi="Arial"/>
                <w:sz w:val="18"/>
              </w:rPr>
              <w:t> </w:t>
            </w:r>
            <w:r w:rsidRPr="001311AA">
              <w:rPr>
                <w:rFonts w:ascii="Arial" w:hAnsi="Arial"/>
                <w:sz w:val="18"/>
              </w:rPr>
              <w:t>лет</w:t>
            </w:r>
          </w:p>
        </w:tc>
      </w:tr>
      <w:tr w:rsidR="00A74529" w:rsidRPr="004A1F02" w:rsidTr="00EC204E">
        <w:trPr>
          <w:trHeight w:val="285"/>
          <w:jc w:val="center"/>
        </w:trPr>
        <w:tc>
          <w:tcPr>
            <w:tcW w:w="3080" w:type="dxa"/>
            <w:tcBorders>
              <w:top w:val="nil"/>
              <w:left w:val="nil"/>
              <w:bottom w:val="nil"/>
              <w:right w:val="nil"/>
            </w:tcBorders>
            <w:noWrap/>
            <w:vAlign w:val="center"/>
          </w:tcPr>
          <w:p w:rsidR="00A74529" w:rsidRPr="004A1F02" w:rsidRDefault="005F29A3" w:rsidP="00B51C60">
            <w:pPr>
              <w:rPr>
                <w:rFonts w:ascii="Arial" w:hAnsi="Arial" w:cs="Arial"/>
                <w:sz w:val="18"/>
                <w:szCs w:val="18"/>
              </w:rPr>
            </w:pPr>
            <w:r>
              <w:rPr>
                <w:rFonts w:ascii="Arial" w:hAnsi="Arial"/>
                <w:sz w:val="18"/>
              </w:rPr>
              <w:t>Разработанное ПО</w:t>
            </w:r>
          </w:p>
        </w:tc>
        <w:tc>
          <w:tcPr>
            <w:tcW w:w="2530" w:type="dxa"/>
            <w:tcBorders>
              <w:top w:val="nil"/>
              <w:left w:val="nil"/>
              <w:bottom w:val="nil"/>
              <w:right w:val="nil"/>
            </w:tcBorders>
            <w:vAlign w:val="center"/>
          </w:tcPr>
          <w:p w:rsidR="00A74529" w:rsidRPr="001311AA" w:rsidRDefault="005F29A3" w:rsidP="00B51C60">
            <w:pPr>
              <w:jc w:val="center"/>
              <w:rPr>
                <w:rFonts w:ascii="Arial" w:hAnsi="Arial" w:cs="Arial"/>
                <w:sz w:val="18"/>
                <w:szCs w:val="18"/>
              </w:rPr>
            </w:pPr>
            <w:r w:rsidRPr="001311AA">
              <w:rPr>
                <w:rFonts w:ascii="Arial" w:hAnsi="Arial"/>
                <w:sz w:val="18"/>
              </w:rPr>
              <w:t>5</w:t>
            </w:r>
            <w:r w:rsidR="001311AA" w:rsidRPr="001311AA">
              <w:rPr>
                <w:rFonts w:ascii="Arial" w:hAnsi="Arial"/>
                <w:sz w:val="18"/>
              </w:rPr>
              <w:t> </w:t>
            </w:r>
            <w:r w:rsidRPr="001311AA">
              <w:rPr>
                <w:rFonts w:ascii="Arial" w:hAnsi="Arial"/>
                <w:sz w:val="18"/>
              </w:rPr>
              <w:t>лет</w:t>
            </w:r>
          </w:p>
        </w:tc>
      </w:tr>
      <w:tr w:rsidR="00A74529" w:rsidRPr="004A1F02" w:rsidTr="00EC204E">
        <w:trPr>
          <w:trHeight w:val="285"/>
          <w:jc w:val="center"/>
        </w:trPr>
        <w:tc>
          <w:tcPr>
            <w:tcW w:w="3080" w:type="dxa"/>
            <w:tcBorders>
              <w:top w:val="nil"/>
              <w:left w:val="nil"/>
              <w:bottom w:val="nil"/>
              <w:right w:val="nil"/>
            </w:tcBorders>
            <w:noWrap/>
            <w:vAlign w:val="center"/>
          </w:tcPr>
          <w:p w:rsidR="00A74529" w:rsidRPr="004A1F02" w:rsidRDefault="005F29A3" w:rsidP="00B51C60">
            <w:pPr>
              <w:rPr>
                <w:rFonts w:ascii="Arial" w:hAnsi="Arial" w:cs="Arial"/>
                <w:sz w:val="18"/>
                <w:szCs w:val="18"/>
              </w:rPr>
            </w:pPr>
            <w:r>
              <w:rPr>
                <w:rFonts w:ascii="Arial" w:hAnsi="Arial"/>
                <w:sz w:val="18"/>
              </w:rPr>
              <w:t>Лицензии и права</w:t>
            </w:r>
          </w:p>
        </w:tc>
        <w:tc>
          <w:tcPr>
            <w:tcW w:w="2530" w:type="dxa"/>
            <w:tcBorders>
              <w:top w:val="nil"/>
              <w:left w:val="nil"/>
              <w:bottom w:val="nil"/>
              <w:right w:val="nil"/>
            </w:tcBorders>
            <w:vAlign w:val="center"/>
          </w:tcPr>
          <w:p w:rsidR="00A74529" w:rsidRPr="004A1F02" w:rsidRDefault="005F29A3" w:rsidP="00B51C60">
            <w:pPr>
              <w:jc w:val="center"/>
              <w:rPr>
                <w:rFonts w:ascii="Arial" w:hAnsi="Arial" w:cs="Arial"/>
                <w:sz w:val="18"/>
                <w:szCs w:val="18"/>
              </w:rPr>
            </w:pPr>
            <w:r>
              <w:rPr>
                <w:rFonts w:ascii="Arial" w:hAnsi="Arial"/>
                <w:sz w:val="18"/>
              </w:rPr>
              <w:t>Период действия лицензии/права</w:t>
            </w:r>
          </w:p>
        </w:tc>
      </w:tr>
    </w:tbl>
    <w:p w:rsidR="004A1F02" w:rsidRPr="00A74529" w:rsidRDefault="004A1F02" w:rsidP="007C6D77">
      <w:pPr>
        <w:pStyle w:val="Style3"/>
        <w:spacing w:after="0"/>
        <w:rPr>
          <w:rFonts w:cs="Arial"/>
          <w:szCs w:val="22"/>
        </w:rPr>
      </w:pPr>
    </w:p>
    <w:p w:rsidR="00414B1A" w:rsidRPr="00136CD5" w:rsidRDefault="005F29A3" w:rsidP="00414B1A">
      <w:pPr>
        <w:jc w:val="both"/>
        <w:rPr>
          <w:rFonts w:ascii="Arial" w:hAnsi="Arial" w:cs="Arial"/>
          <w:i/>
          <w:sz w:val="22"/>
          <w:szCs w:val="22"/>
        </w:rPr>
      </w:pPr>
      <w:r>
        <w:rPr>
          <w:rFonts w:ascii="Arial" w:hAnsi="Arial"/>
          <w:sz w:val="22"/>
        </w:rPr>
        <w:t>Приобретенные лицензии на компьютерные программы капитализируются на основе расходов, понесенных в связи с приобретением и внедрением конкретной программы</w:t>
      </w:r>
      <w:r w:rsidR="0005341A">
        <w:rPr>
          <w:rFonts w:ascii="Arial" w:hAnsi="Arial"/>
          <w:sz w:val="22"/>
        </w:rPr>
        <w:t>.  К</w:t>
      </w:r>
      <w:r>
        <w:rPr>
          <w:rFonts w:ascii="Arial" w:hAnsi="Arial"/>
          <w:sz w:val="22"/>
        </w:rPr>
        <w:t xml:space="preserve">омпьютерные программы и лицензии на них, приобретенные у внешнего поставщика, признаются активами в том случае, если их цена равна или превышает 5 тыс. </w:t>
      </w:r>
      <w:r>
        <w:rPr>
          <w:rFonts w:ascii="Arial" w:hAnsi="Arial"/>
          <w:sz w:val="22"/>
        </w:rPr>
        <w:lastRenderedPageBreak/>
        <w:t>шв. франков за единицу</w:t>
      </w:r>
      <w:r w:rsidR="0005341A">
        <w:rPr>
          <w:rFonts w:ascii="Arial" w:hAnsi="Arial"/>
          <w:sz w:val="22"/>
        </w:rPr>
        <w:t>.  Р</w:t>
      </w:r>
      <w:r>
        <w:rPr>
          <w:rFonts w:ascii="Arial" w:hAnsi="Arial"/>
          <w:sz w:val="22"/>
        </w:rPr>
        <w:t>асходы, непосредственно связанные с разработкой программного обеспечения в ВОИС, капитализируются как нематериальные активы</w:t>
      </w:r>
      <w:r w:rsidR="0005341A">
        <w:rPr>
          <w:rFonts w:ascii="Arial" w:hAnsi="Arial"/>
          <w:sz w:val="22"/>
        </w:rPr>
        <w:t>.  П</w:t>
      </w:r>
      <w:r>
        <w:rPr>
          <w:rFonts w:ascii="Arial" w:hAnsi="Arial"/>
          <w:sz w:val="22"/>
        </w:rPr>
        <w:t>рямые расходы включают расходы на персонал, занимающийся разработкой таких программ</w:t>
      </w:r>
      <w:r w:rsidR="0005341A">
        <w:rPr>
          <w:rFonts w:ascii="Arial" w:hAnsi="Arial"/>
          <w:sz w:val="22"/>
        </w:rPr>
        <w:t>.  Р</w:t>
      </w:r>
      <w:r>
        <w:rPr>
          <w:rFonts w:ascii="Arial" w:hAnsi="Arial"/>
          <w:sz w:val="22"/>
        </w:rPr>
        <w:t>азработанное в Организации программное обеспечение признается активом, ес</w:t>
      </w:r>
      <w:r w:rsidR="00C950F5">
        <w:rPr>
          <w:rFonts w:ascii="Arial" w:hAnsi="Arial"/>
          <w:sz w:val="22"/>
        </w:rPr>
        <w:t>ли его цена составляет 100 тыс. </w:t>
      </w:r>
      <w:r>
        <w:rPr>
          <w:rFonts w:ascii="Arial" w:hAnsi="Arial"/>
          <w:sz w:val="22"/>
        </w:rPr>
        <w:t>шв. франков или более</w:t>
      </w:r>
      <w:r w:rsidR="00136CD5">
        <w:rPr>
          <w:rFonts w:ascii="Arial" w:hAnsi="Arial"/>
          <w:sz w:val="22"/>
        </w:rPr>
        <w:t>.</w:t>
      </w:r>
    </w:p>
    <w:p w:rsidR="00414B1A" w:rsidRDefault="00414B1A" w:rsidP="007C6D77">
      <w:pPr>
        <w:pStyle w:val="Style3"/>
        <w:spacing w:after="0"/>
        <w:rPr>
          <w:rFonts w:cs="Arial"/>
          <w:szCs w:val="22"/>
        </w:rPr>
      </w:pPr>
    </w:p>
    <w:p w:rsidR="00EB2B54" w:rsidRPr="00136CD5" w:rsidRDefault="005F29A3" w:rsidP="007C6D77">
      <w:pPr>
        <w:pStyle w:val="Style3"/>
        <w:spacing w:after="0"/>
        <w:rPr>
          <w:rFonts w:cs="Arial"/>
          <w:szCs w:val="22"/>
        </w:rPr>
      </w:pPr>
      <w:r>
        <w:t>Права на пользование собственностью в кантоне Женева, приобретенные Организацией путем покупки, признаются по их первоначальной стоимости и амортизируются в течение оставшегося периода с даты их предоставления</w:t>
      </w:r>
      <w:r w:rsidR="0005341A">
        <w:t>.  П</w:t>
      </w:r>
      <w:r>
        <w:t>рава на пользование собственностью, предоставленные кантоном Женева, которые были приобретены бесплатно и которые возвращаются кантону по истечении срока их дей</w:t>
      </w:r>
      <w:r w:rsidR="00136CD5">
        <w:t>ствия, не отражаются на счетах.</w:t>
      </w:r>
    </w:p>
    <w:p w:rsidR="00562598" w:rsidRPr="004A1F02" w:rsidRDefault="00562598" w:rsidP="00562598">
      <w:pPr>
        <w:rPr>
          <w:rFonts w:ascii="Arial" w:hAnsi="Arial" w:cs="Arial"/>
          <w:i/>
          <w:sz w:val="22"/>
          <w:szCs w:val="22"/>
        </w:rPr>
      </w:pPr>
    </w:p>
    <w:p w:rsidR="008F1A30" w:rsidRPr="00485D9F" w:rsidRDefault="005F29A3" w:rsidP="006C2948">
      <w:pPr>
        <w:pStyle w:val="Style3"/>
        <w:spacing w:after="0"/>
        <w:rPr>
          <w:rFonts w:cs="Arial"/>
          <w:b/>
          <w:szCs w:val="22"/>
        </w:rPr>
      </w:pPr>
      <w:r>
        <w:rPr>
          <w:b/>
        </w:rPr>
        <w:t>Ассигнования</w:t>
      </w:r>
    </w:p>
    <w:p w:rsidR="008F1A30" w:rsidRPr="00E05FB0" w:rsidRDefault="008F1A30" w:rsidP="007C6D77">
      <w:pPr>
        <w:jc w:val="both"/>
        <w:rPr>
          <w:rFonts w:ascii="Arial" w:hAnsi="Arial" w:cs="Arial"/>
          <w:sz w:val="22"/>
          <w:szCs w:val="22"/>
        </w:rPr>
      </w:pPr>
    </w:p>
    <w:p w:rsidR="008F1A30" w:rsidRPr="00136CD5" w:rsidRDefault="005F29A3" w:rsidP="007C6D77">
      <w:pPr>
        <w:pStyle w:val="Style3"/>
        <w:spacing w:after="0"/>
        <w:rPr>
          <w:rFonts w:cs="Arial"/>
          <w:szCs w:val="22"/>
        </w:rPr>
      </w:pPr>
      <w:r>
        <w:t>Ассигнования признаются тогда, когда в результате предшествующего события у Организации возникает юридическое или добровольное обязательство, в силу которого для его погашения ей потребуется израсходовать свои ресурсы и размер которого может быть достоверно оценен</w:t>
      </w:r>
      <w:r w:rsidR="00136CD5">
        <w:t>.</w:t>
      </w:r>
    </w:p>
    <w:p w:rsidR="00A4756A" w:rsidRDefault="00A4756A" w:rsidP="007C6D77">
      <w:pPr>
        <w:pStyle w:val="Style3Bold"/>
        <w:spacing w:after="0"/>
        <w:rPr>
          <w:rFonts w:cs="Arial"/>
          <w:szCs w:val="22"/>
        </w:rPr>
      </w:pPr>
    </w:p>
    <w:p w:rsidR="002760C4" w:rsidRPr="00485D9F" w:rsidRDefault="005F29A3" w:rsidP="007C6D77">
      <w:pPr>
        <w:pStyle w:val="Style3Bold"/>
        <w:spacing w:after="0"/>
        <w:rPr>
          <w:rFonts w:cs="Arial"/>
          <w:szCs w:val="22"/>
        </w:rPr>
      </w:pPr>
      <w:r>
        <w:t>Дебиторская задолженность</w:t>
      </w:r>
    </w:p>
    <w:p w:rsidR="005F30F4" w:rsidRPr="00E05FB0" w:rsidRDefault="005F30F4" w:rsidP="007C6D77">
      <w:pPr>
        <w:pStyle w:val="Style3Bold"/>
        <w:spacing w:after="0"/>
        <w:rPr>
          <w:rFonts w:cs="Arial"/>
          <w:b w:val="0"/>
          <w:szCs w:val="22"/>
        </w:rPr>
      </w:pPr>
    </w:p>
    <w:p w:rsidR="00A31A5A" w:rsidRPr="00136CD5" w:rsidRDefault="005F29A3" w:rsidP="007C6D77">
      <w:pPr>
        <w:pStyle w:val="Style3"/>
        <w:spacing w:after="0"/>
        <w:rPr>
          <w:rFonts w:cs="Arial"/>
          <w:szCs w:val="22"/>
        </w:rPr>
      </w:pPr>
      <w:r>
        <w:t>Дебиторская задолженность по операциям, связанным с реализацией финансовых инструментов, которая включает пошлины, взимаемые за заявки на международные патенты, международную регистрацию товарных знаков и промышленных образцов и другие услуги и публикации, оценивается по текущей рыночной стоимости полученного или подлежащего получению денежного вознаграждения за товарные знаки, промышленные образцы и пошлины РСТ после регистрации международной заявки и при получении денежных</w:t>
      </w:r>
      <w:r w:rsidR="00136CD5">
        <w:t xml:space="preserve"> средств в счет других доходов.</w:t>
      </w:r>
    </w:p>
    <w:p w:rsidR="001166DA" w:rsidRPr="00E05FB0" w:rsidRDefault="001166DA" w:rsidP="007C6D77">
      <w:pPr>
        <w:pStyle w:val="Style3"/>
        <w:spacing w:after="0"/>
        <w:rPr>
          <w:rFonts w:cs="Arial"/>
          <w:szCs w:val="22"/>
        </w:rPr>
      </w:pPr>
    </w:p>
    <w:p w:rsidR="002760C4" w:rsidRPr="00485D9F" w:rsidRDefault="005F29A3" w:rsidP="007C6D77">
      <w:pPr>
        <w:pStyle w:val="Style3"/>
        <w:spacing w:after="0"/>
        <w:rPr>
          <w:rFonts w:cs="Arial"/>
          <w:szCs w:val="22"/>
        </w:rPr>
      </w:pPr>
      <w:r>
        <w:t>Начисленные взносы признаются в качестве доходов в начале финансового года</w:t>
      </w:r>
      <w:r w:rsidR="006B1BEC">
        <w:t>.  В</w:t>
      </w:r>
      <w:r>
        <w:t xml:space="preserve"> связи с безнадежной дебиторской задолженностью предусматривается резерв, равный начисленным взносам, замороженным по решению Генеральной Ассамблеи, плюс взносы, причитающиеся с государств-членов, которые потеряли право голоса в соответствии со статьей 11 Конвенции, учреждающей Всемирную организацию интеллектуальной собственности.</w:t>
      </w:r>
    </w:p>
    <w:p w:rsidR="003F79A9" w:rsidRPr="00485D9F" w:rsidRDefault="003F79A9" w:rsidP="007C6D77">
      <w:pPr>
        <w:pStyle w:val="Style3"/>
        <w:spacing w:after="0"/>
        <w:rPr>
          <w:rFonts w:cs="Arial"/>
          <w:szCs w:val="22"/>
        </w:rPr>
      </w:pPr>
    </w:p>
    <w:p w:rsidR="002760C4" w:rsidRPr="00E05FB0" w:rsidRDefault="005F29A3" w:rsidP="007C6D77">
      <w:pPr>
        <w:pStyle w:val="Style3"/>
        <w:spacing w:after="0"/>
        <w:rPr>
          <w:rFonts w:cs="Arial"/>
          <w:szCs w:val="22"/>
        </w:rPr>
      </w:pPr>
      <w:r>
        <w:t>В отношении всей другой дебиторской задолженности резерв на случай непогашения создается исходя из результатов анализа сумм задолженности на дату подготовки отчетности.</w:t>
      </w:r>
    </w:p>
    <w:p w:rsidR="00C069A6" w:rsidRPr="00E05FB0" w:rsidRDefault="00C069A6" w:rsidP="007C6D77">
      <w:pPr>
        <w:jc w:val="both"/>
        <w:rPr>
          <w:rFonts w:ascii="Arial" w:hAnsi="Arial" w:cs="Arial"/>
          <w:sz w:val="22"/>
          <w:szCs w:val="22"/>
        </w:rPr>
      </w:pPr>
    </w:p>
    <w:p w:rsidR="002760C4" w:rsidRPr="00485D9F" w:rsidRDefault="005F29A3" w:rsidP="007C6D77">
      <w:pPr>
        <w:pStyle w:val="Style3Bold"/>
        <w:spacing w:after="0"/>
        <w:rPr>
          <w:rFonts w:cs="Arial"/>
          <w:szCs w:val="22"/>
        </w:rPr>
      </w:pPr>
      <w:r>
        <w:t>Учет доходов</w:t>
      </w:r>
    </w:p>
    <w:p w:rsidR="002760C4" w:rsidRPr="00E05FB0" w:rsidRDefault="002760C4" w:rsidP="007C6D77">
      <w:pPr>
        <w:jc w:val="both"/>
        <w:rPr>
          <w:rFonts w:ascii="Arial" w:hAnsi="Arial" w:cs="Arial"/>
          <w:sz w:val="22"/>
          <w:szCs w:val="22"/>
        </w:rPr>
      </w:pPr>
    </w:p>
    <w:p w:rsidR="002760C4" w:rsidRPr="00485D9F" w:rsidRDefault="005F29A3" w:rsidP="007C6D77">
      <w:pPr>
        <w:pStyle w:val="Style3"/>
        <w:spacing w:after="0"/>
        <w:rPr>
          <w:rFonts w:cs="Arial"/>
          <w:szCs w:val="22"/>
        </w:rPr>
      </w:pPr>
      <w:r>
        <w:t>Доходы от операций, связанных с реализацией финансовых инструментов, в виде пошлин, взимаемых за заявки на международные патенты, включая пошлины за дополнительные страницы заявок, международную регистрацию товарных знаков и международную регистрацию промышленных образцов, учитываются на дату публикации</w:t>
      </w:r>
      <w:r w:rsidR="0005341A">
        <w:t>.  Д</w:t>
      </w:r>
      <w:r>
        <w:t>оходы в виде пошлин, полученных за заявки, не опубликованные на дату отчетности, зачитываются в счет будущих периодов до момента завершения публикации</w:t>
      </w:r>
      <w:r w:rsidR="0005341A">
        <w:t>.  Ч</w:t>
      </w:r>
      <w:r>
        <w:t>асть пошлины за подачу патентной заявки, покрывающая расходы на перевод заключений о патентоспособности, составленных не на английском языке, который был получен после публикации, также зачитывается в счет будущих периодов до момента завершения перевода</w:t>
      </w:r>
      <w:r w:rsidR="006B1BEC">
        <w:t>.  В</w:t>
      </w:r>
      <w:r>
        <w:t xml:space="preserve">се другие пошлины, связанные с заявками на выдачу патентов, регистрацию товарных знаков и промышленных образцов, включая заявки на продление регистрации, учитываются на момент предоставления услуг, подпадающих под соответствующую </w:t>
      </w:r>
      <w:r>
        <w:lastRenderedPageBreak/>
        <w:t>пошлину</w:t>
      </w:r>
      <w:r w:rsidR="0005341A">
        <w:t>.  Д</w:t>
      </w:r>
      <w:r>
        <w:t>оходы от публикаций и услуг по арбитражу и посредничеству учитываются после полного предоставления товаров или услуг.</w:t>
      </w:r>
    </w:p>
    <w:p w:rsidR="002760C4" w:rsidRPr="00485D9F" w:rsidRDefault="002760C4" w:rsidP="007C6D77">
      <w:pPr>
        <w:pStyle w:val="Style3"/>
        <w:spacing w:after="0"/>
        <w:rPr>
          <w:rFonts w:cs="Arial"/>
          <w:szCs w:val="22"/>
        </w:rPr>
      </w:pPr>
    </w:p>
    <w:p w:rsidR="002760C4" w:rsidRPr="00485D9F" w:rsidRDefault="005F29A3" w:rsidP="007C6D77">
      <w:pPr>
        <w:pStyle w:val="Style3"/>
        <w:spacing w:after="0"/>
        <w:rPr>
          <w:rFonts w:cs="Arial"/>
          <w:szCs w:val="22"/>
        </w:rPr>
      </w:pPr>
      <w:r>
        <w:t>Поступления от операций, не связанных с реализацией финансовых инструментов, в частности в виде добровольных взносов на специальные счета, подкрепляемые имеющими исковую силу соглашениями, проводятся в качестве доходов при вступлении в силу соответствующего соглашения, за исключением случаев, когда в соглашении содержатся условия, касающиеся конкретного результата или возврата неизрасходованных остатков</w:t>
      </w:r>
      <w:r w:rsidR="0005341A">
        <w:t>.  С</w:t>
      </w:r>
      <w:r>
        <w:t>оглашения такого рода требуют сначала учесть такие доходы как пассив в виде отстроченных поступлений, а после выполнения конкретных условий соглашения такие поступления учитываются в качестве доходов.</w:t>
      </w:r>
    </w:p>
    <w:p w:rsidR="002760C4" w:rsidRPr="00485D9F" w:rsidRDefault="002760C4" w:rsidP="007C6D77">
      <w:pPr>
        <w:pStyle w:val="Style3"/>
        <w:spacing w:after="0"/>
        <w:rPr>
          <w:rFonts w:cs="Arial"/>
          <w:szCs w:val="22"/>
        </w:rPr>
      </w:pPr>
    </w:p>
    <w:p w:rsidR="002760C4" w:rsidRPr="00485D9F" w:rsidRDefault="005F29A3" w:rsidP="007C6D77">
      <w:pPr>
        <w:pStyle w:val="Style3"/>
        <w:spacing w:after="0"/>
        <w:rPr>
          <w:rFonts w:cs="Arial"/>
          <w:szCs w:val="22"/>
        </w:rPr>
      </w:pPr>
      <w:r>
        <w:t>Начисленные взносы учитываются в качестве доходов в начале каждого года бюджетного периода, к которому относится начисление.</w:t>
      </w:r>
    </w:p>
    <w:p w:rsidR="003852F9" w:rsidRDefault="003852F9" w:rsidP="007C6D77">
      <w:pPr>
        <w:pStyle w:val="Style3Bold"/>
        <w:spacing w:after="0"/>
        <w:rPr>
          <w:rFonts w:cs="Arial"/>
          <w:szCs w:val="22"/>
        </w:rPr>
      </w:pPr>
    </w:p>
    <w:p w:rsidR="001A6EA4" w:rsidRPr="00485D9F" w:rsidRDefault="005F29A3" w:rsidP="007C6D77">
      <w:pPr>
        <w:pStyle w:val="Style3Bold"/>
        <w:spacing w:after="0"/>
        <w:rPr>
          <w:rFonts w:cs="Arial"/>
          <w:szCs w:val="22"/>
        </w:rPr>
      </w:pPr>
      <w:r>
        <w:t>Сегментная отчетность</w:t>
      </w:r>
    </w:p>
    <w:p w:rsidR="001A6EA4" w:rsidRPr="00485D9F" w:rsidRDefault="001A6EA4" w:rsidP="007C6D77">
      <w:pPr>
        <w:pStyle w:val="Style3"/>
        <w:spacing w:after="0"/>
        <w:rPr>
          <w:rFonts w:cs="Arial"/>
          <w:szCs w:val="22"/>
        </w:rPr>
      </w:pPr>
    </w:p>
    <w:p w:rsidR="006B132D" w:rsidRDefault="005F29A3" w:rsidP="006B132D">
      <w:pPr>
        <w:pStyle w:val="Style3Bold"/>
        <w:spacing w:after="0"/>
        <w:rPr>
          <w:rFonts w:cs="Arial"/>
          <w:b w:val="0"/>
          <w:szCs w:val="22"/>
        </w:rPr>
      </w:pPr>
      <w:r>
        <w:rPr>
          <w:b w:val="0"/>
        </w:rPr>
        <w:t>Сегментная отчетность основана на Союзах, которые составляют Всемирную организацию интеллектуальной собственности</w:t>
      </w:r>
      <w:r w:rsidR="0005341A">
        <w:rPr>
          <w:b w:val="0"/>
        </w:rPr>
        <w:t>.  Д</w:t>
      </w:r>
      <w:r>
        <w:rPr>
          <w:b w:val="0"/>
        </w:rPr>
        <w:t>оходы и расходы Организации распределяются между Союзами с использованием методики, утвержденной Ассамблеей ВОИС [Программа и бюджет на 2014-2015 гг., приложение III]</w:t>
      </w:r>
      <w:r w:rsidR="0005341A">
        <w:rPr>
          <w:b w:val="0"/>
        </w:rPr>
        <w:t>.  Э</w:t>
      </w:r>
      <w:r>
        <w:rPr>
          <w:b w:val="0"/>
        </w:rPr>
        <w:t>та методика предусматривает распределение доходов и расходов между всеми программами, а затем между всеми Союзами исходя из совокупности факторов, таких, как прямые доходы и расходы, численность персонала и платежеспособность каждого Союза, что в свою очередь определяется с учетом одновременно текущих доходов и резервов</w:t>
      </w:r>
      <w:r w:rsidR="006B1BEC">
        <w:rPr>
          <w:b w:val="0"/>
        </w:rPr>
        <w:t>.  А</w:t>
      </w:r>
      <w:r>
        <w:rPr>
          <w:b w:val="0"/>
        </w:rPr>
        <w:t xml:space="preserve">ктивы и пассивы ВОИС не распределяются по отдельным сегментам, поскольку владельцем является вся Организация, однако доля каждого Союза в чистых активах Организации, включая накопленные остатки средств, доход от переоценки и фонды оборотных средств, признается по сегментам (см. </w:t>
      </w:r>
      <w:r w:rsidRPr="001311AA">
        <w:rPr>
          <w:b w:val="0"/>
        </w:rPr>
        <w:t>примечание</w:t>
      </w:r>
      <w:r w:rsidR="001311AA" w:rsidRPr="001311AA">
        <w:rPr>
          <w:b w:val="0"/>
        </w:rPr>
        <w:t> </w:t>
      </w:r>
      <w:r w:rsidRPr="001311AA">
        <w:rPr>
          <w:b w:val="0"/>
        </w:rPr>
        <w:t>2</w:t>
      </w:r>
      <w:r>
        <w:rPr>
          <w:b w:val="0"/>
        </w:rPr>
        <w:t>8).</w:t>
      </w:r>
    </w:p>
    <w:p w:rsidR="00A114E5" w:rsidRDefault="00A114E5" w:rsidP="006B132D">
      <w:pPr>
        <w:pStyle w:val="Style3Bold"/>
        <w:spacing w:after="0"/>
        <w:rPr>
          <w:rFonts w:cs="Arial"/>
          <w:b w:val="0"/>
          <w:szCs w:val="22"/>
        </w:rPr>
      </w:pPr>
    </w:p>
    <w:p w:rsidR="001C0031" w:rsidRPr="001C0031" w:rsidRDefault="005F29A3" w:rsidP="006B132D">
      <w:pPr>
        <w:pStyle w:val="Style3Bold"/>
        <w:spacing w:after="0"/>
        <w:rPr>
          <w:rFonts w:cs="Arial"/>
          <w:szCs w:val="22"/>
        </w:rPr>
      </w:pPr>
      <w:r>
        <w:t>Изменения в представлении данных</w:t>
      </w:r>
    </w:p>
    <w:p w:rsidR="001C0031" w:rsidRDefault="001C0031" w:rsidP="006B132D">
      <w:pPr>
        <w:pStyle w:val="Style3Bold"/>
        <w:spacing w:after="0"/>
        <w:rPr>
          <w:rFonts w:cs="Arial"/>
          <w:b w:val="0"/>
          <w:szCs w:val="22"/>
        </w:rPr>
      </w:pPr>
    </w:p>
    <w:p w:rsidR="008A4CFF" w:rsidRDefault="005F29A3" w:rsidP="006B132D">
      <w:pPr>
        <w:pStyle w:val="Style3Bold"/>
        <w:spacing w:after="0"/>
        <w:rPr>
          <w:rFonts w:cs="Arial"/>
          <w:b w:val="0"/>
          <w:szCs w:val="22"/>
        </w:rPr>
      </w:pPr>
      <w:r>
        <w:rPr>
          <w:b w:val="0"/>
        </w:rPr>
        <w:t>В представлении сравнительных данных за 2013 г. были произведены следующие изменения, направленные на приведение их в соответствие с классификацией статей в финансовых ведомостях за 2014 г.:</w:t>
      </w:r>
    </w:p>
    <w:p w:rsidR="00EE6C78" w:rsidRDefault="00EE6C78" w:rsidP="006B132D">
      <w:pPr>
        <w:pStyle w:val="Style3Bold"/>
        <w:spacing w:after="0"/>
        <w:rPr>
          <w:rFonts w:cs="Arial"/>
          <w:b w:val="0"/>
          <w:szCs w:val="22"/>
        </w:rPr>
      </w:pPr>
    </w:p>
    <w:p w:rsidR="00EE6C78" w:rsidRPr="00DB658E" w:rsidRDefault="005F29A3" w:rsidP="00EE6C78">
      <w:pPr>
        <w:pStyle w:val="Style3Bold"/>
        <w:numPr>
          <w:ilvl w:val="0"/>
          <w:numId w:val="19"/>
        </w:numPr>
        <w:spacing w:after="0"/>
        <w:rPr>
          <w:rFonts w:cs="Arial"/>
          <w:b w:val="0"/>
          <w:szCs w:val="22"/>
        </w:rPr>
      </w:pPr>
      <w:r>
        <w:rPr>
          <w:b w:val="0"/>
        </w:rPr>
        <w:t>3,4 млн шв. франков были переведены из эксплуатационных расходов в финансовые издержки, которые теперь представлены отдельно в Отчете о финансовых результатах;</w:t>
      </w:r>
    </w:p>
    <w:p w:rsidR="00716C41" w:rsidRPr="00DB658E" w:rsidRDefault="005F29A3" w:rsidP="00EE6C78">
      <w:pPr>
        <w:pStyle w:val="Style3Bold"/>
        <w:numPr>
          <w:ilvl w:val="0"/>
          <w:numId w:val="19"/>
        </w:numPr>
        <w:spacing w:after="0"/>
        <w:rPr>
          <w:rFonts w:cs="Arial"/>
          <w:b w:val="0"/>
          <w:szCs w:val="22"/>
        </w:rPr>
      </w:pPr>
      <w:r>
        <w:rPr>
          <w:b w:val="0"/>
        </w:rPr>
        <w:t>0,5 млн шв. франков были переведены из расходов на персонал в расходы на стажеров и стипендии ВОИС, которые теперь представлены отдельно в Отчете о финансовых результатах</w:t>
      </w:r>
      <w:r w:rsidR="0005341A">
        <w:rPr>
          <w:b w:val="0"/>
        </w:rPr>
        <w:t>.  Р</w:t>
      </w:r>
      <w:r>
        <w:rPr>
          <w:b w:val="0"/>
        </w:rPr>
        <w:t>асходы на стажеров исключены из расходов на персонал, что лучше соответствует природе отношений стажеров с Организацией;</w:t>
      </w:r>
    </w:p>
    <w:p w:rsidR="00716C41" w:rsidRPr="006A4F36" w:rsidRDefault="005F29A3" w:rsidP="00EE6C78">
      <w:pPr>
        <w:pStyle w:val="Style3Bold"/>
        <w:numPr>
          <w:ilvl w:val="0"/>
          <w:numId w:val="19"/>
        </w:numPr>
        <w:spacing w:after="0"/>
        <w:rPr>
          <w:rFonts w:cs="Arial"/>
          <w:b w:val="0"/>
          <w:szCs w:val="22"/>
        </w:rPr>
      </w:pPr>
      <w:r>
        <w:rPr>
          <w:b w:val="0"/>
        </w:rPr>
        <w:t>1,3 млн шв. франков были переведены из расходов на оплату проезда и стипендии в расходы на стажеров и стипендии ВОИС, которые теперь представлены отдельно в Отчете о финансовых результатах</w:t>
      </w:r>
      <w:r w:rsidR="0005341A">
        <w:rPr>
          <w:b w:val="0"/>
        </w:rPr>
        <w:t>.  Р</w:t>
      </w:r>
      <w:r>
        <w:rPr>
          <w:b w:val="0"/>
        </w:rPr>
        <w:t>анее в категорию расходов на оплату проезда и стипендий включалась одна статья «стипендии», однако после проведения реформы контрактов в Организации было принято решение о введении двух отдельных статей, «стипендии ВОИС» и «учебные стипендии»</w:t>
      </w:r>
      <w:r w:rsidR="0005341A">
        <w:rPr>
          <w:b w:val="0"/>
        </w:rPr>
        <w:t>.  У</w:t>
      </w:r>
      <w:r>
        <w:rPr>
          <w:b w:val="0"/>
        </w:rPr>
        <w:t>чебные стипендии остались в категории расходов на оплату проезда и стипендии;</w:t>
      </w:r>
    </w:p>
    <w:p w:rsidR="00B55B30" w:rsidRDefault="005F29A3" w:rsidP="00EE6C78">
      <w:pPr>
        <w:pStyle w:val="Style3Bold"/>
        <w:numPr>
          <w:ilvl w:val="0"/>
          <w:numId w:val="19"/>
        </w:numPr>
        <w:spacing w:after="0"/>
        <w:rPr>
          <w:rFonts w:cs="Arial"/>
          <w:b w:val="0"/>
          <w:szCs w:val="22"/>
        </w:rPr>
      </w:pPr>
      <w:r>
        <w:rPr>
          <w:b w:val="0"/>
        </w:rPr>
        <w:t>В Отчете о финансовом положении 3,1 млн шв. франков подлежащих возмещению налогов США были перенесены из текущей дебиторской задолженности в долгосрочную дебиторскую задолженность (операции, связанные с реализацией финансовых инструментов,);</w:t>
      </w:r>
    </w:p>
    <w:p w:rsidR="00EE6C78" w:rsidRPr="006A4F36" w:rsidRDefault="005F29A3" w:rsidP="00EE6C78">
      <w:pPr>
        <w:pStyle w:val="Style3Bold"/>
        <w:numPr>
          <w:ilvl w:val="0"/>
          <w:numId w:val="19"/>
        </w:numPr>
        <w:spacing w:after="0"/>
        <w:rPr>
          <w:rFonts w:cs="Arial"/>
          <w:b w:val="0"/>
          <w:szCs w:val="22"/>
        </w:rPr>
      </w:pPr>
      <w:r>
        <w:rPr>
          <w:b w:val="0"/>
        </w:rPr>
        <w:lastRenderedPageBreak/>
        <w:t>В Отчете о финансовом положении 0,1 млн шв. франков, выделенных на выплату пособий при прекращении службы, были переведены из дебиторской задолженности (операции, связанные с реализацией финансовых инструм</w:t>
      </w:r>
      <w:r w:rsidR="00136CD5">
        <w:rPr>
          <w:b w:val="0"/>
        </w:rPr>
        <w:t>ентов) в пособия для персонала.</w:t>
      </w:r>
    </w:p>
    <w:p w:rsidR="00716C41" w:rsidRDefault="00716C41" w:rsidP="00333CA7">
      <w:pPr>
        <w:pStyle w:val="Style3Bold"/>
        <w:spacing w:after="0"/>
        <w:rPr>
          <w:rFonts w:cs="Arial"/>
          <w:szCs w:val="22"/>
        </w:rPr>
      </w:pPr>
    </w:p>
    <w:p w:rsidR="00333CA7" w:rsidRPr="00824733" w:rsidRDefault="005F29A3" w:rsidP="00333CA7">
      <w:pPr>
        <w:pStyle w:val="Style3Bold"/>
        <w:spacing w:after="0"/>
        <w:rPr>
          <w:rFonts w:cs="Arial"/>
          <w:b w:val="0"/>
          <w:szCs w:val="22"/>
        </w:rPr>
      </w:pPr>
      <w:r>
        <w:t>Использование оценок</w:t>
      </w:r>
    </w:p>
    <w:p w:rsidR="00333CA7" w:rsidRPr="00485D9F" w:rsidRDefault="00333CA7" w:rsidP="00333CA7">
      <w:pPr>
        <w:jc w:val="both"/>
        <w:rPr>
          <w:rFonts w:ascii="Arial" w:hAnsi="Arial" w:cs="Arial"/>
          <w:sz w:val="22"/>
          <w:szCs w:val="22"/>
        </w:rPr>
      </w:pPr>
    </w:p>
    <w:p w:rsidR="00333CA7" w:rsidRDefault="005F29A3" w:rsidP="00333CA7">
      <w:pPr>
        <w:pStyle w:val="Style3"/>
        <w:spacing w:after="0"/>
        <w:rPr>
          <w:rFonts w:cs="Arial"/>
          <w:szCs w:val="22"/>
        </w:rPr>
      </w:pPr>
      <w:r>
        <w:t>Финансовые ведомости в обязательном порядке включают суммы, основанные на оценках и предположениях руководства</w:t>
      </w:r>
      <w:r w:rsidR="0005341A">
        <w:t>.  О</w:t>
      </w:r>
      <w:r>
        <w:t>ценки, среди прочего, включают</w:t>
      </w:r>
      <w:r w:rsidR="006B1BEC">
        <w:t>:  у</w:t>
      </w:r>
      <w:r>
        <w:t>становленные обязательства по выплате пособий по медицинскому страхованию и других пособий после прекращения службы (стоимость которых исчисляется независимым актуарием), суммы в связи с судебными разбирательствами, оценку запасов публикаций, финансовые риски в связи с дебиторской задолженностью, накопившиеся платежи и потерю стоимости в связи с износом основных фондов</w:t>
      </w:r>
      <w:r w:rsidR="0005341A">
        <w:t>.  Ф</w:t>
      </w:r>
      <w:r>
        <w:t>актические цифры могут отличаться от этих оценок</w:t>
      </w:r>
      <w:r w:rsidR="0005341A">
        <w:t>.  И</w:t>
      </w:r>
      <w:r>
        <w:t>зменения в оценках отражаются за тот период, когда о них стало известно.</w:t>
      </w:r>
    </w:p>
    <w:p w:rsidR="00333CA7" w:rsidRDefault="00333CA7" w:rsidP="00333CA7">
      <w:pPr>
        <w:pStyle w:val="Style3"/>
        <w:spacing w:after="0"/>
        <w:rPr>
          <w:rFonts w:cs="Arial"/>
          <w:szCs w:val="22"/>
        </w:rPr>
      </w:pPr>
    </w:p>
    <w:p w:rsidR="00333CA7" w:rsidRPr="00333CA7" w:rsidRDefault="005F29A3" w:rsidP="00333CA7">
      <w:pPr>
        <w:pStyle w:val="Style3Bold"/>
        <w:spacing w:after="0"/>
        <w:rPr>
          <w:rFonts w:cs="Arial"/>
          <w:b w:val="0"/>
          <w:szCs w:val="22"/>
        </w:rPr>
      </w:pPr>
      <w:r>
        <w:rPr>
          <w:b w:val="0"/>
        </w:rPr>
        <w:t>При суммировании всех остатков в тысячах швейцарских франков может возникнуть небольшая разница из-за округления.</w:t>
      </w:r>
    </w:p>
    <w:p w:rsidR="002C5F2A" w:rsidRPr="005A0FC8" w:rsidRDefault="005F29A3" w:rsidP="00901633">
      <w:pPr>
        <w:pStyle w:val="StyleHeading211ptNotBoldNotItalicAllcaps"/>
        <w:spacing w:before="0" w:after="0"/>
        <w:rPr>
          <w:szCs w:val="22"/>
        </w:rPr>
      </w:pPr>
      <w:r>
        <w:br w:type="page"/>
      </w:r>
      <w:r w:rsidRPr="001311AA">
        <w:lastRenderedPageBreak/>
        <w:t>Примечание</w:t>
      </w:r>
      <w:r w:rsidR="001311AA" w:rsidRPr="001311AA">
        <w:t> </w:t>
      </w:r>
      <w:r w:rsidRPr="001311AA">
        <w:t>3</w:t>
      </w:r>
      <w:r>
        <w:t>:</w:t>
      </w:r>
      <w:r>
        <w:rPr>
          <w:i/>
        </w:rPr>
        <w:tab/>
      </w:r>
      <w:r>
        <w:t>ДЕНЕЖНЫЕ СРЕДСТВА И ИХ ЭКВИВАЛЕНТЫ</w:t>
      </w:r>
    </w:p>
    <w:p w:rsidR="003B5F73" w:rsidRDefault="003B5F73" w:rsidP="00901633">
      <w:pPr>
        <w:jc w:val="both"/>
        <w:rPr>
          <w:sz w:val="20"/>
          <w:szCs w:val="20"/>
        </w:rPr>
      </w:pPr>
      <w:bookmarkStart w:id="13" w:name="OLE_LINK3"/>
      <w:bookmarkStart w:id="14" w:name="OLE_LINK4"/>
    </w:p>
    <w:p w:rsidR="00797AED" w:rsidRPr="00CC0680" w:rsidRDefault="00A65C21" w:rsidP="001B3146">
      <w:pPr>
        <w:jc w:val="center"/>
        <w:rPr>
          <w:szCs w:val="22"/>
        </w:rPr>
      </w:pPr>
      <w:r>
        <w:rPr>
          <w:noProof/>
          <w:szCs w:val="22"/>
          <w:lang w:val="en-US" w:eastAsia="en-US"/>
        </w:rPr>
        <w:drawing>
          <wp:inline distT="0" distB="0" distL="0" distR="0">
            <wp:extent cx="5734050" cy="418147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34050" cy="4181475"/>
                    </a:xfrm>
                    <a:prstGeom prst="rect">
                      <a:avLst/>
                    </a:prstGeom>
                    <a:noFill/>
                    <a:ln>
                      <a:noFill/>
                    </a:ln>
                  </pic:spPr>
                </pic:pic>
              </a:graphicData>
            </a:graphic>
          </wp:inline>
        </w:drawing>
      </w:r>
    </w:p>
    <w:bookmarkEnd w:id="13"/>
    <w:bookmarkEnd w:id="14"/>
    <w:p w:rsidR="00B6723E" w:rsidRPr="001A78D7" w:rsidRDefault="005F29A3" w:rsidP="007C6D77">
      <w:pPr>
        <w:pStyle w:val="Style3"/>
        <w:spacing w:after="0"/>
        <w:rPr>
          <w:rFonts w:cs="Arial"/>
          <w:szCs w:val="22"/>
        </w:rPr>
      </w:pPr>
      <w:r>
        <w:t>Денежные депозиты, как правило, держатся на банковских счетах с прямым доступом и процентных счетах</w:t>
      </w:r>
      <w:r w:rsidR="006B1BEC">
        <w:t>.  В</w:t>
      </w:r>
      <w:r>
        <w:t xml:space="preserve"> 2014 г. средняя ставка процента, «заработанного» по процентным счетам и инвестициям, которые держатся в Федеральной финансовой администрации (ФФА) Швейцарии, составила 0,421% (в 2013 г. этот показатель составил 0,558%)</w:t>
      </w:r>
      <w:r w:rsidR="0005341A">
        <w:t>.  П</w:t>
      </w:r>
      <w:r>
        <w:t>осле принятия ФФА новых правил открытия и ведения депозитных счетов с конца 2015 г. ВОИС более не сможет держать депозиты в ФФА.</w:t>
      </w:r>
    </w:p>
    <w:p w:rsidR="00B6723E" w:rsidRPr="005A0FC8" w:rsidRDefault="00B6723E" w:rsidP="007C6D77">
      <w:pPr>
        <w:pStyle w:val="Style3"/>
        <w:spacing w:after="0"/>
        <w:rPr>
          <w:rFonts w:cs="Arial"/>
          <w:szCs w:val="22"/>
        </w:rPr>
      </w:pPr>
    </w:p>
    <w:p w:rsidR="0050107F" w:rsidRPr="00136CD5" w:rsidRDefault="005F29A3" w:rsidP="007C6D77">
      <w:pPr>
        <w:pStyle w:val="Style3"/>
        <w:spacing w:after="0"/>
        <w:rPr>
          <w:rFonts w:cs="Arial"/>
          <w:szCs w:val="22"/>
        </w:rPr>
      </w:pPr>
      <w:r>
        <w:t>Средства с ограничениями включают средства, которые хранятся от имени третьих лиц для целей регистрации товарных знаков или промышленных образцов, подписки на периодические издания ВОИС и пр</w:t>
      </w:r>
      <w:r w:rsidR="0005341A">
        <w:t>.  К</w:t>
      </w:r>
      <w:r>
        <w:t xml:space="preserve"> ним также относятся пошлины, взимаемые получающим ведомством Международного бюро ВОИС от имени оговаривающихся государств в рамках Мадридского и Гаагского соглашений, а также от имени международных поисковых органов (МПО) РСТ</w:t>
      </w:r>
      <w:r w:rsidR="0005341A">
        <w:t>.  К</w:t>
      </w:r>
      <w:r>
        <w:t>роме того, депозиты, полученные в связи с предстоящими процедурами по регистрации товарных знаков, кроме той части, которая рассматривается в качестве авансовых поступлений Организации, представляют собой средства, собранные от имени третьих лиц, и считаю</w:t>
      </w:r>
      <w:r w:rsidR="00136CD5">
        <w:t>тся средствами с ограничениями.</w:t>
      </w:r>
    </w:p>
    <w:p w:rsidR="0050107F" w:rsidRDefault="0050107F" w:rsidP="007C6D77">
      <w:pPr>
        <w:pStyle w:val="Style3"/>
        <w:spacing w:after="0"/>
        <w:rPr>
          <w:rFonts w:cs="Arial"/>
          <w:szCs w:val="22"/>
        </w:rPr>
      </w:pPr>
    </w:p>
    <w:p w:rsidR="00404477" w:rsidRDefault="005F29A3" w:rsidP="007C6D77">
      <w:pPr>
        <w:pStyle w:val="Style3"/>
        <w:spacing w:after="0"/>
        <w:rPr>
          <w:rFonts w:cs="Arial"/>
          <w:szCs w:val="22"/>
        </w:rPr>
      </w:pPr>
      <w:r>
        <w:t>В 2014 г. Организация перевела 85,2 млн шв. франков на отдельный банковский счет, открытый для размещения средств, предназначенных для будущего финансирования обязательств по выплате пособий сотрудникам, вышедшим на пенсию</w:t>
      </w:r>
      <w:r w:rsidR="0005341A">
        <w:t>.  Э</w:t>
      </w:r>
      <w:r>
        <w:t>ти средства также считаются средствами с ограничениями.</w:t>
      </w:r>
    </w:p>
    <w:p w:rsidR="00404477" w:rsidRDefault="00404477" w:rsidP="007C6D77">
      <w:pPr>
        <w:pStyle w:val="Style3"/>
        <w:spacing w:after="0"/>
        <w:rPr>
          <w:rFonts w:cs="Arial"/>
          <w:szCs w:val="22"/>
        </w:rPr>
      </w:pPr>
    </w:p>
    <w:p w:rsidR="0050107F" w:rsidRPr="00136CD5" w:rsidRDefault="005F29A3" w:rsidP="00224A31">
      <w:pPr>
        <w:pStyle w:val="Style3"/>
        <w:spacing w:after="0"/>
        <w:rPr>
          <w:szCs w:val="22"/>
        </w:rPr>
      </w:pPr>
      <w:r>
        <w:t xml:space="preserve">Средства на </w:t>
      </w:r>
      <w:r w:rsidR="00C950F5">
        <w:t>специальных</w:t>
      </w:r>
      <w:r>
        <w:t xml:space="preserve"> счетах, которые держатся от имени доноров добровольных взносов, хранятся в той валюте, в которой ведется отчетность о расходах н</w:t>
      </w:r>
      <w:r w:rsidR="00136CD5">
        <w:t>а основе соглашений с донорами.</w:t>
      </w:r>
    </w:p>
    <w:p w:rsidR="00361C71" w:rsidRDefault="00361C71" w:rsidP="00224A31">
      <w:pPr>
        <w:pStyle w:val="Style3"/>
        <w:spacing w:after="0"/>
        <w:rPr>
          <w:szCs w:val="22"/>
        </w:rPr>
      </w:pPr>
    </w:p>
    <w:p w:rsidR="00901633" w:rsidRPr="00D065C0" w:rsidRDefault="005F29A3" w:rsidP="00334B0C">
      <w:pPr>
        <w:pStyle w:val="StyleHeading211ptNotBoldNotItalicAllcaps"/>
        <w:spacing w:before="0" w:after="0"/>
        <w:rPr>
          <w:szCs w:val="22"/>
        </w:rPr>
      </w:pPr>
      <w:r>
        <w:br w:type="page"/>
      </w:r>
      <w:r w:rsidRPr="001311AA">
        <w:lastRenderedPageBreak/>
        <w:t>Примечание</w:t>
      </w:r>
      <w:r w:rsidR="001311AA" w:rsidRPr="001311AA">
        <w:t> </w:t>
      </w:r>
      <w:r w:rsidRPr="001311AA">
        <w:t>4</w:t>
      </w:r>
      <w:r>
        <w:t>:</w:t>
      </w:r>
      <w:r>
        <w:tab/>
        <w:t>Дебиторская задолженность, авансы и предоплата</w:t>
      </w:r>
    </w:p>
    <w:p w:rsidR="003B5F73" w:rsidRDefault="003B5F73" w:rsidP="00901633">
      <w:pPr>
        <w:jc w:val="center"/>
        <w:rPr>
          <w:sz w:val="20"/>
          <w:szCs w:val="20"/>
        </w:rPr>
      </w:pPr>
    </w:p>
    <w:p w:rsidR="00B85BE6" w:rsidRPr="00866E54" w:rsidRDefault="00052F36" w:rsidP="00901633">
      <w:pPr>
        <w:jc w:val="center"/>
      </w:pPr>
      <w:r>
        <w:rPr>
          <w:noProof/>
          <w:lang w:val="en-US" w:eastAsia="en-US"/>
        </w:rPr>
        <w:drawing>
          <wp:inline distT="0" distB="0" distL="0" distR="0">
            <wp:extent cx="5734050" cy="7915275"/>
            <wp:effectExtent l="0" t="0" r="0"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34050" cy="7915275"/>
                    </a:xfrm>
                    <a:prstGeom prst="rect">
                      <a:avLst/>
                    </a:prstGeom>
                    <a:noFill/>
                    <a:ln>
                      <a:noFill/>
                    </a:ln>
                  </pic:spPr>
                </pic:pic>
              </a:graphicData>
            </a:graphic>
          </wp:inline>
        </w:drawing>
      </w:r>
      <w:r w:rsidR="005F29A3">
        <w:br/>
      </w:r>
    </w:p>
    <w:p w:rsidR="00B85BE6" w:rsidRPr="00136CD5" w:rsidRDefault="005F29A3" w:rsidP="007C6D77">
      <w:pPr>
        <w:pStyle w:val="Style3"/>
        <w:spacing w:after="0"/>
        <w:rPr>
          <w:rFonts w:cs="Arial"/>
          <w:szCs w:val="22"/>
        </w:rPr>
      </w:pPr>
      <w:r>
        <w:t xml:space="preserve">Начисленные взносы представляют собой несобранные доходы, относящиеся к системе унитарных взносов ВОИС, утвержденной Ассамблеями государств-членов и Союзов, </w:t>
      </w:r>
      <w:r>
        <w:lastRenderedPageBreak/>
        <w:t>административные функции которых выполняет ВОИС</w:t>
      </w:r>
      <w:r w:rsidR="006B1BEC">
        <w:t>.  А</w:t>
      </w:r>
      <w:r>
        <w:t>ссамблеи устанавливают значение единицы взносов в швейцарских франках вместе с принятием бюджета на двухлетний финансовый период</w:t>
      </w:r>
      <w:r w:rsidR="0005341A">
        <w:t>.  К</w:t>
      </w:r>
      <w:r>
        <w:t>лассы взносов определяют, сколько именно единиц взносов должен уплачивать каждый член</w:t>
      </w:r>
      <w:r w:rsidR="0005341A">
        <w:t>.  Г</w:t>
      </w:r>
      <w:r>
        <w:t>осударства-члены свободны в выборе класса, составляющего основу для внесения ими взноса, за исключением некоторых развивающихся стран, которые автоматически относятся к одно</w:t>
      </w:r>
      <w:r w:rsidR="00136CD5">
        <w:t>му из трех специальных классов.</w:t>
      </w:r>
    </w:p>
    <w:p w:rsidR="008F7307" w:rsidRDefault="008F7307" w:rsidP="007C6D77">
      <w:pPr>
        <w:pStyle w:val="Style3"/>
        <w:spacing w:after="0"/>
        <w:rPr>
          <w:rFonts w:cs="Arial"/>
          <w:szCs w:val="22"/>
        </w:rPr>
      </w:pPr>
    </w:p>
    <w:p w:rsidR="008F7307" w:rsidRPr="00D065C0" w:rsidRDefault="005F29A3" w:rsidP="008F7307">
      <w:pPr>
        <w:pStyle w:val="Style3"/>
        <w:spacing w:after="0"/>
        <w:rPr>
          <w:rFonts w:cs="Arial"/>
          <w:szCs w:val="22"/>
        </w:rPr>
      </w:pPr>
      <w:r>
        <w:t>Были предусмотрены ассигнования для возмещения как дебиторской задолженности по уплате начисленных взносов, так и задолженности по уплате взносов в фонды оборотных средств Союзов, которые относятся к периодам, предшествующим введению в 1994 г. унитарной системы взносов</w:t>
      </w:r>
      <w:r w:rsidR="0005341A">
        <w:t>.  Э</w:t>
      </w:r>
      <w:r>
        <w:t>ти ассигнования покрывают суммы, подлежащие уплате государствами-членами, которые потеряли право голоса в соответствии с пунктом 5 статьи 11 Конвенции ВОИС, а также взносы наименее развитых стран, которые заморожены решением Ассамблей</w:t>
      </w:r>
      <w:r w:rsidR="0005341A">
        <w:t>.  С</w:t>
      </w:r>
      <w:r>
        <w:t>умма ассигнований на 31 декабря 2014 г. составила 6,8 млн шв. франков (7,1 млн шв. франков по состоянию на 31 декабря 2013 г.).</w:t>
      </w:r>
    </w:p>
    <w:p w:rsidR="008F7307" w:rsidRPr="00D065C0" w:rsidRDefault="008F7307" w:rsidP="007C6D77">
      <w:pPr>
        <w:pStyle w:val="Style3"/>
        <w:spacing w:after="0"/>
        <w:rPr>
          <w:rFonts w:cs="Arial"/>
          <w:szCs w:val="22"/>
        </w:rPr>
      </w:pPr>
    </w:p>
    <w:p w:rsidR="00FA59CE" w:rsidRDefault="005F29A3" w:rsidP="007C6D77">
      <w:pPr>
        <w:pStyle w:val="Style3"/>
        <w:spacing w:after="0"/>
        <w:rPr>
          <w:rFonts w:cs="Arial"/>
          <w:szCs w:val="22"/>
        </w:rPr>
      </w:pPr>
      <w:r>
        <w:t>Задолженность по РСТ представляет собой невыплаченные международные пошлины за подачу заявок до отчетной даты</w:t>
      </w:r>
      <w:r w:rsidR="0005341A">
        <w:t>.  О</w:t>
      </w:r>
      <w:r>
        <w:t>на включает оценочные данные о тех международных патентных заявках, которые получены национальными получающими ведомствами до отчетной даты, но не препровождены в Международное бюро РСТ Организации на отчетную дату.</w:t>
      </w:r>
    </w:p>
    <w:p w:rsidR="009A3050" w:rsidRDefault="009A3050" w:rsidP="007C6D77">
      <w:pPr>
        <w:pStyle w:val="Style3"/>
        <w:spacing w:after="0"/>
        <w:rPr>
          <w:rFonts w:cs="Arial"/>
          <w:szCs w:val="22"/>
        </w:rPr>
      </w:pPr>
    </w:p>
    <w:p w:rsidR="00173FBC" w:rsidRPr="00D065C0" w:rsidRDefault="005F29A3" w:rsidP="007C6D77">
      <w:pPr>
        <w:pStyle w:val="Style3"/>
        <w:spacing w:after="0"/>
        <w:rPr>
          <w:rFonts w:cs="Arial"/>
          <w:szCs w:val="22"/>
        </w:rPr>
      </w:pPr>
      <w:r>
        <w:t>Международные сотрудники, за исключением тех, кто проживает в своей стране, имеют право на получение пособия, покрывающего 75% расходов, связанных с образованием детей-иждивенцев, вплоть до четвертого года обучения в высшем учебном заведении, но не после окончания учебного года, в котором иждивенец достигает возраста 25 лет</w:t>
      </w:r>
      <w:r w:rsidR="0005341A">
        <w:t>.  Д</w:t>
      </w:r>
      <w:r>
        <w:t>ля каждой страны установлены максимальный размер пособия</w:t>
      </w:r>
      <w:r w:rsidR="0005341A">
        <w:t>.  М</w:t>
      </w:r>
      <w:r>
        <w:t>еждународные сотрудники имеют право на получение в начале учебного года аванса, равного сметной сумме пособия на образование для каждого ребенка</w:t>
      </w:r>
      <w:r w:rsidR="006B1BEC">
        <w:t>.  А</w:t>
      </w:r>
      <w:r>
        <w:t>вансовые выплаты сотрудникам в счет пособия на образование составляют общий фонд средств, авансированных на 2014-2015 учебный год.</w:t>
      </w:r>
    </w:p>
    <w:p w:rsidR="00834CF6" w:rsidRPr="00355F7B" w:rsidRDefault="00834CF6" w:rsidP="00355F7B">
      <w:pPr>
        <w:pStyle w:val="Style3"/>
        <w:spacing w:after="0"/>
        <w:rPr>
          <w:rFonts w:cs="Arial"/>
          <w:szCs w:val="22"/>
        </w:rPr>
      </w:pPr>
    </w:p>
    <w:p w:rsidR="00834CF6" w:rsidRPr="00355F7B" w:rsidRDefault="005F29A3" w:rsidP="00355F7B">
      <w:pPr>
        <w:jc w:val="both"/>
        <w:rPr>
          <w:rFonts w:ascii="Arial" w:hAnsi="Arial" w:cs="Arial"/>
          <w:sz w:val="22"/>
          <w:szCs w:val="22"/>
        </w:rPr>
      </w:pPr>
      <w:r>
        <w:rPr>
          <w:rFonts w:ascii="Arial" w:hAnsi="Arial"/>
          <w:sz w:val="22"/>
        </w:rPr>
        <w:t>Средства, авансированные Программе развития ООН (ПРООН), используются для осуществления выплат от имени Организации</w:t>
      </w:r>
      <w:r w:rsidR="0005341A">
        <w:rPr>
          <w:rFonts w:ascii="Arial" w:hAnsi="Arial"/>
          <w:sz w:val="22"/>
        </w:rPr>
        <w:t>.  О</w:t>
      </w:r>
      <w:r>
        <w:rPr>
          <w:rFonts w:ascii="Arial" w:hAnsi="Arial"/>
          <w:sz w:val="22"/>
        </w:rPr>
        <w:t>бщая сумма дебиторской задолженности, указанная в таблице, включает суммы, фигурирующие в платежных требованиях к ПРООН, подтверждение которых еще не получено или находится в процессе проверки</w:t>
      </w:r>
      <w:r w:rsidR="0005341A">
        <w:rPr>
          <w:rFonts w:ascii="Arial" w:hAnsi="Arial"/>
          <w:sz w:val="22"/>
        </w:rPr>
        <w:t>.  П</w:t>
      </w:r>
      <w:r>
        <w:rPr>
          <w:rFonts w:ascii="Arial" w:hAnsi="Arial"/>
          <w:sz w:val="22"/>
        </w:rPr>
        <w:t>одлежащие возмещению расходы на УПОВ представляют собой платежи, проведенные Организацией от имени Международного союза по охране новых сортов растений, возмещение которых еще не получено.</w:t>
      </w:r>
    </w:p>
    <w:p w:rsidR="00427886" w:rsidRPr="00355F7B" w:rsidRDefault="00427886" w:rsidP="00355F7B">
      <w:pPr>
        <w:jc w:val="both"/>
        <w:rPr>
          <w:rFonts w:ascii="Arial" w:hAnsi="Arial" w:cs="Arial"/>
          <w:sz w:val="22"/>
          <w:szCs w:val="22"/>
        </w:rPr>
      </w:pPr>
    </w:p>
    <w:p w:rsidR="00834CF6" w:rsidRPr="00355F7B" w:rsidRDefault="005F29A3" w:rsidP="00355F7B">
      <w:pPr>
        <w:jc w:val="both"/>
        <w:rPr>
          <w:rFonts w:ascii="Arial" w:hAnsi="Arial" w:cs="Arial"/>
          <w:sz w:val="22"/>
          <w:szCs w:val="22"/>
        </w:rPr>
      </w:pPr>
      <w:r>
        <w:rPr>
          <w:rFonts w:ascii="Arial" w:hAnsi="Arial"/>
          <w:sz w:val="22"/>
        </w:rPr>
        <w:t>Дебиторская задолженность по налогам США представляет собой суммы, авансированные сотрудникам для возмещения уплаченного ими подоходного налога в Соединенных Штатах Америки</w:t>
      </w:r>
      <w:r w:rsidR="0005341A">
        <w:rPr>
          <w:rFonts w:ascii="Arial" w:hAnsi="Arial"/>
          <w:sz w:val="22"/>
        </w:rPr>
        <w:t>.  С</w:t>
      </w:r>
      <w:r>
        <w:rPr>
          <w:rFonts w:ascii="Arial" w:hAnsi="Arial"/>
          <w:sz w:val="22"/>
        </w:rPr>
        <w:t>огласно соглашениям между Организацией и США, эти суммы подлежат возмещению Организации</w:t>
      </w:r>
      <w:r w:rsidR="0005341A">
        <w:rPr>
          <w:rFonts w:ascii="Arial" w:hAnsi="Arial"/>
          <w:sz w:val="22"/>
        </w:rPr>
        <w:t>.  П</w:t>
      </w:r>
      <w:r>
        <w:rPr>
          <w:rFonts w:ascii="Arial" w:hAnsi="Arial"/>
          <w:sz w:val="22"/>
        </w:rPr>
        <w:t>одлежащие возмещению налоги США оцениваются по амортизированной стоимости, которая рассчитывается исходя из имеющихся данных о таких платежах в прошлом</w:t>
      </w:r>
      <w:r w:rsidR="0005341A">
        <w:rPr>
          <w:rFonts w:ascii="Arial" w:hAnsi="Arial"/>
          <w:sz w:val="22"/>
        </w:rPr>
        <w:t>.  П</w:t>
      </w:r>
      <w:r>
        <w:rPr>
          <w:rFonts w:ascii="Arial" w:hAnsi="Arial"/>
          <w:sz w:val="22"/>
        </w:rPr>
        <w:t>одлежащие возмещению налоги Швейцарии включают налог на добавленную стоимость, гербовый сбор и федеральный налог с дивидендов, в отношении которых Организация имеет право на возмещение по условиям соглашения о штаб-квартире с правительством Швейцарии.</w:t>
      </w:r>
    </w:p>
    <w:p w:rsidR="004E7EB2" w:rsidRPr="00355F7B" w:rsidRDefault="004E7EB2" w:rsidP="00355F7B">
      <w:pPr>
        <w:jc w:val="both"/>
        <w:rPr>
          <w:rFonts w:ascii="Arial" w:hAnsi="Arial" w:cs="Arial"/>
          <w:sz w:val="22"/>
          <w:szCs w:val="22"/>
        </w:rPr>
      </w:pPr>
    </w:p>
    <w:p w:rsidR="00052F36" w:rsidRDefault="00052F36">
      <w:pPr>
        <w:rPr>
          <w:rFonts w:ascii="Arial" w:hAnsi="Arial" w:cs="Arial"/>
          <w:b/>
          <w:caps/>
          <w:sz w:val="22"/>
          <w:szCs w:val="28"/>
        </w:rPr>
      </w:pPr>
      <w:r>
        <w:br w:type="page"/>
      </w:r>
    </w:p>
    <w:p w:rsidR="008C6D96" w:rsidRPr="00D065C0" w:rsidRDefault="005F29A3" w:rsidP="00A43A6E">
      <w:pPr>
        <w:pStyle w:val="StyleHeading211ptNotBoldNotItalicAllcaps"/>
        <w:spacing w:before="0" w:after="0"/>
      </w:pPr>
      <w:r w:rsidRPr="001311AA">
        <w:lastRenderedPageBreak/>
        <w:t>Примечание</w:t>
      </w:r>
      <w:r w:rsidR="001311AA" w:rsidRPr="001311AA">
        <w:t> </w:t>
      </w:r>
      <w:r w:rsidRPr="001311AA">
        <w:t>5</w:t>
      </w:r>
      <w:r>
        <w:t>:</w:t>
      </w:r>
      <w:r>
        <w:tab/>
        <w:t>Товарно-материальные запасы</w:t>
      </w:r>
    </w:p>
    <w:p w:rsidR="003B5F73" w:rsidRDefault="003B5F73" w:rsidP="00A43A6E">
      <w:pPr>
        <w:jc w:val="center"/>
        <w:rPr>
          <w:sz w:val="20"/>
          <w:szCs w:val="20"/>
        </w:rPr>
      </w:pPr>
    </w:p>
    <w:p w:rsidR="0088188A" w:rsidRDefault="00052F36" w:rsidP="0088188A">
      <w:pPr>
        <w:jc w:val="center"/>
        <w:rPr>
          <w:rStyle w:val="Style3Char"/>
          <w:rFonts w:cs="Arial"/>
          <w:szCs w:val="22"/>
        </w:rPr>
      </w:pPr>
      <w:r>
        <w:rPr>
          <w:rFonts w:ascii="Arial" w:hAnsi="Arial" w:cs="Arial"/>
          <w:noProof/>
          <w:sz w:val="22"/>
          <w:szCs w:val="22"/>
          <w:lang w:val="en-US" w:eastAsia="en-US"/>
        </w:rPr>
        <w:drawing>
          <wp:inline distT="0" distB="0" distL="0" distR="0">
            <wp:extent cx="5600700" cy="154305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600700" cy="1543050"/>
                    </a:xfrm>
                    <a:prstGeom prst="rect">
                      <a:avLst/>
                    </a:prstGeom>
                    <a:noFill/>
                    <a:ln>
                      <a:noFill/>
                    </a:ln>
                  </pic:spPr>
                </pic:pic>
              </a:graphicData>
            </a:graphic>
          </wp:inline>
        </w:drawing>
      </w:r>
    </w:p>
    <w:p w:rsidR="0088188A" w:rsidRDefault="0088188A" w:rsidP="004E7EB2">
      <w:pPr>
        <w:jc w:val="both"/>
        <w:rPr>
          <w:rStyle w:val="Style3Char"/>
          <w:rFonts w:cs="Arial"/>
          <w:szCs w:val="22"/>
        </w:rPr>
      </w:pPr>
    </w:p>
    <w:p w:rsidR="00A74529" w:rsidRPr="00B707AD" w:rsidRDefault="005F29A3" w:rsidP="00B707AD">
      <w:pPr>
        <w:jc w:val="both"/>
        <w:rPr>
          <w:rFonts w:ascii="Arial" w:hAnsi="Arial" w:cs="Arial"/>
          <w:sz w:val="22"/>
          <w:szCs w:val="22"/>
        </w:rPr>
      </w:pPr>
      <w:r>
        <w:rPr>
          <w:rStyle w:val="Style3Char"/>
        </w:rPr>
        <w:t>Понижение стоимости товарно-материальных запасов законченных публикаций до чистой реализуемой стоимости составило 0,1 млн </w:t>
      </w:r>
      <w:r w:rsidRPr="001311AA">
        <w:rPr>
          <w:rStyle w:val="Style3Char"/>
        </w:rPr>
        <w:t>шв.</w:t>
      </w:r>
      <w:r w:rsidR="001311AA" w:rsidRPr="001311AA">
        <w:rPr>
          <w:rStyle w:val="Style3Char"/>
        </w:rPr>
        <w:t> </w:t>
      </w:r>
      <w:r w:rsidRPr="001311AA">
        <w:rPr>
          <w:rStyle w:val="Style3Char"/>
        </w:rPr>
        <w:t>франков</w:t>
      </w:r>
      <w:r>
        <w:rPr>
          <w:rStyle w:val="Style3Char"/>
        </w:rPr>
        <w:t xml:space="preserve"> (0,</w:t>
      </w:r>
      <w:r w:rsidRPr="001311AA">
        <w:rPr>
          <w:rStyle w:val="Style3Char"/>
        </w:rPr>
        <w:t>2</w:t>
      </w:r>
      <w:r w:rsidR="001311AA" w:rsidRPr="001311AA">
        <w:rPr>
          <w:rStyle w:val="Style3Char"/>
        </w:rPr>
        <w:t> </w:t>
      </w:r>
      <w:r w:rsidRPr="001311AA">
        <w:rPr>
          <w:rStyle w:val="Style3Char"/>
        </w:rPr>
        <w:t>млн</w:t>
      </w:r>
      <w:r>
        <w:rPr>
          <w:rStyle w:val="Style3Char"/>
        </w:rPr>
        <w:t> </w:t>
      </w:r>
      <w:r w:rsidRPr="001311AA">
        <w:rPr>
          <w:rStyle w:val="Style3Char"/>
        </w:rPr>
        <w:t>шв.</w:t>
      </w:r>
      <w:r w:rsidR="001311AA" w:rsidRPr="001311AA">
        <w:rPr>
          <w:rStyle w:val="Style3Char"/>
        </w:rPr>
        <w:t> </w:t>
      </w:r>
      <w:r w:rsidRPr="001311AA">
        <w:rPr>
          <w:rStyle w:val="Style3Char"/>
        </w:rPr>
        <w:t>франков</w:t>
      </w:r>
      <w:r>
        <w:rPr>
          <w:rStyle w:val="Style3Char"/>
        </w:rPr>
        <w:t xml:space="preserve"> в 2013 г.)</w:t>
      </w:r>
      <w:r w:rsidR="0005341A">
        <w:rPr>
          <w:rStyle w:val="Style3Char"/>
        </w:rPr>
        <w:t>.  Н</w:t>
      </w:r>
      <w:r>
        <w:rPr>
          <w:rStyle w:val="Style3Char"/>
        </w:rPr>
        <w:t>е было зафиксировано никаких инверсий понижения стоимости.</w:t>
      </w:r>
    </w:p>
    <w:p w:rsidR="00323B8C" w:rsidRDefault="00323B8C" w:rsidP="009E2869">
      <w:pPr>
        <w:pStyle w:val="StyleHeading211ptNotBoldNotItalicAllcaps"/>
        <w:spacing w:before="0" w:after="0"/>
        <w:rPr>
          <w:lang w:val="en-US"/>
        </w:rPr>
      </w:pPr>
    </w:p>
    <w:p w:rsidR="0087204A" w:rsidRPr="00D27223" w:rsidRDefault="005F29A3" w:rsidP="009E2869">
      <w:pPr>
        <w:pStyle w:val="StyleHeading211ptNotBoldNotItalicAllcaps"/>
        <w:spacing w:before="0" w:after="0"/>
      </w:pPr>
      <w:r w:rsidRPr="001311AA">
        <w:t>Примечание</w:t>
      </w:r>
      <w:r w:rsidR="001311AA" w:rsidRPr="001311AA">
        <w:t> </w:t>
      </w:r>
      <w:r w:rsidRPr="001311AA">
        <w:t>6</w:t>
      </w:r>
      <w:r>
        <w:t>:</w:t>
      </w:r>
      <w:r>
        <w:tab/>
        <w:t>Оборудование</w:t>
      </w:r>
    </w:p>
    <w:p w:rsidR="003B5F73" w:rsidRDefault="003B5F73" w:rsidP="007C6D77">
      <w:pPr>
        <w:pStyle w:val="Style3"/>
        <w:spacing w:after="0"/>
        <w:rPr>
          <w:rFonts w:ascii="Times New Roman" w:hAnsi="Times New Roman"/>
          <w:sz w:val="20"/>
        </w:rPr>
      </w:pPr>
    </w:p>
    <w:p w:rsidR="003B5F73" w:rsidRPr="009E2869" w:rsidRDefault="00052F36" w:rsidP="009E2869">
      <w:pPr>
        <w:pStyle w:val="Style3"/>
        <w:spacing w:after="0"/>
        <w:jc w:val="center"/>
      </w:pPr>
      <w:r>
        <w:rPr>
          <w:noProof/>
          <w:lang w:val="en-US" w:eastAsia="en-US"/>
        </w:rPr>
        <w:drawing>
          <wp:inline distT="0" distB="0" distL="0" distR="0">
            <wp:extent cx="5715000" cy="356235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15000" cy="3562350"/>
                    </a:xfrm>
                    <a:prstGeom prst="rect">
                      <a:avLst/>
                    </a:prstGeom>
                    <a:noFill/>
                    <a:ln>
                      <a:noFill/>
                    </a:ln>
                  </pic:spPr>
                </pic:pic>
              </a:graphicData>
            </a:graphic>
          </wp:inline>
        </w:drawing>
      </w:r>
    </w:p>
    <w:p w:rsidR="005D4E83" w:rsidRPr="005D4E83" w:rsidRDefault="00052F36" w:rsidP="0088188A">
      <w:pPr>
        <w:pStyle w:val="Style3"/>
        <w:spacing w:after="0"/>
        <w:jc w:val="center"/>
      </w:pPr>
      <w:r>
        <w:rPr>
          <w:noProof/>
          <w:lang w:val="en-US" w:eastAsia="en-US"/>
        </w:rPr>
        <w:lastRenderedPageBreak/>
        <w:drawing>
          <wp:inline distT="0" distB="0" distL="0" distR="0">
            <wp:extent cx="5715000" cy="356235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15000" cy="3562350"/>
                    </a:xfrm>
                    <a:prstGeom prst="rect">
                      <a:avLst/>
                    </a:prstGeom>
                    <a:noFill/>
                    <a:ln>
                      <a:noFill/>
                    </a:ln>
                  </pic:spPr>
                </pic:pic>
              </a:graphicData>
            </a:graphic>
          </wp:inline>
        </w:drawing>
      </w:r>
    </w:p>
    <w:p w:rsidR="0017684B" w:rsidRPr="009E2869" w:rsidRDefault="005F29A3" w:rsidP="009E2869">
      <w:pPr>
        <w:jc w:val="both"/>
        <w:rPr>
          <w:rFonts w:ascii="Arial" w:hAnsi="Arial" w:cs="Arial"/>
          <w:b/>
          <w:sz w:val="22"/>
          <w:szCs w:val="22"/>
        </w:rPr>
      </w:pPr>
      <w:r>
        <w:rPr>
          <w:rFonts w:ascii="Arial" w:hAnsi="Arial"/>
          <w:sz w:val="22"/>
        </w:rPr>
        <w:t>Все оборудование, отнесенное к товарно-материальным запасам, учтено по фактической себестоимости за вычетом амортизации с применением метода пропорционального списания</w:t>
      </w:r>
      <w:r w:rsidR="0005341A">
        <w:rPr>
          <w:rFonts w:ascii="Arial" w:hAnsi="Arial"/>
          <w:sz w:val="22"/>
        </w:rPr>
        <w:t>.  М</w:t>
      </w:r>
      <w:r>
        <w:rPr>
          <w:rFonts w:ascii="Arial" w:hAnsi="Arial"/>
          <w:sz w:val="22"/>
        </w:rPr>
        <w:t>ебель и принадлежности амортизируются в течение десятилетнего срока службы</w:t>
      </w:r>
      <w:r w:rsidR="006B1BEC">
        <w:rPr>
          <w:rFonts w:ascii="Arial" w:hAnsi="Arial"/>
          <w:sz w:val="22"/>
        </w:rPr>
        <w:t>.  В</w:t>
      </w:r>
      <w:r>
        <w:rPr>
          <w:rFonts w:ascii="Arial" w:hAnsi="Arial"/>
          <w:sz w:val="22"/>
        </w:rPr>
        <w:t>се другое оборудование амортизируется в течение пятилетнего срока службы</w:t>
      </w:r>
      <w:r w:rsidR="0005341A">
        <w:rPr>
          <w:rFonts w:ascii="Arial" w:hAnsi="Arial"/>
          <w:sz w:val="22"/>
        </w:rPr>
        <w:t>.  У</w:t>
      </w:r>
      <w:r>
        <w:rPr>
          <w:rFonts w:ascii="Arial" w:hAnsi="Arial"/>
          <w:sz w:val="22"/>
        </w:rPr>
        <w:t>тилизированное в 2014 г. оборудование в основном было устаревшим, с совокупной балансовой стоимостью 5,3 млн шв. франков и, после накопленной амортизации, чистой балансовой стоимостью 8771 шв. франков</w:t>
      </w:r>
      <w:r w:rsidR="006B1BEC">
        <w:rPr>
          <w:rFonts w:ascii="Arial" w:hAnsi="Arial"/>
          <w:sz w:val="22"/>
        </w:rPr>
        <w:t>.  В</w:t>
      </w:r>
      <w:r>
        <w:rPr>
          <w:rFonts w:ascii="Arial" w:hAnsi="Arial"/>
          <w:sz w:val="22"/>
        </w:rPr>
        <w:t xml:space="preserve"> частности, было списано оборудование, которое не удалось обнаружить, с совокупной балансовой стоимостью 0,8 млн шв. франков и чистой балансовой стоимостью 5657 шв. франков</w:t>
      </w:r>
      <w:r w:rsidR="0005341A">
        <w:rPr>
          <w:rFonts w:ascii="Arial" w:hAnsi="Arial"/>
          <w:sz w:val="22"/>
        </w:rPr>
        <w:t>.  У</w:t>
      </w:r>
      <w:r>
        <w:rPr>
          <w:rFonts w:ascii="Arial" w:hAnsi="Arial"/>
          <w:sz w:val="22"/>
        </w:rPr>
        <w:t>наследованные активы, включая полученные в дар произведения искусства, не признаются в качестве активов в отчете о финансовом положении.</w:t>
      </w:r>
    </w:p>
    <w:p w:rsidR="00323B8C" w:rsidRPr="00F97F0D" w:rsidRDefault="00323B8C" w:rsidP="0017684B">
      <w:pPr>
        <w:pStyle w:val="StyleHeading211ptNotBoldNotItalicAllcaps"/>
        <w:spacing w:before="0" w:after="0"/>
      </w:pPr>
    </w:p>
    <w:p w:rsidR="008C6D96" w:rsidRPr="00797AED" w:rsidRDefault="005F29A3" w:rsidP="0017684B">
      <w:pPr>
        <w:pStyle w:val="StyleHeading211ptNotBoldNotItalicAllcaps"/>
        <w:spacing w:before="0" w:after="0"/>
      </w:pPr>
      <w:r w:rsidRPr="001311AA">
        <w:t>Примечание</w:t>
      </w:r>
      <w:r w:rsidR="001311AA" w:rsidRPr="001311AA">
        <w:t> </w:t>
      </w:r>
      <w:r w:rsidRPr="001311AA">
        <w:t>7</w:t>
      </w:r>
      <w:r>
        <w:t>:</w:t>
      </w:r>
      <w:r>
        <w:tab/>
        <w:t>Инвестиционная недвижимость</w:t>
      </w:r>
    </w:p>
    <w:p w:rsidR="008C6D96" w:rsidRPr="007F6B5A" w:rsidRDefault="008C6D96" w:rsidP="0017684B">
      <w:pPr>
        <w:jc w:val="both"/>
        <w:rPr>
          <w:rFonts w:ascii="Arial" w:hAnsi="Arial" w:cs="Arial"/>
          <w:sz w:val="22"/>
          <w:szCs w:val="22"/>
        </w:rPr>
      </w:pPr>
    </w:p>
    <w:p w:rsidR="003B5F73" w:rsidRDefault="00052F36" w:rsidP="00853A89">
      <w:pPr>
        <w:pStyle w:val="Style3"/>
        <w:spacing w:after="0"/>
        <w:jc w:val="center"/>
      </w:pPr>
      <w:r>
        <w:rPr>
          <w:noProof/>
          <w:lang w:val="en-US" w:eastAsia="en-US"/>
        </w:rPr>
        <w:drawing>
          <wp:inline distT="0" distB="0" distL="0" distR="0">
            <wp:extent cx="5734050" cy="167640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34050" cy="1676400"/>
                    </a:xfrm>
                    <a:prstGeom prst="rect">
                      <a:avLst/>
                    </a:prstGeom>
                    <a:noFill/>
                    <a:ln>
                      <a:noFill/>
                    </a:ln>
                  </pic:spPr>
                </pic:pic>
              </a:graphicData>
            </a:graphic>
          </wp:inline>
        </w:drawing>
      </w:r>
    </w:p>
    <w:p w:rsidR="00773153" w:rsidRDefault="00773153" w:rsidP="00853A89">
      <w:pPr>
        <w:pStyle w:val="Style3"/>
        <w:spacing w:after="0"/>
        <w:jc w:val="center"/>
        <w:rPr>
          <w:rFonts w:ascii="Times New Roman" w:hAnsi="Times New Roman"/>
          <w:sz w:val="20"/>
        </w:rPr>
      </w:pPr>
    </w:p>
    <w:p w:rsidR="00DC7B2C" w:rsidRPr="00136CD5" w:rsidRDefault="005F29A3" w:rsidP="007C6D77">
      <w:pPr>
        <w:pStyle w:val="Style3"/>
        <w:spacing w:after="0"/>
        <w:rPr>
          <w:rFonts w:cs="Arial"/>
          <w:szCs w:val="22"/>
        </w:rPr>
      </w:pPr>
      <w:r>
        <w:t>В 1974 г. Организация приобрела здание Мадридского союза, инвестиционную недвижимость в Мейране, кантон Женева, Швейцария</w:t>
      </w:r>
      <w:r w:rsidR="006B1BEC">
        <w:t>.  В</w:t>
      </w:r>
      <w:r>
        <w:t>первые здание было введено в эксплуатацию в 196</w:t>
      </w:r>
      <w:r w:rsidRPr="001311AA">
        <w:t>4</w:t>
      </w:r>
      <w:r w:rsidR="001311AA" w:rsidRPr="001311AA">
        <w:t> </w:t>
      </w:r>
      <w:r w:rsidRPr="001311AA">
        <w:t>г</w:t>
      </w:r>
      <w:r w:rsidR="0005341A">
        <w:t>.  Э</w:t>
      </w:r>
      <w:r>
        <w:t>та собственность признана по рыночной стоимости на 31 декабря 2012 г., на основе оценки, проведенной независимым экспертом, обладающим признанной и надлежащей профессиональной квалификацией и современным опытом в области стоимостной оценки имущества в кантоне Женева</w:t>
      </w:r>
      <w:r w:rsidR="0005341A">
        <w:t>.  Р</w:t>
      </w:r>
      <w:r>
        <w:t xml:space="preserve">ыночная стоимость определена путем инвестиционной оценки, в соответствии с которой будущие </w:t>
      </w:r>
      <w:r>
        <w:lastRenderedPageBreak/>
        <w:t>поступления от недвижимости капитализируются по соответствующей ставке инвестиционного дохода</w:t>
      </w:r>
      <w:r w:rsidR="0005341A">
        <w:t>.  Д</w:t>
      </w:r>
      <w:r>
        <w:t>оходность же определена исходя из предполагаемого качества и длительности получения поступлений и потенциального роста арендной платы, а также исходя из данных об аналогичных операциях купли-продажи</w:t>
      </w:r>
      <w:r w:rsidR="006B1BEC">
        <w:t>.  В</w:t>
      </w:r>
      <w:r>
        <w:t xml:space="preserve"> результате переоценки по состоянию на 3</w:t>
      </w:r>
      <w:r w:rsidRPr="001311AA">
        <w:t>1</w:t>
      </w:r>
      <w:r w:rsidR="001311AA" w:rsidRPr="001311AA">
        <w:t> </w:t>
      </w:r>
      <w:r w:rsidRPr="001311AA">
        <w:t>декабря</w:t>
      </w:r>
      <w:r>
        <w:t xml:space="preserve"> 2012 г. рыночная стоимость здания выросла на 0,5 млн шв. франков</w:t>
      </w:r>
      <w:r w:rsidR="006B1BEC">
        <w:t>.  В</w:t>
      </w:r>
      <w:r>
        <w:t xml:space="preserve"> отчете о финансовых результатах деятельности за 2012 г. это увеличение было при</w:t>
      </w:r>
      <w:r w:rsidR="00136CD5">
        <w:t>знано как инвестиционный доход.</w:t>
      </w:r>
    </w:p>
    <w:p w:rsidR="008C6D96" w:rsidRPr="007F6B5A" w:rsidRDefault="008C6D96" w:rsidP="007C6D77">
      <w:pPr>
        <w:jc w:val="both"/>
        <w:rPr>
          <w:rFonts w:ascii="Arial" w:hAnsi="Arial" w:cs="Arial"/>
          <w:sz w:val="22"/>
          <w:szCs w:val="22"/>
        </w:rPr>
      </w:pPr>
    </w:p>
    <w:p w:rsidR="008C6D96" w:rsidRPr="007F6B5A" w:rsidRDefault="005F29A3" w:rsidP="00B90070">
      <w:pPr>
        <w:pStyle w:val="Style3"/>
        <w:spacing w:after="0"/>
        <w:rPr>
          <w:rFonts w:cs="Arial"/>
          <w:szCs w:val="22"/>
        </w:rPr>
      </w:pPr>
      <w:r>
        <w:t>Сдача в аренду квартир, мест автостоянки и других помещений здания в Мейране осуществляется фирмой-арендодателем, отвечающей за сбор всех арендных платежей и оплату всех расходов, связанных с эксплуатацией здания</w:t>
      </w:r>
      <w:r w:rsidR="0005341A">
        <w:t>.  Д</w:t>
      </w:r>
      <w:r>
        <w:t>оговоры аренды, как правило, заключаются на двухлетний период и составляются на основе бланка договора аренды, одобренного кантоном Женева</w:t>
      </w:r>
      <w:r w:rsidR="0005341A">
        <w:t>.  Д</w:t>
      </w:r>
      <w:r>
        <w:t>оговоры аренды не могут быть расторгнуты в период аренды</w:t>
      </w:r>
      <w:r w:rsidR="0005341A">
        <w:t>.  У</w:t>
      </w:r>
      <w:r>
        <w:t>правляющая фирма получает в качестве компенсации за свои услуги 3,9% от суммы валовых поступлений от аренды</w:t>
      </w:r>
      <w:r w:rsidR="0005341A">
        <w:t>.  С</w:t>
      </w:r>
      <w:r>
        <w:t>тоимость не подлежащих расторжению договоров аренды по состоянию на 31 декабря 2014 г. является следующей:</w:t>
      </w:r>
    </w:p>
    <w:p w:rsidR="003B5F73" w:rsidRDefault="003B5F73" w:rsidP="007C6D77">
      <w:pPr>
        <w:jc w:val="both"/>
        <w:rPr>
          <w:sz w:val="20"/>
          <w:szCs w:val="20"/>
        </w:rPr>
      </w:pPr>
    </w:p>
    <w:p w:rsidR="008C6D96" w:rsidRDefault="00052F36" w:rsidP="00D4723C">
      <w:pPr>
        <w:jc w:val="center"/>
      </w:pPr>
      <w:r>
        <w:rPr>
          <w:noProof/>
          <w:lang w:val="en-US" w:eastAsia="en-US"/>
        </w:rPr>
        <w:drawing>
          <wp:inline distT="0" distB="0" distL="0" distR="0">
            <wp:extent cx="5600700" cy="1533525"/>
            <wp:effectExtent l="0" t="0" r="0"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600700" cy="1533525"/>
                    </a:xfrm>
                    <a:prstGeom prst="rect">
                      <a:avLst/>
                    </a:prstGeom>
                    <a:noFill/>
                    <a:ln>
                      <a:noFill/>
                    </a:ln>
                  </pic:spPr>
                </pic:pic>
              </a:graphicData>
            </a:graphic>
          </wp:inline>
        </w:drawing>
      </w:r>
    </w:p>
    <w:p w:rsidR="00436667" w:rsidRDefault="00436667" w:rsidP="007C6D77">
      <w:pPr>
        <w:jc w:val="both"/>
      </w:pPr>
    </w:p>
    <w:p w:rsidR="008C6D96" w:rsidRDefault="005F29A3" w:rsidP="00B90070">
      <w:pPr>
        <w:pStyle w:val="Style3"/>
        <w:spacing w:after="0"/>
      </w:pPr>
      <w:r>
        <w:t xml:space="preserve">В 2014 г. доходы от аренды здания составили 377 тыс. </w:t>
      </w:r>
      <w:r w:rsidRPr="001311AA">
        <w:t>шв.</w:t>
      </w:r>
      <w:r w:rsidR="001311AA" w:rsidRPr="001311AA">
        <w:t> </w:t>
      </w:r>
      <w:r w:rsidRPr="001311AA">
        <w:t>франков</w:t>
      </w:r>
      <w:r>
        <w:t xml:space="preserve">, а расходы по его эксплуатации — 211 тыс. </w:t>
      </w:r>
      <w:r w:rsidRPr="001311AA">
        <w:t>шв.</w:t>
      </w:r>
      <w:r w:rsidR="001311AA" w:rsidRPr="001311AA">
        <w:t> </w:t>
      </w:r>
      <w:r w:rsidRPr="001311AA">
        <w:t>франков</w:t>
      </w:r>
      <w:r w:rsidR="0005341A">
        <w:t>.  О</w:t>
      </w:r>
      <w:r>
        <w:t>рганизации не известно о каких бы то ни было ограничениях на реализацию инвестиционной недвижимости или на получение от нее дохода.</w:t>
      </w:r>
    </w:p>
    <w:p w:rsidR="00E01A9D" w:rsidRPr="00FB4990" w:rsidRDefault="00E01A9D" w:rsidP="00B90070">
      <w:pPr>
        <w:pStyle w:val="Style3"/>
        <w:spacing w:after="0"/>
      </w:pPr>
    </w:p>
    <w:p w:rsidR="008C6D96" w:rsidRPr="0017684B" w:rsidRDefault="005F29A3" w:rsidP="007C6D77">
      <w:pPr>
        <w:pStyle w:val="Style3"/>
        <w:spacing w:after="0"/>
        <w:rPr>
          <w:szCs w:val="22"/>
        </w:rPr>
      </w:pPr>
      <w:r>
        <w:t>Расходы по эксплуатации здания не включают амортизацию здания</w:t>
      </w:r>
      <w:r w:rsidR="0005341A">
        <w:t>.  Н</w:t>
      </w:r>
      <w:r>
        <w:t>а отчетную дату не существует никаких договорных обязательств ни на покупку, строительство или освоение новых объектов инвестиционной собственности, ни на ремонт, содержание или реконструкцию существующего объекта.</w:t>
      </w:r>
    </w:p>
    <w:p w:rsidR="00853A89" w:rsidRDefault="00853A89" w:rsidP="00B873A2">
      <w:pPr>
        <w:pStyle w:val="StyleHeading211ptNotBoldNotItalicAllcaps"/>
        <w:spacing w:before="0" w:after="0"/>
      </w:pPr>
    </w:p>
    <w:p w:rsidR="00E01A9D" w:rsidRPr="00B873A2" w:rsidRDefault="005F29A3" w:rsidP="00B873A2">
      <w:pPr>
        <w:pStyle w:val="StyleHeading211ptNotBoldNotItalicAllcaps"/>
        <w:spacing w:before="0" w:after="0"/>
      </w:pPr>
      <w:r>
        <w:br w:type="page"/>
      </w:r>
      <w:r w:rsidRPr="001311AA">
        <w:lastRenderedPageBreak/>
        <w:t>Примечание</w:t>
      </w:r>
      <w:r w:rsidR="001311AA" w:rsidRPr="001311AA">
        <w:t> </w:t>
      </w:r>
      <w:r w:rsidRPr="001311AA">
        <w:t>8</w:t>
      </w:r>
      <w:r>
        <w:t>:</w:t>
      </w:r>
      <w:r>
        <w:tab/>
        <w:t>Нематериальные активы</w:t>
      </w:r>
    </w:p>
    <w:p w:rsidR="00853A89" w:rsidRDefault="00853A89" w:rsidP="0017684B">
      <w:pPr>
        <w:pStyle w:val="STYLETITRENOTES"/>
      </w:pPr>
    </w:p>
    <w:p w:rsidR="003B5F73" w:rsidRDefault="006C627A" w:rsidP="009A3050">
      <w:pPr>
        <w:pStyle w:val="STYLETITRENOTES"/>
        <w:jc w:val="center"/>
      </w:pPr>
      <w:r>
        <w:rPr>
          <w:noProof/>
          <w:lang w:val="en-US" w:eastAsia="en-US"/>
        </w:rPr>
        <w:drawing>
          <wp:inline distT="0" distB="0" distL="0" distR="0">
            <wp:extent cx="5977255" cy="3644668"/>
            <wp:effectExtent l="0" t="0" r="444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977255" cy="3644668"/>
                    </a:xfrm>
                    <a:prstGeom prst="rect">
                      <a:avLst/>
                    </a:prstGeom>
                    <a:noFill/>
                    <a:ln>
                      <a:noFill/>
                    </a:ln>
                  </pic:spPr>
                </pic:pic>
              </a:graphicData>
            </a:graphic>
          </wp:inline>
        </w:drawing>
      </w:r>
    </w:p>
    <w:p w:rsidR="009A3050" w:rsidRPr="00853A89" w:rsidRDefault="006C627A" w:rsidP="009A3050">
      <w:pPr>
        <w:pStyle w:val="STYLETITRENOTES"/>
        <w:jc w:val="center"/>
      </w:pPr>
      <w:r>
        <w:rPr>
          <w:noProof/>
          <w:lang w:val="en-US" w:eastAsia="en-US"/>
        </w:rPr>
        <w:drawing>
          <wp:inline distT="0" distB="0" distL="0" distR="0">
            <wp:extent cx="5977255" cy="3490305"/>
            <wp:effectExtent l="0" t="0" r="4445"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77255" cy="3490305"/>
                    </a:xfrm>
                    <a:prstGeom prst="rect">
                      <a:avLst/>
                    </a:prstGeom>
                    <a:noFill/>
                    <a:ln>
                      <a:noFill/>
                    </a:ln>
                  </pic:spPr>
                </pic:pic>
              </a:graphicData>
            </a:graphic>
          </wp:inline>
        </w:drawing>
      </w:r>
    </w:p>
    <w:p w:rsidR="000406F4" w:rsidRDefault="005F29A3" w:rsidP="007C6D77">
      <w:pPr>
        <w:pStyle w:val="Style3"/>
        <w:spacing w:after="0"/>
      </w:pPr>
      <w:r>
        <w:t>В 1996 г. Организация приобрела у Всемирной метеорологической организации (ВМО) права суперфиция на земельный участок 4008 в Пти-Саконне, город Женева, которые были предоставлены ВМО Республикой и кантоном Женева и стоимость которых составила 34,3 млн </w:t>
      </w:r>
      <w:r w:rsidRPr="001311AA">
        <w:t>шв.</w:t>
      </w:r>
      <w:r w:rsidR="001311AA" w:rsidRPr="001311AA">
        <w:t> </w:t>
      </w:r>
      <w:r w:rsidRPr="001311AA">
        <w:t>франков</w:t>
      </w:r>
      <w:r>
        <w:t>, включая проценты и сборы</w:t>
      </w:r>
      <w:r w:rsidR="0005341A">
        <w:t>.  Н</w:t>
      </w:r>
      <w:r>
        <w:t>а дату покупки остаточный срок действия первичных прав составлял в соответствии со швейцарским законодательством 78 лет, т.е. он истекает в 2073 г., если кантон не продлит срок их действия</w:t>
      </w:r>
      <w:r w:rsidR="0005341A">
        <w:t>.  П</w:t>
      </w:r>
      <w:r>
        <w:t>ервоначальная стоимость амортизируется на протяжении оставшегося срока службы</w:t>
      </w:r>
      <w:r w:rsidR="0005341A">
        <w:t>.  З</w:t>
      </w:r>
      <w:r>
        <w:t xml:space="preserve">емля, на которой расположены здания AB и GB, принадлежит Республике и </w:t>
      </w:r>
      <w:r>
        <w:lastRenderedPageBreak/>
        <w:t>кантону Женева, которые предоставили Организации права суперфиция, включая право на строительство зданий, на 60 лет с принадлежащим исключительно Организации опционом на продление срока действия этих прав на дополнительный период в 30 лет</w:t>
      </w:r>
      <w:r w:rsidR="0005341A">
        <w:t>.  Э</w:t>
      </w:r>
      <w:r>
        <w:t>ти права были приобретены Организацией бесплатно, и никакая их стоимость не отражена на счетах, поскольку Организация не имеет права распоряжаться этими правами, которые вновь перейдут к Республике и кантону Женева в случае непродления срока их действия.</w:t>
      </w:r>
    </w:p>
    <w:p w:rsidR="00991B7A" w:rsidRDefault="00991B7A" w:rsidP="007C6D77">
      <w:pPr>
        <w:pStyle w:val="Style3"/>
        <w:spacing w:after="0"/>
      </w:pPr>
    </w:p>
    <w:p w:rsidR="00991B7A" w:rsidRDefault="005F29A3" w:rsidP="007C6D77">
      <w:pPr>
        <w:pStyle w:val="Style3"/>
        <w:spacing w:after="0"/>
      </w:pPr>
      <w:r>
        <w:t>Начиная с 1 января 2012 г. ВОИС капитализирует расходы на приобретение ПО у третьих сторон и на разработку ПО собственными силами. «Нематериальные активы в разработке» означает разрабатываемое в рамках Организации ПО, которое еще не введено в эксплуатацию.</w:t>
      </w:r>
    </w:p>
    <w:p w:rsidR="0017684B" w:rsidRDefault="0017684B" w:rsidP="0017684B">
      <w:pPr>
        <w:pStyle w:val="Style3"/>
        <w:spacing w:after="0"/>
      </w:pPr>
    </w:p>
    <w:p w:rsidR="00427886" w:rsidRPr="00797AED" w:rsidRDefault="005F29A3" w:rsidP="0017684B">
      <w:pPr>
        <w:pStyle w:val="StyleHeading211ptNotBoldNotItalicAllcaps"/>
        <w:spacing w:before="0" w:after="0"/>
      </w:pPr>
      <w:r w:rsidRPr="001311AA">
        <w:t>Примечание</w:t>
      </w:r>
      <w:r w:rsidR="001311AA" w:rsidRPr="001311AA">
        <w:t> </w:t>
      </w:r>
      <w:r w:rsidRPr="001311AA">
        <w:t>9</w:t>
      </w:r>
      <w:r>
        <w:t>:</w:t>
      </w:r>
      <w:r>
        <w:tab/>
        <w:t>Земля и здания</w:t>
      </w:r>
    </w:p>
    <w:p w:rsidR="00617741" w:rsidRPr="00B750AC" w:rsidRDefault="00617741" w:rsidP="0017684B">
      <w:pPr>
        <w:pStyle w:val="Style3"/>
        <w:spacing w:after="0"/>
        <w:rPr>
          <w:rFonts w:cs="Arial"/>
          <w:szCs w:val="22"/>
        </w:rPr>
      </w:pPr>
    </w:p>
    <w:p w:rsidR="00360417" w:rsidRPr="00800D76" w:rsidRDefault="005F29A3" w:rsidP="00073BD4">
      <w:pPr>
        <w:pStyle w:val="Style3"/>
        <w:spacing w:after="0"/>
        <w:rPr>
          <w:rFonts w:cs="Arial"/>
          <w:szCs w:val="22"/>
        </w:rPr>
      </w:pPr>
      <w:r>
        <w:t>Принадлежащие Организации земля и здания включают ее штаб-квартиру на Пляс-де-Насьон, Женева, Швейцария, а также землю, строящиеся и эксплуатируемые здания</w:t>
      </w:r>
      <w:r w:rsidR="0005341A">
        <w:t>.  П</w:t>
      </w:r>
      <w:r>
        <w:t>осле перехода с 1 января 2010 г. на Международные стандарты учета в государственном секторе стоимость зданий, которые использовались на эту дату, была оценена на сумму, определенную по результатам независимой оценки внешних консультантов и представляющую собой расчетную стоимость зданий, когда они были новыми (сметная стоимость строительства), плюс расчетная стоимость реконструкции и крупного ремонта, произведенных после начала эксплуатации зданий, и минус накопленная амортизация и износ</w:t>
      </w:r>
      <w:r w:rsidR="0005341A">
        <w:t>.  З</w:t>
      </w:r>
      <w:r>
        <w:t>дания, которые введены в эксплуатацию после 1 января 2010 г., первоначально оцениваются по себестоимости</w:t>
      </w:r>
      <w:r w:rsidR="006B1BEC">
        <w:t>.  В</w:t>
      </w:r>
      <w:r>
        <w:t>се здания амортизируются методом пропорционального списания, который основывается на сроке службы каждого крупного элемента здания.</w:t>
      </w:r>
    </w:p>
    <w:p w:rsidR="00D64873" w:rsidRPr="004B5787" w:rsidRDefault="00D64873" w:rsidP="007C6D77">
      <w:pPr>
        <w:pStyle w:val="Style3"/>
        <w:spacing w:after="0"/>
      </w:pPr>
    </w:p>
    <w:p w:rsidR="004B7483" w:rsidRPr="00136CD5" w:rsidRDefault="005F29A3" w:rsidP="009E6CD0">
      <w:pPr>
        <w:pStyle w:val="Style3"/>
        <w:spacing w:after="0"/>
      </w:pPr>
      <w:r>
        <w:t>Земля, на которой возведено новое административное здание, была приобретена Организацией в 1998 г. за 13,6 млн шв. франков, и ее рыночная стоимость, рассчитанная независимым экспертом в соответствии с международными стандартами стоимостной оценки, составила на 31 декабря 2009 г. 28,6 млн шв. франков</w:t>
      </w:r>
      <w:r w:rsidR="0005341A">
        <w:t>.  Ч</w:t>
      </w:r>
      <w:r>
        <w:t>истая сумма повышения стоимости на 15,0 млн </w:t>
      </w:r>
      <w:r w:rsidRPr="001311AA">
        <w:t>шв.</w:t>
      </w:r>
      <w:r w:rsidR="001311AA" w:rsidRPr="001311AA">
        <w:t> </w:t>
      </w:r>
      <w:r w:rsidRPr="001311AA">
        <w:t>франков</w:t>
      </w:r>
      <w:r>
        <w:t xml:space="preserve"> включена в доход от переоценки, который составляет часть чистых активов ВОИС</w:t>
      </w:r>
      <w:r w:rsidR="0005341A">
        <w:t>.  П</w:t>
      </w:r>
      <w:r>
        <w:t>о состоянию на 31 декабря 2013 г. независимым экспертом была проведена еще одна переоценка стоимости данного участка земли</w:t>
      </w:r>
      <w:r w:rsidR="0005341A">
        <w:t>.  П</w:t>
      </w:r>
      <w:r>
        <w:t>олученные данные свидетельствуют о том, что рыночная стоимость земельного участка, которая по предыдущим оценкам составляла 28,6 млн шв. франков, не изменилась</w:t>
      </w:r>
      <w:r w:rsidR="0005341A">
        <w:t>.  Р</w:t>
      </w:r>
      <w:r>
        <w:t>ыночная стоимость земли определена путем капитализации будущих потенциальных поступлений по соответствующей ставке инвестиционного дохода</w:t>
      </w:r>
      <w:r w:rsidR="0005341A">
        <w:t>.  П</w:t>
      </w:r>
      <w:r>
        <w:t>отенциальные поступления исчислены на основе аналогичных рыночных операций по сдаче в аренду и с учетом качества помещений и местоположения</w:t>
      </w:r>
      <w:r w:rsidR="0005341A">
        <w:t>.  Д</w:t>
      </w:r>
      <w:r>
        <w:t>оходность же определена исходя из предполагаемого качества и продолжительности получения и потенциального роста арендной платы, а также исходя из данных об анало</w:t>
      </w:r>
      <w:r w:rsidR="00136CD5">
        <w:t>гичных операциях купли-продажи.</w:t>
      </w:r>
    </w:p>
    <w:p w:rsidR="00A42890" w:rsidRPr="004B5787" w:rsidRDefault="00A42890" w:rsidP="009E6CD0">
      <w:pPr>
        <w:pStyle w:val="Style3"/>
        <w:spacing w:after="0"/>
      </w:pPr>
    </w:p>
    <w:p w:rsidR="009A7CC8" w:rsidRDefault="005F29A3" w:rsidP="00800D76">
      <w:pPr>
        <w:pStyle w:val="Style3"/>
        <w:spacing w:after="0"/>
      </w:pPr>
      <w:r>
        <w:t>В октябре 2009 г. Генеральная Ассамблея одобрила предложение о строительстве здания нового конференц-зала, непосредственно соединенного со зданием А. Богша</w:t>
      </w:r>
      <w:r w:rsidR="0005341A">
        <w:t>.  П</w:t>
      </w:r>
      <w:r>
        <w:t>роект был завершен в 2014 г., и новый конференц-зал был введен в эксплуатацию в сентябре 2014 г</w:t>
      </w:r>
      <w:r w:rsidR="006B1BEC">
        <w:t>.  В</w:t>
      </w:r>
      <w:r>
        <w:t xml:space="preserve"> рамках проекта также была снесена и реконструирована часть конструкций здания А. Богша</w:t>
      </w:r>
      <w:r w:rsidR="0005341A">
        <w:t>.  С</w:t>
      </w:r>
      <w:r>
        <w:t>несенные конструкции были учтены как износ в ходе строительства</w:t>
      </w:r>
      <w:r w:rsidR="0005341A">
        <w:t>.  К</w:t>
      </w:r>
      <w:r>
        <w:t>онструкции, которым был нанесен ущерб, более не признаются в финансовых ведомостях, поскольку они были полностью заменены и реконструированы</w:t>
      </w:r>
      <w:r w:rsidR="006B1BEC">
        <w:t>.  В</w:t>
      </w:r>
      <w:r>
        <w:t>ОИС осуществляет проект по повышению норм охраны и безопасности в ее существующих зданиях в соответствии с выполнением рекомендаций Системы управления безопасностью Организации Объединенных Наций</w:t>
      </w:r>
      <w:r w:rsidR="0005341A">
        <w:t>.  П</w:t>
      </w:r>
      <w:r>
        <w:t xml:space="preserve">роект направлен на обеспечение соблюдения минимальных стандартов оперативной безопасности, установленных для </w:t>
      </w:r>
      <w:r>
        <w:lastRenderedPageBreak/>
        <w:t>штаб-квартир организаций системы ООН (H-MOSS)</w:t>
      </w:r>
      <w:r w:rsidR="0005341A">
        <w:t>.  П</w:t>
      </w:r>
      <w:r>
        <w:t>роект включает возведение периметра безопасности, строительство нового центра доступа и оснащение средствами обеспечения внутренней безопасности</w:t>
      </w:r>
      <w:r w:rsidR="0005341A">
        <w:t>.  Р</w:t>
      </w:r>
      <w:r>
        <w:t>асходы, понесенные Организацией в связи с проектом строительства, были капитализированы в 2014 г. по статье незавершенных работ, а завершение проекта запланировано на первую половину 2015 г</w:t>
      </w:r>
      <w:r w:rsidR="0005341A">
        <w:t>.  П</w:t>
      </w:r>
      <w:r>
        <w:t>роект строительства был частично профинансирован Фондом служебных помещений для международных организаций (ФИПОИ)</w:t>
      </w:r>
      <w:r w:rsidR="0005341A">
        <w:t>.  С</w:t>
      </w:r>
      <w:r>
        <w:t>троительные работы, финансируемые ФИПОИ, были капитализированы по статье незавершенных работ, а соответствующая сумма была признана как отсроченный доход (см. примечание 14).</w:t>
      </w:r>
    </w:p>
    <w:p w:rsidR="005F29A3" w:rsidRDefault="005F29A3" w:rsidP="00800D76">
      <w:pPr>
        <w:pStyle w:val="Style3"/>
        <w:spacing w:after="0"/>
        <w:sectPr w:rsidR="005F29A3" w:rsidSect="0080775C">
          <w:headerReference w:type="default" r:id="rId69"/>
          <w:footerReference w:type="default" r:id="rId70"/>
          <w:pgSz w:w="11907" w:h="16840" w:code="9"/>
          <w:pgMar w:top="851" w:right="1247" w:bottom="1531" w:left="1247" w:header="709" w:footer="709" w:gutter="0"/>
          <w:cols w:space="708"/>
          <w:docGrid w:linePitch="360"/>
        </w:sectPr>
      </w:pPr>
    </w:p>
    <w:p w:rsidR="00A43F1D" w:rsidRPr="003508E6" w:rsidRDefault="005F29A3" w:rsidP="003508E6">
      <w:pPr>
        <w:pStyle w:val="BodyText"/>
        <w:rPr>
          <w:sz w:val="22"/>
          <w:szCs w:val="22"/>
        </w:rPr>
      </w:pPr>
      <w:r>
        <w:rPr>
          <w:sz w:val="22"/>
        </w:rPr>
        <w:lastRenderedPageBreak/>
        <w:t>Движение средств по земле и зданиям в 2014 г.:</w:t>
      </w:r>
    </w:p>
    <w:p w:rsidR="003508E6" w:rsidRDefault="003508E6" w:rsidP="00A43F1D">
      <w:pPr>
        <w:pStyle w:val="StyleHeading211ptNotBoldNotItalicAllcaps"/>
        <w:spacing w:before="0" w:after="0"/>
        <w:rPr>
          <w:szCs w:val="22"/>
        </w:rPr>
      </w:pPr>
    </w:p>
    <w:p w:rsidR="003508E6" w:rsidRPr="0099599F" w:rsidRDefault="006C627A" w:rsidP="003B00CF">
      <w:pPr>
        <w:pStyle w:val="StyleHeading211ptNotBoldNotItalicAllcaps"/>
        <w:spacing w:before="0" w:after="0"/>
        <w:ind w:right="49"/>
        <w:jc w:val="center"/>
      </w:pPr>
      <w:r>
        <w:rPr>
          <w:noProof/>
          <w:lang w:val="en-US" w:eastAsia="en-US"/>
        </w:rPr>
        <w:drawing>
          <wp:inline distT="0" distB="0" distL="0" distR="0" wp14:anchorId="0B046D0E" wp14:editId="43D85647">
            <wp:extent cx="9002446" cy="5182773"/>
            <wp:effectExtent l="0" t="0" r="8255"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012724" cy="5188690"/>
                    </a:xfrm>
                    <a:prstGeom prst="rect">
                      <a:avLst/>
                    </a:prstGeom>
                    <a:noFill/>
                    <a:ln>
                      <a:noFill/>
                    </a:ln>
                  </pic:spPr>
                </pic:pic>
              </a:graphicData>
            </a:graphic>
          </wp:inline>
        </w:drawing>
      </w:r>
    </w:p>
    <w:p w:rsidR="004E7EB2" w:rsidRDefault="004E7EB2" w:rsidP="00A43F1D">
      <w:pPr>
        <w:pStyle w:val="StyleHeading211ptNotBoldNotItalicAllcaps"/>
        <w:spacing w:before="0" w:after="0"/>
      </w:pPr>
    </w:p>
    <w:p w:rsidR="005F29A3" w:rsidRDefault="005F29A3" w:rsidP="00A43F1D">
      <w:pPr>
        <w:pStyle w:val="StyleHeading211ptNotBoldNotItalicAllcaps"/>
        <w:spacing w:before="0" w:after="0"/>
        <w:sectPr w:rsidR="005F29A3" w:rsidSect="003B00CF">
          <w:headerReference w:type="default" r:id="rId72"/>
          <w:footerReference w:type="default" r:id="rId73"/>
          <w:pgSz w:w="16840" w:h="11907" w:orient="landscape" w:code="9"/>
          <w:pgMar w:top="1247" w:right="910" w:bottom="1247" w:left="851" w:header="709" w:footer="709" w:gutter="0"/>
          <w:cols w:space="708"/>
          <w:docGrid w:linePitch="360"/>
        </w:sectPr>
      </w:pPr>
    </w:p>
    <w:p w:rsidR="003508E6" w:rsidRDefault="005F29A3" w:rsidP="003508E6">
      <w:pPr>
        <w:pStyle w:val="BodyText"/>
        <w:rPr>
          <w:sz w:val="22"/>
          <w:szCs w:val="22"/>
        </w:rPr>
      </w:pPr>
      <w:r>
        <w:rPr>
          <w:sz w:val="22"/>
        </w:rPr>
        <w:lastRenderedPageBreak/>
        <w:t>Движение средств по земле и зданиям в предшествующем 2013 г.:</w:t>
      </w:r>
    </w:p>
    <w:p w:rsidR="007627F4" w:rsidRDefault="007627F4" w:rsidP="003508E6">
      <w:pPr>
        <w:pStyle w:val="BodyText"/>
        <w:rPr>
          <w:sz w:val="22"/>
          <w:szCs w:val="22"/>
        </w:rPr>
      </w:pPr>
    </w:p>
    <w:p w:rsidR="003508E6" w:rsidRPr="0099599F" w:rsidRDefault="006C627A" w:rsidP="003B00CF">
      <w:pPr>
        <w:pStyle w:val="StyleHeading211ptNotBoldNotItalicAllcaps"/>
        <w:spacing w:before="0" w:after="0"/>
        <w:jc w:val="center"/>
        <w:rPr>
          <w:szCs w:val="22"/>
        </w:rPr>
      </w:pPr>
      <w:r>
        <w:rPr>
          <w:noProof/>
          <w:szCs w:val="22"/>
          <w:lang w:val="en-US" w:eastAsia="en-US"/>
        </w:rPr>
        <w:drawing>
          <wp:inline distT="0" distB="0" distL="0" distR="0">
            <wp:extent cx="9575165" cy="4703737"/>
            <wp:effectExtent l="0" t="0" r="6985"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575165" cy="4703737"/>
                    </a:xfrm>
                    <a:prstGeom prst="rect">
                      <a:avLst/>
                    </a:prstGeom>
                    <a:noFill/>
                    <a:ln>
                      <a:noFill/>
                    </a:ln>
                  </pic:spPr>
                </pic:pic>
              </a:graphicData>
            </a:graphic>
          </wp:inline>
        </w:drawing>
      </w:r>
    </w:p>
    <w:p w:rsidR="003508E6" w:rsidRDefault="003508E6" w:rsidP="00A43F1D">
      <w:pPr>
        <w:pStyle w:val="StyleHeading211ptNotBoldNotItalicAllcaps"/>
        <w:spacing w:before="0" w:after="0"/>
        <w:rPr>
          <w:szCs w:val="22"/>
        </w:rPr>
      </w:pPr>
    </w:p>
    <w:p w:rsidR="003508E6" w:rsidRDefault="003508E6" w:rsidP="00A43F1D">
      <w:pPr>
        <w:pStyle w:val="StyleHeading211ptNotBoldNotItalicAllcaps"/>
        <w:spacing w:before="0" w:after="0"/>
        <w:rPr>
          <w:szCs w:val="22"/>
        </w:rPr>
      </w:pPr>
    </w:p>
    <w:p w:rsidR="003508E6" w:rsidRPr="00A14791" w:rsidRDefault="003508E6" w:rsidP="00A43F1D">
      <w:pPr>
        <w:pStyle w:val="StyleHeading211ptNotBoldNotItalicAllcaps"/>
        <w:spacing w:before="0" w:after="0"/>
        <w:rPr>
          <w:szCs w:val="22"/>
        </w:rPr>
      </w:pPr>
    </w:p>
    <w:p w:rsidR="00A43F1D" w:rsidRPr="003508E6" w:rsidRDefault="00A43F1D" w:rsidP="00A43F1D">
      <w:pPr>
        <w:pStyle w:val="StyleHeading211ptNotBoldNotItalicAllcaps"/>
        <w:spacing w:before="0" w:after="0"/>
        <w:rPr>
          <w:szCs w:val="22"/>
        </w:rPr>
      </w:pPr>
    </w:p>
    <w:p w:rsidR="005F29A3" w:rsidRDefault="005F29A3" w:rsidP="00360417">
      <w:pPr>
        <w:pStyle w:val="StyleHeading211ptNotBoldNotItalicAllcaps"/>
        <w:sectPr w:rsidR="005F29A3" w:rsidSect="003B00CF">
          <w:pgSz w:w="16840" w:h="11907" w:orient="landscape" w:code="9"/>
          <w:pgMar w:top="1247" w:right="910" w:bottom="1247" w:left="851" w:header="709" w:footer="709" w:gutter="0"/>
          <w:cols w:space="708"/>
          <w:docGrid w:linePitch="360"/>
        </w:sectPr>
      </w:pPr>
    </w:p>
    <w:p w:rsidR="000D7409" w:rsidRPr="00797AED" w:rsidRDefault="005F29A3" w:rsidP="0017684B">
      <w:pPr>
        <w:pStyle w:val="StyleHeading211ptNotBoldNotItalicAllcaps"/>
        <w:spacing w:before="0" w:after="0"/>
      </w:pPr>
      <w:r w:rsidRPr="001311AA">
        <w:lastRenderedPageBreak/>
        <w:t>Примечание</w:t>
      </w:r>
      <w:r w:rsidR="001311AA" w:rsidRPr="001311AA">
        <w:t> </w:t>
      </w:r>
      <w:r w:rsidRPr="001311AA">
        <w:t>1</w:t>
      </w:r>
      <w:r>
        <w:t>0:</w:t>
      </w:r>
      <w:r>
        <w:tab/>
        <w:t>Прочие необоротные активы</w:t>
      </w:r>
    </w:p>
    <w:p w:rsidR="000D7409" w:rsidRPr="006D0C30" w:rsidRDefault="000D7409" w:rsidP="0017684B">
      <w:pPr>
        <w:jc w:val="both"/>
        <w:rPr>
          <w:rFonts w:ascii="Arial" w:hAnsi="Arial" w:cs="Arial"/>
          <w:b/>
          <w:sz w:val="22"/>
          <w:szCs w:val="22"/>
        </w:rPr>
      </w:pPr>
    </w:p>
    <w:p w:rsidR="003B5F73" w:rsidRPr="00FF54A6" w:rsidRDefault="006C627A" w:rsidP="00C12263">
      <w:pPr>
        <w:pStyle w:val="Style3"/>
        <w:spacing w:after="0"/>
        <w:ind w:right="53"/>
        <w:jc w:val="center"/>
        <w:rPr>
          <w:rFonts w:ascii="Times New Roman" w:hAnsi="Times New Roman"/>
          <w:sz w:val="20"/>
        </w:rPr>
      </w:pPr>
      <w:bookmarkStart w:id="15" w:name="RANGE!C4:F8"/>
      <w:bookmarkEnd w:id="15"/>
      <w:r>
        <w:rPr>
          <w:rFonts w:ascii="Times New Roman" w:hAnsi="Times New Roman"/>
          <w:noProof/>
          <w:sz w:val="20"/>
          <w:lang w:val="en-US" w:eastAsia="en-US"/>
        </w:rPr>
        <w:drawing>
          <wp:inline distT="0" distB="0" distL="0" distR="0">
            <wp:extent cx="5734050" cy="151447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34050" cy="1514475"/>
                    </a:xfrm>
                    <a:prstGeom prst="rect">
                      <a:avLst/>
                    </a:prstGeom>
                    <a:noFill/>
                    <a:ln>
                      <a:noFill/>
                    </a:ln>
                  </pic:spPr>
                </pic:pic>
              </a:graphicData>
            </a:graphic>
          </wp:inline>
        </w:drawing>
      </w:r>
    </w:p>
    <w:p w:rsidR="008748D5" w:rsidRPr="006D0C30" w:rsidRDefault="005F29A3" w:rsidP="00D26DEA">
      <w:pPr>
        <w:pStyle w:val="Style3"/>
        <w:spacing w:after="0"/>
        <w:ind w:right="53"/>
        <w:rPr>
          <w:szCs w:val="22"/>
        </w:rPr>
      </w:pPr>
      <w:r>
        <w:t>В 1991 г. Организация заключила соглашение с Фондом международного центра Женевы (FCIG) в связи со строительством здания на улице Морийон в Женеве, Шве</w:t>
      </w:r>
      <w:r w:rsidR="00C950F5">
        <w:t>йцария, на общую сумму 20,4 млн </w:t>
      </w:r>
      <w:r w:rsidRPr="001311AA">
        <w:t>шв.</w:t>
      </w:r>
      <w:r w:rsidR="001311AA" w:rsidRPr="001311AA">
        <w:t> </w:t>
      </w:r>
      <w:r w:rsidRPr="001311AA">
        <w:t>франков</w:t>
      </w:r>
      <w:r w:rsidR="0005341A">
        <w:t>.  П</w:t>
      </w:r>
      <w:r>
        <w:t>о условиям соглашения Организация должна была авансировать первоначальную сумму в 10,0 млн шв. франков и выплатить дополнительно проценты по первоначальному авансу в размере 1,0 млн шв. франков</w:t>
      </w:r>
      <w:r w:rsidR="0005341A">
        <w:t>.  Т</w:t>
      </w:r>
      <w:r>
        <w:t>аким образом, общая сумма выплат составила 11,0 млн шв. франков</w:t>
      </w:r>
      <w:r w:rsidR="0005341A">
        <w:t>.  О</w:t>
      </w:r>
      <w:r>
        <w:t>стальные расходы на строительство были покрыты за счет договора займа между FCIG и Кантональным банком Женевы</w:t>
      </w:r>
      <w:r w:rsidR="0005341A">
        <w:t>.  О</w:t>
      </w:r>
      <w:r>
        <w:t>рганизация также заключила с FCIG договор аренды этого здания</w:t>
      </w:r>
      <w:r w:rsidR="0005341A">
        <w:t>.  Д</w:t>
      </w:r>
      <w:r>
        <w:t>оговор аренды был продлен на семь лет с 1 января 2012 г.</w:t>
      </w:r>
    </w:p>
    <w:p w:rsidR="006C08A0" w:rsidRPr="006D0C30" w:rsidRDefault="006C08A0" w:rsidP="00D26DEA">
      <w:pPr>
        <w:pStyle w:val="Style3"/>
        <w:spacing w:after="0"/>
        <w:ind w:right="53"/>
        <w:rPr>
          <w:szCs w:val="22"/>
        </w:rPr>
      </w:pPr>
    </w:p>
    <w:p w:rsidR="005B2B7B" w:rsidRDefault="005F29A3" w:rsidP="006D0C30">
      <w:pPr>
        <w:pStyle w:val="Style3"/>
        <w:spacing w:after="0"/>
        <w:ind w:right="53"/>
      </w:pPr>
      <w:r>
        <w:t>По действующему договору аренды между Организацией и FCIG обе стороны имеют право расторгнуть договор в любой момент при условии обоюдного согласия, оформленного письменно</w:t>
      </w:r>
      <w:r w:rsidR="0005341A">
        <w:t>.  Г</w:t>
      </w:r>
      <w:r>
        <w:t>одовая сумма арендной платы ВОИС эквивалентна годовой сумме погашения долга (проценты плюс основная сумма) по займу, предоставленному FCIG Кантональным банком Женевы</w:t>
      </w:r>
      <w:r w:rsidR="006B1BEC">
        <w:t>.  В</w:t>
      </w:r>
      <w:r>
        <w:t xml:space="preserve"> соответствии с этими условиями в 2014 г. ВОИС выплатила 234 124 </w:t>
      </w:r>
      <w:r w:rsidRPr="001311AA">
        <w:t>шв.</w:t>
      </w:r>
      <w:r w:rsidR="001311AA" w:rsidRPr="001311AA">
        <w:t> </w:t>
      </w:r>
      <w:r w:rsidRPr="001311AA">
        <w:t>франков</w:t>
      </w:r>
      <w:r>
        <w:t xml:space="preserve"> (235 709 шв. франков в 2013 г.)</w:t>
      </w:r>
      <w:r w:rsidR="0005341A">
        <w:t>.  Т</w:t>
      </w:r>
      <w:r>
        <w:t>екущая процентная ставка, фиксированная на период до 31 декабря 2018 г, составляет 1,48%</w:t>
      </w:r>
      <w:r w:rsidR="0005341A">
        <w:t>.  С</w:t>
      </w:r>
      <w:r>
        <w:t xml:space="preserve"> 1 января 2012 г. ВОИС также признает годовое амортизационное отчисление в размере 188 679 шв. франков по авансу FCIG</w:t>
      </w:r>
      <w:r w:rsidR="0005341A">
        <w:t>.  К</w:t>
      </w:r>
      <w:r>
        <w:t>роме того, Организация арендует машиноместа на крытой парковке за 148 452 шв. франка</w:t>
      </w:r>
      <w:r w:rsidR="0005341A">
        <w:t>.  Е</w:t>
      </w:r>
      <w:r>
        <w:t>сли стороны не решат расторгнуть соглашение об аренде, то в будущем, до истечения срока аренды в 2018 г., ВОИС предстоит осуществить следующие выплаты (включая выплаты по займу, амортизацию аванса и аренду парковочных мест):</w:t>
      </w:r>
    </w:p>
    <w:p w:rsidR="007C2F82" w:rsidRDefault="007C2F82" w:rsidP="006D0C30">
      <w:pPr>
        <w:pStyle w:val="Style3"/>
        <w:spacing w:after="0"/>
        <w:ind w:right="53"/>
      </w:pPr>
    </w:p>
    <w:p w:rsidR="007C2F82" w:rsidRDefault="006C627A" w:rsidP="007C2F82">
      <w:pPr>
        <w:pStyle w:val="Style3"/>
        <w:spacing w:after="0"/>
        <w:ind w:right="53"/>
        <w:jc w:val="center"/>
      </w:pPr>
      <w:r>
        <w:rPr>
          <w:noProof/>
          <w:lang w:val="en-US" w:eastAsia="en-US"/>
        </w:rPr>
        <w:drawing>
          <wp:inline distT="0" distB="0" distL="0" distR="0">
            <wp:extent cx="5591175" cy="1447800"/>
            <wp:effectExtent l="0" t="0" r="9525"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591175" cy="1447800"/>
                    </a:xfrm>
                    <a:prstGeom prst="rect">
                      <a:avLst/>
                    </a:prstGeom>
                    <a:noFill/>
                    <a:ln>
                      <a:noFill/>
                    </a:ln>
                  </pic:spPr>
                </pic:pic>
              </a:graphicData>
            </a:graphic>
          </wp:inline>
        </w:drawing>
      </w:r>
    </w:p>
    <w:p w:rsidR="0046741E" w:rsidRDefault="005F29A3" w:rsidP="006D0C30">
      <w:pPr>
        <w:pStyle w:val="Style3"/>
        <w:spacing w:after="0"/>
        <w:ind w:right="53"/>
        <w:rPr>
          <w:rFonts w:cs="Arial"/>
          <w:szCs w:val="22"/>
        </w:rPr>
      </w:pPr>
      <w:r>
        <w:t>После того, как ВОИС освободит здание, ей будет выплачена оставшаяся часть авансового платежа в размере 11,0 млн шв. франков с учетом амортизации</w:t>
      </w:r>
      <w:r w:rsidR="0005341A">
        <w:t>.  К</w:t>
      </w:r>
      <w:r>
        <w:t>роме того, FCIG удержит 1 млн шв. франков из аванса для приведения здания в исходное состояние.</w:t>
      </w:r>
    </w:p>
    <w:p w:rsidR="009A4CE2" w:rsidRDefault="009A4CE2" w:rsidP="006D0C30">
      <w:pPr>
        <w:pStyle w:val="Style3"/>
        <w:spacing w:after="0"/>
        <w:ind w:right="53"/>
        <w:rPr>
          <w:rFonts w:cs="Arial"/>
          <w:szCs w:val="22"/>
        </w:rPr>
      </w:pPr>
    </w:p>
    <w:p w:rsidR="009A4CE2" w:rsidRPr="006D0C30" w:rsidRDefault="005F29A3" w:rsidP="006D0C30">
      <w:pPr>
        <w:pStyle w:val="Style3"/>
        <w:spacing w:after="0"/>
        <w:ind w:right="53"/>
        <w:rPr>
          <w:rFonts w:cs="Arial"/>
          <w:b/>
          <w:szCs w:val="22"/>
        </w:rPr>
      </w:pPr>
      <w:r>
        <w:t>Для целей текущей финансовой отчетности общая сумма амортизации представлена как аванс за аренду и поделена на текущую (см. примечание 4) и нетекущую часть платежей</w:t>
      </w:r>
      <w:r w:rsidR="0005341A">
        <w:t>.  О</w:t>
      </w:r>
      <w:r>
        <w:t>бщий размер аванса по состоянию на 3</w:t>
      </w:r>
      <w:r w:rsidRPr="001311AA">
        <w:t>1</w:t>
      </w:r>
      <w:r w:rsidR="001311AA" w:rsidRPr="001311AA">
        <w:t> </w:t>
      </w:r>
      <w:r w:rsidRPr="001311AA">
        <w:t>декабря</w:t>
      </w:r>
      <w:r>
        <w:t xml:space="preserve"> 2014 г. составил 0,8 млн шв. франков</w:t>
      </w:r>
      <w:r w:rsidR="0005341A">
        <w:t>.  О</w:t>
      </w:r>
      <w:r>
        <w:t>статок аванса ВОИС в пользу FCIG представлен как льготный кредит согласно МСУГС и оценивается по амортизированной стоимости</w:t>
      </w:r>
      <w:r w:rsidR="006B1BEC">
        <w:t>.  Б</w:t>
      </w:r>
      <w:r>
        <w:t xml:space="preserve">еспроцентный компонент льготного </w:t>
      </w:r>
      <w:r>
        <w:lastRenderedPageBreak/>
        <w:t>кредита также признается в качестве авансового платежа и делится на текущую (см. примечание 4) и нетекущую часть платежей</w:t>
      </w:r>
      <w:r w:rsidR="0005341A">
        <w:t>.  С</w:t>
      </w:r>
      <w:r>
        <w:t>умма авансового платежа сокращается в течение срока действия договора об аренде, и на 31 декабря 2014 г. она составляла 0,5 млн шв. франков.</w:t>
      </w:r>
    </w:p>
    <w:p w:rsidR="002B7281" w:rsidRPr="006D0C30" w:rsidRDefault="002B7281" w:rsidP="006D0C30">
      <w:pPr>
        <w:ind w:right="53"/>
        <w:jc w:val="both"/>
        <w:rPr>
          <w:rFonts w:ascii="Arial" w:hAnsi="Arial" w:cs="Arial"/>
          <w:b/>
          <w:sz w:val="22"/>
          <w:szCs w:val="22"/>
        </w:rPr>
      </w:pPr>
    </w:p>
    <w:p w:rsidR="00C42877" w:rsidRDefault="005F29A3" w:rsidP="00C64A1C">
      <w:pPr>
        <w:pStyle w:val="StyleHeading211ptNotBoldNotItalicAllcaps"/>
        <w:spacing w:before="0" w:after="0"/>
      </w:pPr>
      <w:r w:rsidRPr="001311AA">
        <w:t>Примечание</w:t>
      </w:r>
      <w:r w:rsidR="001311AA" w:rsidRPr="001311AA">
        <w:t> </w:t>
      </w:r>
      <w:r w:rsidRPr="001311AA">
        <w:t>1</w:t>
      </w:r>
      <w:r>
        <w:t>1:</w:t>
      </w:r>
      <w:r>
        <w:tab/>
        <w:t>Кредиторская задолженность</w:t>
      </w:r>
    </w:p>
    <w:p w:rsidR="00C678BF" w:rsidRPr="00C64A1C" w:rsidRDefault="00C678BF" w:rsidP="00C64A1C">
      <w:pPr>
        <w:pStyle w:val="StyleHeading211ptNotBoldNotItalicAllcaps"/>
        <w:spacing w:before="0" w:after="0"/>
      </w:pPr>
    </w:p>
    <w:p w:rsidR="003B5F73" w:rsidRPr="00334B0C" w:rsidRDefault="006C627A" w:rsidP="00FF42AC">
      <w:pPr>
        <w:jc w:val="center"/>
        <w:rPr>
          <w:sz w:val="20"/>
          <w:szCs w:val="20"/>
        </w:rPr>
      </w:pPr>
      <w:r>
        <w:rPr>
          <w:noProof/>
          <w:sz w:val="20"/>
          <w:szCs w:val="20"/>
          <w:lang w:val="en-US" w:eastAsia="en-US"/>
        </w:rPr>
        <w:drawing>
          <wp:inline distT="0" distB="0" distL="0" distR="0">
            <wp:extent cx="5734050" cy="150495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34050" cy="1504950"/>
                    </a:xfrm>
                    <a:prstGeom prst="rect">
                      <a:avLst/>
                    </a:prstGeom>
                    <a:noFill/>
                    <a:ln>
                      <a:noFill/>
                    </a:ln>
                  </pic:spPr>
                </pic:pic>
              </a:graphicData>
            </a:graphic>
          </wp:inline>
        </w:drawing>
      </w:r>
    </w:p>
    <w:p w:rsidR="006821F7" w:rsidRPr="006D0C30" w:rsidRDefault="005F29A3" w:rsidP="007C6D77">
      <w:pPr>
        <w:pStyle w:val="Style3"/>
        <w:spacing w:after="0"/>
        <w:rPr>
          <w:szCs w:val="22"/>
        </w:rPr>
      </w:pPr>
      <w:r>
        <w:t>Кредиторская задолженность включает полученные от поставщиков счета-фактуры, которые еще не оплачены, в том числе пересчет счетов-фактур, полученных не в швейцарских франках, но в другой валюте.</w:t>
      </w:r>
    </w:p>
    <w:p w:rsidR="00D42D4D" w:rsidRDefault="00D42D4D" w:rsidP="006D0C30">
      <w:pPr>
        <w:pStyle w:val="StyleHeading211ptNotBoldNotItalicAllcaps"/>
        <w:spacing w:before="0" w:after="0"/>
        <w:rPr>
          <w:szCs w:val="22"/>
        </w:rPr>
      </w:pPr>
    </w:p>
    <w:p w:rsidR="00CF44A9" w:rsidRPr="006D0C30" w:rsidRDefault="005F29A3" w:rsidP="006D0C30">
      <w:pPr>
        <w:pStyle w:val="StyleHeading211ptNotBoldNotItalicAllcaps"/>
        <w:spacing w:before="0" w:after="0"/>
        <w:rPr>
          <w:szCs w:val="22"/>
        </w:rPr>
      </w:pPr>
      <w:r w:rsidRPr="001311AA">
        <w:t>Примечание</w:t>
      </w:r>
      <w:r w:rsidR="001311AA" w:rsidRPr="001311AA">
        <w:t> </w:t>
      </w:r>
      <w:r w:rsidRPr="001311AA">
        <w:t>1</w:t>
      </w:r>
      <w:r>
        <w:t>2:</w:t>
      </w:r>
      <w:r>
        <w:tab/>
        <w:t>Пособия сотрудникам</w:t>
      </w:r>
    </w:p>
    <w:p w:rsidR="0056293C" w:rsidRDefault="0056293C" w:rsidP="006D0C30">
      <w:pPr>
        <w:pStyle w:val="STYLETITRENOTES"/>
        <w:rPr>
          <w:szCs w:val="22"/>
        </w:rPr>
      </w:pPr>
    </w:p>
    <w:p w:rsidR="002840B0" w:rsidRPr="006D0C30" w:rsidRDefault="006C627A" w:rsidP="00B55B30">
      <w:pPr>
        <w:pStyle w:val="STYLETITRENOTES"/>
        <w:jc w:val="center"/>
        <w:rPr>
          <w:szCs w:val="22"/>
        </w:rPr>
      </w:pPr>
      <w:r>
        <w:rPr>
          <w:noProof/>
          <w:szCs w:val="22"/>
          <w:lang w:val="en-US" w:eastAsia="en-US"/>
        </w:rPr>
        <w:drawing>
          <wp:inline distT="0" distB="0" distL="0" distR="0">
            <wp:extent cx="5977255" cy="3422800"/>
            <wp:effectExtent l="0" t="0" r="4445"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977255" cy="3422800"/>
                    </a:xfrm>
                    <a:prstGeom prst="rect">
                      <a:avLst/>
                    </a:prstGeom>
                    <a:noFill/>
                    <a:ln>
                      <a:noFill/>
                    </a:ln>
                  </pic:spPr>
                </pic:pic>
              </a:graphicData>
            </a:graphic>
          </wp:inline>
        </w:drawing>
      </w:r>
    </w:p>
    <w:p w:rsidR="001372BE" w:rsidRPr="0007311F" w:rsidRDefault="005F29A3" w:rsidP="006D0C30">
      <w:pPr>
        <w:pStyle w:val="Style3"/>
        <w:spacing w:after="0"/>
      </w:pPr>
      <w:r>
        <w:t>Пособия сотрудникам включают:</w:t>
      </w:r>
    </w:p>
    <w:p w:rsidR="001372BE" w:rsidRPr="0007311F" w:rsidRDefault="001372BE" w:rsidP="001372BE">
      <w:pPr>
        <w:pStyle w:val="Style3"/>
        <w:spacing w:after="0"/>
      </w:pPr>
    </w:p>
    <w:p w:rsidR="001372BE" w:rsidRDefault="005F29A3" w:rsidP="001372BE">
      <w:pPr>
        <w:pStyle w:val="Style3"/>
        <w:spacing w:after="0"/>
      </w:pPr>
      <w:r>
        <w:rPr>
          <w:i/>
        </w:rPr>
        <w:t>Пособия для временных сотрудников</w:t>
      </w:r>
      <w:r>
        <w:t>, которые включают оклад, надбавки, пособие при первоначальном назначении, пособие на образование детей-иждивенцев, оплачиваемый ежегодный отпуск, оплачиваемый отпуск по болезни, пособие в связи с несчастным случаем и страхование жизни;</w:t>
      </w:r>
    </w:p>
    <w:p w:rsidR="002840B0" w:rsidRPr="0007311F" w:rsidRDefault="002840B0" w:rsidP="001372BE">
      <w:pPr>
        <w:pStyle w:val="Style3"/>
        <w:spacing w:after="0"/>
      </w:pPr>
    </w:p>
    <w:p w:rsidR="001372BE" w:rsidRDefault="005F29A3" w:rsidP="001372BE">
      <w:pPr>
        <w:pStyle w:val="Style3"/>
        <w:spacing w:after="0"/>
      </w:pPr>
      <w:r>
        <w:rPr>
          <w:i/>
        </w:rPr>
        <w:t>Пособия после прекращения службы</w:t>
      </w:r>
      <w:r>
        <w:t>, которые включают пособие при окончании  службы, в том числе пособие на репатриацию, проезд в связи с репатриацией и доставку личных вещей, а также медицинское страхование после прекращения службы (МСПС);</w:t>
      </w:r>
    </w:p>
    <w:p w:rsidR="003B5F73" w:rsidRDefault="005F29A3" w:rsidP="008F7307">
      <w:pPr>
        <w:pStyle w:val="BodyText"/>
        <w:jc w:val="both"/>
        <w:rPr>
          <w:sz w:val="22"/>
          <w:szCs w:val="22"/>
        </w:rPr>
      </w:pPr>
      <w:r>
        <w:rPr>
          <w:i/>
          <w:sz w:val="22"/>
        </w:rPr>
        <w:lastRenderedPageBreak/>
        <w:t>Пособия при окончании службы</w:t>
      </w:r>
      <w:r>
        <w:rPr>
          <w:sz w:val="22"/>
        </w:rPr>
        <w:t>, которые включают компенсацию, выплачиваемую сотрудникам, работающим на основе постоянных или срочных контрактов, действие которых прекращается Организацией до их истечения.</w:t>
      </w:r>
    </w:p>
    <w:p w:rsidR="000D52D7" w:rsidRDefault="000D52D7" w:rsidP="00403F2A">
      <w:pPr>
        <w:pStyle w:val="Style3"/>
        <w:spacing w:after="0"/>
        <w:rPr>
          <w:b/>
        </w:rPr>
      </w:pPr>
    </w:p>
    <w:p w:rsidR="001372BE" w:rsidRPr="001372BE" w:rsidRDefault="005F29A3" w:rsidP="00403F2A">
      <w:pPr>
        <w:pStyle w:val="Style3"/>
        <w:spacing w:after="0"/>
        <w:rPr>
          <w:b/>
        </w:rPr>
      </w:pPr>
      <w:r>
        <w:rPr>
          <w:b/>
        </w:rPr>
        <w:t>Пособия для временных сотрудников</w:t>
      </w:r>
    </w:p>
    <w:p w:rsidR="001372BE" w:rsidRPr="008A6AD5" w:rsidRDefault="001372BE" w:rsidP="00403F2A">
      <w:pPr>
        <w:pStyle w:val="Style3"/>
        <w:spacing w:after="0"/>
        <w:rPr>
          <w:rFonts w:cs="Arial"/>
        </w:rPr>
      </w:pPr>
    </w:p>
    <w:p w:rsidR="00403F2A" w:rsidRPr="008A6AD5" w:rsidRDefault="005F29A3" w:rsidP="00403F2A">
      <w:pPr>
        <w:pStyle w:val="Style3"/>
        <w:spacing w:after="0"/>
        <w:rPr>
          <w:rFonts w:cs="Arial"/>
        </w:rPr>
      </w:pPr>
      <w:r>
        <w:t>На Организации лежат признанные обязательства по выплате следующих краткосрочных пособий, которые оцениваются исходя из суммы, подлежащей выплате каждому сотруднику на отчетную дату.</w:t>
      </w:r>
    </w:p>
    <w:p w:rsidR="00403F2A" w:rsidRPr="008A6AD5" w:rsidRDefault="00403F2A" w:rsidP="00403F2A">
      <w:pPr>
        <w:pStyle w:val="Style3"/>
        <w:spacing w:after="0"/>
        <w:rPr>
          <w:rFonts w:cs="Arial"/>
        </w:rPr>
      </w:pPr>
    </w:p>
    <w:p w:rsidR="00FF42AC" w:rsidRPr="008A6AD5" w:rsidRDefault="005F29A3" w:rsidP="002840B0">
      <w:pPr>
        <w:pStyle w:val="Style3"/>
        <w:spacing w:after="0"/>
        <w:rPr>
          <w:rFonts w:cs="Arial"/>
        </w:rPr>
      </w:pPr>
      <w:r>
        <w:rPr>
          <w:b/>
          <w:i/>
        </w:rPr>
        <w:t>Накопленный отпуск</w:t>
      </w:r>
      <w:r w:rsidR="006B1BEC">
        <w:t>:  с</w:t>
      </w:r>
      <w:r>
        <w:t>отрудники имеют право на 30-дневный ежегодный отпуск</w:t>
      </w:r>
      <w:r w:rsidR="006B1BEC">
        <w:t>.  В</w:t>
      </w:r>
      <w:r>
        <w:t xml:space="preserve"> соответствии с Положениями и правилами о персонале (ППП) сотрудники могут накапливать до 15 дней отпуска в год, и не более 60 дней в сумме</w:t>
      </w:r>
      <w:r w:rsidR="0005341A">
        <w:t>.  О</w:t>
      </w:r>
      <w:r>
        <w:t>днако сотрудники, накопившие более 60 дней до 1 января 2013 г., могут сохранить их до 1 января 2018 г</w:t>
      </w:r>
      <w:r w:rsidR="0005341A">
        <w:t>.  Е</w:t>
      </w:r>
      <w:r>
        <w:t>жегодный отпуск является пособием для временных сотрудников, но поскольку сотрудники имеют право накапливать неиспользованные дни отпуска и получить за них денежную компенсацию при прекращении службы, часть накопленного отпуска классифицируется как долгосрочное обязательство</w:t>
      </w:r>
      <w:r w:rsidR="0005341A">
        <w:t>.  С</w:t>
      </w:r>
      <w:r>
        <w:t>овокупный размер непогашенных обязательств по этой статье на отчетную дату составляет 12,9 млн шв. франков [12,2 млн шв. франков на 3</w:t>
      </w:r>
      <w:r w:rsidRPr="001311AA">
        <w:t>1</w:t>
      </w:r>
      <w:r w:rsidR="001311AA" w:rsidRPr="001311AA">
        <w:t> </w:t>
      </w:r>
      <w:r w:rsidRPr="001311AA">
        <w:t>декабря</w:t>
      </w:r>
      <w:r>
        <w:t xml:space="preserve"> 201</w:t>
      </w:r>
      <w:r w:rsidRPr="001311AA">
        <w:t>3</w:t>
      </w:r>
      <w:r w:rsidR="001311AA" w:rsidRPr="001311AA">
        <w:t> </w:t>
      </w:r>
      <w:r w:rsidRPr="001311AA">
        <w:t>г.</w:t>
      </w:r>
      <w:r>
        <w:t>].</w:t>
      </w:r>
    </w:p>
    <w:p w:rsidR="00FF42AC" w:rsidRPr="008A6AD5" w:rsidRDefault="00FF42AC" w:rsidP="00FF42AC">
      <w:pPr>
        <w:pStyle w:val="Style3"/>
        <w:spacing w:after="0"/>
        <w:ind w:left="720"/>
        <w:rPr>
          <w:rFonts w:cs="Arial"/>
        </w:rPr>
      </w:pPr>
    </w:p>
    <w:p w:rsidR="00403F2A" w:rsidRPr="008A6AD5" w:rsidRDefault="005F29A3" w:rsidP="002840B0">
      <w:pPr>
        <w:pStyle w:val="Style3"/>
        <w:spacing w:after="0"/>
        <w:rPr>
          <w:rFonts w:cs="Arial"/>
        </w:rPr>
      </w:pPr>
      <w:r>
        <w:rPr>
          <w:b/>
          <w:i/>
        </w:rPr>
        <w:t>Отпуск на родину</w:t>
      </w:r>
      <w:r w:rsidR="006B1BEC">
        <w:rPr>
          <w:b/>
          <w:i/>
        </w:rPr>
        <w:t xml:space="preserve">:  </w:t>
      </w:r>
      <w:r w:rsidR="006B1BEC" w:rsidRPr="006C627A">
        <w:t>с</w:t>
      </w:r>
      <w:r>
        <w:t>отрудники, набранные на международной основе, и их иждивенцы имеют право на отпуск на родину в страну, в которой они были приняты на работу, раз в два года</w:t>
      </w:r>
      <w:r w:rsidR="0005341A">
        <w:t>.  С</w:t>
      </w:r>
      <w:r>
        <w:t>овокупные непогашенные финансовые обязательства в отношении отпуска на родину, который «заработан», но не использован сотрудником, на отчетную дату составляет 0,5 млн шв. франков [0,5 млн шв. франков на 3</w:t>
      </w:r>
      <w:r w:rsidRPr="001311AA">
        <w:t>1</w:t>
      </w:r>
      <w:r w:rsidR="001311AA" w:rsidRPr="001311AA">
        <w:t> </w:t>
      </w:r>
      <w:r w:rsidRPr="001311AA">
        <w:t>декабря</w:t>
      </w:r>
      <w:r>
        <w:t xml:space="preserve"> 201</w:t>
      </w:r>
      <w:r w:rsidRPr="001311AA">
        <w:t>3</w:t>
      </w:r>
      <w:r w:rsidR="001311AA" w:rsidRPr="001311AA">
        <w:t> </w:t>
      </w:r>
      <w:r w:rsidRPr="001311AA">
        <w:t>г.</w:t>
      </w:r>
      <w:r>
        <w:t>].</w:t>
      </w:r>
    </w:p>
    <w:p w:rsidR="00403F2A" w:rsidRPr="008A6AD5" w:rsidRDefault="00403F2A" w:rsidP="00403F2A">
      <w:pPr>
        <w:pStyle w:val="Style3"/>
        <w:spacing w:after="0"/>
        <w:rPr>
          <w:rFonts w:cs="Arial"/>
        </w:rPr>
      </w:pPr>
    </w:p>
    <w:p w:rsidR="00403F2A" w:rsidRPr="008A6AD5" w:rsidRDefault="005F29A3" w:rsidP="002840B0">
      <w:pPr>
        <w:pStyle w:val="Style3"/>
        <w:spacing w:after="0"/>
        <w:rPr>
          <w:rFonts w:cs="Arial"/>
          <w:szCs w:val="22"/>
        </w:rPr>
      </w:pPr>
      <w:r>
        <w:rPr>
          <w:b/>
          <w:i/>
        </w:rPr>
        <w:t>Сверхурочные</w:t>
      </w:r>
      <w:r w:rsidR="006B1BEC">
        <w:t>:  с</w:t>
      </w:r>
      <w:r>
        <w:t>отрудники имеют право на получение денежной компенсации за накопившиеся часы сверхурочной работы по истечении периода, установленного в Положениях и правилах о персонале</w:t>
      </w:r>
      <w:r w:rsidR="0005341A">
        <w:t>.  О</w:t>
      </w:r>
      <w:r>
        <w:t>бщая сумма, подлежащая выплате, на отчетную дату составляет 0,5 млн шв. франков [0,8 млн шв. франков на 31 декабря 2013 г.].</w:t>
      </w:r>
    </w:p>
    <w:p w:rsidR="000A4D7F" w:rsidRPr="008A6AD5" w:rsidRDefault="000A4D7F" w:rsidP="000A4D7F">
      <w:pPr>
        <w:pStyle w:val="ListParagraph"/>
        <w:rPr>
          <w:rFonts w:ascii="Arial" w:hAnsi="Arial" w:cs="Arial"/>
          <w:sz w:val="22"/>
          <w:szCs w:val="22"/>
        </w:rPr>
      </w:pPr>
    </w:p>
    <w:p w:rsidR="000A4D7F" w:rsidRPr="008A6AD5" w:rsidRDefault="005F29A3" w:rsidP="002840B0">
      <w:pPr>
        <w:pStyle w:val="Style3"/>
        <w:spacing w:after="0"/>
        <w:rPr>
          <w:rFonts w:cs="Arial"/>
          <w:szCs w:val="22"/>
        </w:rPr>
      </w:pPr>
      <w:r>
        <w:rPr>
          <w:b/>
          <w:i/>
        </w:rPr>
        <w:t>Субсидия на образования</w:t>
      </w:r>
      <w:r>
        <w:t xml:space="preserve">: </w:t>
      </w:r>
      <w:r w:rsidR="006B1BEC">
        <w:t xml:space="preserve"> </w:t>
      </w:r>
      <w:r>
        <w:t>международные сотрудники, за исключением тех, кто проживает в своей стране, имеют право на получение пособия, покрывающего 75% расходов, связанных с образованием детей-иждивенцев, вплоть до четвертого года обучения в высшем учебном заведении, но не после окончания учебного года, в котором иждивенец достигает возраста 25 лет</w:t>
      </w:r>
      <w:r w:rsidR="0005341A">
        <w:t>.  О</w:t>
      </w:r>
      <w:r>
        <w:t>бязательства по субсидии на образование зависят от числа месяцев с начала года обучения в высшей школе/университете до 3</w:t>
      </w:r>
      <w:r w:rsidRPr="001311AA">
        <w:t>1</w:t>
      </w:r>
      <w:r w:rsidR="001311AA" w:rsidRPr="001311AA">
        <w:t> </w:t>
      </w:r>
      <w:r w:rsidRPr="001311AA">
        <w:t>декабря</w:t>
      </w:r>
      <w:r>
        <w:t xml:space="preserve"> 201</w:t>
      </w:r>
      <w:r w:rsidRPr="001311AA">
        <w:t>4</w:t>
      </w:r>
      <w:r w:rsidR="001311AA" w:rsidRPr="001311AA">
        <w:t> </w:t>
      </w:r>
      <w:r w:rsidRPr="001311AA">
        <w:t>г.</w:t>
      </w:r>
      <w:r>
        <w:t>, т.е. срока, за который необходимо внести причитающуюся плату</w:t>
      </w:r>
      <w:r w:rsidR="0005341A">
        <w:t>.  О</w:t>
      </w:r>
      <w:r>
        <w:t>бщий размер обязательств на дату подготовки отчетности составил 1,9 млн шв. франков [1,8 млн шв. франков по состоянию на 3</w:t>
      </w:r>
      <w:r w:rsidRPr="001311AA">
        <w:t>1</w:t>
      </w:r>
      <w:r w:rsidR="001311AA" w:rsidRPr="001311AA">
        <w:t> </w:t>
      </w:r>
      <w:r w:rsidRPr="001311AA">
        <w:t>декабря</w:t>
      </w:r>
      <w:r>
        <w:t xml:space="preserve"> 201</w:t>
      </w:r>
      <w:r w:rsidRPr="001311AA">
        <w:t>3</w:t>
      </w:r>
      <w:r w:rsidR="001311AA" w:rsidRPr="001311AA">
        <w:t> </w:t>
      </w:r>
      <w:r w:rsidRPr="001311AA">
        <w:t>г.</w:t>
      </w:r>
      <w:r>
        <w:t>].</w:t>
      </w:r>
    </w:p>
    <w:p w:rsidR="000A4D7F" w:rsidRPr="008A6AD5" w:rsidRDefault="000A4D7F" w:rsidP="000A4D7F">
      <w:pPr>
        <w:pStyle w:val="ListParagraph"/>
        <w:rPr>
          <w:rFonts w:ascii="Arial" w:hAnsi="Arial" w:cs="Arial"/>
          <w:sz w:val="22"/>
          <w:szCs w:val="22"/>
        </w:rPr>
      </w:pPr>
    </w:p>
    <w:p w:rsidR="000A4D7F" w:rsidRPr="008A6AD5" w:rsidRDefault="005F29A3" w:rsidP="002840B0">
      <w:pPr>
        <w:pStyle w:val="Style3"/>
        <w:spacing w:after="0"/>
        <w:rPr>
          <w:rFonts w:cs="Arial"/>
          <w:szCs w:val="22"/>
        </w:rPr>
      </w:pPr>
      <w:r>
        <w:rPr>
          <w:b/>
          <w:i/>
        </w:rPr>
        <w:t>Вознаграждение трудовых достижений</w:t>
      </w:r>
      <w:r>
        <w:t xml:space="preserve"> – в 2013 г. ВОИС начала реализацию программы поощрения и признания заслуг, согласно которой сотрудники, чья работа получила оценку «высокие результаты», могут рассматриваться как потенциальные кандидаты на получение единовременного денежного пособия в размере 2,5 тыс. или 5 тыс. шв. франков</w:t>
      </w:r>
      <w:r w:rsidR="0005341A">
        <w:t>.  С</w:t>
      </w:r>
      <w:r>
        <w:t>огласно решениям, принятым за год, общий размер средств, выплаченных в порядке поощрения трудовых достижений, составил 0,2 млн шв. франков на 3</w:t>
      </w:r>
      <w:r w:rsidRPr="001311AA">
        <w:t>1</w:t>
      </w:r>
      <w:r w:rsidR="001311AA" w:rsidRPr="001311AA">
        <w:t> </w:t>
      </w:r>
      <w:r w:rsidRPr="001311AA">
        <w:t>декабря</w:t>
      </w:r>
      <w:r>
        <w:t xml:space="preserve"> 201</w:t>
      </w:r>
      <w:r w:rsidRPr="001311AA">
        <w:t>4</w:t>
      </w:r>
      <w:r w:rsidR="001311AA" w:rsidRPr="001311AA">
        <w:t> </w:t>
      </w:r>
      <w:r w:rsidRPr="001311AA">
        <w:t>г.</w:t>
      </w:r>
      <w:r>
        <w:t xml:space="preserve"> [0,1 млн шв. франков на 31 декабря 2013 г.]</w:t>
      </w:r>
    </w:p>
    <w:p w:rsidR="00101989" w:rsidRPr="008A6AD5" w:rsidRDefault="00101989" w:rsidP="001372BE">
      <w:pPr>
        <w:pStyle w:val="Style3"/>
        <w:spacing w:after="0"/>
        <w:rPr>
          <w:rFonts w:cs="Arial"/>
          <w:szCs w:val="22"/>
        </w:rPr>
      </w:pPr>
    </w:p>
    <w:p w:rsidR="000D52D7" w:rsidRPr="008A6AD5" w:rsidRDefault="000D52D7" w:rsidP="007C6D77">
      <w:pPr>
        <w:pStyle w:val="Style3"/>
        <w:spacing w:after="0"/>
        <w:rPr>
          <w:rFonts w:cs="Arial"/>
          <w:b/>
          <w:szCs w:val="22"/>
        </w:rPr>
      </w:pPr>
    </w:p>
    <w:p w:rsidR="00CF44A9" w:rsidRPr="00D656CE" w:rsidRDefault="005F29A3" w:rsidP="007C6D77">
      <w:pPr>
        <w:pStyle w:val="Style3"/>
        <w:spacing w:after="0"/>
      </w:pPr>
      <w:r>
        <w:rPr>
          <w:b/>
        </w:rPr>
        <w:t xml:space="preserve">Пособия после прекращения службы </w:t>
      </w:r>
    </w:p>
    <w:p w:rsidR="00CF44A9" w:rsidRPr="0007311F" w:rsidRDefault="00CF44A9" w:rsidP="007C6D77">
      <w:pPr>
        <w:pStyle w:val="Style3"/>
        <w:spacing w:after="0"/>
      </w:pPr>
    </w:p>
    <w:p w:rsidR="00CF44A9" w:rsidRPr="00FB4990" w:rsidRDefault="005F29A3" w:rsidP="007C6D77">
      <w:pPr>
        <w:pStyle w:val="Style3"/>
        <w:spacing w:after="0"/>
      </w:pPr>
      <w:r>
        <w:rPr>
          <w:b/>
          <w:i/>
        </w:rPr>
        <w:t>Закрытый пенсионный фонд (CROMPI)</w:t>
      </w:r>
      <w:r>
        <w:t xml:space="preserve">: До того, как стать участницей ОПФПООН, организация – предшественница ВОИС имела собственный пенсионный фонд, </w:t>
      </w:r>
      <w:r>
        <w:lastRenderedPageBreak/>
        <w:t>учрежденный в 1955 г</w:t>
      </w:r>
      <w:r w:rsidR="0005341A">
        <w:t>.  Э</w:t>
      </w:r>
      <w:r>
        <w:t>тот пенсионный фонд был закрыт для новых участников 30 сентября 1975 г., но он продолжал функционировать под управлением Совета Фонда для тех, кто являлся его участниками на момент закрытия</w:t>
      </w:r>
      <w:r w:rsidR="0005341A">
        <w:t>.  П</w:t>
      </w:r>
      <w:r>
        <w:t>о соглашению между Закрытым пенсионным фондом и Организацией и в соответствии с решением Административного трибунала МОТ ВОИС обязана покрывать расходы Закрытого пенсионного фонда, обусловленные разницей в валютных курсах и разницей в пенсионном возрасте, который предусмотрен в Закрытом пенсионном фонде и ОПФПООН</w:t>
      </w:r>
      <w:r w:rsidR="0005341A">
        <w:t>.  О</w:t>
      </w:r>
      <w:r>
        <w:t>рганизация несет определенные обязательства по отношению к участникам Закрытого пенсионного фонда, включая:</w:t>
      </w:r>
    </w:p>
    <w:p w:rsidR="00CF44A9" w:rsidRPr="00FB4990" w:rsidRDefault="00CF44A9" w:rsidP="007C6D77">
      <w:pPr>
        <w:pStyle w:val="Style3"/>
        <w:spacing w:after="0"/>
      </w:pPr>
    </w:p>
    <w:p w:rsidR="00CF44A9" w:rsidRPr="002124A1" w:rsidRDefault="005F29A3" w:rsidP="00F73729">
      <w:pPr>
        <w:pStyle w:val="Style3"/>
        <w:numPr>
          <w:ilvl w:val="0"/>
          <w:numId w:val="4"/>
        </w:numPr>
        <w:spacing w:after="0"/>
      </w:pPr>
      <w:r>
        <w:t>обязательства по покрытию расходов в связи с пенсиями, выплачиваемыми бывшим сотрудникам, участвующим в Закрытом пенсионном фонде, до достижения ими возраста 65 лет</w:t>
      </w:r>
      <w:r w:rsidR="0005341A">
        <w:t>.  С</w:t>
      </w:r>
      <w:r>
        <w:t>огласно последней актуарной оценке, сумма финансовых обязательств по состоянию на 3</w:t>
      </w:r>
      <w:r w:rsidRPr="001311AA">
        <w:t>1</w:t>
      </w:r>
      <w:r w:rsidR="001311AA" w:rsidRPr="001311AA">
        <w:t> </w:t>
      </w:r>
      <w:r w:rsidRPr="001311AA">
        <w:t>декабря</w:t>
      </w:r>
      <w:r>
        <w:t xml:space="preserve"> 2014 г. оценивается в 13 тыс. шв. франков [47 тыс. шв. франков в 201</w:t>
      </w:r>
      <w:r w:rsidRPr="001311AA">
        <w:t>3</w:t>
      </w:r>
      <w:r w:rsidR="001311AA" w:rsidRPr="001311AA">
        <w:t> </w:t>
      </w:r>
      <w:r w:rsidRPr="001311AA">
        <w:t>г.</w:t>
      </w:r>
      <w:r>
        <w:t>].</w:t>
      </w:r>
    </w:p>
    <w:p w:rsidR="00D21E87" w:rsidRPr="002124A1" w:rsidRDefault="00D21E87" w:rsidP="00D21E87">
      <w:pPr>
        <w:pStyle w:val="Style3"/>
        <w:spacing w:after="0"/>
        <w:ind w:left="360"/>
      </w:pPr>
    </w:p>
    <w:p w:rsidR="00CF44A9" w:rsidRPr="002124A1" w:rsidRDefault="005F29A3" w:rsidP="00F73729">
      <w:pPr>
        <w:pStyle w:val="Style3"/>
        <w:numPr>
          <w:ilvl w:val="0"/>
          <w:numId w:val="4"/>
        </w:numPr>
        <w:spacing w:after="0"/>
      </w:pPr>
      <w:r>
        <w:t>обязательства, вытекающие из решения Административного трибунала Международной организации труда, принятого в 2006 г., по возмещению определенной разницы между начисляемыми в Закрытом пенсионном фонде пенсиями для его участников и начисляемыми пенсиями в ОПФПООН, сметная сумма которой, согласно последней актуарной оценке, проведенной для 2014 г., составляет 2,8 млн шв. франков по состоянию на 31 декабря 2014 г. [3,0 млн шв. франков в 2013 г.]</w:t>
      </w:r>
      <w:r w:rsidR="00C950F5">
        <w:t xml:space="preserve">. </w:t>
      </w:r>
    </w:p>
    <w:p w:rsidR="00CF44A9" w:rsidRDefault="00CF44A9" w:rsidP="007C6D77">
      <w:pPr>
        <w:pStyle w:val="Style3"/>
        <w:spacing w:after="0"/>
      </w:pPr>
    </w:p>
    <w:p w:rsidR="00121A1A" w:rsidRDefault="005F29A3" w:rsidP="007C6D77">
      <w:pPr>
        <w:pStyle w:val="Style3"/>
        <w:spacing w:after="0"/>
      </w:pPr>
      <w:r>
        <w:rPr>
          <w:b/>
          <w:i/>
        </w:rPr>
        <w:t>Пособие на репатриацию, проезд в связи с репатриацией</w:t>
      </w:r>
      <w:r>
        <w:t>: Организация несет договорные обязательства по выплате таких пособий, как пособие на репатриацию и оплату проезда и полного переезда некоторым сотрудникам, набранным на международной основе, в момент прекращения ими службы</w:t>
      </w:r>
      <w:r w:rsidR="006B1BEC">
        <w:t>.  В</w:t>
      </w:r>
      <w:r>
        <w:t xml:space="preserve"> случае сотрудников категории специалистов на временных должностях расходы на проезд и полный переезд при репатриации после прекращения службы оцениваются ВОИС и относятся к краткосрочным обязательствам</w:t>
      </w:r>
      <w:r w:rsidR="006B1BEC">
        <w:t>.  В</w:t>
      </w:r>
      <w:r>
        <w:t xml:space="preserve"> случае набранных на международной основе штатных сотрудников категории специалистов обязательства, связанные с пособиями на репатриацию, оплатой проезда и полного переезда, рассчитываются независимым актуарием</w:t>
      </w:r>
      <w:r w:rsidR="0005341A">
        <w:t>.  Н</w:t>
      </w:r>
      <w:r>
        <w:t>а отчетную дату совокупный объем обязательств был оценен следующим образом:</w:t>
      </w:r>
    </w:p>
    <w:p w:rsidR="003B5F73" w:rsidRDefault="003B5F73" w:rsidP="007C6D77">
      <w:pPr>
        <w:pStyle w:val="Style3"/>
        <w:spacing w:after="0"/>
        <w:rPr>
          <w:rFonts w:ascii="Times New Roman" w:hAnsi="Times New Roman"/>
          <w:sz w:val="20"/>
        </w:rPr>
      </w:pPr>
      <w:bookmarkStart w:id="16" w:name="RANGE!B3:E6"/>
      <w:bookmarkEnd w:id="16"/>
    </w:p>
    <w:p w:rsidR="00B040B6" w:rsidRDefault="006C627A" w:rsidP="002124A1">
      <w:pPr>
        <w:pStyle w:val="Style3"/>
        <w:spacing w:after="0"/>
        <w:jc w:val="center"/>
      </w:pPr>
      <w:r>
        <w:rPr>
          <w:noProof/>
          <w:lang w:val="en-US" w:eastAsia="en-US"/>
        </w:rPr>
        <w:drawing>
          <wp:inline distT="0" distB="0" distL="0" distR="0">
            <wp:extent cx="5915025" cy="1762125"/>
            <wp:effectExtent l="0" t="0" r="9525"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15025" cy="1762125"/>
                    </a:xfrm>
                    <a:prstGeom prst="rect">
                      <a:avLst/>
                    </a:prstGeom>
                    <a:noFill/>
                    <a:ln>
                      <a:noFill/>
                    </a:ln>
                  </pic:spPr>
                </pic:pic>
              </a:graphicData>
            </a:graphic>
          </wp:inline>
        </w:drawing>
      </w:r>
    </w:p>
    <w:p w:rsidR="005A3DB4" w:rsidRDefault="005F29A3" w:rsidP="005A3DB4">
      <w:pPr>
        <w:jc w:val="both"/>
        <w:rPr>
          <w:rFonts w:ascii="Arial" w:hAnsi="Arial" w:cs="Arial"/>
          <w:sz w:val="22"/>
          <w:szCs w:val="22"/>
        </w:rPr>
      </w:pPr>
      <w:r>
        <w:rPr>
          <w:rFonts w:ascii="Arial" w:hAnsi="Arial"/>
          <w:sz w:val="22"/>
        </w:rPr>
        <w:t>Что касается актуарной оценки пособий на репатриацию и переезд, то в таблице ниже приводится подробная информация о расходах на выплату таких пособий, учтенных в отчете о финансовых результатах.</w:t>
      </w:r>
    </w:p>
    <w:p w:rsidR="000D52D7" w:rsidRDefault="000D52D7" w:rsidP="00DF09B4">
      <w:pPr>
        <w:pStyle w:val="Style3"/>
        <w:spacing w:after="0"/>
      </w:pPr>
    </w:p>
    <w:p w:rsidR="00E32227" w:rsidRDefault="006C627A" w:rsidP="00E32227">
      <w:pPr>
        <w:pStyle w:val="Style3"/>
        <w:spacing w:after="0"/>
        <w:jc w:val="center"/>
      </w:pPr>
      <w:r>
        <w:rPr>
          <w:noProof/>
          <w:lang w:val="en-US" w:eastAsia="en-US"/>
        </w:rPr>
        <w:lastRenderedPageBreak/>
        <w:drawing>
          <wp:inline distT="0" distB="0" distL="0" distR="0">
            <wp:extent cx="5734050" cy="1838325"/>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734050" cy="1838325"/>
                    </a:xfrm>
                    <a:prstGeom prst="rect">
                      <a:avLst/>
                    </a:prstGeom>
                    <a:noFill/>
                    <a:ln>
                      <a:noFill/>
                    </a:ln>
                  </pic:spPr>
                </pic:pic>
              </a:graphicData>
            </a:graphic>
          </wp:inline>
        </w:drawing>
      </w:r>
    </w:p>
    <w:p w:rsidR="009C669E" w:rsidRDefault="005F29A3" w:rsidP="009C669E">
      <w:pPr>
        <w:pStyle w:val="Style3"/>
        <w:spacing w:after="0"/>
        <w:rPr>
          <w:rFonts w:cs="Arial"/>
          <w:szCs w:val="22"/>
        </w:rPr>
      </w:pPr>
      <w:r>
        <w:t>Актуарные прибыли и убытки по пособиям на репатриацию и оплату проезда сразу признаются в отчете о финансовых результатах</w:t>
      </w:r>
      <w:r w:rsidR="006B1BEC">
        <w:t>.  В</w:t>
      </w:r>
      <w:r>
        <w:t xml:space="preserve"> таблице ниже приведены подробные данные об изменении установленного размера обязательств, связанных с выплатой пособий на репатриацию и оплату проезда:</w:t>
      </w:r>
    </w:p>
    <w:p w:rsidR="0017209A" w:rsidRDefault="0017209A" w:rsidP="009C669E">
      <w:pPr>
        <w:pStyle w:val="Style3"/>
        <w:spacing w:after="0"/>
        <w:rPr>
          <w:rFonts w:cs="Arial"/>
          <w:szCs w:val="22"/>
        </w:rPr>
      </w:pPr>
    </w:p>
    <w:p w:rsidR="00302779" w:rsidRDefault="006C627A" w:rsidP="00302779">
      <w:pPr>
        <w:pStyle w:val="Style3"/>
        <w:spacing w:after="0"/>
        <w:jc w:val="center"/>
        <w:rPr>
          <w:rFonts w:cs="Arial"/>
          <w:szCs w:val="22"/>
        </w:rPr>
      </w:pPr>
      <w:r>
        <w:rPr>
          <w:rFonts w:cs="Arial"/>
          <w:noProof/>
          <w:szCs w:val="22"/>
          <w:lang w:val="en-US" w:eastAsia="en-US"/>
        </w:rPr>
        <w:drawing>
          <wp:inline distT="0" distB="0" distL="0" distR="0">
            <wp:extent cx="5734050" cy="2314575"/>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34050" cy="2314575"/>
                    </a:xfrm>
                    <a:prstGeom prst="rect">
                      <a:avLst/>
                    </a:prstGeom>
                    <a:noFill/>
                    <a:ln>
                      <a:noFill/>
                    </a:ln>
                  </pic:spPr>
                </pic:pic>
              </a:graphicData>
            </a:graphic>
          </wp:inline>
        </w:drawing>
      </w:r>
    </w:p>
    <w:p w:rsidR="0017209A" w:rsidRDefault="005F29A3" w:rsidP="0017209A">
      <w:pPr>
        <w:jc w:val="both"/>
        <w:rPr>
          <w:rFonts w:ascii="Arial" w:hAnsi="Arial" w:cs="Arial"/>
          <w:sz w:val="22"/>
          <w:szCs w:val="22"/>
        </w:rPr>
      </w:pPr>
      <w:r>
        <w:rPr>
          <w:rFonts w:ascii="Arial" w:hAnsi="Arial"/>
          <w:sz w:val="22"/>
        </w:rPr>
        <w:t>В 2014 г. Организация выплатила 0,2 млн шв. франков в виде пособий на репатриацию и оплату проезда (в 2013 г. – 0,8 млн шв. франков)</w:t>
      </w:r>
      <w:r w:rsidR="0005341A">
        <w:rPr>
          <w:rFonts w:ascii="Arial" w:hAnsi="Arial"/>
          <w:sz w:val="22"/>
        </w:rPr>
        <w:t>.  О</w:t>
      </w:r>
      <w:r>
        <w:rPr>
          <w:rFonts w:ascii="Arial" w:hAnsi="Arial"/>
          <w:sz w:val="22"/>
        </w:rPr>
        <w:t>жидается, что в 2015 г. на финансирование пособий на репатриацию и оплату проезда будет потрачено 1,5 млн шв. франков.</w:t>
      </w:r>
    </w:p>
    <w:p w:rsidR="0017209A" w:rsidRDefault="0017209A" w:rsidP="0017209A">
      <w:pPr>
        <w:jc w:val="both"/>
        <w:rPr>
          <w:rFonts w:ascii="Arial" w:hAnsi="Arial" w:cs="Arial"/>
          <w:sz w:val="22"/>
          <w:szCs w:val="22"/>
        </w:rPr>
      </w:pPr>
    </w:p>
    <w:p w:rsidR="0017209A" w:rsidRDefault="005F29A3" w:rsidP="0017209A">
      <w:pPr>
        <w:jc w:val="both"/>
        <w:rPr>
          <w:rFonts w:ascii="Arial" w:hAnsi="Arial" w:cs="Arial"/>
          <w:sz w:val="22"/>
          <w:szCs w:val="22"/>
        </w:rPr>
      </w:pPr>
      <w:r>
        <w:rPr>
          <w:rFonts w:ascii="Arial" w:hAnsi="Arial"/>
          <w:sz w:val="22"/>
        </w:rPr>
        <w:t>В таблице ниже содержатся подробные данные о текущем установленном размере обязательств и корректировках на основе опыта выплаты пособий по репатриации и оплате проезда, полученного в 2014 г. и в предыдущие четыре года:</w:t>
      </w:r>
    </w:p>
    <w:p w:rsidR="00E13500" w:rsidRDefault="00E13500" w:rsidP="0017209A">
      <w:pPr>
        <w:jc w:val="both"/>
        <w:rPr>
          <w:rFonts w:ascii="Arial" w:hAnsi="Arial" w:cs="Arial"/>
          <w:sz w:val="22"/>
          <w:szCs w:val="22"/>
        </w:rPr>
      </w:pPr>
    </w:p>
    <w:p w:rsidR="005A3DB4" w:rsidRDefault="006C627A" w:rsidP="00A30F31">
      <w:pPr>
        <w:jc w:val="center"/>
      </w:pPr>
      <w:r>
        <w:rPr>
          <w:noProof/>
          <w:lang w:val="en-US" w:eastAsia="en-US"/>
        </w:rPr>
        <w:drawing>
          <wp:inline distT="0" distB="0" distL="0" distR="0">
            <wp:extent cx="5962650" cy="142875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962650" cy="1428750"/>
                    </a:xfrm>
                    <a:prstGeom prst="rect">
                      <a:avLst/>
                    </a:prstGeom>
                    <a:noFill/>
                    <a:ln>
                      <a:noFill/>
                    </a:ln>
                  </pic:spPr>
                </pic:pic>
              </a:graphicData>
            </a:graphic>
          </wp:inline>
        </w:drawing>
      </w:r>
    </w:p>
    <w:p w:rsidR="00323B8C" w:rsidRDefault="00323B8C">
      <w:pPr>
        <w:rPr>
          <w:rFonts w:ascii="Arial" w:hAnsi="Arial"/>
          <w:sz w:val="22"/>
        </w:rPr>
      </w:pPr>
      <w:r>
        <w:rPr>
          <w:rFonts w:ascii="Arial" w:hAnsi="Arial"/>
          <w:sz w:val="22"/>
        </w:rPr>
        <w:br w:type="page"/>
      </w:r>
    </w:p>
    <w:p w:rsidR="00302779" w:rsidRDefault="005F29A3" w:rsidP="00302779">
      <w:pPr>
        <w:jc w:val="both"/>
        <w:rPr>
          <w:rFonts w:ascii="Arial" w:hAnsi="Arial" w:cs="Arial"/>
          <w:sz w:val="22"/>
          <w:szCs w:val="22"/>
        </w:rPr>
      </w:pPr>
      <w:r>
        <w:rPr>
          <w:rFonts w:ascii="Arial" w:hAnsi="Arial"/>
          <w:sz w:val="22"/>
        </w:rPr>
        <w:lastRenderedPageBreak/>
        <w:t>При определении размера обязательств, связанных с выплатой установленных пособий на репатриацию и оплату проезда, применялись следующие допущения:</w:t>
      </w:r>
    </w:p>
    <w:p w:rsidR="00302779" w:rsidRDefault="00302779" w:rsidP="00E13500">
      <w:pPr>
        <w:jc w:val="both"/>
      </w:pPr>
    </w:p>
    <w:p w:rsidR="00302779" w:rsidRDefault="006C627A" w:rsidP="00302779">
      <w:pPr>
        <w:jc w:val="center"/>
      </w:pPr>
      <w:r>
        <w:rPr>
          <w:noProof/>
          <w:lang w:val="en-US" w:eastAsia="en-US"/>
        </w:rPr>
        <w:drawing>
          <wp:inline distT="0" distB="0" distL="0" distR="0" wp14:anchorId="37503E91" wp14:editId="1C7D156C">
            <wp:extent cx="5734050" cy="215265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34050" cy="2152650"/>
                    </a:xfrm>
                    <a:prstGeom prst="rect">
                      <a:avLst/>
                    </a:prstGeom>
                    <a:noFill/>
                    <a:ln>
                      <a:noFill/>
                    </a:ln>
                  </pic:spPr>
                </pic:pic>
              </a:graphicData>
            </a:graphic>
          </wp:inline>
        </w:drawing>
      </w:r>
    </w:p>
    <w:p w:rsidR="00E13500" w:rsidRPr="00E13500" w:rsidRDefault="00E13500" w:rsidP="00E13500">
      <w:pPr>
        <w:jc w:val="both"/>
        <w:rPr>
          <w:rFonts w:ascii="Arial" w:hAnsi="Arial" w:cs="Arial"/>
          <w:sz w:val="22"/>
          <w:szCs w:val="22"/>
        </w:rPr>
      </w:pPr>
    </w:p>
    <w:p w:rsidR="002B379E" w:rsidRDefault="005F29A3" w:rsidP="00DF09B4">
      <w:pPr>
        <w:pStyle w:val="Style3"/>
        <w:spacing w:after="0"/>
      </w:pPr>
      <w:r>
        <w:rPr>
          <w:b/>
          <w:i/>
        </w:rPr>
        <w:t>Медицинское страхование после прекращения службы (МСПС)</w:t>
      </w:r>
      <w:r>
        <w:t>: Организация также несет договорное обязательство по выплате медицинского пособия своим сотрудникам в форме страховых взносов в систему медицинского страхования и страхования от несчастного случая</w:t>
      </w:r>
      <w:r w:rsidR="006B1BEC">
        <w:t>.  В</w:t>
      </w:r>
      <w:r>
        <w:t>ыходящие в отставку сотрудники (и их супруги, дети-иждивенцы и пережившие сотрудника иждивенцы) имеют право на пособие в рамках МСПС в том случае, если после выхода в отставку они продолжают участвовать в системе медицинского страхования после прекращения службы</w:t>
      </w:r>
      <w:r w:rsidR="006B1BEC">
        <w:t>.  В</w:t>
      </w:r>
      <w:r>
        <w:t xml:space="preserve"> соответствии с Положениями и правилами ВОИС о персонале Организация выплачивает 65% ежемесячного взноса в систему медицинского страхования</w:t>
      </w:r>
      <w:r w:rsidR="0005341A">
        <w:t>.  С</w:t>
      </w:r>
      <w:r>
        <w:t xml:space="preserve"> 1 января 2015 г. установлены следующие ежемесячные выплаты по медицинскому страхованию: 538 шв. франков для взрослых и 240 шв. франков для детей (ранее 552 шв. франка для взрослых и 245 шв. франков для детей)</w:t>
      </w:r>
      <w:r w:rsidR="0005341A">
        <w:t>.  О</w:t>
      </w:r>
      <w:r>
        <w:t>бязательства по выплате установленных пособий в рамках медицинского страхования после прекращения службы оценены с использованием методики прогнозируемой условной единицы с дисконтированием прогнозируемого будущего выбытия средств с использованием дисконтной ставки, основанной как на первоклассных корпоративных облигациях в швейцарских франках, так и на облигациях швейцарского правительства</w:t>
      </w:r>
      <w:r w:rsidR="0005341A">
        <w:t>.  Э</w:t>
      </w:r>
      <w:r>
        <w:t>та система не финансируется по бюджету, и никакие ее активы не включены в долгосрочный фонд пособий, выплачиваемых сотрудникам</w:t>
      </w:r>
      <w:r w:rsidR="0005341A">
        <w:t>.  С</w:t>
      </w:r>
      <w:r>
        <w:t>огласно актуарной оценке, проведенной в декабре 2014 г. независимым учреждением, такие обязательства эквивалентны следующим суммам:</w:t>
      </w:r>
    </w:p>
    <w:p w:rsidR="00D944BC" w:rsidRDefault="00D944BC" w:rsidP="00DF09B4">
      <w:pPr>
        <w:pStyle w:val="Style3"/>
        <w:spacing w:after="0"/>
      </w:pPr>
    </w:p>
    <w:p w:rsidR="003B5F73" w:rsidRDefault="00691AE7" w:rsidP="002124A1">
      <w:pPr>
        <w:pStyle w:val="Style3"/>
        <w:spacing w:after="0"/>
        <w:jc w:val="center"/>
        <w:rPr>
          <w:rFonts w:ascii="Times New Roman" w:hAnsi="Times New Roman"/>
          <w:sz w:val="20"/>
        </w:rPr>
      </w:pPr>
      <w:r>
        <w:rPr>
          <w:rFonts w:ascii="Times New Roman" w:hAnsi="Times New Roman"/>
          <w:noProof/>
          <w:sz w:val="20"/>
          <w:lang w:val="en-US" w:eastAsia="en-US"/>
        </w:rPr>
        <w:drawing>
          <wp:inline distT="0" distB="0" distL="0" distR="0" wp14:anchorId="3707CA16" wp14:editId="40E08762">
            <wp:extent cx="5734050" cy="1609725"/>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734050" cy="1609725"/>
                    </a:xfrm>
                    <a:prstGeom prst="rect">
                      <a:avLst/>
                    </a:prstGeom>
                    <a:noFill/>
                    <a:ln>
                      <a:noFill/>
                    </a:ln>
                  </pic:spPr>
                </pic:pic>
              </a:graphicData>
            </a:graphic>
          </wp:inline>
        </w:drawing>
      </w:r>
    </w:p>
    <w:p w:rsidR="00323B8C" w:rsidRDefault="00323B8C">
      <w:pPr>
        <w:rPr>
          <w:rFonts w:ascii="Arial" w:hAnsi="Arial"/>
          <w:sz w:val="22"/>
        </w:rPr>
      </w:pPr>
      <w:r>
        <w:rPr>
          <w:rFonts w:ascii="Arial" w:hAnsi="Arial"/>
          <w:sz w:val="22"/>
        </w:rPr>
        <w:br w:type="page"/>
      </w:r>
    </w:p>
    <w:p w:rsidR="002A1684" w:rsidRDefault="005F29A3" w:rsidP="002124A1">
      <w:pPr>
        <w:jc w:val="both"/>
        <w:rPr>
          <w:rFonts w:ascii="Arial" w:hAnsi="Arial" w:cs="Arial"/>
          <w:sz w:val="22"/>
          <w:szCs w:val="22"/>
        </w:rPr>
      </w:pPr>
      <w:r>
        <w:rPr>
          <w:rFonts w:ascii="Arial" w:hAnsi="Arial"/>
          <w:sz w:val="22"/>
        </w:rPr>
        <w:lastRenderedPageBreak/>
        <w:t>В таблице ниже приводятся подробные данные о расходах на МСПС, признаваемых в отчете о финансовых результатах.</w:t>
      </w:r>
    </w:p>
    <w:p w:rsidR="002C393E" w:rsidRDefault="002C393E" w:rsidP="002124A1">
      <w:pPr>
        <w:jc w:val="both"/>
        <w:rPr>
          <w:rFonts w:ascii="Arial" w:hAnsi="Arial" w:cs="Arial"/>
          <w:sz w:val="22"/>
          <w:szCs w:val="22"/>
        </w:rPr>
      </w:pPr>
    </w:p>
    <w:p w:rsidR="003B5F73" w:rsidRDefault="00691AE7" w:rsidP="009C669E">
      <w:pPr>
        <w:jc w:val="center"/>
        <w:rPr>
          <w:rFonts w:ascii="Arial" w:hAnsi="Arial" w:cs="Arial"/>
          <w:sz w:val="22"/>
          <w:szCs w:val="22"/>
        </w:rPr>
      </w:pPr>
      <w:r>
        <w:rPr>
          <w:rFonts w:ascii="Arial" w:hAnsi="Arial" w:cs="Arial"/>
          <w:noProof/>
          <w:sz w:val="22"/>
          <w:szCs w:val="22"/>
          <w:lang w:val="en-US" w:eastAsia="en-US"/>
        </w:rPr>
        <w:drawing>
          <wp:inline distT="0" distB="0" distL="0" distR="0">
            <wp:extent cx="5977255" cy="1664661"/>
            <wp:effectExtent l="0" t="0" r="4445"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977255" cy="1664661"/>
                    </a:xfrm>
                    <a:prstGeom prst="rect">
                      <a:avLst/>
                    </a:prstGeom>
                    <a:noFill/>
                    <a:ln>
                      <a:noFill/>
                    </a:ln>
                  </pic:spPr>
                </pic:pic>
              </a:graphicData>
            </a:graphic>
          </wp:inline>
        </w:drawing>
      </w:r>
    </w:p>
    <w:p w:rsidR="000B77A7" w:rsidRDefault="005F29A3" w:rsidP="000B77A7">
      <w:pPr>
        <w:jc w:val="both"/>
        <w:rPr>
          <w:rFonts w:ascii="Arial" w:hAnsi="Arial" w:cs="Arial"/>
          <w:sz w:val="22"/>
          <w:szCs w:val="22"/>
        </w:rPr>
      </w:pPr>
      <w:r>
        <w:rPr>
          <w:rFonts w:ascii="Arial" w:hAnsi="Arial"/>
          <w:sz w:val="22"/>
        </w:rPr>
        <w:t>При признании актуарных прибылей и убытков по МСПС ВОИС применяет «коридорный» метод</w:t>
      </w:r>
      <w:r w:rsidR="006B1BEC">
        <w:rPr>
          <w:rFonts w:ascii="Arial" w:hAnsi="Arial"/>
          <w:sz w:val="22"/>
        </w:rPr>
        <w:t>.  В</w:t>
      </w:r>
      <w:r>
        <w:rPr>
          <w:rFonts w:ascii="Arial" w:hAnsi="Arial"/>
          <w:sz w:val="22"/>
        </w:rPr>
        <w:t xml:space="preserve"> соответствии с этим методом учета часть чистых актуарных прибылей и убытков признается, если размер чистых совокупных непризнанных прибылей и убытков на конец предыдущего отчетного периода превышает 10% текущего размера обязательств с установленными выплатами на ту же дату</w:t>
      </w:r>
      <w:r w:rsidR="006B1BEC">
        <w:rPr>
          <w:rFonts w:ascii="Arial" w:hAnsi="Arial"/>
          <w:sz w:val="22"/>
        </w:rPr>
        <w:t>.  В</w:t>
      </w:r>
      <w:r>
        <w:rPr>
          <w:rFonts w:ascii="Arial" w:hAnsi="Arial"/>
          <w:sz w:val="22"/>
        </w:rPr>
        <w:t xml:space="preserve"> таблице ниже приводятся подробные данные об изменениях в размере обязательств с установленными выплатами, а обязательства с установленными выплатами сопоставляются с обязательствами, признанными в отчете о финансовом положении:</w:t>
      </w:r>
    </w:p>
    <w:p w:rsidR="00FB5583" w:rsidRDefault="00FB5583" w:rsidP="0050238E">
      <w:pPr>
        <w:jc w:val="center"/>
      </w:pPr>
    </w:p>
    <w:p w:rsidR="0050238E" w:rsidRDefault="00691AE7" w:rsidP="0050238E">
      <w:pPr>
        <w:jc w:val="center"/>
      </w:pPr>
      <w:r>
        <w:rPr>
          <w:noProof/>
          <w:lang w:val="en-US" w:eastAsia="en-US"/>
        </w:rPr>
        <w:drawing>
          <wp:inline distT="0" distB="0" distL="0" distR="0">
            <wp:extent cx="5977255" cy="2596181"/>
            <wp:effectExtent l="0" t="0" r="444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977255" cy="2596181"/>
                    </a:xfrm>
                    <a:prstGeom prst="rect">
                      <a:avLst/>
                    </a:prstGeom>
                    <a:noFill/>
                    <a:ln>
                      <a:noFill/>
                    </a:ln>
                  </pic:spPr>
                </pic:pic>
              </a:graphicData>
            </a:graphic>
          </wp:inline>
        </w:drawing>
      </w:r>
    </w:p>
    <w:p w:rsidR="00FB5583" w:rsidRDefault="005F29A3" w:rsidP="00FB5583">
      <w:pPr>
        <w:jc w:val="both"/>
        <w:rPr>
          <w:rFonts w:ascii="Arial" w:hAnsi="Arial" w:cs="Arial"/>
          <w:sz w:val="22"/>
          <w:szCs w:val="22"/>
        </w:rPr>
      </w:pPr>
      <w:r>
        <w:rPr>
          <w:rFonts w:ascii="Arial" w:hAnsi="Arial"/>
          <w:sz w:val="22"/>
        </w:rPr>
        <w:t>В 2014 г. Организация выплатила 2,5 млн шв. франков в качестве взносов в МСПС (в 2013 г. – 2,3 млн шв. франков)</w:t>
      </w:r>
      <w:r w:rsidR="0005341A">
        <w:rPr>
          <w:rFonts w:ascii="Arial" w:hAnsi="Arial"/>
          <w:sz w:val="22"/>
        </w:rPr>
        <w:t>.  О</w:t>
      </w:r>
      <w:r>
        <w:rPr>
          <w:rFonts w:ascii="Arial" w:hAnsi="Arial"/>
          <w:sz w:val="22"/>
        </w:rPr>
        <w:t>жидается, что в 2015 г. сумма взносов в МСПС составит 2,7 млн шв. франков.</w:t>
      </w:r>
    </w:p>
    <w:p w:rsidR="00D90B0B" w:rsidRDefault="00D90B0B" w:rsidP="00FB5583">
      <w:pPr>
        <w:jc w:val="both"/>
        <w:rPr>
          <w:rFonts w:ascii="Arial" w:hAnsi="Arial" w:cs="Arial"/>
          <w:sz w:val="22"/>
          <w:szCs w:val="22"/>
        </w:rPr>
      </w:pPr>
    </w:p>
    <w:p w:rsidR="00D90B0B" w:rsidRDefault="005F29A3" w:rsidP="00FB5583">
      <w:pPr>
        <w:jc w:val="both"/>
        <w:rPr>
          <w:rFonts w:ascii="Arial" w:hAnsi="Arial" w:cs="Arial"/>
          <w:sz w:val="22"/>
          <w:szCs w:val="22"/>
        </w:rPr>
      </w:pPr>
      <w:r>
        <w:rPr>
          <w:rFonts w:ascii="Arial" w:hAnsi="Arial"/>
          <w:sz w:val="22"/>
        </w:rPr>
        <w:t>В таблице ниже содержатся подробные данные о текущем размере обязательств с установленными выплатами и корректировках на основе опыта выполнения обязательств по МСПС, полученного в 2014 г. и в предыдущие четыре года:</w:t>
      </w:r>
    </w:p>
    <w:p w:rsidR="00D90B0B" w:rsidRDefault="00D90B0B" w:rsidP="00FB5583">
      <w:pPr>
        <w:jc w:val="both"/>
        <w:rPr>
          <w:rFonts w:ascii="Arial" w:hAnsi="Arial" w:cs="Arial"/>
          <w:sz w:val="22"/>
          <w:szCs w:val="22"/>
        </w:rPr>
      </w:pPr>
    </w:p>
    <w:p w:rsidR="006B63E8" w:rsidRDefault="00691AE7" w:rsidP="00302779">
      <w:pPr>
        <w:jc w:val="center"/>
        <w:rPr>
          <w:rFonts w:ascii="Arial" w:hAnsi="Arial" w:cs="Arial"/>
          <w:sz w:val="22"/>
          <w:szCs w:val="22"/>
        </w:rPr>
      </w:pPr>
      <w:r>
        <w:rPr>
          <w:rFonts w:ascii="Arial" w:hAnsi="Arial" w:cs="Arial"/>
          <w:noProof/>
          <w:sz w:val="22"/>
          <w:szCs w:val="22"/>
          <w:lang w:val="en-US" w:eastAsia="en-US"/>
        </w:rPr>
        <w:drawing>
          <wp:inline distT="0" distB="0" distL="0" distR="0">
            <wp:extent cx="5977255" cy="1239523"/>
            <wp:effectExtent l="0" t="0" r="444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977255" cy="1239523"/>
                    </a:xfrm>
                    <a:prstGeom prst="rect">
                      <a:avLst/>
                    </a:prstGeom>
                    <a:noFill/>
                    <a:ln>
                      <a:noFill/>
                    </a:ln>
                  </pic:spPr>
                </pic:pic>
              </a:graphicData>
            </a:graphic>
          </wp:inline>
        </w:drawing>
      </w:r>
    </w:p>
    <w:p w:rsidR="00FB5583" w:rsidRDefault="005F29A3" w:rsidP="00FB5583">
      <w:pPr>
        <w:jc w:val="both"/>
        <w:rPr>
          <w:rFonts w:ascii="Arial" w:hAnsi="Arial" w:cs="Arial"/>
          <w:sz w:val="22"/>
          <w:szCs w:val="22"/>
        </w:rPr>
      </w:pPr>
      <w:r>
        <w:rPr>
          <w:rFonts w:ascii="Arial" w:hAnsi="Arial"/>
          <w:sz w:val="22"/>
        </w:rPr>
        <w:lastRenderedPageBreak/>
        <w:t>При определении размера обязательств, связанных с МСПС, и обязательств с выплатой установленных пособий применялись следующие допущения:</w:t>
      </w:r>
    </w:p>
    <w:p w:rsidR="009C669E" w:rsidRPr="000B77A7" w:rsidRDefault="009C669E" w:rsidP="00FB5583">
      <w:pPr>
        <w:jc w:val="both"/>
        <w:rPr>
          <w:rFonts w:ascii="Arial" w:hAnsi="Arial" w:cs="Arial"/>
          <w:sz w:val="22"/>
          <w:szCs w:val="22"/>
        </w:rPr>
      </w:pPr>
    </w:p>
    <w:p w:rsidR="002A1684" w:rsidRDefault="00691AE7" w:rsidP="002124A1">
      <w:pPr>
        <w:jc w:val="center"/>
        <w:rPr>
          <w:rFonts w:ascii="Arial" w:hAnsi="Arial" w:cs="Arial"/>
          <w:sz w:val="22"/>
          <w:szCs w:val="22"/>
        </w:rPr>
      </w:pPr>
      <w:r>
        <w:rPr>
          <w:rFonts w:ascii="Arial" w:hAnsi="Arial" w:cs="Arial"/>
          <w:noProof/>
          <w:sz w:val="22"/>
          <w:szCs w:val="22"/>
          <w:lang w:val="en-US" w:eastAsia="en-US"/>
        </w:rPr>
        <w:drawing>
          <wp:inline distT="0" distB="0" distL="0" distR="0">
            <wp:extent cx="5977255" cy="3820958"/>
            <wp:effectExtent l="0" t="0" r="444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977255" cy="3820958"/>
                    </a:xfrm>
                    <a:prstGeom prst="rect">
                      <a:avLst/>
                    </a:prstGeom>
                    <a:noFill/>
                    <a:ln>
                      <a:noFill/>
                    </a:ln>
                  </pic:spPr>
                </pic:pic>
              </a:graphicData>
            </a:graphic>
          </wp:inline>
        </w:drawing>
      </w:r>
    </w:p>
    <w:p w:rsidR="00F73C5E" w:rsidRDefault="00F73C5E" w:rsidP="00F73C5E">
      <w:pPr>
        <w:jc w:val="both"/>
        <w:rPr>
          <w:rFonts w:ascii="Arial" w:hAnsi="Arial" w:cs="Arial"/>
          <w:sz w:val="22"/>
          <w:szCs w:val="22"/>
        </w:rPr>
      </w:pPr>
    </w:p>
    <w:p w:rsidR="00F73C5E" w:rsidRPr="00B13782" w:rsidRDefault="005F29A3" w:rsidP="00F73C5E">
      <w:pPr>
        <w:jc w:val="both"/>
        <w:rPr>
          <w:rFonts w:ascii="Arial" w:hAnsi="Arial" w:cs="Arial"/>
          <w:sz w:val="22"/>
          <w:szCs w:val="22"/>
        </w:rPr>
      </w:pPr>
      <w:r>
        <w:rPr>
          <w:rFonts w:ascii="Arial" w:hAnsi="Arial"/>
          <w:sz w:val="22"/>
        </w:rPr>
        <w:t>Предполагаемые тенденции расходов на здравоохранение оказывают значительное влияние на суммы, рассчитанные по обязательствам в рамках МСПС</w:t>
      </w:r>
      <w:r w:rsidR="0005341A">
        <w:rPr>
          <w:rFonts w:ascii="Arial" w:hAnsi="Arial"/>
          <w:sz w:val="22"/>
        </w:rPr>
        <w:t>.  И</w:t>
      </w:r>
      <w:r>
        <w:rPr>
          <w:rFonts w:ascii="Arial" w:hAnsi="Arial"/>
          <w:sz w:val="22"/>
        </w:rPr>
        <w:t>зменение в предполагаемых тенденциях расходов на здравоохранение в размере 1% имело бы следующие последствия:</w:t>
      </w:r>
    </w:p>
    <w:p w:rsidR="008A160A" w:rsidRPr="00B13782" w:rsidRDefault="008A160A" w:rsidP="007C6D77">
      <w:pPr>
        <w:jc w:val="both"/>
        <w:rPr>
          <w:rFonts w:ascii="Arial" w:hAnsi="Arial" w:cs="Arial"/>
          <w:sz w:val="22"/>
          <w:szCs w:val="22"/>
        </w:rPr>
      </w:pPr>
    </w:p>
    <w:p w:rsidR="00A218DD" w:rsidRPr="00A218DD" w:rsidRDefault="00691AE7" w:rsidP="00A218DD">
      <w:pPr>
        <w:jc w:val="center"/>
        <w:rPr>
          <w:sz w:val="20"/>
          <w:szCs w:val="20"/>
        </w:rPr>
      </w:pPr>
      <w:r>
        <w:rPr>
          <w:noProof/>
          <w:sz w:val="20"/>
          <w:szCs w:val="20"/>
          <w:lang w:val="en-US" w:eastAsia="en-US"/>
        </w:rPr>
        <w:drawing>
          <wp:inline distT="0" distB="0" distL="0" distR="0">
            <wp:extent cx="5876925" cy="2562225"/>
            <wp:effectExtent l="0" t="0" r="9525"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876925" cy="2562225"/>
                    </a:xfrm>
                    <a:prstGeom prst="rect">
                      <a:avLst/>
                    </a:prstGeom>
                    <a:noFill/>
                    <a:ln>
                      <a:noFill/>
                    </a:ln>
                  </pic:spPr>
                </pic:pic>
              </a:graphicData>
            </a:graphic>
          </wp:inline>
        </w:drawing>
      </w:r>
    </w:p>
    <w:p w:rsidR="00F11EC5" w:rsidRDefault="00F11EC5" w:rsidP="007C6D77">
      <w:pPr>
        <w:pStyle w:val="Style3"/>
        <w:spacing w:after="0"/>
        <w:rPr>
          <w:b/>
        </w:rPr>
      </w:pPr>
    </w:p>
    <w:p w:rsidR="00DF09B4" w:rsidRPr="00D656CE" w:rsidRDefault="005F29A3" w:rsidP="007C6D77">
      <w:pPr>
        <w:pStyle w:val="Style3"/>
        <w:spacing w:after="0"/>
        <w:rPr>
          <w:b/>
        </w:rPr>
      </w:pPr>
      <w:r>
        <w:br w:type="page"/>
      </w:r>
      <w:r>
        <w:rPr>
          <w:b/>
        </w:rPr>
        <w:lastRenderedPageBreak/>
        <w:t>Объединенный пенсионный фонд персонала Организации Объединенных Наций</w:t>
      </w:r>
    </w:p>
    <w:p w:rsidR="00A575F4" w:rsidRPr="00266221" w:rsidRDefault="00A575F4" w:rsidP="007C6D77">
      <w:pPr>
        <w:pStyle w:val="Style3"/>
        <w:spacing w:after="0"/>
        <w:rPr>
          <w:rFonts w:cs="Arial"/>
          <w:szCs w:val="22"/>
        </w:rPr>
      </w:pPr>
    </w:p>
    <w:p w:rsidR="00266221" w:rsidRPr="001E09BE" w:rsidRDefault="005F29A3" w:rsidP="00266221">
      <w:pPr>
        <w:autoSpaceDE w:val="0"/>
        <w:autoSpaceDN w:val="0"/>
        <w:adjustRightInd w:val="0"/>
        <w:jc w:val="both"/>
        <w:rPr>
          <w:rFonts w:ascii="Arial" w:hAnsi="Arial" w:cs="Arial"/>
          <w:sz w:val="22"/>
          <w:szCs w:val="22"/>
        </w:rPr>
      </w:pPr>
      <w:r>
        <w:rPr>
          <w:rFonts w:ascii="Arial" w:hAnsi="Arial"/>
          <w:sz w:val="22"/>
        </w:rPr>
        <w:t>В Положениях Пенсионного фонда указано, что актуарная оценка Фонда должна проводиться Правлением Пенсионного фонда с привлечением актуария-консультанта по меньшей мере раз в три года</w:t>
      </w:r>
      <w:r w:rsidR="0005341A">
        <w:rPr>
          <w:rFonts w:ascii="Arial" w:hAnsi="Arial"/>
          <w:sz w:val="22"/>
        </w:rPr>
        <w:t>.  Ф</w:t>
      </w:r>
      <w:r>
        <w:rPr>
          <w:rFonts w:ascii="Arial" w:hAnsi="Arial"/>
          <w:sz w:val="22"/>
        </w:rPr>
        <w:t>актически Правление Пенсионного фонда проводит актуарную оценку раз в два года с применением метода агрегирования по открытым группам</w:t>
      </w:r>
      <w:r w:rsidR="006B1BEC">
        <w:rPr>
          <w:rFonts w:ascii="Arial" w:hAnsi="Arial"/>
          <w:sz w:val="22"/>
        </w:rPr>
        <w:t>.  А</w:t>
      </w:r>
      <w:r>
        <w:rPr>
          <w:rFonts w:ascii="Arial" w:hAnsi="Arial"/>
          <w:sz w:val="22"/>
        </w:rPr>
        <w:t>ктуарная оценка проводится в основном для того, чтобы понять, достаточны ли существующие и прогнозируемые будущие активы Пенсионного фонда для выполнения его обязат</w:t>
      </w:r>
      <w:r w:rsidR="001E09BE">
        <w:rPr>
          <w:rFonts w:ascii="Arial" w:hAnsi="Arial"/>
          <w:sz w:val="22"/>
        </w:rPr>
        <w:t>ельств.</w:t>
      </w:r>
    </w:p>
    <w:p w:rsidR="00266221" w:rsidRPr="00266221" w:rsidRDefault="00266221" w:rsidP="00266221">
      <w:pPr>
        <w:autoSpaceDE w:val="0"/>
        <w:autoSpaceDN w:val="0"/>
        <w:adjustRightInd w:val="0"/>
        <w:jc w:val="both"/>
        <w:rPr>
          <w:rFonts w:ascii="Arial" w:hAnsi="Arial" w:cs="Arial"/>
          <w:sz w:val="22"/>
          <w:szCs w:val="22"/>
        </w:rPr>
      </w:pPr>
    </w:p>
    <w:p w:rsidR="00266221" w:rsidRDefault="005F29A3" w:rsidP="00266221">
      <w:pPr>
        <w:autoSpaceDE w:val="0"/>
        <w:autoSpaceDN w:val="0"/>
        <w:adjustRightInd w:val="0"/>
        <w:jc w:val="both"/>
        <w:rPr>
          <w:rFonts w:ascii="Arial" w:hAnsi="Arial" w:cs="Arial"/>
          <w:sz w:val="22"/>
          <w:szCs w:val="22"/>
        </w:rPr>
      </w:pPr>
      <w:r>
        <w:rPr>
          <w:rFonts w:ascii="Arial" w:hAnsi="Arial"/>
          <w:sz w:val="22"/>
        </w:rPr>
        <w:t>Финансовые обязательства Организации по отношению к ОПФПООН состоят в обязательной выплате своего взноса, исчисленного по ставке, установленной Генеральной Ассамблеей Организации Объединенных Наций (в настоящее время 7,9% для участников и 15,8% для организаций-членов), вместе со своей долей покрытия актуарного дефицита в соответствии с статьей 26 Положений Пенсионного фонда</w:t>
      </w:r>
      <w:r w:rsidR="0005341A">
        <w:rPr>
          <w:rFonts w:ascii="Arial" w:hAnsi="Arial"/>
          <w:sz w:val="22"/>
        </w:rPr>
        <w:t>.  П</w:t>
      </w:r>
      <w:r>
        <w:rPr>
          <w:rFonts w:ascii="Arial" w:hAnsi="Arial"/>
          <w:sz w:val="22"/>
        </w:rPr>
        <w:t>латежи для покрытия дефицита осуществляются только в случае применения Генеральной Ассамблеей Организации Объединенных Наций статьи 26 и после вынесения заключения о необходимости таких платежей, основанного на актуарной оценке достаточности активов Пенсионного фонда на дату оценки</w:t>
      </w:r>
      <w:r w:rsidR="0005341A">
        <w:rPr>
          <w:rFonts w:ascii="Arial" w:hAnsi="Arial"/>
          <w:sz w:val="22"/>
        </w:rPr>
        <w:t>.  П</w:t>
      </w:r>
      <w:r>
        <w:rPr>
          <w:rFonts w:ascii="Arial" w:hAnsi="Arial"/>
          <w:sz w:val="22"/>
        </w:rPr>
        <w:t>латеж каждой организации-члена в целях покрытия актуарного дефицита пропорционален ее доле в общих платежах за три года, предшествующие дате оценки.</w:t>
      </w:r>
    </w:p>
    <w:p w:rsidR="00A77C83" w:rsidRPr="00266221" w:rsidRDefault="00A77C83" w:rsidP="00266221">
      <w:pPr>
        <w:autoSpaceDE w:val="0"/>
        <w:autoSpaceDN w:val="0"/>
        <w:adjustRightInd w:val="0"/>
        <w:jc w:val="both"/>
        <w:rPr>
          <w:rFonts w:ascii="Arial" w:hAnsi="Arial" w:cs="Arial"/>
          <w:sz w:val="22"/>
          <w:szCs w:val="22"/>
        </w:rPr>
      </w:pPr>
    </w:p>
    <w:p w:rsidR="00266221" w:rsidRDefault="005F29A3" w:rsidP="00266221">
      <w:pPr>
        <w:tabs>
          <w:tab w:val="num" w:pos="1080"/>
        </w:tabs>
        <w:autoSpaceDE w:val="0"/>
        <w:autoSpaceDN w:val="0"/>
        <w:adjustRightInd w:val="0"/>
        <w:jc w:val="both"/>
        <w:rPr>
          <w:rFonts w:ascii="Arial" w:hAnsi="Arial" w:cs="Arial"/>
          <w:sz w:val="22"/>
          <w:szCs w:val="22"/>
        </w:rPr>
      </w:pPr>
      <w:r>
        <w:rPr>
          <w:rFonts w:ascii="Arial" w:hAnsi="Arial"/>
          <w:sz w:val="22"/>
        </w:rPr>
        <w:t>Актуарная оценка, проведенная по состоянию на 31 декабря 2013 г., выявила актуарный дефицит в размере 0,72% (в 2011 г. — 1,87%) зачитываемого для пенсии вознаграждения, т.е. для обеспечения баланса на 3</w:t>
      </w:r>
      <w:r w:rsidRPr="001311AA">
        <w:rPr>
          <w:rFonts w:ascii="Arial" w:hAnsi="Arial"/>
          <w:sz w:val="22"/>
        </w:rPr>
        <w:t>1</w:t>
      </w:r>
      <w:r w:rsidR="001311AA" w:rsidRPr="001311AA">
        <w:rPr>
          <w:rFonts w:ascii="Arial" w:hAnsi="Arial"/>
          <w:sz w:val="22"/>
        </w:rPr>
        <w:t> </w:t>
      </w:r>
      <w:r w:rsidRPr="001311AA">
        <w:rPr>
          <w:rFonts w:ascii="Arial" w:hAnsi="Arial"/>
          <w:sz w:val="22"/>
        </w:rPr>
        <w:t>декабря</w:t>
      </w:r>
      <w:r>
        <w:rPr>
          <w:rFonts w:ascii="Arial" w:hAnsi="Arial"/>
          <w:sz w:val="22"/>
        </w:rPr>
        <w:t xml:space="preserve"> 201</w:t>
      </w:r>
      <w:r w:rsidRPr="001311AA">
        <w:rPr>
          <w:rFonts w:ascii="Arial" w:hAnsi="Arial"/>
          <w:sz w:val="22"/>
        </w:rPr>
        <w:t>3</w:t>
      </w:r>
      <w:r w:rsidR="001311AA" w:rsidRPr="001311AA">
        <w:rPr>
          <w:rFonts w:ascii="Arial" w:hAnsi="Arial"/>
          <w:sz w:val="22"/>
        </w:rPr>
        <w:t> </w:t>
      </w:r>
      <w:r w:rsidRPr="001311AA">
        <w:rPr>
          <w:rFonts w:ascii="Arial" w:hAnsi="Arial"/>
          <w:sz w:val="22"/>
        </w:rPr>
        <w:t>г.</w:t>
      </w:r>
      <w:r>
        <w:rPr>
          <w:rFonts w:ascii="Arial" w:hAnsi="Arial"/>
          <w:sz w:val="22"/>
        </w:rPr>
        <w:t xml:space="preserve"> взносы должны составлять 24,42% зачитываемого для пенсии вознаграждения, а не 23,7% (фактический уровень)</w:t>
      </w:r>
      <w:r w:rsidR="0005341A">
        <w:rPr>
          <w:rFonts w:ascii="Arial" w:hAnsi="Arial"/>
          <w:sz w:val="22"/>
        </w:rPr>
        <w:t>.  С</w:t>
      </w:r>
      <w:r>
        <w:rPr>
          <w:rFonts w:ascii="Arial" w:hAnsi="Arial"/>
          <w:sz w:val="22"/>
        </w:rPr>
        <w:t>ледующая актуарная оценка будет проведена по состоянию на 3</w:t>
      </w:r>
      <w:r w:rsidRPr="001311AA">
        <w:rPr>
          <w:rFonts w:ascii="Arial" w:hAnsi="Arial"/>
          <w:sz w:val="22"/>
        </w:rPr>
        <w:t>1</w:t>
      </w:r>
      <w:r w:rsidR="001311AA" w:rsidRPr="001311AA">
        <w:rPr>
          <w:rFonts w:ascii="Arial" w:hAnsi="Arial"/>
          <w:sz w:val="22"/>
        </w:rPr>
        <w:t> </w:t>
      </w:r>
      <w:r w:rsidRPr="001311AA">
        <w:rPr>
          <w:rFonts w:ascii="Arial" w:hAnsi="Arial"/>
          <w:sz w:val="22"/>
        </w:rPr>
        <w:t>декабря</w:t>
      </w:r>
      <w:r>
        <w:rPr>
          <w:rFonts w:ascii="Arial" w:hAnsi="Arial"/>
          <w:sz w:val="22"/>
        </w:rPr>
        <w:t xml:space="preserve"> 201</w:t>
      </w:r>
      <w:r w:rsidRPr="001311AA">
        <w:rPr>
          <w:rFonts w:ascii="Arial" w:hAnsi="Arial"/>
          <w:sz w:val="22"/>
        </w:rPr>
        <w:t>5</w:t>
      </w:r>
      <w:r w:rsidR="001311AA" w:rsidRPr="001311AA">
        <w:rPr>
          <w:rFonts w:ascii="Arial" w:hAnsi="Arial"/>
          <w:sz w:val="22"/>
        </w:rPr>
        <w:t> </w:t>
      </w:r>
      <w:r w:rsidRPr="001311AA">
        <w:rPr>
          <w:rFonts w:ascii="Arial" w:hAnsi="Arial"/>
          <w:sz w:val="22"/>
        </w:rPr>
        <w:t>г.</w:t>
      </w:r>
    </w:p>
    <w:p w:rsidR="00D22A16" w:rsidRPr="00266221" w:rsidRDefault="00D22A16" w:rsidP="00266221">
      <w:pPr>
        <w:tabs>
          <w:tab w:val="num" w:pos="1080"/>
        </w:tabs>
        <w:autoSpaceDE w:val="0"/>
        <w:autoSpaceDN w:val="0"/>
        <w:adjustRightInd w:val="0"/>
        <w:jc w:val="both"/>
        <w:rPr>
          <w:rFonts w:ascii="Arial" w:hAnsi="Arial" w:cs="Arial"/>
          <w:sz w:val="22"/>
          <w:szCs w:val="22"/>
        </w:rPr>
      </w:pPr>
    </w:p>
    <w:p w:rsidR="00266221" w:rsidRPr="001E09BE" w:rsidRDefault="005F29A3" w:rsidP="00266221">
      <w:pPr>
        <w:tabs>
          <w:tab w:val="num" w:pos="1080"/>
        </w:tabs>
        <w:autoSpaceDE w:val="0"/>
        <w:autoSpaceDN w:val="0"/>
        <w:adjustRightInd w:val="0"/>
        <w:jc w:val="both"/>
        <w:rPr>
          <w:rFonts w:ascii="Arial" w:hAnsi="Arial" w:cs="Arial"/>
          <w:sz w:val="22"/>
          <w:szCs w:val="22"/>
        </w:rPr>
      </w:pPr>
      <w:r>
        <w:rPr>
          <w:rFonts w:ascii="Arial" w:hAnsi="Arial"/>
          <w:sz w:val="22"/>
        </w:rPr>
        <w:t>На 3</w:t>
      </w:r>
      <w:r w:rsidRPr="001311AA">
        <w:rPr>
          <w:rFonts w:ascii="Arial" w:hAnsi="Arial"/>
          <w:sz w:val="22"/>
        </w:rPr>
        <w:t>1</w:t>
      </w:r>
      <w:r w:rsidR="001311AA" w:rsidRPr="001311AA">
        <w:rPr>
          <w:rFonts w:ascii="Arial" w:hAnsi="Arial"/>
          <w:sz w:val="22"/>
        </w:rPr>
        <w:t> </w:t>
      </w:r>
      <w:r w:rsidRPr="001311AA">
        <w:rPr>
          <w:rFonts w:ascii="Arial" w:hAnsi="Arial"/>
          <w:sz w:val="22"/>
        </w:rPr>
        <w:t>декабря</w:t>
      </w:r>
      <w:r>
        <w:rPr>
          <w:rFonts w:ascii="Arial" w:hAnsi="Arial"/>
          <w:sz w:val="22"/>
        </w:rPr>
        <w:t xml:space="preserve"> 201</w:t>
      </w:r>
      <w:r w:rsidRPr="001311AA">
        <w:rPr>
          <w:rFonts w:ascii="Arial" w:hAnsi="Arial"/>
          <w:sz w:val="22"/>
        </w:rPr>
        <w:t>3</w:t>
      </w:r>
      <w:r w:rsidR="001311AA" w:rsidRPr="001311AA">
        <w:rPr>
          <w:rFonts w:ascii="Arial" w:hAnsi="Arial"/>
          <w:sz w:val="22"/>
        </w:rPr>
        <w:t> </w:t>
      </w:r>
      <w:r w:rsidRPr="001311AA">
        <w:rPr>
          <w:rFonts w:ascii="Arial" w:hAnsi="Arial"/>
          <w:sz w:val="22"/>
        </w:rPr>
        <w:t>г.</w:t>
      </w:r>
      <w:r>
        <w:rPr>
          <w:rFonts w:ascii="Arial" w:hAnsi="Arial"/>
          <w:sz w:val="22"/>
        </w:rPr>
        <w:t xml:space="preserve"> коэффициент покрытия (отношение актуарных активов к актуарным обязательствам) при условии отсутствия пенсионных коррективов в будущем составил 127,5% (при проведении оценки в 2011 г. этот показатель составил 130%)</w:t>
      </w:r>
      <w:r w:rsidR="0005341A">
        <w:rPr>
          <w:rFonts w:ascii="Arial" w:hAnsi="Arial"/>
          <w:sz w:val="22"/>
        </w:rPr>
        <w:t>.  С</w:t>
      </w:r>
      <w:r>
        <w:rPr>
          <w:rFonts w:ascii="Arial" w:hAnsi="Arial"/>
          <w:sz w:val="22"/>
        </w:rPr>
        <w:t xml:space="preserve"> учетом текущей системы пенсионных коррективов коэффициент покрытия состав</w:t>
      </w:r>
      <w:r w:rsidR="001E09BE">
        <w:rPr>
          <w:rFonts w:ascii="Arial" w:hAnsi="Arial"/>
          <w:sz w:val="22"/>
        </w:rPr>
        <w:t>ляет 91,2% (в 2011 г. – 86,2%).</w:t>
      </w:r>
    </w:p>
    <w:p w:rsidR="00266221" w:rsidRPr="00266221" w:rsidRDefault="00266221" w:rsidP="00266221">
      <w:pPr>
        <w:tabs>
          <w:tab w:val="num" w:pos="1080"/>
        </w:tabs>
        <w:autoSpaceDE w:val="0"/>
        <w:autoSpaceDN w:val="0"/>
        <w:adjustRightInd w:val="0"/>
        <w:jc w:val="both"/>
        <w:rPr>
          <w:rFonts w:ascii="Arial" w:hAnsi="Arial" w:cs="Arial"/>
          <w:sz w:val="22"/>
          <w:szCs w:val="22"/>
        </w:rPr>
      </w:pPr>
    </w:p>
    <w:p w:rsidR="00266221" w:rsidRDefault="005F29A3" w:rsidP="00266221">
      <w:pPr>
        <w:tabs>
          <w:tab w:val="num" w:pos="1080"/>
        </w:tabs>
        <w:autoSpaceDE w:val="0"/>
        <w:autoSpaceDN w:val="0"/>
        <w:adjustRightInd w:val="0"/>
        <w:jc w:val="both"/>
        <w:rPr>
          <w:rFonts w:ascii="Arial" w:hAnsi="Arial" w:cs="Arial"/>
          <w:sz w:val="22"/>
          <w:szCs w:val="22"/>
        </w:rPr>
      </w:pPr>
      <w:r>
        <w:rPr>
          <w:rFonts w:ascii="Arial" w:hAnsi="Arial"/>
          <w:sz w:val="22"/>
        </w:rPr>
        <w:t>После проведения актуарной достаточности Фонда актуарий-консультант заключил, что по состоянию на 3</w:t>
      </w:r>
      <w:r w:rsidRPr="001311AA">
        <w:rPr>
          <w:rFonts w:ascii="Arial" w:hAnsi="Arial"/>
          <w:sz w:val="22"/>
        </w:rPr>
        <w:t>1</w:t>
      </w:r>
      <w:r w:rsidR="001311AA" w:rsidRPr="001311AA">
        <w:rPr>
          <w:rFonts w:ascii="Arial" w:hAnsi="Arial"/>
          <w:sz w:val="22"/>
        </w:rPr>
        <w:t> </w:t>
      </w:r>
      <w:r w:rsidRPr="001311AA">
        <w:rPr>
          <w:rFonts w:ascii="Arial" w:hAnsi="Arial"/>
          <w:sz w:val="22"/>
        </w:rPr>
        <w:t>декабря</w:t>
      </w:r>
      <w:r>
        <w:rPr>
          <w:rFonts w:ascii="Arial" w:hAnsi="Arial"/>
          <w:sz w:val="22"/>
        </w:rPr>
        <w:t xml:space="preserve"> 201</w:t>
      </w:r>
      <w:r w:rsidRPr="001311AA">
        <w:rPr>
          <w:rFonts w:ascii="Arial" w:hAnsi="Arial"/>
          <w:sz w:val="22"/>
        </w:rPr>
        <w:t>3</w:t>
      </w:r>
      <w:r w:rsidR="001311AA" w:rsidRPr="001311AA">
        <w:rPr>
          <w:rFonts w:ascii="Arial" w:hAnsi="Arial"/>
          <w:sz w:val="22"/>
        </w:rPr>
        <w:t> </w:t>
      </w:r>
      <w:r w:rsidRPr="001311AA">
        <w:rPr>
          <w:rFonts w:ascii="Arial" w:hAnsi="Arial"/>
          <w:sz w:val="22"/>
        </w:rPr>
        <w:t>г.</w:t>
      </w:r>
      <w:r>
        <w:rPr>
          <w:rFonts w:ascii="Arial" w:hAnsi="Arial"/>
          <w:sz w:val="22"/>
        </w:rPr>
        <w:t xml:space="preserve"> необходимость в платежах для покрытия актуарного дефицита в соответствии с положениями статьи 26 Положений отсутствует, поскольку актуарная стоимость активов превосходит актуарную сумму накопленных обязательств Фонда</w:t>
      </w:r>
      <w:r w:rsidR="0005341A">
        <w:rPr>
          <w:rFonts w:ascii="Arial" w:hAnsi="Arial"/>
          <w:sz w:val="22"/>
        </w:rPr>
        <w:t>.  К</w:t>
      </w:r>
      <w:r>
        <w:rPr>
          <w:rFonts w:ascii="Arial" w:hAnsi="Arial"/>
          <w:sz w:val="22"/>
        </w:rPr>
        <w:t>роме того, рыночная стоимость активов также превосходит сумму накопленных обязательств на дату оценки</w:t>
      </w:r>
      <w:r w:rsidR="0005341A">
        <w:rPr>
          <w:rFonts w:ascii="Arial" w:hAnsi="Arial"/>
          <w:sz w:val="22"/>
        </w:rPr>
        <w:t>.  К</w:t>
      </w:r>
      <w:r>
        <w:rPr>
          <w:rFonts w:ascii="Arial" w:hAnsi="Arial"/>
          <w:sz w:val="22"/>
        </w:rPr>
        <w:t>о времени подготовки настоящего отчета Генеральная Ассамблея не принимала решение о применении статьи 26.</w:t>
      </w:r>
    </w:p>
    <w:p w:rsidR="00266221" w:rsidRPr="00266221" w:rsidRDefault="00266221" w:rsidP="00266221">
      <w:pPr>
        <w:tabs>
          <w:tab w:val="num" w:pos="1080"/>
        </w:tabs>
        <w:autoSpaceDE w:val="0"/>
        <w:autoSpaceDN w:val="0"/>
        <w:adjustRightInd w:val="0"/>
        <w:jc w:val="both"/>
        <w:rPr>
          <w:rFonts w:ascii="Arial" w:eastAsia="宋體" w:hAnsi="Arial" w:cs="Arial"/>
          <w:sz w:val="22"/>
          <w:szCs w:val="22"/>
        </w:rPr>
      </w:pPr>
    </w:p>
    <w:p w:rsidR="00266221" w:rsidRDefault="005F29A3" w:rsidP="00972003">
      <w:pPr>
        <w:autoSpaceDE w:val="0"/>
        <w:autoSpaceDN w:val="0"/>
        <w:adjustRightInd w:val="0"/>
        <w:jc w:val="both"/>
        <w:rPr>
          <w:rFonts w:ascii="Arial" w:hAnsi="Arial" w:cs="Arial"/>
          <w:sz w:val="22"/>
          <w:szCs w:val="22"/>
        </w:rPr>
      </w:pPr>
      <w:r>
        <w:rPr>
          <w:rFonts w:ascii="Arial" w:hAnsi="Arial"/>
          <w:sz w:val="22"/>
        </w:rPr>
        <w:t>В декабре 2012 г. и апреле 2013 г. Генеральная Ассамблея утвердила повышение обычного возраста выхода на пенсию и возраста обязательного увольнения до 6</w:t>
      </w:r>
      <w:r w:rsidRPr="001311AA">
        <w:rPr>
          <w:rFonts w:ascii="Arial" w:hAnsi="Arial"/>
          <w:sz w:val="22"/>
        </w:rPr>
        <w:t>5</w:t>
      </w:r>
      <w:r w:rsidR="001311AA" w:rsidRPr="001311AA">
        <w:rPr>
          <w:rFonts w:ascii="Arial" w:hAnsi="Arial"/>
          <w:sz w:val="22"/>
        </w:rPr>
        <w:t> </w:t>
      </w:r>
      <w:r w:rsidRPr="001311AA">
        <w:rPr>
          <w:rFonts w:ascii="Arial" w:hAnsi="Arial"/>
          <w:sz w:val="22"/>
        </w:rPr>
        <w:t>лет</w:t>
      </w:r>
      <w:r>
        <w:rPr>
          <w:rFonts w:ascii="Arial" w:hAnsi="Arial"/>
          <w:sz w:val="22"/>
        </w:rPr>
        <w:t xml:space="preserve"> для новых участников Фонда</w:t>
      </w:r>
      <w:r w:rsidR="0005341A">
        <w:rPr>
          <w:rFonts w:ascii="Arial" w:hAnsi="Arial"/>
          <w:sz w:val="22"/>
        </w:rPr>
        <w:t>.  Р</w:t>
      </w:r>
      <w:r>
        <w:rPr>
          <w:rFonts w:ascii="Arial" w:hAnsi="Arial"/>
          <w:sz w:val="22"/>
        </w:rPr>
        <w:t>ешение должно вступить в силу не позднее 1 января 2014 г</w:t>
      </w:r>
      <w:r w:rsidR="0005341A">
        <w:rPr>
          <w:rFonts w:ascii="Arial" w:hAnsi="Arial"/>
          <w:sz w:val="22"/>
        </w:rPr>
        <w:t>.  С</w:t>
      </w:r>
      <w:r>
        <w:rPr>
          <w:rFonts w:ascii="Arial" w:hAnsi="Arial"/>
          <w:sz w:val="22"/>
        </w:rPr>
        <w:t>оответствующие изменения в Положения Пенсионного фонда были утверждены Генеральной Ассамблеей в декабре 2013 г</w:t>
      </w:r>
      <w:r w:rsidR="0005341A">
        <w:rPr>
          <w:rFonts w:ascii="Arial" w:hAnsi="Arial"/>
          <w:sz w:val="22"/>
        </w:rPr>
        <w:t>.  П</w:t>
      </w:r>
      <w:r>
        <w:rPr>
          <w:rFonts w:ascii="Arial" w:hAnsi="Arial"/>
          <w:sz w:val="22"/>
        </w:rPr>
        <w:t>овышение обычного возраста выхода на пенсию отражено в актуарной оценке Фонда на 31 декабря 2013 г.</w:t>
      </w:r>
    </w:p>
    <w:p w:rsidR="00215456" w:rsidRPr="00266221" w:rsidRDefault="00215456" w:rsidP="00266221">
      <w:pPr>
        <w:autoSpaceDE w:val="0"/>
        <w:autoSpaceDN w:val="0"/>
        <w:adjustRightInd w:val="0"/>
        <w:jc w:val="both"/>
        <w:rPr>
          <w:rFonts w:ascii="Arial" w:hAnsi="Arial" w:cs="Arial"/>
          <w:sz w:val="22"/>
          <w:szCs w:val="22"/>
        </w:rPr>
      </w:pPr>
    </w:p>
    <w:p w:rsidR="00266221" w:rsidRDefault="005F29A3" w:rsidP="00266221">
      <w:pPr>
        <w:autoSpaceDE w:val="0"/>
        <w:autoSpaceDN w:val="0"/>
        <w:adjustRightInd w:val="0"/>
        <w:jc w:val="both"/>
        <w:rPr>
          <w:rFonts w:ascii="Arial" w:hAnsi="Arial" w:cs="Arial"/>
          <w:sz w:val="22"/>
          <w:szCs w:val="22"/>
        </w:rPr>
      </w:pPr>
      <w:r>
        <w:rPr>
          <w:rFonts w:ascii="Arial" w:hAnsi="Arial"/>
          <w:sz w:val="22"/>
        </w:rPr>
        <w:t>В 2014 г. ВОИС выплатила ОПФПООН в виде взносов 26,0 млн шв. франков [в 2013 г. – 26,1 млн шв. франков]</w:t>
      </w:r>
      <w:r w:rsidR="0005341A">
        <w:rPr>
          <w:rFonts w:ascii="Arial" w:hAnsi="Arial"/>
          <w:sz w:val="22"/>
        </w:rPr>
        <w:t>.  О</w:t>
      </w:r>
      <w:r>
        <w:rPr>
          <w:rFonts w:ascii="Arial" w:hAnsi="Arial"/>
          <w:sz w:val="22"/>
        </w:rPr>
        <w:t>жидается, что в 2015 г. сумма взносов также составит 26,6 млн шв. франков</w:t>
      </w:r>
      <w:r w:rsidR="0005341A">
        <w:rPr>
          <w:rFonts w:ascii="Arial" w:hAnsi="Arial"/>
          <w:sz w:val="22"/>
        </w:rPr>
        <w:t>.  К</w:t>
      </w:r>
      <w:r>
        <w:rPr>
          <w:rFonts w:ascii="Arial" w:hAnsi="Arial"/>
          <w:sz w:val="22"/>
        </w:rPr>
        <w:t>омиссия ревизоров Организации Объединенных Наций ежегодно проводит ревизии ОПФПООН и отчитывается о них перед Правлением ОПФПООН</w:t>
      </w:r>
      <w:r w:rsidR="0005341A">
        <w:rPr>
          <w:rFonts w:ascii="Arial" w:hAnsi="Arial"/>
          <w:sz w:val="22"/>
        </w:rPr>
        <w:t>.  О</w:t>
      </w:r>
      <w:r w:rsidRPr="00C950F5">
        <w:rPr>
          <w:rFonts w:ascii="Arial" w:hAnsi="Arial" w:cs="Arial"/>
          <w:sz w:val="22"/>
          <w:szCs w:val="22"/>
        </w:rPr>
        <w:t>ПФПООН публикует ежеквартальные отчеты о сделанных инвестициях, ознакомиться с которыми можно на веб-сайте ОПФПООН</w:t>
      </w:r>
      <w:r w:rsidR="00C950F5" w:rsidRPr="00C950F5">
        <w:rPr>
          <w:rFonts w:ascii="Arial" w:hAnsi="Arial" w:cs="Arial"/>
          <w:sz w:val="22"/>
          <w:szCs w:val="22"/>
        </w:rPr>
        <w:t xml:space="preserve"> </w:t>
      </w:r>
      <w:hyperlink r:id="rId90" w:history="1">
        <w:r w:rsidRPr="00C950F5">
          <w:rPr>
            <w:rStyle w:val="Hyperlink"/>
            <w:rFonts w:ascii="Arial" w:hAnsi="Arial" w:cs="Arial"/>
            <w:sz w:val="22"/>
            <w:szCs w:val="22"/>
          </w:rPr>
          <w:t>www.unjspf.org</w:t>
        </w:r>
      </w:hyperlink>
      <w:r w:rsidRPr="00C950F5">
        <w:rPr>
          <w:rFonts w:ascii="Arial" w:hAnsi="Arial" w:cs="Arial"/>
          <w:sz w:val="22"/>
          <w:szCs w:val="22"/>
        </w:rPr>
        <w:t>.</w:t>
      </w:r>
    </w:p>
    <w:p w:rsidR="00B06A76" w:rsidRDefault="00B06A76" w:rsidP="00266221">
      <w:pPr>
        <w:autoSpaceDE w:val="0"/>
        <w:autoSpaceDN w:val="0"/>
        <w:adjustRightInd w:val="0"/>
        <w:jc w:val="both"/>
        <w:rPr>
          <w:rFonts w:ascii="Arial" w:hAnsi="Arial" w:cs="Arial"/>
          <w:sz w:val="22"/>
          <w:szCs w:val="22"/>
        </w:rPr>
      </w:pPr>
    </w:p>
    <w:p w:rsidR="0092507D" w:rsidRDefault="005F29A3" w:rsidP="009F4270">
      <w:pPr>
        <w:pStyle w:val="StyleHeading211ptNotBoldNotItalicAllcaps"/>
        <w:spacing w:before="0" w:after="0"/>
        <w:rPr>
          <w:szCs w:val="22"/>
        </w:rPr>
      </w:pPr>
      <w:r w:rsidRPr="001311AA">
        <w:t>Примечание</w:t>
      </w:r>
      <w:r w:rsidR="001311AA" w:rsidRPr="001311AA">
        <w:t> </w:t>
      </w:r>
      <w:r w:rsidRPr="001311AA">
        <w:t>1</w:t>
      </w:r>
      <w:r>
        <w:t>3:</w:t>
      </w:r>
      <w:r>
        <w:tab/>
        <w:t>Суммы к перечислению</w:t>
      </w:r>
    </w:p>
    <w:p w:rsidR="00E1269C" w:rsidRDefault="00E1269C" w:rsidP="009F4270">
      <w:pPr>
        <w:pStyle w:val="StyleHeading211ptNotBoldNotItalicAllcaps"/>
        <w:spacing w:before="0" w:after="0"/>
        <w:rPr>
          <w:szCs w:val="22"/>
        </w:rPr>
      </w:pPr>
    </w:p>
    <w:p w:rsidR="00BF1A7D" w:rsidRPr="00334B0C" w:rsidRDefault="00691AE7" w:rsidP="007E41CB">
      <w:pPr>
        <w:jc w:val="center"/>
        <w:rPr>
          <w:rFonts w:ascii="Arial" w:hAnsi="Arial" w:cs="Arial"/>
          <w:sz w:val="22"/>
          <w:szCs w:val="22"/>
        </w:rPr>
      </w:pPr>
      <w:r>
        <w:rPr>
          <w:rFonts w:ascii="Arial" w:hAnsi="Arial" w:cs="Arial"/>
          <w:noProof/>
          <w:sz w:val="22"/>
          <w:szCs w:val="22"/>
          <w:lang w:val="en-US" w:eastAsia="en-US"/>
        </w:rPr>
        <w:drawing>
          <wp:inline distT="0" distB="0" distL="0" distR="0">
            <wp:extent cx="5734050" cy="2943225"/>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734050" cy="2943225"/>
                    </a:xfrm>
                    <a:prstGeom prst="rect">
                      <a:avLst/>
                    </a:prstGeom>
                    <a:noFill/>
                    <a:ln>
                      <a:noFill/>
                    </a:ln>
                  </pic:spPr>
                </pic:pic>
              </a:graphicData>
            </a:graphic>
          </wp:inline>
        </w:drawing>
      </w:r>
    </w:p>
    <w:p w:rsidR="003C77BE" w:rsidRPr="001E09BE" w:rsidRDefault="005F29A3" w:rsidP="007C6D77">
      <w:pPr>
        <w:pStyle w:val="Style3"/>
        <w:spacing w:after="0"/>
      </w:pPr>
      <w:r>
        <w:t>Организация взимает пошлины от имени Договаривающихся сторон Мадридского соглашения и Протокола и в соответствии с Общей инструкцией Гаагского соглашения</w:t>
      </w:r>
      <w:r w:rsidR="0005341A">
        <w:t>.  М</w:t>
      </w:r>
      <w:r>
        <w:t>еждународное бюро РСТ получает от заявителей средства на оплату услуг международных поисковых органов</w:t>
      </w:r>
      <w:r w:rsidR="0005341A">
        <w:t>.  К</w:t>
      </w:r>
      <w:r>
        <w:t>роме того, Организация собирает вознаграждение, выплачиваемое напрямую посредникам, арбитрам и экспертам, участвующим в разбирательстве дел в Центре по арбитражу и посредничеству</w:t>
      </w:r>
      <w:r w:rsidR="0005341A">
        <w:t>.  О</w:t>
      </w:r>
      <w:r>
        <w:t>рганизация хранит у себя эти средства на временной основе до тех пор, пока они не будут переведены конечному бенефициару в соответствии с положениями различных договоров, административные функции которых выполняет Организация</w:t>
      </w:r>
      <w:r w:rsidR="006B1BEC">
        <w:t>.  В</w:t>
      </w:r>
      <w:r>
        <w:t>се пошлины, взимаемые Организацией в двухлетнем периоде, и пояснения к к</w:t>
      </w:r>
      <w:r w:rsidR="001E09BE">
        <w:t>аждой из них представлены ниже:</w:t>
      </w:r>
    </w:p>
    <w:p w:rsidR="00141A9A" w:rsidRDefault="00141A9A" w:rsidP="007C6D77">
      <w:pPr>
        <w:jc w:val="both"/>
      </w:pPr>
    </w:p>
    <w:p w:rsidR="00966CED" w:rsidRPr="004B5787" w:rsidRDefault="005F29A3" w:rsidP="00F73729">
      <w:pPr>
        <w:pStyle w:val="Style3"/>
        <w:numPr>
          <w:ilvl w:val="0"/>
          <w:numId w:val="5"/>
        </w:numPr>
        <w:spacing w:after="0"/>
      </w:pPr>
      <w:r>
        <w:rPr>
          <w:i/>
        </w:rPr>
        <w:t>Добавочные и дополнительные пошлины Мадридского союза</w:t>
      </w:r>
      <w:r w:rsidR="008861C2">
        <w:t>:  в</w:t>
      </w:r>
      <w:r>
        <w:t xml:space="preserve"> соответствии с Мадридским соглашением [статья 8(2) (b и c)] и Мадридским протоколом [статья 8(2)(ii и iii)] Организация взимает от имени договаривающихся сторон добавочную или дополнительную пошлину в размере 100 </w:t>
      </w:r>
      <w:r w:rsidRPr="001311AA">
        <w:t>шв.</w:t>
      </w:r>
      <w:r w:rsidR="001311AA" w:rsidRPr="001311AA">
        <w:t> </w:t>
      </w:r>
      <w:r w:rsidRPr="001311AA">
        <w:t>франков</w:t>
      </w:r>
      <w:r>
        <w:t xml:space="preserve"> за каждую заявку или продление</w:t>
      </w:r>
      <w:r w:rsidR="0005341A">
        <w:t>.  С</w:t>
      </w:r>
      <w:r>
        <w:t>умма, причитающаяся каждой договаривающейся стороне, варьируется от услуг, оказанных стороной (проведенная экспертиза)</w:t>
      </w:r>
      <w:r w:rsidR="0005341A">
        <w:t>.  С</w:t>
      </w:r>
      <w:r>
        <w:t>редства перечисляются ежегодно в первой половине года, следующего за отчетной датой.</w:t>
      </w:r>
    </w:p>
    <w:p w:rsidR="006A1AC6" w:rsidRPr="004B5787" w:rsidRDefault="006A1AC6" w:rsidP="007C6D77">
      <w:pPr>
        <w:jc w:val="both"/>
        <w:rPr>
          <w:rFonts w:ascii="Arial" w:hAnsi="Arial" w:cs="Arial"/>
          <w:sz w:val="20"/>
          <w:szCs w:val="20"/>
        </w:rPr>
      </w:pPr>
    </w:p>
    <w:p w:rsidR="00752570" w:rsidRDefault="005F29A3" w:rsidP="00F73729">
      <w:pPr>
        <w:pStyle w:val="Style3"/>
        <w:numPr>
          <w:ilvl w:val="0"/>
          <w:numId w:val="5"/>
        </w:numPr>
        <w:spacing w:after="0"/>
      </w:pPr>
      <w:r>
        <w:rPr>
          <w:i/>
        </w:rPr>
        <w:t>Индивидуальные пошлины в рамках Мадридского союза</w:t>
      </w:r>
      <w:r w:rsidR="008861C2">
        <w:t>:  в</w:t>
      </w:r>
      <w:r>
        <w:t xml:space="preserve"> соответствии со статьей 8(7) Мадридского протокола и правилом 38 Общей инструкции договаривающиеся стороны могут установить пошлины, которые взимаются Организацией и подлежат перечислению Договаривающимся сторонам в течение месяца, следующего за месяцем, в котором была осуществлена запись о регистрации указаний или продлений, за которую была уплачена пошлина</w:t>
      </w:r>
      <w:r w:rsidR="0005341A">
        <w:t>.  Д</w:t>
      </w:r>
      <w:r>
        <w:t>оговаривающиеся стороны, которые решили установить индивидуальные пошлины, лишаются права на получение добавочных и дополнительных пошлин, описанных выше</w:t>
      </w:r>
      <w:r w:rsidR="0005341A">
        <w:t>.  С</w:t>
      </w:r>
      <w:r>
        <w:t>уммы, указанные как подлежащие уплате, представляют собой пошлины, подлежащие перечислению в конце отчетного периода.</w:t>
      </w:r>
    </w:p>
    <w:p w:rsidR="00752570" w:rsidRDefault="00752570" w:rsidP="00752570">
      <w:pPr>
        <w:pStyle w:val="ListParagraph"/>
      </w:pPr>
    </w:p>
    <w:p w:rsidR="006A1AC6" w:rsidRPr="004B5787" w:rsidRDefault="005F29A3" w:rsidP="00F73729">
      <w:pPr>
        <w:pStyle w:val="Style3"/>
        <w:numPr>
          <w:ilvl w:val="0"/>
          <w:numId w:val="5"/>
        </w:numPr>
        <w:spacing w:after="0"/>
      </w:pPr>
      <w:r>
        <w:rPr>
          <w:i/>
        </w:rPr>
        <w:t>Авансовые платежи в рамках Мадридского союза</w:t>
      </w:r>
      <w:r>
        <w:t xml:space="preserve">: Организация получает от заявителей по процедуре Мадридской системы платежи, которые являются авансовыми платежами, связанными с предстоящей регистрацией товарных </w:t>
      </w:r>
      <w:r>
        <w:lastRenderedPageBreak/>
        <w:t>знаков</w:t>
      </w:r>
      <w:r w:rsidR="0005341A">
        <w:t>.  Ч</w:t>
      </w:r>
      <w:r>
        <w:t>асть этих авансовых выплат, которая считается средствами, взимаемыми ВОИС от имени третьих сторон для последующего перечисления согласно положениям договора, относится к категории «суммы к перечислению» в рамках финансовых ведомостей</w:t>
      </w:r>
      <w:r w:rsidR="0005341A">
        <w:t>.  Д</w:t>
      </w:r>
      <w:r>
        <w:t>ругая часть, которая представляет собой заранее полученные пошлины Организации, включается в графу «авансовые поступления» в финансовых ведомостях (см. примечание 14).</w:t>
      </w:r>
    </w:p>
    <w:p w:rsidR="006A1AC6" w:rsidRPr="004B5787" w:rsidRDefault="006A1AC6" w:rsidP="007C6D77">
      <w:pPr>
        <w:jc w:val="both"/>
        <w:rPr>
          <w:rFonts w:ascii="Arial" w:hAnsi="Arial" w:cs="Arial"/>
          <w:sz w:val="20"/>
          <w:szCs w:val="20"/>
        </w:rPr>
      </w:pPr>
    </w:p>
    <w:p w:rsidR="006A1AC6" w:rsidRPr="004B5787" w:rsidRDefault="005F29A3" w:rsidP="00F73729">
      <w:pPr>
        <w:pStyle w:val="Style3"/>
        <w:numPr>
          <w:ilvl w:val="0"/>
          <w:numId w:val="5"/>
        </w:numPr>
        <w:spacing w:after="0"/>
        <w:rPr>
          <w:u w:val="single"/>
        </w:rPr>
      </w:pPr>
      <w:r>
        <w:rPr>
          <w:i/>
        </w:rPr>
        <w:t>Распределение в рамках Гаагского союза</w:t>
      </w:r>
      <w:r>
        <w:t>:  В соответствии с правилами 13.2(a)(iii), 13.2(e) и 24.2 Общей инструкции к Гаагскому соглашению Организация взимает от имени договаривающихся сторон обычные государственные пошлины, государственные пошлины за продление срока действия и пошлины за экспертизу на новизну в отношении международных регистраций или их продлений</w:t>
      </w:r>
      <w:r w:rsidR="0005341A">
        <w:t>.  Э</w:t>
      </w:r>
      <w:r>
        <w:t>ти средства подлежат перечислению договаривающимся сторонам на ежемесячной основе</w:t>
      </w:r>
      <w:r w:rsidR="0005341A">
        <w:t>.  С</w:t>
      </w:r>
      <w:r>
        <w:t>уммы, указанные в качестве подлежащих выплате, представляют собой суммы, подлежащие перечисл</w:t>
      </w:r>
      <w:r w:rsidR="001E09BE">
        <w:t>ению в конце отчетного периода.</w:t>
      </w:r>
    </w:p>
    <w:p w:rsidR="006A1AC6" w:rsidRPr="004B5787" w:rsidRDefault="006A1AC6" w:rsidP="007C6D77">
      <w:pPr>
        <w:pStyle w:val="Style3"/>
        <w:spacing w:after="0"/>
        <w:rPr>
          <w:u w:val="single"/>
        </w:rPr>
      </w:pPr>
    </w:p>
    <w:p w:rsidR="009C3956" w:rsidRPr="0041406F" w:rsidRDefault="005F29A3" w:rsidP="00F73729">
      <w:pPr>
        <w:pStyle w:val="Style3"/>
        <w:numPr>
          <w:ilvl w:val="0"/>
          <w:numId w:val="5"/>
        </w:numPr>
        <w:spacing w:after="0"/>
      </w:pPr>
      <w:r>
        <w:rPr>
          <w:i/>
        </w:rPr>
        <w:t>Перераспределение пошлин Мадридского и Гаагского союзов</w:t>
      </w:r>
      <w:r>
        <w:t>:  Организация хранит у себя средства, подлежащие перечислению договаривающимся сторонам, в том случае, если ей не дано четких инструкций относительно платежа или если Договаривающаяся сторона просит, чтобы платеж производился только после подтверждения</w:t>
      </w:r>
      <w:r w:rsidR="0005341A">
        <w:t>.  У</w:t>
      </w:r>
      <w:r>
        <w:t>казанная сумма включает сумму в 1,8 млн шв. франков, причитающуюся всем странам, входившим в состав бывшей Союзной Республики Югославия, а именно Боснии и Герцеговине, Хорватии, Черногории, Сербии, Словении и бывшей югославской Республике Македония</w:t>
      </w:r>
      <w:r w:rsidR="0005341A">
        <w:t>.  Э</w:t>
      </w:r>
      <w:r>
        <w:t xml:space="preserve">та сумма будет выплачена сразу после того, как Международное бюро получит уведомление о достижении соглашения между соответствующими государствами-членами в отношении сумм, </w:t>
      </w:r>
      <w:r w:rsidR="00C950F5">
        <w:t>причитающихся каждому из них.</w:t>
      </w:r>
    </w:p>
    <w:p w:rsidR="0028729A" w:rsidRPr="00164B0D" w:rsidRDefault="0028729A" w:rsidP="007C6D77">
      <w:pPr>
        <w:ind w:firstLineChars="100" w:firstLine="200"/>
        <w:jc w:val="both"/>
        <w:rPr>
          <w:rFonts w:ascii="Arial" w:hAnsi="Arial" w:cs="Arial"/>
          <w:sz w:val="20"/>
          <w:szCs w:val="20"/>
          <w:u w:val="single"/>
        </w:rPr>
      </w:pPr>
    </w:p>
    <w:p w:rsidR="001C3219" w:rsidRPr="004B5787" w:rsidRDefault="005F29A3" w:rsidP="00F73729">
      <w:pPr>
        <w:pStyle w:val="Style3"/>
        <w:numPr>
          <w:ilvl w:val="0"/>
          <w:numId w:val="5"/>
        </w:numPr>
        <w:spacing w:after="0"/>
      </w:pPr>
      <w:r>
        <w:rPr>
          <w:i/>
        </w:rPr>
        <w:t>Депозиты ЦАП</w:t>
      </w:r>
      <w:r>
        <w:t>: Организация взимает пошлины за арбитражное урегулирование через ее Центр по арбитражу и посредничеству споров по доменным именам и другим вопросам, касающимся интеллектуальной собственности</w:t>
      </w:r>
      <w:r w:rsidR="0005341A">
        <w:t>.  П</w:t>
      </w:r>
      <w:r>
        <w:t>омимо пошлины, уплачиваемой Организации, стороны спора депонируют сумму, эквивалентную предполагаемому вознаграждению арбитра</w:t>
      </w:r>
      <w:r w:rsidR="0005341A">
        <w:t>.  Е</w:t>
      </w:r>
      <w:r>
        <w:t>сли вознаграждение арбитра превышает сметную сумму, Организация просит участников спора перечислить требуемые дополнительные средства</w:t>
      </w:r>
      <w:r w:rsidR="0005341A">
        <w:t>.  П</w:t>
      </w:r>
      <w:r>
        <w:t>олученная сумма уплачивается непосредственно арбитру и не признается в качестве доходов Организации</w:t>
      </w:r>
      <w:r w:rsidR="0005341A">
        <w:t>.  С</w:t>
      </w:r>
      <w:r>
        <w:t>умма, указанная в таблице выше, представляет собой чистую сумму, уплаченную участниками, но не перечисленную арбитру на отчетную дату.</w:t>
      </w:r>
    </w:p>
    <w:p w:rsidR="001C3219" w:rsidRPr="004B5787" w:rsidRDefault="001C3219" w:rsidP="007C6D77">
      <w:pPr>
        <w:pStyle w:val="Style3"/>
        <w:spacing w:after="0"/>
        <w:rPr>
          <w:u w:val="single"/>
        </w:rPr>
      </w:pPr>
    </w:p>
    <w:p w:rsidR="006A1AC6" w:rsidRDefault="005F29A3" w:rsidP="00F73729">
      <w:pPr>
        <w:pStyle w:val="Style3"/>
        <w:numPr>
          <w:ilvl w:val="0"/>
          <w:numId w:val="5"/>
        </w:numPr>
        <w:spacing w:after="0"/>
      </w:pPr>
      <w:r>
        <w:rPr>
          <w:i/>
        </w:rPr>
        <w:t>Международные поисковые органы РСТ</w:t>
      </w:r>
      <w:r>
        <w:t>: Международное бюро взимает с заявителей, обратившихся в Международное бюро, пошлины за международные патенты для покрытия расходов на международный поиск, который производится международными поисковыми органами, назначенными Организацией в соответствии с Договором о патентной кооперации (РСТ)</w:t>
      </w:r>
      <w:r w:rsidR="0005341A">
        <w:t>.  С</w:t>
      </w:r>
      <w:r>
        <w:t>умма, указанная в таблице выше, представляет собой сумму, подлежащую перечислению международным поисковым органам на отчетную дату.</w:t>
      </w:r>
    </w:p>
    <w:p w:rsidR="007F3317" w:rsidRDefault="007F3317" w:rsidP="007F3317">
      <w:pPr>
        <w:pStyle w:val="ListParagraph"/>
      </w:pPr>
    </w:p>
    <w:p w:rsidR="007F3317" w:rsidRDefault="005F29A3" w:rsidP="00F73729">
      <w:pPr>
        <w:pStyle w:val="Style3"/>
        <w:numPr>
          <w:ilvl w:val="0"/>
          <w:numId w:val="5"/>
        </w:numPr>
        <w:spacing w:after="0"/>
      </w:pPr>
      <w:r>
        <w:rPr>
          <w:i/>
        </w:rPr>
        <w:t>Пошлины за проведение поиска, подлежащие выплате ВПТЗ США в пользу ЕПВ</w:t>
      </w:r>
      <w:r w:rsidR="008861C2">
        <w:t>:  в</w:t>
      </w:r>
      <w:r>
        <w:t xml:space="preserve"> соответствии с меморандумом о взаимопонимании между Европейским патентным ведомством (ЕПВ), Ведомством Соединенных Штатов Америки по патентам и товарным знакам (ВПТЗ США) и ВОИС, пошлины за проведение поиска, подлежащие перечислению ВПТЗ США (как получающего ведомства по PCT) в пользу ЕПВ (как международного поискового органа), сначала передаются ВПТЗ США ВОИС, и ВОИС затем направляет их ЕПВ</w:t>
      </w:r>
      <w:r w:rsidR="0005341A">
        <w:t>.  Д</w:t>
      </w:r>
      <w:r>
        <w:t xml:space="preserve">анный меморандум о взаимопонимании призван усовершенствовать процедуры перечисления пошлин за </w:t>
      </w:r>
      <w:r>
        <w:lastRenderedPageBreak/>
        <w:t>проведение поиска и снизить убытки, которые Международного бюро несет в соответствии с правилом 16.1(е) РСТ из-за колебаний валютных курсов</w:t>
      </w:r>
      <w:r w:rsidR="0005341A">
        <w:t>.  С</w:t>
      </w:r>
      <w:r>
        <w:t>умма, указанная в таблице выше, представляет собой сумму платежей, полученных ВОИС, но не перечисленных ЕПВ на отчетную дату.</w:t>
      </w:r>
    </w:p>
    <w:p w:rsidR="008C30B2" w:rsidRDefault="008C30B2" w:rsidP="008C30B2">
      <w:pPr>
        <w:pStyle w:val="ListParagraph"/>
      </w:pPr>
    </w:p>
    <w:p w:rsidR="00CF44A9" w:rsidRPr="006D0C30" w:rsidRDefault="005F29A3" w:rsidP="0053389E">
      <w:pPr>
        <w:pStyle w:val="StyleHeading211ptNotBoldNotItalicAllcaps"/>
        <w:spacing w:before="0" w:after="0"/>
        <w:rPr>
          <w:szCs w:val="22"/>
        </w:rPr>
      </w:pPr>
      <w:r w:rsidRPr="001311AA">
        <w:t>Примечание</w:t>
      </w:r>
      <w:r w:rsidR="001311AA" w:rsidRPr="001311AA">
        <w:t> </w:t>
      </w:r>
      <w:r w:rsidRPr="001311AA">
        <w:t>1</w:t>
      </w:r>
      <w:r>
        <w:t>4:</w:t>
      </w:r>
      <w:r>
        <w:tab/>
        <w:t>Авансовые поступления</w:t>
      </w:r>
    </w:p>
    <w:p w:rsidR="0014738E" w:rsidRPr="006D0C30" w:rsidRDefault="0014738E" w:rsidP="0053389E">
      <w:pPr>
        <w:jc w:val="both"/>
        <w:rPr>
          <w:rFonts w:ascii="Arial" w:hAnsi="Arial" w:cs="Arial"/>
          <w:sz w:val="22"/>
          <w:szCs w:val="22"/>
        </w:rPr>
      </w:pPr>
    </w:p>
    <w:p w:rsidR="0014738E" w:rsidRPr="008461BD" w:rsidRDefault="00691AE7" w:rsidP="007E41CB">
      <w:pPr>
        <w:jc w:val="center"/>
      </w:pPr>
      <w:bookmarkStart w:id="17" w:name="RANGE!C4:F16"/>
      <w:bookmarkEnd w:id="17"/>
      <w:r>
        <w:rPr>
          <w:noProof/>
          <w:lang w:val="en-US" w:eastAsia="en-US"/>
        </w:rPr>
        <w:drawing>
          <wp:inline distT="0" distB="0" distL="0" distR="0">
            <wp:extent cx="5734050" cy="327660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734050" cy="3276600"/>
                    </a:xfrm>
                    <a:prstGeom prst="rect">
                      <a:avLst/>
                    </a:prstGeom>
                    <a:noFill/>
                    <a:ln>
                      <a:noFill/>
                    </a:ln>
                  </pic:spPr>
                </pic:pic>
              </a:graphicData>
            </a:graphic>
          </wp:inline>
        </w:drawing>
      </w:r>
    </w:p>
    <w:p w:rsidR="00752570" w:rsidRDefault="005F29A3" w:rsidP="00127956">
      <w:pPr>
        <w:pStyle w:val="Style3"/>
        <w:spacing w:after="0"/>
        <w:rPr>
          <w:rFonts w:cs="Arial"/>
          <w:szCs w:val="22"/>
        </w:rPr>
      </w:pPr>
      <w:r>
        <w:t>Во многих случаях Организация собирает пошлины и плату за услуги до завершения их предоставления в полном объеме или до того, как пошлина «заработана» в соответствии с договорами, соглашениями, протоколами и инструкциями, административные функции которых выполняет Организация</w:t>
      </w:r>
      <w:r w:rsidR="0005341A">
        <w:t>.  Д</w:t>
      </w:r>
      <w:r>
        <w:t>оходы от пошлин, относящихся к обработке международных заявок (товарный знак, промышленный образец, патенты), учитываются после публикации заявки</w:t>
      </w:r>
      <w:r w:rsidR="0005341A">
        <w:t>.  Д</w:t>
      </w:r>
      <w:r>
        <w:t>оходы в виде взимаемой платы за дополнительные страницы, относящиеся к международным заявкам на получение патента, учитываются в качестве отсроченных доходов, пока они не будут «заработаны» при окончательной публикации заявки</w:t>
      </w:r>
      <w:r w:rsidR="0005341A">
        <w:t>.  К</w:t>
      </w:r>
      <w:r>
        <w:t>роме того, к отсроченным доходам относится часть пошлин за международные заявки на получение патента, которая покрывает расходы на перевод отчетов о патентоспособности, не представленных на английском языке</w:t>
      </w:r>
      <w:r w:rsidR="006B1BEC">
        <w:t>.  В</w:t>
      </w:r>
      <w:r>
        <w:t>се доходы от пошлин, таких как пошлины за продления, выписки, изменения, отказ, передачи, подтверждения и корректировки, учитываются тогда, когда соответствующая услуга предоставлена.</w:t>
      </w:r>
    </w:p>
    <w:p w:rsidR="00BC1EA4" w:rsidRPr="00BC1EA4" w:rsidRDefault="00BC1EA4" w:rsidP="007C6D77">
      <w:pPr>
        <w:pStyle w:val="Style3"/>
        <w:spacing w:after="0"/>
      </w:pPr>
    </w:p>
    <w:p w:rsidR="00CF44A9" w:rsidRDefault="005F29A3" w:rsidP="006D0C30">
      <w:pPr>
        <w:pStyle w:val="Style3"/>
        <w:spacing w:after="0"/>
      </w:pPr>
      <w:r>
        <w:t>Добровольные взносы доноров, осуществленные на Специальные счета на условиях, согласно которым Организация должна предоставлять услуги правительствам стран-получателей или другим третьим лицам, учитываются в качестве отсроченных доходов до тех пор, пока услуги, подпадающие под действие добровольных взносов, не предоставлены, после чего такие доходы признаются в качестве поступлений.</w:t>
      </w:r>
    </w:p>
    <w:p w:rsidR="00360183" w:rsidRDefault="00360183" w:rsidP="006D0C30">
      <w:pPr>
        <w:pStyle w:val="Style3"/>
        <w:spacing w:after="0"/>
      </w:pPr>
    </w:p>
    <w:p w:rsidR="00360183" w:rsidRPr="001E09BE" w:rsidRDefault="005F29A3" w:rsidP="00360183">
      <w:pPr>
        <w:pStyle w:val="Style3"/>
        <w:spacing w:after="0"/>
        <w:rPr>
          <w:szCs w:val="22"/>
        </w:rPr>
      </w:pPr>
      <w:r>
        <w:t>Проект по повышению норм охраны и безопасности в существующих зданиях ВОИС частично финансируется по линии Фонда служебных помещений для международных организаций (ФИПОИ)</w:t>
      </w:r>
      <w:r w:rsidR="0005341A">
        <w:t>.  С</w:t>
      </w:r>
      <w:r>
        <w:t>троительные работы, финансируемые ФИПОИ, капитализируются по статье текущей деятельности, а средства для этих целей признаются отсроченным доходом</w:t>
      </w:r>
      <w:r w:rsidR="0005341A">
        <w:t>.  С</w:t>
      </w:r>
      <w:r>
        <w:t>альдо отсроченных доходов на 3</w:t>
      </w:r>
      <w:r w:rsidRPr="001311AA">
        <w:t>1</w:t>
      </w:r>
      <w:r w:rsidR="001311AA" w:rsidRPr="001311AA">
        <w:t> </w:t>
      </w:r>
      <w:r w:rsidRPr="001311AA">
        <w:t>декабря</w:t>
      </w:r>
      <w:r>
        <w:t xml:space="preserve"> 201</w:t>
      </w:r>
      <w:r w:rsidRPr="001311AA">
        <w:t>4</w:t>
      </w:r>
      <w:r w:rsidR="001311AA" w:rsidRPr="001311AA">
        <w:t> </w:t>
      </w:r>
      <w:r w:rsidRPr="001311AA">
        <w:t>г.</w:t>
      </w:r>
      <w:r>
        <w:t xml:space="preserve"> </w:t>
      </w:r>
      <w:r w:rsidR="00C950F5">
        <w:t>составило 3,0 млн </w:t>
      </w:r>
      <w:r>
        <w:t>шв. </w:t>
      </w:r>
      <w:r w:rsidR="00C950F5">
        <w:t>франков (1,9 млн </w:t>
      </w:r>
      <w:r>
        <w:t>шв. франков по состоянию на 3</w:t>
      </w:r>
      <w:r w:rsidRPr="001311AA">
        <w:t>1</w:t>
      </w:r>
      <w:r w:rsidR="001311AA" w:rsidRPr="001311AA">
        <w:t> </w:t>
      </w:r>
      <w:r w:rsidRPr="001311AA">
        <w:t>декабря</w:t>
      </w:r>
      <w:r>
        <w:t xml:space="preserve"> 201</w:t>
      </w:r>
      <w:r w:rsidRPr="001311AA">
        <w:t>3</w:t>
      </w:r>
      <w:r w:rsidR="001311AA" w:rsidRPr="001311AA">
        <w:t> </w:t>
      </w:r>
      <w:r w:rsidRPr="001311AA">
        <w:t>г.</w:t>
      </w:r>
      <w:r>
        <w:t>)</w:t>
      </w:r>
      <w:r w:rsidR="0005341A">
        <w:t>.  О</w:t>
      </w:r>
      <w:r>
        <w:t>бъем этих доходов учитывается постепенно по мере обесценивания построек на протяжении срока их эксплуатации</w:t>
      </w:r>
      <w:r w:rsidR="001E09BE">
        <w:t>.</w:t>
      </w:r>
    </w:p>
    <w:p w:rsidR="00360183" w:rsidRPr="00FB4990" w:rsidRDefault="00360183" w:rsidP="006D0C30">
      <w:pPr>
        <w:pStyle w:val="Style3"/>
        <w:spacing w:after="0"/>
      </w:pPr>
    </w:p>
    <w:p w:rsidR="00C42877" w:rsidRDefault="005F29A3" w:rsidP="00A661F5">
      <w:pPr>
        <w:pStyle w:val="StyleHeading211ptNotBoldNotItalicAllcaps"/>
        <w:spacing w:before="0" w:after="0"/>
      </w:pPr>
      <w:r w:rsidRPr="001311AA">
        <w:t>Примечание</w:t>
      </w:r>
      <w:r w:rsidR="001311AA" w:rsidRPr="001311AA">
        <w:t> </w:t>
      </w:r>
      <w:r w:rsidRPr="001311AA">
        <w:t>1</w:t>
      </w:r>
      <w:r>
        <w:t>5:</w:t>
      </w:r>
      <w:r>
        <w:tab/>
        <w:t>Заемные средства</w:t>
      </w:r>
    </w:p>
    <w:p w:rsidR="0017209A" w:rsidRPr="00A661F5" w:rsidRDefault="0017209A" w:rsidP="00A661F5">
      <w:pPr>
        <w:pStyle w:val="StyleHeading211ptNotBoldNotItalicAllcaps"/>
        <w:spacing w:before="0" w:after="0"/>
      </w:pPr>
    </w:p>
    <w:p w:rsidR="00EF1D45" w:rsidRPr="000B76DB" w:rsidRDefault="00691AE7" w:rsidP="000A674A">
      <w:pPr>
        <w:pStyle w:val="style30"/>
        <w:spacing w:after="0"/>
        <w:jc w:val="center"/>
      </w:pPr>
      <w:bookmarkStart w:id="18" w:name="RANGE!B5:E17"/>
      <w:bookmarkEnd w:id="18"/>
      <w:r>
        <w:rPr>
          <w:noProof/>
          <w:lang w:val="en-US" w:eastAsia="en-US"/>
        </w:rPr>
        <w:drawing>
          <wp:inline distT="0" distB="0" distL="0" distR="0">
            <wp:extent cx="5734050" cy="2600325"/>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734050" cy="2600325"/>
                    </a:xfrm>
                    <a:prstGeom prst="rect">
                      <a:avLst/>
                    </a:prstGeom>
                    <a:noFill/>
                    <a:ln>
                      <a:noFill/>
                    </a:ln>
                  </pic:spPr>
                </pic:pic>
              </a:graphicData>
            </a:graphic>
          </wp:inline>
        </w:drawing>
      </w:r>
    </w:p>
    <w:p w:rsidR="004337B7" w:rsidRPr="001E09BE" w:rsidRDefault="005F29A3" w:rsidP="004337B7">
      <w:pPr>
        <w:pStyle w:val="style30"/>
        <w:spacing w:after="0"/>
      </w:pPr>
      <w:r>
        <w:t>Организация привлекла заемные средства (50,8 млн шв. франков и 8,41 млн шв. франков, утвержденные, соответственно, в 1977 и 1987 гг.) у Фонда служебных помещений для международных организаций (ФИПОИ) для целей строительства своих зданий штаб-квартиры в Женеве, Швейцария</w:t>
      </w:r>
      <w:r w:rsidR="0005341A">
        <w:t>.  П</w:t>
      </w:r>
      <w:r>
        <w:t>ервоначально условиями этих кредитов предусматривалась выплата процентов</w:t>
      </w:r>
      <w:r w:rsidR="0005341A">
        <w:t>.  О</w:t>
      </w:r>
      <w:r>
        <w:t>днако в 1996 г. Федеральное министерство внешних связей Швейцарии приняло решение отказаться от дальнейшего взимания каких-либо процентов, и в настоящее время Организация обязана выплачивать только</w:t>
      </w:r>
      <w:r w:rsidR="001E09BE">
        <w:t xml:space="preserve"> основную сумму по этим ссудам.</w:t>
      </w:r>
    </w:p>
    <w:p w:rsidR="00C42877" w:rsidRDefault="00C42877" w:rsidP="007C6D77">
      <w:pPr>
        <w:pStyle w:val="Style3"/>
        <w:spacing w:after="0"/>
      </w:pPr>
    </w:p>
    <w:p w:rsidR="00C42877" w:rsidRPr="00FB4990" w:rsidRDefault="005F29A3" w:rsidP="007C6D77">
      <w:pPr>
        <w:pStyle w:val="Style3"/>
        <w:spacing w:after="0"/>
      </w:pPr>
      <w:r>
        <w:t>В феврале 2008 г. Организация заключила договор с Кантональным банком Женевы и Банком кантона Во о предоставлении кредита в 114 млн шв. франков и, возможно, дополнительном займе в 16,0 млн шв. франков на цели покрытия части расходов на строительство нового административного здания с возможностью использования этого займа до 28 февраля 2011 г</w:t>
      </w:r>
      <w:r w:rsidR="0005341A">
        <w:t>.  Д</w:t>
      </w:r>
      <w:r>
        <w:t>вадцать седьмого января 2011 г. была произведена выборка дополнительных заемных средств в размере 16,0 млн шв.</w:t>
      </w:r>
      <w:r w:rsidR="001311AA">
        <w:t> </w:t>
      </w:r>
      <w:r>
        <w:t>франков</w:t>
      </w:r>
      <w:r w:rsidR="0005341A">
        <w:t>.  П</w:t>
      </w:r>
      <w:r>
        <w:t>роцентная ставка была установлена на уровне ставки ЛИБОР для своп-операций в швейцарских франках на срок до 15 лет плюс маржа в 0,30-0,70% в зависимости от срока погашения, который будет определен Организацией</w:t>
      </w:r>
      <w:r w:rsidR="006B1BEC">
        <w:t>.  В</w:t>
      </w:r>
      <w:r>
        <w:t>ыплаты по процентам составили в 2014 г. 3,1 млн шв. франков, размер средневзвешенной процентной ставки за год составил 2,60%</w:t>
      </w:r>
      <w:r w:rsidR="0005341A">
        <w:t>.  П</w:t>
      </w:r>
      <w:r>
        <w:t>омимо процентных платежей договор предусматривает ежегодное погашение основной суммы из расчета 3% от общей заимствованной суммы, начиная с 28 февраля 2012 г. в отношении первоначального займа в 114,0 млн шв. франков и дополнительного займа в 16,0 млн шв. франков</w:t>
      </w:r>
      <w:r w:rsidR="006B1BEC">
        <w:t>.  В</w:t>
      </w:r>
      <w:r>
        <w:t xml:space="preserve"> ноябре 2015 г. Организация должна произвести выплату первого из нескольких запланированных единовременных платежей в погашение займа в размере 24,0 млн шв. франков</w:t>
      </w:r>
      <w:r w:rsidR="006B1BEC">
        <w:t>.  В</w:t>
      </w:r>
      <w:r>
        <w:t>ыплата второго единовременного платежа в размере 16,0 млн шв. франков запланирована на январь 2016 г.</w:t>
      </w:r>
    </w:p>
    <w:p w:rsidR="004F64CE" w:rsidRDefault="004F64CE" w:rsidP="007C6D77">
      <w:pPr>
        <w:pStyle w:val="Style3"/>
        <w:spacing w:after="0"/>
      </w:pPr>
    </w:p>
    <w:p w:rsidR="00F97F6F" w:rsidRPr="001E09BE" w:rsidRDefault="005F29A3" w:rsidP="006D0C30">
      <w:pPr>
        <w:pStyle w:val="Style3"/>
        <w:spacing w:after="0"/>
      </w:pPr>
      <w:r>
        <w:t>В октябре 2010 г. Кантональный банк Женевы, Банк кантона Во и ВОИС приняли поправки к договору займа, в соответствии с которыми в период с 31 марта 2011 г. по 31 марта 2014 </w:t>
      </w:r>
      <w:r w:rsidR="00F11912">
        <w:t>г</w:t>
      </w:r>
      <w:r>
        <w:t>. ВОИС будет предоставлено дополнительно 40,0 млн шв. франков на цели финансирования части работ по строительству нового конференц-зала</w:t>
      </w:r>
      <w:r w:rsidR="006B1BEC">
        <w:t>.  В</w:t>
      </w:r>
      <w:r>
        <w:t xml:space="preserve"> 2014 г. Организация не воспользовалась этой дополнительной суммой в 40,0 млн шв. франков</w:t>
      </w:r>
      <w:r w:rsidR="0005341A">
        <w:t>.  С</w:t>
      </w:r>
      <w:r>
        <w:t>ледует отметить, что Организация выплачивала ежегодные комиссионные в размере 0,15% от неиспользованных сумм кредита в т</w:t>
      </w:r>
      <w:r w:rsidR="001E09BE">
        <w:t>ечение срока действия договора.</w:t>
      </w:r>
    </w:p>
    <w:p w:rsidR="004B758D" w:rsidRDefault="005F29A3" w:rsidP="00274DF8">
      <w:pPr>
        <w:pStyle w:val="StyleHeading211ptNotBoldNotItalicAllcaps"/>
        <w:spacing w:before="0" w:after="0"/>
        <w:rPr>
          <w:szCs w:val="22"/>
        </w:rPr>
      </w:pPr>
      <w:r w:rsidRPr="001311AA">
        <w:lastRenderedPageBreak/>
        <w:t>Примечание</w:t>
      </w:r>
      <w:r w:rsidR="001311AA" w:rsidRPr="001311AA">
        <w:t> </w:t>
      </w:r>
      <w:r w:rsidRPr="001311AA">
        <w:t>1</w:t>
      </w:r>
      <w:r>
        <w:t>6:</w:t>
      </w:r>
      <w:r>
        <w:tab/>
        <w:t>Ассигнования</w:t>
      </w:r>
    </w:p>
    <w:p w:rsidR="00274DF8" w:rsidRPr="006D0C30" w:rsidRDefault="00274DF8" w:rsidP="00274DF8">
      <w:pPr>
        <w:pStyle w:val="StyleHeading211ptNotBoldNotItalicAllcaps"/>
        <w:spacing w:before="0" w:after="0"/>
        <w:rPr>
          <w:szCs w:val="22"/>
        </w:rPr>
      </w:pPr>
    </w:p>
    <w:p w:rsidR="003B5F73" w:rsidRPr="008461BD" w:rsidRDefault="00691AE7" w:rsidP="000A4D7F">
      <w:pPr>
        <w:jc w:val="center"/>
        <w:rPr>
          <w:sz w:val="20"/>
          <w:szCs w:val="20"/>
        </w:rPr>
      </w:pPr>
      <w:bookmarkStart w:id="19" w:name="RANGE!B2:E7"/>
      <w:bookmarkEnd w:id="19"/>
      <w:r>
        <w:rPr>
          <w:noProof/>
          <w:sz w:val="20"/>
          <w:szCs w:val="20"/>
          <w:lang w:val="en-US" w:eastAsia="en-US"/>
        </w:rPr>
        <w:drawing>
          <wp:inline distT="0" distB="0" distL="0" distR="0">
            <wp:extent cx="5734050" cy="1190625"/>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734050" cy="1190625"/>
                    </a:xfrm>
                    <a:prstGeom prst="rect">
                      <a:avLst/>
                    </a:prstGeom>
                    <a:noFill/>
                    <a:ln>
                      <a:noFill/>
                    </a:ln>
                  </pic:spPr>
                </pic:pic>
              </a:graphicData>
            </a:graphic>
          </wp:inline>
        </w:drawing>
      </w:r>
    </w:p>
    <w:p w:rsidR="00A630DC" w:rsidRDefault="005F29A3" w:rsidP="007C6D77">
      <w:pPr>
        <w:pStyle w:val="Style3"/>
        <w:spacing w:after="0"/>
      </w:pPr>
      <w:r>
        <w:t>При осуществлении своей обычной деятельности Организация может стать объектом судебного разбирательства</w:t>
      </w:r>
      <w:r w:rsidR="006B1BEC">
        <w:t>.  В</w:t>
      </w:r>
      <w:r>
        <w:t xml:space="preserve"> связи с такими разбирательствами, имевшими место до 3</w:t>
      </w:r>
      <w:r w:rsidRPr="001311AA">
        <w:t>1</w:t>
      </w:r>
      <w:r w:rsidR="001311AA" w:rsidRPr="001311AA">
        <w:t> </w:t>
      </w:r>
      <w:r w:rsidRPr="001311AA">
        <w:t>декабря</w:t>
      </w:r>
      <w:r>
        <w:t xml:space="preserve"> 201</w:t>
      </w:r>
      <w:r w:rsidRPr="001311AA">
        <w:t>4</w:t>
      </w:r>
      <w:r w:rsidR="001311AA" w:rsidRPr="001311AA">
        <w:t> </w:t>
      </w:r>
      <w:r w:rsidRPr="001311AA">
        <w:t>г.</w:t>
      </w:r>
      <w:r>
        <w:t>, у Организации возникли определенные юридические обязательства на отчетную дату</w:t>
      </w:r>
      <w:r w:rsidR="0005341A">
        <w:t>.  П</w:t>
      </w:r>
      <w:r>
        <w:t>оскольку существует вероятность того, что эти обязательства потребуют в будущем урегулирования, и поскольку суммы урегулирования могут быть спрогнозированы с достаточной степенью достоверности, для покрытия судебных издержек предусмотрены соответствующие ассигнования</w:t>
      </w:r>
      <w:r w:rsidR="0005341A">
        <w:t>.  С</w:t>
      </w:r>
      <w:r>
        <w:t>умма ассигнований в максимально возможной степени оценена на основе имеющей информации.</w:t>
      </w:r>
    </w:p>
    <w:p w:rsidR="003B5F73" w:rsidRDefault="003B5F73" w:rsidP="00274DF8">
      <w:pPr>
        <w:pStyle w:val="Style3"/>
        <w:spacing w:after="0"/>
        <w:rPr>
          <w:rFonts w:ascii="Times New Roman" w:hAnsi="Times New Roman"/>
          <w:sz w:val="20"/>
        </w:rPr>
      </w:pPr>
    </w:p>
    <w:p w:rsidR="005425E7" w:rsidRPr="008461BD" w:rsidRDefault="00691AE7" w:rsidP="00442F97">
      <w:pPr>
        <w:pStyle w:val="Style3"/>
        <w:spacing w:after="0"/>
        <w:jc w:val="center"/>
        <w:rPr>
          <w:szCs w:val="22"/>
        </w:rPr>
      </w:pPr>
      <w:r>
        <w:rPr>
          <w:noProof/>
          <w:szCs w:val="22"/>
          <w:lang w:val="en-US" w:eastAsia="en-US"/>
        </w:rPr>
        <w:drawing>
          <wp:inline distT="0" distB="0" distL="0" distR="0">
            <wp:extent cx="4438650" cy="340995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438650" cy="3409950"/>
                    </a:xfrm>
                    <a:prstGeom prst="rect">
                      <a:avLst/>
                    </a:prstGeom>
                    <a:noFill/>
                    <a:ln>
                      <a:noFill/>
                    </a:ln>
                  </pic:spPr>
                </pic:pic>
              </a:graphicData>
            </a:graphic>
          </wp:inline>
        </w:drawing>
      </w:r>
    </w:p>
    <w:p w:rsidR="00CF44A9" w:rsidRDefault="005F29A3" w:rsidP="009A7CC8">
      <w:pPr>
        <w:pStyle w:val="StyleHeading211ptNotBoldNotItalicAllcaps"/>
        <w:spacing w:before="0" w:after="0"/>
      </w:pPr>
      <w:r w:rsidRPr="001311AA">
        <w:t>Примечание</w:t>
      </w:r>
      <w:r w:rsidR="001311AA" w:rsidRPr="001311AA">
        <w:t> </w:t>
      </w:r>
      <w:r w:rsidRPr="001311AA">
        <w:t>1</w:t>
      </w:r>
      <w:r>
        <w:t>7:</w:t>
      </w:r>
      <w:r>
        <w:tab/>
        <w:t>Прочие краткосрочные обязательства</w:t>
      </w:r>
    </w:p>
    <w:p w:rsidR="0020173D" w:rsidRPr="009A7CC8" w:rsidRDefault="0020173D" w:rsidP="009A7CC8">
      <w:pPr>
        <w:pStyle w:val="StyleHeading211ptNotBoldNotItalicAllcaps"/>
        <w:spacing w:before="0" w:after="0"/>
        <w:rPr>
          <w:szCs w:val="22"/>
        </w:rPr>
      </w:pPr>
    </w:p>
    <w:p w:rsidR="003B5F73" w:rsidRDefault="00691AE7" w:rsidP="00612FFA">
      <w:pPr>
        <w:jc w:val="center"/>
        <w:rPr>
          <w:sz w:val="20"/>
          <w:szCs w:val="20"/>
        </w:rPr>
      </w:pPr>
      <w:r>
        <w:rPr>
          <w:noProof/>
          <w:sz w:val="20"/>
          <w:szCs w:val="20"/>
          <w:lang w:val="en-US" w:eastAsia="en-US"/>
        </w:rPr>
        <w:drawing>
          <wp:inline distT="0" distB="0" distL="0" distR="0">
            <wp:extent cx="5734050" cy="1343025"/>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734050" cy="1343025"/>
                    </a:xfrm>
                    <a:prstGeom prst="rect">
                      <a:avLst/>
                    </a:prstGeom>
                    <a:noFill/>
                    <a:ln>
                      <a:noFill/>
                    </a:ln>
                  </pic:spPr>
                </pic:pic>
              </a:graphicData>
            </a:graphic>
          </wp:inline>
        </w:drawing>
      </w:r>
    </w:p>
    <w:p w:rsidR="00C72491" w:rsidRDefault="005F29A3" w:rsidP="00442F97">
      <w:pPr>
        <w:pStyle w:val="Style3"/>
        <w:spacing w:after="0"/>
      </w:pPr>
      <w:r>
        <w:t>Организация предоставляет заявителям на регистрацию товарных знаков и промышленных образцов, а также по процедуре РСТ механизм для депонирования средств под названием «контокоррентный счет», в котором Организация выступает в качестве хранителя средств до их использования для уплаты пошлин, причитающихся за индивидуальные заявки и продления</w:t>
      </w:r>
      <w:r w:rsidR="0005341A">
        <w:t>.  Э</w:t>
      </w:r>
      <w:r>
        <w:t>ти средства удерживаются до момента подачи конкретных заявок</w:t>
      </w:r>
      <w:r w:rsidR="0005341A">
        <w:t>.  П</w:t>
      </w:r>
      <w:r>
        <w:t xml:space="preserve">о получении заявки сальдо контокоррентного счета уменьшается, а </w:t>
      </w:r>
      <w:r>
        <w:lastRenderedPageBreak/>
        <w:t>средства рассматриваются в качестве депозитов до тех пор, пока заявка не будет зарегистрирована.</w:t>
      </w:r>
    </w:p>
    <w:p w:rsidR="00CF44A9" w:rsidRPr="0032315F" w:rsidRDefault="005F29A3" w:rsidP="00442F97">
      <w:pPr>
        <w:pStyle w:val="Style3"/>
        <w:spacing w:after="0"/>
      </w:pPr>
      <w:r>
        <w:t xml:space="preserve">  </w:t>
      </w:r>
    </w:p>
    <w:p w:rsidR="00CF44A9" w:rsidRDefault="005F29A3" w:rsidP="00901633">
      <w:pPr>
        <w:pStyle w:val="Style3"/>
        <w:spacing w:after="0"/>
      </w:pPr>
      <w:r>
        <w:t>Кроме того, Организация держит банковские счета на свое имя, обеспечивающие определенным Договаривающимся сторонам механизм для перевода средств, которые эти стороны получили от имени Организации</w:t>
      </w:r>
      <w:r w:rsidR="0005341A">
        <w:t>.  О</w:t>
      </w:r>
      <w:r>
        <w:t>статок средств на счетах не признается в качестве поступлений до тех пор, пока Договаривающаяся сторона не уведомит Организацию о том, что средства, находящиеся на этих счетах, представляют собой поступления Организации.</w:t>
      </w:r>
    </w:p>
    <w:p w:rsidR="009A7CC8" w:rsidRDefault="009A7CC8" w:rsidP="00901633">
      <w:pPr>
        <w:pStyle w:val="Style3"/>
        <w:spacing w:after="0"/>
      </w:pPr>
    </w:p>
    <w:p w:rsidR="000C1D42" w:rsidRDefault="005F29A3" w:rsidP="00901633">
      <w:pPr>
        <w:pStyle w:val="StyleHeading211ptNotBoldNotItalicAllcaps"/>
        <w:spacing w:before="0" w:after="0"/>
        <w:rPr>
          <w:szCs w:val="22"/>
        </w:rPr>
      </w:pPr>
      <w:r w:rsidRPr="001311AA">
        <w:t>Примечание</w:t>
      </w:r>
      <w:r w:rsidR="001311AA" w:rsidRPr="001311AA">
        <w:t> </w:t>
      </w:r>
      <w:r w:rsidRPr="001311AA">
        <w:t>1</w:t>
      </w:r>
      <w:r>
        <w:t>8:</w:t>
      </w:r>
      <w:r>
        <w:tab/>
        <w:t>Условные активы и пассивы</w:t>
      </w:r>
    </w:p>
    <w:p w:rsidR="007E5C52" w:rsidRDefault="007E5C52" w:rsidP="00901633">
      <w:pPr>
        <w:pStyle w:val="Style3"/>
        <w:spacing w:after="0"/>
        <w:rPr>
          <w:szCs w:val="22"/>
        </w:rPr>
      </w:pPr>
    </w:p>
    <w:p w:rsidR="00A758D9" w:rsidRPr="001E09BE" w:rsidRDefault="005F29A3" w:rsidP="00901633">
      <w:pPr>
        <w:pStyle w:val="Style3"/>
        <w:spacing w:after="0"/>
      </w:pPr>
      <w:r>
        <w:t>Несколько сотрудников ВОИС возбудили иски против Организации</w:t>
      </w:r>
      <w:r w:rsidR="0005341A">
        <w:t>.  Д</w:t>
      </w:r>
      <w:r>
        <w:t>ела, которые находятся на рассмотрении в Апелляционном совете ВОИС (АСВОИС) и Административном трибунале МОТ (АТМОТ), и на которые предусмотрены ассигнования, отражены в примечании 16</w:t>
      </w:r>
      <w:r w:rsidR="006B1BEC">
        <w:t>.  А</w:t>
      </w:r>
      <w:r>
        <w:t>ссигнования не предусмотрены для ряда других дел, рассматриваемых АСВОИС и АТМОТ, которые, по мнению юридических консультантов, вряд ли приведут к возникновению обязательств</w:t>
      </w:r>
      <w:r w:rsidR="0005341A">
        <w:t>.  Н</w:t>
      </w:r>
      <w:r>
        <w:t>а отчетную дату совокупный объем условных обязательств Организации в связи с возможными выплатами по соответствующим делам составляет 605 500 шв. франков</w:t>
      </w:r>
      <w:r w:rsidR="0005341A">
        <w:t>.  К</w:t>
      </w:r>
      <w:r>
        <w:t>роме того, ряд поданных сотрудниками жалоб имеют статус «ходатайства, подлежащие рассмотрению»</w:t>
      </w:r>
      <w:r w:rsidR="0005341A">
        <w:t>.  П</w:t>
      </w:r>
      <w:r>
        <w:t>о этим делам суммы требований еще не подтверждены, соответственно, ассигнования не выделялись</w:t>
      </w:r>
      <w:r w:rsidR="0005341A">
        <w:t>.  С</w:t>
      </w:r>
      <w:r>
        <w:t>умма условных обязательств Организации в связи с возможными выплатами для урегулирования этих дел оценивается на отчетную дату в 60 тыс. шв. франков</w:t>
      </w:r>
      <w:r w:rsidR="001E09BE">
        <w:t>.</w:t>
      </w:r>
    </w:p>
    <w:p w:rsidR="00A758D9" w:rsidRPr="007D02E7" w:rsidRDefault="00A758D9" w:rsidP="007C6D77">
      <w:pPr>
        <w:pStyle w:val="Style3"/>
        <w:spacing w:after="0"/>
      </w:pPr>
    </w:p>
    <w:p w:rsidR="00CB100C" w:rsidRPr="007D02E7" w:rsidRDefault="005F29A3" w:rsidP="007C6D77">
      <w:pPr>
        <w:pStyle w:val="Style3"/>
        <w:spacing w:after="0"/>
      </w:pPr>
      <w:r>
        <w:t>По состоянию на 3</w:t>
      </w:r>
      <w:r w:rsidRPr="001311AA">
        <w:t>1</w:t>
      </w:r>
      <w:r w:rsidR="001311AA" w:rsidRPr="001311AA">
        <w:t> </w:t>
      </w:r>
      <w:r w:rsidRPr="001311AA">
        <w:t>декабря</w:t>
      </w:r>
      <w:r>
        <w:t xml:space="preserve"> 201</w:t>
      </w:r>
      <w:r w:rsidRPr="001311AA">
        <w:t>4</w:t>
      </w:r>
      <w:r w:rsidR="001311AA" w:rsidRPr="001311AA">
        <w:t> </w:t>
      </w:r>
      <w:r w:rsidRPr="001311AA">
        <w:t>г.</w:t>
      </w:r>
      <w:r>
        <w:t xml:space="preserve"> общая стоимость неисполненных контрактов на строительство нового конференц-зала составила 0,2 млн шв. франков, а аналогичных контрактов по повышению норм безопасности — 0,6 млн шв. франков</w:t>
      </w:r>
      <w:r w:rsidR="0005341A">
        <w:t>.  О</w:t>
      </w:r>
      <w:r>
        <w:t>рганизация также является стороной неаннулируемых договор на оказание услуг общей стоимостью 1,5 млн шв. франков.</w:t>
      </w:r>
    </w:p>
    <w:p w:rsidR="009A638E" w:rsidRPr="007D02E7" w:rsidRDefault="009A638E" w:rsidP="007C6D77">
      <w:pPr>
        <w:pStyle w:val="Style3"/>
        <w:spacing w:after="0"/>
        <w:rPr>
          <w:szCs w:val="22"/>
        </w:rPr>
      </w:pPr>
    </w:p>
    <w:p w:rsidR="000A5D17" w:rsidRPr="001E09BE" w:rsidRDefault="005F29A3" w:rsidP="009A7CC8">
      <w:pPr>
        <w:pStyle w:val="style30"/>
        <w:spacing w:after="0"/>
      </w:pPr>
      <w:r>
        <w:t>ВОИС является организацией-партнером в Международном вычислительном центре (МВЦ), межведомственном учреждении, созданном для оказания услуг в области информационных технологий</w:t>
      </w:r>
      <w:r w:rsidR="006B1BEC">
        <w:t>.  В</w:t>
      </w:r>
      <w:r>
        <w:t xml:space="preserve"> соответствии с мандатом МВЦ организации – партнеры ответственны за их доли определенных обязательств, </w:t>
      </w:r>
      <w:r w:rsidR="001E09BE">
        <w:t>вытекающих из деятельности МВЦ.</w:t>
      </w:r>
    </w:p>
    <w:p w:rsidR="000A5D17" w:rsidRDefault="000A5D17" w:rsidP="009A7CC8">
      <w:pPr>
        <w:pStyle w:val="style30"/>
        <w:spacing w:after="0"/>
      </w:pPr>
    </w:p>
    <w:p w:rsidR="00D602C9" w:rsidRPr="007E5C52" w:rsidRDefault="005F29A3" w:rsidP="009A7CC8">
      <w:pPr>
        <w:pStyle w:val="style30"/>
        <w:spacing w:after="0"/>
      </w:pPr>
      <w:r>
        <w:t>ВОИС несет договорные обязательства по нерасторжимым договорам аренды</w:t>
      </w:r>
      <w:r w:rsidR="006B1BEC">
        <w:t>.  Б</w:t>
      </w:r>
      <w:r>
        <w:t>олее подробная информация содержится в примечании 19.</w:t>
      </w:r>
    </w:p>
    <w:p w:rsidR="00513F6A" w:rsidRPr="00D602C9" w:rsidRDefault="00513F6A" w:rsidP="00D602C9">
      <w:pPr>
        <w:pStyle w:val="Style3"/>
        <w:spacing w:after="0"/>
        <w:rPr>
          <w:rFonts w:cs="Arial"/>
          <w:szCs w:val="22"/>
        </w:rPr>
      </w:pPr>
    </w:p>
    <w:p w:rsidR="00EA3B36" w:rsidRPr="006D0C30" w:rsidRDefault="005F29A3" w:rsidP="004E7EB2">
      <w:pPr>
        <w:pStyle w:val="StyleHeading211ptNotBoldNotItalicAllcaps"/>
        <w:spacing w:before="0" w:after="0"/>
        <w:rPr>
          <w:szCs w:val="22"/>
        </w:rPr>
      </w:pPr>
      <w:r w:rsidRPr="001311AA">
        <w:t>Примечание</w:t>
      </w:r>
      <w:r w:rsidR="001311AA" w:rsidRPr="001311AA">
        <w:t> </w:t>
      </w:r>
      <w:r w:rsidRPr="001311AA">
        <w:t>1</w:t>
      </w:r>
      <w:r>
        <w:t>9:</w:t>
      </w:r>
      <w:r>
        <w:tab/>
        <w:t>Договоры аренды</w:t>
      </w:r>
    </w:p>
    <w:p w:rsidR="00C10E18" w:rsidRDefault="00C10E18" w:rsidP="004E7EB2">
      <w:pPr>
        <w:jc w:val="both"/>
        <w:rPr>
          <w:rFonts w:ascii="Arial" w:hAnsi="Arial" w:cs="Arial"/>
          <w:b/>
          <w:sz w:val="22"/>
          <w:szCs w:val="22"/>
        </w:rPr>
      </w:pPr>
    </w:p>
    <w:p w:rsidR="00601F0D" w:rsidRPr="00601F0D" w:rsidRDefault="005F29A3" w:rsidP="004E7EB2">
      <w:pPr>
        <w:jc w:val="both"/>
        <w:rPr>
          <w:rFonts w:ascii="Arial" w:hAnsi="Arial" w:cs="Arial"/>
          <w:b/>
          <w:i/>
          <w:sz w:val="22"/>
          <w:szCs w:val="22"/>
        </w:rPr>
      </w:pPr>
      <w:r>
        <w:rPr>
          <w:rFonts w:ascii="Arial" w:hAnsi="Arial"/>
          <w:b/>
          <w:i/>
          <w:sz w:val="22"/>
        </w:rPr>
        <w:t>ВОИС как арендатор</w:t>
      </w:r>
    </w:p>
    <w:p w:rsidR="00740763" w:rsidRDefault="005F29A3" w:rsidP="007C6D77">
      <w:pPr>
        <w:pStyle w:val="Style3"/>
        <w:spacing w:after="0"/>
      </w:pPr>
      <w:r>
        <w:t>Организация имеет целый ряд договоров об аренде дополнительных служебных помещений, складских помещений и специализированных объектов в Женеве</w:t>
      </w:r>
      <w:r w:rsidR="0005341A">
        <w:t>.  К</w:t>
      </w:r>
      <w:r>
        <w:t>роме того, Организация арендует помещения для своих внешних бюро в Нью-Йорке, Рио-де-Жанейро и Токио</w:t>
      </w:r>
      <w:r w:rsidR="0005341A">
        <w:t>.  Н</w:t>
      </w:r>
      <w:r>
        <w:t>иже представлены данные о минимальных будущих поступлениях по неаннулируемым договорам аренды:</w:t>
      </w:r>
    </w:p>
    <w:p w:rsidR="00E60658" w:rsidRPr="009A7CC8" w:rsidRDefault="00E60658" w:rsidP="007C6D77">
      <w:pPr>
        <w:pStyle w:val="Style3"/>
        <w:spacing w:after="0"/>
        <w:rPr>
          <w:rFonts w:cs="Arial"/>
          <w:szCs w:val="22"/>
        </w:rPr>
      </w:pPr>
    </w:p>
    <w:p w:rsidR="00C10E18" w:rsidRPr="00966D11" w:rsidRDefault="00691AE7" w:rsidP="00E60658">
      <w:pPr>
        <w:pStyle w:val="Style3"/>
        <w:spacing w:after="0"/>
        <w:jc w:val="center"/>
      </w:pPr>
      <w:r>
        <w:rPr>
          <w:noProof/>
          <w:lang w:val="en-US" w:eastAsia="en-US"/>
        </w:rPr>
        <w:lastRenderedPageBreak/>
        <w:drawing>
          <wp:inline distT="0" distB="0" distL="0" distR="0">
            <wp:extent cx="5977255" cy="1442131"/>
            <wp:effectExtent l="0" t="0" r="4445" b="571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977255" cy="1442131"/>
                    </a:xfrm>
                    <a:prstGeom prst="rect">
                      <a:avLst/>
                    </a:prstGeom>
                    <a:noFill/>
                    <a:ln>
                      <a:noFill/>
                    </a:ln>
                  </pic:spPr>
                </pic:pic>
              </a:graphicData>
            </a:graphic>
          </wp:inline>
        </w:drawing>
      </w:r>
    </w:p>
    <w:p w:rsidR="003B5F73" w:rsidRDefault="003B5F73" w:rsidP="00480EF6">
      <w:pPr>
        <w:pStyle w:val="Style3"/>
        <w:spacing w:after="0"/>
        <w:jc w:val="center"/>
        <w:rPr>
          <w:rFonts w:ascii="Times New Roman" w:hAnsi="Times New Roman"/>
          <w:sz w:val="20"/>
        </w:rPr>
      </w:pPr>
    </w:p>
    <w:p w:rsidR="00CF2237" w:rsidRDefault="005F29A3" w:rsidP="00901633">
      <w:pPr>
        <w:pStyle w:val="Style3"/>
        <w:spacing w:after="0"/>
      </w:pPr>
      <w:r>
        <w:t>Организация также заключила с Фондом международного центра Женевы (FCIG) договор аренды здания</w:t>
      </w:r>
      <w:r w:rsidR="0005341A">
        <w:t>.  П</w:t>
      </w:r>
      <w:r>
        <w:t>одробная информация об условиях этого договора, включая размер будущих арендных платежей, приводится отдельно в примечании 10.</w:t>
      </w:r>
    </w:p>
    <w:p w:rsidR="00CF2237" w:rsidRDefault="00CF2237" w:rsidP="00901633">
      <w:pPr>
        <w:pStyle w:val="Style3"/>
        <w:spacing w:after="0"/>
      </w:pPr>
    </w:p>
    <w:p w:rsidR="002947B5" w:rsidRDefault="005F29A3" w:rsidP="00901633">
      <w:pPr>
        <w:pStyle w:val="Style3"/>
        <w:spacing w:after="0"/>
      </w:pPr>
      <w:r>
        <w:t>На отчетную дату Организация не имела текущей задолженности по аренде, квалифицируемой в качестве аренды активов</w:t>
      </w:r>
      <w:r w:rsidR="0005341A">
        <w:t>.  О</w:t>
      </w:r>
      <w:r>
        <w:t>бщая сумма арендных платежей, признанных в качестве расходов в отчетный период, составила 1,9 млн шв. франков [2,0 млн шв. франков в 2013 г.].</w:t>
      </w:r>
    </w:p>
    <w:p w:rsidR="00175D93" w:rsidRDefault="00175D93" w:rsidP="00901633">
      <w:pPr>
        <w:pStyle w:val="Style3"/>
        <w:spacing w:after="0"/>
      </w:pPr>
    </w:p>
    <w:p w:rsidR="00175D93" w:rsidRDefault="005F29A3" w:rsidP="00901633">
      <w:pPr>
        <w:pStyle w:val="Style3"/>
        <w:spacing w:after="0"/>
        <w:rPr>
          <w:b/>
          <w:i/>
        </w:rPr>
      </w:pPr>
      <w:r>
        <w:rPr>
          <w:b/>
          <w:i/>
        </w:rPr>
        <w:t>ВОИС как арендодатель</w:t>
      </w:r>
    </w:p>
    <w:p w:rsidR="00175D93" w:rsidRPr="001E09BE" w:rsidRDefault="005F29A3" w:rsidP="00901633">
      <w:pPr>
        <w:pStyle w:val="Style3"/>
        <w:spacing w:after="0"/>
      </w:pPr>
      <w:r>
        <w:t>Организация заключила несколько соглашений, по которым она сдает площади в и на зданиях штаб-квартиры третьим сторонам</w:t>
      </w:r>
      <w:r w:rsidR="006B1BEC">
        <w:t>.  В</w:t>
      </w:r>
      <w:r>
        <w:t>се эти договоры об аренде могут быть расторгнуты Организацией при условии направления уведомления в сроки, предусмотренные договорами</w:t>
      </w:r>
      <w:r w:rsidR="0005341A">
        <w:t>.  О</w:t>
      </w:r>
      <w:r>
        <w:t>бщая сумма арендных поступлений по этим соглашениям в отчетный период составила 0,6 млн шв. франков [0,6 млн шв. франков в 2013 г.]</w:t>
      </w:r>
      <w:r w:rsidR="0005341A">
        <w:t>.  О</w:t>
      </w:r>
      <w:r>
        <w:t>рганизация также сдает в аренду квартиры, парковочные места и другие объекты в здании Мадридского союза</w:t>
      </w:r>
      <w:r w:rsidR="0005341A">
        <w:t>.  И</w:t>
      </w:r>
      <w:r>
        <w:t>нформация о стоимости неаннулируемых договоров аренды и доходах от аренды помещений в здании Мадридского с</w:t>
      </w:r>
      <w:r w:rsidR="001E09BE">
        <w:t>оюза приводится в примечании 7.</w:t>
      </w:r>
    </w:p>
    <w:p w:rsidR="00360183" w:rsidRDefault="00360183" w:rsidP="00901633">
      <w:pPr>
        <w:pStyle w:val="StyleHeading211ptNotBoldNotItalicAllcaps"/>
        <w:spacing w:before="0" w:after="0"/>
        <w:rPr>
          <w:szCs w:val="22"/>
        </w:rPr>
      </w:pPr>
    </w:p>
    <w:p w:rsidR="0070385A" w:rsidRPr="00901633" w:rsidRDefault="005F29A3" w:rsidP="00901633">
      <w:pPr>
        <w:pStyle w:val="StyleHeading211ptNotBoldNotItalicAllcaps"/>
        <w:spacing w:before="0" w:after="0"/>
        <w:rPr>
          <w:szCs w:val="22"/>
        </w:rPr>
      </w:pPr>
      <w:r w:rsidRPr="001311AA">
        <w:t>Примечание</w:t>
      </w:r>
      <w:r w:rsidR="001311AA" w:rsidRPr="001311AA">
        <w:t> </w:t>
      </w:r>
      <w:r w:rsidRPr="001311AA">
        <w:t>2</w:t>
      </w:r>
      <w:r>
        <w:t>0:</w:t>
      </w:r>
      <w:r>
        <w:tab/>
        <w:t>Операции с третьими лицами</w:t>
      </w:r>
    </w:p>
    <w:p w:rsidR="0070385A" w:rsidRPr="00901633" w:rsidRDefault="0070385A" w:rsidP="00901633">
      <w:pPr>
        <w:jc w:val="both"/>
        <w:rPr>
          <w:rFonts w:ascii="Arial" w:hAnsi="Arial" w:cs="Arial"/>
          <w:b/>
          <w:sz w:val="22"/>
          <w:szCs w:val="22"/>
        </w:rPr>
      </w:pPr>
    </w:p>
    <w:p w:rsidR="00A47EA1" w:rsidRPr="00634ABD" w:rsidRDefault="005F29A3" w:rsidP="007C6D77">
      <w:pPr>
        <w:pStyle w:val="Style3"/>
        <w:spacing w:after="0"/>
      </w:pPr>
      <w:r>
        <w:t>Общее руководство Организацией осуществляется Ассамблеей ВОИС, состоящей из представителей всех государств-членов</w:t>
      </w:r>
      <w:r w:rsidR="0005341A">
        <w:t>.  О</w:t>
      </w:r>
      <w:r>
        <w:t>ни не получают вознаграждения от Организации</w:t>
      </w:r>
      <w:r w:rsidR="0005341A">
        <w:t>.  О</w:t>
      </w:r>
      <w:r>
        <w:t>рганизация управляется Генеральным директором и заместителями и помощниками Генерального директора и сотрудниками (руководители высшего звена), которые получают вознаграждение от Организации</w:t>
      </w:r>
      <w:r w:rsidR="0005341A">
        <w:t>.  С</w:t>
      </w:r>
      <w:r>
        <w:t>овокупное вознаграждение, выплачиваемое руководителям высшего звена, включает оклад, надбавки, оплату служебных командировок и другие пособия, выплачиваемые в соответствии с Правилами и положениями о персонале и применимые ко всем сотрудникам</w:t>
      </w:r>
      <w:r w:rsidR="0005341A">
        <w:t>.  К</w:t>
      </w:r>
      <w:r>
        <w:t>роме того, Генеральный директор, заместители и помощники получают надбавки на выполнение представительских функций</w:t>
      </w:r>
      <w:r w:rsidR="0005341A">
        <w:t>.  Р</w:t>
      </w:r>
      <w:r>
        <w:t>уководители высшего звена участвуют в ОПФПООН, в который свои взносы осуществляют и сотрудники, и Организация;  кроме того, они вправе участвовать в системе медицинского страхования персонала, в том числе в системе медицинского страхования после прекращения службы, если они отвечают соответствующим критериям</w:t>
      </w:r>
      <w:r w:rsidR="0005341A">
        <w:t>.  О</w:t>
      </w:r>
      <w:r>
        <w:t>рганизация не участвует в капитале каких бы то ни было обществ или совместных предприятий и не имеет подконтрольных предприятий</w:t>
      </w:r>
      <w:r w:rsidR="006B1BEC">
        <w:t>.  В</w:t>
      </w:r>
      <w:r>
        <w:t>ОИС является участницей ОПФПООН, и некоторые из ее бывших сотрудников участвуют в Закрытом пенсионном фонде ВОИС (CROMPI)</w:t>
      </w:r>
      <w:r w:rsidR="006B1BEC">
        <w:t>.  В</w:t>
      </w:r>
      <w:r>
        <w:t>заимоотношения с этими двумя фондами деталь</w:t>
      </w:r>
      <w:r w:rsidR="001E09BE">
        <w:t>но объясняются в примечании 12.</w:t>
      </w:r>
    </w:p>
    <w:p w:rsidR="00A47EA1" w:rsidRDefault="00A47EA1" w:rsidP="007C6D77">
      <w:pPr>
        <w:pStyle w:val="Style3"/>
        <w:spacing w:after="0"/>
      </w:pPr>
    </w:p>
    <w:p w:rsidR="00672B09" w:rsidRPr="001E09BE" w:rsidRDefault="005F29A3" w:rsidP="007C6D77">
      <w:pPr>
        <w:pStyle w:val="Style3"/>
        <w:spacing w:after="0"/>
      </w:pPr>
      <w:r>
        <w:t>Организация поддерживает определенные отношения с Международным союзом по охране новых сортов растений (УПОВ), в рамках которых Генеральный директор Организации исполняет обязанности Генерального секретаря УПОВ</w:t>
      </w:r>
      <w:r w:rsidR="0005341A">
        <w:t>.  О</w:t>
      </w:r>
      <w:r>
        <w:t xml:space="preserve">рганизация отвечает за предоставление служебных помещений, административное управление персоналом, финансы, закупочную деятельность и оказание другой административной </w:t>
      </w:r>
      <w:r>
        <w:lastRenderedPageBreak/>
        <w:t>поддержки УПОВ в соответствии с условиями соглашения, заключенного между Организацией и УПОВ 26 ноября 1982 г</w:t>
      </w:r>
      <w:r w:rsidR="0005341A">
        <w:t>.  П</w:t>
      </w:r>
      <w:r>
        <w:t>о условиям указанного соглашения, УПОВ возмещает Организации расходы по оказанию таких услуг</w:t>
      </w:r>
      <w:r w:rsidR="0005341A">
        <w:t>.  С</w:t>
      </w:r>
      <w:r>
        <w:t>овет УПОВ, являющийся руководящим органом УПОВ, состоит из представителей договаривающихся сторон Международной конвенции по охране новых сортов растений от 2 декабря 1961 г</w:t>
      </w:r>
      <w:r w:rsidR="006B1BEC">
        <w:t>.  В</w:t>
      </w:r>
      <w:r>
        <w:t xml:space="preserve"> соответствии с Правилами и положениями УПОВ бюро УПОВ, состоящее из Генерального секретаря и персонала, осуществляет свои функции соверш</w:t>
      </w:r>
      <w:r w:rsidR="001E09BE">
        <w:t>енно независимо от Организации.</w:t>
      </w:r>
    </w:p>
    <w:p w:rsidR="00672B09" w:rsidRDefault="00672B09" w:rsidP="007C6D77">
      <w:pPr>
        <w:pStyle w:val="Style3"/>
        <w:spacing w:after="0"/>
      </w:pPr>
    </w:p>
    <w:p w:rsidR="0070385A" w:rsidRPr="007E5C52" w:rsidRDefault="005F29A3" w:rsidP="007C6D77">
      <w:pPr>
        <w:pStyle w:val="Style3"/>
        <w:spacing w:after="0"/>
      </w:pPr>
      <w:r>
        <w:t xml:space="preserve">Помимо возвращения всех средств, предоставленных Организацией УПОВ, Организация ежегодно получает от УПОВ 618 тыс. </w:t>
      </w:r>
      <w:r w:rsidRPr="001311AA">
        <w:t>шв.</w:t>
      </w:r>
      <w:r w:rsidR="001311AA" w:rsidRPr="001311AA">
        <w:t> </w:t>
      </w:r>
      <w:r w:rsidRPr="001311AA">
        <w:t>франков</w:t>
      </w:r>
      <w:r>
        <w:t xml:space="preserve"> в счет оплаты услуг, предоставленных по соглашению между двумя организациями</w:t>
      </w:r>
      <w:r w:rsidR="0005341A">
        <w:t>.  Н</w:t>
      </w:r>
      <w:r>
        <w:t>икаких других существенных операций с ассоциированными сторонами в 2014 г. не осуществлялось.</w:t>
      </w:r>
    </w:p>
    <w:p w:rsidR="006C7438" w:rsidRPr="007E5C52" w:rsidRDefault="006C7438" w:rsidP="007C6D77">
      <w:pPr>
        <w:pStyle w:val="Style3"/>
        <w:spacing w:after="0"/>
      </w:pPr>
    </w:p>
    <w:p w:rsidR="006C7438" w:rsidRDefault="005F29A3" w:rsidP="007C6D77">
      <w:pPr>
        <w:pStyle w:val="Style3"/>
        <w:spacing w:after="0"/>
      </w:pPr>
      <w:r>
        <w:t>Информация о ключевых руководящих сотрудниках и их совокупном вознаграждении приведена в таблице ниже</w:t>
      </w:r>
      <w:r w:rsidR="0005341A">
        <w:t>.  Н</w:t>
      </w:r>
      <w:r>
        <w:t>и руководителям высшего звена, ни их ближайшим родственникам не предоставлялись никакие кредиты, которые недоступны для других категорий сотрудников</w:t>
      </w:r>
      <w:r w:rsidR="0005341A">
        <w:t>.  Н</w:t>
      </w:r>
      <w:r>
        <w:t>и руководителям высшего звена, ни их ближайшим родственникам не выплачивалось никакого другого вознаграждения или компенсации.</w:t>
      </w:r>
    </w:p>
    <w:p w:rsidR="001F39EC" w:rsidRDefault="001F39EC" w:rsidP="004E1BD4">
      <w:pPr>
        <w:pStyle w:val="Style3"/>
        <w:spacing w:after="0"/>
        <w:rPr>
          <w:szCs w:val="22"/>
        </w:rPr>
      </w:pPr>
    </w:p>
    <w:p w:rsidR="006C7438" w:rsidRDefault="00691AE7" w:rsidP="00937AC9">
      <w:pPr>
        <w:pStyle w:val="Style3"/>
        <w:spacing w:after="0"/>
        <w:jc w:val="center"/>
      </w:pPr>
      <w:r>
        <w:rPr>
          <w:noProof/>
          <w:lang w:val="en-US" w:eastAsia="en-US"/>
        </w:rPr>
        <w:drawing>
          <wp:inline distT="0" distB="0" distL="0" distR="0">
            <wp:extent cx="5876925" cy="1571625"/>
            <wp:effectExtent l="0" t="0" r="9525"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876925" cy="1571625"/>
                    </a:xfrm>
                    <a:prstGeom prst="rect">
                      <a:avLst/>
                    </a:prstGeom>
                    <a:noFill/>
                    <a:ln>
                      <a:noFill/>
                    </a:ln>
                  </pic:spPr>
                </pic:pic>
              </a:graphicData>
            </a:graphic>
          </wp:inline>
        </w:drawing>
      </w:r>
    </w:p>
    <w:p w:rsidR="00937AC9" w:rsidRDefault="00937AC9" w:rsidP="00937AC9">
      <w:pPr>
        <w:pStyle w:val="Style3"/>
        <w:spacing w:after="0"/>
        <w:jc w:val="center"/>
        <w:rPr>
          <w:lang w:val="en-US"/>
        </w:rPr>
      </w:pPr>
    </w:p>
    <w:p w:rsidR="00691AE7" w:rsidRPr="00691AE7" w:rsidRDefault="00691AE7" w:rsidP="00937AC9">
      <w:pPr>
        <w:pStyle w:val="Style3"/>
        <w:spacing w:after="0"/>
        <w:jc w:val="center"/>
        <w:rPr>
          <w:lang w:val="en-US"/>
        </w:rPr>
      </w:pPr>
    </w:p>
    <w:p w:rsidR="004F5F0C" w:rsidRPr="006D0C30" w:rsidRDefault="005F29A3" w:rsidP="006D0C30">
      <w:pPr>
        <w:pStyle w:val="StyleHeading211ptNotBoldNotItalicAllcaps"/>
        <w:spacing w:before="0" w:after="0"/>
        <w:rPr>
          <w:szCs w:val="22"/>
        </w:rPr>
      </w:pPr>
      <w:r w:rsidRPr="001311AA">
        <w:t>Примечание</w:t>
      </w:r>
      <w:r w:rsidR="001311AA" w:rsidRPr="001311AA">
        <w:t> </w:t>
      </w:r>
      <w:r w:rsidRPr="001311AA">
        <w:t>2</w:t>
      </w:r>
      <w:r>
        <w:t>1:</w:t>
      </w:r>
      <w:r>
        <w:tab/>
        <w:t>Резервы и остаток средств</w:t>
      </w:r>
    </w:p>
    <w:p w:rsidR="002921C8" w:rsidRDefault="002921C8" w:rsidP="00BB447D">
      <w:pPr>
        <w:pStyle w:val="STYLEDUTEXTE"/>
      </w:pPr>
    </w:p>
    <w:p w:rsidR="003B5F73" w:rsidRPr="00691AE7" w:rsidRDefault="00691AE7" w:rsidP="00CC7A73">
      <w:pPr>
        <w:pStyle w:val="STYLEDUTEXTE"/>
        <w:jc w:val="center"/>
        <w:rPr>
          <w:rFonts w:ascii="Times New Roman" w:hAnsi="Times New Roman"/>
          <w:sz w:val="20"/>
        </w:rPr>
      </w:pPr>
      <w:r>
        <w:rPr>
          <w:rFonts w:ascii="Times New Roman" w:hAnsi="Times New Roman"/>
          <w:noProof/>
          <w:sz w:val="20"/>
          <w:lang w:val="en-US" w:eastAsia="en-US"/>
        </w:rPr>
        <w:drawing>
          <wp:inline distT="0" distB="0" distL="0" distR="0">
            <wp:extent cx="5977255" cy="2726061"/>
            <wp:effectExtent l="0" t="0" r="444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977255" cy="2726061"/>
                    </a:xfrm>
                    <a:prstGeom prst="rect">
                      <a:avLst/>
                    </a:prstGeom>
                    <a:noFill/>
                    <a:ln>
                      <a:noFill/>
                    </a:ln>
                  </pic:spPr>
                </pic:pic>
              </a:graphicData>
            </a:graphic>
          </wp:inline>
        </w:drawing>
      </w:r>
    </w:p>
    <w:p w:rsidR="002B72F6" w:rsidRPr="001E09BE" w:rsidRDefault="005F29A3" w:rsidP="002B72F6">
      <w:pPr>
        <w:pStyle w:val="STYLEDUTEXTE"/>
      </w:pPr>
      <w:r>
        <w:t>Остаток средств Организации представляет собой накопленный чистый результат операций за 20</w:t>
      </w:r>
      <w:r w:rsidR="001E09BE">
        <w:t>14 г. и предшествующие периоды.</w:t>
      </w:r>
    </w:p>
    <w:p w:rsidR="00961A56" w:rsidRDefault="00961A56" w:rsidP="002B72F6">
      <w:pPr>
        <w:pStyle w:val="STYLEDUTEXTE"/>
      </w:pPr>
    </w:p>
    <w:p w:rsidR="007D6391" w:rsidRPr="001E09BE" w:rsidRDefault="005F29A3" w:rsidP="00BB447D">
      <w:pPr>
        <w:pStyle w:val="STYLEDUTEXTE"/>
      </w:pPr>
      <w:r>
        <w:lastRenderedPageBreak/>
        <w:t>Резервы в виде доходов от переоценки включают результаты переоценки (из первоначальной стоимости в текущую рыночную стоимость) принадлежащей Организации земли, на которой построено новое административное здание</w:t>
      </w:r>
      <w:r w:rsidR="0005341A">
        <w:t>.  Р</w:t>
      </w:r>
      <w:r>
        <w:t>ыночная стоимость определена на основе независимой оценки</w:t>
      </w:r>
      <w:r w:rsidR="0005341A">
        <w:t>.  Р</w:t>
      </w:r>
      <w:r>
        <w:t>езервы включают фонды оборотных средств, учрежденные Ассамблеями государств-членов каждого из Союзов для обеспечения авансового финансирования ассигнований в случае возникновения временн</w:t>
      </w:r>
      <w:r w:rsidR="001E09BE">
        <w:t>ого дефицита ликвидных средств.</w:t>
      </w:r>
    </w:p>
    <w:p w:rsidR="00513F6A" w:rsidRDefault="00513F6A" w:rsidP="007C6D77">
      <w:pPr>
        <w:jc w:val="both"/>
      </w:pPr>
    </w:p>
    <w:p w:rsidR="00BB5D88" w:rsidRPr="001E09BE" w:rsidRDefault="005F29A3" w:rsidP="00BB447D">
      <w:pPr>
        <w:pStyle w:val="STYLEDUTEXTE"/>
      </w:pPr>
      <w:r>
        <w:t>Капитал ВОИС состоит из накопленного остатка и фонда оборотных средств Организации, которые являются частью ее чистых активов</w:t>
      </w:r>
      <w:r w:rsidR="0005341A">
        <w:t>.  У</w:t>
      </w:r>
      <w:r>
        <w:t>правление капиталом осуществляется в соответствии с политикой в отношении резервов и принципами использования резервов, принятыми Ассамблеями государств-членов ВОИС на 48-й серии их заседаний в 2010 г. [A/48/9]</w:t>
      </w:r>
      <w:r w:rsidR="006B1BEC">
        <w:t>.  В</w:t>
      </w:r>
      <w:r>
        <w:t xml:space="preserve"> политике установлен целевой уровень накопленного остатка, равный определенной процентной доле сметных расходов на двухлетний период каждого Союза, составляющего Организацию</w:t>
      </w:r>
      <w:r w:rsidR="0005341A">
        <w:t>.  К</w:t>
      </w:r>
      <w:r>
        <w:t>роме того, в каждом договоре о соответствующем Союзе установлен уровень фонда оборотных средств</w:t>
      </w:r>
      <w:r w:rsidR="0005341A">
        <w:t>.  С</w:t>
      </w:r>
      <w:r>
        <w:t>редства, равные целевому уровню накопленного остатка и фонда оборотных средств, резервируются для целей поддержания достаточного уровня ликвидности и покрытия операционного дефицита в случае его возникновения</w:t>
      </w:r>
      <w:r w:rsidR="0005341A">
        <w:t>.  С</w:t>
      </w:r>
      <w:r>
        <w:t>редства, превышающие целевой уровень накопленного остатка, могут быть использованы Ассамблеями для инвестиций в модернизацию или решения других приоритетных задач в соответствии с политикой в отношении резер</w:t>
      </w:r>
      <w:r w:rsidR="001E09BE">
        <w:t>вов, принятой Ассамблеями ВОИС.</w:t>
      </w:r>
    </w:p>
    <w:p w:rsidR="00BB5D88" w:rsidRPr="00B531AD" w:rsidRDefault="00BB5D88" w:rsidP="00BB447D">
      <w:pPr>
        <w:pStyle w:val="STYLEDUTEXTE"/>
      </w:pPr>
    </w:p>
    <w:p w:rsidR="00C315D9" w:rsidRDefault="005F29A3" w:rsidP="00BB447D">
      <w:pPr>
        <w:pStyle w:val="STYLEDUTEXTE"/>
        <w:rPr>
          <w:rFonts w:cs="Arial"/>
          <w:szCs w:val="22"/>
        </w:rPr>
      </w:pPr>
      <w:r>
        <w:t>По состоянию на 3</w:t>
      </w:r>
      <w:r w:rsidRPr="001311AA">
        <w:t>1</w:t>
      </w:r>
      <w:r w:rsidR="001311AA" w:rsidRPr="001311AA">
        <w:t> </w:t>
      </w:r>
      <w:r w:rsidRPr="001311AA">
        <w:t>декабря</w:t>
      </w:r>
      <w:r>
        <w:t xml:space="preserve"> 201</w:t>
      </w:r>
      <w:r w:rsidRPr="001311AA">
        <w:t>4</w:t>
      </w:r>
      <w:r w:rsidR="001311AA" w:rsidRPr="001311AA">
        <w:t> </w:t>
      </w:r>
      <w:r w:rsidRPr="001311AA">
        <w:t>г.</w:t>
      </w:r>
      <w:r>
        <w:t xml:space="preserve"> накопленный остаток включал средства, утвержденные для использования в рамках проектов в соответствии с действующей политикой</w:t>
      </w:r>
      <w:r w:rsidR="0005341A">
        <w:t>.  О</w:t>
      </w:r>
      <w:r>
        <w:t>статок средств по утвержденным специальным проектам на отчетную дату составляет 25,6 млн шв. франков</w:t>
      </w:r>
      <w:r w:rsidR="0005341A">
        <w:t>.  О</w:t>
      </w:r>
      <w:r>
        <w:t>статок средств по элементам Повестки дня в области развития, финансируемым из резервов, на отчетную дату составляет 1,0 млн шв. франков</w:t>
      </w:r>
      <w:r w:rsidR="0005341A">
        <w:t>.  К</w:t>
      </w:r>
      <w:r>
        <w:t>роме того, целесообразно отметить, что на 31 декабря 2014 г. на балансе статьи «проекты по строительству зданий» оставалось 0,6 млн шв. франков</w:t>
      </w:r>
      <w:r w:rsidR="0005341A">
        <w:t>.  Р</w:t>
      </w:r>
      <w:r>
        <w:t>еализация этих проектов строительства не отражается на уровне чистых активов на протяжении процесса строительства, поскольку понесенные расходы капитализируются по статье «текущие работы»</w:t>
      </w:r>
      <w:r w:rsidR="006B1BEC">
        <w:t>.  В</w:t>
      </w:r>
      <w:r>
        <w:t xml:space="preserve"> статье ниже приводится подробная информация о проектах, финансируемых из резервов, а также о чистых расходах за год:</w:t>
      </w:r>
    </w:p>
    <w:p w:rsidR="00774FFF" w:rsidRDefault="00774FFF" w:rsidP="00BB447D">
      <w:pPr>
        <w:pStyle w:val="STYLEDUTEXTE"/>
        <w:rPr>
          <w:rFonts w:cs="Arial"/>
          <w:szCs w:val="22"/>
        </w:rPr>
      </w:pPr>
    </w:p>
    <w:p w:rsidR="00774FFF" w:rsidRPr="00B531AD" w:rsidRDefault="00691AE7" w:rsidP="001528AF">
      <w:pPr>
        <w:pStyle w:val="STYLEDUTEXTE"/>
        <w:jc w:val="center"/>
      </w:pPr>
      <w:r>
        <w:rPr>
          <w:noProof/>
          <w:lang w:val="en-US" w:eastAsia="en-US"/>
        </w:rPr>
        <w:lastRenderedPageBreak/>
        <w:drawing>
          <wp:inline distT="0" distB="0" distL="0" distR="0">
            <wp:extent cx="5977255" cy="5328014"/>
            <wp:effectExtent l="0" t="0" r="4445" b="635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977255" cy="5328014"/>
                    </a:xfrm>
                    <a:prstGeom prst="rect">
                      <a:avLst/>
                    </a:prstGeom>
                    <a:noFill/>
                    <a:ln>
                      <a:noFill/>
                    </a:ln>
                  </pic:spPr>
                </pic:pic>
              </a:graphicData>
            </a:graphic>
          </wp:inline>
        </w:drawing>
      </w:r>
    </w:p>
    <w:p w:rsidR="00F50EC2" w:rsidRDefault="00F50EC2" w:rsidP="003A70ED">
      <w:pPr>
        <w:pStyle w:val="StyleHeading211ptNotBoldNotItalicAllcaps"/>
        <w:spacing w:before="0" w:after="0"/>
        <w:rPr>
          <w:szCs w:val="22"/>
        </w:rPr>
      </w:pPr>
    </w:p>
    <w:p w:rsidR="00373121" w:rsidRPr="006D0C30" w:rsidRDefault="005F29A3" w:rsidP="003A70ED">
      <w:pPr>
        <w:pStyle w:val="StyleHeading211ptNotBoldNotItalicAllcaps"/>
        <w:spacing w:before="0" w:after="0"/>
        <w:rPr>
          <w:szCs w:val="22"/>
        </w:rPr>
      </w:pPr>
      <w:r w:rsidRPr="001311AA">
        <w:t>Примечание</w:t>
      </w:r>
      <w:r w:rsidR="001311AA" w:rsidRPr="001311AA">
        <w:t> </w:t>
      </w:r>
      <w:r w:rsidRPr="001311AA">
        <w:t>2</w:t>
      </w:r>
      <w:r>
        <w:t>2:</w:t>
      </w:r>
      <w:r>
        <w:tab/>
        <w:t>Сверка Отчета о сравнении бюджетных и фактических сумм и Отчета о финансовых результатах</w:t>
      </w:r>
    </w:p>
    <w:p w:rsidR="00373121" w:rsidRPr="006D0C30" w:rsidRDefault="00373121" w:rsidP="006D0C30">
      <w:pPr>
        <w:ind w:left="1191" w:hanging="1191"/>
        <w:jc w:val="both"/>
        <w:rPr>
          <w:rFonts w:ascii="Arial" w:hAnsi="Arial" w:cs="Arial"/>
          <w:sz w:val="22"/>
          <w:szCs w:val="22"/>
        </w:rPr>
      </w:pPr>
    </w:p>
    <w:p w:rsidR="00B22AB8" w:rsidRPr="008F7508" w:rsidRDefault="005F29A3" w:rsidP="00373121">
      <w:pPr>
        <w:pStyle w:val="STYLEDUTEXTE"/>
      </w:pPr>
      <w:r>
        <w:t>Программа и бюджет ВОИС составлены на основе модифицированного метода начисления в соответствии с Финансовыми положениями и правилами ВОИС и утверждены Ассамблеями государств-членов</w:t>
      </w:r>
      <w:r w:rsidR="006B1BEC">
        <w:t>.  В</w:t>
      </w:r>
      <w:r>
        <w:t xml:space="preserve"> Программе и бюджете на двухлетний период 2014–2015 гг. установлена  бюджетная смета на двухлетний период в 674,0 млн </w:t>
      </w:r>
      <w:r w:rsidRPr="001311AA">
        <w:t>шв.</w:t>
      </w:r>
      <w:r w:rsidR="001311AA" w:rsidRPr="001311AA">
        <w:t> </w:t>
      </w:r>
      <w:r w:rsidRPr="001311AA">
        <w:t>франков</w:t>
      </w:r>
      <w:r w:rsidR="0005341A">
        <w:t>.  Ч</w:t>
      </w:r>
      <w:r>
        <w:t>то касается 2014 г., первого года двухлетнего периода, то первоначальная и окончательная версия бюджетной сметы по доходам составила 351,3 млн шв. франков, а по расходам – 337,0 млн шв. франков</w:t>
      </w:r>
      <w:r w:rsidR="0005341A">
        <w:t>.  Ф</w:t>
      </w:r>
      <w:r>
        <w:t>актические доходы на первый из двух лет согласно модифицированному методу начисления составили 378,7 млн шв. франков</w:t>
      </w:r>
      <w:r w:rsidR="0005341A">
        <w:t>.  Ф</w:t>
      </w:r>
      <w:r>
        <w:t>актические расходы за первый год двухлетнего периода, исчисленные на основе модифицированного метода начисления, составили 308,8 млн шв. франков.</w:t>
      </w:r>
    </w:p>
    <w:p w:rsidR="00B22AB8" w:rsidRDefault="00B22AB8" w:rsidP="00373121">
      <w:pPr>
        <w:pStyle w:val="STYLEDUTEXTE"/>
      </w:pPr>
    </w:p>
    <w:p w:rsidR="00373121" w:rsidRPr="001E09BE" w:rsidRDefault="005F29A3" w:rsidP="00373121">
      <w:pPr>
        <w:pStyle w:val="STYLEDUTEXTE"/>
      </w:pPr>
      <w:r>
        <w:t>В отчете о реализации программы за 2014 г. дается объяснение как изменениям между первоначальным и окончательным бюджетом после переносов средств, так и существенным различиям между предусмотренными бюджетом и фактическими суммами</w:t>
      </w:r>
      <w:r w:rsidR="006B1BEC">
        <w:t>.  Б</w:t>
      </w:r>
      <w:r>
        <w:t>юджет и финансовая отчетность ВОИС составляются с использованием двух разных методов</w:t>
      </w:r>
      <w:r w:rsidR="0005341A">
        <w:t>.  О</w:t>
      </w:r>
      <w:r>
        <w:t xml:space="preserve">тчет о финансовом положении, отчет о финансовых результатах, отчет об изменениях в чистых активах и отчет о движении денежных средств составляются с </w:t>
      </w:r>
      <w:r>
        <w:lastRenderedPageBreak/>
        <w:t>помощью метода начисления в чистом виде, в то время как отчет о сравнении бюджетных и фактических сумм (ведомость V) составляется с помощью модифицированного метода н</w:t>
      </w:r>
      <w:r w:rsidR="001E09BE">
        <w:t>ачисления.</w:t>
      </w:r>
    </w:p>
    <w:p w:rsidR="007D37BD" w:rsidRPr="00FB4990" w:rsidRDefault="007D37BD" w:rsidP="00373121">
      <w:pPr>
        <w:pStyle w:val="STYLEDUTEXTE"/>
      </w:pPr>
    </w:p>
    <w:p w:rsidR="005D6354" w:rsidRDefault="005F29A3" w:rsidP="0061772D">
      <w:pPr>
        <w:pStyle w:val="STYLEDUTEXTE"/>
      </w:pPr>
      <w:r>
        <w:t>Согласно МСУГС-24 фактические суммы, представленные на сопоставимой базе в ведомости V, приводятся в соответствие с фактическими суммами, представленными в финансовых отчетах с указанием отдельно разницы в отношении базы, сроков и статей</w:t>
      </w:r>
      <w:r w:rsidR="006B1BEC">
        <w:t>.  Б</w:t>
      </w:r>
      <w:r>
        <w:t>юджет ВОИС принимается Ассамблеями на двухлетней основе, а для каждого из двух одногодичных периодов составляется отдельная смета</w:t>
      </w:r>
      <w:r w:rsidR="0005341A">
        <w:t>.  П</w:t>
      </w:r>
      <w:r>
        <w:t>о этой причине в отчетности отсутствует какая-либо разница в сроках</w:t>
      </w:r>
      <w:r w:rsidR="0005341A">
        <w:t>.  Р</w:t>
      </w:r>
      <w:r>
        <w:t>азница в отношении базы возникает тогда, когда утвержденный бюджет составляется иным методом, чем метод начисления в чистом виде</w:t>
      </w:r>
      <w:r w:rsidR="0005341A">
        <w:t>.  Р</w:t>
      </w:r>
      <w:r>
        <w:t>азница в отношении базы включается в амортизацию активов, полностью признанные ассигнования и доходы будущих периодов</w:t>
      </w:r>
      <w:r w:rsidR="0005341A">
        <w:t>.  Р</w:t>
      </w:r>
      <w:r>
        <w:t>азличия, обусловленные спецификой Организации, состоят во включении в финансовую отчетность ВОИС специальных счетов и проектов, финансируемых из резервов, которые не отражены в опубликованных программе и бюджете ВОИС</w:t>
      </w:r>
      <w:r w:rsidR="0005341A">
        <w:t>.  Р</w:t>
      </w:r>
      <w:r>
        <w:t>азница в отношении представления заключается в учете дохода от инвестиционной недвижимости в ведомости IV.</w:t>
      </w:r>
    </w:p>
    <w:p w:rsidR="0020173D" w:rsidRDefault="0020173D" w:rsidP="0061772D">
      <w:pPr>
        <w:pStyle w:val="STYLEDUTEXTE"/>
      </w:pPr>
    </w:p>
    <w:p w:rsidR="00A41E3E" w:rsidRPr="0046326A" w:rsidRDefault="00691AE7" w:rsidP="0046326A">
      <w:pPr>
        <w:pStyle w:val="STYLEDUTEXTE"/>
        <w:jc w:val="center"/>
        <w:rPr>
          <w:rFonts w:ascii="Times New Roman" w:hAnsi="Times New Roman"/>
          <w:sz w:val="20"/>
        </w:rPr>
      </w:pPr>
      <w:bookmarkStart w:id="20" w:name="RANGE!C6"/>
      <w:bookmarkEnd w:id="20"/>
      <w:r>
        <w:rPr>
          <w:rFonts w:ascii="Times New Roman" w:hAnsi="Times New Roman"/>
          <w:noProof/>
          <w:sz w:val="20"/>
          <w:lang w:val="en-US" w:eastAsia="en-US"/>
        </w:rPr>
        <w:drawing>
          <wp:inline distT="0" distB="0" distL="0" distR="0">
            <wp:extent cx="5977255" cy="3414416"/>
            <wp:effectExtent l="0" t="0" r="4445"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977255" cy="3414416"/>
                    </a:xfrm>
                    <a:prstGeom prst="rect">
                      <a:avLst/>
                    </a:prstGeom>
                    <a:noFill/>
                    <a:ln>
                      <a:noFill/>
                    </a:ln>
                  </pic:spPr>
                </pic:pic>
              </a:graphicData>
            </a:graphic>
          </wp:inline>
        </w:drawing>
      </w:r>
    </w:p>
    <w:p w:rsidR="00DF039C" w:rsidRDefault="005F29A3" w:rsidP="000B7D9E">
      <w:pPr>
        <w:pStyle w:val="StyleHeading211ptNotBoldNotItalicAllcaps"/>
        <w:spacing w:before="0" w:after="0"/>
      </w:pPr>
      <w:r w:rsidRPr="001311AA">
        <w:lastRenderedPageBreak/>
        <w:t>Примечание</w:t>
      </w:r>
      <w:r w:rsidR="001311AA" w:rsidRPr="001311AA">
        <w:t> </w:t>
      </w:r>
      <w:r w:rsidRPr="001311AA">
        <w:t>2</w:t>
      </w:r>
      <w:r>
        <w:t>3:   ДОХОДЫ</w:t>
      </w:r>
    </w:p>
    <w:p w:rsidR="003B5F73" w:rsidRDefault="003B5F73" w:rsidP="00804F03">
      <w:pPr>
        <w:pStyle w:val="StyleHeading211ptNotBoldNotItalicAllcaps"/>
        <w:spacing w:before="0" w:after="0"/>
        <w:rPr>
          <w:rFonts w:ascii="Times New Roman" w:hAnsi="Times New Roman" w:cs="Times New Roman"/>
          <w:b w:val="0"/>
          <w:caps w:val="0"/>
          <w:sz w:val="20"/>
          <w:szCs w:val="20"/>
        </w:rPr>
      </w:pPr>
    </w:p>
    <w:p w:rsidR="00804F03" w:rsidRPr="00804F03" w:rsidRDefault="00253DF5" w:rsidP="00480EF6">
      <w:pPr>
        <w:pStyle w:val="StyleHeading211ptNotBoldNotItalicAllcaps"/>
        <w:spacing w:before="0" w:after="0"/>
        <w:jc w:val="center"/>
      </w:pPr>
      <w:r>
        <w:rPr>
          <w:noProof/>
          <w:lang w:val="en-US" w:eastAsia="en-US"/>
        </w:rPr>
        <w:drawing>
          <wp:inline distT="0" distB="0" distL="0" distR="0">
            <wp:extent cx="5977255" cy="3460516"/>
            <wp:effectExtent l="0" t="0" r="4445"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977255" cy="3460516"/>
                    </a:xfrm>
                    <a:prstGeom prst="rect">
                      <a:avLst/>
                    </a:prstGeom>
                    <a:noFill/>
                    <a:ln>
                      <a:noFill/>
                    </a:ln>
                  </pic:spPr>
                </pic:pic>
              </a:graphicData>
            </a:graphic>
          </wp:inline>
        </w:drawing>
      </w:r>
    </w:p>
    <w:p w:rsidR="00373121" w:rsidRDefault="005F29A3" w:rsidP="000B7D9E">
      <w:pPr>
        <w:pStyle w:val="Styletexte"/>
        <w:keepNext/>
        <w:spacing w:after="0"/>
        <w:rPr>
          <w:rFonts w:cs="Arial"/>
          <w:szCs w:val="22"/>
        </w:rPr>
      </w:pPr>
      <w:r>
        <w:t>Суммы, указанные применительно к программе и бюджету, представляют собой фактические доходы, полученные Организацией по бюджету, принятому Ассамблеей</w:t>
      </w:r>
      <w:r w:rsidR="0005341A">
        <w:t>.  Д</w:t>
      </w:r>
      <w:r>
        <w:t>обровольные взносы представляют собой доходы, полученные в виде взносов доноров на цели осуществления отдельных проектов по специальным счетам, но они не включены в программу и бюджет.</w:t>
      </w:r>
    </w:p>
    <w:p w:rsidR="000B7D9E" w:rsidRPr="000B7D9E" w:rsidRDefault="000B7D9E" w:rsidP="000B7D9E">
      <w:pPr>
        <w:pStyle w:val="Styletexte"/>
        <w:keepNext/>
        <w:spacing w:after="0"/>
        <w:rPr>
          <w:rFonts w:cs="Arial"/>
          <w:szCs w:val="22"/>
        </w:rPr>
      </w:pPr>
    </w:p>
    <w:p w:rsidR="008D7FAD" w:rsidRPr="001E09BE" w:rsidRDefault="005F29A3" w:rsidP="000B7D9E">
      <w:pPr>
        <w:pStyle w:val="Styletexte"/>
        <w:spacing w:after="0"/>
        <w:rPr>
          <w:rFonts w:cs="Arial"/>
          <w:szCs w:val="22"/>
        </w:rPr>
      </w:pPr>
      <w:r>
        <w:t>Корректировки в соответствии с МСУГС в основном касаются доходов будущих периодов</w:t>
      </w:r>
      <w:r w:rsidR="0005341A">
        <w:t>.  Д</w:t>
      </w:r>
      <w:r>
        <w:t>оходы в виде добровольных взносов относятся к будущим периодам до тех пор, пока они не будут «заработаны» путем предоставления конкретных услуг, как это предусмотрено в плане ра</w:t>
      </w:r>
      <w:r w:rsidR="001E09BE">
        <w:t>боты, согласованном с донорами.</w:t>
      </w:r>
    </w:p>
    <w:p w:rsidR="008D7FAD" w:rsidRDefault="008D7FAD" w:rsidP="000B7D9E">
      <w:pPr>
        <w:pStyle w:val="Styletexte"/>
        <w:spacing w:after="0"/>
        <w:rPr>
          <w:rFonts w:cs="Arial"/>
          <w:szCs w:val="22"/>
        </w:rPr>
      </w:pPr>
    </w:p>
    <w:p w:rsidR="0094797E" w:rsidRDefault="005F29A3" w:rsidP="0094797E">
      <w:pPr>
        <w:pStyle w:val="Styletexte"/>
        <w:spacing w:after="0"/>
        <w:rPr>
          <w:rFonts w:cs="Arial"/>
          <w:szCs w:val="22"/>
        </w:rPr>
      </w:pPr>
      <w:r>
        <w:t>Доходы в виде пошлин РСТ, Мадридского союза и Гаагского союза относятся к будущим периодам до тех пор, пока они не будут «заработаны» путем публикации международной заявки в соответствии с правилами каждого из союзов.</w:t>
      </w:r>
    </w:p>
    <w:p w:rsidR="0094797E" w:rsidRDefault="0094797E" w:rsidP="0094797E">
      <w:pPr>
        <w:pStyle w:val="Styletexte"/>
        <w:spacing w:after="0"/>
      </w:pPr>
    </w:p>
    <w:p w:rsidR="0094797E" w:rsidRDefault="005F29A3" w:rsidP="0094797E">
      <w:pPr>
        <w:pStyle w:val="StyleHeading211ptNotBoldNotItalicAllcaps"/>
        <w:spacing w:before="0" w:after="0"/>
      </w:pPr>
      <w:r>
        <w:br w:type="page"/>
      </w:r>
      <w:r w:rsidRPr="001311AA">
        <w:lastRenderedPageBreak/>
        <w:t>Примечание</w:t>
      </w:r>
      <w:r w:rsidR="001311AA" w:rsidRPr="001311AA">
        <w:t> </w:t>
      </w:r>
      <w:r w:rsidRPr="001311AA">
        <w:t>2</w:t>
      </w:r>
      <w:r>
        <w:t>4:   РАСХОДЫ</w:t>
      </w:r>
    </w:p>
    <w:p w:rsidR="00373121" w:rsidRPr="000B7D9E" w:rsidRDefault="00373121" w:rsidP="000B7D9E">
      <w:pPr>
        <w:jc w:val="both"/>
        <w:rPr>
          <w:rFonts w:ascii="Arial" w:hAnsi="Arial" w:cs="Arial"/>
          <w:sz w:val="22"/>
          <w:szCs w:val="22"/>
        </w:rPr>
      </w:pPr>
    </w:p>
    <w:p w:rsidR="009E71B2" w:rsidRPr="008B718A" w:rsidRDefault="00253DF5" w:rsidP="005157F4">
      <w:pPr>
        <w:jc w:val="center"/>
        <w:rPr>
          <w:rFonts w:ascii="Arial" w:hAnsi="Arial" w:cs="Arial"/>
          <w:sz w:val="22"/>
          <w:szCs w:val="22"/>
        </w:rPr>
      </w:pPr>
      <w:r>
        <w:rPr>
          <w:rFonts w:ascii="Arial" w:hAnsi="Arial" w:cs="Arial"/>
          <w:noProof/>
          <w:sz w:val="22"/>
          <w:szCs w:val="22"/>
          <w:lang w:val="en-US" w:eastAsia="en-US"/>
        </w:rPr>
        <w:drawing>
          <wp:inline distT="0" distB="0" distL="0" distR="0">
            <wp:extent cx="5977255" cy="7241825"/>
            <wp:effectExtent l="0" t="0" r="4445"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977255" cy="7241825"/>
                    </a:xfrm>
                    <a:prstGeom prst="rect">
                      <a:avLst/>
                    </a:prstGeom>
                    <a:noFill/>
                    <a:ln>
                      <a:noFill/>
                    </a:ln>
                  </pic:spPr>
                </pic:pic>
              </a:graphicData>
            </a:graphic>
          </wp:inline>
        </w:drawing>
      </w:r>
    </w:p>
    <w:p w:rsidR="002C671C" w:rsidRPr="001E09BE" w:rsidRDefault="005F29A3" w:rsidP="000B7D9E">
      <w:pPr>
        <w:jc w:val="both"/>
        <w:rPr>
          <w:rFonts w:ascii="Arial" w:hAnsi="Arial" w:cs="Arial"/>
          <w:sz w:val="22"/>
          <w:szCs w:val="22"/>
        </w:rPr>
      </w:pPr>
      <w:r>
        <w:rPr>
          <w:rFonts w:ascii="Arial" w:hAnsi="Arial"/>
          <w:sz w:val="22"/>
        </w:rPr>
        <w:t>Расходы по программе и бюджету, специальным счетам и проектам, финансируемым из резервов, учитываются с помощью модифицированного метода начисления, заключающегося в признании расходов при получении товаров и услуг</w:t>
      </w:r>
      <w:r w:rsidR="0005341A">
        <w:rPr>
          <w:rFonts w:ascii="Arial" w:hAnsi="Arial"/>
          <w:sz w:val="22"/>
        </w:rPr>
        <w:t>.  О</w:t>
      </w:r>
      <w:r>
        <w:rPr>
          <w:rFonts w:ascii="Arial" w:hAnsi="Arial"/>
          <w:sz w:val="22"/>
        </w:rPr>
        <w:t>днако до воздействия корректировок по МСУГС расходы, связанные с приобретением оборудования, созданием товарно-материальных запасов и строительством, учитываются в качестве таковых при оплате, а ассигнования по выплате пособий после прекращения службы признаются только при условии обеспечения их финансирования</w:t>
      </w:r>
      <w:r w:rsidR="006B1BEC">
        <w:rPr>
          <w:rFonts w:ascii="Arial" w:hAnsi="Arial"/>
          <w:sz w:val="22"/>
        </w:rPr>
        <w:t>.  В</w:t>
      </w:r>
      <w:r>
        <w:rPr>
          <w:rFonts w:ascii="Arial" w:hAnsi="Arial"/>
          <w:sz w:val="22"/>
        </w:rPr>
        <w:t xml:space="preserve"> ходе 2014 г. согласно пункту 39 Программы и бюджета ВОИС на 2014-2015 гг. было признано ввести </w:t>
      </w:r>
      <w:r>
        <w:rPr>
          <w:rFonts w:ascii="Arial" w:hAnsi="Arial"/>
          <w:sz w:val="22"/>
        </w:rPr>
        <w:lastRenderedPageBreak/>
        <w:t xml:space="preserve">дополнительные начисления на издержки в связи с должностями для повышения ассигнований на выплаты после </w:t>
      </w:r>
      <w:r w:rsidR="001E09BE">
        <w:rPr>
          <w:rFonts w:ascii="Arial" w:hAnsi="Arial"/>
          <w:sz w:val="22"/>
        </w:rPr>
        <w:t>оставления службы в размере 6%.</w:t>
      </w:r>
    </w:p>
    <w:p w:rsidR="002C671C" w:rsidRPr="001311AA" w:rsidRDefault="002C671C" w:rsidP="000B7D9E">
      <w:pPr>
        <w:jc w:val="both"/>
        <w:rPr>
          <w:rFonts w:ascii="Arial" w:hAnsi="Arial" w:cs="Arial"/>
          <w:sz w:val="22"/>
          <w:szCs w:val="22"/>
        </w:rPr>
      </w:pPr>
    </w:p>
    <w:p w:rsidR="00373121" w:rsidRPr="004C23BC" w:rsidRDefault="005F29A3" w:rsidP="004C23BC">
      <w:pPr>
        <w:jc w:val="both"/>
        <w:rPr>
          <w:rFonts w:ascii="Arial" w:hAnsi="Arial" w:cs="Arial"/>
          <w:sz w:val="22"/>
          <w:szCs w:val="22"/>
        </w:rPr>
      </w:pPr>
      <w:r>
        <w:rPr>
          <w:rFonts w:ascii="Arial" w:hAnsi="Arial"/>
          <w:sz w:val="22"/>
        </w:rPr>
        <w:t>Кроме того, в соответствии с модифицированным методом начисления в качестве расходов не признаются изменения в ассигнованиях под сомнительные долги, амортизация оборудования и зданий и отчуждение оборудования</w:t>
      </w:r>
      <w:r w:rsidR="0005341A">
        <w:rPr>
          <w:rFonts w:ascii="Arial" w:hAnsi="Arial"/>
          <w:sz w:val="22"/>
        </w:rPr>
        <w:t>.  Р</w:t>
      </w:r>
      <w:r>
        <w:rPr>
          <w:rFonts w:ascii="Arial" w:hAnsi="Arial"/>
          <w:sz w:val="22"/>
        </w:rPr>
        <w:t>асходы, связанные с амортизацией зданий (7,1 млн шв. франков), нематериальных активов (1,2 млн шв. франков) и оборудования (0,8 млн шв. франков),  учитываются в качестве корректировок по МСУГС</w:t>
      </w:r>
      <w:r w:rsidR="006B1BEC">
        <w:rPr>
          <w:rFonts w:ascii="Arial" w:hAnsi="Arial"/>
          <w:sz w:val="22"/>
        </w:rPr>
        <w:t>.  В</w:t>
      </w:r>
      <w:r>
        <w:rPr>
          <w:rFonts w:ascii="Arial" w:hAnsi="Arial"/>
          <w:sz w:val="22"/>
        </w:rPr>
        <w:t xml:space="preserve"> корректировки по МСУГС включены также переведенные в основные фонды затраты на и строительство</w:t>
      </w:r>
      <w:r w:rsidR="00C950F5">
        <w:rPr>
          <w:rFonts w:ascii="Arial" w:hAnsi="Arial"/>
          <w:sz w:val="22"/>
        </w:rPr>
        <w:t xml:space="preserve"> и расширение зданий (30,4 млн </w:t>
      </w:r>
      <w:r>
        <w:rPr>
          <w:rFonts w:ascii="Arial" w:hAnsi="Arial"/>
          <w:sz w:val="22"/>
        </w:rPr>
        <w:t>шв. франков).</w:t>
      </w:r>
    </w:p>
    <w:p w:rsidR="002C63A1" w:rsidRPr="004C23BC" w:rsidRDefault="002C63A1" w:rsidP="002A03DE">
      <w:pPr>
        <w:pStyle w:val="Styletexte"/>
        <w:spacing w:after="0"/>
        <w:rPr>
          <w:rFonts w:cs="Arial"/>
          <w:szCs w:val="22"/>
        </w:rPr>
      </w:pPr>
    </w:p>
    <w:p w:rsidR="00AE6369" w:rsidRDefault="005F29A3" w:rsidP="006D0C30">
      <w:pPr>
        <w:pStyle w:val="StyleHeading211ptNotBoldNotItalicAllcaps"/>
        <w:spacing w:before="0" w:after="0"/>
        <w:rPr>
          <w:szCs w:val="22"/>
        </w:rPr>
      </w:pPr>
      <w:r w:rsidRPr="001311AA">
        <w:t>Примечание</w:t>
      </w:r>
      <w:r w:rsidR="001311AA" w:rsidRPr="001311AA">
        <w:t> </w:t>
      </w:r>
      <w:r w:rsidRPr="001311AA">
        <w:t>2</w:t>
      </w:r>
      <w:r>
        <w:t>5:</w:t>
      </w:r>
      <w:r>
        <w:tab/>
        <w:t>ФИНАНСОВЫЕ ИНСТРУМЕНТЫ</w:t>
      </w:r>
    </w:p>
    <w:p w:rsidR="00E01D49" w:rsidRDefault="00E01D49" w:rsidP="006D0C30">
      <w:pPr>
        <w:pStyle w:val="StyleHeading211ptNotBoldNotItalicAllcaps"/>
        <w:spacing w:before="0" w:after="0"/>
        <w:rPr>
          <w:b w:val="0"/>
          <w:szCs w:val="22"/>
        </w:rPr>
      </w:pPr>
    </w:p>
    <w:p w:rsidR="00423F56" w:rsidRPr="00FF54A6" w:rsidRDefault="005F29A3" w:rsidP="00FF54A6">
      <w:pPr>
        <w:autoSpaceDE w:val="0"/>
        <w:autoSpaceDN w:val="0"/>
        <w:adjustRightInd w:val="0"/>
        <w:jc w:val="both"/>
        <w:rPr>
          <w:rFonts w:ascii="Arial" w:hAnsi="Arial" w:cs="Arial"/>
          <w:sz w:val="22"/>
          <w:szCs w:val="22"/>
        </w:rPr>
      </w:pPr>
      <w:r>
        <w:rPr>
          <w:rFonts w:ascii="Arial" w:hAnsi="Arial"/>
          <w:sz w:val="22"/>
        </w:rPr>
        <w:t>В ходе своей повседневной деятельности Организация сталкивается с некоторыми видами риска, в частности колебаниями курса обмена валют, кредитным и процентным риском, а также риском потери ликвидности</w:t>
      </w:r>
      <w:r w:rsidR="006B1BEC">
        <w:rPr>
          <w:rFonts w:ascii="Arial" w:hAnsi="Arial"/>
          <w:sz w:val="22"/>
        </w:rPr>
        <w:t>.  В</w:t>
      </w:r>
      <w:r>
        <w:rPr>
          <w:rFonts w:ascii="Arial" w:hAnsi="Arial"/>
          <w:sz w:val="22"/>
        </w:rPr>
        <w:t xml:space="preserve"> настоящем примечании содержится информация о том, в какой мере Организация подвержена каждому из перечисленных видов риска, а также о мерах политики и предпринимаемых шагах по оценке и контролю факторов риска.</w:t>
      </w:r>
    </w:p>
    <w:p w:rsidR="00423F56" w:rsidRPr="00FF54A6" w:rsidRDefault="00423F56" w:rsidP="00FF54A6">
      <w:pPr>
        <w:autoSpaceDE w:val="0"/>
        <w:autoSpaceDN w:val="0"/>
        <w:adjustRightInd w:val="0"/>
        <w:jc w:val="both"/>
        <w:rPr>
          <w:rFonts w:ascii="Arial" w:hAnsi="Arial" w:cs="Arial"/>
          <w:sz w:val="22"/>
          <w:szCs w:val="22"/>
        </w:rPr>
      </w:pPr>
    </w:p>
    <w:p w:rsidR="00423F56" w:rsidRPr="00FF54A6" w:rsidRDefault="005F29A3" w:rsidP="00FF54A6">
      <w:pPr>
        <w:autoSpaceDE w:val="0"/>
        <w:autoSpaceDN w:val="0"/>
        <w:adjustRightInd w:val="0"/>
        <w:jc w:val="both"/>
        <w:rPr>
          <w:rFonts w:ascii="Arial" w:hAnsi="Arial" w:cs="Arial"/>
          <w:b/>
          <w:sz w:val="22"/>
          <w:szCs w:val="22"/>
        </w:rPr>
      </w:pPr>
      <w:r>
        <w:rPr>
          <w:rFonts w:ascii="Arial" w:hAnsi="Arial"/>
          <w:b/>
          <w:sz w:val="22"/>
        </w:rPr>
        <w:t>Справедливая стоимость</w:t>
      </w:r>
    </w:p>
    <w:p w:rsidR="00423F56" w:rsidRPr="00FF54A6" w:rsidRDefault="00423F56" w:rsidP="00FF54A6">
      <w:pPr>
        <w:autoSpaceDE w:val="0"/>
        <w:autoSpaceDN w:val="0"/>
        <w:adjustRightInd w:val="0"/>
        <w:jc w:val="both"/>
        <w:rPr>
          <w:rFonts w:ascii="Arial" w:hAnsi="Arial" w:cs="Arial"/>
          <w:sz w:val="22"/>
          <w:szCs w:val="22"/>
        </w:rPr>
      </w:pPr>
    </w:p>
    <w:p w:rsidR="00423F56" w:rsidRDefault="005F29A3" w:rsidP="00286625">
      <w:pPr>
        <w:autoSpaceDE w:val="0"/>
        <w:autoSpaceDN w:val="0"/>
        <w:adjustRightInd w:val="0"/>
        <w:jc w:val="both"/>
        <w:rPr>
          <w:rFonts w:ascii="Arial" w:hAnsi="Arial" w:cs="Arial"/>
          <w:sz w:val="22"/>
          <w:szCs w:val="22"/>
        </w:rPr>
      </w:pPr>
      <w:r>
        <w:rPr>
          <w:rFonts w:ascii="Arial" w:hAnsi="Arial"/>
          <w:sz w:val="22"/>
        </w:rPr>
        <w:t>Ниже приводится сравнительная оценка балансовой и справедливой стоимости финансовых инструментов Организации.</w:t>
      </w:r>
    </w:p>
    <w:p w:rsidR="00AF7F2F" w:rsidRDefault="00AF7F2F" w:rsidP="00745B5A">
      <w:pPr>
        <w:autoSpaceDE w:val="0"/>
        <w:autoSpaceDN w:val="0"/>
        <w:adjustRightInd w:val="0"/>
      </w:pPr>
    </w:p>
    <w:p w:rsidR="00EE2502" w:rsidRPr="00EE2502" w:rsidRDefault="00253DF5" w:rsidP="0057641E">
      <w:pPr>
        <w:autoSpaceDE w:val="0"/>
        <w:autoSpaceDN w:val="0"/>
        <w:adjustRightInd w:val="0"/>
        <w:jc w:val="center"/>
        <w:rPr>
          <w:rFonts w:ascii="Arial" w:hAnsi="Arial" w:cs="Arial"/>
          <w:sz w:val="22"/>
          <w:szCs w:val="22"/>
        </w:rPr>
      </w:pPr>
      <w:r>
        <w:rPr>
          <w:rFonts w:ascii="Arial" w:hAnsi="Arial" w:cs="Arial"/>
          <w:noProof/>
          <w:sz w:val="22"/>
          <w:szCs w:val="22"/>
          <w:lang w:val="en-US" w:eastAsia="en-US"/>
        </w:rPr>
        <w:drawing>
          <wp:inline distT="0" distB="0" distL="0" distR="0">
            <wp:extent cx="5591175" cy="2419350"/>
            <wp:effectExtent l="0" t="0" r="9525"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591175" cy="2419350"/>
                    </a:xfrm>
                    <a:prstGeom prst="rect">
                      <a:avLst/>
                    </a:prstGeom>
                    <a:noFill/>
                    <a:ln>
                      <a:noFill/>
                    </a:ln>
                  </pic:spPr>
                </pic:pic>
              </a:graphicData>
            </a:graphic>
          </wp:inline>
        </w:drawing>
      </w:r>
    </w:p>
    <w:p w:rsidR="00423F56" w:rsidRPr="00EE2502" w:rsidRDefault="00253DF5" w:rsidP="0057641E">
      <w:pPr>
        <w:jc w:val="center"/>
        <w:rPr>
          <w:rFonts w:ascii="Arial" w:hAnsi="Arial" w:cs="Arial"/>
          <w:sz w:val="22"/>
          <w:szCs w:val="22"/>
        </w:rPr>
      </w:pPr>
      <w:r>
        <w:rPr>
          <w:rFonts w:ascii="Arial" w:hAnsi="Arial" w:cs="Arial"/>
          <w:noProof/>
          <w:sz w:val="22"/>
          <w:szCs w:val="22"/>
          <w:lang w:val="en-US" w:eastAsia="en-US"/>
        </w:rPr>
        <w:lastRenderedPageBreak/>
        <w:drawing>
          <wp:inline distT="0" distB="0" distL="0" distR="0">
            <wp:extent cx="5591175" cy="2743200"/>
            <wp:effectExtent l="0" t="0" r="9525"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591175" cy="2743200"/>
                    </a:xfrm>
                    <a:prstGeom prst="rect">
                      <a:avLst/>
                    </a:prstGeom>
                    <a:noFill/>
                    <a:ln>
                      <a:noFill/>
                    </a:ln>
                  </pic:spPr>
                </pic:pic>
              </a:graphicData>
            </a:graphic>
          </wp:inline>
        </w:drawing>
      </w:r>
    </w:p>
    <w:p w:rsidR="00F27BE0" w:rsidRPr="00F27BE0" w:rsidRDefault="005F29A3" w:rsidP="00F27BE0">
      <w:pPr>
        <w:autoSpaceDE w:val="0"/>
        <w:autoSpaceDN w:val="0"/>
        <w:adjustRightInd w:val="0"/>
        <w:jc w:val="both"/>
        <w:rPr>
          <w:rFonts w:ascii="Arial" w:hAnsi="Arial" w:cs="Arial"/>
          <w:sz w:val="22"/>
          <w:szCs w:val="22"/>
        </w:rPr>
      </w:pPr>
      <w:r>
        <w:rPr>
          <w:rFonts w:ascii="Arial" w:hAnsi="Arial"/>
          <w:sz w:val="22"/>
        </w:rPr>
        <w:t>За справедливую стоимость финансового актива или обязательства принимается сумма, за которую инструмент может быть реализован в рамках текущей операции с согласия сторон, исключая принудительную продажу или ликвидацию</w:t>
      </w:r>
      <w:r w:rsidR="0005341A">
        <w:rPr>
          <w:rFonts w:ascii="Arial" w:hAnsi="Arial"/>
          <w:sz w:val="22"/>
        </w:rPr>
        <w:t>.  Д</w:t>
      </w:r>
      <w:r>
        <w:rPr>
          <w:rFonts w:ascii="Arial" w:hAnsi="Arial"/>
          <w:sz w:val="22"/>
        </w:rPr>
        <w:t>ля определения справедливой стоимости используются следующие методы и принципы:</w:t>
      </w:r>
    </w:p>
    <w:p w:rsidR="00F27BE0" w:rsidRPr="00F27BE0" w:rsidRDefault="00F27BE0" w:rsidP="00F27BE0">
      <w:pPr>
        <w:autoSpaceDE w:val="0"/>
        <w:autoSpaceDN w:val="0"/>
        <w:adjustRightInd w:val="0"/>
        <w:jc w:val="both"/>
        <w:rPr>
          <w:rFonts w:ascii="Arial" w:hAnsi="Arial" w:cs="Arial"/>
          <w:sz w:val="22"/>
          <w:szCs w:val="22"/>
        </w:rPr>
      </w:pPr>
    </w:p>
    <w:p w:rsidR="00C70DF0" w:rsidRPr="000B5A19" w:rsidRDefault="005F29A3" w:rsidP="000B5A19">
      <w:pPr>
        <w:numPr>
          <w:ilvl w:val="0"/>
          <w:numId w:val="12"/>
        </w:numPr>
        <w:autoSpaceDE w:val="0"/>
        <w:autoSpaceDN w:val="0"/>
        <w:adjustRightInd w:val="0"/>
        <w:jc w:val="both"/>
        <w:rPr>
          <w:rFonts w:ascii="Arial" w:hAnsi="Arial" w:cs="Arial"/>
          <w:sz w:val="22"/>
          <w:szCs w:val="22"/>
        </w:rPr>
      </w:pPr>
      <w:r>
        <w:rPr>
          <w:rFonts w:ascii="Arial" w:hAnsi="Arial"/>
          <w:sz w:val="22"/>
        </w:rPr>
        <w:t>денежные средства и краткосрочные депозиты, поступления от операций по реализации инструментов, кредиторская задолженность и другие текущие обязательства приблизительно равны своей справедливой стоимости во многом ввиду краткосрочного характера этих инструментов.</w:t>
      </w:r>
    </w:p>
    <w:p w:rsidR="00EE2502" w:rsidRPr="00827312" w:rsidRDefault="005F29A3" w:rsidP="00F73729">
      <w:pPr>
        <w:numPr>
          <w:ilvl w:val="0"/>
          <w:numId w:val="12"/>
        </w:numPr>
        <w:jc w:val="both"/>
        <w:rPr>
          <w:rFonts w:ascii="Arial" w:hAnsi="Arial" w:cs="Arial"/>
          <w:b/>
          <w:sz w:val="22"/>
          <w:szCs w:val="22"/>
        </w:rPr>
      </w:pPr>
      <w:r>
        <w:rPr>
          <w:rFonts w:ascii="Arial" w:hAnsi="Arial"/>
          <w:sz w:val="22"/>
        </w:rPr>
        <w:t>оценка долгосрочных кредитов, дебиторской задолженности и займов проводится Организацией на основе таких параметров как размер процентной ставки и характеристика риска</w:t>
      </w:r>
      <w:r w:rsidR="006B1BEC">
        <w:rPr>
          <w:rFonts w:ascii="Arial" w:hAnsi="Arial"/>
          <w:sz w:val="22"/>
        </w:rPr>
        <w:t>.  Б</w:t>
      </w:r>
      <w:r>
        <w:rPr>
          <w:rFonts w:ascii="Arial" w:hAnsi="Arial"/>
          <w:sz w:val="22"/>
        </w:rPr>
        <w:t>ыли установлены поправки для дебиторской задолженности, которая не связана с реализацией инструментов и включает в себя суммы, причитающиеся от государств-членов, утративших право голоса согласно пункту 5 статьи 11 Конвенции ВОИС, а также для взносов наименее развитых стран, которые были заморожены решением Ассамблей</w:t>
      </w:r>
      <w:r w:rsidR="0005341A">
        <w:rPr>
          <w:rFonts w:ascii="Arial" w:hAnsi="Arial"/>
          <w:sz w:val="22"/>
        </w:rPr>
        <w:t>.  Л</w:t>
      </w:r>
      <w:r>
        <w:rPr>
          <w:rFonts w:ascii="Arial" w:hAnsi="Arial"/>
          <w:sz w:val="22"/>
        </w:rPr>
        <w:t>ьготный кредит FCIG признается по амортизированной стоимости с использованием значений, основанных на обороте денежных средств, дисконтированном по учетной ставке 1,48%</w:t>
      </w:r>
      <w:r w:rsidR="0005341A">
        <w:rPr>
          <w:rFonts w:ascii="Arial" w:hAnsi="Arial"/>
          <w:sz w:val="22"/>
        </w:rPr>
        <w:t>.  Д</w:t>
      </w:r>
      <w:r>
        <w:rPr>
          <w:rFonts w:ascii="Arial" w:hAnsi="Arial"/>
          <w:sz w:val="22"/>
        </w:rPr>
        <w:t>ебиторская задолженность по налогам США признается по амортизированной стоимости с использованием значений, основанных на обороте денежных средств, дисконтированном по учетной ставке 1,81%.</w:t>
      </w:r>
    </w:p>
    <w:p w:rsidR="00F27BE0" w:rsidRDefault="00F27BE0" w:rsidP="00FF54A6">
      <w:pPr>
        <w:jc w:val="both"/>
        <w:rPr>
          <w:rFonts w:ascii="Arial" w:hAnsi="Arial" w:cs="Arial"/>
          <w:b/>
          <w:sz w:val="22"/>
          <w:szCs w:val="22"/>
        </w:rPr>
      </w:pPr>
    </w:p>
    <w:p w:rsidR="00A660BD" w:rsidRDefault="005F29A3" w:rsidP="00216EC2">
      <w:pPr>
        <w:jc w:val="both"/>
        <w:rPr>
          <w:rFonts w:ascii="Arial" w:hAnsi="Arial" w:cs="Arial"/>
          <w:b/>
          <w:sz w:val="22"/>
          <w:szCs w:val="22"/>
        </w:rPr>
      </w:pPr>
      <w:r>
        <w:rPr>
          <w:rFonts w:ascii="Arial" w:hAnsi="Arial"/>
          <w:b/>
          <w:sz w:val="22"/>
        </w:rPr>
        <w:t>Кредитный риск</w:t>
      </w:r>
    </w:p>
    <w:p w:rsidR="00B019C1" w:rsidRPr="00216EC2" w:rsidRDefault="00B019C1" w:rsidP="00216EC2">
      <w:pPr>
        <w:jc w:val="both"/>
        <w:rPr>
          <w:rFonts w:ascii="Arial" w:hAnsi="Arial" w:cs="Arial"/>
          <w:b/>
          <w:sz w:val="22"/>
          <w:szCs w:val="22"/>
        </w:rPr>
      </w:pPr>
    </w:p>
    <w:p w:rsidR="00216EC2" w:rsidRDefault="005F29A3" w:rsidP="00216EC2">
      <w:pPr>
        <w:autoSpaceDE w:val="0"/>
        <w:autoSpaceDN w:val="0"/>
        <w:adjustRightInd w:val="0"/>
        <w:jc w:val="both"/>
        <w:rPr>
          <w:rFonts w:ascii="Arial" w:hAnsi="Arial" w:cs="Arial"/>
          <w:sz w:val="22"/>
          <w:szCs w:val="22"/>
        </w:rPr>
      </w:pPr>
      <w:r>
        <w:rPr>
          <w:rFonts w:ascii="Arial" w:hAnsi="Arial"/>
          <w:sz w:val="22"/>
        </w:rPr>
        <w:t>Кредитный риск — это риск финансового убытка для Организации в случае, если контрагенты по финансовому инструменту не выполняют своих договорных обязательств, и такой риск главным образом связан с кредитами Организации, дебиторской задолженностью, денежными средствами и их эквивалентами</w:t>
      </w:r>
      <w:r w:rsidR="006B1BEC">
        <w:rPr>
          <w:rFonts w:ascii="Arial" w:hAnsi="Arial"/>
          <w:sz w:val="22"/>
        </w:rPr>
        <w:t>.  Б</w:t>
      </w:r>
      <w:r>
        <w:rPr>
          <w:rFonts w:ascii="Arial" w:hAnsi="Arial"/>
          <w:sz w:val="22"/>
        </w:rPr>
        <w:t>алансовая стоимость финансового актива представляет собой максимальную открытую позицию по кредиту</w:t>
      </w:r>
      <w:r w:rsidR="0005341A">
        <w:rPr>
          <w:rFonts w:ascii="Arial" w:hAnsi="Arial"/>
          <w:sz w:val="22"/>
        </w:rPr>
        <w:t>.  М</w:t>
      </w:r>
      <w:r>
        <w:rPr>
          <w:rFonts w:ascii="Arial" w:hAnsi="Arial"/>
          <w:sz w:val="22"/>
        </w:rPr>
        <w:t>аксимальный размер кредитного риска по состоянию на 3</w:t>
      </w:r>
      <w:r w:rsidRPr="001311AA">
        <w:rPr>
          <w:rFonts w:ascii="Arial" w:hAnsi="Arial"/>
          <w:sz w:val="22"/>
        </w:rPr>
        <w:t>1</w:t>
      </w:r>
      <w:r w:rsidR="001311AA" w:rsidRPr="001311AA">
        <w:rPr>
          <w:rFonts w:ascii="Arial" w:hAnsi="Arial"/>
          <w:sz w:val="22"/>
        </w:rPr>
        <w:t> </w:t>
      </w:r>
      <w:r w:rsidRPr="001311AA">
        <w:rPr>
          <w:rFonts w:ascii="Arial" w:hAnsi="Arial"/>
          <w:sz w:val="22"/>
        </w:rPr>
        <w:t>декабря</w:t>
      </w:r>
      <w:r>
        <w:rPr>
          <w:rFonts w:ascii="Arial" w:hAnsi="Arial"/>
          <w:sz w:val="22"/>
        </w:rPr>
        <w:t xml:space="preserve"> 201</w:t>
      </w:r>
      <w:r w:rsidRPr="001311AA">
        <w:rPr>
          <w:rFonts w:ascii="Arial" w:hAnsi="Arial"/>
          <w:sz w:val="22"/>
        </w:rPr>
        <w:t>4</w:t>
      </w:r>
      <w:r w:rsidR="001311AA" w:rsidRPr="001311AA">
        <w:rPr>
          <w:rFonts w:ascii="Arial" w:hAnsi="Arial"/>
          <w:sz w:val="22"/>
        </w:rPr>
        <w:t> </w:t>
      </w:r>
      <w:r w:rsidRPr="001311AA">
        <w:rPr>
          <w:rFonts w:ascii="Arial" w:hAnsi="Arial"/>
          <w:sz w:val="22"/>
        </w:rPr>
        <w:t>г.</w:t>
      </w:r>
      <w:r>
        <w:rPr>
          <w:rFonts w:ascii="Arial" w:hAnsi="Arial"/>
          <w:sz w:val="22"/>
        </w:rPr>
        <w:t xml:space="preserve"> составил:</w:t>
      </w:r>
    </w:p>
    <w:p w:rsidR="003229DB" w:rsidRDefault="003229DB" w:rsidP="00216EC2">
      <w:pPr>
        <w:autoSpaceDE w:val="0"/>
        <w:autoSpaceDN w:val="0"/>
        <w:adjustRightInd w:val="0"/>
        <w:jc w:val="both"/>
        <w:rPr>
          <w:rFonts w:ascii="Arial" w:hAnsi="Arial" w:cs="Arial"/>
          <w:sz w:val="22"/>
          <w:szCs w:val="22"/>
        </w:rPr>
      </w:pPr>
    </w:p>
    <w:p w:rsidR="00216EC2" w:rsidRPr="00216EC2" w:rsidRDefault="00253DF5" w:rsidP="00052BF6">
      <w:pPr>
        <w:autoSpaceDE w:val="0"/>
        <w:autoSpaceDN w:val="0"/>
        <w:adjustRightInd w:val="0"/>
        <w:jc w:val="center"/>
        <w:rPr>
          <w:rFonts w:ascii="Arial" w:hAnsi="Arial" w:cs="Arial"/>
          <w:sz w:val="22"/>
          <w:szCs w:val="22"/>
        </w:rPr>
      </w:pPr>
      <w:r>
        <w:rPr>
          <w:rFonts w:ascii="Arial" w:hAnsi="Arial" w:cs="Arial"/>
          <w:noProof/>
          <w:sz w:val="22"/>
          <w:szCs w:val="22"/>
          <w:lang w:val="en-US" w:eastAsia="en-US"/>
        </w:rPr>
        <w:lastRenderedPageBreak/>
        <w:drawing>
          <wp:inline distT="0" distB="0" distL="0" distR="0">
            <wp:extent cx="5734050" cy="150495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734050" cy="1504950"/>
                    </a:xfrm>
                    <a:prstGeom prst="rect">
                      <a:avLst/>
                    </a:prstGeom>
                    <a:noFill/>
                    <a:ln>
                      <a:noFill/>
                    </a:ln>
                  </pic:spPr>
                </pic:pic>
              </a:graphicData>
            </a:graphic>
          </wp:inline>
        </w:drawing>
      </w:r>
    </w:p>
    <w:p w:rsidR="00B019C1" w:rsidRDefault="005F29A3" w:rsidP="00B019C1">
      <w:pPr>
        <w:jc w:val="both"/>
        <w:rPr>
          <w:rFonts w:ascii="Arial" w:hAnsi="Arial" w:cs="Arial"/>
          <w:sz w:val="22"/>
          <w:szCs w:val="22"/>
        </w:rPr>
      </w:pPr>
      <w:r>
        <w:rPr>
          <w:rFonts w:ascii="Arial" w:hAnsi="Arial"/>
          <w:sz w:val="22"/>
        </w:rPr>
        <w:t>Дебиторская задолженность Организации, которая не связана с реализацией инструментов, имеет место только со стороны государств-членов, представляющих суверенные правительства, а, следовательно, связанный с ней кредитный риск считается незначительным</w:t>
      </w:r>
      <w:r w:rsidR="006B1BEC">
        <w:rPr>
          <w:rFonts w:ascii="Arial" w:hAnsi="Arial"/>
          <w:sz w:val="22"/>
        </w:rPr>
        <w:t>.  Б</w:t>
      </w:r>
      <w:r>
        <w:rPr>
          <w:rFonts w:ascii="Arial" w:hAnsi="Arial"/>
          <w:sz w:val="22"/>
        </w:rPr>
        <w:t>ыли предусмотрены поправки для дебиторской задолженности по активам для отражения задолженности, в счет которой в краткосрочном периоде не ожидается никаких выплат.</w:t>
      </w:r>
    </w:p>
    <w:p w:rsidR="00B019C1" w:rsidRDefault="00B019C1" w:rsidP="00B019C1">
      <w:pPr>
        <w:jc w:val="both"/>
        <w:rPr>
          <w:rFonts w:ascii="Arial" w:hAnsi="Arial" w:cs="Arial"/>
          <w:sz w:val="22"/>
          <w:szCs w:val="22"/>
        </w:rPr>
      </w:pPr>
    </w:p>
    <w:p w:rsidR="00C70DF0" w:rsidRDefault="005F29A3" w:rsidP="00523516">
      <w:pPr>
        <w:pStyle w:val="Style3"/>
        <w:spacing w:after="0"/>
        <w:rPr>
          <w:rFonts w:cs="Arial"/>
          <w:szCs w:val="22"/>
        </w:rPr>
      </w:pPr>
      <w:r>
        <w:t>Инвестиции хранятся в банках с суверенным риском или кредитным рейтингом АА- или выше</w:t>
      </w:r>
      <w:r w:rsidR="0005341A">
        <w:t>.  О</w:t>
      </w:r>
      <w:r>
        <w:t>рганизация минимизирует кредитный риск для своих денежных средств и их эквивалентов, помещая значительное количество своих финансов в банки с высоким или повышенным средним кредитным рейтингом</w:t>
      </w:r>
      <w:r w:rsidR="0005341A">
        <w:t>.  О</w:t>
      </w:r>
      <w:r>
        <w:t>днако в некоторых случаях средства хранятся в банках с пониженным средним рейтингом в силу особых деловых соображений</w:t>
      </w:r>
      <w:r w:rsidR="0005341A">
        <w:t>.  Т</w:t>
      </w:r>
      <w:r>
        <w:t>аким образом, кредитный рейтинг, присвоенный денежным средствам и их эквивалентам, выглядит следующим образом:</w:t>
      </w:r>
    </w:p>
    <w:p w:rsidR="00523516" w:rsidRPr="00523516" w:rsidRDefault="00523516" w:rsidP="00523516">
      <w:pPr>
        <w:pStyle w:val="Style3"/>
        <w:spacing w:after="0"/>
        <w:rPr>
          <w:rFonts w:cs="Arial"/>
          <w:szCs w:val="22"/>
        </w:rPr>
      </w:pPr>
    </w:p>
    <w:p w:rsidR="00B019C1" w:rsidRDefault="00253DF5" w:rsidP="000B5A19">
      <w:pPr>
        <w:jc w:val="center"/>
        <w:rPr>
          <w:rFonts w:ascii="Arial" w:hAnsi="Arial" w:cs="Arial"/>
          <w:sz w:val="22"/>
          <w:szCs w:val="22"/>
        </w:rPr>
      </w:pPr>
      <w:r>
        <w:rPr>
          <w:rFonts w:ascii="Arial" w:hAnsi="Arial" w:cs="Arial"/>
          <w:noProof/>
          <w:sz w:val="22"/>
          <w:szCs w:val="22"/>
          <w:lang w:val="en-US" w:eastAsia="en-US"/>
        </w:rPr>
        <w:drawing>
          <wp:inline distT="0" distB="0" distL="0" distR="0">
            <wp:extent cx="5977255" cy="1763202"/>
            <wp:effectExtent l="0" t="0" r="4445" b="889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977255" cy="1763202"/>
                    </a:xfrm>
                    <a:prstGeom prst="rect">
                      <a:avLst/>
                    </a:prstGeom>
                    <a:noFill/>
                    <a:ln>
                      <a:noFill/>
                    </a:ln>
                  </pic:spPr>
                </pic:pic>
              </a:graphicData>
            </a:graphic>
          </wp:inline>
        </w:drawing>
      </w:r>
    </w:p>
    <w:p w:rsidR="000F5B8D" w:rsidRDefault="005F29A3" w:rsidP="00FF54A6">
      <w:pPr>
        <w:jc w:val="both"/>
        <w:rPr>
          <w:rFonts w:ascii="Arial" w:hAnsi="Arial" w:cs="Arial"/>
          <w:b/>
          <w:sz w:val="22"/>
          <w:szCs w:val="22"/>
        </w:rPr>
      </w:pPr>
      <w:r>
        <w:rPr>
          <w:rFonts w:ascii="Arial" w:hAnsi="Arial"/>
          <w:b/>
          <w:sz w:val="22"/>
        </w:rPr>
        <w:t>Риск потери ликвидности</w:t>
      </w:r>
    </w:p>
    <w:p w:rsidR="000F5B8D" w:rsidRDefault="000F5B8D" w:rsidP="00FF54A6">
      <w:pPr>
        <w:jc w:val="both"/>
        <w:rPr>
          <w:rFonts w:ascii="Arial" w:hAnsi="Arial" w:cs="Arial"/>
          <w:b/>
          <w:sz w:val="22"/>
          <w:szCs w:val="22"/>
        </w:rPr>
      </w:pPr>
    </w:p>
    <w:p w:rsidR="000F5B8D" w:rsidRPr="005665B6" w:rsidRDefault="005F29A3" w:rsidP="00C8068F">
      <w:pPr>
        <w:autoSpaceDE w:val="0"/>
        <w:autoSpaceDN w:val="0"/>
        <w:adjustRightInd w:val="0"/>
        <w:jc w:val="both"/>
        <w:rPr>
          <w:rFonts w:ascii="Arial" w:hAnsi="Arial" w:cs="Arial"/>
          <w:sz w:val="22"/>
          <w:szCs w:val="22"/>
        </w:rPr>
      </w:pPr>
      <w:r>
        <w:rPr>
          <w:rFonts w:ascii="Arial" w:hAnsi="Arial"/>
          <w:sz w:val="22"/>
        </w:rPr>
        <w:t xml:space="preserve">Риск потери ликвидности — это риск того, что Организация не сумеет выполнить свои обязательства по мере наступления срока их погашения. </w:t>
      </w:r>
    </w:p>
    <w:p w:rsidR="00BA2124" w:rsidRDefault="005F29A3" w:rsidP="00C8068F">
      <w:pPr>
        <w:pStyle w:val="Style3"/>
        <w:spacing w:after="0"/>
        <w:rPr>
          <w:rFonts w:cs="Arial"/>
          <w:szCs w:val="22"/>
        </w:rPr>
      </w:pPr>
      <w:r>
        <w:t>Организация практически не подвержена риску потери ликвидности, поскольку она обладает значительными денежными ресурсами без ограничений, которые пополняются в результате ее оперативной деятельности</w:t>
      </w:r>
      <w:r w:rsidR="0005341A">
        <w:t>.  И</w:t>
      </w:r>
      <w:r>
        <w:t>нвестиционная политика Организации была разработана таким образом, чтобы инвестиции осуществлялись в первую очередь в ликвидные краткосрочные депозиты</w:t>
      </w:r>
      <w:r w:rsidR="006B1BEC">
        <w:t>.  В</w:t>
      </w:r>
      <w:r>
        <w:t xml:space="preserve"> таблице ниже представлены результаты анализа по срокам погашения кредитов ВОИС</w:t>
      </w:r>
      <w:r w:rsidR="008861C2">
        <w:t>:  А</w:t>
      </w:r>
      <w:r>
        <w:t>нализ по срокам погашения займа BCG/BCV на строительство нового здания на 31 декабря 2014 г. включает ежегодные выплаты по 3,9 млн шв. франков (соответствует 3,0% общей суммы займа) и запланированные единовременные выплаты 24,0 млн шв. франков в ноябре 2015 г. и 16,0 млн шв. франков в январе 2016 г.</w:t>
      </w:r>
    </w:p>
    <w:p w:rsidR="00FE32E4" w:rsidRDefault="00FE32E4" w:rsidP="00F23074">
      <w:pPr>
        <w:pStyle w:val="Style3"/>
        <w:spacing w:after="0"/>
      </w:pPr>
    </w:p>
    <w:p w:rsidR="00231A98" w:rsidRDefault="00253DF5" w:rsidP="00EB1A53">
      <w:pPr>
        <w:pStyle w:val="Style3"/>
        <w:spacing w:after="0"/>
        <w:jc w:val="center"/>
      </w:pPr>
      <w:r>
        <w:rPr>
          <w:noProof/>
          <w:lang w:val="en-US" w:eastAsia="en-US"/>
        </w:rPr>
        <w:lastRenderedPageBreak/>
        <w:drawing>
          <wp:inline distT="0" distB="0" distL="0" distR="0">
            <wp:extent cx="5977255" cy="1303955"/>
            <wp:effectExtent l="0" t="0" r="4445"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977255" cy="1303955"/>
                    </a:xfrm>
                    <a:prstGeom prst="rect">
                      <a:avLst/>
                    </a:prstGeom>
                    <a:noFill/>
                    <a:ln>
                      <a:noFill/>
                    </a:ln>
                  </pic:spPr>
                </pic:pic>
              </a:graphicData>
            </a:graphic>
          </wp:inline>
        </w:drawing>
      </w:r>
    </w:p>
    <w:p w:rsidR="00231A98" w:rsidRPr="00BA2124" w:rsidRDefault="00253DF5" w:rsidP="00052BF6">
      <w:pPr>
        <w:pStyle w:val="Style3"/>
        <w:spacing w:after="0"/>
        <w:jc w:val="center"/>
        <w:rPr>
          <w:rFonts w:cs="Arial"/>
          <w:szCs w:val="22"/>
        </w:rPr>
      </w:pPr>
      <w:r>
        <w:rPr>
          <w:rFonts w:cs="Arial"/>
          <w:noProof/>
          <w:szCs w:val="22"/>
          <w:lang w:val="en-US" w:eastAsia="en-US"/>
        </w:rPr>
        <w:drawing>
          <wp:inline distT="0" distB="0" distL="0" distR="0">
            <wp:extent cx="5977255" cy="1284919"/>
            <wp:effectExtent l="0" t="0" r="4445"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977255" cy="1284919"/>
                    </a:xfrm>
                    <a:prstGeom prst="rect">
                      <a:avLst/>
                    </a:prstGeom>
                    <a:noFill/>
                    <a:ln>
                      <a:noFill/>
                    </a:ln>
                  </pic:spPr>
                </pic:pic>
              </a:graphicData>
            </a:graphic>
          </wp:inline>
        </w:drawing>
      </w:r>
    </w:p>
    <w:p w:rsidR="0057641E" w:rsidRPr="005665B6" w:rsidRDefault="005F29A3" w:rsidP="0057641E">
      <w:pPr>
        <w:pStyle w:val="Style3"/>
        <w:spacing w:after="0"/>
        <w:rPr>
          <w:rFonts w:cs="Arial"/>
          <w:b/>
          <w:szCs w:val="22"/>
        </w:rPr>
      </w:pPr>
      <w:r>
        <w:rPr>
          <w:b/>
        </w:rPr>
        <w:t>Валютный риск</w:t>
      </w:r>
    </w:p>
    <w:p w:rsidR="0057641E" w:rsidRPr="005665B6" w:rsidRDefault="0057641E" w:rsidP="0057641E">
      <w:pPr>
        <w:autoSpaceDE w:val="0"/>
        <w:autoSpaceDN w:val="0"/>
        <w:adjustRightInd w:val="0"/>
        <w:rPr>
          <w:rFonts w:ascii="EYInterstate-Light" w:hAnsi="EYInterstate-Light" w:cs="EYInterstate-Light"/>
          <w:sz w:val="18"/>
          <w:szCs w:val="18"/>
        </w:rPr>
      </w:pPr>
    </w:p>
    <w:p w:rsidR="0057641E" w:rsidRPr="001E09BE" w:rsidRDefault="005F29A3" w:rsidP="00EB1A53">
      <w:pPr>
        <w:jc w:val="both"/>
        <w:rPr>
          <w:rFonts w:ascii="Arial" w:hAnsi="Arial" w:cs="Arial"/>
          <w:sz w:val="22"/>
          <w:szCs w:val="22"/>
        </w:rPr>
      </w:pPr>
      <w:r>
        <w:rPr>
          <w:rFonts w:ascii="Arial" w:hAnsi="Arial"/>
          <w:sz w:val="22"/>
        </w:rPr>
        <w:t>Организация получает доходы в виде пошлин и добровольных взносов в различных валютах и несет расходы в иных валютах, не в швейцарских франках, которые являются ее «рабочей» валютой, и подвержена валютному риску, обусловленному колебаниями обменного курса</w:t>
      </w:r>
      <w:r w:rsidR="0005341A">
        <w:rPr>
          <w:rFonts w:ascii="Arial" w:hAnsi="Arial"/>
          <w:sz w:val="22"/>
        </w:rPr>
        <w:t>.  О</w:t>
      </w:r>
      <w:r>
        <w:rPr>
          <w:rFonts w:ascii="Arial" w:hAnsi="Arial"/>
          <w:sz w:val="22"/>
        </w:rPr>
        <w:t>рганизация также подвержена валютному риску по причине курсовой разницы между суммами, подлежащими уплате международным поисковым органам в соответствии с «Инструкцией к Договору о патентной кооперации», и суммами, получаемыми национальными патентными ведомствами в виде пошлин за проведение международного поиска от заявителей на выдачу международных патентов.</w:t>
      </w:r>
    </w:p>
    <w:p w:rsidR="0057641E" w:rsidRDefault="0057641E" w:rsidP="0057641E">
      <w:pPr>
        <w:pStyle w:val="Style3"/>
        <w:spacing w:after="0"/>
        <w:rPr>
          <w:rFonts w:cs="Arial"/>
          <w:szCs w:val="22"/>
        </w:rPr>
      </w:pPr>
    </w:p>
    <w:p w:rsidR="0057641E" w:rsidRDefault="005F29A3" w:rsidP="0057641E">
      <w:pPr>
        <w:pStyle w:val="Style3"/>
        <w:spacing w:after="0"/>
        <w:rPr>
          <w:rFonts w:cs="Arial"/>
          <w:szCs w:val="22"/>
        </w:rPr>
      </w:pPr>
      <w:r>
        <w:t>Организация также подвержена валютным рискам в связи с расходами по пенсионным выплатам сотрудникам, которые ранее являлись участниками Закрытого пенсионного фонда и в настоящее время участвуют в ОПФПООН</w:t>
      </w:r>
      <w:r w:rsidR="0005341A">
        <w:t>.  К</w:t>
      </w:r>
      <w:r>
        <w:t>роме того, Организация имеет внешние бюро в Бразилии, Китае, Японии, России, Сингапуре и США, которые располагают ограниченными активами в местной валюте</w:t>
      </w:r>
      <w:r w:rsidR="0005341A">
        <w:t>.  О</w:t>
      </w:r>
      <w:r>
        <w:t>рганизация лишь в ограниченных масштабах применяет финансовые инструменты для хеджирования валютных рисков, особенно в связи с краткосрочными инвестициями, когда она использует конвертирование швейцарских франков в евро на период до одного месяца</w:t>
      </w:r>
      <w:r w:rsidR="0005341A">
        <w:t>.  Н</w:t>
      </w:r>
      <w:r>
        <w:t>а отчетную дату Организация не имела действующих контрактов хеджирования.</w:t>
      </w:r>
    </w:p>
    <w:p w:rsidR="0057641E" w:rsidRDefault="0057641E" w:rsidP="0057641E">
      <w:pPr>
        <w:pStyle w:val="Style3"/>
        <w:spacing w:after="0"/>
        <w:rPr>
          <w:rFonts w:cs="Arial"/>
          <w:b/>
          <w:szCs w:val="22"/>
        </w:rPr>
      </w:pPr>
    </w:p>
    <w:p w:rsidR="0057641E" w:rsidRPr="00B531AD" w:rsidRDefault="005F29A3" w:rsidP="0057641E">
      <w:pPr>
        <w:pStyle w:val="Style3"/>
        <w:spacing w:after="0"/>
        <w:rPr>
          <w:rFonts w:cs="Arial"/>
          <w:b/>
          <w:szCs w:val="22"/>
        </w:rPr>
      </w:pPr>
      <w:r>
        <w:rPr>
          <w:b/>
        </w:rPr>
        <w:t>Анализ чувствительности к обменному курсу</w:t>
      </w:r>
    </w:p>
    <w:p w:rsidR="0057641E" w:rsidRPr="00B531AD" w:rsidRDefault="0057641E" w:rsidP="0057641E">
      <w:pPr>
        <w:pStyle w:val="Style3"/>
        <w:spacing w:after="0"/>
        <w:rPr>
          <w:rFonts w:cs="Arial"/>
          <w:szCs w:val="22"/>
        </w:rPr>
      </w:pPr>
    </w:p>
    <w:p w:rsidR="0057641E" w:rsidRPr="00AC3A81" w:rsidRDefault="005F29A3" w:rsidP="0057641E">
      <w:pPr>
        <w:pStyle w:val="Style3"/>
        <w:spacing w:after="0"/>
        <w:rPr>
          <w:rFonts w:cs="Arial"/>
          <w:szCs w:val="22"/>
        </w:rPr>
      </w:pPr>
      <w:r>
        <w:t>Анализ чувствительности к обменному курсу основан на разумных колебаниях обменных курсов</w:t>
      </w:r>
      <w:r w:rsidR="006B1BEC">
        <w:t>.  Б</w:t>
      </w:r>
      <w:r>
        <w:t>ыла применена ставка 10%, отражающая снижение котировок валют по отношению к швейцарскому франку в период после заявления Национального банка Швейцарии 15 января 2015 г. (см. примечание 27 «События, произошедшие после отчетной даты»)</w:t>
      </w:r>
      <w:r w:rsidR="0005341A">
        <w:t>.  Э</w:t>
      </w:r>
      <w:r>
        <w:t>тот анализ проводится в отношении финансовых активов и обязательств, которые хранятся в другой, отличной от швейцарского франка, валюте, для определения воздействия на доход, как указано ниже:</w:t>
      </w:r>
    </w:p>
    <w:p w:rsidR="0057641E" w:rsidRDefault="0057641E" w:rsidP="0057641E">
      <w:pPr>
        <w:pStyle w:val="Style3"/>
        <w:spacing w:after="0"/>
      </w:pPr>
    </w:p>
    <w:p w:rsidR="0057641E" w:rsidRDefault="00253DF5" w:rsidP="00FE32E4">
      <w:pPr>
        <w:pStyle w:val="Style3Bold"/>
        <w:spacing w:after="0"/>
        <w:jc w:val="center"/>
      </w:pPr>
      <w:r>
        <w:rPr>
          <w:noProof/>
          <w:lang w:val="en-US" w:eastAsia="en-US"/>
        </w:rPr>
        <w:lastRenderedPageBreak/>
        <w:drawing>
          <wp:inline distT="0" distB="0" distL="0" distR="0">
            <wp:extent cx="5610225" cy="3952875"/>
            <wp:effectExtent l="0" t="0" r="9525" b="952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610225" cy="3952875"/>
                    </a:xfrm>
                    <a:prstGeom prst="rect">
                      <a:avLst/>
                    </a:prstGeom>
                    <a:noFill/>
                    <a:ln>
                      <a:noFill/>
                    </a:ln>
                  </pic:spPr>
                </pic:pic>
              </a:graphicData>
            </a:graphic>
          </wp:inline>
        </w:drawing>
      </w:r>
    </w:p>
    <w:p w:rsidR="00475FF6" w:rsidRDefault="00475FF6" w:rsidP="00FE32E4">
      <w:pPr>
        <w:pStyle w:val="Style3Bold"/>
        <w:spacing w:after="0"/>
        <w:jc w:val="center"/>
        <w:rPr>
          <w:rFonts w:cs="Arial"/>
          <w:bCs w:val="0"/>
          <w:szCs w:val="22"/>
        </w:rPr>
      </w:pPr>
    </w:p>
    <w:p w:rsidR="00E01D49" w:rsidRPr="005665B6" w:rsidRDefault="005F29A3" w:rsidP="00FF54A6">
      <w:pPr>
        <w:pStyle w:val="Style3Bold"/>
        <w:spacing w:after="0"/>
        <w:rPr>
          <w:rFonts w:cs="Arial"/>
          <w:szCs w:val="22"/>
        </w:rPr>
      </w:pPr>
      <w:r>
        <w:t>Рыночный риск</w:t>
      </w:r>
    </w:p>
    <w:p w:rsidR="00E01D49" w:rsidRPr="00FF54A6" w:rsidRDefault="00E01D49" w:rsidP="00FF54A6">
      <w:pPr>
        <w:pStyle w:val="Style3"/>
        <w:spacing w:after="0"/>
        <w:rPr>
          <w:rFonts w:cs="Arial"/>
          <w:szCs w:val="22"/>
        </w:rPr>
      </w:pPr>
    </w:p>
    <w:p w:rsidR="00310C5D" w:rsidRDefault="005F29A3" w:rsidP="00FF54A6">
      <w:pPr>
        <w:pStyle w:val="Style3"/>
        <w:spacing w:after="0"/>
        <w:rPr>
          <w:rFonts w:cs="Arial"/>
          <w:szCs w:val="22"/>
        </w:rPr>
      </w:pPr>
      <w:r>
        <w:t>Рыночный риск — это риск изменения рыночной стоимости, например размера процентной ставки, который отразится на доходах Организации или стоимости ее финансовых инструментов</w:t>
      </w:r>
      <w:r w:rsidR="0005341A">
        <w:t>.  О</w:t>
      </w:r>
      <w:r>
        <w:t>рганизация подвержена риску падения процентной ставки в весьма незначительной степени, поскольку лишь 0,22% текущей сметы расходов финансируется за счет доходов от инвестиционной деятельности</w:t>
      </w:r>
      <w:r w:rsidR="0005341A">
        <w:t>.  П</w:t>
      </w:r>
      <w:r>
        <w:t>роцентные ставки по займу BCG/BCV на строительство нового здания зафиксированы на период предоставления средств</w:t>
      </w:r>
      <w:r w:rsidR="0005341A">
        <w:t>.  О</w:t>
      </w:r>
      <w:r>
        <w:t>рганизация не использует финансовые инструменты для хеджирования процентного риска</w:t>
      </w:r>
      <w:r w:rsidR="0005341A">
        <w:t>.  П</w:t>
      </w:r>
      <w:r>
        <w:t>роцентные ставки и сроки погашения финансовых инструментов на 31 декабря 2014 г. и 31 декабря 2013 г. приведены ниже:</w:t>
      </w:r>
    </w:p>
    <w:p w:rsidR="008B7BA2" w:rsidRDefault="008B7BA2" w:rsidP="00FF54A6">
      <w:pPr>
        <w:pStyle w:val="Style3"/>
        <w:spacing w:after="0"/>
      </w:pPr>
    </w:p>
    <w:p w:rsidR="0057641E" w:rsidRDefault="00253DF5" w:rsidP="00F23074">
      <w:pPr>
        <w:pStyle w:val="Style3"/>
        <w:spacing w:after="0"/>
        <w:jc w:val="center"/>
      </w:pPr>
      <w:r>
        <w:rPr>
          <w:noProof/>
          <w:lang w:val="en-US" w:eastAsia="en-US"/>
        </w:rPr>
        <w:drawing>
          <wp:inline distT="0" distB="0" distL="0" distR="0">
            <wp:extent cx="5629275" cy="2676525"/>
            <wp:effectExtent l="0" t="0" r="9525" b="952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629275" cy="2676525"/>
                    </a:xfrm>
                    <a:prstGeom prst="rect">
                      <a:avLst/>
                    </a:prstGeom>
                    <a:noFill/>
                    <a:ln>
                      <a:noFill/>
                    </a:ln>
                  </pic:spPr>
                </pic:pic>
              </a:graphicData>
            </a:graphic>
          </wp:inline>
        </w:drawing>
      </w:r>
    </w:p>
    <w:p w:rsidR="0057641E" w:rsidRDefault="00253DF5" w:rsidP="00052BF6">
      <w:pPr>
        <w:pStyle w:val="Style3"/>
        <w:spacing w:after="0"/>
        <w:jc w:val="center"/>
        <w:rPr>
          <w:lang w:val="en-US"/>
        </w:rPr>
      </w:pPr>
      <w:r>
        <w:rPr>
          <w:noProof/>
          <w:lang w:val="en-US" w:eastAsia="en-US"/>
        </w:rPr>
        <w:lastRenderedPageBreak/>
        <w:drawing>
          <wp:inline distT="0" distB="0" distL="0" distR="0">
            <wp:extent cx="5629275" cy="2543175"/>
            <wp:effectExtent l="0" t="0" r="9525" b="952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629275" cy="2543175"/>
                    </a:xfrm>
                    <a:prstGeom prst="rect">
                      <a:avLst/>
                    </a:prstGeom>
                    <a:noFill/>
                    <a:ln>
                      <a:noFill/>
                    </a:ln>
                  </pic:spPr>
                </pic:pic>
              </a:graphicData>
            </a:graphic>
          </wp:inline>
        </w:drawing>
      </w:r>
    </w:p>
    <w:p w:rsidR="00253DF5" w:rsidRPr="00253DF5" w:rsidRDefault="00253DF5" w:rsidP="00052BF6">
      <w:pPr>
        <w:pStyle w:val="Style3"/>
        <w:spacing w:after="0"/>
        <w:jc w:val="center"/>
        <w:rPr>
          <w:lang w:val="en-US"/>
        </w:rPr>
      </w:pPr>
    </w:p>
    <w:p w:rsidR="008B7BA2" w:rsidRPr="0057641E" w:rsidRDefault="005F29A3" w:rsidP="00FF54A6">
      <w:pPr>
        <w:pStyle w:val="Style3"/>
        <w:spacing w:after="0"/>
        <w:rPr>
          <w:rFonts w:cs="Arial"/>
          <w:szCs w:val="22"/>
        </w:rPr>
      </w:pPr>
      <w:r>
        <w:rPr>
          <w:b/>
        </w:rPr>
        <w:t>Анализ чувствительности к процентной ставке</w:t>
      </w:r>
    </w:p>
    <w:p w:rsidR="00310C5D" w:rsidRDefault="00310C5D" w:rsidP="00FF54A6">
      <w:pPr>
        <w:pStyle w:val="Style3"/>
        <w:spacing w:after="0"/>
        <w:rPr>
          <w:rFonts w:cs="Arial"/>
          <w:szCs w:val="22"/>
        </w:rPr>
      </w:pPr>
    </w:p>
    <w:p w:rsidR="0096115C" w:rsidRDefault="005F29A3" w:rsidP="00FF54A6">
      <w:pPr>
        <w:pStyle w:val="Style3"/>
        <w:spacing w:after="0"/>
        <w:rPr>
          <w:rFonts w:cs="Arial"/>
          <w:szCs w:val="22"/>
        </w:rPr>
      </w:pPr>
      <w:r>
        <w:t>Если бы в течение года средний размер процентной ставки был на 50 базисных пунктов выше или ниже, то это имело бы следующее воздействие на прибыль по процентам или расходы по процентам:</w:t>
      </w:r>
    </w:p>
    <w:p w:rsidR="0057641E" w:rsidRDefault="0057641E" w:rsidP="00A82302">
      <w:pPr>
        <w:pStyle w:val="Style3"/>
        <w:spacing w:after="0"/>
        <w:jc w:val="left"/>
        <w:rPr>
          <w:rFonts w:cs="Arial"/>
          <w:szCs w:val="22"/>
        </w:rPr>
      </w:pPr>
    </w:p>
    <w:p w:rsidR="003229DB" w:rsidRDefault="00253DF5" w:rsidP="006D4320">
      <w:pPr>
        <w:pStyle w:val="Style3"/>
        <w:spacing w:after="0"/>
        <w:jc w:val="center"/>
        <w:rPr>
          <w:rFonts w:cs="Arial"/>
          <w:szCs w:val="22"/>
        </w:rPr>
      </w:pPr>
      <w:r>
        <w:rPr>
          <w:rFonts w:cs="Arial"/>
          <w:noProof/>
          <w:szCs w:val="22"/>
          <w:lang w:val="en-US" w:eastAsia="en-US"/>
        </w:rPr>
        <w:drawing>
          <wp:inline distT="0" distB="0" distL="0" distR="0">
            <wp:extent cx="4848225" cy="2238375"/>
            <wp:effectExtent l="0" t="0" r="9525" b="952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4848225" cy="2238375"/>
                    </a:xfrm>
                    <a:prstGeom prst="rect">
                      <a:avLst/>
                    </a:prstGeom>
                    <a:noFill/>
                    <a:ln>
                      <a:noFill/>
                    </a:ln>
                  </pic:spPr>
                </pic:pic>
              </a:graphicData>
            </a:graphic>
          </wp:inline>
        </w:drawing>
      </w:r>
    </w:p>
    <w:p w:rsidR="00253DF5" w:rsidRDefault="00253DF5">
      <w:pPr>
        <w:rPr>
          <w:rFonts w:ascii="Arial" w:hAnsi="Arial" w:cs="Arial"/>
          <w:b/>
          <w:caps/>
          <w:sz w:val="22"/>
          <w:szCs w:val="28"/>
        </w:rPr>
      </w:pPr>
      <w:r>
        <w:br w:type="page"/>
      </w:r>
    </w:p>
    <w:p w:rsidR="00373121" w:rsidRDefault="005F29A3" w:rsidP="00161C1A">
      <w:pPr>
        <w:pStyle w:val="StyleHeading211ptNotBoldNotItalicAllcaps"/>
        <w:keepNext w:val="0"/>
        <w:spacing w:before="0" w:after="0"/>
        <w:rPr>
          <w:szCs w:val="22"/>
        </w:rPr>
      </w:pPr>
      <w:r w:rsidRPr="001311AA">
        <w:lastRenderedPageBreak/>
        <w:t>Примечание</w:t>
      </w:r>
      <w:r w:rsidR="001311AA" w:rsidRPr="001311AA">
        <w:t> </w:t>
      </w:r>
      <w:r w:rsidRPr="001311AA">
        <w:t>2</w:t>
      </w:r>
      <w:r>
        <w:t>6:</w:t>
      </w:r>
      <w:r>
        <w:tab/>
        <w:t>Курсовые прибыли и убытки</w:t>
      </w:r>
    </w:p>
    <w:p w:rsidR="00161C1A" w:rsidRPr="00253DF5" w:rsidRDefault="00253DF5" w:rsidP="0023150D">
      <w:pPr>
        <w:pStyle w:val="StyleHeading211ptNotBoldNotItalicAllcaps"/>
        <w:keepNext w:val="0"/>
        <w:spacing w:before="0" w:after="0"/>
        <w:rPr>
          <w:szCs w:val="22"/>
        </w:rPr>
      </w:pPr>
      <w:r>
        <w:rPr>
          <w:noProof/>
          <w:szCs w:val="22"/>
          <w:lang w:val="en-US" w:eastAsia="en-US"/>
        </w:rPr>
        <w:drawing>
          <wp:inline distT="0" distB="0" distL="0" distR="0">
            <wp:extent cx="5977255" cy="5469833"/>
            <wp:effectExtent l="0" t="0" r="4445"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977255" cy="5469833"/>
                    </a:xfrm>
                    <a:prstGeom prst="rect">
                      <a:avLst/>
                    </a:prstGeom>
                    <a:noFill/>
                    <a:ln>
                      <a:noFill/>
                    </a:ln>
                  </pic:spPr>
                </pic:pic>
              </a:graphicData>
            </a:graphic>
          </wp:inline>
        </w:drawing>
      </w:r>
    </w:p>
    <w:p w:rsidR="00FE32E4" w:rsidRDefault="005F29A3" w:rsidP="00161C1A">
      <w:pPr>
        <w:pStyle w:val="Styletexte"/>
        <w:spacing w:after="0"/>
      </w:pPr>
      <w:r>
        <w:t>Организация получает курсовые прибыли и несет курсовые убытки по счетам кредиторской и дебиторской задолженности в результате операций, совершаемых в иных валютах, чем швейцарский франк, в пересчете на обменный курс, действующий на дату совершения операции</w:t>
      </w:r>
      <w:r w:rsidR="0005341A">
        <w:t>.  К</w:t>
      </w:r>
      <w:r>
        <w:t>урсовые прибыли и убытки возникают в связи с международными пошлинами за подачу заявок и пошлинами за обработку по Договору о патентной кооперации, когда Организация получает их в иной валюте, чем швейцарский франк, и с платежами, производимыми международным поисковым органам согласно РСТ, поскольку они начисляются в валюте международного поискового органа, но взимаются ВОИС в швейцарских франках или же национальным получающим ведомством – в его местной валюте</w:t>
      </w:r>
      <w:r w:rsidR="0005341A">
        <w:t>.  К</w:t>
      </w:r>
      <w:r>
        <w:t>роме того, в финансовой отчетности признаны нереализованные прибыли и убытки, связанные с пересчетом сумм на банковских счетах и других денежных активов и пассивов в швейцарские франки по обменному курсу, действовавшему на отчетную дату</w:t>
      </w:r>
      <w:r w:rsidR="0005341A">
        <w:t>.  С</w:t>
      </w:r>
      <w:r>
        <w:t>альдо всех курсовых прибылей и убытков (0,9 млн шв. франков) признано в качестве одного из компонентов доходов в отчете о финансовых результатах, в основном в статье «Пошлины в системе РСТ».</w:t>
      </w:r>
    </w:p>
    <w:p w:rsidR="006D4320" w:rsidRPr="006D4320" w:rsidRDefault="006D4320" w:rsidP="00FE32E4">
      <w:pPr>
        <w:pStyle w:val="Styletexte"/>
        <w:keepNext/>
        <w:spacing w:after="0"/>
      </w:pPr>
    </w:p>
    <w:p w:rsidR="00253DF5" w:rsidRDefault="00253DF5">
      <w:pPr>
        <w:rPr>
          <w:rFonts w:ascii="Arial" w:hAnsi="Arial" w:cs="Arial"/>
          <w:b/>
          <w:caps/>
          <w:sz w:val="22"/>
          <w:szCs w:val="28"/>
        </w:rPr>
      </w:pPr>
      <w:r>
        <w:br w:type="page"/>
      </w:r>
    </w:p>
    <w:p w:rsidR="00373121" w:rsidRDefault="005F29A3" w:rsidP="002C14F3">
      <w:pPr>
        <w:pStyle w:val="StyleHeading211ptNotBoldNotItalicAllcaps"/>
        <w:spacing w:before="0" w:after="0"/>
      </w:pPr>
      <w:r w:rsidRPr="001311AA">
        <w:lastRenderedPageBreak/>
        <w:t>Примечание</w:t>
      </w:r>
      <w:r w:rsidR="001311AA" w:rsidRPr="001311AA">
        <w:t> </w:t>
      </w:r>
      <w:r w:rsidRPr="001311AA">
        <w:t>2</w:t>
      </w:r>
      <w:r>
        <w:t>7:</w:t>
      </w:r>
      <w:r>
        <w:tab/>
        <w:t>События, произошедшие после отчетной даты</w:t>
      </w:r>
    </w:p>
    <w:p w:rsidR="00373121" w:rsidRPr="00295680" w:rsidRDefault="00373121" w:rsidP="002C14F3">
      <w:pPr>
        <w:pStyle w:val="STYLETITRENOTES"/>
      </w:pPr>
    </w:p>
    <w:p w:rsidR="005239EC" w:rsidRPr="001E09BE" w:rsidRDefault="005F29A3" w:rsidP="002C14F3">
      <w:pPr>
        <w:pStyle w:val="Styletexte"/>
        <w:spacing w:after="0"/>
      </w:pPr>
      <w:r>
        <w:t>Отчетной датой в ВОИС является 31 декабря 2014 г., а публикация ее финансовой отчетности была разрешена 1 мая 2015 г</w:t>
      </w:r>
      <w:r w:rsidR="001E09BE">
        <w:t>.</w:t>
      </w:r>
    </w:p>
    <w:p w:rsidR="005239EC" w:rsidRDefault="005239EC" w:rsidP="002C14F3">
      <w:pPr>
        <w:pStyle w:val="Styletexte"/>
        <w:spacing w:after="0"/>
      </w:pPr>
    </w:p>
    <w:p w:rsidR="00373121" w:rsidRDefault="005F29A3" w:rsidP="002C14F3">
      <w:pPr>
        <w:pStyle w:val="Styletexte"/>
        <w:spacing w:after="0"/>
        <w:rPr>
          <w:rFonts w:cs="Arial"/>
          <w:szCs w:val="22"/>
        </w:rPr>
      </w:pPr>
      <w:r>
        <w:t>15 января 2015 г. Национальный банк Швейцарии (НБШ) объявил об отказе от политики удерживания курса франка к евро на минимальном уровне 1,20</w:t>
      </w:r>
      <w:r w:rsidR="0005341A">
        <w:t>.  Д</w:t>
      </w:r>
      <w:r>
        <w:t>анная политика проводилась с 6 сентября 2011 г</w:t>
      </w:r>
      <w:r w:rsidR="0005341A">
        <w:t>.  П</w:t>
      </w:r>
      <w:r>
        <w:t>осле заявления НБШ швейцарский франк резко укрепился, и все другие валюты снизились на валютных рынках по отношению к швейцарскому франку в среднем на 15%</w:t>
      </w:r>
      <w:r w:rsidR="0005341A">
        <w:t>.  О</w:t>
      </w:r>
      <w:r>
        <w:t>перативный обменный курс Организации Объединенных Наций (ООКООН), действующий с 15 января 2015 г., был опубликован двумя днями ранее и поэтому воздействие решения НБШ в нем учтено не было</w:t>
      </w:r>
      <w:r w:rsidR="0005341A">
        <w:t>.  Н</w:t>
      </w:r>
      <w:r>
        <w:t>овый ООКООН публиковался 29 января, 26 февраля и 11 марта 2015 г</w:t>
      </w:r>
      <w:r w:rsidR="006B1BEC">
        <w:t>.  В</w:t>
      </w:r>
      <w:r>
        <w:t xml:space="preserve"> таблице ниже приведены данные о снижении (в процентах) курса трех валют, в которых Организация получает основную часть пошлин, к швейцарскому франку, на основе опубликованного ООКООН до и после решения НБШ:</w:t>
      </w:r>
    </w:p>
    <w:p w:rsidR="00615D26" w:rsidRDefault="00615D26" w:rsidP="002C14F3">
      <w:pPr>
        <w:pStyle w:val="Styletexte"/>
        <w:spacing w:after="0"/>
        <w:rPr>
          <w:rFonts w:cs="Arial"/>
          <w:szCs w:val="22"/>
        </w:rPr>
      </w:pPr>
    </w:p>
    <w:p w:rsidR="00615D26" w:rsidRDefault="00253DF5" w:rsidP="00615D26">
      <w:pPr>
        <w:pStyle w:val="Styletexte"/>
        <w:spacing w:after="0"/>
        <w:jc w:val="center"/>
        <w:rPr>
          <w:rFonts w:cs="Arial"/>
          <w:szCs w:val="22"/>
        </w:rPr>
      </w:pPr>
      <w:r>
        <w:rPr>
          <w:rFonts w:cs="Arial"/>
          <w:noProof/>
          <w:szCs w:val="22"/>
          <w:lang w:val="en-US" w:eastAsia="en-US"/>
        </w:rPr>
        <w:drawing>
          <wp:inline distT="0" distB="0" distL="0" distR="0">
            <wp:extent cx="5977255" cy="1453927"/>
            <wp:effectExtent l="0" t="0" r="4445"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977255" cy="1453927"/>
                    </a:xfrm>
                    <a:prstGeom prst="rect">
                      <a:avLst/>
                    </a:prstGeom>
                    <a:noFill/>
                    <a:ln>
                      <a:noFill/>
                    </a:ln>
                  </pic:spPr>
                </pic:pic>
              </a:graphicData>
            </a:graphic>
          </wp:inline>
        </w:drawing>
      </w:r>
    </w:p>
    <w:p w:rsidR="00092748" w:rsidRDefault="005F29A3" w:rsidP="002C14F3">
      <w:pPr>
        <w:pStyle w:val="Styletexte"/>
        <w:spacing w:after="0"/>
        <w:rPr>
          <w:rFonts w:cs="Arial"/>
          <w:szCs w:val="22"/>
        </w:rPr>
      </w:pPr>
      <w:r>
        <w:t>Как видно из таблицы выше, после первоначального падения на 15,0% на протяжении следующих двух месяцев все три валюты в разной степени восстановились, хотя евро остается на уровне на 11,4% ниже, чем до решения НБШ</w:t>
      </w:r>
      <w:r w:rsidR="0005341A">
        <w:t>.  Т</w:t>
      </w:r>
      <w:r>
        <w:t>очно подсчитать воздействие на финансовое положение ВОИС в 2015 г. роста швейцарского франка затруднительно, но очевидно, что эффект будет негативным для пошлин от системы РСТ, оплаченных в валютах, отличных от швейцарского франка, по крайней мере в течение первого квартала года</w:t>
      </w:r>
      <w:r w:rsidR="006B1BEC">
        <w:t>.  В</w:t>
      </w:r>
      <w:r>
        <w:t xml:space="preserve"> результате укрепления швейцарского франка для ряда валют с 1 апреля 2015 г. установлены новые эквивалентные суммы международных пошлин за подачу заявок и пошлин за обработку</w:t>
      </w:r>
      <w:r w:rsidR="006B1BEC">
        <w:t>.  В</w:t>
      </w:r>
      <w:r>
        <w:t xml:space="preserve"> число этих валют вошло евро, но не доллар США и японская иена, которые отыграли значительную часть падения к швейцарскому франку и не соответствуют условиям для установления новой эквивалентной суммы</w:t>
      </w:r>
      <w:r w:rsidR="0005341A">
        <w:t>.  И</w:t>
      </w:r>
      <w:r>
        <w:t>сходя из анализа эквивалентных сумм в 2014 г. и 2015 г. т из ООКООН после решения НБШ, курсовой убыток по поступлениям от международных пошлин за подачу заявок по процедуре РСТ составляет от 2,0 до 5,0 млн шв. франков (см. стр. 12, «Обсуждение и анализ финансовых ведомостей»)</w:t>
      </w:r>
      <w:r w:rsidR="0005341A">
        <w:t>.  О</w:t>
      </w:r>
      <w:r>
        <w:t>ценка зависит от сроков поступления денежных средств от международных пошлин за подачу заявок по процедуре РСТ в будущем, а также от движения валютных курсов после публикации ООКООН 11 марта 2015 г.</w:t>
      </w:r>
    </w:p>
    <w:p w:rsidR="0023150D" w:rsidRPr="005A339A" w:rsidRDefault="0023150D" w:rsidP="002C14F3">
      <w:pPr>
        <w:pStyle w:val="Styletexte"/>
        <w:spacing w:after="0"/>
        <w:rPr>
          <w:rFonts w:cs="Arial"/>
          <w:szCs w:val="22"/>
        </w:rPr>
      </w:pPr>
    </w:p>
    <w:p w:rsidR="00373121" w:rsidRDefault="005F29A3" w:rsidP="002C14F3">
      <w:pPr>
        <w:pStyle w:val="StyleHeading211ptNotBoldNotItalicAllcaps"/>
        <w:spacing w:before="0" w:after="0"/>
      </w:pPr>
      <w:r w:rsidRPr="001311AA">
        <w:t>Примечание</w:t>
      </w:r>
      <w:r w:rsidR="001311AA" w:rsidRPr="001311AA">
        <w:t> </w:t>
      </w:r>
      <w:r w:rsidRPr="001311AA">
        <w:t>2</w:t>
      </w:r>
      <w:r>
        <w:t>8:</w:t>
      </w:r>
      <w:r>
        <w:tab/>
        <w:t>Сегментная отчетность</w:t>
      </w:r>
    </w:p>
    <w:p w:rsidR="00373121" w:rsidRPr="00FB4990" w:rsidRDefault="00373121" w:rsidP="002C14F3">
      <w:pPr>
        <w:pStyle w:val="STYLETITRENOTES"/>
      </w:pPr>
    </w:p>
    <w:p w:rsidR="00D16ECF" w:rsidRDefault="005F29A3" w:rsidP="002C14F3">
      <w:pPr>
        <w:pStyle w:val="Styletexte"/>
        <w:spacing w:after="0"/>
      </w:pPr>
      <w:r>
        <w:t>Сегментная отчетность представляется в формате, который идентифицирует различные Союзы в качестве сегментов, составляющих Всемирную организацию интеллектуальной собственности</w:t>
      </w:r>
      <w:r w:rsidR="0005341A">
        <w:t>.  С</w:t>
      </w:r>
      <w:r>
        <w:t>оюзы учреждены в соответствии с различными международными договорами, административные функции которых выполняет ВОИС.</w:t>
      </w:r>
    </w:p>
    <w:p w:rsidR="00373121" w:rsidRPr="00FB4990" w:rsidRDefault="00373121" w:rsidP="002C14F3">
      <w:pPr>
        <w:pStyle w:val="Styletexte"/>
        <w:spacing w:after="0"/>
      </w:pPr>
    </w:p>
    <w:p w:rsidR="00373121" w:rsidRPr="001E09BE" w:rsidRDefault="005F29A3" w:rsidP="002C14F3">
      <w:pPr>
        <w:pStyle w:val="Styletexte"/>
        <w:spacing w:after="0"/>
      </w:pPr>
      <w:r>
        <w:t>Союзы ВОИС, финансируемые за счет взносов, были сведены воедино для представительских целей</w:t>
      </w:r>
      <w:r w:rsidR="0005341A">
        <w:t>.  О</w:t>
      </w:r>
      <w:r>
        <w:t>ни включают Парижский, Бернский, Локарнский, Ниццкий и Венский союзы и Союз МПК, а также функции, предусматриваемые Конвенцией ВОИС</w:t>
      </w:r>
      <w:r w:rsidR="0005341A">
        <w:t>.  К</w:t>
      </w:r>
      <w:r>
        <w:t xml:space="preserve">аждый из таких Союзов, как Союз Договора о патентной кооперации (РСТ), Мадридский союз (товарные знаки), Гаагский союз (промышленные образцы) и Лиссабонский союз </w:t>
      </w:r>
      <w:r>
        <w:lastRenderedPageBreak/>
        <w:t>(наименования мест происхождения), управляется Ассамблеей, которая проводит ежегодные сессии для утверждения бюджета и принятия решений, которые могут потребоваться согласно соответствующим международным договорам</w:t>
      </w:r>
      <w:r w:rsidR="001E09BE">
        <w:t>.</w:t>
      </w:r>
    </w:p>
    <w:p w:rsidR="002C14F3" w:rsidRPr="00FB4990" w:rsidRDefault="002C14F3" w:rsidP="002C14F3">
      <w:pPr>
        <w:pStyle w:val="Styletexte"/>
        <w:spacing w:after="0"/>
      </w:pPr>
    </w:p>
    <w:p w:rsidR="00373121" w:rsidRDefault="005F29A3" w:rsidP="002C14F3">
      <w:pPr>
        <w:pStyle w:val="Styletexte"/>
        <w:spacing w:after="0"/>
      </w:pPr>
      <w:r>
        <w:t>Активы и пассивы ВОИС, кроме резервов, представляющих собой чистые активы, принадлежат и находятся в ведении всей Организации в целом, а не отдельных союзов или сегментов</w:t>
      </w:r>
      <w:r w:rsidR="006B1BEC">
        <w:t>.  А</w:t>
      </w:r>
      <w:r>
        <w:t>ктивы и пассивы, как правило, обеспечивают поддержку различной деятельности по оказанию услуг, охватывающих несколько союзов (сегментов)</w:t>
      </w:r>
      <w:r w:rsidR="0005341A">
        <w:t>.  Е</w:t>
      </w:r>
      <w:r>
        <w:t>динственным исключением является инвестиционная собственность в Мейране, которая принадлежит Мадридскому союзу</w:t>
      </w:r>
      <w:r w:rsidR="0005341A">
        <w:t>.  П</w:t>
      </w:r>
      <w:r>
        <w:t>оэтому в отчетности, представленной по отдельным сегментам и союзам, активы и пассивы не будут индивидуализированы</w:t>
      </w:r>
      <w:r w:rsidR="0005341A">
        <w:t>.  П</w:t>
      </w:r>
      <w:r>
        <w:t>о отдельным сегментам представлены только данные о чистых активах/капитале, включая фонды оборотных средств и резервы.</w:t>
      </w:r>
    </w:p>
    <w:p w:rsidR="002C14F3" w:rsidRDefault="002C14F3" w:rsidP="002C14F3">
      <w:pPr>
        <w:pStyle w:val="Styletexte"/>
        <w:spacing w:after="0"/>
      </w:pPr>
    </w:p>
    <w:p w:rsidR="00373121" w:rsidRPr="001E09BE" w:rsidRDefault="005F29A3" w:rsidP="002C14F3">
      <w:pPr>
        <w:pStyle w:val="Styletexte"/>
        <w:spacing w:after="0"/>
      </w:pPr>
      <w:r>
        <w:t>Большая часть доходов учтена по счетам ВОИС в разбивке по союзам</w:t>
      </w:r>
      <w:r w:rsidR="0005341A">
        <w:t>.  Д</w:t>
      </w:r>
      <w:r>
        <w:t>оходы в виде процентов распределены между союзами исходя из общих резервов наличности и текущих доходов в 2014 г</w:t>
      </w:r>
      <w:r w:rsidR="0005341A">
        <w:t>.  Р</w:t>
      </w:r>
      <w:r>
        <w:t>асходы учтены в разбивке по программам, а затем перераспределены между различными Союзами с использованием методики, одобренной Генеральной Ассамблеей ВОИС при принятии Программы и бюджета ВОИС на 2014-2015 гг</w:t>
      </w:r>
      <w:r w:rsidR="001E09BE">
        <w:t>.</w:t>
      </w:r>
    </w:p>
    <w:p w:rsidR="002C14F3" w:rsidRPr="00FB4990" w:rsidRDefault="002C14F3" w:rsidP="002C14F3">
      <w:pPr>
        <w:pStyle w:val="Styletexte"/>
        <w:spacing w:after="0"/>
      </w:pPr>
    </w:p>
    <w:p w:rsidR="00373121" w:rsidRDefault="005F29A3" w:rsidP="002C14F3">
      <w:pPr>
        <w:pStyle w:val="Styletexte"/>
        <w:spacing w:after="0"/>
      </w:pPr>
      <w:r>
        <w:t>В качестве отдельного сегмента выделены добровольные взносы, представляющие собой суммы, которыми ВОИС управляет от имени отдельных доноров в интересах осуществлением программ, связанных с мандатом ВОИС</w:t>
      </w:r>
      <w:r w:rsidR="0005341A">
        <w:t>.  Д</w:t>
      </w:r>
      <w:r>
        <w:t>оходы и расходы, касающиеся добровольных взносов (специальные счета), учтены отдельно в соответствии с системой финансового учета.</w:t>
      </w:r>
    </w:p>
    <w:p w:rsidR="002C14F3" w:rsidRDefault="002C14F3" w:rsidP="002C14F3">
      <w:pPr>
        <w:pStyle w:val="Styletexte"/>
        <w:spacing w:after="0"/>
      </w:pPr>
    </w:p>
    <w:p w:rsidR="00055451" w:rsidRDefault="005F29A3" w:rsidP="00521AF6">
      <w:pPr>
        <w:pStyle w:val="Styletexte"/>
        <w:spacing w:after="0"/>
      </w:pPr>
      <w:r>
        <w:t>Все расходы распределены между союзами, представляющими собой сегменты, с использованием утвержденной методики распределения</w:t>
      </w:r>
      <w:r w:rsidR="0005341A">
        <w:t>.  Р</w:t>
      </w:r>
      <w:r>
        <w:t>асходы по сегменту специальных счетов, касающиеся добровольных взносов в Организацию, учтены в качестве фактических расходов</w:t>
      </w:r>
      <w:r w:rsidR="0005341A">
        <w:t>.  Е</w:t>
      </w:r>
      <w:r>
        <w:t>динственной межсегментной статьей расходов являются расходы союзов на поддержку программ, произведенные в дополнение к расходам по специальным счетам</w:t>
      </w:r>
      <w:r w:rsidR="0005341A">
        <w:t>.  Р</w:t>
      </w:r>
      <w:r>
        <w:t>асходы на поддержку программ учены по специальным счетам, исходя из процентной доли совокупных прямых расходов, оговоренной в соглашении с донором, осуществившим добровольный взнос.</w:t>
      </w:r>
    </w:p>
    <w:p w:rsidR="00521AF6" w:rsidRPr="00055451" w:rsidRDefault="005F29A3" w:rsidP="00521AF6">
      <w:pPr>
        <w:pStyle w:val="Styletexte"/>
        <w:spacing w:after="0"/>
        <w:rPr>
          <w:b/>
        </w:rPr>
      </w:pPr>
      <w:r>
        <w:br w:type="page"/>
      </w:r>
      <w:r>
        <w:rPr>
          <w:b/>
        </w:rPr>
        <w:lastRenderedPageBreak/>
        <w:t>Доходы, расходы и резервы в разбивке по сегментам</w:t>
      </w:r>
    </w:p>
    <w:p w:rsidR="00D004F0" w:rsidRDefault="00253DF5" w:rsidP="0025037B">
      <w:pPr>
        <w:pStyle w:val="Styletexte"/>
        <w:spacing w:after="0"/>
        <w:jc w:val="center"/>
      </w:pPr>
      <w:r>
        <w:rPr>
          <w:noProof/>
          <w:lang w:val="en-US" w:eastAsia="en-US"/>
        </w:rPr>
        <w:drawing>
          <wp:inline distT="0" distB="0" distL="0" distR="0">
            <wp:extent cx="5977255" cy="8084491"/>
            <wp:effectExtent l="0" t="0" r="444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977255" cy="8084491"/>
                    </a:xfrm>
                    <a:prstGeom prst="rect">
                      <a:avLst/>
                    </a:prstGeom>
                    <a:noFill/>
                    <a:ln>
                      <a:noFill/>
                    </a:ln>
                  </pic:spPr>
                </pic:pic>
              </a:graphicData>
            </a:graphic>
          </wp:inline>
        </w:drawing>
      </w:r>
    </w:p>
    <w:p w:rsidR="007231F5" w:rsidRPr="009819C5" w:rsidRDefault="005F29A3" w:rsidP="00521AF6">
      <w:pPr>
        <w:pStyle w:val="Styletexte"/>
        <w:spacing w:after="0"/>
      </w:pPr>
      <w:r>
        <w:rPr>
          <w:sz w:val="18"/>
        </w:rPr>
        <w:t>Примечание: Мадридский союз взял на себя финансирование взноса Гаагского союза в размере 3 млн шв. франков в Программу модернизации информационных технологий Мадридской и Гаагской систем регистрации</w:t>
      </w:r>
      <w:r w:rsidR="0005341A">
        <w:rPr>
          <w:sz w:val="18"/>
        </w:rPr>
        <w:t>.  Э</w:t>
      </w:r>
      <w:r>
        <w:rPr>
          <w:sz w:val="18"/>
        </w:rPr>
        <w:t>та сумма будет возмещена Гаагским союзом Мадридскому союзу, как только уровень резервов в резервном фонде Гаагского союза позволит это сделать.</w:t>
      </w:r>
    </w:p>
    <w:p w:rsidR="005F29A3" w:rsidRDefault="005F29A3" w:rsidP="00521AF6">
      <w:pPr>
        <w:pStyle w:val="Styletexte"/>
        <w:spacing w:after="0"/>
        <w:sectPr w:rsidR="005F29A3" w:rsidSect="0080775C">
          <w:pgSz w:w="11907" w:h="16840" w:code="9"/>
          <w:pgMar w:top="851" w:right="1247" w:bottom="1531" w:left="1247" w:header="709" w:footer="709" w:gutter="0"/>
          <w:cols w:space="708"/>
          <w:docGrid w:linePitch="360"/>
        </w:sectPr>
      </w:pPr>
    </w:p>
    <w:p w:rsidR="008F054B" w:rsidRPr="003928E9" w:rsidRDefault="005F29A3" w:rsidP="00323B8C">
      <w:pPr>
        <w:pStyle w:val="STYLE2LASTONE"/>
        <w:ind w:left="-270" w:right="-234" w:firstLine="0"/>
        <w:jc w:val="center"/>
        <w:rPr>
          <w:rFonts w:eastAsia="SimSun" w:cs="Arial"/>
          <w:bCs w:val="0"/>
          <w:caps/>
          <w:color w:val="000000"/>
          <w:kern w:val="32"/>
          <w:sz w:val="22"/>
          <w:szCs w:val="32"/>
        </w:rPr>
      </w:pPr>
      <w:bookmarkStart w:id="21" w:name="_Toc301187119"/>
      <w:r>
        <w:rPr>
          <w:sz w:val="22"/>
        </w:rPr>
        <w:lastRenderedPageBreak/>
        <w:t xml:space="preserve">nor </w:t>
      </w:r>
      <w:bookmarkEnd w:id="21"/>
      <w:r>
        <w:rPr>
          <w:caps/>
          <w:color w:val="000000"/>
          <w:kern w:val="32"/>
          <w:sz w:val="22"/>
        </w:rPr>
        <w:t>ПРИЛОЖЕНИЕ I</w:t>
      </w:r>
      <w:r>
        <w:br/>
      </w:r>
      <w:r>
        <w:br/>
      </w:r>
      <w:r>
        <w:rPr>
          <w:caps/>
          <w:color w:val="000000"/>
          <w:kern w:val="32"/>
          <w:sz w:val="22"/>
        </w:rPr>
        <w:t>ОТЧЕТ О ФИНАНСОВОМ ПОЛОЖЕНИИ В РАЗБИВКЕ ПО ИСТОЧНИКАМ ФИНАНСИРОВАНИЯ [НЕ ПРОШЛО АУДИТОРСКУЮ ПРОВЕРКУ]</w:t>
      </w:r>
    </w:p>
    <w:p w:rsidR="008F054B" w:rsidRPr="002C14F3" w:rsidRDefault="005F29A3" w:rsidP="002C14F3">
      <w:pPr>
        <w:jc w:val="center"/>
        <w:rPr>
          <w:rFonts w:ascii="Arial" w:eastAsia="SimSun" w:hAnsi="Arial" w:cs="Arial"/>
          <w:b/>
          <w:sz w:val="20"/>
          <w:szCs w:val="20"/>
        </w:rPr>
      </w:pPr>
      <w:r>
        <w:rPr>
          <w:rFonts w:ascii="Arial" w:hAnsi="Arial"/>
          <w:b/>
          <w:sz w:val="20"/>
        </w:rPr>
        <w:t>по состоянию на 3</w:t>
      </w:r>
      <w:r w:rsidRPr="001311AA">
        <w:rPr>
          <w:rFonts w:ascii="Arial" w:hAnsi="Arial"/>
          <w:b/>
          <w:sz w:val="20"/>
        </w:rPr>
        <w:t>1</w:t>
      </w:r>
      <w:r w:rsidR="001311AA" w:rsidRPr="001311AA">
        <w:rPr>
          <w:rFonts w:ascii="Arial" w:hAnsi="Arial"/>
          <w:b/>
          <w:sz w:val="20"/>
        </w:rPr>
        <w:t> </w:t>
      </w:r>
      <w:r w:rsidRPr="001311AA">
        <w:rPr>
          <w:rFonts w:ascii="Arial" w:hAnsi="Arial"/>
          <w:b/>
          <w:sz w:val="20"/>
        </w:rPr>
        <w:t>декабря</w:t>
      </w:r>
      <w:r>
        <w:rPr>
          <w:rFonts w:ascii="Arial" w:hAnsi="Arial"/>
          <w:b/>
          <w:sz w:val="20"/>
        </w:rPr>
        <w:t xml:space="preserve"> 2014 г.</w:t>
      </w:r>
    </w:p>
    <w:p w:rsidR="008F054B" w:rsidRPr="00CC7A73" w:rsidRDefault="005F29A3" w:rsidP="002C14F3">
      <w:pPr>
        <w:jc w:val="center"/>
        <w:rPr>
          <w:rFonts w:ascii="Arial" w:eastAsia="SimSun" w:hAnsi="Arial" w:cs="Arial"/>
          <w:i/>
          <w:sz w:val="20"/>
          <w:szCs w:val="20"/>
        </w:rPr>
      </w:pPr>
      <w:r>
        <w:rPr>
          <w:rFonts w:ascii="Arial" w:hAnsi="Arial"/>
          <w:i/>
          <w:sz w:val="20"/>
        </w:rPr>
        <w:t>(в тыс. шв. франков)</w:t>
      </w:r>
    </w:p>
    <w:p w:rsidR="008F054B" w:rsidRPr="007343D2" w:rsidRDefault="00253DF5" w:rsidP="002C14F3">
      <w:pPr>
        <w:pStyle w:val="Styletexte"/>
        <w:spacing w:after="0"/>
        <w:jc w:val="center"/>
      </w:pPr>
      <w:r>
        <w:rPr>
          <w:noProof/>
          <w:lang w:val="en-US" w:eastAsia="en-US"/>
        </w:rPr>
        <w:drawing>
          <wp:inline distT="0" distB="0" distL="0" distR="0">
            <wp:extent cx="7400925" cy="5145523"/>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7400925" cy="5145523"/>
                    </a:xfrm>
                    <a:prstGeom prst="rect">
                      <a:avLst/>
                    </a:prstGeom>
                    <a:noFill/>
                    <a:ln>
                      <a:noFill/>
                    </a:ln>
                  </pic:spPr>
                </pic:pic>
              </a:graphicData>
            </a:graphic>
          </wp:inline>
        </w:drawing>
      </w:r>
    </w:p>
    <w:p w:rsidR="002C14F3" w:rsidRPr="003928E9" w:rsidRDefault="005F29A3" w:rsidP="00323B8C">
      <w:pPr>
        <w:pStyle w:val="Heading1"/>
        <w:keepNext/>
        <w:spacing w:after="0"/>
        <w:ind w:left="-270" w:right="-234" w:firstLine="0"/>
        <w:jc w:val="center"/>
        <w:rPr>
          <w:rFonts w:ascii="Arial" w:eastAsia="SimSun" w:hAnsi="Arial" w:cs="Arial"/>
          <w:bCs/>
          <w:caps/>
          <w:color w:val="000000"/>
          <w:kern w:val="32"/>
          <w:sz w:val="22"/>
          <w:szCs w:val="32"/>
        </w:rPr>
      </w:pPr>
      <w:r w:rsidRPr="00253DF5">
        <w:rPr>
          <w:rFonts w:ascii="Arial" w:hAnsi="Arial"/>
          <w:caps/>
          <w:color w:val="000000"/>
          <w:kern w:val="32"/>
          <w:sz w:val="22"/>
        </w:rPr>
        <w:br w:type="page"/>
      </w:r>
      <w:r>
        <w:rPr>
          <w:rFonts w:ascii="Arial" w:hAnsi="Arial"/>
          <w:caps/>
          <w:color w:val="000000"/>
          <w:kern w:val="32"/>
          <w:sz w:val="22"/>
        </w:rPr>
        <w:lastRenderedPageBreak/>
        <w:t>ПРИЛОЖЕНИЕ II</w:t>
      </w:r>
      <w:r>
        <w:br/>
      </w:r>
      <w:r w:rsidRPr="00271CAA">
        <w:rPr>
          <w:sz w:val="24"/>
        </w:rPr>
        <w:br/>
      </w:r>
      <w:r>
        <w:rPr>
          <w:rFonts w:ascii="Arial" w:hAnsi="Arial"/>
          <w:caps/>
          <w:color w:val="000000"/>
          <w:kern w:val="32"/>
          <w:sz w:val="22"/>
        </w:rPr>
        <w:t>ОТЧЕТ О ФИНАНСОВЫХ РЕЗУЛЬТАТАХ В РАЗБИВКЕ ПО ИСТОЧНИКАМ ФИНАНСИРОВАНИЯ [НЕ ПРОШЛО АУДИТОРСКУЮ ПРОВЕРКУ]</w:t>
      </w:r>
    </w:p>
    <w:p w:rsidR="002C14F3" w:rsidRPr="002C14F3" w:rsidRDefault="005F29A3" w:rsidP="002C14F3">
      <w:pPr>
        <w:jc w:val="center"/>
        <w:rPr>
          <w:rFonts w:ascii="Arial" w:eastAsia="SimSun" w:hAnsi="Arial" w:cs="Arial"/>
          <w:b/>
          <w:sz w:val="20"/>
          <w:szCs w:val="20"/>
        </w:rPr>
      </w:pPr>
      <w:r>
        <w:rPr>
          <w:rFonts w:ascii="Arial" w:hAnsi="Arial"/>
          <w:b/>
          <w:sz w:val="20"/>
        </w:rPr>
        <w:t>за год, окончившийся 31 декабря 2014 г.</w:t>
      </w:r>
    </w:p>
    <w:p w:rsidR="002C14F3" w:rsidRPr="00CC7A73" w:rsidRDefault="005F29A3" w:rsidP="00EF734D">
      <w:pPr>
        <w:pStyle w:val="Styletexte"/>
        <w:spacing w:after="0"/>
        <w:jc w:val="center"/>
        <w:rPr>
          <w:rFonts w:eastAsia="SimSun" w:cs="Arial"/>
          <w:i/>
          <w:sz w:val="20"/>
        </w:rPr>
      </w:pPr>
      <w:r>
        <w:rPr>
          <w:i/>
          <w:sz w:val="20"/>
        </w:rPr>
        <w:t>(в тыс. шв. франков)</w:t>
      </w:r>
    </w:p>
    <w:p w:rsidR="00306F6C" w:rsidRDefault="00271CAA" w:rsidP="00BB798A">
      <w:pPr>
        <w:jc w:val="center"/>
      </w:pPr>
      <w:r>
        <w:rPr>
          <w:noProof/>
          <w:lang w:val="en-US" w:eastAsia="en-US"/>
        </w:rPr>
        <w:drawing>
          <wp:inline distT="0" distB="0" distL="0" distR="0">
            <wp:extent cx="8028676" cy="5202254"/>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8029766" cy="5202960"/>
                    </a:xfrm>
                    <a:prstGeom prst="rect">
                      <a:avLst/>
                    </a:prstGeom>
                    <a:noFill/>
                    <a:ln>
                      <a:noFill/>
                    </a:ln>
                  </pic:spPr>
                </pic:pic>
              </a:graphicData>
            </a:graphic>
          </wp:inline>
        </w:drawing>
      </w:r>
    </w:p>
    <w:p w:rsidR="005F29A3" w:rsidRPr="00271CAA" w:rsidRDefault="005F29A3" w:rsidP="00170CF4">
      <w:pPr>
        <w:rPr>
          <w:lang w:val="en-US"/>
        </w:rPr>
        <w:sectPr w:rsidR="005F29A3" w:rsidRPr="00271CAA" w:rsidSect="006262D3">
          <w:footerReference w:type="default" r:id="rId119"/>
          <w:pgSz w:w="16840" w:h="11907" w:orient="landscape" w:code="9"/>
          <w:pgMar w:top="851" w:right="1247" w:bottom="1079" w:left="1247" w:header="709" w:footer="188" w:gutter="0"/>
          <w:cols w:space="708"/>
          <w:docGrid w:linePitch="360"/>
        </w:sectPr>
      </w:pPr>
    </w:p>
    <w:p w:rsidR="006B3B82" w:rsidRPr="003928E9" w:rsidRDefault="005F29A3" w:rsidP="006B3B82">
      <w:pPr>
        <w:pStyle w:val="Heading1"/>
        <w:keepNext/>
        <w:spacing w:after="0"/>
        <w:ind w:left="0" w:firstLine="0"/>
        <w:jc w:val="center"/>
        <w:rPr>
          <w:rFonts w:ascii="Arial" w:eastAsia="SimSun" w:hAnsi="Arial" w:cs="Arial"/>
          <w:bCs/>
          <w:caps/>
          <w:color w:val="000000"/>
          <w:kern w:val="32"/>
          <w:sz w:val="22"/>
          <w:szCs w:val="32"/>
        </w:rPr>
      </w:pPr>
      <w:r>
        <w:rPr>
          <w:rFonts w:ascii="Arial" w:hAnsi="Arial"/>
          <w:caps/>
          <w:color w:val="000000"/>
          <w:kern w:val="32"/>
          <w:sz w:val="22"/>
        </w:rPr>
        <w:lastRenderedPageBreak/>
        <w:t>ПРИЛОЖЕНИЕ III</w:t>
      </w:r>
      <w:r>
        <w:br/>
      </w:r>
      <w:r w:rsidRPr="00277991">
        <w:rPr>
          <w:rFonts w:ascii="Arial" w:hAnsi="Arial"/>
          <w:caps/>
          <w:color w:val="000000"/>
          <w:kern w:val="32"/>
          <w:sz w:val="22"/>
        </w:rPr>
        <w:br/>
      </w:r>
      <w:r>
        <w:rPr>
          <w:rFonts w:ascii="Arial" w:hAnsi="Arial"/>
          <w:caps/>
          <w:color w:val="000000"/>
          <w:kern w:val="32"/>
          <w:sz w:val="22"/>
        </w:rPr>
        <w:t>СПЕЦИАЛЬНЫЕ СЧЕТА В РАЗБИВКЕ ПО ВЗНОСАМ ДОНОРОВ</w:t>
      </w:r>
    </w:p>
    <w:p w:rsidR="006B3B82" w:rsidRDefault="005F29A3" w:rsidP="006B3B82">
      <w:pPr>
        <w:jc w:val="center"/>
        <w:rPr>
          <w:rFonts w:ascii="Arial" w:eastAsia="SimSun" w:hAnsi="Arial" w:cs="Arial"/>
          <w:b/>
          <w:sz w:val="20"/>
          <w:szCs w:val="20"/>
        </w:rPr>
      </w:pPr>
      <w:r>
        <w:rPr>
          <w:rFonts w:ascii="Arial" w:hAnsi="Arial"/>
          <w:b/>
          <w:sz w:val="20"/>
        </w:rPr>
        <w:t>(в шв. франках)</w:t>
      </w:r>
    </w:p>
    <w:p w:rsidR="00674B79" w:rsidRDefault="00674B79" w:rsidP="00EF734D">
      <w:pPr>
        <w:jc w:val="center"/>
        <w:rPr>
          <w:rFonts w:eastAsia="SimSun"/>
        </w:rPr>
      </w:pPr>
    </w:p>
    <w:p w:rsidR="00754209" w:rsidRDefault="00271CAA" w:rsidP="00EF734D">
      <w:pPr>
        <w:jc w:val="center"/>
        <w:rPr>
          <w:rFonts w:eastAsia="SimSun"/>
        </w:rPr>
      </w:pPr>
      <w:r>
        <w:rPr>
          <w:rFonts w:eastAsia="SimSun"/>
          <w:noProof/>
          <w:lang w:val="en-US" w:eastAsia="en-US"/>
        </w:rPr>
        <w:drawing>
          <wp:inline distT="0" distB="0" distL="0" distR="0" wp14:anchorId="0AB35891" wp14:editId="1D59675A">
            <wp:extent cx="7535145" cy="4568472"/>
            <wp:effectExtent l="0" t="0" r="8890" b="381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7546246" cy="4575202"/>
                    </a:xfrm>
                    <a:prstGeom prst="rect">
                      <a:avLst/>
                    </a:prstGeom>
                    <a:noFill/>
                    <a:ln>
                      <a:noFill/>
                    </a:ln>
                  </pic:spPr>
                </pic:pic>
              </a:graphicData>
            </a:graphic>
          </wp:inline>
        </w:drawing>
      </w:r>
    </w:p>
    <w:p w:rsidR="00A67179" w:rsidRPr="00C950F5" w:rsidRDefault="00A67179" w:rsidP="00C950F5">
      <w:pPr>
        <w:autoSpaceDE w:val="0"/>
        <w:autoSpaceDN w:val="0"/>
        <w:adjustRightInd w:val="0"/>
        <w:rPr>
          <w:rFonts w:ascii="Arial" w:hAnsi="Arial" w:cs="Arial"/>
          <w:sz w:val="18"/>
          <w:szCs w:val="18"/>
        </w:rPr>
      </w:pPr>
    </w:p>
    <w:p w:rsidR="00277991" w:rsidRPr="00F97F0D" w:rsidRDefault="005F29A3" w:rsidP="00C950F5">
      <w:pPr>
        <w:pStyle w:val="Heading1"/>
        <w:keepNext/>
        <w:spacing w:after="0"/>
        <w:ind w:left="0" w:firstLine="0"/>
        <w:jc w:val="left"/>
        <w:rPr>
          <w:rFonts w:ascii="Arial" w:hAnsi="Arial"/>
          <w:b w:val="0"/>
          <w:color w:val="auto"/>
          <w:sz w:val="18"/>
        </w:rPr>
      </w:pPr>
      <w:r w:rsidRPr="00F54EDC">
        <w:rPr>
          <w:rFonts w:ascii="Arial" w:hAnsi="Arial"/>
          <w:b w:val="0"/>
          <w:color w:val="auto"/>
          <w:sz w:val="18"/>
        </w:rPr>
        <w:t>Данная таблица составлена в соответствии с требованиями СУСООН в отношении отчетности по донорам, которые не предусматривают указания расходов нарастающим итогом</w:t>
      </w:r>
      <w:r w:rsidR="006B1BEC" w:rsidRPr="00F54EDC">
        <w:rPr>
          <w:rFonts w:ascii="Arial" w:hAnsi="Arial"/>
          <w:b w:val="0"/>
          <w:color w:val="auto"/>
          <w:sz w:val="18"/>
        </w:rPr>
        <w:t>.  В</w:t>
      </w:r>
      <w:r w:rsidRPr="00F54EDC">
        <w:rPr>
          <w:rFonts w:ascii="Arial" w:hAnsi="Arial"/>
          <w:b w:val="0"/>
          <w:color w:val="auto"/>
          <w:sz w:val="18"/>
        </w:rPr>
        <w:t xml:space="preserve"> настоящую таблицу не включены корректировки по МСУГС конечных (31 декабря 2014</w:t>
      </w:r>
      <w:r w:rsidR="001311AA" w:rsidRPr="00F54EDC">
        <w:rPr>
          <w:rFonts w:ascii="Arial" w:hAnsi="Arial"/>
          <w:b w:val="0"/>
          <w:color w:val="auto"/>
          <w:sz w:val="18"/>
        </w:rPr>
        <w:t> </w:t>
      </w:r>
      <w:r w:rsidRPr="00F54EDC">
        <w:rPr>
          <w:rFonts w:ascii="Arial" w:hAnsi="Arial"/>
          <w:b w:val="0"/>
          <w:color w:val="auto"/>
          <w:sz w:val="18"/>
        </w:rPr>
        <w:t>г.) сальдо, которые отражены в цифрах, приведенных в примечании 14 («Авансовые поступления») (см. строку  «Доходы будущих периодов по неторговым операциям»).</w:t>
      </w:r>
    </w:p>
    <w:p w:rsidR="00277991" w:rsidRPr="00F54EDC" w:rsidRDefault="00277991" w:rsidP="00C950F5">
      <w:pPr>
        <w:pStyle w:val="Heading1"/>
        <w:keepNext/>
        <w:spacing w:after="0"/>
        <w:ind w:left="0" w:firstLine="0"/>
        <w:jc w:val="left"/>
        <w:rPr>
          <w:b w:val="0"/>
        </w:rPr>
        <w:sectPr w:rsidR="00277991" w:rsidRPr="00F54EDC" w:rsidSect="00277991">
          <w:footerReference w:type="even" r:id="rId121"/>
          <w:pgSz w:w="16840" w:h="11907" w:orient="landscape" w:code="9"/>
          <w:pgMar w:top="851" w:right="1247" w:bottom="1079" w:left="1247" w:header="709" w:footer="188" w:gutter="0"/>
          <w:cols w:space="708"/>
          <w:docGrid w:linePitch="360"/>
        </w:sectPr>
      </w:pPr>
    </w:p>
    <w:p w:rsidR="00A2720E" w:rsidRPr="003928E9" w:rsidRDefault="005F29A3" w:rsidP="0069733A">
      <w:pPr>
        <w:pStyle w:val="Heading1"/>
        <w:keepNext/>
        <w:spacing w:after="0"/>
        <w:ind w:left="0" w:firstLine="0"/>
        <w:jc w:val="center"/>
        <w:rPr>
          <w:rFonts w:ascii="Arial" w:eastAsia="SimSun" w:hAnsi="Arial" w:cs="Arial"/>
          <w:bCs/>
          <w:caps/>
          <w:color w:val="000000"/>
          <w:kern w:val="32"/>
          <w:sz w:val="22"/>
          <w:szCs w:val="32"/>
        </w:rPr>
      </w:pPr>
      <w:r>
        <w:rPr>
          <w:rFonts w:ascii="Arial" w:hAnsi="Arial"/>
          <w:caps/>
          <w:color w:val="000000"/>
          <w:kern w:val="32"/>
          <w:sz w:val="22"/>
        </w:rPr>
        <w:lastRenderedPageBreak/>
        <w:t>ПРИЛОЖЕНИЕ IV</w:t>
      </w:r>
      <w:r>
        <w:br/>
      </w:r>
      <w:r w:rsidRPr="0069733A">
        <w:rPr>
          <w:sz w:val="24"/>
        </w:rPr>
        <w:br/>
      </w:r>
      <w:r>
        <w:rPr>
          <w:rFonts w:ascii="Arial" w:hAnsi="Arial"/>
          <w:caps/>
          <w:color w:val="000000"/>
          <w:kern w:val="32"/>
          <w:sz w:val="22"/>
        </w:rPr>
        <w:t>ВЫПЛАТЫ ВОИС EX Gratia</w:t>
      </w:r>
    </w:p>
    <w:p w:rsidR="00775B0D" w:rsidRDefault="00775B0D" w:rsidP="00775B0D">
      <w:pPr>
        <w:autoSpaceDE w:val="0"/>
        <w:autoSpaceDN w:val="0"/>
        <w:adjustRightInd w:val="0"/>
        <w:jc w:val="both"/>
        <w:rPr>
          <w:rFonts w:ascii="Arial" w:hAnsi="Arial" w:cs="Arial"/>
          <w:sz w:val="18"/>
          <w:szCs w:val="18"/>
        </w:rPr>
      </w:pPr>
    </w:p>
    <w:p w:rsidR="001F0F2B" w:rsidRPr="004E4148" w:rsidRDefault="005F29A3" w:rsidP="00775B0D">
      <w:pPr>
        <w:autoSpaceDE w:val="0"/>
        <w:autoSpaceDN w:val="0"/>
        <w:adjustRightInd w:val="0"/>
        <w:jc w:val="both"/>
        <w:rPr>
          <w:rFonts w:ascii="Arial" w:hAnsi="Arial" w:cs="Arial"/>
          <w:sz w:val="22"/>
          <w:szCs w:val="22"/>
        </w:rPr>
      </w:pPr>
      <w:r>
        <w:rPr>
          <w:rFonts w:ascii="Arial" w:hAnsi="Arial"/>
          <w:sz w:val="22"/>
        </w:rPr>
        <w:t>Финансовое положение 5.10 гласит, что сводная ведомость выплат ex gratia за календарный год включается в годовые финансовые ведомости Организации.</w:t>
      </w:r>
    </w:p>
    <w:p w:rsidR="001F0F2B" w:rsidRPr="004E4148" w:rsidRDefault="001F0F2B" w:rsidP="00775B0D">
      <w:pPr>
        <w:autoSpaceDE w:val="0"/>
        <w:autoSpaceDN w:val="0"/>
        <w:adjustRightInd w:val="0"/>
        <w:jc w:val="both"/>
        <w:rPr>
          <w:rFonts w:ascii="Arial" w:hAnsi="Arial" w:cs="Arial"/>
          <w:sz w:val="22"/>
          <w:szCs w:val="22"/>
        </w:rPr>
      </w:pPr>
    </w:p>
    <w:p w:rsidR="00F60C2F" w:rsidRPr="001E09BE" w:rsidRDefault="005F29A3" w:rsidP="00F60C2F">
      <w:pPr>
        <w:autoSpaceDE w:val="0"/>
        <w:autoSpaceDN w:val="0"/>
        <w:adjustRightInd w:val="0"/>
        <w:jc w:val="both"/>
        <w:rPr>
          <w:rFonts w:ascii="Arial" w:hAnsi="Arial" w:cs="Arial"/>
          <w:sz w:val="22"/>
          <w:szCs w:val="22"/>
        </w:rPr>
      </w:pPr>
      <w:r>
        <w:rPr>
          <w:rFonts w:ascii="Arial" w:hAnsi="Arial"/>
          <w:sz w:val="22"/>
        </w:rPr>
        <w:t>В год, закончившийся 3</w:t>
      </w:r>
      <w:r w:rsidRPr="001311AA">
        <w:rPr>
          <w:rFonts w:ascii="Arial" w:hAnsi="Arial"/>
          <w:sz w:val="22"/>
        </w:rPr>
        <w:t>1</w:t>
      </w:r>
      <w:r w:rsidR="001311AA" w:rsidRPr="001311AA">
        <w:rPr>
          <w:rFonts w:ascii="Arial" w:hAnsi="Arial"/>
          <w:sz w:val="22"/>
        </w:rPr>
        <w:t> </w:t>
      </w:r>
      <w:r w:rsidRPr="001311AA">
        <w:rPr>
          <w:rFonts w:ascii="Arial" w:hAnsi="Arial"/>
          <w:sz w:val="22"/>
        </w:rPr>
        <w:t>декабря</w:t>
      </w:r>
      <w:r>
        <w:rPr>
          <w:rFonts w:ascii="Arial" w:hAnsi="Arial"/>
          <w:sz w:val="22"/>
        </w:rPr>
        <w:t xml:space="preserve"> 2014 г., Организация признала в качестве расходы одну выплату ex gratia</w:t>
      </w:r>
      <w:r w:rsidR="0005341A">
        <w:rPr>
          <w:rFonts w:ascii="Arial" w:hAnsi="Arial"/>
          <w:sz w:val="22"/>
        </w:rPr>
        <w:t>.  Э</w:t>
      </w:r>
      <w:r>
        <w:rPr>
          <w:rFonts w:ascii="Arial" w:hAnsi="Arial"/>
          <w:sz w:val="22"/>
        </w:rPr>
        <w:t>та выплата в размере 12 500 шв. франков была проведена в начале 2015 г. в пользу бывшего заместителя Генерального директора Организации для компенсации понесенных им после истечения его мандата расходов</w:t>
      </w:r>
      <w:r w:rsidR="001E09BE">
        <w:rPr>
          <w:rFonts w:ascii="Arial" w:hAnsi="Arial"/>
          <w:sz w:val="22"/>
        </w:rPr>
        <w:t xml:space="preserve"> на аренду жилья за два месяца.</w:t>
      </w:r>
    </w:p>
    <w:p w:rsidR="00A2720E" w:rsidRPr="00E337BC" w:rsidRDefault="00A2720E" w:rsidP="00775B0D">
      <w:pPr>
        <w:autoSpaceDE w:val="0"/>
        <w:autoSpaceDN w:val="0"/>
        <w:adjustRightInd w:val="0"/>
        <w:jc w:val="both"/>
        <w:rPr>
          <w:rFonts w:ascii="Arial" w:hAnsi="Arial" w:cs="Arial"/>
          <w:sz w:val="22"/>
          <w:szCs w:val="22"/>
        </w:rPr>
      </w:pPr>
    </w:p>
    <w:p w:rsidR="0079125E" w:rsidRPr="00E337BC" w:rsidRDefault="0079125E" w:rsidP="00A42A5B">
      <w:pPr>
        <w:pStyle w:val="Styletexte"/>
        <w:spacing w:after="0"/>
        <w:rPr>
          <w:szCs w:val="22"/>
        </w:rPr>
      </w:pPr>
    </w:p>
    <w:p w:rsidR="00937A1F" w:rsidRPr="00E337BC" w:rsidRDefault="00937A1F" w:rsidP="00E337BC">
      <w:pPr>
        <w:pStyle w:val="Styletexte"/>
        <w:spacing w:after="0"/>
        <w:rPr>
          <w:szCs w:val="22"/>
        </w:rPr>
      </w:pPr>
    </w:p>
    <w:p w:rsidR="005829F9" w:rsidRPr="00BE4ED3" w:rsidRDefault="005F29A3" w:rsidP="005829F9">
      <w:pPr>
        <w:autoSpaceDE w:val="0"/>
        <w:autoSpaceDN w:val="0"/>
        <w:adjustRightInd w:val="0"/>
        <w:ind w:left="5670"/>
        <w:jc w:val="both"/>
        <w:rPr>
          <w:rFonts w:ascii="Arial" w:hAnsi="Arial" w:cs="Arial"/>
          <w:sz w:val="22"/>
          <w:szCs w:val="22"/>
        </w:rPr>
      </w:pPr>
      <w:r>
        <w:rPr>
          <w:rFonts w:ascii="Arial" w:hAnsi="Arial"/>
          <w:sz w:val="22"/>
          <w:szCs w:val="22"/>
        </w:rPr>
        <w:sym w:font="Symbol" w:char="F05B"/>
      </w:r>
      <w:r>
        <w:rPr>
          <w:rFonts w:ascii="Arial" w:hAnsi="Arial"/>
          <w:sz w:val="22"/>
        </w:rPr>
        <w:t>Конец документа</w:t>
      </w:r>
      <w:r>
        <w:rPr>
          <w:rFonts w:ascii="Arial" w:hAnsi="Arial"/>
          <w:sz w:val="22"/>
          <w:szCs w:val="22"/>
        </w:rPr>
        <w:sym w:font="Symbol" w:char="F05D"/>
      </w:r>
    </w:p>
    <w:p w:rsidR="0079125E" w:rsidRPr="00E337BC" w:rsidRDefault="0079125E" w:rsidP="00775B0D">
      <w:pPr>
        <w:autoSpaceDE w:val="0"/>
        <w:autoSpaceDN w:val="0"/>
        <w:adjustRightInd w:val="0"/>
        <w:jc w:val="both"/>
        <w:rPr>
          <w:rFonts w:ascii="Arial" w:hAnsi="Arial" w:cs="Arial"/>
          <w:sz w:val="22"/>
          <w:szCs w:val="22"/>
        </w:rPr>
      </w:pPr>
    </w:p>
    <w:sectPr w:rsidR="0079125E" w:rsidRPr="00E337BC" w:rsidSect="00A2720E">
      <w:pgSz w:w="11907" w:h="16840" w:code="9"/>
      <w:pgMar w:top="1247" w:right="1079" w:bottom="1247" w:left="851" w:header="709" w:footer="1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78A" w:rsidRDefault="0088278A">
      <w:r>
        <w:separator/>
      </w:r>
    </w:p>
  </w:endnote>
  <w:endnote w:type="continuationSeparator" w:id="0">
    <w:p w:rsidR="0088278A" w:rsidRDefault="0088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 Frutiger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宋體">
    <w:altName w:val="Arial Unicode MS"/>
    <w:charset w:val="88"/>
    <w:family w:val="modern"/>
    <w:pitch w:val="fixed"/>
    <w:sig w:usb0="00000001" w:usb1="08080000" w:usb2="00000010" w:usb3="00000000" w:csb0="00100000" w:csb1="00000000"/>
  </w:font>
  <w:font w:name="EYInterstate-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8A" w:rsidRPr="00376E3A" w:rsidRDefault="0088278A" w:rsidP="00CC1CA2">
    <w:pPr>
      <w:pStyle w:val="Footer"/>
      <w:jc w:val="center"/>
      <w:rPr>
        <w:rFonts w:ascii="Arial" w:hAnsi="Arial" w:cs="Arial"/>
      </w:rPr>
    </w:pPr>
  </w:p>
  <w:p w:rsidR="0088278A" w:rsidRDefault="0088278A" w:rsidP="00376E3A">
    <w:pPr>
      <w:pStyle w:val="Footer"/>
      <w:ind w:firstLine="7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8A" w:rsidRPr="00376E3A" w:rsidRDefault="0088278A" w:rsidP="00376E3A">
    <w:pPr>
      <w:pStyle w:val="Footer"/>
      <w:jc w:val="center"/>
      <w:rPr>
        <w:rFonts w:ascii="Arial" w:hAnsi="Arial" w:cs="Arial"/>
      </w:rPr>
    </w:pPr>
  </w:p>
  <w:p w:rsidR="0088278A" w:rsidRDefault="008827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8A" w:rsidRPr="00376E3A" w:rsidRDefault="0088278A" w:rsidP="00376E3A">
    <w:pPr>
      <w:pStyle w:val="Footer"/>
      <w:jc w:val="center"/>
      <w:rPr>
        <w:rFonts w:ascii="Arial" w:hAnsi="Arial" w:cs="Arial"/>
      </w:rPr>
    </w:pPr>
  </w:p>
  <w:p w:rsidR="0088278A" w:rsidRDefault="0088278A" w:rsidP="00376E3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8A" w:rsidRPr="006F63E7" w:rsidRDefault="0088278A">
    <w:pPr>
      <w:pStyle w:val="Footer"/>
      <w:rPr>
        <w:rFonts w:ascii="Arial Narrow" w:hAnsi="Arial Narrow"/>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8A" w:rsidRPr="00376E3A" w:rsidRDefault="0088278A" w:rsidP="00CC1CA2">
    <w:pPr>
      <w:pStyle w:val="Footer"/>
      <w:jc w:val="center"/>
      <w:rPr>
        <w:rFonts w:ascii="Arial" w:hAnsi="Arial" w:cs="Arial"/>
      </w:rPr>
    </w:pPr>
  </w:p>
  <w:p w:rsidR="0088278A" w:rsidRPr="006F63E7" w:rsidRDefault="0088278A">
    <w:pPr>
      <w:pStyle w:val="Footer"/>
      <w:rPr>
        <w:rFonts w:ascii="Arial Narrow" w:hAnsi="Arial Narrow"/>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8A" w:rsidRPr="00376E3A" w:rsidRDefault="0088278A" w:rsidP="00CC1CA2">
    <w:pPr>
      <w:pStyle w:val="Footer"/>
      <w:jc w:val="center"/>
      <w:rPr>
        <w:rFonts w:ascii="Arial" w:hAnsi="Arial" w:cs="Arial"/>
      </w:rPr>
    </w:pPr>
  </w:p>
  <w:p w:rsidR="0088278A" w:rsidRPr="00255593" w:rsidRDefault="0088278A" w:rsidP="007C12FD">
    <w:pPr>
      <w:pStyle w:val="Footer"/>
      <w:jc w:val="center"/>
      <w:rPr>
        <w:rFonts w:ascii="Arial" w:hAnsi="Arial" w:cs="Arial"/>
        <w:sz w:val="22"/>
        <w:szCs w:val="22"/>
      </w:rPr>
    </w:pPr>
  </w:p>
  <w:p w:rsidR="0088278A" w:rsidRPr="006F63E7" w:rsidRDefault="0088278A">
    <w:pPr>
      <w:pStyle w:val="Footer"/>
      <w:rPr>
        <w:rFonts w:ascii="Arial Narrow" w:hAnsi="Arial Narrow"/>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8A" w:rsidRPr="00376E3A" w:rsidRDefault="0088278A" w:rsidP="00CC1CA2">
    <w:pPr>
      <w:pStyle w:val="Footer"/>
      <w:jc w:val="center"/>
      <w:rPr>
        <w:rFonts w:ascii="Arial" w:hAnsi="Arial" w:cs="Arial"/>
      </w:rPr>
    </w:pPr>
  </w:p>
  <w:p w:rsidR="0088278A" w:rsidRPr="00376E3A" w:rsidRDefault="0088278A" w:rsidP="0088601D">
    <w:pPr>
      <w:pStyle w:val="Footer"/>
      <w:jc w:val="center"/>
      <w:rPr>
        <w:rFonts w:ascii="Arial" w:hAnsi="Arial" w:cs="Arial"/>
      </w:rPr>
    </w:pPr>
  </w:p>
  <w:p w:rsidR="0088278A" w:rsidRPr="00255593" w:rsidRDefault="0088278A" w:rsidP="007C12FD">
    <w:pPr>
      <w:pStyle w:val="Footer"/>
      <w:jc w:val="center"/>
      <w:rPr>
        <w:rFonts w:ascii="Arial" w:hAnsi="Arial" w:cs="Arial"/>
        <w:sz w:val="22"/>
        <w:szCs w:val="22"/>
      </w:rPr>
    </w:pPr>
  </w:p>
  <w:p w:rsidR="0088278A" w:rsidRPr="00175E52" w:rsidRDefault="0088278A" w:rsidP="00FB0EF3">
    <w:pPr>
      <w:pStyle w:val="Footer"/>
      <w:jc w:val="center"/>
      <w:rPr>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8A" w:rsidRPr="00376E3A" w:rsidRDefault="0088278A" w:rsidP="0088601D">
    <w:pPr>
      <w:pStyle w:val="Footer"/>
      <w:jc w:val="center"/>
      <w:rPr>
        <w:rFonts w:ascii="Arial" w:hAnsi="Arial" w:cs="Arial"/>
      </w:rPr>
    </w:pPr>
  </w:p>
  <w:p w:rsidR="0088278A" w:rsidRPr="00E826B4" w:rsidRDefault="0088278A" w:rsidP="0088601D">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78A" w:rsidRDefault="0088278A">
      <w:r>
        <w:separator/>
      </w:r>
    </w:p>
  </w:footnote>
  <w:footnote w:type="continuationSeparator" w:id="0">
    <w:p w:rsidR="0088278A" w:rsidRDefault="00882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8A" w:rsidRDefault="0088278A" w:rsidP="00F1272F">
    <w:pPr>
      <w:jc w:val="right"/>
    </w:pPr>
    <w:r>
      <w:t>WO/PBC/24/8</w:t>
    </w:r>
  </w:p>
  <w:p w:rsidR="0088278A" w:rsidRDefault="0088278A" w:rsidP="00F1272F">
    <w:pPr>
      <w:jc w:val="right"/>
    </w:pPr>
    <w:r>
      <w:t>стр. </w:t>
    </w:r>
    <w:r>
      <w:fldChar w:fldCharType="begin"/>
    </w:r>
    <w:r>
      <w:instrText xml:space="preserve"> PAGE  \* MERGEFORMAT </w:instrText>
    </w:r>
    <w:r>
      <w:fldChar w:fldCharType="separate"/>
    </w:r>
    <w:r>
      <w:rPr>
        <w:noProof/>
      </w:rPr>
      <w:t>89</w:t>
    </w:r>
    <w:r>
      <w:fldChar w:fldCharType="end"/>
    </w:r>
  </w:p>
  <w:p w:rsidR="0088278A" w:rsidRDefault="0088278A" w:rsidP="00F1272F">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8A" w:rsidRPr="00E337BC" w:rsidRDefault="0088278A" w:rsidP="00E337BC">
    <w:pPr>
      <w:pStyle w:val="Header"/>
      <w:jc w:val="right"/>
      <w:rPr>
        <w:rStyle w:val="PageNumber"/>
        <w:rFonts w:ascii="Arial" w:hAnsi="Arial" w:cs="Arial"/>
        <w:b/>
        <w:sz w:val="18"/>
        <w:szCs w:val="18"/>
      </w:rPr>
    </w:pPr>
    <w:r>
      <w:rPr>
        <w:rStyle w:val="PageNumber"/>
        <w:rFonts w:ascii="Arial" w:hAnsi="Arial"/>
        <w:b/>
        <w:sz w:val="18"/>
      </w:rPr>
      <w:t>Годовой финансовый отчет и финансовые ведомости за 2014 г.</w:t>
    </w:r>
  </w:p>
  <w:p w:rsidR="0088278A" w:rsidRPr="00E337BC" w:rsidRDefault="0088278A" w:rsidP="00E337BC">
    <w:pPr>
      <w:pStyle w:val="Header"/>
      <w:jc w:val="right"/>
      <w:rPr>
        <w:rFonts w:ascii="Arial" w:hAnsi="Arial" w:cs="Arial"/>
        <w:b/>
        <w:sz w:val="18"/>
        <w:szCs w:val="18"/>
      </w:rPr>
    </w:pPr>
    <w:r>
      <w:rPr>
        <w:rStyle w:val="PageNumber"/>
        <w:rFonts w:ascii="Arial" w:hAnsi="Arial"/>
        <w:b/>
        <w:sz w:val="18"/>
      </w:rPr>
      <w:t>стр. </w:t>
    </w:r>
    <w:r>
      <w:rPr>
        <w:rFonts w:ascii="Arial" w:hAnsi="Arial"/>
        <w:b/>
        <w:sz w:val="18"/>
      </w:rPr>
      <w:fldChar w:fldCharType="begin"/>
    </w:r>
    <w:r>
      <w:rPr>
        <w:rFonts w:ascii="Arial" w:hAnsi="Arial"/>
        <w:b/>
        <w:sz w:val="18"/>
      </w:rPr>
      <w:instrText xml:space="preserve"> PAGE   \* MERGEFORMAT </w:instrText>
    </w:r>
    <w:r>
      <w:rPr>
        <w:rFonts w:ascii="Arial" w:hAnsi="Arial"/>
        <w:b/>
        <w:sz w:val="18"/>
      </w:rPr>
      <w:fldChar w:fldCharType="separate"/>
    </w:r>
    <w:r w:rsidR="00E26959">
      <w:rPr>
        <w:rFonts w:ascii="Arial" w:hAnsi="Arial"/>
        <w:b/>
        <w:noProof/>
        <w:sz w:val="18"/>
      </w:rPr>
      <w:t>3</w:t>
    </w:r>
    <w:r>
      <w:rPr>
        <w:rFonts w:ascii="Arial" w:hAnsi="Arial"/>
        <w:b/>
        <w:sz w:val="18"/>
      </w:rPr>
      <w:fldChar w:fldCharType="end"/>
    </w:r>
  </w:p>
  <w:p w:rsidR="0088278A" w:rsidRPr="00E337BC" w:rsidRDefault="0088278A" w:rsidP="00A40B11">
    <w:pPr>
      <w:pStyle w:val="Header"/>
      <w:tabs>
        <w:tab w:val="left" w:pos="4425"/>
        <w:tab w:val="center" w:pos="4706"/>
      </w:tabs>
      <w:rPr>
        <w:rFonts w:ascii="Arial" w:hAnsi="Arial" w:cs="Arial"/>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8A" w:rsidRDefault="0088278A" w:rsidP="001329C9">
    <w:pPr>
      <w:pStyle w:val="Header"/>
      <w:jc w:val="right"/>
      <w:rPr>
        <w:rFonts w:ascii="Arial" w:hAnsi="Arial" w:cs="Arial"/>
        <w:b/>
        <w:sz w:val="18"/>
        <w:szCs w:val="18"/>
      </w:rPr>
    </w:pPr>
    <w:r>
      <w:rPr>
        <w:rFonts w:ascii="Arial" w:hAnsi="Arial"/>
        <w:b/>
        <w:sz w:val="18"/>
      </w:rPr>
      <w:t>Годовой финансовый отчет и финансовые ведомости за 2014 г.</w:t>
    </w:r>
  </w:p>
  <w:p w:rsidR="0088278A" w:rsidRPr="00CF6E83" w:rsidRDefault="0088278A" w:rsidP="001954C3">
    <w:pPr>
      <w:pStyle w:val="Header"/>
      <w:jc w:val="right"/>
      <w:rPr>
        <w:rFonts w:ascii="Arial" w:hAnsi="Arial" w:cs="Arial"/>
        <w:b/>
        <w:sz w:val="18"/>
        <w:szCs w:val="18"/>
      </w:rPr>
    </w:pPr>
    <w:r>
      <w:rPr>
        <w:rStyle w:val="PageNumber"/>
        <w:rFonts w:ascii="Arial" w:hAnsi="Arial"/>
        <w:b/>
        <w:sz w:val="18"/>
      </w:rPr>
      <w:t>стр. </w:t>
    </w:r>
    <w:r>
      <w:rPr>
        <w:rStyle w:val="PageNumber"/>
        <w:rFonts w:ascii="Arial" w:hAnsi="Arial"/>
        <w:b/>
        <w:sz w:val="18"/>
      </w:rPr>
      <w:fldChar w:fldCharType="begin"/>
    </w:r>
    <w:r>
      <w:rPr>
        <w:rStyle w:val="PageNumber"/>
        <w:rFonts w:ascii="Arial" w:hAnsi="Arial"/>
        <w:b/>
        <w:sz w:val="18"/>
      </w:rPr>
      <w:instrText xml:space="preserve"> PAGE </w:instrText>
    </w:r>
    <w:r>
      <w:rPr>
        <w:rStyle w:val="PageNumber"/>
        <w:rFonts w:ascii="Arial" w:hAnsi="Arial"/>
        <w:b/>
        <w:sz w:val="18"/>
      </w:rPr>
      <w:fldChar w:fldCharType="separate"/>
    </w:r>
    <w:r w:rsidR="00E26959">
      <w:rPr>
        <w:rStyle w:val="PageNumber"/>
        <w:rFonts w:ascii="Arial" w:hAnsi="Arial"/>
        <w:b/>
        <w:noProof/>
        <w:sz w:val="18"/>
      </w:rPr>
      <w:t>51</w:t>
    </w:r>
    <w:r>
      <w:rPr>
        <w:rStyle w:val="PageNumber"/>
        <w:rFonts w:ascii="Arial" w:hAnsi="Arial"/>
        <w:b/>
        <w:sz w:val="18"/>
      </w:rPr>
      <w:fldChar w:fldCharType="end"/>
    </w:r>
  </w:p>
  <w:p w:rsidR="0088278A" w:rsidRDefault="0088278A" w:rsidP="00A40B11">
    <w:pPr>
      <w:pStyle w:val="Header"/>
      <w:tabs>
        <w:tab w:val="left" w:pos="4425"/>
        <w:tab w:val="center" w:pos="4706"/>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8A" w:rsidRDefault="0088278A" w:rsidP="001329C9">
    <w:pPr>
      <w:pStyle w:val="Header"/>
      <w:jc w:val="right"/>
      <w:rPr>
        <w:rFonts w:ascii="Arial" w:hAnsi="Arial" w:cs="Arial"/>
        <w:b/>
        <w:sz w:val="18"/>
        <w:szCs w:val="18"/>
      </w:rPr>
    </w:pPr>
    <w:r>
      <w:rPr>
        <w:rFonts w:ascii="Arial" w:hAnsi="Arial"/>
        <w:b/>
        <w:sz w:val="18"/>
      </w:rPr>
      <w:t>Годовой финансовый отчет и финансовые ведомости за 2014 г.</w:t>
    </w:r>
  </w:p>
  <w:p w:rsidR="0088278A" w:rsidRPr="00CF6E83" w:rsidRDefault="0088278A" w:rsidP="001954C3">
    <w:pPr>
      <w:pStyle w:val="Header"/>
      <w:jc w:val="right"/>
      <w:rPr>
        <w:rFonts w:ascii="Arial" w:hAnsi="Arial" w:cs="Arial"/>
        <w:b/>
        <w:sz w:val="18"/>
        <w:szCs w:val="18"/>
      </w:rPr>
    </w:pPr>
    <w:r>
      <w:rPr>
        <w:rStyle w:val="PageNumber"/>
        <w:rFonts w:ascii="Arial" w:hAnsi="Arial"/>
        <w:b/>
        <w:sz w:val="18"/>
      </w:rPr>
      <w:t>стр. </w:t>
    </w:r>
    <w:r>
      <w:rPr>
        <w:rStyle w:val="PageNumber"/>
        <w:rFonts w:ascii="Arial" w:hAnsi="Arial"/>
        <w:b/>
        <w:sz w:val="18"/>
      </w:rPr>
      <w:fldChar w:fldCharType="begin"/>
    </w:r>
    <w:r>
      <w:rPr>
        <w:rStyle w:val="PageNumber"/>
        <w:rFonts w:ascii="Arial" w:hAnsi="Arial"/>
        <w:b/>
        <w:sz w:val="18"/>
      </w:rPr>
      <w:instrText xml:space="preserve"> PAGE </w:instrText>
    </w:r>
    <w:r>
      <w:rPr>
        <w:rStyle w:val="PageNumber"/>
        <w:rFonts w:ascii="Arial" w:hAnsi="Arial"/>
        <w:b/>
        <w:sz w:val="18"/>
      </w:rPr>
      <w:fldChar w:fldCharType="separate"/>
    </w:r>
    <w:r w:rsidR="00E26959">
      <w:rPr>
        <w:rStyle w:val="PageNumber"/>
        <w:rFonts w:ascii="Arial" w:hAnsi="Arial"/>
        <w:b/>
        <w:noProof/>
        <w:sz w:val="18"/>
      </w:rPr>
      <w:t>89</w:t>
    </w:r>
    <w:r>
      <w:rPr>
        <w:rStyle w:val="PageNumber"/>
        <w:rFonts w:ascii="Arial" w:hAnsi="Arial"/>
        <w:b/>
        <w:sz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8A" w:rsidRDefault="0088278A" w:rsidP="00F97F0D">
    <w:pPr>
      <w:pStyle w:val="Header"/>
      <w:jc w:val="right"/>
      <w:rPr>
        <w:rFonts w:ascii="Arial" w:hAnsi="Arial" w:cs="Arial"/>
        <w:lang w:val="en-US"/>
      </w:rPr>
    </w:pPr>
    <w:r w:rsidRPr="00F97F0D">
      <w:rPr>
        <w:rFonts w:ascii="Arial" w:hAnsi="Arial" w:cs="Arial"/>
        <w:lang w:val="en-US"/>
      </w:rPr>
      <w:t>WO/</w:t>
    </w:r>
    <w:r>
      <w:rPr>
        <w:rFonts w:ascii="Arial" w:hAnsi="Arial" w:cs="Arial"/>
        <w:lang w:val="en-US"/>
      </w:rPr>
      <w:t>PBC/24/8</w:t>
    </w:r>
  </w:p>
  <w:p w:rsidR="0088278A" w:rsidRDefault="0088278A" w:rsidP="00F97F0D">
    <w:pPr>
      <w:pStyle w:val="Header"/>
      <w:jc w:val="right"/>
      <w:rPr>
        <w:rFonts w:ascii="Arial" w:hAnsi="Arial" w:cs="Arial"/>
      </w:rPr>
    </w:pPr>
    <w:r>
      <w:rPr>
        <w:rFonts w:ascii="Arial" w:hAnsi="Arial" w:cs="Arial"/>
      </w:rPr>
      <w:t xml:space="preserve">стр. </w:t>
    </w:r>
    <w:r w:rsidRPr="00F97F0D">
      <w:rPr>
        <w:rFonts w:ascii="Arial" w:hAnsi="Arial" w:cs="Arial"/>
      </w:rPr>
      <w:fldChar w:fldCharType="begin"/>
    </w:r>
    <w:r w:rsidRPr="00F97F0D">
      <w:rPr>
        <w:rFonts w:ascii="Arial" w:hAnsi="Arial" w:cs="Arial"/>
      </w:rPr>
      <w:instrText xml:space="preserve"> PAGE   \* MERGEFORMAT </w:instrText>
    </w:r>
    <w:r w:rsidRPr="00F97F0D">
      <w:rPr>
        <w:rFonts w:ascii="Arial" w:hAnsi="Arial" w:cs="Arial"/>
      </w:rPr>
      <w:fldChar w:fldCharType="separate"/>
    </w:r>
    <w:r w:rsidR="00E26959">
      <w:rPr>
        <w:rFonts w:ascii="Arial" w:hAnsi="Arial" w:cs="Arial"/>
        <w:noProof/>
      </w:rPr>
      <w:t>2</w:t>
    </w:r>
    <w:r w:rsidRPr="00F97F0D">
      <w:rPr>
        <w:rFonts w:ascii="Arial" w:hAnsi="Arial" w:cs="Arial"/>
        <w:noProof/>
      </w:rPr>
      <w:fldChar w:fldCharType="end"/>
    </w:r>
  </w:p>
  <w:p w:rsidR="0088278A" w:rsidRPr="00F97F0D" w:rsidRDefault="0088278A" w:rsidP="00F97F0D">
    <w:pPr>
      <w:pStyle w:val="Header"/>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8A" w:rsidRPr="00F97F0D" w:rsidRDefault="0088278A" w:rsidP="00F1272F">
    <w:pPr>
      <w:jc w:val="right"/>
      <w:rPr>
        <w:rFonts w:ascii="Arial" w:hAnsi="Arial" w:cs="Arial"/>
        <w:sz w:val="22"/>
        <w:szCs w:val="22"/>
      </w:rPr>
    </w:pPr>
    <w:r w:rsidRPr="00F97F0D">
      <w:rPr>
        <w:rFonts w:ascii="Arial" w:hAnsi="Arial" w:cs="Arial"/>
        <w:sz w:val="22"/>
        <w:szCs w:val="22"/>
      </w:rPr>
      <w:t>WO/PBC/24/8</w:t>
    </w:r>
  </w:p>
  <w:p w:rsidR="0088278A" w:rsidRPr="00F97F0D" w:rsidRDefault="0088278A" w:rsidP="00F1272F">
    <w:pPr>
      <w:jc w:val="right"/>
      <w:rPr>
        <w:rFonts w:ascii="Arial" w:hAnsi="Arial" w:cs="Arial"/>
        <w:sz w:val="22"/>
        <w:szCs w:val="22"/>
      </w:rPr>
    </w:pPr>
    <w:r w:rsidRPr="00F97F0D">
      <w:rPr>
        <w:rFonts w:ascii="Arial" w:hAnsi="Arial" w:cs="Arial"/>
        <w:sz w:val="22"/>
        <w:szCs w:val="22"/>
      </w:rPr>
      <w:t>стр. </w:t>
    </w:r>
    <w:r w:rsidRPr="00F97F0D">
      <w:rPr>
        <w:rFonts w:ascii="Arial" w:hAnsi="Arial" w:cs="Arial"/>
        <w:sz w:val="22"/>
        <w:szCs w:val="22"/>
      </w:rPr>
      <w:fldChar w:fldCharType="begin"/>
    </w:r>
    <w:r w:rsidRPr="00F97F0D">
      <w:rPr>
        <w:rFonts w:ascii="Arial" w:hAnsi="Arial" w:cs="Arial"/>
        <w:sz w:val="22"/>
        <w:szCs w:val="22"/>
      </w:rPr>
      <w:instrText xml:space="preserve"> PAGE  \* MERGEFORMAT </w:instrText>
    </w:r>
    <w:r w:rsidRPr="00F97F0D">
      <w:rPr>
        <w:rFonts w:ascii="Arial" w:hAnsi="Arial" w:cs="Arial"/>
        <w:sz w:val="22"/>
        <w:szCs w:val="22"/>
      </w:rPr>
      <w:fldChar w:fldCharType="separate"/>
    </w:r>
    <w:r>
      <w:rPr>
        <w:rFonts w:ascii="Arial" w:hAnsi="Arial" w:cs="Arial"/>
        <w:noProof/>
        <w:sz w:val="22"/>
        <w:szCs w:val="22"/>
      </w:rPr>
      <w:t>89</w:t>
    </w:r>
    <w:r w:rsidRPr="00F97F0D">
      <w:rPr>
        <w:rFonts w:ascii="Arial" w:hAnsi="Arial" w:cs="Arial"/>
        <w:sz w:val="22"/>
        <w:szCs w:val="22"/>
      </w:rPr>
      <w:fldChar w:fldCharType="end"/>
    </w:r>
  </w:p>
  <w:p w:rsidR="0088278A" w:rsidRDefault="0088278A" w:rsidP="00F1272F">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8A" w:rsidRDefault="0088278A" w:rsidP="00D256F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8A" w:rsidRDefault="0088278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8A" w:rsidRDefault="0088278A" w:rsidP="00CF6E83">
    <w:pPr>
      <w:pStyle w:val="Header"/>
      <w:rPr>
        <w:rFonts w:ascii="Arial" w:hAnsi="Arial" w:cs="Arial"/>
        <w:b/>
        <w:sz w:val="18"/>
        <w:szCs w:val="18"/>
      </w:rPr>
    </w:pPr>
    <w:r>
      <w:rPr>
        <w:rFonts w:ascii="Arial" w:hAnsi="Arial"/>
        <w:b/>
        <w:sz w:val="18"/>
      </w:rPr>
      <w:t>Financial Statements 2010</w:t>
    </w:r>
  </w:p>
  <w:p w:rsidR="0088278A" w:rsidRPr="00CF6E83" w:rsidRDefault="0088278A" w:rsidP="00CF6E83">
    <w:pPr>
      <w:pStyle w:val="Header"/>
      <w:rPr>
        <w:rFonts w:ascii="Arial" w:hAnsi="Arial" w:cs="Arial"/>
        <w:b/>
        <w:sz w:val="18"/>
        <w:szCs w:val="18"/>
      </w:rPr>
    </w:pPr>
  </w:p>
  <w:p w:rsidR="0088278A" w:rsidRPr="00CF6E83" w:rsidRDefault="0088278A" w:rsidP="00CF6E8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8A" w:rsidRPr="00E337BC" w:rsidRDefault="0088278A" w:rsidP="00E337BC">
    <w:pPr>
      <w:pStyle w:val="Header"/>
      <w:jc w:val="right"/>
      <w:rPr>
        <w:rStyle w:val="PageNumber"/>
        <w:rFonts w:ascii="Arial" w:hAnsi="Arial" w:cs="Arial"/>
        <w:b/>
        <w:sz w:val="18"/>
        <w:szCs w:val="18"/>
      </w:rPr>
    </w:pPr>
    <w:r>
      <w:rPr>
        <w:rStyle w:val="PageNumber"/>
        <w:rFonts w:ascii="Arial" w:hAnsi="Arial"/>
        <w:b/>
        <w:sz w:val="18"/>
      </w:rPr>
      <w:t>Годовой финансовый отчет и финансовые ведомости за 2014 г.</w:t>
    </w:r>
  </w:p>
  <w:p w:rsidR="0088278A" w:rsidRPr="00E337BC" w:rsidRDefault="0088278A" w:rsidP="00E337BC">
    <w:pPr>
      <w:pStyle w:val="Header"/>
      <w:jc w:val="right"/>
      <w:rPr>
        <w:rFonts w:ascii="Arial" w:hAnsi="Arial" w:cs="Arial"/>
        <w:b/>
        <w:sz w:val="18"/>
        <w:szCs w:val="18"/>
      </w:rPr>
    </w:pPr>
    <w:r>
      <w:rPr>
        <w:rStyle w:val="PageNumber"/>
        <w:rFonts w:ascii="Arial" w:hAnsi="Arial"/>
        <w:b/>
        <w:sz w:val="18"/>
      </w:rPr>
      <w:t>стр. </w:t>
    </w:r>
    <w:r>
      <w:rPr>
        <w:rFonts w:ascii="Arial" w:hAnsi="Arial"/>
        <w:b/>
        <w:sz w:val="18"/>
      </w:rPr>
      <w:fldChar w:fldCharType="begin"/>
    </w:r>
    <w:r>
      <w:rPr>
        <w:rFonts w:ascii="Arial" w:hAnsi="Arial"/>
        <w:b/>
        <w:sz w:val="18"/>
      </w:rPr>
      <w:instrText xml:space="preserve"> PAGE   \* MERGEFORMAT </w:instrText>
    </w:r>
    <w:r>
      <w:rPr>
        <w:rFonts w:ascii="Arial" w:hAnsi="Arial"/>
        <w:b/>
        <w:sz w:val="18"/>
      </w:rPr>
      <w:fldChar w:fldCharType="separate"/>
    </w:r>
    <w:r>
      <w:rPr>
        <w:rFonts w:ascii="Arial" w:hAnsi="Arial"/>
        <w:b/>
        <w:noProof/>
        <w:sz w:val="18"/>
      </w:rPr>
      <w:t>89</w:t>
    </w:r>
    <w:r>
      <w:rPr>
        <w:rFonts w:ascii="Arial" w:hAnsi="Arial"/>
        <w:b/>
        <w:sz w:val="18"/>
      </w:rPr>
      <w:fldChar w:fldCharType="end"/>
    </w:r>
  </w:p>
  <w:p w:rsidR="0088278A" w:rsidRPr="00E337BC" w:rsidRDefault="0088278A" w:rsidP="00A40B11">
    <w:pPr>
      <w:pStyle w:val="Header"/>
      <w:tabs>
        <w:tab w:val="left" w:pos="4425"/>
        <w:tab w:val="center" w:pos="4706"/>
      </w:tabs>
      <w:rPr>
        <w:rFonts w:ascii="Arial" w:hAnsi="Arial" w:cs="Arial"/>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8A" w:rsidRPr="00CF6E83" w:rsidRDefault="0088278A" w:rsidP="00CF6E8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8A" w:rsidRPr="00E337BC" w:rsidRDefault="0088278A" w:rsidP="00E337BC">
    <w:pPr>
      <w:pStyle w:val="Header"/>
      <w:rPr>
        <w:rStyle w:val="PageNumber"/>
        <w:rFonts w:ascii="Arial" w:hAnsi="Arial" w:cs="Arial"/>
        <w:b/>
        <w:sz w:val="18"/>
        <w:szCs w:val="18"/>
      </w:rPr>
    </w:pPr>
    <w:r>
      <w:rPr>
        <w:rStyle w:val="PageNumber"/>
        <w:rFonts w:ascii="Arial" w:hAnsi="Arial"/>
        <w:b/>
        <w:sz w:val="18"/>
      </w:rPr>
      <w:t>Годовой финансовый отчет и финансовые ведомости за 2014 г.</w:t>
    </w:r>
  </w:p>
  <w:p w:rsidR="0088278A" w:rsidRDefault="0088278A" w:rsidP="00E337BC">
    <w:pPr>
      <w:pStyle w:val="Header"/>
      <w:rPr>
        <w:rFonts w:ascii="Arial" w:hAnsi="Arial"/>
        <w:b/>
        <w:sz w:val="18"/>
        <w:lang w:val="en-US"/>
      </w:rPr>
    </w:pPr>
    <w:r>
      <w:rPr>
        <w:rStyle w:val="PageNumber"/>
        <w:rFonts w:ascii="Arial" w:hAnsi="Arial"/>
        <w:b/>
        <w:sz w:val="18"/>
      </w:rPr>
      <w:t>стр. </w:t>
    </w:r>
    <w:r>
      <w:rPr>
        <w:rFonts w:ascii="Arial" w:hAnsi="Arial"/>
        <w:b/>
        <w:sz w:val="18"/>
      </w:rPr>
      <w:fldChar w:fldCharType="begin"/>
    </w:r>
    <w:r>
      <w:rPr>
        <w:rFonts w:ascii="Arial" w:hAnsi="Arial"/>
        <w:b/>
        <w:sz w:val="18"/>
      </w:rPr>
      <w:instrText xml:space="preserve"> PAGE   \* MERGEFORMAT </w:instrText>
    </w:r>
    <w:r>
      <w:rPr>
        <w:rFonts w:ascii="Arial" w:hAnsi="Arial"/>
        <w:b/>
        <w:sz w:val="18"/>
      </w:rPr>
      <w:fldChar w:fldCharType="separate"/>
    </w:r>
    <w:r w:rsidR="00E26959">
      <w:rPr>
        <w:rFonts w:ascii="Arial" w:hAnsi="Arial"/>
        <w:b/>
        <w:noProof/>
        <w:sz w:val="18"/>
      </w:rPr>
      <w:t>2</w:t>
    </w:r>
    <w:r>
      <w:rPr>
        <w:rFonts w:ascii="Arial" w:hAnsi="Arial"/>
        <w:b/>
        <w:sz w:val="18"/>
      </w:rPr>
      <w:fldChar w:fldCharType="end"/>
    </w:r>
  </w:p>
  <w:p w:rsidR="0088278A" w:rsidRPr="00BC1E21" w:rsidRDefault="0088278A" w:rsidP="00E337BC">
    <w:pPr>
      <w:pStyle w:val="Header"/>
      <w:rPr>
        <w:rFonts w:ascii="Arial" w:hAnsi="Arial" w:cs="Arial"/>
        <w:b/>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BA6097C"/>
    <w:lvl w:ilvl="0">
      <w:start w:val="1"/>
      <w:numFmt w:val="decimal"/>
      <w:lvlRestart w:val="0"/>
      <w:pStyle w:val="ONUME"/>
      <w:lvlText w:val="%1."/>
      <w:lvlJc w:val="left"/>
      <w:pPr>
        <w:tabs>
          <w:tab w:val="num" w:pos="567"/>
        </w:tabs>
      </w:pPr>
      <w:rPr>
        <w:rFonts w:cs="Times New Roman" w:hint="default"/>
        <w:i w:val="0"/>
        <w:color w:val="auto"/>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
    <w:nsid w:val="0D4714BA"/>
    <w:multiLevelType w:val="hybridMultilevel"/>
    <w:tmpl w:val="8FDA04A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nsid w:val="18EF4EA7"/>
    <w:multiLevelType w:val="hybridMultilevel"/>
    <w:tmpl w:val="4636F804"/>
    <w:lvl w:ilvl="0" w:tplc="FFFFFFFF">
      <w:start w:val="1"/>
      <w:numFmt w:val="bullet"/>
      <w:lvlText w:val=""/>
      <w:lvlJc w:val="left"/>
      <w:pPr>
        <w:tabs>
          <w:tab w:val="num" w:pos="1021"/>
        </w:tabs>
        <w:ind w:left="1021" w:hanging="45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E3503B6"/>
    <w:multiLevelType w:val="multilevel"/>
    <w:tmpl w:val="3D36B7C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pPr>
      <w:rPr>
        <w:rFonts w:cs="Times New Roman" w:hint="default"/>
      </w:rPr>
    </w:lvl>
    <w:lvl w:ilvl="2">
      <w:start w:val="1"/>
      <w:numFmt w:val="lowerRoman"/>
      <w:lvlText w:val="(%3)"/>
      <w:lvlJc w:val="left"/>
      <w:pPr>
        <w:tabs>
          <w:tab w:val="num" w:pos="2421"/>
        </w:tabs>
        <w:ind w:left="1854"/>
      </w:pPr>
      <w:rPr>
        <w:rFonts w:cs="Times New Roman" w:hint="default"/>
      </w:rPr>
    </w:lvl>
    <w:lvl w:ilvl="3">
      <w:start w:val="1"/>
      <w:numFmt w:val="bullet"/>
      <w:lvlText w:val=""/>
      <w:lvlJc w:val="left"/>
      <w:pPr>
        <w:tabs>
          <w:tab w:val="num" w:pos="2988"/>
        </w:tabs>
        <w:ind w:left="2421"/>
      </w:pPr>
      <w:rPr>
        <w:rFonts w:hint="default"/>
      </w:rPr>
    </w:lvl>
    <w:lvl w:ilvl="4">
      <w:start w:val="1"/>
      <w:numFmt w:val="bullet"/>
      <w:lvlText w:val=""/>
      <w:lvlJc w:val="left"/>
      <w:pPr>
        <w:tabs>
          <w:tab w:val="num" w:pos="3555"/>
        </w:tabs>
        <w:ind w:left="2988"/>
      </w:pPr>
      <w:rPr>
        <w:rFonts w:hint="default"/>
      </w:rPr>
    </w:lvl>
    <w:lvl w:ilvl="5">
      <w:start w:val="1"/>
      <w:numFmt w:val="bullet"/>
      <w:lvlText w:val=""/>
      <w:lvlJc w:val="left"/>
      <w:pPr>
        <w:tabs>
          <w:tab w:val="num" w:pos="4122"/>
        </w:tabs>
        <w:ind w:left="3555"/>
      </w:pPr>
      <w:rPr>
        <w:rFonts w:hint="default"/>
      </w:rPr>
    </w:lvl>
    <w:lvl w:ilvl="6">
      <w:start w:val="1"/>
      <w:numFmt w:val="bullet"/>
      <w:lvlText w:val=""/>
      <w:lvlJc w:val="left"/>
      <w:pPr>
        <w:tabs>
          <w:tab w:val="num" w:pos="4689"/>
        </w:tabs>
        <w:ind w:left="4122"/>
      </w:pPr>
      <w:rPr>
        <w:rFonts w:hint="default"/>
      </w:rPr>
    </w:lvl>
    <w:lvl w:ilvl="7">
      <w:start w:val="1"/>
      <w:numFmt w:val="bullet"/>
      <w:lvlText w:val=""/>
      <w:lvlJc w:val="left"/>
      <w:pPr>
        <w:tabs>
          <w:tab w:val="num" w:pos="5255"/>
        </w:tabs>
        <w:ind w:left="4689"/>
      </w:pPr>
      <w:rPr>
        <w:rFonts w:hint="default"/>
      </w:rPr>
    </w:lvl>
    <w:lvl w:ilvl="8">
      <w:start w:val="1"/>
      <w:numFmt w:val="bullet"/>
      <w:lvlText w:val=""/>
      <w:lvlJc w:val="left"/>
      <w:pPr>
        <w:tabs>
          <w:tab w:val="num" w:pos="5822"/>
        </w:tabs>
        <w:ind w:left="5255"/>
      </w:pPr>
      <w:rPr>
        <w:rFonts w:hint="default"/>
      </w:rPr>
    </w:lvl>
  </w:abstractNum>
  <w:abstractNum w:abstractNumId="4">
    <w:nsid w:val="38A13F76"/>
    <w:multiLevelType w:val="hybridMultilevel"/>
    <w:tmpl w:val="BDAA92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0332B0A"/>
    <w:multiLevelType w:val="hybridMultilevel"/>
    <w:tmpl w:val="297E27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4187228A"/>
    <w:multiLevelType w:val="hybridMultilevel"/>
    <w:tmpl w:val="D3201FF0"/>
    <w:lvl w:ilvl="0" w:tplc="FFFFFFFF">
      <w:start w:val="1"/>
      <w:numFmt w:val="bullet"/>
      <w:pStyle w:val="TOC1"/>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47316939"/>
    <w:multiLevelType w:val="multilevel"/>
    <w:tmpl w:val="095200D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pPr>
      <w:rPr>
        <w:rFonts w:cs="Times New Roman" w:hint="default"/>
      </w:rPr>
    </w:lvl>
    <w:lvl w:ilvl="2">
      <w:start w:val="1"/>
      <w:numFmt w:val="lowerRoman"/>
      <w:lvlText w:val="(%3)"/>
      <w:lvlJc w:val="left"/>
      <w:pPr>
        <w:tabs>
          <w:tab w:val="num" w:pos="2421"/>
        </w:tabs>
        <w:ind w:left="1854"/>
      </w:pPr>
      <w:rPr>
        <w:rFonts w:cs="Times New Roman" w:hint="default"/>
      </w:rPr>
    </w:lvl>
    <w:lvl w:ilvl="3">
      <w:start w:val="1"/>
      <w:numFmt w:val="bullet"/>
      <w:lvlText w:val=""/>
      <w:lvlJc w:val="left"/>
      <w:pPr>
        <w:tabs>
          <w:tab w:val="num" w:pos="2988"/>
        </w:tabs>
        <w:ind w:left="2421"/>
      </w:pPr>
      <w:rPr>
        <w:rFonts w:hint="default"/>
      </w:rPr>
    </w:lvl>
    <w:lvl w:ilvl="4">
      <w:start w:val="1"/>
      <w:numFmt w:val="bullet"/>
      <w:lvlText w:val=""/>
      <w:lvlJc w:val="left"/>
      <w:pPr>
        <w:tabs>
          <w:tab w:val="num" w:pos="3555"/>
        </w:tabs>
        <w:ind w:left="2988"/>
      </w:pPr>
      <w:rPr>
        <w:rFonts w:hint="default"/>
      </w:rPr>
    </w:lvl>
    <w:lvl w:ilvl="5">
      <w:start w:val="1"/>
      <w:numFmt w:val="bullet"/>
      <w:lvlText w:val=""/>
      <w:lvlJc w:val="left"/>
      <w:pPr>
        <w:tabs>
          <w:tab w:val="num" w:pos="4122"/>
        </w:tabs>
        <w:ind w:left="3555"/>
      </w:pPr>
      <w:rPr>
        <w:rFonts w:hint="default"/>
      </w:rPr>
    </w:lvl>
    <w:lvl w:ilvl="6">
      <w:start w:val="1"/>
      <w:numFmt w:val="bullet"/>
      <w:lvlText w:val=""/>
      <w:lvlJc w:val="left"/>
      <w:pPr>
        <w:tabs>
          <w:tab w:val="num" w:pos="4689"/>
        </w:tabs>
        <w:ind w:left="4122"/>
      </w:pPr>
      <w:rPr>
        <w:rFonts w:hint="default"/>
      </w:rPr>
    </w:lvl>
    <w:lvl w:ilvl="7">
      <w:start w:val="1"/>
      <w:numFmt w:val="bullet"/>
      <w:lvlText w:val=""/>
      <w:lvlJc w:val="left"/>
      <w:pPr>
        <w:tabs>
          <w:tab w:val="num" w:pos="5255"/>
        </w:tabs>
        <w:ind w:left="4689"/>
      </w:pPr>
      <w:rPr>
        <w:rFonts w:hint="default"/>
      </w:rPr>
    </w:lvl>
    <w:lvl w:ilvl="8">
      <w:start w:val="1"/>
      <w:numFmt w:val="bullet"/>
      <w:lvlText w:val=""/>
      <w:lvlJc w:val="left"/>
      <w:pPr>
        <w:tabs>
          <w:tab w:val="num" w:pos="5822"/>
        </w:tabs>
        <w:ind w:left="5255"/>
      </w:pPr>
      <w:rPr>
        <w:rFonts w:hint="default"/>
      </w:rPr>
    </w:lvl>
  </w:abstractNum>
  <w:abstractNum w:abstractNumId="8">
    <w:nsid w:val="48831987"/>
    <w:multiLevelType w:val="hybridMultilevel"/>
    <w:tmpl w:val="5746B5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B681E54"/>
    <w:multiLevelType w:val="hybridMultilevel"/>
    <w:tmpl w:val="7AD8343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4C2974AE"/>
    <w:multiLevelType w:val="multilevel"/>
    <w:tmpl w:val="1A8A6602"/>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pPr>
      <w:rPr>
        <w:rFonts w:cs="Times New Roman" w:hint="default"/>
      </w:rPr>
    </w:lvl>
    <w:lvl w:ilvl="2">
      <w:start w:val="1"/>
      <w:numFmt w:val="lowerRoman"/>
      <w:lvlText w:val="(%3)"/>
      <w:lvlJc w:val="left"/>
      <w:pPr>
        <w:tabs>
          <w:tab w:val="num" w:pos="2421"/>
        </w:tabs>
        <w:ind w:left="1854"/>
      </w:pPr>
      <w:rPr>
        <w:rFonts w:cs="Times New Roman" w:hint="default"/>
      </w:rPr>
    </w:lvl>
    <w:lvl w:ilvl="3">
      <w:start w:val="1"/>
      <w:numFmt w:val="bullet"/>
      <w:lvlText w:val=""/>
      <w:lvlJc w:val="left"/>
      <w:pPr>
        <w:tabs>
          <w:tab w:val="num" w:pos="2988"/>
        </w:tabs>
        <w:ind w:left="2421"/>
      </w:pPr>
      <w:rPr>
        <w:rFonts w:hint="default"/>
      </w:rPr>
    </w:lvl>
    <w:lvl w:ilvl="4">
      <w:start w:val="1"/>
      <w:numFmt w:val="bullet"/>
      <w:lvlText w:val=""/>
      <w:lvlJc w:val="left"/>
      <w:pPr>
        <w:tabs>
          <w:tab w:val="num" w:pos="3555"/>
        </w:tabs>
        <w:ind w:left="2988"/>
      </w:pPr>
      <w:rPr>
        <w:rFonts w:hint="default"/>
      </w:rPr>
    </w:lvl>
    <w:lvl w:ilvl="5">
      <w:start w:val="1"/>
      <w:numFmt w:val="bullet"/>
      <w:lvlText w:val=""/>
      <w:lvlJc w:val="left"/>
      <w:pPr>
        <w:tabs>
          <w:tab w:val="num" w:pos="4122"/>
        </w:tabs>
        <w:ind w:left="3555"/>
      </w:pPr>
      <w:rPr>
        <w:rFonts w:hint="default"/>
      </w:rPr>
    </w:lvl>
    <w:lvl w:ilvl="6">
      <w:start w:val="1"/>
      <w:numFmt w:val="bullet"/>
      <w:lvlText w:val=""/>
      <w:lvlJc w:val="left"/>
      <w:pPr>
        <w:tabs>
          <w:tab w:val="num" w:pos="4689"/>
        </w:tabs>
        <w:ind w:left="4122"/>
      </w:pPr>
      <w:rPr>
        <w:rFonts w:hint="default"/>
      </w:rPr>
    </w:lvl>
    <w:lvl w:ilvl="7">
      <w:start w:val="1"/>
      <w:numFmt w:val="bullet"/>
      <w:lvlText w:val=""/>
      <w:lvlJc w:val="left"/>
      <w:pPr>
        <w:tabs>
          <w:tab w:val="num" w:pos="5255"/>
        </w:tabs>
        <w:ind w:left="4689"/>
      </w:pPr>
      <w:rPr>
        <w:rFonts w:hint="default"/>
      </w:rPr>
    </w:lvl>
    <w:lvl w:ilvl="8">
      <w:start w:val="1"/>
      <w:numFmt w:val="bullet"/>
      <w:lvlText w:val=""/>
      <w:lvlJc w:val="left"/>
      <w:pPr>
        <w:tabs>
          <w:tab w:val="num" w:pos="5822"/>
        </w:tabs>
        <w:ind w:left="5255"/>
      </w:pPr>
      <w:rPr>
        <w:rFonts w:hint="default"/>
      </w:rPr>
    </w:lvl>
  </w:abstractNum>
  <w:abstractNum w:abstractNumId="11">
    <w:nsid w:val="4FE9554E"/>
    <w:multiLevelType w:val="hybridMultilevel"/>
    <w:tmpl w:val="C430225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50063A19"/>
    <w:multiLevelType w:val="hybridMultilevel"/>
    <w:tmpl w:val="9208B87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nsid w:val="55224321"/>
    <w:multiLevelType w:val="hybridMultilevel"/>
    <w:tmpl w:val="251E6C1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nsid w:val="56D86C18"/>
    <w:multiLevelType w:val="hybridMultilevel"/>
    <w:tmpl w:val="477A7E36"/>
    <w:lvl w:ilvl="0" w:tplc="2C5657B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F77FBA"/>
    <w:multiLevelType w:val="hybridMultilevel"/>
    <w:tmpl w:val="1F08F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BB6AEB"/>
    <w:multiLevelType w:val="hybridMultilevel"/>
    <w:tmpl w:val="26E0E77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58673A46"/>
    <w:multiLevelType w:val="hybridMultilevel"/>
    <w:tmpl w:val="94A4F61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5A676EAC"/>
    <w:multiLevelType w:val="multilevel"/>
    <w:tmpl w:val="FA90ECCA"/>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pPr>
      <w:rPr>
        <w:rFonts w:cs="Times New Roman" w:hint="default"/>
      </w:rPr>
    </w:lvl>
    <w:lvl w:ilvl="2">
      <w:start w:val="1"/>
      <w:numFmt w:val="lowerRoman"/>
      <w:lvlText w:val="(%3)"/>
      <w:lvlJc w:val="left"/>
      <w:pPr>
        <w:tabs>
          <w:tab w:val="num" w:pos="2421"/>
        </w:tabs>
        <w:ind w:left="1854"/>
      </w:pPr>
      <w:rPr>
        <w:rFonts w:cs="Times New Roman" w:hint="default"/>
      </w:rPr>
    </w:lvl>
    <w:lvl w:ilvl="3">
      <w:start w:val="1"/>
      <w:numFmt w:val="bullet"/>
      <w:lvlText w:val=""/>
      <w:lvlJc w:val="left"/>
      <w:pPr>
        <w:tabs>
          <w:tab w:val="num" w:pos="2988"/>
        </w:tabs>
        <w:ind w:left="2421"/>
      </w:pPr>
      <w:rPr>
        <w:rFonts w:hint="default"/>
      </w:rPr>
    </w:lvl>
    <w:lvl w:ilvl="4">
      <w:start w:val="1"/>
      <w:numFmt w:val="bullet"/>
      <w:lvlText w:val=""/>
      <w:lvlJc w:val="left"/>
      <w:pPr>
        <w:tabs>
          <w:tab w:val="num" w:pos="3555"/>
        </w:tabs>
        <w:ind w:left="2988"/>
      </w:pPr>
      <w:rPr>
        <w:rFonts w:hint="default"/>
      </w:rPr>
    </w:lvl>
    <w:lvl w:ilvl="5">
      <w:start w:val="1"/>
      <w:numFmt w:val="bullet"/>
      <w:lvlText w:val=""/>
      <w:lvlJc w:val="left"/>
      <w:pPr>
        <w:tabs>
          <w:tab w:val="num" w:pos="4122"/>
        </w:tabs>
        <w:ind w:left="3555"/>
      </w:pPr>
      <w:rPr>
        <w:rFonts w:hint="default"/>
      </w:rPr>
    </w:lvl>
    <w:lvl w:ilvl="6">
      <w:start w:val="1"/>
      <w:numFmt w:val="bullet"/>
      <w:lvlText w:val=""/>
      <w:lvlJc w:val="left"/>
      <w:pPr>
        <w:tabs>
          <w:tab w:val="num" w:pos="4689"/>
        </w:tabs>
        <w:ind w:left="4122"/>
      </w:pPr>
      <w:rPr>
        <w:rFonts w:hint="default"/>
      </w:rPr>
    </w:lvl>
    <w:lvl w:ilvl="7">
      <w:start w:val="1"/>
      <w:numFmt w:val="bullet"/>
      <w:lvlText w:val=""/>
      <w:lvlJc w:val="left"/>
      <w:pPr>
        <w:tabs>
          <w:tab w:val="num" w:pos="5255"/>
        </w:tabs>
        <w:ind w:left="4689"/>
      </w:pPr>
      <w:rPr>
        <w:rFonts w:hint="default"/>
      </w:rPr>
    </w:lvl>
    <w:lvl w:ilvl="8">
      <w:start w:val="1"/>
      <w:numFmt w:val="bullet"/>
      <w:lvlText w:val=""/>
      <w:lvlJc w:val="left"/>
      <w:pPr>
        <w:tabs>
          <w:tab w:val="num" w:pos="5822"/>
        </w:tabs>
        <w:ind w:left="5255"/>
      </w:pPr>
      <w:rPr>
        <w:rFonts w:hint="default"/>
      </w:rPr>
    </w:lvl>
  </w:abstractNum>
  <w:abstractNum w:abstractNumId="19">
    <w:nsid w:val="67B5568A"/>
    <w:multiLevelType w:val="hybridMultilevel"/>
    <w:tmpl w:val="685C234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6A576666"/>
    <w:multiLevelType w:val="hybridMultilevel"/>
    <w:tmpl w:val="3426E8F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78454A5F"/>
    <w:multiLevelType w:val="multilevel"/>
    <w:tmpl w:val="CD84E4F6"/>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pPr>
      <w:rPr>
        <w:rFonts w:cs="Times New Roman" w:hint="default"/>
      </w:rPr>
    </w:lvl>
    <w:lvl w:ilvl="2">
      <w:start w:val="1"/>
      <w:numFmt w:val="lowerRoman"/>
      <w:lvlText w:val="(%3)"/>
      <w:lvlJc w:val="left"/>
      <w:pPr>
        <w:tabs>
          <w:tab w:val="num" w:pos="2421"/>
        </w:tabs>
        <w:ind w:left="1854"/>
      </w:pPr>
      <w:rPr>
        <w:rFonts w:cs="Times New Roman" w:hint="default"/>
      </w:rPr>
    </w:lvl>
    <w:lvl w:ilvl="3">
      <w:start w:val="1"/>
      <w:numFmt w:val="bullet"/>
      <w:lvlText w:val=""/>
      <w:lvlJc w:val="left"/>
      <w:pPr>
        <w:tabs>
          <w:tab w:val="num" w:pos="2988"/>
        </w:tabs>
        <w:ind w:left="2421"/>
      </w:pPr>
      <w:rPr>
        <w:rFonts w:hint="default"/>
      </w:rPr>
    </w:lvl>
    <w:lvl w:ilvl="4">
      <w:start w:val="1"/>
      <w:numFmt w:val="bullet"/>
      <w:lvlText w:val=""/>
      <w:lvlJc w:val="left"/>
      <w:pPr>
        <w:tabs>
          <w:tab w:val="num" w:pos="3555"/>
        </w:tabs>
        <w:ind w:left="2988"/>
      </w:pPr>
      <w:rPr>
        <w:rFonts w:hint="default"/>
      </w:rPr>
    </w:lvl>
    <w:lvl w:ilvl="5">
      <w:start w:val="1"/>
      <w:numFmt w:val="bullet"/>
      <w:lvlText w:val=""/>
      <w:lvlJc w:val="left"/>
      <w:pPr>
        <w:tabs>
          <w:tab w:val="num" w:pos="4122"/>
        </w:tabs>
        <w:ind w:left="3555"/>
      </w:pPr>
      <w:rPr>
        <w:rFonts w:hint="default"/>
      </w:rPr>
    </w:lvl>
    <w:lvl w:ilvl="6">
      <w:start w:val="1"/>
      <w:numFmt w:val="bullet"/>
      <w:lvlText w:val=""/>
      <w:lvlJc w:val="left"/>
      <w:pPr>
        <w:tabs>
          <w:tab w:val="num" w:pos="4689"/>
        </w:tabs>
        <w:ind w:left="4122"/>
      </w:pPr>
      <w:rPr>
        <w:rFonts w:hint="default"/>
      </w:rPr>
    </w:lvl>
    <w:lvl w:ilvl="7">
      <w:start w:val="1"/>
      <w:numFmt w:val="bullet"/>
      <w:lvlText w:val=""/>
      <w:lvlJc w:val="left"/>
      <w:pPr>
        <w:tabs>
          <w:tab w:val="num" w:pos="5255"/>
        </w:tabs>
        <w:ind w:left="4689"/>
      </w:pPr>
      <w:rPr>
        <w:rFonts w:hint="default"/>
      </w:rPr>
    </w:lvl>
    <w:lvl w:ilvl="8">
      <w:start w:val="1"/>
      <w:numFmt w:val="bullet"/>
      <w:lvlText w:val=""/>
      <w:lvlJc w:val="left"/>
      <w:pPr>
        <w:tabs>
          <w:tab w:val="num" w:pos="5822"/>
        </w:tabs>
        <w:ind w:left="5255"/>
      </w:pPr>
      <w:rPr>
        <w:rFonts w:hint="default"/>
      </w:rPr>
    </w:lvl>
  </w:abstractNum>
  <w:abstractNum w:abstractNumId="22">
    <w:nsid w:val="7F6923BD"/>
    <w:multiLevelType w:val="hybridMultilevel"/>
    <w:tmpl w:val="A4FE2E3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22"/>
  </w:num>
  <w:num w:numId="4">
    <w:abstractNumId w:val="9"/>
  </w:num>
  <w:num w:numId="5">
    <w:abstractNumId w:val="20"/>
  </w:num>
  <w:num w:numId="6">
    <w:abstractNumId w:val="2"/>
  </w:num>
  <w:num w:numId="7">
    <w:abstractNumId w:val="18"/>
  </w:num>
  <w:num w:numId="8">
    <w:abstractNumId w:val="10"/>
  </w:num>
  <w:num w:numId="9">
    <w:abstractNumId w:val="21"/>
  </w:num>
  <w:num w:numId="10">
    <w:abstractNumId w:val="3"/>
  </w:num>
  <w:num w:numId="11">
    <w:abstractNumId w:val="7"/>
  </w:num>
  <w:num w:numId="12">
    <w:abstractNumId w:val="4"/>
  </w:num>
  <w:num w:numId="13">
    <w:abstractNumId w:val="16"/>
  </w:num>
  <w:num w:numId="14">
    <w:abstractNumId w:val="1"/>
  </w:num>
  <w:num w:numId="15">
    <w:abstractNumId w:val="19"/>
  </w:num>
  <w:num w:numId="16">
    <w:abstractNumId w:val="8"/>
  </w:num>
  <w:num w:numId="17">
    <w:abstractNumId w:val="11"/>
  </w:num>
  <w:num w:numId="18">
    <w:abstractNumId w:val="12"/>
  </w:num>
  <w:num w:numId="19">
    <w:abstractNumId w:val="17"/>
  </w:num>
  <w:num w:numId="20">
    <w:abstractNumId w:val="5"/>
  </w:num>
  <w:num w:numId="21">
    <w:abstractNumId w:val="13"/>
  </w:num>
  <w:num w:numId="22">
    <w:abstractNumId w:val="14"/>
  </w:num>
  <w:num w:numId="2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460"/>
    <w:rsid w:val="0000737E"/>
    <w:rsid w:val="000141BC"/>
    <w:rsid w:val="00025E27"/>
    <w:rsid w:val="0003705B"/>
    <w:rsid w:val="000406F4"/>
    <w:rsid w:val="00041DBB"/>
    <w:rsid w:val="00052BF6"/>
    <w:rsid w:val="00052F36"/>
    <w:rsid w:val="0005341A"/>
    <w:rsid w:val="00055451"/>
    <w:rsid w:val="00060024"/>
    <w:rsid w:val="0007311F"/>
    <w:rsid w:val="00073BD4"/>
    <w:rsid w:val="000908AD"/>
    <w:rsid w:val="00092748"/>
    <w:rsid w:val="000A1F0C"/>
    <w:rsid w:val="000A2080"/>
    <w:rsid w:val="000A2C65"/>
    <w:rsid w:val="000A3C7E"/>
    <w:rsid w:val="000A4D7F"/>
    <w:rsid w:val="000A5D17"/>
    <w:rsid w:val="000A674A"/>
    <w:rsid w:val="000B5A19"/>
    <w:rsid w:val="000B76DB"/>
    <w:rsid w:val="000B77A7"/>
    <w:rsid w:val="000B7D9E"/>
    <w:rsid w:val="000C1D42"/>
    <w:rsid w:val="000C2770"/>
    <w:rsid w:val="000D2996"/>
    <w:rsid w:val="000D3BEE"/>
    <w:rsid w:val="000D52D7"/>
    <w:rsid w:val="000D7409"/>
    <w:rsid w:val="000E49CA"/>
    <w:rsid w:val="000E5973"/>
    <w:rsid w:val="000F5B8D"/>
    <w:rsid w:val="000F7D7A"/>
    <w:rsid w:val="00101989"/>
    <w:rsid w:val="00105EBF"/>
    <w:rsid w:val="001166DA"/>
    <w:rsid w:val="00121A1A"/>
    <w:rsid w:val="001234DA"/>
    <w:rsid w:val="00127956"/>
    <w:rsid w:val="00130405"/>
    <w:rsid w:val="001311AA"/>
    <w:rsid w:val="001329C9"/>
    <w:rsid w:val="00135356"/>
    <w:rsid w:val="00136CD5"/>
    <w:rsid w:val="001372BE"/>
    <w:rsid w:val="001404A2"/>
    <w:rsid w:val="00141A9A"/>
    <w:rsid w:val="0014738E"/>
    <w:rsid w:val="001528AF"/>
    <w:rsid w:val="00161C1A"/>
    <w:rsid w:val="00164B0D"/>
    <w:rsid w:val="00170CF4"/>
    <w:rsid w:val="0017209A"/>
    <w:rsid w:val="00173FBC"/>
    <w:rsid w:val="00175D93"/>
    <w:rsid w:val="00175E52"/>
    <w:rsid w:val="0017635C"/>
    <w:rsid w:val="0017684B"/>
    <w:rsid w:val="00185945"/>
    <w:rsid w:val="001954C3"/>
    <w:rsid w:val="001965DD"/>
    <w:rsid w:val="001A6EA4"/>
    <w:rsid w:val="001A78D7"/>
    <w:rsid w:val="001B3146"/>
    <w:rsid w:val="001B392D"/>
    <w:rsid w:val="001C0031"/>
    <w:rsid w:val="001C3219"/>
    <w:rsid w:val="001D0D7E"/>
    <w:rsid w:val="001E09BE"/>
    <w:rsid w:val="001F0F2B"/>
    <w:rsid w:val="001F39EC"/>
    <w:rsid w:val="001F6A09"/>
    <w:rsid w:val="0020173D"/>
    <w:rsid w:val="00210093"/>
    <w:rsid w:val="002124A1"/>
    <w:rsid w:val="002134D5"/>
    <w:rsid w:val="00215456"/>
    <w:rsid w:val="00215815"/>
    <w:rsid w:val="00216EC2"/>
    <w:rsid w:val="00224A31"/>
    <w:rsid w:val="0023150D"/>
    <w:rsid w:val="00231A98"/>
    <w:rsid w:val="00231DD0"/>
    <w:rsid w:val="00233FBD"/>
    <w:rsid w:val="00243546"/>
    <w:rsid w:val="00244ABC"/>
    <w:rsid w:val="00246AAC"/>
    <w:rsid w:val="0025037B"/>
    <w:rsid w:val="0025206F"/>
    <w:rsid w:val="00253DF5"/>
    <w:rsid w:val="00255593"/>
    <w:rsid w:val="002632FD"/>
    <w:rsid w:val="00266221"/>
    <w:rsid w:val="00271CA9"/>
    <w:rsid w:val="00271CAA"/>
    <w:rsid w:val="00271D81"/>
    <w:rsid w:val="00274DF8"/>
    <w:rsid w:val="00275AA0"/>
    <w:rsid w:val="002760C4"/>
    <w:rsid w:val="002775E5"/>
    <w:rsid w:val="00277991"/>
    <w:rsid w:val="0028170E"/>
    <w:rsid w:val="002840B0"/>
    <w:rsid w:val="00286625"/>
    <w:rsid w:val="0028729A"/>
    <w:rsid w:val="002921C8"/>
    <w:rsid w:val="002947B5"/>
    <w:rsid w:val="00295680"/>
    <w:rsid w:val="002A03DE"/>
    <w:rsid w:val="002A0C27"/>
    <w:rsid w:val="002A1684"/>
    <w:rsid w:val="002B379E"/>
    <w:rsid w:val="002B7281"/>
    <w:rsid w:val="002B72F6"/>
    <w:rsid w:val="002C14F3"/>
    <w:rsid w:val="002C2EAF"/>
    <w:rsid w:val="002C3006"/>
    <w:rsid w:val="002C393E"/>
    <w:rsid w:val="002C5F2A"/>
    <w:rsid w:val="002C63A1"/>
    <w:rsid w:val="002C671C"/>
    <w:rsid w:val="002D1D97"/>
    <w:rsid w:val="002E5935"/>
    <w:rsid w:val="002F1990"/>
    <w:rsid w:val="00302779"/>
    <w:rsid w:val="003050ED"/>
    <w:rsid w:val="00306F6C"/>
    <w:rsid w:val="00310C5D"/>
    <w:rsid w:val="00312264"/>
    <w:rsid w:val="00313BE7"/>
    <w:rsid w:val="00321708"/>
    <w:rsid w:val="003229DB"/>
    <w:rsid w:val="0032315F"/>
    <w:rsid w:val="00323B8C"/>
    <w:rsid w:val="00333CA7"/>
    <w:rsid w:val="00334B0C"/>
    <w:rsid w:val="003363D5"/>
    <w:rsid w:val="003375C4"/>
    <w:rsid w:val="003401A4"/>
    <w:rsid w:val="003508E6"/>
    <w:rsid w:val="003520CF"/>
    <w:rsid w:val="00355EB2"/>
    <w:rsid w:val="00355F7B"/>
    <w:rsid w:val="00360183"/>
    <w:rsid w:val="00360417"/>
    <w:rsid w:val="00361C71"/>
    <w:rsid w:val="00373121"/>
    <w:rsid w:val="00376E3A"/>
    <w:rsid w:val="003852F9"/>
    <w:rsid w:val="003928E9"/>
    <w:rsid w:val="003A687E"/>
    <w:rsid w:val="003A70ED"/>
    <w:rsid w:val="003B00CF"/>
    <w:rsid w:val="003B559A"/>
    <w:rsid w:val="003B5F73"/>
    <w:rsid w:val="003C77BE"/>
    <w:rsid w:val="003E6C2E"/>
    <w:rsid w:val="003E7975"/>
    <w:rsid w:val="003F79A9"/>
    <w:rsid w:val="00403F2A"/>
    <w:rsid w:val="00404477"/>
    <w:rsid w:val="00407191"/>
    <w:rsid w:val="0041406F"/>
    <w:rsid w:val="00414B1A"/>
    <w:rsid w:val="00423F56"/>
    <w:rsid w:val="00427886"/>
    <w:rsid w:val="004333BB"/>
    <w:rsid w:val="004337B7"/>
    <w:rsid w:val="0043404D"/>
    <w:rsid w:val="00436667"/>
    <w:rsid w:val="004372FF"/>
    <w:rsid w:val="00442F97"/>
    <w:rsid w:val="004463ED"/>
    <w:rsid w:val="0046326A"/>
    <w:rsid w:val="00463FEA"/>
    <w:rsid w:val="0046741E"/>
    <w:rsid w:val="00475FF6"/>
    <w:rsid w:val="00480EF6"/>
    <w:rsid w:val="00482B48"/>
    <w:rsid w:val="004837F5"/>
    <w:rsid w:val="00485D9F"/>
    <w:rsid w:val="004A1F02"/>
    <w:rsid w:val="004A62D6"/>
    <w:rsid w:val="004B5787"/>
    <w:rsid w:val="004B7483"/>
    <w:rsid w:val="004B758D"/>
    <w:rsid w:val="004C23BC"/>
    <w:rsid w:val="004D2395"/>
    <w:rsid w:val="004E1BD4"/>
    <w:rsid w:val="004E2B48"/>
    <w:rsid w:val="004E4148"/>
    <w:rsid w:val="004E7EB2"/>
    <w:rsid w:val="004F39C3"/>
    <w:rsid w:val="004F5F0C"/>
    <w:rsid w:val="004F64CE"/>
    <w:rsid w:val="0050107F"/>
    <w:rsid w:val="0050145A"/>
    <w:rsid w:val="0050238E"/>
    <w:rsid w:val="00513F6A"/>
    <w:rsid w:val="00515569"/>
    <w:rsid w:val="005157F4"/>
    <w:rsid w:val="00517A5C"/>
    <w:rsid w:val="00521AF6"/>
    <w:rsid w:val="00523516"/>
    <w:rsid w:val="005239EC"/>
    <w:rsid w:val="0053389E"/>
    <w:rsid w:val="005425E7"/>
    <w:rsid w:val="00562574"/>
    <w:rsid w:val="00562598"/>
    <w:rsid w:val="0056293C"/>
    <w:rsid w:val="005665B6"/>
    <w:rsid w:val="005713A6"/>
    <w:rsid w:val="00572323"/>
    <w:rsid w:val="0057641E"/>
    <w:rsid w:val="005829F9"/>
    <w:rsid w:val="005845E8"/>
    <w:rsid w:val="00584861"/>
    <w:rsid w:val="005850EF"/>
    <w:rsid w:val="005A0FC8"/>
    <w:rsid w:val="005A2041"/>
    <w:rsid w:val="005A339A"/>
    <w:rsid w:val="005A3DB4"/>
    <w:rsid w:val="005B2B7B"/>
    <w:rsid w:val="005C3097"/>
    <w:rsid w:val="005D4E83"/>
    <w:rsid w:val="005D5F23"/>
    <w:rsid w:val="005D6354"/>
    <w:rsid w:val="005D662B"/>
    <w:rsid w:val="005F29A3"/>
    <w:rsid w:val="005F30F4"/>
    <w:rsid w:val="00601F0D"/>
    <w:rsid w:val="006023DB"/>
    <w:rsid w:val="00605D33"/>
    <w:rsid w:val="00612FFA"/>
    <w:rsid w:val="00615D26"/>
    <w:rsid w:val="006160AF"/>
    <w:rsid w:val="00616460"/>
    <w:rsid w:val="0061772D"/>
    <w:rsid w:val="00617741"/>
    <w:rsid w:val="006262D3"/>
    <w:rsid w:val="00631F76"/>
    <w:rsid w:val="00634ABD"/>
    <w:rsid w:val="006401B6"/>
    <w:rsid w:val="00641F69"/>
    <w:rsid w:val="00672B09"/>
    <w:rsid w:val="00674B79"/>
    <w:rsid w:val="006821F7"/>
    <w:rsid w:val="00690EB2"/>
    <w:rsid w:val="00691AE7"/>
    <w:rsid w:val="00695C8B"/>
    <w:rsid w:val="0069733A"/>
    <w:rsid w:val="006A1AC6"/>
    <w:rsid w:val="006A4F36"/>
    <w:rsid w:val="006A5E25"/>
    <w:rsid w:val="006B05EE"/>
    <w:rsid w:val="006B1231"/>
    <w:rsid w:val="006B132D"/>
    <w:rsid w:val="006B1BEC"/>
    <w:rsid w:val="006B2E65"/>
    <w:rsid w:val="006B3B82"/>
    <w:rsid w:val="006B63E8"/>
    <w:rsid w:val="006C08A0"/>
    <w:rsid w:val="006C1085"/>
    <w:rsid w:val="006C2948"/>
    <w:rsid w:val="006C388C"/>
    <w:rsid w:val="006C3B33"/>
    <w:rsid w:val="006C53CD"/>
    <w:rsid w:val="006C627A"/>
    <w:rsid w:val="006C7438"/>
    <w:rsid w:val="006D0C30"/>
    <w:rsid w:val="006D25DB"/>
    <w:rsid w:val="006D4320"/>
    <w:rsid w:val="006E188C"/>
    <w:rsid w:val="006E3855"/>
    <w:rsid w:val="006E4AEC"/>
    <w:rsid w:val="006E58E3"/>
    <w:rsid w:val="006E695B"/>
    <w:rsid w:val="006F31BE"/>
    <w:rsid w:val="006F4DA7"/>
    <w:rsid w:val="006F63E7"/>
    <w:rsid w:val="006F785A"/>
    <w:rsid w:val="007000F9"/>
    <w:rsid w:val="0070385A"/>
    <w:rsid w:val="00713282"/>
    <w:rsid w:val="00716C41"/>
    <w:rsid w:val="007231F5"/>
    <w:rsid w:val="007343D2"/>
    <w:rsid w:val="00740763"/>
    <w:rsid w:val="00740AE2"/>
    <w:rsid w:val="00745B5A"/>
    <w:rsid w:val="00751E88"/>
    <w:rsid w:val="00752570"/>
    <w:rsid w:val="00754209"/>
    <w:rsid w:val="0076210C"/>
    <w:rsid w:val="007627F4"/>
    <w:rsid w:val="007628A0"/>
    <w:rsid w:val="00773153"/>
    <w:rsid w:val="00774FFF"/>
    <w:rsid w:val="00775B0D"/>
    <w:rsid w:val="00786122"/>
    <w:rsid w:val="007901FC"/>
    <w:rsid w:val="0079125E"/>
    <w:rsid w:val="00797AED"/>
    <w:rsid w:val="00797DF5"/>
    <w:rsid w:val="007A66B4"/>
    <w:rsid w:val="007B2C21"/>
    <w:rsid w:val="007C12FD"/>
    <w:rsid w:val="007C1D0B"/>
    <w:rsid w:val="007C2F82"/>
    <w:rsid w:val="007C6D77"/>
    <w:rsid w:val="007D02E7"/>
    <w:rsid w:val="007D37BD"/>
    <w:rsid w:val="007D6391"/>
    <w:rsid w:val="007E09BF"/>
    <w:rsid w:val="007E41CB"/>
    <w:rsid w:val="007E5C52"/>
    <w:rsid w:val="007F3317"/>
    <w:rsid w:val="007F6B5A"/>
    <w:rsid w:val="00800D76"/>
    <w:rsid w:val="00804F03"/>
    <w:rsid w:val="0080775C"/>
    <w:rsid w:val="00807A16"/>
    <w:rsid w:val="00824733"/>
    <w:rsid w:val="00825A8A"/>
    <w:rsid w:val="00826893"/>
    <w:rsid w:val="00827312"/>
    <w:rsid w:val="00834CF6"/>
    <w:rsid w:val="0084254D"/>
    <w:rsid w:val="008452EC"/>
    <w:rsid w:val="00845C44"/>
    <w:rsid w:val="008461BD"/>
    <w:rsid w:val="00853A89"/>
    <w:rsid w:val="00866E54"/>
    <w:rsid w:val="00870F9A"/>
    <w:rsid w:val="0087204A"/>
    <w:rsid w:val="008720FD"/>
    <w:rsid w:val="008748D5"/>
    <w:rsid w:val="008776EB"/>
    <w:rsid w:val="0088188A"/>
    <w:rsid w:val="0088278A"/>
    <w:rsid w:val="0088601D"/>
    <w:rsid w:val="008861C2"/>
    <w:rsid w:val="008A160A"/>
    <w:rsid w:val="008A195D"/>
    <w:rsid w:val="008A4CFF"/>
    <w:rsid w:val="008A65BF"/>
    <w:rsid w:val="008A6AD5"/>
    <w:rsid w:val="008B510E"/>
    <w:rsid w:val="008B718A"/>
    <w:rsid w:val="008B7BA2"/>
    <w:rsid w:val="008C30B2"/>
    <w:rsid w:val="008C6D96"/>
    <w:rsid w:val="008D088F"/>
    <w:rsid w:val="008D7FAD"/>
    <w:rsid w:val="008E2667"/>
    <w:rsid w:val="008E2E12"/>
    <w:rsid w:val="008E7610"/>
    <w:rsid w:val="008F054B"/>
    <w:rsid w:val="008F1A30"/>
    <w:rsid w:val="008F285E"/>
    <w:rsid w:val="008F3CD9"/>
    <w:rsid w:val="008F7307"/>
    <w:rsid w:val="008F7508"/>
    <w:rsid w:val="00901633"/>
    <w:rsid w:val="00902E69"/>
    <w:rsid w:val="0090701F"/>
    <w:rsid w:val="00911E8D"/>
    <w:rsid w:val="009134FD"/>
    <w:rsid w:val="0092507D"/>
    <w:rsid w:val="00937A1F"/>
    <w:rsid w:val="00937AC9"/>
    <w:rsid w:val="00942AF2"/>
    <w:rsid w:val="0094797E"/>
    <w:rsid w:val="00954730"/>
    <w:rsid w:val="0096115C"/>
    <w:rsid w:val="00961A56"/>
    <w:rsid w:val="00966CED"/>
    <w:rsid w:val="00966D11"/>
    <w:rsid w:val="00966EE7"/>
    <w:rsid w:val="00972003"/>
    <w:rsid w:val="009775C8"/>
    <w:rsid w:val="009819C5"/>
    <w:rsid w:val="00982FE4"/>
    <w:rsid w:val="00991B7A"/>
    <w:rsid w:val="009921E6"/>
    <w:rsid w:val="0099599F"/>
    <w:rsid w:val="00996523"/>
    <w:rsid w:val="009A1F9C"/>
    <w:rsid w:val="009A3050"/>
    <w:rsid w:val="009A4CE2"/>
    <w:rsid w:val="009A638E"/>
    <w:rsid w:val="009A7CC8"/>
    <w:rsid w:val="009C3956"/>
    <w:rsid w:val="009C669E"/>
    <w:rsid w:val="009D766F"/>
    <w:rsid w:val="009E2869"/>
    <w:rsid w:val="009E6CD0"/>
    <w:rsid w:val="009E71B2"/>
    <w:rsid w:val="009F4270"/>
    <w:rsid w:val="009F5BE9"/>
    <w:rsid w:val="00A053E6"/>
    <w:rsid w:val="00A114E5"/>
    <w:rsid w:val="00A14791"/>
    <w:rsid w:val="00A16D00"/>
    <w:rsid w:val="00A218DD"/>
    <w:rsid w:val="00A22046"/>
    <w:rsid w:val="00A24B2E"/>
    <w:rsid w:val="00A2720E"/>
    <w:rsid w:val="00A30F31"/>
    <w:rsid w:val="00A31A5A"/>
    <w:rsid w:val="00A320B0"/>
    <w:rsid w:val="00A36363"/>
    <w:rsid w:val="00A37730"/>
    <w:rsid w:val="00A40B11"/>
    <w:rsid w:val="00A41E3E"/>
    <w:rsid w:val="00A42890"/>
    <w:rsid w:val="00A42A5B"/>
    <w:rsid w:val="00A43A6E"/>
    <w:rsid w:val="00A43F1D"/>
    <w:rsid w:val="00A463BD"/>
    <w:rsid w:val="00A4756A"/>
    <w:rsid w:val="00A47EA1"/>
    <w:rsid w:val="00A52FC2"/>
    <w:rsid w:val="00A5420D"/>
    <w:rsid w:val="00A575F4"/>
    <w:rsid w:val="00A621A1"/>
    <w:rsid w:val="00A630DC"/>
    <w:rsid w:val="00A635A1"/>
    <w:rsid w:val="00A65C21"/>
    <w:rsid w:val="00A660BD"/>
    <w:rsid w:val="00A661F5"/>
    <w:rsid w:val="00A67179"/>
    <w:rsid w:val="00A74529"/>
    <w:rsid w:val="00A758D9"/>
    <w:rsid w:val="00A77C83"/>
    <w:rsid w:val="00A81B23"/>
    <w:rsid w:val="00A82302"/>
    <w:rsid w:val="00A974EC"/>
    <w:rsid w:val="00AA1144"/>
    <w:rsid w:val="00AB3DCC"/>
    <w:rsid w:val="00AC3A81"/>
    <w:rsid w:val="00AC64C2"/>
    <w:rsid w:val="00AD4A36"/>
    <w:rsid w:val="00AE4C80"/>
    <w:rsid w:val="00AE6369"/>
    <w:rsid w:val="00AE7FAD"/>
    <w:rsid w:val="00AF7F2F"/>
    <w:rsid w:val="00B019C1"/>
    <w:rsid w:val="00B040B6"/>
    <w:rsid w:val="00B06A76"/>
    <w:rsid w:val="00B13782"/>
    <w:rsid w:val="00B20E50"/>
    <w:rsid w:val="00B210E3"/>
    <w:rsid w:val="00B21AF0"/>
    <w:rsid w:val="00B22AB8"/>
    <w:rsid w:val="00B2754B"/>
    <w:rsid w:val="00B47991"/>
    <w:rsid w:val="00B50911"/>
    <w:rsid w:val="00B51C60"/>
    <w:rsid w:val="00B531AD"/>
    <w:rsid w:val="00B53A20"/>
    <w:rsid w:val="00B55B30"/>
    <w:rsid w:val="00B6264E"/>
    <w:rsid w:val="00B6723E"/>
    <w:rsid w:val="00B707AD"/>
    <w:rsid w:val="00B750AC"/>
    <w:rsid w:val="00B76CC4"/>
    <w:rsid w:val="00B84637"/>
    <w:rsid w:val="00B85BE6"/>
    <w:rsid w:val="00B873A2"/>
    <w:rsid w:val="00B90070"/>
    <w:rsid w:val="00B9245C"/>
    <w:rsid w:val="00BA2124"/>
    <w:rsid w:val="00BA668A"/>
    <w:rsid w:val="00BB0B8D"/>
    <w:rsid w:val="00BB2205"/>
    <w:rsid w:val="00BB447D"/>
    <w:rsid w:val="00BB5D88"/>
    <w:rsid w:val="00BB62A3"/>
    <w:rsid w:val="00BB798A"/>
    <w:rsid w:val="00BC1E21"/>
    <w:rsid w:val="00BC1EA4"/>
    <w:rsid w:val="00BC3ED4"/>
    <w:rsid w:val="00BE4ED3"/>
    <w:rsid w:val="00BF1A7D"/>
    <w:rsid w:val="00C066C6"/>
    <w:rsid w:val="00C069A6"/>
    <w:rsid w:val="00C10E18"/>
    <w:rsid w:val="00C12263"/>
    <w:rsid w:val="00C12637"/>
    <w:rsid w:val="00C265E2"/>
    <w:rsid w:val="00C30AA6"/>
    <w:rsid w:val="00C31509"/>
    <w:rsid w:val="00C315D9"/>
    <w:rsid w:val="00C373AB"/>
    <w:rsid w:val="00C4234D"/>
    <w:rsid w:val="00C42877"/>
    <w:rsid w:val="00C52870"/>
    <w:rsid w:val="00C63F24"/>
    <w:rsid w:val="00C64A1C"/>
    <w:rsid w:val="00C678BF"/>
    <w:rsid w:val="00C70DF0"/>
    <w:rsid w:val="00C72491"/>
    <w:rsid w:val="00C769FD"/>
    <w:rsid w:val="00C8068F"/>
    <w:rsid w:val="00C86375"/>
    <w:rsid w:val="00C950F5"/>
    <w:rsid w:val="00CA0CDD"/>
    <w:rsid w:val="00CA103E"/>
    <w:rsid w:val="00CA37A9"/>
    <w:rsid w:val="00CA4EAA"/>
    <w:rsid w:val="00CA655B"/>
    <w:rsid w:val="00CB100C"/>
    <w:rsid w:val="00CB44CD"/>
    <w:rsid w:val="00CC0680"/>
    <w:rsid w:val="00CC1CA2"/>
    <w:rsid w:val="00CC7A73"/>
    <w:rsid w:val="00CE0C6C"/>
    <w:rsid w:val="00CF2237"/>
    <w:rsid w:val="00CF44A9"/>
    <w:rsid w:val="00CF6E83"/>
    <w:rsid w:val="00D004F0"/>
    <w:rsid w:val="00D065C0"/>
    <w:rsid w:val="00D1073A"/>
    <w:rsid w:val="00D16ECF"/>
    <w:rsid w:val="00D21E87"/>
    <w:rsid w:val="00D22A16"/>
    <w:rsid w:val="00D256FA"/>
    <w:rsid w:val="00D26DEA"/>
    <w:rsid w:val="00D27223"/>
    <w:rsid w:val="00D30A9C"/>
    <w:rsid w:val="00D42D4D"/>
    <w:rsid w:val="00D4723C"/>
    <w:rsid w:val="00D52020"/>
    <w:rsid w:val="00D602C9"/>
    <w:rsid w:val="00D64873"/>
    <w:rsid w:val="00D656CE"/>
    <w:rsid w:val="00D72CDF"/>
    <w:rsid w:val="00D90B0B"/>
    <w:rsid w:val="00D910E2"/>
    <w:rsid w:val="00D944BC"/>
    <w:rsid w:val="00DA6C29"/>
    <w:rsid w:val="00DB16DB"/>
    <w:rsid w:val="00DB3D0E"/>
    <w:rsid w:val="00DB3DE3"/>
    <w:rsid w:val="00DB46AC"/>
    <w:rsid w:val="00DB658E"/>
    <w:rsid w:val="00DC576D"/>
    <w:rsid w:val="00DC7B2C"/>
    <w:rsid w:val="00DD7624"/>
    <w:rsid w:val="00DF039C"/>
    <w:rsid w:val="00DF09B4"/>
    <w:rsid w:val="00E01A9D"/>
    <w:rsid w:val="00E01D49"/>
    <w:rsid w:val="00E05FB0"/>
    <w:rsid w:val="00E1269C"/>
    <w:rsid w:val="00E13500"/>
    <w:rsid w:val="00E1413C"/>
    <w:rsid w:val="00E1681D"/>
    <w:rsid w:val="00E1696F"/>
    <w:rsid w:val="00E260D4"/>
    <w:rsid w:val="00E26959"/>
    <w:rsid w:val="00E32227"/>
    <w:rsid w:val="00E337BC"/>
    <w:rsid w:val="00E47BB1"/>
    <w:rsid w:val="00E5032E"/>
    <w:rsid w:val="00E56A37"/>
    <w:rsid w:val="00E60658"/>
    <w:rsid w:val="00E71763"/>
    <w:rsid w:val="00E81D53"/>
    <w:rsid w:val="00E826B4"/>
    <w:rsid w:val="00E8347F"/>
    <w:rsid w:val="00E85ADB"/>
    <w:rsid w:val="00E87EAD"/>
    <w:rsid w:val="00EA3B36"/>
    <w:rsid w:val="00EA665C"/>
    <w:rsid w:val="00EA6E42"/>
    <w:rsid w:val="00EB07C0"/>
    <w:rsid w:val="00EB19C4"/>
    <w:rsid w:val="00EB1A53"/>
    <w:rsid w:val="00EB2B54"/>
    <w:rsid w:val="00EB3407"/>
    <w:rsid w:val="00EC2015"/>
    <w:rsid w:val="00EC204E"/>
    <w:rsid w:val="00EC3A39"/>
    <w:rsid w:val="00EC3C4C"/>
    <w:rsid w:val="00ED404C"/>
    <w:rsid w:val="00ED5474"/>
    <w:rsid w:val="00EE2502"/>
    <w:rsid w:val="00EE3BDA"/>
    <w:rsid w:val="00EE6C78"/>
    <w:rsid w:val="00EE77A1"/>
    <w:rsid w:val="00EF01C3"/>
    <w:rsid w:val="00EF1D45"/>
    <w:rsid w:val="00EF734D"/>
    <w:rsid w:val="00F03904"/>
    <w:rsid w:val="00F057F7"/>
    <w:rsid w:val="00F06A31"/>
    <w:rsid w:val="00F11912"/>
    <w:rsid w:val="00F11EC5"/>
    <w:rsid w:val="00F1272F"/>
    <w:rsid w:val="00F1544E"/>
    <w:rsid w:val="00F22EC4"/>
    <w:rsid w:val="00F23074"/>
    <w:rsid w:val="00F256F2"/>
    <w:rsid w:val="00F26E55"/>
    <w:rsid w:val="00F27BE0"/>
    <w:rsid w:val="00F31F5C"/>
    <w:rsid w:val="00F447E9"/>
    <w:rsid w:val="00F50EC2"/>
    <w:rsid w:val="00F54EDC"/>
    <w:rsid w:val="00F60C2F"/>
    <w:rsid w:val="00F6398F"/>
    <w:rsid w:val="00F70EEC"/>
    <w:rsid w:val="00F73729"/>
    <w:rsid w:val="00F73C5E"/>
    <w:rsid w:val="00F97F0D"/>
    <w:rsid w:val="00F97F6F"/>
    <w:rsid w:val="00FA59CE"/>
    <w:rsid w:val="00FA5E71"/>
    <w:rsid w:val="00FB0EF3"/>
    <w:rsid w:val="00FB4990"/>
    <w:rsid w:val="00FB5583"/>
    <w:rsid w:val="00FE32E4"/>
    <w:rsid w:val="00FF1482"/>
    <w:rsid w:val="00FF42AC"/>
    <w:rsid w:val="00FF5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Level 1"/>
    <w:basedOn w:val="Normal"/>
    <w:next w:val="Normal"/>
    <w:link w:val="Heading1Char"/>
    <w:uiPriority w:val="9"/>
    <w:qFormat/>
    <w:pPr>
      <w:spacing w:after="360"/>
      <w:ind w:left="284" w:hanging="284"/>
      <w:jc w:val="right"/>
      <w:outlineLvl w:val="0"/>
    </w:pPr>
    <w:rPr>
      <w:rFonts w:ascii="Times New Roman Bold" w:hAnsi="Times New Roman Bold"/>
      <w:b/>
      <w:color w:val="FF0000"/>
      <w:kern w:val="40"/>
      <w:sz w:val="7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b/>
      <w:bCs/>
      <w:sz w:val="22"/>
      <w:szCs w:val="22"/>
    </w:rPr>
  </w:style>
  <w:style w:type="paragraph" w:styleId="Heading7">
    <w:name w:val="heading 7"/>
    <w:basedOn w:val="Normal"/>
    <w:next w:val="Normal"/>
    <w:link w:val="Heading7Char"/>
    <w:uiPriority w:val="9"/>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Cambria" w:hAnsi="Cambria" w:cs="Times New Roman"/>
      <w:b/>
      <w:i/>
      <w:sz w:val="28"/>
      <w:lang w:val="ru-RU" w:eastAsia="ru-RU"/>
    </w:rPr>
  </w:style>
  <w:style w:type="character" w:customStyle="1" w:styleId="Heading3Char">
    <w:name w:val="Heading 3 Char"/>
    <w:basedOn w:val="DefaultParagraphFont"/>
    <w:link w:val="Heading3"/>
    <w:uiPriority w:val="9"/>
    <w:semiHidden/>
    <w:locked/>
    <w:rPr>
      <w:rFonts w:ascii="Cambria" w:hAnsi="Cambria" w:cs="Times New Roman"/>
      <w:b/>
      <w:sz w:val="26"/>
      <w:lang w:val="ru-RU" w:eastAsia="ru-RU"/>
    </w:rPr>
  </w:style>
  <w:style w:type="character" w:customStyle="1" w:styleId="Heading4Char">
    <w:name w:val="Heading 4 Char"/>
    <w:basedOn w:val="DefaultParagraphFont"/>
    <w:link w:val="Heading4"/>
    <w:uiPriority w:val="9"/>
    <w:semiHidden/>
    <w:locked/>
    <w:rPr>
      <w:rFonts w:ascii="Calibri" w:hAnsi="Calibri" w:cs="Times New Roman"/>
      <w:b/>
      <w:sz w:val="28"/>
      <w:lang w:val="ru-RU" w:eastAsia="ru-RU"/>
    </w:rPr>
  </w:style>
  <w:style w:type="character" w:customStyle="1" w:styleId="Heading5Char">
    <w:name w:val="Heading 5 Char"/>
    <w:basedOn w:val="DefaultParagraphFont"/>
    <w:link w:val="Heading5"/>
    <w:uiPriority w:val="9"/>
    <w:semiHidden/>
    <w:locked/>
    <w:rPr>
      <w:rFonts w:ascii="Calibri" w:hAnsi="Calibri" w:cs="Times New Roman"/>
      <w:b/>
      <w:i/>
      <w:sz w:val="26"/>
      <w:lang w:val="ru-RU" w:eastAsia="ru-RU"/>
    </w:rPr>
  </w:style>
  <w:style w:type="character" w:customStyle="1" w:styleId="Heading6Char">
    <w:name w:val="Heading 6 Char"/>
    <w:basedOn w:val="DefaultParagraphFont"/>
    <w:link w:val="Heading6"/>
    <w:uiPriority w:val="9"/>
    <w:semiHidden/>
    <w:locked/>
    <w:rPr>
      <w:rFonts w:ascii="Calibri" w:hAnsi="Calibri" w:cs="Times New Roman"/>
      <w:b/>
      <w:sz w:val="22"/>
      <w:lang w:val="ru-RU" w:eastAsia="ru-RU"/>
    </w:rPr>
  </w:style>
  <w:style w:type="character" w:customStyle="1" w:styleId="Heading7Char">
    <w:name w:val="Heading 7 Char"/>
    <w:basedOn w:val="DefaultParagraphFont"/>
    <w:link w:val="Heading7"/>
    <w:uiPriority w:val="9"/>
    <w:semiHidden/>
    <w:locked/>
    <w:rPr>
      <w:rFonts w:ascii="Calibri" w:hAnsi="Calibri" w:cs="Times New Roman"/>
      <w:sz w:val="24"/>
      <w:lang w:val="ru-RU" w:eastAsia="ru-RU"/>
    </w:rPr>
  </w:style>
  <w:style w:type="character" w:styleId="Hyperlink">
    <w:name w:val="Hyperlink"/>
    <w:basedOn w:val="DefaultParagraphFont"/>
    <w:uiPriority w:val="99"/>
    <w:rPr>
      <w:rFonts w:cs="Times New Roman"/>
      <w:color w:val="000099"/>
      <w:u w:val="single"/>
      <w:lang w:val="ru-RU" w:eastAsia="ru-RU"/>
    </w:rPr>
  </w:style>
  <w:style w:type="character" w:customStyle="1" w:styleId="Heading1Char">
    <w:name w:val="Heading 1 Char"/>
    <w:aliases w:val="Level 1 Char"/>
    <w:basedOn w:val="DefaultParagraphFont"/>
    <w:link w:val="Heading1"/>
    <w:uiPriority w:val="9"/>
    <w:locked/>
    <w:rPr>
      <w:rFonts w:ascii="Times New Roman Bold" w:hAnsi="Times New Roman Bold" w:cs="Times New Roman"/>
      <w:b/>
      <w:color w:val="FF0000"/>
      <w:kern w:val="40"/>
      <w:sz w:val="24"/>
      <w:lang w:val="ru-RU" w:eastAsia="ru-RU"/>
    </w:rPr>
  </w:style>
  <w:style w:type="paragraph" w:styleId="NormalWeb">
    <w:name w:val="Normal (Web)"/>
    <w:basedOn w:val="Normal"/>
    <w:uiPriority w:val="99"/>
    <w:pPr>
      <w:spacing w:before="100" w:beforeAutospacing="1" w:after="100" w:afterAutospacing="1"/>
    </w:pPr>
    <w:rPr>
      <w:rFonts w:ascii="Arial" w:hAnsi="Arial" w:cs="Arial"/>
      <w:sz w:val="18"/>
      <w:szCs w:val="18"/>
    </w:rPr>
  </w:style>
  <w:style w:type="character" w:styleId="Emphasis">
    <w:name w:val="Emphasis"/>
    <w:basedOn w:val="DefaultParagraphFont"/>
    <w:uiPriority w:val="20"/>
    <w:qFormat/>
    <w:rPr>
      <w:rFonts w:cs="Times New Roman"/>
      <w:i/>
      <w:lang w:val="ru-RU" w:eastAsia="ru-RU"/>
    </w:rPr>
  </w:style>
  <w:style w:type="character" w:styleId="Strong">
    <w:name w:val="Strong"/>
    <w:basedOn w:val="DefaultParagraphFont"/>
    <w:uiPriority w:val="22"/>
    <w:qFormat/>
    <w:rPr>
      <w:rFonts w:cs="Times New Roman"/>
      <w:b/>
      <w:lang w:val="ru-RU" w:eastAsia="ru-RU"/>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rPr>
      <w:rFonts w:cs="Times New Roman"/>
      <w:lang w:val="ru-RU" w:eastAsia="ru-RU"/>
    </w:rPr>
  </w:style>
  <w:style w:type="character" w:customStyle="1" w:styleId="FooterChar">
    <w:name w:val="Footer Char"/>
    <w:basedOn w:val="DefaultParagraphFont"/>
    <w:link w:val="Footer"/>
    <w:uiPriority w:val="99"/>
    <w:locked/>
    <w:rPr>
      <w:rFonts w:cs="Times New Roman"/>
      <w:sz w:val="24"/>
      <w:lang w:val="ru-RU" w:eastAsia="ru-RU"/>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uiPriority w:val="99"/>
    <w:rPr>
      <w:rFonts w:ascii="Arial" w:hAnsi="Arial" w:cs="Arial"/>
      <w:sz w:val="20"/>
    </w:rPr>
  </w:style>
  <w:style w:type="character" w:customStyle="1" w:styleId="BalloonTextChar">
    <w:name w:val="Balloon Text Char"/>
    <w:basedOn w:val="DefaultParagraphFont"/>
    <w:link w:val="BalloonText"/>
    <w:uiPriority w:val="99"/>
    <w:semiHidden/>
    <w:locked/>
    <w:rPr>
      <w:rFonts w:ascii="Tahoma" w:hAnsi="Tahoma" w:cs="Times New Roman"/>
      <w:sz w:val="16"/>
      <w:lang w:val="ru-RU" w:eastAsia="ru-RU"/>
    </w:rPr>
  </w:style>
  <w:style w:type="character" w:customStyle="1" w:styleId="Gotthainer">
    <w:name w:val="Gotthainer"/>
    <w:semiHidden/>
    <w:rPr>
      <w:rFonts w:ascii="Arial" w:hAnsi="Arial"/>
      <w:color w:val="000000"/>
      <w:sz w:val="20"/>
      <w:lang w:val="ru-RU" w:eastAsia="ru-RU"/>
    </w:rPr>
  </w:style>
  <w:style w:type="character" w:customStyle="1" w:styleId="BodyTextChar">
    <w:name w:val="Body Text Char"/>
    <w:basedOn w:val="DefaultParagraphFont"/>
    <w:link w:val="BodyText"/>
    <w:uiPriority w:val="99"/>
    <w:semiHidden/>
    <w:locked/>
    <w:rPr>
      <w:rFonts w:cs="Times New Roman"/>
      <w:sz w:val="24"/>
      <w:lang w:val="ru-RU" w:eastAsia="ru-RU"/>
    </w:r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link w:val="BodyTextIndentChar"/>
    <w:uiPriority w:val="99"/>
    <w:pPr>
      <w:spacing w:after="120"/>
      <w:ind w:left="283"/>
    </w:pPr>
  </w:style>
  <w:style w:type="character" w:customStyle="1" w:styleId="HeaderChar">
    <w:name w:val="Header Char"/>
    <w:basedOn w:val="DefaultParagraphFont"/>
    <w:link w:val="Header"/>
    <w:uiPriority w:val="99"/>
    <w:locked/>
    <w:rPr>
      <w:rFonts w:cs="Times New Roman"/>
      <w:sz w:val="24"/>
      <w:lang w:val="ru-RU" w:eastAsia="ru-RU"/>
    </w:rPr>
  </w:style>
  <w:style w:type="paragraph" w:customStyle="1" w:styleId="StyleH2-S16pt">
    <w:name w:val="Style H2-S + 16 pt"/>
    <w:basedOn w:val="Normal"/>
    <w:autoRedefine/>
    <w:pPr>
      <w:keepNext/>
      <w:tabs>
        <w:tab w:val="left" w:pos="0"/>
      </w:tabs>
      <w:spacing w:before="120" w:after="120"/>
      <w:jc w:val="center"/>
      <w:outlineLvl w:val="1"/>
    </w:pPr>
    <w:rPr>
      <w:rFonts w:ascii="Arial" w:hAnsi="Arial" w:cs="Arial"/>
      <w:b/>
      <w:bCs/>
      <w:smallCaps/>
      <w:sz w:val="32"/>
      <w:szCs w:val="30"/>
    </w:rPr>
  </w:style>
  <w:style w:type="character" w:customStyle="1" w:styleId="BodyTextIndentChar">
    <w:name w:val="Body Text Indent Char"/>
    <w:basedOn w:val="DefaultParagraphFont"/>
    <w:link w:val="BodyTextIndent"/>
    <w:uiPriority w:val="99"/>
    <w:semiHidden/>
    <w:locked/>
    <w:rPr>
      <w:rFonts w:cs="Times New Roman"/>
      <w:sz w:val="24"/>
      <w:lang w:val="ru-RU" w:eastAsia="ru-RU"/>
    </w:rPr>
  </w:style>
  <w:style w:type="paragraph" w:customStyle="1" w:styleId="Style1">
    <w:name w:val="Style1"/>
    <w:basedOn w:val="Normal"/>
    <w:link w:val="Style1Char"/>
    <w:pPr>
      <w:tabs>
        <w:tab w:val="left" w:pos="8640"/>
      </w:tabs>
    </w:pPr>
    <w:rPr>
      <w:rFonts w:ascii="Arial" w:hAnsi="Arial" w:cs="Arial"/>
      <w:b/>
      <w:color w:val="333399"/>
      <w:sz w:val="52"/>
      <w:szCs w:val="52"/>
    </w:rPr>
  </w:style>
  <w:style w:type="character" w:customStyle="1" w:styleId="Style1Char">
    <w:name w:val="Style1 Char"/>
    <w:link w:val="Style1"/>
    <w:locked/>
    <w:rPr>
      <w:rFonts w:ascii="Arial" w:hAnsi="Arial"/>
      <w:b/>
      <w:color w:val="333399"/>
      <w:sz w:val="52"/>
      <w:lang w:val="ru-RU" w:eastAsia="ru-RU"/>
    </w:rPr>
  </w:style>
  <w:style w:type="paragraph" w:customStyle="1" w:styleId="Style2">
    <w:name w:val="Style2"/>
    <w:basedOn w:val="Normal"/>
    <w:rPr>
      <w:rFonts w:ascii="Arial" w:hAnsi="Arial" w:cs="Arial"/>
      <w:b/>
      <w:smallCaps/>
      <w:color w:val="0000FF"/>
      <w:sz w:val="22"/>
      <w:szCs w:val="20"/>
    </w:rPr>
  </w:style>
  <w:style w:type="paragraph" w:customStyle="1" w:styleId="StyleArial10pt">
    <w:name w:val="Style Arial 10 pt"/>
    <w:basedOn w:val="Normal"/>
    <w:link w:val="StyleArial10ptChar"/>
    <w:pPr>
      <w:ind w:firstLineChars="100" w:firstLine="200"/>
    </w:pPr>
    <w:rPr>
      <w:rFonts w:ascii="Arial" w:hAnsi="Arial"/>
      <w:sz w:val="20"/>
      <w:szCs w:val="20"/>
    </w:rPr>
  </w:style>
  <w:style w:type="paragraph" w:customStyle="1" w:styleId="Styletexte">
    <w:name w:val="Style texte"/>
    <w:basedOn w:val="Normal"/>
    <w:link w:val="StyletexteChar"/>
    <w:pPr>
      <w:spacing w:after="120"/>
      <w:jc w:val="both"/>
    </w:pPr>
    <w:rPr>
      <w:rFonts w:ascii="Arial" w:hAnsi="Arial"/>
      <w:sz w:val="22"/>
      <w:szCs w:val="20"/>
    </w:rPr>
  </w:style>
  <w:style w:type="paragraph" w:customStyle="1" w:styleId="Style3">
    <w:name w:val="Style3"/>
    <w:basedOn w:val="Styletexte"/>
    <w:link w:val="Style3Char"/>
  </w:style>
  <w:style w:type="paragraph" w:customStyle="1" w:styleId="Style3Bold">
    <w:name w:val="Style3 + Bold"/>
    <w:basedOn w:val="Style3"/>
    <w:rPr>
      <w:b/>
      <w:bCs/>
    </w:rPr>
  </w:style>
  <w:style w:type="character" w:customStyle="1" w:styleId="StyletexteChar">
    <w:name w:val="Style texte Char"/>
    <w:link w:val="Styletexte"/>
    <w:locked/>
    <w:rPr>
      <w:rFonts w:ascii="Arial" w:hAnsi="Arial"/>
      <w:sz w:val="22"/>
      <w:lang w:val="ru-RU" w:eastAsia="ru-RU"/>
    </w:rPr>
  </w:style>
  <w:style w:type="character" w:customStyle="1" w:styleId="Style3Char">
    <w:name w:val="Style3 Char"/>
    <w:link w:val="Style3"/>
    <w:locked/>
    <w:rPr>
      <w:rFonts w:ascii="Arial" w:hAnsi="Arial"/>
      <w:sz w:val="22"/>
      <w:lang w:val="ru-RU" w:eastAsia="ru-RU"/>
    </w:rPr>
  </w:style>
  <w:style w:type="paragraph" w:customStyle="1" w:styleId="STYLETITRENOTES">
    <w:name w:val="STYLE TITRE NOTES"/>
    <w:basedOn w:val="Style2"/>
    <w:pPr>
      <w:jc w:val="both"/>
    </w:pPr>
    <w:rPr>
      <w:rFonts w:cs="Times New Roman"/>
      <w:bCs/>
      <w:color w:val="000000"/>
    </w:rPr>
  </w:style>
  <w:style w:type="paragraph" w:customStyle="1" w:styleId="TITOLI1">
    <w:name w:val="TITOLI1"/>
    <w:basedOn w:val="Normal"/>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hAnsi="BL Frutiger Black"/>
      <w:b/>
      <w:sz w:val="30"/>
      <w:szCs w:val="20"/>
    </w:rPr>
  </w:style>
  <w:style w:type="paragraph" w:customStyle="1" w:styleId="STYLE10">
    <w:name w:val="STYLE 1"/>
    <w:basedOn w:val="Heading1"/>
    <w:next w:val="Heading1"/>
    <w:link w:val="STYLE1Char0"/>
    <w:pPr>
      <w:tabs>
        <w:tab w:val="left" w:pos="0"/>
      </w:tabs>
      <w:spacing w:before="120" w:after="0"/>
      <w:ind w:left="0"/>
      <w:jc w:val="center"/>
    </w:pPr>
    <w:rPr>
      <w:rFonts w:ascii="Arial" w:hAnsi="Arial" w:cs="Arial"/>
      <w:b w:val="0"/>
      <w:sz w:val="36"/>
      <w:szCs w:val="36"/>
    </w:rPr>
  </w:style>
  <w:style w:type="paragraph" w:styleId="TOC1">
    <w:name w:val="toc 1"/>
    <w:basedOn w:val="Normal"/>
    <w:next w:val="Normal"/>
    <w:autoRedefine/>
    <w:uiPriority w:val="39"/>
    <w:semiHidden/>
    <w:pPr>
      <w:framePr w:wrap="around" w:vAnchor="text" w:hAnchor="text" w:y="1"/>
      <w:numPr>
        <w:numId w:val="1"/>
      </w:numPr>
      <w:tabs>
        <w:tab w:val="right" w:leader="dot" w:pos="9403"/>
      </w:tabs>
      <w:spacing w:line="480" w:lineRule="auto"/>
    </w:pPr>
    <w:rPr>
      <w:rFonts w:ascii="Arial" w:hAnsi="Arial" w:cs="Arial"/>
      <w:noProof/>
    </w:rPr>
  </w:style>
  <w:style w:type="paragraph" w:styleId="TOC2">
    <w:name w:val="toc 2"/>
    <w:basedOn w:val="Normal"/>
    <w:next w:val="Normal"/>
    <w:autoRedefine/>
    <w:uiPriority w:val="39"/>
    <w:semiHidden/>
    <w:pPr>
      <w:tabs>
        <w:tab w:val="right" w:leader="dot" w:pos="9403"/>
      </w:tabs>
    </w:pPr>
  </w:style>
  <w:style w:type="paragraph" w:customStyle="1" w:styleId="HEADING10">
    <w:name w:val="HEADING1"/>
    <w:basedOn w:val="Heading1"/>
    <w:next w:val="Heading1"/>
    <w:link w:val="HEADING1Char0"/>
    <w:rPr>
      <w:b w:val="0"/>
      <w:bCs/>
      <w:color w:val="000000"/>
    </w:rPr>
  </w:style>
  <w:style w:type="paragraph" w:customStyle="1" w:styleId="STYLE1LASTONE">
    <w:name w:val="STYLE 1 LAST ONE"/>
    <w:basedOn w:val="HEADING10"/>
    <w:next w:val="HEADING10"/>
    <w:link w:val="STYLE1LASTONEChar"/>
    <w:pPr>
      <w:jc w:val="center"/>
    </w:pPr>
    <w:rPr>
      <w:rFonts w:ascii="Arial" w:hAnsi="Arial"/>
      <w:b/>
      <w:sz w:val="28"/>
      <w:szCs w:val="28"/>
    </w:rPr>
  </w:style>
  <w:style w:type="paragraph" w:customStyle="1" w:styleId="StyleHeading1">
    <w:name w:val="Style Heading 1"/>
    <w:aliases w:val="Level 1 + Arial Auto Centered Left:  0 cm First..."/>
    <w:pPr>
      <w:jc w:val="center"/>
    </w:pPr>
    <w:rPr>
      <w:rFonts w:ascii="Arial" w:hAnsi="Arial"/>
      <w:b/>
      <w:bCs/>
      <w:kern w:val="40"/>
      <w:sz w:val="72"/>
    </w:rPr>
  </w:style>
  <w:style w:type="paragraph" w:customStyle="1" w:styleId="STYLE2LASTONE">
    <w:name w:val="STYLE 2 LAST ONE"/>
    <w:basedOn w:val="STYLE1LASTONE"/>
    <w:link w:val="STYLE2LASTONEChar"/>
    <w:pPr>
      <w:spacing w:after="0"/>
      <w:jc w:val="left"/>
    </w:pPr>
    <w:rPr>
      <w:color w:val="FFFFFF"/>
      <w:sz w:val="16"/>
    </w:rPr>
  </w:style>
  <w:style w:type="paragraph" w:customStyle="1" w:styleId="STYLEDUTEXTE">
    <w:name w:val="STYLE DU TEXTE"/>
    <w:basedOn w:val="Styletexte"/>
    <w:link w:val="STYLEDUTEXTEChar"/>
    <w:pPr>
      <w:spacing w:after="0"/>
    </w:pPr>
  </w:style>
  <w:style w:type="character" w:customStyle="1" w:styleId="HEADING1Char0">
    <w:name w:val="HEADING1 Char"/>
    <w:link w:val="HEADING10"/>
    <w:locked/>
    <w:rPr>
      <w:rFonts w:ascii="Times New Roman Bold" w:hAnsi="Times New Roman Bold"/>
      <w:b/>
      <w:color w:val="FF0000"/>
      <w:kern w:val="40"/>
      <w:sz w:val="24"/>
      <w:lang w:val="ru-RU" w:eastAsia="ru-RU"/>
    </w:rPr>
  </w:style>
  <w:style w:type="character" w:customStyle="1" w:styleId="STYLE1LASTONEChar">
    <w:name w:val="STYLE 1 LAST ONE Char"/>
    <w:link w:val="STYLE1LASTONE"/>
    <w:locked/>
    <w:rPr>
      <w:rFonts w:ascii="Arial" w:hAnsi="Arial"/>
      <w:b/>
      <w:color w:val="FF0000"/>
      <w:kern w:val="40"/>
      <w:sz w:val="28"/>
      <w:lang w:val="ru-RU" w:eastAsia="ru-RU"/>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paragraph" w:customStyle="1" w:styleId="StyleSTYLE1LASTONEWhite">
    <w:name w:val="Style STYLE 1 LAST ONE + White"/>
    <w:basedOn w:val="STYLE1LASTONE"/>
    <w:link w:val="StyleSTYLE1LASTONEWhiteChar"/>
    <w:rPr>
      <w:color w:val="FFFFFF"/>
    </w:rPr>
  </w:style>
  <w:style w:type="character" w:customStyle="1" w:styleId="DocumentMapChar">
    <w:name w:val="Document Map Char"/>
    <w:basedOn w:val="DefaultParagraphFont"/>
    <w:link w:val="DocumentMap"/>
    <w:uiPriority w:val="99"/>
    <w:semiHidden/>
    <w:locked/>
    <w:rPr>
      <w:rFonts w:ascii="Tahoma" w:hAnsi="Tahoma" w:cs="Times New Roman"/>
      <w:sz w:val="16"/>
      <w:lang w:val="ru-RU" w:eastAsia="ru-RU"/>
    </w:rPr>
  </w:style>
  <w:style w:type="character" w:customStyle="1" w:styleId="StyleSTYLE1LASTONEWhiteChar">
    <w:name w:val="Style STYLE 1 LAST ONE + White Char"/>
    <w:link w:val="StyleSTYLE1LASTONEWhite"/>
    <w:locked/>
    <w:rPr>
      <w:rFonts w:ascii="Arial" w:hAnsi="Arial"/>
      <w:b/>
      <w:color w:val="FFFFFF"/>
      <w:kern w:val="40"/>
      <w:sz w:val="28"/>
      <w:lang w:val="ru-RU" w:eastAsia="ru-RU"/>
    </w:rPr>
  </w:style>
  <w:style w:type="character" w:customStyle="1" w:styleId="STYLE1Char0">
    <w:name w:val="STYLE 1 Char"/>
    <w:link w:val="STYLE10"/>
    <w:locked/>
    <w:rPr>
      <w:rFonts w:ascii="Arial" w:hAnsi="Arial"/>
      <w:b/>
      <w:color w:val="FF0000"/>
      <w:kern w:val="40"/>
      <w:sz w:val="36"/>
      <w:lang w:val="ru-RU" w:eastAsia="ru-RU"/>
    </w:rPr>
  </w:style>
  <w:style w:type="character" w:customStyle="1" w:styleId="STYLEDUTEXTEChar">
    <w:name w:val="STYLE DU TEXTE Char"/>
    <w:link w:val="STYLEDUTEXTE"/>
    <w:locked/>
    <w:rPr>
      <w:rFonts w:ascii="Arial" w:hAnsi="Arial"/>
      <w:sz w:val="22"/>
      <w:lang w:val="ru-RU" w:eastAsia="ru-RU"/>
    </w:rPr>
  </w:style>
  <w:style w:type="character" w:customStyle="1" w:styleId="STYLE2LASTONEChar">
    <w:name w:val="STYLE 2 LAST ONE Char"/>
    <w:link w:val="STYLE2LASTONE"/>
    <w:locked/>
    <w:rPr>
      <w:rFonts w:ascii="Arial" w:hAnsi="Arial"/>
      <w:b/>
      <w:color w:val="FFFFFF"/>
      <w:kern w:val="40"/>
      <w:sz w:val="28"/>
      <w:lang w:val="ru-RU" w:eastAsia="ru-RU"/>
    </w:rPr>
  </w:style>
  <w:style w:type="paragraph" w:customStyle="1" w:styleId="style30">
    <w:name w:val="style3"/>
    <w:basedOn w:val="Normal"/>
    <w:pPr>
      <w:spacing w:after="120"/>
      <w:jc w:val="both"/>
    </w:pPr>
    <w:rPr>
      <w:rFonts w:ascii="Arial" w:hAnsi="Arial" w:cs="Arial"/>
      <w:sz w:val="22"/>
      <w:szCs w:val="22"/>
    </w:rPr>
  </w:style>
  <w:style w:type="character" w:customStyle="1" w:styleId="StyleArial10ptChar">
    <w:name w:val="Style Arial 10 pt Char"/>
    <w:link w:val="StyleArial10pt"/>
    <w:locked/>
    <w:rPr>
      <w:rFonts w:ascii="Arial" w:hAnsi="Arial"/>
      <w:lang w:val="ru-RU" w:eastAsia="ru-RU"/>
    </w:rPr>
  </w:style>
  <w:style w:type="character" w:styleId="CommentReference">
    <w:name w:val="annotation reference"/>
    <w:basedOn w:val="DefaultParagraphFont"/>
    <w:uiPriority w:val="99"/>
    <w:semiHidden/>
    <w:rPr>
      <w:rFonts w:cs="Times New Roman"/>
      <w:sz w:val="16"/>
      <w:lang w:val="ru-RU" w:eastAsia="ru-RU"/>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TextChar">
    <w:name w:val="Comment Text Char"/>
    <w:basedOn w:val="DefaultParagraphFont"/>
    <w:link w:val="CommentText"/>
    <w:uiPriority w:val="99"/>
    <w:semiHidden/>
    <w:locked/>
    <w:rPr>
      <w:rFonts w:cs="Times New Roman"/>
    </w:rPr>
  </w:style>
  <w:style w:type="paragraph" w:customStyle="1" w:styleId="StyleSTYLE2LASTONE10ptNotBoldAuto">
    <w:name w:val="Style STYLE 2 LAST ONE + 10 pt Not Bold Auto"/>
    <w:basedOn w:val="Normal"/>
    <w:pPr>
      <w:jc w:val="center"/>
    </w:pPr>
    <w:rPr>
      <w:rFonts w:ascii="Arial" w:hAnsi="Arial"/>
      <w:b/>
      <w:bCs/>
    </w:rPr>
  </w:style>
  <w:style w:type="character" w:customStyle="1" w:styleId="CommentSubjectChar">
    <w:name w:val="Comment Subject Char"/>
    <w:basedOn w:val="CommentTextChar"/>
    <w:link w:val="CommentSubject"/>
    <w:uiPriority w:val="99"/>
    <w:semiHidden/>
    <w:locked/>
    <w:rPr>
      <w:rFonts w:cs="Times New Roman"/>
      <w:b/>
      <w:lang w:val="ru-RU" w:eastAsia="ru-RU"/>
    </w:rPr>
  </w:style>
  <w:style w:type="paragraph" w:customStyle="1" w:styleId="Endofdocument-Annex">
    <w:name w:val="[End of document - Annex]"/>
    <w:basedOn w:val="Normal"/>
    <w:pPr>
      <w:ind w:left="5534"/>
    </w:pPr>
    <w:rPr>
      <w:rFonts w:ascii="Arial" w:eastAsia="SimSun" w:hAnsi="Arial" w:cs="Arial"/>
      <w:sz w:val="22"/>
      <w:szCs w:val="20"/>
    </w:rPr>
  </w:style>
  <w:style w:type="paragraph" w:customStyle="1" w:styleId="ONUME">
    <w:name w:val="ONUM E"/>
    <w:basedOn w:val="BodyText"/>
    <w:pPr>
      <w:numPr>
        <w:numId w:val="2"/>
      </w:numPr>
      <w:spacing w:after="220"/>
    </w:pPr>
    <w:rPr>
      <w:rFonts w:eastAsia="SimSun"/>
      <w:sz w:val="22"/>
      <w:szCs w:val="20"/>
    </w:rPr>
  </w:style>
  <w:style w:type="paragraph" w:styleId="TOC3">
    <w:name w:val="toc 3"/>
    <w:basedOn w:val="Normal"/>
    <w:next w:val="Normal"/>
    <w:autoRedefine/>
    <w:uiPriority w:val="39"/>
    <w:semiHidden/>
    <w:pPr>
      <w:ind w:left="480"/>
    </w:pPr>
  </w:style>
  <w:style w:type="paragraph" w:customStyle="1" w:styleId="StyleHeading211ptNotBoldNotItalicAllcaps">
    <w:name w:val="Style Heading 2 + 11 pt Not Bold Not Italic All caps"/>
    <w:basedOn w:val="Heading2"/>
    <w:rPr>
      <w:bCs w:val="0"/>
      <w:i w:val="0"/>
      <w:iCs w:val="0"/>
      <w:caps/>
      <w:sz w:val="22"/>
    </w:rPr>
  </w:style>
  <w:style w:type="character" w:customStyle="1" w:styleId="EmailStyle67">
    <w:name w:val="EmailStyle67"/>
    <w:semiHidden/>
    <w:rPr>
      <w:rFonts w:ascii="Arial" w:hAnsi="Arial"/>
      <w:color w:val="000080"/>
      <w:sz w:val="20"/>
      <w:lang w:val="ru-RU" w:eastAsia="ru-RU"/>
    </w:rPr>
  </w:style>
  <w:style w:type="paragraph" w:styleId="FootnoteText">
    <w:name w:val="footnote text"/>
    <w:basedOn w:val="Normal"/>
    <w:link w:val="FootnoteTextChar"/>
    <w:uiPriority w:val="99"/>
    <w:semiHidden/>
    <w:rPr>
      <w:rFonts w:ascii="Arial" w:hAnsi="Arial" w:cs="Arial"/>
      <w:sz w:val="18"/>
      <w:szCs w:val="20"/>
    </w:rPr>
  </w:style>
  <w:style w:type="character" w:styleId="FootnoteReference">
    <w:name w:val="footnote reference"/>
    <w:basedOn w:val="DefaultParagraphFont"/>
    <w:uiPriority w:val="99"/>
    <w:semiHidden/>
    <w:rPr>
      <w:rFonts w:cs="Times New Roman"/>
      <w:vertAlign w:val="superscript"/>
      <w:lang w:val="ru-RU" w:eastAsia="ru-RU"/>
    </w:rPr>
  </w:style>
  <w:style w:type="character" w:customStyle="1" w:styleId="FootnoteTextChar">
    <w:name w:val="Footnote Text Char"/>
    <w:basedOn w:val="DefaultParagraphFont"/>
    <w:link w:val="FootnoteText"/>
    <w:uiPriority w:val="99"/>
    <w:semiHidden/>
    <w:locked/>
    <w:rPr>
      <w:rFonts w:cs="Times New Roman"/>
    </w:rPr>
  </w:style>
  <w:style w:type="paragraph" w:styleId="ListParagraph">
    <w:name w:val="List Paragraph"/>
    <w:basedOn w:val="Normal"/>
    <w:uiPriority w:val="34"/>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Level 1"/>
    <w:basedOn w:val="Normal"/>
    <w:next w:val="Normal"/>
    <w:link w:val="Heading1Char"/>
    <w:uiPriority w:val="9"/>
    <w:qFormat/>
    <w:pPr>
      <w:spacing w:after="360"/>
      <w:ind w:left="284" w:hanging="284"/>
      <w:jc w:val="right"/>
      <w:outlineLvl w:val="0"/>
    </w:pPr>
    <w:rPr>
      <w:rFonts w:ascii="Times New Roman Bold" w:hAnsi="Times New Roman Bold"/>
      <w:b/>
      <w:color w:val="FF0000"/>
      <w:kern w:val="40"/>
      <w:sz w:val="7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b/>
      <w:bCs/>
      <w:sz w:val="22"/>
      <w:szCs w:val="22"/>
    </w:rPr>
  </w:style>
  <w:style w:type="paragraph" w:styleId="Heading7">
    <w:name w:val="heading 7"/>
    <w:basedOn w:val="Normal"/>
    <w:next w:val="Normal"/>
    <w:link w:val="Heading7Char"/>
    <w:uiPriority w:val="9"/>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Cambria" w:hAnsi="Cambria" w:cs="Times New Roman"/>
      <w:b/>
      <w:i/>
      <w:sz w:val="28"/>
      <w:lang w:val="ru-RU" w:eastAsia="ru-RU"/>
    </w:rPr>
  </w:style>
  <w:style w:type="character" w:customStyle="1" w:styleId="Heading3Char">
    <w:name w:val="Heading 3 Char"/>
    <w:basedOn w:val="DefaultParagraphFont"/>
    <w:link w:val="Heading3"/>
    <w:uiPriority w:val="9"/>
    <w:semiHidden/>
    <w:locked/>
    <w:rPr>
      <w:rFonts w:ascii="Cambria" w:hAnsi="Cambria" w:cs="Times New Roman"/>
      <w:b/>
      <w:sz w:val="26"/>
      <w:lang w:val="ru-RU" w:eastAsia="ru-RU"/>
    </w:rPr>
  </w:style>
  <w:style w:type="character" w:customStyle="1" w:styleId="Heading4Char">
    <w:name w:val="Heading 4 Char"/>
    <w:basedOn w:val="DefaultParagraphFont"/>
    <w:link w:val="Heading4"/>
    <w:uiPriority w:val="9"/>
    <w:semiHidden/>
    <w:locked/>
    <w:rPr>
      <w:rFonts w:ascii="Calibri" w:hAnsi="Calibri" w:cs="Times New Roman"/>
      <w:b/>
      <w:sz w:val="28"/>
      <w:lang w:val="ru-RU" w:eastAsia="ru-RU"/>
    </w:rPr>
  </w:style>
  <w:style w:type="character" w:customStyle="1" w:styleId="Heading5Char">
    <w:name w:val="Heading 5 Char"/>
    <w:basedOn w:val="DefaultParagraphFont"/>
    <w:link w:val="Heading5"/>
    <w:uiPriority w:val="9"/>
    <w:semiHidden/>
    <w:locked/>
    <w:rPr>
      <w:rFonts w:ascii="Calibri" w:hAnsi="Calibri" w:cs="Times New Roman"/>
      <w:b/>
      <w:i/>
      <w:sz w:val="26"/>
      <w:lang w:val="ru-RU" w:eastAsia="ru-RU"/>
    </w:rPr>
  </w:style>
  <w:style w:type="character" w:customStyle="1" w:styleId="Heading6Char">
    <w:name w:val="Heading 6 Char"/>
    <w:basedOn w:val="DefaultParagraphFont"/>
    <w:link w:val="Heading6"/>
    <w:uiPriority w:val="9"/>
    <w:semiHidden/>
    <w:locked/>
    <w:rPr>
      <w:rFonts w:ascii="Calibri" w:hAnsi="Calibri" w:cs="Times New Roman"/>
      <w:b/>
      <w:sz w:val="22"/>
      <w:lang w:val="ru-RU" w:eastAsia="ru-RU"/>
    </w:rPr>
  </w:style>
  <w:style w:type="character" w:customStyle="1" w:styleId="Heading7Char">
    <w:name w:val="Heading 7 Char"/>
    <w:basedOn w:val="DefaultParagraphFont"/>
    <w:link w:val="Heading7"/>
    <w:uiPriority w:val="9"/>
    <w:semiHidden/>
    <w:locked/>
    <w:rPr>
      <w:rFonts w:ascii="Calibri" w:hAnsi="Calibri" w:cs="Times New Roman"/>
      <w:sz w:val="24"/>
      <w:lang w:val="ru-RU" w:eastAsia="ru-RU"/>
    </w:rPr>
  </w:style>
  <w:style w:type="character" w:styleId="Hyperlink">
    <w:name w:val="Hyperlink"/>
    <w:basedOn w:val="DefaultParagraphFont"/>
    <w:uiPriority w:val="99"/>
    <w:rPr>
      <w:rFonts w:cs="Times New Roman"/>
      <w:color w:val="000099"/>
      <w:u w:val="single"/>
      <w:lang w:val="ru-RU" w:eastAsia="ru-RU"/>
    </w:rPr>
  </w:style>
  <w:style w:type="character" w:customStyle="1" w:styleId="Heading1Char">
    <w:name w:val="Heading 1 Char"/>
    <w:aliases w:val="Level 1 Char"/>
    <w:basedOn w:val="DefaultParagraphFont"/>
    <w:link w:val="Heading1"/>
    <w:uiPriority w:val="9"/>
    <w:locked/>
    <w:rPr>
      <w:rFonts w:ascii="Times New Roman Bold" w:hAnsi="Times New Roman Bold" w:cs="Times New Roman"/>
      <w:b/>
      <w:color w:val="FF0000"/>
      <w:kern w:val="40"/>
      <w:sz w:val="24"/>
      <w:lang w:val="ru-RU" w:eastAsia="ru-RU"/>
    </w:rPr>
  </w:style>
  <w:style w:type="paragraph" w:styleId="NormalWeb">
    <w:name w:val="Normal (Web)"/>
    <w:basedOn w:val="Normal"/>
    <w:uiPriority w:val="99"/>
    <w:pPr>
      <w:spacing w:before="100" w:beforeAutospacing="1" w:after="100" w:afterAutospacing="1"/>
    </w:pPr>
    <w:rPr>
      <w:rFonts w:ascii="Arial" w:hAnsi="Arial" w:cs="Arial"/>
      <w:sz w:val="18"/>
      <w:szCs w:val="18"/>
    </w:rPr>
  </w:style>
  <w:style w:type="character" w:styleId="Emphasis">
    <w:name w:val="Emphasis"/>
    <w:basedOn w:val="DefaultParagraphFont"/>
    <w:uiPriority w:val="20"/>
    <w:qFormat/>
    <w:rPr>
      <w:rFonts w:cs="Times New Roman"/>
      <w:i/>
      <w:lang w:val="ru-RU" w:eastAsia="ru-RU"/>
    </w:rPr>
  </w:style>
  <w:style w:type="character" w:styleId="Strong">
    <w:name w:val="Strong"/>
    <w:basedOn w:val="DefaultParagraphFont"/>
    <w:uiPriority w:val="22"/>
    <w:qFormat/>
    <w:rPr>
      <w:rFonts w:cs="Times New Roman"/>
      <w:b/>
      <w:lang w:val="ru-RU" w:eastAsia="ru-RU"/>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rPr>
      <w:rFonts w:cs="Times New Roman"/>
      <w:lang w:val="ru-RU" w:eastAsia="ru-RU"/>
    </w:rPr>
  </w:style>
  <w:style w:type="character" w:customStyle="1" w:styleId="FooterChar">
    <w:name w:val="Footer Char"/>
    <w:basedOn w:val="DefaultParagraphFont"/>
    <w:link w:val="Footer"/>
    <w:uiPriority w:val="99"/>
    <w:locked/>
    <w:rPr>
      <w:rFonts w:cs="Times New Roman"/>
      <w:sz w:val="24"/>
      <w:lang w:val="ru-RU" w:eastAsia="ru-RU"/>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uiPriority w:val="99"/>
    <w:rPr>
      <w:rFonts w:ascii="Arial" w:hAnsi="Arial" w:cs="Arial"/>
      <w:sz w:val="20"/>
    </w:rPr>
  </w:style>
  <w:style w:type="character" w:customStyle="1" w:styleId="BalloonTextChar">
    <w:name w:val="Balloon Text Char"/>
    <w:basedOn w:val="DefaultParagraphFont"/>
    <w:link w:val="BalloonText"/>
    <w:uiPriority w:val="99"/>
    <w:semiHidden/>
    <w:locked/>
    <w:rPr>
      <w:rFonts w:ascii="Tahoma" w:hAnsi="Tahoma" w:cs="Times New Roman"/>
      <w:sz w:val="16"/>
      <w:lang w:val="ru-RU" w:eastAsia="ru-RU"/>
    </w:rPr>
  </w:style>
  <w:style w:type="character" w:customStyle="1" w:styleId="Gotthainer">
    <w:name w:val="Gotthainer"/>
    <w:semiHidden/>
    <w:rPr>
      <w:rFonts w:ascii="Arial" w:hAnsi="Arial"/>
      <w:color w:val="000000"/>
      <w:sz w:val="20"/>
      <w:lang w:val="ru-RU" w:eastAsia="ru-RU"/>
    </w:rPr>
  </w:style>
  <w:style w:type="character" w:customStyle="1" w:styleId="BodyTextChar">
    <w:name w:val="Body Text Char"/>
    <w:basedOn w:val="DefaultParagraphFont"/>
    <w:link w:val="BodyText"/>
    <w:uiPriority w:val="99"/>
    <w:semiHidden/>
    <w:locked/>
    <w:rPr>
      <w:rFonts w:cs="Times New Roman"/>
      <w:sz w:val="24"/>
      <w:lang w:val="ru-RU" w:eastAsia="ru-RU"/>
    </w:r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link w:val="BodyTextIndentChar"/>
    <w:uiPriority w:val="99"/>
    <w:pPr>
      <w:spacing w:after="120"/>
      <w:ind w:left="283"/>
    </w:pPr>
  </w:style>
  <w:style w:type="character" w:customStyle="1" w:styleId="HeaderChar">
    <w:name w:val="Header Char"/>
    <w:basedOn w:val="DefaultParagraphFont"/>
    <w:link w:val="Header"/>
    <w:uiPriority w:val="99"/>
    <w:locked/>
    <w:rPr>
      <w:rFonts w:cs="Times New Roman"/>
      <w:sz w:val="24"/>
      <w:lang w:val="ru-RU" w:eastAsia="ru-RU"/>
    </w:rPr>
  </w:style>
  <w:style w:type="paragraph" w:customStyle="1" w:styleId="StyleH2-S16pt">
    <w:name w:val="Style H2-S + 16 pt"/>
    <w:basedOn w:val="Normal"/>
    <w:autoRedefine/>
    <w:pPr>
      <w:keepNext/>
      <w:tabs>
        <w:tab w:val="left" w:pos="0"/>
      </w:tabs>
      <w:spacing w:before="120" w:after="120"/>
      <w:jc w:val="center"/>
      <w:outlineLvl w:val="1"/>
    </w:pPr>
    <w:rPr>
      <w:rFonts w:ascii="Arial" w:hAnsi="Arial" w:cs="Arial"/>
      <w:b/>
      <w:bCs/>
      <w:smallCaps/>
      <w:sz w:val="32"/>
      <w:szCs w:val="30"/>
    </w:rPr>
  </w:style>
  <w:style w:type="character" w:customStyle="1" w:styleId="BodyTextIndentChar">
    <w:name w:val="Body Text Indent Char"/>
    <w:basedOn w:val="DefaultParagraphFont"/>
    <w:link w:val="BodyTextIndent"/>
    <w:uiPriority w:val="99"/>
    <w:semiHidden/>
    <w:locked/>
    <w:rPr>
      <w:rFonts w:cs="Times New Roman"/>
      <w:sz w:val="24"/>
      <w:lang w:val="ru-RU" w:eastAsia="ru-RU"/>
    </w:rPr>
  </w:style>
  <w:style w:type="paragraph" w:customStyle="1" w:styleId="Style1">
    <w:name w:val="Style1"/>
    <w:basedOn w:val="Normal"/>
    <w:link w:val="Style1Char"/>
    <w:pPr>
      <w:tabs>
        <w:tab w:val="left" w:pos="8640"/>
      </w:tabs>
    </w:pPr>
    <w:rPr>
      <w:rFonts w:ascii="Arial" w:hAnsi="Arial" w:cs="Arial"/>
      <w:b/>
      <w:color w:val="333399"/>
      <w:sz w:val="52"/>
      <w:szCs w:val="52"/>
    </w:rPr>
  </w:style>
  <w:style w:type="character" w:customStyle="1" w:styleId="Style1Char">
    <w:name w:val="Style1 Char"/>
    <w:link w:val="Style1"/>
    <w:locked/>
    <w:rPr>
      <w:rFonts w:ascii="Arial" w:hAnsi="Arial"/>
      <w:b/>
      <w:color w:val="333399"/>
      <w:sz w:val="52"/>
      <w:lang w:val="ru-RU" w:eastAsia="ru-RU"/>
    </w:rPr>
  </w:style>
  <w:style w:type="paragraph" w:customStyle="1" w:styleId="Style2">
    <w:name w:val="Style2"/>
    <w:basedOn w:val="Normal"/>
    <w:rPr>
      <w:rFonts w:ascii="Arial" w:hAnsi="Arial" w:cs="Arial"/>
      <w:b/>
      <w:smallCaps/>
      <w:color w:val="0000FF"/>
      <w:sz w:val="22"/>
      <w:szCs w:val="20"/>
    </w:rPr>
  </w:style>
  <w:style w:type="paragraph" w:customStyle="1" w:styleId="StyleArial10pt">
    <w:name w:val="Style Arial 10 pt"/>
    <w:basedOn w:val="Normal"/>
    <w:link w:val="StyleArial10ptChar"/>
    <w:pPr>
      <w:ind w:firstLineChars="100" w:firstLine="200"/>
    </w:pPr>
    <w:rPr>
      <w:rFonts w:ascii="Arial" w:hAnsi="Arial"/>
      <w:sz w:val="20"/>
      <w:szCs w:val="20"/>
    </w:rPr>
  </w:style>
  <w:style w:type="paragraph" w:customStyle="1" w:styleId="Styletexte">
    <w:name w:val="Style texte"/>
    <w:basedOn w:val="Normal"/>
    <w:link w:val="StyletexteChar"/>
    <w:pPr>
      <w:spacing w:after="120"/>
      <w:jc w:val="both"/>
    </w:pPr>
    <w:rPr>
      <w:rFonts w:ascii="Arial" w:hAnsi="Arial"/>
      <w:sz w:val="22"/>
      <w:szCs w:val="20"/>
    </w:rPr>
  </w:style>
  <w:style w:type="paragraph" w:customStyle="1" w:styleId="Style3">
    <w:name w:val="Style3"/>
    <w:basedOn w:val="Styletexte"/>
    <w:link w:val="Style3Char"/>
  </w:style>
  <w:style w:type="paragraph" w:customStyle="1" w:styleId="Style3Bold">
    <w:name w:val="Style3 + Bold"/>
    <w:basedOn w:val="Style3"/>
    <w:rPr>
      <w:b/>
      <w:bCs/>
    </w:rPr>
  </w:style>
  <w:style w:type="character" w:customStyle="1" w:styleId="StyletexteChar">
    <w:name w:val="Style texte Char"/>
    <w:link w:val="Styletexte"/>
    <w:locked/>
    <w:rPr>
      <w:rFonts w:ascii="Arial" w:hAnsi="Arial"/>
      <w:sz w:val="22"/>
      <w:lang w:val="ru-RU" w:eastAsia="ru-RU"/>
    </w:rPr>
  </w:style>
  <w:style w:type="character" w:customStyle="1" w:styleId="Style3Char">
    <w:name w:val="Style3 Char"/>
    <w:link w:val="Style3"/>
    <w:locked/>
    <w:rPr>
      <w:rFonts w:ascii="Arial" w:hAnsi="Arial"/>
      <w:sz w:val="22"/>
      <w:lang w:val="ru-RU" w:eastAsia="ru-RU"/>
    </w:rPr>
  </w:style>
  <w:style w:type="paragraph" w:customStyle="1" w:styleId="STYLETITRENOTES">
    <w:name w:val="STYLE TITRE NOTES"/>
    <w:basedOn w:val="Style2"/>
    <w:pPr>
      <w:jc w:val="both"/>
    </w:pPr>
    <w:rPr>
      <w:rFonts w:cs="Times New Roman"/>
      <w:bCs/>
      <w:color w:val="000000"/>
    </w:rPr>
  </w:style>
  <w:style w:type="paragraph" w:customStyle="1" w:styleId="TITOLI1">
    <w:name w:val="TITOLI1"/>
    <w:basedOn w:val="Normal"/>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hAnsi="BL Frutiger Black"/>
      <w:b/>
      <w:sz w:val="30"/>
      <w:szCs w:val="20"/>
    </w:rPr>
  </w:style>
  <w:style w:type="paragraph" w:customStyle="1" w:styleId="STYLE10">
    <w:name w:val="STYLE 1"/>
    <w:basedOn w:val="Heading1"/>
    <w:next w:val="Heading1"/>
    <w:link w:val="STYLE1Char0"/>
    <w:pPr>
      <w:tabs>
        <w:tab w:val="left" w:pos="0"/>
      </w:tabs>
      <w:spacing w:before="120" w:after="0"/>
      <w:ind w:left="0"/>
      <w:jc w:val="center"/>
    </w:pPr>
    <w:rPr>
      <w:rFonts w:ascii="Arial" w:hAnsi="Arial" w:cs="Arial"/>
      <w:b w:val="0"/>
      <w:sz w:val="36"/>
      <w:szCs w:val="36"/>
    </w:rPr>
  </w:style>
  <w:style w:type="paragraph" w:styleId="TOC1">
    <w:name w:val="toc 1"/>
    <w:basedOn w:val="Normal"/>
    <w:next w:val="Normal"/>
    <w:autoRedefine/>
    <w:uiPriority w:val="39"/>
    <w:semiHidden/>
    <w:pPr>
      <w:framePr w:wrap="around" w:vAnchor="text" w:hAnchor="text" w:y="1"/>
      <w:numPr>
        <w:numId w:val="1"/>
      </w:numPr>
      <w:tabs>
        <w:tab w:val="right" w:leader="dot" w:pos="9403"/>
      </w:tabs>
      <w:spacing w:line="480" w:lineRule="auto"/>
    </w:pPr>
    <w:rPr>
      <w:rFonts w:ascii="Arial" w:hAnsi="Arial" w:cs="Arial"/>
      <w:noProof/>
    </w:rPr>
  </w:style>
  <w:style w:type="paragraph" w:styleId="TOC2">
    <w:name w:val="toc 2"/>
    <w:basedOn w:val="Normal"/>
    <w:next w:val="Normal"/>
    <w:autoRedefine/>
    <w:uiPriority w:val="39"/>
    <w:semiHidden/>
    <w:pPr>
      <w:tabs>
        <w:tab w:val="right" w:leader="dot" w:pos="9403"/>
      </w:tabs>
    </w:pPr>
  </w:style>
  <w:style w:type="paragraph" w:customStyle="1" w:styleId="HEADING10">
    <w:name w:val="HEADING1"/>
    <w:basedOn w:val="Heading1"/>
    <w:next w:val="Heading1"/>
    <w:link w:val="HEADING1Char0"/>
    <w:rPr>
      <w:b w:val="0"/>
      <w:bCs/>
      <w:color w:val="000000"/>
    </w:rPr>
  </w:style>
  <w:style w:type="paragraph" w:customStyle="1" w:styleId="STYLE1LASTONE">
    <w:name w:val="STYLE 1 LAST ONE"/>
    <w:basedOn w:val="HEADING10"/>
    <w:next w:val="HEADING10"/>
    <w:link w:val="STYLE1LASTONEChar"/>
    <w:pPr>
      <w:jc w:val="center"/>
    </w:pPr>
    <w:rPr>
      <w:rFonts w:ascii="Arial" w:hAnsi="Arial"/>
      <w:b/>
      <w:sz w:val="28"/>
      <w:szCs w:val="28"/>
    </w:rPr>
  </w:style>
  <w:style w:type="paragraph" w:customStyle="1" w:styleId="StyleHeading1">
    <w:name w:val="Style Heading 1"/>
    <w:aliases w:val="Level 1 + Arial Auto Centered Left:  0 cm First..."/>
    <w:pPr>
      <w:jc w:val="center"/>
    </w:pPr>
    <w:rPr>
      <w:rFonts w:ascii="Arial" w:hAnsi="Arial"/>
      <w:b/>
      <w:bCs/>
      <w:kern w:val="40"/>
      <w:sz w:val="72"/>
    </w:rPr>
  </w:style>
  <w:style w:type="paragraph" w:customStyle="1" w:styleId="STYLE2LASTONE">
    <w:name w:val="STYLE 2 LAST ONE"/>
    <w:basedOn w:val="STYLE1LASTONE"/>
    <w:link w:val="STYLE2LASTONEChar"/>
    <w:pPr>
      <w:spacing w:after="0"/>
      <w:jc w:val="left"/>
    </w:pPr>
    <w:rPr>
      <w:color w:val="FFFFFF"/>
      <w:sz w:val="16"/>
    </w:rPr>
  </w:style>
  <w:style w:type="paragraph" w:customStyle="1" w:styleId="STYLEDUTEXTE">
    <w:name w:val="STYLE DU TEXTE"/>
    <w:basedOn w:val="Styletexte"/>
    <w:link w:val="STYLEDUTEXTEChar"/>
    <w:pPr>
      <w:spacing w:after="0"/>
    </w:pPr>
  </w:style>
  <w:style w:type="character" w:customStyle="1" w:styleId="HEADING1Char0">
    <w:name w:val="HEADING1 Char"/>
    <w:link w:val="HEADING10"/>
    <w:locked/>
    <w:rPr>
      <w:rFonts w:ascii="Times New Roman Bold" w:hAnsi="Times New Roman Bold"/>
      <w:b/>
      <w:color w:val="FF0000"/>
      <w:kern w:val="40"/>
      <w:sz w:val="24"/>
      <w:lang w:val="ru-RU" w:eastAsia="ru-RU"/>
    </w:rPr>
  </w:style>
  <w:style w:type="character" w:customStyle="1" w:styleId="STYLE1LASTONEChar">
    <w:name w:val="STYLE 1 LAST ONE Char"/>
    <w:link w:val="STYLE1LASTONE"/>
    <w:locked/>
    <w:rPr>
      <w:rFonts w:ascii="Arial" w:hAnsi="Arial"/>
      <w:b/>
      <w:color w:val="FF0000"/>
      <w:kern w:val="40"/>
      <w:sz w:val="28"/>
      <w:lang w:val="ru-RU" w:eastAsia="ru-RU"/>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paragraph" w:customStyle="1" w:styleId="StyleSTYLE1LASTONEWhite">
    <w:name w:val="Style STYLE 1 LAST ONE + White"/>
    <w:basedOn w:val="STYLE1LASTONE"/>
    <w:link w:val="StyleSTYLE1LASTONEWhiteChar"/>
    <w:rPr>
      <w:color w:val="FFFFFF"/>
    </w:rPr>
  </w:style>
  <w:style w:type="character" w:customStyle="1" w:styleId="DocumentMapChar">
    <w:name w:val="Document Map Char"/>
    <w:basedOn w:val="DefaultParagraphFont"/>
    <w:link w:val="DocumentMap"/>
    <w:uiPriority w:val="99"/>
    <w:semiHidden/>
    <w:locked/>
    <w:rPr>
      <w:rFonts w:ascii="Tahoma" w:hAnsi="Tahoma" w:cs="Times New Roman"/>
      <w:sz w:val="16"/>
      <w:lang w:val="ru-RU" w:eastAsia="ru-RU"/>
    </w:rPr>
  </w:style>
  <w:style w:type="character" w:customStyle="1" w:styleId="StyleSTYLE1LASTONEWhiteChar">
    <w:name w:val="Style STYLE 1 LAST ONE + White Char"/>
    <w:link w:val="StyleSTYLE1LASTONEWhite"/>
    <w:locked/>
    <w:rPr>
      <w:rFonts w:ascii="Arial" w:hAnsi="Arial"/>
      <w:b/>
      <w:color w:val="FFFFFF"/>
      <w:kern w:val="40"/>
      <w:sz w:val="28"/>
      <w:lang w:val="ru-RU" w:eastAsia="ru-RU"/>
    </w:rPr>
  </w:style>
  <w:style w:type="character" w:customStyle="1" w:styleId="STYLE1Char0">
    <w:name w:val="STYLE 1 Char"/>
    <w:link w:val="STYLE10"/>
    <w:locked/>
    <w:rPr>
      <w:rFonts w:ascii="Arial" w:hAnsi="Arial"/>
      <w:b/>
      <w:color w:val="FF0000"/>
      <w:kern w:val="40"/>
      <w:sz w:val="36"/>
      <w:lang w:val="ru-RU" w:eastAsia="ru-RU"/>
    </w:rPr>
  </w:style>
  <w:style w:type="character" w:customStyle="1" w:styleId="STYLEDUTEXTEChar">
    <w:name w:val="STYLE DU TEXTE Char"/>
    <w:link w:val="STYLEDUTEXTE"/>
    <w:locked/>
    <w:rPr>
      <w:rFonts w:ascii="Arial" w:hAnsi="Arial"/>
      <w:sz w:val="22"/>
      <w:lang w:val="ru-RU" w:eastAsia="ru-RU"/>
    </w:rPr>
  </w:style>
  <w:style w:type="character" w:customStyle="1" w:styleId="STYLE2LASTONEChar">
    <w:name w:val="STYLE 2 LAST ONE Char"/>
    <w:link w:val="STYLE2LASTONE"/>
    <w:locked/>
    <w:rPr>
      <w:rFonts w:ascii="Arial" w:hAnsi="Arial"/>
      <w:b/>
      <w:color w:val="FFFFFF"/>
      <w:kern w:val="40"/>
      <w:sz w:val="28"/>
      <w:lang w:val="ru-RU" w:eastAsia="ru-RU"/>
    </w:rPr>
  </w:style>
  <w:style w:type="paragraph" w:customStyle="1" w:styleId="style30">
    <w:name w:val="style3"/>
    <w:basedOn w:val="Normal"/>
    <w:pPr>
      <w:spacing w:after="120"/>
      <w:jc w:val="both"/>
    </w:pPr>
    <w:rPr>
      <w:rFonts w:ascii="Arial" w:hAnsi="Arial" w:cs="Arial"/>
      <w:sz w:val="22"/>
      <w:szCs w:val="22"/>
    </w:rPr>
  </w:style>
  <w:style w:type="character" w:customStyle="1" w:styleId="StyleArial10ptChar">
    <w:name w:val="Style Arial 10 pt Char"/>
    <w:link w:val="StyleArial10pt"/>
    <w:locked/>
    <w:rPr>
      <w:rFonts w:ascii="Arial" w:hAnsi="Arial"/>
      <w:lang w:val="ru-RU" w:eastAsia="ru-RU"/>
    </w:rPr>
  </w:style>
  <w:style w:type="character" w:styleId="CommentReference">
    <w:name w:val="annotation reference"/>
    <w:basedOn w:val="DefaultParagraphFont"/>
    <w:uiPriority w:val="99"/>
    <w:semiHidden/>
    <w:rPr>
      <w:rFonts w:cs="Times New Roman"/>
      <w:sz w:val="16"/>
      <w:lang w:val="ru-RU" w:eastAsia="ru-RU"/>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TextChar">
    <w:name w:val="Comment Text Char"/>
    <w:basedOn w:val="DefaultParagraphFont"/>
    <w:link w:val="CommentText"/>
    <w:uiPriority w:val="99"/>
    <w:semiHidden/>
    <w:locked/>
    <w:rPr>
      <w:rFonts w:cs="Times New Roman"/>
    </w:rPr>
  </w:style>
  <w:style w:type="paragraph" w:customStyle="1" w:styleId="StyleSTYLE2LASTONE10ptNotBoldAuto">
    <w:name w:val="Style STYLE 2 LAST ONE + 10 pt Not Bold Auto"/>
    <w:basedOn w:val="Normal"/>
    <w:pPr>
      <w:jc w:val="center"/>
    </w:pPr>
    <w:rPr>
      <w:rFonts w:ascii="Arial" w:hAnsi="Arial"/>
      <w:b/>
      <w:bCs/>
    </w:rPr>
  </w:style>
  <w:style w:type="character" w:customStyle="1" w:styleId="CommentSubjectChar">
    <w:name w:val="Comment Subject Char"/>
    <w:basedOn w:val="CommentTextChar"/>
    <w:link w:val="CommentSubject"/>
    <w:uiPriority w:val="99"/>
    <w:semiHidden/>
    <w:locked/>
    <w:rPr>
      <w:rFonts w:cs="Times New Roman"/>
      <w:b/>
      <w:lang w:val="ru-RU" w:eastAsia="ru-RU"/>
    </w:rPr>
  </w:style>
  <w:style w:type="paragraph" w:customStyle="1" w:styleId="Endofdocument-Annex">
    <w:name w:val="[End of document - Annex]"/>
    <w:basedOn w:val="Normal"/>
    <w:pPr>
      <w:ind w:left="5534"/>
    </w:pPr>
    <w:rPr>
      <w:rFonts w:ascii="Arial" w:eastAsia="SimSun" w:hAnsi="Arial" w:cs="Arial"/>
      <w:sz w:val="22"/>
      <w:szCs w:val="20"/>
    </w:rPr>
  </w:style>
  <w:style w:type="paragraph" w:customStyle="1" w:styleId="ONUME">
    <w:name w:val="ONUM E"/>
    <w:basedOn w:val="BodyText"/>
    <w:pPr>
      <w:numPr>
        <w:numId w:val="2"/>
      </w:numPr>
      <w:spacing w:after="220"/>
    </w:pPr>
    <w:rPr>
      <w:rFonts w:eastAsia="SimSun"/>
      <w:sz w:val="22"/>
      <w:szCs w:val="20"/>
    </w:rPr>
  </w:style>
  <w:style w:type="paragraph" w:styleId="TOC3">
    <w:name w:val="toc 3"/>
    <w:basedOn w:val="Normal"/>
    <w:next w:val="Normal"/>
    <w:autoRedefine/>
    <w:uiPriority w:val="39"/>
    <w:semiHidden/>
    <w:pPr>
      <w:ind w:left="480"/>
    </w:pPr>
  </w:style>
  <w:style w:type="paragraph" w:customStyle="1" w:styleId="StyleHeading211ptNotBoldNotItalicAllcaps">
    <w:name w:val="Style Heading 2 + 11 pt Not Bold Not Italic All caps"/>
    <w:basedOn w:val="Heading2"/>
    <w:rPr>
      <w:bCs w:val="0"/>
      <w:i w:val="0"/>
      <w:iCs w:val="0"/>
      <w:caps/>
      <w:sz w:val="22"/>
    </w:rPr>
  </w:style>
  <w:style w:type="character" w:customStyle="1" w:styleId="EmailStyle67">
    <w:name w:val="EmailStyle67"/>
    <w:semiHidden/>
    <w:rPr>
      <w:rFonts w:ascii="Arial" w:hAnsi="Arial"/>
      <w:color w:val="000080"/>
      <w:sz w:val="20"/>
      <w:lang w:val="ru-RU" w:eastAsia="ru-RU"/>
    </w:rPr>
  </w:style>
  <w:style w:type="paragraph" w:styleId="FootnoteText">
    <w:name w:val="footnote text"/>
    <w:basedOn w:val="Normal"/>
    <w:link w:val="FootnoteTextChar"/>
    <w:uiPriority w:val="99"/>
    <w:semiHidden/>
    <w:rPr>
      <w:rFonts w:ascii="Arial" w:hAnsi="Arial" w:cs="Arial"/>
      <w:sz w:val="18"/>
      <w:szCs w:val="20"/>
    </w:rPr>
  </w:style>
  <w:style w:type="character" w:styleId="FootnoteReference">
    <w:name w:val="footnote reference"/>
    <w:basedOn w:val="DefaultParagraphFont"/>
    <w:uiPriority w:val="99"/>
    <w:semiHidden/>
    <w:rPr>
      <w:rFonts w:cs="Times New Roman"/>
      <w:vertAlign w:val="superscript"/>
      <w:lang w:val="ru-RU" w:eastAsia="ru-RU"/>
    </w:rPr>
  </w:style>
  <w:style w:type="character" w:customStyle="1" w:styleId="FootnoteTextChar">
    <w:name w:val="Footnote Text Char"/>
    <w:basedOn w:val="DefaultParagraphFont"/>
    <w:link w:val="FootnoteText"/>
    <w:uiPriority w:val="99"/>
    <w:semiHidden/>
    <w:locked/>
    <w:rPr>
      <w:rFonts w:cs="Times New Roman"/>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image" Target="media/image6.emf"/><Relationship Id="rId117" Type="http://schemas.openxmlformats.org/officeDocument/2006/relationships/image" Target="media/image90.emf"/><Relationship Id="rId21" Type="http://schemas.openxmlformats.org/officeDocument/2006/relationships/header" Target="header8.xml"/><Relationship Id="rId42" Type="http://schemas.openxmlformats.org/officeDocument/2006/relationships/image" Target="media/image22.emf"/><Relationship Id="rId47" Type="http://schemas.openxmlformats.org/officeDocument/2006/relationships/image" Target="media/image27.emf"/><Relationship Id="rId63" Type="http://schemas.openxmlformats.org/officeDocument/2006/relationships/image" Target="media/image41.emf"/><Relationship Id="rId68" Type="http://schemas.openxmlformats.org/officeDocument/2006/relationships/image" Target="media/image46.emf"/><Relationship Id="rId84" Type="http://schemas.openxmlformats.org/officeDocument/2006/relationships/image" Target="media/image58.emf"/><Relationship Id="rId89" Type="http://schemas.openxmlformats.org/officeDocument/2006/relationships/image" Target="media/image63.emf"/><Relationship Id="rId112" Type="http://schemas.openxmlformats.org/officeDocument/2006/relationships/image" Target="media/image85.emf"/><Relationship Id="rId16" Type="http://schemas.openxmlformats.org/officeDocument/2006/relationships/footer" Target="footer2.xml"/><Relationship Id="rId107" Type="http://schemas.openxmlformats.org/officeDocument/2006/relationships/image" Target="media/image80.emf"/><Relationship Id="rId11" Type="http://schemas.openxmlformats.org/officeDocument/2006/relationships/header" Target="header2.xml"/><Relationship Id="rId32" Type="http://schemas.openxmlformats.org/officeDocument/2006/relationships/image" Target="media/image12.emf"/><Relationship Id="rId37" Type="http://schemas.openxmlformats.org/officeDocument/2006/relationships/image" Target="media/image17.emf"/><Relationship Id="rId53" Type="http://schemas.openxmlformats.org/officeDocument/2006/relationships/image" Target="media/image33.emf"/><Relationship Id="rId58" Type="http://schemas.openxmlformats.org/officeDocument/2006/relationships/header" Target="header9.xml"/><Relationship Id="rId74" Type="http://schemas.openxmlformats.org/officeDocument/2006/relationships/image" Target="media/image48.emf"/><Relationship Id="rId79" Type="http://schemas.openxmlformats.org/officeDocument/2006/relationships/image" Target="media/image53.emf"/><Relationship Id="rId102" Type="http://schemas.openxmlformats.org/officeDocument/2006/relationships/image" Target="media/image75.emf"/><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39.emf"/><Relationship Id="rId82" Type="http://schemas.openxmlformats.org/officeDocument/2006/relationships/image" Target="media/image56.emf"/><Relationship Id="rId90" Type="http://schemas.openxmlformats.org/officeDocument/2006/relationships/hyperlink" Target="http://www.unjspf.org" TargetMode="External"/><Relationship Id="rId95" Type="http://schemas.openxmlformats.org/officeDocument/2006/relationships/image" Target="media/image68.emf"/><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image" Target="media/image15.emf"/><Relationship Id="rId43" Type="http://schemas.openxmlformats.org/officeDocument/2006/relationships/image" Target="media/image23.emf"/><Relationship Id="rId48" Type="http://schemas.openxmlformats.org/officeDocument/2006/relationships/image" Target="media/image28.emf"/><Relationship Id="rId56" Type="http://schemas.openxmlformats.org/officeDocument/2006/relationships/image" Target="media/image36.emf"/><Relationship Id="rId64" Type="http://schemas.openxmlformats.org/officeDocument/2006/relationships/image" Target="media/image42.emf"/><Relationship Id="rId69" Type="http://schemas.openxmlformats.org/officeDocument/2006/relationships/header" Target="header11.xml"/><Relationship Id="rId77" Type="http://schemas.openxmlformats.org/officeDocument/2006/relationships/image" Target="media/image51.emf"/><Relationship Id="rId100" Type="http://schemas.openxmlformats.org/officeDocument/2006/relationships/image" Target="media/image73.emf"/><Relationship Id="rId105" Type="http://schemas.openxmlformats.org/officeDocument/2006/relationships/image" Target="media/image78.emf"/><Relationship Id="rId113" Type="http://schemas.openxmlformats.org/officeDocument/2006/relationships/image" Target="media/image86.emf"/><Relationship Id="rId118" Type="http://schemas.openxmlformats.org/officeDocument/2006/relationships/image" Target="media/image91.emf"/><Relationship Id="rId8" Type="http://schemas.openxmlformats.org/officeDocument/2006/relationships/endnotes" Target="endnotes.xml"/><Relationship Id="rId51" Type="http://schemas.openxmlformats.org/officeDocument/2006/relationships/image" Target="media/image31.emf"/><Relationship Id="rId72" Type="http://schemas.openxmlformats.org/officeDocument/2006/relationships/header" Target="header12.xml"/><Relationship Id="rId80" Type="http://schemas.openxmlformats.org/officeDocument/2006/relationships/image" Target="media/image54.emf"/><Relationship Id="rId85" Type="http://schemas.openxmlformats.org/officeDocument/2006/relationships/image" Target="media/image59.emf"/><Relationship Id="rId93" Type="http://schemas.openxmlformats.org/officeDocument/2006/relationships/image" Target="media/image66.emf"/><Relationship Id="rId98" Type="http://schemas.openxmlformats.org/officeDocument/2006/relationships/image" Target="media/image71.emf"/><Relationship Id="rId121" Type="http://schemas.openxmlformats.org/officeDocument/2006/relationships/footer" Target="footer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5.emf"/><Relationship Id="rId33" Type="http://schemas.openxmlformats.org/officeDocument/2006/relationships/image" Target="media/image13.emf"/><Relationship Id="rId38" Type="http://schemas.openxmlformats.org/officeDocument/2006/relationships/image" Target="media/image18.emf"/><Relationship Id="rId46" Type="http://schemas.openxmlformats.org/officeDocument/2006/relationships/image" Target="media/image26.emf"/><Relationship Id="rId59" Type="http://schemas.openxmlformats.org/officeDocument/2006/relationships/header" Target="header10.xml"/><Relationship Id="rId67" Type="http://schemas.openxmlformats.org/officeDocument/2006/relationships/image" Target="media/image45.emf"/><Relationship Id="rId103" Type="http://schemas.openxmlformats.org/officeDocument/2006/relationships/image" Target="media/image76.emf"/><Relationship Id="rId108" Type="http://schemas.openxmlformats.org/officeDocument/2006/relationships/image" Target="media/image81.emf"/><Relationship Id="rId116" Type="http://schemas.openxmlformats.org/officeDocument/2006/relationships/image" Target="media/image89.emf"/><Relationship Id="rId20" Type="http://schemas.openxmlformats.org/officeDocument/2006/relationships/footer" Target="footer4.xml"/><Relationship Id="rId41" Type="http://schemas.openxmlformats.org/officeDocument/2006/relationships/image" Target="media/image21.emf"/><Relationship Id="rId54" Type="http://schemas.openxmlformats.org/officeDocument/2006/relationships/image" Target="media/image34.emf"/><Relationship Id="rId62" Type="http://schemas.openxmlformats.org/officeDocument/2006/relationships/image" Target="media/image40.emf"/><Relationship Id="rId70" Type="http://schemas.openxmlformats.org/officeDocument/2006/relationships/footer" Target="footer5.xml"/><Relationship Id="rId75" Type="http://schemas.openxmlformats.org/officeDocument/2006/relationships/image" Target="media/image49.emf"/><Relationship Id="rId83" Type="http://schemas.openxmlformats.org/officeDocument/2006/relationships/image" Target="media/image57.emf"/><Relationship Id="rId88" Type="http://schemas.openxmlformats.org/officeDocument/2006/relationships/image" Target="media/image62.emf"/><Relationship Id="rId91" Type="http://schemas.openxmlformats.org/officeDocument/2006/relationships/image" Target="media/image64.emf"/><Relationship Id="rId96" Type="http://schemas.openxmlformats.org/officeDocument/2006/relationships/image" Target="media/image69.emf"/><Relationship Id="rId111" Type="http://schemas.openxmlformats.org/officeDocument/2006/relationships/image" Target="media/image84.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image" Target="media/image16.emf"/><Relationship Id="rId49" Type="http://schemas.openxmlformats.org/officeDocument/2006/relationships/image" Target="media/image29.emf"/><Relationship Id="rId57" Type="http://schemas.openxmlformats.org/officeDocument/2006/relationships/image" Target="media/image37.emf"/><Relationship Id="rId106" Type="http://schemas.openxmlformats.org/officeDocument/2006/relationships/image" Target="media/image79.emf"/><Relationship Id="rId114" Type="http://schemas.openxmlformats.org/officeDocument/2006/relationships/image" Target="media/image87.emf"/><Relationship Id="rId119" Type="http://schemas.openxmlformats.org/officeDocument/2006/relationships/footer" Target="footer7.xml"/><Relationship Id="rId10" Type="http://schemas.openxmlformats.org/officeDocument/2006/relationships/header" Target="header1.xml"/><Relationship Id="rId31" Type="http://schemas.openxmlformats.org/officeDocument/2006/relationships/image" Target="media/image11.emf"/><Relationship Id="rId44" Type="http://schemas.openxmlformats.org/officeDocument/2006/relationships/image" Target="media/image24.emf"/><Relationship Id="rId52" Type="http://schemas.openxmlformats.org/officeDocument/2006/relationships/image" Target="media/image32.emf"/><Relationship Id="rId60" Type="http://schemas.openxmlformats.org/officeDocument/2006/relationships/image" Target="media/image38.emf"/><Relationship Id="rId65" Type="http://schemas.openxmlformats.org/officeDocument/2006/relationships/image" Target="media/image43.emf"/><Relationship Id="rId73" Type="http://schemas.openxmlformats.org/officeDocument/2006/relationships/footer" Target="footer6.xml"/><Relationship Id="rId78" Type="http://schemas.openxmlformats.org/officeDocument/2006/relationships/image" Target="media/image52.emf"/><Relationship Id="rId81" Type="http://schemas.openxmlformats.org/officeDocument/2006/relationships/image" Target="media/image55.emf"/><Relationship Id="rId86" Type="http://schemas.openxmlformats.org/officeDocument/2006/relationships/image" Target="media/image60.emf"/><Relationship Id="rId94" Type="http://schemas.openxmlformats.org/officeDocument/2006/relationships/image" Target="media/image67.emf"/><Relationship Id="rId99" Type="http://schemas.openxmlformats.org/officeDocument/2006/relationships/image" Target="media/image72.emf"/><Relationship Id="rId101" Type="http://schemas.openxmlformats.org/officeDocument/2006/relationships/image" Target="media/image74.emf"/><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3.xml"/><Relationship Id="rId39" Type="http://schemas.openxmlformats.org/officeDocument/2006/relationships/image" Target="media/image19.emf"/><Relationship Id="rId109" Type="http://schemas.openxmlformats.org/officeDocument/2006/relationships/image" Target="media/image82.emf"/><Relationship Id="rId34" Type="http://schemas.openxmlformats.org/officeDocument/2006/relationships/image" Target="media/image14.emf"/><Relationship Id="rId50" Type="http://schemas.openxmlformats.org/officeDocument/2006/relationships/image" Target="media/image30.emf"/><Relationship Id="rId55" Type="http://schemas.openxmlformats.org/officeDocument/2006/relationships/image" Target="media/image35.emf"/><Relationship Id="rId76" Type="http://schemas.openxmlformats.org/officeDocument/2006/relationships/image" Target="media/image50.emf"/><Relationship Id="rId97" Type="http://schemas.openxmlformats.org/officeDocument/2006/relationships/image" Target="media/image70.emf"/><Relationship Id="rId104" Type="http://schemas.openxmlformats.org/officeDocument/2006/relationships/image" Target="media/image77.emf"/><Relationship Id="rId120" Type="http://schemas.openxmlformats.org/officeDocument/2006/relationships/image" Target="media/image92.emf"/><Relationship Id="rId7" Type="http://schemas.openxmlformats.org/officeDocument/2006/relationships/footnotes" Target="footnotes.xml"/><Relationship Id="rId71" Type="http://schemas.openxmlformats.org/officeDocument/2006/relationships/image" Target="media/image47.emf"/><Relationship Id="rId92" Type="http://schemas.openxmlformats.org/officeDocument/2006/relationships/image" Target="media/image65.emf"/><Relationship Id="rId2" Type="http://schemas.openxmlformats.org/officeDocument/2006/relationships/numbering" Target="numbering.xml"/><Relationship Id="rId29" Type="http://schemas.openxmlformats.org/officeDocument/2006/relationships/image" Target="media/image9.emf"/><Relationship Id="rId24" Type="http://schemas.openxmlformats.org/officeDocument/2006/relationships/image" Target="media/image4.emf"/><Relationship Id="rId40" Type="http://schemas.openxmlformats.org/officeDocument/2006/relationships/image" Target="media/image20.emf"/><Relationship Id="rId45" Type="http://schemas.openxmlformats.org/officeDocument/2006/relationships/image" Target="media/image25.emf"/><Relationship Id="rId66" Type="http://schemas.openxmlformats.org/officeDocument/2006/relationships/image" Target="media/image44.emf"/><Relationship Id="rId87" Type="http://schemas.openxmlformats.org/officeDocument/2006/relationships/image" Target="media/image61.emf"/><Relationship Id="rId110" Type="http://schemas.openxmlformats.org/officeDocument/2006/relationships/image" Target="media/image83.emf"/><Relationship Id="rId115" Type="http://schemas.openxmlformats.org/officeDocument/2006/relationships/image" Target="media/image8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5AA24-8019-40A0-B12F-DC5D1221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20829</Words>
  <Characters>136088</Characters>
  <Application>Microsoft Office Word</Application>
  <DocSecurity>4</DocSecurity>
  <Lines>1134</Lines>
  <Paragraphs>313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NOTES TO THE FINANCIAL STATEMENTS</vt:lpstr>
      <vt:lpstr>NOTES TO THE FINANCIAL STATEMENTS</vt:lpstr>
    </vt:vector>
  </TitlesOfParts>
  <Company>WIPO</Company>
  <LinksUpToDate>false</LinksUpToDate>
  <CharactersWithSpaces>156604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THE FINANCIAL STATEMENTS</dc:title>
  <dc:creator>SHEPHERD</dc:creator>
  <cp:lastModifiedBy>MITON GENOUD Anne</cp:lastModifiedBy>
  <cp:revision>2</cp:revision>
  <cp:lastPrinted>2015-08-10T10:29:00Z</cp:lastPrinted>
  <dcterms:created xsi:type="dcterms:W3CDTF">2015-08-10T12:29:00Z</dcterms:created>
  <dcterms:modified xsi:type="dcterms:W3CDTF">2015-08-10T12:29:00Z</dcterms:modified>
</cp:coreProperties>
</file>