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E146A" w14:textId="77777777" w:rsidR="008B2CC1" w:rsidRPr="00AD5BA3" w:rsidRDefault="0091649C" w:rsidP="00F11D94">
      <w:pPr>
        <w:spacing w:after="120"/>
        <w:jc w:val="right"/>
        <w:rPr>
          <w:lang w:val="fr-FR"/>
        </w:rPr>
      </w:pPr>
      <w:r w:rsidRPr="00AD5BA3">
        <w:rPr>
          <w:lang w:val="fr-FR" w:eastAsia="en-US"/>
        </w:rPr>
        <w:drawing>
          <wp:inline distT="0" distB="0" distL="0" distR="0" wp14:anchorId="4A7A0BDE" wp14:editId="472630D2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AD5BA3">
        <w:rPr>
          <w:rFonts w:ascii="Arial Black" w:hAnsi="Arial Black"/>
          <w:caps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1F2BB4B8" wp14:editId="6AC0B4CF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23292F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4E2297B" w14:textId="5F9A6549" w:rsidR="008B2CC1" w:rsidRPr="00AD5BA3" w:rsidRDefault="00C1431E" w:rsidP="001024FE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proofErr w:type="spellStart"/>
      <w:r w:rsidRPr="00AD5BA3">
        <w:rPr>
          <w:rFonts w:ascii="Arial Black" w:hAnsi="Arial Black"/>
          <w:caps/>
          <w:sz w:val="15"/>
          <w:szCs w:val="15"/>
          <w:lang w:val="fr-FR"/>
        </w:rPr>
        <w:t>WO</w:t>
      </w:r>
      <w:proofErr w:type="spellEnd"/>
      <w:r w:rsidRPr="00AD5BA3">
        <w:rPr>
          <w:rFonts w:ascii="Arial Black" w:hAnsi="Arial Black"/>
          <w:caps/>
          <w:sz w:val="15"/>
          <w:szCs w:val="15"/>
          <w:lang w:val="fr-FR"/>
        </w:rPr>
        <w:t>/</w:t>
      </w:r>
      <w:proofErr w:type="spellStart"/>
      <w:r w:rsidRPr="00AD5BA3">
        <w:rPr>
          <w:rFonts w:ascii="Arial Black" w:hAnsi="Arial Black"/>
          <w:caps/>
          <w:sz w:val="15"/>
          <w:szCs w:val="15"/>
          <w:lang w:val="fr-FR"/>
        </w:rPr>
        <w:t>PBC</w:t>
      </w:r>
      <w:proofErr w:type="spellEnd"/>
      <w:r w:rsidRPr="00AD5BA3">
        <w:rPr>
          <w:rFonts w:ascii="Arial Black" w:hAnsi="Arial Black"/>
          <w:caps/>
          <w:sz w:val="15"/>
          <w:szCs w:val="15"/>
          <w:lang w:val="fr-FR"/>
        </w:rPr>
        <w:t>/3</w:t>
      </w:r>
      <w:r w:rsidR="00E0335B" w:rsidRPr="00AD5BA3">
        <w:rPr>
          <w:rFonts w:ascii="Arial Black" w:hAnsi="Arial Black"/>
          <w:caps/>
          <w:sz w:val="15"/>
          <w:szCs w:val="15"/>
          <w:lang w:val="fr-FR"/>
        </w:rPr>
        <w:t>9</w:t>
      </w:r>
      <w:r w:rsidRPr="00AD5BA3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bookmarkEnd w:id="0"/>
      <w:r w:rsidR="00C120EC" w:rsidRPr="00AD5BA3">
        <w:rPr>
          <w:rFonts w:ascii="Arial Black" w:hAnsi="Arial Black"/>
          <w:caps/>
          <w:sz w:val="15"/>
          <w:szCs w:val="15"/>
          <w:lang w:val="fr-FR"/>
        </w:rPr>
        <w:t>9</w:t>
      </w:r>
    </w:p>
    <w:p w14:paraId="235E4102" w14:textId="3401E6F5" w:rsidR="00CE65D4" w:rsidRPr="00AD5BA3" w:rsidRDefault="00CE65D4" w:rsidP="00CE65D4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AD5BA3">
        <w:rPr>
          <w:rFonts w:ascii="Arial Black" w:hAnsi="Arial Black"/>
          <w:caps/>
          <w:sz w:val="15"/>
          <w:szCs w:val="15"/>
          <w:lang w:val="fr-FR"/>
        </w:rPr>
        <w:t>ORIGINAL</w:t>
      </w:r>
      <w:r w:rsidR="007C2C64" w:rsidRPr="00AD5BA3">
        <w:rPr>
          <w:rFonts w:ascii="Arial Black" w:hAnsi="Arial Black"/>
          <w:caps/>
          <w:sz w:val="15"/>
          <w:szCs w:val="15"/>
          <w:lang w:val="fr-FR"/>
        </w:rPr>
        <w:t> :</w:t>
      </w:r>
      <w:r w:rsidRPr="00AD5BA3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C120EC" w:rsidRPr="00AD5BA3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71F09DCD" w14:textId="2187580F" w:rsidR="008B2CC1" w:rsidRPr="00AD5BA3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AD5BA3">
        <w:rPr>
          <w:rFonts w:ascii="Arial Black" w:hAnsi="Arial Black"/>
          <w:caps/>
          <w:sz w:val="15"/>
          <w:szCs w:val="15"/>
          <w:lang w:val="fr-FR"/>
        </w:rPr>
        <w:t>DATE</w:t>
      </w:r>
      <w:r w:rsidR="007C2C64" w:rsidRPr="00AD5BA3">
        <w:rPr>
          <w:rFonts w:ascii="Arial Black" w:hAnsi="Arial Black"/>
          <w:caps/>
          <w:sz w:val="15"/>
          <w:szCs w:val="15"/>
          <w:lang w:val="fr-FR"/>
        </w:rPr>
        <w:t> :</w:t>
      </w:r>
      <w:r w:rsidRPr="00AD5BA3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C120EC" w:rsidRPr="00AD5BA3">
        <w:rPr>
          <w:rFonts w:ascii="Arial Black" w:hAnsi="Arial Black"/>
          <w:caps/>
          <w:sz w:val="15"/>
          <w:szCs w:val="15"/>
          <w:lang w:val="fr-FR"/>
        </w:rPr>
        <w:t>5 </w:t>
      </w:r>
      <w:r w:rsidR="007C2C64" w:rsidRPr="00AD5BA3">
        <w:rPr>
          <w:rFonts w:ascii="Arial Black" w:hAnsi="Arial Black"/>
          <w:caps/>
          <w:sz w:val="15"/>
          <w:szCs w:val="15"/>
          <w:lang w:val="fr-FR"/>
        </w:rPr>
        <w:t>juin 20</w:t>
      </w:r>
      <w:r w:rsidR="00C120EC" w:rsidRPr="00AD5BA3">
        <w:rPr>
          <w:rFonts w:ascii="Arial Black" w:hAnsi="Arial Black"/>
          <w:caps/>
          <w:sz w:val="15"/>
          <w:szCs w:val="15"/>
          <w:lang w:val="fr-FR"/>
        </w:rPr>
        <w:t>25</w:t>
      </w:r>
    </w:p>
    <w:bookmarkEnd w:id="2"/>
    <w:p w14:paraId="36E2A487" w14:textId="77777777" w:rsidR="008B2CC1" w:rsidRPr="00AD5BA3" w:rsidRDefault="0091649C" w:rsidP="00CE65D4">
      <w:pPr>
        <w:spacing w:after="600"/>
        <w:rPr>
          <w:b/>
          <w:sz w:val="28"/>
          <w:szCs w:val="28"/>
          <w:lang w:val="fr-FR"/>
        </w:rPr>
      </w:pPr>
      <w:r w:rsidRPr="00AD5BA3">
        <w:rPr>
          <w:b/>
          <w:sz w:val="28"/>
          <w:szCs w:val="28"/>
          <w:lang w:val="fr-FR"/>
        </w:rPr>
        <w:t>Comité du programme et budget</w:t>
      </w:r>
    </w:p>
    <w:p w14:paraId="2FCEADFA" w14:textId="2EC6074A" w:rsidR="008B2CC1" w:rsidRPr="00AD5BA3" w:rsidRDefault="0091649C" w:rsidP="008B2CC1">
      <w:pPr>
        <w:rPr>
          <w:b/>
          <w:sz w:val="24"/>
          <w:szCs w:val="24"/>
          <w:lang w:val="fr-FR"/>
        </w:rPr>
      </w:pPr>
      <w:r w:rsidRPr="00AD5BA3">
        <w:rPr>
          <w:b/>
          <w:sz w:val="24"/>
          <w:szCs w:val="24"/>
          <w:lang w:val="fr-FR"/>
        </w:rPr>
        <w:t>Trente</w:t>
      </w:r>
      <w:r w:rsidR="00AD5BA3" w:rsidRPr="00AD5BA3">
        <w:rPr>
          <w:b/>
          <w:sz w:val="24"/>
          <w:szCs w:val="24"/>
          <w:lang w:val="fr-FR"/>
        </w:rPr>
        <w:noBreakHyphen/>
      </w:r>
      <w:r w:rsidR="00E0335B" w:rsidRPr="00AD5BA3">
        <w:rPr>
          <w:b/>
          <w:sz w:val="24"/>
          <w:szCs w:val="24"/>
          <w:lang w:val="fr-FR"/>
        </w:rPr>
        <w:t>neuv</w:t>
      </w:r>
      <w:r w:rsidR="007C2C64" w:rsidRPr="00AD5BA3">
        <w:rPr>
          <w:b/>
          <w:sz w:val="24"/>
          <w:szCs w:val="24"/>
          <w:lang w:val="fr-FR"/>
        </w:rPr>
        <w:t>ième session</w:t>
      </w:r>
    </w:p>
    <w:p w14:paraId="26F52EFB" w14:textId="383EBC3F" w:rsidR="008B2CC1" w:rsidRPr="00AD5BA3" w:rsidRDefault="0091649C" w:rsidP="00CE65D4">
      <w:pPr>
        <w:spacing w:after="720"/>
        <w:rPr>
          <w:lang w:val="fr-FR"/>
        </w:rPr>
      </w:pPr>
      <w:r w:rsidRPr="00AD5BA3">
        <w:rPr>
          <w:b/>
          <w:sz w:val="24"/>
          <w:szCs w:val="24"/>
          <w:lang w:val="fr-FR"/>
        </w:rPr>
        <w:t>Genève, 1</w:t>
      </w:r>
      <w:r w:rsidR="00E0335B" w:rsidRPr="00AD5BA3">
        <w:rPr>
          <w:b/>
          <w:sz w:val="24"/>
          <w:szCs w:val="24"/>
          <w:lang w:val="fr-FR"/>
        </w:rPr>
        <w:t>6</w:t>
      </w:r>
      <w:r w:rsidRPr="00AD5BA3">
        <w:rPr>
          <w:b/>
          <w:sz w:val="24"/>
          <w:szCs w:val="24"/>
          <w:lang w:val="fr-FR"/>
        </w:rPr>
        <w:t xml:space="preserve"> – 2</w:t>
      </w:r>
      <w:r w:rsidR="00E0335B" w:rsidRPr="00AD5BA3">
        <w:rPr>
          <w:b/>
          <w:sz w:val="24"/>
          <w:szCs w:val="24"/>
          <w:lang w:val="fr-FR"/>
        </w:rPr>
        <w:t>0</w:t>
      </w:r>
      <w:r w:rsidR="007C2C64" w:rsidRPr="00AD5BA3">
        <w:rPr>
          <w:b/>
          <w:sz w:val="24"/>
          <w:szCs w:val="24"/>
          <w:lang w:val="fr-FR"/>
        </w:rPr>
        <w:t> juin 20</w:t>
      </w:r>
      <w:r w:rsidRPr="00AD5BA3">
        <w:rPr>
          <w:b/>
          <w:sz w:val="24"/>
          <w:szCs w:val="24"/>
          <w:lang w:val="fr-FR"/>
        </w:rPr>
        <w:t>25</w:t>
      </w:r>
    </w:p>
    <w:p w14:paraId="271820E3" w14:textId="0B21BA41" w:rsidR="008B2CC1" w:rsidRPr="00AD5BA3" w:rsidRDefault="00C120EC" w:rsidP="00CE65D4">
      <w:pPr>
        <w:spacing w:after="360"/>
        <w:rPr>
          <w:caps/>
          <w:sz w:val="24"/>
          <w:lang w:val="fr-FR"/>
        </w:rPr>
      </w:pPr>
      <w:bookmarkStart w:id="3" w:name="TitleOfDoc"/>
      <w:r w:rsidRPr="00AD5BA3">
        <w:rPr>
          <w:caps/>
          <w:sz w:val="24"/>
          <w:lang w:val="fr-FR"/>
        </w:rPr>
        <w:t>Plan de financement pour rétablir la couverture des prestations à long terme dues au personnel de l</w:t>
      </w:r>
      <w:r w:rsidR="007C2C64" w:rsidRPr="00AD5BA3">
        <w:rPr>
          <w:caps/>
          <w:sz w:val="24"/>
          <w:lang w:val="fr-FR"/>
        </w:rPr>
        <w:t>’</w:t>
      </w:r>
      <w:proofErr w:type="spellStart"/>
      <w:r w:rsidRPr="00AD5BA3">
        <w:rPr>
          <w:caps/>
          <w:sz w:val="24"/>
          <w:lang w:val="fr-FR"/>
        </w:rPr>
        <w:t>OMPI</w:t>
      </w:r>
      <w:proofErr w:type="spellEnd"/>
    </w:p>
    <w:p w14:paraId="63B265CD" w14:textId="73EBCC99" w:rsidR="008B2CC1" w:rsidRPr="00AD5BA3" w:rsidRDefault="00C120EC" w:rsidP="00CE65D4">
      <w:pPr>
        <w:spacing w:after="960"/>
        <w:rPr>
          <w:i/>
          <w:lang w:val="fr-FR"/>
        </w:rPr>
      </w:pPr>
      <w:bookmarkStart w:id="4" w:name="Prepared"/>
      <w:bookmarkEnd w:id="3"/>
      <w:r w:rsidRPr="00AD5BA3">
        <w:rPr>
          <w:i/>
          <w:lang w:val="fr-FR"/>
        </w:rPr>
        <w:t>Document établi par le Secrétariat</w:t>
      </w:r>
    </w:p>
    <w:bookmarkEnd w:id="4"/>
    <w:p w14:paraId="46A5D388" w14:textId="77777777" w:rsidR="00C120EC" w:rsidRPr="00AD5BA3" w:rsidRDefault="00C120EC" w:rsidP="007C2C64">
      <w:pPr>
        <w:pStyle w:val="Heading1"/>
        <w:rPr>
          <w:lang w:val="fr-FR"/>
        </w:rPr>
      </w:pPr>
      <w:r w:rsidRPr="00AD5BA3">
        <w:rPr>
          <w:lang w:val="fr-FR"/>
        </w:rPr>
        <w:t>Informations générales</w:t>
      </w:r>
    </w:p>
    <w:p w14:paraId="62B0F187" w14:textId="239A76FB" w:rsidR="00C120EC" w:rsidRPr="00AD5BA3" w:rsidRDefault="00C120EC" w:rsidP="007C2C64">
      <w:pPr>
        <w:pStyle w:val="ONUMFS"/>
        <w:rPr>
          <w:lang w:val="fr-FR"/>
        </w:rPr>
      </w:pPr>
      <w:r w:rsidRPr="00AD5BA3">
        <w:rPr>
          <w:lang w:val="fr-FR"/>
        </w:rPr>
        <w:t>À l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issue des délibérations sur le Plan de financement pour la gestion des risques découlant des prestations à long terme dues au personnel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(</w:t>
      </w:r>
      <w:r w:rsidR="007C2C64" w:rsidRPr="00AD5BA3">
        <w:rPr>
          <w:lang w:val="fr-FR"/>
        </w:rPr>
        <w:t xml:space="preserve">document </w:t>
      </w:r>
      <w:proofErr w:type="spellStart"/>
      <w:r w:rsidR="007C2C64" w:rsidRPr="00AD5BA3">
        <w:rPr>
          <w:lang w:val="fr-FR"/>
        </w:rPr>
        <w:t>WO</w:t>
      </w:r>
      <w:proofErr w:type="spellEnd"/>
      <w:r w:rsidRPr="00AD5BA3">
        <w:rPr>
          <w:lang w:val="fr-FR"/>
        </w:rPr>
        <w:t>/</w:t>
      </w:r>
      <w:proofErr w:type="spellStart"/>
      <w:r w:rsidRPr="00AD5BA3">
        <w:rPr>
          <w:lang w:val="fr-FR"/>
        </w:rPr>
        <w:t>PBC</w:t>
      </w:r>
      <w:proofErr w:type="spellEnd"/>
      <w:r w:rsidRPr="00AD5BA3">
        <w:rPr>
          <w:lang w:val="fr-FR"/>
        </w:rPr>
        <w:t>/34/14), à la trente</w:t>
      </w:r>
      <w:r w:rsidR="00AD5BA3" w:rsidRPr="00AD5BA3">
        <w:rPr>
          <w:lang w:val="fr-FR"/>
        </w:rPr>
        <w:noBreakHyphen/>
      </w:r>
      <w:r w:rsidRPr="00AD5BA3">
        <w:rPr>
          <w:lang w:val="fr-FR"/>
        </w:rPr>
        <w:t>quatr</w:t>
      </w:r>
      <w:r w:rsidR="007C2C64" w:rsidRPr="00AD5BA3">
        <w:rPr>
          <w:lang w:val="fr-FR"/>
        </w:rPr>
        <w:t>ième session</w:t>
      </w:r>
      <w:r w:rsidRPr="00AD5BA3">
        <w:rPr>
          <w:lang w:val="fr-FR"/>
        </w:rPr>
        <w:t xml:space="preserve"> du Comité du programme et budget (</w:t>
      </w:r>
      <w:proofErr w:type="spellStart"/>
      <w:r w:rsidRPr="00AD5BA3">
        <w:rPr>
          <w:lang w:val="fr-FR"/>
        </w:rPr>
        <w:t>PBC</w:t>
      </w:r>
      <w:proofErr w:type="spellEnd"/>
      <w:r w:rsidRPr="00AD5BA3">
        <w:rPr>
          <w:lang w:val="fr-FR"/>
        </w:rPr>
        <w:t>) en juin 2022, le comité a recommandé et les assemblées des États membres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>, chacune pour ce qui la concerne, ont approuvé</w:t>
      </w:r>
      <w:r w:rsidRPr="00AD5BA3">
        <w:rPr>
          <w:rStyle w:val="FootnoteReference"/>
          <w:lang w:val="fr-FR"/>
        </w:rPr>
        <w:footnoteReference w:id="2"/>
      </w:r>
      <w:r w:rsidR="007C2C64" w:rsidRPr="00AD5BA3">
        <w:rPr>
          <w:lang w:val="fr-FR"/>
        </w:rPr>
        <w:t> :</w:t>
      </w:r>
    </w:p>
    <w:p w14:paraId="392EC22D" w14:textId="7C9D9075" w:rsidR="00C120EC" w:rsidRPr="00AD5BA3" w:rsidRDefault="00C120EC" w:rsidP="007C2C64">
      <w:pPr>
        <w:pStyle w:val="ONUMFS"/>
        <w:numPr>
          <w:ilvl w:val="0"/>
          <w:numId w:val="0"/>
        </w:numPr>
        <w:ind w:left="567"/>
        <w:rPr>
          <w:i/>
          <w:iCs/>
          <w:lang w:val="fr-FR"/>
        </w:rPr>
      </w:pPr>
      <w:proofErr w:type="gramStart"/>
      <w:r w:rsidRPr="00AD5BA3">
        <w:rPr>
          <w:i/>
          <w:iCs/>
          <w:lang w:val="fr-FR"/>
        </w:rPr>
        <w:t>“(</w:t>
      </w:r>
      <w:proofErr w:type="gramEnd"/>
      <w:r w:rsidR="007C2C64" w:rsidRPr="00AD5BA3">
        <w:rPr>
          <w:i/>
          <w:iCs/>
          <w:lang w:val="fr-FR"/>
        </w:rPr>
        <w:t>…</w:t>
      </w:r>
      <w:r w:rsidRPr="00AD5BA3">
        <w:rPr>
          <w:i/>
          <w:iCs/>
          <w:lang w:val="fr-FR"/>
        </w:rPr>
        <w:t xml:space="preserve">) la proposition de financement des prestations à long terme dues </w:t>
      </w:r>
      <w:proofErr w:type="gramStart"/>
      <w:r w:rsidRPr="00AD5BA3">
        <w:rPr>
          <w:i/>
          <w:iCs/>
          <w:lang w:val="fr-FR"/>
        </w:rPr>
        <w:t>au personnel présentée</w:t>
      </w:r>
      <w:proofErr w:type="gramEnd"/>
      <w:r w:rsidRPr="00AD5BA3">
        <w:rPr>
          <w:i/>
          <w:iCs/>
          <w:lang w:val="fr-FR"/>
        </w:rPr>
        <w:t xml:space="preserve"> dans le </w:t>
      </w:r>
      <w:r w:rsidR="007C2C64" w:rsidRPr="00AD5BA3">
        <w:rPr>
          <w:i/>
          <w:iCs/>
          <w:lang w:val="fr-FR"/>
        </w:rPr>
        <w:t xml:space="preserve">document </w:t>
      </w:r>
      <w:proofErr w:type="spellStart"/>
      <w:r w:rsidR="007C2C64" w:rsidRPr="00AD5BA3">
        <w:rPr>
          <w:i/>
          <w:iCs/>
          <w:lang w:val="fr-FR"/>
        </w:rPr>
        <w:t>WO</w:t>
      </w:r>
      <w:proofErr w:type="spellEnd"/>
      <w:r w:rsidRPr="00AD5BA3">
        <w:rPr>
          <w:i/>
          <w:iCs/>
          <w:lang w:val="fr-FR"/>
        </w:rPr>
        <w:t>/</w:t>
      </w:r>
      <w:proofErr w:type="spellStart"/>
      <w:r w:rsidRPr="00AD5BA3">
        <w:rPr>
          <w:i/>
          <w:iCs/>
          <w:lang w:val="fr-FR"/>
        </w:rPr>
        <w:t>PBC</w:t>
      </w:r>
      <w:proofErr w:type="spellEnd"/>
      <w:r w:rsidRPr="00AD5BA3">
        <w:rPr>
          <w:i/>
          <w:iCs/>
          <w:lang w:val="fr-FR"/>
        </w:rPr>
        <w:t xml:space="preserve">/34/14, </w:t>
      </w:r>
      <w:r w:rsidR="007C2C64" w:rsidRPr="00AD5BA3">
        <w:rPr>
          <w:i/>
          <w:iCs/>
          <w:lang w:val="fr-FR"/>
        </w:rPr>
        <w:t>à savoir</w:t>
      </w:r>
      <w:r w:rsidRPr="00AD5BA3">
        <w:rPr>
          <w:i/>
          <w:iCs/>
          <w:lang w:val="fr-FR"/>
        </w:rPr>
        <w:t xml:space="preserve"> une charge annuelle pouvant atteindre 10% des dépenses de personnel à compter de l</w:t>
      </w:r>
      <w:r w:rsidR="007C2C64" w:rsidRPr="00AD5BA3">
        <w:rPr>
          <w:i/>
          <w:iCs/>
          <w:lang w:val="fr-FR"/>
        </w:rPr>
        <w:t>’</w:t>
      </w:r>
      <w:r w:rsidRPr="00AD5BA3">
        <w:rPr>
          <w:i/>
          <w:iCs/>
          <w:lang w:val="fr-FR"/>
        </w:rPr>
        <w:t>exercice biennal 2024</w:t>
      </w:r>
      <w:r w:rsidR="00AD5BA3" w:rsidRPr="00AD5BA3">
        <w:rPr>
          <w:i/>
          <w:iCs/>
          <w:lang w:val="fr-FR"/>
        </w:rPr>
        <w:noBreakHyphen/>
      </w:r>
      <w:r w:rsidRPr="00AD5BA3">
        <w:rPr>
          <w:i/>
          <w:iCs/>
          <w:lang w:val="fr-FR"/>
        </w:rPr>
        <w:t>2025”.</w:t>
      </w:r>
    </w:p>
    <w:p w14:paraId="51DC1508" w14:textId="197DDD9B" w:rsidR="00C120EC" w:rsidRPr="00AD5BA3" w:rsidRDefault="00C120EC" w:rsidP="007C2C64">
      <w:pPr>
        <w:pStyle w:val="ONUMFS"/>
        <w:rPr>
          <w:lang w:val="fr-FR"/>
        </w:rPr>
      </w:pPr>
      <w:r w:rsidRPr="00AD5BA3">
        <w:rPr>
          <w:lang w:val="fr-FR"/>
        </w:rPr>
        <w:t>Lors de la trente</w:t>
      </w:r>
      <w:r w:rsidR="00AD5BA3" w:rsidRPr="00AD5BA3">
        <w:rPr>
          <w:lang w:val="fr-FR"/>
        </w:rPr>
        <w:noBreakHyphen/>
      </w:r>
      <w:r w:rsidRPr="00AD5BA3">
        <w:rPr>
          <w:lang w:val="fr-FR"/>
        </w:rPr>
        <w:t>quatr</w:t>
      </w:r>
      <w:r w:rsidR="007C2C64" w:rsidRPr="00AD5BA3">
        <w:rPr>
          <w:lang w:val="fr-FR"/>
        </w:rPr>
        <w:t>ième session du </w:t>
      </w:r>
      <w:proofErr w:type="spellStart"/>
      <w:r w:rsidR="007C2C64" w:rsidRPr="00AD5BA3">
        <w:rPr>
          <w:lang w:val="fr-FR"/>
        </w:rPr>
        <w:t>PBC</w:t>
      </w:r>
      <w:proofErr w:type="spellEnd"/>
      <w:r w:rsidRPr="00AD5BA3">
        <w:rPr>
          <w:lang w:val="fr-FR"/>
        </w:rPr>
        <w:t>, les États membres ont exprimé leurs préoccupations concernant l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objectif de 80% fixé pour le niveau de couverture des engagements au titre des prestations à long terme dues au personnel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et ont exprimé leur préférence pour une couverture plus élevée afin de financer les prestations prévues, compte tenu de la situation financière solide de l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Organisation</w:t>
      </w:r>
      <w:r w:rsidRPr="00AD5BA3">
        <w:rPr>
          <w:rStyle w:val="FootnoteReference"/>
          <w:lang w:val="fr-FR"/>
        </w:rPr>
        <w:footnoteReference w:id="3"/>
      </w:r>
      <w:r w:rsidRPr="00AD5BA3">
        <w:rPr>
          <w:lang w:val="fr-FR"/>
        </w:rPr>
        <w:t>.</w:t>
      </w:r>
    </w:p>
    <w:p w14:paraId="0BF262A7" w14:textId="09891517" w:rsidR="007C2C64" w:rsidRPr="00AD5BA3" w:rsidRDefault="00C120EC" w:rsidP="007C2C64">
      <w:pPr>
        <w:pStyle w:val="ONUMFS"/>
        <w:keepNext/>
        <w:rPr>
          <w:lang w:val="fr-FR"/>
        </w:rPr>
      </w:pPr>
      <w:r w:rsidRPr="00AD5BA3">
        <w:rPr>
          <w:lang w:val="fr-FR"/>
        </w:rPr>
        <w:lastRenderedPageBreak/>
        <w:t>Conformément à la règle 103.20 du règlement d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exécution du Règlement financier sur les prestations à long terme</w:t>
      </w:r>
      <w:r w:rsidR="007C2C64" w:rsidRPr="00AD5BA3">
        <w:rPr>
          <w:lang w:val="fr-FR"/>
        </w:rPr>
        <w:t> :</w:t>
      </w:r>
    </w:p>
    <w:p w14:paraId="049E4F03" w14:textId="1FC73B82" w:rsidR="007C2C64" w:rsidRPr="00AD5BA3" w:rsidRDefault="00C120EC" w:rsidP="007C2C64">
      <w:pPr>
        <w:pStyle w:val="ONUMFS"/>
        <w:numPr>
          <w:ilvl w:val="0"/>
          <w:numId w:val="0"/>
        </w:numPr>
        <w:ind w:left="567"/>
        <w:rPr>
          <w:i/>
          <w:iCs/>
          <w:lang w:val="fr-FR"/>
        </w:rPr>
      </w:pPr>
      <w:r w:rsidRPr="00AD5BA3">
        <w:rPr>
          <w:i/>
          <w:iCs/>
          <w:lang w:val="fr-FR"/>
        </w:rPr>
        <w:t>“Le contrôleur veille à ce qu</w:t>
      </w:r>
      <w:r w:rsidR="007C2C64" w:rsidRPr="00AD5BA3">
        <w:rPr>
          <w:i/>
          <w:iCs/>
          <w:lang w:val="fr-FR"/>
        </w:rPr>
        <w:t>’</w:t>
      </w:r>
      <w:r w:rsidRPr="00AD5BA3">
        <w:rPr>
          <w:i/>
          <w:iCs/>
          <w:lang w:val="fr-FR"/>
        </w:rPr>
        <w:t>un plan de financement soit mis en place pour les obligations à long terme, en puisant dans les réserves et sous réserve de l</w:t>
      </w:r>
      <w:r w:rsidR="007C2C64" w:rsidRPr="00AD5BA3">
        <w:rPr>
          <w:i/>
          <w:iCs/>
          <w:lang w:val="fr-FR"/>
        </w:rPr>
        <w:t>’</w:t>
      </w:r>
      <w:r w:rsidRPr="00AD5BA3">
        <w:rPr>
          <w:i/>
          <w:iCs/>
          <w:lang w:val="fr-FR"/>
        </w:rPr>
        <w:t>approbation des assemblées de l</w:t>
      </w:r>
      <w:r w:rsidR="007C2C64" w:rsidRPr="00AD5BA3">
        <w:rPr>
          <w:i/>
          <w:iCs/>
          <w:lang w:val="fr-FR"/>
        </w:rPr>
        <w:t>’</w:t>
      </w:r>
      <w:proofErr w:type="spellStart"/>
      <w:r w:rsidRPr="00AD5BA3">
        <w:rPr>
          <w:i/>
          <w:iCs/>
          <w:lang w:val="fr-FR"/>
        </w:rPr>
        <w:t>OMPI</w:t>
      </w:r>
      <w:proofErr w:type="spellEnd"/>
      <w:r w:rsidRPr="00AD5BA3">
        <w:rPr>
          <w:i/>
          <w:iCs/>
          <w:lang w:val="fr-FR"/>
        </w:rPr>
        <w:t>”.</w:t>
      </w:r>
    </w:p>
    <w:p w14:paraId="1892FE3F" w14:textId="4CA008F1" w:rsidR="00C120EC" w:rsidRPr="00AD5BA3" w:rsidRDefault="00C120EC" w:rsidP="007C2C64">
      <w:pPr>
        <w:pStyle w:val="Heading1"/>
        <w:rPr>
          <w:lang w:val="fr-FR"/>
        </w:rPr>
      </w:pPr>
      <w:r w:rsidRPr="00AD5BA3">
        <w:rPr>
          <w:lang w:val="fr-FR"/>
        </w:rPr>
        <w:t>Mécanismes actuels de financement et couverture des engagements au titre des prestations à long terme dues au personnel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</w:p>
    <w:p w14:paraId="7F427538" w14:textId="21081BAF" w:rsidR="007C2C64" w:rsidRPr="00AD5BA3" w:rsidRDefault="00C120EC" w:rsidP="007C2C64">
      <w:pPr>
        <w:pStyle w:val="ONUMFS"/>
        <w:rPr>
          <w:lang w:val="fr-FR"/>
        </w:rPr>
      </w:pPr>
      <w:r w:rsidRPr="00AD5BA3">
        <w:rPr>
          <w:lang w:val="fr-FR"/>
        </w:rPr>
        <w:t>Depuis l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exercice biennal 2004</w:t>
      </w:r>
      <w:r w:rsidR="00AD5BA3" w:rsidRPr="00AD5BA3">
        <w:rPr>
          <w:lang w:val="fr-FR"/>
        </w:rPr>
        <w:noBreakHyphen/>
      </w:r>
      <w:r w:rsidRPr="00AD5BA3">
        <w:rPr>
          <w:lang w:val="fr-FR"/>
        </w:rPr>
        <w:t>2005, le budget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prévoit un prélèvement sur les dépenses de personnel pour financer les engagements au titre des prestations à long terme dues au personn</w:t>
      </w:r>
      <w:r w:rsidR="00AD5BA3" w:rsidRPr="00AD5BA3">
        <w:rPr>
          <w:lang w:val="fr-FR"/>
        </w:rPr>
        <w:t>el</w:t>
      </w:r>
      <w:r w:rsidR="00AD5BA3" w:rsidRPr="00AD5BA3">
        <w:rPr>
          <w:lang w:val="fr-FR"/>
        </w:rPr>
        <w:t xml:space="preserve">.  </w:t>
      </w:r>
      <w:r w:rsidR="00AD5BA3" w:rsidRPr="00AD5BA3">
        <w:rPr>
          <w:lang w:val="fr-FR"/>
        </w:rPr>
        <w:t>Le</w:t>
      </w:r>
      <w:r w:rsidRPr="00AD5BA3">
        <w:rPr>
          <w:lang w:val="fr-FR"/>
        </w:rPr>
        <w:t xml:space="preserve"> prélèvement cumulé est inscrit dans le portefeuille de placements stratégiques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>, qui est destiné à financer les coûts futurs liés à ces engagemen</w:t>
      </w:r>
      <w:r w:rsidR="00AD5BA3" w:rsidRPr="00AD5BA3">
        <w:rPr>
          <w:lang w:val="fr-FR"/>
        </w:rPr>
        <w:t>ts</w:t>
      </w:r>
      <w:r w:rsidR="00AD5BA3" w:rsidRPr="00AD5BA3">
        <w:rPr>
          <w:lang w:val="fr-FR"/>
        </w:rPr>
        <w:t xml:space="preserve">.  </w:t>
      </w:r>
      <w:r w:rsidR="00AD5BA3" w:rsidRPr="00AD5BA3">
        <w:rPr>
          <w:lang w:val="fr-FR"/>
        </w:rPr>
        <w:t>Le</w:t>
      </w:r>
      <w:r w:rsidRPr="00AD5BA3">
        <w:rPr>
          <w:lang w:val="fr-FR"/>
        </w:rPr>
        <w:t xml:space="preserve"> prélèvement de 10% sur les dépenses de personnel approuvé par les assemblées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</w:t>
      </w:r>
      <w:r w:rsidR="007C2C64" w:rsidRPr="00AD5BA3">
        <w:rPr>
          <w:lang w:val="fr-FR"/>
        </w:rPr>
        <w:t>en 2022</w:t>
      </w:r>
      <w:r w:rsidRPr="00AD5BA3">
        <w:rPr>
          <w:rStyle w:val="FootnoteReference"/>
          <w:lang w:val="fr-FR"/>
        </w:rPr>
        <w:footnoteReference w:id="4"/>
      </w:r>
      <w:r w:rsidRPr="00AD5BA3">
        <w:rPr>
          <w:lang w:val="fr-FR"/>
        </w:rPr>
        <w:t xml:space="preserve"> vise à couvrir 100% des engagements au titre des prestations à long terme dues au personnel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sur une période de 20 ans</w:t>
      </w:r>
      <w:r w:rsidRPr="00AD5BA3">
        <w:rPr>
          <w:rStyle w:val="FootnoteReference"/>
          <w:lang w:val="fr-FR"/>
        </w:rPr>
        <w:footnoteReference w:id="5"/>
      </w:r>
      <w:r w:rsidRPr="00AD5BA3">
        <w:rPr>
          <w:lang w:val="fr-FR"/>
        </w:rPr>
        <w:t>.</w:t>
      </w:r>
    </w:p>
    <w:p w14:paraId="64008C9B" w14:textId="331170EA" w:rsidR="007C2C64" w:rsidRPr="00AD5BA3" w:rsidRDefault="007C2C64" w:rsidP="007C2C64">
      <w:pPr>
        <w:pStyle w:val="ONUMFS"/>
        <w:rPr>
          <w:lang w:val="fr-FR"/>
        </w:rPr>
      </w:pPr>
      <w:r w:rsidRPr="00AD5BA3">
        <w:rPr>
          <w:lang w:val="fr-FR"/>
        </w:rPr>
        <w:t>En 2014</w:t>
      </w:r>
      <w:r w:rsidR="00C120EC" w:rsidRPr="00AD5BA3">
        <w:rPr>
          <w:lang w:val="fr-FR"/>
        </w:rPr>
        <w:t xml:space="preserve"> et 2019, des montants forfaitaires supplémentaires s</w:t>
      </w:r>
      <w:r w:rsidRPr="00AD5BA3">
        <w:rPr>
          <w:lang w:val="fr-FR"/>
        </w:rPr>
        <w:t>’</w:t>
      </w:r>
      <w:r w:rsidR="00C120EC" w:rsidRPr="00AD5BA3">
        <w:rPr>
          <w:lang w:val="fr-FR"/>
        </w:rPr>
        <w:t>élevant à 88,9 millions et 38,3 millions de francs suisses ont été approuvés par les Assemblées de l</w:t>
      </w:r>
      <w:r w:rsidRPr="00AD5BA3">
        <w:rPr>
          <w:lang w:val="fr-FR"/>
        </w:rPr>
        <w:t>’</w:t>
      </w:r>
      <w:proofErr w:type="spellStart"/>
      <w:r w:rsidR="00C120EC" w:rsidRPr="00AD5BA3">
        <w:rPr>
          <w:lang w:val="fr-FR"/>
        </w:rPr>
        <w:t>OMPI</w:t>
      </w:r>
      <w:proofErr w:type="spellEnd"/>
      <w:r w:rsidR="00C120EC" w:rsidRPr="00AD5BA3">
        <w:rPr>
          <w:rStyle w:val="FootnoteReference"/>
          <w:lang w:val="fr-FR"/>
        </w:rPr>
        <w:footnoteReference w:id="6"/>
      </w:r>
      <w:r w:rsidR="00C120EC" w:rsidRPr="00AD5BA3">
        <w:rPr>
          <w:lang w:val="fr-FR"/>
        </w:rPr>
        <w:t xml:space="preserve"> afin d</w:t>
      </w:r>
      <w:r w:rsidRPr="00AD5BA3">
        <w:rPr>
          <w:lang w:val="fr-FR"/>
        </w:rPr>
        <w:t>’</w:t>
      </w:r>
      <w:r w:rsidR="00C120EC" w:rsidRPr="00AD5BA3">
        <w:rPr>
          <w:lang w:val="fr-FR"/>
        </w:rPr>
        <w:t>augmenter la couverture du financement des engagements au titre des prestations à long terme dues au personnel de l</w:t>
      </w:r>
      <w:r w:rsidRPr="00AD5BA3">
        <w:rPr>
          <w:lang w:val="fr-FR"/>
        </w:rPr>
        <w:t>’</w:t>
      </w:r>
      <w:proofErr w:type="spellStart"/>
      <w:r w:rsidR="00C120EC" w:rsidRPr="00AD5BA3">
        <w:rPr>
          <w:lang w:val="fr-FR"/>
        </w:rPr>
        <w:t>OMPI</w:t>
      </w:r>
      <w:proofErr w:type="spellEnd"/>
      <w:r w:rsidR="00C120EC" w:rsidRPr="00AD5BA3">
        <w:rPr>
          <w:lang w:val="fr-FR"/>
        </w:rPr>
        <w:t>.</w:t>
      </w:r>
    </w:p>
    <w:p w14:paraId="1DD3BB21" w14:textId="50CF6355" w:rsidR="00C120EC" w:rsidRPr="00AD5BA3" w:rsidRDefault="00C120EC" w:rsidP="007C2C64">
      <w:pPr>
        <w:pStyle w:val="Heading1"/>
        <w:rPr>
          <w:lang w:val="fr-FR"/>
        </w:rPr>
      </w:pPr>
      <w:r w:rsidRPr="00AD5BA3">
        <w:rPr>
          <w:lang w:val="fr-FR"/>
        </w:rPr>
        <w:t>Étude de gestion actif</w:t>
      </w:r>
      <w:r w:rsidR="00AD5BA3" w:rsidRPr="00AD5BA3">
        <w:rPr>
          <w:lang w:val="fr-FR"/>
        </w:rPr>
        <w:noBreakHyphen/>
      </w:r>
      <w:r w:rsidRPr="00AD5BA3">
        <w:rPr>
          <w:lang w:val="fr-FR"/>
        </w:rPr>
        <w:t>passif réalisée par Aon Suisse SA</w:t>
      </w:r>
    </w:p>
    <w:p w14:paraId="359029B5" w14:textId="2C6FB456" w:rsidR="007C2C64" w:rsidRPr="00AD5BA3" w:rsidRDefault="00C120EC" w:rsidP="007C2C64">
      <w:pPr>
        <w:pStyle w:val="ONUMFS"/>
        <w:rPr>
          <w:lang w:val="fr-FR"/>
        </w:rPr>
      </w:pPr>
      <w:r w:rsidRPr="00AD5BA3">
        <w:rPr>
          <w:lang w:val="fr-FR"/>
        </w:rPr>
        <w:t>Une étude de gestion actif</w:t>
      </w:r>
      <w:r w:rsidR="00AD5BA3" w:rsidRPr="00AD5BA3">
        <w:rPr>
          <w:lang w:val="fr-FR"/>
        </w:rPr>
        <w:noBreakHyphen/>
      </w:r>
      <w:r w:rsidRPr="00AD5BA3">
        <w:rPr>
          <w:lang w:val="fr-FR"/>
        </w:rPr>
        <w:t>passif est réalisée tous les trois</w:t>
      </w:r>
      <w:r w:rsidR="00C50AE5" w:rsidRPr="00AD5BA3">
        <w:rPr>
          <w:lang w:val="fr-FR"/>
        </w:rPr>
        <w:t> </w:t>
      </w:r>
      <w:r w:rsidRPr="00AD5BA3">
        <w:rPr>
          <w:lang w:val="fr-FR"/>
        </w:rPr>
        <w:t>ans, conformément à la Politique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en matière de placements</w:t>
      </w:r>
      <w:r w:rsidRPr="00AD5BA3">
        <w:rPr>
          <w:rStyle w:val="FootnoteReference"/>
          <w:lang w:val="fr-FR"/>
        </w:rPr>
        <w:footnoteReference w:id="7"/>
      </w:r>
      <w:r w:rsidRPr="00AD5BA3">
        <w:rPr>
          <w:lang w:val="fr-FR"/>
        </w:rPr>
        <w:t xml:space="preserve">.  Dans la dernière, réalisée en </w:t>
      </w:r>
      <w:r w:rsidR="007C2C64" w:rsidRPr="00AD5BA3">
        <w:rPr>
          <w:lang w:val="fr-FR"/>
        </w:rPr>
        <w:t>mai 20</w:t>
      </w:r>
      <w:r w:rsidRPr="00AD5BA3">
        <w:rPr>
          <w:lang w:val="fr-FR"/>
        </w:rPr>
        <w:t>25 par Aon Suisse SA, les engagements au titre des prestations à long terme dues au personnel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ont augmenté de 104 millions de francs suisses depuis la précédente étude réalisée </w:t>
      </w:r>
      <w:r w:rsidR="007C2C64" w:rsidRPr="00AD5BA3">
        <w:rPr>
          <w:lang w:val="fr-FR"/>
        </w:rPr>
        <w:t>en 2022</w:t>
      </w:r>
      <w:r w:rsidRPr="00AD5BA3">
        <w:rPr>
          <w:lang w:val="fr-FR"/>
        </w:rPr>
        <w:t xml:space="preserve">. </w:t>
      </w:r>
      <w:r w:rsidR="007C2C64" w:rsidRPr="00AD5BA3">
        <w:rPr>
          <w:lang w:val="fr-FR"/>
        </w:rPr>
        <w:t xml:space="preserve"> </w:t>
      </w:r>
      <w:r w:rsidRPr="00AD5BA3">
        <w:rPr>
          <w:lang w:val="fr-FR"/>
        </w:rPr>
        <w:t>L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augmentation du passif est principalement due à des hausses défavorables des primes d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 xml:space="preserve">assurance maladie </w:t>
      </w:r>
      <w:r w:rsidR="007C2C64" w:rsidRPr="00AD5BA3">
        <w:rPr>
          <w:lang w:val="fr-FR"/>
        </w:rPr>
        <w:t>depuis 2022</w:t>
      </w:r>
      <w:r w:rsidRPr="00AD5BA3">
        <w:rPr>
          <w:lang w:val="fr-FR"/>
        </w:rPr>
        <w:t xml:space="preserve"> et à une baisse du taux d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actualisation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AMCS</w:t>
      </w:r>
      <w:proofErr w:type="spellEnd"/>
      <w:r w:rsidRPr="00AD5BA3">
        <w:rPr>
          <w:lang w:val="fr-FR"/>
        </w:rPr>
        <w:t xml:space="preserve"> utilisé dans le calcul des engagemen</w:t>
      </w:r>
      <w:r w:rsidR="00AD5BA3" w:rsidRPr="00AD5BA3">
        <w:rPr>
          <w:lang w:val="fr-FR"/>
        </w:rPr>
        <w:t>ts</w:t>
      </w:r>
      <w:r w:rsidR="00AD5BA3" w:rsidRPr="00AD5BA3">
        <w:rPr>
          <w:lang w:val="fr-FR"/>
        </w:rPr>
        <w:t xml:space="preserve">.  </w:t>
      </w:r>
      <w:r w:rsidR="00AD5BA3" w:rsidRPr="00AD5BA3">
        <w:rPr>
          <w:lang w:val="fr-FR"/>
        </w:rPr>
        <w:t>Pa</w:t>
      </w:r>
      <w:r w:rsidRPr="00AD5BA3">
        <w:rPr>
          <w:lang w:val="fr-FR"/>
        </w:rPr>
        <w:t>r conséquent, le niveau de couverture au 31 </w:t>
      </w:r>
      <w:r w:rsidR="007C2C64" w:rsidRPr="00AD5BA3">
        <w:rPr>
          <w:lang w:val="fr-FR"/>
        </w:rPr>
        <w:t>décembre 20</w:t>
      </w:r>
      <w:r w:rsidRPr="00AD5BA3">
        <w:rPr>
          <w:lang w:val="fr-FR"/>
        </w:rPr>
        <w:t>24 est tombé à 70% contre une couverture de 79% établie dans l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étude de gestion actif</w:t>
      </w:r>
      <w:r w:rsidR="00AD5BA3" w:rsidRPr="00AD5BA3">
        <w:rPr>
          <w:lang w:val="fr-FR"/>
        </w:rPr>
        <w:noBreakHyphen/>
      </w:r>
      <w:r w:rsidRPr="00AD5BA3">
        <w:rPr>
          <w:lang w:val="fr-FR"/>
        </w:rPr>
        <w:t xml:space="preserve">passif réalisée </w:t>
      </w:r>
      <w:r w:rsidR="007C2C64" w:rsidRPr="00AD5BA3">
        <w:rPr>
          <w:lang w:val="fr-FR"/>
        </w:rPr>
        <w:t>en 2022</w:t>
      </w:r>
      <w:r w:rsidRPr="00AD5BA3">
        <w:rPr>
          <w:lang w:val="fr-FR"/>
        </w:rPr>
        <w:t xml:space="preserve">. </w:t>
      </w:r>
      <w:r w:rsidR="007C2C64" w:rsidRPr="00AD5BA3">
        <w:rPr>
          <w:lang w:val="fr-FR"/>
        </w:rPr>
        <w:t xml:space="preserve"> </w:t>
      </w:r>
      <w:r w:rsidRPr="00AD5BA3">
        <w:rPr>
          <w:lang w:val="fr-FR"/>
        </w:rPr>
        <w:t>La dernière étude de gestion actif</w:t>
      </w:r>
      <w:r w:rsidR="00AD5BA3" w:rsidRPr="00AD5BA3">
        <w:rPr>
          <w:lang w:val="fr-FR"/>
        </w:rPr>
        <w:noBreakHyphen/>
      </w:r>
      <w:r w:rsidRPr="00AD5BA3">
        <w:rPr>
          <w:lang w:val="fr-FR"/>
        </w:rPr>
        <w:t>passif prévoit un déficit de financement qui rend peu probable que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atteigne une couverture de 100% dans 20 ans sur la base du plan de financement actuel.</w:t>
      </w:r>
    </w:p>
    <w:p w14:paraId="7700CDD5" w14:textId="0BDCD990" w:rsidR="007C2C64" w:rsidRPr="00AD5BA3" w:rsidRDefault="00C120EC" w:rsidP="007C2C64">
      <w:pPr>
        <w:pStyle w:val="ONUMFS"/>
        <w:rPr>
          <w:lang w:val="fr-FR"/>
        </w:rPr>
      </w:pPr>
      <w:r w:rsidRPr="00AD5BA3">
        <w:rPr>
          <w:lang w:val="fr-FR"/>
        </w:rPr>
        <w:t>L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étude de gestion actif</w:t>
      </w:r>
      <w:r w:rsidR="00AD5BA3" w:rsidRPr="00AD5BA3">
        <w:rPr>
          <w:lang w:val="fr-FR"/>
        </w:rPr>
        <w:noBreakHyphen/>
      </w:r>
      <w:r w:rsidRPr="00AD5BA3">
        <w:rPr>
          <w:lang w:val="fr-FR"/>
        </w:rPr>
        <w:t>passif 2025 a également conclu qu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un montant forfaitaire supplémentaire de 50 millions de francs suisses permettrait de porter à 82% le niveau actuel de couverture des engagements au titre des prestations à long terme dues au personnel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</w:t>
      </w:r>
      <w:r w:rsidR="00AD5BA3" w:rsidRPr="00AD5BA3">
        <w:rPr>
          <w:lang w:val="fr-FR"/>
        </w:rPr>
        <w:t>MPI</w:t>
      </w:r>
      <w:proofErr w:type="spellEnd"/>
      <w:r w:rsidR="00AD5BA3" w:rsidRPr="00AD5BA3">
        <w:rPr>
          <w:lang w:val="fr-FR"/>
        </w:rPr>
        <w:t xml:space="preserve">.  </w:t>
      </w:r>
      <w:r w:rsidR="00AD5BA3" w:rsidRPr="00AD5BA3">
        <w:rPr>
          <w:lang w:val="fr-FR"/>
        </w:rPr>
        <w:t>Le</w:t>
      </w:r>
      <w:r w:rsidRPr="00AD5BA3">
        <w:rPr>
          <w:lang w:val="fr-FR"/>
        </w:rPr>
        <w:t xml:space="preserve"> montant forfaitaire supplémentaire, complété par les contributions continues correspondant à 10% des dépenses de personnel et aux rendements annualisés actuels des placements, soit 2,3%, devrait permettre de porter la couverture à 90% après 20 a</w:t>
      </w:r>
      <w:r w:rsidR="00AD5BA3" w:rsidRPr="00AD5BA3">
        <w:rPr>
          <w:lang w:val="fr-FR"/>
        </w:rPr>
        <w:t>ns</w:t>
      </w:r>
      <w:r w:rsidR="00AD5BA3" w:rsidRPr="00AD5BA3">
        <w:rPr>
          <w:lang w:val="fr-FR"/>
        </w:rPr>
        <w:t xml:space="preserve">.  </w:t>
      </w:r>
      <w:r w:rsidR="00AD5BA3" w:rsidRPr="00AD5BA3">
        <w:rPr>
          <w:lang w:val="fr-FR"/>
        </w:rPr>
        <w:t>L’o</w:t>
      </w:r>
      <w:r w:rsidRPr="00AD5BA3">
        <w:rPr>
          <w:lang w:val="fr-FR"/>
        </w:rPr>
        <w:t xml:space="preserve">bjectif </w:t>
      </w:r>
      <w:r w:rsidRPr="00AD5BA3">
        <w:rPr>
          <w:lang w:val="fr-FR"/>
        </w:rPr>
        <w:lastRenderedPageBreak/>
        <w:t>global de rendement positif des placements, fixé à 2,3%, traduit un niveau de risque acceptable et il est conforme à la Politique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en matière de placements</w:t>
      </w:r>
      <w:r w:rsidRPr="00AD5BA3">
        <w:rPr>
          <w:rStyle w:val="FootnoteReference"/>
          <w:lang w:val="fr-FR"/>
        </w:rPr>
        <w:footnoteReference w:id="8"/>
      </w:r>
      <w:r w:rsidRPr="00AD5BA3">
        <w:rPr>
          <w:lang w:val="fr-FR"/>
        </w:rPr>
        <w:t>.</w:t>
      </w:r>
    </w:p>
    <w:p w14:paraId="53E76473" w14:textId="665E83BC" w:rsidR="007C2C64" w:rsidRPr="00AD5BA3" w:rsidRDefault="00C120EC" w:rsidP="007C2C64">
      <w:pPr>
        <w:pStyle w:val="Heading1"/>
        <w:rPr>
          <w:lang w:val="fr-FR"/>
        </w:rPr>
      </w:pPr>
      <w:r w:rsidRPr="00AD5BA3">
        <w:rPr>
          <w:lang w:val="fr-FR"/>
        </w:rPr>
        <w:t>Plan de financement proposé pour rétablir la couverture des engagements au titre des prestations à long terme dues au personnel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</w:p>
    <w:p w14:paraId="1F397AEA" w14:textId="535FC0B3" w:rsidR="007C2C64" w:rsidRPr="00AD5BA3" w:rsidRDefault="00C120EC" w:rsidP="007C2C64">
      <w:pPr>
        <w:pStyle w:val="ONUMFS"/>
        <w:rPr>
          <w:lang w:val="fr-FR"/>
        </w:rPr>
      </w:pPr>
      <w:r w:rsidRPr="00AD5BA3">
        <w:rPr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220FD" wp14:editId="7FB8670B">
                <wp:simplePos x="0" y="0"/>
                <wp:positionH relativeFrom="column">
                  <wp:posOffset>-684530</wp:posOffset>
                </wp:positionH>
                <wp:positionV relativeFrom="paragraph">
                  <wp:posOffset>650240</wp:posOffset>
                </wp:positionV>
                <wp:extent cx="317500" cy="63500"/>
                <wp:effectExtent l="0" t="0" r="0" b="0"/>
                <wp:wrapNone/>
                <wp:docPr id="424761027" name="Text Box 42476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635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B8A637" w14:textId="77777777" w:rsidR="00C120EC" w:rsidRPr="00512D11" w:rsidRDefault="00C120EC" w:rsidP="00C120EC">
                            <w:pPr>
                              <w:jc w:val="right"/>
                              <w:rPr>
                                <w:color w:val="0000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0220FD" id="_x0000_t202" coordsize="21600,21600" o:spt="202" path="m,l,21600r21600,l21600,xe">
                <v:stroke joinstyle="miter"/>
                <v:path gradientshapeok="t" o:connecttype="rect"/>
              </v:shapetype>
              <v:shape id="Text Box 424761027" o:spid="_x0000_s1026" type="#_x0000_t202" style="position:absolute;left:0;text-align:left;margin-left:-53.9pt;margin-top:51.2pt;width:25pt;height: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" fillcolor="black" strokeweight=".5pt">
                <v:fill opacity="0"/>
                <v:stroke opacity="0" joinstyle="round"/>
                <v:textbox style="mso-fit-shape-to-text:t" inset="0,0,0,0">
                  <w:txbxContent>
                    <w:p w14:paraId="38B8A637" w14:textId="77777777" w:rsidR="00C120EC" w:rsidRPr="00512D11" w:rsidRDefault="00C120EC" w:rsidP="00C120EC">
                      <w:pPr>
                        <w:jc w:val="right"/>
                        <w:rPr>
                          <w:color w:val="00000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5BA3">
        <w:rPr>
          <w:lang w:val="fr-FR"/>
        </w:rPr>
        <w:t>Au 31 </w:t>
      </w:r>
      <w:r w:rsidR="007C2C64" w:rsidRPr="00AD5BA3">
        <w:rPr>
          <w:lang w:val="fr-FR"/>
        </w:rPr>
        <w:t>décembre 20</w:t>
      </w:r>
      <w:r w:rsidRPr="00AD5BA3">
        <w:rPr>
          <w:lang w:val="fr-FR"/>
        </w:rPr>
        <w:t>24, le montant des réserves accumulées par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s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établissait à 909,8 millions de francs suisses et sa situation de trésorerie à court terme est sai</w:t>
      </w:r>
      <w:r w:rsidR="00AD5BA3" w:rsidRPr="00AD5BA3">
        <w:rPr>
          <w:lang w:val="fr-FR"/>
        </w:rPr>
        <w:t>ne</w:t>
      </w:r>
      <w:r w:rsidR="00AD5BA3" w:rsidRPr="00AD5BA3">
        <w:rPr>
          <w:lang w:val="fr-FR"/>
        </w:rPr>
        <w:t xml:space="preserve">.  </w:t>
      </w:r>
      <w:r w:rsidR="00AD5BA3" w:rsidRPr="00AD5BA3">
        <w:rPr>
          <w:lang w:val="fr-FR"/>
        </w:rPr>
        <w:t>La</w:t>
      </w:r>
      <w:r w:rsidRPr="00AD5BA3">
        <w:rPr>
          <w:lang w:val="fr-FR"/>
        </w:rPr>
        <w:t xml:space="preserve"> trésorerie d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exploitation quotidienne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s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élevait en moyenne à environ 302 millions de francs suisses, soit bien plus que le montant recommandé de 222,5 millions de francs suisses requis pour les fonds de réserve et de roulement (FRR) de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>.  L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utilisation des réserves pour rétablir la couverture des engagements au titre des prestations à long terme dues au personnel n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aurait pas pour effet de ramener les fonds de réserve et de roulement en dessous de leur niveau cib</w:t>
      </w:r>
      <w:r w:rsidR="00AD5BA3" w:rsidRPr="00AD5BA3">
        <w:rPr>
          <w:lang w:val="fr-FR"/>
        </w:rPr>
        <w:t>le</w:t>
      </w:r>
      <w:r w:rsidR="00AD5BA3" w:rsidRPr="00AD5BA3">
        <w:rPr>
          <w:lang w:val="fr-FR"/>
        </w:rPr>
        <w:t xml:space="preserve">.  </w:t>
      </w:r>
      <w:r w:rsidR="00AD5BA3" w:rsidRPr="00AD5BA3">
        <w:rPr>
          <w:lang w:val="fr-FR"/>
        </w:rPr>
        <w:t>En</w:t>
      </w:r>
      <w:r w:rsidRPr="00AD5BA3">
        <w:rPr>
          <w:lang w:val="fr-FR"/>
        </w:rPr>
        <w:t xml:space="preserve"> outre, les liquidités dont dispose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>, représentées par le portefeuille de placements principaux, s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 xml:space="preserve">élevaient à 931,8 millions de francs suisses à la fin </w:t>
      </w:r>
      <w:r w:rsidR="007C2C64" w:rsidRPr="00AD5BA3">
        <w:rPr>
          <w:lang w:val="fr-FR"/>
        </w:rPr>
        <w:t>de 2024</w:t>
      </w:r>
      <w:r w:rsidRPr="00AD5BA3">
        <w:rPr>
          <w:lang w:val="fr-FR"/>
        </w:rPr>
        <w:t>.  Au 31 </w:t>
      </w:r>
      <w:r w:rsidR="007C2C64" w:rsidRPr="00AD5BA3">
        <w:rPr>
          <w:lang w:val="fr-FR"/>
        </w:rPr>
        <w:t>décembre 20</w:t>
      </w:r>
      <w:r w:rsidRPr="00AD5BA3">
        <w:rPr>
          <w:lang w:val="fr-FR"/>
        </w:rPr>
        <w:t>24, l</w:t>
      </w:r>
      <w:r w:rsidR="007C2C64" w:rsidRPr="00AD5BA3">
        <w:rPr>
          <w:lang w:val="fr-FR"/>
        </w:rPr>
        <w:t>’</w:t>
      </w:r>
      <w:proofErr w:type="spellStart"/>
      <w:r w:rsidRPr="00AD5BA3">
        <w:rPr>
          <w:lang w:val="fr-FR"/>
        </w:rPr>
        <w:t>OMPI</w:t>
      </w:r>
      <w:proofErr w:type="spellEnd"/>
      <w:r w:rsidRPr="00AD5BA3">
        <w:rPr>
          <w:lang w:val="fr-FR"/>
        </w:rPr>
        <w:t xml:space="preserve"> ne compte aucun emprunt extérieur en cours.</w:t>
      </w:r>
    </w:p>
    <w:p w14:paraId="40F33E91" w14:textId="74342A4D" w:rsidR="007C2C64" w:rsidRPr="00AD5BA3" w:rsidRDefault="00C120EC" w:rsidP="007C2C64">
      <w:pPr>
        <w:pStyle w:val="ONUMFS"/>
        <w:rPr>
          <w:lang w:val="fr-FR"/>
        </w:rPr>
      </w:pPr>
      <w:r w:rsidRPr="00AD5BA3">
        <w:rPr>
          <w:lang w:val="fr-FR"/>
        </w:rPr>
        <w:t>Le transfert de 50 millions de francs suisses, combiné à des contributions continues de 10% des dépenses de personnel et à un rendement annualisé des placements de 2,3%, permettrait de rétablir immédiatement la couverture actuelle à 82% et de mettre l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Organisation sur la bonne voie pour atteindre une prévision de couverture de 90% dans 20 ans, ce qui permettrait de se rapprocher de l</w:t>
      </w:r>
      <w:r w:rsidR="007C2C64" w:rsidRPr="00AD5BA3">
        <w:rPr>
          <w:lang w:val="fr-FR"/>
        </w:rPr>
        <w:t>’</w:t>
      </w:r>
      <w:r w:rsidRPr="00AD5BA3">
        <w:rPr>
          <w:lang w:val="fr-FR"/>
        </w:rPr>
        <w:t>objectif de 100% de couverture des engagements au titre des prestations à long terme dues au personnel.</w:t>
      </w:r>
    </w:p>
    <w:p w14:paraId="183007B0" w14:textId="5087E5C5" w:rsidR="00C120EC" w:rsidRPr="00AD5BA3" w:rsidRDefault="00C120EC" w:rsidP="007C2C64">
      <w:pPr>
        <w:pStyle w:val="ONUMFS"/>
        <w:rPr>
          <w:lang w:val="fr-FR"/>
        </w:rPr>
      </w:pPr>
      <w:r w:rsidRPr="00AD5BA3">
        <w:rPr>
          <w:lang w:val="fr-FR"/>
        </w:rPr>
        <w:t>Le paragraphe de décision ci</w:t>
      </w:r>
      <w:r w:rsidR="00AD5BA3" w:rsidRPr="00AD5BA3">
        <w:rPr>
          <w:lang w:val="fr-FR"/>
        </w:rPr>
        <w:noBreakHyphen/>
      </w:r>
      <w:r w:rsidRPr="00AD5BA3">
        <w:rPr>
          <w:lang w:val="fr-FR"/>
        </w:rPr>
        <w:t>après est proposé.</w:t>
      </w:r>
    </w:p>
    <w:p w14:paraId="6D78967C" w14:textId="55F33340" w:rsidR="007C2C64" w:rsidRPr="00AD5BA3" w:rsidRDefault="00C120EC" w:rsidP="007C2C64">
      <w:pPr>
        <w:pStyle w:val="ONUMFS"/>
        <w:ind w:left="5533"/>
        <w:rPr>
          <w:i/>
          <w:lang w:val="fr-FR"/>
        </w:rPr>
      </w:pPr>
      <w:r w:rsidRPr="00AD5BA3">
        <w:rPr>
          <w:i/>
          <w:lang w:val="fr-FR"/>
        </w:rPr>
        <w:t>Le Comité du programme et budget (</w:t>
      </w:r>
      <w:proofErr w:type="spellStart"/>
      <w:r w:rsidRPr="00AD5BA3">
        <w:rPr>
          <w:i/>
          <w:lang w:val="fr-FR"/>
        </w:rPr>
        <w:t>PBC</w:t>
      </w:r>
      <w:proofErr w:type="spellEnd"/>
      <w:r w:rsidRPr="00AD5BA3">
        <w:rPr>
          <w:i/>
          <w:lang w:val="fr-FR"/>
        </w:rPr>
        <w:t>) a recommandé aux assemblées de l</w:t>
      </w:r>
      <w:r w:rsidR="007C2C64" w:rsidRPr="00AD5BA3">
        <w:rPr>
          <w:i/>
          <w:lang w:val="fr-FR"/>
        </w:rPr>
        <w:t>’</w:t>
      </w:r>
      <w:proofErr w:type="spellStart"/>
      <w:r w:rsidRPr="00AD5BA3">
        <w:rPr>
          <w:i/>
          <w:lang w:val="fr-FR"/>
        </w:rPr>
        <w:t>OMPI</w:t>
      </w:r>
      <w:proofErr w:type="spellEnd"/>
      <w:r w:rsidRPr="00AD5BA3">
        <w:rPr>
          <w:i/>
          <w:lang w:val="fr-FR"/>
        </w:rPr>
        <w:t>, chacune pour ce qui la concerne, d</w:t>
      </w:r>
      <w:r w:rsidR="007C2C64" w:rsidRPr="00AD5BA3">
        <w:rPr>
          <w:i/>
          <w:lang w:val="fr-FR"/>
        </w:rPr>
        <w:t>’</w:t>
      </w:r>
      <w:r w:rsidRPr="00AD5BA3">
        <w:rPr>
          <w:i/>
          <w:lang w:val="fr-FR"/>
        </w:rPr>
        <w:t>approuver un transfert de 5</w:t>
      </w:r>
      <w:r w:rsidR="007C2C64" w:rsidRPr="00AD5BA3">
        <w:rPr>
          <w:i/>
          <w:lang w:val="fr-FR"/>
        </w:rPr>
        <w:t>0 million</w:t>
      </w:r>
      <w:r w:rsidRPr="00AD5BA3">
        <w:rPr>
          <w:i/>
          <w:lang w:val="fr-FR"/>
        </w:rPr>
        <w:t>s de francs suisses au portefeuille de placements stratégiques, qui est destiné à couvrir les engagements au titre des prestations à long terme dues au personnel de l</w:t>
      </w:r>
      <w:r w:rsidR="007C2C64" w:rsidRPr="00AD5BA3">
        <w:rPr>
          <w:i/>
          <w:lang w:val="fr-FR"/>
        </w:rPr>
        <w:t>’</w:t>
      </w:r>
      <w:proofErr w:type="spellStart"/>
      <w:r w:rsidRPr="00AD5BA3">
        <w:rPr>
          <w:i/>
          <w:lang w:val="fr-FR"/>
        </w:rPr>
        <w:t>OMPI</w:t>
      </w:r>
      <w:proofErr w:type="spellEnd"/>
      <w:r w:rsidRPr="00AD5BA3">
        <w:rPr>
          <w:i/>
          <w:lang w:val="fr-FR"/>
        </w:rPr>
        <w:t>.</w:t>
      </w:r>
    </w:p>
    <w:p w14:paraId="704C0253" w14:textId="4EB41438" w:rsidR="00C120EC" w:rsidRPr="00AD5BA3" w:rsidRDefault="00C120EC" w:rsidP="007C2C64">
      <w:pPr>
        <w:pStyle w:val="Endofdocument-Annex"/>
        <w:spacing w:before="720"/>
        <w:rPr>
          <w:lang w:val="fr-FR"/>
        </w:rPr>
      </w:pPr>
      <w:r w:rsidRPr="00AD5BA3">
        <w:rPr>
          <w:lang w:val="fr-FR"/>
        </w:rPr>
        <w:t>[Fin du document]</w:t>
      </w:r>
    </w:p>
    <w:sectPr w:rsidR="00C120EC" w:rsidRPr="00AD5BA3" w:rsidSect="00C120E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0C16E" w14:textId="77777777" w:rsidR="00C120EC" w:rsidRPr="0091649C" w:rsidRDefault="00C120EC">
      <w:r w:rsidRPr="0091649C">
        <w:separator/>
      </w:r>
    </w:p>
  </w:endnote>
  <w:endnote w:type="continuationSeparator" w:id="0">
    <w:p w14:paraId="29DEC56B" w14:textId="77777777" w:rsidR="00C120EC" w:rsidRPr="0091649C" w:rsidRDefault="00C120EC" w:rsidP="003B38C1">
      <w:r w:rsidRPr="0091649C">
        <w:separator/>
      </w:r>
    </w:p>
    <w:p w14:paraId="6248707D" w14:textId="77777777" w:rsidR="00C120EC" w:rsidRPr="00E0335B" w:rsidRDefault="00C120EC" w:rsidP="003B38C1">
      <w:pPr>
        <w:spacing w:after="60"/>
        <w:rPr>
          <w:sz w:val="17"/>
          <w:lang w:val="en-US"/>
        </w:rPr>
      </w:pPr>
      <w:r w:rsidRPr="00E0335B">
        <w:rPr>
          <w:sz w:val="17"/>
          <w:lang w:val="en-US"/>
        </w:rPr>
        <w:t>[Endnote continued from previous page]</w:t>
      </w:r>
    </w:p>
  </w:endnote>
  <w:endnote w:type="continuationNotice" w:id="1">
    <w:p w14:paraId="5CD437A9" w14:textId="77777777" w:rsidR="00C120EC" w:rsidRPr="00E0335B" w:rsidRDefault="00C120EC" w:rsidP="003B38C1">
      <w:pPr>
        <w:spacing w:before="60"/>
        <w:jc w:val="right"/>
        <w:rPr>
          <w:sz w:val="17"/>
          <w:szCs w:val="17"/>
          <w:lang w:val="en-US"/>
        </w:rPr>
      </w:pPr>
      <w:r w:rsidRPr="00E0335B">
        <w:rPr>
          <w:sz w:val="17"/>
          <w:szCs w:val="17"/>
          <w:lang w:val="en-US"/>
        </w:rPr>
        <w:t xml:space="preserve">[Endnote </w:t>
      </w:r>
      <w:proofErr w:type="gramStart"/>
      <w:r w:rsidRPr="00E0335B">
        <w:rPr>
          <w:sz w:val="17"/>
          <w:szCs w:val="17"/>
          <w:lang w:val="en-US"/>
        </w:rPr>
        <w:t>continued on</w:t>
      </w:r>
      <w:proofErr w:type="gramEnd"/>
      <w:r w:rsidRPr="00E0335B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8B9F3" w14:textId="77777777" w:rsidR="00C120EC" w:rsidRPr="0091649C" w:rsidRDefault="00C120EC">
      <w:r w:rsidRPr="0091649C">
        <w:separator/>
      </w:r>
    </w:p>
  </w:footnote>
  <w:footnote w:type="continuationSeparator" w:id="0">
    <w:p w14:paraId="0F5F012D" w14:textId="77777777" w:rsidR="00C120EC" w:rsidRPr="0091649C" w:rsidRDefault="00C120EC" w:rsidP="008B60B2">
      <w:r w:rsidRPr="0091649C">
        <w:separator/>
      </w:r>
    </w:p>
    <w:p w14:paraId="4ABCDBB6" w14:textId="77777777" w:rsidR="00C120EC" w:rsidRPr="00E0335B" w:rsidRDefault="00C120EC" w:rsidP="008B60B2">
      <w:pPr>
        <w:spacing w:after="60"/>
        <w:rPr>
          <w:sz w:val="17"/>
          <w:szCs w:val="17"/>
          <w:lang w:val="en-US"/>
        </w:rPr>
      </w:pPr>
      <w:r w:rsidRPr="00E0335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E80DCBC" w14:textId="77777777" w:rsidR="00C120EC" w:rsidRPr="00E0335B" w:rsidRDefault="00C120EC" w:rsidP="008B60B2">
      <w:pPr>
        <w:spacing w:before="60"/>
        <w:jc w:val="right"/>
        <w:rPr>
          <w:sz w:val="17"/>
          <w:szCs w:val="17"/>
          <w:lang w:val="en-US"/>
        </w:rPr>
      </w:pPr>
      <w:r w:rsidRPr="00E0335B">
        <w:rPr>
          <w:sz w:val="17"/>
          <w:szCs w:val="17"/>
          <w:lang w:val="en-US"/>
        </w:rPr>
        <w:t xml:space="preserve">[Footnote </w:t>
      </w:r>
      <w:proofErr w:type="gramStart"/>
      <w:r w:rsidRPr="00E0335B">
        <w:rPr>
          <w:sz w:val="17"/>
          <w:szCs w:val="17"/>
          <w:lang w:val="en-US"/>
        </w:rPr>
        <w:t>continued on</w:t>
      </w:r>
      <w:proofErr w:type="gramEnd"/>
      <w:r w:rsidRPr="00E0335B">
        <w:rPr>
          <w:sz w:val="17"/>
          <w:szCs w:val="17"/>
          <w:lang w:val="en-US"/>
        </w:rPr>
        <w:t xml:space="preserve"> next page]</w:t>
      </w:r>
    </w:p>
  </w:footnote>
  <w:footnote w:id="2">
    <w:p w14:paraId="605608BB" w14:textId="77777777" w:rsidR="00C120EC" w:rsidRDefault="00C120EC" w:rsidP="007C2C64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ab/>
        <w:t>Document A/63/7 “Liste des décisions adoptées par le Comité du programme et budget”.</w:t>
      </w:r>
    </w:p>
  </w:footnote>
  <w:footnote w:id="3">
    <w:p w14:paraId="5F99D1F6" w14:textId="683E1B7E" w:rsidR="00C120EC" w:rsidRPr="0040433F" w:rsidRDefault="00C120EC" w:rsidP="007C2C64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ab/>
        <w:t xml:space="preserve">Il est rendu compte des discussions relatives à la nécessité de viser un taux de couverture plus élevé en ce qui concerne les prestations à long terme dues au personnel dans les paragraphes 323 à 351 du </w:t>
      </w:r>
      <w:r w:rsidR="00B35A8F">
        <w:t xml:space="preserve">document </w:t>
      </w:r>
      <w:proofErr w:type="spellStart"/>
      <w:r w:rsidR="00B35A8F">
        <w:t>WO</w:t>
      </w:r>
      <w:proofErr w:type="spellEnd"/>
      <w:r>
        <w:t>/</w:t>
      </w:r>
      <w:proofErr w:type="spellStart"/>
      <w:r>
        <w:t>PBC</w:t>
      </w:r>
      <w:proofErr w:type="spellEnd"/>
      <w:r>
        <w:t>/34/17.</w:t>
      </w:r>
    </w:p>
  </w:footnote>
  <w:footnote w:id="4">
    <w:p w14:paraId="2B18B704" w14:textId="3366E343" w:rsidR="00C120EC" w:rsidRDefault="00C120EC" w:rsidP="007C2C64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ab/>
        <w:t>À partir de l</w:t>
      </w:r>
      <w:r w:rsidR="00B35A8F">
        <w:t>’</w:t>
      </w:r>
      <w:r>
        <w:t>exercice biennal 2004</w:t>
      </w:r>
      <w:r w:rsidR="00B35A8F">
        <w:t>-</w:t>
      </w:r>
      <w:r>
        <w:t>2005, un prélèvement de 6% a été appliqué à chaque exercice biennal, sauf pour l</w:t>
      </w:r>
      <w:r w:rsidR="00B35A8F">
        <w:t>’</w:t>
      </w:r>
      <w:r>
        <w:t>exercice biennal 2012</w:t>
      </w:r>
      <w:r w:rsidR="00B35A8F">
        <w:t>-</w:t>
      </w:r>
      <w:r>
        <w:t xml:space="preserve">2013 où il a été de 2%. </w:t>
      </w:r>
      <w:r w:rsidR="007C2C64">
        <w:t xml:space="preserve"> </w:t>
      </w:r>
      <w:r>
        <w:t>Ce taux a été porté à 8% pour les exercices biennaux 2020</w:t>
      </w:r>
      <w:r w:rsidR="00B35A8F">
        <w:t>-</w:t>
      </w:r>
      <w:r>
        <w:t>2021 et 2022</w:t>
      </w:r>
      <w:r w:rsidR="00B35A8F">
        <w:t>-</w:t>
      </w:r>
      <w:r>
        <w:t xml:space="preserve">2023. </w:t>
      </w:r>
      <w:r w:rsidR="007C2C64">
        <w:t xml:space="preserve"> </w:t>
      </w:r>
      <w:r>
        <w:t>En outre, l</w:t>
      </w:r>
      <w:r w:rsidR="00B35A8F">
        <w:t>’</w:t>
      </w:r>
      <w:proofErr w:type="spellStart"/>
      <w:r>
        <w:t>OMPI</w:t>
      </w:r>
      <w:proofErr w:type="spellEnd"/>
      <w:r>
        <w:t xml:space="preserve"> a appliqué un prélèvement unique (complément) au cours du dernier mois des exercices biennaux 2012</w:t>
      </w:r>
      <w:r w:rsidR="00B35A8F">
        <w:t>-</w:t>
      </w:r>
      <w:r>
        <w:t>2013, 2014</w:t>
      </w:r>
      <w:r w:rsidR="00B35A8F">
        <w:t>-</w:t>
      </w:r>
      <w:r>
        <w:t>2015, 2016</w:t>
      </w:r>
      <w:r w:rsidR="00B35A8F">
        <w:t>-</w:t>
      </w:r>
      <w:r>
        <w:t>2017 et 2018</w:t>
      </w:r>
      <w:r w:rsidR="00B35A8F">
        <w:t>-</w:t>
      </w:r>
      <w:r>
        <w:t>2019.</w:t>
      </w:r>
    </w:p>
  </w:footnote>
  <w:footnote w:id="5">
    <w:p w14:paraId="6E31D676" w14:textId="05E98D68" w:rsidR="00C120EC" w:rsidRDefault="00C120EC" w:rsidP="007C2C64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ab/>
        <w:t>Les projections des engagements ont été établies sur la base de l</w:t>
      </w:r>
      <w:r w:rsidR="00B35A8F">
        <w:t>’</w:t>
      </w:r>
      <w:r>
        <w:t>étude de la gestion actif</w:t>
      </w:r>
      <w:r w:rsidR="00B35A8F">
        <w:t>-</w:t>
      </w:r>
      <w:r>
        <w:t xml:space="preserve">passif réalisée par AON Suisse SA </w:t>
      </w:r>
      <w:r w:rsidR="00B35A8F">
        <w:t>en 2022</w:t>
      </w:r>
      <w:r>
        <w:t>.</w:t>
      </w:r>
    </w:p>
  </w:footnote>
  <w:footnote w:id="6">
    <w:p w14:paraId="08FD6E0C" w14:textId="233E6601" w:rsidR="00C120EC" w:rsidRDefault="00C120EC" w:rsidP="007C2C64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ab/>
        <w:t xml:space="preserve">Les détails des plans de financement ont été examinés dans les </w:t>
      </w:r>
      <w:r w:rsidR="00B35A8F">
        <w:t xml:space="preserve">documents </w:t>
      </w:r>
      <w:proofErr w:type="spellStart"/>
      <w:r w:rsidR="00B35A8F">
        <w:t>WO</w:t>
      </w:r>
      <w:proofErr w:type="spellEnd"/>
      <w:r>
        <w:t>/</w:t>
      </w:r>
      <w:proofErr w:type="spellStart"/>
      <w:r>
        <w:t>PBC</w:t>
      </w:r>
      <w:proofErr w:type="spellEnd"/>
      <w:r>
        <w:t xml:space="preserve">/20/6 et </w:t>
      </w:r>
      <w:proofErr w:type="spellStart"/>
      <w:r>
        <w:t>WO</w:t>
      </w:r>
      <w:proofErr w:type="spellEnd"/>
      <w:r>
        <w:t>/</w:t>
      </w:r>
      <w:proofErr w:type="spellStart"/>
      <w:r>
        <w:t>PBC</w:t>
      </w:r>
      <w:proofErr w:type="spellEnd"/>
      <w:r>
        <w:t xml:space="preserve">/29/6. </w:t>
      </w:r>
      <w:r w:rsidR="007C2C64">
        <w:t xml:space="preserve"> </w:t>
      </w:r>
      <w:r>
        <w:t>Les plans ont été approuvés ultérieurement lors des cinquante</w:t>
      </w:r>
      <w:r w:rsidR="00B35A8F">
        <w:t> et </w:t>
      </w:r>
      <w:proofErr w:type="gramStart"/>
      <w:r w:rsidR="00B35A8F">
        <w:t>unième</w:t>
      </w:r>
      <w:r>
        <w:t xml:space="preserve"> et cinquante</w:t>
      </w:r>
      <w:r w:rsidR="00B35A8F">
        <w:t>-</w:t>
      </w:r>
      <w:r>
        <w:t>neuvième séries</w:t>
      </w:r>
      <w:proofErr w:type="gramEnd"/>
      <w:r>
        <w:t xml:space="preserve"> de réunions des assemblées des États membres de l</w:t>
      </w:r>
      <w:r w:rsidR="00B35A8F">
        <w:t>’</w:t>
      </w:r>
      <w:proofErr w:type="spellStart"/>
      <w:r>
        <w:t>OMPI</w:t>
      </w:r>
      <w:proofErr w:type="spellEnd"/>
      <w:r>
        <w:t>.</w:t>
      </w:r>
    </w:p>
  </w:footnote>
  <w:footnote w:id="7">
    <w:p w14:paraId="7D737B87" w14:textId="0A20B223" w:rsidR="00C120EC" w:rsidRDefault="00C120EC" w:rsidP="007C2C64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ab/>
        <w:t>Le résultat de l</w:t>
      </w:r>
      <w:r w:rsidR="00B35A8F">
        <w:t>’</w:t>
      </w:r>
      <w:r>
        <w:t xml:space="preserve">étude est examiné par le Comité consultatif pour les placements, qui recommandera les ajustements à apporter à la stratégie en matière de placements pour le portefeuille de placements stratégiques. </w:t>
      </w:r>
      <w:r w:rsidR="007C2C64">
        <w:t xml:space="preserve"> </w:t>
      </w:r>
      <w:r>
        <w:t>Cette recommandation est soumise au Directeur général pour approbation.</w:t>
      </w:r>
    </w:p>
  </w:footnote>
  <w:footnote w:id="8">
    <w:p w14:paraId="5256DA96" w14:textId="54660894" w:rsidR="00C120EC" w:rsidRDefault="00C120EC" w:rsidP="007C2C64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ab/>
        <w:t>L</w:t>
      </w:r>
      <w:r w:rsidR="00B35A8F">
        <w:t>’</w:t>
      </w:r>
      <w:r>
        <w:t>objectif des placements pour le portefeuille stratégique est mis en évidence au paragraphe 18 de la Politique de l</w:t>
      </w:r>
      <w:r w:rsidR="00B35A8F">
        <w:t>’</w:t>
      </w:r>
      <w:proofErr w:type="spellStart"/>
      <w:r>
        <w:t>OMPI</w:t>
      </w:r>
      <w:proofErr w:type="spellEnd"/>
      <w:r>
        <w:t xml:space="preserve"> en matière de placements.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D7834" w14:textId="186D69A1" w:rsidR="00EC4E49" w:rsidRPr="0091649C" w:rsidRDefault="00C120EC" w:rsidP="00477D6B">
    <w:pPr>
      <w:jc w:val="right"/>
    </w:pPr>
    <w:bookmarkStart w:id="5" w:name="Code2"/>
    <w:bookmarkEnd w:id="5"/>
    <w:proofErr w:type="spellStart"/>
    <w:r>
      <w:t>WO</w:t>
    </w:r>
    <w:proofErr w:type="spellEnd"/>
    <w:r>
      <w:t>/</w:t>
    </w:r>
    <w:proofErr w:type="spellStart"/>
    <w:r>
      <w:t>PBC</w:t>
    </w:r>
    <w:proofErr w:type="spellEnd"/>
    <w:r>
      <w:t>/39/9</w:t>
    </w:r>
  </w:p>
  <w:p w14:paraId="4F62004F" w14:textId="16EFE0A7" w:rsidR="00B50B99" w:rsidRPr="0091649C" w:rsidRDefault="00EC4E49" w:rsidP="007C2C64">
    <w:pPr>
      <w:spacing w:after="480"/>
      <w:jc w:val="right"/>
    </w:pPr>
    <w:proofErr w:type="gramStart"/>
    <w:r w:rsidRPr="0091649C">
      <w:t>page</w:t>
    </w:r>
    <w:proofErr w:type="gramEnd"/>
    <w:r w:rsidR="007C2C64">
      <w:t> </w:t>
    </w:r>
    <w:r w:rsidRPr="0091649C">
      <w:fldChar w:fldCharType="begin"/>
    </w:r>
    <w:r w:rsidRPr="0091649C">
      <w:instrText xml:space="preserve"> PAGE  \* MERGEFORMAT </w:instrText>
    </w:r>
    <w:r w:rsidRPr="0091649C">
      <w:fldChar w:fldCharType="separate"/>
    </w:r>
    <w:r w:rsidR="00E671A6" w:rsidRPr="0091649C">
      <w:t>2</w:t>
    </w:r>
    <w:r w:rsidRPr="0091649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116900">
    <w:abstractNumId w:val="2"/>
  </w:num>
  <w:num w:numId="2" w16cid:durableId="180895070">
    <w:abstractNumId w:val="4"/>
  </w:num>
  <w:num w:numId="3" w16cid:durableId="1356350649">
    <w:abstractNumId w:val="0"/>
  </w:num>
  <w:num w:numId="4" w16cid:durableId="1151099335">
    <w:abstractNumId w:val="5"/>
  </w:num>
  <w:num w:numId="5" w16cid:durableId="797770133">
    <w:abstractNumId w:val="1"/>
  </w:num>
  <w:num w:numId="6" w16cid:durableId="878471050">
    <w:abstractNumId w:val="3"/>
  </w:num>
  <w:num w:numId="7" w16cid:durableId="1270502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0EC"/>
    <w:rsid w:val="0001647B"/>
    <w:rsid w:val="00043CAA"/>
    <w:rsid w:val="00075432"/>
    <w:rsid w:val="000968ED"/>
    <w:rsid w:val="000A2FD9"/>
    <w:rsid w:val="000F5E56"/>
    <w:rsid w:val="001024FE"/>
    <w:rsid w:val="00124096"/>
    <w:rsid w:val="001362EE"/>
    <w:rsid w:val="00142868"/>
    <w:rsid w:val="001832A6"/>
    <w:rsid w:val="001C6808"/>
    <w:rsid w:val="002121FA"/>
    <w:rsid w:val="002427DF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423E3E"/>
    <w:rsid w:val="00427AF4"/>
    <w:rsid w:val="004400E2"/>
    <w:rsid w:val="00452B6C"/>
    <w:rsid w:val="00461632"/>
    <w:rsid w:val="004647DA"/>
    <w:rsid w:val="00474062"/>
    <w:rsid w:val="00477D6B"/>
    <w:rsid w:val="004D39C4"/>
    <w:rsid w:val="0053057A"/>
    <w:rsid w:val="00560A29"/>
    <w:rsid w:val="005731C9"/>
    <w:rsid w:val="00594D27"/>
    <w:rsid w:val="005F10BC"/>
    <w:rsid w:val="00601760"/>
    <w:rsid w:val="00605827"/>
    <w:rsid w:val="00646050"/>
    <w:rsid w:val="00665D5E"/>
    <w:rsid w:val="006713CA"/>
    <w:rsid w:val="00676C5C"/>
    <w:rsid w:val="00695558"/>
    <w:rsid w:val="006D5E0F"/>
    <w:rsid w:val="007058FB"/>
    <w:rsid w:val="007B6A58"/>
    <w:rsid w:val="007C2C64"/>
    <w:rsid w:val="007D1613"/>
    <w:rsid w:val="007E0E55"/>
    <w:rsid w:val="00804536"/>
    <w:rsid w:val="00813C5E"/>
    <w:rsid w:val="008417FC"/>
    <w:rsid w:val="00852A6E"/>
    <w:rsid w:val="00873EE5"/>
    <w:rsid w:val="008B2CC1"/>
    <w:rsid w:val="008B4B5E"/>
    <w:rsid w:val="008B60B2"/>
    <w:rsid w:val="008C574C"/>
    <w:rsid w:val="0090731E"/>
    <w:rsid w:val="0091649C"/>
    <w:rsid w:val="00916EE2"/>
    <w:rsid w:val="00953AE3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778BF"/>
    <w:rsid w:val="00A85B8E"/>
    <w:rsid w:val="00AC205C"/>
    <w:rsid w:val="00AD0A9A"/>
    <w:rsid w:val="00AD5BA3"/>
    <w:rsid w:val="00AF5C73"/>
    <w:rsid w:val="00B05A69"/>
    <w:rsid w:val="00B35A8F"/>
    <w:rsid w:val="00B40598"/>
    <w:rsid w:val="00B50B99"/>
    <w:rsid w:val="00B62CD9"/>
    <w:rsid w:val="00B9734B"/>
    <w:rsid w:val="00C11BFE"/>
    <w:rsid w:val="00C120EC"/>
    <w:rsid w:val="00C1431E"/>
    <w:rsid w:val="00C50AE5"/>
    <w:rsid w:val="00C94629"/>
    <w:rsid w:val="00CE65D4"/>
    <w:rsid w:val="00D45252"/>
    <w:rsid w:val="00D53C44"/>
    <w:rsid w:val="00D55934"/>
    <w:rsid w:val="00D71B4D"/>
    <w:rsid w:val="00D93D55"/>
    <w:rsid w:val="00E0335B"/>
    <w:rsid w:val="00E161A2"/>
    <w:rsid w:val="00E335FE"/>
    <w:rsid w:val="00E5021F"/>
    <w:rsid w:val="00E671A6"/>
    <w:rsid w:val="00EC4E49"/>
    <w:rsid w:val="00ED77FB"/>
    <w:rsid w:val="00F021A6"/>
    <w:rsid w:val="00F11D94"/>
    <w:rsid w:val="00F301AE"/>
    <w:rsid w:val="00F66152"/>
    <w:rsid w:val="00F8074C"/>
    <w:rsid w:val="00FB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8BCD07"/>
  <w15:docId w15:val="{774474B0-9922-49E0-AE9F-D75277E7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C2C64"/>
    <w:pPr>
      <w:spacing w:before="220" w:after="22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C120EC"/>
    <w:pPr>
      <w:ind w:left="720"/>
      <w:contextualSpacing/>
    </w:pPr>
    <w:rPr>
      <w:lang w:val="fr-FR"/>
    </w:rPr>
  </w:style>
  <w:style w:type="character" w:styleId="FootnoteReference">
    <w:name w:val="footnote reference"/>
    <w:basedOn w:val="DefaultParagraphFont"/>
    <w:semiHidden/>
    <w:unhideWhenUsed/>
    <w:rsid w:val="00C120EC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120EC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semiHidden/>
    <w:unhideWhenUsed/>
    <w:rsid w:val="00AD5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BC\WO_PBC_3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931B-C023-4098-A81F-3E93EEBF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WO_PBC_39 (F).dotm</Template>
  <TotalTime>8</TotalTime>
  <Pages>3</Pages>
  <Words>1012</Words>
  <Characters>5266</Characters>
  <Application>Microsoft Office Word</Application>
  <DocSecurity>0</DocSecurity>
  <Lines>585</Lines>
  <Paragraphs>392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WO/PBC/39/</vt:lpstr>
    </vt:vector>
  </TitlesOfParts>
  <Company>WIPO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WO/PBC/39/9</dc:title>
  <dc:creator>LE GUEN Haude</dc:creator>
  <cp:keywords>FOR OFFICIAL USE ONLY</cp:keywords>
  <cp:lastModifiedBy>LE GUEN Haude</cp:lastModifiedBy>
  <cp:revision>4</cp:revision>
  <cp:lastPrinted>2011-02-15T11:56:00Z</cp:lastPrinted>
  <dcterms:created xsi:type="dcterms:W3CDTF">2025-06-10T12:35:00Z</dcterms:created>
  <dcterms:modified xsi:type="dcterms:W3CDTF">2025-06-10T12:45:00Z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2023-11-21T15:06:30Z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d8c307d0-4241-4b8d-8dea-793dd6e4c801</vt:lpwstr>
  </property>
  <property fmtid="{D5CDD505-2E9C-101B-9397-08002B2CF9AE}" pid="14" name="MSIP_Label_20773ee6-353b-4fb9-a59d-0b94c8c67bea_ContentBits">
    <vt:lpwstr>0</vt:lpwstr>
  </property>
</Properties>
</file>