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10DB0" w:rsidRPr="003B2B89" w:rsidTr="00870315">
        <w:tc>
          <w:tcPr>
            <w:tcW w:w="4513" w:type="dxa"/>
            <w:tcBorders>
              <w:bottom w:val="single" w:sz="4" w:space="0" w:color="auto"/>
            </w:tcBorders>
            <w:tcMar>
              <w:bottom w:w="170" w:type="dxa"/>
            </w:tcMar>
          </w:tcPr>
          <w:p w:rsidR="00610DB0" w:rsidRPr="003B2B89" w:rsidRDefault="00610DB0" w:rsidP="00870315">
            <w:pPr>
              <w:rPr>
                <w:lang w:val="fr-FR"/>
              </w:rPr>
            </w:pPr>
          </w:p>
        </w:tc>
        <w:tc>
          <w:tcPr>
            <w:tcW w:w="4337" w:type="dxa"/>
            <w:tcBorders>
              <w:bottom w:val="single" w:sz="4" w:space="0" w:color="auto"/>
            </w:tcBorders>
            <w:tcMar>
              <w:left w:w="0" w:type="dxa"/>
              <w:right w:w="0" w:type="dxa"/>
            </w:tcMar>
          </w:tcPr>
          <w:p w:rsidR="00610DB0" w:rsidRPr="003B2B89" w:rsidRDefault="00610DB0" w:rsidP="00870315">
            <w:pPr>
              <w:rPr>
                <w:lang w:val="fr-FR"/>
              </w:rPr>
            </w:pPr>
            <w:r w:rsidRPr="003B2B89">
              <w:rPr>
                <w:noProof/>
                <w:lang w:eastAsia="en-US"/>
              </w:rPr>
              <w:drawing>
                <wp:inline distT="0" distB="0" distL="0" distR="0" wp14:anchorId="31967521" wp14:editId="74183A8B">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10DB0" w:rsidRPr="003B2B89" w:rsidRDefault="00610DB0" w:rsidP="00870315">
            <w:pPr>
              <w:jc w:val="right"/>
              <w:rPr>
                <w:lang w:val="fr-FR"/>
              </w:rPr>
            </w:pPr>
            <w:r w:rsidRPr="003B2B89">
              <w:rPr>
                <w:b/>
                <w:sz w:val="40"/>
                <w:szCs w:val="40"/>
                <w:lang w:val="fr-FR"/>
              </w:rPr>
              <w:t>F</w:t>
            </w:r>
          </w:p>
        </w:tc>
      </w:tr>
      <w:tr w:rsidR="00610DB0" w:rsidRPr="003B2B89" w:rsidTr="00870315">
        <w:trPr>
          <w:trHeight w:hRule="exact" w:val="357"/>
        </w:trPr>
        <w:tc>
          <w:tcPr>
            <w:tcW w:w="9356" w:type="dxa"/>
            <w:gridSpan w:val="3"/>
            <w:tcBorders>
              <w:top w:val="single" w:sz="4" w:space="0" w:color="auto"/>
            </w:tcBorders>
            <w:tcMar>
              <w:top w:w="170" w:type="dxa"/>
              <w:left w:w="0" w:type="dxa"/>
              <w:right w:w="0" w:type="dxa"/>
            </w:tcMar>
            <w:vAlign w:val="bottom"/>
          </w:tcPr>
          <w:p w:rsidR="00610DB0" w:rsidRPr="003B2B89" w:rsidRDefault="00610DB0" w:rsidP="00870315">
            <w:pPr>
              <w:jc w:val="right"/>
              <w:rPr>
                <w:rFonts w:ascii="Arial Black" w:hAnsi="Arial Black"/>
                <w:caps/>
                <w:sz w:val="15"/>
                <w:lang w:val="fr-FR"/>
              </w:rPr>
            </w:pPr>
            <w:r w:rsidRPr="003B2B89">
              <w:rPr>
                <w:rFonts w:ascii="Arial Black" w:hAnsi="Arial Black"/>
                <w:caps/>
                <w:sz w:val="15"/>
                <w:lang w:val="fr-FR"/>
              </w:rPr>
              <w:t>WO/PBC/26/</w:t>
            </w:r>
            <w:bookmarkStart w:id="0" w:name="Code"/>
            <w:bookmarkEnd w:id="0"/>
            <w:r w:rsidRPr="003B2B89">
              <w:rPr>
                <w:rFonts w:ascii="Arial Black" w:hAnsi="Arial Black"/>
                <w:caps/>
                <w:sz w:val="15"/>
                <w:lang w:val="fr-FR"/>
              </w:rPr>
              <w:t>11</w:t>
            </w:r>
          </w:p>
        </w:tc>
      </w:tr>
      <w:tr w:rsidR="00610DB0" w:rsidRPr="003B2B89" w:rsidTr="00870315">
        <w:trPr>
          <w:trHeight w:hRule="exact" w:val="170"/>
        </w:trPr>
        <w:tc>
          <w:tcPr>
            <w:tcW w:w="9356" w:type="dxa"/>
            <w:gridSpan w:val="3"/>
            <w:noWrap/>
            <w:tcMar>
              <w:left w:w="0" w:type="dxa"/>
              <w:right w:w="0" w:type="dxa"/>
            </w:tcMar>
            <w:vAlign w:val="bottom"/>
          </w:tcPr>
          <w:p w:rsidR="00610DB0" w:rsidRPr="003B2B89" w:rsidRDefault="00610DB0" w:rsidP="00870315">
            <w:pPr>
              <w:jc w:val="right"/>
              <w:rPr>
                <w:rFonts w:ascii="Arial Black" w:hAnsi="Arial Black"/>
                <w:caps/>
                <w:sz w:val="15"/>
                <w:lang w:val="fr-FR"/>
              </w:rPr>
            </w:pPr>
            <w:r w:rsidRPr="003B2B89">
              <w:rPr>
                <w:rFonts w:ascii="Arial Black" w:hAnsi="Arial Black"/>
                <w:caps/>
                <w:sz w:val="15"/>
                <w:lang w:val="fr-FR"/>
              </w:rPr>
              <w:t>ORIGINAL</w:t>
            </w:r>
            <w:r w:rsidR="00175C36">
              <w:rPr>
                <w:rFonts w:ascii="Arial Black" w:hAnsi="Arial Black"/>
                <w:caps/>
                <w:sz w:val="15"/>
                <w:lang w:val="fr-FR"/>
              </w:rPr>
              <w:t> :</w:t>
            </w:r>
            <w:r w:rsidRPr="003B2B89">
              <w:rPr>
                <w:rFonts w:ascii="Arial Black" w:hAnsi="Arial Black"/>
                <w:caps/>
                <w:sz w:val="15"/>
                <w:lang w:val="fr-FR"/>
              </w:rPr>
              <w:t xml:space="preserve"> </w:t>
            </w:r>
            <w:bookmarkStart w:id="1" w:name="Original"/>
            <w:bookmarkEnd w:id="1"/>
            <w:r w:rsidRPr="003B2B89">
              <w:rPr>
                <w:rFonts w:ascii="Arial Black" w:hAnsi="Arial Black"/>
                <w:caps/>
                <w:sz w:val="15"/>
                <w:lang w:val="fr-FR"/>
              </w:rPr>
              <w:t xml:space="preserve">anglais </w:t>
            </w:r>
          </w:p>
        </w:tc>
      </w:tr>
      <w:tr w:rsidR="00610DB0" w:rsidRPr="003B2B89" w:rsidTr="00870315">
        <w:trPr>
          <w:trHeight w:hRule="exact" w:val="198"/>
        </w:trPr>
        <w:tc>
          <w:tcPr>
            <w:tcW w:w="9356" w:type="dxa"/>
            <w:gridSpan w:val="3"/>
            <w:tcMar>
              <w:left w:w="0" w:type="dxa"/>
              <w:right w:w="0" w:type="dxa"/>
            </w:tcMar>
            <w:vAlign w:val="bottom"/>
          </w:tcPr>
          <w:p w:rsidR="00610DB0" w:rsidRPr="003B2B89" w:rsidRDefault="00610DB0" w:rsidP="00087CF3">
            <w:pPr>
              <w:jc w:val="right"/>
              <w:rPr>
                <w:rFonts w:ascii="Arial Black" w:hAnsi="Arial Black"/>
                <w:caps/>
                <w:sz w:val="15"/>
                <w:lang w:val="fr-FR"/>
              </w:rPr>
            </w:pPr>
            <w:r w:rsidRPr="003B2B89">
              <w:rPr>
                <w:rFonts w:ascii="Arial Black" w:hAnsi="Arial Black"/>
                <w:caps/>
                <w:sz w:val="15"/>
                <w:lang w:val="fr-FR"/>
              </w:rPr>
              <w:t>DATE</w:t>
            </w:r>
            <w:r w:rsidR="00175C36">
              <w:rPr>
                <w:rFonts w:ascii="Arial Black" w:hAnsi="Arial Black"/>
                <w:caps/>
                <w:sz w:val="15"/>
                <w:lang w:val="fr-FR"/>
              </w:rPr>
              <w:t> :</w:t>
            </w:r>
            <w:r w:rsidRPr="003B2B89">
              <w:rPr>
                <w:rFonts w:ascii="Arial Black" w:hAnsi="Arial Black"/>
                <w:caps/>
                <w:sz w:val="15"/>
                <w:lang w:val="fr-FR"/>
              </w:rPr>
              <w:t xml:space="preserve"> </w:t>
            </w:r>
            <w:bookmarkStart w:id="2" w:name="Date"/>
            <w:bookmarkEnd w:id="2"/>
            <w:r w:rsidR="00087CF3">
              <w:rPr>
                <w:rFonts w:ascii="Arial Black" w:hAnsi="Arial Black"/>
                <w:caps/>
                <w:sz w:val="15"/>
                <w:lang w:val="fr-FR"/>
              </w:rPr>
              <w:t>28</w:t>
            </w:r>
            <w:r w:rsidRPr="003B2B89">
              <w:rPr>
                <w:rFonts w:ascii="Arial Black" w:hAnsi="Arial Black"/>
                <w:caps/>
                <w:sz w:val="15"/>
                <w:lang w:val="fr-FR"/>
              </w:rPr>
              <w:t xml:space="preserve"> juillet 2017 </w:t>
            </w:r>
          </w:p>
        </w:tc>
      </w:tr>
    </w:tbl>
    <w:p w:rsidR="00582AFF" w:rsidRDefault="00582AFF" w:rsidP="00610DB0">
      <w:pPr>
        <w:rPr>
          <w:lang w:val="fr-FR"/>
        </w:rPr>
      </w:pPr>
    </w:p>
    <w:p w:rsidR="00582AFF" w:rsidRDefault="00582AFF" w:rsidP="00610DB0">
      <w:pPr>
        <w:rPr>
          <w:lang w:val="fr-FR"/>
        </w:rPr>
      </w:pPr>
    </w:p>
    <w:p w:rsidR="00582AFF" w:rsidRDefault="00582AFF" w:rsidP="00610DB0">
      <w:pPr>
        <w:rPr>
          <w:lang w:val="fr-FR"/>
        </w:rPr>
      </w:pPr>
    </w:p>
    <w:p w:rsidR="00582AFF" w:rsidRDefault="00582AFF" w:rsidP="00610DB0">
      <w:pPr>
        <w:rPr>
          <w:lang w:val="fr-FR"/>
        </w:rPr>
      </w:pPr>
    </w:p>
    <w:p w:rsidR="00582AFF" w:rsidRDefault="00582AFF" w:rsidP="00610DB0">
      <w:pPr>
        <w:rPr>
          <w:lang w:val="fr-FR"/>
        </w:rPr>
      </w:pPr>
    </w:p>
    <w:p w:rsidR="00582AFF" w:rsidRDefault="00610DB0" w:rsidP="00610DB0">
      <w:pPr>
        <w:rPr>
          <w:b/>
          <w:sz w:val="28"/>
          <w:szCs w:val="28"/>
          <w:lang w:val="fr-FR"/>
        </w:rPr>
      </w:pPr>
      <w:r w:rsidRPr="003B2B89">
        <w:rPr>
          <w:b/>
          <w:sz w:val="28"/>
          <w:szCs w:val="28"/>
          <w:lang w:val="fr-FR"/>
        </w:rPr>
        <w:t>Comité du programme et budget</w:t>
      </w:r>
    </w:p>
    <w:p w:rsidR="00582AFF" w:rsidRDefault="00582AFF" w:rsidP="00610DB0">
      <w:pPr>
        <w:rPr>
          <w:lang w:val="fr-FR"/>
        </w:rPr>
      </w:pPr>
    </w:p>
    <w:p w:rsidR="00582AFF" w:rsidRDefault="00582AFF" w:rsidP="00610DB0">
      <w:pPr>
        <w:rPr>
          <w:lang w:val="fr-FR"/>
        </w:rPr>
      </w:pPr>
    </w:p>
    <w:p w:rsidR="00582AFF" w:rsidRDefault="00610DB0" w:rsidP="00610DB0">
      <w:pPr>
        <w:rPr>
          <w:b/>
          <w:sz w:val="24"/>
          <w:szCs w:val="24"/>
          <w:lang w:val="fr-FR"/>
        </w:rPr>
      </w:pPr>
      <w:r w:rsidRPr="003B2B89">
        <w:rPr>
          <w:b/>
          <w:sz w:val="24"/>
          <w:szCs w:val="24"/>
          <w:lang w:val="fr-FR"/>
        </w:rPr>
        <w:t>Vingt</w:t>
      </w:r>
      <w:r w:rsidR="00F52085">
        <w:rPr>
          <w:b/>
          <w:sz w:val="24"/>
          <w:szCs w:val="24"/>
          <w:lang w:val="fr-FR"/>
        </w:rPr>
        <w:noBreakHyphen/>
      </w:r>
      <w:r w:rsidRPr="003B2B89">
        <w:rPr>
          <w:b/>
          <w:sz w:val="24"/>
          <w:szCs w:val="24"/>
          <w:lang w:val="fr-FR"/>
        </w:rPr>
        <w:t>six</w:t>
      </w:r>
      <w:r w:rsidR="00175C36">
        <w:rPr>
          <w:b/>
          <w:sz w:val="24"/>
          <w:szCs w:val="24"/>
          <w:lang w:val="fr-FR"/>
        </w:rPr>
        <w:t>ième session</w:t>
      </w:r>
    </w:p>
    <w:p w:rsidR="00582AFF" w:rsidRDefault="00610DB0" w:rsidP="00610DB0">
      <w:pPr>
        <w:rPr>
          <w:b/>
          <w:sz w:val="24"/>
          <w:szCs w:val="24"/>
          <w:lang w:val="fr-FR"/>
        </w:rPr>
      </w:pPr>
      <w:r w:rsidRPr="003B2B89">
        <w:rPr>
          <w:b/>
          <w:sz w:val="24"/>
          <w:szCs w:val="24"/>
          <w:lang w:val="fr-FR"/>
        </w:rPr>
        <w:t>Genève, 10 – 14 juillet 2017</w:t>
      </w:r>
    </w:p>
    <w:p w:rsidR="00582AFF" w:rsidRDefault="00582AFF" w:rsidP="008B2CC1">
      <w:pPr>
        <w:rPr>
          <w:lang w:val="fr-FR"/>
        </w:rPr>
      </w:pPr>
    </w:p>
    <w:p w:rsidR="00582AFF" w:rsidRDefault="00582AFF" w:rsidP="002303A8">
      <w:pPr>
        <w:tabs>
          <w:tab w:val="left" w:pos="6300"/>
        </w:tabs>
        <w:rPr>
          <w:b/>
          <w:lang w:val="fr-FR"/>
        </w:rPr>
      </w:pPr>
    </w:p>
    <w:p w:rsidR="00582AFF" w:rsidRDefault="00582AFF" w:rsidP="008B2CC1">
      <w:pPr>
        <w:rPr>
          <w:lang w:val="fr-FR"/>
        </w:rPr>
      </w:pPr>
    </w:p>
    <w:p w:rsidR="00582AFF" w:rsidRDefault="00D218EA" w:rsidP="00D218EA">
      <w:pPr>
        <w:rPr>
          <w:caps/>
          <w:sz w:val="24"/>
          <w:lang w:val="fr-FR"/>
        </w:rPr>
      </w:pPr>
      <w:bookmarkStart w:id="3" w:name="TitleOfDoc"/>
      <w:bookmarkEnd w:id="3"/>
      <w:r w:rsidRPr="003B2B89">
        <w:rPr>
          <w:caps/>
          <w:sz w:val="24"/>
          <w:lang w:val="fr-FR"/>
        </w:rPr>
        <w:t>Liste des décisions adoptée</w:t>
      </w:r>
      <w:r w:rsidR="00431C11">
        <w:rPr>
          <w:caps/>
          <w:sz w:val="24"/>
          <w:lang w:val="fr-FR"/>
        </w:rPr>
        <w:t>s par le Comité du programme et </w:t>
      </w:r>
      <w:r w:rsidRPr="003B2B89">
        <w:rPr>
          <w:caps/>
          <w:sz w:val="24"/>
          <w:lang w:val="fr-FR"/>
        </w:rPr>
        <w:t>budget</w:t>
      </w:r>
    </w:p>
    <w:p w:rsidR="00582AFF" w:rsidRDefault="00582AFF" w:rsidP="008B2CC1">
      <w:pPr>
        <w:rPr>
          <w:lang w:val="fr-FR"/>
        </w:rPr>
      </w:pPr>
    </w:p>
    <w:p w:rsidR="00582AFF" w:rsidRDefault="00D218EA" w:rsidP="00D218EA">
      <w:pPr>
        <w:rPr>
          <w:i/>
          <w:lang w:val="fr-FR"/>
        </w:rPr>
      </w:pPr>
      <w:bookmarkStart w:id="4" w:name="Prepared"/>
      <w:bookmarkEnd w:id="4"/>
      <w:r w:rsidRPr="003B2B89">
        <w:rPr>
          <w:i/>
          <w:lang w:val="fr-FR"/>
        </w:rPr>
        <w:t>Document établi par le Secrétariat</w:t>
      </w:r>
    </w:p>
    <w:p w:rsidR="00582AFF" w:rsidRDefault="00582AFF">
      <w:pPr>
        <w:rPr>
          <w:lang w:val="fr-FR"/>
        </w:rPr>
      </w:pPr>
    </w:p>
    <w:p w:rsidR="00582AFF" w:rsidRDefault="00582AFF">
      <w:pPr>
        <w:rPr>
          <w:lang w:val="fr-FR"/>
        </w:rPr>
      </w:pPr>
    </w:p>
    <w:p w:rsidR="00582AFF" w:rsidRDefault="00582AFF" w:rsidP="0053057A">
      <w:pPr>
        <w:rPr>
          <w:lang w:val="fr-FR"/>
        </w:rPr>
      </w:pPr>
    </w:p>
    <w:p w:rsidR="00582AFF" w:rsidRDefault="00C03B03" w:rsidP="003B2B89">
      <w:pPr>
        <w:pStyle w:val="ListParagraph"/>
        <w:numPr>
          <w:ilvl w:val="0"/>
          <w:numId w:val="8"/>
        </w:numPr>
        <w:spacing w:before="120" w:after="120"/>
        <w:ind w:left="3686" w:hanging="3686"/>
        <w:contextualSpacing w:val="0"/>
        <w:rPr>
          <w:lang w:val="fr-FR"/>
        </w:rPr>
      </w:pPr>
      <w:r w:rsidRPr="003B2B89">
        <w:rPr>
          <w:lang w:val="fr-FR"/>
        </w:rPr>
        <w:t>OUVERTURE DE LA SESSION</w:t>
      </w:r>
    </w:p>
    <w:p w:rsidR="00582AFF" w:rsidRDefault="00582AFF" w:rsidP="00FB3A88">
      <w:pPr>
        <w:rPr>
          <w:lang w:val="fr-FR"/>
        </w:rPr>
      </w:pPr>
    </w:p>
    <w:p w:rsidR="00582AFF" w:rsidRDefault="00C03B03" w:rsidP="003B2B89">
      <w:pPr>
        <w:pStyle w:val="ListParagraph"/>
        <w:numPr>
          <w:ilvl w:val="0"/>
          <w:numId w:val="8"/>
        </w:numPr>
        <w:spacing w:before="120" w:after="120"/>
        <w:ind w:left="3686" w:hanging="3686"/>
        <w:contextualSpacing w:val="0"/>
        <w:rPr>
          <w:lang w:val="fr-FR"/>
        </w:rPr>
      </w:pPr>
      <w:r w:rsidRPr="003B2B89">
        <w:rPr>
          <w:lang w:val="fr-FR"/>
        </w:rPr>
        <w:t>ADOPTION DE L</w:t>
      </w:r>
      <w:r w:rsidR="00175C36">
        <w:rPr>
          <w:lang w:val="fr-FR"/>
        </w:rPr>
        <w:t>’</w:t>
      </w:r>
      <w:r w:rsidRPr="003B2B89">
        <w:rPr>
          <w:lang w:val="fr-FR"/>
        </w:rPr>
        <w:t>ORDRE DU JOUR</w:t>
      </w:r>
    </w:p>
    <w:p w:rsidR="00582AFF" w:rsidRDefault="00D218EA" w:rsidP="00D218EA">
      <w:pPr>
        <w:rPr>
          <w:lang w:val="fr-FR"/>
        </w:rPr>
      </w:pPr>
      <w:r w:rsidRPr="003B2B89">
        <w:rPr>
          <w:lang w:val="fr-FR"/>
        </w:rPr>
        <w:t>document WO/PBC/26/1</w:t>
      </w:r>
      <w:r w:rsidR="003B2B89">
        <w:rPr>
          <w:lang w:val="fr-FR"/>
        </w:rPr>
        <w:t>.</w:t>
      </w:r>
    </w:p>
    <w:p w:rsidR="00582AFF" w:rsidRDefault="00582AFF">
      <w:pPr>
        <w:rPr>
          <w:lang w:val="fr-FR"/>
        </w:rPr>
      </w:pPr>
    </w:p>
    <w:p w:rsidR="00582AFF" w:rsidRDefault="00D218EA" w:rsidP="00D218EA">
      <w:pPr>
        <w:spacing w:after="120"/>
        <w:rPr>
          <w:lang w:val="fr-FR"/>
        </w:rPr>
      </w:pPr>
      <w:r w:rsidRPr="003B2B89">
        <w:rPr>
          <w:i/>
          <w:lang w:val="fr-FR"/>
        </w:rPr>
        <w:t>Le Comité du programme et budget (PBC) a adopté l</w:t>
      </w:r>
      <w:r w:rsidR="00175C36">
        <w:rPr>
          <w:i/>
          <w:lang w:val="fr-FR"/>
        </w:rPr>
        <w:t>’</w:t>
      </w:r>
      <w:r w:rsidRPr="003B2B89">
        <w:rPr>
          <w:i/>
          <w:lang w:val="fr-FR"/>
        </w:rPr>
        <w:t>ordre du jour (document WO/PBC/26/1).</w:t>
      </w:r>
    </w:p>
    <w:p w:rsidR="00582AFF" w:rsidRDefault="00582AFF">
      <w:pPr>
        <w:rPr>
          <w:lang w:val="fr-FR"/>
        </w:rPr>
      </w:pPr>
    </w:p>
    <w:p w:rsidR="00582AFF" w:rsidRDefault="00C03B03" w:rsidP="003B2B89">
      <w:pPr>
        <w:pStyle w:val="ListParagraph"/>
        <w:numPr>
          <w:ilvl w:val="0"/>
          <w:numId w:val="8"/>
        </w:numPr>
        <w:spacing w:before="120" w:after="120"/>
        <w:ind w:left="3686" w:hanging="3686"/>
        <w:contextualSpacing w:val="0"/>
        <w:rPr>
          <w:lang w:val="fr-FR"/>
        </w:rPr>
      </w:pPr>
      <w:r w:rsidRPr="003B2B89">
        <w:rPr>
          <w:lang w:val="fr-FR"/>
        </w:rPr>
        <w:t>RAPPORT SUR L</w:t>
      </w:r>
      <w:r w:rsidR="00175C36">
        <w:rPr>
          <w:lang w:val="fr-FR"/>
        </w:rPr>
        <w:t>’</w:t>
      </w:r>
      <w:r w:rsidR="003B2B89" w:rsidRPr="003B2B89">
        <w:rPr>
          <w:lang w:val="fr-FR"/>
        </w:rPr>
        <w:t>EXÉCUTION DU PROGRAMME EN </w:t>
      </w:r>
      <w:r w:rsidRPr="003B2B89">
        <w:rPr>
          <w:lang w:val="fr-FR"/>
        </w:rPr>
        <w:t>2016</w:t>
      </w:r>
    </w:p>
    <w:p w:rsidR="00582AFF" w:rsidRDefault="00D218EA" w:rsidP="00D218EA">
      <w:pPr>
        <w:pStyle w:val="ListParagraph"/>
        <w:ind w:left="0"/>
        <w:contextualSpacing w:val="0"/>
        <w:rPr>
          <w:lang w:val="fr-FR"/>
        </w:rPr>
      </w:pPr>
      <w:r w:rsidRPr="003B2B89">
        <w:rPr>
          <w:lang w:val="fr-FR"/>
        </w:rPr>
        <w:t>document WO/PBC/26/2</w:t>
      </w:r>
      <w:r w:rsidR="003B2B89">
        <w:rPr>
          <w:lang w:val="fr-FR"/>
        </w:rPr>
        <w:t>.</w:t>
      </w:r>
    </w:p>
    <w:p w:rsidR="00582AFF" w:rsidRDefault="00582AFF" w:rsidP="00F5336D">
      <w:pPr>
        <w:pStyle w:val="ListParagraph"/>
        <w:ind w:left="0"/>
        <w:contextualSpacing w:val="0"/>
        <w:rPr>
          <w:lang w:val="fr-FR"/>
        </w:rPr>
      </w:pPr>
    </w:p>
    <w:p w:rsidR="00582AFF" w:rsidRDefault="00D218EA" w:rsidP="00D218EA">
      <w:pPr>
        <w:spacing w:after="120"/>
        <w:rPr>
          <w:i/>
          <w:szCs w:val="22"/>
          <w:lang w:val="fr-FR"/>
        </w:rPr>
      </w:pPr>
      <w:r w:rsidRPr="003B2B89">
        <w:rPr>
          <w:i/>
          <w:color w:val="000000"/>
          <w:szCs w:val="22"/>
          <w:lang w:val="fr-FR"/>
        </w:rPr>
        <w:t xml:space="preserve">Le </w:t>
      </w:r>
      <w:r w:rsidRPr="003B2B89">
        <w:rPr>
          <w:i/>
          <w:szCs w:val="22"/>
          <w:lang w:val="fr-FR"/>
        </w:rPr>
        <w:t>Comité du programme et budget (PBC)</w:t>
      </w:r>
      <w:r w:rsidRPr="003B2B89">
        <w:rPr>
          <w:i/>
          <w:color w:val="000000"/>
          <w:szCs w:val="22"/>
          <w:lang w:val="fr-FR"/>
        </w:rPr>
        <w:t>, ayant examiné le rapport sur l</w:t>
      </w:r>
      <w:r w:rsidR="00175C36">
        <w:rPr>
          <w:i/>
          <w:color w:val="000000"/>
          <w:szCs w:val="22"/>
          <w:lang w:val="fr-FR"/>
        </w:rPr>
        <w:t>’</w:t>
      </w:r>
      <w:r w:rsidRPr="003B2B89">
        <w:rPr>
          <w:i/>
          <w:color w:val="000000"/>
          <w:szCs w:val="22"/>
          <w:lang w:val="fr-FR"/>
        </w:rPr>
        <w:t xml:space="preserve">exécution du programme </w:t>
      </w:r>
      <w:r w:rsidR="00431C11" w:rsidRPr="003B2B89">
        <w:rPr>
          <w:i/>
          <w:color w:val="000000"/>
          <w:szCs w:val="22"/>
          <w:lang w:val="fr-FR"/>
        </w:rPr>
        <w:t>en</w:t>
      </w:r>
      <w:r w:rsidR="00431C11">
        <w:rPr>
          <w:i/>
          <w:color w:val="000000"/>
          <w:szCs w:val="22"/>
          <w:lang w:val="fr-FR"/>
        </w:rPr>
        <w:t> </w:t>
      </w:r>
      <w:r w:rsidR="00431C11" w:rsidRPr="003B2B89">
        <w:rPr>
          <w:i/>
          <w:color w:val="000000"/>
          <w:szCs w:val="22"/>
          <w:lang w:val="fr-FR"/>
        </w:rPr>
        <w:t>2016</w:t>
      </w:r>
      <w:r w:rsidRPr="003B2B89">
        <w:rPr>
          <w:i/>
          <w:color w:val="000000"/>
          <w:szCs w:val="22"/>
          <w:lang w:val="fr-FR"/>
        </w:rPr>
        <w:t xml:space="preserve"> (document WO/</w:t>
      </w:r>
      <w:r w:rsidRPr="003B2B89">
        <w:rPr>
          <w:i/>
          <w:szCs w:val="22"/>
          <w:lang w:val="fr-FR"/>
        </w:rPr>
        <w:t>PBC</w:t>
      </w:r>
      <w:r w:rsidRPr="003B2B89">
        <w:rPr>
          <w:i/>
          <w:color w:val="000000"/>
          <w:szCs w:val="22"/>
          <w:lang w:val="fr-FR"/>
        </w:rPr>
        <w:t>/26/2) et tenant compte de son caractère d</w:t>
      </w:r>
      <w:r w:rsidR="00175C36">
        <w:rPr>
          <w:i/>
          <w:color w:val="000000"/>
          <w:szCs w:val="22"/>
          <w:lang w:val="fr-FR"/>
        </w:rPr>
        <w:t>’</w:t>
      </w:r>
      <w:r w:rsidRPr="003B2B89">
        <w:rPr>
          <w:i/>
          <w:color w:val="000000"/>
          <w:szCs w:val="22"/>
          <w:lang w:val="fr-FR"/>
        </w:rPr>
        <w:t>autoévaluation du Secrétariat, a recommandé que les assemblées de l</w:t>
      </w:r>
      <w:r w:rsidR="00175C36">
        <w:rPr>
          <w:i/>
          <w:color w:val="000000"/>
          <w:szCs w:val="22"/>
          <w:lang w:val="fr-FR"/>
        </w:rPr>
        <w:t>’</w:t>
      </w:r>
      <w:r w:rsidRPr="003B2B89">
        <w:rPr>
          <w:i/>
          <w:szCs w:val="22"/>
          <w:lang w:val="fr-FR"/>
        </w:rPr>
        <w:t>OMPI</w:t>
      </w:r>
      <w:r w:rsidRPr="003B2B89">
        <w:rPr>
          <w:i/>
          <w:color w:val="000000"/>
          <w:szCs w:val="22"/>
          <w:lang w:val="fr-FR"/>
        </w:rPr>
        <w:t xml:space="preserve"> </w:t>
      </w:r>
      <w:r w:rsidR="003B2B89">
        <w:rPr>
          <w:i/>
          <w:color w:val="000000"/>
          <w:szCs w:val="22"/>
          <w:lang w:val="fr-FR"/>
        </w:rPr>
        <w:t>p</w:t>
      </w:r>
      <w:r w:rsidRPr="003B2B89">
        <w:rPr>
          <w:i/>
          <w:color w:val="000000"/>
          <w:szCs w:val="22"/>
          <w:lang w:val="fr-FR"/>
        </w:rPr>
        <w:t xml:space="preserve">rennent acte des progrès accomplis par les programmes </w:t>
      </w:r>
      <w:r w:rsidR="00610DB0" w:rsidRPr="003B2B89">
        <w:rPr>
          <w:i/>
          <w:color w:val="000000"/>
          <w:szCs w:val="22"/>
          <w:lang w:val="fr-FR"/>
        </w:rPr>
        <w:t>en 2016</w:t>
      </w:r>
      <w:r w:rsidRPr="003B2B89">
        <w:rPr>
          <w:i/>
          <w:color w:val="000000"/>
          <w:szCs w:val="22"/>
          <w:lang w:val="fr-FR"/>
        </w:rPr>
        <w:t xml:space="preserve"> dans la réalisation des résultats escomptés.</w:t>
      </w:r>
    </w:p>
    <w:p w:rsidR="00582AFF" w:rsidRDefault="00582AFF">
      <w:pPr>
        <w:rPr>
          <w:lang w:val="fr-FR"/>
        </w:rPr>
      </w:pPr>
    </w:p>
    <w:p w:rsidR="00582AFF" w:rsidRDefault="00C03B03" w:rsidP="003B2B89">
      <w:pPr>
        <w:pStyle w:val="ListParagraph"/>
        <w:numPr>
          <w:ilvl w:val="0"/>
          <w:numId w:val="8"/>
        </w:numPr>
        <w:spacing w:before="120" w:after="120"/>
        <w:ind w:left="3686" w:hanging="3686"/>
        <w:contextualSpacing w:val="0"/>
        <w:rPr>
          <w:lang w:val="fr-FR"/>
        </w:rPr>
      </w:pPr>
      <w:r w:rsidRPr="003B2B89">
        <w:rPr>
          <w:color w:val="000000"/>
          <w:lang w:val="fr-FR"/>
        </w:rPr>
        <w:t>SITUATION FINANCIÈRE À LA FIN DE 2016</w:t>
      </w:r>
      <w:r w:rsidR="00175C36">
        <w:rPr>
          <w:color w:val="000000"/>
          <w:lang w:val="fr-FR"/>
        </w:rPr>
        <w:t> :</w:t>
      </w:r>
      <w:r w:rsidRPr="003B2B89">
        <w:rPr>
          <w:color w:val="000000"/>
          <w:lang w:val="fr-FR"/>
        </w:rPr>
        <w:t xml:space="preserve"> RÉSULTATS PRÉLIMINAIRES</w:t>
      </w:r>
    </w:p>
    <w:p w:rsidR="00582AFF" w:rsidRDefault="00D218EA" w:rsidP="003B2B89">
      <w:pPr>
        <w:spacing w:after="120"/>
        <w:rPr>
          <w:lang w:val="fr-FR"/>
        </w:rPr>
      </w:pPr>
      <w:r w:rsidRPr="00603DD6">
        <w:rPr>
          <w:lang w:val="fr-FR"/>
        </w:rPr>
        <w:t>document WO/PBC/26/INF.1</w:t>
      </w:r>
      <w:r w:rsidRPr="00603DD6">
        <w:rPr>
          <w:color w:val="000000"/>
          <w:lang w:val="fr-FR"/>
        </w:rPr>
        <w:t>.</w:t>
      </w:r>
    </w:p>
    <w:p w:rsidR="00582AFF" w:rsidRDefault="00582AFF" w:rsidP="00FB3A88">
      <w:pPr>
        <w:rPr>
          <w:lang w:val="fr-FR"/>
        </w:rPr>
      </w:pPr>
    </w:p>
    <w:p w:rsidR="00582AFF" w:rsidRDefault="00C03B03" w:rsidP="003B2B89">
      <w:pPr>
        <w:pStyle w:val="ListParagraph"/>
        <w:numPr>
          <w:ilvl w:val="0"/>
          <w:numId w:val="8"/>
        </w:numPr>
        <w:spacing w:before="120" w:after="120"/>
        <w:ind w:left="3686" w:hanging="3686"/>
        <w:contextualSpacing w:val="0"/>
        <w:rPr>
          <w:lang w:val="fr-FR"/>
        </w:rPr>
      </w:pPr>
      <w:r w:rsidRPr="003B2B89">
        <w:rPr>
          <w:lang w:val="fr-FR"/>
        </w:rPr>
        <w:lastRenderedPageBreak/>
        <w:t>PROJET DE PROGRAMME ET BUDGET PROPOSÉ POUR L</w:t>
      </w:r>
      <w:r w:rsidR="00175C36">
        <w:rPr>
          <w:lang w:val="fr-FR"/>
        </w:rPr>
        <w:t>’</w:t>
      </w:r>
      <w:r w:rsidRPr="003B2B89">
        <w:rPr>
          <w:lang w:val="fr-FR"/>
        </w:rPr>
        <w:t>EXERCICE BIENNAL 2018</w:t>
      </w:r>
      <w:r w:rsidR="00F52085">
        <w:rPr>
          <w:lang w:val="fr-FR"/>
        </w:rPr>
        <w:noBreakHyphen/>
      </w:r>
      <w:r w:rsidRPr="003B2B89">
        <w:rPr>
          <w:lang w:val="fr-FR"/>
        </w:rPr>
        <w:t>2019</w:t>
      </w:r>
    </w:p>
    <w:p w:rsidR="00582AFF" w:rsidRDefault="000D57BD" w:rsidP="003B2B89">
      <w:pPr>
        <w:rPr>
          <w:lang w:val="fr-FR"/>
        </w:rPr>
      </w:pPr>
      <w:r>
        <w:rPr>
          <w:color w:val="000000"/>
          <w:lang w:val="fr-FR"/>
        </w:rPr>
        <w:t>d</w:t>
      </w:r>
      <w:r w:rsidR="00D218EA" w:rsidRPr="003B2B89">
        <w:rPr>
          <w:lang w:val="fr-FR"/>
        </w:rPr>
        <w:t>ocuments</w:t>
      </w:r>
      <w:r>
        <w:rPr>
          <w:lang w:val="fr-FR"/>
        </w:rPr>
        <w:t> :</w:t>
      </w:r>
    </w:p>
    <w:p w:rsidR="00582AFF" w:rsidRDefault="00D218EA" w:rsidP="003B2B89">
      <w:pPr>
        <w:rPr>
          <w:lang w:val="fr-FR"/>
        </w:rPr>
      </w:pPr>
      <w:r w:rsidRPr="003B2B89">
        <w:rPr>
          <w:color w:val="000000"/>
          <w:lang w:val="fr-FR"/>
        </w:rPr>
        <w:t>WO/</w:t>
      </w:r>
      <w:r w:rsidRPr="003B2B89">
        <w:rPr>
          <w:lang w:val="fr-FR"/>
        </w:rPr>
        <w:t>PBC</w:t>
      </w:r>
      <w:r w:rsidRPr="003B2B89">
        <w:rPr>
          <w:color w:val="000000"/>
          <w:lang w:val="fr-FR"/>
        </w:rPr>
        <w:t>/26/3 et WO/</w:t>
      </w:r>
      <w:r w:rsidRPr="003B2B89">
        <w:rPr>
          <w:lang w:val="fr-FR"/>
        </w:rPr>
        <w:t>PBC</w:t>
      </w:r>
      <w:r w:rsidRPr="003B2B89">
        <w:rPr>
          <w:color w:val="000000"/>
          <w:lang w:val="fr-FR"/>
        </w:rPr>
        <w:t>/26/9.</w:t>
      </w:r>
    </w:p>
    <w:p w:rsidR="00582AFF" w:rsidRDefault="00582AFF" w:rsidP="003B2B89">
      <w:pPr>
        <w:rPr>
          <w:lang w:val="fr-FR"/>
        </w:rPr>
      </w:pPr>
    </w:p>
    <w:p w:rsidR="0022022A" w:rsidRPr="002D00E2" w:rsidRDefault="0022022A" w:rsidP="00087CF3">
      <w:pPr>
        <w:pStyle w:val="ListParagraph"/>
        <w:numPr>
          <w:ilvl w:val="0"/>
          <w:numId w:val="16"/>
        </w:numPr>
        <w:ind w:left="0" w:firstLine="0"/>
        <w:rPr>
          <w:i/>
          <w:lang w:val="fr-FR"/>
        </w:rPr>
      </w:pPr>
      <w:r w:rsidRPr="002D00E2">
        <w:rPr>
          <w:i/>
          <w:lang w:val="fr-FR"/>
        </w:rPr>
        <w:t>Le Comité du programme et budget, ayant achevé une première lecture par objectif stratégique du projet de programme et budget proposé pour l’exercice biennal 2018</w:t>
      </w:r>
      <w:r w:rsidR="00F52085">
        <w:rPr>
          <w:i/>
          <w:lang w:val="fr-FR"/>
        </w:rPr>
        <w:noBreakHyphen/>
      </w:r>
      <w:r w:rsidRPr="002D00E2">
        <w:rPr>
          <w:i/>
          <w:lang w:val="fr-FR"/>
        </w:rPr>
        <w:t>2019 (document WO/PBC/26/3) :</w:t>
      </w:r>
    </w:p>
    <w:p w:rsidR="0022022A" w:rsidRPr="002D00E2" w:rsidRDefault="0022022A" w:rsidP="0022022A">
      <w:pPr>
        <w:pStyle w:val="ONUME"/>
        <w:spacing w:after="0"/>
        <w:rPr>
          <w:i/>
          <w:lang w:val="fr-FR"/>
        </w:rPr>
      </w:pPr>
    </w:p>
    <w:p w:rsidR="0022022A" w:rsidRPr="002D00E2" w:rsidRDefault="0022022A" w:rsidP="0022022A">
      <w:pPr>
        <w:pStyle w:val="ListParagraph"/>
        <w:numPr>
          <w:ilvl w:val="0"/>
          <w:numId w:val="24"/>
        </w:numPr>
        <w:tabs>
          <w:tab w:val="left" w:pos="1170"/>
        </w:tabs>
        <w:ind w:left="540" w:firstLine="0"/>
        <w:rPr>
          <w:i/>
          <w:lang w:val="fr-FR"/>
        </w:rPr>
      </w:pPr>
      <w:r w:rsidRPr="002D00E2">
        <w:rPr>
          <w:i/>
          <w:lang w:val="fr-FR"/>
        </w:rPr>
        <w:t>a approuvé les modifications des exposés des programmes et du tableau des résultats proposées par les États membres dans les programmes</w:t>
      </w:r>
      <w:r>
        <w:rPr>
          <w:i/>
          <w:lang w:val="fr-FR"/>
        </w:rPr>
        <w:t> 3, 4, 5, 8, 13 et </w:t>
      </w:r>
      <w:r w:rsidRPr="002D00E2">
        <w:rPr>
          <w:i/>
          <w:lang w:val="fr-FR"/>
        </w:rPr>
        <w:t>30;</w:t>
      </w:r>
    </w:p>
    <w:p w:rsidR="0022022A" w:rsidRPr="002D00E2" w:rsidRDefault="0022022A" w:rsidP="0022022A">
      <w:pPr>
        <w:pStyle w:val="ONUME"/>
        <w:spacing w:after="0"/>
        <w:rPr>
          <w:i/>
          <w:lang w:val="fr-FR"/>
        </w:rPr>
      </w:pPr>
    </w:p>
    <w:p w:rsidR="0022022A" w:rsidRPr="002D00E2" w:rsidRDefault="0022022A" w:rsidP="0022022A">
      <w:pPr>
        <w:pStyle w:val="ListParagraph"/>
        <w:numPr>
          <w:ilvl w:val="0"/>
          <w:numId w:val="24"/>
        </w:numPr>
        <w:tabs>
          <w:tab w:val="left" w:pos="1170"/>
        </w:tabs>
        <w:ind w:left="540" w:firstLine="0"/>
        <w:rPr>
          <w:i/>
          <w:lang w:val="fr-FR"/>
        </w:rPr>
      </w:pPr>
      <w:r w:rsidRPr="002D00E2">
        <w:rPr>
          <w:i/>
          <w:lang w:val="fr-FR"/>
        </w:rPr>
        <w:t>a prié le Secrétariat d’établir, pour la prochaine session du PBC, une version révisée du projet de programme et budget pour l’exercice biennal 2018</w:t>
      </w:r>
      <w:r w:rsidR="00F52085">
        <w:rPr>
          <w:i/>
          <w:lang w:val="fr-FR"/>
        </w:rPr>
        <w:noBreakHyphen/>
      </w:r>
      <w:r w:rsidRPr="002D00E2">
        <w:rPr>
          <w:i/>
          <w:lang w:val="fr-FR"/>
        </w:rPr>
        <w:t>2019 sur la base du point i) et des dépenses de personnel tenant compte de la décision de la CFPI ainsi que du résultat des consultations entre les organisations basées à Genève et la CFPI à Vienne.  Dans ce contexte, le PBC a pris note de la clarification apportée par le conseiller juridique de l’OMPI;</w:t>
      </w:r>
    </w:p>
    <w:p w:rsidR="0022022A" w:rsidRPr="00423213" w:rsidRDefault="0022022A" w:rsidP="0022022A">
      <w:pPr>
        <w:rPr>
          <w:i/>
          <w:lang w:val="fr-FR"/>
        </w:rPr>
      </w:pPr>
    </w:p>
    <w:p w:rsidR="0022022A" w:rsidRPr="002D00E2" w:rsidRDefault="0022022A" w:rsidP="0022022A">
      <w:pPr>
        <w:pStyle w:val="ListParagraph"/>
        <w:numPr>
          <w:ilvl w:val="0"/>
          <w:numId w:val="24"/>
        </w:numPr>
        <w:tabs>
          <w:tab w:val="left" w:pos="1170"/>
        </w:tabs>
        <w:ind w:left="540" w:firstLine="0"/>
        <w:rPr>
          <w:i/>
          <w:lang w:val="fr-FR"/>
        </w:rPr>
      </w:pPr>
      <w:r w:rsidRPr="002D00E2">
        <w:rPr>
          <w:i/>
          <w:lang w:val="fr-FR"/>
        </w:rPr>
        <w:t>a pris note, notamment, des questions en suspens dans les programmes ci</w:t>
      </w:r>
      <w:r w:rsidR="00F52085">
        <w:rPr>
          <w:i/>
          <w:lang w:val="fr-FR"/>
        </w:rPr>
        <w:noBreakHyphen/>
      </w:r>
      <w:r w:rsidRPr="002D00E2">
        <w:rPr>
          <w:i/>
          <w:lang w:val="fr-FR"/>
        </w:rPr>
        <w:t>après, appelant un complément d’examen à la prochaine session du Comité du programme et budget :</w:t>
      </w:r>
    </w:p>
    <w:p w:rsidR="0022022A" w:rsidRPr="002D00E2" w:rsidRDefault="0022022A" w:rsidP="0022022A">
      <w:pPr>
        <w:pStyle w:val="ONUME"/>
        <w:spacing w:after="0"/>
        <w:rPr>
          <w:i/>
          <w:lang w:val="fr-FR"/>
        </w:rPr>
      </w:pPr>
    </w:p>
    <w:p w:rsidR="0022022A" w:rsidRPr="002D00E2" w:rsidRDefault="0022022A" w:rsidP="0022022A">
      <w:pPr>
        <w:pStyle w:val="ONUME"/>
        <w:numPr>
          <w:ilvl w:val="1"/>
          <w:numId w:val="11"/>
        </w:numPr>
        <w:tabs>
          <w:tab w:val="left" w:pos="1701"/>
        </w:tabs>
        <w:spacing w:after="0"/>
        <w:ind w:left="1170" w:firstLine="0"/>
        <w:rPr>
          <w:i/>
          <w:lang w:val="fr-FR"/>
        </w:rPr>
      </w:pPr>
      <w:r w:rsidRPr="002D00E2">
        <w:rPr>
          <w:i/>
          <w:lang w:val="fr-FR"/>
        </w:rPr>
        <w:t>principaux indicateurs d’exécution dans le programme</w:t>
      </w:r>
      <w:r>
        <w:rPr>
          <w:i/>
          <w:lang w:val="fr-FR"/>
        </w:rPr>
        <w:t> </w:t>
      </w:r>
      <w:r w:rsidRPr="002D00E2">
        <w:rPr>
          <w:i/>
          <w:lang w:val="fr-FR"/>
        </w:rPr>
        <w:t>15;  et</w:t>
      </w:r>
    </w:p>
    <w:p w:rsidR="0022022A" w:rsidRPr="002D00E2" w:rsidRDefault="0022022A" w:rsidP="0022022A">
      <w:pPr>
        <w:pStyle w:val="ONUME"/>
        <w:tabs>
          <w:tab w:val="left" w:pos="1701"/>
        </w:tabs>
        <w:spacing w:after="0"/>
        <w:ind w:left="1170"/>
        <w:rPr>
          <w:i/>
          <w:lang w:val="fr-FR"/>
        </w:rPr>
      </w:pPr>
    </w:p>
    <w:p w:rsidR="0022022A" w:rsidRPr="002D00E2" w:rsidRDefault="00F52085" w:rsidP="0022022A">
      <w:pPr>
        <w:pStyle w:val="ONUME"/>
        <w:numPr>
          <w:ilvl w:val="1"/>
          <w:numId w:val="11"/>
        </w:numPr>
        <w:tabs>
          <w:tab w:val="left" w:pos="1701"/>
        </w:tabs>
        <w:spacing w:after="0"/>
        <w:ind w:left="1170" w:firstLine="0"/>
        <w:rPr>
          <w:i/>
          <w:lang w:val="fr-FR"/>
        </w:rPr>
      </w:pPr>
      <w:r>
        <w:rPr>
          <w:i/>
          <w:lang w:val="fr-FR"/>
        </w:rPr>
        <w:t>d</w:t>
      </w:r>
      <w:r w:rsidR="0022022A" w:rsidRPr="002D00E2">
        <w:rPr>
          <w:i/>
          <w:lang w:val="fr-FR"/>
        </w:rPr>
        <w:t>escription et indicateurs d’exécution dans les programmes</w:t>
      </w:r>
      <w:r w:rsidR="0022022A">
        <w:rPr>
          <w:i/>
          <w:lang w:val="fr-FR"/>
        </w:rPr>
        <w:t> 9, 10, 20 et </w:t>
      </w:r>
      <w:r w:rsidR="0022022A" w:rsidRPr="002D00E2">
        <w:rPr>
          <w:i/>
          <w:lang w:val="fr-FR"/>
        </w:rPr>
        <w:t>32.</w:t>
      </w:r>
    </w:p>
    <w:p w:rsidR="0022022A" w:rsidRPr="00423213" w:rsidRDefault="0022022A" w:rsidP="0022022A">
      <w:pPr>
        <w:rPr>
          <w:i/>
          <w:lang w:val="fr-FR"/>
        </w:rPr>
      </w:pPr>
    </w:p>
    <w:p w:rsidR="0022022A" w:rsidRPr="0022022A" w:rsidRDefault="0022022A" w:rsidP="0022022A">
      <w:pPr>
        <w:pStyle w:val="ListParagraph"/>
        <w:numPr>
          <w:ilvl w:val="0"/>
          <w:numId w:val="24"/>
        </w:numPr>
        <w:tabs>
          <w:tab w:val="left" w:pos="1170"/>
        </w:tabs>
        <w:ind w:left="540" w:firstLine="0"/>
        <w:rPr>
          <w:i/>
          <w:lang w:val="fr-FR"/>
        </w:rPr>
      </w:pPr>
      <w:r w:rsidRPr="0022022A">
        <w:rPr>
          <w:i/>
          <w:lang w:val="fr-FR"/>
        </w:rPr>
        <w:t>a pris note du fait que les questions suivantes étaient renvoyées à la vingt</w:t>
      </w:r>
      <w:r w:rsidR="00F52085">
        <w:rPr>
          <w:i/>
          <w:lang w:val="fr-FR"/>
        </w:rPr>
        <w:noBreakHyphen/>
      </w:r>
      <w:r w:rsidRPr="0022022A">
        <w:rPr>
          <w:i/>
          <w:lang w:val="fr-FR"/>
        </w:rPr>
        <w:t>septième session du PBC :</w:t>
      </w:r>
    </w:p>
    <w:p w:rsidR="0022022A" w:rsidRPr="002D00E2" w:rsidRDefault="0022022A" w:rsidP="0022022A">
      <w:pPr>
        <w:pStyle w:val="PlainText"/>
        <w:rPr>
          <w:rFonts w:ascii="Arial" w:hAnsi="Arial" w:cs="Arial"/>
          <w:i/>
          <w:lang w:val="fr-FR"/>
        </w:rPr>
      </w:pPr>
    </w:p>
    <w:p w:rsidR="0022022A" w:rsidRPr="002D00E2" w:rsidRDefault="0022022A" w:rsidP="0022022A">
      <w:pPr>
        <w:pStyle w:val="ONUME"/>
        <w:numPr>
          <w:ilvl w:val="0"/>
          <w:numId w:val="25"/>
        </w:numPr>
        <w:tabs>
          <w:tab w:val="left" w:pos="1701"/>
        </w:tabs>
        <w:spacing w:after="0"/>
        <w:ind w:left="1170" w:firstLine="0"/>
        <w:rPr>
          <w:i/>
          <w:lang w:val="fr-FR"/>
        </w:rPr>
      </w:pPr>
      <w:r w:rsidRPr="002D00E2">
        <w:rPr>
          <w:i/>
          <w:lang w:val="fr-FR"/>
        </w:rPr>
        <w:t>diminution de 10</w:t>
      </w:r>
      <w:r>
        <w:rPr>
          <w:i/>
          <w:lang w:val="fr-FR"/>
        </w:rPr>
        <w:t>%</w:t>
      </w:r>
      <w:r w:rsidRPr="002D00E2">
        <w:rPr>
          <w:i/>
          <w:lang w:val="fr-FR"/>
        </w:rPr>
        <w:t xml:space="preserve"> de la valeur de l’unité de contribution;</w:t>
      </w:r>
    </w:p>
    <w:p w:rsidR="0022022A" w:rsidRPr="002D00E2" w:rsidRDefault="0022022A" w:rsidP="0022022A">
      <w:pPr>
        <w:pStyle w:val="ONUME"/>
        <w:tabs>
          <w:tab w:val="left" w:pos="1701"/>
        </w:tabs>
        <w:spacing w:after="0"/>
        <w:rPr>
          <w:i/>
          <w:lang w:val="fr-FR"/>
        </w:rPr>
      </w:pPr>
    </w:p>
    <w:p w:rsidR="0022022A" w:rsidRPr="002D00E2" w:rsidRDefault="0022022A" w:rsidP="0022022A">
      <w:pPr>
        <w:pStyle w:val="ONUME"/>
        <w:numPr>
          <w:ilvl w:val="0"/>
          <w:numId w:val="25"/>
        </w:numPr>
        <w:tabs>
          <w:tab w:val="left" w:pos="1701"/>
        </w:tabs>
        <w:spacing w:after="0"/>
        <w:ind w:left="1170" w:firstLine="0"/>
        <w:rPr>
          <w:i/>
          <w:lang w:val="fr-FR"/>
        </w:rPr>
      </w:pPr>
      <w:r w:rsidRPr="002D00E2">
        <w:rPr>
          <w:i/>
          <w:lang w:val="fr-FR"/>
        </w:rPr>
        <w:t>méthodologie de répartition entre les unions utilisée pour l’établissement de l’annexe III : Répartition des recettes et des dépenses en 2018</w:t>
      </w:r>
      <w:r w:rsidR="00F52085">
        <w:rPr>
          <w:i/>
          <w:lang w:val="fr-FR"/>
        </w:rPr>
        <w:noBreakHyphen/>
      </w:r>
      <w:r w:rsidRPr="002D00E2">
        <w:rPr>
          <w:i/>
          <w:lang w:val="fr-FR"/>
        </w:rPr>
        <w:t>2019;  et</w:t>
      </w:r>
    </w:p>
    <w:p w:rsidR="0022022A" w:rsidRPr="002D00E2" w:rsidRDefault="0022022A" w:rsidP="0022022A">
      <w:pPr>
        <w:pStyle w:val="ONUME"/>
        <w:tabs>
          <w:tab w:val="left" w:pos="1701"/>
        </w:tabs>
        <w:spacing w:after="0"/>
        <w:rPr>
          <w:i/>
          <w:lang w:val="fr-FR"/>
        </w:rPr>
      </w:pPr>
    </w:p>
    <w:p w:rsidR="0022022A" w:rsidRPr="002D00E2" w:rsidRDefault="0022022A" w:rsidP="0022022A">
      <w:pPr>
        <w:pStyle w:val="ONUME"/>
        <w:numPr>
          <w:ilvl w:val="0"/>
          <w:numId w:val="25"/>
        </w:numPr>
        <w:tabs>
          <w:tab w:val="left" w:pos="1701"/>
        </w:tabs>
        <w:spacing w:after="0"/>
        <w:ind w:left="1170" w:firstLine="0"/>
        <w:rPr>
          <w:i/>
          <w:lang w:val="fr-FR"/>
        </w:rPr>
      </w:pPr>
      <w:r w:rsidRPr="002D00E2">
        <w:rPr>
          <w:i/>
          <w:lang w:val="fr-FR"/>
        </w:rPr>
        <w:t>conditions concernant la provision pour le financement d’une conférence diplomatique au cours de l’exercice biennal 2018</w:t>
      </w:r>
      <w:r w:rsidR="00F52085">
        <w:rPr>
          <w:i/>
          <w:lang w:val="fr-FR"/>
        </w:rPr>
        <w:noBreakHyphen/>
      </w:r>
      <w:r w:rsidRPr="002D00E2">
        <w:rPr>
          <w:i/>
          <w:lang w:val="fr-FR"/>
        </w:rPr>
        <w:t>2019.</w:t>
      </w:r>
    </w:p>
    <w:p w:rsidR="00103FFD" w:rsidRPr="00103FFD" w:rsidRDefault="00103FFD" w:rsidP="00103FFD">
      <w:pPr>
        <w:rPr>
          <w:i/>
          <w:iCs/>
          <w:lang w:val="fr-FR"/>
        </w:rPr>
      </w:pPr>
    </w:p>
    <w:p w:rsidR="000D57BD" w:rsidRDefault="000D57BD" w:rsidP="00087CF3">
      <w:pPr>
        <w:pStyle w:val="ListParagraph"/>
        <w:numPr>
          <w:ilvl w:val="0"/>
          <w:numId w:val="16"/>
        </w:numPr>
        <w:ind w:left="0" w:firstLine="0"/>
        <w:rPr>
          <w:i/>
          <w:iCs/>
          <w:lang w:val="fr-FR"/>
        </w:rPr>
      </w:pPr>
      <w:r>
        <w:rPr>
          <w:i/>
          <w:iCs/>
          <w:lang w:val="fr-FR"/>
        </w:rPr>
        <w:t>Le Comité du programme et budget, ayant examiné le plan</w:t>
      </w:r>
      <w:r w:rsidR="00F52085">
        <w:rPr>
          <w:i/>
          <w:iCs/>
          <w:lang w:val="fr-FR"/>
        </w:rPr>
        <w:noBreakHyphen/>
      </w:r>
      <w:r>
        <w:rPr>
          <w:i/>
          <w:iCs/>
          <w:lang w:val="fr-FR"/>
        </w:rPr>
        <w:t>cadre d’équipement (</w:t>
      </w:r>
      <w:r w:rsidRPr="00087CF3">
        <w:rPr>
          <w:i/>
          <w:lang w:val="fr-FR"/>
        </w:rPr>
        <w:t>document</w:t>
      </w:r>
      <w:r>
        <w:rPr>
          <w:i/>
          <w:iCs/>
          <w:lang w:val="fr-FR"/>
        </w:rPr>
        <w:t xml:space="preserve"> WO/PBC/26/9) pour 2018</w:t>
      </w:r>
      <w:r w:rsidR="00F52085">
        <w:rPr>
          <w:i/>
          <w:iCs/>
          <w:lang w:val="fr-FR"/>
        </w:rPr>
        <w:noBreakHyphen/>
      </w:r>
      <w:r>
        <w:rPr>
          <w:i/>
          <w:iCs/>
          <w:lang w:val="fr-FR"/>
        </w:rPr>
        <w:t>2027 :</w:t>
      </w:r>
    </w:p>
    <w:p w:rsidR="000D57BD" w:rsidRDefault="000D57BD" w:rsidP="000D57BD">
      <w:pPr>
        <w:pStyle w:val="ListParagraph"/>
        <w:ind w:left="567"/>
        <w:rPr>
          <w:i/>
          <w:iCs/>
          <w:lang w:val="fr-FR"/>
        </w:rPr>
      </w:pPr>
    </w:p>
    <w:p w:rsidR="000D57BD" w:rsidRDefault="000D57BD" w:rsidP="000D57BD">
      <w:pPr>
        <w:pStyle w:val="ListParagraph"/>
        <w:numPr>
          <w:ilvl w:val="0"/>
          <w:numId w:val="21"/>
        </w:numPr>
        <w:tabs>
          <w:tab w:val="left" w:pos="1170"/>
        </w:tabs>
        <w:spacing w:after="120"/>
        <w:ind w:left="540" w:firstLine="0"/>
        <w:rPr>
          <w:i/>
          <w:iCs/>
          <w:lang w:val="fr-FR"/>
        </w:rPr>
      </w:pPr>
      <w:r>
        <w:rPr>
          <w:i/>
          <w:iCs/>
          <w:lang w:val="fr-FR"/>
        </w:rPr>
        <w:t>a débattu en détail et approuvé les objectifs, les avantages escomptés et les facteurs déterminants des investissements dans les domaines des TIC, de la sûreté et de la sécurité et des locaux proposés dans le plan</w:t>
      </w:r>
      <w:r w:rsidR="00F52085">
        <w:rPr>
          <w:i/>
          <w:iCs/>
          <w:lang w:val="fr-FR"/>
        </w:rPr>
        <w:noBreakHyphen/>
      </w:r>
      <w:r>
        <w:rPr>
          <w:i/>
          <w:iCs/>
          <w:lang w:val="fr-FR"/>
        </w:rPr>
        <w:t>cadre d’équipement pour 2018</w:t>
      </w:r>
      <w:r w:rsidR="00F52085">
        <w:rPr>
          <w:i/>
          <w:iCs/>
          <w:lang w:val="fr-FR"/>
        </w:rPr>
        <w:noBreakHyphen/>
      </w:r>
      <w:r>
        <w:rPr>
          <w:i/>
          <w:iCs/>
          <w:lang w:val="fr-FR"/>
        </w:rPr>
        <w:t>2019, pour un montant total de 25,5 millions de francs suisses;</w:t>
      </w:r>
    </w:p>
    <w:p w:rsidR="000D57BD" w:rsidRDefault="000D57BD" w:rsidP="000D57BD">
      <w:pPr>
        <w:pStyle w:val="ListParagraph"/>
        <w:tabs>
          <w:tab w:val="left" w:pos="1170"/>
        </w:tabs>
        <w:spacing w:after="120"/>
        <w:ind w:left="540"/>
        <w:rPr>
          <w:i/>
          <w:iCs/>
          <w:lang w:val="fr-FR"/>
        </w:rPr>
      </w:pPr>
    </w:p>
    <w:p w:rsidR="000D57BD" w:rsidRDefault="000D57BD" w:rsidP="000D57BD">
      <w:pPr>
        <w:pStyle w:val="ListParagraph"/>
        <w:numPr>
          <w:ilvl w:val="0"/>
          <w:numId w:val="21"/>
        </w:numPr>
        <w:tabs>
          <w:tab w:val="left" w:pos="1170"/>
        </w:tabs>
        <w:spacing w:after="120"/>
        <w:ind w:left="540" w:firstLine="0"/>
        <w:rPr>
          <w:i/>
          <w:iCs/>
          <w:lang w:val="fr-FR"/>
        </w:rPr>
      </w:pPr>
      <w:r>
        <w:rPr>
          <w:i/>
          <w:iCs/>
          <w:lang w:val="fr-FR"/>
        </w:rPr>
        <w:t>a souligné l’importance des projets d’équipement pour s’assurer que l’OMPI reste à même de remplir sa mission;  et</w:t>
      </w:r>
    </w:p>
    <w:p w:rsidR="000D57BD" w:rsidRDefault="000D57BD" w:rsidP="000D57BD">
      <w:pPr>
        <w:pStyle w:val="ListParagraph"/>
        <w:tabs>
          <w:tab w:val="left" w:pos="1170"/>
        </w:tabs>
        <w:spacing w:after="120"/>
        <w:ind w:left="540"/>
        <w:rPr>
          <w:i/>
          <w:iCs/>
          <w:lang w:val="fr-FR"/>
        </w:rPr>
      </w:pPr>
    </w:p>
    <w:p w:rsidR="000D57BD" w:rsidRDefault="000D57BD" w:rsidP="000D57BD">
      <w:pPr>
        <w:pStyle w:val="ListParagraph"/>
        <w:numPr>
          <w:ilvl w:val="0"/>
          <w:numId w:val="21"/>
        </w:numPr>
        <w:tabs>
          <w:tab w:val="left" w:pos="1170"/>
        </w:tabs>
        <w:spacing w:after="120"/>
        <w:ind w:left="540" w:firstLine="0"/>
        <w:rPr>
          <w:i/>
          <w:iCs/>
          <w:lang w:val="fr-FR"/>
        </w:rPr>
      </w:pPr>
      <w:r>
        <w:rPr>
          <w:i/>
          <w:iCs/>
          <w:lang w:val="fr-FR"/>
        </w:rPr>
        <w:t xml:space="preserve">a renvoyé notamment l’examen de la question de la répartition </w:t>
      </w:r>
      <w:r w:rsidR="008A696C">
        <w:rPr>
          <w:i/>
          <w:iCs/>
          <w:lang w:val="fr-FR"/>
        </w:rPr>
        <w:t xml:space="preserve">entre les unions </w:t>
      </w:r>
      <w:r>
        <w:rPr>
          <w:i/>
          <w:iCs/>
          <w:lang w:val="fr-FR"/>
        </w:rPr>
        <w:t>des pro</w:t>
      </w:r>
      <w:r w:rsidR="008A696C">
        <w:rPr>
          <w:i/>
          <w:iCs/>
          <w:lang w:val="fr-FR"/>
        </w:rPr>
        <w:t>jets proposés au titre</w:t>
      </w:r>
      <w:r>
        <w:rPr>
          <w:i/>
          <w:iCs/>
          <w:lang w:val="fr-FR"/>
        </w:rPr>
        <w:t xml:space="preserve"> du PCE 2018</w:t>
      </w:r>
      <w:r w:rsidR="00F52085">
        <w:rPr>
          <w:i/>
          <w:iCs/>
          <w:lang w:val="fr-FR"/>
        </w:rPr>
        <w:noBreakHyphen/>
      </w:r>
      <w:r>
        <w:rPr>
          <w:i/>
          <w:iCs/>
          <w:lang w:val="fr-FR"/>
        </w:rPr>
        <w:t>2019 à la vingt</w:t>
      </w:r>
      <w:r w:rsidR="00F52085">
        <w:rPr>
          <w:i/>
          <w:iCs/>
          <w:lang w:val="fr-FR"/>
        </w:rPr>
        <w:noBreakHyphen/>
      </w:r>
      <w:r>
        <w:rPr>
          <w:i/>
          <w:iCs/>
          <w:lang w:val="fr-FR"/>
        </w:rPr>
        <w:t>septième session du PBC.</w:t>
      </w:r>
    </w:p>
    <w:p w:rsidR="00582AFF" w:rsidRDefault="00582AFF" w:rsidP="00FB3A88">
      <w:pPr>
        <w:rPr>
          <w:lang w:val="fr-FR"/>
        </w:rPr>
      </w:pPr>
    </w:p>
    <w:p w:rsidR="00F52085" w:rsidRDefault="00F52085">
      <w:pPr>
        <w:rPr>
          <w:lang w:val="fr-FR"/>
        </w:rPr>
      </w:pPr>
      <w:r>
        <w:rPr>
          <w:lang w:val="fr-FR"/>
        </w:rPr>
        <w:br w:type="page"/>
      </w:r>
    </w:p>
    <w:p w:rsidR="00582AFF" w:rsidRDefault="00C03B03" w:rsidP="003B2B89">
      <w:pPr>
        <w:pStyle w:val="ListParagraph"/>
        <w:numPr>
          <w:ilvl w:val="0"/>
          <w:numId w:val="8"/>
        </w:numPr>
        <w:spacing w:before="120" w:after="120"/>
        <w:ind w:left="3686" w:hanging="3686"/>
        <w:contextualSpacing w:val="0"/>
        <w:rPr>
          <w:lang w:val="fr-FR"/>
        </w:rPr>
      </w:pPr>
      <w:r w:rsidRPr="003B2B89">
        <w:rPr>
          <w:lang w:val="fr-FR"/>
        </w:rPr>
        <w:lastRenderedPageBreak/>
        <w:t>MODIFICATIONS DE LA POLITIQUE EN MATIÈRE DE PLACEMENTS</w:t>
      </w:r>
    </w:p>
    <w:p w:rsidR="00582AFF" w:rsidRDefault="00D218EA" w:rsidP="00D218EA">
      <w:pPr>
        <w:rPr>
          <w:lang w:val="fr-FR"/>
        </w:rPr>
      </w:pPr>
      <w:r w:rsidRPr="003B2B89">
        <w:rPr>
          <w:lang w:val="fr-FR"/>
        </w:rPr>
        <w:t>document WO/PBC/26/4</w:t>
      </w:r>
      <w:r w:rsidR="00615754" w:rsidRPr="003B2B89">
        <w:rPr>
          <w:lang w:val="fr-FR"/>
        </w:rPr>
        <w:t> </w:t>
      </w:r>
      <w:proofErr w:type="spellStart"/>
      <w:r w:rsidRPr="003B2B89">
        <w:rPr>
          <w:lang w:val="fr-FR"/>
        </w:rPr>
        <w:t>Rev</w:t>
      </w:r>
      <w:proofErr w:type="spellEnd"/>
      <w:r w:rsidRPr="003B2B89">
        <w:rPr>
          <w:lang w:val="fr-FR"/>
        </w:rPr>
        <w:t>.</w:t>
      </w:r>
    </w:p>
    <w:p w:rsidR="00582AFF" w:rsidRDefault="00582AFF" w:rsidP="00E81B48">
      <w:pPr>
        <w:rPr>
          <w:lang w:val="fr-FR"/>
        </w:rPr>
      </w:pPr>
    </w:p>
    <w:p w:rsidR="00582AFF" w:rsidRDefault="00D218EA" w:rsidP="00D218EA">
      <w:pPr>
        <w:spacing w:after="120"/>
        <w:rPr>
          <w:i/>
          <w:iCs/>
          <w:lang w:val="fr-FR"/>
        </w:rPr>
      </w:pPr>
      <w:r w:rsidRPr="003B2B89">
        <w:rPr>
          <w:i/>
          <w:iCs/>
          <w:lang w:val="fr-FR"/>
        </w:rPr>
        <w:t>Le Comité du programme et budget (PBC) a recommandé que les assemblées des États membres de l</w:t>
      </w:r>
      <w:r w:rsidR="00175C36">
        <w:rPr>
          <w:i/>
          <w:iCs/>
          <w:lang w:val="fr-FR"/>
        </w:rPr>
        <w:t>’</w:t>
      </w:r>
      <w:r w:rsidRPr="003B2B89">
        <w:rPr>
          <w:i/>
          <w:iCs/>
          <w:lang w:val="fr-FR"/>
        </w:rPr>
        <w:t>OMPI, chacune pour ce qui la concerne, approuvent les modifications apportées à la politique en matière de placements (document WO/PBC/26/4</w:t>
      </w:r>
      <w:r w:rsidR="00615754" w:rsidRPr="003B2B89">
        <w:rPr>
          <w:i/>
          <w:iCs/>
          <w:lang w:val="fr-FR"/>
        </w:rPr>
        <w:t> </w:t>
      </w:r>
      <w:proofErr w:type="spellStart"/>
      <w:r w:rsidRPr="003B2B89">
        <w:rPr>
          <w:i/>
          <w:iCs/>
          <w:lang w:val="fr-FR"/>
        </w:rPr>
        <w:t>Rev</w:t>
      </w:r>
      <w:proofErr w:type="spellEnd"/>
      <w:r w:rsidRPr="003B2B89">
        <w:rPr>
          <w:i/>
          <w:iCs/>
          <w:lang w:val="fr-FR"/>
        </w:rPr>
        <w:t>.).</w:t>
      </w:r>
    </w:p>
    <w:p w:rsidR="00582AFF" w:rsidRDefault="00582AFF" w:rsidP="00E81B48">
      <w:pPr>
        <w:rPr>
          <w:lang w:val="fr-FR"/>
        </w:rPr>
      </w:pPr>
    </w:p>
    <w:p w:rsidR="00582AFF" w:rsidRDefault="00C03B03" w:rsidP="003B2B89">
      <w:pPr>
        <w:pStyle w:val="ListParagraph"/>
        <w:numPr>
          <w:ilvl w:val="0"/>
          <w:numId w:val="8"/>
        </w:numPr>
        <w:spacing w:before="120" w:after="120"/>
        <w:ind w:left="3686" w:hanging="3686"/>
        <w:contextualSpacing w:val="0"/>
        <w:rPr>
          <w:lang w:val="fr-FR"/>
        </w:rPr>
      </w:pPr>
      <w:r w:rsidRPr="003B2B89">
        <w:rPr>
          <w:lang w:val="fr-FR"/>
        </w:rPr>
        <w:t>PROPOSITIONS DE MODIFICATION DU RÈGLEMENT FINANCIER ET DE SON RÈGLEMENT D</w:t>
      </w:r>
      <w:r w:rsidR="00175C36">
        <w:rPr>
          <w:lang w:val="fr-FR"/>
        </w:rPr>
        <w:t>’</w:t>
      </w:r>
      <w:r w:rsidRPr="003B2B89">
        <w:rPr>
          <w:lang w:val="fr-FR"/>
        </w:rPr>
        <w:t xml:space="preserve">EXÉCUTION, </w:t>
      </w:r>
      <w:r w:rsidR="00175C36">
        <w:rPr>
          <w:lang w:val="fr-FR"/>
        </w:rPr>
        <w:t>Y COMPRIS</w:t>
      </w:r>
      <w:r w:rsidRPr="003B2B89">
        <w:rPr>
          <w:lang w:val="fr-FR"/>
        </w:rPr>
        <w:t xml:space="preserve"> LES MODIFICATIONS DU CADRE APPLICABLE AUX ACHATS</w:t>
      </w:r>
    </w:p>
    <w:p w:rsidR="00582AFF" w:rsidRDefault="00D218EA" w:rsidP="00D218EA">
      <w:pPr>
        <w:rPr>
          <w:lang w:val="fr-FR"/>
        </w:rPr>
      </w:pPr>
      <w:r w:rsidRPr="003B2B89">
        <w:rPr>
          <w:lang w:val="fr-FR"/>
        </w:rPr>
        <w:t>document WO/PBC/26/5</w:t>
      </w:r>
      <w:r w:rsidR="003B2B89">
        <w:rPr>
          <w:lang w:val="fr-FR"/>
        </w:rPr>
        <w:t>.</w:t>
      </w:r>
    </w:p>
    <w:p w:rsidR="00582AFF" w:rsidRDefault="00582AFF" w:rsidP="00D218EA">
      <w:pPr>
        <w:rPr>
          <w:lang w:val="fr-FR"/>
        </w:rPr>
      </w:pPr>
    </w:p>
    <w:p w:rsidR="00582AFF" w:rsidRDefault="00240529" w:rsidP="00D218EA">
      <w:pPr>
        <w:rPr>
          <w:i/>
          <w:lang w:val="fr-FR"/>
        </w:rPr>
      </w:pPr>
      <w:r>
        <w:rPr>
          <w:i/>
          <w:lang w:val="fr-FR"/>
        </w:rPr>
        <w:t>Le Comité du programme et budget</w:t>
      </w:r>
    </w:p>
    <w:p w:rsidR="00582AFF" w:rsidRDefault="00582AFF" w:rsidP="00F71412">
      <w:pPr>
        <w:rPr>
          <w:lang w:val="fr-FR"/>
        </w:rPr>
      </w:pPr>
    </w:p>
    <w:p w:rsidR="00582AFF" w:rsidRDefault="00D218EA" w:rsidP="00087CF3">
      <w:pPr>
        <w:pStyle w:val="ListParagraph"/>
        <w:numPr>
          <w:ilvl w:val="0"/>
          <w:numId w:val="22"/>
        </w:numPr>
        <w:ind w:left="0" w:firstLine="0"/>
        <w:rPr>
          <w:i/>
          <w:iCs/>
          <w:lang w:val="fr-FR"/>
        </w:rPr>
      </w:pPr>
      <w:r w:rsidRPr="003B2B89">
        <w:rPr>
          <w:i/>
          <w:iCs/>
          <w:lang w:val="fr-FR"/>
        </w:rPr>
        <w:t>a recommandé à l</w:t>
      </w:r>
      <w:r w:rsidR="00175C36">
        <w:rPr>
          <w:i/>
          <w:iCs/>
          <w:lang w:val="fr-FR"/>
        </w:rPr>
        <w:t>’</w:t>
      </w:r>
      <w:r w:rsidRPr="003B2B89">
        <w:rPr>
          <w:i/>
          <w:iCs/>
          <w:lang w:val="fr-FR"/>
        </w:rPr>
        <w:t>Assemblée générale de l</w:t>
      </w:r>
      <w:r w:rsidR="00175C36">
        <w:rPr>
          <w:i/>
          <w:iCs/>
          <w:lang w:val="fr-FR"/>
        </w:rPr>
        <w:t>’</w:t>
      </w:r>
      <w:r w:rsidRPr="003B2B89">
        <w:rPr>
          <w:i/>
          <w:iCs/>
          <w:lang w:val="fr-FR"/>
        </w:rPr>
        <w:t>OMPI d</w:t>
      </w:r>
      <w:r w:rsidR="00175C36">
        <w:rPr>
          <w:i/>
          <w:iCs/>
          <w:lang w:val="fr-FR"/>
        </w:rPr>
        <w:t>’</w:t>
      </w:r>
      <w:r w:rsidRPr="003B2B89">
        <w:rPr>
          <w:i/>
          <w:iCs/>
          <w:lang w:val="fr-FR"/>
        </w:rPr>
        <w:t>approuver l</w:t>
      </w:r>
      <w:r w:rsidR="00175C36">
        <w:rPr>
          <w:i/>
          <w:iCs/>
          <w:lang w:val="fr-FR"/>
        </w:rPr>
        <w:t>’</w:t>
      </w:r>
      <w:r w:rsidR="00610DB0" w:rsidRPr="003B2B89">
        <w:rPr>
          <w:i/>
          <w:iCs/>
          <w:lang w:val="fr-FR"/>
        </w:rPr>
        <w:t>article 5</w:t>
      </w:r>
      <w:r w:rsidRPr="003B2B89">
        <w:rPr>
          <w:i/>
          <w:iCs/>
          <w:color w:val="000000"/>
          <w:lang w:val="fr-FR"/>
        </w:rPr>
        <w:t>.</w:t>
      </w:r>
      <w:r w:rsidRPr="003B2B89">
        <w:rPr>
          <w:i/>
          <w:iCs/>
          <w:lang w:val="fr-FR"/>
        </w:rPr>
        <w:t>11 du Règlement financier, tel qu</w:t>
      </w:r>
      <w:r w:rsidR="00175C36">
        <w:rPr>
          <w:i/>
          <w:iCs/>
          <w:lang w:val="fr-FR"/>
        </w:rPr>
        <w:t>’</w:t>
      </w:r>
      <w:r w:rsidRPr="003B2B89">
        <w:rPr>
          <w:i/>
          <w:iCs/>
          <w:lang w:val="fr-FR"/>
        </w:rPr>
        <w:t xml:space="preserve">il </w:t>
      </w:r>
      <w:r w:rsidRPr="003B2B89">
        <w:rPr>
          <w:i/>
          <w:iCs/>
          <w:color w:val="000000"/>
          <w:lang w:val="fr-FR"/>
        </w:rPr>
        <w:t xml:space="preserve">figure </w:t>
      </w:r>
      <w:r w:rsidRPr="003B2B89">
        <w:rPr>
          <w:i/>
          <w:iCs/>
          <w:lang w:val="fr-FR"/>
        </w:rPr>
        <w:t xml:space="preserve">dans sa version modifiée </w:t>
      </w:r>
      <w:r w:rsidR="00C03B03" w:rsidRPr="003B2B89">
        <w:rPr>
          <w:i/>
          <w:iCs/>
          <w:lang w:val="fr-FR"/>
        </w:rPr>
        <w:t>à</w:t>
      </w:r>
      <w:r w:rsidRPr="003B2B89">
        <w:rPr>
          <w:i/>
          <w:iCs/>
          <w:lang w:val="fr-FR"/>
        </w:rPr>
        <w:t xml:space="preserve"> l</w:t>
      </w:r>
      <w:r w:rsidR="00175C36">
        <w:rPr>
          <w:i/>
          <w:iCs/>
          <w:lang w:val="fr-FR"/>
        </w:rPr>
        <w:t>’</w:t>
      </w:r>
      <w:r w:rsidR="00610DB0" w:rsidRPr="003B2B89">
        <w:rPr>
          <w:i/>
          <w:iCs/>
          <w:lang w:val="fr-FR"/>
        </w:rPr>
        <w:t>annexe I</w:t>
      </w:r>
      <w:r w:rsidR="00240529">
        <w:rPr>
          <w:i/>
          <w:iCs/>
          <w:lang w:val="fr-FR"/>
        </w:rPr>
        <w:t xml:space="preserve"> du document WO/PBC/26/5,</w:t>
      </w:r>
    </w:p>
    <w:p w:rsidR="00582AFF" w:rsidRDefault="00582AFF" w:rsidP="00751789">
      <w:pPr>
        <w:ind w:left="567" w:hanging="567"/>
        <w:rPr>
          <w:lang w:val="fr-FR"/>
        </w:rPr>
      </w:pPr>
    </w:p>
    <w:p w:rsidR="00582AFF" w:rsidRDefault="00E823E0" w:rsidP="00087CF3">
      <w:pPr>
        <w:pStyle w:val="ListParagraph"/>
        <w:numPr>
          <w:ilvl w:val="0"/>
          <w:numId w:val="22"/>
        </w:numPr>
        <w:ind w:left="0" w:firstLine="0"/>
        <w:rPr>
          <w:i/>
          <w:iCs/>
          <w:lang w:val="fr-FR"/>
        </w:rPr>
      </w:pPr>
      <w:r>
        <w:rPr>
          <w:i/>
          <w:iCs/>
          <w:lang w:val="fr-FR"/>
        </w:rPr>
        <w:t>a pris note i) </w:t>
      </w:r>
      <w:r w:rsidR="00FA08C6" w:rsidRPr="003B2B89">
        <w:rPr>
          <w:i/>
          <w:iCs/>
          <w:lang w:val="fr-FR"/>
        </w:rPr>
        <w:t xml:space="preserve">des modifications apportées aux </w:t>
      </w:r>
      <w:r w:rsidR="00610DB0" w:rsidRPr="003B2B89">
        <w:rPr>
          <w:i/>
          <w:iCs/>
          <w:lang w:val="fr-FR"/>
        </w:rPr>
        <w:t>règles 1</w:t>
      </w:r>
      <w:r w:rsidR="00FA08C6" w:rsidRPr="003B2B89">
        <w:rPr>
          <w:i/>
          <w:iCs/>
          <w:lang w:val="fr-FR"/>
        </w:rPr>
        <w:t>05</w:t>
      </w:r>
      <w:r w:rsidR="00FA08C6" w:rsidRPr="003B2B89">
        <w:rPr>
          <w:i/>
          <w:iCs/>
          <w:color w:val="000000"/>
          <w:lang w:val="fr-FR"/>
        </w:rPr>
        <w:t>.</w:t>
      </w:r>
      <w:r w:rsidR="00FA08C6" w:rsidRPr="003B2B89">
        <w:rPr>
          <w:i/>
          <w:iCs/>
          <w:lang w:val="fr-FR"/>
        </w:rPr>
        <w:t>12, 105</w:t>
      </w:r>
      <w:r w:rsidR="00FA08C6" w:rsidRPr="003B2B89">
        <w:rPr>
          <w:i/>
          <w:iCs/>
          <w:color w:val="000000"/>
          <w:lang w:val="fr-FR"/>
        </w:rPr>
        <w:t>.</w:t>
      </w:r>
      <w:r w:rsidR="00FA08C6" w:rsidRPr="003B2B89">
        <w:rPr>
          <w:i/>
          <w:iCs/>
          <w:lang w:val="fr-FR"/>
        </w:rPr>
        <w:t>17, 105</w:t>
      </w:r>
      <w:r w:rsidR="00FA08C6" w:rsidRPr="003B2B89">
        <w:rPr>
          <w:i/>
          <w:iCs/>
          <w:color w:val="000000"/>
          <w:lang w:val="fr-FR"/>
        </w:rPr>
        <w:t>.</w:t>
      </w:r>
      <w:r w:rsidR="00FA08C6" w:rsidRPr="003B2B89">
        <w:rPr>
          <w:i/>
          <w:iCs/>
          <w:lang w:val="fr-FR"/>
        </w:rPr>
        <w:t>18, 105</w:t>
      </w:r>
      <w:r w:rsidR="00FA08C6" w:rsidRPr="003B2B89">
        <w:rPr>
          <w:i/>
          <w:iCs/>
          <w:color w:val="000000"/>
          <w:lang w:val="fr-FR"/>
        </w:rPr>
        <w:t>.</w:t>
      </w:r>
      <w:r w:rsidR="00FA08C6" w:rsidRPr="003B2B89">
        <w:rPr>
          <w:i/>
          <w:iCs/>
          <w:lang w:val="fr-FR"/>
        </w:rPr>
        <w:t>19, 105</w:t>
      </w:r>
      <w:r w:rsidR="00FA08C6" w:rsidRPr="003B2B89">
        <w:rPr>
          <w:i/>
          <w:iCs/>
          <w:color w:val="000000"/>
          <w:lang w:val="fr-FR"/>
        </w:rPr>
        <w:t>.</w:t>
      </w:r>
      <w:r w:rsidR="00FA08C6" w:rsidRPr="003B2B89">
        <w:rPr>
          <w:i/>
          <w:iCs/>
          <w:lang w:val="fr-FR"/>
        </w:rPr>
        <w:t>26 et 105</w:t>
      </w:r>
      <w:r w:rsidR="00FA08C6" w:rsidRPr="003B2B89">
        <w:rPr>
          <w:i/>
          <w:iCs/>
          <w:color w:val="000000"/>
          <w:lang w:val="fr-FR"/>
        </w:rPr>
        <w:t>.</w:t>
      </w:r>
      <w:r w:rsidR="00FA08C6" w:rsidRPr="003B2B89">
        <w:rPr>
          <w:i/>
          <w:iCs/>
          <w:lang w:val="fr-FR"/>
        </w:rPr>
        <w:t>27 du règlement d</w:t>
      </w:r>
      <w:r w:rsidR="00175C36">
        <w:rPr>
          <w:i/>
          <w:iCs/>
          <w:lang w:val="fr-FR"/>
        </w:rPr>
        <w:t>’</w:t>
      </w:r>
      <w:r w:rsidR="00FA08C6" w:rsidRPr="003B2B89">
        <w:rPr>
          <w:i/>
          <w:iCs/>
          <w:lang w:val="fr-FR"/>
        </w:rPr>
        <w:t>exécution;  ii)</w:t>
      </w:r>
      <w:r w:rsidR="00615754" w:rsidRPr="003B2B89">
        <w:rPr>
          <w:i/>
          <w:iCs/>
          <w:lang w:val="fr-FR"/>
        </w:rPr>
        <w:t> </w:t>
      </w:r>
      <w:r w:rsidR="00FA08C6" w:rsidRPr="003B2B89">
        <w:rPr>
          <w:i/>
          <w:iCs/>
          <w:lang w:val="fr-FR"/>
        </w:rPr>
        <w:t xml:space="preserve">de la suppression des </w:t>
      </w:r>
      <w:r w:rsidR="00610DB0" w:rsidRPr="003B2B89">
        <w:rPr>
          <w:i/>
          <w:iCs/>
          <w:lang w:val="fr-FR"/>
        </w:rPr>
        <w:t>règles 1</w:t>
      </w:r>
      <w:r w:rsidR="00FA08C6" w:rsidRPr="003B2B89">
        <w:rPr>
          <w:i/>
          <w:iCs/>
          <w:lang w:val="fr-FR"/>
        </w:rPr>
        <w:t>05</w:t>
      </w:r>
      <w:r w:rsidR="00FA08C6" w:rsidRPr="003B2B89">
        <w:rPr>
          <w:i/>
          <w:iCs/>
          <w:color w:val="000000"/>
          <w:lang w:val="fr-FR"/>
        </w:rPr>
        <w:t>.</w:t>
      </w:r>
      <w:r w:rsidR="00FA08C6" w:rsidRPr="003B2B89">
        <w:rPr>
          <w:i/>
          <w:iCs/>
          <w:lang w:val="fr-FR"/>
        </w:rPr>
        <w:t>13, 105</w:t>
      </w:r>
      <w:r w:rsidR="00FA08C6" w:rsidRPr="003B2B89">
        <w:rPr>
          <w:i/>
          <w:iCs/>
          <w:color w:val="000000"/>
          <w:lang w:val="fr-FR"/>
        </w:rPr>
        <w:t>.</w:t>
      </w:r>
      <w:r w:rsidR="00FA08C6" w:rsidRPr="003B2B89">
        <w:rPr>
          <w:i/>
          <w:iCs/>
          <w:lang w:val="fr-FR"/>
        </w:rPr>
        <w:t>16, 105</w:t>
      </w:r>
      <w:r w:rsidR="00FA08C6" w:rsidRPr="003B2B89">
        <w:rPr>
          <w:i/>
          <w:iCs/>
          <w:color w:val="000000"/>
          <w:lang w:val="fr-FR"/>
        </w:rPr>
        <w:t>.</w:t>
      </w:r>
      <w:r w:rsidR="00FA08C6" w:rsidRPr="003B2B89">
        <w:rPr>
          <w:i/>
          <w:iCs/>
          <w:lang w:val="fr-FR"/>
        </w:rPr>
        <w:t>21</w:t>
      </w:r>
      <w:r w:rsidR="00FA08C6" w:rsidRPr="003B2B89">
        <w:rPr>
          <w:i/>
          <w:iCs/>
          <w:color w:val="000000"/>
          <w:lang w:val="fr-FR"/>
        </w:rPr>
        <w:t xml:space="preserve"> et</w:t>
      </w:r>
      <w:r w:rsidR="00FA08C6" w:rsidRPr="003B2B89">
        <w:rPr>
          <w:i/>
          <w:iCs/>
          <w:lang w:val="fr-FR"/>
        </w:rPr>
        <w:t xml:space="preserve"> 105</w:t>
      </w:r>
      <w:r w:rsidR="00FA08C6" w:rsidRPr="003B2B89">
        <w:rPr>
          <w:i/>
          <w:iCs/>
          <w:color w:val="000000"/>
          <w:lang w:val="fr-FR"/>
        </w:rPr>
        <w:t>.</w:t>
      </w:r>
      <w:r w:rsidR="00FA08C6" w:rsidRPr="003B2B89">
        <w:rPr>
          <w:i/>
          <w:iCs/>
          <w:lang w:val="fr-FR"/>
        </w:rPr>
        <w:t>23;  et iii)</w:t>
      </w:r>
      <w:r w:rsidR="00615754" w:rsidRPr="003B2B89">
        <w:rPr>
          <w:i/>
          <w:iCs/>
          <w:lang w:val="fr-FR"/>
        </w:rPr>
        <w:t> </w:t>
      </w:r>
      <w:r w:rsidR="00FA08C6" w:rsidRPr="003B2B89">
        <w:rPr>
          <w:i/>
          <w:iCs/>
          <w:lang w:val="fr-FR"/>
        </w:rPr>
        <w:t>de l</w:t>
      </w:r>
      <w:r w:rsidR="00175C36">
        <w:rPr>
          <w:i/>
          <w:iCs/>
          <w:lang w:val="fr-FR"/>
        </w:rPr>
        <w:t>’</w:t>
      </w:r>
      <w:r w:rsidR="00FA08C6" w:rsidRPr="003B2B89">
        <w:rPr>
          <w:i/>
          <w:iCs/>
          <w:lang w:val="fr-FR"/>
        </w:rPr>
        <w:t xml:space="preserve">introduction de la nouvelle </w:t>
      </w:r>
      <w:r w:rsidR="00610DB0" w:rsidRPr="003B2B89">
        <w:rPr>
          <w:i/>
          <w:iCs/>
          <w:lang w:val="fr-FR"/>
        </w:rPr>
        <w:t>règle 1</w:t>
      </w:r>
      <w:r w:rsidR="00FA08C6" w:rsidRPr="003B2B89">
        <w:rPr>
          <w:i/>
          <w:iCs/>
          <w:lang w:val="fr-FR"/>
        </w:rPr>
        <w:t>05.17</w:t>
      </w:r>
      <w:r w:rsidR="00FA08C6" w:rsidRPr="003B2B89">
        <w:rPr>
          <w:iCs/>
          <w:lang w:val="fr-FR"/>
        </w:rPr>
        <w:t>bis</w:t>
      </w:r>
      <w:r w:rsidR="00FA08C6" w:rsidRPr="003B2B89">
        <w:rPr>
          <w:i/>
          <w:iCs/>
          <w:lang w:val="fr-FR"/>
        </w:rPr>
        <w:t xml:space="preserve"> proposée, </w:t>
      </w:r>
      <w:r w:rsidR="00FA08C6" w:rsidRPr="003B2B89">
        <w:rPr>
          <w:i/>
          <w:iCs/>
          <w:color w:val="000000"/>
          <w:lang w:val="fr-FR"/>
        </w:rPr>
        <w:t>telle qu</w:t>
      </w:r>
      <w:r w:rsidR="00175C36">
        <w:rPr>
          <w:i/>
          <w:iCs/>
          <w:color w:val="000000"/>
          <w:lang w:val="fr-FR"/>
        </w:rPr>
        <w:t>’</w:t>
      </w:r>
      <w:r w:rsidR="00C03B03" w:rsidRPr="003B2B89">
        <w:rPr>
          <w:i/>
          <w:iCs/>
          <w:color w:val="000000"/>
          <w:lang w:val="fr-FR"/>
        </w:rPr>
        <w:t xml:space="preserve">elle figure </w:t>
      </w:r>
      <w:r w:rsidR="00FA08C6" w:rsidRPr="003B2B89">
        <w:rPr>
          <w:i/>
          <w:iCs/>
          <w:color w:val="000000"/>
          <w:lang w:val="fr-FR"/>
        </w:rPr>
        <w:t xml:space="preserve">à </w:t>
      </w:r>
      <w:r w:rsidR="00FA08C6" w:rsidRPr="003B2B89">
        <w:rPr>
          <w:i/>
          <w:iCs/>
          <w:lang w:val="fr-FR"/>
        </w:rPr>
        <w:t>l</w:t>
      </w:r>
      <w:r w:rsidR="00175C36">
        <w:rPr>
          <w:i/>
          <w:iCs/>
          <w:lang w:val="fr-FR"/>
        </w:rPr>
        <w:t>’</w:t>
      </w:r>
      <w:r w:rsidR="00610DB0" w:rsidRPr="003B2B89">
        <w:rPr>
          <w:i/>
          <w:iCs/>
          <w:lang w:val="fr-FR"/>
        </w:rPr>
        <w:t>annexe I</w:t>
      </w:r>
      <w:r w:rsidR="00240529">
        <w:rPr>
          <w:i/>
          <w:iCs/>
          <w:lang w:val="fr-FR"/>
        </w:rPr>
        <w:t xml:space="preserve"> du document WO/PBC/26/5,</w:t>
      </w:r>
    </w:p>
    <w:p w:rsidR="00582AFF" w:rsidRDefault="00582AFF" w:rsidP="00751789">
      <w:pPr>
        <w:ind w:left="567" w:hanging="567"/>
        <w:rPr>
          <w:lang w:val="fr-FR"/>
        </w:rPr>
      </w:pPr>
    </w:p>
    <w:p w:rsidR="00582AFF" w:rsidRDefault="00240529" w:rsidP="00087CF3">
      <w:pPr>
        <w:pStyle w:val="ListParagraph"/>
        <w:numPr>
          <w:ilvl w:val="0"/>
          <w:numId w:val="22"/>
        </w:numPr>
        <w:ind w:left="0" w:firstLine="0"/>
        <w:rPr>
          <w:i/>
          <w:iCs/>
          <w:lang w:val="fr-FR"/>
        </w:rPr>
      </w:pPr>
      <w:r w:rsidRPr="003B2B89">
        <w:rPr>
          <w:i/>
          <w:iCs/>
          <w:lang w:val="fr-FR"/>
        </w:rPr>
        <w:t xml:space="preserve">a pris note des </w:t>
      </w:r>
      <w:r>
        <w:rPr>
          <w:i/>
          <w:iCs/>
          <w:lang w:val="fr-FR"/>
        </w:rPr>
        <w:t>propositions de modification du Règlement financier et de son règlement d</w:t>
      </w:r>
      <w:r w:rsidR="00175C36">
        <w:rPr>
          <w:i/>
          <w:iCs/>
          <w:lang w:val="fr-FR"/>
        </w:rPr>
        <w:t>’</w:t>
      </w:r>
      <w:r>
        <w:rPr>
          <w:i/>
          <w:iCs/>
          <w:lang w:val="fr-FR"/>
        </w:rPr>
        <w:t>exécution qui figurent à l</w:t>
      </w:r>
      <w:r w:rsidR="00175C36">
        <w:rPr>
          <w:i/>
          <w:iCs/>
          <w:lang w:val="fr-FR"/>
        </w:rPr>
        <w:t>’</w:t>
      </w:r>
      <w:r>
        <w:rPr>
          <w:i/>
          <w:iCs/>
          <w:lang w:val="fr-FR"/>
        </w:rPr>
        <w:t xml:space="preserve">annexe II du document </w:t>
      </w:r>
      <w:r w:rsidR="00934EB2" w:rsidRPr="00934EB2">
        <w:rPr>
          <w:i/>
          <w:iCs/>
          <w:lang w:val="fr-FR"/>
        </w:rPr>
        <w:t>WO/PBC/26/5</w:t>
      </w:r>
      <w:r w:rsidR="00934EB2">
        <w:rPr>
          <w:i/>
          <w:iCs/>
          <w:lang w:val="fr-FR"/>
        </w:rPr>
        <w:t xml:space="preserve"> </w:t>
      </w:r>
      <w:r>
        <w:rPr>
          <w:i/>
          <w:iCs/>
          <w:lang w:val="fr-FR"/>
        </w:rPr>
        <w:t>et a demandé au Secrétariat de présenter</w:t>
      </w:r>
      <w:r w:rsidR="00202287">
        <w:rPr>
          <w:i/>
          <w:iCs/>
          <w:lang w:val="fr-FR"/>
        </w:rPr>
        <w:t>,</w:t>
      </w:r>
      <w:r>
        <w:rPr>
          <w:i/>
          <w:iCs/>
          <w:lang w:val="fr-FR"/>
        </w:rPr>
        <w:t xml:space="preserve"> </w:t>
      </w:r>
      <w:r w:rsidR="00202287">
        <w:rPr>
          <w:i/>
          <w:iCs/>
          <w:lang w:val="fr-FR"/>
        </w:rPr>
        <w:t>à la vingt</w:t>
      </w:r>
      <w:r w:rsidR="00F52085">
        <w:rPr>
          <w:i/>
          <w:iCs/>
          <w:lang w:val="fr-FR"/>
        </w:rPr>
        <w:noBreakHyphen/>
      </w:r>
      <w:r w:rsidR="00202287">
        <w:rPr>
          <w:i/>
          <w:iCs/>
          <w:lang w:val="fr-FR"/>
        </w:rPr>
        <w:t>sept</w:t>
      </w:r>
      <w:r w:rsidR="00175C36">
        <w:rPr>
          <w:i/>
          <w:iCs/>
          <w:lang w:val="fr-FR"/>
        </w:rPr>
        <w:t>ième session</w:t>
      </w:r>
      <w:r w:rsidR="00431C11" w:rsidRPr="00431C11">
        <w:rPr>
          <w:i/>
          <w:iCs/>
          <w:lang w:val="fr-FR"/>
        </w:rPr>
        <w:t xml:space="preserve"> du PBC</w:t>
      </w:r>
      <w:r w:rsidR="00202287">
        <w:rPr>
          <w:i/>
          <w:iCs/>
          <w:lang w:val="fr-FR"/>
        </w:rPr>
        <w:t xml:space="preserve">, </w:t>
      </w:r>
      <w:r>
        <w:rPr>
          <w:i/>
          <w:iCs/>
          <w:lang w:val="fr-FR"/>
        </w:rPr>
        <w:t>un</w:t>
      </w:r>
      <w:r w:rsidR="00202287">
        <w:rPr>
          <w:i/>
          <w:iCs/>
          <w:lang w:val="fr-FR"/>
        </w:rPr>
        <w:t>e</w:t>
      </w:r>
      <w:r>
        <w:rPr>
          <w:i/>
          <w:iCs/>
          <w:lang w:val="fr-FR"/>
        </w:rPr>
        <w:t xml:space="preserve"> </w:t>
      </w:r>
      <w:r w:rsidR="00202287">
        <w:rPr>
          <w:i/>
          <w:iCs/>
          <w:lang w:val="fr-FR"/>
        </w:rPr>
        <w:t>version</w:t>
      </w:r>
      <w:r>
        <w:rPr>
          <w:i/>
          <w:iCs/>
          <w:lang w:val="fr-FR"/>
        </w:rPr>
        <w:t xml:space="preserve"> révisé</w:t>
      </w:r>
      <w:r w:rsidR="00202287">
        <w:rPr>
          <w:i/>
          <w:iCs/>
          <w:lang w:val="fr-FR"/>
        </w:rPr>
        <w:t>e</w:t>
      </w:r>
      <w:r>
        <w:rPr>
          <w:i/>
          <w:iCs/>
          <w:lang w:val="fr-FR"/>
        </w:rPr>
        <w:t xml:space="preserve"> de ces modifications</w:t>
      </w:r>
      <w:r w:rsidR="00202287">
        <w:rPr>
          <w:i/>
          <w:iCs/>
          <w:lang w:val="fr-FR"/>
        </w:rPr>
        <w:t xml:space="preserve"> qui tienne dûment</w:t>
      </w:r>
      <w:r>
        <w:rPr>
          <w:i/>
          <w:iCs/>
          <w:lang w:val="fr-FR"/>
        </w:rPr>
        <w:t xml:space="preserve"> compte </w:t>
      </w:r>
      <w:r w:rsidR="00202287">
        <w:rPr>
          <w:i/>
          <w:iCs/>
          <w:lang w:val="fr-FR"/>
        </w:rPr>
        <w:t>des</w:t>
      </w:r>
      <w:r>
        <w:rPr>
          <w:i/>
          <w:iCs/>
          <w:lang w:val="fr-FR"/>
        </w:rPr>
        <w:t xml:space="preserve"> observations formulées par les États membres</w:t>
      </w:r>
      <w:r w:rsidR="00087CF3">
        <w:rPr>
          <w:i/>
          <w:iCs/>
          <w:lang w:val="fr-FR"/>
        </w:rPr>
        <w:t>,</w:t>
      </w:r>
      <w:r w:rsidR="00202287">
        <w:rPr>
          <w:i/>
          <w:iCs/>
          <w:lang w:val="fr-FR"/>
        </w:rPr>
        <w:t xml:space="preserve"> et</w:t>
      </w:r>
    </w:p>
    <w:p w:rsidR="00582AFF" w:rsidRDefault="00582AFF" w:rsidP="00751789">
      <w:pPr>
        <w:ind w:left="567" w:hanging="567"/>
        <w:rPr>
          <w:lang w:val="fr-FR"/>
        </w:rPr>
      </w:pPr>
    </w:p>
    <w:p w:rsidR="00582AFF" w:rsidRPr="00103FFD" w:rsidRDefault="00202287" w:rsidP="00087CF3">
      <w:pPr>
        <w:pStyle w:val="ListParagraph"/>
        <w:numPr>
          <w:ilvl w:val="0"/>
          <w:numId w:val="22"/>
        </w:numPr>
        <w:ind w:left="0" w:firstLine="0"/>
        <w:rPr>
          <w:lang w:val="fr-FR"/>
        </w:rPr>
      </w:pPr>
      <w:r w:rsidRPr="000D57BD">
        <w:rPr>
          <w:i/>
          <w:iCs/>
          <w:lang w:val="fr-FR"/>
        </w:rPr>
        <w:t>a demandé à l</w:t>
      </w:r>
      <w:r w:rsidR="00175C36" w:rsidRPr="000D57BD">
        <w:rPr>
          <w:i/>
          <w:iCs/>
          <w:lang w:val="fr-FR"/>
        </w:rPr>
        <w:t>’</w:t>
      </w:r>
      <w:r w:rsidRPr="000D57BD">
        <w:rPr>
          <w:i/>
          <w:iCs/>
          <w:lang w:val="fr-FR"/>
        </w:rPr>
        <w:t>Organe consultatif indépendant de surveillance (OCIS) d</w:t>
      </w:r>
      <w:r w:rsidR="00175C36" w:rsidRPr="000D57BD">
        <w:rPr>
          <w:i/>
          <w:iCs/>
          <w:lang w:val="fr-FR"/>
        </w:rPr>
        <w:t>’</w:t>
      </w:r>
      <w:r w:rsidRPr="000D57BD">
        <w:rPr>
          <w:i/>
          <w:iCs/>
          <w:lang w:val="fr-FR"/>
        </w:rPr>
        <w:t xml:space="preserve">examiner les modifications visées au </w:t>
      </w:r>
      <w:r w:rsidR="00431C11" w:rsidRPr="000D57BD">
        <w:rPr>
          <w:i/>
          <w:iCs/>
          <w:lang w:val="fr-FR"/>
        </w:rPr>
        <w:t>point 3</w:t>
      </w:r>
      <w:r w:rsidRPr="000D57BD">
        <w:rPr>
          <w:i/>
          <w:iCs/>
          <w:lang w:val="fr-FR"/>
        </w:rPr>
        <w:t xml:space="preserve"> ci</w:t>
      </w:r>
      <w:r w:rsidR="00F52085">
        <w:rPr>
          <w:i/>
          <w:iCs/>
          <w:lang w:val="fr-FR"/>
        </w:rPr>
        <w:noBreakHyphen/>
      </w:r>
      <w:r w:rsidRPr="000D57BD">
        <w:rPr>
          <w:i/>
          <w:iCs/>
          <w:lang w:val="fr-FR"/>
        </w:rPr>
        <w:t>dessus et de présenter son point de vue à ce propos à la vingt</w:t>
      </w:r>
      <w:r w:rsidR="00F52085">
        <w:rPr>
          <w:i/>
          <w:iCs/>
          <w:lang w:val="fr-FR"/>
        </w:rPr>
        <w:noBreakHyphen/>
      </w:r>
      <w:r w:rsidRPr="000D57BD">
        <w:rPr>
          <w:i/>
          <w:iCs/>
          <w:lang w:val="fr-FR"/>
        </w:rPr>
        <w:t>sept</w:t>
      </w:r>
      <w:r w:rsidR="00175C36" w:rsidRPr="000D57BD">
        <w:rPr>
          <w:i/>
          <w:iCs/>
          <w:lang w:val="fr-FR"/>
        </w:rPr>
        <w:t>ième session</w:t>
      </w:r>
      <w:r w:rsidR="00431C11" w:rsidRPr="000D57BD">
        <w:rPr>
          <w:i/>
          <w:iCs/>
          <w:lang w:val="fr-FR"/>
        </w:rPr>
        <w:t xml:space="preserve"> du PBC</w:t>
      </w:r>
      <w:r w:rsidRPr="000D57BD">
        <w:rPr>
          <w:i/>
          <w:iCs/>
          <w:lang w:val="fr-FR"/>
        </w:rPr>
        <w:t>.</w:t>
      </w:r>
    </w:p>
    <w:p w:rsidR="00103FFD" w:rsidRPr="000D57BD" w:rsidRDefault="00103FFD" w:rsidP="00103FFD">
      <w:pPr>
        <w:rPr>
          <w:lang w:val="fr-FR"/>
        </w:rPr>
      </w:pPr>
    </w:p>
    <w:p w:rsidR="00582AFF" w:rsidRDefault="00C03B03" w:rsidP="003B2B89">
      <w:pPr>
        <w:pStyle w:val="ListParagraph"/>
        <w:numPr>
          <w:ilvl w:val="0"/>
          <w:numId w:val="8"/>
        </w:numPr>
        <w:spacing w:before="120" w:after="120"/>
        <w:ind w:left="3686" w:hanging="3686"/>
        <w:contextualSpacing w:val="0"/>
        <w:rPr>
          <w:lang w:val="fr-FR"/>
        </w:rPr>
      </w:pPr>
      <w:r w:rsidRPr="003B2B89">
        <w:rPr>
          <w:lang w:val="fr-FR"/>
        </w:rPr>
        <w:t>ASSURANC</w:t>
      </w:r>
      <w:r w:rsidR="003B2B89">
        <w:rPr>
          <w:lang w:val="fr-FR"/>
        </w:rPr>
        <w:t>E MALADIE APRÈS LA CESSATION DE </w:t>
      </w:r>
      <w:r w:rsidRPr="003B2B89">
        <w:rPr>
          <w:lang w:val="fr-FR"/>
        </w:rPr>
        <w:t>SERVICE (AMCS)</w:t>
      </w:r>
    </w:p>
    <w:p w:rsidR="00582AFF" w:rsidRDefault="00C03B03" w:rsidP="00C03B03">
      <w:pPr>
        <w:rPr>
          <w:lang w:val="fr-FR"/>
        </w:rPr>
      </w:pPr>
      <w:r w:rsidRPr="003B2B89">
        <w:rPr>
          <w:lang w:val="fr-FR"/>
        </w:rPr>
        <w:t>document WO/PBC/26/6</w:t>
      </w:r>
      <w:r w:rsidR="003B2B89">
        <w:rPr>
          <w:lang w:val="fr-FR"/>
        </w:rPr>
        <w:t>.</w:t>
      </w:r>
    </w:p>
    <w:p w:rsidR="00582AFF" w:rsidRDefault="00582AFF" w:rsidP="00F71412">
      <w:pPr>
        <w:rPr>
          <w:lang w:val="fr-FR"/>
        </w:rPr>
      </w:pPr>
    </w:p>
    <w:p w:rsidR="003B5525" w:rsidRDefault="00C03B03" w:rsidP="00087CF3">
      <w:pPr>
        <w:pStyle w:val="ListParagraph"/>
        <w:numPr>
          <w:ilvl w:val="0"/>
          <w:numId w:val="18"/>
        </w:numPr>
        <w:ind w:left="0" w:firstLine="0"/>
        <w:rPr>
          <w:i/>
          <w:iCs/>
          <w:lang w:val="fr-FR"/>
        </w:rPr>
      </w:pPr>
      <w:r w:rsidRPr="003B2B89">
        <w:rPr>
          <w:i/>
          <w:iCs/>
          <w:lang w:val="fr-FR"/>
        </w:rPr>
        <w:t xml:space="preserve">Le Comité du programme et budget </w:t>
      </w:r>
      <w:r w:rsidR="003B5525">
        <w:rPr>
          <w:i/>
          <w:iCs/>
          <w:lang w:val="fr-FR"/>
        </w:rPr>
        <w:t>(PBC) a prié le Secrétariat de préparer pour la vingt</w:t>
      </w:r>
      <w:r w:rsidR="00F52085">
        <w:rPr>
          <w:i/>
          <w:iCs/>
          <w:lang w:val="fr-FR"/>
        </w:rPr>
        <w:noBreakHyphen/>
      </w:r>
      <w:r w:rsidR="003B5525">
        <w:rPr>
          <w:i/>
          <w:iCs/>
          <w:lang w:val="fr-FR"/>
        </w:rPr>
        <w:t>sept</w:t>
      </w:r>
      <w:r w:rsidR="00175C36">
        <w:rPr>
          <w:i/>
          <w:iCs/>
          <w:lang w:val="fr-FR"/>
        </w:rPr>
        <w:t>ième session</w:t>
      </w:r>
      <w:r w:rsidR="00175C36" w:rsidRPr="00175C36">
        <w:rPr>
          <w:i/>
          <w:iCs/>
          <w:lang w:val="fr-FR"/>
        </w:rPr>
        <w:t xml:space="preserve"> du PBC</w:t>
      </w:r>
      <w:r w:rsidR="003B5525">
        <w:rPr>
          <w:i/>
          <w:iCs/>
          <w:lang w:val="fr-FR"/>
        </w:rPr>
        <w:t xml:space="preserve"> un exposé sur les engagements au titre de l</w:t>
      </w:r>
      <w:r w:rsidR="00175C36">
        <w:rPr>
          <w:i/>
          <w:iCs/>
          <w:lang w:val="fr-FR"/>
        </w:rPr>
        <w:t>’</w:t>
      </w:r>
      <w:r w:rsidR="003B5525">
        <w:rPr>
          <w:i/>
          <w:iCs/>
          <w:lang w:val="fr-FR"/>
        </w:rPr>
        <w:t>AMCS assorti d</w:t>
      </w:r>
      <w:r w:rsidR="00175C36">
        <w:rPr>
          <w:i/>
          <w:iCs/>
          <w:lang w:val="fr-FR"/>
        </w:rPr>
        <w:t>’</w:t>
      </w:r>
      <w:r w:rsidR="003B5525">
        <w:rPr>
          <w:i/>
          <w:iCs/>
          <w:lang w:val="fr-FR"/>
        </w:rPr>
        <w:t xml:space="preserve">informations concernant les options </w:t>
      </w:r>
      <w:r w:rsidR="00603DD6">
        <w:rPr>
          <w:i/>
          <w:iCs/>
          <w:lang w:val="fr-FR"/>
        </w:rPr>
        <w:t>explorées par</w:t>
      </w:r>
      <w:r w:rsidR="003B5525">
        <w:rPr>
          <w:i/>
          <w:iCs/>
          <w:lang w:val="fr-FR"/>
        </w:rPr>
        <w:t xml:space="preserve"> l</w:t>
      </w:r>
      <w:r w:rsidR="00175C36">
        <w:rPr>
          <w:i/>
          <w:iCs/>
          <w:lang w:val="fr-FR"/>
        </w:rPr>
        <w:t>’</w:t>
      </w:r>
      <w:r w:rsidR="003B5525">
        <w:rPr>
          <w:i/>
          <w:iCs/>
          <w:lang w:val="fr-FR"/>
        </w:rPr>
        <w:t>OMPI en vue de financer ces engagements, de manière à contribuer à la poursuite des discussions sur cette question.</w:t>
      </w:r>
    </w:p>
    <w:p w:rsidR="003B5525" w:rsidRPr="00087CF3" w:rsidRDefault="003B5525" w:rsidP="00246A17">
      <w:pPr>
        <w:rPr>
          <w:lang w:val="fr-FR"/>
        </w:rPr>
      </w:pPr>
    </w:p>
    <w:p w:rsidR="003B5525" w:rsidRDefault="00246A17" w:rsidP="00087CF3">
      <w:pPr>
        <w:pStyle w:val="ListParagraph"/>
        <w:numPr>
          <w:ilvl w:val="0"/>
          <w:numId w:val="18"/>
        </w:numPr>
        <w:ind w:left="0" w:firstLine="0"/>
        <w:rPr>
          <w:i/>
          <w:iCs/>
          <w:lang w:val="fr-FR"/>
        </w:rPr>
      </w:pPr>
      <w:r>
        <w:rPr>
          <w:i/>
          <w:iCs/>
          <w:lang w:val="fr-FR"/>
        </w:rPr>
        <w:t>L</w:t>
      </w:r>
      <w:r w:rsidR="003B5525">
        <w:rPr>
          <w:i/>
          <w:iCs/>
          <w:lang w:val="fr-FR"/>
        </w:rPr>
        <w:t xml:space="preserve">e PBC </w:t>
      </w:r>
      <w:r w:rsidR="00C03B03" w:rsidRPr="003B2B89">
        <w:rPr>
          <w:i/>
          <w:iCs/>
          <w:lang w:val="fr-FR"/>
        </w:rPr>
        <w:t>a reco</w:t>
      </w:r>
      <w:r>
        <w:rPr>
          <w:i/>
          <w:iCs/>
          <w:lang w:val="fr-FR"/>
        </w:rPr>
        <w:t>mmandé aux assemblées des États </w:t>
      </w:r>
      <w:r w:rsidR="00C03B03" w:rsidRPr="003B2B89">
        <w:rPr>
          <w:i/>
          <w:iCs/>
          <w:lang w:val="fr-FR"/>
        </w:rPr>
        <w:t>membres de l</w:t>
      </w:r>
      <w:r w:rsidR="00175C36">
        <w:rPr>
          <w:i/>
          <w:iCs/>
          <w:lang w:val="fr-FR"/>
        </w:rPr>
        <w:t>’</w:t>
      </w:r>
      <w:r w:rsidR="003B5525">
        <w:rPr>
          <w:i/>
          <w:iCs/>
          <w:lang w:val="fr-FR"/>
        </w:rPr>
        <w:t xml:space="preserve">OMPI </w:t>
      </w:r>
      <w:r w:rsidR="00C909F7">
        <w:rPr>
          <w:i/>
          <w:iCs/>
          <w:lang w:val="fr-FR"/>
        </w:rPr>
        <w:t>et des union</w:t>
      </w:r>
      <w:r w:rsidR="003B5525">
        <w:rPr>
          <w:i/>
          <w:iCs/>
          <w:lang w:val="fr-FR"/>
        </w:rPr>
        <w:t>s</w:t>
      </w:r>
      <w:r w:rsidR="00C03B03" w:rsidRPr="003B2B89">
        <w:rPr>
          <w:i/>
          <w:iCs/>
          <w:lang w:val="fr-FR"/>
        </w:rPr>
        <w:t>, chacune pour ce qui la concerne, de prier le Secrétariat</w:t>
      </w:r>
    </w:p>
    <w:p w:rsidR="00246A17" w:rsidRDefault="00246A17" w:rsidP="00246A17">
      <w:pPr>
        <w:pStyle w:val="ListParagraph"/>
        <w:ind w:left="567"/>
        <w:rPr>
          <w:i/>
          <w:iCs/>
          <w:lang w:val="fr-FR"/>
        </w:rPr>
      </w:pPr>
    </w:p>
    <w:p w:rsidR="00175C36" w:rsidRDefault="00C03B03" w:rsidP="00246A17">
      <w:pPr>
        <w:pStyle w:val="ListParagraph"/>
        <w:numPr>
          <w:ilvl w:val="1"/>
          <w:numId w:val="19"/>
        </w:numPr>
        <w:spacing w:after="120"/>
        <w:ind w:left="567" w:firstLine="0"/>
        <w:rPr>
          <w:i/>
          <w:iCs/>
          <w:lang w:val="fr-FR"/>
        </w:rPr>
      </w:pPr>
      <w:r w:rsidRPr="00246A17">
        <w:rPr>
          <w:i/>
          <w:iCs/>
          <w:lang w:val="fr-FR"/>
        </w:rPr>
        <w:t>de continuer à participer au groupe de travail sur l</w:t>
      </w:r>
      <w:r w:rsidR="00175C36" w:rsidRPr="00246A17">
        <w:rPr>
          <w:i/>
          <w:iCs/>
          <w:lang w:val="fr-FR"/>
        </w:rPr>
        <w:t>’</w:t>
      </w:r>
      <w:r w:rsidRPr="00246A17">
        <w:rPr>
          <w:i/>
          <w:iCs/>
          <w:lang w:val="fr-FR"/>
        </w:rPr>
        <w:t>assurance maladie après la cessation de service du Réseau Finances et Budget et</w:t>
      </w:r>
    </w:p>
    <w:p w:rsidR="00246A17" w:rsidRPr="00246A17" w:rsidRDefault="00246A17" w:rsidP="00246A17">
      <w:pPr>
        <w:pStyle w:val="ListParagraph"/>
        <w:spacing w:after="120"/>
        <w:ind w:left="567"/>
        <w:rPr>
          <w:i/>
          <w:iCs/>
          <w:lang w:val="fr-FR"/>
        </w:rPr>
      </w:pPr>
    </w:p>
    <w:p w:rsidR="00582AFF" w:rsidRDefault="00C03B03" w:rsidP="00246A17">
      <w:pPr>
        <w:pStyle w:val="ListParagraph"/>
        <w:numPr>
          <w:ilvl w:val="1"/>
          <w:numId w:val="19"/>
        </w:numPr>
        <w:spacing w:after="120"/>
        <w:ind w:left="567" w:firstLine="0"/>
        <w:rPr>
          <w:i/>
          <w:iCs/>
          <w:lang w:val="fr-FR"/>
        </w:rPr>
      </w:pPr>
      <w:r w:rsidRPr="003B2B89">
        <w:rPr>
          <w:i/>
          <w:iCs/>
          <w:lang w:val="fr-FR"/>
        </w:rPr>
        <w:t>d</w:t>
      </w:r>
      <w:r w:rsidR="00175C36">
        <w:rPr>
          <w:i/>
          <w:iCs/>
          <w:lang w:val="fr-FR"/>
        </w:rPr>
        <w:t>’</w:t>
      </w:r>
      <w:r w:rsidRPr="003B2B89">
        <w:rPr>
          <w:i/>
          <w:iCs/>
          <w:lang w:val="fr-FR"/>
        </w:rPr>
        <w:t>assurer le suivi des propositions spécifiques qui seront présentées par le Secrétaire général à l</w:t>
      </w:r>
      <w:r w:rsidR="00175C36">
        <w:rPr>
          <w:i/>
          <w:iCs/>
          <w:lang w:val="fr-FR"/>
        </w:rPr>
        <w:t>’</w:t>
      </w:r>
      <w:r w:rsidRPr="003B2B89">
        <w:rPr>
          <w:i/>
          <w:iCs/>
          <w:lang w:val="fr-FR"/>
        </w:rPr>
        <w:t xml:space="preserve">Assemblée générale des </w:t>
      </w:r>
      <w:r w:rsidR="00175C36">
        <w:rPr>
          <w:i/>
          <w:iCs/>
          <w:lang w:val="fr-FR"/>
        </w:rPr>
        <w:t>Nations Unies</w:t>
      </w:r>
      <w:r w:rsidRPr="003B2B89">
        <w:rPr>
          <w:i/>
          <w:iCs/>
          <w:lang w:val="fr-FR"/>
        </w:rPr>
        <w:t xml:space="preserve"> à sa soixante</w:t>
      </w:r>
      <w:r w:rsidR="00F52085">
        <w:rPr>
          <w:i/>
          <w:iCs/>
          <w:lang w:val="fr-FR"/>
        </w:rPr>
        <w:noBreakHyphen/>
      </w:r>
      <w:r w:rsidRPr="003B2B89">
        <w:rPr>
          <w:i/>
          <w:iCs/>
          <w:lang w:val="fr-FR"/>
        </w:rPr>
        <w:t>treiz</w:t>
      </w:r>
      <w:r w:rsidR="00175C36">
        <w:rPr>
          <w:i/>
          <w:iCs/>
          <w:lang w:val="fr-FR"/>
        </w:rPr>
        <w:t>ième session</w:t>
      </w:r>
      <w:r w:rsidR="003B5525">
        <w:rPr>
          <w:i/>
          <w:iCs/>
          <w:lang w:val="fr-FR"/>
        </w:rPr>
        <w:t xml:space="preserve"> et, sur la base de ces propositions, de présenter</w:t>
      </w:r>
      <w:r w:rsidR="00175C36" w:rsidRPr="00175C36">
        <w:rPr>
          <w:i/>
          <w:iCs/>
          <w:lang w:val="fr-FR"/>
        </w:rPr>
        <w:t xml:space="preserve"> au PBC</w:t>
      </w:r>
      <w:r w:rsidR="003B5525">
        <w:rPr>
          <w:i/>
          <w:iCs/>
          <w:lang w:val="fr-FR"/>
        </w:rPr>
        <w:t xml:space="preserve"> à sa vingt</w:t>
      </w:r>
      <w:r w:rsidR="00F52085">
        <w:rPr>
          <w:i/>
          <w:iCs/>
          <w:lang w:val="fr-FR"/>
        </w:rPr>
        <w:noBreakHyphen/>
      </w:r>
      <w:r w:rsidR="003B5525">
        <w:rPr>
          <w:i/>
          <w:iCs/>
          <w:lang w:val="fr-FR"/>
        </w:rPr>
        <w:t>huit</w:t>
      </w:r>
      <w:r w:rsidR="00175C36">
        <w:rPr>
          <w:i/>
          <w:iCs/>
          <w:lang w:val="fr-FR"/>
        </w:rPr>
        <w:t>ième session</w:t>
      </w:r>
      <w:r w:rsidR="003B5525">
        <w:rPr>
          <w:i/>
          <w:iCs/>
          <w:lang w:val="fr-FR"/>
        </w:rPr>
        <w:t xml:space="preserve"> des mesures concrètes eu égard aux engagements actualisés au </w:t>
      </w:r>
      <w:r w:rsidR="003B5525">
        <w:rPr>
          <w:i/>
          <w:iCs/>
          <w:lang w:val="fr-FR"/>
        </w:rPr>
        <w:lastRenderedPageBreak/>
        <w:t>titre de l</w:t>
      </w:r>
      <w:r w:rsidR="00175C36">
        <w:rPr>
          <w:i/>
          <w:iCs/>
          <w:lang w:val="fr-FR"/>
        </w:rPr>
        <w:t>’</w:t>
      </w:r>
      <w:r w:rsidR="003B5525">
        <w:rPr>
          <w:i/>
          <w:iCs/>
          <w:lang w:val="fr-FR"/>
        </w:rPr>
        <w:t>AMCS figurant dans les états financiers, compte tenu de la participation de l</w:t>
      </w:r>
      <w:r w:rsidR="00175C36">
        <w:rPr>
          <w:i/>
          <w:iCs/>
          <w:lang w:val="fr-FR"/>
        </w:rPr>
        <w:t>’</w:t>
      </w:r>
      <w:r w:rsidR="003B5525">
        <w:rPr>
          <w:i/>
          <w:iCs/>
          <w:lang w:val="fr-FR"/>
        </w:rPr>
        <w:t xml:space="preserve">OMPI au régime commun des </w:t>
      </w:r>
      <w:r w:rsidR="00175C36">
        <w:rPr>
          <w:i/>
          <w:iCs/>
          <w:lang w:val="fr-FR"/>
        </w:rPr>
        <w:t>Nations Unies</w:t>
      </w:r>
      <w:r w:rsidRPr="003B2B89">
        <w:rPr>
          <w:i/>
          <w:iCs/>
          <w:lang w:val="fr-FR"/>
        </w:rPr>
        <w:t>.</w:t>
      </w:r>
    </w:p>
    <w:p w:rsidR="00582AFF" w:rsidRDefault="00582AFF" w:rsidP="00F71412">
      <w:pPr>
        <w:rPr>
          <w:lang w:val="fr-FR"/>
        </w:rPr>
      </w:pPr>
    </w:p>
    <w:p w:rsidR="00582AFF" w:rsidRDefault="00C03B03" w:rsidP="003B2B89">
      <w:pPr>
        <w:pStyle w:val="ListParagraph"/>
        <w:numPr>
          <w:ilvl w:val="0"/>
          <w:numId w:val="8"/>
        </w:numPr>
        <w:spacing w:before="120" w:after="120"/>
        <w:ind w:left="3686" w:hanging="3686"/>
        <w:contextualSpacing w:val="0"/>
        <w:rPr>
          <w:lang w:val="fr-FR"/>
        </w:rPr>
      </w:pPr>
      <w:r w:rsidRPr="003B2B89">
        <w:rPr>
          <w:lang w:val="fr-FR"/>
        </w:rPr>
        <w:t>QUESTIONS RELATIVES À LA GOUVERNANCE</w:t>
      </w:r>
    </w:p>
    <w:p w:rsidR="00582AFF" w:rsidRDefault="00C03B03" w:rsidP="003B2B89">
      <w:pPr>
        <w:spacing w:before="120" w:after="120"/>
        <w:rPr>
          <w:lang w:val="fr-FR"/>
        </w:rPr>
      </w:pPr>
      <w:r w:rsidRPr="003B2B89">
        <w:rPr>
          <w:color w:val="000000"/>
          <w:lang w:val="fr-FR"/>
        </w:rPr>
        <w:t>documents WO/</w:t>
      </w:r>
      <w:r w:rsidRPr="003B2B89">
        <w:rPr>
          <w:lang w:val="fr-FR"/>
        </w:rPr>
        <w:t>PBC</w:t>
      </w:r>
      <w:r w:rsidRPr="003B2B89">
        <w:rPr>
          <w:color w:val="000000"/>
          <w:lang w:val="fr-FR"/>
        </w:rPr>
        <w:t>/26/8 et 10.</w:t>
      </w:r>
    </w:p>
    <w:p w:rsidR="00582AFF" w:rsidRDefault="00582AFF" w:rsidP="003B2B89">
      <w:pPr>
        <w:rPr>
          <w:lang w:val="fr-FR"/>
        </w:rPr>
      </w:pPr>
    </w:p>
    <w:p w:rsidR="00582AFF" w:rsidRDefault="001728D6" w:rsidP="00087CF3">
      <w:pPr>
        <w:keepNext/>
        <w:keepLines/>
        <w:rPr>
          <w:i/>
          <w:iCs/>
          <w:lang w:val="fr-FR"/>
        </w:rPr>
      </w:pPr>
      <w:r w:rsidRPr="00582AFF">
        <w:rPr>
          <w:i/>
          <w:iCs/>
          <w:lang w:val="fr-FR"/>
        </w:rPr>
        <w:t>Le Comité du programme et budget (PBC)</w:t>
      </w:r>
    </w:p>
    <w:p w:rsidR="00087CF3" w:rsidRPr="00582AFF" w:rsidRDefault="00087CF3" w:rsidP="00087CF3">
      <w:pPr>
        <w:keepNext/>
        <w:keepLines/>
        <w:rPr>
          <w:i/>
          <w:iCs/>
          <w:lang w:val="fr-FR"/>
        </w:rPr>
      </w:pPr>
    </w:p>
    <w:p w:rsidR="00582AFF" w:rsidRPr="00582AFF" w:rsidRDefault="001728D6" w:rsidP="000D57BD">
      <w:pPr>
        <w:pStyle w:val="ListParagraph"/>
        <w:numPr>
          <w:ilvl w:val="0"/>
          <w:numId w:val="23"/>
        </w:numPr>
        <w:tabs>
          <w:tab w:val="left" w:pos="1134"/>
        </w:tabs>
        <w:spacing w:after="120"/>
        <w:ind w:left="567" w:firstLine="0"/>
        <w:rPr>
          <w:i/>
          <w:iCs/>
          <w:lang w:val="fr-FR"/>
        </w:rPr>
      </w:pPr>
      <w:r w:rsidRPr="00582AFF">
        <w:rPr>
          <w:i/>
          <w:iCs/>
          <w:lang w:val="fr-FR"/>
        </w:rPr>
        <w:t>a pris note de l</w:t>
      </w:r>
      <w:r w:rsidR="00175C36">
        <w:rPr>
          <w:i/>
          <w:iCs/>
          <w:lang w:val="fr-FR"/>
        </w:rPr>
        <w:t>’</w:t>
      </w:r>
      <w:r w:rsidRPr="00582AFF">
        <w:rPr>
          <w:i/>
          <w:iCs/>
          <w:lang w:val="fr-FR"/>
        </w:rPr>
        <w:t>état d</w:t>
      </w:r>
      <w:r w:rsidR="00175C36">
        <w:rPr>
          <w:i/>
          <w:iCs/>
          <w:lang w:val="fr-FR"/>
        </w:rPr>
        <w:t>’</w:t>
      </w:r>
      <w:r w:rsidRPr="00582AFF">
        <w:rPr>
          <w:i/>
          <w:iCs/>
          <w:lang w:val="fr-FR"/>
        </w:rPr>
        <w:t xml:space="preserve">avancement du processus de réforme statutaire présenté dans le document </w:t>
      </w:r>
      <w:r w:rsidRPr="00582AFF">
        <w:rPr>
          <w:i/>
          <w:lang w:val="fr-FR"/>
        </w:rPr>
        <w:t>WO/PBC/26/8</w:t>
      </w:r>
      <w:r w:rsidR="00DE3573">
        <w:rPr>
          <w:i/>
          <w:lang w:val="fr-FR"/>
        </w:rPr>
        <w:t>,</w:t>
      </w:r>
    </w:p>
    <w:p w:rsidR="00582AFF" w:rsidRPr="00582AFF" w:rsidRDefault="00582AFF" w:rsidP="001728D6">
      <w:pPr>
        <w:pStyle w:val="ListParagraph"/>
        <w:tabs>
          <w:tab w:val="left" w:pos="1170"/>
        </w:tabs>
        <w:ind w:left="540"/>
        <w:rPr>
          <w:i/>
          <w:iCs/>
          <w:lang w:val="fr-FR"/>
        </w:rPr>
      </w:pPr>
    </w:p>
    <w:p w:rsidR="00175C36" w:rsidRDefault="00582AFF" w:rsidP="000D57BD">
      <w:pPr>
        <w:pStyle w:val="ListParagraph"/>
        <w:numPr>
          <w:ilvl w:val="0"/>
          <w:numId w:val="23"/>
        </w:numPr>
        <w:tabs>
          <w:tab w:val="left" w:pos="1170"/>
        </w:tabs>
        <w:spacing w:after="120"/>
        <w:ind w:left="540" w:firstLine="0"/>
        <w:rPr>
          <w:i/>
          <w:iCs/>
          <w:lang w:val="fr-FR"/>
        </w:rPr>
      </w:pPr>
      <w:r w:rsidRPr="00582AFF">
        <w:rPr>
          <w:i/>
          <w:iCs/>
          <w:color w:val="000000"/>
          <w:lang w:val="fr-FR"/>
        </w:rPr>
        <w:t>a encouragé la poursuite des efforts de sensibilisation à l</w:t>
      </w:r>
      <w:r w:rsidR="00175C36">
        <w:rPr>
          <w:i/>
          <w:iCs/>
          <w:color w:val="000000"/>
          <w:lang w:val="fr-FR"/>
        </w:rPr>
        <w:t>’</w:t>
      </w:r>
      <w:r w:rsidRPr="00582AFF">
        <w:rPr>
          <w:i/>
          <w:iCs/>
          <w:color w:val="000000"/>
          <w:lang w:val="fr-FR"/>
        </w:rPr>
        <w:t xml:space="preserve">intention des États membres concernant le processus de ratification des modifications apportées </w:t>
      </w:r>
      <w:r w:rsidR="00175C36" w:rsidRPr="00582AFF">
        <w:rPr>
          <w:i/>
          <w:iCs/>
          <w:color w:val="000000"/>
          <w:lang w:val="fr-FR"/>
        </w:rPr>
        <w:t>en</w:t>
      </w:r>
      <w:r w:rsidR="00175C36">
        <w:rPr>
          <w:i/>
          <w:iCs/>
          <w:color w:val="000000"/>
          <w:lang w:val="fr-FR"/>
        </w:rPr>
        <w:t> </w:t>
      </w:r>
      <w:r w:rsidR="00175C36" w:rsidRPr="00582AFF">
        <w:rPr>
          <w:i/>
          <w:iCs/>
          <w:color w:val="000000"/>
          <w:lang w:val="fr-FR"/>
        </w:rPr>
        <w:t>1999</w:t>
      </w:r>
      <w:r w:rsidR="00D06C36">
        <w:rPr>
          <w:i/>
          <w:iCs/>
          <w:color w:val="000000"/>
          <w:lang w:val="fr-FR"/>
        </w:rPr>
        <w:t xml:space="preserve"> et </w:t>
      </w:r>
      <w:r w:rsidRPr="00582AFF">
        <w:rPr>
          <w:i/>
          <w:iCs/>
          <w:color w:val="000000"/>
          <w:lang w:val="fr-FR"/>
        </w:rPr>
        <w:t>2003 à la Convention instituant l</w:t>
      </w:r>
      <w:r w:rsidR="00175C36">
        <w:rPr>
          <w:i/>
          <w:iCs/>
          <w:color w:val="000000"/>
          <w:lang w:val="fr-FR"/>
        </w:rPr>
        <w:t>’</w:t>
      </w:r>
      <w:r w:rsidRPr="00582AFF">
        <w:rPr>
          <w:i/>
          <w:iCs/>
          <w:color w:val="000000"/>
          <w:lang w:val="fr-FR"/>
        </w:rPr>
        <w:t>OMPI et à d</w:t>
      </w:r>
      <w:r w:rsidR="00175C36">
        <w:rPr>
          <w:i/>
          <w:iCs/>
          <w:color w:val="000000"/>
          <w:lang w:val="fr-FR"/>
        </w:rPr>
        <w:t>’</w:t>
      </w:r>
      <w:r w:rsidRPr="00582AFF">
        <w:rPr>
          <w:i/>
          <w:iCs/>
          <w:color w:val="000000"/>
          <w:lang w:val="fr-FR"/>
        </w:rPr>
        <w:t>autres traités administrés par l</w:t>
      </w:r>
      <w:r w:rsidR="00175C36">
        <w:rPr>
          <w:i/>
          <w:iCs/>
          <w:color w:val="000000"/>
          <w:lang w:val="fr-FR"/>
        </w:rPr>
        <w:t>’</w:t>
      </w:r>
      <w:r w:rsidRPr="00582AFF">
        <w:rPr>
          <w:i/>
          <w:iCs/>
          <w:color w:val="000000"/>
          <w:lang w:val="fr-FR"/>
        </w:rPr>
        <w:t>OMPI et</w:t>
      </w:r>
    </w:p>
    <w:p w:rsidR="00582AFF" w:rsidRPr="00582AFF" w:rsidRDefault="00582AFF" w:rsidP="001728D6">
      <w:pPr>
        <w:pStyle w:val="ListParagraph"/>
        <w:tabs>
          <w:tab w:val="left" w:pos="1170"/>
        </w:tabs>
        <w:ind w:left="540"/>
        <w:rPr>
          <w:i/>
          <w:iCs/>
          <w:lang w:val="fr-FR"/>
        </w:rPr>
      </w:pPr>
      <w:bookmarkStart w:id="5" w:name="_GoBack"/>
      <w:bookmarkEnd w:id="5"/>
    </w:p>
    <w:p w:rsidR="00582AFF" w:rsidRPr="00F849EF" w:rsidRDefault="00582AFF" w:rsidP="000D57BD">
      <w:pPr>
        <w:pStyle w:val="ListParagraph"/>
        <w:numPr>
          <w:ilvl w:val="0"/>
          <w:numId w:val="23"/>
        </w:numPr>
        <w:tabs>
          <w:tab w:val="left" w:pos="1170"/>
        </w:tabs>
        <w:spacing w:after="120"/>
        <w:ind w:left="540" w:firstLine="0"/>
        <w:rPr>
          <w:i/>
          <w:iCs/>
          <w:lang w:val="fr-FR"/>
        </w:rPr>
      </w:pPr>
      <w:r w:rsidRPr="00F849EF">
        <w:rPr>
          <w:i/>
          <w:iCs/>
          <w:color w:val="000000"/>
          <w:lang w:val="fr-FR"/>
        </w:rPr>
        <w:t>a prié le Secrétariat de rendre compte</w:t>
      </w:r>
      <w:r w:rsidR="00175C36" w:rsidRPr="00F849EF">
        <w:rPr>
          <w:i/>
          <w:iCs/>
          <w:color w:val="000000"/>
          <w:lang w:val="fr-FR"/>
        </w:rPr>
        <w:t xml:space="preserve"> au PBC</w:t>
      </w:r>
      <w:r w:rsidRPr="00F849EF">
        <w:rPr>
          <w:i/>
          <w:iCs/>
          <w:color w:val="000000"/>
          <w:lang w:val="fr-FR"/>
        </w:rPr>
        <w:t xml:space="preserve"> à sa vingt</w:t>
      </w:r>
      <w:r w:rsidR="00F52085">
        <w:rPr>
          <w:i/>
          <w:iCs/>
          <w:color w:val="000000"/>
          <w:lang w:val="fr-FR"/>
        </w:rPr>
        <w:noBreakHyphen/>
      </w:r>
      <w:r w:rsidRPr="00F849EF">
        <w:rPr>
          <w:i/>
          <w:iCs/>
          <w:color w:val="000000"/>
          <w:lang w:val="fr-FR"/>
        </w:rPr>
        <w:t>huit</w:t>
      </w:r>
      <w:r w:rsidR="00175C36" w:rsidRPr="00F849EF">
        <w:rPr>
          <w:i/>
          <w:iCs/>
          <w:color w:val="000000"/>
          <w:lang w:val="fr-FR"/>
        </w:rPr>
        <w:t>ième session</w:t>
      </w:r>
      <w:r w:rsidRPr="00F849EF">
        <w:rPr>
          <w:i/>
          <w:iCs/>
          <w:color w:val="000000"/>
          <w:lang w:val="fr-FR"/>
        </w:rPr>
        <w:t xml:space="preserve"> de l</w:t>
      </w:r>
      <w:r w:rsidR="00175C36" w:rsidRPr="00F849EF">
        <w:rPr>
          <w:i/>
          <w:iCs/>
          <w:color w:val="000000"/>
          <w:lang w:val="fr-FR"/>
        </w:rPr>
        <w:t>’</w:t>
      </w:r>
      <w:r w:rsidRPr="00F849EF">
        <w:rPr>
          <w:i/>
          <w:iCs/>
          <w:color w:val="000000"/>
          <w:lang w:val="fr-FR"/>
        </w:rPr>
        <w:t xml:space="preserve">état de la mise en œuvre des modifications </w:t>
      </w:r>
      <w:r w:rsidR="00175C36" w:rsidRPr="00F849EF">
        <w:rPr>
          <w:i/>
          <w:iCs/>
          <w:color w:val="000000"/>
          <w:lang w:val="fr-FR"/>
        </w:rPr>
        <w:t>de 1999</w:t>
      </w:r>
      <w:r w:rsidRPr="00F849EF">
        <w:rPr>
          <w:i/>
          <w:iCs/>
          <w:color w:val="000000"/>
          <w:lang w:val="fr-FR"/>
        </w:rPr>
        <w:t xml:space="preserve"> et </w:t>
      </w:r>
      <w:r w:rsidR="00175C36" w:rsidRPr="00F849EF">
        <w:rPr>
          <w:i/>
          <w:iCs/>
          <w:color w:val="000000"/>
          <w:lang w:val="fr-FR"/>
        </w:rPr>
        <w:t>de 2003</w:t>
      </w:r>
      <w:r w:rsidRPr="00F849EF">
        <w:rPr>
          <w:i/>
          <w:iCs/>
          <w:color w:val="000000"/>
          <w:lang w:val="fr-FR"/>
        </w:rPr>
        <w:t>.</w:t>
      </w:r>
    </w:p>
    <w:p w:rsidR="00582AFF" w:rsidRDefault="00582AFF" w:rsidP="003B2B89">
      <w:pPr>
        <w:rPr>
          <w:lang w:val="fr-FR"/>
        </w:rPr>
      </w:pPr>
    </w:p>
    <w:p w:rsidR="00582AFF" w:rsidRDefault="00C03B03" w:rsidP="003B2B89">
      <w:pPr>
        <w:pStyle w:val="ListParagraph"/>
        <w:numPr>
          <w:ilvl w:val="0"/>
          <w:numId w:val="8"/>
        </w:numPr>
        <w:spacing w:before="120" w:after="120"/>
        <w:ind w:left="3686" w:hanging="3686"/>
        <w:contextualSpacing w:val="0"/>
        <w:rPr>
          <w:lang w:val="fr-FR"/>
        </w:rPr>
      </w:pPr>
      <w:r w:rsidRPr="003B2B89">
        <w:rPr>
          <w:lang w:val="fr-FR"/>
        </w:rPr>
        <w:t>OUVERTURE DE NOUVEAUX BUREAUX EXTÉRIEURS DE</w:t>
      </w:r>
      <w:r w:rsidR="003B2B89" w:rsidRPr="003B2B89">
        <w:rPr>
          <w:lang w:val="fr-FR"/>
        </w:rPr>
        <w:t> </w:t>
      </w:r>
      <w:r w:rsidRPr="003B2B89">
        <w:rPr>
          <w:lang w:val="fr-FR"/>
        </w:rPr>
        <w:t>L</w:t>
      </w:r>
      <w:r w:rsidR="00175C36">
        <w:rPr>
          <w:lang w:val="fr-FR"/>
        </w:rPr>
        <w:t>’</w:t>
      </w:r>
      <w:r w:rsidRPr="003B2B89">
        <w:rPr>
          <w:lang w:val="fr-FR"/>
        </w:rPr>
        <w:t>OMPI</w:t>
      </w:r>
    </w:p>
    <w:p w:rsidR="00582AFF" w:rsidRDefault="00C03B03" w:rsidP="00C03B03">
      <w:pPr>
        <w:spacing w:before="120" w:after="120"/>
        <w:rPr>
          <w:color w:val="000000"/>
          <w:lang w:val="fr-FR"/>
        </w:rPr>
      </w:pPr>
      <w:r w:rsidRPr="003B2B89">
        <w:rPr>
          <w:color w:val="000000"/>
          <w:lang w:val="fr-FR"/>
        </w:rPr>
        <w:t>d</w:t>
      </w:r>
      <w:r w:rsidRPr="003B2B89">
        <w:rPr>
          <w:lang w:val="fr-FR"/>
        </w:rPr>
        <w:t>ocuments WO/PBC/26/7 et A/56/15</w:t>
      </w:r>
      <w:r w:rsidRPr="003B2B89">
        <w:rPr>
          <w:color w:val="000000"/>
          <w:lang w:val="fr-FR"/>
        </w:rPr>
        <w:t>.</w:t>
      </w:r>
    </w:p>
    <w:p w:rsidR="00F52085" w:rsidRDefault="00F52085" w:rsidP="00C03B03">
      <w:pPr>
        <w:spacing w:before="120" w:after="120"/>
        <w:rPr>
          <w:color w:val="000000"/>
          <w:lang w:val="fr-FR"/>
        </w:rPr>
      </w:pPr>
    </w:p>
    <w:p w:rsidR="00F52085" w:rsidRPr="004132F4" w:rsidRDefault="00F52085" w:rsidP="00F52085">
      <w:pPr>
        <w:rPr>
          <w:i/>
          <w:lang w:val="fr-FR"/>
        </w:rPr>
      </w:pPr>
      <w:r w:rsidRPr="004132F4">
        <w:rPr>
          <w:i/>
          <w:lang w:val="fr-FR"/>
        </w:rPr>
        <w:t>Le Comité du programme et budget (PBC)</w:t>
      </w:r>
    </w:p>
    <w:p w:rsidR="00F52085" w:rsidRPr="004132F4" w:rsidRDefault="00F52085" w:rsidP="00F52085">
      <w:pPr>
        <w:rPr>
          <w:i/>
          <w:lang w:val="fr-FR"/>
        </w:rPr>
      </w:pPr>
    </w:p>
    <w:p w:rsidR="00F52085" w:rsidRPr="004132F4" w:rsidRDefault="00F52085" w:rsidP="00F52085">
      <w:pPr>
        <w:pStyle w:val="ListParagraph"/>
        <w:numPr>
          <w:ilvl w:val="0"/>
          <w:numId w:val="26"/>
        </w:numPr>
        <w:tabs>
          <w:tab w:val="left" w:pos="1170"/>
        </w:tabs>
        <w:spacing w:after="120"/>
        <w:ind w:left="540" w:firstLine="0"/>
        <w:rPr>
          <w:i/>
          <w:lang w:val="fr-FR"/>
        </w:rPr>
      </w:pPr>
      <w:r w:rsidRPr="004132F4">
        <w:rPr>
          <w:i/>
          <w:lang w:val="fr-FR"/>
        </w:rPr>
        <w:t>a pris connaissance des présentations concernant les nouvelles propositions relatives à l’ouverture de bureaux extérieurs pendant l’exercice biennal 2018</w:t>
      </w:r>
      <w:r>
        <w:rPr>
          <w:i/>
          <w:lang w:val="fr-FR"/>
        </w:rPr>
        <w:noBreakHyphen/>
      </w:r>
      <w:r w:rsidRPr="004132F4">
        <w:rPr>
          <w:i/>
          <w:lang w:val="fr-FR"/>
        </w:rPr>
        <w:t>2019;</w:t>
      </w:r>
    </w:p>
    <w:p w:rsidR="00F52085" w:rsidRPr="004132F4" w:rsidRDefault="00F52085" w:rsidP="00F52085">
      <w:pPr>
        <w:rPr>
          <w:i/>
          <w:lang w:val="fr-FR"/>
        </w:rPr>
      </w:pPr>
    </w:p>
    <w:p w:rsidR="00F52085" w:rsidRPr="004132F4" w:rsidRDefault="00F52085" w:rsidP="00F52085">
      <w:pPr>
        <w:pStyle w:val="ListParagraph"/>
        <w:numPr>
          <w:ilvl w:val="0"/>
          <w:numId w:val="26"/>
        </w:numPr>
        <w:tabs>
          <w:tab w:val="left" w:pos="1170"/>
        </w:tabs>
        <w:spacing w:after="120"/>
        <w:ind w:left="540" w:firstLine="0"/>
        <w:rPr>
          <w:i/>
          <w:lang w:val="fr-FR"/>
        </w:rPr>
      </w:pPr>
      <w:r w:rsidRPr="004132F4">
        <w:rPr>
          <w:i/>
          <w:lang w:val="fr-FR"/>
        </w:rPr>
        <w:t>est revenu sur une proposition pour l’exercice biennal 2016</w:t>
      </w:r>
      <w:r>
        <w:rPr>
          <w:i/>
          <w:lang w:val="fr-FR"/>
        </w:rPr>
        <w:noBreakHyphen/>
      </w:r>
      <w:r w:rsidRPr="004132F4">
        <w:rPr>
          <w:i/>
          <w:lang w:val="fr-FR"/>
        </w:rPr>
        <w:t>2017;  et</w:t>
      </w:r>
    </w:p>
    <w:p w:rsidR="00F52085" w:rsidRPr="004132F4" w:rsidRDefault="00F52085" w:rsidP="00F52085">
      <w:pPr>
        <w:rPr>
          <w:i/>
          <w:lang w:val="fr-FR"/>
        </w:rPr>
      </w:pPr>
    </w:p>
    <w:p w:rsidR="00F52085" w:rsidRPr="004132F4" w:rsidRDefault="00F52085" w:rsidP="00F52085">
      <w:pPr>
        <w:pStyle w:val="ListParagraph"/>
        <w:numPr>
          <w:ilvl w:val="0"/>
          <w:numId w:val="26"/>
        </w:numPr>
        <w:tabs>
          <w:tab w:val="left" w:pos="1170"/>
        </w:tabs>
        <w:spacing w:after="120"/>
        <w:ind w:left="547" w:firstLine="0"/>
        <w:contextualSpacing w:val="0"/>
        <w:rPr>
          <w:i/>
          <w:lang w:val="fr-FR"/>
        </w:rPr>
      </w:pPr>
      <w:r w:rsidRPr="004132F4">
        <w:rPr>
          <w:i/>
          <w:lang w:val="fr-FR"/>
        </w:rPr>
        <w:t>a procédé à un premier échange de vues pour parvenir à une décision sur les nouveaux bureaux extérieurs en suspens pour les exercices biennaux 2016</w:t>
      </w:r>
      <w:r>
        <w:rPr>
          <w:i/>
          <w:lang w:val="fr-FR"/>
        </w:rPr>
        <w:noBreakHyphen/>
      </w:r>
      <w:r w:rsidRPr="004132F4">
        <w:rPr>
          <w:i/>
          <w:lang w:val="fr-FR"/>
        </w:rPr>
        <w:t>2017 et 2018</w:t>
      </w:r>
      <w:r>
        <w:rPr>
          <w:i/>
          <w:lang w:val="fr-FR"/>
        </w:rPr>
        <w:noBreakHyphen/>
      </w:r>
      <w:r w:rsidRPr="004132F4">
        <w:rPr>
          <w:i/>
          <w:lang w:val="fr-FR"/>
        </w:rPr>
        <w:t>2019 et décidé de poursuivr</w:t>
      </w:r>
      <w:r>
        <w:rPr>
          <w:i/>
          <w:lang w:val="fr-FR"/>
        </w:rPr>
        <w:t xml:space="preserve">e </w:t>
      </w:r>
      <w:r w:rsidRPr="004132F4">
        <w:rPr>
          <w:i/>
          <w:lang w:val="fr-FR"/>
        </w:rPr>
        <w:t>les discussions à la vingt</w:t>
      </w:r>
      <w:r>
        <w:rPr>
          <w:i/>
          <w:lang w:val="fr-FR"/>
        </w:rPr>
        <w:noBreakHyphen/>
      </w:r>
      <w:r w:rsidRPr="004132F4">
        <w:rPr>
          <w:i/>
          <w:lang w:val="fr-FR"/>
        </w:rPr>
        <w:t>septième session du PBC, en vue de faire une recommandation à l’Assemblée générale à sa session de 2017.</w:t>
      </w:r>
    </w:p>
    <w:p w:rsidR="00582AFF" w:rsidRDefault="00582AFF" w:rsidP="00F71412">
      <w:pPr>
        <w:rPr>
          <w:lang w:val="fr-FR"/>
        </w:rPr>
      </w:pPr>
    </w:p>
    <w:p w:rsidR="00582AFF" w:rsidRDefault="00C03B03" w:rsidP="00F849EF">
      <w:pPr>
        <w:pStyle w:val="ListParagraph"/>
        <w:numPr>
          <w:ilvl w:val="0"/>
          <w:numId w:val="8"/>
        </w:numPr>
        <w:spacing w:before="120" w:after="120"/>
        <w:ind w:left="3686" w:hanging="3686"/>
        <w:contextualSpacing w:val="0"/>
        <w:rPr>
          <w:lang w:val="fr-FR"/>
        </w:rPr>
      </w:pPr>
      <w:r w:rsidRPr="003B2B89">
        <w:rPr>
          <w:lang w:val="fr-FR"/>
        </w:rPr>
        <w:t>CLÔTURE DE LA SESSION</w:t>
      </w:r>
    </w:p>
    <w:p w:rsidR="00582AFF" w:rsidRDefault="00582AFF" w:rsidP="00F71412">
      <w:pPr>
        <w:rPr>
          <w:lang w:val="fr-FR"/>
        </w:rPr>
      </w:pPr>
    </w:p>
    <w:p w:rsidR="00582AFF" w:rsidRDefault="00582AFF" w:rsidP="00F71412">
      <w:pPr>
        <w:rPr>
          <w:lang w:val="fr-FR"/>
        </w:rPr>
      </w:pPr>
    </w:p>
    <w:p w:rsidR="00F849EF" w:rsidRDefault="00F849EF" w:rsidP="00F71412">
      <w:pPr>
        <w:rPr>
          <w:lang w:val="fr-FR"/>
        </w:rPr>
      </w:pPr>
    </w:p>
    <w:p w:rsidR="00847302" w:rsidRPr="003B2B89" w:rsidRDefault="00C03B03" w:rsidP="003B2B89">
      <w:pPr>
        <w:pStyle w:val="Endofdocument-Annex"/>
        <w:rPr>
          <w:lang w:val="fr-FR"/>
        </w:rPr>
      </w:pPr>
      <w:r w:rsidRPr="003B2B89">
        <w:rPr>
          <w:lang w:val="fr-FR"/>
        </w:rPr>
        <w:t>[Fin du document]</w:t>
      </w:r>
    </w:p>
    <w:sectPr w:rsidR="00847302" w:rsidRPr="003B2B89" w:rsidSect="00431C1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24" w:rsidRDefault="00A31A24">
      <w:r>
        <w:separator/>
      </w:r>
    </w:p>
  </w:endnote>
  <w:endnote w:type="continuationSeparator" w:id="0">
    <w:p w:rsidR="00A31A24" w:rsidRDefault="00A31A24" w:rsidP="003B38C1">
      <w:r>
        <w:separator/>
      </w:r>
    </w:p>
    <w:p w:rsidR="00A31A24" w:rsidRPr="003B38C1" w:rsidRDefault="00A31A24" w:rsidP="003B38C1">
      <w:pPr>
        <w:spacing w:after="60"/>
        <w:rPr>
          <w:sz w:val="17"/>
        </w:rPr>
      </w:pPr>
      <w:r>
        <w:rPr>
          <w:sz w:val="17"/>
        </w:rPr>
        <w:t>[Endnote continued from previous page]</w:t>
      </w:r>
    </w:p>
  </w:endnote>
  <w:endnote w:type="continuationNotice" w:id="1">
    <w:p w:rsidR="00A31A24" w:rsidRPr="003B38C1" w:rsidRDefault="00A31A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24" w:rsidRDefault="00A31A24">
      <w:r>
        <w:separator/>
      </w:r>
    </w:p>
  </w:footnote>
  <w:footnote w:type="continuationSeparator" w:id="0">
    <w:p w:rsidR="00A31A24" w:rsidRDefault="00A31A24" w:rsidP="008B60B2">
      <w:r>
        <w:separator/>
      </w:r>
    </w:p>
    <w:p w:rsidR="00A31A24" w:rsidRPr="00ED77FB" w:rsidRDefault="00A31A24" w:rsidP="008B60B2">
      <w:pPr>
        <w:spacing w:after="60"/>
        <w:rPr>
          <w:sz w:val="17"/>
          <w:szCs w:val="17"/>
        </w:rPr>
      </w:pPr>
      <w:r w:rsidRPr="00ED77FB">
        <w:rPr>
          <w:sz w:val="17"/>
          <w:szCs w:val="17"/>
        </w:rPr>
        <w:t>[Footnote continued from previous page]</w:t>
      </w:r>
    </w:p>
  </w:footnote>
  <w:footnote w:type="continuationNotice" w:id="1">
    <w:p w:rsidR="00A31A24" w:rsidRPr="00ED77FB" w:rsidRDefault="00A31A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31A24" w:rsidP="00E81B48">
    <w:pPr>
      <w:jc w:val="right"/>
    </w:pPr>
    <w:bookmarkStart w:id="6" w:name="Code2"/>
    <w:bookmarkEnd w:id="6"/>
    <w:r>
      <w:t>WO/PBC/26/</w:t>
    </w:r>
    <w:r w:rsidR="00E81B48">
      <w:t>11</w:t>
    </w:r>
  </w:p>
  <w:p w:rsidR="00EC4E49" w:rsidRDefault="00173ACB" w:rsidP="00477D6B">
    <w:pPr>
      <w:jc w:val="right"/>
    </w:pPr>
    <w:r>
      <w:t>p</w:t>
    </w:r>
    <w:r w:rsidR="00EC4E49">
      <w:t>age</w:t>
    </w:r>
    <w:r>
      <w:t> </w:t>
    </w:r>
    <w:r w:rsidR="00EC4E49">
      <w:fldChar w:fldCharType="begin"/>
    </w:r>
    <w:r w:rsidR="00EC4E49">
      <w:instrText xml:space="preserve"> PAGE  \* MERGEFORMAT </w:instrText>
    </w:r>
    <w:r w:rsidR="00EC4E49">
      <w:fldChar w:fldCharType="separate"/>
    </w:r>
    <w:r w:rsidR="00087CF3">
      <w:rPr>
        <w:noProof/>
      </w:rPr>
      <w:t>4</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3931E4"/>
    <w:multiLevelType w:val="hybridMultilevel"/>
    <w:tmpl w:val="912A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724AC5"/>
    <w:multiLevelType w:val="hybridMultilevel"/>
    <w:tmpl w:val="0F0EE58C"/>
    <w:lvl w:ilvl="0" w:tplc="6364496C">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97CFA"/>
    <w:multiLevelType w:val="hybridMultilevel"/>
    <w:tmpl w:val="E0CA5290"/>
    <w:lvl w:ilvl="0" w:tplc="9EA47116">
      <w:start w:val="1"/>
      <w:numFmt w:val="lowerRoman"/>
      <w:lvlText w:val="(%1)"/>
      <w:lvlJc w:val="left"/>
      <w:pPr>
        <w:ind w:left="1080" w:hanging="720"/>
      </w:pPr>
      <w:rPr>
        <w:rFonts w:hint="default"/>
      </w:rPr>
    </w:lvl>
    <w:lvl w:ilvl="1" w:tplc="6F1606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87FAA"/>
    <w:multiLevelType w:val="hybridMultilevel"/>
    <w:tmpl w:val="39E67CC4"/>
    <w:lvl w:ilvl="0" w:tplc="65B4191A">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B40B0"/>
    <w:multiLevelType w:val="hybridMultilevel"/>
    <w:tmpl w:val="DA465CAA"/>
    <w:lvl w:ilvl="0" w:tplc="296A362E">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A084F86"/>
    <w:multiLevelType w:val="hybridMultilevel"/>
    <w:tmpl w:val="2C565530"/>
    <w:lvl w:ilvl="0" w:tplc="6F1606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397328"/>
    <w:multiLevelType w:val="hybridMultilevel"/>
    <w:tmpl w:val="DA465CAA"/>
    <w:lvl w:ilvl="0" w:tplc="296A362E">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3155C"/>
    <w:multiLevelType w:val="hybridMultilevel"/>
    <w:tmpl w:val="B9407F28"/>
    <w:lvl w:ilvl="0" w:tplc="0409000F">
      <w:start w:val="1"/>
      <w:numFmt w:val="decimal"/>
      <w:lvlText w:val="%1."/>
      <w:lvlJc w:val="left"/>
      <w:pPr>
        <w:ind w:left="720" w:hanging="360"/>
      </w:pPr>
    </w:lvl>
    <w:lvl w:ilvl="1" w:tplc="A25E589C">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02651"/>
    <w:multiLevelType w:val="hybridMultilevel"/>
    <w:tmpl w:val="6C00A2A8"/>
    <w:lvl w:ilvl="0" w:tplc="21FAD320">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B5B7D"/>
    <w:multiLevelType w:val="hybridMultilevel"/>
    <w:tmpl w:val="56B0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1E0876"/>
    <w:multiLevelType w:val="hybridMultilevel"/>
    <w:tmpl w:val="9CE0EEF4"/>
    <w:lvl w:ilvl="0" w:tplc="0FC66C5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E05418"/>
    <w:multiLevelType w:val="hybridMultilevel"/>
    <w:tmpl w:val="90E640CA"/>
    <w:lvl w:ilvl="0" w:tplc="FD28933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7568A8"/>
    <w:multiLevelType w:val="hybridMultilevel"/>
    <w:tmpl w:val="912A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A0651A"/>
    <w:multiLevelType w:val="hybridMultilevel"/>
    <w:tmpl w:val="376A41D0"/>
    <w:lvl w:ilvl="0" w:tplc="496E8EA8">
      <w:start w:val="1"/>
      <w:numFmt w:val="decimal"/>
      <w:lvlText w:val="POINT %1 DE L’ORDRE DU JOUR"/>
      <w:lvlJc w:val="left"/>
      <w:pPr>
        <w:tabs>
          <w:tab w:val="num" w:pos="3686"/>
        </w:tabs>
        <w:ind w:left="0" w:firstLine="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C905C6"/>
    <w:multiLevelType w:val="hybridMultilevel"/>
    <w:tmpl w:val="894A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60400"/>
    <w:multiLevelType w:val="hybridMultilevel"/>
    <w:tmpl w:val="4FD2A8C0"/>
    <w:lvl w:ilvl="0" w:tplc="AB62788A">
      <w:start w:val="1"/>
      <w:numFmt w:val="decimal"/>
      <w:lvlText w:val="AGENDA ITEM %1."/>
      <w:lvlJc w:val="left"/>
      <w:pPr>
        <w:ind w:left="502"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E740B"/>
    <w:multiLevelType w:val="hybridMultilevel"/>
    <w:tmpl w:val="30BC2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85C30"/>
    <w:multiLevelType w:val="hybridMultilevel"/>
    <w:tmpl w:val="C5388A66"/>
    <w:lvl w:ilvl="0" w:tplc="858CEB84">
      <w:start w:val="1"/>
      <w:numFmt w:val="lowerRoman"/>
      <w:lvlText w:val="%1)"/>
      <w:lvlJc w:val="left"/>
      <w:pPr>
        <w:ind w:left="1287" w:hanging="360"/>
      </w:pPr>
      <w:rPr>
        <w:rFonts w:cs="Times New Roman" w:hint="default"/>
        <w:snapToGrid/>
        <w:spacing w:val="4"/>
        <w:w w:val="110"/>
        <w:sz w:val="24"/>
        <w:szCs w:val="24"/>
      </w:rPr>
    </w:lvl>
    <w:lvl w:ilvl="1" w:tplc="F2368410">
      <w:start w:val="1"/>
      <w:numFmt w:val="lowerRoman"/>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5"/>
  </w:num>
  <w:num w:numId="3">
    <w:abstractNumId w:val="0"/>
  </w:num>
  <w:num w:numId="4">
    <w:abstractNumId w:val="16"/>
  </w:num>
  <w:num w:numId="5">
    <w:abstractNumId w:val="2"/>
  </w:num>
  <w:num w:numId="6">
    <w:abstractNumId w:val="9"/>
  </w:num>
  <w:num w:numId="7">
    <w:abstractNumId w:val="21"/>
  </w:num>
  <w:num w:numId="8">
    <w:abstractNumId w:val="19"/>
  </w:num>
  <w:num w:numId="9">
    <w:abstractNumId w:val="12"/>
  </w:num>
  <w:num w:numId="10">
    <w:abstractNumId w:val="14"/>
  </w:num>
  <w:num w:numId="11">
    <w:abstractNumId w:val="4"/>
  </w:num>
  <w:num w:numId="12">
    <w:abstractNumId w:val="17"/>
  </w:num>
  <w:num w:numId="13">
    <w:abstractNumId w:val="20"/>
  </w:num>
  <w:num w:numId="14">
    <w:abstractNumId w:val="13"/>
  </w:num>
  <w:num w:numId="15">
    <w:abstractNumId w:val="22"/>
  </w:num>
  <w:num w:numId="16">
    <w:abstractNumId w:val="18"/>
  </w:num>
  <w:num w:numId="17">
    <w:abstractNumId w:val="10"/>
  </w:num>
  <w:num w:numId="18">
    <w:abstractNumId w:val="11"/>
  </w:num>
  <w:num w:numId="19">
    <w:abstractNumId w:val="2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5"/>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A31A24"/>
    <w:rsid w:val="00043CAA"/>
    <w:rsid w:val="00047BCC"/>
    <w:rsid w:val="0005361A"/>
    <w:rsid w:val="00075432"/>
    <w:rsid w:val="00087CF3"/>
    <w:rsid w:val="000968ED"/>
    <w:rsid w:val="000A143A"/>
    <w:rsid w:val="000B4CC5"/>
    <w:rsid w:val="000D57BD"/>
    <w:rsid w:val="000F5E56"/>
    <w:rsid w:val="00103FFD"/>
    <w:rsid w:val="00136268"/>
    <w:rsid w:val="001362EE"/>
    <w:rsid w:val="001647D5"/>
    <w:rsid w:val="001728D6"/>
    <w:rsid w:val="00173ACB"/>
    <w:rsid w:val="00175C36"/>
    <w:rsid w:val="001832A6"/>
    <w:rsid w:val="0019307B"/>
    <w:rsid w:val="00202287"/>
    <w:rsid w:val="0021217E"/>
    <w:rsid w:val="0022022A"/>
    <w:rsid w:val="002303A8"/>
    <w:rsid w:val="00240529"/>
    <w:rsid w:val="00246A17"/>
    <w:rsid w:val="002634C4"/>
    <w:rsid w:val="00270691"/>
    <w:rsid w:val="002928D3"/>
    <w:rsid w:val="002A195F"/>
    <w:rsid w:val="002B35B7"/>
    <w:rsid w:val="002F1FE6"/>
    <w:rsid w:val="002F4E68"/>
    <w:rsid w:val="00312F7F"/>
    <w:rsid w:val="00361450"/>
    <w:rsid w:val="003673CF"/>
    <w:rsid w:val="003845C1"/>
    <w:rsid w:val="003A6F89"/>
    <w:rsid w:val="003B2B89"/>
    <w:rsid w:val="003B38C1"/>
    <w:rsid w:val="003B5525"/>
    <w:rsid w:val="00423E3E"/>
    <w:rsid w:val="00427AF4"/>
    <w:rsid w:val="00431C11"/>
    <w:rsid w:val="00436E45"/>
    <w:rsid w:val="004647DA"/>
    <w:rsid w:val="00474062"/>
    <w:rsid w:val="00477D6B"/>
    <w:rsid w:val="004B2494"/>
    <w:rsid w:val="005019FF"/>
    <w:rsid w:val="0053057A"/>
    <w:rsid w:val="00560A29"/>
    <w:rsid w:val="00582AFF"/>
    <w:rsid w:val="005A2B01"/>
    <w:rsid w:val="005C6649"/>
    <w:rsid w:val="005F3AFC"/>
    <w:rsid w:val="005F7C9E"/>
    <w:rsid w:val="00603DD6"/>
    <w:rsid w:val="00605827"/>
    <w:rsid w:val="00610DB0"/>
    <w:rsid w:val="00615754"/>
    <w:rsid w:val="006208E1"/>
    <w:rsid w:val="00634192"/>
    <w:rsid w:val="00646050"/>
    <w:rsid w:val="006713CA"/>
    <w:rsid w:val="00676C5C"/>
    <w:rsid w:val="006E56F5"/>
    <w:rsid w:val="006F5D37"/>
    <w:rsid w:val="00751789"/>
    <w:rsid w:val="007D1613"/>
    <w:rsid w:val="007E4C0E"/>
    <w:rsid w:val="007E7555"/>
    <w:rsid w:val="00847302"/>
    <w:rsid w:val="00853625"/>
    <w:rsid w:val="008A696C"/>
    <w:rsid w:val="008B2CC1"/>
    <w:rsid w:val="008B60B2"/>
    <w:rsid w:val="0090731E"/>
    <w:rsid w:val="00916EE2"/>
    <w:rsid w:val="00920894"/>
    <w:rsid w:val="00932B6F"/>
    <w:rsid w:val="00934EB2"/>
    <w:rsid w:val="00966A22"/>
    <w:rsid w:val="0096722F"/>
    <w:rsid w:val="00980843"/>
    <w:rsid w:val="009A583E"/>
    <w:rsid w:val="009E2791"/>
    <w:rsid w:val="009E3F6F"/>
    <w:rsid w:val="009F499F"/>
    <w:rsid w:val="00A31A24"/>
    <w:rsid w:val="00A42DAF"/>
    <w:rsid w:val="00A45BD8"/>
    <w:rsid w:val="00A46024"/>
    <w:rsid w:val="00A869B7"/>
    <w:rsid w:val="00AA45D1"/>
    <w:rsid w:val="00AC205C"/>
    <w:rsid w:val="00AF0A6B"/>
    <w:rsid w:val="00B05A69"/>
    <w:rsid w:val="00B832DD"/>
    <w:rsid w:val="00B97138"/>
    <w:rsid w:val="00B9734B"/>
    <w:rsid w:val="00BA30E2"/>
    <w:rsid w:val="00BB6C48"/>
    <w:rsid w:val="00BE07DC"/>
    <w:rsid w:val="00C03B03"/>
    <w:rsid w:val="00C11BFE"/>
    <w:rsid w:val="00C172A4"/>
    <w:rsid w:val="00C1775E"/>
    <w:rsid w:val="00C5068F"/>
    <w:rsid w:val="00C86D74"/>
    <w:rsid w:val="00C909F7"/>
    <w:rsid w:val="00CD04F1"/>
    <w:rsid w:val="00D06C36"/>
    <w:rsid w:val="00D218EA"/>
    <w:rsid w:val="00D238BB"/>
    <w:rsid w:val="00D45252"/>
    <w:rsid w:val="00D7109C"/>
    <w:rsid w:val="00D71B4D"/>
    <w:rsid w:val="00D93D55"/>
    <w:rsid w:val="00DB21B2"/>
    <w:rsid w:val="00DE3573"/>
    <w:rsid w:val="00E15015"/>
    <w:rsid w:val="00E335FE"/>
    <w:rsid w:val="00E81B48"/>
    <w:rsid w:val="00E823E0"/>
    <w:rsid w:val="00EC4E49"/>
    <w:rsid w:val="00ED77FB"/>
    <w:rsid w:val="00EE45FA"/>
    <w:rsid w:val="00F52085"/>
    <w:rsid w:val="00F5336D"/>
    <w:rsid w:val="00F66152"/>
    <w:rsid w:val="00F71412"/>
    <w:rsid w:val="00F849EF"/>
    <w:rsid w:val="00FA08C6"/>
    <w:rsid w:val="00FB3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C172A4"/>
    <w:pPr>
      <w:ind w:left="720"/>
      <w:contextualSpacing/>
    </w:pPr>
  </w:style>
  <w:style w:type="character" w:customStyle="1" w:styleId="ONUMEChar">
    <w:name w:val="ONUM E Char"/>
    <w:link w:val="ONUME"/>
    <w:rsid w:val="00C172A4"/>
    <w:rPr>
      <w:rFonts w:ascii="Arial" w:eastAsia="SimSun" w:hAnsi="Arial" w:cs="Arial"/>
      <w:sz w:val="22"/>
      <w:lang w:eastAsia="zh-CN"/>
    </w:rPr>
  </w:style>
  <w:style w:type="character" w:styleId="Hyperlink">
    <w:name w:val="Hyperlink"/>
    <w:basedOn w:val="DefaultParagraphFont"/>
    <w:rsid w:val="003B2B89"/>
    <w:rPr>
      <w:color w:val="0000FF" w:themeColor="hyperlink"/>
      <w:u w:val="single"/>
    </w:rPr>
  </w:style>
  <w:style w:type="paragraph" w:styleId="PlainText">
    <w:name w:val="Plain Text"/>
    <w:basedOn w:val="Normal"/>
    <w:link w:val="PlainTextChar"/>
    <w:uiPriority w:val="99"/>
    <w:unhideWhenUsed/>
    <w:rsid w:val="0022022A"/>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2022A"/>
    <w:rPr>
      <w:rFonts w:ascii="Courier New" w:eastAsiaTheme="minorHAnsi" w:hAnsi="Courier New"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C172A4"/>
    <w:pPr>
      <w:ind w:left="720"/>
      <w:contextualSpacing/>
    </w:pPr>
  </w:style>
  <w:style w:type="character" w:customStyle="1" w:styleId="ONUMEChar">
    <w:name w:val="ONUM E Char"/>
    <w:link w:val="ONUME"/>
    <w:rsid w:val="00C172A4"/>
    <w:rPr>
      <w:rFonts w:ascii="Arial" w:eastAsia="SimSun" w:hAnsi="Arial" w:cs="Arial"/>
      <w:sz w:val="22"/>
      <w:lang w:eastAsia="zh-CN"/>
    </w:rPr>
  </w:style>
  <w:style w:type="character" w:styleId="Hyperlink">
    <w:name w:val="Hyperlink"/>
    <w:basedOn w:val="DefaultParagraphFont"/>
    <w:rsid w:val="003B2B89"/>
    <w:rPr>
      <w:color w:val="0000FF" w:themeColor="hyperlink"/>
      <w:u w:val="single"/>
    </w:rPr>
  </w:style>
  <w:style w:type="paragraph" w:styleId="PlainText">
    <w:name w:val="Plain Text"/>
    <w:basedOn w:val="Normal"/>
    <w:link w:val="PlainTextChar"/>
    <w:uiPriority w:val="99"/>
    <w:unhideWhenUsed/>
    <w:rsid w:val="0022022A"/>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2022A"/>
    <w:rPr>
      <w:rFonts w:ascii="Courier New" w:eastAsiaTheme="minorHAnsi" w:hAnsi="Courier New"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26 (E)</Template>
  <TotalTime>68</TotalTime>
  <Pages>4</Pages>
  <Words>1221</Words>
  <Characters>6144</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WO/PBC/26/</vt:lpstr>
      <vt:lpstr>WO/PBC/26/</vt:lpstr>
    </vt:vector>
  </TitlesOfParts>
  <Company>WIPO</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dc:title>
  <dc:creator>ZEBARJADI-SAR Nahal</dc:creator>
  <cp:keywords>JCH/MP/ko</cp:keywords>
  <cp:lastModifiedBy> </cp:lastModifiedBy>
  <cp:revision>17</cp:revision>
  <cp:lastPrinted>2017-07-14T14:09:00Z</cp:lastPrinted>
  <dcterms:created xsi:type="dcterms:W3CDTF">2017-07-14T05:08:00Z</dcterms:created>
  <dcterms:modified xsi:type="dcterms:W3CDTF">2017-07-28T09:17:00Z</dcterms:modified>
</cp:coreProperties>
</file>