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B0A9C" w:rsidRPr="000A6AA6" w:rsidTr="006A0BE5">
        <w:tc>
          <w:tcPr>
            <w:tcW w:w="4513" w:type="dxa"/>
            <w:tcBorders>
              <w:bottom w:val="single" w:sz="4" w:space="0" w:color="auto"/>
            </w:tcBorders>
            <w:tcMar>
              <w:bottom w:w="170" w:type="dxa"/>
            </w:tcMar>
          </w:tcPr>
          <w:p w:rsidR="009B0A9C" w:rsidRPr="000A6AA6" w:rsidRDefault="009B0A9C" w:rsidP="00826A4E">
            <w:pPr>
              <w:rPr>
                <w:lang w:val="fr-FR"/>
              </w:rPr>
            </w:pPr>
          </w:p>
        </w:tc>
        <w:tc>
          <w:tcPr>
            <w:tcW w:w="4337" w:type="dxa"/>
            <w:tcBorders>
              <w:bottom w:val="single" w:sz="4" w:space="0" w:color="auto"/>
            </w:tcBorders>
            <w:tcMar>
              <w:left w:w="0" w:type="dxa"/>
              <w:right w:w="0" w:type="dxa"/>
            </w:tcMar>
          </w:tcPr>
          <w:p w:rsidR="009B0A9C" w:rsidRPr="000A6AA6" w:rsidRDefault="009B0A9C" w:rsidP="00826A4E">
            <w:pPr>
              <w:rPr>
                <w:lang w:val="fr-FR"/>
              </w:rPr>
            </w:pPr>
            <w:r w:rsidRPr="000A6AA6">
              <w:rPr>
                <w:noProof/>
                <w:lang w:eastAsia="en-US"/>
              </w:rPr>
              <w:drawing>
                <wp:inline distT="0" distB="0" distL="0" distR="0" wp14:anchorId="3C035106" wp14:editId="664824ED">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B0A9C" w:rsidRPr="000A6AA6" w:rsidRDefault="009B0A9C" w:rsidP="00826A4E">
            <w:pPr>
              <w:jc w:val="right"/>
              <w:rPr>
                <w:lang w:val="fr-FR"/>
              </w:rPr>
            </w:pPr>
            <w:r w:rsidRPr="000A6AA6">
              <w:rPr>
                <w:b/>
                <w:sz w:val="40"/>
                <w:szCs w:val="40"/>
                <w:lang w:val="fr-FR"/>
              </w:rPr>
              <w:t>F</w:t>
            </w:r>
          </w:p>
        </w:tc>
      </w:tr>
      <w:tr w:rsidR="009B0A9C" w:rsidRPr="000A6AA6" w:rsidTr="00826A4E">
        <w:trPr>
          <w:trHeight w:hRule="exact" w:val="340"/>
        </w:trPr>
        <w:tc>
          <w:tcPr>
            <w:tcW w:w="9356" w:type="dxa"/>
            <w:gridSpan w:val="3"/>
            <w:tcBorders>
              <w:top w:val="single" w:sz="4" w:space="0" w:color="auto"/>
            </w:tcBorders>
            <w:tcMar>
              <w:top w:w="170" w:type="dxa"/>
              <w:left w:w="0" w:type="dxa"/>
              <w:right w:w="0" w:type="dxa"/>
            </w:tcMar>
            <w:vAlign w:val="bottom"/>
          </w:tcPr>
          <w:p w:rsidR="009B0A9C" w:rsidRPr="000A6AA6" w:rsidRDefault="009B0A9C" w:rsidP="00826A4E">
            <w:pPr>
              <w:jc w:val="right"/>
              <w:rPr>
                <w:rFonts w:ascii="Arial Black" w:hAnsi="Arial Black"/>
                <w:caps/>
                <w:sz w:val="15"/>
                <w:lang w:val="fr-FR"/>
              </w:rPr>
            </w:pPr>
            <w:r w:rsidRPr="000A6AA6">
              <w:rPr>
                <w:rFonts w:ascii="Arial Black" w:hAnsi="Arial Black"/>
                <w:caps/>
                <w:sz w:val="15"/>
                <w:lang w:val="fr-FR"/>
              </w:rPr>
              <w:t>WO/PBC/25/</w:t>
            </w:r>
            <w:bookmarkStart w:id="0" w:name="Code"/>
            <w:bookmarkEnd w:id="0"/>
            <w:r w:rsidRPr="000A6AA6">
              <w:rPr>
                <w:rFonts w:ascii="Arial Black" w:hAnsi="Arial Black"/>
                <w:caps/>
                <w:sz w:val="15"/>
                <w:lang w:val="fr-FR"/>
              </w:rPr>
              <w:t>20</w:t>
            </w:r>
          </w:p>
        </w:tc>
      </w:tr>
      <w:tr w:rsidR="009B0A9C" w:rsidRPr="000A6AA6" w:rsidTr="00826A4E">
        <w:trPr>
          <w:trHeight w:hRule="exact" w:val="170"/>
        </w:trPr>
        <w:tc>
          <w:tcPr>
            <w:tcW w:w="9356" w:type="dxa"/>
            <w:gridSpan w:val="3"/>
            <w:noWrap/>
            <w:tcMar>
              <w:left w:w="0" w:type="dxa"/>
              <w:right w:w="0" w:type="dxa"/>
            </w:tcMar>
            <w:vAlign w:val="bottom"/>
          </w:tcPr>
          <w:p w:rsidR="009B0A9C" w:rsidRPr="000A6AA6" w:rsidRDefault="009B0A9C" w:rsidP="00826A4E">
            <w:pPr>
              <w:jc w:val="right"/>
              <w:rPr>
                <w:rFonts w:ascii="Arial Black" w:hAnsi="Arial Black"/>
                <w:caps/>
                <w:sz w:val="15"/>
                <w:lang w:val="fr-FR"/>
              </w:rPr>
            </w:pPr>
            <w:r w:rsidRPr="000A6AA6">
              <w:rPr>
                <w:rFonts w:ascii="Arial Black" w:hAnsi="Arial Black"/>
                <w:caps/>
                <w:sz w:val="15"/>
                <w:lang w:val="fr-FR"/>
              </w:rPr>
              <w:t>ORIGINAL</w:t>
            </w:r>
            <w:r w:rsidR="00E87329" w:rsidRPr="000A6AA6">
              <w:rPr>
                <w:rFonts w:ascii="Arial Black" w:hAnsi="Arial Black"/>
                <w:caps/>
                <w:sz w:val="15"/>
                <w:lang w:val="fr-FR"/>
              </w:rPr>
              <w:t> </w:t>
            </w:r>
            <w:r w:rsidRPr="000A6AA6">
              <w:rPr>
                <w:rFonts w:ascii="Arial Black" w:hAnsi="Arial Black"/>
                <w:caps/>
                <w:sz w:val="15"/>
                <w:lang w:val="fr-FR"/>
              </w:rPr>
              <w:t xml:space="preserve">: </w:t>
            </w:r>
            <w:bookmarkStart w:id="1" w:name="Original"/>
            <w:bookmarkEnd w:id="1"/>
            <w:r w:rsidRPr="000A6AA6">
              <w:rPr>
                <w:rFonts w:ascii="Arial Black" w:hAnsi="Arial Black"/>
                <w:caps/>
                <w:sz w:val="15"/>
                <w:lang w:val="fr-FR"/>
              </w:rPr>
              <w:t>anglais</w:t>
            </w:r>
          </w:p>
        </w:tc>
      </w:tr>
      <w:tr w:rsidR="009B0A9C" w:rsidRPr="000A6AA6" w:rsidTr="00826A4E">
        <w:trPr>
          <w:trHeight w:hRule="exact" w:val="198"/>
        </w:trPr>
        <w:tc>
          <w:tcPr>
            <w:tcW w:w="9356" w:type="dxa"/>
            <w:gridSpan w:val="3"/>
            <w:tcMar>
              <w:left w:w="0" w:type="dxa"/>
              <w:right w:w="0" w:type="dxa"/>
            </w:tcMar>
            <w:vAlign w:val="bottom"/>
          </w:tcPr>
          <w:p w:rsidR="009B0A9C" w:rsidRPr="000A6AA6" w:rsidRDefault="009B0A9C" w:rsidP="00826A4E">
            <w:pPr>
              <w:jc w:val="right"/>
              <w:rPr>
                <w:rFonts w:ascii="Arial Black" w:hAnsi="Arial Black"/>
                <w:caps/>
                <w:sz w:val="15"/>
                <w:lang w:val="fr-FR"/>
              </w:rPr>
            </w:pPr>
            <w:r w:rsidRPr="000A6AA6">
              <w:rPr>
                <w:rFonts w:ascii="Arial Black" w:hAnsi="Arial Black"/>
                <w:caps/>
                <w:sz w:val="15"/>
                <w:lang w:val="fr-FR"/>
              </w:rPr>
              <w:t>DATE</w:t>
            </w:r>
            <w:r w:rsidR="00E87329" w:rsidRPr="000A6AA6">
              <w:rPr>
                <w:rFonts w:ascii="Arial Black" w:hAnsi="Arial Black"/>
                <w:caps/>
                <w:sz w:val="15"/>
                <w:lang w:val="fr-FR"/>
              </w:rPr>
              <w:t> </w:t>
            </w:r>
            <w:r w:rsidRPr="000A6AA6">
              <w:rPr>
                <w:rFonts w:ascii="Arial Black" w:hAnsi="Arial Black"/>
                <w:caps/>
                <w:sz w:val="15"/>
                <w:lang w:val="fr-FR"/>
              </w:rPr>
              <w:t>:</w:t>
            </w:r>
            <w:r w:rsidR="006A0BE5" w:rsidRPr="000A6AA6">
              <w:rPr>
                <w:rFonts w:ascii="Arial Black" w:hAnsi="Arial Black"/>
                <w:caps/>
                <w:sz w:val="15"/>
                <w:lang w:val="fr-FR"/>
              </w:rPr>
              <w:t xml:space="preserve"> 1</w:t>
            </w:r>
            <w:r w:rsidR="006A0BE5" w:rsidRPr="000A6AA6">
              <w:rPr>
                <w:rFonts w:ascii="Arial Black" w:hAnsi="Arial Black"/>
                <w:caps/>
                <w:sz w:val="15"/>
                <w:vertAlign w:val="superscript"/>
                <w:lang w:val="fr-FR"/>
              </w:rPr>
              <w:t>er</w:t>
            </w:r>
            <w:r w:rsidR="006A0BE5" w:rsidRPr="000A6AA6">
              <w:rPr>
                <w:rFonts w:ascii="Arial Black" w:hAnsi="Arial Black"/>
                <w:caps/>
                <w:sz w:val="15"/>
                <w:lang w:val="fr-FR"/>
              </w:rPr>
              <w:t> juillet 20</w:t>
            </w:r>
            <w:r w:rsidRPr="000A6AA6">
              <w:rPr>
                <w:rFonts w:ascii="Arial Black" w:hAnsi="Arial Black"/>
                <w:caps/>
                <w:sz w:val="15"/>
                <w:lang w:val="fr-FR"/>
              </w:rPr>
              <w:t>16</w:t>
            </w:r>
          </w:p>
        </w:tc>
      </w:tr>
    </w:tbl>
    <w:p w:rsidR="009B0A9C" w:rsidRPr="000A6AA6" w:rsidRDefault="009B0A9C" w:rsidP="009B0A9C">
      <w:pPr>
        <w:rPr>
          <w:lang w:val="fr-FR"/>
        </w:rPr>
      </w:pPr>
    </w:p>
    <w:p w:rsidR="009B0A9C" w:rsidRPr="000A6AA6" w:rsidRDefault="009B0A9C" w:rsidP="009B0A9C">
      <w:pPr>
        <w:rPr>
          <w:lang w:val="fr-FR"/>
        </w:rPr>
      </w:pPr>
    </w:p>
    <w:p w:rsidR="009B0A9C" w:rsidRPr="000A6AA6" w:rsidRDefault="009B0A9C" w:rsidP="009B0A9C">
      <w:pPr>
        <w:rPr>
          <w:lang w:val="fr-FR"/>
        </w:rPr>
      </w:pPr>
    </w:p>
    <w:p w:rsidR="009B0A9C" w:rsidRPr="000A6AA6" w:rsidRDefault="009B0A9C" w:rsidP="009B0A9C">
      <w:pPr>
        <w:rPr>
          <w:lang w:val="fr-FR"/>
        </w:rPr>
      </w:pPr>
    </w:p>
    <w:p w:rsidR="009B0A9C" w:rsidRPr="000A6AA6" w:rsidRDefault="009B0A9C" w:rsidP="009B0A9C">
      <w:pPr>
        <w:rPr>
          <w:lang w:val="fr-FR"/>
        </w:rPr>
      </w:pPr>
    </w:p>
    <w:p w:rsidR="009B0A9C" w:rsidRPr="000A6AA6" w:rsidRDefault="009B0A9C" w:rsidP="009B0A9C">
      <w:pPr>
        <w:rPr>
          <w:b/>
          <w:sz w:val="28"/>
          <w:szCs w:val="28"/>
          <w:lang w:val="fr-FR"/>
        </w:rPr>
      </w:pPr>
      <w:r w:rsidRPr="000A6AA6">
        <w:rPr>
          <w:b/>
          <w:sz w:val="28"/>
          <w:szCs w:val="28"/>
          <w:lang w:val="fr-FR"/>
        </w:rPr>
        <w:t>Comité du programme et budget</w:t>
      </w:r>
    </w:p>
    <w:p w:rsidR="009B0A9C" w:rsidRPr="000A6AA6" w:rsidRDefault="009B0A9C" w:rsidP="009B0A9C">
      <w:pPr>
        <w:rPr>
          <w:lang w:val="fr-FR"/>
        </w:rPr>
      </w:pPr>
    </w:p>
    <w:p w:rsidR="009B0A9C" w:rsidRPr="000A6AA6" w:rsidRDefault="009B0A9C" w:rsidP="009B0A9C">
      <w:pPr>
        <w:rPr>
          <w:lang w:val="fr-FR"/>
        </w:rPr>
      </w:pPr>
    </w:p>
    <w:p w:rsidR="009B0A9C" w:rsidRPr="000A6AA6" w:rsidRDefault="009B0A9C" w:rsidP="009B0A9C">
      <w:pPr>
        <w:rPr>
          <w:b/>
          <w:sz w:val="24"/>
          <w:szCs w:val="24"/>
          <w:lang w:val="fr-FR"/>
        </w:rPr>
      </w:pPr>
      <w:r w:rsidRPr="000A6AA6">
        <w:rPr>
          <w:b/>
          <w:sz w:val="24"/>
          <w:szCs w:val="24"/>
          <w:lang w:val="fr-FR"/>
        </w:rPr>
        <w:t>Vingt</w:t>
      </w:r>
      <w:r w:rsidR="004C56EE" w:rsidRPr="000A6AA6">
        <w:rPr>
          <w:b/>
          <w:sz w:val="24"/>
          <w:szCs w:val="24"/>
          <w:lang w:val="fr-FR"/>
        </w:rPr>
        <w:noBreakHyphen/>
      </w:r>
      <w:r w:rsidRPr="000A6AA6">
        <w:rPr>
          <w:b/>
          <w:sz w:val="24"/>
          <w:szCs w:val="24"/>
          <w:lang w:val="fr-FR"/>
        </w:rPr>
        <w:t>cinquième</w:t>
      </w:r>
      <w:r w:rsidR="00E87329" w:rsidRPr="000A6AA6">
        <w:rPr>
          <w:b/>
          <w:sz w:val="24"/>
          <w:szCs w:val="24"/>
          <w:lang w:val="fr-FR"/>
        </w:rPr>
        <w:t> </w:t>
      </w:r>
      <w:r w:rsidRPr="000A6AA6">
        <w:rPr>
          <w:b/>
          <w:sz w:val="24"/>
          <w:szCs w:val="24"/>
          <w:lang w:val="fr-FR"/>
        </w:rPr>
        <w:t>session</w:t>
      </w:r>
    </w:p>
    <w:p w:rsidR="009B0A9C" w:rsidRPr="000A6AA6" w:rsidRDefault="009B0A9C" w:rsidP="009B0A9C">
      <w:pPr>
        <w:rPr>
          <w:b/>
          <w:sz w:val="24"/>
          <w:szCs w:val="24"/>
          <w:lang w:val="fr-FR"/>
        </w:rPr>
      </w:pPr>
      <w:r w:rsidRPr="000A6AA6">
        <w:rPr>
          <w:b/>
          <w:sz w:val="24"/>
          <w:szCs w:val="24"/>
          <w:lang w:val="fr-FR"/>
        </w:rPr>
        <w:t>Genève, 2</w:t>
      </w:r>
      <w:r w:rsidR="006A0BE5" w:rsidRPr="000A6AA6">
        <w:rPr>
          <w:b/>
          <w:sz w:val="24"/>
          <w:szCs w:val="24"/>
          <w:lang w:val="fr-FR"/>
        </w:rPr>
        <w:t>9 août</w:t>
      </w:r>
      <w:r w:rsidRPr="000A6AA6">
        <w:rPr>
          <w:b/>
          <w:sz w:val="24"/>
          <w:szCs w:val="24"/>
          <w:lang w:val="fr-FR"/>
        </w:rPr>
        <w:t xml:space="preserve"> – </w:t>
      </w:r>
      <w:r w:rsidR="006A0BE5" w:rsidRPr="000A6AA6">
        <w:rPr>
          <w:b/>
          <w:sz w:val="24"/>
          <w:szCs w:val="24"/>
          <w:lang w:val="fr-FR"/>
        </w:rPr>
        <w:t>2 septembre 20</w:t>
      </w:r>
      <w:r w:rsidRPr="000A6AA6">
        <w:rPr>
          <w:b/>
          <w:sz w:val="24"/>
          <w:szCs w:val="24"/>
          <w:lang w:val="fr-FR"/>
        </w:rPr>
        <w:t>16</w:t>
      </w:r>
    </w:p>
    <w:p w:rsidR="009B0A9C" w:rsidRPr="000A6AA6" w:rsidRDefault="009B0A9C" w:rsidP="009B0A9C">
      <w:pPr>
        <w:rPr>
          <w:lang w:val="fr-FR"/>
        </w:rPr>
      </w:pPr>
    </w:p>
    <w:p w:rsidR="009B0A9C" w:rsidRPr="000A6AA6" w:rsidRDefault="009B0A9C" w:rsidP="009B0A9C">
      <w:pPr>
        <w:rPr>
          <w:lang w:val="fr-FR"/>
        </w:rPr>
      </w:pPr>
    </w:p>
    <w:p w:rsidR="009B0A9C" w:rsidRPr="000A6AA6" w:rsidRDefault="009B0A9C" w:rsidP="009B0A9C">
      <w:pPr>
        <w:rPr>
          <w:lang w:val="fr-FR"/>
        </w:rPr>
      </w:pPr>
    </w:p>
    <w:p w:rsidR="006A0BE5" w:rsidRPr="00D77565" w:rsidRDefault="00F131E9" w:rsidP="00F131E9">
      <w:pPr>
        <w:rPr>
          <w:caps/>
          <w:sz w:val="24"/>
          <w:lang w:val="fr-FR"/>
        </w:rPr>
      </w:pPr>
      <w:r w:rsidRPr="00D77565">
        <w:rPr>
          <w:caps/>
          <w:sz w:val="24"/>
          <w:lang w:val="fr-FR"/>
        </w:rPr>
        <w:t>État actualisé de la proposi</w:t>
      </w:r>
      <w:r w:rsidR="00D77565">
        <w:rPr>
          <w:caps/>
          <w:sz w:val="24"/>
          <w:lang w:val="fr-FR"/>
        </w:rPr>
        <w:t>tion concernant la stratégie de </w:t>
      </w:r>
      <w:r w:rsidRPr="00D77565">
        <w:rPr>
          <w:caps/>
          <w:sz w:val="24"/>
          <w:lang w:val="fr-FR"/>
        </w:rPr>
        <w:t>couverture des risques de change pour les recettes du</w:t>
      </w:r>
      <w:r w:rsidR="00D77565">
        <w:rPr>
          <w:caps/>
          <w:sz w:val="24"/>
          <w:lang w:val="fr-FR"/>
        </w:rPr>
        <w:t> </w:t>
      </w:r>
      <w:r w:rsidRPr="00D77565">
        <w:rPr>
          <w:caps/>
          <w:sz w:val="24"/>
          <w:lang w:val="fr-FR"/>
        </w:rPr>
        <w:t>PCT</w:t>
      </w:r>
    </w:p>
    <w:p w:rsidR="00D53E8E" w:rsidRPr="000A6AA6" w:rsidRDefault="00D53E8E" w:rsidP="008B2CC1">
      <w:pPr>
        <w:rPr>
          <w:caps/>
          <w:sz w:val="24"/>
          <w:lang w:val="fr-FR"/>
        </w:rPr>
      </w:pPr>
      <w:bookmarkStart w:id="2" w:name="_GoBack"/>
      <w:bookmarkEnd w:id="2"/>
    </w:p>
    <w:p w:rsidR="008B2CC1" w:rsidRPr="000A6AA6" w:rsidRDefault="005A2E04" w:rsidP="008B2CC1">
      <w:pPr>
        <w:rPr>
          <w:i/>
          <w:lang w:val="fr-FR"/>
        </w:rPr>
      </w:pPr>
      <w:bookmarkStart w:id="3" w:name="Prepared"/>
      <w:bookmarkEnd w:id="3"/>
      <w:r w:rsidRPr="000A6AA6">
        <w:rPr>
          <w:i/>
          <w:lang w:val="fr-FR"/>
        </w:rPr>
        <w:t xml:space="preserve">Document </w:t>
      </w:r>
      <w:r w:rsidR="00536832" w:rsidRPr="000A6AA6">
        <w:rPr>
          <w:i/>
          <w:lang w:val="fr-FR"/>
        </w:rPr>
        <w:t>établi par le Secrétariat</w:t>
      </w:r>
    </w:p>
    <w:p w:rsidR="00AC205C" w:rsidRPr="000A6AA6" w:rsidRDefault="00AC205C">
      <w:pPr>
        <w:rPr>
          <w:lang w:val="fr-FR"/>
        </w:rPr>
      </w:pPr>
    </w:p>
    <w:p w:rsidR="00734D05" w:rsidRPr="000A6AA6" w:rsidRDefault="00734D05">
      <w:pPr>
        <w:rPr>
          <w:lang w:val="fr-FR"/>
        </w:rPr>
      </w:pPr>
    </w:p>
    <w:p w:rsidR="002765A0" w:rsidRPr="000A6AA6" w:rsidRDefault="002765A0">
      <w:pPr>
        <w:rPr>
          <w:lang w:val="fr-FR"/>
        </w:rPr>
      </w:pPr>
    </w:p>
    <w:p w:rsidR="00F131E9" w:rsidRDefault="00F131E9" w:rsidP="00F131E9">
      <w:pPr>
        <w:pStyle w:val="Heading1"/>
        <w:rPr>
          <w:lang w:val="fr-FR"/>
        </w:rPr>
      </w:pPr>
      <w:r w:rsidRPr="000A6AA6">
        <w:rPr>
          <w:lang w:val="fr-FR"/>
        </w:rPr>
        <w:t>Rappel</w:t>
      </w:r>
    </w:p>
    <w:p w:rsidR="00F131E9" w:rsidRPr="00F131E9" w:rsidRDefault="00F131E9" w:rsidP="00F131E9">
      <w:pPr>
        <w:rPr>
          <w:lang w:val="fr-FR"/>
        </w:rPr>
      </w:pPr>
    </w:p>
    <w:p w:rsidR="00994A05" w:rsidRPr="000A6AA6" w:rsidRDefault="00D90DB2" w:rsidP="00F131E9">
      <w:pPr>
        <w:pStyle w:val="ONUMFS"/>
        <w:rPr>
          <w:lang w:val="fr-FR"/>
        </w:rPr>
      </w:pPr>
      <w:r w:rsidRPr="000A6AA6">
        <w:rPr>
          <w:lang w:val="fr-FR"/>
        </w:rPr>
        <w:t xml:space="preserve">En </w:t>
      </w:r>
      <w:r w:rsidR="006A0BE5" w:rsidRPr="000A6AA6">
        <w:rPr>
          <w:lang w:val="fr-FR"/>
        </w:rPr>
        <w:t>janvier 20</w:t>
      </w:r>
      <w:r w:rsidRPr="000A6AA6">
        <w:rPr>
          <w:lang w:val="fr-FR"/>
        </w:rPr>
        <w:t xml:space="preserve">15, le Bureau international a adressé </w:t>
      </w:r>
      <w:r w:rsidR="004D028A" w:rsidRPr="000A6AA6">
        <w:rPr>
          <w:lang w:val="fr-FR"/>
        </w:rPr>
        <w:t>à toutes les parties prenantes du Traité de coopération en matière de brevets (PCT)</w:t>
      </w:r>
      <w:r w:rsidRPr="000A6AA6">
        <w:rPr>
          <w:lang w:val="fr-FR"/>
        </w:rPr>
        <w:t xml:space="preserve"> une circulaire </w:t>
      </w:r>
      <w:r w:rsidR="00994A05" w:rsidRPr="000A6AA6">
        <w:rPr>
          <w:lang w:val="fr-FR"/>
        </w:rPr>
        <w:t xml:space="preserve">(C.PCT 1440 </w:t>
      </w:r>
      <w:r w:rsidR="00331945" w:rsidRPr="000A6AA6">
        <w:rPr>
          <w:lang w:val="fr-FR"/>
        </w:rPr>
        <w:t>“</w:t>
      </w:r>
      <w:r w:rsidRPr="000A6AA6">
        <w:rPr>
          <w:i/>
          <w:iCs/>
          <w:lang w:val="fr-FR"/>
        </w:rPr>
        <w:t>Mesures possibles pour réduire les risques de change auxquels sont exposées les recettes provenant des taxes</w:t>
      </w:r>
      <w:r w:rsidR="006A0BE5" w:rsidRPr="000A6AA6">
        <w:rPr>
          <w:i/>
          <w:iCs/>
          <w:lang w:val="fr-FR"/>
        </w:rPr>
        <w:t xml:space="preserve"> du PCT</w:t>
      </w:r>
      <w:r w:rsidR="00331945" w:rsidRPr="000A6AA6">
        <w:rPr>
          <w:i/>
          <w:iCs/>
          <w:lang w:val="fr-FR"/>
        </w:rPr>
        <w:t>”</w:t>
      </w:r>
      <w:r w:rsidR="00994A05" w:rsidRPr="000A6AA6">
        <w:rPr>
          <w:lang w:val="fr-FR"/>
        </w:rPr>
        <w:t xml:space="preserve">), </w:t>
      </w:r>
      <w:r w:rsidR="00D131BC" w:rsidRPr="000A6AA6">
        <w:rPr>
          <w:lang w:val="fr-FR"/>
        </w:rPr>
        <w:t>dans laquelle étaient présentées diverses mesures possibles pour réduire l</w:t>
      </w:r>
      <w:r w:rsidR="006A0BE5" w:rsidRPr="000A6AA6">
        <w:rPr>
          <w:lang w:val="fr-FR"/>
        </w:rPr>
        <w:t>’</w:t>
      </w:r>
      <w:r w:rsidR="00D131BC" w:rsidRPr="000A6AA6">
        <w:rPr>
          <w:lang w:val="fr-FR"/>
        </w:rPr>
        <w:t>exposition</w:t>
      </w:r>
      <w:r w:rsidR="00B93143" w:rsidRPr="000A6AA6">
        <w:rPr>
          <w:lang w:val="fr-FR"/>
        </w:rPr>
        <w:t xml:space="preserve"> aux fluctuations des taux de change</w:t>
      </w:r>
      <w:r w:rsidR="00D131BC" w:rsidRPr="000A6AA6">
        <w:rPr>
          <w:lang w:val="fr-FR"/>
        </w:rPr>
        <w:t xml:space="preserve"> des recettes </w:t>
      </w:r>
      <w:r w:rsidR="00B93143" w:rsidRPr="000A6AA6">
        <w:rPr>
          <w:lang w:val="fr-FR"/>
        </w:rPr>
        <w:t>issues</w:t>
      </w:r>
      <w:r w:rsidR="00D131BC" w:rsidRPr="000A6AA6">
        <w:rPr>
          <w:lang w:val="fr-FR"/>
        </w:rPr>
        <w:t xml:space="preserve"> des taxes</w:t>
      </w:r>
      <w:r w:rsidR="006A0BE5" w:rsidRPr="000A6AA6">
        <w:rPr>
          <w:lang w:val="fr-FR"/>
        </w:rPr>
        <w:t xml:space="preserve"> du PCT</w:t>
      </w:r>
      <w:r w:rsidR="00D131BC" w:rsidRPr="000A6AA6">
        <w:rPr>
          <w:lang w:val="fr-FR"/>
        </w:rPr>
        <w:t>.</w:t>
      </w:r>
      <w:r w:rsidR="00B93143" w:rsidRPr="000A6AA6">
        <w:rPr>
          <w:lang w:val="fr-FR"/>
        </w:rPr>
        <w:t xml:space="preserve">  L</w:t>
      </w:r>
      <w:r w:rsidR="006A0BE5" w:rsidRPr="000A6AA6">
        <w:rPr>
          <w:lang w:val="fr-FR"/>
        </w:rPr>
        <w:t>’</w:t>
      </w:r>
      <w:r w:rsidR="00B93143" w:rsidRPr="000A6AA6">
        <w:rPr>
          <w:lang w:val="fr-FR"/>
        </w:rPr>
        <w:t xml:space="preserve">une de ces </w:t>
      </w:r>
      <w:r w:rsidR="004E38D6" w:rsidRPr="000A6AA6">
        <w:rPr>
          <w:lang w:val="fr-FR"/>
        </w:rPr>
        <w:t xml:space="preserve">possibilités était de commencer à couvrir </w:t>
      </w:r>
      <w:r w:rsidR="00F276C8" w:rsidRPr="000A6AA6">
        <w:rPr>
          <w:lang w:val="fr-FR"/>
        </w:rPr>
        <w:t>le risque de change sur les recettes des taxes</w:t>
      </w:r>
      <w:r w:rsidR="006A0BE5" w:rsidRPr="000A6AA6">
        <w:rPr>
          <w:lang w:val="fr-FR"/>
        </w:rPr>
        <w:t xml:space="preserve"> du PCT</w:t>
      </w:r>
      <w:r w:rsidR="00F276C8" w:rsidRPr="000A6AA6">
        <w:rPr>
          <w:lang w:val="fr-FR"/>
        </w:rPr>
        <w:t xml:space="preserve"> encaissées dans certaines </w:t>
      </w:r>
      <w:r w:rsidR="00BC32E7" w:rsidRPr="000A6AA6">
        <w:rPr>
          <w:lang w:val="fr-FR"/>
        </w:rPr>
        <w:t>monnaie</w:t>
      </w:r>
      <w:r w:rsidR="00F276C8" w:rsidRPr="000A6AA6">
        <w:rPr>
          <w:lang w:val="fr-FR"/>
        </w:rPr>
        <w:t>s</w:t>
      </w:r>
      <w:r w:rsidR="00C44E82" w:rsidRPr="000A6AA6">
        <w:rPr>
          <w:lang w:val="fr-FR"/>
        </w:rPr>
        <w:t xml:space="preserve">, </w:t>
      </w:r>
      <w:r w:rsidR="00081705" w:rsidRPr="000A6AA6">
        <w:rPr>
          <w:lang w:val="fr-FR"/>
        </w:rPr>
        <w:t>selon</w:t>
      </w:r>
      <w:r w:rsidR="00C44E82" w:rsidRPr="000A6AA6">
        <w:rPr>
          <w:lang w:val="fr-FR"/>
        </w:rPr>
        <w:t xml:space="preserve"> une recommandation de la firme indépendante de conseil FTI </w:t>
      </w:r>
      <w:proofErr w:type="spellStart"/>
      <w:r w:rsidR="00C44E82" w:rsidRPr="000A6AA6">
        <w:rPr>
          <w:lang w:val="fr-FR"/>
        </w:rPr>
        <w:t>Treasury</w:t>
      </w:r>
      <w:proofErr w:type="spellEnd"/>
      <w:r w:rsidR="00C44E82" w:rsidRPr="000A6AA6">
        <w:rPr>
          <w:lang w:val="fr-FR"/>
        </w:rPr>
        <w:t xml:space="preserve"> de Dublin (Irlande).</w:t>
      </w:r>
    </w:p>
    <w:p w:rsidR="00994A05" w:rsidRPr="000A6AA6" w:rsidRDefault="00DE35F8" w:rsidP="00F131E9">
      <w:pPr>
        <w:pStyle w:val="ONUMFS"/>
        <w:rPr>
          <w:lang w:val="fr-FR"/>
        </w:rPr>
      </w:pPr>
      <w:r w:rsidRPr="000A6AA6">
        <w:rPr>
          <w:lang w:val="fr-FR"/>
        </w:rPr>
        <w:t xml:space="preserve">La recommandation de la firme FTI </w:t>
      </w:r>
      <w:proofErr w:type="spellStart"/>
      <w:r w:rsidRPr="000A6AA6">
        <w:rPr>
          <w:lang w:val="fr-FR"/>
        </w:rPr>
        <w:t>Treasury</w:t>
      </w:r>
      <w:proofErr w:type="spellEnd"/>
      <w:r w:rsidRPr="000A6AA6">
        <w:rPr>
          <w:lang w:val="fr-FR"/>
        </w:rPr>
        <w:t xml:space="preserve"> </w:t>
      </w:r>
      <w:r w:rsidR="00B765B0" w:rsidRPr="000A6AA6">
        <w:rPr>
          <w:lang w:val="fr-FR"/>
        </w:rPr>
        <w:t>prévoy</w:t>
      </w:r>
      <w:r w:rsidRPr="000A6AA6">
        <w:rPr>
          <w:lang w:val="fr-FR"/>
        </w:rPr>
        <w:t>ait l</w:t>
      </w:r>
      <w:r w:rsidR="006A0BE5" w:rsidRPr="000A6AA6">
        <w:rPr>
          <w:lang w:val="fr-FR"/>
        </w:rPr>
        <w:t>’</w:t>
      </w:r>
      <w:r w:rsidRPr="000A6AA6">
        <w:rPr>
          <w:lang w:val="fr-FR"/>
        </w:rPr>
        <w:t>établissement</w:t>
      </w:r>
      <w:r w:rsidR="00C91995" w:rsidRPr="000A6AA6">
        <w:rPr>
          <w:lang w:val="fr-FR"/>
        </w:rPr>
        <w:t>, au mois d</w:t>
      </w:r>
      <w:r w:rsidR="006A0BE5" w:rsidRPr="000A6AA6">
        <w:rPr>
          <w:lang w:val="fr-FR"/>
        </w:rPr>
        <w:t>’</w:t>
      </w:r>
      <w:r w:rsidR="00C91995" w:rsidRPr="000A6AA6">
        <w:rPr>
          <w:lang w:val="fr-FR"/>
        </w:rPr>
        <w:t xml:space="preserve">octobre de chaque année, de montants équivalents de la taxe de dépôt en </w:t>
      </w:r>
      <w:r w:rsidR="00B765B0" w:rsidRPr="000A6AA6">
        <w:rPr>
          <w:lang w:val="fr-FR"/>
        </w:rPr>
        <w:t>yen</w:t>
      </w:r>
      <w:r w:rsidR="00C91995" w:rsidRPr="000A6AA6">
        <w:rPr>
          <w:lang w:val="fr-FR"/>
        </w:rPr>
        <w:t>s, en euros et en dollars</w:t>
      </w:r>
      <w:r w:rsidR="00E87329" w:rsidRPr="000A6AA6">
        <w:rPr>
          <w:lang w:val="fr-FR"/>
        </w:rPr>
        <w:t> </w:t>
      </w:r>
      <w:r w:rsidR="00C91995" w:rsidRPr="000A6AA6">
        <w:rPr>
          <w:lang w:val="fr-FR"/>
        </w:rPr>
        <w:t>É.</w:t>
      </w:r>
      <w:r w:rsidR="004C56EE" w:rsidRPr="000A6AA6">
        <w:rPr>
          <w:lang w:val="fr-FR"/>
        </w:rPr>
        <w:noBreakHyphen/>
      </w:r>
      <w:r w:rsidR="00C91995" w:rsidRPr="000A6AA6">
        <w:rPr>
          <w:lang w:val="fr-FR"/>
        </w:rPr>
        <w:t>U</w:t>
      </w:r>
      <w:r w:rsidR="004C56EE" w:rsidRPr="000A6AA6">
        <w:rPr>
          <w:lang w:val="fr-FR"/>
        </w:rPr>
        <w:t>.</w:t>
      </w:r>
      <w:r w:rsidR="00C91995" w:rsidRPr="000A6AA6">
        <w:rPr>
          <w:lang w:val="fr-FR"/>
        </w:rPr>
        <w:t xml:space="preserve"> </w:t>
      </w:r>
      <w:r w:rsidR="00B765B0" w:rsidRPr="000A6AA6">
        <w:rPr>
          <w:lang w:val="fr-FR"/>
        </w:rPr>
        <w:t xml:space="preserve">qui seraient </w:t>
      </w:r>
      <w:r w:rsidR="00C91995" w:rsidRPr="000A6AA6">
        <w:rPr>
          <w:lang w:val="fr-FR"/>
        </w:rPr>
        <w:t xml:space="preserve">valables </w:t>
      </w:r>
      <w:r w:rsidR="008965B5" w:rsidRPr="000A6AA6">
        <w:rPr>
          <w:lang w:val="fr-FR"/>
        </w:rPr>
        <w:t>toute l</w:t>
      </w:r>
      <w:r w:rsidR="006A0BE5" w:rsidRPr="000A6AA6">
        <w:rPr>
          <w:lang w:val="fr-FR"/>
        </w:rPr>
        <w:t>’</w:t>
      </w:r>
      <w:r w:rsidR="008965B5" w:rsidRPr="000A6AA6">
        <w:rPr>
          <w:lang w:val="fr-FR"/>
        </w:rPr>
        <w:t>année civile suivante</w:t>
      </w:r>
      <w:r w:rsidR="007C002F" w:rsidRPr="000A6AA6">
        <w:rPr>
          <w:lang w:val="fr-FR"/>
        </w:rPr>
        <w:t>,</w:t>
      </w:r>
      <w:r w:rsidR="008965B5" w:rsidRPr="000A6AA6">
        <w:rPr>
          <w:lang w:val="fr-FR"/>
        </w:rPr>
        <w:t xml:space="preserve"> </w:t>
      </w:r>
      <w:r w:rsidR="00C91995" w:rsidRPr="000A6AA6">
        <w:rPr>
          <w:lang w:val="fr-FR"/>
        </w:rPr>
        <w:t>à compter du</w:t>
      </w:r>
      <w:r w:rsidR="006A0BE5" w:rsidRPr="000A6AA6">
        <w:rPr>
          <w:lang w:val="fr-FR"/>
        </w:rPr>
        <w:t xml:space="preserve"> 1</w:t>
      </w:r>
      <w:r w:rsidR="006A0BE5" w:rsidRPr="000A6AA6">
        <w:rPr>
          <w:vertAlign w:val="superscript"/>
          <w:lang w:val="fr-FR"/>
        </w:rPr>
        <w:t>er</w:t>
      </w:r>
      <w:r w:rsidR="006A0BE5" w:rsidRPr="000A6AA6">
        <w:rPr>
          <w:lang w:val="fr-FR"/>
        </w:rPr>
        <w:t> </w:t>
      </w:r>
      <w:r w:rsidR="00C91995" w:rsidRPr="000A6AA6">
        <w:rPr>
          <w:lang w:val="fr-FR"/>
        </w:rPr>
        <w:t>janvi</w:t>
      </w:r>
      <w:r w:rsidR="004C56EE" w:rsidRPr="000A6AA6">
        <w:rPr>
          <w:lang w:val="fr-FR"/>
        </w:rPr>
        <w:t>er.  Ce</w:t>
      </w:r>
      <w:r w:rsidR="007C002F" w:rsidRPr="000A6AA6">
        <w:rPr>
          <w:lang w:val="fr-FR"/>
        </w:rPr>
        <w:t xml:space="preserve">s montants seraient </w:t>
      </w:r>
      <w:r w:rsidR="00B765B0" w:rsidRPr="000A6AA6">
        <w:rPr>
          <w:lang w:val="fr-FR"/>
        </w:rPr>
        <w:t>fixés</w:t>
      </w:r>
      <w:r w:rsidR="007C002F" w:rsidRPr="000A6AA6">
        <w:rPr>
          <w:lang w:val="fr-FR"/>
        </w:rPr>
        <w:t xml:space="preserve"> sur la base d</w:t>
      </w:r>
      <w:r w:rsidR="006A0BE5" w:rsidRPr="000A6AA6">
        <w:rPr>
          <w:lang w:val="fr-FR"/>
        </w:rPr>
        <w:t>’</w:t>
      </w:r>
      <w:r w:rsidR="007C002F" w:rsidRPr="000A6AA6">
        <w:rPr>
          <w:lang w:val="fr-FR"/>
        </w:rPr>
        <w:t>un taux de couverture pondéré</w:t>
      </w:r>
      <w:r w:rsidR="00B46ECE" w:rsidRPr="000A6AA6">
        <w:rPr>
          <w:lang w:val="fr-FR"/>
        </w:rPr>
        <w:t xml:space="preserve"> </w:t>
      </w:r>
      <w:r w:rsidR="00EA0335" w:rsidRPr="000A6AA6">
        <w:rPr>
          <w:lang w:val="fr-FR"/>
        </w:rPr>
        <w:t>issu</w:t>
      </w:r>
      <w:r w:rsidR="00B46ECE" w:rsidRPr="000A6AA6">
        <w:rPr>
          <w:lang w:val="fr-FR"/>
        </w:rPr>
        <w:t xml:space="preserve"> de contrats négociés avec </w:t>
      </w:r>
      <w:r w:rsidR="006A059C" w:rsidRPr="000A6AA6">
        <w:rPr>
          <w:lang w:val="fr-FR"/>
        </w:rPr>
        <w:t xml:space="preserve">des contreparties bancaires pour la vente </w:t>
      </w:r>
      <w:r w:rsidR="00EA0335" w:rsidRPr="000A6AA6">
        <w:rPr>
          <w:lang w:val="fr-FR"/>
        </w:rPr>
        <w:t xml:space="preserve">de fonds excédentaires dans ces </w:t>
      </w:r>
      <w:r w:rsidR="00BC32E7" w:rsidRPr="000A6AA6">
        <w:rPr>
          <w:lang w:val="fr-FR"/>
        </w:rPr>
        <w:t>monnaie</w:t>
      </w:r>
      <w:r w:rsidR="00EA0335" w:rsidRPr="000A6AA6">
        <w:rPr>
          <w:lang w:val="fr-FR"/>
        </w:rPr>
        <w:t>s et l</w:t>
      </w:r>
      <w:r w:rsidR="006A0BE5" w:rsidRPr="000A6AA6">
        <w:rPr>
          <w:lang w:val="fr-FR"/>
        </w:rPr>
        <w:t>’</w:t>
      </w:r>
      <w:r w:rsidR="00EA0335" w:rsidRPr="000A6AA6">
        <w:rPr>
          <w:lang w:val="fr-FR"/>
        </w:rPr>
        <w:t>achat de francs suiss</w:t>
      </w:r>
      <w:r w:rsidR="004C56EE" w:rsidRPr="000A6AA6">
        <w:rPr>
          <w:lang w:val="fr-FR"/>
        </w:rPr>
        <w:t>es.  Le</w:t>
      </w:r>
      <w:r w:rsidR="001E55C2" w:rsidRPr="000A6AA6">
        <w:rPr>
          <w:lang w:val="fr-FR"/>
        </w:rPr>
        <w:t xml:space="preserve">s transferts de fonds des offices récepteurs vers le Bureau international </w:t>
      </w:r>
      <w:r w:rsidR="00577C05" w:rsidRPr="000A6AA6">
        <w:rPr>
          <w:lang w:val="fr-FR"/>
        </w:rPr>
        <w:t>éta</w:t>
      </w:r>
      <w:r w:rsidR="001E55C2" w:rsidRPr="000A6AA6">
        <w:rPr>
          <w:lang w:val="fr-FR"/>
        </w:rPr>
        <w:t>nt effectués une fois par mois, le Bureau international</w:t>
      </w:r>
      <w:r w:rsidR="0029280A" w:rsidRPr="000A6AA6">
        <w:rPr>
          <w:lang w:val="fr-FR"/>
        </w:rPr>
        <w:t xml:space="preserve"> conclurait</w:t>
      </w:r>
      <w:r w:rsidR="00577C05" w:rsidRPr="000A6AA6">
        <w:rPr>
          <w:lang w:val="fr-FR"/>
        </w:rPr>
        <w:t xml:space="preserve"> pour chaque </w:t>
      </w:r>
      <w:r w:rsidR="00BC32E7" w:rsidRPr="000A6AA6">
        <w:rPr>
          <w:lang w:val="fr-FR"/>
        </w:rPr>
        <w:t>monnaie</w:t>
      </w:r>
      <w:r w:rsidR="0029280A" w:rsidRPr="000A6AA6">
        <w:rPr>
          <w:lang w:val="fr-FR"/>
        </w:rPr>
        <w:t xml:space="preserve"> avec au moins deux</w:t>
      </w:r>
      <w:r w:rsidR="00E87329" w:rsidRPr="000A6AA6">
        <w:rPr>
          <w:lang w:val="fr-FR"/>
        </w:rPr>
        <w:t> </w:t>
      </w:r>
      <w:r w:rsidR="0029280A" w:rsidRPr="000A6AA6">
        <w:rPr>
          <w:lang w:val="fr-FR"/>
        </w:rPr>
        <w:t>contreparties bancaires des contrats mensuels d</w:t>
      </w:r>
      <w:r w:rsidR="006A0BE5" w:rsidRPr="000A6AA6">
        <w:rPr>
          <w:lang w:val="fr-FR"/>
        </w:rPr>
        <w:t>’</w:t>
      </w:r>
      <w:r w:rsidR="0029280A" w:rsidRPr="000A6AA6">
        <w:rPr>
          <w:lang w:val="fr-FR"/>
        </w:rPr>
        <w:t xml:space="preserve">achat à terme de francs suisses à des taux </w:t>
      </w:r>
      <w:r w:rsidR="00577C05" w:rsidRPr="000A6AA6">
        <w:rPr>
          <w:lang w:val="fr-FR"/>
        </w:rPr>
        <w:t>préétabl</w:t>
      </w:r>
      <w:r w:rsidR="004C56EE" w:rsidRPr="000A6AA6">
        <w:rPr>
          <w:lang w:val="fr-FR"/>
        </w:rPr>
        <w:t>is.  Le</w:t>
      </w:r>
      <w:r w:rsidR="00AA205F" w:rsidRPr="000A6AA6">
        <w:rPr>
          <w:lang w:val="fr-FR"/>
        </w:rPr>
        <w:t xml:space="preserve">s quantités </w:t>
      </w:r>
      <w:r w:rsidR="00E52842" w:rsidRPr="000A6AA6">
        <w:rPr>
          <w:lang w:val="fr-FR"/>
        </w:rPr>
        <w:t xml:space="preserve">mensuelles </w:t>
      </w:r>
      <w:r w:rsidR="00AA205F" w:rsidRPr="000A6AA6">
        <w:rPr>
          <w:lang w:val="fr-FR"/>
        </w:rPr>
        <w:t xml:space="preserve">vendues pour chaque </w:t>
      </w:r>
      <w:r w:rsidR="00BC32E7" w:rsidRPr="000A6AA6">
        <w:rPr>
          <w:lang w:val="fr-FR"/>
        </w:rPr>
        <w:t>monnaie</w:t>
      </w:r>
      <w:r w:rsidR="00AA205F" w:rsidRPr="000A6AA6">
        <w:rPr>
          <w:lang w:val="fr-FR"/>
        </w:rPr>
        <w:t xml:space="preserve"> seraient basées sur </w:t>
      </w:r>
      <w:r w:rsidR="00577C05" w:rsidRPr="000A6AA6">
        <w:rPr>
          <w:lang w:val="fr-FR"/>
        </w:rPr>
        <w:t>l</w:t>
      </w:r>
      <w:r w:rsidR="00AA205F" w:rsidRPr="000A6AA6">
        <w:rPr>
          <w:lang w:val="fr-FR"/>
        </w:rPr>
        <w:t>es prévisions de recettes</w:t>
      </w:r>
      <w:r w:rsidR="006A0BE5" w:rsidRPr="000A6AA6">
        <w:rPr>
          <w:lang w:val="fr-FR"/>
        </w:rPr>
        <w:t xml:space="preserve"> du PCT</w:t>
      </w:r>
      <w:r w:rsidR="00AA205F" w:rsidRPr="000A6AA6">
        <w:rPr>
          <w:lang w:val="fr-FR"/>
        </w:rPr>
        <w:t xml:space="preserve"> établies en interne </w:t>
      </w:r>
      <w:r w:rsidR="00E52842" w:rsidRPr="000A6AA6">
        <w:rPr>
          <w:lang w:val="fr-FR"/>
        </w:rPr>
        <w:t>par le Bureau internation</w:t>
      </w:r>
      <w:r w:rsidR="004C56EE" w:rsidRPr="000A6AA6">
        <w:rPr>
          <w:lang w:val="fr-FR"/>
        </w:rPr>
        <w:t>al.  Le</w:t>
      </w:r>
      <w:r w:rsidR="00E52842" w:rsidRPr="000A6AA6">
        <w:rPr>
          <w:lang w:val="fr-FR"/>
        </w:rPr>
        <w:t xml:space="preserve"> volume des achats à terme prendrait </w:t>
      </w:r>
      <w:r w:rsidR="008B4B05" w:rsidRPr="000A6AA6">
        <w:rPr>
          <w:lang w:val="fr-FR"/>
        </w:rPr>
        <w:t xml:space="preserve">également </w:t>
      </w:r>
      <w:r w:rsidR="00E52842" w:rsidRPr="000A6AA6">
        <w:rPr>
          <w:lang w:val="fr-FR"/>
        </w:rPr>
        <w:t>en considération</w:t>
      </w:r>
      <w:r w:rsidR="00FC11EC" w:rsidRPr="000A6AA6">
        <w:rPr>
          <w:lang w:val="fr-FR"/>
        </w:rPr>
        <w:t xml:space="preserve"> </w:t>
      </w:r>
      <w:r w:rsidR="008B4B05" w:rsidRPr="000A6AA6">
        <w:rPr>
          <w:lang w:val="fr-FR"/>
        </w:rPr>
        <w:t>la totalité d</w:t>
      </w:r>
      <w:r w:rsidR="00FC11EC" w:rsidRPr="000A6AA6">
        <w:rPr>
          <w:lang w:val="fr-FR"/>
        </w:rPr>
        <w:t xml:space="preserve">es </w:t>
      </w:r>
      <w:r w:rsidR="008B4B05" w:rsidRPr="000A6AA6">
        <w:rPr>
          <w:lang w:val="fr-FR"/>
        </w:rPr>
        <w:t>pai</w:t>
      </w:r>
      <w:r w:rsidR="00FC11EC" w:rsidRPr="000A6AA6">
        <w:rPr>
          <w:lang w:val="fr-FR"/>
        </w:rPr>
        <w:t>ements devant être effectués par le Bureau international dans l</w:t>
      </w:r>
      <w:r w:rsidR="006A0BE5" w:rsidRPr="000A6AA6">
        <w:rPr>
          <w:lang w:val="fr-FR"/>
        </w:rPr>
        <w:t>’</w:t>
      </w:r>
      <w:r w:rsidR="00FC11EC" w:rsidRPr="000A6AA6">
        <w:rPr>
          <w:lang w:val="fr-FR"/>
        </w:rPr>
        <w:t>une des trois</w:t>
      </w:r>
      <w:r w:rsidR="00E87329" w:rsidRPr="000A6AA6">
        <w:rPr>
          <w:lang w:val="fr-FR"/>
        </w:rPr>
        <w:t> </w:t>
      </w:r>
      <w:r w:rsidR="00BC32E7" w:rsidRPr="000A6AA6">
        <w:rPr>
          <w:lang w:val="fr-FR"/>
        </w:rPr>
        <w:t>monnaie</w:t>
      </w:r>
      <w:r w:rsidR="00FC11EC" w:rsidRPr="000A6AA6">
        <w:rPr>
          <w:lang w:val="fr-FR"/>
        </w:rPr>
        <w:t>s,</w:t>
      </w:r>
      <w:r w:rsidR="008B4B05" w:rsidRPr="000A6AA6">
        <w:rPr>
          <w:lang w:val="fr-FR"/>
        </w:rPr>
        <w:t xml:space="preserve"> dans la mesure où </w:t>
      </w:r>
      <w:r w:rsidR="00577C05" w:rsidRPr="000A6AA6">
        <w:rPr>
          <w:lang w:val="fr-FR"/>
        </w:rPr>
        <w:t>la conversion en francs suisses</w:t>
      </w:r>
      <w:r w:rsidR="00632B0E" w:rsidRPr="000A6AA6">
        <w:rPr>
          <w:lang w:val="fr-FR"/>
        </w:rPr>
        <w:t xml:space="preserve"> en vertu de contrats à terme</w:t>
      </w:r>
      <w:r w:rsidR="00577C05" w:rsidRPr="000A6AA6">
        <w:rPr>
          <w:lang w:val="fr-FR"/>
        </w:rPr>
        <w:t xml:space="preserve"> concernerait seulement </w:t>
      </w:r>
      <w:r w:rsidR="00B77957" w:rsidRPr="000A6AA6">
        <w:rPr>
          <w:lang w:val="fr-FR"/>
        </w:rPr>
        <w:t>la différence nette entre les recettes et les paiements</w:t>
      </w:r>
      <w:r w:rsidR="00577C05" w:rsidRPr="000A6AA6">
        <w:rPr>
          <w:lang w:val="fr-FR"/>
        </w:rPr>
        <w:t>.</w:t>
      </w:r>
    </w:p>
    <w:p w:rsidR="00994A05" w:rsidRPr="000A6AA6" w:rsidRDefault="00CE50E3" w:rsidP="00F131E9">
      <w:pPr>
        <w:pStyle w:val="ONUMFS"/>
        <w:rPr>
          <w:lang w:val="fr-FR"/>
        </w:rPr>
      </w:pPr>
      <w:r w:rsidRPr="000A6AA6">
        <w:rPr>
          <w:lang w:val="fr-FR"/>
        </w:rPr>
        <w:lastRenderedPageBreak/>
        <w:t>La conversion des montants équivalents de</w:t>
      </w:r>
      <w:r w:rsidR="003D3CE3" w:rsidRPr="000A6AA6">
        <w:rPr>
          <w:lang w:val="fr-FR"/>
        </w:rPr>
        <w:t>s</w:t>
      </w:r>
      <w:r w:rsidRPr="000A6AA6">
        <w:rPr>
          <w:lang w:val="fr-FR"/>
        </w:rPr>
        <w:t xml:space="preserve"> taxes </w:t>
      </w:r>
      <w:r w:rsidR="003D3CE3" w:rsidRPr="000A6AA6">
        <w:rPr>
          <w:lang w:val="fr-FR"/>
        </w:rPr>
        <w:t>perçues</w:t>
      </w:r>
      <w:r w:rsidR="005615EC" w:rsidRPr="000A6AA6">
        <w:rPr>
          <w:lang w:val="fr-FR"/>
        </w:rPr>
        <w:t xml:space="preserve"> dans une monnaie non couverte s</w:t>
      </w:r>
      <w:r w:rsidR="006A0BE5" w:rsidRPr="000A6AA6">
        <w:rPr>
          <w:lang w:val="fr-FR"/>
        </w:rPr>
        <w:t>’</w:t>
      </w:r>
      <w:r w:rsidR="005615EC" w:rsidRPr="000A6AA6">
        <w:rPr>
          <w:lang w:val="fr-FR"/>
        </w:rPr>
        <w:t>effectuerait au taux de change en vigueur au</w:t>
      </w:r>
      <w:r w:rsidR="006A0BE5" w:rsidRPr="000A6AA6">
        <w:rPr>
          <w:lang w:val="fr-FR"/>
        </w:rPr>
        <w:t xml:space="preserve"> 1</w:t>
      </w:r>
      <w:r w:rsidR="006A0BE5" w:rsidRPr="000A6AA6">
        <w:rPr>
          <w:vertAlign w:val="superscript"/>
          <w:lang w:val="fr-FR"/>
        </w:rPr>
        <w:t>er</w:t>
      </w:r>
      <w:r w:rsidR="006A0BE5" w:rsidRPr="000A6AA6">
        <w:rPr>
          <w:lang w:val="fr-FR"/>
        </w:rPr>
        <w:t> </w:t>
      </w:r>
      <w:r w:rsidR="005615EC" w:rsidRPr="000A6AA6">
        <w:rPr>
          <w:lang w:val="fr-FR"/>
        </w:rPr>
        <w:t>octobre de l</w:t>
      </w:r>
      <w:r w:rsidR="006A0BE5" w:rsidRPr="000A6AA6">
        <w:rPr>
          <w:lang w:val="fr-FR"/>
        </w:rPr>
        <w:t>’</w:t>
      </w:r>
      <w:r w:rsidR="005615EC" w:rsidRPr="000A6AA6">
        <w:rPr>
          <w:lang w:val="fr-FR"/>
        </w:rPr>
        <w:t>année précéden</w:t>
      </w:r>
      <w:r w:rsidR="004C56EE" w:rsidRPr="000A6AA6">
        <w:rPr>
          <w:lang w:val="fr-FR"/>
        </w:rPr>
        <w:t>te.  Le</w:t>
      </w:r>
      <w:r w:rsidR="00DC095D" w:rsidRPr="000A6AA6">
        <w:rPr>
          <w:lang w:val="fr-FR"/>
        </w:rPr>
        <w:t>s montants équivalents de taxes resteraient fixes</w:t>
      </w:r>
      <w:r w:rsidRPr="000A6AA6">
        <w:rPr>
          <w:lang w:val="fr-FR"/>
        </w:rPr>
        <w:t xml:space="preserve"> </w:t>
      </w:r>
      <w:r w:rsidR="00DC095D" w:rsidRPr="000A6AA6">
        <w:rPr>
          <w:lang w:val="fr-FR"/>
        </w:rPr>
        <w:t>toute l</w:t>
      </w:r>
      <w:r w:rsidR="006A0BE5" w:rsidRPr="000A6AA6">
        <w:rPr>
          <w:lang w:val="fr-FR"/>
        </w:rPr>
        <w:t>’</w:t>
      </w:r>
      <w:r w:rsidR="00DC095D" w:rsidRPr="000A6AA6">
        <w:rPr>
          <w:lang w:val="fr-FR"/>
        </w:rPr>
        <w:t>année, et le mécanisme actuel d</w:t>
      </w:r>
      <w:r w:rsidR="006A0BE5" w:rsidRPr="000A6AA6">
        <w:rPr>
          <w:lang w:val="fr-FR"/>
        </w:rPr>
        <w:t>’</w:t>
      </w:r>
      <w:r w:rsidR="00DC095D" w:rsidRPr="000A6AA6">
        <w:rPr>
          <w:lang w:val="fr-FR"/>
        </w:rPr>
        <w:t>ajustement annuel serait suppri</w:t>
      </w:r>
      <w:r w:rsidR="004C56EE" w:rsidRPr="000A6AA6">
        <w:rPr>
          <w:lang w:val="fr-FR"/>
        </w:rPr>
        <w:t>mé.  Se</w:t>
      </w:r>
      <w:r w:rsidR="00C6667D" w:rsidRPr="000A6AA6">
        <w:rPr>
          <w:lang w:val="fr-FR"/>
        </w:rPr>
        <w:t>lon cette formule, la couverture des risques de change par contrat à terme ne s</w:t>
      </w:r>
      <w:r w:rsidR="006A0BE5" w:rsidRPr="000A6AA6">
        <w:rPr>
          <w:lang w:val="fr-FR"/>
        </w:rPr>
        <w:t>’</w:t>
      </w:r>
      <w:r w:rsidR="00C6667D" w:rsidRPr="000A6AA6">
        <w:rPr>
          <w:lang w:val="fr-FR"/>
        </w:rPr>
        <w:t>appliquerait qu</w:t>
      </w:r>
      <w:r w:rsidR="006A0BE5" w:rsidRPr="000A6AA6">
        <w:rPr>
          <w:lang w:val="fr-FR"/>
        </w:rPr>
        <w:t>’</w:t>
      </w:r>
      <w:r w:rsidR="00C6667D" w:rsidRPr="000A6AA6">
        <w:rPr>
          <w:lang w:val="fr-FR"/>
        </w:rPr>
        <w:t>à une partie des recettes</w:t>
      </w:r>
      <w:r w:rsidR="006A0BE5" w:rsidRPr="000A6AA6">
        <w:rPr>
          <w:lang w:val="fr-FR"/>
        </w:rPr>
        <w:t xml:space="preserve"> du PCT</w:t>
      </w:r>
      <w:r w:rsidR="00C6667D" w:rsidRPr="000A6AA6">
        <w:rPr>
          <w:lang w:val="fr-FR"/>
        </w:rPr>
        <w:t xml:space="preserve"> reçues dans chaque </w:t>
      </w:r>
      <w:r w:rsidR="00BC32E7" w:rsidRPr="000A6AA6">
        <w:rPr>
          <w:lang w:val="fr-FR"/>
        </w:rPr>
        <w:t>monna</w:t>
      </w:r>
      <w:r w:rsidR="004C56EE" w:rsidRPr="000A6AA6">
        <w:rPr>
          <w:lang w:val="fr-FR"/>
        </w:rPr>
        <w:t xml:space="preserve">ie.  </w:t>
      </w:r>
      <w:proofErr w:type="gramStart"/>
      <w:r w:rsidR="004C56EE" w:rsidRPr="000A6AA6">
        <w:rPr>
          <w:lang w:val="fr-FR"/>
        </w:rPr>
        <w:t>Au</w:t>
      </w:r>
      <w:r w:rsidR="0011536E" w:rsidRPr="000A6AA6">
        <w:rPr>
          <w:lang w:val="fr-FR"/>
        </w:rPr>
        <w:t>trement</w:t>
      </w:r>
      <w:proofErr w:type="gramEnd"/>
      <w:r w:rsidR="0011536E" w:rsidRPr="000A6AA6">
        <w:rPr>
          <w:lang w:val="fr-FR"/>
        </w:rPr>
        <w:t xml:space="preserve"> dit, </w:t>
      </w:r>
      <w:r w:rsidR="00116B2A" w:rsidRPr="000A6AA6">
        <w:rPr>
          <w:lang w:val="fr-FR"/>
        </w:rPr>
        <w:t xml:space="preserve">plus le pourcentage de cette partie couverte des recettes </w:t>
      </w:r>
      <w:r w:rsidR="002F74A0" w:rsidRPr="000A6AA6">
        <w:rPr>
          <w:lang w:val="fr-FR"/>
        </w:rPr>
        <w:t>serait</w:t>
      </w:r>
      <w:r w:rsidR="00116B2A" w:rsidRPr="000A6AA6">
        <w:rPr>
          <w:lang w:val="fr-FR"/>
        </w:rPr>
        <w:t xml:space="preserve"> faible, plus le risque de</w:t>
      </w:r>
      <w:r w:rsidR="002726FF" w:rsidRPr="000A6AA6">
        <w:rPr>
          <w:lang w:val="fr-FR"/>
        </w:rPr>
        <w:t xml:space="preserve"> manque à gagner </w:t>
      </w:r>
      <w:r w:rsidR="00116B2A" w:rsidRPr="000A6AA6">
        <w:rPr>
          <w:lang w:val="fr-FR"/>
        </w:rPr>
        <w:t>par rapport aux recettes</w:t>
      </w:r>
      <w:r w:rsidR="002726FF" w:rsidRPr="000A6AA6">
        <w:rPr>
          <w:lang w:val="fr-FR"/>
        </w:rPr>
        <w:t xml:space="preserve"> prévues </w:t>
      </w:r>
      <w:r w:rsidR="00116B2A" w:rsidRPr="000A6AA6">
        <w:rPr>
          <w:lang w:val="fr-FR"/>
        </w:rPr>
        <w:t>au budget</w:t>
      </w:r>
      <w:r w:rsidR="002726FF" w:rsidRPr="000A6AA6">
        <w:rPr>
          <w:lang w:val="fr-FR"/>
        </w:rPr>
        <w:t xml:space="preserve"> en raison d</w:t>
      </w:r>
      <w:r w:rsidR="006A0BE5" w:rsidRPr="000A6AA6">
        <w:rPr>
          <w:lang w:val="fr-FR"/>
        </w:rPr>
        <w:t>’</w:t>
      </w:r>
      <w:r w:rsidR="002726FF" w:rsidRPr="000A6AA6">
        <w:rPr>
          <w:lang w:val="fr-FR"/>
        </w:rPr>
        <w:t xml:space="preserve">une variation non couverte des taux de change </w:t>
      </w:r>
      <w:r w:rsidR="002F74A0" w:rsidRPr="000A6AA6">
        <w:rPr>
          <w:lang w:val="fr-FR"/>
        </w:rPr>
        <w:t>serait</w:t>
      </w:r>
      <w:r w:rsidR="002726FF" w:rsidRPr="000A6AA6">
        <w:rPr>
          <w:lang w:val="fr-FR"/>
        </w:rPr>
        <w:t xml:space="preserve"> élevé</w:t>
      </w:r>
      <w:r w:rsidR="0011536E" w:rsidRPr="000A6AA6">
        <w:rPr>
          <w:lang w:val="fr-FR"/>
        </w:rPr>
        <w:t>.</w:t>
      </w:r>
    </w:p>
    <w:p w:rsidR="00994A05" w:rsidRPr="000A6AA6" w:rsidRDefault="00790A81" w:rsidP="00F131E9">
      <w:pPr>
        <w:pStyle w:val="ONUMFS"/>
        <w:rPr>
          <w:lang w:val="fr-FR"/>
        </w:rPr>
      </w:pPr>
      <w:bookmarkStart w:id="4" w:name="_Ref453941359"/>
      <w:r w:rsidRPr="000A6AA6">
        <w:rPr>
          <w:lang w:val="fr-FR"/>
        </w:rPr>
        <w:t xml:space="preserve">Une proposition visant à commencer à couvrir les risques imputables à des transactions de taxes internationales de dépôt en euros, en </w:t>
      </w:r>
      <w:r w:rsidR="000845D2" w:rsidRPr="000A6AA6">
        <w:rPr>
          <w:lang w:val="fr-FR"/>
        </w:rPr>
        <w:t>yens</w:t>
      </w:r>
      <w:r w:rsidRPr="000A6AA6">
        <w:rPr>
          <w:lang w:val="fr-FR"/>
        </w:rPr>
        <w:t xml:space="preserve"> et en dollars</w:t>
      </w:r>
      <w:r w:rsidR="00E87329" w:rsidRPr="000A6AA6">
        <w:rPr>
          <w:lang w:val="fr-FR"/>
        </w:rPr>
        <w:t> </w:t>
      </w:r>
      <w:r w:rsidRPr="000A6AA6">
        <w:rPr>
          <w:lang w:val="fr-FR"/>
        </w:rPr>
        <w:t>É.</w:t>
      </w:r>
      <w:r w:rsidR="004C56EE" w:rsidRPr="000A6AA6">
        <w:rPr>
          <w:lang w:val="fr-FR"/>
        </w:rPr>
        <w:noBreakHyphen/>
      </w:r>
      <w:r w:rsidRPr="000A6AA6">
        <w:rPr>
          <w:lang w:val="fr-FR"/>
        </w:rPr>
        <w:t>U.</w:t>
      </w:r>
      <w:r w:rsidR="00CC341F" w:rsidRPr="000A6AA6">
        <w:rPr>
          <w:lang w:val="fr-FR"/>
        </w:rPr>
        <w:t xml:space="preserve"> a été soumise, en même temps que le rapport et les recommandations de la firme FTI </w:t>
      </w:r>
      <w:proofErr w:type="spellStart"/>
      <w:r w:rsidR="00CC341F" w:rsidRPr="000A6AA6">
        <w:rPr>
          <w:lang w:val="fr-FR"/>
        </w:rPr>
        <w:t>Treasury</w:t>
      </w:r>
      <w:proofErr w:type="spellEnd"/>
      <w:r w:rsidR="00CC341F" w:rsidRPr="000A6AA6">
        <w:rPr>
          <w:lang w:val="fr-FR"/>
        </w:rPr>
        <w:t>, au Groupe de travail</w:t>
      </w:r>
      <w:r w:rsidR="006A0BE5" w:rsidRPr="000A6AA6">
        <w:rPr>
          <w:lang w:val="fr-FR"/>
        </w:rPr>
        <w:t xml:space="preserve"> du PCT</w:t>
      </w:r>
      <w:r w:rsidR="00CC341F" w:rsidRPr="000A6AA6">
        <w:rPr>
          <w:lang w:val="fr-FR"/>
        </w:rPr>
        <w:t xml:space="preserve"> à sa huitième</w:t>
      </w:r>
      <w:r w:rsidR="00E87329" w:rsidRPr="000A6AA6">
        <w:rPr>
          <w:lang w:val="fr-FR"/>
        </w:rPr>
        <w:t> </w:t>
      </w:r>
      <w:r w:rsidR="00CC341F" w:rsidRPr="000A6AA6">
        <w:rPr>
          <w:lang w:val="fr-FR"/>
        </w:rPr>
        <w:t>session, qui s</w:t>
      </w:r>
      <w:r w:rsidR="006A0BE5" w:rsidRPr="000A6AA6">
        <w:rPr>
          <w:lang w:val="fr-FR"/>
        </w:rPr>
        <w:t>’</w:t>
      </w:r>
      <w:r w:rsidR="00CC341F" w:rsidRPr="000A6AA6">
        <w:rPr>
          <w:lang w:val="fr-FR"/>
        </w:rPr>
        <w:t xml:space="preserve">est tenue en </w:t>
      </w:r>
      <w:r w:rsidR="006A0BE5" w:rsidRPr="000A6AA6">
        <w:rPr>
          <w:lang w:val="fr-FR"/>
        </w:rPr>
        <w:t>mai 20</w:t>
      </w:r>
      <w:r w:rsidR="00CC341F" w:rsidRPr="000A6AA6">
        <w:rPr>
          <w:lang w:val="fr-FR"/>
        </w:rPr>
        <w:t>15</w:t>
      </w:r>
      <w:r w:rsidRPr="000A6AA6">
        <w:rPr>
          <w:lang w:val="fr-FR"/>
        </w:rPr>
        <w:t xml:space="preserve"> </w:t>
      </w:r>
      <w:r w:rsidR="00CC341F" w:rsidRPr="000A6AA6">
        <w:rPr>
          <w:lang w:val="fr-FR"/>
        </w:rPr>
        <w:t xml:space="preserve">(voir le document </w:t>
      </w:r>
      <w:r w:rsidR="00994A05" w:rsidRPr="000A6AA6">
        <w:rPr>
          <w:lang w:val="fr-FR"/>
        </w:rPr>
        <w:t xml:space="preserve">PCT/WG/8/15 </w:t>
      </w:r>
      <w:r w:rsidR="00331945" w:rsidRPr="000A6AA6">
        <w:rPr>
          <w:lang w:val="fr-FR"/>
        </w:rPr>
        <w:t>“</w:t>
      </w:r>
      <w:r w:rsidR="00350D4F" w:rsidRPr="000A6AA6">
        <w:rPr>
          <w:lang w:val="fr-FR"/>
        </w:rPr>
        <w:t>Mesures possibles pour réduire les risques de change auxquels sont exposées les recettes provenant des taxes</w:t>
      </w:r>
      <w:r w:rsidR="006A0BE5" w:rsidRPr="000A6AA6">
        <w:rPr>
          <w:lang w:val="fr-FR"/>
        </w:rPr>
        <w:t xml:space="preserve"> du PCT</w:t>
      </w:r>
      <w:r w:rsidR="00331945" w:rsidRPr="000A6AA6">
        <w:rPr>
          <w:lang w:val="fr-FR"/>
        </w:rPr>
        <w:t>”</w:t>
      </w:r>
      <w:r w:rsidR="00994A05" w:rsidRPr="000A6AA6">
        <w:rPr>
          <w:lang w:val="fr-FR"/>
        </w:rPr>
        <w:t xml:space="preserve">).  </w:t>
      </w:r>
      <w:r w:rsidR="006C0672" w:rsidRPr="000A6AA6">
        <w:rPr>
          <w:lang w:val="fr-FR"/>
        </w:rPr>
        <w:t>Le paragraphe</w:t>
      </w:r>
      <w:r w:rsidR="00E87329" w:rsidRPr="000A6AA6">
        <w:rPr>
          <w:lang w:val="fr-FR"/>
        </w:rPr>
        <w:t> </w:t>
      </w:r>
      <w:r w:rsidR="006C0672" w:rsidRPr="000A6AA6">
        <w:rPr>
          <w:lang w:val="fr-FR"/>
        </w:rPr>
        <w:t>26 de ce d</w:t>
      </w:r>
      <w:r w:rsidR="00E9792A" w:rsidRPr="000A6AA6">
        <w:rPr>
          <w:lang w:val="fr-FR"/>
        </w:rPr>
        <w:t>ocument PCT/WG/8/15</w:t>
      </w:r>
      <w:r w:rsidR="006C0672" w:rsidRPr="000A6AA6">
        <w:rPr>
          <w:lang w:val="fr-FR"/>
        </w:rPr>
        <w:t xml:space="preserve"> soulignait</w:t>
      </w:r>
      <w:r w:rsidR="00DE4188" w:rsidRPr="000A6AA6">
        <w:rPr>
          <w:lang w:val="fr-FR"/>
        </w:rPr>
        <w:t xml:space="preserve"> qu</w:t>
      </w:r>
      <w:r w:rsidR="006A0BE5" w:rsidRPr="000A6AA6">
        <w:rPr>
          <w:lang w:val="fr-FR"/>
        </w:rPr>
        <w:t>’</w:t>
      </w:r>
      <w:r w:rsidR="00DE4188" w:rsidRPr="000A6AA6">
        <w:rPr>
          <w:lang w:val="fr-FR"/>
        </w:rPr>
        <w:t>il n</w:t>
      </w:r>
      <w:r w:rsidR="006A0BE5" w:rsidRPr="000A6AA6">
        <w:rPr>
          <w:lang w:val="fr-FR"/>
        </w:rPr>
        <w:t>’</w:t>
      </w:r>
      <w:r w:rsidR="00DE4188" w:rsidRPr="000A6AA6">
        <w:rPr>
          <w:lang w:val="fr-FR"/>
        </w:rPr>
        <w:t>était pas nécessaire d</w:t>
      </w:r>
      <w:r w:rsidR="006A0BE5" w:rsidRPr="000A6AA6">
        <w:rPr>
          <w:lang w:val="fr-FR"/>
        </w:rPr>
        <w:t>’</w:t>
      </w:r>
      <w:r w:rsidR="00DE4188" w:rsidRPr="000A6AA6">
        <w:rPr>
          <w:lang w:val="fr-FR"/>
        </w:rPr>
        <w:t xml:space="preserve">appliquer la couverture </w:t>
      </w:r>
      <w:r w:rsidR="006C0672" w:rsidRPr="000A6AA6">
        <w:rPr>
          <w:lang w:val="fr-FR"/>
        </w:rPr>
        <w:t>à la totalité des recettes prévues, mais</w:t>
      </w:r>
      <w:r w:rsidR="00994A05" w:rsidRPr="000A6AA6">
        <w:rPr>
          <w:lang w:val="fr-FR"/>
        </w:rPr>
        <w:t xml:space="preserve"> </w:t>
      </w:r>
      <w:r w:rsidR="00331945" w:rsidRPr="000A6AA6">
        <w:rPr>
          <w:lang w:val="fr-FR"/>
        </w:rPr>
        <w:t>“</w:t>
      </w:r>
      <w:r w:rsidR="00DE4188" w:rsidRPr="000A6AA6">
        <w:rPr>
          <w:lang w:val="fr-FR"/>
        </w:rPr>
        <w:t>plutôt à un certain pourcentage par monnaie, par exemple entre 70 et 90%</w:t>
      </w:r>
      <w:r w:rsidR="00331945" w:rsidRPr="000A6AA6">
        <w:rPr>
          <w:lang w:val="fr-FR"/>
        </w:rPr>
        <w:t>”</w:t>
      </w:r>
      <w:r w:rsidR="00DE4188" w:rsidRPr="000A6AA6">
        <w:rPr>
          <w:lang w:val="fr-FR"/>
        </w:rPr>
        <w:t xml:space="preserve">.  </w:t>
      </w:r>
      <w:r w:rsidR="00696ABA" w:rsidRPr="000A6AA6">
        <w:rPr>
          <w:lang w:val="fr-FR"/>
        </w:rPr>
        <w:t xml:space="preserve">La limite supérieure </w:t>
      </w:r>
      <w:r w:rsidR="00637C9B" w:rsidRPr="000A6AA6">
        <w:rPr>
          <w:lang w:val="fr-FR"/>
        </w:rPr>
        <w:t>était</w:t>
      </w:r>
      <w:r w:rsidR="00696ABA" w:rsidRPr="000A6AA6">
        <w:rPr>
          <w:lang w:val="fr-FR"/>
        </w:rPr>
        <w:t xml:space="preserve"> </w:t>
      </w:r>
      <w:r w:rsidR="00AA4BCE" w:rsidRPr="000A6AA6">
        <w:rPr>
          <w:lang w:val="fr-FR"/>
        </w:rPr>
        <w:t>tirée d</w:t>
      </w:r>
      <w:r w:rsidR="006A0BE5" w:rsidRPr="000A6AA6">
        <w:rPr>
          <w:lang w:val="fr-FR"/>
        </w:rPr>
        <w:t>’</w:t>
      </w:r>
      <w:r w:rsidR="00696ABA" w:rsidRPr="000A6AA6">
        <w:rPr>
          <w:lang w:val="fr-FR"/>
        </w:rPr>
        <w:t xml:space="preserve">une recommandation du rapport de FTI </w:t>
      </w:r>
      <w:proofErr w:type="spellStart"/>
      <w:r w:rsidR="00696ABA" w:rsidRPr="000A6AA6">
        <w:rPr>
          <w:lang w:val="fr-FR"/>
        </w:rPr>
        <w:t>Treasury</w:t>
      </w:r>
      <w:proofErr w:type="spellEnd"/>
      <w:r w:rsidR="00AA4BCE" w:rsidRPr="000A6AA6">
        <w:rPr>
          <w:lang w:val="fr-FR"/>
        </w:rPr>
        <w:t>,</w:t>
      </w:r>
      <w:r w:rsidR="00696ABA" w:rsidRPr="000A6AA6">
        <w:rPr>
          <w:lang w:val="fr-FR"/>
        </w:rPr>
        <w:t xml:space="preserve"> </w:t>
      </w:r>
      <w:r w:rsidR="00AC00A8" w:rsidRPr="000A6AA6">
        <w:rPr>
          <w:lang w:val="fr-FR"/>
        </w:rPr>
        <w:t xml:space="preserve">et la limite inférieure </w:t>
      </w:r>
      <w:r w:rsidR="000A6AA6">
        <w:rPr>
          <w:lang w:val="fr-FR"/>
        </w:rPr>
        <w:t>a</w:t>
      </w:r>
      <w:r w:rsidR="00AA4BCE" w:rsidRPr="000A6AA6">
        <w:rPr>
          <w:lang w:val="fr-FR"/>
        </w:rPr>
        <w:t xml:space="preserve"> été fixée de manière à tenir compte d</w:t>
      </w:r>
      <w:r w:rsidR="006A0BE5" w:rsidRPr="000A6AA6">
        <w:rPr>
          <w:lang w:val="fr-FR"/>
        </w:rPr>
        <w:t>’</w:t>
      </w:r>
      <w:r w:rsidR="00AA4BCE" w:rsidRPr="000A6AA6">
        <w:rPr>
          <w:lang w:val="fr-FR"/>
        </w:rPr>
        <w:t>éventuelles variations entre les recettes prévues et réell</w:t>
      </w:r>
      <w:r w:rsidR="004C56EE" w:rsidRPr="000A6AA6">
        <w:rPr>
          <w:lang w:val="fr-FR"/>
        </w:rPr>
        <w:t>es.  C’e</w:t>
      </w:r>
      <w:r w:rsidR="006B0AD8" w:rsidRPr="000A6AA6">
        <w:rPr>
          <w:lang w:val="fr-FR"/>
        </w:rPr>
        <w:t xml:space="preserve">st principalement pour cette raison que le rapport de FTI </w:t>
      </w:r>
      <w:proofErr w:type="spellStart"/>
      <w:r w:rsidR="006B0AD8" w:rsidRPr="000A6AA6">
        <w:rPr>
          <w:lang w:val="fr-FR"/>
        </w:rPr>
        <w:t>Treasury</w:t>
      </w:r>
      <w:proofErr w:type="spellEnd"/>
      <w:r w:rsidR="006B0AD8" w:rsidRPr="000A6AA6">
        <w:rPr>
          <w:lang w:val="fr-FR"/>
        </w:rPr>
        <w:t xml:space="preserve"> recommandait d</w:t>
      </w:r>
      <w:r w:rsidR="006A0BE5" w:rsidRPr="000A6AA6">
        <w:rPr>
          <w:lang w:val="fr-FR"/>
        </w:rPr>
        <w:t>’</w:t>
      </w:r>
      <w:r w:rsidR="00331945" w:rsidRPr="000A6AA6">
        <w:rPr>
          <w:lang w:val="fr-FR"/>
        </w:rPr>
        <w:t>“</w:t>
      </w:r>
      <w:r w:rsidR="006B0AD8" w:rsidRPr="000A6AA6">
        <w:rPr>
          <w:lang w:val="fr-FR"/>
        </w:rPr>
        <w:t xml:space="preserve">élaborer des prévisions de trésorerie </w:t>
      </w:r>
      <w:r w:rsidR="00B927B3" w:rsidRPr="000A6AA6">
        <w:rPr>
          <w:lang w:val="fr-FR"/>
        </w:rPr>
        <w:t xml:space="preserve">en </w:t>
      </w:r>
      <w:r w:rsidR="00637C9B" w:rsidRPr="000A6AA6">
        <w:rPr>
          <w:lang w:val="fr-FR"/>
        </w:rPr>
        <w:t>devis</w:t>
      </w:r>
      <w:r w:rsidR="00BC32E7" w:rsidRPr="000A6AA6">
        <w:rPr>
          <w:lang w:val="fr-FR"/>
        </w:rPr>
        <w:t>e</w:t>
      </w:r>
      <w:r w:rsidR="00B927B3" w:rsidRPr="000A6AA6">
        <w:rPr>
          <w:lang w:val="fr-FR"/>
        </w:rPr>
        <w:t xml:space="preserve">s </w:t>
      </w:r>
      <w:r w:rsidR="00CA4955" w:rsidRPr="000A6AA6">
        <w:rPr>
          <w:lang w:val="fr-FR"/>
        </w:rPr>
        <w:t>pour les risques de bilan</w:t>
      </w:r>
      <w:r w:rsidR="00331945" w:rsidRPr="000A6AA6">
        <w:rPr>
          <w:lang w:val="fr-FR"/>
        </w:rPr>
        <w:t>”</w:t>
      </w:r>
      <w:r w:rsidR="00994A05" w:rsidRPr="000A6AA6">
        <w:rPr>
          <w:lang w:val="fr-FR"/>
        </w:rPr>
        <w:t>.</w:t>
      </w:r>
      <w:bookmarkEnd w:id="4"/>
    </w:p>
    <w:p w:rsidR="00E9792A" w:rsidRPr="000A6AA6" w:rsidRDefault="00AB3AD1" w:rsidP="00F131E9">
      <w:pPr>
        <w:pStyle w:val="ONUMFS"/>
        <w:rPr>
          <w:lang w:val="fr-FR"/>
        </w:rPr>
      </w:pPr>
      <w:r w:rsidRPr="000A6AA6">
        <w:rPr>
          <w:lang w:val="fr-FR"/>
        </w:rPr>
        <w:t>À sa huitième</w:t>
      </w:r>
      <w:r w:rsidR="00E87329" w:rsidRPr="000A6AA6">
        <w:rPr>
          <w:lang w:val="fr-FR"/>
        </w:rPr>
        <w:t> </w:t>
      </w:r>
      <w:r w:rsidRPr="000A6AA6">
        <w:rPr>
          <w:lang w:val="fr-FR"/>
        </w:rPr>
        <w:t>session, le Groupe de travail</w:t>
      </w:r>
      <w:r w:rsidR="006A0BE5" w:rsidRPr="000A6AA6">
        <w:rPr>
          <w:lang w:val="fr-FR"/>
        </w:rPr>
        <w:t xml:space="preserve"> du PCT</w:t>
      </w:r>
      <w:r w:rsidRPr="000A6AA6">
        <w:rPr>
          <w:lang w:val="fr-FR"/>
        </w:rPr>
        <w:t xml:space="preserve"> a approuvé la proposition du Bureau international énoncée dans le document </w:t>
      </w:r>
      <w:r w:rsidR="00D84079" w:rsidRPr="000A6AA6">
        <w:rPr>
          <w:lang w:val="fr-FR"/>
        </w:rPr>
        <w:t>PCT/WG/8/15 (</w:t>
      </w:r>
      <w:r w:rsidRPr="000A6AA6">
        <w:rPr>
          <w:lang w:val="fr-FR"/>
        </w:rPr>
        <w:t>voir le paragraphe</w:t>
      </w:r>
      <w:r w:rsidR="00D84079" w:rsidRPr="000A6AA6">
        <w:rPr>
          <w:lang w:val="fr-FR"/>
        </w:rPr>
        <w:t> 78</w:t>
      </w:r>
      <w:r w:rsidRPr="000A6AA6">
        <w:rPr>
          <w:lang w:val="fr-FR"/>
        </w:rPr>
        <w:t xml:space="preserve"> du rapport de la session</w:t>
      </w:r>
      <w:r w:rsidR="00D84079" w:rsidRPr="000A6AA6">
        <w:rPr>
          <w:lang w:val="fr-FR"/>
        </w:rPr>
        <w:t>, document PCT/WG/8/26)</w:t>
      </w:r>
      <w:r w:rsidRPr="000A6AA6">
        <w:rPr>
          <w:lang w:val="fr-FR"/>
        </w:rPr>
        <w:t>, en vue de sa présentation à l</w:t>
      </w:r>
      <w:r w:rsidR="006A0BE5" w:rsidRPr="000A6AA6">
        <w:rPr>
          <w:lang w:val="fr-FR"/>
        </w:rPr>
        <w:t>’</w:t>
      </w:r>
      <w:r w:rsidRPr="000A6AA6">
        <w:rPr>
          <w:lang w:val="fr-FR"/>
        </w:rPr>
        <w:t>assemblée pour examen à sa session d</w:t>
      </w:r>
      <w:r w:rsidR="006A0BE5" w:rsidRPr="000A6AA6">
        <w:rPr>
          <w:lang w:val="fr-FR"/>
        </w:rPr>
        <w:t>’octobre 20</w:t>
      </w:r>
      <w:r w:rsidRPr="000A6AA6">
        <w:rPr>
          <w:lang w:val="fr-FR"/>
        </w:rPr>
        <w:t>15.</w:t>
      </w:r>
    </w:p>
    <w:p w:rsidR="00A143E8" w:rsidRPr="000A6AA6" w:rsidRDefault="00160CA8" w:rsidP="00F131E9">
      <w:pPr>
        <w:pStyle w:val="ONUMFS"/>
        <w:rPr>
          <w:lang w:val="fr-FR"/>
        </w:rPr>
      </w:pPr>
      <w:r w:rsidRPr="000A6AA6">
        <w:rPr>
          <w:lang w:val="fr-FR"/>
        </w:rPr>
        <w:t>Avant la session d</w:t>
      </w:r>
      <w:r w:rsidR="006A0BE5" w:rsidRPr="000A6AA6">
        <w:rPr>
          <w:lang w:val="fr-FR"/>
        </w:rPr>
        <w:t>’octobre 20</w:t>
      </w:r>
      <w:r w:rsidRPr="000A6AA6">
        <w:rPr>
          <w:lang w:val="fr-FR"/>
        </w:rPr>
        <w:t>15 de l</w:t>
      </w:r>
      <w:r w:rsidR="006A0BE5" w:rsidRPr="000A6AA6">
        <w:rPr>
          <w:lang w:val="fr-FR"/>
        </w:rPr>
        <w:t>’</w:t>
      </w:r>
      <w:r w:rsidRPr="000A6AA6">
        <w:rPr>
          <w:lang w:val="fr-FR"/>
        </w:rPr>
        <w:t>assemblée</w:t>
      </w:r>
      <w:r w:rsidR="006A0BE5" w:rsidRPr="000A6AA6">
        <w:rPr>
          <w:lang w:val="fr-FR"/>
        </w:rPr>
        <w:t xml:space="preserve"> du PCT</w:t>
      </w:r>
      <w:r w:rsidRPr="000A6AA6">
        <w:rPr>
          <w:lang w:val="fr-FR"/>
        </w:rPr>
        <w:t>, le Bureau international a présenté des informations actualisées sur la mise en œuvre de la stratégie proposée pour couvrir les recettes provenant des taxes</w:t>
      </w:r>
      <w:r w:rsidR="006A0BE5" w:rsidRPr="000A6AA6">
        <w:rPr>
          <w:lang w:val="fr-FR"/>
        </w:rPr>
        <w:t xml:space="preserve"> du PCT</w:t>
      </w:r>
      <w:r w:rsidRPr="000A6AA6">
        <w:rPr>
          <w:lang w:val="fr-FR"/>
        </w:rPr>
        <w:t xml:space="preserve"> à la vingt</w:t>
      </w:r>
      <w:r w:rsidR="004C56EE" w:rsidRPr="000A6AA6">
        <w:rPr>
          <w:lang w:val="fr-FR"/>
        </w:rPr>
        <w:noBreakHyphen/>
      </w:r>
      <w:r w:rsidRPr="000A6AA6">
        <w:rPr>
          <w:lang w:val="fr-FR"/>
        </w:rPr>
        <w:t>quatrième</w:t>
      </w:r>
      <w:r w:rsidR="00E87329" w:rsidRPr="000A6AA6">
        <w:rPr>
          <w:lang w:val="fr-FR"/>
        </w:rPr>
        <w:t> </w:t>
      </w:r>
      <w:r w:rsidRPr="000A6AA6">
        <w:rPr>
          <w:lang w:val="fr-FR"/>
        </w:rPr>
        <w:t>session du Comité du programme et budget (PBC) tenue du 14 au 1</w:t>
      </w:r>
      <w:r w:rsidR="006A0BE5" w:rsidRPr="000A6AA6">
        <w:rPr>
          <w:lang w:val="fr-FR"/>
        </w:rPr>
        <w:t>8 septembre 20</w:t>
      </w:r>
      <w:r w:rsidRPr="000A6AA6">
        <w:rPr>
          <w:lang w:val="fr-FR"/>
        </w:rPr>
        <w:t xml:space="preserve">15, sur la base du document </w:t>
      </w:r>
      <w:r w:rsidR="00A143E8" w:rsidRPr="000A6AA6">
        <w:rPr>
          <w:lang w:val="fr-FR"/>
        </w:rPr>
        <w:t>WO/PBC/24/INF.3.</w:t>
      </w:r>
      <w:r w:rsidRPr="000A6AA6">
        <w:rPr>
          <w:lang w:val="fr-FR"/>
        </w:rPr>
        <w:t xml:space="preserve">  </w:t>
      </w:r>
      <w:r w:rsidR="003A05CC" w:rsidRPr="000A6AA6">
        <w:rPr>
          <w:lang w:val="fr-FR"/>
        </w:rPr>
        <w:t>Ce document recensait</w:t>
      </w:r>
      <w:r w:rsidR="00637C9B" w:rsidRPr="000A6AA6">
        <w:rPr>
          <w:lang w:val="fr-FR"/>
        </w:rPr>
        <w:t xml:space="preserve"> </w:t>
      </w:r>
      <w:r w:rsidR="006A0BE5" w:rsidRPr="000A6AA6">
        <w:rPr>
          <w:lang w:val="fr-FR"/>
        </w:rPr>
        <w:t>à l’égard</w:t>
      </w:r>
      <w:r w:rsidR="00637C9B" w:rsidRPr="000A6AA6">
        <w:rPr>
          <w:lang w:val="fr-FR"/>
        </w:rPr>
        <w:t xml:space="preserve"> de cette stratégie</w:t>
      </w:r>
      <w:r w:rsidR="003A05CC" w:rsidRPr="000A6AA6">
        <w:rPr>
          <w:lang w:val="fr-FR"/>
        </w:rPr>
        <w:t xml:space="preserve"> plusieurs risques et préoccupations</w:t>
      </w:r>
      <w:r w:rsidR="005E2804" w:rsidRPr="000A6AA6">
        <w:rPr>
          <w:lang w:val="fr-FR"/>
        </w:rPr>
        <w:t xml:space="preserve"> qui, de l</w:t>
      </w:r>
      <w:r w:rsidR="006A0BE5" w:rsidRPr="000A6AA6">
        <w:rPr>
          <w:lang w:val="fr-FR"/>
        </w:rPr>
        <w:t>’</w:t>
      </w:r>
      <w:r w:rsidR="005E2804" w:rsidRPr="000A6AA6">
        <w:rPr>
          <w:lang w:val="fr-FR"/>
        </w:rPr>
        <w:t>avis du Secrétariat, appelaient des recherches et une analyse plus poussées avant qu</w:t>
      </w:r>
      <w:r w:rsidR="006A0BE5" w:rsidRPr="000A6AA6">
        <w:rPr>
          <w:lang w:val="fr-FR"/>
        </w:rPr>
        <w:t>’</w:t>
      </w:r>
      <w:r w:rsidR="005E2804" w:rsidRPr="000A6AA6">
        <w:rPr>
          <w:lang w:val="fr-FR"/>
        </w:rPr>
        <w:t>une stratégie de couverture des risques de change puisse être adoptée et des accords contractuels</w:t>
      </w:r>
      <w:r w:rsidR="004011A4" w:rsidRPr="000A6AA6">
        <w:rPr>
          <w:lang w:val="fr-FR"/>
        </w:rPr>
        <w:t xml:space="preserve"> conclus avec des contreparties pour les opérations de couvertu</w:t>
      </w:r>
      <w:r w:rsidR="004C56EE" w:rsidRPr="000A6AA6">
        <w:rPr>
          <w:lang w:val="fr-FR"/>
        </w:rPr>
        <w:t>re.  Le</w:t>
      </w:r>
      <w:r w:rsidR="004011A4" w:rsidRPr="000A6AA6">
        <w:rPr>
          <w:lang w:val="fr-FR"/>
        </w:rPr>
        <w:t xml:space="preserve"> document WO/PBC/24/INF.3</w:t>
      </w:r>
      <w:r w:rsidR="0046084C" w:rsidRPr="000A6AA6">
        <w:rPr>
          <w:lang w:val="fr-FR"/>
        </w:rPr>
        <w:t xml:space="preserve"> indiquait que cette tâche nécessiterait des ressources et un temps qui pouvait être considérable, compte tenu de la complexité des questions à l</w:t>
      </w:r>
      <w:r w:rsidR="006A0BE5" w:rsidRPr="000A6AA6">
        <w:rPr>
          <w:lang w:val="fr-FR"/>
        </w:rPr>
        <w:t>’</w:t>
      </w:r>
      <w:r w:rsidR="0046084C" w:rsidRPr="000A6AA6">
        <w:rPr>
          <w:lang w:val="fr-FR"/>
        </w:rPr>
        <w:t>étu</w:t>
      </w:r>
      <w:r w:rsidR="004C56EE" w:rsidRPr="000A6AA6">
        <w:rPr>
          <w:lang w:val="fr-FR"/>
        </w:rPr>
        <w:t>de.  Il</w:t>
      </w:r>
      <w:r w:rsidR="0046084C" w:rsidRPr="000A6AA6">
        <w:rPr>
          <w:lang w:val="fr-FR"/>
        </w:rPr>
        <w:t xml:space="preserve"> précisait en outre que si la stratégie de couverture des risques de change était mise en œuvre sans que soient limités les risques associés aux questions recensées, le coût financier pour l</w:t>
      </w:r>
      <w:r w:rsidR="006A0BE5" w:rsidRPr="000A6AA6">
        <w:rPr>
          <w:lang w:val="fr-FR"/>
        </w:rPr>
        <w:t>’</w:t>
      </w:r>
      <w:r w:rsidR="0046084C" w:rsidRPr="000A6AA6">
        <w:rPr>
          <w:lang w:val="fr-FR"/>
        </w:rPr>
        <w:t xml:space="preserve">Organisation pouvait être </w:t>
      </w:r>
      <w:r w:rsidR="009B079B" w:rsidRPr="000A6AA6">
        <w:rPr>
          <w:lang w:val="fr-FR"/>
        </w:rPr>
        <w:t>substantiel</w:t>
      </w:r>
      <w:r w:rsidR="0046084C" w:rsidRPr="000A6AA6">
        <w:rPr>
          <w:lang w:val="fr-FR"/>
        </w:rPr>
        <w:t>.</w:t>
      </w:r>
    </w:p>
    <w:p w:rsidR="00A143E8" w:rsidRPr="000A6AA6" w:rsidRDefault="004A6376" w:rsidP="00F131E9">
      <w:pPr>
        <w:pStyle w:val="ONUMFS"/>
        <w:rPr>
          <w:lang w:val="fr-FR"/>
        </w:rPr>
      </w:pPr>
      <w:r w:rsidRPr="000A6AA6">
        <w:rPr>
          <w:lang w:val="fr-FR"/>
        </w:rPr>
        <w:t>Après avoir examiné le document,</w:t>
      </w:r>
      <w:r w:rsidR="006A0BE5" w:rsidRPr="000A6AA6">
        <w:rPr>
          <w:lang w:val="fr-FR"/>
        </w:rPr>
        <w:t xml:space="preserve"> le PBC</w:t>
      </w:r>
      <w:r w:rsidRPr="000A6AA6">
        <w:rPr>
          <w:lang w:val="fr-FR"/>
        </w:rPr>
        <w:t xml:space="preserve"> a arrêté la recommandation suivante à l</w:t>
      </w:r>
      <w:r w:rsidR="006A0BE5" w:rsidRPr="000A6AA6">
        <w:rPr>
          <w:lang w:val="fr-FR"/>
        </w:rPr>
        <w:t>’</w:t>
      </w:r>
      <w:r w:rsidRPr="000A6AA6">
        <w:rPr>
          <w:lang w:val="fr-FR"/>
        </w:rPr>
        <w:t>intention de l</w:t>
      </w:r>
      <w:r w:rsidR="006A0BE5" w:rsidRPr="000A6AA6">
        <w:rPr>
          <w:lang w:val="fr-FR"/>
        </w:rPr>
        <w:t>’</w:t>
      </w:r>
      <w:r w:rsidRPr="000A6AA6">
        <w:rPr>
          <w:lang w:val="fr-FR"/>
        </w:rPr>
        <w:t>Assemblée de l</w:t>
      </w:r>
      <w:r w:rsidR="006A0BE5" w:rsidRPr="000A6AA6">
        <w:rPr>
          <w:lang w:val="fr-FR"/>
        </w:rPr>
        <w:t>’</w:t>
      </w:r>
      <w:r w:rsidRPr="000A6AA6">
        <w:rPr>
          <w:lang w:val="fr-FR"/>
        </w:rPr>
        <w:t>Union</w:t>
      </w:r>
      <w:r w:rsidR="006A0BE5" w:rsidRPr="000A6AA6">
        <w:rPr>
          <w:lang w:val="fr-FR"/>
        </w:rPr>
        <w:t xml:space="preserve"> du PCT</w:t>
      </w:r>
      <w:r w:rsidRPr="000A6AA6">
        <w:rPr>
          <w:lang w:val="fr-FR"/>
        </w:rPr>
        <w:t xml:space="preserve"> (voir le document WO/PBC/24/17, sous le point</w:t>
      </w:r>
      <w:r w:rsidR="00E87329" w:rsidRPr="000A6AA6">
        <w:rPr>
          <w:lang w:val="fr-FR"/>
        </w:rPr>
        <w:t> </w:t>
      </w:r>
      <w:r w:rsidRPr="000A6AA6">
        <w:rPr>
          <w:lang w:val="fr-FR"/>
        </w:rPr>
        <w:t>10 de l</w:t>
      </w:r>
      <w:r w:rsidR="006A0BE5" w:rsidRPr="000A6AA6">
        <w:rPr>
          <w:lang w:val="fr-FR"/>
        </w:rPr>
        <w:t>’</w:t>
      </w:r>
      <w:r w:rsidRPr="000A6AA6">
        <w:rPr>
          <w:lang w:val="fr-FR"/>
        </w:rPr>
        <w:t>ordre du jour)</w:t>
      </w:r>
      <w:r w:rsidR="00E87329" w:rsidRPr="000A6AA6">
        <w:rPr>
          <w:lang w:val="fr-FR"/>
        </w:rPr>
        <w:t> </w:t>
      </w:r>
      <w:r w:rsidRPr="000A6AA6">
        <w:rPr>
          <w:lang w:val="fr-FR"/>
        </w:rPr>
        <w:t>:</w:t>
      </w:r>
    </w:p>
    <w:p w:rsidR="00A143E8" w:rsidRPr="000A6AA6" w:rsidRDefault="00331945" w:rsidP="00F131E9">
      <w:pPr>
        <w:pStyle w:val="ONUMFS"/>
        <w:numPr>
          <w:ilvl w:val="0"/>
          <w:numId w:val="0"/>
        </w:numPr>
        <w:ind w:left="567"/>
        <w:rPr>
          <w:lang w:val="fr-FR"/>
        </w:rPr>
      </w:pPr>
      <w:r w:rsidRPr="000A6AA6">
        <w:rPr>
          <w:lang w:val="fr-FR"/>
        </w:rPr>
        <w:t>“</w:t>
      </w:r>
      <w:r w:rsidR="001D1524" w:rsidRPr="000A6AA6">
        <w:rPr>
          <w:lang w:val="fr-FR"/>
        </w:rPr>
        <w:t>Au regard de la recommandation du Groupe de travail</w:t>
      </w:r>
      <w:r w:rsidR="006A0BE5" w:rsidRPr="000A6AA6">
        <w:rPr>
          <w:lang w:val="fr-FR"/>
        </w:rPr>
        <w:t xml:space="preserve"> du PBC</w:t>
      </w:r>
      <w:r w:rsidR="001D1524" w:rsidRPr="000A6AA6">
        <w:rPr>
          <w:lang w:val="fr-FR"/>
        </w:rPr>
        <w:t xml:space="preserve"> figurant dans le document PCT/WG/8/15, le Comité du programme et budget (PBC) a, dans le document WO/PBC/24/INF.3, été informé de plusieurs problèmes relatifs à la mise en œuvre d</w:t>
      </w:r>
      <w:r w:rsidR="006A0BE5" w:rsidRPr="000A6AA6">
        <w:rPr>
          <w:lang w:val="fr-FR"/>
        </w:rPr>
        <w:t>’</w:t>
      </w:r>
      <w:r w:rsidR="001D1524" w:rsidRPr="000A6AA6">
        <w:rPr>
          <w:lang w:val="fr-FR"/>
        </w:rPr>
        <w:t>une stratégie de couverture des risques de change pour les recettes</w:t>
      </w:r>
      <w:r w:rsidR="006A0BE5" w:rsidRPr="000A6AA6">
        <w:rPr>
          <w:lang w:val="fr-FR"/>
        </w:rPr>
        <w:t xml:space="preserve"> du </w:t>
      </w:r>
      <w:r w:rsidR="004C56EE" w:rsidRPr="000A6AA6">
        <w:rPr>
          <w:lang w:val="fr-FR"/>
        </w:rPr>
        <w:t>PCT.  Ap</w:t>
      </w:r>
      <w:r w:rsidR="00480621" w:rsidRPr="000A6AA6">
        <w:rPr>
          <w:lang w:val="fr-FR"/>
        </w:rPr>
        <w:t>rès avoir examiné attentivement les problèmes soulevés dans ce document,</w:t>
      </w:r>
      <w:r w:rsidR="006A0BE5" w:rsidRPr="000A6AA6">
        <w:rPr>
          <w:lang w:val="fr-FR"/>
        </w:rPr>
        <w:t xml:space="preserve"> le PBC</w:t>
      </w:r>
      <w:r w:rsidR="00480621" w:rsidRPr="000A6AA6">
        <w:rPr>
          <w:lang w:val="fr-FR"/>
        </w:rPr>
        <w:t xml:space="preserve"> a recommandé à l</w:t>
      </w:r>
      <w:r w:rsidR="006A0BE5" w:rsidRPr="000A6AA6">
        <w:rPr>
          <w:lang w:val="fr-FR"/>
        </w:rPr>
        <w:t>’</w:t>
      </w:r>
      <w:r w:rsidR="00480621" w:rsidRPr="000A6AA6">
        <w:rPr>
          <w:lang w:val="fr-FR"/>
        </w:rPr>
        <w:t>Assemblée de l</w:t>
      </w:r>
      <w:r w:rsidR="006A0BE5" w:rsidRPr="000A6AA6">
        <w:rPr>
          <w:lang w:val="fr-FR"/>
        </w:rPr>
        <w:t>’</w:t>
      </w:r>
      <w:r w:rsidR="00480621" w:rsidRPr="000A6AA6">
        <w:rPr>
          <w:lang w:val="fr-FR"/>
        </w:rPr>
        <w:t>Union</w:t>
      </w:r>
      <w:r w:rsidR="006A0BE5" w:rsidRPr="000A6AA6">
        <w:rPr>
          <w:lang w:val="fr-FR"/>
        </w:rPr>
        <w:t xml:space="preserve"> du PCT</w:t>
      </w:r>
      <w:r w:rsidR="00E87329" w:rsidRPr="000A6AA6">
        <w:rPr>
          <w:lang w:val="fr-FR"/>
        </w:rPr>
        <w:t> </w:t>
      </w:r>
      <w:r w:rsidR="00480621" w:rsidRPr="000A6AA6">
        <w:rPr>
          <w:lang w:val="fr-FR"/>
        </w:rPr>
        <w:t>:</w:t>
      </w:r>
    </w:p>
    <w:p w:rsidR="00A143E8" w:rsidRPr="000A6AA6" w:rsidRDefault="00331945" w:rsidP="00F131E9">
      <w:pPr>
        <w:pStyle w:val="ONUMFS"/>
        <w:numPr>
          <w:ilvl w:val="0"/>
          <w:numId w:val="0"/>
        </w:numPr>
        <w:ind w:left="1134"/>
        <w:rPr>
          <w:lang w:val="fr-FR"/>
        </w:rPr>
      </w:pPr>
      <w:r w:rsidRPr="000A6AA6">
        <w:rPr>
          <w:lang w:val="fr-FR"/>
        </w:rPr>
        <w:t>“</w:t>
      </w:r>
      <w:r w:rsidR="00A143E8" w:rsidRPr="000A6AA6">
        <w:rPr>
          <w:lang w:val="fr-FR"/>
        </w:rPr>
        <w:t>i)</w:t>
      </w:r>
      <w:r w:rsidR="00A143E8" w:rsidRPr="000A6AA6">
        <w:rPr>
          <w:lang w:val="fr-FR"/>
        </w:rPr>
        <w:tab/>
      </w:r>
      <w:r w:rsidR="00007267" w:rsidRPr="000A6AA6">
        <w:rPr>
          <w:lang w:val="fr-FR"/>
        </w:rPr>
        <w:t>d</w:t>
      </w:r>
      <w:r w:rsidR="006A0BE5" w:rsidRPr="000A6AA6">
        <w:rPr>
          <w:lang w:val="fr-FR"/>
        </w:rPr>
        <w:t>’</w:t>
      </w:r>
      <w:r w:rsidR="00007267" w:rsidRPr="000A6AA6">
        <w:rPr>
          <w:lang w:val="fr-FR"/>
        </w:rPr>
        <w:t>accorder au Secrétariat davantage de temps pour analyser ces problèmes en détail afin d</w:t>
      </w:r>
      <w:r w:rsidR="006A0BE5" w:rsidRPr="000A6AA6">
        <w:rPr>
          <w:lang w:val="fr-FR"/>
        </w:rPr>
        <w:t>’</w:t>
      </w:r>
      <w:r w:rsidR="00007267" w:rsidRPr="000A6AA6">
        <w:rPr>
          <w:lang w:val="fr-FR"/>
        </w:rPr>
        <w:t>être en mesure d</w:t>
      </w:r>
      <w:r w:rsidR="006A0BE5" w:rsidRPr="000A6AA6">
        <w:rPr>
          <w:lang w:val="fr-FR"/>
        </w:rPr>
        <w:t>’</w:t>
      </w:r>
      <w:r w:rsidR="00007267" w:rsidRPr="000A6AA6">
        <w:rPr>
          <w:lang w:val="fr-FR"/>
        </w:rPr>
        <w:t xml:space="preserve">évaluer correctement les difficultés associées à la mise en œuvre de la stratégie de couverture des risques de change; </w:t>
      </w:r>
      <w:r w:rsidR="00E87329" w:rsidRPr="000A6AA6">
        <w:rPr>
          <w:lang w:val="fr-FR"/>
        </w:rPr>
        <w:t xml:space="preserve"> </w:t>
      </w:r>
      <w:r w:rsidR="00007267" w:rsidRPr="000A6AA6">
        <w:rPr>
          <w:lang w:val="fr-FR"/>
        </w:rPr>
        <w:t>et, en conséquence,</w:t>
      </w:r>
    </w:p>
    <w:p w:rsidR="00A143E8" w:rsidRPr="000A6AA6" w:rsidRDefault="00331945" w:rsidP="00F131E9">
      <w:pPr>
        <w:pStyle w:val="ONUMFS"/>
        <w:numPr>
          <w:ilvl w:val="0"/>
          <w:numId w:val="0"/>
        </w:numPr>
        <w:ind w:left="1134"/>
        <w:rPr>
          <w:lang w:val="fr-FR"/>
        </w:rPr>
      </w:pPr>
      <w:r w:rsidRPr="000A6AA6">
        <w:rPr>
          <w:lang w:val="fr-FR"/>
        </w:rPr>
        <w:lastRenderedPageBreak/>
        <w:t>“</w:t>
      </w:r>
      <w:r w:rsidR="00A143E8" w:rsidRPr="000A6AA6">
        <w:rPr>
          <w:lang w:val="fr-FR"/>
        </w:rPr>
        <w:t>ii)</w:t>
      </w:r>
      <w:r w:rsidR="00A143E8" w:rsidRPr="000A6AA6">
        <w:rPr>
          <w:lang w:val="fr-FR"/>
        </w:rPr>
        <w:tab/>
      </w:r>
      <w:r w:rsidR="005736AA" w:rsidRPr="000A6AA6">
        <w:rPr>
          <w:lang w:val="fr-FR"/>
        </w:rPr>
        <w:t>de reporter sa décision en ce qui concerne la recommandation susmentionnée jusqu</w:t>
      </w:r>
      <w:r w:rsidR="006A0BE5" w:rsidRPr="000A6AA6">
        <w:rPr>
          <w:lang w:val="fr-FR"/>
        </w:rPr>
        <w:t>’</w:t>
      </w:r>
      <w:r w:rsidR="005736AA" w:rsidRPr="000A6AA6">
        <w:rPr>
          <w:lang w:val="fr-FR"/>
        </w:rPr>
        <w:t>à ce qu</w:t>
      </w:r>
      <w:r w:rsidR="006A0BE5" w:rsidRPr="000A6AA6">
        <w:rPr>
          <w:lang w:val="fr-FR"/>
        </w:rPr>
        <w:t>’</w:t>
      </w:r>
      <w:r w:rsidR="005736AA" w:rsidRPr="000A6AA6">
        <w:rPr>
          <w:lang w:val="fr-FR"/>
        </w:rPr>
        <w:t>il ait été procédé à cette analyse</w:t>
      </w:r>
      <w:r w:rsidR="00A143E8" w:rsidRPr="000A6AA6">
        <w:rPr>
          <w:lang w:val="fr-FR"/>
        </w:rPr>
        <w:t>.</w:t>
      </w:r>
      <w:r w:rsidRPr="000A6AA6">
        <w:rPr>
          <w:lang w:val="fr-FR"/>
        </w:rPr>
        <w:t>”</w:t>
      </w:r>
    </w:p>
    <w:p w:rsidR="006A0BE5" w:rsidRPr="000A6AA6" w:rsidRDefault="006F62CF" w:rsidP="00F131E9">
      <w:pPr>
        <w:pStyle w:val="ONUMFS"/>
        <w:rPr>
          <w:lang w:val="fr-FR"/>
        </w:rPr>
      </w:pPr>
      <w:r w:rsidRPr="000A6AA6">
        <w:rPr>
          <w:lang w:val="fr-FR"/>
        </w:rPr>
        <w:t>Compte tenu de cette recommandation</w:t>
      </w:r>
      <w:r w:rsidR="006A0BE5" w:rsidRPr="000A6AA6">
        <w:rPr>
          <w:lang w:val="fr-FR"/>
        </w:rPr>
        <w:t xml:space="preserve"> du PBC</w:t>
      </w:r>
      <w:r w:rsidRPr="000A6AA6">
        <w:rPr>
          <w:lang w:val="fr-FR"/>
        </w:rPr>
        <w:t>, l</w:t>
      </w:r>
      <w:r w:rsidR="006A0BE5" w:rsidRPr="000A6AA6">
        <w:rPr>
          <w:lang w:val="fr-FR"/>
        </w:rPr>
        <w:t>’</w:t>
      </w:r>
      <w:r w:rsidRPr="000A6AA6">
        <w:rPr>
          <w:lang w:val="fr-FR"/>
        </w:rPr>
        <w:t>Assemblée de l</w:t>
      </w:r>
      <w:r w:rsidR="006A0BE5" w:rsidRPr="000A6AA6">
        <w:rPr>
          <w:lang w:val="fr-FR"/>
        </w:rPr>
        <w:t>’</w:t>
      </w:r>
      <w:r w:rsidRPr="000A6AA6">
        <w:rPr>
          <w:lang w:val="fr-FR"/>
        </w:rPr>
        <w:t>Union</w:t>
      </w:r>
      <w:r w:rsidR="006A0BE5" w:rsidRPr="000A6AA6">
        <w:rPr>
          <w:lang w:val="fr-FR"/>
        </w:rPr>
        <w:t xml:space="preserve"> du PCT</w:t>
      </w:r>
      <w:r w:rsidRPr="000A6AA6">
        <w:rPr>
          <w:lang w:val="fr-FR"/>
        </w:rPr>
        <w:t>, à sa quarante</w:t>
      </w:r>
      <w:r w:rsidR="004C56EE" w:rsidRPr="000A6AA6">
        <w:rPr>
          <w:lang w:val="fr-FR"/>
        </w:rPr>
        <w:noBreakHyphen/>
      </w:r>
      <w:r w:rsidRPr="000A6AA6">
        <w:rPr>
          <w:lang w:val="fr-FR"/>
        </w:rPr>
        <w:t>septième</w:t>
      </w:r>
      <w:r w:rsidR="00E87329" w:rsidRPr="000A6AA6">
        <w:rPr>
          <w:lang w:val="fr-FR"/>
        </w:rPr>
        <w:t> </w:t>
      </w:r>
      <w:r w:rsidRPr="000A6AA6">
        <w:rPr>
          <w:lang w:val="fr-FR"/>
        </w:rPr>
        <w:t xml:space="preserve">session tenue en </w:t>
      </w:r>
      <w:r w:rsidR="006A0BE5" w:rsidRPr="000A6AA6">
        <w:rPr>
          <w:lang w:val="fr-FR"/>
        </w:rPr>
        <w:t>octobre 20</w:t>
      </w:r>
      <w:r w:rsidRPr="000A6AA6">
        <w:rPr>
          <w:lang w:val="fr-FR"/>
        </w:rPr>
        <w:t>15, a adopté la décision suivante (voir le document PCT/A/47/5</w:t>
      </w:r>
      <w:r w:rsidR="00E87329" w:rsidRPr="000A6AA6">
        <w:rPr>
          <w:lang w:val="fr-FR"/>
        </w:rPr>
        <w:t> </w:t>
      </w:r>
      <w:proofErr w:type="spellStart"/>
      <w:r w:rsidRPr="000A6AA6">
        <w:rPr>
          <w:lang w:val="fr-FR"/>
        </w:rPr>
        <w:t>Rev</w:t>
      </w:r>
      <w:proofErr w:type="spellEnd"/>
      <w:r w:rsidRPr="000A6AA6">
        <w:rPr>
          <w:lang w:val="fr-FR"/>
        </w:rPr>
        <w:t>. et le paragraphe</w:t>
      </w:r>
      <w:r w:rsidR="00E87329" w:rsidRPr="000A6AA6">
        <w:rPr>
          <w:lang w:val="fr-FR"/>
        </w:rPr>
        <w:t> </w:t>
      </w:r>
      <w:r w:rsidRPr="000A6AA6">
        <w:rPr>
          <w:lang w:val="fr-FR"/>
        </w:rPr>
        <w:t>23 du rapport sur la session, document PCT/A/47/9)</w:t>
      </w:r>
      <w:r w:rsidR="00E87329" w:rsidRPr="000A6AA6">
        <w:rPr>
          <w:lang w:val="fr-FR"/>
        </w:rPr>
        <w:t> </w:t>
      </w:r>
      <w:r w:rsidR="00A143E8" w:rsidRPr="000A6AA6">
        <w:rPr>
          <w:lang w:val="fr-FR"/>
        </w:rPr>
        <w:t>:</w:t>
      </w:r>
    </w:p>
    <w:p w:rsidR="00A143E8" w:rsidRPr="000A6AA6" w:rsidRDefault="00331945" w:rsidP="00F131E9">
      <w:pPr>
        <w:pStyle w:val="ONUMFS"/>
        <w:numPr>
          <w:ilvl w:val="0"/>
          <w:numId w:val="0"/>
        </w:numPr>
        <w:ind w:left="567"/>
        <w:rPr>
          <w:lang w:val="fr-FR"/>
        </w:rPr>
      </w:pPr>
      <w:r w:rsidRPr="000A6AA6">
        <w:rPr>
          <w:lang w:val="fr-FR"/>
        </w:rPr>
        <w:t>“</w:t>
      </w:r>
      <w:r w:rsidR="00A143E8" w:rsidRPr="000A6AA6">
        <w:rPr>
          <w:lang w:val="fr-FR"/>
        </w:rPr>
        <w:t>23.</w:t>
      </w:r>
      <w:r w:rsidR="00A143E8" w:rsidRPr="000A6AA6">
        <w:rPr>
          <w:lang w:val="fr-FR"/>
        </w:rPr>
        <w:tab/>
      </w:r>
      <w:r w:rsidR="002C1DA4" w:rsidRPr="000A6AA6">
        <w:rPr>
          <w:lang w:val="fr-FR"/>
        </w:rPr>
        <w:t>L</w:t>
      </w:r>
      <w:r w:rsidR="006A0BE5" w:rsidRPr="000A6AA6">
        <w:rPr>
          <w:lang w:val="fr-FR"/>
        </w:rPr>
        <w:t>’</w:t>
      </w:r>
      <w:r w:rsidR="002C1DA4" w:rsidRPr="000A6AA6">
        <w:rPr>
          <w:lang w:val="fr-FR"/>
        </w:rPr>
        <w:t>assemblée</w:t>
      </w:r>
      <w:r w:rsidR="00E87329" w:rsidRPr="000A6AA6">
        <w:rPr>
          <w:lang w:val="fr-FR"/>
        </w:rPr>
        <w:t> </w:t>
      </w:r>
      <w:r w:rsidR="00A143E8" w:rsidRPr="000A6AA6">
        <w:rPr>
          <w:lang w:val="fr-FR"/>
        </w:rPr>
        <w:t>:</w:t>
      </w:r>
    </w:p>
    <w:p w:rsidR="00A143E8" w:rsidRPr="000A6AA6" w:rsidRDefault="00331945" w:rsidP="00F131E9">
      <w:pPr>
        <w:pStyle w:val="ONUMFS"/>
        <w:numPr>
          <w:ilvl w:val="0"/>
          <w:numId w:val="0"/>
        </w:numPr>
        <w:ind w:left="1134"/>
        <w:rPr>
          <w:lang w:val="fr-FR"/>
        </w:rPr>
      </w:pPr>
      <w:r w:rsidRPr="000A6AA6">
        <w:rPr>
          <w:lang w:val="fr-FR"/>
        </w:rPr>
        <w:t>“</w:t>
      </w:r>
      <w:r w:rsidR="00A143E8" w:rsidRPr="000A6AA6">
        <w:rPr>
          <w:lang w:val="fr-FR"/>
        </w:rPr>
        <w:t>i)</w:t>
      </w:r>
      <w:r w:rsidR="00A143E8" w:rsidRPr="000A6AA6">
        <w:rPr>
          <w:lang w:val="fr-FR"/>
        </w:rPr>
        <w:tab/>
      </w:r>
      <w:r w:rsidR="006C31BF" w:rsidRPr="000A6AA6">
        <w:rPr>
          <w:lang w:val="fr-FR"/>
        </w:rPr>
        <w:t>a pris note du contenu du document PCT/A/47/5</w:t>
      </w:r>
      <w:r w:rsidR="00E87329" w:rsidRPr="000A6AA6">
        <w:rPr>
          <w:lang w:val="fr-FR"/>
        </w:rPr>
        <w:t> </w:t>
      </w:r>
      <w:proofErr w:type="spellStart"/>
      <w:r w:rsidR="006C31BF" w:rsidRPr="000A6AA6">
        <w:rPr>
          <w:lang w:val="fr-FR"/>
        </w:rPr>
        <w:t>Rev</w:t>
      </w:r>
      <w:proofErr w:type="spellEnd"/>
      <w:r w:rsidR="006C31BF" w:rsidRPr="000A6AA6">
        <w:rPr>
          <w:lang w:val="fr-FR"/>
        </w:rPr>
        <w:t>.</w:t>
      </w:r>
      <w:r w:rsidR="00A143E8" w:rsidRPr="000A6AA6">
        <w:rPr>
          <w:lang w:val="fr-FR"/>
        </w:rPr>
        <w:t>;</w:t>
      </w:r>
    </w:p>
    <w:p w:rsidR="00A143E8" w:rsidRPr="000A6AA6" w:rsidRDefault="00331945" w:rsidP="00F131E9">
      <w:pPr>
        <w:pStyle w:val="ONUMFS"/>
        <w:numPr>
          <w:ilvl w:val="0"/>
          <w:numId w:val="0"/>
        </w:numPr>
        <w:ind w:left="1134"/>
        <w:rPr>
          <w:lang w:val="fr-FR"/>
        </w:rPr>
      </w:pPr>
      <w:r w:rsidRPr="000A6AA6">
        <w:rPr>
          <w:lang w:val="fr-FR"/>
        </w:rPr>
        <w:t>“</w:t>
      </w:r>
      <w:r w:rsidR="00A143E8" w:rsidRPr="000A6AA6">
        <w:rPr>
          <w:lang w:val="fr-FR"/>
        </w:rPr>
        <w:t>ii)</w:t>
      </w:r>
      <w:r w:rsidR="00A143E8" w:rsidRPr="000A6AA6">
        <w:rPr>
          <w:lang w:val="fr-FR"/>
        </w:rPr>
        <w:tab/>
      </w:r>
      <w:r w:rsidR="002701CB" w:rsidRPr="000A6AA6">
        <w:rPr>
          <w:lang w:val="fr-FR"/>
        </w:rPr>
        <w:t>a invité le Secrétariat à analyser de manière plus approfondie les questions relatives à la mise en œuvre d</w:t>
      </w:r>
      <w:r w:rsidR="006A0BE5" w:rsidRPr="000A6AA6">
        <w:rPr>
          <w:lang w:val="fr-FR"/>
        </w:rPr>
        <w:t>’</w:t>
      </w:r>
      <w:r w:rsidR="002701CB" w:rsidRPr="000A6AA6">
        <w:rPr>
          <w:lang w:val="fr-FR"/>
        </w:rPr>
        <w:t>une stratégie de couverture des risques de change pour les recettes</w:t>
      </w:r>
      <w:r w:rsidR="006A0BE5" w:rsidRPr="000A6AA6">
        <w:rPr>
          <w:lang w:val="fr-FR"/>
        </w:rPr>
        <w:t xml:space="preserve"> du PCT</w:t>
      </w:r>
      <w:r w:rsidR="002701CB" w:rsidRPr="000A6AA6">
        <w:rPr>
          <w:lang w:val="fr-FR"/>
        </w:rPr>
        <w:t xml:space="preserve"> exposées dans le document WO/PBC/24/INF.3</w:t>
      </w:r>
      <w:r w:rsidR="00A143E8" w:rsidRPr="000A6AA6">
        <w:rPr>
          <w:lang w:val="fr-FR"/>
        </w:rPr>
        <w:t>;</w:t>
      </w:r>
    </w:p>
    <w:p w:rsidR="00A143E8" w:rsidRPr="000A6AA6" w:rsidRDefault="00331945" w:rsidP="00F131E9">
      <w:pPr>
        <w:pStyle w:val="ONUMFS"/>
        <w:numPr>
          <w:ilvl w:val="0"/>
          <w:numId w:val="0"/>
        </w:numPr>
        <w:ind w:left="1134"/>
        <w:rPr>
          <w:lang w:val="fr-FR"/>
        </w:rPr>
      </w:pPr>
      <w:r w:rsidRPr="000A6AA6">
        <w:rPr>
          <w:lang w:val="fr-FR"/>
        </w:rPr>
        <w:t>“</w:t>
      </w:r>
      <w:r w:rsidR="00A143E8" w:rsidRPr="000A6AA6">
        <w:rPr>
          <w:lang w:val="fr-FR"/>
        </w:rPr>
        <w:t>iii)</w:t>
      </w:r>
      <w:r w:rsidR="00A143E8" w:rsidRPr="000A6AA6">
        <w:rPr>
          <w:lang w:val="fr-FR"/>
        </w:rPr>
        <w:tab/>
      </w:r>
      <w:r w:rsidR="006F104A" w:rsidRPr="000A6AA6">
        <w:rPr>
          <w:lang w:val="fr-FR"/>
        </w:rPr>
        <w:t>a reporté toute décision sur les propositions de modification des directives de l</w:t>
      </w:r>
      <w:r w:rsidR="006A0BE5" w:rsidRPr="000A6AA6">
        <w:rPr>
          <w:lang w:val="fr-FR"/>
        </w:rPr>
        <w:t>’</w:t>
      </w:r>
      <w:r w:rsidR="006F104A" w:rsidRPr="000A6AA6">
        <w:rPr>
          <w:lang w:val="fr-FR"/>
        </w:rPr>
        <w:t>assemblée concernant l</w:t>
      </w:r>
      <w:r w:rsidR="006A0BE5" w:rsidRPr="000A6AA6">
        <w:rPr>
          <w:lang w:val="fr-FR"/>
        </w:rPr>
        <w:t>’</w:t>
      </w:r>
      <w:r w:rsidR="006F104A" w:rsidRPr="000A6AA6">
        <w:rPr>
          <w:lang w:val="fr-FR"/>
        </w:rPr>
        <w:t>établissement des montants équivalents de certaines taxes arrêtées par le Groupe de travail</w:t>
      </w:r>
      <w:r w:rsidR="006A0BE5" w:rsidRPr="000A6AA6">
        <w:rPr>
          <w:lang w:val="fr-FR"/>
        </w:rPr>
        <w:t xml:space="preserve"> du PCT</w:t>
      </w:r>
      <w:r w:rsidR="006F104A" w:rsidRPr="000A6AA6">
        <w:rPr>
          <w:lang w:val="fr-FR"/>
        </w:rPr>
        <w:t xml:space="preserve"> jusqu</w:t>
      </w:r>
      <w:r w:rsidR="006A0BE5" w:rsidRPr="000A6AA6">
        <w:rPr>
          <w:lang w:val="fr-FR"/>
        </w:rPr>
        <w:t>’</w:t>
      </w:r>
      <w:r w:rsidR="006F104A" w:rsidRPr="000A6AA6">
        <w:rPr>
          <w:lang w:val="fr-FR"/>
        </w:rPr>
        <w:t>à ce qu</w:t>
      </w:r>
      <w:r w:rsidR="006A0BE5" w:rsidRPr="000A6AA6">
        <w:rPr>
          <w:lang w:val="fr-FR"/>
        </w:rPr>
        <w:t>’</w:t>
      </w:r>
      <w:r w:rsidR="006F104A" w:rsidRPr="000A6AA6">
        <w:rPr>
          <w:lang w:val="fr-FR"/>
        </w:rPr>
        <w:t>il ait été procédé à cette analyse</w:t>
      </w:r>
      <w:r w:rsidR="00A143E8" w:rsidRPr="000A6AA6">
        <w:rPr>
          <w:lang w:val="fr-FR"/>
        </w:rPr>
        <w:t xml:space="preserve">;  </w:t>
      </w:r>
      <w:r w:rsidR="006F104A" w:rsidRPr="000A6AA6">
        <w:rPr>
          <w:lang w:val="fr-FR"/>
        </w:rPr>
        <w:t>et</w:t>
      </w:r>
    </w:p>
    <w:p w:rsidR="00A143E8" w:rsidRPr="000A6AA6" w:rsidRDefault="00331945" w:rsidP="00F131E9">
      <w:pPr>
        <w:pStyle w:val="ONUMFS"/>
        <w:numPr>
          <w:ilvl w:val="0"/>
          <w:numId w:val="0"/>
        </w:numPr>
        <w:ind w:left="1134"/>
        <w:rPr>
          <w:lang w:val="fr-FR"/>
        </w:rPr>
      </w:pPr>
      <w:r w:rsidRPr="000A6AA6">
        <w:rPr>
          <w:lang w:val="fr-FR"/>
        </w:rPr>
        <w:t>“</w:t>
      </w:r>
      <w:r w:rsidR="00A143E8" w:rsidRPr="000A6AA6">
        <w:rPr>
          <w:lang w:val="fr-FR"/>
        </w:rPr>
        <w:t>iv)</w:t>
      </w:r>
      <w:r w:rsidR="00A143E8" w:rsidRPr="000A6AA6">
        <w:rPr>
          <w:lang w:val="fr-FR"/>
        </w:rPr>
        <w:tab/>
      </w:r>
      <w:r w:rsidR="006F104A" w:rsidRPr="000A6AA6">
        <w:rPr>
          <w:lang w:val="fr-FR"/>
        </w:rPr>
        <w:t>a invité le Secrétariat à soumettre un rapport sur l</w:t>
      </w:r>
      <w:r w:rsidR="006A0BE5" w:rsidRPr="000A6AA6">
        <w:rPr>
          <w:lang w:val="fr-FR"/>
        </w:rPr>
        <w:t>’</w:t>
      </w:r>
      <w:r w:rsidR="006F104A" w:rsidRPr="000A6AA6">
        <w:rPr>
          <w:lang w:val="fr-FR"/>
        </w:rPr>
        <w:t>état d</w:t>
      </w:r>
      <w:r w:rsidR="006A0BE5" w:rsidRPr="000A6AA6">
        <w:rPr>
          <w:lang w:val="fr-FR"/>
        </w:rPr>
        <w:t>’</w:t>
      </w:r>
      <w:r w:rsidR="006F104A" w:rsidRPr="000A6AA6">
        <w:rPr>
          <w:lang w:val="fr-FR"/>
        </w:rPr>
        <w:t>avancement de cette analyse au Groupe de travail</w:t>
      </w:r>
      <w:r w:rsidR="006A0BE5" w:rsidRPr="000A6AA6">
        <w:rPr>
          <w:lang w:val="fr-FR"/>
        </w:rPr>
        <w:t xml:space="preserve"> du PCT</w:t>
      </w:r>
      <w:r w:rsidR="006F104A" w:rsidRPr="000A6AA6">
        <w:rPr>
          <w:lang w:val="fr-FR"/>
        </w:rPr>
        <w:t xml:space="preserve"> à sa session de</w:t>
      </w:r>
      <w:r w:rsidR="00E87329" w:rsidRPr="000A6AA6">
        <w:rPr>
          <w:lang w:val="fr-FR"/>
        </w:rPr>
        <w:t> </w:t>
      </w:r>
      <w:r w:rsidR="006F104A" w:rsidRPr="000A6AA6">
        <w:rPr>
          <w:lang w:val="fr-FR"/>
        </w:rPr>
        <w:t>2016.</w:t>
      </w:r>
      <w:r w:rsidRPr="000A6AA6">
        <w:rPr>
          <w:lang w:val="fr-FR"/>
        </w:rPr>
        <w:t>”</w:t>
      </w:r>
    </w:p>
    <w:p w:rsidR="00A143E8" w:rsidRPr="000A6AA6" w:rsidRDefault="00F74E40" w:rsidP="00F131E9">
      <w:pPr>
        <w:pStyle w:val="ONUMFS"/>
        <w:rPr>
          <w:lang w:val="fr-FR"/>
        </w:rPr>
      </w:pPr>
      <w:r w:rsidRPr="000A6AA6">
        <w:rPr>
          <w:lang w:val="fr-FR"/>
        </w:rPr>
        <w:t>À sa neuvième</w:t>
      </w:r>
      <w:r w:rsidR="00E87329" w:rsidRPr="000A6AA6">
        <w:rPr>
          <w:lang w:val="fr-FR"/>
        </w:rPr>
        <w:t> </w:t>
      </w:r>
      <w:r w:rsidRPr="000A6AA6">
        <w:rPr>
          <w:lang w:val="fr-FR"/>
        </w:rPr>
        <w:t xml:space="preserve">session, tenue en </w:t>
      </w:r>
      <w:r w:rsidR="006A0BE5" w:rsidRPr="000A6AA6">
        <w:rPr>
          <w:lang w:val="fr-FR"/>
        </w:rPr>
        <w:t>mai 20</w:t>
      </w:r>
      <w:r w:rsidRPr="000A6AA6">
        <w:rPr>
          <w:lang w:val="fr-FR"/>
        </w:rPr>
        <w:t>16, le Groupe de travail</w:t>
      </w:r>
      <w:r w:rsidR="006A0BE5" w:rsidRPr="000A6AA6">
        <w:rPr>
          <w:lang w:val="fr-FR"/>
        </w:rPr>
        <w:t xml:space="preserve"> du PCT</w:t>
      </w:r>
      <w:r w:rsidRPr="000A6AA6">
        <w:rPr>
          <w:lang w:val="fr-FR"/>
        </w:rPr>
        <w:t xml:space="preserve"> a pris </w:t>
      </w:r>
      <w:r w:rsidR="00826A4E" w:rsidRPr="000A6AA6">
        <w:rPr>
          <w:lang w:val="fr-FR"/>
        </w:rPr>
        <w:t>note d</w:t>
      </w:r>
      <w:r w:rsidR="006A0BE5" w:rsidRPr="000A6AA6">
        <w:rPr>
          <w:lang w:val="fr-FR"/>
        </w:rPr>
        <w:t>’</w:t>
      </w:r>
      <w:r w:rsidRPr="000A6AA6">
        <w:rPr>
          <w:lang w:val="fr-FR"/>
        </w:rPr>
        <w:t>un rapport d</w:t>
      </w:r>
      <w:r w:rsidR="006A0BE5" w:rsidRPr="000A6AA6">
        <w:rPr>
          <w:lang w:val="fr-FR"/>
        </w:rPr>
        <w:t>’</w:t>
      </w:r>
      <w:r w:rsidRPr="000A6AA6">
        <w:rPr>
          <w:lang w:val="fr-FR"/>
        </w:rPr>
        <w:t xml:space="preserve">avancement établi par le Secrétariat </w:t>
      </w:r>
      <w:r w:rsidR="00A143E8" w:rsidRPr="000A6AA6">
        <w:rPr>
          <w:lang w:val="fr-FR"/>
        </w:rPr>
        <w:t>(</w:t>
      </w:r>
      <w:r w:rsidR="00734D05" w:rsidRPr="000A6AA6">
        <w:rPr>
          <w:lang w:val="fr-FR"/>
        </w:rPr>
        <w:t xml:space="preserve">document </w:t>
      </w:r>
      <w:r w:rsidR="00A143E8" w:rsidRPr="000A6AA6">
        <w:rPr>
          <w:lang w:val="fr-FR"/>
        </w:rPr>
        <w:t xml:space="preserve">PCT/WG/9/9 </w:t>
      </w:r>
      <w:r w:rsidR="00331945" w:rsidRPr="000A6AA6">
        <w:rPr>
          <w:lang w:val="fr-FR"/>
        </w:rPr>
        <w:t>“</w:t>
      </w:r>
      <w:r w:rsidR="00826A4E" w:rsidRPr="000A6AA6">
        <w:rPr>
          <w:lang w:val="fr-FR"/>
        </w:rPr>
        <w:t>Recettes provenant des taxes</w:t>
      </w:r>
      <w:r w:rsidR="006A0BE5" w:rsidRPr="000A6AA6">
        <w:rPr>
          <w:lang w:val="fr-FR"/>
        </w:rPr>
        <w:t xml:space="preserve"> du PCT</w:t>
      </w:r>
      <w:r w:rsidR="00E87329" w:rsidRPr="000A6AA6">
        <w:rPr>
          <w:lang w:val="fr-FR"/>
        </w:rPr>
        <w:t> </w:t>
      </w:r>
      <w:r w:rsidR="00826A4E" w:rsidRPr="000A6AA6">
        <w:rPr>
          <w:lang w:val="fr-FR"/>
        </w:rPr>
        <w:t>: rapport sur l</w:t>
      </w:r>
      <w:r w:rsidR="006A0BE5" w:rsidRPr="000A6AA6">
        <w:rPr>
          <w:lang w:val="fr-FR"/>
        </w:rPr>
        <w:t>’</w:t>
      </w:r>
      <w:r w:rsidR="00826A4E" w:rsidRPr="000A6AA6">
        <w:rPr>
          <w:lang w:val="fr-FR"/>
        </w:rPr>
        <w:t>état d</w:t>
      </w:r>
      <w:r w:rsidR="006A0BE5" w:rsidRPr="000A6AA6">
        <w:rPr>
          <w:lang w:val="fr-FR"/>
        </w:rPr>
        <w:t>’</w:t>
      </w:r>
      <w:r w:rsidR="00826A4E" w:rsidRPr="000A6AA6">
        <w:rPr>
          <w:lang w:val="fr-FR"/>
        </w:rPr>
        <w:t>avancement de l</w:t>
      </w:r>
      <w:r w:rsidR="006A0BE5" w:rsidRPr="000A6AA6">
        <w:rPr>
          <w:lang w:val="fr-FR"/>
        </w:rPr>
        <w:t>’</w:t>
      </w:r>
      <w:r w:rsidR="00826A4E" w:rsidRPr="000A6AA6">
        <w:rPr>
          <w:lang w:val="fr-FR"/>
        </w:rPr>
        <w:t>analyse des mesures possibles pour réduire l</w:t>
      </w:r>
      <w:r w:rsidR="006A0BE5" w:rsidRPr="000A6AA6">
        <w:rPr>
          <w:lang w:val="fr-FR"/>
        </w:rPr>
        <w:t>’</w:t>
      </w:r>
      <w:r w:rsidR="00826A4E" w:rsidRPr="000A6AA6">
        <w:rPr>
          <w:lang w:val="fr-FR"/>
        </w:rPr>
        <w:t>exposition aux variations de change</w:t>
      </w:r>
      <w:r w:rsidR="00331945" w:rsidRPr="000A6AA6">
        <w:rPr>
          <w:lang w:val="fr-FR"/>
        </w:rPr>
        <w:t>”</w:t>
      </w:r>
      <w:r w:rsidR="000A6AA6">
        <w:rPr>
          <w:lang w:val="fr-FR"/>
        </w:rPr>
        <w:t>)</w:t>
      </w:r>
      <w:r w:rsidR="00214685" w:rsidRPr="000A6AA6">
        <w:rPr>
          <w:lang w:val="fr-FR"/>
        </w:rPr>
        <w:t xml:space="preserve">.  </w:t>
      </w:r>
      <w:r w:rsidR="00826A4E" w:rsidRPr="000A6AA6">
        <w:rPr>
          <w:lang w:val="fr-FR"/>
        </w:rPr>
        <w:t>Ledit rapport d</w:t>
      </w:r>
      <w:r w:rsidR="006A0BE5" w:rsidRPr="000A6AA6">
        <w:rPr>
          <w:lang w:val="fr-FR"/>
        </w:rPr>
        <w:t>’</w:t>
      </w:r>
      <w:r w:rsidR="00826A4E" w:rsidRPr="000A6AA6">
        <w:rPr>
          <w:lang w:val="fr-FR"/>
        </w:rPr>
        <w:t>avancement est reproduit en annexe au présent docume</w:t>
      </w:r>
      <w:r w:rsidR="004C56EE" w:rsidRPr="000A6AA6">
        <w:rPr>
          <w:lang w:val="fr-FR"/>
        </w:rPr>
        <w:t>nt.  Le</w:t>
      </w:r>
      <w:r w:rsidR="00BB42E8" w:rsidRPr="000A6AA6">
        <w:rPr>
          <w:lang w:val="fr-FR"/>
        </w:rPr>
        <w:t xml:space="preserve"> Groupe de travail</w:t>
      </w:r>
      <w:r w:rsidR="006A0BE5" w:rsidRPr="000A6AA6">
        <w:rPr>
          <w:lang w:val="fr-FR"/>
        </w:rPr>
        <w:t xml:space="preserve"> du PCT</w:t>
      </w:r>
      <w:r w:rsidR="00BB42E8" w:rsidRPr="000A6AA6">
        <w:rPr>
          <w:lang w:val="fr-FR"/>
        </w:rPr>
        <w:t xml:space="preserve"> a pris note en outre du contenu d</w:t>
      </w:r>
      <w:r w:rsidR="006A0BE5" w:rsidRPr="000A6AA6">
        <w:rPr>
          <w:lang w:val="fr-FR"/>
        </w:rPr>
        <w:t>’</w:t>
      </w:r>
      <w:r w:rsidR="00BB42E8" w:rsidRPr="000A6AA6">
        <w:rPr>
          <w:lang w:val="fr-FR"/>
        </w:rPr>
        <w:t>un exposé présenté par le Secr</w:t>
      </w:r>
      <w:r w:rsidR="00E603F3" w:rsidRPr="000A6AA6">
        <w:rPr>
          <w:lang w:val="fr-FR"/>
        </w:rPr>
        <w:t xml:space="preserve">étariat, lequel </w:t>
      </w:r>
      <w:r w:rsidR="00BE6CAA" w:rsidRPr="000A6AA6">
        <w:rPr>
          <w:lang w:val="fr-FR"/>
        </w:rPr>
        <w:t xml:space="preserve">formulait en conclusion </w:t>
      </w:r>
      <w:r w:rsidR="00E603F3" w:rsidRPr="000A6AA6">
        <w:rPr>
          <w:lang w:val="fr-FR"/>
        </w:rPr>
        <w:t xml:space="preserve">les observations suivantes concernant </w:t>
      </w:r>
      <w:r w:rsidR="006B5E8F" w:rsidRPr="000A6AA6">
        <w:rPr>
          <w:lang w:val="fr-FR"/>
        </w:rPr>
        <w:t xml:space="preserve">les mesures à prendre en vue de </w:t>
      </w:r>
      <w:r w:rsidR="00E603F3" w:rsidRPr="000A6AA6">
        <w:rPr>
          <w:lang w:val="fr-FR"/>
        </w:rPr>
        <w:t>l</w:t>
      </w:r>
      <w:r w:rsidR="006A0BE5" w:rsidRPr="000A6AA6">
        <w:rPr>
          <w:lang w:val="fr-FR"/>
        </w:rPr>
        <w:t>’</w:t>
      </w:r>
      <w:r w:rsidR="00E603F3" w:rsidRPr="000A6AA6">
        <w:rPr>
          <w:lang w:val="fr-FR"/>
        </w:rPr>
        <w:t>éventuelle mise en œuvre d</w:t>
      </w:r>
      <w:r w:rsidR="006A0BE5" w:rsidRPr="000A6AA6">
        <w:rPr>
          <w:lang w:val="fr-FR"/>
        </w:rPr>
        <w:t>’</w:t>
      </w:r>
      <w:r w:rsidR="00E603F3" w:rsidRPr="000A6AA6">
        <w:rPr>
          <w:lang w:val="fr-FR"/>
        </w:rPr>
        <w:t>une stratégie de couverture des risques de change</w:t>
      </w:r>
      <w:r w:rsidR="006B5E8F" w:rsidRPr="000A6AA6">
        <w:rPr>
          <w:lang w:val="fr-FR"/>
        </w:rPr>
        <w:t> :</w:t>
      </w:r>
    </w:p>
    <w:p w:rsidR="00A143E8" w:rsidRPr="000A6AA6" w:rsidRDefault="00331945" w:rsidP="00F131E9">
      <w:pPr>
        <w:pStyle w:val="ONUMFS"/>
        <w:numPr>
          <w:ilvl w:val="0"/>
          <w:numId w:val="0"/>
        </w:numPr>
        <w:ind w:left="567"/>
        <w:rPr>
          <w:lang w:val="fr-FR"/>
        </w:rPr>
      </w:pPr>
      <w:r w:rsidRPr="000A6AA6">
        <w:rPr>
          <w:lang w:val="fr-FR"/>
        </w:rPr>
        <w:t>“</w:t>
      </w:r>
      <w:r w:rsidR="00BE6CAA" w:rsidRPr="000A6AA6">
        <w:rPr>
          <w:lang w:val="fr-FR"/>
        </w:rPr>
        <w:t xml:space="preserve">Le Bureau international présentera </w:t>
      </w:r>
      <w:r w:rsidR="000332F6" w:rsidRPr="000A6AA6">
        <w:rPr>
          <w:lang w:val="fr-FR"/>
        </w:rPr>
        <w:t xml:space="preserve">des informations </w:t>
      </w:r>
      <w:r w:rsidR="00CC5706" w:rsidRPr="000A6AA6">
        <w:rPr>
          <w:lang w:val="fr-FR"/>
        </w:rPr>
        <w:t xml:space="preserve">supplémentaires </w:t>
      </w:r>
      <w:r w:rsidR="000332F6" w:rsidRPr="000A6AA6">
        <w:rPr>
          <w:lang w:val="fr-FR"/>
        </w:rPr>
        <w:t>à la prochaine session</w:t>
      </w:r>
      <w:r w:rsidR="006A0BE5" w:rsidRPr="000A6AA6">
        <w:rPr>
          <w:lang w:val="fr-FR"/>
        </w:rPr>
        <w:t xml:space="preserve"> du PBC</w:t>
      </w:r>
      <w:r w:rsidR="000332F6" w:rsidRPr="000A6AA6">
        <w:rPr>
          <w:lang w:val="fr-FR"/>
        </w:rPr>
        <w:t xml:space="preserve">, en </w:t>
      </w:r>
      <w:r w:rsidR="006A0BE5" w:rsidRPr="000A6AA6">
        <w:rPr>
          <w:lang w:val="fr-FR"/>
        </w:rPr>
        <w:t>août 20</w:t>
      </w:r>
      <w:r w:rsidR="000332F6" w:rsidRPr="000A6AA6">
        <w:rPr>
          <w:lang w:val="fr-FR"/>
        </w:rPr>
        <w:t>16.</w:t>
      </w:r>
    </w:p>
    <w:p w:rsidR="00A143E8" w:rsidRPr="000A6AA6" w:rsidRDefault="00331945" w:rsidP="00F131E9">
      <w:pPr>
        <w:pStyle w:val="ONUMFS"/>
        <w:numPr>
          <w:ilvl w:val="0"/>
          <w:numId w:val="0"/>
        </w:numPr>
        <w:ind w:left="567"/>
        <w:rPr>
          <w:lang w:val="fr-FR"/>
        </w:rPr>
      </w:pPr>
      <w:r w:rsidRPr="000A6AA6">
        <w:rPr>
          <w:lang w:val="fr-FR"/>
        </w:rPr>
        <w:t>“</w:t>
      </w:r>
      <w:r w:rsidR="000072DB" w:rsidRPr="000A6AA6">
        <w:rPr>
          <w:lang w:val="fr-FR"/>
        </w:rPr>
        <w:t xml:space="preserve">Le Bureau international </w:t>
      </w:r>
      <w:r w:rsidR="00782055" w:rsidRPr="000A6AA6">
        <w:rPr>
          <w:lang w:val="fr-FR"/>
        </w:rPr>
        <w:t>n</w:t>
      </w:r>
      <w:r w:rsidR="006A0BE5" w:rsidRPr="000A6AA6">
        <w:rPr>
          <w:lang w:val="fr-FR"/>
        </w:rPr>
        <w:t>’</w:t>
      </w:r>
      <w:r w:rsidR="00782055" w:rsidRPr="000A6AA6">
        <w:rPr>
          <w:lang w:val="fr-FR"/>
        </w:rPr>
        <w:t>envisage pas</w:t>
      </w:r>
      <w:r w:rsidR="00CC5706" w:rsidRPr="000A6AA6">
        <w:rPr>
          <w:lang w:val="fr-FR"/>
        </w:rPr>
        <w:t xml:space="preserve"> pour l</w:t>
      </w:r>
      <w:r w:rsidR="006A0BE5" w:rsidRPr="000A6AA6">
        <w:rPr>
          <w:lang w:val="fr-FR"/>
        </w:rPr>
        <w:t>’</w:t>
      </w:r>
      <w:r w:rsidR="00CC5706" w:rsidRPr="000A6AA6">
        <w:rPr>
          <w:lang w:val="fr-FR"/>
        </w:rPr>
        <w:t>instant</w:t>
      </w:r>
      <w:r w:rsidR="00782055" w:rsidRPr="000A6AA6">
        <w:rPr>
          <w:lang w:val="fr-FR"/>
        </w:rPr>
        <w:t xml:space="preserve"> </w:t>
      </w:r>
      <w:r w:rsidR="00CC5706" w:rsidRPr="000A6AA6">
        <w:rPr>
          <w:lang w:val="fr-FR"/>
        </w:rPr>
        <w:t>de mettre en œuvre</w:t>
      </w:r>
      <w:r w:rsidR="00782055" w:rsidRPr="000A6AA6">
        <w:rPr>
          <w:lang w:val="fr-FR"/>
        </w:rPr>
        <w:t xml:space="preserve"> la stratégie de couverture par contrats à terme recommandée par la firme de cons</w:t>
      </w:r>
      <w:r w:rsidR="008D0666" w:rsidRPr="000A6AA6">
        <w:rPr>
          <w:lang w:val="fr-FR"/>
        </w:rPr>
        <w:t>eil en trésorerie FTI.</w:t>
      </w:r>
    </w:p>
    <w:p w:rsidR="00A143E8" w:rsidRPr="000A6AA6" w:rsidRDefault="00331945" w:rsidP="00F131E9">
      <w:pPr>
        <w:pStyle w:val="ONUMFS"/>
        <w:numPr>
          <w:ilvl w:val="0"/>
          <w:numId w:val="0"/>
        </w:numPr>
        <w:ind w:left="567"/>
        <w:rPr>
          <w:lang w:val="fr-FR"/>
        </w:rPr>
      </w:pPr>
      <w:r w:rsidRPr="000A6AA6">
        <w:rPr>
          <w:lang w:val="fr-FR"/>
        </w:rPr>
        <w:t>“</w:t>
      </w:r>
      <w:r w:rsidR="008D0666" w:rsidRPr="000A6AA6">
        <w:rPr>
          <w:lang w:val="fr-FR"/>
        </w:rPr>
        <w:t xml:space="preserve">Le Bureau international </w:t>
      </w:r>
      <w:r w:rsidR="00B57B3B" w:rsidRPr="000A6AA6">
        <w:rPr>
          <w:lang w:val="fr-FR"/>
        </w:rPr>
        <w:t>a l</w:t>
      </w:r>
      <w:r w:rsidR="006A0BE5" w:rsidRPr="000A6AA6">
        <w:rPr>
          <w:lang w:val="fr-FR"/>
        </w:rPr>
        <w:t>’</w:t>
      </w:r>
      <w:r w:rsidR="00B57B3B" w:rsidRPr="000A6AA6">
        <w:rPr>
          <w:lang w:val="fr-FR"/>
        </w:rPr>
        <w:t>intention</w:t>
      </w:r>
      <w:r w:rsidR="005D1900" w:rsidRPr="000A6AA6">
        <w:rPr>
          <w:lang w:val="fr-FR"/>
        </w:rPr>
        <w:t xml:space="preserve"> de </w:t>
      </w:r>
      <w:r w:rsidR="00CC5706" w:rsidRPr="000A6AA6">
        <w:rPr>
          <w:lang w:val="fr-FR"/>
        </w:rPr>
        <w:t>continuer à étudier l</w:t>
      </w:r>
      <w:r w:rsidR="005D1900" w:rsidRPr="000A6AA6">
        <w:rPr>
          <w:lang w:val="fr-FR"/>
        </w:rPr>
        <w:t>es stratégies de couverture, afin de déterminer s</w:t>
      </w:r>
      <w:r w:rsidR="006A0BE5" w:rsidRPr="000A6AA6">
        <w:rPr>
          <w:lang w:val="fr-FR"/>
        </w:rPr>
        <w:t>’</w:t>
      </w:r>
      <w:r w:rsidR="005D1900" w:rsidRPr="000A6AA6">
        <w:rPr>
          <w:lang w:val="fr-FR"/>
        </w:rPr>
        <w:t xml:space="preserve">il existe une autre </w:t>
      </w:r>
      <w:r w:rsidR="00743D3D" w:rsidRPr="000A6AA6">
        <w:rPr>
          <w:lang w:val="fr-FR"/>
        </w:rPr>
        <w:t>méthod</w:t>
      </w:r>
      <w:r w:rsidR="005D1900" w:rsidRPr="000A6AA6">
        <w:rPr>
          <w:lang w:val="fr-FR"/>
        </w:rPr>
        <w:t xml:space="preserve">e que celle proposée par la firme de conseil en trésorerie FTI </w:t>
      </w:r>
      <w:r w:rsidR="00743D3D" w:rsidRPr="000A6AA6">
        <w:rPr>
          <w:lang w:val="fr-FR"/>
        </w:rPr>
        <w:t>pour limiter l</w:t>
      </w:r>
      <w:r w:rsidR="006A0BE5" w:rsidRPr="000A6AA6">
        <w:rPr>
          <w:lang w:val="fr-FR"/>
        </w:rPr>
        <w:t>’</w:t>
      </w:r>
      <w:r w:rsidR="00743D3D" w:rsidRPr="000A6AA6">
        <w:rPr>
          <w:lang w:val="fr-FR"/>
        </w:rPr>
        <w:t>exposition de l</w:t>
      </w:r>
      <w:r w:rsidR="006A0BE5" w:rsidRPr="000A6AA6">
        <w:rPr>
          <w:lang w:val="fr-FR"/>
        </w:rPr>
        <w:t>’</w:t>
      </w:r>
      <w:r w:rsidR="00743D3D" w:rsidRPr="000A6AA6">
        <w:rPr>
          <w:lang w:val="fr-FR"/>
        </w:rPr>
        <w:t>OMPI aux fluctuations des taux de change.</w:t>
      </w:r>
      <w:r w:rsidRPr="000A6AA6">
        <w:rPr>
          <w:lang w:val="fr-FR"/>
        </w:rPr>
        <w:t>”</w:t>
      </w:r>
    </w:p>
    <w:p w:rsidR="00A143E8" w:rsidRPr="000A6AA6" w:rsidRDefault="00076249" w:rsidP="00F131E9">
      <w:pPr>
        <w:pStyle w:val="ONUMFS"/>
        <w:rPr>
          <w:lang w:val="fr-FR"/>
        </w:rPr>
      </w:pPr>
      <w:r w:rsidRPr="000A6AA6">
        <w:rPr>
          <w:lang w:val="fr-FR"/>
        </w:rPr>
        <w:t>Le présent document</w:t>
      </w:r>
      <w:r w:rsidR="00CC5706" w:rsidRPr="000A6AA6">
        <w:rPr>
          <w:lang w:val="fr-FR"/>
        </w:rPr>
        <w:t xml:space="preserve"> </w:t>
      </w:r>
      <w:r w:rsidR="004E3271" w:rsidRPr="000A6AA6">
        <w:rPr>
          <w:lang w:val="fr-FR"/>
        </w:rPr>
        <w:t>contient de telles informations supplémentaires, ainsi qu</w:t>
      </w:r>
      <w:r w:rsidR="006A0BE5" w:rsidRPr="000A6AA6">
        <w:rPr>
          <w:lang w:val="fr-FR"/>
        </w:rPr>
        <w:t>’</w:t>
      </w:r>
      <w:r w:rsidR="004E3271" w:rsidRPr="000A6AA6">
        <w:rPr>
          <w:lang w:val="fr-FR"/>
        </w:rPr>
        <w:t>une recommandation</w:t>
      </w:r>
      <w:r w:rsidR="007E146B" w:rsidRPr="000A6AA6">
        <w:rPr>
          <w:lang w:val="fr-FR"/>
        </w:rPr>
        <w:t xml:space="preserve"> </w:t>
      </w:r>
      <w:r w:rsidR="00E71877" w:rsidRPr="000A6AA6">
        <w:rPr>
          <w:lang w:val="fr-FR"/>
        </w:rPr>
        <w:t xml:space="preserve">concernant une manière possible de procéder </w:t>
      </w:r>
      <w:r w:rsidR="00122E16" w:rsidRPr="000A6AA6">
        <w:rPr>
          <w:lang w:val="fr-FR"/>
        </w:rPr>
        <w:t>pour</w:t>
      </w:r>
      <w:r w:rsidR="001D1CC3" w:rsidRPr="000A6AA6">
        <w:rPr>
          <w:lang w:val="fr-FR"/>
        </w:rPr>
        <w:t xml:space="preserve"> l</w:t>
      </w:r>
      <w:r w:rsidR="006A0BE5" w:rsidRPr="000A6AA6">
        <w:rPr>
          <w:lang w:val="fr-FR"/>
        </w:rPr>
        <w:t>’</w:t>
      </w:r>
      <w:r w:rsidR="001D1CC3" w:rsidRPr="000A6AA6">
        <w:rPr>
          <w:lang w:val="fr-FR"/>
        </w:rPr>
        <w:t>avenir.</w:t>
      </w:r>
    </w:p>
    <w:p w:rsidR="00F131E9" w:rsidRDefault="00F131E9" w:rsidP="00F131E9">
      <w:pPr>
        <w:pStyle w:val="Heading1"/>
        <w:rPr>
          <w:lang w:val="fr-FR"/>
        </w:rPr>
      </w:pPr>
      <w:r>
        <w:rPr>
          <w:lang w:val="fr-FR"/>
        </w:rPr>
        <w:t>M</w:t>
      </w:r>
      <w:r w:rsidRPr="000A6AA6">
        <w:rPr>
          <w:lang w:val="fr-FR"/>
        </w:rPr>
        <w:t xml:space="preserve">esures prises par le </w:t>
      </w:r>
      <w:r>
        <w:rPr>
          <w:lang w:val="fr-FR"/>
        </w:rPr>
        <w:t>S</w:t>
      </w:r>
      <w:r w:rsidRPr="000A6AA6">
        <w:rPr>
          <w:lang w:val="fr-FR"/>
        </w:rPr>
        <w:t>ecrétariat à ce jour</w:t>
      </w:r>
    </w:p>
    <w:p w:rsidR="00F131E9" w:rsidRPr="00F131E9" w:rsidRDefault="00F131E9" w:rsidP="00F131E9">
      <w:pPr>
        <w:rPr>
          <w:lang w:val="fr-FR"/>
        </w:rPr>
      </w:pPr>
    </w:p>
    <w:p w:rsidR="005D1415" w:rsidRPr="000A6AA6" w:rsidRDefault="00F434A3" w:rsidP="00F131E9">
      <w:pPr>
        <w:pStyle w:val="ONUMFS"/>
        <w:rPr>
          <w:lang w:val="fr-FR"/>
        </w:rPr>
      </w:pPr>
      <w:r w:rsidRPr="000A6AA6">
        <w:rPr>
          <w:lang w:val="fr-FR"/>
        </w:rPr>
        <w:t xml:space="preserve">Le Secrétariat a réuni les informations en matière de flux de trésorerie </w:t>
      </w:r>
      <w:r w:rsidR="00646A40" w:rsidRPr="000A6AA6">
        <w:rPr>
          <w:lang w:val="fr-FR"/>
        </w:rPr>
        <w:t xml:space="preserve">qui étaient </w:t>
      </w:r>
      <w:r w:rsidRPr="000A6AA6">
        <w:rPr>
          <w:lang w:val="fr-FR"/>
        </w:rPr>
        <w:t xml:space="preserve">nécessaires </w:t>
      </w:r>
      <w:r w:rsidR="000C18FC" w:rsidRPr="000A6AA6">
        <w:rPr>
          <w:lang w:val="fr-FR"/>
        </w:rPr>
        <w:t>à la détermination des risques et avantages inhérents à la mise en œuvre de la stratégie de couverture propos</w:t>
      </w:r>
      <w:r w:rsidR="004C56EE" w:rsidRPr="000A6AA6">
        <w:rPr>
          <w:lang w:val="fr-FR"/>
        </w:rPr>
        <w:t>ée.  So</w:t>
      </w:r>
      <w:r w:rsidR="00646A40" w:rsidRPr="000A6AA6">
        <w:rPr>
          <w:lang w:val="fr-FR"/>
        </w:rPr>
        <w:t>n analyse s</w:t>
      </w:r>
      <w:r w:rsidR="006A0BE5" w:rsidRPr="000A6AA6">
        <w:rPr>
          <w:lang w:val="fr-FR"/>
        </w:rPr>
        <w:t>’</w:t>
      </w:r>
      <w:r w:rsidR="00646A40" w:rsidRPr="000A6AA6">
        <w:rPr>
          <w:lang w:val="fr-FR"/>
        </w:rPr>
        <w:t xml:space="preserve">est attachée à reconstruire en détail les flux de trésorerie dans chaque </w:t>
      </w:r>
      <w:r w:rsidR="00BC32E7" w:rsidRPr="000A6AA6">
        <w:rPr>
          <w:lang w:val="fr-FR"/>
        </w:rPr>
        <w:t>monnaie</w:t>
      </w:r>
      <w:r w:rsidR="000A6294" w:rsidRPr="000A6AA6">
        <w:rPr>
          <w:lang w:val="fr-FR"/>
        </w:rPr>
        <w:t xml:space="preserve"> au cours de la période comprise entre le</w:t>
      </w:r>
      <w:r w:rsidR="006A0BE5" w:rsidRPr="000A6AA6">
        <w:rPr>
          <w:lang w:val="fr-FR"/>
        </w:rPr>
        <w:t xml:space="preserve"> 1</w:t>
      </w:r>
      <w:r w:rsidR="006A0BE5" w:rsidRPr="000A6AA6">
        <w:rPr>
          <w:vertAlign w:val="superscript"/>
          <w:lang w:val="fr-FR"/>
        </w:rPr>
        <w:t>er</w:t>
      </w:r>
      <w:r w:rsidR="006A0BE5" w:rsidRPr="000A6AA6">
        <w:rPr>
          <w:lang w:val="fr-FR"/>
        </w:rPr>
        <w:t> janvier 20</w:t>
      </w:r>
      <w:r w:rsidR="000A6294" w:rsidRPr="000A6AA6">
        <w:rPr>
          <w:lang w:val="fr-FR"/>
        </w:rPr>
        <w:t>15 et le 3</w:t>
      </w:r>
      <w:r w:rsidR="006A0BE5" w:rsidRPr="000A6AA6">
        <w:rPr>
          <w:lang w:val="fr-FR"/>
        </w:rPr>
        <w:t>1 mai 20</w:t>
      </w:r>
      <w:r w:rsidR="000A6294" w:rsidRPr="000A6AA6">
        <w:rPr>
          <w:lang w:val="fr-FR"/>
        </w:rPr>
        <w:t xml:space="preserve">16, </w:t>
      </w:r>
      <w:r w:rsidR="00DE77A9" w:rsidRPr="000A6AA6">
        <w:rPr>
          <w:lang w:val="fr-FR"/>
        </w:rPr>
        <w:t>afin de pouvoir procéder à une comparaison des montants nets disponibles en dollars</w:t>
      </w:r>
      <w:r w:rsidR="00E87329" w:rsidRPr="000A6AA6">
        <w:rPr>
          <w:lang w:val="fr-FR"/>
        </w:rPr>
        <w:t> </w:t>
      </w:r>
      <w:r w:rsidR="00DE77A9" w:rsidRPr="000A6AA6">
        <w:rPr>
          <w:lang w:val="fr-FR"/>
        </w:rPr>
        <w:t>É.</w:t>
      </w:r>
      <w:r w:rsidR="004C56EE" w:rsidRPr="000A6AA6">
        <w:rPr>
          <w:lang w:val="fr-FR"/>
        </w:rPr>
        <w:noBreakHyphen/>
      </w:r>
      <w:r w:rsidR="00DE77A9" w:rsidRPr="000A6AA6">
        <w:rPr>
          <w:lang w:val="fr-FR"/>
        </w:rPr>
        <w:t xml:space="preserve">U., euros et </w:t>
      </w:r>
      <w:r w:rsidR="000845D2" w:rsidRPr="000A6AA6">
        <w:rPr>
          <w:lang w:val="fr-FR"/>
        </w:rPr>
        <w:t>yens</w:t>
      </w:r>
      <w:r w:rsidR="00DE77A9" w:rsidRPr="000A6AA6">
        <w:rPr>
          <w:lang w:val="fr-FR"/>
        </w:rPr>
        <w:t xml:space="preserve"> pour acheter des contrats à terme dans les limites proposées par la firme de conseil</w:t>
      </w:r>
      <w:r w:rsidR="00BA2D1B" w:rsidRPr="000A6AA6">
        <w:rPr>
          <w:lang w:val="fr-FR"/>
        </w:rPr>
        <w:t xml:space="preserve"> et rappelées au paragraphe</w:t>
      </w:r>
      <w:r w:rsidR="00E87329" w:rsidRPr="000A6AA6">
        <w:rPr>
          <w:lang w:val="fr-FR"/>
        </w:rPr>
        <w:t> </w:t>
      </w:r>
      <w:r w:rsidR="00BA2D1B" w:rsidRPr="000A6AA6">
        <w:rPr>
          <w:lang w:val="fr-FR"/>
        </w:rPr>
        <w:t>4 ci</w:t>
      </w:r>
      <w:r w:rsidR="004C56EE" w:rsidRPr="000A6AA6">
        <w:rPr>
          <w:lang w:val="fr-FR"/>
        </w:rPr>
        <w:noBreakHyphen/>
      </w:r>
      <w:r w:rsidR="00BA2D1B" w:rsidRPr="000A6AA6">
        <w:rPr>
          <w:lang w:val="fr-FR"/>
        </w:rPr>
        <w:t>dess</w:t>
      </w:r>
      <w:r w:rsidR="004C56EE" w:rsidRPr="000A6AA6">
        <w:rPr>
          <w:lang w:val="fr-FR"/>
        </w:rPr>
        <w:t>us.  Le</w:t>
      </w:r>
      <w:r w:rsidR="003E3DED" w:rsidRPr="000A6AA6">
        <w:rPr>
          <w:lang w:val="fr-FR"/>
        </w:rPr>
        <w:t>s rapports de flux de trésorerie ont été élaborés à partir des informations contenues dans le système comptable A</w:t>
      </w:r>
      <w:r w:rsidR="004C56EE" w:rsidRPr="000A6AA6">
        <w:rPr>
          <w:lang w:val="fr-FR"/>
        </w:rPr>
        <w:t>IMS.  Le</w:t>
      </w:r>
      <w:r w:rsidR="003E3DED" w:rsidRPr="000A6AA6">
        <w:rPr>
          <w:lang w:val="fr-FR"/>
        </w:rPr>
        <w:t xml:space="preserve">s </w:t>
      </w:r>
      <w:r w:rsidR="003E3DED" w:rsidRPr="000A6AA6">
        <w:rPr>
          <w:lang w:val="fr-FR"/>
        </w:rPr>
        <w:lastRenderedPageBreak/>
        <w:t xml:space="preserve">montants nets </w:t>
      </w:r>
      <w:r w:rsidR="00EB0EFB" w:rsidRPr="000A6AA6">
        <w:rPr>
          <w:lang w:val="fr-FR"/>
        </w:rPr>
        <w:t xml:space="preserve">qui auraient été </w:t>
      </w:r>
      <w:r w:rsidR="003E3DED" w:rsidRPr="000A6AA6">
        <w:rPr>
          <w:lang w:val="fr-FR"/>
        </w:rPr>
        <w:t>disponibles dans chacune des trois</w:t>
      </w:r>
      <w:r w:rsidR="00E87329" w:rsidRPr="000A6AA6">
        <w:rPr>
          <w:lang w:val="fr-FR"/>
        </w:rPr>
        <w:t> </w:t>
      </w:r>
      <w:r w:rsidR="00BC32E7" w:rsidRPr="000A6AA6">
        <w:rPr>
          <w:lang w:val="fr-FR"/>
        </w:rPr>
        <w:t>monnaie</w:t>
      </w:r>
      <w:r w:rsidR="003E3DED" w:rsidRPr="000A6AA6">
        <w:rPr>
          <w:lang w:val="fr-FR"/>
        </w:rPr>
        <w:t xml:space="preserve">s </w:t>
      </w:r>
      <w:r w:rsidR="00EB0EFB" w:rsidRPr="000A6AA6">
        <w:rPr>
          <w:lang w:val="fr-FR"/>
        </w:rPr>
        <w:t>ont été déterminés de la manière exposée dans les paragraphes suivants.</w:t>
      </w:r>
    </w:p>
    <w:p w:rsidR="00F131E9" w:rsidRDefault="00F131E9" w:rsidP="00F131E9">
      <w:pPr>
        <w:pStyle w:val="Heading2"/>
        <w:rPr>
          <w:lang w:val="fr-FR"/>
        </w:rPr>
      </w:pPr>
      <w:r w:rsidRPr="000A6AA6">
        <w:rPr>
          <w:lang w:val="fr-FR"/>
        </w:rPr>
        <w:t xml:space="preserve">Dollars </w:t>
      </w:r>
      <w:r>
        <w:rPr>
          <w:lang w:val="fr-FR"/>
        </w:rPr>
        <w:t>É</w:t>
      </w:r>
      <w:r w:rsidRPr="000A6AA6">
        <w:rPr>
          <w:lang w:val="fr-FR"/>
        </w:rPr>
        <w:t>.</w:t>
      </w:r>
      <w:r w:rsidRPr="000A6AA6">
        <w:rPr>
          <w:lang w:val="fr-FR"/>
        </w:rPr>
        <w:noBreakHyphen/>
      </w:r>
      <w:r>
        <w:rPr>
          <w:lang w:val="fr-FR"/>
        </w:rPr>
        <w:t>U</w:t>
      </w:r>
      <w:r w:rsidRPr="000A6AA6">
        <w:rPr>
          <w:lang w:val="fr-FR"/>
        </w:rPr>
        <w:t>. (</w:t>
      </w:r>
      <w:r>
        <w:rPr>
          <w:lang w:val="fr-FR"/>
        </w:rPr>
        <w:t>USD</w:t>
      </w:r>
      <w:r w:rsidRPr="000A6AA6">
        <w:rPr>
          <w:lang w:val="fr-FR"/>
        </w:rPr>
        <w:t>)</w:t>
      </w:r>
    </w:p>
    <w:p w:rsidR="00F131E9" w:rsidRDefault="00F131E9" w:rsidP="00F131E9">
      <w:pPr>
        <w:rPr>
          <w:lang w:val="fr-FR"/>
        </w:rPr>
      </w:pPr>
    </w:p>
    <w:p w:rsidR="00AA2EC7" w:rsidRPr="000A6AA6" w:rsidRDefault="0016472D" w:rsidP="00F131E9">
      <w:pPr>
        <w:pStyle w:val="ONUMFS"/>
        <w:rPr>
          <w:lang w:val="fr-FR"/>
        </w:rPr>
      </w:pPr>
      <w:r w:rsidRPr="000A6AA6">
        <w:rPr>
          <w:lang w:val="fr-FR"/>
        </w:rPr>
        <w:t>L</w:t>
      </w:r>
      <w:r w:rsidR="006A0BE5" w:rsidRPr="000A6AA6">
        <w:rPr>
          <w:lang w:val="fr-FR"/>
        </w:rPr>
        <w:t>’</w:t>
      </w:r>
      <w:r w:rsidRPr="000A6AA6">
        <w:rPr>
          <w:lang w:val="fr-FR"/>
        </w:rPr>
        <w:t>analyse des flux de trésorerie réels en dollars</w:t>
      </w:r>
      <w:r w:rsidR="00E87329" w:rsidRPr="000A6AA6">
        <w:rPr>
          <w:lang w:val="fr-FR"/>
        </w:rPr>
        <w:t> </w:t>
      </w:r>
      <w:r w:rsidRPr="000A6AA6">
        <w:rPr>
          <w:lang w:val="fr-FR"/>
        </w:rPr>
        <w:t>É.</w:t>
      </w:r>
      <w:r w:rsidR="004C56EE" w:rsidRPr="000A6AA6">
        <w:rPr>
          <w:lang w:val="fr-FR"/>
        </w:rPr>
        <w:noBreakHyphen/>
      </w:r>
      <w:r w:rsidRPr="000A6AA6">
        <w:rPr>
          <w:lang w:val="fr-FR"/>
        </w:rPr>
        <w:t>U. de l</w:t>
      </w:r>
      <w:r w:rsidR="006A0BE5" w:rsidRPr="000A6AA6">
        <w:rPr>
          <w:lang w:val="fr-FR"/>
        </w:rPr>
        <w:t>’</w:t>
      </w:r>
      <w:r w:rsidRPr="000A6AA6">
        <w:rPr>
          <w:lang w:val="fr-FR"/>
        </w:rPr>
        <w:t>OMPI pour</w:t>
      </w:r>
      <w:r w:rsidR="00E87329" w:rsidRPr="000A6AA6">
        <w:rPr>
          <w:lang w:val="fr-FR"/>
        </w:rPr>
        <w:t> </w:t>
      </w:r>
      <w:r w:rsidRPr="000A6AA6">
        <w:rPr>
          <w:lang w:val="fr-FR"/>
        </w:rPr>
        <w:t>2015 et jusqu</w:t>
      </w:r>
      <w:r w:rsidR="006A0BE5" w:rsidRPr="000A6AA6">
        <w:rPr>
          <w:lang w:val="fr-FR"/>
        </w:rPr>
        <w:t>’</w:t>
      </w:r>
      <w:r w:rsidRPr="000A6AA6">
        <w:rPr>
          <w:lang w:val="fr-FR"/>
        </w:rPr>
        <w:t>au 3</w:t>
      </w:r>
      <w:r w:rsidR="006A0BE5" w:rsidRPr="000A6AA6">
        <w:rPr>
          <w:lang w:val="fr-FR"/>
        </w:rPr>
        <w:t>1 mai 20</w:t>
      </w:r>
      <w:r w:rsidRPr="000A6AA6">
        <w:rPr>
          <w:lang w:val="fr-FR"/>
        </w:rPr>
        <w:t xml:space="preserve">16 révèle que la quantité de dollars disponible pour acheter des contrats à terme était nettement </w:t>
      </w:r>
      <w:r w:rsidR="00A439E2" w:rsidRPr="000A6AA6">
        <w:rPr>
          <w:lang w:val="fr-FR"/>
        </w:rPr>
        <w:t xml:space="preserve">inférieure à </w:t>
      </w:r>
      <w:r w:rsidR="00C36D41" w:rsidRPr="000A6AA6">
        <w:rPr>
          <w:lang w:val="fr-FR"/>
        </w:rPr>
        <w:t>l</w:t>
      </w:r>
      <w:r w:rsidR="006A0BE5" w:rsidRPr="000A6AA6">
        <w:rPr>
          <w:lang w:val="fr-FR"/>
        </w:rPr>
        <w:t>’</w:t>
      </w:r>
      <w:r w:rsidR="00C36D41" w:rsidRPr="000A6AA6">
        <w:rPr>
          <w:lang w:val="fr-FR"/>
        </w:rPr>
        <w:t>estimation initia</w:t>
      </w:r>
      <w:r w:rsidR="004C56EE" w:rsidRPr="000A6AA6">
        <w:rPr>
          <w:lang w:val="fr-FR"/>
        </w:rPr>
        <w:t>le.  Un</w:t>
      </w:r>
      <w:r w:rsidR="00D461B3" w:rsidRPr="000A6AA6">
        <w:rPr>
          <w:lang w:val="fr-FR"/>
        </w:rPr>
        <w:t xml:space="preserve"> document présenté</w:t>
      </w:r>
      <w:r w:rsidR="006A0BE5" w:rsidRPr="000A6AA6">
        <w:rPr>
          <w:lang w:val="fr-FR"/>
        </w:rPr>
        <w:t xml:space="preserve"> au PBC</w:t>
      </w:r>
      <w:r w:rsidR="00D461B3" w:rsidRPr="000A6AA6">
        <w:rPr>
          <w:lang w:val="fr-FR"/>
        </w:rPr>
        <w:t xml:space="preserve"> en</w:t>
      </w:r>
      <w:r w:rsidR="00E87329" w:rsidRPr="000A6AA6">
        <w:rPr>
          <w:lang w:val="fr-FR"/>
        </w:rPr>
        <w:t> </w:t>
      </w:r>
      <w:r w:rsidR="00D461B3" w:rsidRPr="000A6AA6">
        <w:rPr>
          <w:lang w:val="fr-FR"/>
        </w:rPr>
        <w:t>2015 pour faire le point sur la stratégie de couverture des risques</w:t>
      </w:r>
      <w:r w:rsidR="006A0BE5" w:rsidRPr="000A6AA6">
        <w:rPr>
          <w:lang w:val="fr-FR"/>
        </w:rPr>
        <w:t xml:space="preserve"> du PCT</w:t>
      </w:r>
      <w:r w:rsidR="00D461B3" w:rsidRPr="000A6AA6">
        <w:rPr>
          <w:lang w:val="fr-FR"/>
        </w:rPr>
        <w:t xml:space="preserve"> estimait en effet</w:t>
      </w:r>
      <w:r w:rsidR="00FB6B54" w:rsidRPr="000A6AA6">
        <w:rPr>
          <w:lang w:val="fr-FR"/>
        </w:rPr>
        <w:t>,</w:t>
      </w:r>
      <w:r w:rsidR="006B3002" w:rsidRPr="000A6AA6">
        <w:rPr>
          <w:lang w:val="fr-FR"/>
        </w:rPr>
        <w:t xml:space="preserve"> sur la base des données de</w:t>
      </w:r>
      <w:r w:rsidR="00E87329" w:rsidRPr="000A6AA6">
        <w:rPr>
          <w:lang w:val="fr-FR"/>
        </w:rPr>
        <w:t> </w:t>
      </w:r>
      <w:r w:rsidR="006B3002" w:rsidRPr="000A6AA6">
        <w:rPr>
          <w:lang w:val="fr-FR"/>
        </w:rPr>
        <w:t>2014 et de la première moitié de</w:t>
      </w:r>
      <w:r w:rsidR="00E87329" w:rsidRPr="000A6AA6">
        <w:rPr>
          <w:lang w:val="fr-FR"/>
        </w:rPr>
        <w:t> </w:t>
      </w:r>
      <w:r w:rsidR="006B3002" w:rsidRPr="000A6AA6">
        <w:rPr>
          <w:lang w:val="fr-FR"/>
        </w:rPr>
        <w:t>2015</w:t>
      </w:r>
      <w:r w:rsidR="00FB6B54" w:rsidRPr="000A6AA6">
        <w:rPr>
          <w:lang w:val="fr-FR"/>
        </w:rPr>
        <w:t>, que 45% des recettes</w:t>
      </w:r>
      <w:r w:rsidR="006A0BE5" w:rsidRPr="000A6AA6">
        <w:rPr>
          <w:lang w:val="fr-FR"/>
        </w:rPr>
        <w:t xml:space="preserve"> du PCT</w:t>
      </w:r>
      <w:r w:rsidR="00FB6B54" w:rsidRPr="000A6AA6">
        <w:rPr>
          <w:lang w:val="fr-FR"/>
        </w:rPr>
        <w:t xml:space="preserve"> perçues</w:t>
      </w:r>
      <w:r w:rsidR="006B3002" w:rsidRPr="000A6AA6">
        <w:rPr>
          <w:lang w:val="fr-FR"/>
        </w:rPr>
        <w:t xml:space="preserve"> </w:t>
      </w:r>
      <w:r w:rsidR="00FB6B54" w:rsidRPr="000A6AA6">
        <w:rPr>
          <w:lang w:val="fr-FR"/>
        </w:rPr>
        <w:t>en dollars</w:t>
      </w:r>
      <w:r w:rsidR="00E87329" w:rsidRPr="000A6AA6">
        <w:rPr>
          <w:lang w:val="fr-FR"/>
        </w:rPr>
        <w:t> </w:t>
      </w:r>
      <w:r w:rsidR="00FB6B54" w:rsidRPr="000A6AA6">
        <w:rPr>
          <w:lang w:val="fr-FR"/>
        </w:rPr>
        <w:t>É.</w:t>
      </w:r>
      <w:r w:rsidR="004C56EE" w:rsidRPr="000A6AA6">
        <w:rPr>
          <w:lang w:val="fr-FR"/>
        </w:rPr>
        <w:noBreakHyphen/>
      </w:r>
      <w:r w:rsidR="00FB6B54" w:rsidRPr="000A6AA6">
        <w:rPr>
          <w:lang w:val="fr-FR"/>
        </w:rPr>
        <w:t xml:space="preserve">U. seraient nécessaires </w:t>
      </w:r>
      <w:r w:rsidR="006C1AC6" w:rsidRPr="000A6AA6">
        <w:rPr>
          <w:lang w:val="fr-FR"/>
        </w:rPr>
        <w:t>à l</w:t>
      </w:r>
      <w:r w:rsidR="006A0BE5" w:rsidRPr="000A6AA6">
        <w:rPr>
          <w:lang w:val="fr-FR"/>
        </w:rPr>
        <w:t>’</w:t>
      </w:r>
      <w:r w:rsidR="006C1AC6" w:rsidRPr="000A6AA6">
        <w:rPr>
          <w:lang w:val="fr-FR"/>
        </w:rPr>
        <w:t xml:space="preserve">OMPI </w:t>
      </w:r>
      <w:r w:rsidR="00FB6B54" w:rsidRPr="000A6AA6">
        <w:rPr>
          <w:lang w:val="fr-FR"/>
        </w:rPr>
        <w:t xml:space="preserve">pour </w:t>
      </w:r>
      <w:r w:rsidR="006C1AC6" w:rsidRPr="000A6AA6">
        <w:rPr>
          <w:lang w:val="fr-FR"/>
        </w:rPr>
        <w:t>s</w:t>
      </w:r>
      <w:r w:rsidR="006A0BE5" w:rsidRPr="000A6AA6">
        <w:rPr>
          <w:lang w:val="fr-FR"/>
        </w:rPr>
        <w:t>’</w:t>
      </w:r>
      <w:r w:rsidR="006C1AC6" w:rsidRPr="000A6AA6">
        <w:rPr>
          <w:lang w:val="fr-FR"/>
        </w:rPr>
        <w:t xml:space="preserve">acquitter de ses obligations </w:t>
      </w:r>
      <w:r w:rsidR="005D77AA" w:rsidRPr="000A6AA6">
        <w:rPr>
          <w:lang w:val="fr-FR"/>
        </w:rPr>
        <w:t>de paiement</w:t>
      </w:r>
      <w:r w:rsidR="006C1AC6" w:rsidRPr="000A6AA6">
        <w:rPr>
          <w:lang w:val="fr-FR"/>
        </w:rPr>
        <w:t xml:space="preserve"> dans cette monnaie</w:t>
      </w:r>
      <w:r w:rsidR="00A439E2" w:rsidRPr="000A6AA6">
        <w:rPr>
          <w:lang w:val="fr-FR"/>
        </w:rPr>
        <w:t xml:space="preserve"> </w:t>
      </w:r>
      <w:r w:rsidR="00663E6A" w:rsidRPr="000A6AA6">
        <w:rPr>
          <w:lang w:val="fr-FR"/>
        </w:rPr>
        <w:t>(document WO/PBC/24/INF.3, paragraphe</w:t>
      </w:r>
      <w:r w:rsidR="00E87329" w:rsidRPr="000A6AA6">
        <w:rPr>
          <w:lang w:val="fr-FR"/>
        </w:rPr>
        <w:t> </w:t>
      </w:r>
      <w:r w:rsidR="00663E6A" w:rsidRPr="000A6AA6">
        <w:rPr>
          <w:lang w:val="fr-FR"/>
        </w:rPr>
        <w:t>12)</w:t>
      </w:r>
      <w:r w:rsidR="006C1AC6" w:rsidRPr="000A6AA6">
        <w:rPr>
          <w:lang w:val="fr-FR"/>
        </w:rPr>
        <w:t xml:space="preserve">.  </w:t>
      </w:r>
      <w:r w:rsidR="00881008" w:rsidRPr="000A6AA6">
        <w:rPr>
          <w:lang w:val="fr-FR"/>
        </w:rPr>
        <w:t xml:space="preserve">Étaient compris dans ces obligations les cotisations à la caisse des pensions des </w:t>
      </w:r>
      <w:r w:rsidR="006A0BE5" w:rsidRPr="000A6AA6">
        <w:rPr>
          <w:lang w:val="fr-FR"/>
        </w:rPr>
        <w:t>Nations Unies</w:t>
      </w:r>
      <w:r w:rsidR="00881008" w:rsidRPr="000A6AA6">
        <w:rPr>
          <w:lang w:val="fr-FR"/>
        </w:rPr>
        <w:t xml:space="preserve">, </w:t>
      </w:r>
      <w:r w:rsidR="005D13B0" w:rsidRPr="000A6AA6">
        <w:rPr>
          <w:lang w:val="fr-FR"/>
        </w:rPr>
        <w:t>le coût des services fournis par</w:t>
      </w:r>
      <w:r w:rsidR="006A0BE5" w:rsidRPr="000A6AA6">
        <w:rPr>
          <w:lang w:val="fr-FR"/>
        </w:rPr>
        <w:t xml:space="preserve"> le PNU</w:t>
      </w:r>
      <w:r w:rsidR="005D13B0" w:rsidRPr="000A6AA6">
        <w:rPr>
          <w:lang w:val="fr-FR"/>
        </w:rPr>
        <w:t>D, le remboursement des frais de voyage, les services du Centre international de calcul et d</w:t>
      </w:r>
      <w:r w:rsidR="006A0BE5" w:rsidRPr="000A6AA6">
        <w:rPr>
          <w:lang w:val="fr-FR"/>
        </w:rPr>
        <w:t>’</w:t>
      </w:r>
      <w:r w:rsidR="005D13B0" w:rsidRPr="000A6AA6">
        <w:rPr>
          <w:lang w:val="fr-FR"/>
        </w:rPr>
        <w:t xml:space="preserve">autres frais, ce qui laissait 55% </w:t>
      </w:r>
      <w:r w:rsidR="00FA7679" w:rsidRPr="000A6AA6">
        <w:rPr>
          <w:lang w:val="fr-FR"/>
        </w:rPr>
        <w:t>pour l</w:t>
      </w:r>
      <w:r w:rsidR="006A0BE5" w:rsidRPr="000A6AA6">
        <w:rPr>
          <w:lang w:val="fr-FR"/>
        </w:rPr>
        <w:t>’</w:t>
      </w:r>
      <w:r w:rsidR="00FA7679" w:rsidRPr="000A6AA6">
        <w:rPr>
          <w:lang w:val="fr-FR"/>
        </w:rPr>
        <w:t>achat de contrats à terme.</w:t>
      </w:r>
    </w:p>
    <w:p w:rsidR="00AA2EC7" w:rsidRPr="000A6AA6" w:rsidRDefault="00F114F7" w:rsidP="00F131E9">
      <w:pPr>
        <w:pStyle w:val="ONUMFS"/>
        <w:rPr>
          <w:szCs w:val="22"/>
          <w:lang w:val="fr-FR"/>
        </w:rPr>
      </w:pPr>
      <w:r w:rsidRPr="000A6AA6">
        <w:rPr>
          <w:lang w:val="fr-FR"/>
        </w:rPr>
        <w:t>C</w:t>
      </w:r>
      <w:r w:rsidR="006A0BE5" w:rsidRPr="000A6AA6">
        <w:rPr>
          <w:lang w:val="fr-FR"/>
        </w:rPr>
        <w:t>’</w:t>
      </w:r>
      <w:r w:rsidRPr="000A6AA6">
        <w:rPr>
          <w:lang w:val="fr-FR"/>
        </w:rPr>
        <w:t>est en fait de 63,2% des recettes</w:t>
      </w:r>
      <w:r w:rsidR="006A0BE5" w:rsidRPr="000A6AA6">
        <w:rPr>
          <w:lang w:val="fr-FR"/>
        </w:rPr>
        <w:t xml:space="preserve"> du PCT</w:t>
      </w:r>
      <w:r w:rsidRPr="000A6AA6">
        <w:rPr>
          <w:lang w:val="fr-FR"/>
        </w:rPr>
        <w:t xml:space="preserve"> perçues en dollars</w:t>
      </w:r>
      <w:r w:rsidR="00E87329" w:rsidRPr="000A6AA6">
        <w:rPr>
          <w:lang w:val="fr-FR"/>
        </w:rPr>
        <w:t> </w:t>
      </w:r>
      <w:r w:rsidRPr="000A6AA6">
        <w:rPr>
          <w:lang w:val="fr-FR"/>
        </w:rPr>
        <w:t>É.</w:t>
      </w:r>
      <w:r w:rsidR="004C56EE" w:rsidRPr="000A6AA6">
        <w:rPr>
          <w:lang w:val="fr-FR"/>
        </w:rPr>
        <w:noBreakHyphen/>
      </w:r>
      <w:r w:rsidRPr="000A6AA6">
        <w:rPr>
          <w:lang w:val="fr-FR"/>
        </w:rPr>
        <w:t>U. qu</w:t>
      </w:r>
      <w:r w:rsidR="006A0BE5" w:rsidRPr="000A6AA6">
        <w:rPr>
          <w:lang w:val="fr-FR"/>
        </w:rPr>
        <w:t>’</w:t>
      </w:r>
      <w:r w:rsidRPr="000A6AA6">
        <w:rPr>
          <w:lang w:val="fr-FR"/>
        </w:rPr>
        <w:t>a eu besoin l</w:t>
      </w:r>
      <w:r w:rsidR="006A0BE5" w:rsidRPr="000A6AA6">
        <w:rPr>
          <w:lang w:val="fr-FR"/>
        </w:rPr>
        <w:t>’</w:t>
      </w:r>
      <w:r w:rsidRPr="000A6AA6">
        <w:rPr>
          <w:lang w:val="fr-FR"/>
        </w:rPr>
        <w:t xml:space="preserve">OMPI pour effectuer tous les décaissements dus </w:t>
      </w:r>
      <w:r w:rsidR="000E1597" w:rsidRPr="000A6AA6">
        <w:rPr>
          <w:lang w:val="fr-FR"/>
        </w:rPr>
        <w:t>dans cette monnaie pour la période</w:t>
      </w:r>
      <w:r w:rsidR="006976C2" w:rsidRPr="000A6AA6">
        <w:rPr>
          <w:lang w:val="fr-FR"/>
        </w:rPr>
        <w:t xml:space="preserve"> comprise entre le</w:t>
      </w:r>
      <w:r w:rsidR="006A0BE5" w:rsidRPr="000A6AA6">
        <w:rPr>
          <w:lang w:val="fr-FR"/>
        </w:rPr>
        <w:t xml:space="preserve"> 1</w:t>
      </w:r>
      <w:r w:rsidR="006A0BE5" w:rsidRPr="000A6AA6">
        <w:rPr>
          <w:vertAlign w:val="superscript"/>
          <w:lang w:val="fr-FR"/>
        </w:rPr>
        <w:t>er</w:t>
      </w:r>
      <w:r w:rsidR="006A0BE5" w:rsidRPr="000A6AA6">
        <w:rPr>
          <w:lang w:val="fr-FR"/>
        </w:rPr>
        <w:t> janvier 20</w:t>
      </w:r>
      <w:r w:rsidR="006976C2" w:rsidRPr="000A6AA6">
        <w:rPr>
          <w:lang w:val="fr-FR"/>
        </w:rPr>
        <w:t>15 et le 3</w:t>
      </w:r>
      <w:r w:rsidR="006A0BE5" w:rsidRPr="000A6AA6">
        <w:rPr>
          <w:lang w:val="fr-FR"/>
        </w:rPr>
        <w:t>1 mai 20</w:t>
      </w:r>
      <w:r w:rsidR="006976C2" w:rsidRPr="000A6AA6">
        <w:rPr>
          <w:lang w:val="fr-FR"/>
        </w:rPr>
        <w:t>16, de sorte qu</w:t>
      </w:r>
      <w:r w:rsidR="006A0BE5" w:rsidRPr="000A6AA6">
        <w:rPr>
          <w:lang w:val="fr-FR"/>
        </w:rPr>
        <w:t>’</w:t>
      </w:r>
      <w:r w:rsidR="006976C2" w:rsidRPr="000A6AA6">
        <w:rPr>
          <w:lang w:val="fr-FR"/>
        </w:rPr>
        <w:t>il ne lui est resté que 36</w:t>
      </w:r>
      <w:r w:rsidR="00A13D61" w:rsidRPr="000A6AA6">
        <w:rPr>
          <w:lang w:val="fr-FR"/>
        </w:rPr>
        <w:t>,8</w:t>
      </w:r>
      <w:r w:rsidR="006976C2" w:rsidRPr="000A6AA6">
        <w:rPr>
          <w:lang w:val="fr-FR"/>
        </w:rPr>
        <w:t>% de ces recettes en dollars</w:t>
      </w:r>
      <w:r w:rsidR="00E87329" w:rsidRPr="000A6AA6">
        <w:rPr>
          <w:lang w:val="fr-FR"/>
        </w:rPr>
        <w:t> </w:t>
      </w:r>
      <w:r w:rsidR="006976C2" w:rsidRPr="000A6AA6">
        <w:rPr>
          <w:lang w:val="fr-FR"/>
        </w:rPr>
        <w:t>É.</w:t>
      </w:r>
      <w:r w:rsidR="004C56EE" w:rsidRPr="000A6AA6">
        <w:rPr>
          <w:lang w:val="fr-FR"/>
        </w:rPr>
        <w:noBreakHyphen/>
      </w:r>
      <w:r w:rsidR="006976C2" w:rsidRPr="000A6AA6">
        <w:rPr>
          <w:lang w:val="fr-FR"/>
        </w:rPr>
        <w:t>U. pour acheter des contrats à terme</w:t>
      </w:r>
      <w:r w:rsidR="001E753C" w:rsidRPr="000A6AA6">
        <w:rPr>
          <w:lang w:val="fr-FR"/>
        </w:rPr>
        <w:t xml:space="preserve"> </w:t>
      </w:r>
      <w:r w:rsidR="00A13D61" w:rsidRPr="000A6AA6">
        <w:rPr>
          <w:lang w:val="fr-FR"/>
        </w:rPr>
        <w:t>aux</w:t>
      </w:r>
      <w:r w:rsidR="001E753C" w:rsidRPr="000A6AA6">
        <w:rPr>
          <w:lang w:val="fr-FR"/>
        </w:rPr>
        <w:t xml:space="preserve"> fins de couverture</w:t>
      </w:r>
      <w:r w:rsidR="00435C98" w:rsidRPr="000A6AA6">
        <w:rPr>
          <w:lang w:val="fr-FR"/>
        </w:rPr>
        <w:t xml:space="preserve"> des risques de change </w:t>
      </w:r>
      <w:r w:rsidR="00A13D61" w:rsidRPr="000A6AA6">
        <w:rPr>
          <w:lang w:val="fr-FR"/>
        </w:rPr>
        <w:t>sur les</w:t>
      </w:r>
      <w:r w:rsidR="00435C98" w:rsidRPr="000A6AA6">
        <w:rPr>
          <w:lang w:val="fr-FR"/>
        </w:rPr>
        <w:t xml:space="preserve"> taxes</w:t>
      </w:r>
      <w:r w:rsidR="006A0BE5" w:rsidRPr="000A6AA6">
        <w:rPr>
          <w:lang w:val="fr-FR"/>
        </w:rPr>
        <w:t xml:space="preserve"> du </w:t>
      </w:r>
      <w:r w:rsidR="004C56EE" w:rsidRPr="000A6AA6">
        <w:rPr>
          <w:lang w:val="fr-FR"/>
        </w:rPr>
        <w:t>PCT.  La</w:t>
      </w:r>
      <w:r w:rsidR="004267A5" w:rsidRPr="000A6AA6">
        <w:rPr>
          <w:lang w:val="fr-FR"/>
        </w:rPr>
        <w:t xml:space="preserve"> différence entre l</w:t>
      </w:r>
      <w:r w:rsidR="006A0BE5" w:rsidRPr="000A6AA6">
        <w:rPr>
          <w:lang w:val="fr-FR"/>
        </w:rPr>
        <w:t>’</w:t>
      </w:r>
      <w:r w:rsidR="004267A5" w:rsidRPr="000A6AA6">
        <w:rPr>
          <w:lang w:val="fr-FR"/>
        </w:rPr>
        <w:t>estimation soumise</w:t>
      </w:r>
      <w:r w:rsidR="006A0BE5" w:rsidRPr="000A6AA6">
        <w:rPr>
          <w:lang w:val="fr-FR"/>
        </w:rPr>
        <w:t xml:space="preserve"> au PBC</w:t>
      </w:r>
      <w:r w:rsidR="004267A5" w:rsidRPr="000A6AA6">
        <w:rPr>
          <w:lang w:val="fr-FR"/>
        </w:rPr>
        <w:t xml:space="preserve"> en</w:t>
      </w:r>
      <w:r w:rsidR="00E87329" w:rsidRPr="000A6AA6">
        <w:rPr>
          <w:lang w:val="fr-FR"/>
        </w:rPr>
        <w:t> </w:t>
      </w:r>
      <w:r w:rsidR="004267A5" w:rsidRPr="000A6AA6">
        <w:rPr>
          <w:lang w:val="fr-FR"/>
        </w:rPr>
        <w:t>2015 et la quantité réelle de dollars</w:t>
      </w:r>
      <w:r w:rsidR="00E87329" w:rsidRPr="000A6AA6">
        <w:rPr>
          <w:lang w:val="fr-FR"/>
        </w:rPr>
        <w:t> </w:t>
      </w:r>
      <w:r w:rsidR="004267A5" w:rsidRPr="000A6AA6">
        <w:rPr>
          <w:lang w:val="fr-FR"/>
        </w:rPr>
        <w:t>É.</w:t>
      </w:r>
      <w:r w:rsidR="004C56EE" w:rsidRPr="000A6AA6">
        <w:rPr>
          <w:lang w:val="fr-FR"/>
        </w:rPr>
        <w:noBreakHyphen/>
      </w:r>
      <w:r w:rsidR="004267A5" w:rsidRPr="000A6AA6">
        <w:rPr>
          <w:lang w:val="fr-FR"/>
        </w:rPr>
        <w:t>U. disponibles pour l</w:t>
      </w:r>
      <w:r w:rsidR="006A0BE5" w:rsidRPr="000A6AA6">
        <w:rPr>
          <w:lang w:val="fr-FR"/>
        </w:rPr>
        <w:t>’</w:t>
      </w:r>
      <w:r w:rsidR="004267A5" w:rsidRPr="000A6AA6">
        <w:rPr>
          <w:lang w:val="fr-FR"/>
        </w:rPr>
        <w:t xml:space="preserve">achat de contrats à terme était due </w:t>
      </w:r>
      <w:r w:rsidR="00C65B9C" w:rsidRPr="000A6AA6">
        <w:rPr>
          <w:lang w:val="fr-FR"/>
        </w:rPr>
        <w:t xml:space="preserve">essentiellement </w:t>
      </w:r>
      <w:r w:rsidR="004267A5" w:rsidRPr="000A6AA6">
        <w:rPr>
          <w:lang w:val="fr-FR"/>
        </w:rPr>
        <w:t>au fait que l</w:t>
      </w:r>
      <w:r w:rsidR="006A0BE5" w:rsidRPr="000A6AA6">
        <w:rPr>
          <w:lang w:val="fr-FR"/>
        </w:rPr>
        <w:t>’</w:t>
      </w:r>
      <w:r w:rsidR="004267A5" w:rsidRPr="000A6AA6">
        <w:rPr>
          <w:lang w:val="fr-FR"/>
        </w:rPr>
        <w:t>un des principaux offices récepteurs</w:t>
      </w:r>
      <w:r w:rsidR="006A0BE5" w:rsidRPr="000A6AA6">
        <w:rPr>
          <w:lang w:val="fr-FR"/>
        </w:rPr>
        <w:t xml:space="preserve"> du PCT</w:t>
      </w:r>
      <w:r w:rsidR="005C3C72" w:rsidRPr="000A6AA6">
        <w:rPr>
          <w:lang w:val="fr-FR"/>
        </w:rPr>
        <w:t xml:space="preserve"> a cessé de percevoir l</w:t>
      </w:r>
      <w:r w:rsidR="00D6559E" w:rsidRPr="000A6AA6">
        <w:rPr>
          <w:lang w:val="fr-FR"/>
        </w:rPr>
        <w:t>a</w:t>
      </w:r>
      <w:r w:rsidR="005C3C72" w:rsidRPr="000A6AA6">
        <w:rPr>
          <w:lang w:val="fr-FR"/>
        </w:rPr>
        <w:t xml:space="preserve"> taxe internationale de dépôt en dollars</w:t>
      </w:r>
      <w:r w:rsidR="00E87329" w:rsidRPr="000A6AA6">
        <w:rPr>
          <w:lang w:val="fr-FR"/>
        </w:rPr>
        <w:t> </w:t>
      </w:r>
      <w:r w:rsidR="005C3C72" w:rsidRPr="000A6AA6">
        <w:rPr>
          <w:lang w:val="fr-FR"/>
        </w:rPr>
        <w:t>É.</w:t>
      </w:r>
      <w:r w:rsidR="004C56EE" w:rsidRPr="000A6AA6">
        <w:rPr>
          <w:lang w:val="fr-FR"/>
        </w:rPr>
        <w:noBreakHyphen/>
      </w:r>
      <w:r w:rsidR="005C3C72" w:rsidRPr="000A6AA6">
        <w:rPr>
          <w:lang w:val="fr-FR"/>
        </w:rPr>
        <w:t xml:space="preserve">U. </w:t>
      </w:r>
      <w:r w:rsidR="00E46819" w:rsidRPr="000A6AA6">
        <w:rPr>
          <w:lang w:val="fr-FR"/>
        </w:rPr>
        <w:t>et la reçoit désormais en francs suisses.</w:t>
      </w:r>
    </w:p>
    <w:p w:rsidR="00AA2EC7" w:rsidRPr="000A6AA6" w:rsidRDefault="00515FA8" w:rsidP="00F131E9">
      <w:pPr>
        <w:pStyle w:val="ONUMFS"/>
        <w:rPr>
          <w:sz w:val="16"/>
          <w:szCs w:val="16"/>
          <w:lang w:val="fr-FR"/>
        </w:rPr>
      </w:pPr>
      <w:r w:rsidRPr="000A6AA6">
        <w:rPr>
          <w:szCs w:val="22"/>
          <w:lang w:val="fr-FR"/>
        </w:rPr>
        <w:t>De plus, comme on peut le voir sur le tableau ci</w:t>
      </w:r>
      <w:r w:rsidR="004C56EE" w:rsidRPr="000A6AA6">
        <w:rPr>
          <w:szCs w:val="22"/>
          <w:lang w:val="fr-FR"/>
        </w:rPr>
        <w:noBreakHyphen/>
      </w:r>
      <w:r w:rsidRPr="000A6AA6">
        <w:rPr>
          <w:szCs w:val="22"/>
          <w:lang w:val="fr-FR"/>
        </w:rPr>
        <w:t>dessous, le pourcentage des recettes</w:t>
      </w:r>
      <w:r w:rsidR="006A0BE5" w:rsidRPr="000A6AA6">
        <w:rPr>
          <w:szCs w:val="22"/>
          <w:lang w:val="fr-FR"/>
        </w:rPr>
        <w:t xml:space="preserve"> du PCT</w:t>
      </w:r>
      <w:r w:rsidRPr="000A6AA6">
        <w:rPr>
          <w:szCs w:val="22"/>
          <w:lang w:val="fr-FR"/>
        </w:rPr>
        <w:t xml:space="preserve"> reçues en dollars</w:t>
      </w:r>
      <w:r w:rsidR="00E87329" w:rsidRPr="000A6AA6">
        <w:rPr>
          <w:szCs w:val="22"/>
          <w:lang w:val="fr-FR"/>
        </w:rPr>
        <w:t> </w:t>
      </w:r>
      <w:r w:rsidRPr="000A6AA6">
        <w:rPr>
          <w:szCs w:val="22"/>
          <w:lang w:val="fr-FR"/>
        </w:rPr>
        <w:t>É.</w:t>
      </w:r>
      <w:r w:rsidR="004C56EE" w:rsidRPr="000A6AA6">
        <w:rPr>
          <w:szCs w:val="22"/>
          <w:lang w:val="fr-FR"/>
        </w:rPr>
        <w:noBreakHyphen/>
      </w:r>
      <w:r w:rsidRPr="000A6AA6">
        <w:rPr>
          <w:szCs w:val="22"/>
          <w:lang w:val="fr-FR"/>
        </w:rPr>
        <w:t>U. varie fortement d</w:t>
      </w:r>
      <w:r w:rsidR="006A0BE5" w:rsidRPr="000A6AA6">
        <w:rPr>
          <w:szCs w:val="22"/>
          <w:lang w:val="fr-FR"/>
        </w:rPr>
        <w:t>’</w:t>
      </w:r>
      <w:r w:rsidRPr="000A6AA6">
        <w:rPr>
          <w:szCs w:val="22"/>
          <w:lang w:val="fr-FR"/>
        </w:rPr>
        <w:t>un mois à l</w:t>
      </w:r>
      <w:r w:rsidR="006A0BE5" w:rsidRPr="000A6AA6">
        <w:rPr>
          <w:szCs w:val="22"/>
          <w:lang w:val="fr-FR"/>
        </w:rPr>
        <w:t>’</w:t>
      </w:r>
      <w:r w:rsidRPr="000A6AA6">
        <w:rPr>
          <w:szCs w:val="22"/>
          <w:lang w:val="fr-FR"/>
        </w:rPr>
        <w:t>autre</w:t>
      </w:r>
      <w:r w:rsidR="00996B27" w:rsidRPr="000A6AA6">
        <w:rPr>
          <w:szCs w:val="22"/>
          <w:lang w:val="fr-FR"/>
        </w:rPr>
        <w:t>, de sorte qu</w:t>
      </w:r>
      <w:r w:rsidR="00B14DC2" w:rsidRPr="000A6AA6">
        <w:rPr>
          <w:szCs w:val="22"/>
          <w:lang w:val="fr-FR"/>
        </w:rPr>
        <w:t>e l</w:t>
      </w:r>
      <w:r w:rsidR="006A0BE5" w:rsidRPr="000A6AA6">
        <w:rPr>
          <w:szCs w:val="22"/>
          <w:lang w:val="fr-FR"/>
        </w:rPr>
        <w:t>’</w:t>
      </w:r>
      <w:r w:rsidR="00B14DC2" w:rsidRPr="000A6AA6">
        <w:rPr>
          <w:szCs w:val="22"/>
          <w:lang w:val="fr-FR"/>
        </w:rPr>
        <w:t>importance des besoins de contrats à terme</w:t>
      </w:r>
      <w:r w:rsidR="00996B27" w:rsidRPr="000A6AA6">
        <w:rPr>
          <w:szCs w:val="22"/>
          <w:lang w:val="fr-FR"/>
        </w:rPr>
        <w:t xml:space="preserve"> est difficile</w:t>
      </w:r>
      <w:r w:rsidR="009150A7" w:rsidRPr="000A6AA6">
        <w:rPr>
          <w:szCs w:val="22"/>
          <w:lang w:val="fr-FR"/>
        </w:rPr>
        <w:t xml:space="preserve"> à</w:t>
      </w:r>
      <w:r w:rsidR="009A4F05" w:rsidRPr="000A6AA6">
        <w:rPr>
          <w:szCs w:val="22"/>
          <w:lang w:val="fr-FR"/>
        </w:rPr>
        <w:t xml:space="preserve"> prévo</w:t>
      </w:r>
      <w:r w:rsidR="004C56EE" w:rsidRPr="000A6AA6">
        <w:rPr>
          <w:szCs w:val="22"/>
          <w:lang w:val="fr-FR"/>
        </w:rPr>
        <w:t>ir.  Si</w:t>
      </w:r>
      <w:r w:rsidR="00E36A01" w:rsidRPr="000A6AA6">
        <w:rPr>
          <w:szCs w:val="22"/>
          <w:lang w:val="fr-FR"/>
        </w:rPr>
        <w:t xml:space="preserve"> les prévisions de nombre de demandes de la Section de l</w:t>
      </w:r>
      <w:r w:rsidR="006A0BE5" w:rsidRPr="000A6AA6">
        <w:rPr>
          <w:szCs w:val="22"/>
          <w:lang w:val="fr-FR"/>
        </w:rPr>
        <w:t>’</w:t>
      </w:r>
      <w:r w:rsidR="00E36A01" w:rsidRPr="000A6AA6">
        <w:rPr>
          <w:szCs w:val="22"/>
          <w:lang w:val="fr-FR"/>
        </w:rPr>
        <w:t xml:space="preserve">élaboration des données de la </w:t>
      </w:r>
      <w:r w:rsidR="00E112B8" w:rsidRPr="000A6AA6">
        <w:rPr>
          <w:lang w:val="fr-FR"/>
        </w:rPr>
        <w:t>Division de l</w:t>
      </w:r>
      <w:r w:rsidR="006A0BE5" w:rsidRPr="000A6AA6">
        <w:rPr>
          <w:lang w:val="fr-FR"/>
        </w:rPr>
        <w:t>’</w:t>
      </w:r>
      <w:r w:rsidR="00E112B8" w:rsidRPr="000A6AA6">
        <w:rPr>
          <w:lang w:val="fr-FR"/>
        </w:rPr>
        <w:t>économie et des statistiques</w:t>
      </w:r>
      <w:r w:rsidR="00AA2EC7" w:rsidRPr="000A6AA6">
        <w:rPr>
          <w:lang w:val="fr-FR"/>
        </w:rPr>
        <w:t xml:space="preserve"> </w:t>
      </w:r>
      <w:r w:rsidR="00E36A01" w:rsidRPr="000A6AA6">
        <w:rPr>
          <w:lang w:val="fr-FR"/>
        </w:rPr>
        <w:t xml:space="preserve">du Bureau international se sont avérées </w:t>
      </w:r>
      <w:r w:rsidR="00CD2691" w:rsidRPr="000A6AA6">
        <w:rPr>
          <w:lang w:val="fr-FR"/>
        </w:rPr>
        <w:t>très fiables,</w:t>
      </w:r>
      <w:r w:rsidR="00755A9A" w:rsidRPr="000A6AA6">
        <w:rPr>
          <w:lang w:val="fr-FR"/>
        </w:rPr>
        <w:t xml:space="preserve"> la variation des rentrées mensuelles de taxes est plus difficile à prédi</w:t>
      </w:r>
      <w:r w:rsidR="004C56EE" w:rsidRPr="000A6AA6">
        <w:rPr>
          <w:lang w:val="fr-FR"/>
        </w:rPr>
        <w:t>re.  Le</w:t>
      </w:r>
      <w:r w:rsidR="00E66E62" w:rsidRPr="000A6AA6">
        <w:rPr>
          <w:lang w:val="fr-FR"/>
        </w:rPr>
        <w:t xml:space="preserve"> tableau ci</w:t>
      </w:r>
      <w:r w:rsidR="004C56EE" w:rsidRPr="000A6AA6">
        <w:rPr>
          <w:lang w:val="fr-FR"/>
        </w:rPr>
        <w:noBreakHyphen/>
      </w:r>
      <w:r w:rsidR="00E66E62" w:rsidRPr="000A6AA6">
        <w:rPr>
          <w:lang w:val="fr-FR"/>
        </w:rPr>
        <w:t>dessous permet de constater</w:t>
      </w:r>
      <w:r w:rsidR="000179D5" w:rsidRPr="000A6AA6">
        <w:rPr>
          <w:lang w:val="fr-FR"/>
        </w:rPr>
        <w:t xml:space="preserve"> que le solde restant après règlement des obligations de l</w:t>
      </w:r>
      <w:r w:rsidR="006A0BE5" w:rsidRPr="000A6AA6">
        <w:rPr>
          <w:lang w:val="fr-FR"/>
        </w:rPr>
        <w:t>’</w:t>
      </w:r>
      <w:r w:rsidR="000179D5" w:rsidRPr="000A6AA6">
        <w:rPr>
          <w:lang w:val="fr-FR"/>
        </w:rPr>
        <w:t>OMPI en dollars</w:t>
      </w:r>
      <w:r w:rsidR="00E87329" w:rsidRPr="000A6AA6">
        <w:rPr>
          <w:lang w:val="fr-FR"/>
        </w:rPr>
        <w:t> </w:t>
      </w:r>
      <w:r w:rsidR="000179D5" w:rsidRPr="000A6AA6">
        <w:rPr>
          <w:lang w:val="fr-FR"/>
        </w:rPr>
        <w:t>É.</w:t>
      </w:r>
      <w:r w:rsidR="004C56EE" w:rsidRPr="000A6AA6">
        <w:rPr>
          <w:lang w:val="fr-FR"/>
        </w:rPr>
        <w:noBreakHyphen/>
      </w:r>
      <w:r w:rsidR="000179D5" w:rsidRPr="000A6AA6">
        <w:rPr>
          <w:lang w:val="fr-FR"/>
        </w:rPr>
        <w:t>U. a été plusieurs fois inférieur à 10% au cours des mois examin</w:t>
      </w:r>
      <w:r w:rsidR="004C56EE" w:rsidRPr="000A6AA6">
        <w:rPr>
          <w:lang w:val="fr-FR"/>
        </w:rPr>
        <w:t>és.  Il</w:t>
      </w:r>
      <w:r w:rsidR="000179D5" w:rsidRPr="000A6AA6">
        <w:rPr>
          <w:lang w:val="fr-FR"/>
        </w:rPr>
        <w:t xml:space="preserve"> convient de souligner également que</w:t>
      </w:r>
      <w:r w:rsidR="002219DE" w:rsidRPr="000A6AA6">
        <w:rPr>
          <w:lang w:val="fr-FR"/>
        </w:rPr>
        <w:t xml:space="preserve"> si le pourcentage des recettes</w:t>
      </w:r>
      <w:r w:rsidR="006A0BE5" w:rsidRPr="000A6AA6">
        <w:rPr>
          <w:lang w:val="fr-FR"/>
        </w:rPr>
        <w:t xml:space="preserve"> du PCT</w:t>
      </w:r>
      <w:r w:rsidR="002219DE" w:rsidRPr="000A6AA6">
        <w:rPr>
          <w:lang w:val="fr-FR"/>
        </w:rPr>
        <w:t xml:space="preserve"> disponible a dépassé 70% dans un cas, cela résultait</w:t>
      </w:r>
      <w:r w:rsidR="006C7DA3" w:rsidRPr="000A6AA6">
        <w:rPr>
          <w:lang w:val="fr-FR"/>
        </w:rPr>
        <w:t xml:space="preserve"> d</w:t>
      </w:r>
      <w:r w:rsidR="006A0BE5" w:rsidRPr="000A6AA6">
        <w:rPr>
          <w:lang w:val="fr-FR"/>
        </w:rPr>
        <w:t>’</w:t>
      </w:r>
      <w:r w:rsidR="006C7DA3" w:rsidRPr="000A6AA6">
        <w:rPr>
          <w:lang w:val="fr-FR"/>
        </w:rPr>
        <w:t>un</w:t>
      </w:r>
      <w:r w:rsidR="00D84368" w:rsidRPr="000A6AA6">
        <w:rPr>
          <w:lang w:val="fr-FR"/>
        </w:rPr>
        <w:t xml:space="preserve"> événement non récurrent, </w:t>
      </w:r>
      <w:r w:rsidR="006A0BE5" w:rsidRPr="000A6AA6">
        <w:rPr>
          <w:lang w:val="fr-FR"/>
        </w:rPr>
        <w:t>à savoir</w:t>
      </w:r>
      <w:r w:rsidR="00D84368" w:rsidRPr="000A6AA6">
        <w:rPr>
          <w:lang w:val="fr-FR"/>
        </w:rPr>
        <w:t xml:space="preserve"> un</w:t>
      </w:r>
      <w:r w:rsidR="006C7DA3" w:rsidRPr="000A6AA6">
        <w:rPr>
          <w:lang w:val="fr-FR"/>
        </w:rPr>
        <w:t>e modification</w:t>
      </w:r>
      <w:r w:rsidR="008926C0" w:rsidRPr="000A6AA6">
        <w:rPr>
          <w:lang w:val="fr-FR"/>
        </w:rPr>
        <w:t xml:space="preserve"> </w:t>
      </w:r>
      <w:r w:rsidR="006723A1" w:rsidRPr="000A6AA6">
        <w:rPr>
          <w:lang w:val="fr-FR"/>
        </w:rPr>
        <w:t>du cadre juridique régissant le dépôt des demandes PCT aux États</w:t>
      </w:r>
      <w:r w:rsidR="004C56EE" w:rsidRPr="000A6AA6">
        <w:rPr>
          <w:lang w:val="fr-FR"/>
        </w:rPr>
        <w:noBreakHyphen/>
      </w:r>
      <w:r w:rsidR="006723A1" w:rsidRPr="000A6AA6">
        <w:rPr>
          <w:lang w:val="fr-FR"/>
        </w:rPr>
        <w:t>Unis d</w:t>
      </w:r>
      <w:r w:rsidR="006A0BE5" w:rsidRPr="000A6AA6">
        <w:rPr>
          <w:lang w:val="fr-FR"/>
        </w:rPr>
        <w:t>’</w:t>
      </w:r>
      <w:r w:rsidR="006723A1" w:rsidRPr="000A6AA6">
        <w:rPr>
          <w:lang w:val="fr-FR"/>
        </w:rPr>
        <w:t>Amérique</w:t>
      </w:r>
      <w:r w:rsidR="008926C0" w:rsidRPr="000A6AA6">
        <w:rPr>
          <w:lang w:val="fr-FR"/>
        </w:rPr>
        <w:t xml:space="preserve"> </w:t>
      </w:r>
      <w:r w:rsidR="00D84368" w:rsidRPr="000A6AA6">
        <w:rPr>
          <w:lang w:val="fr-FR"/>
        </w:rPr>
        <w:t xml:space="preserve">qui </w:t>
      </w:r>
      <w:r w:rsidR="008926C0" w:rsidRPr="000A6AA6">
        <w:rPr>
          <w:lang w:val="fr-FR"/>
        </w:rPr>
        <w:t>s</w:t>
      </w:r>
      <w:r w:rsidR="006A0BE5" w:rsidRPr="000A6AA6">
        <w:rPr>
          <w:lang w:val="fr-FR"/>
        </w:rPr>
        <w:t>’</w:t>
      </w:r>
      <w:r w:rsidR="008926C0" w:rsidRPr="000A6AA6">
        <w:rPr>
          <w:lang w:val="fr-FR"/>
        </w:rPr>
        <w:t>est traduite par une forte augmentation du nombre de dépôts PCT, et donc des rentrées de taxes de dépôt en dollars</w:t>
      </w:r>
      <w:r w:rsidR="00E87329" w:rsidRPr="000A6AA6">
        <w:rPr>
          <w:lang w:val="fr-FR"/>
        </w:rPr>
        <w:t> </w:t>
      </w:r>
      <w:r w:rsidR="008926C0" w:rsidRPr="000A6AA6">
        <w:rPr>
          <w:lang w:val="fr-FR"/>
        </w:rPr>
        <w:t>É.</w:t>
      </w:r>
      <w:r w:rsidR="004C56EE" w:rsidRPr="000A6AA6">
        <w:rPr>
          <w:lang w:val="fr-FR"/>
        </w:rPr>
        <w:noBreakHyphen/>
      </w:r>
      <w:r w:rsidR="008926C0" w:rsidRPr="000A6AA6">
        <w:rPr>
          <w:lang w:val="fr-FR"/>
        </w:rPr>
        <w:t>U.</w:t>
      </w:r>
    </w:p>
    <w:p w:rsidR="00F131E9" w:rsidRPr="0057339E" w:rsidRDefault="00F131E9">
      <w:pPr>
        <w:rPr>
          <w:lang w:val="fr-FR"/>
        </w:rPr>
      </w:pPr>
      <w:r w:rsidRPr="0057339E">
        <w:rPr>
          <w:lang w:val="fr-FR"/>
        </w:rPr>
        <w:br w:type="page"/>
      </w:r>
    </w:p>
    <w:tbl>
      <w:tblPr>
        <w:tblW w:w="5839"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911"/>
      </w:tblGrid>
      <w:tr w:rsidR="00F367A9" w:rsidRPr="0057339E" w:rsidTr="00F131E9">
        <w:trPr>
          <w:trHeight w:val="255"/>
          <w:jc w:val="center"/>
        </w:trPr>
        <w:tc>
          <w:tcPr>
            <w:tcW w:w="1928" w:type="dxa"/>
            <w:shd w:val="clear" w:color="auto" w:fill="auto"/>
            <w:noWrap/>
            <w:vAlign w:val="center"/>
            <w:hideMark/>
          </w:tcPr>
          <w:p w:rsidR="00F367A9" w:rsidRPr="00F131E9" w:rsidRDefault="00F367A9" w:rsidP="00F131E9">
            <w:pPr>
              <w:jc w:val="center"/>
              <w:rPr>
                <w:b/>
                <w:sz w:val="20"/>
                <w:lang w:val="fr-FR" w:eastAsia="en-US"/>
              </w:rPr>
            </w:pPr>
            <w:r w:rsidRPr="00F131E9">
              <w:rPr>
                <w:b/>
                <w:sz w:val="20"/>
                <w:lang w:val="fr-FR" w:eastAsia="en-US"/>
              </w:rPr>
              <w:lastRenderedPageBreak/>
              <w:t>Mo</w:t>
            </w:r>
            <w:r w:rsidR="00515FA8" w:rsidRPr="00F131E9">
              <w:rPr>
                <w:b/>
                <w:sz w:val="20"/>
                <w:lang w:val="fr-FR" w:eastAsia="en-US"/>
              </w:rPr>
              <w:t>is</w:t>
            </w:r>
          </w:p>
        </w:tc>
        <w:tc>
          <w:tcPr>
            <w:tcW w:w="3911" w:type="dxa"/>
            <w:shd w:val="clear" w:color="auto" w:fill="auto"/>
            <w:noWrap/>
            <w:vAlign w:val="center"/>
            <w:hideMark/>
          </w:tcPr>
          <w:p w:rsidR="00F367A9" w:rsidRPr="00F131E9" w:rsidRDefault="00A42FF6" w:rsidP="00395C62">
            <w:pPr>
              <w:jc w:val="center"/>
              <w:rPr>
                <w:b/>
                <w:sz w:val="20"/>
                <w:lang w:val="fr-FR" w:eastAsia="en-US"/>
              </w:rPr>
            </w:pPr>
            <w:r w:rsidRPr="00F131E9">
              <w:rPr>
                <w:b/>
                <w:sz w:val="20"/>
                <w:lang w:val="fr-FR" w:eastAsia="en-US"/>
              </w:rPr>
              <w:t>Pourcentage des recettes</w:t>
            </w:r>
            <w:r w:rsidR="006A0BE5" w:rsidRPr="00F131E9">
              <w:rPr>
                <w:b/>
                <w:sz w:val="20"/>
                <w:lang w:val="fr-FR" w:eastAsia="en-US"/>
              </w:rPr>
              <w:t xml:space="preserve"> du PCT</w:t>
            </w:r>
            <w:r w:rsidRPr="00F131E9">
              <w:rPr>
                <w:b/>
                <w:sz w:val="20"/>
                <w:lang w:val="fr-FR" w:eastAsia="en-US"/>
              </w:rPr>
              <w:t xml:space="preserve"> en </w:t>
            </w:r>
            <w:r w:rsidR="00395C62">
              <w:rPr>
                <w:b/>
                <w:sz w:val="20"/>
                <w:lang w:val="fr-FR" w:eastAsia="en-US"/>
              </w:rPr>
              <w:t>dollar É.</w:t>
            </w:r>
            <w:r w:rsidR="00395C62">
              <w:rPr>
                <w:b/>
                <w:sz w:val="20"/>
                <w:lang w:val="fr-FR" w:eastAsia="en-US"/>
              </w:rPr>
              <w:noBreakHyphen/>
              <w:t>U.</w:t>
            </w:r>
            <w:r w:rsidRPr="00F131E9">
              <w:rPr>
                <w:b/>
                <w:sz w:val="20"/>
                <w:lang w:val="fr-FR" w:eastAsia="en-US"/>
              </w:rPr>
              <w:t xml:space="preserve"> disponible pour l</w:t>
            </w:r>
            <w:r w:rsidR="006A0BE5" w:rsidRPr="00F131E9">
              <w:rPr>
                <w:b/>
                <w:sz w:val="20"/>
                <w:lang w:val="fr-FR" w:eastAsia="en-US"/>
              </w:rPr>
              <w:t>’</w:t>
            </w:r>
            <w:r w:rsidRPr="00F131E9">
              <w:rPr>
                <w:b/>
                <w:sz w:val="20"/>
                <w:lang w:val="fr-FR" w:eastAsia="en-US"/>
              </w:rPr>
              <w:t>achat de contrats à terme</w:t>
            </w:r>
          </w:p>
        </w:tc>
      </w:tr>
      <w:tr w:rsidR="00F367A9" w:rsidRPr="00F131E9" w:rsidTr="00F131E9">
        <w:trPr>
          <w:trHeight w:val="255"/>
          <w:jc w:val="center"/>
        </w:trPr>
        <w:tc>
          <w:tcPr>
            <w:tcW w:w="1928" w:type="dxa"/>
            <w:shd w:val="clear" w:color="auto" w:fill="auto"/>
            <w:noWrap/>
            <w:vAlign w:val="bottom"/>
            <w:hideMark/>
          </w:tcPr>
          <w:p w:rsidR="00F367A9" w:rsidRPr="00F131E9" w:rsidRDefault="00F367A9" w:rsidP="00F131E9">
            <w:pPr>
              <w:rPr>
                <w:sz w:val="20"/>
                <w:lang w:val="fr-FR" w:eastAsia="en-US"/>
              </w:rPr>
            </w:pPr>
            <w:r w:rsidRPr="00F131E9">
              <w:rPr>
                <w:sz w:val="20"/>
                <w:lang w:val="fr-FR" w:eastAsia="en-US"/>
              </w:rPr>
              <w:t>Jan</w:t>
            </w:r>
            <w:r w:rsidR="009150A7" w:rsidRPr="00F131E9">
              <w:rPr>
                <w:sz w:val="20"/>
                <w:lang w:val="fr-FR" w:eastAsia="en-US"/>
              </w:rPr>
              <w:t>vier 20</w:t>
            </w:r>
            <w:r w:rsidRPr="00F131E9">
              <w:rPr>
                <w:sz w:val="20"/>
                <w:lang w:val="fr-FR" w:eastAsia="en-US"/>
              </w:rPr>
              <w:t>15</w:t>
            </w:r>
          </w:p>
        </w:tc>
        <w:tc>
          <w:tcPr>
            <w:tcW w:w="3911" w:type="dxa"/>
            <w:shd w:val="clear" w:color="auto" w:fill="auto"/>
            <w:noWrap/>
            <w:vAlign w:val="center"/>
            <w:hideMark/>
          </w:tcPr>
          <w:p w:rsidR="00F367A9" w:rsidRPr="00F131E9" w:rsidRDefault="00F367A9" w:rsidP="00F131E9">
            <w:pPr>
              <w:jc w:val="center"/>
              <w:rPr>
                <w:sz w:val="20"/>
                <w:lang w:val="fr-FR" w:eastAsia="en-US"/>
              </w:rPr>
            </w:pPr>
            <w:r w:rsidRPr="00F131E9">
              <w:rPr>
                <w:sz w:val="20"/>
                <w:lang w:val="fr-FR" w:eastAsia="en-US"/>
              </w:rPr>
              <w:t>45</w:t>
            </w:r>
            <w:r w:rsidR="00515FA8" w:rsidRPr="00F131E9">
              <w:rPr>
                <w:sz w:val="20"/>
                <w:lang w:val="fr-FR" w:eastAsia="en-US"/>
              </w:rPr>
              <w:t>,</w:t>
            </w:r>
            <w:r w:rsidRPr="00F131E9">
              <w:rPr>
                <w:sz w:val="20"/>
                <w:lang w:val="fr-FR" w:eastAsia="en-US"/>
              </w:rPr>
              <w:t>6%</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Février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23</w:t>
            </w:r>
            <w:r w:rsidR="00515FA8" w:rsidRPr="00F131E9">
              <w:rPr>
                <w:sz w:val="20"/>
                <w:lang w:val="fr-FR" w:eastAsia="en-US"/>
              </w:rPr>
              <w:t>,</w:t>
            </w:r>
            <w:r w:rsidRPr="00F131E9">
              <w:rPr>
                <w:sz w:val="20"/>
                <w:lang w:val="fr-FR" w:eastAsia="en-US"/>
              </w:rPr>
              <w:t>0%</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Mars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42</w:t>
            </w:r>
            <w:r w:rsidR="00515FA8" w:rsidRPr="00F131E9">
              <w:rPr>
                <w:sz w:val="20"/>
                <w:lang w:val="fr-FR" w:eastAsia="en-US"/>
              </w:rPr>
              <w:t>,</w:t>
            </w:r>
            <w:r w:rsidRPr="00F131E9">
              <w:rPr>
                <w:sz w:val="20"/>
                <w:lang w:val="fr-FR" w:eastAsia="en-US"/>
              </w:rPr>
              <w:t>0%</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Avril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71</w:t>
            </w:r>
            <w:r w:rsidR="00515FA8" w:rsidRPr="00F131E9">
              <w:rPr>
                <w:sz w:val="20"/>
                <w:lang w:val="fr-FR" w:eastAsia="en-US"/>
              </w:rPr>
              <w:t>,</w:t>
            </w:r>
            <w:r w:rsidRPr="00F131E9">
              <w:rPr>
                <w:sz w:val="20"/>
                <w:lang w:val="fr-FR" w:eastAsia="en-US"/>
              </w:rPr>
              <w:t>6%</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Mai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34</w:t>
            </w:r>
            <w:r w:rsidR="00515FA8" w:rsidRPr="00F131E9">
              <w:rPr>
                <w:sz w:val="20"/>
                <w:lang w:val="fr-FR" w:eastAsia="en-US"/>
              </w:rPr>
              <w:t>,</w:t>
            </w:r>
            <w:r w:rsidRPr="00F131E9">
              <w:rPr>
                <w:sz w:val="20"/>
                <w:lang w:val="fr-FR" w:eastAsia="en-US"/>
              </w:rPr>
              <w:t>1%</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Juin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49</w:t>
            </w:r>
            <w:r w:rsidR="00515FA8" w:rsidRPr="00F131E9">
              <w:rPr>
                <w:sz w:val="20"/>
                <w:lang w:val="fr-FR" w:eastAsia="en-US"/>
              </w:rPr>
              <w:t>,</w:t>
            </w:r>
            <w:r w:rsidRPr="00F131E9">
              <w:rPr>
                <w:sz w:val="20"/>
                <w:lang w:val="fr-FR" w:eastAsia="en-US"/>
              </w:rPr>
              <w:t>9%</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Juillet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46</w:t>
            </w:r>
            <w:r w:rsidR="00515FA8" w:rsidRPr="00F131E9">
              <w:rPr>
                <w:sz w:val="20"/>
                <w:lang w:val="fr-FR" w:eastAsia="en-US"/>
              </w:rPr>
              <w:t>,</w:t>
            </w:r>
            <w:r w:rsidRPr="00F131E9">
              <w:rPr>
                <w:sz w:val="20"/>
                <w:lang w:val="fr-FR" w:eastAsia="en-US"/>
              </w:rPr>
              <w:t>2%</w:t>
            </w:r>
          </w:p>
        </w:tc>
      </w:tr>
      <w:tr w:rsidR="00EC2FFF" w:rsidRPr="00F131E9" w:rsidTr="00F131E9">
        <w:trPr>
          <w:trHeight w:val="255"/>
          <w:jc w:val="center"/>
        </w:trPr>
        <w:tc>
          <w:tcPr>
            <w:tcW w:w="1928" w:type="dxa"/>
            <w:shd w:val="clear" w:color="auto" w:fill="auto"/>
            <w:noWrap/>
            <w:vAlign w:val="bottom"/>
            <w:hideMark/>
          </w:tcPr>
          <w:p w:rsidR="00EC2FFF" w:rsidRPr="00F131E9" w:rsidRDefault="00EC2FFF" w:rsidP="00F131E9">
            <w:pPr>
              <w:rPr>
                <w:sz w:val="20"/>
                <w:lang w:val="fr-FR" w:eastAsia="en-US"/>
              </w:rPr>
            </w:pPr>
            <w:r w:rsidRPr="00F131E9">
              <w:rPr>
                <w:sz w:val="20"/>
                <w:lang w:val="fr-FR" w:eastAsia="en-US"/>
              </w:rPr>
              <w:t>A</w:t>
            </w:r>
            <w:r w:rsidR="009150A7" w:rsidRPr="00F131E9">
              <w:rPr>
                <w:sz w:val="20"/>
                <w:lang w:val="fr-FR" w:eastAsia="en-US"/>
              </w:rPr>
              <w:t>oût 20</w:t>
            </w:r>
            <w:r w:rsidRPr="00F131E9">
              <w:rPr>
                <w:sz w:val="20"/>
                <w:lang w:val="fr-FR" w:eastAsia="en-US"/>
              </w:rPr>
              <w:t>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6</w:t>
            </w:r>
            <w:r w:rsidR="00515FA8" w:rsidRPr="00F131E9">
              <w:rPr>
                <w:sz w:val="20"/>
                <w:lang w:val="fr-FR" w:eastAsia="en-US"/>
              </w:rPr>
              <w:t>,</w:t>
            </w:r>
            <w:r w:rsidRPr="00F131E9">
              <w:rPr>
                <w:sz w:val="20"/>
                <w:lang w:val="fr-FR" w:eastAsia="en-US"/>
              </w:rPr>
              <w:t>5%</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Septembre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39</w:t>
            </w:r>
            <w:r w:rsidR="00515FA8" w:rsidRPr="00F131E9">
              <w:rPr>
                <w:sz w:val="20"/>
                <w:lang w:val="fr-FR" w:eastAsia="en-US"/>
              </w:rPr>
              <w:t>,</w:t>
            </w:r>
            <w:r w:rsidRPr="00F131E9">
              <w:rPr>
                <w:sz w:val="20"/>
                <w:lang w:val="fr-FR" w:eastAsia="en-US"/>
              </w:rPr>
              <w:t>2%</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Octobre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24</w:t>
            </w:r>
            <w:r w:rsidR="00515FA8" w:rsidRPr="00F131E9">
              <w:rPr>
                <w:sz w:val="20"/>
                <w:lang w:val="fr-FR" w:eastAsia="en-US"/>
              </w:rPr>
              <w:t>,</w:t>
            </w:r>
            <w:r w:rsidRPr="00F131E9">
              <w:rPr>
                <w:sz w:val="20"/>
                <w:lang w:val="fr-FR" w:eastAsia="en-US"/>
              </w:rPr>
              <w:t>5%</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Novembre 2015</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47</w:t>
            </w:r>
            <w:r w:rsidR="00515FA8" w:rsidRPr="00F131E9">
              <w:rPr>
                <w:sz w:val="20"/>
                <w:lang w:val="fr-FR" w:eastAsia="en-US"/>
              </w:rPr>
              <w:t>,</w:t>
            </w:r>
            <w:r w:rsidRPr="00F131E9">
              <w:rPr>
                <w:sz w:val="20"/>
                <w:lang w:val="fr-FR" w:eastAsia="en-US"/>
              </w:rPr>
              <w:t>0%</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Décembre 2015</w:t>
            </w:r>
          </w:p>
        </w:tc>
        <w:tc>
          <w:tcPr>
            <w:tcW w:w="3911" w:type="dxa"/>
            <w:shd w:val="clear" w:color="auto" w:fill="auto"/>
            <w:noWrap/>
            <w:vAlign w:val="center"/>
            <w:hideMark/>
          </w:tcPr>
          <w:p w:rsidR="00EC2FFF" w:rsidRPr="00F131E9" w:rsidRDefault="004C56EE" w:rsidP="00F131E9">
            <w:pPr>
              <w:jc w:val="center"/>
              <w:rPr>
                <w:sz w:val="20"/>
                <w:lang w:val="fr-FR" w:eastAsia="en-US"/>
              </w:rPr>
            </w:pPr>
            <w:r w:rsidRPr="00F131E9">
              <w:rPr>
                <w:sz w:val="20"/>
                <w:lang w:val="fr-FR" w:eastAsia="en-US"/>
              </w:rPr>
              <w:noBreakHyphen/>
            </w:r>
            <w:r w:rsidR="00EC2FFF" w:rsidRPr="00F131E9">
              <w:rPr>
                <w:sz w:val="20"/>
                <w:lang w:val="fr-FR" w:eastAsia="en-US"/>
              </w:rPr>
              <w:t>1</w:t>
            </w:r>
            <w:r w:rsidR="00515FA8" w:rsidRPr="00F131E9">
              <w:rPr>
                <w:sz w:val="20"/>
                <w:lang w:val="fr-FR" w:eastAsia="en-US"/>
              </w:rPr>
              <w:t>,</w:t>
            </w:r>
            <w:r w:rsidR="00EC2FFF" w:rsidRPr="00F131E9">
              <w:rPr>
                <w:sz w:val="20"/>
                <w:lang w:val="fr-FR" w:eastAsia="en-US"/>
              </w:rPr>
              <w:t>9%</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b/>
                <w:sz w:val="20"/>
                <w:lang w:val="fr-FR" w:eastAsia="en-US"/>
              </w:rPr>
            </w:pPr>
            <w:r w:rsidRPr="00F131E9">
              <w:rPr>
                <w:b/>
                <w:sz w:val="20"/>
                <w:lang w:val="fr-FR" w:eastAsia="en-US"/>
              </w:rPr>
              <w:t xml:space="preserve">Moyenne </w:t>
            </w:r>
            <w:r w:rsidR="00EC2FFF" w:rsidRPr="00F131E9">
              <w:rPr>
                <w:b/>
                <w:sz w:val="20"/>
                <w:lang w:val="fr-FR" w:eastAsia="en-US"/>
              </w:rPr>
              <w:t>2015</w:t>
            </w:r>
          </w:p>
        </w:tc>
        <w:tc>
          <w:tcPr>
            <w:tcW w:w="3911" w:type="dxa"/>
            <w:shd w:val="clear" w:color="auto" w:fill="auto"/>
            <w:noWrap/>
            <w:vAlign w:val="center"/>
            <w:hideMark/>
          </w:tcPr>
          <w:p w:rsidR="00EC2FFF" w:rsidRPr="00F131E9" w:rsidRDefault="00EC2FFF" w:rsidP="00F131E9">
            <w:pPr>
              <w:jc w:val="center"/>
              <w:rPr>
                <w:b/>
                <w:sz w:val="20"/>
                <w:lang w:val="fr-FR" w:eastAsia="en-US"/>
              </w:rPr>
            </w:pPr>
            <w:r w:rsidRPr="00F131E9">
              <w:rPr>
                <w:b/>
                <w:sz w:val="20"/>
                <w:lang w:val="fr-FR" w:eastAsia="en-US"/>
              </w:rPr>
              <w:t>38</w:t>
            </w:r>
            <w:r w:rsidR="00515FA8" w:rsidRPr="00F131E9">
              <w:rPr>
                <w:b/>
                <w:sz w:val="20"/>
                <w:lang w:val="fr-FR" w:eastAsia="en-US"/>
              </w:rPr>
              <w:t>,</w:t>
            </w:r>
            <w:r w:rsidRPr="00F131E9">
              <w:rPr>
                <w:b/>
                <w:sz w:val="20"/>
                <w:lang w:val="fr-FR" w:eastAsia="en-US"/>
              </w:rPr>
              <w:t>3%</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sz w:val="20"/>
                <w:lang w:val="fr-FR" w:eastAsia="en-US"/>
              </w:rPr>
            </w:pPr>
            <w:r w:rsidRPr="00F131E9">
              <w:rPr>
                <w:sz w:val="20"/>
                <w:lang w:val="fr-FR" w:eastAsia="en-US"/>
              </w:rPr>
              <w:t>Janvier 2016</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48</w:t>
            </w:r>
            <w:r w:rsidR="00515FA8" w:rsidRPr="00F131E9">
              <w:rPr>
                <w:sz w:val="20"/>
                <w:lang w:val="fr-FR" w:eastAsia="en-US"/>
              </w:rPr>
              <w:t>,</w:t>
            </w:r>
            <w:r w:rsidRPr="00F131E9">
              <w:rPr>
                <w:sz w:val="20"/>
                <w:lang w:val="fr-FR" w:eastAsia="en-US"/>
              </w:rPr>
              <w:t>9%</w:t>
            </w:r>
          </w:p>
        </w:tc>
      </w:tr>
      <w:tr w:rsidR="00EC2FFF" w:rsidRPr="00F131E9" w:rsidTr="00F131E9">
        <w:trPr>
          <w:trHeight w:val="255"/>
          <w:jc w:val="center"/>
        </w:trPr>
        <w:tc>
          <w:tcPr>
            <w:tcW w:w="1928" w:type="dxa"/>
            <w:shd w:val="clear" w:color="auto" w:fill="auto"/>
            <w:noWrap/>
            <w:vAlign w:val="bottom"/>
            <w:hideMark/>
          </w:tcPr>
          <w:p w:rsidR="00EC2FFF" w:rsidRPr="00F131E9" w:rsidRDefault="00887969" w:rsidP="00F131E9">
            <w:pPr>
              <w:rPr>
                <w:sz w:val="20"/>
                <w:lang w:val="fr-FR" w:eastAsia="en-US"/>
              </w:rPr>
            </w:pPr>
            <w:r w:rsidRPr="00F131E9">
              <w:rPr>
                <w:sz w:val="20"/>
                <w:lang w:val="fr-FR" w:eastAsia="en-US"/>
              </w:rPr>
              <w:t>Février 2016</w:t>
            </w:r>
          </w:p>
        </w:tc>
        <w:tc>
          <w:tcPr>
            <w:tcW w:w="3911" w:type="dxa"/>
            <w:shd w:val="clear" w:color="auto" w:fill="auto"/>
            <w:noWrap/>
            <w:vAlign w:val="center"/>
            <w:hideMark/>
          </w:tcPr>
          <w:p w:rsidR="00EC2FFF" w:rsidRPr="00F131E9" w:rsidRDefault="004C56EE" w:rsidP="00F131E9">
            <w:pPr>
              <w:jc w:val="center"/>
              <w:rPr>
                <w:sz w:val="20"/>
                <w:lang w:val="fr-FR" w:eastAsia="en-US"/>
              </w:rPr>
            </w:pPr>
            <w:r w:rsidRPr="00F131E9">
              <w:rPr>
                <w:sz w:val="20"/>
                <w:lang w:val="fr-FR" w:eastAsia="en-US"/>
              </w:rPr>
              <w:noBreakHyphen/>
            </w:r>
            <w:r w:rsidR="00EC2FFF" w:rsidRPr="00F131E9">
              <w:rPr>
                <w:sz w:val="20"/>
                <w:lang w:val="fr-FR" w:eastAsia="en-US"/>
              </w:rPr>
              <w:t>6</w:t>
            </w:r>
            <w:r w:rsidR="00515FA8" w:rsidRPr="00F131E9">
              <w:rPr>
                <w:sz w:val="20"/>
                <w:lang w:val="fr-FR" w:eastAsia="en-US"/>
              </w:rPr>
              <w:t>,</w:t>
            </w:r>
            <w:r w:rsidR="00EC2FFF" w:rsidRPr="00F131E9">
              <w:rPr>
                <w:sz w:val="20"/>
                <w:lang w:val="fr-FR" w:eastAsia="en-US"/>
              </w:rPr>
              <w:t>4%</w:t>
            </w:r>
          </w:p>
        </w:tc>
      </w:tr>
      <w:tr w:rsidR="00EC2FFF" w:rsidRPr="00F131E9" w:rsidTr="00F131E9">
        <w:trPr>
          <w:trHeight w:val="300"/>
          <w:jc w:val="center"/>
        </w:trPr>
        <w:tc>
          <w:tcPr>
            <w:tcW w:w="1928" w:type="dxa"/>
            <w:shd w:val="clear" w:color="auto" w:fill="auto"/>
            <w:noWrap/>
            <w:vAlign w:val="bottom"/>
            <w:hideMark/>
          </w:tcPr>
          <w:p w:rsidR="00EC2FFF" w:rsidRPr="00F131E9" w:rsidRDefault="00887969" w:rsidP="00F131E9">
            <w:pPr>
              <w:rPr>
                <w:sz w:val="20"/>
                <w:lang w:val="fr-FR" w:eastAsia="en-US"/>
              </w:rPr>
            </w:pPr>
            <w:r w:rsidRPr="00F131E9">
              <w:rPr>
                <w:sz w:val="20"/>
                <w:lang w:val="fr-FR" w:eastAsia="en-US"/>
              </w:rPr>
              <w:t>Mars 2016</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42</w:t>
            </w:r>
            <w:r w:rsidR="00515FA8" w:rsidRPr="00F131E9">
              <w:rPr>
                <w:sz w:val="20"/>
                <w:lang w:val="fr-FR" w:eastAsia="en-US"/>
              </w:rPr>
              <w:t>,</w:t>
            </w:r>
            <w:r w:rsidRPr="00F131E9">
              <w:rPr>
                <w:sz w:val="20"/>
                <w:lang w:val="fr-FR" w:eastAsia="en-US"/>
              </w:rPr>
              <w:t>5%</w:t>
            </w:r>
          </w:p>
        </w:tc>
      </w:tr>
      <w:tr w:rsidR="00EC2FFF" w:rsidRPr="00F131E9" w:rsidTr="00F131E9">
        <w:trPr>
          <w:trHeight w:val="255"/>
          <w:jc w:val="center"/>
        </w:trPr>
        <w:tc>
          <w:tcPr>
            <w:tcW w:w="1928" w:type="dxa"/>
            <w:shd w:val="clear" w:color="auto" w:fill="auto"/>
            <w:noWrap/>
            <w:vAlign w:val="bottom"/>
            <w:hideMark/>
          </w:tcPr>
          <w:p w:rsidR="00EC2FFF" w:rsidRPr="00F131E9" w:rsidRDefault="00887969" w:rsidP="00F131E9">
            <w:pPr>
              <w:rPr>
                <w:sz w:val="20"/>
                <w:lang w:val="fr-FR" w:eastAsia="en-US"/>
              </w:rPr>
            </w:pPr>
            <w:r w:rsidRPr="00F131E9">
              <w:rPr>
                <w:sz w:val="20"/>
                <w:lang w:val="fr-FR" w:eastAsia="en-US"/>
              </w:rPr>
              <w:t>Avril 2016</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51</w:t>
            </w:r>
            <w:r w:rsidR="00515FA8" w:rsidRPr="00F131E9">
              <w:rPr>
                <w:sz w:val="20"/>
                <w:lang w:val="fr-FR" w:eastAsia="en-US"/>
              </w:rPr>
              <w:t>,</w:t>
            </w:r>
            <w:r w:rsidRPr="00F131E9">
              <w:rPr>
                <w:sz w:val="20"/>
                <w:lang w:val="fr-FR" w:eastAsia="en-US"/>
              </w:rPr>
              <w:t>9%</w:t>
            </w:r>
          </w:p>
        </w:tc>
      </w:tr>
      <w:tr w:rsidR="00EC2FFF" w:rsidRPr="00F131E9" w:rsidTr="00F131E9">
        <w:trPr>
          <w:trHeight w:val="255"/>
          <w:jc w:val="center"/>
        </w:trPr>
        <w:tc>
          <w:tcPr>
            <w:tcW w:w="1928" w:type="dxa"/>
            <w:shd w:val="clear" w:color="auto" w:fill="auto"/>
            <w:noWrap/>
            <w:vAlign w:val="bottom"/>
            <w:hideMark/>
          </w:tcPr>
          <w:p w:rsidR="00EC2FFF" w:rsidRPr="00F131E9" w:rsidRDefault="00887969" w:rsidP="00F131E9">
            <w:pPr>
              <w:rPr>
                <w:sz w:val="20"/>
                <w:lang w:val="fr-FR" w:eastAsia="en-US"/>
              </w:rPr>
            </w:pPr>
            <w:r w:rsidRPr="00F131E9">
              <w:rPr>
                <w:sz w:val="20"/>
                <w:lang w:val="fr-FR" w:eastAsia="en-US"/>
              </w:rPr>
              <w:t>Mai 2016</w:t>
            </w:r>
          </w:p>
        </w:tc>
        <w:tc>
          <w:tcPr>
            <w:tcW w:w="3911" w:type="dxa"/>
            <w:shd w:val="clear" w:color="auto" w:fill="auto"/>
            <w:noWrap/>
            <w:vAlign w:val="center"/>
            <w:hideMark/>
          </w:tcPr>
          <w:p w:rsidR="00EC2FFF" w:rsidRPr="00F131E9" w:rsidRDefault="00EC2FFF" w:rsidP="00F131E9">
            <w:pPr>
              <w:jc w:val="center"/>
              <w:rPr>
                <w:sz w:val="20"/>
                <w:lang w:val="fr-FR" w:eastAsia="en-US"/>
              </w:rPr>
            </w:pPr>
            <w:r w:rsidRPr="00F131E9">
              <w:rPr>
                <w:sz w:val="20"/>
                <w:lang w:val="fr-FR" w:eastAsia="en-US"/>
              </w:rPr>
              <w:t>18</w:t>
            </w:r>
            <w:r w:rsidR="00515FA8" w:rsidRPr="00F131E9">
              <w:rPr>
                <w:sz w:val="20"/>
                <w:lang w:val="fr-FR" w:eastAsia="en-US"/>
              </w:rPr>
              <w:t>,</w:t>
            </w:r>
            <w:r w:rsidRPr="00F131E9">
              <w:rPr>
                <w:sz w:val="20"/>
                <w:lang w:val="fr-FR" w:eastAsia="en-US"/>
              </w:rPr>
              <w:t>6%</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b/>
                <w:sz w:val="20"/>
                <w:lang w:val="fr-FR" w:eastAsia="en-US"/>
              </w:rPr>
            </w:pPr>
            <w:r w:rsidRPr="00F131E9">
              <w:rPr>
                <w:b/>
                <w:sz w:val="20"/>
                <w:lang w:val="fr-FR" w:eastAsia="en-US"/>
              </w:rPr>
              <w:t xml:space="preserve">Moyenne </w:t>
            </w:r>
            <w:r w:rsidR="00EC2FFF" w:rsidRPr="00F131E9">
              <w:rPr>
                <w:b/>
                <w:sz w:val="20"/>
                <w:lang w:val="fr-FR" w:eastAsia="en-US"/>
              </w:rPr>
              <w:t>2016</w:t>
            </w:r>
          </w:p>
        </w:tc>
        <w:tc>
          <w:tcPr>
            <w:tcW w:w="3911" w:type="dxa"/>
            <w:shd w:val="clear" w:color="auto" w:fill="auto"/>
            <w:noWrap/>
            <w:vAlign w:val="center"/>
            <w:hideMark/>
          </w:tcPr>
          <w:p w:rsidR="00EC2FFF" w:rsidRPr="00F131E9" w:rsidRDefault="00EC2FFF" w:rsidP="00F131E9">
            <w:pPr>
              <w:jc w:val="center"/>
              <w:rPr>
                <w:b/>
                <w:sz w:val="20"/>
                <w:lang w:val="fr-FR" w:eastAsia="en-US"/>
              </w:rPr>
            </w:pPr>
            <w:r w:rsidRPr="00F131E9">
              <w:rPr>
                <w:b/>
                <w:sz w:val="20"/>
                <w:lang w:val="fr-FR" w:eastAsia="en-US"/>
              </w:rPr>
              <w:t>32</w:t>
            </w:r>
            <w:r w:rsidR="00515FA8" w:rsidRPr="00F131E9">
              <w:rPr>
                <w:b/>
                <w:sz w:val="20"/>
                <w:lang w:val="fr-FR" w:eastAsia="en-US"/>
              </w:rPr>
              <w:t>,</w:t>
            </w:r>
            <w:r w:rsidRPr="00F131E9">
              <w:rPr>
                <w:b/>
                <w:sz w:val="20"/>
                <w:lang w:val="fr-FR" w:eastAsia="en-US"/>
              </w:rPr>
              <w:t>8%</w:t>
            </w:r>
          </w:p>
        </w:tc>
      </w:tr>
      <w:tr w:rsidR="00EC2FFF" w:rsidRPr="00F131E9" w:rsidTr="00F131E9">
        <w:trPr>
          <w:trHeight w:val="255"/>
          <w:jc w:val="center"/>
        </w:trPr>
        <w:tc>
          <w:tcPr>
            <w:tcW w:w="1928" w:type="dxa"/>
            <w:shd w:val="clear" w:color="auto" w:fill="auto"/>
            <w:noWrap/>
            <w:vAlign w:val="bottom"/>
            <w:hideMark/>
          </w:tcPr>
          <w:p w:rsidR="00EC2FFF" w:rsidRPr="00F131E9" w:rsidRDefault="009150A7" w:rsidP="00F131E9">
            <w:pPr>
              <w:rPr>
                <w:b/>
                <w:sz w:val="20"/>
                <w:lang w:val="fr-FR" w:eastAsia="en-US"/>
              </w:rPr>
            </w:pPr>
            <w:r w:rsidRPr="00F131E9">
              <w:rPr>
                <w:b/>
                <w:sz w:val="20"/>
                <w:lang w:val="fr-FR" w:eastAsia="en-US"/>
              </w:rPr>
              <w:t>Moyenne totale</w:t>
            </w:r>
          </w:p>
        </w:tc>
        <w:tc>
          <w:tcPr>
            <w:tcW w:w="3911" w:type="dxa"/>
            <w:shd w:val="clear" w:color="auto" w:fill="auto"/>
            <w:noWrap/>
            <w:vAlign w:val="center"/>
            <w:hideMark/>
          </w:tcPr>
          <w:p w:rsidR="00EC2FFF" w:rsidRPr="00F131E9" w:rsidRDefault="00EC2FFF" w:rsidP="00F131E9">
            <w:pPr>
              <w:jc w:val="center"/>
              <w:rPr>
                <w:b/>
                <w:sz w:val="20"/>
                <w:lang w:val="fr-FR" w:eastAsia="en-US"/>
              </w:rPr>
            </w:pPr>
            <w:r w:rsidRPr="00F131E9">
              <w:rPr>
                <w:b/>
                <w:sz w:val="20"/>
                <w:lang w:val="fr-FR" w:eastAsia="en-US"/>
              </w:rPr>
              <w:t>36</w:t>
            </w:r>
            <w:r w:rsidR="00515FA8" w:rsidRPr="00F131E9">
              <w:rPr>
                <w:b/>
                <w:sz w:val="20"/>
                <w:lang w:val="fr-FR" w:eastAsia="en-US"/>
              </w:rPr>
              <w:t>,</w:t>
            </w:r>
            <w:r w:rsidRPr="00F131E9">
              <w:rPr>
                <w:b/>
                <w:sz w:val="20"/>
                <w:lang w:val="fr-FR" w:eastAsia="en-US"/>
              </w:rPr>
              <w:t>8%</w:t>
            </w:r>
          </w:p>
        </w:tc>
      </w:tr>
    </w:tbl>
    <w:p w:rsidR="00F131E9" w:rsidRDefault="00F131E9" w:rsidP="00F131E9">
      <w:pPr>
        <w:pStyle w:val="ONUMFS"/>
        <w:numPr>
          <w:ilvl w:val="0"/>
          <w:numId w:val="0"/>
        </w:numPr>
        <w:rPr>
          <w:lang w:val="fr-FR"/>
        </w:rPr>
      </w:pPr>
    </w:p>
    <w:p w:rsidR="00F131E9" w:rsidRDefault="009A0CAD" w:rsidP="00F131E9">
      <w:pPr>
        <w:pStyle w:val="ONUMFS"/>
        <w:numPr>
          <w:ilvl w:val="0"/>
          <w:numId w:val="0"/>
        </w:numPr>
        <w:jc w:val="center"/>
        <w:rPr>
          <w:lang w:val="fr-FR"/>
        </w:rPr>
      </w:pPr>
      <w:r w:rsidRPr="000A6AA6">
        <w:rPr>
          <w:noProof/>
          <w:lang w:eastAsia="en-US"/>
        </w:rPr>
        <w:drawing>
          <wp:inline distT="0" distB="0" distL="0" distR="0" wp14:anchorId="5B471D1E" wp14:editId="5234F405">
            <wp:extent cx="4810125" cy="36290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468B" w:rsidRPr="000A6AA6" w:rsidRDefault="007579C2" w:rsidP="00F131E9">
      <w:pPr>
        <w:pStyle w:val="ONUMFS"/>
        <w:rPr>
          <w:lang w:val="fr-FR"/>
        </w:rPr>
      </w:pPr>
      <w:r w:rsidRPr="000A6AA6">
        <w:rPr>
          <w:lang w:val="fr-FR"/>
        </w:rPr>
        <w:t>Comme le montrent l</w:t>
      </w:r>
      <w:r w:rsidR="00696441" w:rsidRPr="000A6AA6">
        <w:rPr>
          <w:lang w:val="fr-FR"/>
        </w:rPr>
        <w:t>e tableau et le graphique ci</w:t>
      </w:r>
      <w:r w:rsidR="004C56EE" w:rsidRPr="000A6AA6">
        <w:rPr>
          <w:lang w:val="fr-FR"/>
        </w:rPr>
        <w:noBreakHyphen/>
      </w:r>
      <w:r w:rsidR="00696441" w:rsidRPr="000A6AA6">
        <w:rPr>
          <w:lang w:val="fr-FR"/>
        </w:rPr>
        <w:t>dessus</w:t>
      </w:r>
      <w:r w:rsidRPr="000A6AA6">
        <w:rPr>
          <w:lang w:val="fr-FR"/>
        </w:rPr>
        <w:t xml:space="preserve">, </w:t>
      </w:r>
      <w:r w:rsidR="00696441" w:rsidRPr="000A6AA6">
        <w:rPr>
          <w:lang w:val="fr-FR"/>
        </w:rPr>
        <w:t>il n</w:t>
      </w:r>
      <w:r w:rsidR="006A0BE5" w:rsidRPr="000A6AA6">
        <w:rPr>
          <w:lang w:val="fr-FR"/>
        </w:rPr>
        <w:t>’</w:t>
      </w:r>
      <w:r w:rsidR="00696441" w:rsidRPr="000A6AA6">
        <w:rPr>
          <w:lang w:val="fr-FR"/>
        </w:rPr>
        <w:t>est arrivé qu</w:t>
      </w:r>
      <w:r w:rsidR="006A0BE5" w:rsidRPr="000A6AA6">
        <w:rPr>
          <w:lang w:val="fr-FR"/>
        </w:rPr>
        <w:t>’</w:t>
      </w:r>
      <w:r w:rsidR="00696441" w:rsidRPr="000A6AA6">
        <w:rPr>
          <w:lang w:val="fr-FR"/>
        </w:rPr>
        <w:t>une seule fois sur une période de 17</w:t>
      </w:r>
      <w:r w:rsidR="000A6AA6">
        <w:rPr>
          <w:lang w:val="fr-FR"/>
        </w:rPr>
        <w:t> </w:t>
      </w:r>
      <w:r w:rsidR="00696441" w:rsidRPr="000A6AA6">
        <w:rPr>
          <w:lang w:val="fr-FR"/>
        </w:rPr>
        <w:t xml:space="preserve">mois </w:t>
      </w:r>
      <w:r w:rsidR="008D7A97" w:rsidRPr="000A6AA6">
        <w:rPr>
          <w:lang w:val="fr-FR"/>
        </w:rPr>
        <w:t>que les fonds disponibles en dollars</w:t>
      </w:r>
      <w:r w:rsidR="00E87329" w:rsidRPr="000A6AA6">
        <w:rPr>
          <w:lang w:val="fr-FR"/>
        </w:rPr>
        <w:t> </w:t>
      </w:r>
      <w:r w:rsidR="008D7A97" w:rsidRPr="000A6AA6">
        <w:rPr>
          <w:lang w:val="fr-FR"/>
        </w:rPr>
        <w:t>É.</w:t>
      </w:r>
      <w:r w:rsidR="004C56EE" w:rsidRPr="000A6AA6">
        <w:rPr>
          <w:lang w:val="fr-FR"/>
        </w:rPr>
        <w:noBreakHyphen/>
      </w:r>
      <w:r w:rsidR="008D7A97" w:rsidRPr="000A6AA6">
        <w:rPr>
          <w:lang w:val="fr-FR"/>
        </w:rPr>
        <w:t>U. soient en quantité suffisante pour couvrir ne serait</w:t>
      </w:r>
      <w:r w:rsidR="004C56EE" w:rsidRPr="000A6AA6">
        <w:rPr>
          <w:lang w:val="fr-FR"/>
        </w:rPr>
        <w:noBreakHyphen/>
      </w:r>
      <w:r w:rsidR="008D7A97" w:rsidRPr="000A6AA6">
        <w:rPr>
          <w:lang w:val="fr-FR"/>
        </w:rPr>
        <w:t xml:space="preserve">ce que le minimum </w:t>
      </w:r>
      <w:r w:rsidR="00911435" w:rsidRPr="000A6AA6">
        <w:rPr>
          <w:lang w:val="fr-FR"/>
        </w:rPr>
        <w:t>des recettes PCT en dollars</w:t>
      </w:r>
      <w:r w:rsidR="00E87329" w:rsidRPr="000A6AA6">
        <w:rPr>
          <w:lang w:val="fr-FR"/>
        </w:rPr>
        <w:t> </w:t>
      </w:r>
      <w:r w:rsidR="00911435" w:rsidRPr="000A6AA6">
        <w:rPr>
          <w:lang w:val="fr-FR"/>
        </w:rPr>
        <w:t>É.</w:t>
      </w:r>
      <w:r w:rsidR="004C56EE" w:rsidRPr="000A6AA6">
        <w:rPr>
          <w:lang w:val="fr-FR"/>
        </w:rPr>
        <w:noBreakHyphen/>
      </w:r>
      <w:r w:rsidR="00911435" w:rsidRPr="000A6AA6">
        <w:rPr>
          <w:lang w:val="fr-FR"/>
        </w:rPr>
        <w:t>U. disponibles pour l</w:t>
      </w:r>
      <w:r w:rsidR="006A0BE5" w:rsidRPr="000A6AA6">
        <w:rPr>
          <w:lang w:val="fr-FR"/>
        </w:rPr>
        <w:t>’</w:t>
      </w:r>
      <w:r w:rsidR="00911435" w:rsidRPr="000A6AA6">
        <w:rPr>
          <w:lang w:val="fr-FR"/>
        </w:rPr>
        <w:t xml:space="preserve">achat de contrats à terme (70%), </w:t>
      </w:r>
      <w:r w:rsidRPr="000A6AA6">
        <w:rPr>
          <w:lang w:val="fr-FR"/>
        </w:rPr>
        <w:t>et cela était dû à une modification non récurrente du cadre juridique régissant le dépôt des demandes PCT aux États</w:t>
      </w:r>
      <w:r w:rsidR="004C56EE" w:rsidRPr="000A6AA6">
        <w:rPr>
          <w:lang w:val="fr-FR"/>
        </w:rPr>
        <w:noBreakHyphen/>
      </w:r>
      <w:r w:rsidRPr="000A6AA6">
        <w:rPr>
          <w:lang w:val="fr-FR"/>
        </w:rPr>
        <w:t>Unis d</w:t>
      </w:r>
      <w:r w:rsidR="006A0BE5" w:rsidRPr="000A6AA6">
        <w:rPr>
          <w:lang w:val="fr-FR"/>
        </w:rPr>
        <w:t>’</w:t>
      </w:r>
      <w:r w:rsidRPr="000A6AA6">
        <w:rPr>
          <w:lang w:val="fr-FR"/>
        </w:rPr>
        <w:t>Amériq</w:t>
      </w:r>
      <w:r w:rsidR="004C56EE" w:rsidRPr="000A6AA6">
        <w:rPr>
          <w:lang w:val="fr-FR"/>
        </w:rPr>
        <w:t>ue.  Ét</w:t>
      </w:r>
      <w:r w:rsidR="009E1451" w:rsidRPr="000A6AA6">
        <w:rPr>
          <w:lang w:val="fr-FR"/>
        </w:rPr>
        <w:t>ant donné que les recettes</w:t>
      </w:r>
      <w:r w:rsidR="006A0BE5" w:rsidRPr="000A6AA6">
        <w:rPr>
          <w:lang w:val="fr-FR"/>
        </w:rPr>
        <w:t xml:space="preserve"> du PCT</w:t>
      </w:r>
      <w:r w:rsidR="009E1451" w:rsidRPr="000A6AA6">
        <w:rPr>
          <w:lang w:val="fr-FR"/>
        </w:rPr>
        <w:t xml:space="preserve"> sont reçues pour 40% en dollars</w:t>
      </w:r>
      <w:r w:rsidR="00E87329" w:rsidRPr="000A6AA6">
        <w:rPr>
          <w:lang w:val="fr-FR"/>
        </w:rPr>
        <w:t> </w:t>
      </w:r>
      <w:r w:rsidR="009E1451" w:rsidRPr="000A6AA6">
        <w:rPr>
          <w:lang w:val="fr-FR"/>
        </w:rPr>
        <w:t>É.</w:t>
      </w:r>
      <w:r w:rsidR="004C56EE" w:rsidRPr="000A6AA6">
        <w:rPr>
          <w:lang w:val="fr-FR"/>
        </w:rPr>
        <w:noBreakHyphen/>
      </w:r>
      <w:r w:rsidR="009E1451" w:rsidRPr="000A6AA6">
        <w:rPr>
          <w:lang w:val="fr-FR"/>
        </w:rPr>
        <w:t xml:space="preserve">U., le fait de manquer </w:t>
      </w:r>
      <w:r w:rsidR="009E1451" w:rsidRPr="000A6AA6">
        <w:rPr>
          <w:lang w:val="fr-FR"/>
        </w:rPr>
        <w:lastRenderedPageBreak/>
        <w:t>de fonds dans cette monnaie pour acheter des contrats à terme aurait créé un énorme risque de différences de change, qui aurait menacé la stabilité du budget de l</w:t>
      </w:r>
      <w:r w:rsidR="006A0BE5" w:rsidRPr="000A6AA6">
        <w:rPr>
          <w:lang w:val="fr-FR"/>
        </w:rPr>
        <w:t>’</w:t>
      </w:r>
      <w:r w:rsidR="009E1451" w:rsidRPr="000A6AA6">
        <w:rPr>
          <w:lang w:val="fr-FR"/>
        </w:rPr>
        <w:t>O</w:t>
      </w:r>
      <w:r w:rsidR="004C56EE" w:rsidRPr="000A6AA6">
        <w:rPr>
          <w:lang w:val="fr-FR"/>
        </w:rPr>
        <w:t>MPI.  Ce</w:t>
      </w:r>
      <w:r w:rsidR="00A43D0F" w:rsidRPr="000A6AA6">
        <w:rPr>
          <w:lang w:val="fr-FR"/>
        </w:rPr>
        <w:t xml:space="preserve"> risque aurait été encore aggravé par l</w:t>
      </w:r>
      <w:r w:rsidR="006A0BE5" w:rsidRPr="000A6AA6">
        <w:rPr>
          <w:lang w:val="fr-FR"/>
        </w:rPr>
        <w:t>’</w:t>
      </w:r>
      <w:r w:rsidR="00A43D0F" w:rsidRPr="000A6AA6">
        <w:rPr>
          <w:lang w:val="fr-FR"/>
        </w:rPr>
        <w:t>élimination proposée du mécanisme d</w:t>
      </w:r>
      <w:r w:rsidR="006A0BE5" w:rsidRPr="000A6AA6">
        <w:rPr>
          <w:lang w:val="fr-FR"/>
        </w:rPr>
        <w:t>’</w:t>
      </w:r>
      <w:r w:rsidR="00A43D0F" w:rsidRPr="000A6AA6">
        <w:rPr>
          <w:lang w:val="fr-FR"/>
        </w:rPr>
        <w:t xml:space="preserve">ajustement des taxes de dépôt en </w:t>
      </w:r>
      <w:r w:rsidR="00BC32E7" w:rsidRPr="000A6AA6">
        <w:rPr>
          <w:lang w:val="fr-FR"/>
        </w:rPr>
        <w:t>monnaie</w:t>
      </w:r>
      <w:r w:rsidR="00A43D0F" w:rsidRPr="000A6AA6">
        <w:rPr>
          <w:lang w:val="fr-FR"/>
        </w:rPr>
        <w:t>s autres que le franc suisse</w:t>
      </w:r>
      <w:r w:rsidR="00172B53" w:rsidRPr="000A6AA6">
        <w:rPr>
          <w:lang w:val="fr-FR"/>
        </w:rPr>
        <w:t>,</w:t>
      </w:r>
      <w:r w:rsidR="00C41D54" w:rsidRPr="000A6AA6">
        <w:rPr>
          <w:lang w:val="fr-FR"/>
        </w:rPr>
        <w:t xml:space="preserve"> qui permet au Bureau international de réagir dans un délai relativement bref à des fluctuations de taux de change comme celles qui ont suivi</w:t>
      </w:r>
      <w:r w:rsidR="00BC32E7" w:rsidRPr="000A6AA6">
        <w:rPr>
          <w:lang w:val="fr-FR"/>
        </w:rPr>
        <w:t xml:space="preserve"> en </w:t>
      </w:r>
      <w:r w:rsidR="006A0BE5" w:rsidRPr="000A6AA6">
        <w:rPr>
          <w:lang w:val="fr-FR"/>
        </w:rPr>
        <w:t>janvier 20</w:t>
      </w:r>
      <w:r w:rsidR="00BC32E7" w:rsidRPr="000A6AA6">
        <w:rPr>
          <w:lang w:val="fr-FR"/>
        </w:rPr>
        <w:t>15</w:t>
      </w:r>
      <w:r w:rsidR="00C41D54" w:rsidRPr="000A6AA6">
        <w:rPr>
          <w:lang w:val="fr-FR"/>
        </w:rPr>
        <w:t xml:space="preserve"> la décision de la Banque nationale suisse</w:t>
      </w:r>
      <w:r w:rsidR="00BC32E7" w:rsidRPr="000A6AA6">
        <w:rPr>
          <w:lang w:val="fr-FR"/>
        </w:rPr>
        <w:t xml:space="preserve"> de détacher le franc suisse de l</w:t>
      </w:r>
      <w:r w:rsidR="006A0BE5" w:rsidRPr="000A6AA6">
        <w:rPr>
          <w:lang w:val="fr-FR"/>
        </w:rPr>
        <w:t>’</w:t>
      </w:r>
      <w:r w:rsidR="00BC32E7" w:rsidRPr="000A6AA6">
        <w:rPr>
          <w:lang w:val="fr-FR"/>
        </w:rPr>
        <w:t>eu</w:t>
      </w:r>
      <w:r w:rsidR="004C56EE" w:rsidRPr="000A6AA6">
        <w:rPr>
          <w:lang w:val="fr-FR"/>
        </w:rPr>
        <w:t>ro.  Si</w:t>
      </w:r>
      <w:r w:rsidR="00260530" w:rsidRPr="000A6AA6">
        <w:rPr>
          <w:lang w:val="fr-FR"/>
        </w:rPr>
        <w:t xml:space="preserve"> le mécanisme des montants équivalents n</w:t>
      </w:r>
      <w:r w:rsidR="006A0BE5" w:rsidRPr="000A6AA6">
        <w:rPr>
          <w:lang w:val="fr-FR"/>
        </w:rPr>
        <w:t>’</w:t>
      </w:r>
      <w:r w:rsidR="00260530" w:rsidRPr="000A6AA6">
        <w:rPr>
          <w:lang w:val="fr-FR"/>
        </w:rPr>
        <w:t>avait pas été en place à cette époque, et si</w:t>
      </w:r>
      <w:r w:rsidR="009B1238" w:rsidRPr="000A6AA6">
        <w:rPr>
          <w:lang w:val="fr-FR"/>
        </w:rPr>
        <w:t xml:space="preserve"> la couverture des risques de change s</w:t>
      </w:r>
      <w:r w:rsidR="006A0BE5" w:rsidRPr="000A6AA6">
        <w:rPr>
          <w:lang w:val="fr-FR"/>
        </w:rPr>
        <w:t>’</w:t>
      </w:r>
      <w:r w:rsidR="009B1238" w:rsidRPr="000A6AA6">
        <w:rPr>
          <w:lang w:val="fr-FR"/>
        </w:rPr>
        <w:t>était limitée à</w:t>
      </w:r>
      <w:r w:rsidR="005D58BF" w:rsidRPr="000A6AA6">
        <w:rPr>
          <w:lang w:val="fr-FR"/>
        </w:rPr>
        <w:t xml:space="preserve"> 40%</w:t>
      </w:r>
      <w:r w:rsidR="00260530" w:rsidRPr="000A6AA6">
        <w:rPr>
          <w:lang w:val="fr-FR"/>
        </w:rPr>
        <w:t xml:space="preserve"> </w:t>
      </w:r>
      <w:r w:rsidR="009B1238" w:rsidRPr="000A6AA6">
        <w:rPr>
          <w:lang w:val="fr-FR"/>
        </w:rPr>
        <w:t>des recettes</w:t>
      </w:r>
      <w:r w:rsidR="006A0BE5" w:rsidRPr="000A6AA6">
        <w:rPr>
          <w:lang w:val="fr-FR"/>
        </w:rPr>
        <w:t xml:space="preserve"> du PCT</w:t>
      </w:r>
      <w:r w:rsidR="009B1238" w:rsidRPr="000A6AA6">
        <w:rPr>
          <w:lang w:val="fr-FR"/>
        </w:rPr>
        <w:t xml:space="preserve"> reçues en dollars</w:t>
      </w:r>
      <w:r w:rsidR="00E87329" w:rsidRPr="000A6AA6">
        <w:rPr>
          <w:lang w:val="fr-FR"/>
        </w:rPr>
        <w:t> </w:t>
      </w:r>
      <w:r w:rsidR="009B1238" w:rsidRPr="000A6AA6">
        <w:rPr>
          <w:lang w:val="fr-FR"/>
        </w:rPr>
        <w:t>É.</w:t>
      </w:r>
      <w:r w:rsidR="004C56EE" w:rsidRPr="000A6AA6">
        <w:rPr>
          <w:lang w:val="fr-FR"/>
        </w:rPr>
        <w:noBreakHyphen/>
      </w:r>
      <w:r w:rsidR="009B1238" w:rsidRPr="000A6AA6">
        <w:rPr>
          <w:lang w:val="fr-FR"/>
        </w:rPr>
        <w:t>U., l</w:t>
      </w:r>
      <w:r w:rsidR="006A0BE5" w:rsidRPr="000A6AA6">
        <w:rPr>
          <w:lang w:val="fr-FR"/>
        </w:rPr>
        <w:t>’</w:t>
      </w:r>
      <w:r w:rsidR="009B1238" w:rsidRPr="000A6AA6">
        <w:rPr>
          <w:lang w:val="fr-FR"/>
        </w:rPr>
        <w:t xml:space="preserve">OMPI aurait subi des pertes de change </w:t>
      </w:r>
      <w:r w:rsidR="00873EE7" w:rsidRPr="000A6AA6">
        <w:rPr>
          <w:lang w:val="fr-FR"/>
        </w:rPr>
        <w:t>considérables, qui auraient pesé à la fois sur son résultat net pour</w:t>
      </w:r>
      <w:r w:rsidR="00E87329" w:rsidRPr="000A6AA6">
        <w:rPr>
          <w:lang w:val="fr-FR"/>
        </w:rPr>
        <w:t> </w:t>
      </w:r>
      <w:r w:rsidR="00873EE7" w:rsidRPr="000A6AA6">
        <w:rPr>
          <w:lang w:val="fr-FR"/>
        </w:rPr>
        <w:t>2015 et sur ses réserves au 3</w:t>
      </w:r>
      <w:r w:rsidR="006A0BE5" w:rsidRPr="000A6AA6">
        <w:rPr>
          <w:lang w:val="fr-FR"/>
        </w:rPr>
        <w:t>1 décembre 20</w:t>
      </w:r>
      <w:r w:rsidR="00873EE7" w:rsidRPr="000A6AA6">
        <w:rPr>
          <w:lang w:val="fr-FR"/>
        </w:rPr>
        <w:t>15.</w:t>
      </w:r>
    </w:p>
    <w:p w:rsidR="00F131E9" w:rsidRDefault="00697924" w:rsidP="00395C62">
      <w:pPr>
        <w:pStyle w:val="Heading2"/>
        <w:rPr>
          <w:lang w:val="fr-FR"/>
        </w:rPr>
      </w:pPr>
      <w:r w:rsidRPr="000A6AA6">
        <w:rPr>
          <w:lang w:val="fr-FR"/>
        </w:rPr>
        <w:t>Euros</w:t>
      </w:r>
      <w:r w:rsidR="00CB58E4" w:rsidRPr="000A6AA6">
        <w:rPr>
          <w:lang w:val="fr-FR"/>
        </w:rPr>
        <w:t xml:space="preserve"> (EUR)</w:t>
      </w:r>
    </w:p>
    <w:p w:rsidR="00395C62" w:rsidRPr="00395C62" w:rsidRDefault="00395C62" w:rsidP="00395C62">
      <w:pPr>
        <w:rPr>
          <w:lang w:val="fr-FR"/>
        </w:rPr>
      </w:pPr>
    </w:p>
    <w:p w:rsidR="00DC714F" w:rsidRPr="000A6AA6" w:rsidRDefault="00C449FB" w:rsidP="00F131E9">
      <w:pPr>
        <w:pStyle w:val="ONUMFS"/>
        <w:rPr>
          <w:lang w:val="fr-FR"/>
        </w:rPr>
      </w:pPr>
      <w:r w:rsidRPr="000A6AA6">
        <w:rPr>
          <w:lang w:val="fr-FR"/>
        </w:rPr>
        <w:t>Le document WO/PBC/24/INF.3 (paragraphe</w:t>
      </w:r>
      <w:r w:rsidR="00E87329" w:rsidRPr="000A6AA6">
        <w:rPr>
          <w:lang w:val="fr-FR"/>
        </w:rPr>
        <w:t> </w:t>
      </w:r>
      <w:r w:rsidRPr="000A6AA6">
        <w:rPr>
          <w:lang w:val="fr-FR"/>
        </w:rPr>
        <w:t>12) soumis</w:t>
      </w:r>
      <w:r w:rsidR="006A0BE5" w:rsidRPr="000A6AA6">
        <w:rPr>
          <w:lang w:val="fr-FR"/>
        </w:rPr>
        <w:t xml:space="preserve"> au PBC</w:t>
      </w:r>
      <w:r w:rsidRPr="000A6AA6">
        <w:rPr>
          <w:lang w:val="fr-FR"/>
        </w:rPr>
        <w:t xml:space="preserve"> en</w:t>
      </w:r>
      <w:r w:rsidR="00E87329" w:rsidRPr="000A6AA6">
        <w:rPr>
          <w:lang w:val="fr-FR"/>
        </w:rPr>
        <w:t> </w:t>
      </w:r>
      <w:r w:rsidRPr="000A6AA6">
        <w:rPr>
          <w:lang w:val="fr-FR"/>
        </w:rPr>
        <w:t>2015 estimait</w:t>
      </w:r>
      <w:r w:rsidR="003443F4" w:rsidRPr="000A6AA6">
        <w:rPr>
          <w:lang w:val="fr-FR"/>
        </w:rPr>
        <w:t>, sur la base des données de</w:t>
      </w:r>
      <w:r w:rsidR="00E87329" w:rsidRPr="000A6AA6">
        <w:rPr>
          <w:lang w:val="fr-FR"/>
        </w:rPr>
        <w:t> </w:t>
      </w:r>
      <w:r w:rsidR="003443F4" w:rsidRPr="000A6AA6">
        <w:rPr>
          <w:lang w:val="fr-FR"/>
        </w:rPr>
        <w:t>2014 et de la première moitié de</w:t>
      </w:r>
      <w:r w:rsidR="00E87329" w:rsidRPr="000A6AA6">
        <w:rPr>
          <w:lang w:val="fr-FR"/>
        </w:rPr>
        <w:t> </w:t>
      </w:r>
      <w:r w:rsidR="003443F4" w:rsidRPr="000A6AA6">
        <w:rPr>
          <w:lang w:val="fr-FR"/>
        </w:rPr>
        <w:t xml:space="preserve">2015, que </w:t>
      </w:r>
      <w:r w:rsidRPr="000A6AA6">
        <w:rPr>
          <w:lang w:val="fr-FR"/>
        </w:rPr>
        <w:t>l</w:t>
      </w:r>
      <w:r w:rsidR="006A0BE5" w:rsidRPr="000A6AA6">
        <w:rPr>
          <w:lang w:val="fr-FR"/>
        </w:rPr>
        <w:t>’</w:t>
      </w:r>
      <w:r w:rsidRPr="000A6AA6">
        <w:rPr>
          <w:lang w:val="fr-FR"/>
        </w:rPr>
        <w:t xml:space="preserve">OMPI avait besoin de </w:t>
      </w:r>
      <w:r w:rsidR="003443F4" w:rsidRPr="000A6AA6">
        <w:rPr>
          <w:lang w:val="fr-FR"/>
        </w:rPr>
        <w:t>4</w:t>
      </w:r>
      <w:r w:rsidRPr="000A6AA6">
        <w:rPr>
          <w:lang w:val="fr-FR"/>
        </w:rPr>
        <w:t>0</w:t>
      </w:r>
      <w:r w:rsidR="003443F4" w:rsidRPr="000A6AA6">
        <w:rPr>
          <w:lang w:val="fr-FR"/>
        </w:rPr>
        <w:t>% des recettes</w:t>
      </w:r>
      <w:r w:rsidR="006A0BE5" w:rsidRPr="000A6AA6">
        <w:rPr>
          <w:lang w:val="fr-FR"/>
        </w:rPr>
        <w:t xml:space="preserve"> du PCT</w:t>
      </w:r>
      <w:r w:rsidR="003443F4" w:rsidRPr="000A6AA6">
        <w:rPr>
          <w:lang w:val="fr-FR"/>
        </w:rPr>
        <w:t xml:space="preserve"> perçues en </w:t>
      </w:r>
      <w:r w:rsidRPr="000A6AA6">
        <w:rPr>
          <w:lang w:val="fr-FR"/>
        </w:rPr>
        <w:t>euros</w:t>
      </w:r>
      <w:r w:rsidR="003443F4" w:rsidRPr="000A6AA6">
        <w:rPr>
          <w:lang w:val="fr-FR"/>
        </w:rPr>
        <w:t xml:space="preserve"> pour s</w:t>
      </w:r>
      <w:r w:rsidR="006A0BE5" w:rsidRPr="000A6AA6">
        <w:rPr>
          <w:lang w:val="fr-FR"/>
        </w:rPr>
        <w:t>’</w:t>
      </w:r>
      <w:r w:rsidR="003443F4" w:rsidRPr="000A6AA6">
        <w:rPr>
          <w:lang w:val="fr-FR"/>
        </w:rPr>
        <w:t>acquitter de ses obligations de paiement dans cette monnaie</w:t>
      </w:r>
      <w:r w:rsidRPr="000A6AA6">
        <w:rPr>
          <w:lang w:val="fr-FR"/>
        </w:rPr>
        <w:t xml:space="preserve">, </w:t>
      </w:r>
      <w:r w:rsidR="006A0BE5" w:rsidRPr="000A6AA6">
        <w:rPr>
          <w:lang w:val="fr-FR"/>
        </w:rPr>
        <w:t>y compris</w:t>
      </w:r>
      <w:r w:rsidR="002F32EC" w:rsidRPr="000A6AA6">
        <w:rPr>
          <w:lang w:val="fr-FR"/>
        </w:rPr>
        <w:t xml:space="preserve"> les taxes de recherche internationale perçues par le Bureau international</w:t>
      </w:r>
      <w:r w:rsidR="00B56A90" w:rsidRPr="000A6AA6">
        <w:rPr>
          <w:lang w:val="fr-FR"/>
        </w:rPr>
        <w:t xml:space="preserve">, </w:t>
      </w:r>
      <w:r w:rsidR="00626CB4" w:rsidRPr="000A6AA6">
        <w:rPr>
          <w:lang w:val="fr-FR"/>
        </w:rPr>
        <w:t xml:space="preserve">les </w:t>
      </w:r>
      <w:r w:rsidR="00B56A90" w:rsidRPr="000A6AA6">
        <w:rPr>
          <w:lang w:val="fr-FR"/>
        </w:rPr>
        <w:t xml:space="preserve">remboursements de frais de voyage payables dans cette monnaie et </w:t>
      </w:r>
      <w:r w:rsidR="00626CB4" w:rsidRPr="000A6AA6">
        <w:rPr>
          <w:lang w:val="fr-FR"/>
        </w:rPr>
        <w:t xml:space="preserve">les </w:t>
      </w:r>
      <w:r w:rsidR="00D563C5" w:rsidRPr="000A6AA6">
        <w:rPr>
          <w:lang w:val="fr-FR"/>
        </w:rPr>
        <w:t>autres</w:t>
      </w:r>
      <w:r w:rsidR="00BF6FF7" w:rsidRPr="000A6AA6">
        <w:rPr>
          <w:lang w:val="fr-FR"/>
        </w:rPr>
        <w:t xml:space="preserve"> montants à payer, </w:t>
      </w:r>
      <w:r w:rsidR="00626CB4" w:rsidRPr="000A6AA6">
        <w:rPr>
          <w:lang w:val="fr-FR"/>
        </w:rPr>
        <w:t>ce qui lui laissait une marge de 60% pour l</w:t>
      </w:r>
      <w:r w:rsidR="006A0BE5" w:rsidRPr="000A6AA6">
        <w:rPr>
          <w:lang w:val="fr-FR"/>
        </w:rPr>
        <w:t>’</w:t>
      </w:r>
      <w:r w:rsidR="00626CB4" w:rsidRPr="000A6AA6">
        <w:rPr>
          <w:lang w:val="fr-FR"/>
        </w:rPr>
        <w:t>achat de contrats à terme.</w:t>
      </w:r>
    </w:p>
    <w:p w:rsidR="00A406FA" w:rsidRPr="000A6AA6" w:rsidRDefault="0037284E" w:rsidP="00F131E9">
      <w:pPr>
        <w:pStyle w:val="ONUMFS"/>
        <w:rPr>
          <w:lang w:val="fr-FR"/>
        </w:rPr>
      </w:pPr>
      <w:r w:rsidRPr="000A6AA6">
        <w:rPr>
          <w:lang w:val="fr-FR"/>
        </w:rPr>
        <w:t>Le solde net en euros des recettes</w:t>
      </w:r>
      <w:r w:rsidR="006A0BE5" w:rsidRPr="000A6AA6">
        <w:rPr>
          <w:lang w:val="fr-FR"/>
        </w:rPr>
        <w:t xml:space="preserve"> du PCT</w:t>
      </w:r>
      <w:r w:rsidRPr="000A6AA6">
        <w:rPr>
          <w:lang w:val="fr-FR"/>
        </w:rPr>
        <w:t xml:space="preserve"> et d</w:t>
      </w:r>
      <w:r w:rsidR="006A0BE5" w:rsidRPr="000A6AA6">
        <w:rPr>
          <w:lang w:val="fr-FR"/>
        </w:rPr>
        <w:t>’</w:t>
      </w:r>
      <w:r w:rsidRPr="000A6AA6">
        <w:rPr>
          <w:lang w:val="fr-FR"/>
        </w:rPr>
        <w:t xml:space="preserve">autres sources </w:t>
      </w:r>
      <w:r w:rsidR="00061194" w:rsidRPr="000A6AA6">
        <w:rPr>
          <w:lang w:val="fr-FR"/>
        </w:rPr>
        <w:t xml:space="preserve">restant </w:t>
      </w:r>
      <w:r w:rsidRPr="000A6AA6">
        <w:rPr>
          <w:lang w:val="fr-FR"/>
        </w:rPr>
        <w:t>disponible</w:t>
      </w:r>
      <w:r w:rsidR="00512F09" w:rsidRPr="000A6AA6">
        <w:rPr>
          <w:lang w:val="fr-FR"/>
        </w:rPr>
        <w:t xml:space="preserve"> après règlement en euros des taxes de recherche et des sommes dues aux fournisseurs s</w:t>
      </w:r>
      <w:r w:rsidR="006A0BE5" w:rsidRPr="000A6AA6">
        <w:rPr>
          <w:lang w:val="fr-FR"/>
        </w:rPr>
        <w:t>’</w:t>
      </w:r>
      <w:r w:rsidR="00512F09" w:rsidRPr="000A6AA6">
        <w:rPr>
          <w:lang w:val="fr-FR"/>
        </w:rPr>
        <w:t xml:space="preserve">est avéré </w:t>
      </w:r>
      <w:r w:rsidR="00025C8F" w:rsidRPr="000A6AA6">
        <w:rPr>
          <w:lang w:val="fr-FR"/>
        </w:rPr>
        <w:t>un peu</w:t>
      </w:r>
      <w:r w:rsidR="00512F09" w:rsidRPr="000A6AA6">
        <w:rPr>
          <w:lang w:val="fr-FR"/>
        </w:rPr>
        <w:t xml:space="preserve"> supérieur aux estimations, </w:t>
      </w:r>
      <w:r w:rsidR="006361EC" w:rsidRPr="000A6AA6">
        <w:rPr>
          <w:lang w:val="fr-FR"/>
        </w:rPr>
        <w:t>et l</w:t>
      </w:r>
      <w:r w:rsidR="00CC164A" w:rsidRPr="000A6AA6">
        <w:rPr>
          <w:lang w:val="fr-FR"/>
        </w:rPr>
        <w:t>a moyenne du</w:t>
      </w:r>
      <w:r w:rsidR="006361EC" w:rsidRPr="000A6AA6">
        <w:rPr>
          <w:lang w:val="fr-FR"/>
        </w:rPr>
        <w:t xml:space="preserve"> pourcentage disponible </w:t>
      </w:r>
      <w:r w:rsidR="007C032F" w:rsidRPr="000A6AA6">
        <w:rPr>
          <w:lang w:val="fr-FR"/>
        </w:rPr>
        <w:t>aux fins de couverture légèrement inférieur</w:t>
      </w:r>
      <w:r w:rsidR="00CC164A" w:rsidRPr="000A6AA6">
        <w:rPr>
          <w:lang w:val="fr-FR"/>
        </w:rPr>
        <w:t>e</w:t>
      </w:r>
      <w:r w:rsidR="007C032F" w:rsidRPr="000A6AA6">
        <w:rPr>
          <w:lang w:val="fr-FR"/>
        </w:rPr>
        <w:t xml:space="preserve"> à la limite basse de la fourchette proposée dans le document PCT/WG/8/15, comme l</w:t>
      </w:r>
      <w:r w:rsidR="006A0BE5" w:rsidRPr="000A6AA6">
        <w:rPr>
          <w:lang w:val="fr-FR"/>
        </w:rPr>
        <w:t>’</w:t>
      </w:r>
      <w:r w:rsidR="007C032F" w:rsidRPr="000A6AA6">
        <w:rPr>
          <w:lang w:val="fr-FR"/>
        </w:rPr>
        <w:t>illustrent le tableau et le graphique ci</w:t>
      </w:r>
      <w:r w:rsidR="004C56EE" w:rsidRPr="000A6AA6">
        <w:rPr>
          <w:lang w:val="fr-FR"/>
        </w:rPr>
        <w:noBreakHyphen/>
      </w:r>
      <w:r w:rsidR="007C032F" w:rsidRPr="000A6AA6">
        <w:rPr>
          <w:lang w:val="fr-FR"/>
        </w:rPr>
        <w:t>dessous</w:t>
      </w:r>
      <w:r w:rsidR="00E87329" w:rsidRPr="000A6AA6">
        <w:rPr>
          <w:lang w:val="fr-FR"/>
        </w:rPr>
        <w:t> </w:t>
      </w:r>
      <w:r w:rsidR="007C032F" w:rsidRPr="000A6AA6">
        <w:rPr>
          <w:lang w:val="fr-FR"/>
        </w:rPr>
        <w:t>:</w:t>
      </w:r>
    </w:p>
    <w:tbl>
      <w:tblPr>
        <w:tblW w:w="5842" w:type="dxa"/>
        <w:jc w:val="center"/>
        <w:tblInd w:w="-225" w:type="dxa"/>
        <w:tblLook w:val="04A0" w:firstRow="1" w:lastRow="0" w:firstColumn="1" w:lastColumn="0" w:noHBand="0" w:noVBand="1"/>
      </w:tblPr>
      <w:tblGrid>
        <w:gridCol w:w="2500"/>
        <w:gridCol w:w="3342"/>
      </w:tblGrid>
      <w:tr w:rsidR="006E44AC" w:rsidRPr="0057339E"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4AC" w:rsidRPr="00BC0021" w:rsidRDefault="006E44AC" w:rsidP="00BC0021">
            <w:pPr>
              <w:jc w:val="center"/>
              <w:rPr>
                <w:b/>
                <w:sz w:val="20"/>
                <w:lang w:val="fr-FR" w:eastAsia="en-US"/>
              </w:rPr>
            </w:pPr>
            <w:r w:rsidRPr="00BC0021">
              <w:rPr>
                <w:b/>
                <w:sz w:val="20"/>
                <w:lang w:val="fr-FR" w:eastAsia="en-US"/>
              </w:rPr>
              <w:t>Mo</w:t>
            </w:r>
            <w:r w:rsidR="002372DF" w:rsidRPr="00BC0021">
              <w:rPr>
                <w:b/>
                <w:sz w:val="20"/>
                <w:lang w:val="fr-FR" w:eastAsia="en-US"/>
              </w:rPr>
              <w:t>is</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44AC" w:rsidRPr="00BC0021" w:rsidRDefault="005C3BAF" w:rsidP="00395C62">
            <w:pPr>
              <w:jc w:val="center"/>
              <w:rPr>
                <w:b/>
                <w:sz w:val="20"/>
                <w:lang w:val="fr-FR" w:eastAsia="en-US"/>
              </w:rPr>
            </w:pPr>
            <w:r w:rsidRPr="00BC0021">
              <w:rPr>
                <w:b/>
                <w:sz w:val="20"/>
                <w:lang w:val="fr-FR" w:eastAsia="en-US"/>
              </w:rPr>
              <w:t>Pourcentage des recettes</w:t>
            </w:r>
            <w:r w:rsidR="006A0BE5" w:rsidRPr="00BC0021">
              <w:rPr>
                <w:b/>
                <w:sz w:val="20"/>
                <w:lang w:val="fr-FR" w:eastAsia="en-US"/>
              </w:rPr>
              <w:t xml:space="preserve"> du PCT</w:t>
            </w:r>
            <w:r w:rsidR="006E44AC" w:rsidRPr="00BC0021">
              <w:rPr>
                <w:b/>
                <w:sz w:val="20"/>
                <w:lang w:val="fr-FR" w:eastAsia="en-US"/>
              </w:rPr>
              <w:t xml:space="preserve"> </w:t>
            </w:r>
            <w:r w:rsidRPr="00BC0021">
              <w:rPr>
                <w:b/>
                <w:sz w:val="20"/>
                <w:lang w:val="fr-FR" w:eastAsia="en-US"/>
              </w:rPr>
              <w:t xml:space="preserve">en </w:t>
            </w:r>
            <w:r w:rsidR="00395C62">
              <w:rPr>
                <w:b/>
                <w:sz w:val="20"/>
                <w:lang w:val="fr-FR" w:eastAsia="en-US"/>
              </w:rPr>
              <w:t>euro</w:t>
            </w:r>
            <w:r w:rsidR="006E44AC" w:rsidRPr="00BC0021">
              <w:rPr>
                <w:b/>
                <w:sz w:val="20"/>
                <w:lang w:val="fr-FR" w:eastAsia="en-US"/>
              </w:rPr>
              <w:t xml:space="preserve"> </w:t>
            </w:r>
            <w:r w:rsidRPr="00BC0021">
              <w:rPr>
                <w:b/>
                <w:sz w:val="20"/>
                <w:lang w:val="fr-FR" w:eastAsia="en-US"/>
              </w:rPr>
              <w:t>disponible pour l</w:t>
            </w:r>
            <w:r w:rsidR="006A0BE5" w:rsidRPr="00BC0021">
              <w:rPr>
                <w:b/>
                <w:sz w:val="20"/>
                <w:lang w:val="fr-FR" w:eastAsia="en-US"/>
              </w:rPr>
              <w:t>’</w:t>
            </w:r>
            <w:r w:rsidRPr="00BC0021">
              <w:rPr>
                <w:b/>
                <w:sz w:val="20"/>
                <w:lang w:val="fr-FR" w:eastAsia="en-US"/>
              </w:rPr>
              <w:t>achat de contrats à terme</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Janvier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63</w:t>
            </w:r>
            <w:r w:rsidR="00872654" w:rsidRPr="00BC0021">
              <w:rPr>
                <w:sz w:val="20"/>
                <w:lang w:val="fr-FR" w:eastAsia="en-US"/>
              </w:rPr>
              <w:t>,</w:t>
            </w:r>
            <w:r w:rsidRPr="00BC0021">
              <w:rPr>
                <w:sz w:val="20"/>
                <w:lang w:val="fr-FR" w:eastAsia="en-US"/>
              </w:rPr>
              <w:t>5%</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Février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51</w:t>
            </w:r>
            <w:r w:rsidR="00872654" w:rsidRPr="00BC0021">
              <w:rPr>
                <w:sz w:val="20"/>
                <w:lang w:val="fr-FR" w:eastAsia="en-US"/>
              </w:rPr>
              <w:t>,</w:t>
            </w:r>
            <w:r w:rsidRPr="00BC0021">
              <w:rPr>
                <w:sz w:val="20"/>
                <w:lang w:val="fr-FR" w:eastAsia="en-US"/>
              </w:rPr>
              <w:t>4%</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Mars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73</w:t>
            </w:r>
            <w:r w:rsidR="00872654" w:rsidRPr="00BC0021">
              <w:rPr>
                <w:sz w:val="20"/>
                <w:lang w:val="fr-FR" w:eastAsia="en-US"/>
              </w:rPr>
              <w:t>,</w:t>
            </w:r>
            <w:r w:rsidRPr="00BC0021">
              <w:rPr>
                <w:sz w:val="20"/>
                <w:lang w:val="fr-FR" w:eastAsia="en-US"/>
              </w:rPr>
              <w:t>4%</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Avril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74</w:t>
            </w:r>
            <w:r w:rsidR="00872654" w:rsidRPr="00BC0021">
              <w:rPr>
                <w:sz w:val="20"/>
                <w:lang w:val="fr-FR" w:eastAsia="en-US"/>
              </w:rPr>
              <w:t>,</w:t>
            </w:r>
            <w:r w:rsidRPr="00BC0021">
              <w:rPr>
                <w:sz w:val="20"/>
                <w:lang w:val="fr-FR" w:eastAsia="en-US"/>
              </w:rPr>
              <w:t>5%</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Mai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75</w:t>
            </w:r>
            <w:r w:rsidR="00872654" w:rsidRPr="00BC0021">
              <w:rPr>
                <w:sz w:val="20"/>
                <w:lang w:val="fr-FR" w:eastAsia="en-US"/>
              </w:rPr>
              <w:t>,</w:t>
            </w:r>
            <w:r w:rsidRPr="00BC0021">
              <w:rPr>
                <w:sz w:val="20"/>
                <w:lang w:val="fr-FR" w:eastAsia="en-US"/>
              </w:rPr>
              <w:t>3%</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Juin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59</w:t>
            </w:r>
            <w:r w:rsidR="00872654" w:rsidRPr="00BC0021">
              <w:rPr>
                <w:sz w:val="20"/>
                <w:lang w:val="fr-FR" w:eastAsia="en-US"/>
              </w:rPr>
              <w:t>,</w:t>
            </w:r>
            <w:r w:rsidRPr="00BC0021">
              <w:rPr>
                <w:sz w:val="20"/>
                <w:lang w:val="fr-FR" w:eastAsia="en-US"/>
              </w:rPr>
              <w:t>9%</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Juillet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61</w:t>
            </w:r>
            <w:r w:rsidR="00872654" w:rsidRPr="00BC0021">
              <w:rPr>
                <w:sz w:val="20"/>
                <w:lang w:val="fr-FR" w:eastAsia="en-US"/>
              </w:rPr>
              <w:t>,</w:t>
            </w:r>
            <w:r w:rsidRPr="00BC0021">
              <w:rPr>
                <w:sz w:val="20"/>
                <w:lang w:val="fr-FR" w:eastAsia="en-US"/>
              </w:rPr>
              <w:t>2%</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Août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75</w:t>
            </w:r>
            <w:r w:rsidR="00872654" w:rsidRPr="00BC0021">
              <w:rPr>
                <w:sz w:val="20"/>
                <w:lang w:val="fr-FR" w:eastAsia="en-US"/>
              </w:rPr>
              <w:t>,</w:t>
            </w:r>
            <w:r w:rsidRPr="00BC0021">
              <w:rPr>
                <w:sz w:val="20"/>
                <w:lang w:val="fr-FR" w:eastAsia="en-US"/>
              </w:rPr>
              <w:t>8%</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Septembre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81</w:t>
            </w:r>
            <w:r w:rsidR="00872654" w:rsidRPr="00BC0021">
              <w:rPr>
                <w:sz w:val="20"/>
                <w:lang w:val="fr-FR" w:eastAsia="en-US"/>
              </w:rPr>
              <w:t>,</w:t>
            </w:r>
            <w:r w:rsidRPr="00BC0021">
              <w:rPr>
                <w:sz w:val="20"/>
                <w:lang w:val="fr-FR" w:eastAsia="en-US"/>
              </w:rPr>
              <w:t>4%</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Octobre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64</w:t>
            </w:r>
            <w:r w:rsidR="00872654" w:rsidRPr="00BC0021">
              <w:rPr>
                <w:sz w:val="20"/>
                <w:lang w:val="fr-FR" w:eastAsia="en-US"/>
              </w:rPr>
              <w:t>,</w:t>
            </w:r>
            <w:r w:rsidRPr="00BC0021">
              <w:rPr>
                <w:sz w:val="20"/>
                <w:lang w:val="fr-FR" w:eastAsia="en-US"/>
              </w:rPr>
              <w:t>9%</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Novembre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78</w:t>
            </w:r>
            <w:r w:rsidR="00872654" w:rsidRPr="00BC0021">
              <w:rPr>
                <w:sz w:val="20"/>
                <w:lang w:val="fr-FR" w:eastAsia="en-US"/>
              </w:rPr>
              <w:t>,</w:t>
            </w:r>
            <w:r w:rsidRPr="00BC0021">
              <w:rPr>
                <w:sz w:val="20"/>
                <w:lang w:val="fr-FR" w:eastAsia="en-US"/>
              </w:rPr>
              <w:t>1%</w:t>
            </w:r>
          </w:p>
        </w:tc>
      </w:tr>
      <w:tr w:rsidR="002372DF" w:rsidRPr="00BC0021" w:rsidTr="00BC0021">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Décembre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65</w:t>
            </w:r>
            <w:r w:rsidR="00872654" w:rsidRPr="00BC0021">
              <w:rPr>
                <w:sz w:val="20"/>
                <w:lang w:val="fr-FR" w:eastAsia="en-US"/>
              </w:rPr>
              <w:t>,</w:t>
            </w:r>
            <w:r w:rsidRPr="00BC0021">
              <w:rPr>
                <w:sz w:val="20"/>
                <w:lang w:val="fr-FR" w:eastAsia="en-US"/>
              </w:rPr>
              <w:t>4%</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b/>
                <w:sz w:val="20"/>
                <w:lang w:val="fr-FR" w:eastAsia="en-US"/>
              </w:rPr>
            </w:pPr>
            <w:r w:rsidRPr="00BC0021">
              <w:rPr>
                <w:b/>
                <w:sz w:val="20"/>
                <w:lang w:val="fr-FR" w:eastAsia="en-US"/>
              </w:rPr>
              <w:t>Moyenne 2015</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b/>
                <w:sz w:val="20"/>
                <w:lang w:val="fr-FR" w:eastAsia="en-US"/>
              </w:rPr>
            </w:pPr>
            <w:r w:rsidRPr="00BC0021">
              <w:rPr>
                <w:b/>
                <w:sz w:val="20"/>
                <w:lang w:val="fr-FR" w:eastAsia="en-US"/>
              </w:rPr>
              <w:t>68</w:t>
            </w:r>
            <w:r w:rsidR="00872654" w:rsidRPr="00BC0021">
              <w:rPr>
                <w:b/>
                <w:sz w:val="20"/>
                <w:lang w:val="fr-FR" w:eastAsia="en-US"/>
              </w:rPr>
              <w:t>,</w:t>
            </w:r>
            <w:r w:rsidRPr="00BC0021">
              <w:rPr>
                <w:b/>
                <w:sz w:val="20"/>
                <w:lang w:val="fr-FR" w:eastAsia="en-US"/>
              </w:rPr>
              <w:t>9%</w:t>
            </w:r>
          </w:p>
        </w:tc>
      </w:tr>
      <w:tr w:rsidR="00F206D0"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6D0" w:rsidRPr="00BC0021" w:rsidRDefault="00F206D0" w:rsidP="00BC0021">
            <w:pPr>
              <w:rPr>
                <w:sz w:val="20"/>
                <w:lang w:val="fr-FR" w:eastAsia="en-US"/>
              </w:rPr>
            </w:pP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6D0" w:rsidRPr="00BC0021" w:rsidRDefault="00F206D0" w:rsidP="00BC0021">
            <w:pPr>
              <w:jc w:val="center"/>
              <w:rPr>
                <w:sz w:val="20"/>
                <w:lang w:val="fr-FR" w:eastAsia="en-US"/>
              </w:rPr>
            </w:pP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Janvier 2016</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70</w:t>
            </w:r>
            <w:r w:rsidR="00872654" w:rsidRPr="00BC0021">
              <w:rPr>
                <w:sz w:val="20"/>
                <w:lang w:val="fr-FR" w:eastAsia="en-US"/>
              </w:rPr>
              <w:t>,</w:t>
            </w:r>
            <w:r w:rsidRPr="00BC0021">
              <w:rPr>
                <w:sz w:val="20"/>
                <w:lang w:val="fr-FR" w:eastAsia="en-US"/>
              </w:rPr>
              <w:t>1%</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Février 2016</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59</w:t>
            </w:r>
            <w:r w:rsidR="00872654" w:rsidRPr="00BC0021">
              <w:rPr>
                <w:sz w:val="20"/>
                <w:lang w:val="fr-FR" w:eastAsia="en-US"/>
              </w:rPr>
              <w:t>,</w:t>
            </w:r>
            <w:r w:rsidRPr="00BC0021">
              <w:rPr>
                <w:sz w:val="20"/>
                <w:lang w:val="fr-FR" w:eastAsia="en-US"/>
              </w:rPr>
              <w:t>2%</w:t>
            </w:r>
          </w:p>
        </w:tc>
      </w:tr>
      <w:tr w:rsidR="002372DF" w:rsidRPr="00BC0021" w:rsidTr="00BC0021">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Mars 2016</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76</w:t>
            </w:r>
            <w:r w:rsidR="00872654" w:rsidRPr="00BC0021">
              <w:rPr>
                <w:sz w:val="20"/>
                <w:lang w:val="fr-FR" w:eastAsia="en-US"/>
              </w:rPr>
              <w:t>,</w:t>
            </w:r>
            <w:r w:rsidRPr="00BC0021">
              <w:rPr>
                <w:sz w:val="20"/>
                <w:lang w:val="fr-FR" w:eastAsia="en-US"/>
              </w:rPr>
              <w:t>3%</w:t>
            </w:r>
          </w:p>
        </w:tc>
      </w:tr>
      <w:tr w:rsidR="002372DF"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Avril 2016</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80</w:t>
            </w:r>
            <w:r w:rsidR="00872654" w:rsidRPr="00BC0021">
              <w:rPr>
                <w:sz w:val="20"/>
                <w:lang w:val="fr-FR" w:eastAsia="en-US"/>
              </w:rPr>
              <w:t>,</w:t>
            </w:r>
            <w:r w:rsidRPr="00BC0021">
              <w:rPr>
                <w:sz w:val="20"/>
                <w:lang w:val="fr-FR" w:eastAsia="en-US"/>
              </w:rPr>
              <w:t>1%</w:t>
            </w:r>
          </w:p>
        </w:tc>
      </w:tr>
      <w:tr w:rsidR="002372DF" w:rsidRPr="00BC0021" w:rsidTr="00BC0021">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sz w:val="20"/>
                <w:lang w:val="fr-FR" w:eastAsia="en-US"/>
              </w:rPr>
            </w:pPr>
            <w:r w:rsidRPr="00BC0021">
              <w:rPr>
                <w:sz w:val="20"/>
                <w:lang w:val="fr-FR" w:eastAsia="en-US"/>
              </w:rPr>
              <w:t>Mai 2016</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sz w:val="20"/>
                <w:lang w:val="fr-FR" w:eastAsia="en-US"/>
              </w:rPr>
            </w:pPr>
            <w:r w:rsidRPr="00BC0021">
              <w:rPr>
                <w:sz w:val="20"/>
                <w:lang w:val="fr-FR" w:eastAsia="en-US"/>
              </w:rPr>
              <w:t>68</w:t>
            </w:r>
            <w:r w:rsidR="00872654" w:rsidRPr="00BC0021">
              <w:rPr>
                <w:sz w:val="20"/>
                <w:lang w:val="fr-FR" w:eastAsia="en-US"/>
              </w:rPr>
              <w:t>,</w:t>
            </w:r>
            <w:r w:rsidRPr="00BC0021">
              <w:rPr>
                <w:sz w:val="20"/>
                <w:lang w:val="fr-FR" w:eastAsia="en-US"/>
              </w:rPr>
              <w:t>8%</w:t>
            </w:r>
          </w:p>
        </w:tc>
      </w:tr>
      <w:tr w:rsidR="002372DF" w:rsidRPr="00BC0021" w:rsidTr="00BC0021">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2DF" w:rsidRPr="00BC0021" w:rsidRDefault="002372DF" w:rsidP="00BC0021">
            <w:pPr>
              <w:rPr>
                <w:b/>
                <w:sz w:val="20"/>
                <w:lang w:val="fr-FR" w:eastAsia="en-US"/>
              </w:rPr>
            </w:pPr>
            <w:r w:rsidRPr="00BC0021">
              <w:rPr>
                <w:b/>
                <w:sz w:val="20"/>
                <w:lang w:val="fr-FR" w:eastAsia="en-US"/>
              </w:rPr>
              <w:t>Moyenne 2016</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DF" w:rsidRPr="00BC0021" w:rsidRDefault="002372DF" w:rsidP="00BC0021">
            <w:pPr>
              <w:jc w:val="center"/>
              <w:rPr>
                <w:b/>
                <w:sz w:val="20"/>
                <w:lang w:val="fr-FR" w:eastAsia="en-US"/>
              </w:rPr>
            </w:pPr>
            <w:r w:rsidRPr="00BC0021">
              <w:rPr>
                <w:b/>
                <w:sz w:val="20"/>
                <w:lang w:val="fr-FR" w:eastAsia="en-US"/>
              </w:rPr>
              <w:t>71</w:t>
            </w:r>
            <w:r w:rsidR="00872654" w:rsidRPr="00BC0021">
              <w:rPr>
                <w:b/>
                <w:sz w:val="20"/>
                <w:lang w:val="fr-FR" w:eastAsia="en-US"/>
              </w:rPr>
              <w:t>,</w:t>
            </w:r>
            <w:r w:rsidRPr="00BC0021">
              <w:rPr>
                <w:b/>
                <w:sz w:val="20"/>
                <w:lang w:val="fr-FR" w:eastAsia="en-US"/>
              </w:rPr>
              <w:t>1%</w:t>
            </w:r>
          </w:p>
        </w:tc>
      </w:tr>
      <w:tr w:rsidR="00F206D0"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6D0" w:rsidRPr="00BC0021" w:rsidRDefault="00F206D0" w:rsidP="00BC0021">
            <w:pPr>
              <w:rPr>
                <w:sz w:val="20"/>
                <w:lang w:val="fr-FR" w:eastAsia="en-US"/>
              </w:rPr>
            </w:pP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6D0" w:rsidRPr="00BC0021" w:rsidRDefault="00F206D0" w:rsidP="00BC0021">
            <w:pPr>
              <w:jc w:val="center"/>
              <w:rPr>
                <w:sz w:val="20"/>
                <w:lang w:val="fr-FR" w:eastAsia="en-US"/>
              </w:rPr>
            </w:pPr>
          </w:p>
        </w:tc>
      </w:tr>
      <w:tr w:rsidR="00F206D0" w:rsidRPr="00BC0021" w:rsidTr="00BC0021">
        <w:trPr>
          <w:trHeight w:val="255"/>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6D0" w:rsidRPr="00BC0021" w:rsidRDefault="002372DF" w:rsidP="00BC0021">
            <w:pPr>
              <w:rPr>
                <w:b/>
                <w:sz w:val="20"/>
                <w:lang w:val="fr-FR" w:eastAsia="en-US"/>
              </w:rPr>
            </w:pPr>
            <w:r w:rsidRPr="00BC0021">
              <w:rPr>
                <w:b/>
                <w:sz w:val="20"/>
                <w:lang w:val="fr-FR" w:eastAsia="en-US"/>
              </w:rPr>
              <w:t>Moyenne totale</w:t>
            </w:r>
          </w:p>
        </w:tc>
        <w:tc>
          <w:tcPr>
            <w:tcW w:w="3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6D0" w:rsidRPr="00BC0021" w:rsidRDefault="00F206D0" w:rsidP="00BC0021">
            <w:pPr>
              <w:jc w:val="center"/>
              <w:rPr>
                <w:b/>
                <w:sz w:val="20"/>
                <w:lang w:val="fr-FR" w:eastAsia="en-US"/>
              </w:rPr>
            </w:pPr>
            <w:r w:rsidRPr="00BC0021">
              <w:rPr>
                <w:b/>
                <w:sz w:val="20"/>
                <w:lang w:val="fr-FR" w:eastAsia="en-US"/>
              </w:rPr>
              <w:t>69</w:t>
            </w:r>
            <w:r w:rsidR="00872654" w:rsidRPr="00BC0021">
              <w:rPr>
                <w:b/>
                <w:sz w:val="20"/>
                <w:lang w:val="fr-FR" w:eastAsia="en-US"/>
              </w:rPr>
              <w:t>,</w:t>
            </w:r>
            <w:r w:rsidRPr="00BC0021">
              <w:rPr>
                <w:b/>
                <w:sz w:val="20"/>
                <w:lang w:val="fr-FR" w:eastAsia="en-US"/>
              </w:rPr>
              <w:t>6%</w:t>
            </w:r>
          </w:p>
        </w:tc>
      </w:tr>
      <w:tr w:rsidR="006E44AC" w:rsidRPr="00BC0021" w:rsidTr="00BC0021">
        <w:trPr>
          <w:trHeight w:val="255"/>
          <w:jc w:val="center"/>
        </w:trPr>
        <w:tc>
          <w:tcPr>
            <w:tcW w:w="2500" w:type="dxa"/>
            <w:tcBorders>
              <w:top w:val="single" w:sz="4" w:space="0" w:color="auto"/>
            </w:tcBorders>
            <w:shd w:val="clear" w:color="auto" w:fill="auto"/>
            <w:noWrap/>
            <w:vAlign w:val="bottom"/>
          </w:tcPr>
          <w:p w:rsidR="006E44AC" w:rsidRPr="00BC0021" w:rsidRDefault="006E44AC" w:rsidP="00BC0021">
            <w:pPr>
              <w:rPr>
                <w:sz w:val="20"/>
                <w:lang w:val="fr-FR" w:eastAsia="en-US"/>
              </w:rPr>
            </w:pPr>
          </w:p>
        </w:tc>
        <w:tc>
          <w:tcPr>
            <w:tcW w:w="3342" w:type="dxa"/>
            <w:tcBorders>
              <w:top w:val="single" w:sz="4" w:space="0" w:color="auto"/>
            </w:tcBorders>
            <w:shd w:val="clear" w:color="auto" w:fill="auto"/>
            <w:noWrap/>
            <w:vAlign w:val="center"/>
          </w:tcPr>
          <w:p w:rsidR="006E44AC" w:rsidRPr="00BC0021" w:rsidRDefault="006E44AC" w:rsidP="00BC0021">
            <w:pPr>
              <w:jc w:val="center"/>
              <w:rPr>
                <w:sz w:val="20"/>
                <w:lang w:val="fr-FR" w:eastAsia="en-US"/>
              </w:rPr>
            </w:pPr>
          </w:p>
        </w:tc>
      </w:tr>
    </w:tbl>
    <w:p w:rsidR="00F516DC" w:rsidRPr="000A6AA6" w:rsidRDefault="00F516DC" w:rsidP="00BC0021">
      <w:pPr>
        <w:pStyle w:val="ONUMFS"/>
        <w:numPr>
          <w:ilvl w:val="0"/>
          <w:numId w:val="0"/>
        </w:numPr>
        <w:rPr>
          <w:lang w:val="fr-FR"/>
        </w:rPr>
      </w:pPr>
    </w:p>
    <w:p w:rsidR="00F131E9" w:rsidRDefault="00DC6904" w:rsidP="00BC0021">
      <w:pPr>
        <w:pStyle w:val="ONUMFS"/>
        <w:numPr>
          <w:ilvl w:val="0"/>
          <w:numId w:val="0"/>
        </w:numPr>
        <w:jc w:val="center"/>
        <w:rPr>
          <w:lang w:val="fr-FR"/>
        </w:rPr>
      </w:pPr>
      <w:r w:rsidRPr="000A6AA6">
        <w:rPr>
          <w:noProof/>
          <w:lang w:eastAsia="en-US"/>
        </w:rPr>
        <w:lastRenderedPageBreak/>
        <w:drawing>
          <wp:inline distT="0" distB="0" distL="0" distR="0" wp14:anchorId="798CE05B" wp14:editId="2C87EAD6">
            <wp:extent cx="5210175" cy="2943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64B4" w:rsidRPr="000A6AA6" w:rsidRDefault="002B64B4" w:rsidP="00BC0021">
      <w:pPr>
        <w:pStyle w:val="ONUMFS"/>
        <w:numPr>
          <w:ilvl w:val="0"/>
          <w:numId w:val="0"/>
        </w:numPr>
        <w:rPr>
          <w:lang w:val="fr-FR"/>
        </w:rPr>
      </w:pPr>
    </w:p>
    <w:p w:rsidR="00EB0038" w:rsidRPr="000A6AA6" w:rsidRDefault="002E2236" w:rsidP="00F131E9">
      <w:pPr>
        <w:pStyle w:val="ONUMFS"/>
        <w:rPr>
          <w:lang w:val="fr-FR"/>
        </w:rPr>
      </w:pPr>
      <w:r w:rsidRPr="000A6AA6">
        <w:rPr>
          <w:lang w:val="fr-FR"/>
        </w:rPr>
        <w:t>Comme le montre le tableau,</w:t>
      </w:r>
      <w:r w:rsidR="003B7094" w:rsidRPr="000A6AA6">
        <w:rPr>
          <w:lang w:val="fr-FR"/>
        </w:rPr>
        <w:t xml:space="preserve"> si les recettes en euros fluctuent considérablement d</w:t>
      </w:r>
      <w:r w:rsidR="006A0BE5" w:rsidRPr="000A6AA6">
        <w:rPr>
          <w:lang w:val="fr-FR"/>
        </w:rPr>
        <w:t>’</w:t>
      </w:r>
      <w:r w:rsidR="003B7094" w:rsidRPr="000A6AA6">
        <w:rPr>
          <w:lang w:val="fr-FR"/>
        </w:rPr>
        <w:t>un mois à l</w:t>
      </w:r>
      <w:r w:rsidR="006A0BE5" w:rsidRPr="000A6AA6">
        <w:rPr>
          <w:lang w:val="fr-FR"/>
        </w:rPr>
        <w:t>’</w:t>
      </w:r>
      <w:r w:rsidR="003B7094" w:rsidRPr="000A6AA6">
        <w:rPr>
          <w:lang w:val="fr-FR"/>
        </w:rPr>
        <w:t>autre, elles sont plus stables que les recettes et les décaissements en dollars</w:t>
      </w:r>
      <w:r w:rsidR="00E87329" w:rsidRPr="000A6AA6">
        <w:rPr>
          <w:lang w:val="fr-FR"/>
        </w:rPr>
        <w:t> </w:t>
      </w:r>
      <w:r w:rsidR="003B7094" w:rsidRPr="000A6AA6">
        <w:rPr>
          <w:lang w:val="fr-FR"/>
        </w:rPr>
        <w:t>É.</w:t>
      </w:r>
      <w:r w:rsidR="004C56EE" w:rsidRPr="000A6AA6">
        <w:rPr>
          <w:lang w:val="fr-FR"/>
        </w:rPr>
        <w:noBreakHyphen/>
      </w:r>
      <w:r w:rsidR="003B7094" w:rsidRPr="000A6AA6">
        <w:rPr>
          <w:lang w:val="fr-FR"/>
        </w:rPr>
        <w:t xml:space="preserve">U.  </w:t>
      </w:r>
      <w:r w:rsidR="00976DFC" w:rsidRPr="000A6AA6">
        <w:rPr>
          <w:lang w:val="fr-FR"/>
        </w:rPr>
        <w:t>L</w:t>
      </w:r>
      <w:r w:rsidR="00E05933" w:rsidRPr="000A6AA6">
        <w:rPr>
          <w:lang w:val="fr-FR"/>
        </w:rPr>
        <w:t>e montant net disponible pour l</w:t>
      </w:r>
      <w:r w:rsidR="006A0BE5" w:rsidRPr="000A6AA6">
        <w:rPr>
          <w:lang w:val="fr-FR"/>
        </w:rPr>
        <w:t>’</w:t>
      </w:r>
      <w:r w:rsidR="00E05933" w:rsidRPr="000A6AA6">
        <w:rPr>
          <w:lang w:val="fr-FR"/>
        </w:rPr>
        <w:t>achat de contrats à terme</w:t>
      </w:r>
      <w:r w:rsidR="00976DFC" w:rsidRPr="000A6AA6">
        <w:rPr>
          <w:lang w:val="fr-FR"/>
        </w:rPr>
        <w:t xml:space="preserve"> étant proche de la limite inférieure de la fourchette, vu que </w:t>
      </w:r>
      <w:r w:rsidR="00161CC0" w:rsidRPr="000A6AA6">
        <w:rPr>
          <w:lang w:val="fr-FR"/>
        </w:rPr>
        <w:t>21,5% des recettes</w:t>
      </w:r>
      <w:r w:rsidR="006A0BE5" w:rsidRPr="000A6AA6">
        <w:rPr>
          <w:lang w:val="fr-FR"/>
        </w:rPr>
        <w:t xml:space="preserve"> du PCT</w:t>
      </w:r>
      <w:r w:rsidR="00161CC0" w:rsidRPr="000A6AA6">
        <w:rPr>
          <w:lang w:val="fr-FR"/>
        </w:rPr>
        <w:t xml:space="preserve"> sont reçues en euros, cela signifierait que 30,4% </w:t>
      </w:r>
      <w:r w:rsidR="00754E87" w:rsidRPr="000A6AA6">
        <w:rPr>
          <w:lang w:val="fr-FR"/>
        </w:rPr>
        <w:t>des recettes en euros (soit l</w:t>
      </w:r>
      <w:r w:rsidR="006A0BE5" w:rsidRPr="000A6AA6">
        <w:rPr>
          <w:lang w:val="fr-FR"/>
        </w:rPr>
        <w:t>’</w:t>
      </w:r>
      <w:r w:rsidR="00754E87" w:rsidRPr="000A6AA6">
        <w:rPr>
          <w:lang w:val="fr-FR"/>
        </w:rPr>
        <w:t>équivalent</w:t>
      </w:r>
      <w:r w:rsidR="00C600DC" w:rsidRPr="000A6AA6">
        <w:rPr>
          <w:lang w:val="fr-FR"/>
        </w:rPr>
        <w:t xml:space="preserve"> de 26,3</w:t>
      </w:r>
      <w:r w:rsidR="00E87329" w:rsidRPr="000A6AA6">
        <w:rPr>
          <w:lang w:val="fr-FR"/>
        </w:rPr>
        <w:t> </w:t>
      </w:r>
      <w:r w:rsidR="00C600DC" w:rsidRPr="000A6AA6">
        <w:rPr>
          <w:lang w:val="fr-FR"/>
        </w:rPr>
        <w:t xml:space="preserve">millions de francs suisses) </w:t>
      </w:r>
      <w:r w:rsidR="007B1056" w:rsidRPr="000A6AA6">
        <w:rPr>
          <w:lang w:val="fr-FR"/>
        </w:rPr>
        <w:t>auraient été gelés au taux de change fixé au mois d</w:t>
      </w:r>
      <w:r w:rsidR="006A0BE5" w:rsidRPr="000A6AA6">
        <w:rPr>
          <w:lang w:val="fr-FR"/>
        </w:rPr>
        <w:t>’</w:t>
      </w:r>
      <w:r w:rsidR="007B1056" w:rsidRPr="000A6AA6">
        <w:rPr>
          <w:lang w:val="fr-FR"/>
        </w:rPr>
        <w:t>octobre précédent, et n</w:t>
      </w:r>
      <w:r w:rsidR="006A0BE5" w:rsidRPr="000A6AA6">
        <w:rPr>
          <w:lang w:val="fr-FR"/>
        </w:rPr>
        <w:t>’</w:t>
      </w:r>
      <w:r w:rsidR="007B1056" w:rsidRPr="000A6AA6">
        <w:rPr>
          <w:lang w:val="fr-FR"/>
        </w:rPr>
        <w:t>auraient pas été couverts par des contrats à terme.</w:t>
      </w:r>
    </w:p>
    <w:p w:rsidR="00F131E9" w:rsidRDefault="00395C62" w:rsidP="00395C62">
      <w:pPr>
        <w:pStyle w:val="Heading2"/>
        <w:rPr>
          <w:lang w:val="fr-FR"/>
        </w:rPr>
      </w:pPr>
      <w:r>
        <w:rPr>
          <w:lang w:val="fr-FR"/>
        </w:rPr>
        <w:t>Yens (JPY</w:t>
      </w:r>
      <w:r w:rsidRPr="000A6AA6">
        <w:rPr>
          <w:lang w:val="fr-FR"/>
        </w:rPr>
        <w:t>)</w:t>
      </w:r>
    </w:p>
    <w:p w:rsidR="00395C62" w:rsidRPr="00395C62" w:rsidRDefault="00395C62" w:rsidP="00395C62">
      <w:pPr>
        <w:rPr>
          <w:lang w:val="fr-FR"/>
        </w:rPr>
      </w:pPr>
    </w:p>
    <w:p w:rsidR="006A0BE5" w:rsidRPr="000A6AA6" w:rsidRDefault="0034223A" w:rsidP="00F131E9">
      <w:pPr>
        <w:pStyle w:val="ONUMFS"/>
        <w:rPr>
          <w:lang w:val="fr-FR"/>
        </w:rPr>
      </w:pPr>
      <w:r w:rsidRPr="000A6AA6">
        <w:rPr>
          <w:lang w:val="fr-FR"/>
        </w:rPr>
        <w:t>Les obligations financières de l</w:t>
      </w:r>
      <w:r w:rsidR="006A0BE5" w:rsidRPr="000A6AA6">
        <w:rPr>
          <w:lang w:val="fr-FR"/>
        </w:rPr>
        <w:t>’</w:t>
      </w:r>
      <w:r w:rsidRPr="000A6AA6">
        <w:rPr>
          <w:lang w:val="fr-FR"/>
        </w:rPr>
        <w:t xml:space="preserve">OMPI en </w:t>
      </w:r>
      <w:r w:rsidR="000845D2" w:rsidRPr="000A6AA6">
        <w:rPr>
          <w:lang w:val="fr-FR"/>
        </w:rPr>
        <w:t>yens</w:t>
      </w:r>
      <w:r w:rsidRPr="000A6AA6">
        <w:rPr>
          <w:lang w:val="fr-FR"/>
        </w:rPr>
        <w:t xml:space="preserve"> se limitant aux frais d</w:t>
      </w:r>
      <w:r w:rsidR="006A0BE5" w:rsidRPr="000A6AA6">
        <w:rPr>
          <w:lang w:val="fr-FR"/>
        </w:rPr>
        <w:t>’</w:t>
      </w:r>
      <w:r w:rsidRPr="000A6AA6">
        <w:rPr>
          <w:lang w:val="fr-FR"/>
        </w:rPr>
        <w:t>exploitation du Bureau de l</w:t>
      </w:r>
      <w:r w:rsidR="006A0BE5" w:rsidRPr="000A6AA6">
        <w:rPr>
          <w:lang w:val="fr-FR"/>
        </w:rPr>
        <w:t>’</w:t>
      </w:r>
      <w:r w:rsidRPr="000A6AA6">
        <w:rPr>
          <w:lang w:val="fr-FR"/>
        </w:rPr>
        <w:t>OMPI au Japon,</w:t>
      </w:r>
      <w:r w:rsidR="00DE56BB" w:rsidRPr="000A6AA6">
        <w:rPr>
          <w:lang w:val="fr-FR"/>
        </w:rPr>
        <w:t xml:space="preserve"> </w:t>
      </w:r>
      <w:r w:rsidR="004F6BF4" w:rsidRPr="000A6AA6">
        <w:rPr>
          <w:lang w:val="fr-FR"/>
        </w:rPr>
        <w:t>la disponibilité de</w:t>
      </w:r>
      <w:r w:rsidR="00BA4F0F" w:rsidRPr="000A6AA6">
        <w:rPr>
          <w:lang w:val="fr-FR"/>
        </w:rPr>
        <w:t>s</w:t>
      </w:r>
      <w:r w:rsidR="004F6BF4" w:rsidRPr="000A6AA6">
        <w:rPr>
          <w:lang w:val="fr-FR"/>
        </w:rPr>
        <w:t xml:space="preserve"> fonds à consacrer à l</w:t>
      </w:r>
      <w:r w:rsidR="006A0BE5" w:rsidRPr="000A6AA6">
        <w:rPr>
          <w:lang w:val="fr-FR"/>
        </w:rPr>
        <w:t>’</w:t>
      </w:r>
      <w:r w:rsidR="004F6BF4" w:rsidRPr="000A6AA6">
        <w:rPr>
          <w:lang w:val="fr-FR"/>
        </w:rPr>
        <w:t xml:space="preserve">achat de contrats à terme aux fins de couverture des risques de change </w:t>
      </w:r>
      <w:proofErr w:type="gramStart"/>
      <w:r w:rsidR="004F6BF4" w:rsidRPr="000A6AA6">
        <w:rPr>
          <w:lang w:val="fr-FR"/>
        </w:rPr>
        <w:t>aurait</w:t>
      </w:r>
      <w:proofErr w:type="gramEnd"/>
      <w:r w:rsidR="004F6BF4" w:rsidRPr="000A6AA6">
        <w:rPr>
          <w:lang w:val="fr-FR"/>
        </w:rPr>
        <w:t xml:space="preserve"> pu s</w:t>
      </w:r>
      <w:r w:rsidR="006A0BE5" w:rsidRPr="000A6AA6">
        <w:rPr>
          <w:lang w:val="fr-FR"/>
        </w:rPr>
        <w:t>’</w:t>
      </w:r>
      <w:r w:rsidR="004F6BF4" w:rsidRPr="000A6AA6">
        <w:rPr>
          <w:lang w:val="fr-FR"/>
        </w:rPr>
        <w:t>étendre à</w:t>
      </w:r>
      <w:r w:rsidRPr="000A6AA6">
        <w:rPr>
          <w:lang w:val="fr-FR"/>
        </w:rPr>
        <w:t xml:space="preserve"> la quasi</w:t>
      </w:r>
      <w:r w:rsidR="004C56EE" w:rsidRPr="000A6AA6">
        <w:rPr>
          <w:lang w:val="fr-FR"/>
        </w:rPr>
        <w:noBreakHyphen/>
      </w:r>
      <w:r w:rsidRPr="000A6AA6">
        <w:rPr>
          <w:lang w:val="fr-FR"/>
        </w:rPr>
        <w:t>totalité des recettes</w:t>
      </w:r>
      <w:r w:rsidR="006A0BE5" w:rsidRPr="000A6AA6">
        <w:rPr>
          <w:lang w:val="fr-FR"/>
        </w:rPr>
        <w:t xml:space="preserve"> du PCT</w:t>
      </w:r>
      <w:r w:rsidR="00DE56BB" w:rsidRPr="000A6AA6">
        <w:rPr>
          <w:lang w:val="fr-FR"/>
        </w:rPr>
        <w:t xml:space="preserve"> </w:t>
      </w:r>
      <w:r w:rsidRPr="000A6AA6">
        <w:rPr>
          <w:lang w:val="fr-FR"/>
        </w:rPr>
        <w:t>perçues dans cette monna</w:t>
      </w:r>
      <w:r w:rsidR="004C56EE" w:rsidRPr="000A6AA6">
        <w:rPr>
          <w:lang w:val="fr-FR"/>
        </w:rPr>
        <w:t>ie.  Le</w:t>
      </w:r>
      <w:r w:rsidR="00880101" w:rsidRPr="000A6AA6">
        <w:rPr>
          <w:lang w:val="fr-FR"/>
        </w:rPr>
        <w:t xml:space="preserve">s recettes </w:t>
      </w:r>
      <w:r w:rsidR="004A0442" w:rsidRPr="000A6AA6">
        <w:rPr>
          <w:lang w:val="fr-FR"/>
        </w:rPr>
        <w:t>ont toutefois subi</w:t>
      </w:r>
      <w:r w:rsidR="00880101" w:rsidRPr="000A6AA6">
        <w:rPr>
          <w:lang w:val="fr-FR"/>
        </w:rPr>
        <w:t xml:space="preserve"> </w:t>
      </w:r>
      <w:r w:rsidR="004A0442" w:rsidRPr="000A6AA6">
        <w:rPr>
          <w:lang w:val="fr-FR"/>
        </w:rPr>
        <w:t>des variations</w:t>
      </w:r>
      <w:r w:rsidR="00880101" w:rsidRPr="000A6AA6">
        <w:rPr>
          <w:lang w:val="fr-FR"/>
        </w:rPr>
        <w:t xml:space="preserve"> extrêmement marquées</w:t>
      </w:r>
      <w:r w:rsidR="0060181E" w:rsidRPr="000A6AA6">
        <w:rPr>
          <w:lang w:val="fr-FR"/>
        </w:rPr>
        <w:t xml:space="preserve"> d</w:t>
      </w:r>
      <w:r w:rsidR="006A0BE5" w:rsidRPr="000A6AA6">
        <w:rPr>
          <w:lang w:val="fr-FR"/>
        </w:rPr>
        <w:t>’</w:t>
      </w:r>
      <w:r w:rsidR="0060181E" w:rsidRPr="000A6AA6">
        <w:rPr>
          <w:lang w:val="fr-FR"/>
        </w:rPr>
        <w:t>un mois à l</w:t>
      </w:r>
      <w:r w:rsidR="006A0BE5" w:rsidRPr="000A6AA6">
        <w:rPr>
          <w:lang w:val="fr-FR"/>
        </w:rPr>
        <w:t>’</w:t>
      </w:r>
      <w:r w:rsidR="0060181E" w:rsidRPr="000A6AA6">
        <w:rPr>
          <w:lang w:val="fr-FR"/>
        </w:rPr>
        <w:t>autre</w:t>
      </w:r>
      <w:r w:rsidR="00880101" w:rsidRPr="000A6AA6">
        <w:rPr>
          <w:lang w:val="fr-FR"/>
        </w:rPr>
        <w:t xml:space="preserve"> (voir le tableau ci</w:t>
      </w:r>
      <w:r w:rsidR="004C56EE" w:rsidRPr="000A6AA6">
        <w:rPr>
          <w:lang w:val="fr-FR"/>
        </w:rPr>
        <w:noBreakHyphen/>
      </w:r>
      <w:r w:rsidR="00880101" w:rsidRPr="000A6AA6">
        <w:rPr>
          <w:lang w:val="fr-FR"/>
        </w:rPr>
        <w:t>apr</w:t>
      </w:r>
      <w:r w:rsidR="004C56EE" w:rsidRPr="000A6AA6">
        <w:rPr>
          <w:lang w:val="fr-FR"/>
        </w:rPr>
        <w:t>ès).  La</w:t>
      </w:r>
      <w:r w:rsidR="00880101" w:rsidRPr="000A6AA6">
        <w:rPr>
          <w:lang w:val="fr-FR"/>
        </w:rPr>
        <w:t xml:space="preserve"> seule façon d</w:t>
      </w:r>
      <w:r w:rsidR="006A0BE5" w:rsidRPr="000A6AA6">
        <w:rPr>
          <w:lang w:val="fr-FR"/>
        </w:rPr>
        <w:t>’</w:t>
      </w:r>
      <w:r w:rsidR="00880101" w:rsidRPr="000A6AA6">
        <w:rPr>
          <w:lang w:val="fr-FR"/>
        </w:rPr>
        <w:t>éviter les difficultés</w:t>
      </w:r>
      <w:r w:rsidR="000845D2" w:rsidRPr="000A6AA6">
        <w:rPr>
          <w:lang w:val="fr-FR"/>
        </w:rPr>
        <w:t xml:space="preserve"> </w:t>
      </w:r>
      <w:r w:rsidR="009E3FEF" w:rsidRPr="000A6AA6">
        <w:rPr>
          <w:lang w:val="fr-FR"/>
        </w:rPr>
        <w:t>dues à</w:t>
      </w:r>
      <w:r w:rsidR="000845D2" w:rsidRPr="000A6AA6">
        <w:rPr>
          <w:lang w:val="fr-FR"/>
        </w:rPr>
        <w:t xml:space="preserve"> l</w:t>
      </w:r>
      <w:r w:rsidR="006A0BE5" w:rsidRPr="000A6AA6">
        <w:rPr>
          <w:lang w:val="fr-FR"/>
        </w:rPr>
        <w:t>’</w:t>
      </w:r>
      <w:r w:rsidR="000845D2" w:rsidRPr="000A6AA6">
        <w:rPr>
          <w:lang w:val="fr-FR"/>
        </w:rPr>
        <w:t xml:space="preserve">obligation de racheter des yens </w:t>
      </w:r>
      <w:r w:rsidR="000A4558" w:rsidRPr="000A6AA6">
        <w:rPr>
          <w:lang w:val="fr-FR"/>
        </w:rPr>
        <w:t xml:space="preserve">les mois </w:t>
      </w:r>
      <w:r w:rsidR="009E3FEF" w:rsidRPr="000A6AA6">
        <w:rPr>
          <w:lang w:val="fr-FR"/>
        </w:rPr>
        <w:t>d</w:t>
      </w:r>
      <w:r w:rsidR="006A0BE5" w:rsidRPr="000A6AA6">
        <w:rPr>
          <w:lang w:val="fr-FR"/>
        </w:rPr>
        <w:t>’</w:t>
      </w:r>
      <w:r w:rsidR="009E3FEF" w:rsidRPr="000A6AA6">
        <w:rPr>
          <w:lang w:val="fr-FR"/>
        </w:rPr>
        <w:t>insuffisance des</w:t>
      </w:r>
      <w:r w:rsidR="000A4558" w:rsidRPr="000A6AA6">
        <w:rPr>
          <w:lang w:val="fr-FR"/>
        </w:rPr>
        <w:t xml:space="preserve"> recettes dans cette monnaie aurait été </w:t>
      </w:r>
      <w:r w:rsidR="009E3FEF" w:rsidRPr="000A6AA6">
        <w:rPr>
          <w:lang w:val="fr-FR"/>
        </w:rPr>
        <w:t xml:space="preserve">de détenir sur un compte courant une quantité importante de yens qui aurait alors été exposée </w:t>
      </w:r>
      <w:r w:rsidR="00E93E4F" w:rsidRPr="000A6AA6">
        <w:rPr>
          <w:lang w:val="fr-FR"/>
        </w:rPr>
        <w:t>à des</w:t>
      </w:r>
      <w:r w:rsidR="00B95032" w:rsidRPr="000A6AA6">
        <w:rPr>
          <w:lang w:val="fr-FR"/>
        </w:rPr>
        <w:t xml:space="preserve"> gains ou pertes</w:t>
      </w:r>
      <w:r w:rsidR="004A0442" w:rsidRPr="000A6AA6">
        <w:rPr>
          <w:lang w:val="fr-FR"/>
        </w:rPr>
        <w:t xml:space="preserve"> </w:t>
      </w:r>
      <w:r w:rsidR="00E93E4F" w:rsidRPr="000A6AA6">
        <w:rPr>
          <w:lang w:val="fr-FR"/>
        </w:rPr>
        <w:t>lors de la</w:t>
      </w:r>
      <w:r w:rsidR="004A0442" w:rsidRPr="000A6AA6">
        <w:rPr>
          <w:lang w:val="fr-FR"/>
        </w:rPr>
        <w:t xml:space="preserve"> réévaluation de devise</w:t>
      </w:r>
      <w:r w:rsidR="00B95032" w:rsidRPr="000A6AA6">
        <w:rPr>
          <w:lang w:val="fr-FR"/>
        </w:rPr>
        <w:t xml:space="preserve"> </w:t>
      </w:r>
      <w:r w:rsidR="00233436" w:rsidRPr="000A6AA6">
        <w:rPr>
          <w:lang w:val="fr-FR"/>
        </w:rPr>
        <w:t>ou de recourir à un autre instrument de couverture</w:t>
      </w:r>
      <w:r w:rsidR="003F1AAB" w:rsidRPr="000A6AA6">
        <w:rPr>
          <w:lang w:val="fr-FR"/>
        </w:rPr>
        <w:t xml:space="preserve"> tel qu</w:t>
      </w:r>
      <w:r w:rsidR="006A0BE5" w:rsidRPr="000A6AA6">
        <w:rPr>
          <w:lang w:val="fr-FR"/>
        </w:rPr>
        <w:t>’</w:t>
      </w:r>
      <w:r w:rsidR="003F1AAB" w:rsidRPr="000A6AA6">
        <w:rPr>
          <w:lang w:val="fr-FR"/>
        </w:rPr>
        <w:t>un contrat de swap</w:t>
      </w:r>
      <w:r w:rsidR="00E93E4F" w:rsidRPr="000A6AA6">
        <w:rPr>
          <w:lang w:val="fr-FR"/>
        </w:rPr>
        <w:t xml:space="preserve">, </w:t>
      </w:r>
      <w:r w:rsidR="004B3B65" w:rsidRPr="000A6AA6">
        <w:rPr>
          <w:lang w:val="fr-FR"/>
        </w:rPr>
        <w:t>ce qui aurait pu être une opération extrêmement coûteuse</w:t>
      </w:r>
      <w:r w:rsidR="00233436" w:rsidRPr="000A6AA6">
        <w:rPr>
          <w:lang w:val="fr-FR"/>
        </w:rPr>
        <w:t xml:space="preserve"> </w:t>
      </w:r>
      <w:r w:rsidR="004B3B65" w:rsidRPr="000A6AA6">
        <w:rPr>
          <w:lang w:val="fr-FR"/>
        </w:rPr>
        <w:t>pour l</w:t>
      </w:r>
      <w:r w:rsidR="006A0BE5" w:rsidRPr="000A6AA6">
        <w:rPr>
          <w:lang w:val="fr-FR"/>
        </w:rPr>
        <w:t>’</w:t>
      </w:r>
      <w:r w:rsidR="004B3B65" w:rsidRPr="000A6AA6">
        <w:rPr>
          <w:lang w:val="fr-FR"/>
        </w:rPr>
        <w:t>Organisation.</w:t>
      </w:r>
    </w:p>
    <w:p w:rsidR="00D77565" w:rsidRDefault="00D77565">
      <w:pPr>
        <w:rPr>
          <w:b/>
          <w:lang w:val="fr-FR"/>
        </w:rPr>
      </w:pPr>
      <w:r>
        <w:rPr>
          <w:b/>
          <w:lang w:val="fr-FR"/>
        </w:rPr>
        <w:br w:type="page"/>
      </w:r>
    </w:p>
    <w:p w:rsidR="00A227F3" w:rsidRPr="000A6AA6" w:rsidRDefault="00247746" w:rsidP="00395C62">
      <w:pPr>
        <w:pStyle w:val="ONUMFS"/>
        <w:numPr>
          <w:ilvl w:val="0"/>
          <w:numId w:val="0"/>
        </w:numPr>
        <w:jc w:val="center"/>
        <w:rPr>
          <w:b/>
          <w:lang w:val="fr-FR"/>
        </w:rPr>
      </w:pPr>
      <w:r w:rsidRPr="000A6AA6">
        <w:rPr>
          <w:b/>
          <w:lang w:val="fr-FR"/>
        </w:rPr>
        <w:lastRenderedPageBreak/>
        <w:t>Recettes</w:t>
      </w:r>
      <w:r w:rsidR="006A0BE5" w:rsidRPr="000A6AA6">
        <w:rPr>
          <w:b/>
          <w:lang w:val="fr-FR"/>
        </w:rPr>
        <w:t xml:space="preserve"> du PCT</w:t>
      </w:r>
      <w:r w:rsidR="00A227F3" w:rsidRPr="000A6AA6">
        <w:rPr>
          <w:b/>
          <w:lang w:val="fr-FR"/>
        </w:rPr>
        <w:t xml:space="preserve"> </w:t>
      </w:r>
      <w:r w:rsidRPr="000A6AA6">
        <w:rPr>
          <w:b/>
          <w:lang w:val="fr-FR"/>
        </w:rPr>
        <w:t xml:space="preserve">en </w:t>
      </w:r>
      <w:r w:rsidR="000845D2" w:rsidRPr="000A6AA6">
        <w:rPr>
          <w:b/>
          <w:lang w:val="fr-FR"/>
        </w:rPr>
        <w:t>yens</w:t>
      </w:r>
    </w:p>
    <w:tbl>
      <w:tblPr>
        <w:tblW w:w="4860"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24"/>
      </w:tblGrid>
      <w:tr w:rsidR="00AF51C1" w:rsidRPr="0057339E" w:rsidTr="00395C62">
        <w:trPr>
          <w:trHeight w:val="890"/>
          <w:jc w:val="center"/>
        </w:trPr>
        <w:tc>
          <w:tcPr>
            <w:tcW w:w="2436" w:type="dxa"/>
            <w:shd w:val="clear" w:color="auto" w:fill="auto"/>
            <w:noWrap/>
            <w:vAlign w:val="center"/>
            <w:hideMark/>
          </w:tcPr>
          <w:p w:rsidR="00AF51C1" w:rsidRPr="00395C62" w:rsidRDefault="00AF51C1" w:rsidP="00395C62">
            <w:pPr>
              <w:jc w:val="center"/>
              <w:rPr>
                <w:b/>
                <w:sz w:val="20"/>
                <w:lang w:val="fr-FR" w:eastAsia="en-US"/>
              </w:rPr>
            </w:pPr>
            <w:r w:rsidRPr="00395C62">
              <w:rPr>
                <w:b/>
                <w:sz w:val="20"/>
                <w:lang w:val="fr-FR" w:eastAsia="en-US"/>
              </w:rPr>
              <w:t>Mo</w:t>
            </w:r>
            <w:r w:rsidR="002372DF" w:rsidRPr="00395C62">
              <w:rPr>
                <w:b/>
                <w:sz w:val="20"/>
                <w:lang w:val="fr-FR" w:eastAsia="en-US"/>
              </w:rPr>
              <w:t>is</w:t>
            </w:r>
          </w:p>
        </w:tc>
        <w:tc>
          <w:tcPr>
            <w:tcW w:w="2424" w:type="dxa"/>
            <w:shd w:val="clear" w:color="auto" w:fill="auto"/>
            <w:vAlign w:val="center"/>
            <w:hideMark/>
          </w:tcPr>
          <w:p w:rsidR="00AF51C1" w:rsidRPr="00395C62" w:rsidRDefault="003C54B1" w:rsidP="00395C62">
            <w:pPr>
              <w:jc w:val="center"/>
              <w:rPr>
                <w:b/>
                <w:sz w:val="20"/>
                <w:lang w:val="fr-FR" w:eastAsia="en-US"/>
              </w:rPr>
            </w:pPr>
            <w:r w:rsidRPr="00395C62">
              <w:rPr>
                <w:b/>
                <w:sz w:val="20"/>
                <w:lang w:val="fr-FR" w:eastAsia="en-US"/>
              </w:rPr>
              <w:t xml:space="preserve">Recettes </w:t>
            </w:r>
            <w:r w:rsidR="00AF51C1" w:rsidRPr="00395C62">
              <w:rPr>
                <w:b/>
                <w:sz w:val="20"/>
                <w:lang w:val="fr-FR" w:eastAsia="en-US"/>
              </w:rPr>
              <w:t xml:space="preserve">PCT </w:t>
            </w:r>
            <w:r w:rsidRPr="00395C62">
              <w:rPr>
                <w:b/>
                <w:sz w:val="20"/>
                <w:lang w:val="fr-FR" w:eastAsia="en-US"/>
              </w:rPr>
              <w:t>e</w:t>
            </w:r>
            <w:r w:rsidR="00395C62" w:rsidRPr="00395C62">
              <w:rPr>
                <w:b/>
                <w:sz w:val="20"/>
                <w:lang w:val="fr-FR" w:eastAsia="en-US"/>
              </w:rPr>
              <w:t>n yens</w:t>
            </w:r>
            <w:r w:rsidR="009A0CAD" w:rsidRPr="00395C62">
              <w:rPr>
                <w:b/>
                <w:sz w:val="20"/>
                <w:lang w:val="fr-FR" w:eastAsia="en-US"/>
              </w:rPr>
              <w:t xml:space="preserve"> (</w:t>
            </w:r>
            <w:r w:rsidR="00395C62">
              <w:rPr>
                <w:b/>
                <w:sz w:val="20"/>
                <w:lang w:val="fr-FR" w:eastAsia="en-US"/>
              </w:rPr>
              <w:t>évaluations en </w:t>
            </w:r>
            <w:r w:rsidR="00395C62" w:rsidRPr="00395C62">
              <w:rPr>
                <w:b/>
                <w:sz w:val="20"/>
                <w:lang w:val="fr-FR" w:eastAsia="en-US"/>
              </w:rPr>
              <w:t>francs</w:t>
            </w:r>
            <w:r w:rsidR="00395C62">
              <w:rPr>
                <w:b/>
                <w:sz w:val="20"/>
                <w:lang w:val="fr-FR" w:eastAsia="en-US"/>
              </w:rPr>
              <w:t> </w:t>
            </w:r>
            <w:r w:rsidR="00395C62" w:rsidRPr="00395C62">
              <w:rPr>
                <w:b/>
                <w:sz w:val="20"/>
                <w:lang w:val="fr-FR" w:eastAsia="en-US"/>
              </w:rPr>
              <w:t>suisses</w:t>
            </w:r>
            <w:r w:rsidR="009A0CAD" w:rsidRPr="00395C62">
              <w:rPr>
                <w:b/>
                <w:sz w:val="20"/>
                <w:lang w:val="fr-FR" w:eastAsia="en-US"/>
              </w:rPr>
              <w:t>)</w:t>
            </w:r>
          </w:p>
        </w:tc>
      </w:tr>
      <w:tr w:rsidR="00DF44F1" w:rsidRPr="00395C62" w:rsidTr="00395C62">
        <w:trPr>
          <w:trHeight w:val="350"/>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Janvier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3</w:t>
            </w:r>
            <w:r w:rsidR="00E87329" w:rsidRPr="00395C62">
              <w:rPr>
                <w:sz w:val="20"/>
                <w:lang w:val="fr-FR" w:eastAsia="en-US"/>
              </w:rPr>
              <w:t> </w:t>
            </w:r>
            <w:r w:rsidRPr="00395C62">
              <w:rPr>
                <w:sz w:val="20"/>
                <w:lang w:val="fr-FR" w:eastAsia="en-US"/>
              </w:rPr>
              <w:t>815</w:t>
            </w:r>
            <w:r w:rsidR="00E87329" w:rsidRPr="00395C62">
              <w:rPr>
                <w:sz w:val="20"/>
                <w:lang w:val="fr-FR" w:eastAsia="en-US"/>
              </w:rPr>
              <w:t> </w:t>
            </w:r>
            <w:r w:rsidRPr="00395C62">
              <w:rPr>
                <w:sz w:val="20"/>
                <w:lang w:val="fr-FR" w:eastAsia="en-US"/>
              </w:rPr>
              <w:t>965,13</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Février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4</w:t>
            </w:r>
            <w:r w:rsidR="00E87329" w:rsidRPr="00395C62">
              <w:rPr>
                <w:sz w:val="20"/>
                <w:lang w:val="fr-FR" w:eastAsia="en-US"/>
              </w:rPr>
              <w:t> </w:t>
            </w:r>
            <w:r w:rsidRPr="00395C62">
              <w:rPr>
                <w:sz w:val="20"/>
                <w:lang w:val="fr-FR" w:eastAsia="en-US"/>
              </w:rPr>
              <w:t>081</w:t>
            </w:r>
            <w:r w:rsidR="00E87329" w:rsidRPr="00395C62">
              <w:rPr>
                <w:sz w:val="20"/>
                <w:lang w:val="fr-FR" w:eastAsia="en-US"/>
              </w:rPr>
              <w:t> </w:t>
            </w:r>
            <w:r w:rsidRPr="00395C62">
              <w:rPr>
                <w:sz w:val="20"/>
                <w:lang w:val="fr-FR" w:eastAsia="en-US"/>
              </w:rPr>
              <w:t>877,44</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Mars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4</w:t>
            </w:r>
            <w:r w:rsidR="00E87329" w:rsidRPr="00395C62">
              <w:rPr>
                <w:sz w:val="20"/>
                <w:lang w:val="fr-FR" w:eastAsia="en-US"/>
              </w:rPr>
              <w:t> </w:t>
            </w:r>
            <w:r w:rsidRPr="00395C62">
              <w:rPr>
                <w:sz w:val="20"/>
                <w:lang w:val="fr-FR" w:eastAsia="en-US"/>
              </w:rPr>
              <w:t>927</w:t>
            </w:r>
            <w:r w:rsidR="00E87329" w:rsidRPr="00395C62">
              <w:rPr>
                <w:sz w:val="20"/>
                <w:lang w:val="fr-FR" w:eastAsia="en-US"/>
              </w:rPr>
              <w:t> </w:t>
            </w:r>
            <w:r w:rsidRPr="00395C62">
              <w:rPr>
                <w:sz w:val="20"/>
                <w:lang w:val="fr-FR" w:eastAsia="en-US"/>
              </w:rPr>
              <w:t>553,00</w:t>
            </w:r>
          </w:p>
        </w:tc>
      </w:tr>
      <w:tr w:rsidR="00DF44F1" w:rsidRPr="00395C62" w:rsidTr="00395C62">
        <w:trPr>
          <w:trHeight w:val="242"/>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Avril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0,00</w:t>
            </w:r>
          </w:p>
        </w:tc>
      </w:tr>
      <w:tr w:rsidR="00DF44F1" w:rsidRPr="00395C62" w:rsidTr="00395C62">
        <w:trPr>
          <w:trHeight w:val="260"/>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Mai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3</w:t>
            </w:r>
            <w:r w:rsidR="00E87329" w:rsidRPr="00395C62">
              <w:rPr>
                <w:sz w:val="20"/>
                <w:lang w:val="fr-FR" w:eastAsia="en-US"/>
              </w:rPr>
              <w:t> </w:t>
            </w:r>
            <w:r w:rsidRPr="00395C62">
              <w:rPr>
                <w:sz w:val="20"/>
                <w:lang w:val="fr-FR" w:eastAsia="en-US"/>
              </w:rPr>
              <w:t>752</w:t>
            </w:r>
            <w:r w:rsidR="00E87329" w:rsidRPr="00395C62">
              <w:rPr>
                <w:sz w:val="20"/>
                <w:lang w:val="fr-FR" w:eastAsia="en-US"/>
              </w:rPr>
              <w:t> </w:t>
            </w:r>
            <w:r w:rsidRPr="00395C62">
              <w:rPr>
                <w:sz w:val="20"/>
                <w:lang w:val="fr-FR" w:eastAsia="en-US"/>
              </w:rPr>
              <w:t>036,29</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Juin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6</w:t>
            </w:r>
            <w:r w:rsidR="00E87329" w:rsidRPr="00395C62">
              <w:rPr>
                <w:sz w:val="20"/>
                <w:lang w:val="fr-FR" w:eastAsia="en-US"/>
              </w:rPr>
              <w:t> </w:t>
            </w:r>
            <w:r w:rsidRPr="00395C62">
              <w:rPr>
                <w:sz w:val="20"/>
                <w:lang w:val="fr-FR" w:eastAsia="en-US"/>
              </w:rPr>
              <w:t>082</w:t>
            </w:r>
            <w:r w:rsidR="00E87329" w:rsidRPr="00395C62">
              <w:rPr>
                <w:sz w:val="20"/>
                <w:lang w:val="fr-FR" w:eastAsia="en-US"/>
              </w:rPr>
              <w:t> </w:t>
            </w:r>
            <w:r w:rsidRPr="00395C62">
              <w:rPr>
                <w:sz w:val="20"/>
                <w:lang w:val="fr-FR" w:eastAsia="en-US"/>
              </w:rPr>
              <w:t>617,44</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Juillet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4</w:t>
            </w:r>
            <w:r w:rsidR="00E87329" w:rsidRPr="00395C62">
              <w:rPr>
                <w:sz w:val="20"/>
                <w:lang w:val="fr-FR" w:eastAsia="en-US"/>
              </w:rPr>
              <w:t> </w:t>
            </w:r>
            <w:r w:rsidRPr="00395C62">
              <w:rPr>
                <w:sz w:val="20"/>
                <w:lang w:val="fr-FR" w:eastAsia="en-US"/>
              </w:rPr>
              <w:t>674</w:t>
            </w:r>
            <w:r w:rsidR="00E87329" w:rsidRPr="00395C62">
              <w:rPr>
                <w:sz w:val="20"/>
                <w:lang w:val="fr-FR" w:eastAsia="en-US"/>
              </w:rPr>
              <w:t> </w:t>
            </w:r>
            <w:r w:rsidRPr="00395C62">
              <w:rPr>
                <w:sz w:val="20"/>
                <w:lang w:val="fr-FR" w:eastAsia="en-US"/>
              </w:rPr>
              <w:t>292,93</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Août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4</w:t>
            </w:r>
            <w:r w:rsidR="00E87329" w:rsidRPr="00395C62">
              <w:rPr>
                <w:sz w:val="20"/>
                <w:lang w:val="fr-FR" w:eastAsia="en-US"/>
              </w:rPr>
              <w:t> </w:t>
            </w:r>
            <w:r w:rsidRPr="00395C62">
              <w:rPr>
                <w:sz w:val="20"/>
                <w:lang w:val="fr-FR" w:eastAsia="en-US"/>
              </w:rPr>
              <w:t>487</w:t>
            </w:r>
            <w:r w:rsidR="00E87329" w:rsidRPr="00395C62">
              <w:rPr>
                <w:sz w:val="20"/>
                <w:lang w:val="fr-FR" w:eastAsia="en-US"/>
              </w:rPr>
              <w:t> </w:t>
            </w:r>
            <w:r w:rsidRPr="00395C62">
              <w:rPr>
                <w:sz w:val="20"/>
                <w:lang w:val="fr-FR" w:eastAsia="en-US"/>
              </w:rPr>
              <w:t>030,57</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Septembre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4</w:t>
            </w:r>
            <w:r w:rsidR="00E87329" w:rsidRPr="00395C62">
              <w:rPr>
                <w:sz w:val="20"/>
                <w:lang w:val="fr-FR" w:eastAsia="en-US"/>
              </w:rPr>
              <w:t> </w:t>
            </w:r>
            <w:r w:rsidRPr="00395C62">
              <w:rPr>
                <w:sz w:val="20"/>
                <w:lang w:val="fr-FR" w:eastAsia="en-US"/>
              </w:rPr>
              <w:t>458</w:t>
            </w:r>
            <w:r w:rsidR="00E87329" w:rsidRPr="00395C62">
              <w:rPr>
                <w:sz w:val="20"/>
                <w:lang w:val="fr-FR" w:eastAsia="en-US"/>
              </w:rPr>
              <w:t> </w:t>
            </w:r>
            <w:r w:rsidRPr="00395C62">
              <w:rPr>
                <w:sz w:val="20"/>
                <w:lang w:val="fr-FR" w:eastAsia="en-US"/>
              </w:rPr>
              <w:t>539,81</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Octobre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5</w:t>
            </w:r>
            <w:r w:rsidR="00E87329" w:rsidRPr="00395C62">
              <w:rPr>
                <w:sz w:val="20"/>
                <w:lang w:val="fr-FR" w:eastAsia="en-US"/>
              </w:rPr>
              <w:t> </w:t>
            </w:r>
            <w:r w:rsidRPr="00395C62">
              <w:rPr>
                <w:sz w:val="20"/>
                <w:lang w:val="fr-FR" w:eastAsia="en-US"/>
              </w:rPr>
              <w:t>051</w:t>
            </w:r>
            <w:r w:rsidR="00E87329" w:rsidRPr="00395C62">
              <w:rPr>
                <w:sz w:val="20"/>
                <w:lang w:val="fr-FR" w:eastAsia="en-US"/>
              </w:rPr>
              <w:t> </w:t>
            </w:r>
            <w:r w:rsidRPr="00395C62">
              <w:rPr>
                <w:sz w:val="20"/>
                <w:lang w:val="fr-FR" w:eastAsia="en-US"/>
              </w:rPr>
              <w:t>816,00</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Novembre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4</w:t>
            </w:r>
            <w:r w:rsidR="00E87329" w:rsidRPr="00395C62">
              <w:rPr>
                <w:sz w:val="20"/>
                <w:lang w:val="fr-FR" w:eastAsia="en-US"/>
              </w:rPr>
              <w:t> </w:t>
            </w:r>
            <w:r w:rsidRPr="00395C62">
              <w:rPr>
                <w:sz w:val="20"/>
                <w:lang w:val="fr-FR" w:eastAsia="en-US"/>
              </w:rPr>
              <w:t>957</w:t>
            </w:r>
            <w:r w:rsidR="00E87329" w:rsidRPr="00395C62">
              <w:rPr>
                <w:sz w:val="20"/>
                <w:lang w:val="fr-FR" w:eastAsia="en-US"/>
              </w:rPr>
              <w:t> </w:t>
            </w:r>
            <w:r w:rsidRPr="00395C62">
              <w:rPr>
                <w:sz w:val="20"/>
                <w:lang w:val="fr-FR" w:eastAsia="en-US"/>
              </w:rPr>
              <w:t>470,28</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Décembre 2015</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4</w:t>
            </w:r>
            <w:r w:rsidR="00E87329" w:rsidRPr="00395C62">
              <w:rPr>
                <w:sz w:val="20"/>
                <w:lang w:val="fr-FR" w:eastAsia="en-US"/>
              </w:rPr>
              <w:t> </w:t>
            </w:r>
            <w:r w:rsidRPr="00395C62">
              <w:rPr>
                <w:sz w:val="20"/>
                <w:lang w:val="fr-FR" w:eastAsia="en-US"/>
              </w:rPr>
              <w:t>687</w:t>
            </w:r>
            <w:r w:rsidR="00E87329" w:rsidRPr="00395C62">
              <w:rPr>
                <w:sz w:val="20"/>
                <w:lang w:val="fr-FR" w:eastAsia="en-US"/>
              </w:rPr>
              <w:t> </w:t>
            </w:r>
            <w:r w:rsidRPr="00395C62">
              <w:rPr>
                <w:sz w:val="20"/>
                <w:lang w:val="fr-FR" w:eastAsia="en-US"/>
              </w:rPr>
              <w:t>285,73</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Janvier 2016</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5</w:t>
            </w:r>
            <w:r w:rsidR="00E87329" w:rsidRPr="00395C62">
              <w:rPr>
                <w:sz w:val="20"/>
                <w:lang w:val="fr-FR" w:eastAsia="en-US"/>
              </w:rPr>
              <w:t> </w:t>
            </w:r>
            <w:r w:rsidRPr="00395C62">
              <w:rPr>
                <w:sz w:val="20"/>
                <w:lang w:val="fr-FR" w:eastAsia="en-US"/>
              </w:rPr>
              <w:t>022</w:t>
            </w:r>
            <w:r w:rsidR="00E87329" w:rsidRPr="00395C62">
              <w:rPr>
                <w:sz w:val="20"/>
                <w:lang w:val="fr-FR" w:eastAsia="en-US"/>
              </w:rPr>
              <w:t> </w:t>
            </w:r>
            <w:r w:rsidRPr="00395C62">
              <w:rPr>
                <w:sz w:val="20"/>
                <w:lang w:val="fr-FR" w:eastAsia="en-US"/>
              </w:rPr>
              <w:t>062,70</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Février 2016</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4</w:t>
            </w:r>
            <w:r w:rsidR="00E87329" w:rsidRPr="00395C62">
              <w:rPr>
                <w:sz w:val="20"/>
                <w:lang w:val="fr-FR" w:eastAsia="en-US"/>
              </w:rPr>
              <w:t> </w:t>
            </w:r>
            <w:r w:rsidRPr="00395C62">
              <w:rPr>
                <w:sz w:val="20"/>
                <w:lang w:val="fr-FR" w:eastAsia="en-US"/>
              </w:rPr>
              <w:t>341</w:t>
            </w:r>
            <w:r w:rsidR="00E87329" w:rsidRPr="00395C62">
              <w:rPr>
                <w:sz w:val="20"/>
                <w:lang w:val="fr-FR" w:eastAsia="en-US"/>
              </w:rPr>
              <w:t> </w:t>
            </w:r>
            <w:r w:rsidRPr="00395C62">
              <w:rPr>
                <w:sz w:val="20"/>
                <w:lang w:val="fr-FR" w:eastAsia="en-US"/>
              </w:rPr>
              <w:t>516,95</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Mars 2016</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0,00</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Avril 2016</w:t>
            </w:r>
          </w:p>
        </w:tc>
        <w:tc>
          <w:tcPr>
            <w:tcW w:w="2424" w:type="dxa"/>
            <w:shd w:val="clear" w:color="auto" w:fill="auto"/>
            <w:noWrap/>
            <w:vAlign w:val="center"/>
            <w:hideMark/>
          </w:tcPr>
          <w:p w:rsidR="00DF44F1" w:rsidRPr="00395C62" w:rsidRDefault="00DF44F1" w:rsidP="00395C62">
            <w:pPr>
              <w:jc w:val="right"/>
              <w:rPr>
                <w:sz w:val="20"/>
                <w:lang w:val="fr-FR" w:eastAsia="en-US"/>
              </w:rPr>
            </w:pPr>
            <w:r w:rsidRPr="00395C62">
              <w:rPr>
                <w:sz w:val="20"/>
                <w:lang w:val="fr-FR" w:eastAsia="en-US"/>
              </w:rPr>
              <w:t>5</w:t>
            </w:r>
            <w:r w:rsidR="00E87329" w:rsidRPr="00395C62">
              <w:rPr>
                <w:sz w:val="20"/>
                <w:lang w:val="fr-FR" w:eastAsia="en-US"/>
              </w:rPr>
              <w:t> </w:t>
            </w:r>
            <w:r w:rsidRPr="00395C62">
              <w:rPr>
                <w:sz w:val="20"/>
                <w:lang w:val="fr-FR" w:eastAsia="en-US"/>
              </w:rPr>
              <w:t>465</w:t>
            </w:r>
            <w:r w:rsidR="00E87329" w:rsidRPr="00395C62">
              <w:rPr>
                <w:sz w:val="20"/>
                <w:lang w:val="fr-FR" w:eastAsia="en-US"/>
              </w:rPr>
              <w:t> </w:t>
            </w:r>
            <w:r w:rsidRPr="00395C62">
              <w:rPr>
                <w:sz w:val="20"/>
                <w:lang w:val="fr-FR" w:eastAsia="en-US"/>
              </w:rPr>
              <w:t>945,33</w:t>
            </w:r>
          </w:p>
        </w:tc>
      </w:tr>
      <w:tr w:rsidR="00DF44F1" w:rsidRPr="00395C62" w:rsidTr="00395C62">
        <w:trPr>
          <w:trHeight w:val="255"/>
          <w:jc w:val="center"/>
        </w:trPr>
        <w:tc>
          <w:tcPr>
            <w:tcW w:w="2436" w:type="dxa"/>
            <w:shd w:val="clear" w:color="auto" w:fill="auto"/>
            <w:noWrap/>
            <w:vAlign w:val="bottom"/>
            <w:hideMark/>
          </w:tcPr>
          <w:p w:rsidR="00DF44F1" w:rsidRPr="00395C62" w:rsidRDefault="00DF44F1" w:rsidP="00395C62">
            <w:pPr>
              <w:jc w:val="center"/>
              <w:rPr>
                <w:sz w:val="20"/>
                <w:lang w:val="fr-FR" w:eastAsia="en-US"/>
              </w:rPr>
            </w:pPr>
            <w:r w:rsidRPr="00395C62">
              <w:rPr>
                <w:sz w:val="20"/>
                <w:lang w:val="fr-FR" w:eastAsia="en-US"/>
              </w:rPr>
              <w:t>Mai 2016</w:t>
            </w:r>
          </w:p>
        </w:tc>
        <w:tc>
          <w:tcPr>
            <w:tcW w:w="2424" w:type="dxa"/>
            <w:shd w:val="clear" w:color="auto" w:fill="auto"/>
            <w:noWrap/>
            <w:vAlign w:val="center"/>
            <w:hideMark/>
          </w:tcPr>
          <w:p w:rsidR="00DF44F1" w:rsidRPr="00395C62" w:rsidRDefault="00DF44F1" w:rsidP="00395C62">
            <w:pPr>
              <w:jc w:val="right"/>
              <w:rPr>
                <w:sz w:val="20"/>
                <w:u w:val="single"/>
                <w:lang w:val="fr-FR" w:eastAsia="en-US"/>
              </w:rPr>
            </w:pPr>
            <w:r w:rsidRPr="00395C62">
              <w:rPr>
                <w:sz w:val="20"/>
                <w:u w:val="single"/>
                <w:lang w:val="fr-FR" w:eastAsia="en-US"/>
              </w:rPr>
              <w:t>12</w:t>
            </w:r>
            <w:r w:rsidR="00E87329" w:rsidRPr="00395C62">
              <w:rPr>
                <w:sz w:val="20"/>
                <w:u w:val="single"/>
                <w:lang w:val="fr-FR" w:eastAsia="en-US"/>
              </w:rPr>
              <w:t> </w:t>
            </w:r>
            <w:r w:rsidRPr="00395C62">
              <w:rPr>
                <w:sz w:val="20"/>
                <w:u w:val="single"/>
                <w:lang w:val="fr-FR" w:eastAsia="en-US"/>
              </w:rPr>
              <w:t>119</w:t>
            </w:r>
            <w:r w:rsidR="00E87329" w:rsidRPr="00395C62">
              <w:rPr>
                <w:sz w:val="20"/>
                <w:u w:val="single"/>
                <w:lang w:val="fr-FR" w:eastAsia="en-US"/>
              </w:rPr>
              <w:t> </w:t>
            </w:r>
            <w:r w:rsidRPr="00395C62">
              <w:rPr>
                <w:sz w:val="20"/>
                <w:u w:val="single"/>
                <w:lang w:val="fr-FR" w:eastAsia="en-US"/>
              </w:rPr>
              <w:t>416,59</w:t>
            </w:r>
          </w:p>
        </w:tc>
      </w:tr>
      <w:tr w:rsidR="00AF51C1" w:rsidRPr="00395C62" w:rsidTr="00395C62">
        <w:trPr>
          <w:trHeight w:val="350"/>
          <w:jc w:val="center"/>
        </w:trPr>
        <w:tc>
          <w:tcPr>
            <w:tcW w:w="2436" w:type="dxa"/>
            <w:shd w:val="clear" w:color="auto" w:fill="auto"/>
            <w:noWrap/>
            <w:vAlign w:val="bottom"/>
            <w:hideMark/>
          </w:tcPr>
          <w:p w:rsidR="00AF51C1" w:rsidRPr="00395C62" w:rsidRDefault="00AF51C1" w:rsidP="00395C62">
            <w:pPr>
              <w:jc w:val="center"/>
              <w:rPr>
                <w:b/>
                <w:sz w:val="20"/>
                <w:lang w:val="fr-FR" w:eastAsia="en-US"/>
              </w:rPr>
            </w:pPr>
            <w:r w:rsidRPr="00395C62">
              <w:rPr>
                <w:b/>
                <w:sz w:val="20"/>
                <w:lang w:val="fr-FR" w:eastAsia="en-US"/>
              </w:rPr>
              <w:t>TOTAL</w:t>
            </w:r>
          </w:p>
        </w:tc>
        <w:tc>
          <w:tcPr>
            <w:tcW w:w="2424" w:type="dxa"/>
            <w:shd w:val="clear" w:color="auto" w:fill="auto"/>
            <w:noWrap/>
            <w:vAlign w:val="center"/>
            <w:hideMark/>
          </w:tcPr>
          <w:p w:rsidR="00AF51C1" w:rsidRPr="00395C62" w:rsidRDefault="00AF51C1" w:rsidP="00395C62">
            <w:pPr>
              <w:jc w:val="right"/>
              <w:rPr>
                <w:b/>
                <w:sz w:val="20"/>
                <w:lang w:val="fr-FR" w:eastAsia="en-US"/>
              </w:rPr>
            </w:pPr>
            <w:r w:rsidRPr="00395C62">
              <w:rPr>
                <w:b/>
                <w:sz w:val="20"/>
                <w:lang w:val="fr-FR" w:eastAsia="en-US"/>
              </w:rPr>
              <w:t>77</w:t>
            </w:r>
            <w:r w:rsidR="00E87329" w:rsidRPr="00395C62">
              <w:rPr>
                <w:b/>
                <w:sz w:val="20"/>
                <w:lang w:val="fr-FR" w:eastAsia="en-US"/>
              </w:rPr>
              <w:t> </w:t>
            </w:r>
            <w:r w:rsidRPr="00395C62">
              <w:rPr>
                <w:b/>
                <w:sz w:val="20"/>
                <w:lang w:val="fr-FR" w:eastAsia="en-US"/>
              </w:rPr>
              <w:t>925</w:t>
            </w:r>
            <w:r w:rsidR="00E87329" w:rsidRPr="00395C62">
              <w:rPr>
                <w:b/>
                <w:sz w:val="20"/>
                <w:lang w:val="fr-FR" w:eastAsia="en-US"/>
              </w:rPr>
              <w:t> </w:t>
            </w:r>
            <w:r w:rsidRPr="00395C62">
              <w:rPr>
                <w:b/>
                <w:sz w:val="20"/>
                <w:lang w:val="fr-FR" w:eastAsia="en-US"/>
              </w:rPr>
              <w:t>426</w:t>
            </w:r>
            <w:r w:rsidR="00DF44F1" w:rsidRPr="00395C62">
              <w:rPr>
                <w:b/>
                <w:sz w:val="20"/>
                <w:lang w:val="fr-FR" w:eastAsia="en-US"/>
              </w:rPr>
              <w:t>,</w:t>
            </w:r>
            <w:r w:rsidRPr="00395C62">
              <w:rPr>
                <w:b/>
                <w:sz w:val="20"/>
                <w:lang w:val="fr-FR" w:eastAsia="en-US"/>
              </w:rPr>
              <w:t>19</w:t>
            </w:r>
          </w:p>
        </w:tc>
      </w:tr>
    </w:tbl>
    <w:p w:rsidR="00F131E9" w:rsidRDefault="00395C62" w:rsidP="00395C62">
      <w:pPr>
        <w:pStyle w:val="Heading2"/>
        <w:rPr>
          <w:lang w:val="fr-FR"/>
        </w:rPr>
      </w:pPr>
      <w:r w:rsidRPr="000A6AA6">
        <w:rPr>
          <w:lang w:val="fr-FR"/>
        </w:rPr>
        <w:t>Résumé</w:t>
      </w:r>
    </w:p>
    <w:p w:rsidR="00395C62" w:rsidRPr="00395C62" w:rsidRDefault="00395C62" w:rsidP="00395C62">
      <w:pPr>
        <w:rPr>
          <w:lang w:val="fr-FR"/>
        </w:rPr>
      </w:pPr>
    </w:p>
    <w:p w:rsidR="00A86FDE" w:rsidRPr="000A6AA6" w:rsidRDefault="009413AF" w:rsidP="00F131E9">
      <w:pPr>
        <w:pStyle w:val="ONUMFS"/>
        <w:rPr>
          <w:lang w:val="fr-FR"/>
        </w:rPr>
      </w:pPr>
      <w:r w:rsidRPr="000A6AA6">
        <w:rPr>
          <w:lang w:val="fr-FR"/>
        </w:rPr>
        <w:t>Selon l</w:t>
      </w:r>
      <w:r w:rsidR="006A0BE5" w:rsidRPr="000A6AA6">
        <w:rPr>
          <w:lang w:val="fr-FR"/>
        </w:rPr>
        <w:t>’</w:t>
      </w:r>
      <w:r w:rsidRPr="000A6AA6">
        <w:rPr>
          <w:lang w:val="fr-FR"/>
        </w:rPr>
        <w:t>analyse des flux de trésorerie de la période de 17</w:t>
      </w:r>
      <w:r w:rsidR="000A6AA6">
        <w:rPr>
          <w:lang w:val="fr-FR"/>
        </w:rPr>
        <w:t> </w:t>
      </w:r>
      <w:r w:rsidRPr="000A6AA6">
        <w:rPr>
          <w:lang w:val="fr-FR"/>
        </w:rPr>
        <w:t xml:space="preserve">mois comprise entre </w:t>
      </w:r>
      <w:r w:rsidR="006A0BE5" w:rsidRPr="000A6AA6">
        <w:rPr>
          <w:lang w:val="fr-FR"/>
        </w:rPr>
        <w:t>janvier 20</w:t>
      </w:r>
      <w:r w:rsidRPr="000A6AA6">
        <w:rPr>
          <w:lang w:val="fr-FR"/>
        </w:rPr>
        <w:t xml:space="preserve">15 et </w:t>
      </w:r>
      <w:r w:rsidR="006A0BE5" w:rsidRPr="000A6AA6">
        <w:rPr>
          <w:lang w:val="fr-FR"/>
        </w:rPr>
        <w:t>mai 20</w:t>
      </w:r>
      <w:r w:rsidRPr="000A6AA6">
        <w:rPr>
          <w:lang w:val="fr-FR"/>
        </w:rPr>
        <w:t>16, 99% des recettes</w:t>
      </w:r>
      <w:r w:rsidR="006A0BE5" w:rsidRPr="000A6AA6">
        <w:rPr>
          <w:lang w:val="fr-FR"/>
        </w:rPr>
        <w:t xml:space="preserve"> du PCT</w:t>
      </w:r>
      <w:r w:rsidRPr="000A6AA6">
        <w:rPr>
          <w:lang w:val="fr-FR"/>
        </w:rPr>
        <w:t xml:space="preserve"> perçues en yens,</w:t>
      </w:r>
      <w:r w:rsidR="00DC0DEC" w:rsidRPr="000A6AA6">
        <w:rPr>
          <w:lang w:val="fr-FR"/>
        </w:rPr>
        <w:t xml:space="preserve"> </w:t>
      </w:r>
      <w:r w:rsidRPr="000A6AA6">
        <w:rPr>
          <w:lang w:val="fr-FR"/>
        </w:rPr>
        <w:t>69,6% des recettes</w:t>
      </w:r>
      <w:r w:rsidR="006A0BE5" w:rsidRPr="000A6AA6">
        <w:rPr>
          <w:lang w:val="fr-FR"/>
        </w:rPr>
        <w:t xml:space="preserve"> du PCT</w:t>
      </w:r>
      <w:r w:rsidRPr="000A6AA6">
        <w:rPr>
          <w:lang w:val="fr-FR"/>
        </w:rPr>
        <w:t xml:space="preserve"> perçues en euros et seulement 36,8% des recettes</w:t>
      </w:r>
      <w:r w:rsidR="006A0BE5" w:rsidRPr="000A6AA6">
        <w:rPr>
          <w:lang w:val="fr-FR"/>
        </w:rPr>
        <w:t xml:space="preserve"> du PCT</w:t>
      </w:r>
      <w:r w:rsidRPr="000A6AA6">
        <w:rPr>
          <w:lang w:val="fr-FR"/>
        </w:rPr>
        <w:t xml:space="preserve"> perçues en dollars</w:t>
      </w:r>
      <w:r w:rsidR="00E87329" w:rsidRPr="000A6AA6">
        <w:rPr>
          <w:lang w:val="fr-FR"/>
        </w:rPr>
        <w:t> </w:t>
      </w:r>
      <w:r w:rsidRPr="000A6AA6">
        <w:rPr>
          <w:lang w:val="fr-FR"/>
        </w:rPr>
        <w:t>É.</w:t>
      </w:r>
      <w:r w:rsidR="004C56EE" w:rsidRPr="000A6AA6">
        <w:rPr>
          <w:lang w:val="fr-FR"/>
        </w:rPr>
        <w:noBreakHyphen/>
      </w:r>
      <w:r w:rsidRPr="000A6AA6">
        <w:rPr>
          <w:lang w:val="fr-FR"/>
        </w:rPr>
        <w:t xml:space="preserve">U. </w:t>
      </w:r>
      <w:r w:rsidR="00DC0DEC" w:rsidRPr="000A6AA6">
        <w:rPr>
          <w:lang w:val="fr-FR"/>
        </w:rPr>
        <w:t>auraient donc été disponibles pour acheter des contrats à ter</w:t>
      </w:r>
      <w:r w:rsidR="004C56EE" w:rsidRPr="000A6AA6">
        <w:rPr>
          <w:lang w:val="fr-FR"/>
        </w:rPr>
        <w:t>me.  Ce</w:t>
      </w:r>
      <w:r w:rsidR="00DC0DEC" w:rsidRPr="000A6AA6">
        <w:rPr>
          <w:lang w:val="fr-FR"/>
        </w:rPr>
        <w:t xml:space="preserve">la aurait </w:t>
      </w:r>
      <w:r w:rsidR="00295444" w:rsidRPr="000A6AA6">
        <w:rPr>
          <w:lang w:val="fr-FR"/>
        </w:rPr>
        <w:t>signifié</w:t>
      </w:r>
      <w:r w:rsidR="00DC0DEC" w:rsidRPr="000A6AA6">
        <w:rPr>
          <w:lang w:val="fr-FR"/>
        </w:rPr>
        <w:t xml:space="preserve"> qu</w:t>
      </w:r>
      <w:r w:rsidR="006A0BE5" w:rsidRPr="000A6AA6">
        <w:rPr>
          <w:lang w:val="fr-FR"/>
        </w:rPr>
        <w:t>’</w:t>
      </w:r>
      <w:r w:rsidR="00DC0DEC" w:rsidRPr="000A6AA6">
        <w:rPr>
          <w:lang w:val="fr-FR"/>
        </w:rPr>
        <w:t>au cours de cette même période de 17</w:t>
      </w:r>
      <w:r w:rsidR="000A6AA6">
        <w:rPr>
          <w:lang w:val="fr-FR"/>
        </w:rPr>
        <w:t> </w:t>
      </w:r>
      <w:r w:rsidR="00DC0DEC" w:rsidRPr="000A6AA6">
        <w:rPr>
          <w:lang w:val="fr-FR"/>
        </w:rPr>
        <w:t>mois, en incluant les recettes perçues dans toutes les monnaies autres que le franc suisse, 139,2</w:t>
      </w:r>
      <w:r w:rsidR="00E87329" w:rsidRPr="000A6AA6">
        <w:rPr>
          <w:lang w:val="fr-FR"/>
        </w:rPr>
        <w:t> </w:t>
      </w:r>
      <w:r w:rsidR="00DC0DEC" w:rsidRPr="000A6AA6">
        <w:rPr>
          <w:lang w:val="fr-FR"/>
        </w:rPr>
        <w:t>millions</w:t>
      </w:r>
      <w:r w:rsidR="000E6DA5" w:rsidRPr="000A6AA6">
        <w:rPr>
          <w:lang w:val="fr-FR"/>
        </w:rPr>
        <w:t xml:space="preserve"> de francs suisses </w:t>
      </w:r>
      <w:r w:rsidR="00747CF8" w:rsidRPr="000A6AA6">
        <w:rPr>
          <w:lang w:val="fr-FR"/>
        </w:rPr>
        <w:t>(soit 34,9% du total de 398,6</w:t>
      </w:r>
      <w:r w:rsidR="00E87329" w:rsidRPr="000A6AA6">
        <w:rPr>
          <w:lang w:val="fr-FR"/>
        </w:rPr>
        <w:t> </w:t>
      </w:r>
      <w:r w:rsidR="00747CF8" w:rsidRPr="000A6AA6">
        <w:rPr>
          <w:lang w:val="fr-FR"/>
        </w:rPr>
        <w:t>millions de francs suisses des recettes</w:t>
      </w:r>
      <w:r w:rsidR="006A0BE5" w:rsidRPr="000A6AA6">
        <w:rPr>
          <w:lang w:val="fr-FR"/>
        </w:rPr>
        <w:t xml:space="preserve"> du PCT</w:t>
      </w:r>
      <w:r w:rsidR="00747CF8" w:rsidRPr="000A6AA6">
        <w:rPr>
          <w:lang w:val="fr-FR"/>
        </w:rPr>
        <w:t xml:space="preserve">) </w:t>
      </w:r>
      <w:r w:rsidR="00A87DCB" w:rsidRPr="000A6AA6">
        <w:rPr>
          <w:lang w:val="fr-FR"/>
        </w:rPr>
        <w:t>n</w:t>
      </w:r>
      <w:r w:rsidR="006A0BE5" w:rsidRPr="000A6AA6">
        <w:rPr>
          <w:lang w:val="fr-FR"/>
        </w:rPr>
        <w:t>’</w:t>
      </w:r>
      <w:r w:rsidR="00A87DCB" w:rsidRPr="000A6AA6">
        <w:rPr>
          <w:lang w:val="fr-FR"/>
        </w:rPr>
        <w:t>auraient fait l</w:t>
      </w:r>
      <w:r w:rsidR="006A0BE5" w:rsidRPr="000A6AA6">
        <w:rPr>
          <w:lang w:val="fr-FR"/>
        </w:rPr>
        <w:t>’</w:t>
      </w:r>
      <w:r w:rsidR="00A87DCB" w:rsidRPr="000A6AA6">
        <w:rPr>
          <w:lang w:val="fr-FR"/>
        </w:rPr>
        <w:t>objet d</w:t>
      </w:r>
      <w:r w:rsidR="006A0BE5" w:rsidRPr="000A6AA6">
        <w:rPr>
          <w:lang w:val="fr-FR"/>
        </w:rPr>
        <w:t>’</w:t>
      </w:r>
      <w:r w:rsidR="00A87DCB" w:rsidRPr="000A6AA6">
        <w:rPr>
          <w:lang w:val="fr-FR"/>
        </w:rPr>
        <w:t xml:space="preserve">aucune couverture </w:t>
      </w:r>
      <w:r w:rsidR="00646D27" w:rsidRPr="000A6AA6">
        <w:rPr>
          <w:lang w:val="fr-FR"/>
        </w:rPr>
        <w:t>ou auraient été exposés à des gains ou à des pertes, selon les fluctuations du marché des changes.</w:t>
      </w:r>
    </w:p>
    <w:tbl>
      <w:tblPr>
        <w:tblW w:w="9082" w:type="dxa"/>
        <w:jc w:val="center"/>
        <w:tblInd w:w="-671" w:type="dxa"/>
        <w:tblLook w:val="04A0" w:firstRow="1" w:lastRow="0" w:firstColumn="1" w:lastColumn="0" w:noHBand="0" w:noVBand="1"/>
      </w:tblPr>
      <w:tblGrid>
        <w:gridCol w:w="4395"/>
        <w:gridCol w:w="2403"/>
        <w:gridCol w:w="2284"/>
      </w:tblGrid>
      <w:tr w:rsidR="005C736F" w:rsidRPr="0057339E" w:rsidTr="00395C62">
        <w:trPr>
          <w:trHeight w:val="76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B04DEE" w:rsidP="00395C62">
            <w:pPr>
              <w:rPr>
                <w:b/>
                <w:sz w:val="20"/>
                <w:lang w:val="fr-FR" w:eastAsia="en-US"/>
              </w:rPr>
            </w:pPr>
            <w:r w:rsidRPr="00395C62">
              <w:rPr>
                <w:b/>
                <w:sz w:val="20"/>
                <w:lang w:val="fr-FR" w:eastAsia="en-US"/>
              </w:rPr>
              <w:t>Monnaie</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36F" w:rsidRPr="00395C62" w:rsidRDefault="002757AB" w:rsidP="00395C62">
            <w:pPr>
              <w:jc w:val="center"/>
              <w:rPr>
                <w:b/>
                <w:sz w:val="20"/>
                <w:lang w:val="fr-FR" w:eastAsia="en-US"/>
              </w:rPr>
            </w:pPr>
            <w:r w:rsidRPr="00395C62">
              <w:rPr>
                <w:b/>
                <w:sz w:val="20"/>
                <w:lang w:val="fr-FR" w:eastAsia="en-US"/>
              </w:rPr>
              <w:t>Partie non couverte</w:t>
            </w:r>
            <w:r w:rsidR="00395C62">
              <w:rPr>
                <w:b/>
                <w:sz w:val="20"/>
                <w:lang w:val="fr-FR" w:eastAsia="en-US"/>
              </w:rPr>
              <w:t xml:space="preserve"> </w:t>
            </w:r>
            <w:r w:rsidRPr="00395C62">
              <w:rPr>
                <w:b/>
                <w:sz w:val="20"/>
                <w:lang w:val="fr-FR" w:eastAsia="en-US"/>
              </w:rPr>
              <w:t xml:space="preserve">(en </w:t>
            </w:r>
            <w:r w:rsidR="00395C62" w:rsidRPr="00395C62">
              <w:rPr>
                <w:b/>
                <w:sz w:val="20"/>
                <w:lang w:val="fr-FR" w:eastAsia="en-US"/>
              </w:rPr>
              <w:t>pourcentage</w:t>
            </w:r>
            <w:r w:rsidRPr="00395C62">
              <w:rPr>
                <w:b/>
                <w:sz w:val="20"/>
                <w:lang w:val="fr-FR" w:eastAsia="en-US"/>
              </w:rPr>
              <w:t>)</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36F" w:rsidRPr="00395C62" w:rsidRDefault="002757AB" w:rsidP="00395C62">
            <w:pPr>
              <w:jc w:val="center"/>
              <w:rPr>
                <w:b/>
                <w:sz w:val="20"/>
                <w:lang w:val="fr-FR" w:eastAsia="en-US"/>
              </w:rPr>
            </w:pPr>
            <w:r w:rsidRPr="00395C62">
              <w:rPr>
                <w:b/>
                <w:sz w:val="20"/>
                <w:lang w:val="fr-FR" w:eastAsia="en-US"/>
              </w:rPr>
              <w:t>Partie non couverte</w:t>
            </w:r>
            <w:r w:rsidR="00395C62">
              <w:rPr>
                <w:b/>
                <w:sz w:val="20"/>
                <w:lang w:val="fr-FR" w:eastAsia="en-US"/>
              </w:rPr>
              <w:t xml:space="preserve"> </w:t>
            </w:r>
            <w:r w:rsidRPr="00395C62">
              <w:rPr>
                <w:b/>
                <w:sz w:val="20"/>
                <w:lang w:val="fr-FR" w:eastAsia="en-US"/>
              </w:rPr>
              <w:t xml:space="preserve">(en </w:t>
            </w:r>
            <w:r w:rsidR="00395C62" w:rsidRPr="00395C62">
              <w:rPr>
                <w:b/>
                <w:sz w:val="20"/>
                <w:lang w:val="fr-FR" w:eastAsia="en-US"/>
              </w:rPr>
              <w:t>francs suisses</w:t>
            </w:r>
            <w:r w:rsidRPr="00395C62">
              <w:rPr>
                <w:b/>
                <w:sz w:val="20"/>
                <w:lang w:val="fr-FR" w:eastAsia="en-US"/>
              </w:rPr>
              <w:t>)</w:t>
            </w:r>
          </w:p>
        </w:tc>
      </w:tr>
      <w:tr w:rsidR="005C736F" w:rsidRPr="00395C62" w:rsidTr="00395C62">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C62" w:rsidRPr="00395C62" w:rsidRDefault="00395C62" w:rsidP="00395C62">
            <w:pPr>
              <w:rPr>
                <w:sz w:val="20"/>
                <w:lang w:val="fr-FR" w:eastAsia="en-US"/>
              </w:rPr>
            </w:pPr>
          </w:p>
          <w:p w:rsidR="00395C62" w:rsidRPr="00395C62" w:rsidRDefault="005C736F" w:rsidP="00395C62">
            <w:pPr>
              <w:rPr>
                <w:sz w:val="20"/>
                <w:lang w:val="fr-FR" w:eastAsia="en-US"/>
              </w:rPr>
            </w:pPr>
            <w:r w:rsidRPr="00395C62">
              <w:rPr>
                <w:sz w:val="20"/>
                <w:lang w:val="fr-FR" w:eastAsia="en-US"/>
              </w:rPr>
              <w:t>Euro</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center"/>
              <w:rPr>
                <w:sz w:val="20"/>
                <w:lang w:val="fr-FR" w:eastAsia="en-US"/>
              </w:rPr>
            </w:pPr>
            <w:r w:rsidRPr="00395C62">
              <w:rPr>
                <w:sz w:val="20"/>
                <w:lang w:val="fr-FR" w:eastAsia="en-US"/>
              </w:rPr>
              <w:t>30</w:t>
            </w:r>
            <w:r w:rsidR="00B04DEE" w:rsidRPr="00395C62">
              <w:rPr>
                <w:sz w:val="20"/>
                <w:lang w:val="fr-FR" w:eastAsia="en-US"/>
              </w:rPr>
              <w:t>,</w:t>
            </w:r>
            <w:r w:rsidRPr="00395C62">
              <w:rPr>
                <w:sz w:val="20"/>
                <w:lang w:val="fr-FR" w:eastAsia="en-US"/>
              </w:rPr>
              <w:t>4%</w:t>
            </w:r>
          </w:p>
        </w:tc>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right"/>
              <w:rPr>
                <w:sz w:val="20"/>
                <w:lang w:val="fr-FR" w:eastAsia="en-US"/>
              </w:rPr>
            </w:pPr>
            <w:r w:rsidRPr="00395C62">
              <w:rPr>
                <w:sz w:val="20"/>
                <w:lang w:val="fr-FR" w:eastAsia="en-US"/>
              </w:rPr>
              <w:t>26</w:t>
            </w:r>
            <w:r w:rsidR="00E87329" w:rsidRPr="00395C62">
              <w:rPr>
                <w:sz w:val="20"/>
                <w:lang w:val="fr-FR" w:eastAsia="en-US"/>
              </w:rPr>
              <w:t> </w:t>
            </w:r>
            <w:r w:rsidRPr="00395C62">
              <w:rPr>
                <w:sz w:val="20"/>
                <w:lang w:val="fr-FR" w:eastAsia="en-US"/>
              </w:rPr>
              <w:t>260</w:t>
            </w:r>
            <w:r w:rsidR="00E87329" w:rsidRPr="00395C62">
              <w:rPr>
                <w:sz w:val="20"/>
                <w:lang w:val="fr-FR" w:eastAsia="en-US"/>
              </w:rPr>
              <w:t> </w:t>
            </w:r>
            <w:r w:rsidRPr="00395C62">
              <w:rPr>
                <w:sz w:val="20"/>
                <w:lang w:val="fr-FR" w:eastAsia="en-US"/>
              </w:rPr>
              <w:t xml:space="preserve">763 </w:t>
            </w:r>
          </w:p>
        </w:tc>
      </w:tr>
      <w:tr w:rsidR="005C736F" w:rsidRPr="00395C62" w:rsidTr="00395C62">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rPr>
                <w:sz w:val="20"/>
                <w:lang w:val="fr-FR" w:eastAsia="en-US"/>
              </w:rPr>
            </w:pPr>
          </w:p>
          <w:p w:rsidR="005C736F" w:rsidRPr="00395C62" w:rsidRDefault="005C736F" w:rsidP="00395C62">
            <w:pPr>
              <w:rPr>
                <w:sz w:val="20"/>
                <w:lang w:val="fr-FR" w:eastAsia="en-US"/>
              </w:rPr>
            </w:pPr>
            <w:r w:rsidRPr="00395C62">
              <w:rPr>
                <w:sz w:val="20"/>
                <w:lang w:val="fr-FR" w:eastAsia="en-US"/>
              </w:rPr>
              <w:t>Yen</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center"/>
              <w:rPr>
                <w:sz w:val="20"/>
                <w:lang w:val="fr-FR" w:eastAsia="en-US"/>
              </w:rPr>
            </w:pPr>
            <w:r w:rsidRPr="00395C62">
              <w:rPr>
                <w:sz w:val="20"/>
                <w:lang w:val="fr-FR" w:eastAsia="en-US"/>
              </w:rPr>
              <w:t>0</w:t>
            </w:r>
          </w:p>
        </w:tc>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right"/>
              <w:rPr>
                <w:sz w:val="20"/>
                <w:lang w:val="fr-FR" w:eastAsia="en-US"/>
              </w:rPr>
            </w:pPr>
            <w:r w:rsidRPr="00395C62">
              <w:rPr>
                <w:sz w:val="20"/>
                <w:lang w:val="fr-FR" w:eastAsia="en-US"/>
              </w:rPr>
              <w:t>0</w:t>
            </w:r>
          </w:p>
        </w:tc>
      </w:tr>
      <w:tr w:rsidR="005C736F" w:rsidRPr="00395C62" w:rsidTr="00395C62">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C62" w:rsidRPr="00395C62" w:rsidRDefault="00395C62" w:rsidP="00395C62">
            <w:pPr>
              <w:rPr>
                <w:sz w:val="20"/>
                <w:lang w:val="fr-FR" w:eastAsia="en-US"/>
              </w:rPr>
            </w:pPr>
          </w:p>
          <w:p w:rsidR="005C736F" w:rsidRPr="00395C62" w:rsidRDefault="00B04DEE" w:rsidP="00395C62">
            <w:pPr>
              <w:rPr>
                <w:sz w:val="20"/>
                <w:lang w:val="fr-FR" w:eastAsia="en-US"/>
              </w:rPr>
            </w:pPr>
            <w:r w:rsidRPr="00395C62">
              <w:rPr>
                <w:sz w:val="20"/>
                <w:lang w:val="fr-FR" w:eastAsia="en-US"/>
              </w:rPr>
              <w:t>D</w:t>
            </w:r>
            <w:r w:rsidR="005C736F" w:rsidRPr="00395C62">
              <w:rPr>
                <w:sz w:val="20"/>
                <w:lang w:val="fr-FR" w:eastAsia="en-US"/>
              </w:rPr>
              <w:t>ollar</w:t>
            </w:r>
            <w:r w:rsidRPr="00395C62">
              <w:rPr>
                <w:sz w:val="20"/>
                <w:lang w:val="fr-FR" w:eastAsia="en-US"/>
              </w:rPr>
              <w:t xml:space="preserve"> É.</w:t>
            </w:r>
            <w:r w:rsidR="004C56EE" w:rsidRPr="00395C62">
              <w:rPr>
                <w:sz w:val="20"/>
                <w:lang w:val="fr-FR" w:eastAsia="en-US"/>
              </w:rPr>
              <w:noBreakHyphen/>
            </w:r>
            <w:r w:rsidRPr="00395C62">
              <w:rPr>
                <w:sz w:val="20"/>
                <w:lang w:val="fr-FR" w:eastAsia="en-US"/>
              </w:rPr>
              <w:t>U.</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center"/>
              <w:rPr>
                <w:sz w:val="20"/>
                <w:lang w:val="fr-FR" w:eastAsia="en-US"/>
              </w:rPr>
            </w:pPr>
            <w:r w:rsidRPr="00395C62">
              <w:rPr>
                <w:sz w:val="20"/>
                <w:lang w:val="fr-FR" w:eastAsia="en-US"/>
              </w:rPr>
              <w:t>63</w:t>
            </w:r>
            <w:r w:rsidR="00B04DEE" w:rsidRPr="00395C62">
              <w:rPr>
                <w:sz w:val="20"/>
                <w:lang w:val="fr-FR" w:eastAsia="en-US"/>
              </w:rPr>
              <w:t>,</w:t>
            </w:r>
            <w:r w:rsidRPr="00395C62">
              <w:rPr>
                <w:sz w:val="20"/>
                <w:lang w:val="fr-FR" w:eastAsia="en-US"/>
              </w:rPr>
              <w:t>2%</w:t>
            </w:r>
          </w:p>
        </w:tc>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right"/>
              <w:rPr>
                <w:sz w:val="20"/>
                <w:lang w:val="fr-FR" w:eastAsia="en-US"/>
              </w:rPr>
            </w:pPr>
            <w:r w:rsidRPr="00395C62">
              <w:rPr>
                <w:sz w:val="20"/>
                <w:lang w:val="fr-FR" w:eastAsia="en-US"/>
              </w:rPr>
              <w:t>98</w:t>
            </w:r>
            <w:r w:rsidR="00E87329" w:rsidRPr="00395C62">
              <w:rPr>
                <w:sz w:val="20"/>
                <w:lang w:val="fr-FR" w:eastAsia="en-US"/>
              </w:rPr>
              <w:t> </w:t>
            </w:r>
            <w:r w:rsidRPr="00395C62">
              <w:rPr>
                <w:sz w:val="20"/>
                <w:lang w:val="fr-FR" w:eastAsia="en-US"/>
              </w:rPr>
              <w:t>552</w:t>
            </w:r>
            <w:r w:rsidR="00E87329" w:rsidRPr="00395C62">
              <w:rPr>
                <w:sz w:val="20"/>
                <w:lang w:val="fr-FR" w:eastAsia="en-US"/>
              </w:rPr>
              <w:t> </w:t>
            </w:r>
            <w:r w:rsidRPr="00395C62">
              <w:rPr>
                <w:sz w:val="20"/>
                <w:lang w:val="fr-FR" w:eastAsia="en-US"/>
              </w:rPr>
              <w:t xml:space="preserve">547 </w:t>
            </w:r>
          </w:p>
        </w:tc>
      </w:tr>
      <w:tr w:rsidR="005C736F" w:rsidRPr="00395C62" w:rsidTr="00395C62">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5C62" w:rsidRPr="00395C62" w:rsidRDefault="00395C62" w:rsidP="00395C62">
            <w:pPr>
              <w:rPr>
                <w:sz w:val="20"/>
                <w:lang w:val="fr-FR" w:eastAsia="en-US"/>
              </w:rPr>
            </w:pPr>
          </w:p>
          <w:p w:rsidR="005C736F" w:rsidRPr="00395C62" w:rsidRDefault="00B04DEE" w:rsidP="00395C62">
            <w:pPr>
              <w:rPr>
                <w:sz w:val="20"/>
                <w:lang w:val="fr-FR" w:eastAsia="en-US"/>
              </w:rPr>
            </w:pPr>
            <w:r w:rsidRPr="00395C62">
              <w:rPr>
                <w:sz w:val="20"/>
                <w:lang w:val="fr-FR" w:eastAsia="en-US"/>
              </w:rPr>
              <w:t xml:space="preserve">Autres monnaies </w:t>
            </w:r>
            <w:r w:rsidR="005C736F" w:rsidRPr="00395C62">
              <w:rPr>
                <w:sz w:val="20"/>
                <w:lang w:val="fr-FR" w:eastAsia="en-US"/>
              </w:rPr>
              <w:t>(</w:t>
            </w:r>
            <w:r w:rsidRPr="00395C62">
              <w:rPr>
                <w:sz w:val="20"/>
                <w:lang w:val="fr-FR" w:eastAsia="en-US"/>
              </w:rPr>
              <w:t>voir n</w:t>
            </w:r>
            <w:r w:rsidR="005C736F" w:rsidRPr="00395C62">
              <w:rPr>
                <w:sz w:val="20"/>
                <w:lang w:val="fr-FR" w:eastAsia="en-US"/>
              </w:rPr>
              <w:t>ote</w:t>
            </w:r>
            <w:r w:rsidR="000A6AA6" w:rsidRPr="00395C62">
              <w:rPr>
                <w:sz w:val="20"/>
                <w:lang w:val="fr-FR" w:eastAsia="en-US"/>
              </w:rPr>
              <w:t> </w:t>
            </w:r>
            <w:r w:rsidR="005C736F" w:rsidRPr="00395C62">
              <w:rPr>
                <w:sz w:val="20"/>
                <w:lang w:val="fr-FR" w:eastAsia="en-US"/>
              </w:rPr>
              <w:t>1)</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center"/>
              <w:rPr>
                <w:sz w:val="20"/>
                <w:lang w:val="fr-FR" w:eastAsia="en-US"/>
              </w:rPr>
            </w:pPr>
            <w:r w:rsidRPr="00395C62">
              <w:rPr>
                <w:sz w:val="20"/>
                <w:lang w:val="fr-FR" w:eastAsia="en-US"/>
              </w:rPr>
              <w:t>100</w:t>
            </w:r>
            <w:r w:rsidR="00B04DEE" w:rsidRPr="00395C62">
              <w:rPr>
                <w:sz w:val="20"/>
                <w:lang w:val="fr-FR" w:eastAsia="en-US"/>
              </w:rPr>
              <w:t>,</w:t>
            </w:r>
            <w:r w:rsidRPr="00395C62">
              <w:rPr>
                <w:sz w:val="20"/>
                <w:lang w:val="fr-FR" w:eastAsia="en-US"/>
              </w:rPr>
              <w:t>0%</w:t>
            </w:r>
          </w:p>
        </w:tc>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right"/>
              <w:rPr>
                <w:sz w:val="20"/>
                <w:u w:val="single"/>
                <w:lang w:val="fr-FR" w:eastAsia="en-US"/>
              </w:rPr>
            </w:pPr>
            <w:r w:rsidRPr="00395C62">
              <w:rPr>
                <w:sz w:val="20"/>
                <w:u w:val="single"/>
                <w:lang w:val="fr-FR" w:eastAsia="en-US"/>
              </w:rPr>
              <w:t>14</w:t>
            </w:r>
            <w:r w:rsidR="00E87329" w:rsidRPr="00395C62">
              <w:rPr>
                <w:sz w:val="20"/>
                <w:u w:val="single"/>
                <w:lang w:val="fr-FR" w:eastAsia="en-US"/>
              </w:rPr>
              <w:t> </w:t>
            </w:r>
            <w:r w:rsidRPr="00395C62">
              <w:rPr>
                <w:sz w:val="20"/>
                <w:u w:val="single"/>
                <w:lang w:val="fr-FR" w:eastAsia="en-US"/>
              </w:rPr>
              <w:t>424</w:t>
            </w:r>
            <w:r w:rsidR="00E87329" w:rsidRPr="00395C62">
              <w:rPr>
                <w:sz w:val="20"/>
                <w:u w:val="single"/>
                <w:lang w:val="fr-FR" w:eastAsia="en-US"/>
              </w:rPr>
              <w:t> </w:t>
            </w:r>
            <w:r w:rsidRPr="00395C62">
              <w:rPr>
                <w:sz w:val="20"/>
                <w:u w:val="single"/>
                <w:lang w:val="fr-FR" w:eastAsia="en-US"/>
              </w:rPr>
              <w:t xml:space="preserve">808 </w:t>
            </w:r>
          </w:p>
        </w:tc>
      </w:tr>
      <w:tr w:rsidR="005C736F" w:rsidRPr="00395C62" w:rsidTr="00395C62">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C62" w:rsidRPr="00395C62" w:rsidRDefault="00395C62" w:rsidP="00395C62">
            <w:pPr>
              <w:rPr>
                <w:b/>
                <w:sz w:val="20"/>
                <w:lang w:val="fr-FR" w:eastAsia="en-US"/>
              </w:rPr>
            </w:pPr>
          </w:p>
          <w:p w:rsidR="005C736F" w:rsidRPr="00395C62" w:rsidRDefault="005C736F" w:rsidP="00395C62">
            <w:pPr>
              <w:rPr>
                <w:b/>
                <w:sz w:val="20"/>
                <w:lang w:val="fr-FR" w:eastAsia="en-US"/>
              </w:rPr>
            </w:pPr>
            <w:r w:rsidRPr="00395C62">
              <w:rPr>
                <w:b/>
                <w:sz w:val="20"/>
                <w:lang w:val="fr-FR" w:eastAsia="en-US"/>
              </w:rPr>
              <w:t>Total</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rPr>
                <w:b/>
                <w:sz w:val="20"/>
                <w:lang w:val="fr-FR" w:eastAsia="en-US"/>
              </w:rPr>
            </w:pPr>
          </w:p>
        </w:tc>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right"/>
              <w:rPr>
                <w:b/>
                <w:sz w:val="20"/>
                <w:lang w:val="fr-FR" w:eastAsia="en-US"/>
              </w:rPr>
            </w:pPr>
            <w:r w:rsidRPr="00395C62">
              <w:rPr>
                <w:b/>
                <w:sz w:val="20"/>
                <w:lang w:val="fr-FR" w:eastAsia="en-US"/>
              </w:rPr>
              <w:t>139</w:t>
            </w:r>
            <w:r w:rsidR="00E87329" w:rsidRPr="00395C62">
              <w:rPr>
                <w:b/>
                <w:sz w:val="20"/>
                <w:lang w:val="fr-FR" w:eastAsia="en-US"/>
              </w:rPr>
              <w:t> </w:t>
            </w:r>
            <w:r w:rsidRPr="00395C62">
              <w:rPr>
                <w:b/>
                <w:sz w:val="20"/>
                <w:lang w:val="fr-FR" w:eastAsia="en-US"/>
              </w:rPr>
              <w:t>238</w:t>
            </w:r>
            <w:r w:rsidR="00E87329" w:rsidRPr="00395C62">
              <w:rPr>
                <w:b/>
                <w:sz w:val="20"/>
                <w:lang w:val="fr-FR" w:eastAsia="en-US"/>
              </w:rPr>
              <w:t> </w:t>
            </w:r>
            <w:r w:rsidRPr="00395C62">
              <w:rPr>
                <w:b/>
                <w:sz w:val="20"/>
                <w:lang w:val="fr-FR" w:eastAsia="en-US"/>
              </w:rPr>
              <w:t xml:space="preserve">118 </w:t>
            </w:r>
          </w:p>
        </w:tc>
      </w:tr>
      <w:tr w:rsidR="005C736F" w:rsidRPr="00395C62" w:rsidTr="00395C62">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rPr>
                <w:sz w:val="20"/>
                <w:lang w:val="fr-FR" w:eastAsia="en-US"/>
              </w:rPr>
            </w:pP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rPr>
                <w:sz w:val="20"/>
                <w:lang w:val="fr-FR" w:eastAsia="en-US"/>
              </w:rPr>
            </w:pPr>
          </w:p>
        </w:tc>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right"/>
              <w:rPr>
                <w:sz w:val="20"/>
                <w:lang w:val="fr-FR" w:eastAsia="en-US"/>
              </w:rPr>
            </w:pPr>
          </w:p>
        </w:tc>
      </w:tr>
      <w:tr w:rsidR="005C736F" w:rsidRPr="00395C62" w:rsidTr="00395C62">
        <w:trPr>
          <w:trHeight w:val="255"/>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B04DEE" w:rsidP="00395C62">
            <w:pPr>
              <w:rPr>
                <w:sz w:val="20"/>
                <w:lang w:val="fr-FR" w:eastAsia="en-US"/>
              </w:rPr>
            </w:pPr>
            <w:r w:rsidRPr="00395C62">
              <w:rPr>
                <w:sz w:val="20"/>
                <w:lang w:val="fr-FR" w:eastAsia="en-US"/>
              </w:rPr>
              <w:t>Pourcentage du total des recettes</w:t>
            </w:r>
            <w:r w:rsidR="006A0BE5" w:rsidRPr="00395C62">
              <w:rPr>
                <w:sz w:val="20"/>
                <w:lang w:val="fr-FR" w:eastAsia="en-US"/>
              </w:rPr>
              <w:t xml:space="preserve"> du PCT</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rPr>
                <w:sz w:val="20"/>
                <w:lang w:val="fr-FR" w:eastAsia="en-US"/>
              </w:rPr>
            </w:pPr>
          </w:p>
        </w:tc>
        <w:tc>
          <w:tcPr>
            <w:tcW w:w="2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736F" w:rsidRPr="00395C62" w:rsidRDefault="005C736F" w:rsidP="00395C62">
            <w:pPr>
              <w:jc w:val="right"/>
              <w:rPr>
                <w:sz w:val="20"/>
                <w:lang w:val="fr-FR" w:eastAsia="en-US"/>
              </w:rPr>
            </w:pPr>
            <w:r w:rsidRPr="00395C62">
              <w:rPr>
                <w:sz w:val="20"/>
                <w:lang w:val="fr-FR" w:eastAsia="en-US"/>
              </w:rPr>
              <w:t>34</w:t>
            </w:r>
            <w:r w:rsidR="00B04DEE" w:rsidRPr="00395C62">
              <w:rPr>
                <w:sz w:val="20"/>
                <w:lang w:val="fr-FR" w:eastAsia="en-US"/>
              </w:rPr>
              <w:t>,</w:t>
            </w:r>
            <w:r w:rsidRPr="00395C62">
              <w:rPr>
                <w:sz w:val="20"/>
                <w:lang w:val="fr-FR" w:eastAsia="en-US"/>
              </w:rPr>
              <w:t>9%</w:t>
            </w:r>
          </w:p>
        </w:tc>
      </w:tr>
      <w:tr w:rsidR="005C736F" w:rsidRPr="00395C62" w:rsidTr="00395C62">
        <w:trPr>
          <w:trHeight w:val="255"/>
          <w:jc w:val="center"/>
        </w:trPr>
        <w:tc>
          <w:tcPr>
            <w:tcW w:w="4395" w:type="dxa"/>
            <w:tcBorders>
              <w:top w:val="single" w:sz="4" w:space="0" w:color="auto"/>
              <w:left w:val="nil"/>
              <w:bottom w:val="nil"/>
              <w:right w:val="nil"/>
            </w:tcBorders>
            <w:shd w:val="clear" w:color="auto" w:fill="auto"/>
            <w:noWrap/>
            <w:vAlign w:val="bottom"/>
            <w:hideMark/>
          </w:tcPr>
          <w:p w:rsidR="005C736F" w:rsidRPr="00395C62" w:rsidRDefault="005C736F" w:rsidP="00395C62">
            <w:pPr>
              <w:rPr>
                <w:sz w:val="20"/>
                <w:lang w:val="fr-FR" w:eastAsia="en-US"/>
              </w:rPr>
            </w:pPr>
          </w:p>
        </w:tc>
        <w:tc>
          <w:tcPr>
            <w:tcW w:w="2403" w:type="dxa"/>
            <w:tcBorders>
              <w:top w:val="single" w:sz="4" w:space="0" w:color="auto"/>
              <w:left w:val="nil"/>
              <w:bottom w:val="nil"/>
              <w:right w:val="nil"/>
            </w:tcBorders>
            <w:shd w:val="clear" w:color="auto" w:fill="auto"/>
            <w:noWrap/>
            <w:vAlign w:val="bottom"/>
            <w:hideMark/>
          </w:tcPr>
          <w:p w:rsidR="005C736F" w:rsidRPr="00395C62" w:rsidRDefault="005C736F" w:rsidP="00395C62">
            <w:pPr>
              <w:rPr>
                <w:sz w:val="20"/>
                <w:lang w:val="fr-FR" w:eastAsia="en-US"/>
              </w:rPr>
            </w:pPr>
          </w:p>
        </w:tc>
        <w:tc>
          <w:tcPr>
            <w:tcW w:w="2284" w:type="dxa"/>
            <w:tcBorders>
              <w:top w:val="single" w:sz="4" w:space="0" w:color="auto"/>
              <w:left w:val="nil"/>
              <w:bottom w:val="nil"/>
              <w:right w:val="nil"/>
            </w:tcBorders>
            <w:shd w:val="clear" w:color="auto" w:fill="auto"/>
            <w:noWrap/>
            <w:vAlign w:val="bottom"/>
            <w:hideMark/>
          </w:tcPr>
          <w:p w:rsidR="005C736F" w:rsidRPr="00395C62" w:rsidRDefault="005C736F" w:rsidP="00395C62">
            <w:pPr>
              <w:jc w:val="right"/>
              <w:rPr>
                <w:sz w:val="20"/>
                <w:lang w:val="fr-FR" w:eastAsia="en-US"/>
              </w:rPr>
            </w:pPr>
          </w:p>
        </w:tc>
      </w:tr>
      <w:tr w:rsidR="005C736F" w:rsidRPr="00291E55" w:rsidTr="00395C62">
        <w:trPr>
          <w:trHeight w:val="255"/>
          <w:jc w:val="center"/>
        </w:trPr>
        <w:tc>
          <w:tcPr>
            <w:tcW w:w="4395" w:type="dxa"/>
            <w:tcBorders>
              <w:top w:val="nil"/>
              <w:left w:val="nil"/>
              <w:bottom w:val="nil"/>
              <w:right w:val="nil"/>
            </w:tcBorders>
            <w:shd w:val="clear" w:color="auto" w:fill="auto"/>
            <w:noWrap/>
            <w:vAlign w:val="bottom"/>
            <w:hideMark/>
          </w:tcPr>
          <w:p w:rsidR="005C736F" w:rsidRPr="00395C62" w:rsidRDefault="002757AB" w:rsidP="00395C62">
            <w:pPr>
              <w:rPr>
                <w:sz w:val="20"/>
                <w:lang w:val="fr-FR" w:eastAsia="en-US"/>
              </w:rPr>
            </w:pPr>
            <w:r w:rsidRPr="00395C62">
              <w:rPr>
                <w:sz w:val="20"/>
                <w:lang w:val="fr-FR" w:eastAsia="en-US"/>
              </w:rPr>
              <w:t>Note</w:t>
            </w:r>
            <w:r w:rsidR="000A6AA6" w:rsidRPr="00395C62">
              <w:rPr>
                <w:sz w:val="20"/>
                <w:lang w:val="fr-FR" w:eastAsia="en-US"/>
              </w:rPr>
              <w:t> </w:t>
            </w:r>
            <w:r w:rsidRPr="00395C62">
              <w:rPr>
                <w:sz w:val="20"/>
                <w:lang w:val="fr-FR" w:eastAsia="en-US"/>
              </w:rPr>
              <w:t xml:space="preserve">1 : </w:t>
            </w:r>
            <w:r w:rsidR="00295444" w:rsidRPr="00395C62">
              <w:rPr>
                <w:sz w:val="20"/>
                <w:lang w:val="fr-FR" w:eastAsia="en-US"/>
              </w:rPr>
              <w:t>à l</w:t>
            </w:r>
            <w:r w:rsidR="006A0BE5" w:rsidRPr="00395C62">
              <w:rPr>
                <w:sz w:val="20"/>
                <w:lang w:val="fr-FR" w:eastAsia="en-US"/>
              </w:rPr>
              <w:t>’</w:t>
            </w:r>
            <w:r w:rsidR="00295444" w:rsidRPr="00395C62">
              <w:rPr>
                <w:sz w:val="20"/>
                <w:lang w:val="fr-FR" w:eastAsia="en-US"/>
              </w:rPr>
              <w:t>exclusion d</w:t>
            </w:r>
            <w:r w:rsidRPr="00395C62">
              <w:rPr>
                <w:sz w:val="20"/>
                <w:lang w:val="fr-FR" w:eastAsia="en-US"/>
              </w:rPr>
              <w:t>es fonds reçus en francs suisses.</w:t>
            </w:r>
          </w:p>
        </w:tc>
        <w:tc>
          <w:tcPr>
            <w:tcW w:w="2403" w:type="dxa"/>
            <w:tcBorders>
              <w:top w:val="nil"/>
              <w:left w:val="nil"/>
              <w:bottom w:val="nil"/>
              <w:right w:val="nil"/>
            </w:tcBorders>
            <w:shd w:val="clear" w:color="auto" w:fill="auto"/>
            <w:noWrap/>
            <w:vAlign w:val="bottom"/>
            <w:hideMark/>
          </w:tcPr>
          <w:p w:rsidR="005C736F" w:rsidRPr="00395C62" w:rsidRDefault="005C736F" w:rsidP="00395C62">
            <w:pPr>
              <w:rPr>
                <w:sz w:val="20"/>
                <w:lang w:val="fr-FR" w:eastAsia="en-US"/>
              </w:rPr>
            </w:pPr>
          </w:p>
        </w:tc>
        <w:tc>
          <w:tcPr>
            <w:tcW w:w="2284" w:type="dxa"/>
            <w:tcBorders>
              <w:top w:val="nil"/>
              <w:left w:val="nil"/>
              <w:bottom w:val="nil"/>
              <w:right w:val="nil"/>
            </w:tcBorders>
            <w:shd w:val="clear" w:color="auto" w:fill="auto"/>
            <w:noWrap/>
            <w:vAlign w:val="bottom"/>
            <w:hideMark/>
          </w:tcPr>
          <w:p w:rsidR="005C736F" w:rsidRPr="00395C62" w:rsidRDefault="005C736F" w:rsidP="00395C62">
            <w:pPr>
              <w:jc w:val="right"/>
              <w:rPr>
                <w:sz w:val="20"/>
                <w:lang w:val="fr-FR" w:eastAsia="en-US"/>
              </w:rPr>
            </w:pPr>
          </w:p>
        </w:tc>
      </w:tr>
    </w:tbl>
    <w:p w:rsidR="00C7627D" w:rsidRPr="00D77565" w:rsidRDefault="00B55A29" w:rsidP="00F131E9">
      <w:pPr>
        <w:pStyle w:val="ONUMFS"/>
        <w:rPr>
          <w:spacing w:val="-2"/>
          <w:lang w:val="fr-FR"/>
        </w:rPr>
      </w:pPr>
      <w:r w:rsidRPr="00D77565">
        <w:rPr>
          <w:spacing w:val="-2"/>
          <w:lang w:val="fr-FR"/>
        </w:rPr>
        <w:lastRenderedPageBreak/>
        <w:t>Comme le montre clairement l</w:t>
      </w:r>
      <w:r w:rsidR="006A0BE5" w:rsidRPr="00D77565">
        <w:rPr>
          <w:spacing w:val="-2"/>
          <w:lang w:val="fr-FR"/>
        </w:rPr>
        <w:t>’</w:t>
      </w:r>
      <w:r w:rsidRPr="00D77565">
        <w:rPr>
          <w:spacing w:val="-2"/>
          <w:lang w:val="fr-FR"/>
        </w:rPr>
        <w:t>analyse des flux de trésorerie réels pour la période de 17</w:t>
      </w:r>
      <w:r w:rsidR="000A6AA6" w:rsidRPr="00D77565">
        <w:rPr>
          <w:spacing w:val="-2"/>
          <w:lang w:val="fr-FR"/>
        </w:rPr>
        <w:t> </w:t>
      </w:r>
      <w:r w:rsidRPr="00D77565">
        <w:rPr>
          <w:spacing w:val="-2"/>
          <w:lang w:val="fr-FR"/>
        </w:rPr>
        <w:t>mois compris</w:t>
      </w:r>
      <w:r w:rsidR="004A198E" w:rsidRPr="00D77565">
        <w:rPr>
          <w:spacing w:val="-2"/>
          <w:lang w:val="fr-FR"/>
        </w:rPr>
        <w:t>e</w:t>
      </w:r>
      <w:r w:rsidRPr="00D77565">
        <w:rPr>
          <w:spacing w:val="-2"/>
          <w:lang w:val="fr-FR"/>
        </w:rPr>
        <w:t xml:space="preserve"> entre le</w:t>
      </w:r>
      <w:r w:rsidR="006A0BE5" w:rsidRPr="00D77565">
        <w:rPr>
          <w:spacing w:val="-2"/>
          <w:lang w:val="fr-FR"/>
        </w:rPr>
        <w:t xml:space="preserve"> 1</w:t>
      </w:r>
      <w:r w:rsidR="006A0BE5" w:rsidRPr="00D77565">
        <w:rPr>
          <w:spacing w:val="-2"/>
          <w:vertAlign w:val="superscript"/>
          <w:lang w:val="fr-FR"/>
        </w:rPr>
        <w:t>er</w:t>
      </w:r>
      <w:r w:rsidR="006A0BE5" w:rsidRPr="00D77565">
        <w:rPr>
          <w:spacing w:val="-2"/>
          <w:lang w:val="fr-FR"/>
        </w:rPr>
        <w:t> janvier 20</w:t>
      </w:r>
      <w:r w:rsidRPr="00D77565">
        <w:rPr>
          <w:spacing w:val="-2"/>
          <w:lang w:val="fr-FR"/>
        </w:rPr>
        <w:t>15 et le 3</w:t>
      </w:r>
      <w:r w:rsidR="006A0BE5" w:rsidRPr="00D77565">
        <w:rPr>
          <w:spacing w:val="-2"/>
          <w:lang w:val="fr-FR"/>
        </w:rPr>
        <w:t>1 mai 20</w:t>
      </w:r>
      <w:r w:rsidRPr="00D77565">
        <w:rPr>
          <w:spacing w:val="-2"/>
          <w:lang w:val="fr-FR"/>
        </w:rPr>
        <w:t>16,</w:t>
      </w:r>
      <w:r w:rsidR="00070A81" w:rsidRPr="00D77565">
        <w:rPr>
          <w:spacing w:val="-2"/>
          <w:lang w:val="fr-FR"/>
        </w:rPr>
        <w:t xml:space="preserve"> le total des sommes disponibles en yens, dollars</w:t>
      </w:r>
      <w:r w:rsidR="00E87329" w:rsidRPr="00D77565">
        <w:rPr>
          <w:spacing w:val="-2"/>
          <w:lang w:val="fr-FR"/>
        </w:rPr>
        <w:t> </w:t>
      </w:r>
      <w:r w:rsidR="00070A81" w:rsidRPr="00D77565">
        <w:rPr>
          <w:spacing w:val="-2"/>
          <w:lang w:val="fr-FR"/>
        </w:rPr>
        <w:t>É.</w:t>
      </w:r>
      <w:r w:rsidR="004C56EE" w:rsidRPr="00D77565">
        <w:rPr>
          <w:spacing w:val="-2"/>
          <w:lang w:val="fr-FR"/>
        </w:rPr>
        <w:noBreakHyphen/>
      </w:r>
      <w:r w:rsidR="00070A81" w:rsidRPr="00D77565">
        <w:rPr>
          <w:spacing w:val="-2"/>
          <w:lang w:val="fr-FR"/>
        </w:rPr>
        <w:t>U. et euros pour assurer une couverture des recettes budgétaires</w:t>
      </w:r>
      <w:r w:rsidR="006A0BE5" w:rsidRPr="00D77565">
        <w:rPr>
          <w:spacing w:val="-2"/>
          <w:lang w:val="fr-FR"/>
        </w:rPr>
        <w:t xml:space="preserve"> du PCT</w:t>
      </w:r>
      <w:r w:rsidR="00070A81" w:rsidRPr="00D77565">
        <w:rPr>
          <w:spacing w:val="-2"/>
          <w:lang w:val="fr-FR"/>
        </w:rPr>
        <w:t xml:space="preserve"> par l</w:t>
      </w:r>
      <w:r w:rsidR="006A0BE5" w:rsidRPr="00D77565">
        <w:rPr>
          <w:spacing w:val="-2"/>
          <w:lang w:val="fr-FR"/>
        </w:rPr>
        <w:t>’</w:t>
      </w:r>
      <w:r w:rsidR="00070A81" w:rsidRPr="00D77565">
        <w:rPr>
          <w:spacing w:val="-2"/>
          <w:lang w:val="fr-FR"/>
        </w:rPr>
        <w:t xml:space="preserve">achat de contrats à terme aurait été inférieur </w:t>
      </w:r>
      <w:r w:rsidR="00AC5693" w:rsidRPr="00D77565">
        <w:rPr>
          <w:spacing w:val="-2"/>
          <w:lang w:val="fr-FR"/>
        </w:rPr>
        <w:t xml:space="preserve">à la fourchette de 70 à 90%, et </w:t>
      </w:r>
      <w:r w:rsidR="00E775F6" w:rsidRPr="00D77565">
        <w:rPr>
          <w:spacing w:val="-2"/>
          <w:lang w:val="fr-FR"/>
        </w:rPr>
        <w:t>aurait laissé l</w:t>
      </w:r>
      <w:r w:rsidR="006A0BE5" w:rsidRPr="00D77565">
        <w:rPr>
          <w:spacing w:val="-2"/>
          <w:lang w:val="fr-FR"/>
        </w:rPr>
        <w:t>’</w:t>
      </w:r>
      <w:r w:rsidR="00E775F6" w:rsidRPr="00D77565">
        <w:rPr>
          <w:spacing w:val="-2"/>
          <w:lang w:val="fr-FR"/>
        </w:rPr>
        <w:t xml:space="preserve">OMPI sans protection face à un risque de change considérable </w:t>
      </w:r>
      <w:r w:rsidR="00106145" w:rsidRPr="00D77565">
        <w:rPr>
          <w:spacing w:val="-2"/>
          <w:lang w:val="fr-FR"/>
        </w:rPr>
        <w:t>et privée de la possibilité d</w:t>
      </w:r>
      <w:r w:rsidR="006A0BE5" w:rsidRPr="00D77565">
        <w:rPr>
          <w:spacing w:val="-2"/>
          <w:lang w:val="fr-FR"/>
        </w:rPr>
        <w:t>’</w:t>
      </w:r>
      <w:r w:rsidR="00106145" w:rsidRPr="00D77565">
        <w:rPr>
          <w:spacing w:val="-2"/>
          <w:lang w:val="fr-FR"/>
        </w:rPr>
        <w:t xml:space="preserve">ajustement que lui offre actuellement le </w:t>
      </w:r>
      <w:r w:rsidR="006A3D8F" w:rsidRPr="00D77565">
        <w:rPr>
          <w:spacing w:val="-2"/>
          <w:lang w:val="fr-FR"/>
        </w:rPr>
        <w:t>système</w:t>
      </w:r>
      <w:r w:rsidR="00106145" w:rsidRPr="00D77565">
        <w:rPr>
          <w:spacing w:val="-2"/>
          <w:lang w:val="fr-FR"/>
        </w:rPr>
        <w:t xml:space="preserve"> des montants équivalen</w:t>
      </w:r>
      <w:r w:rsidR="004C56EE" w:rsidRPr="00D77565">
        <w:rPr>
          <w:spacing w:val="-2"/>
          <w:lang w:val="fr-FR"/>
        </w:rPr>
        <w:t>ts.  Qu</w:t>
      </w:r>
      <w:r w:rsidR="000E6BEC" w:rsidRPr="00D77565">
        <w:rPr>
          <w:spacing w:val="-2"/>
          <w:lang w:val="fr-FR"/>
        </w:rPr>
        <w:t>i plus est, l</w:t>
      </w:r>
      <w:r w:rsidR="006A0BE5" w:rsidRPr="00D77565">
        <w:rPr>
          <w:spacing w:val="-2"/>
          <w:lang w:val="fr-FR"/>
        </w:rPr>
        <w:t>’</w:t>
      </w:r>
      <w:r w:rsidR="000E6BEC" w:rsidRPr="00D77565">
        <w:rPr>
          <w:spacing w:val="-2"/>
          <w:lang w:val="fr-FR"/>
        </w:rPr>
        <w:t>importance de la variation des recettes mensuelles aurait rendu difficile</w:t>
      </w:r>
      <w:r w:rsidR="001E0758" w:rsidRPr="00D77565">
        <w:rPr>
          <w:spacing w:val="-2"/>
          <w:lang w:val="fr-FR"/>
        </w:rPr>
        <w:t xml:space="preserve"> toute prévision quant à la quantité de chaque monnaie</w:t>
      </w:r>
      <w:r w:rsidR="00F730D4" w:rsidRPr="00D77565">
        <w:rPr>
          <w:spacing w:val="-2"/>
          <w:lang w:val="fr-FR"/>
        </w:rPr>
        <w:t xml:space="preserve"> à acheter à terme de mois en mois, et donc imposé le recours à une moyenne basée sur des prévisio</w:t>
      </w:r>
      <w:r w:rsidR="004C56EE" w:rsidRPr="00D77565">
        <w:rPr>
          <w:spacing w:val="-2"/>
          <w:lang w:val="fr-FR"/>
        </w:rPr>
        <w:t>ns.  L’a</w:t>
      </w:r>
      <w:r w:rsidR="00F679B2" w:rsidRPr="00D77565">
        <w:rPr>
          <w:spacing w:val="-2"/>
          <w:lang w:val="fr-FR"/>
        </w:rPr>
        <w:t xml:space="preserve">chat à terme de volumes moyens pour chaque monnaie aurait </w:t>
      </w:r>
      <w:r w:rsidR="00CB06EC" w:rsidRPr="00D77565">
        <w:rPr>
          <w:spacing w:val="-2"/>
          <w:lang w:val="fr-FR"/>
        </w:rPr>
        <w:t>entraîn</w:t>
      </w:r>
      <w:r w:rsidR="00F679B2" w:rsidRPr="00D77565">
        <w:rPr>
          <w:spacing w:val="-2"/>
          <w:lang w:val="fr-FR"/>
        </w:rPr>
        <w:t>é un risque d</w:t>
      </w:r>
      <w:r w:rsidR="006A0BE5" w:rsidRPr="00D77565">
        <w:rPr>
          <w:spacing w:val="-2"/>
          <w:lang w:val="fr-FR"/>
        </w:rPr>
        <w:t>’</w:t>
      </w:r>
      <w:r w:rsidR="00F679B2" w:rsidRPr="00D77565">
        <w:rPr>
          <w:spacing w:val="-2"/>
          <w:lang w:val="fr-FR"/>
        </w:rPr>
        <w:t>insuffisance de fonds dans l</w:t>
      </w:r>
      <w:r w:rsidR="006A0BE5" w:rsidRPr="00D77565">
        <w:rPr>
          <w:spacing w:val="-2"/>
          <w:lang w:val="fr-FR"/>
        </w:rPr>
        <w:t>’</w:t>
      </w:r>
      <w:r w:rsidR="00F679B2" w:rsidRPr="00D77565">
        <w:rPr>
          <w:spacing w:val="-2"/>
          <w:lang w:val="fr-FR"/>
        </w:rPr>
        <w:t>une de ces monnaies</w:t>
      </w:r>
      <w:r w:rsidR="00CB06EC" w:rsidRPr="00D77565">
        <w:rPr>
          <w:spacing w:val="-2"/>
          <w:lang w:val="fr-FR"/>
        </w:rPr>
        <w:t xml:space="preserve"> et</w:t>
      </w:r>
      <w:r w:rsidR="006A3D8F" w:rsidRPr="00D77565">
        <w:rPr>
          <w:spacing w:val="-2"/>
          <w:lang w:val="fr-FR"/>
        </w:rPr>
        <w:t>, dans un tel cas,</w:t>
      </w:r>
      <w:r w:rsidR="00CB06EC" w:rsidRPr="00D77565">
        <w:rPr>
          <w:spacing w:val="-2"/>
          <w:lang w:val="fr-FR"/>
        </w:rPr>
        <w:t xml:space="preserve"> l</w:t>
      </w:r>
      <w:r w:rsidR="006A0BE5" w:rsidRPr="00D77565">
        <w:rPr>
          <w:spacing w:val="-2"/>
          <w:lang w:val="fr-FR"/>
        </w:rPr>
        <w:t>’</w:t>
      </w:r>
      <w:r w:rsidR="00CB06EC" w:rsidRPr="00D77565">
        <w:rPr>
          <w:spacing w:val="-2"/>
          <w:lang w:val="fr-FR"/>
        </w:rPr>
        <w:t>obligation de recourir</w:t>
      </w:r>
      <w:r w:rsidR="002A464A" w:rsidRPr="00D77565">
        <w:rPr>
          <w:spacing w:val="-2"/>
          <w:lang w:val="fr-FR"/>
        </w:rPr>
        <w:t xml:space="preserve">, selon la proposition de la firme de conseil FTI </w:t>
      </w:r>
      <w:proofErr w:type="spellStart"/>
      <w:r w:rsidR="002A464A" w:rsidRPr="00D77565">
        <w:rPr>
          <w:spacing w:val="-2"/>
          <w:lang w:val="fr-FR"/>
        </w:rPr>
        <w:t>Treasury</w:t>
      </w:r>
      <w:proofErr w:type="spellEnd"/>
      <w:r w:rsidR="002A464A" w:rsidRPr="00D77565">
        <w:rPr>
          <w:spacing w:val="-2"/>
          <w:lang w:val="fr-FR"/>
        </w:rPr>
        <w:t>,</w:t>
      </w:r>
      <w:r w:rsidR="00CB06EC" w:rsidRPr="00D77565">
        <w:rPr>
          <w:spacing w:val="-2"/>
          <w:lang w:val="fr-FR"/>
        </w:rPr>
        <w:t xml:space="preserve"> à un contrat de swap de devises</w:t>
      </w:r>
      <w:r w:rsidR="006A3D8F" w:rsidRPr="00D77565">
        <w:rPr>
          <w:spacing w:val="-2"/>
          <w:lang w:val="fr-FR"/>
        </w:rPr>
        <w:t xml:space="preserve"> potentiellement</w:t>
      </w:r>
      <w:r w:rsidR="002A464A" w:rsidRPr="00D77565">
        <w:rPr>
          <w:spacing w:val="-2"/>
          <w:lang w:val="fr-FR"/>
        </w:rPr>
        <w:t xml:space="preserve"> coûteux ou de</w:t>
      </w:r>
      <w:r w:rsidR="00CB06EC" w:rsidRPr="00D77565">
        <w:rPr>
          <w:spacing w:val="-2"/>
          <w:lang w:val="fr-FR"/>
        </w:rPr>
        <w:t xml:space="preserve"> </w:t>
      </w:r>
      <w:r w:rsidR="002A464A" w:rsidRPr="00D77565">
        <w:rPr>
          <w:spacing w:val="-2"/>
          <w:lang w:val="fr-FR"/>
        </w:rPr>
        <w:t>vendre des francs suisses détenus dans les réserves de l</w:t>
      </w:r>
      <w:r w:rsidR="006A0BE5" w:rsidRPr="00D77565">
        <w:rPr>
          <w:spacing w:val="-2"/>
          <w:lang w:val="fr-FR"/>
        </w:rPr>
        <w:t>’</w:t>
      </w:r>
      <w:r w:rsidR="002A464A" w:rsidRPr="00D77565">
        <w:rPr>
          <w:spacing w:val="-2"/>
          <w:lang w:val="fr-FR"/>
        </w:rPr>
        <w:t>OMPI pour acheter la monnaie en cause,</w:t>
      </w:r>
      <w:r w:rsidR="00605EB6" w:rsidRPr="00D77565">
        <w:rPr>
          <w:spacing w:val="-2"/>
          <w:lang w:val="fr-FR"/>
        </w:rPr>
        <w:t xml:space="preserve"> ce qui peut créer des différences de change considérables.</w:t>
      </w:r>
    </w:p>
    <w:p w:rsidR="006A0BE5" w:rsidRPr="00D77565" w:rsidRDefault="00DD72EB" w:rsidP="00F131E9">
      <w:pPr>
        <w:pStyle w:val="ONUMFS"/>
        <w:rPr>
          <w:spacing w:val="-2"/>
          <w:lang w:val="fr-FR"/>
        </w:rPr>
      </w:pPr>
      <w:r w:rsidRPr="00D77565">
        <w:rPr>
          <w:spacing w:val="-2"/>
          <w:lang w:val="fr-FR"/>
        </w:rPr>
        <w:t>Il est permis, dès lors, de s</w:t>
      </w:r>
      <w:r w:rsidR="006A0BE5" w:rsidRPr="00D77565">
        <w:rPr>
          <w:spacing w:val="-2"/>
          <w:lang w:val="fr-FR"/>
        </w:rPr>
        <w:t>’</w:t>
      </w:r>
      <w:r w:rsidRPr="00D77565">
        <w:rPr>
          <w:spacing w:val="-2"/>
          <w:lang w:val="fr-FR"/>
        </w:rPr>
        <w:t>interroger quant à la capacité</w:t>
      </w:r>
      <w:r w:rsidR="009E747C" w:rsidRPr="00D77565">
        <w:rPr>
          <w:spacing w:val="-2"/>
          <w:lang w:val="fr-FR"/>
        </w:rPr>
        <w:t xml:space="preserve"> des achats proposés de contrats à terme comme moyen de couverture</w:t>
      </w:r>
      <w:r w:rsidR="002C5FA4" w:rsidRPr="00D77565">
        <w:rPr>
          <w:spacing w:val="-2"/>
          <w:lang w:val="fr-FR"/>
        </w:rPr>
        <w:t xml:space="preserve"> des recettes PCT de l</w:t>
      </w:r>
      <w:r w:rsidR="006A0BE5" w:rsidRPr="00D77565">
        <w:rPr>
          <w:spacing w:val="-2"/>
          <w:lang w:val="fr-FR"/>
        </w:rPr>
        <w:t>’</w:t>
      </w:r>
      <w:r w:rsidR="002C5FA4" w:rsidRPr="00D77565">
        <w:rPr>
          <w:spacing w:val="-2"/>
          <w:lang w:val="fr-FR"/>
        </w:rPr>
        <w:t>OMPI en monnaies autres que le franc suisse à limiter les risques liés à la fluctuation des chang</w:t>
      </w:r>
      <w:r w:rsidR="004C56EE" w:rsidRPr="00D77565">
        <w:rPr>
          <w:spacing w:val="-2"/>
          <w:lang w:val="fr-FR"/>
        </w:rPr>
        <w:t>es.  S’i</w:t>
      </w:r>
      <w:r w:rsidR="00364A74" w:rsidRPr="00D77565">
        <w:rPr>
          <w:spacing w:val="-2"/>
          <w:lang w:val="fr-FR"/>
        </w:rPr>
        <w:t>l est vrai qu</w:t>
      </w:r>
      <w:r w:rsidR="006A0BE5" w:rsidRPr="00D77565">
        <w:rPr>
          <w:spacing w:val="-2"/>
          <w:lang w:val="fr-FR"/>
        </w:rPr>
        <w:t>’</w:t>
      </w:r>
      <w:r w:rsidR="00364A74" w:rsidRPr="00D77565">
        <w:rPr>
          <w:spacing w:val="-2"/>
          <w:lang w:val="fr-FR"/>
        </w:rPr>
        <w:t xml:space="preserve">une telle stratégie aurait permis de couvrir 65,1% de ces recettes, </w:t>
      </w:r>
      <w:r w:rsidR="008732D9" w:rsidRPr="00D77565">
        <w:rPr>
          <w:spacing w:val="-2"/>
          <w:lang w:val="fr-FR"/>
        </w:rPr>
        <w:t>elle aurait également exposé les 34,9% restants à un risque de change beaucoup plus important qu</w:t>
      </w:r>
      <w:r w:rsidR="006A0BE5" w:rsidRPr="00D77565">
        <w:rPr>
          <w:spacing w:val="-2"/>
          <w:lang w:val="fr-FR"/>
        </w:rPr>
        <w:t>’</w:t>
      </w:r>
      <w:r w:rsidR="008732D9" w:rsidRPr="00D77565">
        <w:rPr>
          <w:spacing w:val="-2"/>
          <w:lang w:val="fr-FR"/>
        </w:rPr>
        <w:t>à l</w:t>
      </w:r>
      <w:r w:rsidR="006A0BE5" w:rsidRPr="00D77565">
        <w:rPr>
          <w:spacing w:val="-2"/>
          <w:lang w:val="fr-FR"/>
        </w:rPr>
        <w:t>’</w:t>
      </w:r>
      <w:r w:rsidR="008732D9" w:rsidRPr="00D77565">
        <w:rPr>
          <w:spacing w:val="-2"/>
          <w:lang w:val="fr-FR"/>
        </w:rPr>
        <w:t xml:space="preserve">heure actuelle, </w:t>
      </w:r>
      <w:r w:rsidR="00731609" w:rsidRPr="00D77565">
        <w:rPr>
          <w:spacing w:val="-2"/>
          <w:lang w:val="fr-FR"/>
        </w:rPr>
        <w:t>puisqu</w:t>
      </w:r>
      <w:r w:rsidR="006A0BE5" w:rsidRPr="00D77565">
        <w:rPr>
          <w:spacing w:val="-2"/>
          <w:lang w:val="fr-FR"/>
        </w:rPr>
        <w:t>’</w:t>
      </w:r>
      <w:r w:rsidR="009551D9" w:rsidRPr="00D77565">
        <w:rPr>
          <w:spacing w:val="-2"/>
          <w:lang w:val="fr-FR"/>
        </w:rPr>
        <w:t>elle aurait supprimé</w:t>
      </w:r>
      <w:r w:rsidR="008939C5" w:rsidRPr="00D77565">
        <w:rPr>
          <w:spacing w:val="-2"/>
          <w:lang w:val="fr-FR"/>
        </w:rPr>
        <w:t xml:space="preserve"> </w:t>
      </w:r>
      <w:r w:rsidR="00731609" w:rsidRPr="00D77565">
        <w:rPr>
          <w:spacing w:val="-2"/>
          <w:lang w:val="fr-FR"/>
        </w:rPr>
        <w:t>le mécanisme existant</w:t>
      </w:r>
      <w:r w:rsidR="00F37826" w:rsidRPr="00D77565">
        <w:rPr>
          <w:spacing w:val="-2"/>
          <w:lang w:val="fr-FR"/>
        </w:rPr>
        <w:t xml:space="preserve"> des montants équivalents</w:t>
      </w:r>
      <w:r w:rsidR="009551D9" w:rsidRPr="00D77565">
        <w:rPr>
          <w:spacing w:val="-2"/>
          <w:lang w:val="fr-FR"/>
        </w:rPr>
        <w:t xml:space="preserve"> </w:t>
      </w:r>
      <w:r w:rsidR="00BD5DD6" w:rsidRPr="00D77565">
        <w:rPr>
          <w:spacing w:val="-2"/>
          <w:lang w:val="fr-FR"/>
        </w:rPr>
        <w:t>et de l</w:t>
      </w:r>
      <w:r w:rsidR="006A0BE5" w:rsidRPr="00D77565">
        <w:rPr>
          <w:spacing w:val="-2"/>
          <w:lang w:val="fr-FR"/>
        </w:rPr>
        <w:t>’</w:t>
      </w:r>
      <w:r w:rsidR="00BD5DD6" w:rsidRPr="00D77565">
        <w:rPr>
          <w:spacing w:val="-2"/>
          <w:lang w:val="fr-FR"/>
        </w:rPr>
        <w:t>ajustement des</w:t>
      </w:r>
      <w:r w:rsidR="009551D9" w:rsidRPr="00D77565">
        <w:rPr>
          <w:spacing w:val="-2"/>
          <w:lang w:val="fr-FR"/>
        </w:rPr>
        <w:t xml:space="preserve"> taxes</w:t>
      </w:r>
      <w:r w:rsidR="006A0BE5" w:rsidRPr="00D77565">
        <w:rPr>
          <w:spacing w:val="-2"/>
          <w:lang w:val="fr-FR"/>
        </w:rPr>
        <w:t xml:space="preserve"> du PCT</w:t>
      </w:r>
      <w:r w:rsidR="009551D9" w:rsidRPr="00D77565">
        <w:rPr>
          <w:spacing w:val="-2"/>
          <w:lang w:val="fr-FR"/>
        </w:rPr>
        <w:t>.</w:t>
      </w:r>
    </w:p>
    <w:p w:rsidR="00F131E9" w:rsidRDefault="00EC619C" w:rsidP="00802F1E">
      <w:pPr>
        <w:pStyle w:val="Heading1"/>
        <w:rPr>
          <w:lang w:val="fr-FR"/>
        </w:rPr>
      </w:pPr>
      <w:r w:rsidRPr="000A6AA6">
        <w:rPr>
          <w:lang w:val="fr-FR"/>
        </w:rPr>
        <w:t>Conclusion</w:t>
      </w:r>
    </w:p>
    <w:p w:rsidR="00802F1E" w:rsidRPr="00802F1E" w:rsidRDefault="00802F1E" w:rsidP="00802F1E">
      <w:pPr>
        <w:rPr>
          <w:lang w:val="fr-FR"/>
        </w:rPr>
      </w:pPr>
    </w:p>
    <w:p w:rsidR="00C7627D" w:rsidRPr="000A6AA6" w:rsidRDefault="00A37F80" w:rsidP="00F131E9">
      <w:pPr>
        <w:pStyle w:val="ONUMFS"/>
        <w:rPr>
          <w:lang w:val="fr-FR"/>
        </w:rPr>
      </w:pPr>
      <w:bookmarkStart w:id="5" w:name="_Ref453954188"/>
      <w:r w:rsidRPr="000A6AA6">
        <w:rPr>
          <w:lang w:val="fr-FR"/>
        </w:rPr>
        <w:t>Selon ce qu</w:t>
      </w:r>
      <w:r w:rsidR="006A0BE5" w:rsidRPr="000A6AA6">
        <w:rPr>
          <w:lang w:val="fr-FR"/>
        </w:rPr>
        <w:t>’</w:t>
      </w:r>
      <w:r w:rsidRPr="000A6AA6">
        <w:rPr>
          <w:lang w:val="fr-FR"/>
        </w:rPr>
        <w:t>indique l</w:t>
      </w:r>
      <w:r w:rsidR="006A0BE5" w:rsidRPr="000A6AA6">
        <w:rPr>
          <w:lang w:val="fr-FR"/>
        </w:rPr>
        <w:t>’</w:t>
      </w:r>
      <w:r w:rsidR="00857427" w:rsidRPr="000A6AA6">
        <w:rPr>
          <w:lang w:val="fr-FR"/>
        </w:rPr>
        <w:t>analyse des flux de trésorerie</w:t>
      </w:r>
      <w:r w:rsidRPr="000A6AA6">
        <w:rPr>
          <w:lang w:val="fr-FR"/>
        </w:rPr>
        <w:t>, l</w:t>
      </w:r>
      <w:r w:rsidR="006A0BE5" w:rsidRPr="000A6AA6">
        <w:rPr>
          <w:lang w:val="fr-FR"/>
        </w:rPr>
        <w:t>’</w:t>
      </w:r>
      <w:r w:rsidRPr="000A6AA6">
        <w:rPr>
          <w:lang w:val="fr-FR"/>
        </w:rPr>
        <w:t>OMPI aurait manqué de dollars</w:t>
      </w:r>
      <w:r w:rsidR="00E87329" w:rsidRPr="000A6AA6">
        <w:rPr>
          <w:lang w:val="fr-FR"/>
        </w:rPr>
        <w:t> </w:t>
      </w:r>
      <w:r w:rsidRPr="000A6AA6">
        <w:rPr>
          <w:lang w:val="fr-FR"/>
        </w:rPr>
        <w:t>É.</w:t>
      </w:r>
      <w:r w:rsidR="004C56EE" w:rsidRPr="000A6AA6">
        <w:rPr>
          <w:lang w:val="fr-FR"/>
        </w:rPr>
        <w:noBreakHyphen/>
      </w:r>
      <w:r w:rsidRPr="000A6AA6">
        <w:rPr>
          <w:lang w:val="fr-FR"/>
        </w:rPr>
        <w:t>U.,</w:t>
      </w:r>
      <w:r w:rsidR="00857427" w:rsidRPr="000A6AA6">
        <w:rPr>
          <w:lang w:val="fr-FR"/>
        </w:rPr>
        <w:t xml:space="preserve"> </w:t>
      </w:r>
      <w:r w:rsidRPr="000A6AA6">
        <w:rPr>
          <w:lang w:val="fr-FR"/>
        </w:rPr>
        <w:t>aurait seulement disposé de la quantité minimum d</w:t>
      </w:r>
      <w:r w:rsidR="006A0BE5" w:rsidRPr="000A6AA6">
        <w:rPr>
          <w:lang w:val="fr-FR"/>
        </w:rPr>
        <w:t>’</w:t>
      </w:r>
      <w:r w:rsidRPr="000A6AA6">
        <w:rPr>
          <w:lang w:val="fr-FR"/>
        </w:rPr>
        <w:t>euros et se serait trouvée en situation de risque</w:t>
      </w:r>
      <w:r w:rsidR="00AD017C" w:rsidRPr="000A6AA6">
        <w:rPr>
          <w:lang w:val="fr-FR"/>
        </w:rPr>
        <w:t xml:space="preserve"> de manque de trésorerie mensuelle dans les trois</w:t>
      </w:r>
      <w:r w:rsidR="00E87329" w:rsidRPr="000A6AA6">
        <w:rPr>
          <w:lang w:val="fr-FR"/>
        </w:rPr>
        <w:t> </w:t>
      </w:r>
      <w:r w:rsidR="00AD017C" w:rsidRPr="000A6AA6">
        <w:rPr>
          <w:lang w:val="fr-FR"/>
        </w:rPr>
        <w:t>devises, soit le dollar</w:t>
      </w:r>
      <w:r w:rsidR="00E87329" w:rsidRPr="000A6AA6">
        <w:rPr>
          <w:lang w:val="fr-FR"/>
        </w:rPr>
        <w:t> </w:t>
      </w:r>
      <w:r w:rsidR="00AD017C" w:rsidRPr="000A6AA6">
        <w:rPr>
          <w:lang w:val="fr-FR"/>
        </w:rPr>
        <w:t>É.</w:t>
      </w:r>
      <w:r w:rsidR="004C56EE" w:rsidRPr="000A6AA6">
        <w:rPr>
          <w:lang w:val="fr-FR"/>
        </w:rPr>
        <w:noBreakHyphen/>
      </w:r>
      <w:r w:rsidR="00AD017C" w:rsidRPr="000A6AA6">
        <w:rPr>
          <w:lang w:val="fr-FR"/>
        </w:rPr>
        <w:t>U., l</w:t>
      </w:r>
      <w:r w:rsidR="006A0BE5" w:rsidRPr="000A6AA6">
        <w:rPr>
          <w:lang w:val="fr-FR"/>
        </w:rPr>
        <w:t>’</w:t>
      </w:r>
      <w:r w:rsidR="00AD017C" w:rsidRPr="000A6AA6">
        <w:rPr>
          <w:lang w:val="fr-FR"/>
        </w:rPr>
        <w:t>euro et le y</w:t>
      </w:r>
      <w:r w:rsidR="004C56EE" w:rsidRPr="000A6AA6">
        <w:rPr>
          <w:lang w:val="fr-FR"/>
        </w:rPr>
        <w:t>en.  La</w:t>
      </w:r>
      <w:r w:rsidR="002C5B21" w:rsidRPr="000A6AA6">
        <w:rPr>
          <w:lang w:val="fr-FR"/>
        </w:rPr>
        <w:t xml:space="preserve"> proposition d</w:t>
      </w:r>
      <w:r w:rsidR="006A0BE5" w:rsidRPr="000A6AA6">
        <w:rPr>
          <w:lang w:val="fr-FR"/>
        </w:rPr>
        <w:t>’</w:t>
      </w:r>
      <w:r w:rsidR="002C5B21" w:rsidRPr="000A6AA6">
        <w:rPr>
          <w:lang w:val="fr-FR"/>
        </w:rPr>
        <w:t>achat de contrats à terme aux fins de couverture du flux budgétaire de recettes</w:t>
      </w:r>
      <w:r w:rsidR="006A0BE5" w:rsidRPr="000A6AA6">
        <w:rPr>
          <w:lang w:val="fr-FR"/>
        </w:rPr>
        <w:t xml:space="preserve"> du PCT</w:t>
      </w:r>
      <w:r w:rsidR="002C5B21" w:rsidRPr="000A6AA6">
        <w:rPr>
          <w:lang w:val="fr-FR"/>
        </w:rPr>
        <w:t xml:space="preserve"> </w:t>
      </w:r>
      <w:r w:rsidR="00440173" w:rsidRPr="000A6AA6">
        <w:rPr>
          <w:lang w:val="fr-FR"/>
        </w:rPr>
        <w:t>n</w:t>
      </w:r>
      <w:r w:rsidR="006A0BE5" w:rsidRPr="000A6AA6">
        <w:rPr>
          <w:lang w:val="fr-FR"/>
        </w:rPr>
        <w:t>’</w:t>
      </w:r>
      <w:r w:rsidR="00440173" w:rsidRPr="000A6AA6">
        <w:rPr>
          <w:lang w:val="fr-FR"/>
        </w:rPr>
        <w:t xml:space="preserve">aurait </w:t>
      </w:r>
      <w:r w:rsidR="00C84700" w:rsidRPr="000A6AA6">
        <w:rPr>
          <w:lang w:val="fr-FR"/>
        </w:rPr>
        <w:t xml:space="preserve">donc </w:t>
      </w:r>
      <w:r w:rsidR="00C578C5" w:rsidRPr="000A6AA6">
        <w:rPr>
          <w:lang w:val="fr-FR"/>
        </w:rPr>
        <w:t>pas résolu la question des</w:t>
      </w:r>
      <w:r w:rsidR="00440173" w:rsidRPr="000A6AA6">
        <w:rPr>
          <w:lang w:val="fr-FR"/>
        </w:rPr>
        <w:t xml:space="preserve"> risque</w:t>
      </w:r>
      <w:r w:rsidR="00C578C5" w:rsidRPr="000A6AA6">
        <w:rPr>
          <w:lang w:val="fr-FR"/>
        </w:rPr>
        <w:t>s</w:t>
      </w:r>
      <w:r w:rsidR="00440173" w:rsidRPr="000A6AA6">
        <w:rPr>
          <w:lang w:val="fr-FR"/>
        </w:rPr>
        <w:t xml:space="preserve"> de change lié</w:t>
      </w:r>
      <w:r w:rsidR="00C578C5" w:rsidRPr="000A6AA6">
        <w:rPr>
          <w:lang w:val="fr-FR"/>
        </w:rPr>
        <w:t>s</w:t>
      </w:r>
      <w:r w:rsidR="00440173" w:rsidRPr="000A6AA6">
        <w:rPr>
          <w:lang w:val="fr-FR"/>
        </w:rPr>
        <w:t xml:space="preserve"> au fait que l</w:t>
      </w:r>
      <w:r w:rsidR="006A0BE5" w:rsidRPr="000A6AA6">
        <w:rPr>
          <w:lang w:val="fr-FR"/>
        </w:rPr>
        <w:t>’</w:t>
      </w:r>
      <w:r w:rsidR="00440173" w:rsidRPr="000A6AA6">
        <w:rPr>
          <w:lang w:val="fr-FR"/>
        </w:rPr>
        <w:t>OMPI reçoit des taxes</w:t>
      </w:r>
      <w:r w:rsidR="006A0BE5" w:rsidRPr="000A6AA6">
        <w:rPr>
          <w:lang w:val="fr-FR"/>
        </w:rPr>
        <w:t xml:space="preserve"> du PCT</w:t>
      </w:r>
      <w:r w:rsidR="00440173" w:rsidRPr="000A6AA6">
        <w:rPr>
          <w:lang w:val="fr-FR"/>
        </w:rPr>
        <w:t xml:space="preserve"> dans des monnaies autres que le franc suis</w:t>
      </w:r>
      <w:r w:rsidR="004C56EE" w:rsidRPr="000A6AA6">
        <w:rPr>
          <w:lang w:val="fr-FR"/>
        </w:rPr>
        <w:t>se.  Ap</w:t>
      </w:r>
      <w:r w:rsidR="00CB2D28" w:rsidRPr="000A6AA6">
        <w:rPr>
          <w:lang w:val="fr-FR"/>
        </w:rPr>
        <w:t>rès examen des données historiques relatives aux recettes et aux dépenses dans chacune des principales monnaies dans lesquelles sont perçues les recettes</w:t>
      </w:r>
      <w:r w:rsidR="006A0BE5" w:rsidRPr="000A6AA6">
        <w:rPr>
          <w:lang w:val="fr-FR"/>
        </w:rPr>
        <w:t xml:space="preserve"> du PCT</w:t>
      </w:r>
      <w:r w:rsidR="007940B9" w:rsidRPr="000A6AA6">
        <w:rPr>
          <w:lang w:val="fr-FR"/>
        </w:rPr>
        <w:t xml:space="preserve"> et compte tenu du fait qu</w:t>
      </w:r>
      <w:r w:rsidR="006A0BE5" w:rsidRPr="000A6AA6">
        <w:rPr>
          <w:lang w:val="fr-FR"/>
        </w:rPr>
        <w:t>’</w:t>
      </w:r>
      <w:r w:rsidR="007940B9" w:rsidRPr="000A6AA6">
        <w:rPr>
          <w:lang w:val="fr-FR"/>
        </w:rPr>
        <w:t>aucun changement majeur n</w:t>
      </w:r>
      <w:r w:rsidR="006A0BE5" w:rsidRPr="000A6AA6">
        <w:rPr>
          <w:lang w:val="fr-FR"/>
        </w:rPr>
        <w:t>’</w:t>
      </w:r>
      <w:r w:rsidR="00C578C5" w:rsidRPr="000A6AA6">
        <w:rPr>
          <w:lang w:val="fr-FR"/>
        </w:rPr>
        <w:t>es</w:t>
      </w:r>
      <w:r w:rsidR="007940B9" w:rsidRPr="000A6AA6">
        <w:rPr>
          <w:lang w:val="fr-FR"/>
        </w:rPr>
        <w:t>t attendu à cet égard</w:t>
      </w:r>
      <w:r w:rsidR="00CB2D28" w:rsidRPr="000A6AA6">
        <w:rPr>
          <w:lang w:val="fr-FR"/>
        </w:rPr>
        <w:t xml:space="preserve">, </w:t>
      </w:r>
      <w:r w:rsidR="007940B9" w:rsidRPr="000A6AA6">
        <w:rPr>
          <w:lang w:val="fr-FR"/>
        </w:rPr>
        <w:t>il semble peu probable</w:t>
      </w:r>
      <w:r w:rsidR="00495BF9" w:rsidRPr="000A6AA6">
        <w:rPr>
          <w:lang w:val="fr-FR"/>
        </w:rPr>
        <w:t>, sur la base d</w:t>
      </w:r>
      <w:r w:rsidR="00CB2D28" w:rsidRPr="000A6AA6">
        <w:rPr>
          <w:lang w:val="fr-FR"/>
        </w:rPr>
        <w:t>es données de flux de trésorerie</w:t>
      </w:r>
      <w:r w:rsidR="00495BF9" w:rsidRPr="000A6AA6">
        <w:rPr>
          <w:lang w:val="fr-FR"/>
        </w:rPr>
        <w:t xml:space="preserve">, que la situation </w:t>
      </w:r>
      <w:r w:rsidR="006E358C" w:rsidRPr="000A6AA6">
        <w:rPr>
          <w:lang w:val="fr-FR"/>
        </w:rPr>
        <w:t>se modifie</w:t>
      </w:r>
      <w:r w:rsidR="00495BF9" w:rsidRPr="000A6AA6">
        <w:rPr>
          <w:lang w:val="fr-FR"/>
        </w:rPr>
        <w:t xml:space="preserve"> à l</w:t>
      </w:r>
      <w:r w:rsidR="006A0BE5" w:rsidRPr="000A6AA6">
        <w:rPr>
          <w:lang w:val="fr-FR"/>
        </w:rPr>
        <w:t>’</w:t>
      </w:r>
      <w:r w:rsidR="00495BF9" w:rsidRPr="000A6AA6">
        <w:rPr>
          <w:lang w:val="fr-FR"/>
        </w:rPr>
        <w:t>aven</w:t>
      </w:r>
      <w:r w:rsidR="004C56EE" w:rsidRPr="000A6AA6">
        <w:rPr>
          <w:lang w:val="fr-FR"/>
        </w:rPr>
        <w:t>ir.  Le</w:t>
      </w:r>
      <w:r w:rsidR="006E358C" w:rsidRPr="000A6AA6">
        <w:rPr>
          <w:lang w:val="fr-FR"/>
        </w:rPr>
        <w:t xml:space="preserve"> Secrétariat propose par conséquent</w:t>
      </w:r>
      <w:r w:rsidR="00495BF9" w:rsidRPr="000A6AA6">
        <w:rPr>
          <w:lang w:val="fr-FR"/>
        </w:rPr>
        <w:t xml:space="preserve"> </w:t>
      </w:r>
      <w:r w:rsidR="00033039" w:rsidRPr="000A6AA6">
        <w:rPr>
          <w:lang w:val="fr-FR"/>
        </w:rPr>
        <w:t>d</w:t>
      </w:r>
      <w:r w:rsidR="006A0BE5" w:rsidRPr="000A6AA6">
        <w:rPr>
          <w:lang w:val="fr-FR"/>
        </w:rPr>
        <w:t>’</w:t>
      </w:r>
      <w:r w:rsidR="00033039" w:rsidRPr="000A6AA6">
        <w:rPr>
          <w:lang w:val="fr-FR"/>
        </w:rPr>
        <w:t>abandonner la modélisation de la stratégie de couverture par l</w:t>
      </w:r>
      <w:r w:rsidR="006A0BE5" w:rsidRPr="000A6AA6">
        <w:rPr>
          <w:lang w:val="fr-FR"/>
        </w:rPr>
        <w:t>’</w:t>
      </w:r>
      <w:r w:rsidR="00033039" w:rsidRPr="000A6AA6">
        <w:rPr>
          <w:lang w:val="fr-FR"/>
        </w:rPr>
        <w:t>achat de contrats à terme proposée par la firme de conseil en trésorerie.</w:t>
      </w:r>
      <w:bookmarkEnd w:id="5"/>
    </w:p>
    <w:p w:rsidR="00DC6904" w:rsidRPr="000A6AA6" w:rsidRDefault="005C241F" w:rsidP="00F131E9">
      <w:pPr>
        <w:pStyle w:val="ONUMFS"/>
        <w:rPr>
          <w:lang w:val="fr-FR"/>
        </w:rPr>
      </w:pPr>
      <w:bookmarkStart w:id="6" w:name="_Ref453954197"/>
      <w:r w:rsidRPr="000A6AA6">
        <w:rPr>
          <w:lang w:val="fr-FR"/>
        </w:rPr>
        <w:t>Si l</w:t>
      </w:r>
      <w:r w:rsidR="006A0BE5" w:rsidRPr="000A6AA6">
        <w:rPr>
          <w:lang w:val="fr-FR"/>
        </w:rPr>
        <w:t>’</w:t>
      </w:r>
      <w:r w:rsidRPr="000A6AA6">
        <w:rPr>
          <w:lang w:val="fr-FR"/>
        </w:rPr>
        <w:t>achat de contrats à terme ne semble pas être la solution pour réduire l</w:t>
      </w:r>
      <w:r w:rsidR="006A0BE5" w:rsidRPr="000A6AA6">
        <w:rPr>
          <w:lang w:val="fr-FR"/>
        </w:rPr>
        <w:t>’</w:t>
      </w:r>
      <w:r w:rsidRPr="000A6AA6">
        <w:rPr>
          <w:lang w:val="fr-FR"/>
        </w:rPr>
        <w:t>exposition de l</w:t>
      </w:r>
      <w:r w:rsidR="006A0BE5" w:rsidRPr="000A6AA6">
        <w:rPr>
          <w:lang w:val="fr-FR"/>
        </w:rPr>
        <w:t>’</w:t>
      </w:r>
      <w:r w:rsidRPr="000A6AA6">
        <w:rPr>
          <w:lang w:val="fr-FR"/>
        </w:rPr>
        <w:t xml:space="preserve">OMPI au risque de change, </w:t>
      </w:r>
      <w:r w:rsidR="00D122E2" w:rsidRPr="000A6AA6">
        <w:rPr>
          <w:lang w:val="fr-FR"/>
        </w:rPr>
        <w:t xml:space="preserve">le Secrétariat </w:t>
      </w:r>
      <w:r w:rsidR="00254E54" w:rsidRPr="000A6AA6">
        <w:rPr>
          <w:lang w:val="fr-FR"/>
        </w:rPr>
        <w:t>entend</w:t>
      </w:r>
      <w:r w:rsidR="00C578C5" w:rsidRPr="000A6AA6">
        <w:rPr>
          <w:lang w:val="fr-FR"/>
        </w:rPr>
        <w:t xml:space="preserve"> continuer à surveiller et analyser les flux de trésorerie</w:t>
      </w:r>
      <w:r w:rsidR="00DF33F9" w:rsidRPr="000A6AA6">
        <w:rPr>
          <w:lang w:val="fr-FR"/>
        </w:rPr>
        <w:t xml:space="preserve"> dans toutes les monnaies et utiliser </w:t>
      </w:r>
      <w:r w:rsidR="00254E54" w:rsidRPr="000A6AA6">
        <w:rPr>
          <w:lang w:val="fr-FR"/>
        </w:rPr>
        <w:t xml:space="preserve">les informations ainsi recueillies </w:t>
      </w:r>
      <w:r w:rsidR="00B54613" w:rsidRPr="000A6AA6">
        <w:rPr>
          <w:lang w:val="fr-FR"/>
        </w:rPr>
        <w:t>afin de</w:t>
      </w:r>
      <w:r w:rsidR="00254E54" w:rsidRPr="000A6AA6">
        <w:rPr>
          <w:lang w:val="fr-FR"/>
        </w:rPr>
        <w:t xml:space="preserve"> gérer </w:t>
      </w:r>
      <w:r w:rsidR="00A554D5" w:rsidRPr="000A6AA6">
        <w:rPr>
          <w:lang w:val="fr-FR"/>
        </w:rPr>
        <w:t>l</w:t>
      </w:r>
      <w:r w:rsidR="00254E54" w:rsidRPr="000A6AA6">
        <w:rPr>
          <w:lang w:val="fr-FR"/>
        </w:rPr>
        <w:t xml:space="preserve">es </w:t>
      </w:r>
      <w:r w:rsidR="00A554D5" w:rsidRPr="000A6AA6">
        <w:rPr>
          <w:lang w:val="fr-FR"/>
        </w:rPr>
        <w:t>soldes bancaires</w:t>
      </w:r>
      <w:r w:rsidR="00254E54" w:rsidRPr="000A6AA6">
        <w:rPr>
          <w:lang w:val="fr-FR"/>
        </w:rPr>
        <w:t xml:space="preserve"> de manière à </w:t>
      </w:r>
      <w:r w:rsidR="00A554D5" w:rsidRPr="000A6AA6">
        <w:rPr>
          <w:lang w:val="fr-FR"/>
        </w:rPr>
        <w:t xml:space="preserve">minimiser dans toute la mesure possible les incidences des </w:t>
      </w:r>
      <w:r w:rsidR="00992F8B" w:rsidRPr="000A6AA6">
        <w:rPr>
          <w:lang w:val="fr-FR"/>
        </w:rPr>
        <w:t>ajustements de taux de change sur les résultats financiers de l</w:t>
      </w:r>
      <w:r w:rsidR="006A0BE5" w:rsidRPr="000A6AA6">
        <w:rPr>
          <w:lang w:val="fr-FR"/>
        </w:rPr>
        <w:t>’</w:t>
      </w:r>
      <w:r w:rsidR="00992F8B" w:rsidRPr="000A6AA6">
        <w:rPr>
          <w:lang w:val="fr-FR"/>
        </w:rPr>
        <w:t>O</w:t>
      </w:r>
      <w:r w:rsidR="004C56EE" w:rsidRPr="000A6AA6">
        <w:rPr>
          <w:lang w:val="fr-FR"/>
        </w:rPr>
        <w:t>MPI.  Po</w:t>
      </w:r>
      <w:r w:rsidR="000C1CCB" w:rsidRPr="000A6AA6">
        <w:rPr>
          <w:lang w:val="fr-FR"/>
        </w:rPr>
        <w:t xml:space="preserve">ur ce qui est du mécanisme actuel de fixation de montants équivalents, </w:t>
      </w:r>
      <w:r w:rsidR="00C4747A" w:rsidRPr="000A6AA6">
        <w:rPr>
          <w:lang w:val="fr-FR"/>
        </w:rPr>
        <w:t>s</w:t>
      </w:r>
      <w:r w:rsidR="006A0BE5" w:rsidRPr="000A6AA6">
        <w:rPr>
          <w:lang w:val="fr-FR"/>
        </w:rPr>
        <w:t>’</w:t>
      </w:r>
      <w:r w:rsidR="00C4747A" w:rsidRPr="000A6AA6">
        <w:rPr>
          <w:lang w:val="fr-FR"/>
        </w:rPr>
        <w:t>il est vrai qu</w:t>
      </w:r>
      <w:r w:rsidR="006A0BE5" w:rsidRPr="000A6AA6">
        <w:rPr>
          <w:lang w:val="fr-FR"/>
        </w:rPr>
        <w:t>’</w:t>
      </w:r>
      <w:r w:rsidR="00C4747A" w:rsidRPr="000A6AA6">
        <w:rPr>
          <w:lang w:val="fr-FR"/>
        </w:rPr>
        <w:t xml:space="preserve">il </w:t>
      </w:r>
      <w:r w:rsidR="00AD766B" w:rsidRPr="000A6AA6">
        <w:rPr>
          <w:lang w:val="fr-FR"/>
        </w:rPr>
        <w:t>n</w:t>
      </w:r>
      <w:r w:rsidR="006A0BE5" w:rsidRPr="000A6AA6">
        <w:rPr>
          <w:lang w:val="fr-FR"/>
        </w:rPr>
        <w:t>’</w:t>
      </w:r>
      <w:r w:rsidR="00AD766B" w:rsidRPr="000A6AA6">
        <w:rPr>
          <w:lang w:val="fr-FR"/>
        </w:rPr>
        <w:t>entre en œuvre qu</w:t>
      </w:r>
      <w:r w:rsidR="006A0BE5" w:rsidRPr="000A6AA6">
        <w:rPr>
          <w:lang w:val="fr-FR"/>
        </w:rPr>
        <w:t>’</w:t>
      </w:r>
      <w:r w:rsidR="00AD766B" w:rsidRPr="000A6AA6">
        <w:rPr>
          <w:lang w:val="fr-FR"/>
        </w:rPr>
        <w:t xml:space="preserve">en cas de variation importante des taux de change et </w:t>
      </w:r>
      <w:r w:rsidR="00B54613" w:rsidRPr="000A6AA6">
        <w:rPr>
          <w:lang w:val="fr-FR"/>
        </w:rPr>
        <w:t xml:space="preserve">ne permet pas </w:t>
      </w:r>
      <w:r w:rsidR="00A8662C" w:rsidRPr="000A6AA6">
        <w:rPr>
          <w:lang w:val="fr-FR"/>
        </w:rPr>
        <w:t>une réaction</w:t>
      </w:r>
      <w:r w:rsidR="00B54613" w:rsidRPr="000A6AA6">
        <w:rPr>
          <w:lang w:val="fr-FR"/>
        </w:rPr>
        <w:t xml:space="preserve"> immédiate,</w:t>
      </w:r>
      <w:r w:rsidR="00A8662C" w:rsidRPr="000A6AA6">
        <w:rPr>
          <w:lang w:val="fr-FR"/>
        </w:rPr>
        <w:t xml:space="preserve"> il a rempli son rôle en limitant les pertes, même en cas de variation </w:t>
      </w:r>
      <w:r w:rsidR="00CB2FDE" w:rsidRPr="000A6AA6">
        <w:rPr>
          <w:lang w:val="fr-FR"/>
        </w:rPr>
        <w:t>massive</w:t>
      </w:r>
      <w:r w:rsidR="00A8662C" w:rsidRPr="000A6AA6">
        <w:rPr>
          <w:lang w:val="fr-FR"/>
        </w:rPr>
        <w:t xml:space="preserve"> </w:t>
      </w:r>
      <w:r w:rsidR="00CB2FDE" w:rsidRPr="000A6AA6">
        <w:rPr>
          <w:lang w:val="fr-FR"/>
        </w:rPr>
        <w:t>de la valeur des devises face au franc suisse, comme cela s</w:t>
      </w:r>
      <w:r w:rsidR="006A0BE5" w:rsidRPr="000A6AA6">
        <w:rPr>
          <w:lang w:val="fr-FR"/>
        </w:rPr>
        <w:t>’</w:t>
      </w:r>
      <w:r w:rsidR="00CB2FDE" w:rsidRPr="000A6AA6">
        <w:rPr>
          <w:lang w:val="fr-FR"/>
        </w:rPr>
        <w:t>est produit au début de l</w:t>
      </w:r>
      <w:r w:rsidR="006A0BE5" w:rsidRPr="000A6AA6">
        <w:rPr>
          <w:lang w:val="fr-FR"/>
        </w:rPr>
        <w:t>’</w:t>
      </w:r>
      <w:r w:rsidR="00CB2FDE" w:rsidRPr="000A6AA6">
        <w:rPr>
          <w:lang w:val="fr-FR"/>
        </w:rPr>
        <w:t>année</w:t>
      </w:r>
      <w:r w:rsidR="000A6AA6">
        <w:rPr>
          <w:lang w:val="fr-FR"/>
        </w:rPr>
        <w:t> </w:t>
      </w:r>
      <w:r w:rsidR="00CB2FDE" w:rsidRPr="000A6AA6">
        <w:rPr>
          <w:lang w:val="fr-FR"/>
        </w:rPr>
        <w:t>2015.</w:t>
      </w:r>
      <w:bookmarkEnd w:id="6"/>
    </w:p>
    <w:p w:rsidR="006A0BE5" w:rsidRPr="000A6AA6" w:rsidRDefault="00911A46" w:rsidP="00F131E9">
      <w:pPr>
        <w:pStyle w:val="ONUMFS"/>
        <w:rPr>
          <w:lang w:val="fr-FR"/>
        </w:rPr>
      </w:pPr>
      <w:r w:rsidRPr="000A6AA6">
        <w:rPr>
          <w:lang w:val="fr-FR"/>
        </w:rPr>
        <w:t>Le paragraphe de décision ci</w:t>
      </w:r>
      <w:r w:rsidR="004C56EE" w:rsidRPr="000A6AA6">
        <w:rPr>
          <w:lang w:val="fr-FR"/>
        </w:rPr>
        <w:noBreakHyphen/>
      </w:r>
      <w:r w:rsidRPr="000A6AA6">
        <w:rPr>
          <w:lang w:val="fr-FR"/>
        </w:rPr>
        <w:t>après est proposé.</w:t>
      </w:r>
    </w:p>
    <w:p w:rsidR="006A0BE5" w:rsidRPr="00802F1E" w:rsidRDefault="00870210" w:rsidP="00802F1E">
      <w:pPr>
        <w:pStyle w:val="ONUMFS"/>
        <w:ind w:left="5533"/>
        <w:rPr>
          <w:i/>
          <w:lang w:val="fr-FR"/>
        </w:rPr>
      </w:pPr>
      <w:r w:rsidRPr="00802F1E">
        <w:rPr>
          <w:i/>
          <w:lang w:val="fr-FR"/>
        </w:rPr>
        <w:t xml:space="preserve">Le Comité du programme et budget a pris note du contenu du </w:t>
      </w:r>
      <w:r w:rsidR="00EC619C" w:rsidRPr="00802F1E">
        <w:rPr>
          <w:i/>
          <w:lang w:val="fr-FR"/>
        </w:rPr>
        <w:t>document</w:t>
      </w:r>
      <w:r w:rsidR="00DC6904" w:rsidRPr="00802F1E">
        <w:rPr>
          <w:i/>
          <w:lang w:val="fr-FR"/>
        </w:rPr>
        <w:t xml:space="preserve"> (WO/PBC/25/20)</w:t>
      </w:r>
      <w:r w:rsidR="00EC619C" w:rsidRPr="00802F1E">
        <w:rPr>
          <w:i/>
          <w:lang w:val="fr-FR"/>
        </w:rPr>
        <w:t xml:space="preserve">, </w:t>
      </w:r>
      <w:r w:rsidRPr="00802F1E">
        <w:rPr>
          <w:i/>
          <w:lang w:val="fr-FR"/>
        </w:rPr>
        <w:t>et notamment des paragraphes</w:t>
      </w:r>
      <w:r w:rsidR="000A6AA6" w:rsidRPr="00802F1E">
        <w:rPr>
          <w:i/>
          <w:lang w:val="fr-FR"/>
        </w:rPr>
        <w:t> </w:t>
      </w:r>
      <w:r w:rsidR="00FE612C" w:rsidRPr="00802F1E">
        <w:rPr>
          <w:i/>
          <w:lang w:val="fr-FR"/>
        </w:rPr>
        <w:fldChar w:fldCharType="begin"/>
      </w:r>
      <w:r w:rsidR="00EC619C" w:rsidRPr="00802F1E">
        <w:rPr>
          <w:i/>
          <w:lang w:val="fr-FR"/>
        </w:rPr>
        <w:instrText xml:space="preserve"> REF _Ref453954188 \r \h </w:instrText>
      </w:r>
      <w:r w:rsidR="00F131E9" w:rsidRPr="00802F1E">
        <w:rPr>
          <w:i/>
          <w:lang w:val="fr-FR"/>
        </w:rPr>
        <w:instrText xml:space="preserve"> \* MERGEFORMAT </w:instrText>
      </w:r>
      <w:r w:rsidR="00FE612C" w:rsidRPr="00802F1E">
        <w:rPr>
          <w:i/>
          <w:lang w:val="fr-FR"/>
        </w:rPr>
      </w:r>
      <w:r w:rsidR="00FE612C" w:rsidRPr="00802F1E">
        <w:rPr>
          <w:i/>
          <w:lang w:val="fr-FR"/>
        </w:rPr>
        <w:fldChar w:fldCharType="separate"/>
      </w:r>
      <w:r w:rsidR="0057339E">
        <w:rPr>
          <w:i/>
          <w:lang w:val="fr-FR"/>
        </w:rPr>
        <w:t>23</w:t>
      </w:r>
      <w:r w:rsidR="00FE612C" w:rsidRPr="00802F1E">
        <w:rPr>
          <w:i/>
          <w:lang w:val="fr-FR"/>
        </w:rPr>
        <w:fldChar w:fldCharType="end"/>
      </w:r>
      <w:r w:rsidR="00EC619C" w:rsidRPr="00802F1E">
        <w:rPr>
          <w:i/>
          <w:lang w:val="fr-FR"/>
        </w:rPr>
        <w:t xml:space="preserve"> </w:t>
      </w:r>
      <w:r w:rsidR="000A6AA6" w:rsidRPr="00802F1E">
        <w:rPr>
          <w:i/>
          <w:lang w:val="fr-FR"/>
        </w:rPr>
        <w:t>et </w:t>
      </w:r>
      <w:r w:rsidR="00FE612C" w:rsidRPr="00802F1E">
        <w:rPr>
          <w:i/>
          <w:lang w:val="fr-FR"/>
        </w:rPr>
        <w:fldChar w:fldCharType="begin"/>
      </w:r>
      <w:r w:rsidR="00EC619C" w:rsidRPr="00802F1E">
        <w:rPr>
          <w:i/>
          <w:lang w:val="fr-FR"/>
        </w:rPr>
        <w:instrText xml:space="preserve"> REF _Ref453954197 \r \h </w:instrText>
      </w:r>
      <w:r w:rsidR="00F131E9" w:rsidRPr="00802F1E">
        <w:rPr>
          <w:i/>
          <w:lang w:val="fr-FR"/>
        </w:rPr>
        <w:instrText xml:space="preserve"> \* MERGEFORMAT </w:instrText>
      </w:r>
      <w:r w:rsidR="00FE612C" w:rsidRPr="00802F1E">
        <w:rPr>
          <w:i/>
          <w:lang w:val="fr-FR"/>
        </w:rPr>
      </w:r>
      <w:r w:rsidR="00FE612C" w:rsidRPr="00802F1E">
        <w:rPr>
          <w:i/>
          <w:lang w:val="fr-FR"/>
        </w:rPr>
        <w:fldChar w:fldCharType="separate"/>
      </w:r>
      <w:r w:rsidR="0057339E">
        <w:rPr>
          <w:i/>
          <w:lang w:val="fr-FR"/>
        </w:rPr>
        <w:t>24</w:t>
      </w:r>
      <w:r w:rsidR="00FE612C" w:rsidRPr="00802F1E">
        <w:rPr>
          <w:i/>
          <w:lang w:val="fr-FR"/>
        </w:rPr>
        <w:fldChar w:fldCharType="end"/>
      </w:r>
      <w:r w:rsidR="00EC619C" w:rsidRPr="00802F1E">
        <w:rPr>
          <w:i/>
          <w:lang w:val="fr-FR"/>
        </w:rPr>
        <w:t>.</w:t>
      </w:r>
    </w:p>
    <w:p w:rsidR="00027E0D" w:rsidRDefault="00870210" w:rsidP="00657768">
      <w:pPr>
        <w:pStyle w:val="Endofdocument-Annex"/>
        <w:rPr>
          <w:lang w:val="fr-FR"/>
        </w:rPr>
        <w:sectPr w:rsidR="00027E0D" w:rsidSect="00D77565">
          <w:headerReference w:type="even" r:id="rId12"/>
          <w:headerReference w:type="default" r:id="rId13"/>
          <w:pgSz w:w="11906" w:h="16838" w:code="9"/>
          <w:pgMar w:top="567" w:right="1134" w:bottom="1418" w:left="1418" w:header="510" w:footer="1021" w:gutter="0"/>
          <w:pgNumType w:start="1"/>
          <w:cols w:space="720"/>
          <w:titlePg/>
          <w:docGrid w:linePitch="299"/>
        </w:sectPr>
      </w:pPr>
      <w:r w:rsidRPr="000A6AA6">
        <w:rPr>
          <w:lang w:val="fr-FR"/>
        </w:rPr>
        <w:t>[L</w:t>
      </w:r>
      <w:r w:rsidR="006A0BE5" w:rsidRPr="000A6AA6">
        <w:rPr>
          <w:lang w:val="fr-FR"/>
        </w:rPr>
        <w:t>’</w:t>
      </w:r>
      <w:r w:rsidRPr="000A6AA6">
        <w:rPr>
          <w:lang w:val="fr-FR"/>
        </w:rPr>
        <w:t>a</w:t>
      </w:r>
      <w:r w:rsidR="00084DAE" w:rsidRPr="000A6AA6">
        <w:rPr>
          <w:lang w:val="fr-FR"/>
        </w:rPr>
        <w:t>nnex</w:t>
      </w:r>
      <w:r w:rsidRPr="000A6AA6">
        <w:rPr>
          <w:lang w:val="fr-FR"/>
        </w:rPr>
        <w:t>e</w:t>
      </w:r>
      <w:r w:rsidR="00084DAE" w:rsidRPr="000A6AA6">
        <w:rPr>
          <w:lang w:val="fr-FR"/>
        </w:rPr>
        <w:t xml:space="preserve"> </w:t>
      </w:r>
      <w:r w:rsidRPr="000A6AA6">
        <w:rPr>
          <w:lang w:val="fr-FR"/>
        </w:rPr>
        <w:t>suit</w:t>
      </w:r>
      <w:r w:rsidR="002B64B4" w:rsidRPr="000A6AA6">
        <w:rPr>
          <w:lang w:val="fr-FR"/>
        </w:rPr>
        <w:t>]</w:t>
      </w:r>
    </w:p>
    <w:tbl>
      <w:tblPr>
        <w:tblW w:w="9356" w:type="dxa"/>
        <w:tblInd w:w="108" w:type="dxa"/>
        <w:tblLayout w:type="fixed"/>
        <w:tblLook w:val="01E0" w:firstRow="1" w:lastRow="1" w:firstColumn="1" w:lastColumn="1" w:noHBand="0" w:noVBand="0"/>
      </w:tblPr>
      <w:tblGrid>
        <w:gridCol w:w="4513"/>
        <w:gridCol w:w="4337"/>
        <w:gridCol w:w="506"/>
      </w:tblGrid>
      <w:tr w:rsidR="00027E0D" w:rsidRPr="00833D68" w:rsidTr="000546D3">
        <w:tc>
          <w:tcPr>
            <w:tcW w:w="4513" w:type="dxa"/>
            <w:tcBorders>
              <w:bottom w:val="single" w:sz="4" w:space="0" w:color="auto"/>
            </w:tcBorders>
            <w:tcMar>
              <w:bottom w:w="170" w:type="dxa"/>
            </w:tcMar>
          </w:tcPr>
          <w:p w:rsidR="00027E0D" w:rsidRPr="00833D68" w:rsidRDefault="00027E0D" w:rsidP="00A96489">
            <w:pPr>
              <w:rPr>
                <w:lang w:val="fr-FR"/>
              </w:rPr>
            </w:pPr>
          </w:p>
        </w:tc>
        <w:tc>
          <w:tcPr>
            <w:tcW w:w="4337" w:type="dxa"/>
            <w:tcBorders>
              <w:bottom w:val="single" w:sz="4" w:space="0" w:color="auto"/>
            </w:tcBorders>
            <w:tcMar>
              <w:left w:w="0" w:type="dxa"/>
              <w:right w:w="0" w:type="dxa"/>
            </w:tcMar>
          </w:tcPr>
          <w:p w:rsidR="00027E0D" w:rsidRPr="00833D68" w:rsidRDefault="00027E0D" w:rsidP="00A96489">
            <w:pPr>
              <w:rPr>
                <w:lang w:val="fr-FR"/>
              </w:rPr>
            </w:pPr>
            <w:r w:rsidRPr="00833D68">
              <w:rPr>
                <w:noProof/>
                <w:lang w:eastAsia="en-US"/>
              </w:rPr>
              <w:drawing>
                <wp:inline distT="0" distB="0" distL="0" distR="0" wp14:anchorId="4F56B4D2" wp14:editId="4C63B5E7">
                  <wp:extent cx="1856105" cy="1323975"/>
                  <wp:effectExtent l="0" t="0" r="0"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27E0D" w:rsidRPr="00833D68" w:rsidRDefault="00027E0D" w:rsidP="00A96489">
            <w:pPr>
              <w:jc w:val="right"/>
              <w:rPr>
                <w:lang w:val="fr-FR"/>
              </w:rPr>
            </w:pPr>
            <w:r w:rsidRPr="00833D68">
              <w:rPr>
                <w:b/>
                <w:sz w:val="40"/>
                <w:szCs w:val="40"/>
                <w:lang w:val="fr-FR"/>
              </w:rPr>
              <w:t>F</w:t>
            </w:r>
          </w:p>
        </w:tc>
      </w:tr>
      <w:tr w:rsidR="00027E0D" w:rsidRPr="00833D68" w:rsidTr="00A96489">
        <w:trPr>
          <w:trHeight w:hRule="exact" w:val="340"/>
        </w:trPr>
        <w:tc>
          <w:tcPr>
            <w:tcW w:w="9356" w:type="dxa"/>
            <w:gridSpan w:val="3"/>
            <w:tcBorders>
              <w:top w:val="single" w:sz="4" w:space="0" w:color="auto"/>
            </w:tcBorders>
            <w:tcMar>
              <w:top w:w="170" w:type="dxa"/>
              <w:left w:w="0" w:type="dxa"/>
              <w:right w:w="0" w:type="dxa"/>
            </w:tcMar>
            <w:vAlign w:val="bottom"/>
          </w:tcPr>
          <w:p w:rsidR="00027E0D" w:rsidRPr="00833D68" w:rsidRDefault="00027E0D" w:rsidP="00A96489">
            <w:pPr>
              <w:jc w:val="right"/>
              <w:rPr>
                <w:rFonts w:ascii="Arial Black" w:hAnsi="Arial Black"/>
                <w:caps/>
                <w:sz w:val="15"/>
                <w:lang w:val="fr-FR"/>
              </w:rPr>
            </w:pPr>
            <w:r w:rsidRPr="00833D68">
              <w:rPr>
                <w:rFonts w:ascii="Arial Black" w:hAnsi="Arial Black"/>
                <w:caps/>
                <w:sz w:val="15"/>
                <w:lang w:val="fr-FR"/>
              </w:rPr>
              <w:t>PCT/WG/9/9</w:t>
            </w:r>
            <w:r w:rsidRPr="00833D68">
              <w:rPr>
                <w:rFonts w:ascii="Arial Black" w:hAnsi="Arial Black"/>
                <w:caps/>
                <w:sz w:val="15"/>
              </w:rPr>
              <w:t xml:space="preserve"> </w:t>
            </w:r>
          </w:p>
        </w:tc>
      </w:tr>
      <w:tr w:rsidR="00027E0D" w:rsidRPr="00833D68" w:rsidTr="00A96489">
        <w:trPr>
          <w:trHeight w:hRule="exact" w:val="170"/>
        </w:trPr>
        <w:tc>
          <w:tcPr>
            <w:tcW w:w="9356" w:type="dxa"/>
            <w:gridSpan w:val="3"/>
            <w:noWrap/>
            <w:tcMar>
              <w:left w:w="0" w:type="dxa"/>
              <w:right w:w="0" w:type="dxa"/>
            </w:tcMar>
            <w:vAlign w:val="bottom"/>
          </w:tcPr>
          <w:p w:rsidR="00027E0D" w:rsidRPr="00833D68" w:rsidRDefault="00027E0D" w:rsidP="00A96489">
            <w:pPr>
              <w:jc w:val="right"/>
              <w:rPr>
                <w:rFonts w:ascii="Arial Black" w:hAnsi="Arial Black"/>
                <w:caps/>
                <w:sz w:val="15"/>
                <w:lang w:val="fr-FR"/>
              </w:rPr>
            </w:pPr>
            <w:r w:rsidRPr="00833D68">
              <w:rPr>
                <w:rFonts w:ascii="Arial Black" w:hAnsi="Arial Black"/>
                <w:caps/>
                <w:sz w:val="15"/>
                <w:lang w:val="fr-FR"/>
              </w:rPr>
              <w:t>ORIGINAL</w:t>
            </w:r>
            <w:r w:rsidRPr="00833D68">
              <w:rPr>
                <w:rFonts w:ascii="Arial Black" w:hAnsi="Arial Black"/>
                <w:caps/>
                <w:sz w:val="15"/>
              </w:rPr>
              <w:t> :</w:t>
            </w:r>
            <w:r w:rsidRPr="00833D68">
              <w:rPr>
                <w:rFonts w:ascii="Arial Black" w:hAnsi="Arial Black"/>
                <w:caps/>
                <w:sz w:val="15"/>
                <w:lang w:val="fr-FR"/>
              </w:rPr>
              <w:t xml:space="preserve"> anglais</w:t>
            </w:r>
          </w:p>
        </w:tc>
      </w:tr>
      <w:tr w:rsidR="00027E0D" w:rsidRPr="00833D68" w:rsidTr="00A96489">
        <w:trPr>
          <w:trHeight w:hRule="exact" w:val="198"/>
        </w:trPr>
        <w:tc>
          <w:tcPr>
            <w:tcW w:w="9356" w:type="dxa"/>
            <w:gridSpan w:val="3"/>
            <w:tcMar>
              <w:left w:w="0" w:type="dxa"/>
              <w:right w:w="0" w:type="dxa"/>
            </w:tcMar>
            <w:vAlign w:val="bottom"/>
          </w:tcPr>
          <w:p w:rsidR="00027E0D" w:rsidRPr="00833D68" w:rsidRDefault="00027E0D" w:rsidP="00A96489">
            <w:pPr>
              <w:jc w:val="right"/>
              <w:rPr>
                <w:rFonts w:ascii="Arial Black" w:hAnsi="Arial Black"/>
                <w:caps/>
                <w:sz w:val="15"/>
                <w:lang w:val="fr-FR"/>
              </w:rPr>
            </w:pPr>
            <w:r w:rsidRPr="00833D68">
              <w:rPr>
                <w:rFonts w:ascii="Arial Black" w:hAnsi="Arial Black"/>
                <w:caps/>
                <w:sz w:val="15"/>
                <w:lang w:val="fr-FR"/>
              </w:rPr>
              <w:t>DATE</w:t>
            </w:r>
            <w:r w:rsidRPr="00833D68">
              <w:rPr>
                <w:rFonts w:ascii="Arial Black" w:hAnsi="Arial Black"/>
                <w:caps/>
                <w:sz w:val="15"/>
              </w:rPr>
              <w:t> :</w:t>
            </w:r>
            <w:r w:rsidRPr="00833D68">
              <w:rPr>
                <w:rFonts w:ascii="Arial Black" w:hAnsi="Arial Black"/>
                <w:caps/>
                <w:sz w:val="15"/>
                <w:lang w:val="fr-FR"/>
              </w:rPr>
              <w:t xml:space="preserve"> </w:t>
            </w:r>
            <w:bookmarkStart w:id="7" w:name="Date"/>
            <w:bookmarkEnd w:id="7"/>
            <w:r w:rsidRPr="00833D68">
              <w:rPr>
                <w:rFonts w:ascii="Arial Black" w:hAnsi="Arial Black"/>
                <w:caps/>
                <w:sz w:val="15"/>
                <w:lang w:val="fr-FR"/>
              </w:rPr>
              <w:t>15</w:t>
            </w:r>
            <w:r w:rsidRPr="00833D68">
              <w:rPr>
                <w:rFonts w:ascii="Arial Black" w:hAnsi="Arial Black"/>
                <w:caps/>
                <w:sz w:val="15"/>
              </w:rPr>
              <w:t> </w:t>
            </w:r>
            <w:r w:rsidRPr="00833D68">
              <w:rPr>
                <w:rFonts w:ascii="Arial Black" w:hAnsi="Arial Black"/>
                <w:caps/>
                <w:sz w:val="15"/>
                <w:lang w:val="fr-FR"/>
              </w:rPr>
              <w:t>mars</w:t>
            </w:r>
            <w:r w:rsidRPr="00833D68">
              <w:rPr>
                <w:rFonts w:ascii="Arial Black" w:hAnsi="Arial Black"/>
                <w:caps/>
                <w:sz w:val="15"/>
              </w:rPr>
              <w:t> </w:t>
            </w:r>
            <w:r w:rsidRPr="00833D68">
              <w:rPr>
                <w:rFonts w:ascii="Arial Black" w:hAnsi="Arial Black"/>
                <w:caps/>
                <w:sz w:val="15"/>
                <w:lang w:val="fr-FR"/>
              </w:rPr>
              <w:t>2016</w:t>
            </w:r>
          </w:p>
        </w:tc>
      </w:tr>
    </w:tbl>
    <w:p w:rsidR="00027E0D" w:rsidRPr="00833D68" w:rsidRDefault="00027E0D" w:rsidP="001726A0">
      <w:pPr>
        <w:rPr>
          <w:lang w:val="fr-FR"/>
        </w:rPr>
      </w:pPr>
    </w:p>
    <w:p w:rsidR="00027E0D" w:rsidRPr="00833D68" w:rsidRDefault="00027E0D" w:rsidP="001726A0">
      <w:pPr>
        <w:rPr>
          <w:lang w:val="fr-FR"/>
        </w:rPr>
      </w:pPr>
    </w:p>
    <w:p w:rsidR="00027E0D" w:rsidRPr="00833D68" w:rsidRDefault="00027E0D" w:rsidP="001726A0">
      <w:pPr>
        <w:rPr>
          <w:lang w:val="fr-FR"/>
        </w:rPr>
      </w:pPr>
    </w:p>
    <w:p w:rsidR="00027E0D" w:rsidRPr="00833D68" w:rsidRDefault="00027E0D" w:rsidP="001726A0">
      <w:pPr>
        <w:rPr>
          <w:lang w:val="fr-FR"/>
        </w:rPr>
      </w:pPr>
    </w:p>
    <w:p w:rsidR="00027E0D" w:rsidRPr="00833D68" w:rsidRDefault="00027E0D" w:rsidP="001726A0">
      <w:pPr>
        <w:rPr>
          <w:lang w:val="fr-FR"/>
        </w:rPr>
      </w:pPr>
    </w:p>
    <w:p w:rsidR="00027E0D" w:rsidRPr="00833D68" w:rsidRDefault="00027E0D" w:rsidP="001726A0">
      <w:pPr>
        <w:rPr>
          <w:b/>
          <w:sz w:val="28"/>
          <w:szCs w:val="28"/>
          <w:lang w:val="fr-FR"/>
        </w:rPr>
      </w:pPr>
      <w:r w:rsidRPr="00833D68">
        <w:rPr>
          <w:b/>
          <w:sz w:val="28"/>
          <w:szCs w:val="28"/>
          <w:lang w:val="fr-FR"/>
        </w:rPr>
        <w:t>Groupe de travail du Traité de coopération en matière de brevets (PCT)</w:t>
      </w:r>
    </w:p>
    <w:p w:rsidR="00027E0D" w:rsidRPr="00833D68" w:rsidRDefault="00027E0D" w:rsidP="001726A0">
      <w:pPr>
        <w:rPr>
          <w:lang w:val="fr-FR"/>
        </w:rPr>
      </w:pPr>
    </w:p>
    <w:p w:rsidR="00027E0D" w:rsidRPr="00833D68" w:rsidRDefault="00027E0D" w:rsidP="001726A0">
      <w:pPr>
        <w:rPr>
          <w:lang w:val="fr-FR"/>
        </w:rPr>
      </w:pPr>
    </w:p>
    <w:p w:rsidR="00027E0D" w:rsidRPr="00833D68" w:rsidRDefault="00027E0D" w:rsidP="001726A0">
      <w:pPr>
        <w:rPr>
          <w:b/>
          <w:sz w:val="24"/>
          <w:szCs w:val="24"/>
          <w:lang w:val="fr-FR"/>
        </w:rPr>
      </w:pPr>
      <w:r w:rsidRPr="00833D68">
        <w:rPr>
          <w:b/>
          <w:sz w:val="24"/>
          <w:szCs w:val="24"/>
          <w:lang w:val="fr-FR"/>
        </w:rPr>
        <w:t>Neuvième</w:t>
      </w:r>
      <w:r w:rsidRPr="0057339E">
        <w:rPr>
          <w:b/>
          <w:sz w:val="24"/>
          <w:szCs w:val="24"/>
          <w:lang w:val="fr-FR"/>
        </w:rPr>
        <w:t> session</w:t>
      </w:r>
    </w:p>
    <w:p w:rsidR="00027E0D" w:rsidRPr="00833D68" w:rsidRDefault="00027E0D" w:rsidP="001726A0">
      <w:pPr>
        <w:rPr>
          <w:b/>
          <w:sz w:val="24"/>
          <w:szCs w:val="24"/>
          <w:lang w:val="fr-FR"/>
        </w:rPr>
      </w:pPr>
      <w:r w:rsidRPr="00833D68">
        <w:rPr>
          <w:b/>
          <w:sz w:val="24"/>
          <w:szCs w:val="24"/>
          <w:lang w:val="fr-FR"/>
        </w:rPr>
        <w:t>Genève, 17 – 20</w:t>
      </w:r>
      <w:r w:rsidRPr="0057339E">
        <w:rPr>
          <w:b/>
          <w:sz w:val="24"/>
          <w:szCs w:val="24"/>
          <w:lang w:val="fr-FR"/>
        </w:rPr>
        <w:t> </w:t>
      </w:r>
      <w:r w:rsidRPr="00833D68">
        <w:rPr>
          <w:b/>
          <w:sz w:val="24"/>
          <w:szCs w:val="24"/>
          <w:lang w:val="fr-FR"/>
        </w:rPr>
        <w:t>mai</w:t>
      </w:r>
      <w:r w:rsidRPr="0057339E">
        <w:rPr>
          <w:b/>
          <w:sz w:val="24"/>
          <w:szCs w:val="24"/>
          <w:lang w:val="fr-FR"/>
        </w:rPr>
        <w:t> </w:t>
      </w:r>
      <w:r w:rsidRPr="00833D68">
        <w:rPr>
          <w:b/>
          <w:sz w:val="24"/>
          <w:szCs w:val="24"/>
          <w:lang w:val="fr-FR"/>
        </w:rPr>
        <w:t>2016</w:t>
      </w:r>
    </w:p>
    <w:p w:rsidR="00027E0D" w:rsidRPr="00833D68" w:rsidRDefault="00027E0D" w:rsidP="001726A0">
      <w:pPr>
        <w:rPr>
          <w:lang w:val="fr-FR"/>
        </w:rPr>
      </w:pPr>
    </w:p>
    <w:p w:rsidR="00027E0D" w:rsidRPr="00833D68" w:rsidRDefault="00027E0D" w:rsidP="001726A0">
      <w:pPr>
        <w:rPr>
          <w:lang w:val="fr-FR"/>
        </w:rPr>
      </w:pPr>
    </w:p>
    <w:p w:rsidR="00027E0D" w:rsidRPr="00833D68" w:rsidRDefault="00027E0D" w:rsidP="001726A0">
      <w:pPr>
        <w:rPr>
          <w:lang w:val="fr-FR"/>
        </w:rPr>
      </w:pPr>
    </w:p>
    <w:p w:rsidR="00027E0D" w:rsidRPr="00833D68" w:rsidRDefault="00027E0D" w:rsidP="00A37216">
      <w:pPr>
        <w:rPr>
          <w:caps/>
          <w:sz w:val="24"/>
          <w:lang w:val="fr-FR"/>
        </w:rPr>
      </w:pPr>
      <w:r w:rsidRPr="00833D68">
        <w:rPr>
          <w:caps/>
          <w:sz w:val="24"/>
          <w:lang w:val="fr-FR"/>
        </w:rPr>
        <w:t>recettes provenant des taxes du PCT : rapport sur l’état d’avancement de l’analyse des mesures POSSIBLES pour réduire l’exposition aux variations de change</w:t>
      </w:r>
    </w:p>
    <w:p w:rsidR="00027E0D" w:rsidRPr="00833D68" w:rsidRDefault="00027E0D" w:rsidP="008B2CC1">
      <w:pPr>
        <w:rPr>
          <w:lang w:val="fr-FR"/>
        </w:rPr>
      </w:pPr>
    </w:p>
    <w:p w:rsidR="00027E0D" w:rsidRPr="00833D68" w:rsidRDefault="00027E0D" w:rsidP="00A37216">
      <w:pPr>
        <w:rPr>
          <w:i/>
          <w:lang w:val="fr-FR"/>
        </w:rPr>
      </w:pPr>
      <w:r w:rsidRPr="00833D68">
        <w:rPr>
          <w:i/>
          <w:lang w:val="fr-FR"/>
        </w:rPr>
        <w:t>Document établi par le Bureau international</w:t>
      </w:r>
    </w:p>
    <w:p w:rsidR="00027E0D" w:rsidRPr="00833D68" w:rsidRDefault="00027E0D">
      <w:pPr>
        <w:rPr>
          <w:lang w:val="fr-FR"/>
        </w:rPr>
      </w:pPr>
    </w:p>
    <w:p w:rsidR="00027E0D" w:rsidRPr="00833D68" w:rsidRDefault="00027E0D">
      <w:pPr>
        <w:rPr>
          <w:lang w:val="fr-FR"/>
        </w:rPr>
      </w:pPr>
    </w:p>
    <w:p w:rsidR="00027E0D" w:rsidRPr="00833D68" w:rsidRDefault="00027E0D">
      <w:pPr>
        <w:rPr>
          <w:lang w:val="fr-FR"/>
        </w:rPr>
      </w:pPr>
    </w:p>
    <w:p w:rsidR="00027E0D" w:rsidRPr="00833D68" w:rsidRDefault="00027E0D" w:rsidP="00B17F92">
      <w:pPr>
        <w:pStyle w:val="Heading1"/>
        <w:rPr>
          <w:lang w:val="fr-FR"/>
        </w:rPr>
      </w:pPr>
      <w:r w:rsidRPr="00833D68">
        <w:rPr>
          <w:lang w:val="fr-FR"/>
        </w:rPr>
        <w:t>Résumé</w:t>
      </w:r>
    </w:p>
    <w:p w:rsidR="00027E0D" w:rsidRPr="00833D68" w:rsidRDefault="00027E0D" w:rsidP="00B17F92">
      <w:pPr>
        <w:rPr>
          <w:lang w:val="fr-FR"/>
        </w:rPr>
      </w:pPr>
    </w:p>
    <w:p w:rsidR="00027E0D" w:rsidRPr="00D77565" w:rsidRDefault="00027E0D" w:rsidP="00D77565">
      <w:pPr>
        <w:pStyle w:val="ONUMFS"/>
        <w:numPr>
          <w:ilvl w:val="0"/>
          <w:numId w:val="19"/>
        </w:numPr>
        <w:rPr>
          <w:lang w:val="fr-FR"/>
        </w:rPr>
      </w:pPr>
      <w:r w:rsidRPr="00D77565">
        <w:rPr>
          <w:lang w:val="fr-FR"/>
        </w:rPr>
        <w:t>Le présent document contient un rapport sur l’état d’avancement de l’analyse effectuée par le Bureau international sur les questions relatives à l’éventuelle mise en œuvre d’une stratégie de couverture des risques de change pour les taxes du PCT, ainsi qu’un point sur les faits nouveaux concernant la mise en place éventuelle d’une “structure de compensation” pour toutes les transactions relatives aux taxes du PCT.  Le Bureau international propose de poursuivre l’étude de ces deux mesures possibles pour réduire l’exposition aux variations de change en vue de présenter au groupe de travail, à sa prochaine session prévue en 2017, des propositions sur la question de savoir s’il convient ou non de commencer à couvrir les risques de change et de mettre en place une “structure de compensation”.</w:t>
      </w:r>
    </w:p>
    <w:p w:rsidR="00027E0D" w:rsidRPr="00833D68" w:rsidRDefault="00027E0D" w:rsidP="00B17F92">
      <w:pPr>
        <w:pStyle w:val="Heading1"/>
        <w:rPr>
          <w:lang w:val="fr-FR"/>
        </w:rPr>
      </w:pPr>
      <w:r w:rsidRPr="00833D68">
        <w:rPr>
          <w:lang w:val="fr-FR"/>
        </w:rPr>
        <w:t>Rappel</w:t>
      </w:r>
    </w:p>
    <w:p w:rsidR="00027E0D" w:rsidRPr="00833D68" w:rsidRDefault="00027E0D" w:rsidP="00B17F92">
      <w:pPr>
        <w:rPr>
          <w:lang w:val="fr-FR"/>
        </w:rPr>
      </w:pPr>
    </w:p>
    <w:p w:rsidR="00027E0D" w:rsidRPr="00833D68" w:rsidRDefault="00027E0D" w:rsidP="00027E0D">
      <w:pPr>
        <w:pStyle w:val="ONUMFS"/>
        <w:numPr>
          <w:ilvl w:val="0"/>
          <w:numId w:val="3"/>
        </w:numPr>
        <w:rPr>
          <w:lang w:val="fr-FR"/>
        </w:rPr>
      </w:pPr>
      <w:r w:rsidRPr="00833D68">
        <w:rPr>
          <w:lang w:val="fr-FR"/>
        </w:rPr>
        <w:t xml:space="preserve">À sa huitième session tenue en mai 2015, le groupe de travail a examiné un document établi par le Bureau international exposant différentes mesures possibles pour réduire l’exposition des recettes provenant des taxes du PCT aux fluctuations de change (document PCT/WG/8/15).  Les discussions sont résumées aux paragraphes 21 à 36 du résumé présenté </w:t>
      </w:r>
      <w:r w:rsidRPr="00833D68">
        <w:rPr>
          <w:lang w:val="fr-FR"/>
        </w:rPr>
        <w:lastRenderedPageBreak/>
        <w:t>par le président (document PCT/WG/8/25);  les paragraphes 52 à 78 du rapport sur la session (document PCT/WG/8/26) rendent compte dans le détail de toutes les interventions.</w:t>
      </w:r>
    </w:p>
    <w:p w:rsidR="00027E0D" w:rsidRPr="00833D68" w:rsidRDefault="00027E0D" w:rsidP="00027E0D">
      <w:pPr>
        <w:pStyle w:val="ONUMFS"/>
        <w:numPr>
          <w:ilvl w:val="0"/>
          <w:numId w:val="3"/>
        </w:numPr>
        <w:rPr>
          <w:lang w:val="fr-FR"/>
        </w:rPr>
      </w:pPr>
      <w:r w:rsidRPr="00833D68">
        <w:rPr>
          <w:lang w:val="fr-FR"/>
        </w:rPr>
        <w:t>Le présent document fait le point sur deux des mesures possibles passées en revue dans le document PCT/WG/8/15, à savoir :</w:t>
      </w:r>
    </w:p>
    <w:p w:rsidR="00027E0D" w:rsidRPr="00833D68" w:rsidRDefault="00027E0D" w:rsidP="00027E0D">
      <w:pPr>
        <w:pStyle w:val="ONUMFS"/>
        <w:numPr>
          <w:ilvl w:val="1"/>
          <w:numId w:val="3"/>
        </w:numPr>
        <w:rPr>
          <w:lang w:val="fr-FR"/>
        </w:rPr>
      </w:pPr>
      <w:r w:rsidRPr="00833D68">
        <w:rPr>
          <w:lang w:val="fr-FR"/>
        </w:rPr>
        <w:t xml:space="preserve">opération de couverture et fixation des montants équivalents des taxes du PCT </w:t>
      </w:r>
      <w:r>
        <w:rPr>
          <w:lang w:val="fr-FR"/>
        </w:rPr>
        <w:t>s</w:t>
      </w:r>
      <w:r w:rsidRPr="00833D68">
        <w:rPr>
          <w:lang w:val="fr-FR"/>
        </w:rPr>
        <w:t>ur une période déterminée;  et</w:t>
      </w:r>
    </w:p>
    <w:p w:rsidR="00027E0D" w:rsidRPr="00833D68" w:rsidRDefault="00027E0D" w:rsidP="00027E0D">
      <w:pPr>
        <w:pStyle w:val="ONUMFS"/>
        <w:numPr>
          <w:ilvl w:val="1"/>
          <w:numId w:val="3"/>
        </w:numPr>
        <w:rPr>
          <w:lang w:val="fr-FR"/>
        </w:rPr>
      </w:pPr>
      <w:r w:rsidRPr="00833D68">
        <w:rPr>
          <w:lang w:val="fr-FR"/>
        </w:rPr>
        <w:t>adoption d’une “structure de compensation” pour le transfert des taxes du PCT</w:t>
      </w:r>
      <w:r>
        <w:rPr>
          <w:lang w:val="fr-FR"/>
        </w:rPr>
        <w:t>.</w:t>
      </w:r>
    </w:p>
    <w:p w:rsidR="00027E0D" w:rsidRPr="00833D68" w:rsidRDefault="00027E0D" w:rsidP="00B17F92">
      <w:pPr>
        <w:pStyle w:val="Heading1"/>
        <w:rPr>
          <w:lang w:val="fr-FR"/>
        </w:rPr>
      </w:pPr>
      <w:r w:rsidRPr="00833D68">
        <w:rPr>
          <w:lang w:val="fr-FR"/>
        </w:rPr>
        <w:t>Opération de couverture et fixation des montants équivalents des taxes du PCT sur une période déterminée</w:t>
      </w:r>
    </w:p>
    <w:p w:rsidR="00027E0D" w:rsidRPr="00833D68" w:rsidRDefault="00027E0D" w:rsidP="00B17F92">
      <w:pPr>
        <w:pStyle w:val="Heading2"/>
        <w:rPr>
          <w:lang w:val="fr-FR"/>
        </w:rPr>
      </w:pPr>
      <w:r w:rsidRPr="00833D68">
        <w:rPr>
          <w:lang w:val="fr-FR"/>
        </w:rPr>
        <w:t>Définition de la couverture des risques de change</w:t>
      </w:r>
    </w:p>
    <w:p w:rsidR="00027E0D" w:rsidRPr="00833D68" w:rsidRDefault="00027E0D" w:rsidP="00395646">
      <w:pPr>
        <w:rPr>
          <w:lang w:val="fr-FR"/>
        </w:rPr>
      </w:pPr>
    </w:p>
    <w:p w:rsidR="00027E0D" w:rsidRPr="00833D68" w:rsidRDefault="00027E0D" w:rsidP="00027E0D">
      <w:pPr>
        <w:pStyle w:val="ONUMFS"/>
        <w:numPr>
          <w:ilvl w:val="0"/>
          <w:numId w:val="3"/>
        </w:numPr>
        <w:rPr>
          <w:lang w:val="fr-FR"/>
        </w:rPr>
      </w:pPr>
      <w:r w:rsidRPr="00833D68">
        <w:rPr>
          <w:lang w:val="fr-FR"/>
        </w:rPr>
        <w:t>Une opération de couverture désigne la prise de positions de compensation pour réduire au minimum les risques liés par exemple à une évolution défavorable des taux d’intérêt ou, dans le cas de l’OMPI, des taux de change.  L’un des moyens de couvrir le risque lié aux transactions en devises consiste à passer un contrat de change à terme, comme indiqué aux paragraphes 20 à 22 de l’annexe I du document PCT/WG/8/15.  Il s’agit d’un contrat aux termes duquel les deux parties s’engagent à échanger une certaine somme à un taux convenu (“taux à terme”) à une date prédéterminée.</w:t>
      </w:r>
    </w:p>
    <w:p w:rsidR="00027E0D" w:rsidRPr="00833D68" w:rsidRDefault="00027E0D" w:rsidP="00027E0D">
      <w:pPr>
        <w:pStyle w:val="ONUMFS"/>
        <w:numPr>
          <w:ilvl w:val="0"/>
          <w:numId w:val="3"/>
        </w:numPr>
        <w:rPr>
          <w:lang w:val="fr-FR"/>
        </w:rPr>
      </w:pPr>
      <w:bookmarkStart w:id="8" w:name="_Ref445214070"/>
      <w:r w:rsidRPr="00833D68">
        <w:rPr>
          <w:lang w:val="fr-FR"/>
        </w:rPr>
        <w:t>La stratégie de couverture pour une devise consisterait normalement à passer des contrats à terme à différentes dates sur une période déterminée.  Sur cette période, l’équivalent en franc suisse des taxes dans la devise visée serait établi à l’aide d’un taux à terme moyen pondéré, dénommé taux de couverture pondéré et fixé pour la période couverte par les contrats à terme.  La fixation du montant équivalent durant la période de couverture devrait donc assurer une plus grande prévisibilité des flux de trésorerie dans les monnaies de couverture des recett</w:t>
      </w:r>
      <w:bookmarkEnd w:id="8"/>
      <w:r w:rsidRPr="00833D68">
        <w:rPr>
          <w:lang w:val="fr-FR"/>
        </w:rPr>
        <w:t>es.  On trouvera de plus amples explications sur cette procédure assorties d’</w:t>
      </w:r>
      <w:r>
        <w:rPr>
          <w:lang w:val="fr-FR"/>
        </w:rPr>
        <w:t>un exemple aux paragraphes 23 à </w:t>
      </w:r>
      <w:r w:rsidRPr="00833D68">
        <w:rPr>
          <w:lang w:val="fr-FR"/>
        </w:rPr>
        <w:t>29 de l’annexe I du document PCT/WG/8/15.</w:t>
      </w:r>
    </w:p>
    <w:p w:rsidR="00027E0D" w:rsidRDefault="00027E0D" w:rsidP="00B17F92">
      <w:pPr>
        <w:pStyle w:val="Heading2"/>
        <w:rPr>
          <w:lang w:val="fr-FR"/>
        </w:rPr>
      </w:pPr>
      <w:r w:rsidRPr="00833D68">
        <w:rPr>
          <w:lang w:val="fr-FR"/>
        </w:rPr>
        <w:t>Examen de la question par le groupe de travail, le comité du programme et budget et l’assemblée de l’union du PCT</w:t>
      </w:r>
    </w:p>
    <w:p w:rsidR="00027E0D" w:rsidRPr="003252C2" w:rsidRDefault="00027E0D" w:rsidP="003252C2">
      <w:pPr>
        <w:rPr>
          <w:lang w:val="fr-FR"/>
        </w:rPr>
      </w:pPr>
    </w:p>
    <w:p w:rsidR="00027E0D" w:rsidRPr="00833D68" w:rsidRDefault="00027E0D" w:rsidP="00027E0D">
      <w:pPr>
        <w:pStyle w:val="ONUMFS"/>
        <w:numPr>
          <w:ilvl w:val="0"/>
          <w:numId w:val="3"/>
        </w:numPr>
        <w:rPr>
          <w:lang w:val="fr-FR"/>
        </w:rPr>
      </w:pPr>
      <w:r w:rsidRPr="00833D68">
        <w:rPr>
          <w:lang w:val="fr-FR"/>
        </w:rPr>
        <w:t>À sa huitième session tenue en mai 2015, le groupe de travail a fait sienne une proposition du Bureau international, figurant dans le document PCT/WG/8/15, tendant à commencer à couvrir le montant de la taxe internationale de dépôt contre le risque lié aux transactions en euros, en yen japonais et en dollars des États</w:t>
      </w:r>
      <w:r w:rsidRPr="00833D68">
        <w:rPr>
          <w:lang w:val="fr-FR"/>
        </w:rPr>
        <w:noBreakHyphen/>
        <w:t>Unis (voir le paragraphe 78 du rapport sur la session, document PCT/WG/8/26), en vue de sa présentation à l’assemblée pour examen à sa session d’octobre 2015 :</w:t>
      </w:r>
    </w:p>
    <w:p w:rsidR="00027E0D" w:rsidRPr="00833D68" w:rsidRDefault="00027E0D" w:rsidP="00B17F92">
      <w:pPr>
        <w:pStyle w:val="ONUMFS"/>
        <w:numPr>
          <w:ilvl w:val="0"/>
          <w:numId w:val="0"/>
        </w:numPr>
        <w:ind w:left="567"/>
        <w:rPr>
          <w:lang w:val="fr-FR"/>
        </w:rPr>
      </w:pPr>
      <w:r w:rsidRPr="00833D68">
        <w:rPr>
          <w:lang w:val="fr-FR"/>
        </w:rPr>
        <w:t>“78.</w:t>
      </w:r>
      <w:r w:rsidRPr="00833D68">
        <w:rPr>
          <w:lang w:val="fr-FR"/>
        </w:rPr>
        <w:tab/>
        <w:t>Le groupe de travail a approuvé les propositions de modification des directives de l’Assemblée de l’Union du PCT concernant l’établissement des montants équivalents de certaines taxes du PCT figurant à l’annexe II du document PCT/WG/8/15 en vue de leur transmission à l’assemblée pour examen à sa prochaine session, en octobre 2015, sous réserve d’éventuelles modifications d’ordre rédactionnel à apporter par le Secrétariat ou, à défaut, la soumission à l’assemblée d’un projet d’accord de principe exposant les modalités de la nouvelle procédure d’établissement des montants équivalents dans les monnaies à couvrir sur la base de taux de couverture pondérés, en vue de son adoption par l’assemblée en même temps que les propositions de modification des directives.”</w:t>
      </w:r>
    </w:p>
    <w:p w:rsidR="00027E0D" w:rsidRPr="00833D68" w:rsidRDefault="00027E0D" w:rsidP="00027E0D">
      <w:pPr>
        <w:pStyle w:val="ONUMFS"/>
        <w:numPr>
          <w:ilvl w:val="0"/>
          <w:numId w:val="3"/>
        </w:numPr>
        <w:rPr>
          <w:lang w:val="fr-FR"/>
        </w:rPr>
      </w:pPr>
      <w:r w:rsidRPr="00833D68">
        <w:rPr>
          <w:lang w:val="fr-FR"/>
        </w:rPr>
        <w:lastRenderedPageBreak/>
        <w:t>Avant la session d’octobre 2015 de l’assemblée, le Bureau international a présenté des informations actualisées sur la mise en œuvre de la stratégie proposée pour couvrir les recettes provenant des taxes du PCT à la vingt</w:t>
      </w:r>
      <w:r w:rsidRPr="00833D68">
        <w:rPr>
          <w:lang w:val="fr-FR"/>
        </w:rPr>
        <w:noBreakHyphen/>
      </w:r>
      <w:r>
        <w:rPr>
          <w:lang w:val="fr-FR"/>
        </w:rPr>
        <w:t>quatr</w:t>
      </w:r>
      <w:r w:rsidRPr="00833D68">
        <w:rPr>
          <w:lang w:val="fr-FR"/>
        </w:rPr>
        <w:t>ième session d</w:t>
      </w:r>
      <w:r>
        <w:rPr>
          <w:lang w:val="fr-FR"/>
        </w:rPr>
        <w:t>u Comité du programme et budget </w:t>
      </w:r>
      <w:r w:rsidRPr="00833D68">
        <w:rPr>
          <w:lang w:val="fr-FR"/>
        </w:rPr>
        <w:t>(PBC) tenue du 14 au 18 septembre 2015, sur la base du document WO/PBC/24/INF.3 qui recensait plusieurs risques et préoccupations en rapport avec cette stratégie.  Après avoir examiné le document, le PBC a arrêté la recommandation suivante à l’intention de l’Assemblée de l’Union du PCT (voir le document WO/PBC/24/17, sous le point 10 de l’ordre du jour) :</w:t>
      </w:r>
    </w:p>
    <w:p w:rsidR="00027E0D" w:rsidRPr="00833D68" w:rsidRDefault="00027E0D" w:rsidP="00EC17BC">
      <w:pPr>
        <w:pStyle w:val="ONUME"/>
        <w:numPr>
          <w:ilvl w:val="0"/>
          <w:numId w:val="0"/>
        </w:numPr>
        <w:ind w:left="567"/>
        <w:rPr>
          <w:lang w:val="fr-FR"/>
        </w:rPr>
      </w:pPr>
      <w:r w:rsidRPr="00833D68">
        <w:rPr>
          <w:lang w:val="fr-FR"/>
        </w:rPr>
        <w:t>“Au regard de la recommandation du Groupe de travail du PBC figurant dans le document PCT/WG/8/15, le Comité du programme et budget (PBC) a, dans le document WO/PBC/24/INF.3, été informé de plusieurs problèmes relatifs à la mise en œuvre d’une stratégie de couverture des risques de change pour les recettes du PCT.  Après avoir examiné attentivement les problèmes soulevés dans ce document, le PBC a recommandé à l’Assemblée de l’Union du PCT :</w:t>
      </w:r>
    </w:p>
    <w:p w:rsidR="00027E0D" w:rsidRPr="00833D68" w:rsidRDefault="00027E0D" w:rsidP="00EC17BC">
      <w:pPr>
        <w:pStyle w:val="ONUME"/>
        <w:numPr>
          <w:ilvl w:val="0"/>
          <w:numId w:val="0"/>
        </w:numPr>
        <w:ind w:left="1134"/>
        <w:rPr>
          <w:lang w:val="fr-FR"/>
        </w:rPr>
      </w:pPr>
      <w:r w:rsidRPr="00833D68">
        <w:rPr>
          <w:lang w:val="fr-FR"/>
        </w:rPr>
        <w:t>“i)</w:t>
      </w:r>
      <w:r w:rsidRPr="00833D68">
        <w:rPr>
          <w:lang w:val="fr-FR"/>
        </w:rPr>
        <w:tab/>
        <w:t>d’accorder au Secrétariat davantage de temps pour analyser ces problèmes en détail afin d’être en mesure d’évaluer correctement les difficultés associées à la mise en œuvre de la stratégie de couverture des risques de change;  et, en conséquence,</w:t>
      </w:r>
    </w:p>
    <w:p w:rsidR="00027E0D" w:rsidRPr="00833D68" w:rsidRDefault="00027E0D" w:rsidP="00EC17BC">
      <w:pPr>
        <w:pStyle w:val="ONUME"/>
        <w:numPr>
          <w:ilvl w:val="0"/>
          <w:numId w:val="0"/>
        </w:numPr>
        <w:ind w:left="1134"/>
        <w:rPr>
          <w:lang w:val="fr-FR"/>
        </w:rPr>
      </w:pPr>
      <w:r w:rsidRPr="00833D68">
        <w:rPr>
          <w:lang w:val="fr-FR"/>
        </w:rPr>
        <w:t>“ii)</w:t>
      </w:r>
      <w:r w:rsidRPr="00833D68">
        <w:rPr>
          <w:lang w:val="fr-FR"/>
        </w:rPr>
        <w:tab/>
        <w:t>de reporter sa décision en ce qui concerne la recommandation susmentionnée jusqu’à ce qu’il ait été procédé à cette analyse.”</w:t>
      </w:r>
    </w:p>
    <w:p w:rsidR="00027E0D" w:rsidRPr="00833D68" w:rsidRDefault="00027E0D" w:rsidP="00027E0D">
      <w:pPr>
        <w:pStyle w:val="ONUMFS"/>
        <w:numPr>
          <w:ilvl w:val="0"/>
          <w:numId w:val="3"/>
        </w:numPr>
        <w:rPr>
          <w:lang w:val="fr-FR"/>
        </w:rPr>
      </w:pPr>
      <w:r w:rsidRPr="00833D68">
        <w:rPr>
          <w:lang w:val="fr-FR"/>
        </w:rPr>
        <w:t>Compte tenu de cette recommandation du PBC, l’Assemblée de l’Union du PCT, à sa quarante</w:t>
      </w:r>
      <w:r w:rsidRPr="00833D68">
        <w:rPr>
          <w:lang w:val="fr-FR"/>
        </w:rPr>
        <w:noBreakHyphen/>
        <w:t>septième session tenue en octobre 2015, a adopté la décision suivante (voir le document PCT/A/47/5 </w:t>
      </w:r>
      <w:proofErr w:type="spellStart"/>
      <w:r w:rsidRPr="00833D68">
        <w:rPr>
          <w:lang w:val="fr-FR"/>
        </w:rPr>
        <w:t>Rev</w:t>
      </w:r>
      <w:proofErr w:type="spellEnd"/>
      <w:r w:rsidRPr="00833D68">
        <w:rPr>
          <w:lang w:val="fr-FR"/>
        </w:rPr>
        <w:t>. et le paragraphe 23 du rapport sur la session, document PCT/A/47/9) :</w:t>
      </w:r>
    </w:p>
    <w:p w:rsidR="00027E0D" w:rsidRPr="00833D68" w:rsidRDefault="00027E0D" w:rsidP="00EC17BC">
      <w:pPr>
        <w:pStyle w:val="ONUME"/>
        <w:numPr>
          <w:ilvl w:val="0"/>
          <w:numId w:val="0"/>
        </w:numPr>
        <w:ind w:left="567"/>
        <w:rPr>
          <w:lang w:val="fr-FR"/>
        </w:rPr>
      </w:pPr>
      <w:r w:rsidRPr="00833D68">
        <w:rPr>
          <w:lang w:val="fr-FR"/>
        </w:rPr>
        <w:t>“23.</w:t>
      </w:r>
      <w:r w:rsidRPr="00833D68">
        <w:rPr>
          <w:lang w:val="fr-FR"/>
        </w:rPr>
        <w:tab/>
        <w:t>L’assemblée</w:t>
      </w:r>
    </w:p>
    <w:p w:rsidR="00027E0D" w:rsidRPr="00833D68" w:rsidRDefault="00027E0D" w:rsidP="00EC17BC">
      <w:pPr>
        <w:pStyle w:val="ONUME"/>
        <w:numPr>
          <w:ilvl w:val="0"/>
          <w:numId w:val="0"/>
        </w:numPr>
        <w:ind w:left="1134"/>
        <w:rPr>
          <w:lang w:val="fr-FR"/>
        </w:rPr>
      </w:pPr>
      <w:r w:rsidRPr="00833D68">
        <w:rPr>
          <w:lang w:val="fr-FR"/>
        </w:rPr>
        <w:t>“i)</w:t>
      </w:r>
      <w:r w:rsidRPr="00833D68">
        <w:rPr>
          <w:lang w:val="fr-FR"/>
        </w:rPr>
        <w:tab/>
        <w:t>a pris note du contenu du document PCT/A/47/5 </w:t>
      </w:r>
      <w:proofErr w:type="spellStart"/>
      <w:r w:rsidRPr="00833D68">
        <w:rPr>
          <w:lang w:val="fr-FR"/>
        </w:rPr>
        <w:t>Rev</w:t>
      </w:r>
      <w:proofErr w:type="spellEnd"/>
      <w:r w:rsidRPr="00833D68">
        <w:rPr>
          <w:lang w:val="fr-FR"/>
        </w:rPr>
        <w:t>.,</w:t>
      </w:r>
    </w:p>
    <w:p w:rsidR="00027E0D" w:rsidRPr="00833D68" w:rsidRDefault="00027E0D" w:rsidP="00EC17BC">
      <w:pPr>
        <w:pStyle w:val="ONUME"/>
        <w:numPr>
          <w:ilvl w:val="0"/>
          <w:numId w:val="0"/>
        </w:numPr>
        <w:ind w:left="1134"/>
        <w:rPr>
          <w:lang w:val="fr-FR"/>
        </w:rPr>
      </w:pPr>
      <w:r w:rsidRPr="00833D68">
        <w:rPr>
          <w:lang w:val="fr-FR"/>
        </w:rPr>
        <w:t>“ii)</w:t>
      </w:r>
      <w:r w:rsidRPr="00833D68">
        <w:rPr>
          <w:lang w:val="fr-FR"/>
        </w:rPr>
        <w:tab/>
        <w:t>a invité le Secrétariat à analyser de manière plus approfondie les questions relatives à la mise en œuvre d’une stratégie de couverture des risques de change pour les recettes du PCT exposées dans le document WO/PBC/24/INF.3,</w:t>
      </w:r>
    </w:p>
    <w:p w:rsidR="00027E0D" w:rsidRPr="00833D68" w:rsidRDefault="00027E0D" w:rsidP="00EC17BC">
      <w:pPr>
        <w:pStyle w:val="ONUME"/>
        <w:numPr>
          <w:ilvl w:val="0"/>
          <w:numId w:val="0"/>
        </w:numPr>
        <w:ind w:left="1134"/>
        <w:rPr>
          <w:lang w:val="fr-FR"/>
        </w:rPr>
      </w:pPr>
      <w:r w:rsidRPr="00833D68">
        <w:rPr>
          <w:lang w:val="fr-FR"/>
        </w:rPr>
        <w:t>“iii)</w:t>
      </w:r>
      <w:r w:rsidRPr="00833D68">
        <w:rPr>
          <w:lang w:val="fr-FR"/>
        </w:rPr>
        <w:tab/>
        <w:t>a reporté toute décision sur les propositions de modification des directives de l’assemblée concernant l’établissement des montants équivalents de certaines taxes arrêtées par le Groupe de travail du PCT jusqu’à ce qu’il ait été procédé à cette analyse, et</w:t>
      </w:r>
    </w:p>
    <w:p w:rsidR="00027E0D" w:rsidRPr="00833D68" w:rsidRDefault="00027E0D" w:rsidP="00EC17BC">
      <w:pPr>
        <w:pStyle w:val="ONUME"/>
        <w:numPr>
          <w:ilvl w:val="0"/>
          <w:numId w:val="0"/>
        </w:numPr>
        <w:ind w:left="1134"/>
        <w:rPr>
          <w:lang w:val="fr-FR"/>
        </w:rPr>
      </w:pPr>
      <w:r w:rsidRPr="00833D68">
        <w:rPr>
          <w:lang w:val="fr-FR"/>
        </w:rPr>
        <w:t>“iv)</w:t>
      </w:r>
      <w:r w:rsidRPr="00833D68">
        <w:rPr>
          <w:lang w:val="fr-FR"/>
        </w:rPr>
        <w:tab/>
        <w:t>a invité le Secrétariat à soumettre un rapport sur l’état d’avancement de cette analyse au Groupe de travail du PCT à sa session de 2016.”</w:t>
      </w:r>
    </w:p>
    <w:p w:rsidR="00027E0D" w:rsidRPr="00833D68" w:rsidRDefault="00027E0D" w:rsidP="00027E0D">
      <w:pPr>
        <w:pStyle w:val="ONUMFS"/>
        <w:numPr>
          <w:ilvl w:val="0"/>
          <w:numId w:val="3"/>
        </w:numPr>
        <w:rPr>
          <w:lang w:val="fr-FR"/>
        </w:rPr>
      </w:pPr>
      <w:r w:rsidRPr="00833D68">
        <w:rPr>
          <w:lang w:val="fr-FR"/>
        </w:rPr>
        <w:t>Les paragraphes 10 à 17 ci</w:t>
      </w:r>
      <w:r w:rsidRPr="00833D68">
        <w:rPr>
          <w:lang w:val="fr-FR"/>
        </w:rPr>
        <w:noBreakHyphen/>
        <w:t>après contiennent le rapport demandé par l’assemblée sur l’état d’avancement de l’analyse des questions soulevées par la mise en œuvre éventuelle de la stratégie de couverture des risques de change exposées dans le document WO/PBC/24/INF.3.</w:t>
      </w:r>
    </w:p>
    <w:p w:rsidR="00027E0D" w:rsidRPr="00833D68" w:rsidRDefault="00027E0D" w:rsidP="00B17F92">
      <w:pPr>
        <w:pStyle w:val="Heading2"/>
        <w:rPr>
          <w:lang w:val="fr-FR"/>
        </w:rPr>
      </w:pPr>
      <w:r w:rsidRPr="00833D68">
        <w:rPr>
          <w:lang w:val="fr-FR"/>
        </w:rPr>
        <w:t>Rapport sur l’état d’avancement de l’analyse</w:t>
      </w:r>
    </w:p>
    <w:p w:rsidR="00027E0D" w:rsidRPr="00833D68" w:rsidRDefault="00027E0D" w:rsidP="00B17F92">
      <w:pPr>
        <w:pStyle w:val="Heading3"/>
        <w:rPr>
          <w:lang w:val="fr-FR"/>
        </w:rPr>
      </w:pPr>
      <w:r w:rsidRPr="00833D68">
        <w:rPr>
          <w:lang w:val="fr-FR"/>
        </w:rPr>
        <w:t>Simulation des contrats d’achat à terme</w:t>
      </w:r>
    </w:p>
    <w:p w:rsidR="00027E0D" w:rsidRPr="00833D68" w:rsidRDefault="00027E0D" w:rsidP="00B17F92">
      <w:pPr>
        <w:rPr>
          <w:lang w:val="fr-FR"/>
        </w:rPr>
      </w:pPr>
    </w:p>
    <w:p w:rsidR="00027E0D" w:rsidRPr="00833D68" w:rsidRDefault="00027E0D" w:rsidP="00027E0D">
      <w:pPr>
        <w:pStyle w:val="ONUMFS"/>
        <w:numPr>
          <w:ilvl w:val="0"/>
          <w:numId w:val="3"/>
        </w:numPr>
        <w:rPr>
          <w:lang w:val="fr-FR"/>
        </w:rPr>
      </w:pPr>
      <w:bookmarkStart w:id="9" w:name="_Ref445225184"/>
      <w:r w:rsidRPr="00833D68">
        <w:rPr>
          <w:lang w:val="fr-FR"/>
        </w:rPr>
        <w:t>En novembre 2015, le Bureau international a simulé une procédure d’appel d’offres pour la vente de yen japonais (JPY), euros (EUR) et dollars des États</w:t>
      </w:r>
      <w:r w:rsidRPr="00833D68">
        <w:rPr>
          <w:lang w:val="fr-FR"/>
        </w:rPr>
        <w:noBreakHyphen/>
        <w:t xml:space="preserve">Unis (USD) contre des francs suisses (CHF), au moyen de contrats d’achat à terme couvrant la période allant de novembre 2015 à décembre 2016.  Cette simulation avait pour objet de mieux appréhender la </w:t>
      </w:r>
      <w:r w:rsidRPr="00833D68">
        <w:rPr>
          <w:lang w:val="fr-FR"/>
        </w:rPr>
        <w:lastRenderedPageBreak/>
        <w:t>procédure de conclusion de ces contrats si le Bureau international devait appliquer une stratégie de couverture des risques de chan</w:t>
      </w:r>
      <w:bookmarkEnd w:id="9"/>
      <w:r w:rsidRPr="00833D68">
        <w:rPr>
          <w:lang w:val="fr-FR"/>
        </w:rPr>
        <w:t>ge.  Elle a également permis de recueillir des informations précieuses sur les coûts liés à la passation de ces contrats d’achat à terme.</w:t>
      </w:r>
    </w:p>
    <w:p w:rsidR="00027E0D" w:rsidRPr="00833D68" w:rsidRDefault="00027E0D" w:rsidP="00B17F92">
      <w:pPr>
        <w:pStyle w:val="Heading3"/>
        <w:rPr>
          <w:lang w:val="fr-FR"/>
        </w:rPr>
      </w:pPr>
      <w:r w:rsidRPr="00833D68">
        <w:rPr>
          <w:lang w:val="fr-FR"/>
        </w:rPr>
        <w:t>Actualisation de la projection des flux de trésorerie par monnaie</w:t>
      </w:r>
    </w:p>
    <w:p w:rsidR="00027E0D" w:rsidRPr="00833D68" w:rsidRDefault="00027E0D" w:rsidP="00B17F92">
      <w:pPr>
        <w:rPr>
          <w:lang w:val="fr-FR"/>
        </w:rPr>
      </w:pPr>
    </w:p>
    <w:p w:rsidR="00027E0D" w:rsidRPr="00833D68" w:rsidRDefault="00027E0D" w:rsidP="00027E0D">
      <w:pPr>
        <w:pStyle w:val="ONUMFS"/>
        <w:numPr>
          <w:ilvl w:val="0"/>
          <w:numId w:val="3"/>
        </w:numPr>
        <w:rPr>
          <w:lang w:val="fr-FR"/>
        </w:rPr>
      </w:pPr>
      <w:r w:rsidRPr="00833D68">
        <w:rPr>
          <w:lang w:val="fr-FR"/>
        </w:rPr>
        <w:t>Comme indiqué aux paragraphes 18 à 21 du document WO/PBC/24/INF.3, les recettes perçues par l’OMPI dans chacune des devises (JPY, EUR et USD) sont irrégulières et difficiles à prévoir.  Si le Bureau international devait passer des contrats à terme pour vendre chaque mois un montant prédéterminé dans chacune des devises et que le montant perçu dans une seule de ces monnaies s’avérait insuffisant à la date d’échéance, il pourrait en découler des pertes de change liées à la vente de francs suisses ou d’autres devises pour obtenir le montant requis de yen japonais, euros ou dollars des États-Unis.  En outre, la détention de montants en devises autres que le franc suisse supérieurs aux besoins peut entraîner des pertes ou des gains de change.  Le Bureau international suit de près les recettes en devises par date depuis novembre 2015.  Ces données seront comparées avec celles de 2014</w:t>
      </w:r>
      <w:r w:rsidRPr="00833D68">
        <w:rPr>
          <w:lang w:val="fr-FR"/>
        </w:rPr>
        <w:noBreakHyphen/>
        <w:t>2015 pour permettre au Bureau international d’estimer le montant de chaque devise qu’il pourrait s’engager à vendre chaque mois si l’Assemblée de l’Union du PCT décidait de recourir à la couverture des risques de change.</w:t>
      </w:r>
    </w:p>
    <w:p w:rsidR="00027E0D" w:rsidRPr="00833D68" w:rsidRDefault="00027E0D" w:rsidP="00027E0D">
      <w:pPr>
        <w:pStyle w:val="ONUMFS"/>
        <w:numPr>
          <w:ilvl w:val="0"/>
          <w:numId w:val="3"/>
        </w:numPr>
        <w:rPr>
          <w:lang w:val="fr-FR"/>
        </w:rPr>
      </w:pPr>
      <w:r w:rsidRPr="00833D68">
        <w:rPr>
          <w:lang w:val="fr-FR"/>
        </w:rPr>
        <w:t>En outre, comme indiqué dans le document WO/PBC/24/INF.3, la faisabilité de la politique de couverture des risques de change est limitée par la nécessité de disposer de fonds suffisants dans chacune des trois monnaies pour couvrir les dépenses prévues dans chaque devise.  L’OMPI a des dettes importantes à honorer en dollars et en euros.  Il n’est par conséquent pas possible de convertir en francs suisses la totalité des taxes transmises à l’OMPI dans ces devises au moyen de contrats à terme.  Comme indiqué au paragraphe 12 du document WO/PBC/24/INF.3, 45% des recettes en dollars et 40% des recettes en euros sont nécessaires pour faire face aux besoins opérationnels de l’OMPI en 2014 et au premier semestre de 2015.  Le suivi de ces besoins se poursuit et les résultats serviront à déterminer l’incidence sur la stratégie de couverture des risques de change.</w:t>
      </w:r>
    </w:p>
    <w:p w:rsidR="00027E0D" w:rsidRPr="00833D68" w:rsidRDefault="00027E0D" w:rsidP="00B17F92">
      <w:pPr>
        <w:pStyle w:val="Heading3"/>
        <w:rPr>
          <w:lang w:val="fr-FR"/>
        </w:rPr>
      </w:pPr>
      <w:r w:rsidRPr="00833D68">
        <w:rPr>
          <w:lang w:val="fr-FR"/>
        </w:rPr>
        <w:t>Actualisation de l’incidence sur les recettes du PCT</w:t>
      </w:r>
    </w:p>
    <w:p w:rsidR="00027E0D" w:rsidRPr="00833D68" w:rsidRDefault="00027E0D" w:rsidP="00B17F92">
      <w:pPr>
        <w:rPr>
          <w:lang w:val="fr-FR"/>
        </w:rPr>
      </w:pPr>
    </w:p>
    <w:p w:rsidR="00027E0D" w:rsidRPr="00833D68" w:rsidRDefault="00027E0D" w:rsidP="00027E0D">
      <w:pPr>
        <w:pStyle w:val="ONUMFS"/>
        <w:numPr>
          <w:ilvl w:val="0"/>
          <w:numId w:val="3"/>
        </w:numPr>
        <w:rPr>
          <w:lang w:val="fr-FR"/>
        </w:rPr>
      </w:pPr>
      <w:r w:rsidRPr="00833D68">
        <w:rPr>
          <w:lang w:val="fr-FR"/>
        </w:rPr>
        <w:t>En vertu du processus actuel d’établissement de montants équivalents pour le PCT, le Bureau international est en mesure d’ajuster périodiquement les montants équivalents des taxes payables en d’autres monnaies que le franc suisse de façon à les aligner sur le montant de ces taxes établi en francs suisses par l’Assemblée de l’Union du PCT.  Toutefois, ainsi qu’il est indiqué au paragraphe 5, selon les modalités de couverture proposées, le montant de chaque taxe payable en dollars des États</w:t>
      </w:r>
      <w:r w:rsidRPr="00833D68">
        <w:rPr>
          <w:lang w:val="fr-FR"/>
        </w:rPr>
        <w:noBreakHyphen/>
        <w:t>Unis, en yen japonais et en euros serait fixe, pour une période de 12 mois, sur la base du taux de change moyen obtenu dans le cadre des contrats à terme, et pondéré en fonction de la somme à vendre chaque mois (taux de couverture pondéré).  L’OMPI perdrait ainsi la possibilité de modifier les montants équivalents des taxes pendant les 12 mois de la période de couverture.</w:t>
      </w:r>
    </w:p>
    <w:p w:rsidR="00027E0D" w:rsidRPr="00833D68" w:rsidRDefault="00027E0D" w:rsidP="00027E0D">
      <w:pPr>
        <w:pStyle w:val="ONUMFS"/>
        <w:numPr>
          <w:ilvl w:val="0"/>
          <w:numId w:val="3"/>
        </w:numPr>
        <w:rPr>
          <w:lang w:val="fr-FR"/>
        </w:rPr>
      </w:pPr>
      <w:r w:rsidRPr="00833D68">
        <w:rPr>
          <w:lang w:val="fr-FR"/>
        </w:rPr>
        <w:t>Le Bureau international a commencé à analyser l’incidence que la nouvelle stratégie aurait sur le montant des recettes provenant des taxes du PCT depuis novembre 2015, tout en procédant à une estimation de l’incidence que celle</w:t>
      </w:r>
      <w:r w:rsidRPr="00833D68">
        <w:rPr>
          <w:lang w:val="fr-FR"/>
        </w:rPr>
        <w:noBreakHyphen/>
        <w:t>ci aurait eu au cours de l’exercice biennal 2014</w:t>
      </w:r>
      <w:r w:rsidRPr="00833D68">
        <w:rPr>
          <w:lang w:val="fr-FR"/>
        </w:rPr>
        <w:noBreakHyphen/>
        <w:t>2015.  Cette analyse sera essentielle pour permettre aux États membres d’appréhender l’incidence potentielle de la stratégie envisagée de couverture des risques de change sur les recettes provenant des taxes du PCT et, partant, sur le budget de l’Organisation dans son ensemble.</w:t>
      </w:r>
    </w:p>
    <w:p w:rsidR="00027E0D" w:rsidRPr="00833D68" w:rsidRDefault="00027E0D" w:rsidP="00B17F92">
      <w:pPr>
        <w:pStyle w:val="Heading3"/>
        <w:rPr>
          <w:lang w:val="fr-FR"/>
        </w:rPr>
      </w:pPr>
      <w:r w:rsidRPr="00833D68">
        <w:rPr>
          <w:lang w:val="fr-FR"/>
        </w:rPr>
        <w:lastRenderedPageBreak/>
        <w:t>Élaboration d’une matrice pour suivre les ajustements de change selon les normes IPSAS</w:t>
      </w:r>
    </w:p>
    <w:p w:rsidR="00027E0D" w:rsidRPr="00833D68" w:rsidRDefault="00027E0D" w:rsidP="00B17F92">
      <w:pPr>
        <w:rPr>
          <w:lang w:val="fr-FR"/>
        </w:rPr>
      </w:pPr>
    </w:p>
    <w:p w:rsidR="00027E0D" w:rsidRPr="00833D68" w:rsidRDefault="00027E0D" w:rsidP="00027E0D">
      <w:pPr>
        <w:pStyle w:val="ONUMFS"/>
        <w:numPr>
          <w:ilvl w:val="0"/>
          <w:numId w:val="3"/>
        </w:numPr>
        <w:rPr>
          <w:lang w:val="fr-FR"/>
        </w:rPr>
      </w:pPr>
      <w:r w:rsidRPr="00833D68">
        <w:rPr>
          <w:lang w:val="fr-FR"/>
        </w:rPr>
        <w:t>Les normes comptables internationales pour le secteur public (normes IPSAS) contiennent des règles importantes concernant la manière dont il convient de comptabiliser les gains et pertes de change dans les états financiers de l’OMPI.  L’application de ces règles est encore compliquée par la nécessité d’utiliser le taux de change opérationnel de l’Organisation des Nations Unies pour comptabiliser les transactions dans des monnaies autres que le franc suisse, étant donné que ce taux est fixé une voire deux fois par mois alors que les taux utilisés par les établissements bancaires sont arrêtés sur une base journalière, voire plusieurs fois par jour.  Il y a donc entre les taux bancaires et le taux de l’ONU des différences qui donnent lieu à des écarts qui doivent être pris en considération dans les comptes.</w:t>
      </w:r>
    </w:p>
    <w:p w:rsidR="00027E0D" w:rsidRPr="00833D68" w:rsidRDefault="00027E0D" w:rsidP="00027E0D">
      <w:pPr>
        <w:pStyle w:val="ONUMFS"/>
        <w:numPr>
          <w:ilvl w:val="0"/>
          <w:numId w:val="3"/>
        </w:numPr>
        <w:rPr>
          <w:lang w:val="fr-FR"/>
        </w:rPr>
      </w:pPr>
      <w:r w:rsidRPr="00833D68">
        <w:rPr>
          <w:lang w:val="fr-FR"/>
        </w:rPr>
        <w:t>Une matrice a été élaborée avec le concours de consultants pour permettre au Bureau international de consigner sur une feuille de calcul unique tous les ajustements de change que l’Organisation devrait comptabiliser, ainsi que leur incidence sur les recettes et les dépenses ainsi que la valeur de l’actif et du passif.  Le Bureau international utilise cette matrice depuis novembre 2015 déterminera ensuite les ajustements qui auraient été nécessaires s’il avait procédé à la couverture des risques de change de novembre 2014 à octobre 2015.</w:t>
      </w:r>
    </w:p>
    <w:p w:rsidR="00027E0D" w:rsidRPr="00833D68" w:rsidRDefault="00027E0D" w:rsidP="00395646">
      <w:pPr>
        <w:pStyle w:val="Heading3"/>
        <w:rPr>
          <w:lang w:val="fr-FR"/>
        </w:rPr>
      </w:pPr>
      <w:r w:rsidRPr="00833D68">
        <w:rPr>
          <w:lang w:val="fr-FR"/>
        </w:rPr>
        <w:t>Mesures à prendre</w:t>
      </w:r>
    </w:p>
    <w:p w:rsidR="00027E0D" w:rsidRPr="00833D68" w:rsidRDefault="00027E0D" w:rsidP="00B17F92">
      <w:pPr>
        <w:rPr>
          <w:lang w:val="fr-FR"/>
        </w:rPr>
      </w:pPr>
    </w:p>
    <w:p w:rsidR="00027E0D" w:rsidRPr="00833D68" w:rsidRDefault="00027E0D" w:rsidP="00027E0D">
      <w:pPr>
        <w:pStyle w:val="ONUMFS"/>
        <w:numPr>
          <w:ilvl w:val="0"/>
          <w:numId w:val="3"/>
        </w:numPr>
        <w:rPr>
          <w:lang w:val="fr-FR"/>
        </w:rPr>
      </w:pPr>
      <w:bookmarkStart w:id="10" w:name="_Ref445465948"/>
      <w:bookmarkStart w:id="11" w:name="_Ref445225198"/>
      <w:r w:rsidRPr="00833D68">
        <w:rPr>
          <w:lang w:val="fr-FR"/>
        </w:rPr>
        <w:t>Le Bureau international a l’intention de s’assurer les services d’un consultant externe, qui est en cours de recrutement, pour l’aider notamment dans la mise en œuvre de la nouvelle politique en matière de placements ainsi que sur les questions de change et une éventuelle stratégie en matière de couverture des risques dans ce domai</w:t>
      </w:r>
      <w:bookmarkEnd w:id="10"/>
      <w:r w:rsidRPr="00833D68">
        <w:rPr>
          <w:lang w:val="fr-FR"/>
        </w:rPr>
        <w:t>ne.  Les candidatures ont été passées en revue et le consultant devrait être sélectionné courant mars 2016.</w:t>
      </w:r>
    </w:p>
    <w:p w:rsidR="00027E0D" w:rsidRPr="00833D68" w:rsidRDefault="00027E0D" w:rsidP="00027E0D">
      <w:pPr>
        <w:pStyle w:val="ONUMFS"/>
        <w:numPr>
          <w:ilvl w:val="0"/>
          <w:numId w:val="3"/>
        </w:numPr>
        <w:rPr>
          <w:lang w:val="fr-FR"/>
        </w:rPr>
      </w:pPr>
      <w:r w:rsidRPr="00833D68">
        <w:rPr>
          <w:lang w:val="fr-FR"/>
        </w:rPr>
        <w:t>Avec le concours du consultant externe, le Bureau international analysera soigneusement les projections relatives aux flux de trésorerie et l’incidence de montants équivalents fixes pour les recettes du PCT dans les trois devis</w:t>
      </w:r>
      <w:bookmarkEnd w:id="11"/>
      <w:r w:rsidRPr="00833D68">
        <w:rPr>
          <w:lang w:val="fr-FR"/>
        </w:rPr>
        <w:t>es.  Il utilisera les résultats de cette analyse et les enseignements tirés de la simulation des contrats d’achat à terme et du suivi des ajustements de change à opérer conformément aux normes IPSAS pour soumettre au groupe de travail, pour examen à sa session de 2017, une proposition sur la question de savoir s’il convient ou non de mettre en œuvre une stratégie de couverture des risques de change.</w:t>
      </w:r>
    </w:p>
    <w:p w:rsidR="00027E0D" w:rsidRPr="00833D68" w:rsidRDefault="00027E0D" w:rsidP="00B17F92">
      <w:pPr>
        <w:pStyle w:val="Heading1"/>
        <w:rPr>
          <w:lang w:val="fr-FR"/>
        </w:rPr>
      </w:pPr>
      <w:r w:rsidRPr="00833D68">
        <w:rPr>
          <w:lang w:val="fr-FR"/>
        </w:rPr>
        <w:t>Adoption d’une “structure de compensation” pour le transfert des taxes</w:t>
      </w:r>
    </w:p>
    <w:p w:rsidR="00027E0D" w:rsidRPr="00833D68" w:rsidRDefault="00027E0D" w:rsidP="00B17F92">
      <w:pPr>
        <w:pStyle w:val="Heading2"/>
        <w:rPr>
          <w:lang w:val="fr-FR"/>
        </w:rPr>
      </w:pPr>
      <w:r w:rsidRPr="00833D68">
        <w:rPr>
          <w:lang w:val="fr-FR"/>
        </w:rPr>
        <w:t>Définition de la compensation</w:t>
      </w:r>
    </w:p>
    <w:p w:rsidR="00027E0D" w:rsidRPr="00833D68" w:rsidRDefault="00027E0D" w:rsidP="00B17F92">
      <w:pPr>
        <w:rPr>
          <w:lang w:val="fr-FR"/>
        </w:rPr>
      </w:pPr>
    </w:p>
    <w:p w:rsidR="00027E0D" w:rsidRPr="00833D68" w:rsidRDefault="00027E0D" w:rsidP="00027E0D">
      <w:pPr>
        <w:pStyle w:val="ONUMFS"/>
        <w:numPr>
          <w:ilvl w:val="0"/>
          <w:numId w:val="3"/>
        </w:numPr>
        <w:rPr>
          <w:lang w:val="fr-FR"/>
        </w:rPr>
      </w:pPr>
      <w:r w:rsidRPr="00833D68">
        <w:rPr>
          <w:lang w:val="fr-FR"/>
        </w:rPr>
        <w:t>La “compensation” est un mécanisme de règlement utilisé pour permettre de compenser une valeur positive (paiement) et une valeur négative (créance) en annulant les deux en tout ou en partie.  Le processus de compensation consolide l’ensemble des transactions entre les participants et calcule le règlement entre eux sur la base du “solde net”, le plus souvent au moyen d’un seul paiement ou encaissement.  L’administration du processus de compensation s’effectue au moyen d’un logiciel spécialisé.</w:t>
      </w:r>
    </w:p>
    <w:p w:rsidR="00027E0D" w:rsidRPr="00833D68" w:rsidRDefault="00027E0D" w:rsidP="00027E0D">
      <w:pPr>
        <w:pStyle w:val="ONUMFS"/>
        <w:numPr>
          <w:ilvl w:val="0"/>
          <w:numId w:val="3"/>
        </w:numPr>
        <w:rPr>
          <w:lang w:val="fr-FR"/>
        </w:rPr>
      </w:pPr>
      <w:r w:rsidRPr="00833D68">
        <w:rPr>
          <w:lang w:val="fr-FR"/>
        </w:rPr>
        <w:t xml:space="preserve">Une procédure de compensation possible pour les taxes du PCT consisterait à faire en sorte que l’office récepteur transfère la taxe internationale de dépôt et la taxe de recherche des déposants au Bureau international.  La taxe de recherche serait ensuite transférée par le Bureau international à l’administration chargée de la recherche internationale.  Le transfert des taxes par l’office récepteur aurait généralement lieu sur une base mensuelle à une date prédéterminée et s’effectuerait dans la monnaie locale dans laquelle les taxes ont été prélevées </w:t>
      </w:r>
      <w:r w:rsidRPr="00833D68">
        <w:rPr>
          <w:lang w:val="fr-FR"/>
        </w:rPr>
        <w:lastRenderedPageBreak/>
        <w:t>si celle</w:t>
      </w:r>
      <w:r w:rsidRPr="00833D68">
        <w:rPr>
          <w:lang w:val="fr-FR"/>
        </w:rPr>
        <w:noBreakHyphen/>
        <w:t>ci est librement convertible en francs suisses.  S’agissant d’un office récepteur qui agit également en qualité d’administration chargée de la recherche internationale, pour chaque devise, le montant versé correspondrait à la différence entre la somme totale des taxes de dépôt international perçues en sa qualité d’office récepteur (que l’office récepteur “doit” au Bureau international) et la somme totale des taxes de recherche payables à l’administration chargée de la recherche internationale (que le Bureau international “doit” à l’administration chargée de la recherche internationale).  En cas de solde net en faveur de l’administration chargée de la recherche internationale dans une monnaie donnée, le Bureau international, à bref délai après réception du paiement de l’office récepteur, transférerait ce montant à l’administration chargée de la recherche internationale, accompagné des informations de paiement nécessaires émanant de l’office récepteur.  L’administration d’une “structure de compensation” avec paiement centralisé des taxes du PCT nécessiterait donc un échéancier de paiement régulier entre le Bureau international et les offices concernés.  On trouvera de plus amples informations sur la “compensation” aux paragraphes 37 à 44 de l’annexe I du document PCT/WG/8/15.</w:t>
      </w:r>
    </w:p>
    <w:p w:rsidR="00027E0D" w:rsidRPr="00833D68" w:rsidRDefault="00027E0D" w:rsidP="00027E0D">
      <w:pPr>
        <w:pStyle w:val="ONUMFS"/>
        <w:numPr>
          <w:ilvl w:val="0"/>
          <w:numId w:val="3"/>
        </w:numPr>
        <w:rPr>
          <w:lang w:val="fr-FR"/>
        </w:rPr>
      </w:pPr>
      <w:r w:rsidRPr="00833D68">
        <w:rPr>
          <w:lang w:val="fr-FR"/>
        </w:rPr>
        <w:t>En vertu de la “structure de compensation” envisagée, il ne serait plus nécessaire d’utiliser la procédure prévue à la règle 16.1.e), étant donné que l’administration chargée de la recherche internationale recevrait toujours le montant intégral de la taxe de recherche dans la monnaie déterminée par elle.</w:t>
      </w:r>
    </w:p>
    <w:p w:rsidR="00027E0D" w:rsidRDefault="00027E0D" w:rsidP="00B17F92">
      <w:pPr>
        <w:pStyle w:val="Heading2"/>
        <w:rPr>
          <w:lang w:val="fr-FR"/>
        </w:rPr>
      </w:pPr>
      <w:r w:rsidRPr="00833D68">
        <w:rPr>
          <w:lang w:val="fr-FR"/>
        </w:rPr>
        <w:t>Examen de la question par le groupe de travail</w:t>
      </w:r>
    </w:p>
    <w:p w:rsidR="00027E0D" w:rsidRPr="00833D68" w:rsidRDefault="00027E0D" w:rsidP="00833D68">
      <w:pPr>
        <w:rPr>
          <w:lang w:val="fr-FR"/>
        </w:rPr>
      </w:pPr>
    </w:p>
    <w:p w:rsidR="00027E0D" w:rsidRPr="00833D68" w:rsidRDefault="00027E0D" w:rsidP="00027E0D">
      <w:pPr>
        <w:pStyle w:val="ONUMFS"/>
        <w:numPr>
          <w:ilvl w:val="0"/>
          <w:numId w:val="3"/>
        </w:numPr>
        <w:rPr>
          <w:lang w:val="fr-FR"/>
        </w:rPr>
      </w:pPr>
      <w:r w:rsidRPr="00833D68">
        <w:rPr>
          <w:lang w:val="fr-FR"/>
        </w:rPr>
        <w:t>Comme indiqué au paragraphe 13 du document PCT/WG/8/15, présenté à la huitième session du groupe de travail tenue en mai 2015, le Bureau international avait indiqué qu’il développerait la proposition relative à l’adoption éventuelle d’une “structure de compensation” pour toutes les transactions portant sur les taxes du PCT effectuées entre les offices récepteurs, les administrations chargées de la recherche internationale et le Bureau international, compte tenu des observations soulevées en réponse à la circulaire C. PCT 1440, en vue de présenter une proposition détaillée pour examen par le groupe de travail à sa session suivante, en 2016.  Les discussions sur la question de la “compensation” qui ont eu lieu à la huitième session du groupe de travail sont récapitulées aux paragraphes 32 à 34 du résumé présenté par le président (document PCT/WG/8/25) :</w:t>
      </w:r>
    </w:p>
    <w:p w:rsidR="00027E0D" w:rsidRPr="00833D68" w:rsidRDefault="00027E0D" w:rsidP="00157968">
      <w:pPr>
        <w:pStyle w:val="ONUME"/>
        <w:numPr>
          <w:ilvl w:val="0"/>
          <w:numId w:val="0"/>
        </w:numPr>
        <w:ind w:left="567"/>
        <w:rPr>
          <w:lang w:val="fr-FR"/>
        </w:rPr>
      </w:pPr>
      <w:r w:rsidRPr="00833D68">
        <w:rPr>
          <w:lang w:val="fr-FR"/>
        </w:rPr>
        <w:t>“32.</w:t>
      </w:r>
      <w:r w:rsidRPr="00833D68">
        <w:rPr>
          <w:lang w:val="fr-FR"/>
        </w:rPr>
        <w:tab/>
        <w:t>Plusieurs délégations ont exprimé leur appui de principe à la proposition relative à la mise en place d’une “structure de compensation” pour toutes les transactions touchant les taxes du PCT entre les offices récepteurs, les administrations chargées de la recherche internationale et le Bureau international, tout en indiquant qu’il convenait de disposer de davantage d’informations avant de pouvoir se prononcer sur la question.</w:t>
      </w:r>
    </w:p>
    <w:p w:rsidR="00027E0D" w:rsidRPr="00833D68" w:rsidRDefault="00027E0D" w:rsidP="00157968">
      <w:pPr>
        <w:pStyle w:val="ONUME"/>
        <w:numPr>
          <w:ilvl w:val="0"/>
          <w:numId w:val="0"/>
        </w:numPr>
        <w:ind w:left="567"/>
        <w:rPr>
          <w:lang w:val="fr-FR"/>
        </w:rPr>
      </w:pPr>
      <w:r w:rsidRPr="00833D68">
        <w:rPr>
          <w:lang w:val="fr-FR"/>
        </w:rPr>
        <w:t>“33.</w:t>
      </w:r>
      <w:r w:rsidRPr="00833D68">
        <w:rPr>
          <w:lang w:val="fr-FR"/>
        </w:rPr>
        <w:tab/>
        <w:t>Une délégation a déclaré qu’elle n’était pas en mesure d’appuyer cette proposition de compensation, craignant qu’elle ne se traduise par un surcroît de travail pour les offices récepteurs.</w:t>
      </w:r>
    </w:p>
    <w:p w:rsidR="00027E0D" w:rsidRPr="00833D68" w:rsidRDefault="00027E0D" w:rsidP="00157968">
      <w:pPr>
        <w:pStyle w:val="ONUME"/>
        <w:numPr>
          <w:ilvl w:val="0"/>
          <w:numId w:val="0"/>
        </w:numPr>
        <w:ind w:left="567"/>
        <w:rPr>
          <w:lang w:val="fr-FR"/>
        </w:rPr>
      </w:pPr>
      <w:r w:rsidRPr="00833D68">
        <w:rPr>
          <w:lang w:val="fr-FR"/>
        </w:rPr>
        <w:t>“34.</w:t>
      </w:r>
      <w:r w:rsidRPr="00833D68">
        <w:rPr>
          <w:lang w:val="fr-FR"/>
        </w:rPr>
        <w:tab/>
        <w:t>Une délégation a formé le vœu qu’une telle structure de compensation puisse être mise en place rapidement, évoquant les résultats positifs qu’elle retirait, en qualité d’administration chargée de la recherche internationale, d’un projet pilote en cours dans le cadre duquel elle recevait les taxes de recherche d’un office récepteur “via” le Bureau international.  Elle estimait en outre que le plus avantageux serait de combiner cette structure de compensation avec la transmission électronique des copies de recherche entre l’office récepteur et l’administration chargée de la recherche internationale “via” le Bureau international (</w:t>
      </w:r>
      <w:proofErr w:type="spellStart"/>
      <w:r w:rsidRPr="00833D68">
        <w:rPr>
          <w:lang w:val="fr-FR"/>
        </w:rPr>
        <w:t>eSearchCopy</w:t>
      </w:r>
      <w:proofErr w:type="spellEnd"/>
      <w:r w:rsidRPr="00833D68">
        <w:rPr>
          <w:lang w:val="fr-FR"/>
        </w:rPr>
        <w:t>).”</w:t>
      </w:r>
    </w:p>
    <w:p w:rsidR="00027E0D" w:rsidRPr="00833D68" w:rsidRDefault="00027E0D" w:rsidP="00B17F92">
      <w:pPr>
        <w:pStyle w:val="Heading2"/>
        <w:rPr>
          <w:lang w:val="fr-FR"/>
        </w:rPr>
      </w:pPr>
      <w:r w:rsidRPr="00833D68">
        <w:rPr>
          <w:lang w:val="fr-FR"/>
        </w:rPr>
        <w:lastRenderedPageBreak/>
        <w:t>faits nouveaux</w:t>
      </w:r>
    </w:p>
    <w:p w:rsidR="00027E0D" w:rsidRPr="00833D68" w:rsidRDefault="00027E0D" w:rsidP="00B17F92">
      <w:pPr>
        <w:rPr>
          <w:lang w:val="fr-FR"/>
        </w:rPr>
      </w:pPr>
    </w:p>
    <w:p w:rsidR="00027E0D" w:rsidRPr="00833D68" w:rsidRDefault="00027E0D" w:rsidP="00027E0D">
      <w:pPr>
        <w:pStyle w:val="ONUMFS"/>
        <w:numPr>
          <w:ilvl w:val="0"/>
          <w:numId w:val="3"/>
        </w:numPr>
        <w:rPr>
          <w:lang w:val="fr-FR"/>
        </w:rPr>
      </w:pPr>
      <w:r w:rsidRPr="00833D68">
        <w:rPr>
          <w:lang w:val="fr-FR"/>
        </w:rPr>
        <w:t>Tout progrès concernant l’éventuelle adoption d’une “structure de compensation” est subordonné au recrutement du consultant dont il est question au paragraphe 17, dont le mandat comprendra une analyse détaillée des incidences d’une telle structure pour toutes les transactions portant sur les taxes du PCT entre les offices récepteurs, les administrations chargées de la recherche internationale et le Bureau international.</w:t>
      </w:r>
    </w:p>
    <w:p w:rsidR="00027E0D" w:rsidRPr="00833D68" w:rsidRDefault="00027E0D" w:rsidP="00027E0D">
      <w:pPr>
        <w:pStyle w:val="ONUMFS"/>
        <w:numPr>
          <w:ilvl w:val="0"/>
          <w:numId w:val="3"/>
        </w:numPr>
        <w:rPr>
          <w:lang w:val="fr-FR"/>
        </w:rPr>
      </w:pPr>
      <w:r w:rsidRPr="00833D68">
        <w:rPr>
          <w:lang w:val="fr-FR"/>
        </w:rPr>
        <w:t>Le Bureau international utilisera les résultats de cette analyse pour soumettre au groupe de travail à sa session de 2017, une proposition sur la question de savoir s’il convient ou non d’adopter une telle structure de compensation.</w:t>
      </w:r>
    </w:p>
    <w:p w:rsidR="00027E0D" w:rsidRPr="00833D68" w:rsidRDefault="00027E0D" w:rsidP="00027E0D">
      <w:pPr>
        <w:pStyle w:val="ONUMFS"/>
        <w:numPr>
          <w:ilvl w:val="0"/>
          <w:numId w:val="3"/>
        </w:numPr>
        <w:ind w:left="5533"/>
        <w:rPr>
          <w:i/>
          <w:lang w:val="fr-FR"/>
        </w:rPr>
      </w:pPr>
      <w:r w:rsidRPr="00833D68">
        <w:rPr>
          <w:i/>
          <w:lang w:val="fr-FR"/>
        </w:rPr>
        <w:t>Le groupe de travail est invité à prendre note du contenu du présent document.</w:t>
      </w:r>
    </w:p>
    <w:p w:rsidR="00027E0D" w:rsidRPr="00833D68" w:rsidRDefault="00027E0D" w:rsidP="00B17F92">
      <w:pPr>
        <w:rPr>
          <w:lang w:val="fr-FR"/>
        </w:rPr>
      </w:pPr>
    </w:p>
    <w:p w:rsidR="00027E0D" w:rsidRPr="00833D68" w:rsidRDefault="00027E0D" w:rsidP="00B17F92">
      <w:pPr>
        <w:rPr>
          <w:lang w:val="fr-FR"/>
        </w:rPr>
      </w:pPr>
    </w:p>
    <w:p w:rsidR="00084DAE" w:rsidRPr="000A6AA6" w:rsidRDefault="00027E0D" w:rsidP="00D77565">
      <w:pPr>
        <w:pStyle w:val="ONUME"/>
        <w:numPr>
          <w:ilvl w:val="0"/>
          <w:numId w:val="0"/>
        </w:numPr>
        <w:ind w:left="5533"/>
        <w:rPr>
          <w:lang w:val="fr-FR"/>
        </w:rPr>
      </w:pPr>
      <w:r w:rsidRPr="00833D68">
        <w:rPr>
          <w:lang w:val="fr-FR"/>
        </w:rPr>
        <w:t>[Fin du document]</w:t>
      </w:r>
    </w:p>
    <w:sectPr w:rsidR="00084DAE" w:rsidRPr="000A6AA6" w:rsidSect="00D77565">
      <w:headerReference w:type="default" r:id="rId14"/>
      <w:headerReference w:type="first" r:id="rId15"/>
      <w:footerReference w:type="first" r:id="rId16"/>
      <w:pgSz w:w="11906" w:h="16838"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A6" w:rsidRDefault="000A6AA6">
      <w:r>
        <w:separator/>
      </w:r>
    </w:p>
    <w:p w:rsidR="000A6AA6" w:rsidRDefault="000A6AA6"/>
  </w:endnote>
  <w:endnote w:type="continuationSeparator" w:id="0">
    <w:p w:rsidR="000A6AA6" w:rsidRDefault="000A6AA6" w:rsidP="003B38C1">
      <w:r>
        <w:separator/>
      </w:r>
    </w:p>
    <w:p w:rsidR="000A6AA6" w:rsidRPr="003B38C1" w:rsidRDefault="000A6AA6" w:rsidP="003B38C1">
      <w:pPr>
        <w:spacing w:after="60"/>
        <w:rPr>
          <w:sz w:val="17"/>
        </w:rPr>
      </w:pPr>
      <w:r>
        <w:rPr>
          <w:sz w:val="17"/>
        </w:rPr>
        <w:t>[Endnote continued from previous page]</w:t>
      </w:r>
    </w:p>
    <w:p w:rsidR="000A6AA6" w:rsidRDefault="000A6AA6"/>
  </w:endnote>
  <w:endnote w:type="continuationNotice" w:id="1">
    <w:p w:rsidR="000A6AA6" w:rsidRPr="003B38C1" w:rsidRDefault="000A6AA6" w:rsidP="003B38C1">
      <w:pPr>
        <w:spacing w:before="60"/>
        <w:jc w:val="right"/>
        <w:rPr>
          <w:sz w:val="17"/>
          <w:szCs w:val="17"/>
        </w:rPr>
      </w:pPr>
      <w:r w:rsidRPr="003B38C1">
        <w:rPr>
          <w:sz w:val="17"/>
          <w:szCs w:val="17"/>
        </w:rPr>
        <w:t>[Endnote continued on next page]</w:t>
      </w:r>
    </w:p>
    <w:p w:rsidR="000A6AA6" w:rsidRDefault="000A6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C2" w:rsidRPr="0013538F" w:rsidRDefault="0057339E" w:rsidP="0013538F">
    <w:pPr>
      <w:pStyle w:val="Footer"/>
      <w:tabs>
        <w:tab w:val="clear" w:pos="4320"/>
        <w:tab w:val="clear" w:pos="8640"/>
        <w:tab w:val="right" w:pos="8504"/>
      </w:tabs>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A6" w:rsidRDefault="000A6AA6">
      <w:r>
        <w:separator/>
      </w:r>
    </w:p>
    <w:p w:rsidR="000A6AA6" w:rsidRDefault="000A6AA6"/>
  </w:footnote>
  <w:footnote w:type="continuationSeparator" w:id="0">
    <w:p w:rsidR="000A6AA6" w:rsidRDefault="000A6AA6" w:rsidP="008B60B2">
      <w:r>
        <w:separator/>
      </w:r>
    </w:p>
    <w:p w:rsidR="000A6AA6" w:rsidRPr="00ED77FB" w:rsidRDefault="000A6AA6" w:rsidP="008B60B2">
      <w:pPr>
        <w:spacing w:after="60"/>
        <w:rPr>
          <w:sz w:val="17"/>
          <w:szCs w:val="17"/>
        </w:rPr>
      </w:pPr>
      <w:r w:rsidRPr="00ED77FB">
        <w:rPr>
          <w:sz w:val="17"/>
          <w:szCs w:val="17"/>
        </w:rPr>
        <w:t>[Footnote continued from previous page]</w:t>
      </w:r>
    </w:p>
    <w:p w:rsidR="000A6AA6" w:rsidRDefault="000A6AA6"/>
  </w:footnote>
  <w:footnote w:type="continuationNotice" w:id="1">
    <w:p w:rsidR="000A6AA6" w:rsidRPr="00ED77FB" w:rsidRDefault="000A6AA6" w:rsidP="008B60B2">
      <w:pPr>
        <w:spacing w:before="60"/>
        <w:jc w:val="right"/>
        <w:rPr>
          <w:sz w:val="17"/>
          <w:szCs w:val="17"/>
        </w:rPr>
      </w:pPr>
      <w:r w:rsidRPr="00ED77FB">
        <w:rPr>
          <w:sz w:val="17"/>
          <w:szCs w:val="17"/>
        </w:rPr>
        <w:t>[Footnote continued on next page]</w:t>
      </w:r>
    </w:p>
    <w:p w:rsidR="000A6AA6" w:rsidRDefault="000A6A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A6" w:rsidRDefault="000A6AA6">
    <w:pPr>
      <w:pStyle w:val="Header"/>
    </w:pPr>
  </w:p>
  <w:p w:rsidR="000A6AA6" w:rsidRDefault="000A6A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AA6" w:rsidRPr="00D53E8E" w:rsidRDefault="000A6AA6" w:rsidP="00451F50">
    <w:pPr>
      <w:jc w:val="right"/>
      <w:rPr>
        <w:lang w:val="fr-CH"/>
      </w:rPr>
    </w:pPr>
    <w:r w:rsidRPr="00D53E8E">
      <w:rPr>
        <w:lang w:val="fr-CH"/>
      </w:rPr>
      <w:t>WO/PBC/2</w:t>
    </w:r>
    <w:r>
      <w:rPr>
        <w:lang w:val="fr-CH"/>
      </w:rPr>
      <w:t>5</w:t>
    </w:r>
    <w:r w:rsidRPr="00D53E8E">
      <w:rPr>
        <w:lang w:val="fr-CH"/>
      </w:rPr>
      <w:t>/</w:t>
    </w:r>
    <w:r>
      <w:rPr>
        <w:lang w:val="fr-CH"/>
      </w:rPr>
      <w:t>20</w:t>
    </w:r>
  </w:p>
  <w:p w:rsidR="000A6AA6" w:rsidRPr="00D53E8E" w:rsidRDefault="000A6AA6" w:rsidP="00451F50">
    <w:pPr>
      <w:jc w:val="right"/>
      <w:rPr>
        <w:lang w:val="fr-CH"/>
      </w:rPr>
    </w:pPr>
    <w:proofErr w:type="gramStart"/>
    <w:r>
      <w:rPr>
        <w:lang w:val="fr-CH"/>
      </w:rPr>
      <w:t>p</w:t>
    </w:r>
    <w:r w:rsidRPr="00D53E8E">
      <w:rPr>
        <w:lang w:val="fr-CH"/>
      </w:rPr>
      <w:t>age</w:t>
    </w:r>
    <w:proofErr w:type="gramEnd"/>
    <w:r>
      <w:rPr>
        <w:lang w:val="fr-CH"/>
      </w:rPr>
      <w:t> </w:t>
    </w:r>
    <w:r>
      <w:fldChar w:fldCharType="begin"/>
    </w:r>
    <w:r w:rsidRPr="00D53E8E">
      <w:rPr>
        <w:lang w:val="fr-CH"/>
      </w:rPr>
      <w:instrText xml:space="preserve"> PAGE  \* MERGEFORMAT </w:instrText>
    </w:r>
    <w:r>
      <w:fldChar w:fldCharType="separate"/>
    </w:r>
    <w:r w:rsidR="0057339E">
      <w:rPr>
        <w:noProof/>
        <w:lang w:val="fr-CH"/>
      </w:rPr>
      <w:t>3</w:t>
    </w:r>
    <w:r>
      <w:fldChar w:fldCharType="end"/>
    </w:r>
  </w:p>
  <w:p w:rsidR="000A6AA6" w:rsidRPr="00451F50" w:rsidRDefault="000A6AA6"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65" w:rsidRPr="00D53E8E" w:rsidRDefault="00D77565" w:rsidP="00D77565">
    <w:pPr>
      <w:jc w:val="right"/>
      <w:rPr>
        <w:lang w:val="fr-CH"/>
      </w:rPr>
    </w:pPr>
    <w:r w:rsidRPr="00D53E8E">
      <w:rPr>
        <w:lang w:val="fr-CH"/>
      </w:rPr>
      <w:t>WO/PBC/2</w:t>
    </w:r>
    <w:r>
      <w:rPr>
        <w:lang w:val="fr-CH"/>
      </w:rPr>
      <w:t>5</w:t>
    </w:r>
    <w:r w:rsidRPr="00D53E8E">
      <w:rPr>
        <w:lang w:val="fr-CH"/>
      </w:rPr>
      <w:t>/</w:t>
    </w:r>
    <w:r>
      <w:rPr>
        <w:lang w:val="fr-CH"/>
      </w:rPr>
      <w:t>20</w:t>
    </w:r>
  </w:p>
  <w:p w:rsidR="00D77565" w:rsidRPr="00D53E8E" w:rsidRDefault="00D77565" w:rsidP="00D77565">
    <w:pPr>
      <w:jc w:val="right"/>
      <w:rPr>
        <w:lang w:val="fr-CH"/>
      </w:rPr>
    </w:pPr>
    <w:r>
      <w:rPr>
        <w:lang w:val="fr-CH"/>
      </w:rPr>
      <w:t>Annexe, p</w:t>
    </w:r>
    <w:r w:rsidRPr="00D53E8E">
      <w:rPr>
        <w:lang w:val="fr-CH"/>
      </w:rPr>
      <w:t>age</w:t>
    </w:r>
    <w:r>
      <w:rPr>
        <w:lang w:val="fr-CH"/>
      </w:rPr>
      <w:t> </w:t>
    </w:r>
    <w:r>
      <w:fldChar w:fldCharType="begin"/>
    </w:r>
    <w:r w:rsidRPr="00D53E8E">
      <w:rPr>
        <w:lang w:val="fr-CH"/>
      </w:rPr>
      <w:instrText xml:space="preserve"> PAGE  \* MERGEFORMAT </w:instrText>
    </w:r>
    <w:r>
      <w:fldChar w:fldCharType="separate"/>
    </w:r>
    <w:r w:rsidR="0057339E">
      <w:rPr>
        <w:noProof/>
        <w:lang w:val="fr-CH"/>
      </w:rPr>
      <w:t>7</w:t>
    </w:r>
    <w:r>
      <w:fldChar w:fldCharType="end"/>
    </w:r>
  </w:p>
  <w:p w:rsidR="00D77565" w:rsidRPr="00451F50" w:rsidRDefault="00D77565" w:rsidP="00D77565">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65" w:rsidRPr="00D53E8E" w:rsidRDefault="00D77565" w:rsidP="00D77565">
    <w:pPr>
      <w:jc w:val="right"/>
      <w:rPr>
        <w:lang w:val="fr-CH"/>
      </w:rPr>
    </w:pPr>
    <w:r w:rsidRPr="00D53E8E">
      <w:rPr>
        <w:lang w:val="fr-CH"/>
      </w:rPr>
      <w:t>WO/PBC/2</w:t>
    </w:r>
    <w:r>
      <w:rPr>
        <w:lang w:val="fr-CH"/>
      </w:rPr>
      <w:t>5</w:t>
    </w:r>
    <w:r w:rsidRPr="00D53E8E">
      <w:rPr>
        <w:lang w:val="fr-CH"/>
      </w:rPr>
      <w:t>/</w:t>
    </w:r>
    <w:r>
      <w:rPr>
        <w:lang w:val="fr-CH"/>
      </w:rPr>
      <w:t>20</w:t>
    </w:r>
  </w:p>
  <w:p w:rsidR="00D77565" w:rsidRPr="00D53E8E" w:rsidRDefault="00D77565" w:rsidP="00D77565">
    <w:pPr>
      <w:jc w:val="right"/>
      <w:rPr>
        <w:lang w:val="fr-CH"/>
      </w:rPr>
    </w:pPr>
    <w:r>
      <w:rPr>
        <w:lang w:val="fr-CH"/>
      </w:rPr>
      <w:t>ANNEXE</w:t>
    </w:r>
  </w:p>
  <w:p w:rsidR="00D77565" w:rsidRPr="00451F50" w:rsidRDefault="00D77565" w:rsidP="00D77565">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828F01E"/>
    <w:lvl w:ilvl="0">
      <w:start w:val="1"/>
      <w:numFmt w:val="decimal"/>
      <w:lvlRestart w:val="0"/>
      <w:pStyle w:val="ONUME"/>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5F3094"/>
    <w:multiLevelType w:val="hybridMultilevel"/>
    <w:tmpl w:val="76E0E90E"/>
    <w:lvl w:ilvl="0" w:tplc="2EBA1770">
      <w:start w:val="1"/>
      <w:numFmt w:val="lowerRoman"/>
      <w:lvlText w:val="(%1)"/>
      <w:lvlJc w:val="left"/>
      <w:pPr>
        <w:ind w:left="7650" w:hanging="720"/>
      </w:pPr>
      <w:rPr>
        <w:rFonts w:hint="default"/>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2">
    <w:nsid w:val="1FFB19A2"/>
    <w:multiLevelType w:val="multilevel"/>
    <w:tmpl w:val="E744E3C0"/>
    <w:lvl w:ilvl="0">
      <w:start w:val="1"/>
      <w:numFmt w:val="decimal"/>
      <w:lvlRestart w:val="0"/>
      <w:pStyle w:val="ONUMFS"/>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BF61E64"/>
    <w:multiLevelType w:val="hybridMultilevel"/>
    <w:tmpl w:val="4128FA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015881"/>
    <w:multiLevelType w:val="hybridMultilevel"/>
    <w:tmpl w:val="B40A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256B9"/>
    <w:multiLevelType w:val="hybridMultilevel"/>
    <w:tmpl w:val="A4B4356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8">
    <w:nsid w:val="5E203ED3"/>
    <w:multiLevelType w:val="hybridMultilevel"/>
    <w:tmpl w:val="BCAEEC64"/>
    <w:lvl w:ilvl="0" w:tplc="0409000F">
      <w:start w:val="1"/>
      <w:numFmt w:val="decimal"/>
      <w:lvlText w:val="%1."/>
      <w:lvlJc w:val="left"/>
      <w:pPr>
        <w:tabs>
          <w:tab w:val="num" w:pos="709"/>
        </w:tabs>
        <w:ind w:left="142"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7C22B09"/>
    <w:multiLevelType w:val="hybridMultilevel"/>
    <w:tmpl w:val="8BFCC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4"/>
  </w:num>
  <w:num w:numId="11">
    <w:abstractNumId w:val="6"/>
  </w:num>
  <w:num w:numId="12">
    <w:abstractNumId w:val="9"/>
  </w:num>
  <w:num w:numId="13">
    <w:abstractNumId w:val="7"/>
  </w:num>
  <w:num w:numId="14">
    <w:abstractNumId w:val="1"/>
  </w:num>
  <w:num w:numId="15">
    <w:abstractNumId w:val="0"/>
  </w:num>
  <w:num w:numId="16">
    <w:abstractNumId w:val="2"/>
  </w:num>
  <w:num w:numId="17">
    <w:abstractNumId w:val="10"/>
  </w:num>
  <w:num w:numId="18">
    <w:abstractNumId w:val="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Gotthainer">
    <w15:presenceInfo w15:providerId="Windows Live" w15:userId="1ec568449d1c1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8E"/>
    <w:rsid w:val="00007267"/>
    <w:rsid w:val="000072DB"/>
    <w:rsid w:val="000179D5"/>
    <w:rsid w:val="00023B7E"/>
    <w:rsid w:val="00025C8F"/>
    <w:rsid w:val="00027E0D"/>
    <w:rsid w:val="00033039"/>
    <w:rsid w:val="000332F6"/>
    <w:rsid w:val="0003439B"/>
    <w:rsid w:val="0004193B"/>
    <w:rsid w:val="00043CAA"/>
    <w:rsid w:val="000547B2"/>
    <w:rsid w:val="00061194"/>
    <w:rsid w:val="00070A81"/>
    <w:rsid w:val="00075432"/>
    <w:rsid w:val="00076249"/>
    <w:rsid w:val="00081705"/>
    <w:rsid w:val="000845D2"/>
    <w:rsid w:val="00084DAE"/>
    <w:rsid w:val="00093C38"/>
    <w:rsid w:val="000968ED"/>
    <w:rsid w:val="000A4558"/>
    <w:rsid w:val="000A6294"/>
    <w:rsid w:val="000A6AA6"/>
    <w:rsid w:val="000B4B3C"/>
    <w:rsid w:val="000B5294"/>
    <w:rsid w:val="000B5AEC"/>
    <w:rsid w:val="000C18FC"/>
    <w:rsid w:val="000C1CCB"/>
    <w:rsid w:val="000C2142"/>
    <w:rsid w:val="000E017A"/>
    <w:rsid w:val="000E1597"/>
    <w:rsid w:val="000E6BEC"/>
    <w:rsid w:val="000E6DA5"/>
    <w:rsid w:val="000E71A6"/>
    <w:rsid w:val="000E77FC"/>
    <w:rsid w:val="000F5E56"/>
    <w:rsid w:val="000F7DB3"/>
    <w:rsid w:val="00106145"/>
    <w:rsid w:val="0011003C"/>
    <w:rsid w:val="00111061"/>
    <w:rsid w:val="0011536E"/>
    <w:rsid w:val="00116B2A"/>
    <w:rsid w:val="0012100E"/>
    <w:rsid w:val="00122E16"/>
    <w:rsid w:val="001362EE"/>
    <w:rsid w:val="001378A5"/>
    <w:rsid w:val="00154013"/>
    <w:rsid w:val="00160CA8"/>
    <w:rsid w:val="00161CC0"/>
    <w:rsid w:val="0016472D"/>
    <w:rsid w:val="00166CB7"/>
    <w:rsid w:val="00172B53"/>
    <w:rsid w:val="001832A6"/>
    <w:rsid w:val="001850F1"/>
    <w:rsid w:val="001A7224"/>
    <w:rsid w:val="001B3E2D"/>
    <w:rsid w:val="001D1524"/>
    <w:rsid w:val="001D1CC3"/>
    <w:rsid w:val="001E0758"/>
    <w:rsid w:val="001E2D62"/>
    <w:rsid w:val="001E55C2"/>
    <w:rsid w:val="001E753C"/>
    <w:rsid w:val="001F4EDD"/>
    <w:rsid w:val="00204E34"/>
    <w:rsid w:val="002123B1"/>
    <w:rsid w:val="00213E6A"/>
    <w:rsid w:val="00213FCA"/>
    <w:rsid w:val="00214685"/>
    <w:rsid w:val="002147BA"/>
    <w:rsid w:val="002219DE"/>
    <w:rsid w:val="00221FAB"/>
    <w:rsid w:val="00231924"/>
    <w:rsid w:val="00233436"/>
    <w:rsid w:val="00233EB7"/>
    <w:rsid w:val="002372DF"/>
    <w:rsid w:val="002430E5"/>
    <w:rsid w:val="00247746"/>
    <w:rsid w:val="00247A90"/>
    <w:rsid w:val="0025333B"/>
    <w:rsid w:val="00254E54"/>
    <w:rsid w:val="00260530"/>
    <w:rsid w:val="002634C4"/>
    <w:rsid w:val="0026751B"/>
    <w:rsid w:val="002701CB"/>
    <w:rsid w:val="00271B4F"/>
    <w:rsid w:val="002726FF"/>
    <w:rsid w:val="00272728"/>
    <w:rsid w:val="00274D14"/>
    <w:rsid w:val="002757AB"/>
    <w:rsid w:val="002765A0"/>
    <w:rsid w:val="00280391"/>
    <w:rsid w:val="00290B10"/>
    <w:rsid w:val="00291E55"/>
    <w:rsid w:val="0029280A"/>
    <w:rsid w:val="002928D3"/>
    <w:rsid w:val="00295444"/>
    <w:rsid w:val="002A464A"/>
    <w:rsid w:val="002B64B4"/>
    <w:rsid w:val="002C1DA4"/>
    <w:rsid w:val="002C5B21"/>
    <w:rsid w:val="002C5FA4"/>
    <w:rsid w:val="002D3E88"/>
    <w:rsid w:val="002E2236"/>
    <w:rsid w:val="002E6414"/>
    <w:rsid w:val="002F1FE6"/>
    <w:rsid w:val="002F2F39"/>
    <w:rsid w:val="002F32EC"/>
    <w:rsid w:val="002F3631"/>
    <w:rsid w:val="002F4E68"/>
    <w:rsid w:val="002F74A0"/>
    <w:rsid w:val="00306C64"/>
    <w:rsid w:val="00306C77"/>
    <w:rsid w:val="00312F7F"/>
    <w:rsid w:val="00320928"/>
    <w:rsid w:val="00331945"/>
    <w:rsid w:val="003339F8"/>
    <w:rsid w:val="00337C8C"/>
    <w:rsid w:val="0034223A"/>
    <w:rsid w:val="003443F4"/>
    <w:rsid w:val="003467F3"/>
    <w:rsid w:val="00350D4F"/>
    <w:rsid w:val="00361450"/>
    <w:rsid w:val="00364A74"/>
    <w:rsid w:val="003673CF"/>
    <w:rsid w:val="0037284E"/>
    <w:rsid w:val="003745A7"/>
    <w:rsid w:val="003845C1"/>
    <w:rsid w:val="00390026"/>
    <w:rsid w:val="00395C62"/>
    <w:rsid w:val="0039761B"/>
    <w:rsid w:val="003A05CC"/>
    <w:rsid w:val="003A6F89"/>
    <w:rsid w:val="003A7DA8"/>
    <w:rsid w:val="003B19FD"/>
    <w:rsid w:val="003B38C1"/>
    <w:rsid w:val="003B7094"/>
    <w:rsid w:val="003C54B1"/>
    <w:rsid w:val="003C5B9F"/>
    <w:rsid w:val="003D3CE3"/>
    <w:rsid w:val="003E3DED"/>
    <w:rsid w:val="003E3EB5"/>
    <w:rsid w:val="003F1AAB"/>
    <w:rsid w:val="003F2C12"/>
    <w:rsid w:val="003F379D"/>
    <w:rsid w:val="003F423B"/>
    <w:rsid w:val="003F6FDC"/>
    <w:rsid w:val="004011A4"/>
    <w:rsid w:val="0040281A"/>
    <w:rsid w:val="0042142C"/>
    <w:rsid w:val="00421D67"/>
    <w:rsid w:val="00423E3E"/>
    <w:rsid w:val="004267A5"/>
    <w:rsid w:val="00427AF4"/>
    <w:rsid w:val="00427F62"/>
    <w:rsid w:val="00435C98"/>
    <w:rsid w:val="00440173"/>
    <w:rsid w:val="00451F50"/>
    <w:rsid w:val="0046084C"/>
    <w:rsid w:val="004647DA"/>
    <w:rsid w:val="00474062"/>
    <w:rsid w:val="004754AC"/>
    <w:rsid w:val="00477D6B"/>
    <w:rsid w:val="00480621"/>
    <w:rsid w:val="00487E1C"/>
    <w:rsid w:val="00495BF9"/>
    <w:rsid w:val="004968D4"/>
    <w:rsid w:val="004A0442"/>
    <w:rsid w:val="004A09BD"/>
    <w:rsid w:val="004A1350"/>
    <w:rsid w:val="004A198E"/>
    <w:rsid w:val="004A6376"/>
    <w:rsid w:val="004B3B65"/>
    <w:rsid w:val="004B76E4"/>
    <w:rsid w:val="004C1018"/>
    <w:rsid w:val="004C56EE"/>
    <w:rsid w:val="004D028A"/>
    <w:rsid w:val="004E3271"/>
    <w:rsid w:val="004E38D6"/>
    <w:rsid w:val="004E6B81"/>
    <w:rsid w:val="004F6BF4"/>
    <w:rsid w:val="005019FF"/>
    <w:rsid w:val="00512F09"/>
    <w:rsid w:val="00515FA8"/>
    <w:rsid w:val="005179AE"/>
    <w:rsid w:val="005261ED"/>
    <w:rsid w:val="0053057A"/>
    <w:rsid w:val="00532818"/>
    <w:rsid w:val="00535BA8"/>
    <w:rsid w:val="00536832"/>
    <w:rsid w:val="005556DD"/>
    <w:rsid w:val="00560A29"/>
    <w:rsid w:val="00561298"/>
    <w:rsid w:val="005615EC"/>
    <w:rsid w:val="00565C54"/>
    <w:rsid w:val="005725F2"/>
    <w:rsid w:val="00572797"/>
    <w:rsid w:val="0057339E"/>
    <w:rsid w:val="005736AA"/>
    <w:rsid w:val="00577C05"/>
    <w:rsid w:val="00583969"/>
    <w:rsid w:val="005A2E04"/>
    <w:rsid w:val="005A3271"/>
    <w:rsid w:val="005C241F"/>
    <w:rsid w:val="005C3BAF"/>
    <w:rsid w:val="005C3C72"/>
    <w:rsid w:val="005C5A55"/>
    <w:rsid w:val="005C6649"/>
    <w:rsid w:val="005C736F"/>
    <w:rsid w:val="005D069B"/>
    <w:rsid w:val="005D13B0"/>
    <w:rsid w:val="005D1415"/>
    <w:rsid w:val="005D1900"/>
    <w:rsid w:val="005D58BF"/>
    <w:rsid w:val="005D77AA"/>
    <w:rsid w:val="005E2804"/>
    <w:rsid w:val="005F39E9"/>
    <w:rsid w:val="005F5C25"/>
    <w:rsid w:val="005F6C09"/>
    <w:rsid w:val="0060181E"/>
    <w:rsid w:val="00604E74"/>
    <w:rsid w:val="00605827"/>
    <w:rsid w:val="00605EB6"/>
    <w:rsid w:val="00626CB4"/>
    <w:rsid w:val="00632B0E"/>
    <w:rsid w:val="006361EC"/>
    <w:rsid w:val="00637C9B"/>
    <w:rsid w:val="00646050"/>
    <w:rsid w:val="00646A40"/>
    <w:rsid w:val="00646D27"/>
    <w:rsid w:val="00646E14"/>
    <w:rsid w:val="00651E69"/>
    <w:rsid w:val="00656E3B"/>
    <w:rsid w:val="00657768"/>
    <w:rsid w:val="00663C5F"/>
    <w:rsid w:val="00663E6A"/>
    <w:rsid w:val="0066611B"/>
    <w:rsid w:val="00667A73"/>
    <w:rsid w:val="00667ED6"/>
    <w:rsid w:val="006713CA"/>
    <w:rsid w:val="006723A1"/>
    <w:rsid w:val="00676C5C"/>
    <w:rsid w:val="00686F5D"/>
    <w:rsid w:val="00696441"/>
    <w:rsid w:val="00696ABA"/>
    <w:rsid w:val="006976C2"/>
    <w:rsid w:val="00697924"/>
    <w:rsid w:val="006A059C"/>
    <w:rsid w:val="006A0BE5"/>
    <w:rsid w:val="006A3D8F"/>
    <w:rsid w:val="006B0AD8"/>
    <w:rsid w:val="006B3002"/>
    <w:rsid w:val="006B5E8F"/>
    <w:rsid w:val="006C0672"/>
    <w:rsid w:val="006C1AC6"/>
    <w:rsid w:val="006C1B86"/>
    <w:rsid w:val="006C31B8"/>
    <w:rsid w:val="006C31BF"/>
    <w:rsid w:val="006C7DA3"/>
    <w:rsid w:val="006D18D1"/>
    <w:rsid w:val="006D65AD"/>
    <w:rsid w:val="006E1809"/>
    <w:rsid w:val="006E358C"/>
    <w:rsid w:val="006E44AC"/>
    <w:rsid w:val="006F104A"/>
    <w:rsid w:val="006F62CF"/>
    <w:rsid w:val="0070011E"/>
    <w:rsid w:val="0070655D"/>
    <w:rsid w:val="00715BDF"/>
    <w:rsid w:val="00725932"/>
    <w:rsid w:val="00731609"/>
    <w:rsid w:val="0073297A"/>
    <w:rsid w:val="00734D05"/>
    <w:rsid w:val="0074262C"/>
    <w:rsid w:val="00743D3D"/>
    <w:rsid w:val="0074464A"/>
    <w:rsid w:val="00747CF8"/>
    <w:rsid w:val="00754E87"/>
    <w:rsid w:val="00755A9A"/>
    <w:rsid w:val="007579C2"/>
    <w:rsid w:val="00770963"/>
    <w:rsid w:val="00774B40"/>
    <w:rsid w:val="00782055"/>
    <w:rsid w:val="00790A81"/>
    <w:rsid w:val="007940B9"/>
    <w:rsid w:val="007A396E"/>
    <w:rsid w:val="007B1056"/>
    <w:rsid w:val="007C002F"/>
    <w:rsid w:val="007C032F"/>
    <w:rsid w:val="007C5643"/>
    <w:rsid w:val="007D1613"/>
    <w:rsid w:val="007D4BDB"/>
    <w:rsid w:val="007D673B"/>
    <w:rsid w:val="007E146B"/>
    <w:rsid w:val="007F2586"/>
    <w:rsid w:val="007F38D8"/>
    <w:rsid w:val="00801837"/>
    <w:rsid w:val="00802F1E"/>
    <w:rsid w:val="008058BD"/>
    <w:rsid w:val="00810570"/>
    <w:rsid w:val="008118D8"/>
    <w:rsid w:val="00811D34"/>
    <w:rsid w:val="00826A4E"/>
    <w:rsid w:val="0084081C"/>
    <w:rsid w:val="00857427"/>
    <w:rsid w:val="00865F73"/>
    <w:rsid w:val="00870210"/>
    <w:rsid w:val="00871CB2"/>
    <w:rsid w:val="00872654"/>
    <w:rsid w:val="008732D9"/>
    <w:rsid w:val="00873EE7"/>
    <w:rsid w:val="00880101"/>
    <w:rsid w:val="00881008"/>
    <w:rsid w:val="00887969"/>
    <w:rsid w:val="008926C0"/>
    <w:rsid w:val="008939C5"/>
    <w:rsid w:val="008965B5"/>
    <w:rsid w:val="008A067A"/>
    <w:rsid w:val="008B06F4"/>
    <w:rsid w:val="008B1BF4"/>
    <w:rsid w:val="008B2CC1"/>
    <w:rsid w:val="008B4B05"/>
    <w:rsid w:val="008B60B2"/>
    <w:rsid w:val="008C0121"/>
    <w:rsid w:val="008C108E"/>
    <w:rsid w:val="008C1209"/>
    <w:rsid w:val="008D0666"/>
    <w:rsid w:val="008D3286"/>
    <w:rsid w:val="008D7A97"/>
    <w:rsid w:val="008F7091"/>
    <w:rsid w:val="0090462F"/>
    <w:rsid w:val="00906BD5"/>
    <w:rsid w:val="0090731E"/>
    <w:rsid w:val="00911435"/>
    <w:rsid w:val="00911A46"/>
    <w:rsid w:val="009121C0"/>
    <w:rsid w:val="00914C34"/>
    <w:rsid w:val="009150A7"/>
    <w:rsid w:val="00916EE2"/>
    <w:rsid w:val="00921D5A"/>
    <w:rsid w:val="009237E5"/>
    <w:rsid w:val="009404F2"/>
    <w:rsid w:val="009413AF"/>
    <w:rsid w:val="009452F9"/>
    <w:rsid w:val="00953096"/>
    <w:rsid w:val="009547C0"/>
    <w:rsid w:val="009551D9"/>
    <w:rsid w:val="00960C46"/>
    <w:rsid w:val="00966A22"/>
    <w:rsid w:val="0096722F"/>
    <w:rsid w:val="009742BA"/>
    <w:rsid w:val="00976DFC"/>
    <w:rsid w:val="00980843"/>
    <w:rsid w:val="0098575F"/>
    <w:rsid w:val="00992F8B"/>
    <w:rsid w:val="00994A05"/>
    <w:rsid w:val="00996B27"/>
    <w:rsid w:val="009973E9"/>
    <w:rsid w:val="009A0CAD"/>
    <w:rsid w:val="009A12CD"/>
    <w:rsid w:val="009A4F05"/>
    <w:rsid w:val="009B079B"/>
    <w:rsid w:val="009B0A9C"/>
    <w:rsid w:val="009B1238"/>
    <w:rsid w:val="009B1896"/>
    <w:rsid w:val="009B36E8"/>
    <w:rsid w:val="009C4E9A"/>
    <w:rsid w:val="009D1B73"/>
    <w:rsid w:val="009D5265"/>
    <w:rsid w:val="009D5A85"/>
    <w:rsid w:val="009E1451"/>
    <w:rsid w:val="009E2791"/>
    <w:rsid w:val="009E3F6F"/>
    <w:rsid w:val="009E3FEF"/>
    <w:rsid w:val="009E747C"/>
    <w:rsid w:val="009F3F59"/>
    <w:rsid w:val="009F499F"/>
    <w:rsid w:val="00A13D61"/>
    <w:rsid w:val="00A143E8"/>
    <w:rsid w:val="00A172D2"/>
    <w:rsid w:val="00A20ECC"/>
    <w:rsid w:val="00A227F3"/>
    <w:rsid w:val="00A24CF0"/>
    <w:rsid w:val="00A37F80"/>
    <w:rsid w:val="00A406FA"/>
    <w:rsid w:val="00A42A8F"/>
    <w:rsid w:val="00A42DAF"/>
    <w:rsid w:val="00A42FF6"/>
    <w:rsid w:val="00A439E2"/>
    <w:rsid w:val="00A43D0F"/>
    <w:rsid w:val="00A45BD8"/>
    <w:rsid w:val="00A554D5"/>
    <w:rsid w:val="00A673EE"/>
    <w:rsid w:val="00A762F2"/>
    <w:rsid w:val="00A76DBD"/>
    <w:rsid w:val="00A77461"/>
    <w:rsid w:val="00A839D7"/>
    <w:rsid w:val="00A862CA"/>
    <w:rsid w:val="00A8662C"/>
    <w:rsid w:val="00A869B7"/>
    <w:rsid w:val="00A86FDE"/>
    <w:rsid w:val="00A87DCB"/>
    <w:rsid w:val="00A91A41"/>
    <w:rsid w:val="00A93FB2"/>
    <w:rsid w:val="00A94EFE"/>
    <w:rsid w:val="00AA205F"/>
    <w:rsid w:val="00AA2EC7"/>
    <w:rsid w:val="00AA4BCE"/>
    <w:rsid w:val="00AA58F5"/>
    <w:rsid w:val="00AB3AD1"/>
    <w:rsid w:val="00AC00A8"/>
    <w:rsid w:val="00AC205C"/>
    <w:rsid w:val="00AC5693"/>
    <w:rsid w:val="00AD017C"/>
    <w:rsid w:val="00AD10E2"/>
    <w:rsid w:val="00AD766B"/>
    <w:rsid w:val="00AE6ED3"/>
    <w:rsid w:val="00AF0709"/>
    <w:rsid w:val="00AF0A6B"/>
    <w:rsid w:val="00AF51C1"/>
    <w:rsid w:val="00B0132C"/>
    <w:rsid w:val="00B04DEE"/>
    <w:rsid w:val="00B05A69"/>
    <w:rsid w:val="00B11C39"/>
    <w:rsid w:val="00B14DC2"/>
    <w:rsid w:val="00B20DC9"/>
    <w:rsid w:val="00B27FA1"/>
    <w:rsid w:val="00B31A46"/>
    <w:rsid w:val="00B46ECE"/>
    <w:rsid w:val="00B46FC1"/>
    <w:rsid w:val="00B502CF"/>
    <w:rsid w:val="00B54613"/>
    <w:rsid w:val="00B55A29"/>
    <w:rsid w:val="00B56A90"/>
    <w:rsid w:val="00B57B3B"/>
    <w:rsid w:val="00B606AF"/>
    <w:rsid w:val="00B64F3F"/>
    <w:rsid w:val="00B71D10"/>
    <w:rsid w:val="00B765B0"/>
    <w:rsid w:val="00B76BFB"/>
    <w:rsid w:val="00B77957"/>
    <w:rsid w:val="00B859DE"/>
    <w:rsid w:val="00B92758"/>
    <w:rsid w:val="00B927B3"/>
    <w:rsid w:val="00B93143"/>
    <w:rsid w:val="00B95032"/>
    <w:rsid w:val="00B9734B"/>
    <w:rsid w:val="00BA2D1B"/>
    <w:rsid w:val="00BA4F0F"/>
    <w:rsid w:val="00BB42E8"/>
    <w:rsid w:val="00BB6A70"/>
    <w:rsid w:val="00BC0021"/>
    <w:rsid w:val="00BC1029"/>
    <w:rsid w:val="00BC32E7"/>
    <w:rsid w:val="00BD5DD6"/>
    <w:rsid w:val="00BE6CAA"/>
    <w:rsid w:val="00BF6FF7"/>
    <w:rsid w:val="00C0136C"/>
    <w:rsid w:val="00C068DD"/>
    <w:rsid w:val="00C11BFE"/>
    <w:rsid w:val="00C35029"/>
    <w:rsid w:val="00C36D41"/>
    <w:rsid w:val="00C41D54"/>
    <w:rsid w:val="00C449FB"/>
    <w:rsid w:val="00C44E82"/>
    <w:rsid w:val="00C4747A"/>
    <w:rsid w:val="00C54360"/>
    <w:rsid w:val="00C56403"/>
    <w:rsid w:val="00C578C5"/>
    <w:rsid w:val="00C600DC"/>
    <w:rsid w:val="00C61230"/>
    <w:rsid w:val="00C65B9C"/>
    <w:rsid w:val="00C6667D"/>
    <w:rsid w:val="00C71B75"/>
    <w:rsid w:val="00C744C1"/>
    <w:rsid w:val="00C7627D"/>
    <w:rsid w:val="00C8020D"/>
    <w:rsid w:val="00C84700"/>
    <w:rsid w:val="00C90B50"/>
    <w:rsid w:val="00C91995"/>
    <w:rsid w:val="00CA05A4"/>
    <w:rsid w:val="00CA4955"/>
    <w:rsid w:val="00CB06EC"/>
    <w:rsid w:val="00CB2D28"/>
    <w:rsid w:val="00CB2FDE"/>
    <w:rsid w:val="00CB58E4"/>
    <w:rsid w:val="00CB7696"/>
    <w:rsid w:val="00CC164A"/>
    <w:rsid w:val="00CC2DF0"/>
    <w:rsid w:val="00CC341F"/>
    <w:rsid w:val="00CC5706"/>
    <w:rsid w:val="00CC707E"/>
    <w:rsid w:val="00CD0A5A"/>
    <w:rsid w:val="00CD0B8F"/>
    <w:rsid w:val="00CD2691"/>
    <w:rsid w:val="00CD49B0"/>
    <w:rsid w:val="00CD6DC3"/>
    <w:rsid w:val="00CE50E3"/>
    <w:rsid w:val="00CE5374"/>
    <w:rsid w:val="00CE555C"/>
    <w:rsid w:val="00CE7ED1"/>
    <w:rsid w:val="00D04697"/>
    <w:rsid w:val="00D122E2"/>
    <w:rsid w:val="00D131BC"/>
    <w:rsid w:val="00D15B74"/>
    <w:rsid w:val="00D1606E"/>
    <w:rsid w:val="00D22DB8"/>
    <w:rsid w:val="00D24FEE"/>
    <w:rsid w:val="00D264D4"/>
    <w:rsid w:val="00D420A9"/>
    <w:rsid w:val="00D43A74"/>
    <w:rsid w:val="00D45252"/>
    <w:rsid w:val="00D4592C"/>
    <w:rsid w:val="00D461B3"/>
    <w:rsid w:val="00D53E8E"/>
    <w:rsid w:val="00D563C5"/>
    <w:rsid w:val="00D57607"/>
    <w:rsid w:val="00D64A11"/>
    <w:rsid w:val="00D6559E"/>
    <w:rsid w:val="00D71B4D"/>
    <w:rsid w:val="00D77565"/>
    <w:rsid w:val="00D84079"/>
    <w:rsid w:val="00D84368"/>
    <w:rsid w:val="00D90467"/>
    <w:rsid w:val="00D90DB2"/>
    <w:rsid w:val="00D93D55"/>
    <w:rsid w:val="00DA1B2F"/>
    <w:rsid w:val="00DB528D"/>
    <w:rsid w:val="00DC095D"/>
    <w:rsid w:val="00DC0DEC"/>
    <w:rsid w:val="00DC6904"/>
    <w:rsid w:val="00DC714F"/>
    <w:rsid w:val="00DD72EB"/>
    <w:rsid w:val="00DE35F8"/>
    <w:rsid w:val="00DE4188"/>
    <w:rsid w:val="00DE56BB"/>
    <w:rsid w:val="00DE73E9"/>
    <w:rsid w:val="00DE77A9"/>
    <w:rsid w:val="00DF33F9"/>
    <w:rsid w:val="00DF44F1"/>
    <w:rsid w:val="00E05933"/>
    <w:rsid w:val="00E07FB1"/>
    <w:rsid w:val="00E112B8"/>
    <w:rsid w:val="00E1252E"/>
    <w:rsid w:val="00E2150E"/>
    <w:rsid w:val="00E2468B"/>
    <w:rsid w:val="00E27A77"/>
    <w:rsid w:val="00E32EEF"/>
    <w:rsid w:val="00E335FE"/>
    <w:rsid w:val="00E36A01"/>
    <w:rsid w:val="00E37350"/>
    <w:rsid w:val="00E43F11"/>
    <w:rsid w:val="00E46819"/>
    <w:rsid w:val="00E4723C"/>
    <w:rsid w:val="00E52842"/>
    <w:rsid w:val="00E55CBB"/>
    <w:rsid w:val="00E603F3"/>
    <w:rsid w:val="00E65E0F"/>
    <w:rsid w:val="00E65E79"/>
    <w:rsid w:val="00E66E62"/>
    <w:rsid w:val="00E71877"/>
    <w:rsid w:val="00E72686"/>
    <w:rsid w:val="00E775F6"/>
    <w:rsid w:val="00E8673A"/>
    <w:rsid w:val="00E87329"/>
    <w:rsid w:val="00E93E4F"/>
    <w:rsid w:val="00E9792A"/>
    <w:rsid w:val="00EA0335"/>
    <w:rsid w:val="00EA29C2"/>
    <w:rsid w:val="00EB0038"/>
    <w:rsid w:val="00EB0EFB"/>
    <w:rsid w:val="00EB339A"/>
    <w:rsid w:val="00EC2FFF"/>
    <w:rsid w:val="00EC4E49"/>
    <w:rsid w:val="00EC619C"/>
    <w:rsid w:val="00ED77FB"/>
    <w:rsid w:val="00EE45FA"/>
    <w:rsid w:val="00EE752F"/>
    <w:rsid w:val="00EF088A"/>
    <w:rsid w:val="00F114F7"/>
    <w:rsid w:val="00F131E9"/>
    <w:rsid w:val="00F15F89"/>
    <w:rsid w:val="00F206D0"/>
    <w:rsid w:val="00F276C8"/>
    <w:rsid w:val="00F367A9"/>
    <w:rsid w:val="00F37826"/>
    <w:rsid w:val="00F434A3"/>
    <w:rsid w:val="00F516DC"/>
    <w:rsid w:val="00F644AB"/>
    <w:rsid w:val="00F66152"/>
    <w:rsid w:val="00F679B2"/>
    <w:rsid w:val="00F730D4"/>
    <w:rsid w:val="00F74E40"/>
    <w:rsid w:val="00FA088F"/>
    <w:rsid w:val="00FA7679"/>
    <w:rsid w:val="00FA7D19"/>
    <w:rsid w:val="00FB5722"/>
    <w:rsid w:val="00FB6B54"/>
    <w:rsid w:val="00FC11EC"/>
    <w:rsid w:val="00FE0037"/>
    <w:rsid w:val="00FE612C"/>
    <w:rsid w:val="00FF03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E8"/>
    <w:rPr>
      <w:rFonts w:ascii="Arial" w:eastAsia="SimSun" w:hAnsi="Arial" w:cs="Arial"/>
      <w:sz w:val="22"/>
    </w:rPr>
  </w:style>
  <w:style w:type="paragraph" w:styleId="Heading1">
    <w:name w:val="heading 1"/>
    <w:basedOn w:val="Normal"/>
    <w:next w:val="Normal"/>
    <w:link w:val="Heading1Char"/>
    <w:qFormat/>
    <w:rsid w:val="00A143E8"/>
    <w:pPr>
      <w:keepNext/>
      <w:spacing w:before="240" w:after="60"/>
      <w:outlineLvl w:val="0"/>
    </w:pPr>
    <w:rPr>
      <w:b/>
      <w:bCs/>
      <w:caps/>
      <w:kern w:val="32"/>
      <w:szCs w:val="32"/>
    </w:rPr>
  </w:style>
  <w:style w:type="paragraph" w:styleId="Heading2">
    <w:name w:val="heading 2"/>
    <w:basedOn w:val="Normal"/>
    <w:next w:val="Normal"/>
    <w:link w:val="Heading2Char"/>
    <w:qFormat/>
    <w:rsid w:val="00A143E8"/>
    <w:pPr>
      <w:keepNext/>
      <w:spacing w:before="240" w:after="60"/>
      <w:outlineLvl w:val="1"/>
    </w:pPr>
    <w:rPr>
      <w:bCs/>
      <w:iCs/>
      <w:caps/>
      <w:szCs w:val="28"/>
    </w:rPr>
  </w:style>
  <w:style w:type="paragraph" w:styleId="Heading3">
    <w:name w:val="heading 3"/>
    <w:basedOn w:val="Normal"/>
    <w:next w:val="Normal"/>
    <w:link w:val="Heading3Char"/>
    <w:qFormat/>
    <w:rsid w:val="00A143E8"/>
    <w:pPr>
      <w:keepNext/>
      <w:spacing w:before="240" w:after="60"/>
      <w:outlineLvl w:val="2"/>
    </w:pPr>
    <w:rPr>
      <w:bCs/>
      <w:szCs w:val="26"/>
      <w:u w:val="single"/>
    </w:rPr>
  </w:style>
  <w:style w:type="paragraph" w:styleId="Heading4">
    <w:name w:val="heading 4"/>
    <w:basedOn w:val="Normal"/>
    <w:next w:val="Normal"/>
    <w:link w:val="Heading4Char"/>
    <w:qFormat/>
    <w:rsid w:val="00A143E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143E8"/>
    <w:pPr>
      <w:ind w:left="5534"/>
    </w:pPr>
  </w:style>
  <w:style w:type="paragraph" w:styleId="BodyText">
    <w:name w:val="Body Text"/>
    <w:basedOn w:val="Normal"/>
    <w:link w:val="BodyTextChar"/>
    <w:rsid w:val="00A143E8"/>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A143E8"/>
    <w:pPr>
      <w:tabs>
        <w:tab w:val="center" w:pos="4320"/>
        <w:tab w:val="right" w:pos="8640"/>
      </w:tabs>
    </w:pPr>
  </w:style>
  <w:style w:type="paragraph" w:styleId="FootnoteText">
    <w:name w:val="footnote text"/>
    <w:basedOn w:val="Normal"/>
    <w:link w:val="FootnoteTextChar"/>
    <w:semiHidden/>
    <w:rsid w:val="00A143E8"/>
    <w:rPr>
      <w:sz w:val="18"/>
    </w:rPr>
  </w:style>
  <w:style w:type="paragraph" w:styleId="Header">
    <w:name w:val="header"/>
    <w:basedOn w:val="Normal"/>
    <w:link w:val="HeaderChar"/>
    <w:uiPriority w:val="99"/>
    <w:rsid w:val="00A143E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A143E8"/>
    <w:pPr>
      <w:numPr>
        <w:numId w:val="15"/>
      </w:numPr>
    </w:pPr>
  </w:style>
  <w:style w:type="paragraph" w:customStyle="1" w:styleId="ONUMFS">
    <w:name w:val="ONUM FS"/>
    <w:basedOn w:val="BodyText"/>
    <w:rsid w:val="00A143E8"/>
    <w:pPr>
      <w:numPr>
        <w:numId w:val="16"/>
      </w:numPr>
    </w:pPr>
  </w:style>
  <w:style w:type="paragraph" w:styleId="Salutation">
    <w:name w:val="Salutation"/>
    <w:basedOn w:val="Normal"/>
    <w:next w:val="Normal"/>
    <w:link w:val="SalutationChar"/>
    <w:semiHidden/>
    <w:rsid w:val="00A143E8"/>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Heading1Char">
    <w:name w:val="Heading 1 Char"/>
    <w:basedOn w:val="DefaultParagraphFont"/>
    <w:link w:val="Heading1"/>
    <w:rsid w:val="00A143E8"/>
    <w:rPr>
      <w:rFonts w:ascii="Arial" w:eastAsia="SimSun" w:hAnsi="Arial" w:cs="Arial"/>
      <w:b/>
      <w:bCs/>
      <w:caps/>
      <w:kern w:val="32"/>
      <w:sz w:val="22"/>
      <w:szCs w:val="32"/>
    </w:rPr>
  </w:style>
  <w:style w:type="character" w:customStyle="1" w:styleId="Heading2Char">
    <w:name w:val="Heading 2 Char"/>
    <w:basedOn w:val="DefaultParagraphFont"/>
    <w:link w:val="Heading2"/>
    <w:rsid w:val="00A143E8"/>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HeaderChar">
    <w:name w:val="Header Char"/>
    <w:basedOn w:val="DefaultParagraphFont"/>
    <w:link w:val="Header"/>
    <w:uiPriority w:val="99"/>
    <w:rsid w:val="00A143E8"/>
    <w:rPr>
      <w:rFonts w:ascii="Arial" w:eastAsia="SimSun" w:hAnsi="Arial" w:cs="Arial"/>
      <w:sz w:val="22"/>
    </w:rPr>
  </w:style>
  <w:style w:type="character" w:customStyle="1" w:styleId="ONUMEChar">
    <w:name w:val="ONUM E Char"/>
    <w:link w:val="ONUME"/>
    <w:locked/>
    <w:rsid w:val="00906BD5"/>
    <w:rPr>
      <w:rFonts w:ascii="Arial" w:eastAsia="SimSun" w:hAnsi="Arial" w:cs="Arial"/>
      <w:sz w:val="22"/>
    </w:rPr>
  </w:style>
  <w:style w:type="paragraph" w:styleId="ListParagraph">
    <w:name w:val="List Paragraph"/>
    <w:basedOn w:val="Normal"/>
    <w:uiPriority w:val="34"/>
    <w:qFormat/>
    <w:rsid w:val="00271B4F"/>
    <w:pPr>
      <w:ind w:left="720"/>
      <w:contextualSpacing/>
    </w:pPr>
  </w:style>
  <w:style w:type="character" w:customStyle="1" w:styleId="BodyTextChar">
    <w:name w:val="Body Text Char"/>
    <w:basedOn w:val="DefaultParagraphFont"/>
    <w:link w:val="BodyText"/>
    <w:rsid w:val="00A143E8"/>
    <w:rPr>
      <w:rFonts w:ascii="Arial" w:eastAsia="SimSun" w:hAnsi="Arial" w:cs="Arial"/>
      <w:sz w:val="22"/>
    </w:rPr>
  </w:style>
  <w:style w:type="character" w:customStyle="1" w:styleId="FooterChar">
    <w:name w:val="Footer Char"/>
    <w:basedOn w:val="DefaultParagraphFont"/>
    <w:link w:val="Footer"/>
    <w:semiHidden/>
    <w:rsid w:val="00A143E8"/>
    <w:rPr>
      <w:rFonts w:ascii="Arial" w:eastAsia="SimSun" w:hAnsi="Arial" w:cs="Arial"/>
      <w:sz w:val="22"/>
    </w:rPr>
  </w:style>
  <w:style w:type="character" w:styleId="FootnoteReference">
    <w:name w:val="footnote reference"/>
    <w:basedOn w:val="DefaultParagraphFont"/>
    <w:semiHidden/>
    <w:rsid w:val="00A143E8"/>
    <w:rPr>
      <w:vertAlign w:val="superscript"/>
    </w:rPr>
  </w:style>
  <w:style w:type="character" w:customStyle="1" w:styleId="FootnoteTextChar">
    <w:name w:val="Footnote Text Char"/>
    <w:basedOn w:val="DefaultParagraphFont"/>
    <w:link w:val="FootnoteText"/>
    <w:semiHidden/>
    <w:rsid w:val="00A143E8"/>
    <w:rPr>
      <w:rFonts w:ascii="Arial" w:eastAsia="SimSun" w:hAnsi="Arial" w:cs="Arial"/>
      <w:sz w:val="18"/>
    </w:rPr>
  </w:style>
  <w:style w:type="character" w:customStyle="1" w:styleId="Heading3Char">
    <w:name w:val="Heading 3 Char"/>
    <w:basedOn w:val="DefaultParagraphFont"/>
    <w:link w:val="Heading3"/>
    <w:rsid w:val="00A143E8"/>
    <w:rPr>
      <w:rFonts w:ascii="Arial" w:eastAsia="SimSun" w:hAnsi="Arial" w:cs="Arial"/>
      <w:bCs/>
      <w:sz w:val="22"/>
      <w:szCs w:val="26"/>
      <w:u w:val="single"/>
    </w:rPr>
  </w:style>
  <w:style w:type="character" w:customStyle="1" w:styleId="Heading4Char">
    <w:name w:val="Heading 4 Char"/>
    <w:basedOn w:val="DefaultParagraphFont"/>
    <w:link w:val="Heading4"/>
    <w:rsid w:val="00A143E8"/>
    <w:rPr>
      <w:rFonts w:ascii="Arial" w:eastAsia="SimSun" w:hAnsi="Arial" w:cs="Arial"/>
      <w:bCs/>
      <w:i/>
      <w:sz w:val="22"/>
      <w:szCs w:val="28"/>
    </w:rPr>
  </w:style>
  <w:style w:type="paragraph" w:customStyle="1" w:styleId="LegTitle">
    <w:name w:val="Leg # Title"/>
    <w:basedOn w:val="Normal"/>
    <w:next w:val="Normal"/>
    <w:rsid w:val="00A143E8"/>
    <w:pPr>
      <w:keepNext/>
      <w:keepLines/>
      <w:suppressAutoHyphens/>
      <w:spacing w:before="240"/>
      <w:jc w:val="center"/>
    </w:pPr>
    <w:rPr>
      <w:rFonts w:eastAsia="Times New Roman" w:cs="Times New Roman"/>
      <w:b/>
      <w:lang w:eastAsia="ja-JP"/>
    </w:rPr>
  </w:style>
  <w:style w:type="paragraph" w:customStyle="1" w:styleId="Leg1">
    <w:name w:val="Leg (1)"/>
    <w:basedOn w:val="Normal"/>
    <w:rsid w:val="00A143E8"/>
    <w:pPr>
      <w:tabs>
        <w:tab w:val="left" w:pos="397"/>
      </w:tabs>
      <w:spacing w:before="120"/>
    </w:pPr>
    <w:rPr>
      <w:rFonts w:eastAsia="Times New Roman" w:cs="Times New Roman"/>
      <w:lang w:eastAsia="ja-JP"/>
    </w:rPr>
  </w:style>
  <w:style w:type="paragraph" w:customStyle="1" w:styleId="Leg1a">
    <w:name w:val="Leg (1)(a)"/>
    <w:basedOn w:val="Normal"/>
    <w:rsid w:val="00A143E8"/>
    <w:pPr>
      <w:tabs>
        <w:tab w:val="left" w:pos="709"/>
      </w:tabs>
      <w:spacing w:before="120"/>
    </w:pPr>
    <w:rPr>
      <w:rFonts w:eastAsia="Times New Roman" w:cs="Times New Roman"/>
      <w:lang w:eastAsia="ja-JP"/>
    </w:rPr>
  </w:style>
  <w:style w:type="paragraph" w:customStyle="1" w:styleId="Leg1i">
    <w:name w:val="Leg (1)(i)"/>
    <w:basedOn w:val="Normal"/>
    <w:rsid w:val="00A143E8"/>
    <w:pPr>
      <w:tabs>
        <w:tab w:val="right" w:pos="1134"/>
        <w:tab w:val="left" w:pos="1276"/>
      </w:tabs>
      <w:spacing w:before="60"/>
    </w:pPr>
    <w:rPr>
      <w:rFonts w:eastAsia="Times New Roman" w:cs="Times New Roman"/>
      <w:lang w:eastAsia="ja-JP"/>
    </w:rPr>
  </w:style>
  <w:style w:type="paragraph" w:customStyle="1" w:styleId="Lega">
    <w:name w:val="Leg (a)"/>
    <w:basedOn w:val="Normal"/>
    <w:rsid w:val="00A143E8"/>
    <w:pPr>
      <w:tabs>
        <w:tab w:val="left" w:pos="454"/>
      </w:tabs>
      <w:spacing w:before="119"/>
    </w:pPr>
    <w:rPr>
      <w:rFonts w:eastAsia="Times New Roman" w:cs="Times New Roman"/>
      <w:snapToGrid w:val="0"/>
      <w:lang w:eastAsia="ja-JP"/>
    </w:rPr>
  </w:style>
  <w:style w:type="paragraph" w:customStyle="1" w:styleId="Legi">
    <w:name w:val="Leg (i)"/>
    <w:basedOn w:val="Normal"/>
    <w:rsid w:val="00A143E8"/>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DefaultParagraphFont"/>
    <w:rsid w:val="00A143E8"/>
    <w:rPr>
      <w:i/>
    </w:rPr>
  </w:style>
  <w:style w:type="paragraph" w:customStyle="1" w:styleId="LegSubRule">
    <w:name w:val="Leg SubRule #"/>
    <w:basedOn w:val="Normal"/>
    <w:rsid w:val="00A143E8"/>
    <w:pPr>
      <w:keepNext/>
      <w:keepLines/>
      <w:tabs>
        <w:tab w:val="left" w:pos="510"/>
      </w:tabs>
      <w:spacing w:before="119"/>
      <w:ind w:left="533" w:hanging="533"/>
      <w:jc w:val="both"/>
    </w:pPr>
    <w:rPr>
      <w:rFonts w:eastAsia="Times New Roman" w:cs="Times New Roman"/>
      <w:snapToGrid w:val="0"/>
      <w:lang w:eastAsia="ja-JP"/>
    </w:rPr>
  </w:style>
  <w:style w:type="paragraph" w:customStyle="1" w:styleId="RComment">
    <w:name w:val="RComment"/>
    <w:basedOn w:val="Normal"/>
    <w:next w:val="Normal"/>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A143E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A143E8"/>
    <w:rPr>
      <w:sz w:val="24"/>
      <w:lang w:eastAsia="en-US"/>
    </w:rPr>
  </w:style>
  <w:style w:type="paragraph" w:customStyle="1" w:styleId="RContinued">
    <w:name w:val="RContinued"/>
    <w:basedOn w:val="RText"/>
    <w:next w:val="Normal"/>
    <w:rsid w:val="00A143E8"/>
    <w:pPr>
      <w:pageBreakBefore/>
      <w:spacing w:after="360"/>
      <w:jc w:val="center"/>
    </w:pPr>
    <w:rPr>
      <w:i/>
    </w:rPr>
  </w:style>
  <w:style w:type="character" w:customStyle="1" w:styleId="RDeletedText">
    <w:name w:val="RDeletedText"/>
    <w:basedOn w:val="DefaultParagraphFont"/>
    <w:rsid w:val="00A143E8"/>
    <w:rPr>
      <w:strike/>
      <w:color w:val="FF0000"/>
    </w:rPr>
  </w:style>
  <w:style w:type="character" w:customStyle="1" w:styleId="RInsertedText">
    <w:name w:val="RInsertedText"/>
    <w:basedOn w:val="DefaultParagraphFont"/>
    <w:rsid w:val="00A143E8"/>
    <w:rPr>
      <w:color w:val="0000FF"/>
      <w:u w:val="single"/>
    </w:rPr>
  </w:style>
  <w:style w:type="character" w:customStyle="1" w:styleId="RItalic">
    <w:name w:val="RItalic"/>
    <w:basedOn w:val="DefaultParagraphFont"/>
    <w:rsid w:val="00A143E8"/>
    <w:rPr>
      <w:i/>
    </w:rPr>
  </w:style>
  <w:style w:type="paragraph" w:customStyle="1" w:styleId="RNoMain">
    <w:name w:val="RNo.(Main)"/>
    <w:basedOn w:val="Normal"/>
    <w:next w:val="Normal"/>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143E8"/>
    <w:pPr>
      <w:spacing w:after="360"/>
    </w:pPr>
  </w:style>
  <w:style w:type="character" w:customStyle="1" w:styleId="RParaChar">
    <w:name w:val="RPar(a) Char"/>
    <w:basedOn w:val="RTextChar"/>
    <w:link w:val="RPara"/>
    <w:rsid w:val="00A143E8"/>
    <w:rPr>
      <w:sz w:val="24"/>
      <w:lang w:eastAsia="en-US"/>
    </w:rPr>
  </w:style>
  <w:style w:type="paragraph" w:customStyle="1" w:styleId="RParai">
    <w:name w:val="RPar(a)(i)"/>
    <w:basedOn w:val="RText"/>
    <w:rsid w:val="00A143E8"/>
    <w:pPr>
      <w:tabs>
        <w:tab w:val="clear" w:pos="567"/>
        <w:tab w:val="right" w:pos="1418"/>
        <w:tab w:val="left" w:pos="1701"/>
      </w:tabs>
      <w:spacing w:after="360"/>
    </w:pPr>
  </w:style>
  <w:style w:type="paragraph" w:customStyle="1" w:styleId="RParaiindent">
    <w:name w:val="RPar(a)(i)indent"/>
    <w:basedOn w:val="RParai"/>
    <w:rsid w:val="00A143E8"/>
    <w:pPr>
      <w:spacing w:line="240" w:lineRule="auto"/>
      <w:ind w:left="1701" w:hanging="1701"/>
    </w:pPr>
  </w:style>
  <w:style w:type="paragraph" w:customStyle="1" w:styleId="RPari">
    <w:name w:val="RPar(i)"/>
    <w:basedOn w:val="RText"/>
    <w:link w:val="RPariChar"/>
    <w:rsid w:val="00A143E8"/>
    <w:pPr>
      <w:tabs>
        <w:tab w:val="clear" w:pos="567"/>
        <w:tab w:val="right" w:pos="1276"/>
        <w:tab w:val="left" w:pos="1418"/>
      </w:tabs>
      <w:spacing w:after="360"/>
    </w:pPr>
  </w:style>
  <w:style w:type="character" w:customStyle="1" w:styleId="RPariChar">
    <w:name w:val="RPar(i) Char"/>
    <w:basedOn w:val="RTextChar"/>
    <w:link w:val="RPari"/>
    <w:rsid w:val="00A143E8"/>
    <w:rPr>
      <w:sz w:val="24"/>
      <w:lang w:eastAsia="en-US"/>
    </w:rPr>
  </w:style>
  <w:style w:type="paragraph" w:customStyle="1" w:styleId="RPariIndent">
    <w:name w:val="RPar(i)Indent"/>
    <w:basedOn w:val="RPari"/>
    <w:rsid w:val="00A143E8"/>
    <w:pPr>
      <w:ind w:left="1418" w:hanging="1418"/>
    </w:pPr>
  </w:style>
  <w:style w:type="paragraph" w:customStyle="1" w:styleId="RTitleMain">
    <w:name w:val="RTitle(Main)"/>
    <w:basedOn w:val="RText"/>
    <w:next w:val="RPara"/>
    <w:rsid w:val="00A143E8"/>
    <w:pPr>
      <w:keepNext/>
      <w:pageBreakBefore/>
      <w:tabs>
        <w:tab w:val="clear" w:pos="567"/>
        <w:tab w:val="left" w:pos="57"/>
      </w:tabs>
      <w:spacing w:after="360"/>
      <w:jc w:val="center"/>
    </w:pPr>
    <w:rPr>
      <w:b/>
    </w:rPr>
  </w:style>
  <w:style w:type="paragraph" w:customStyle="1" w:styleId="RTitleSub">
    <w:name w:val="RTitle(Sub)"/>
    <w:basedOn w:val="RText"/>
    <w:next w:val="RPara"/>
    <w:rsid w:val="00A143E8"/>
    <w:pPr>
      <w:keepNext/>
      <w:spacing w:after="360"/>
    </w:pPr>
  </w:style>
  <w:style w:type="character" w:customStyle="1" w:styleId="SalutationChar">
    <w:name w:val="Salutation Char"/>
    <w:basedOn w:val="DefaultParagraphFont"/>
    <w:link w:val="Salutation"/>
    <w:semiHidden/>
    <w:rsid w:val="00A143E8"/>
    <w:rPr>
      <w:rFonts w:ascii="Arial" w:eastAsia="SimSun" w:hAnsi="Arial" w:cs="Arial"/>
      <w:sz w:val="22"/>
    </w:rPr>
  </w:style>
  <w:style w:type="character" w:styleId="CommentReference">
    <w:name w:val="annotation reference"/>
    <w:basedOn w:val="DefaultParagraphFont"/>
    <w:semiHidden/>
    <w:unhideWhenUsed/>
    <w:rsid w:val="00214685"/>
    <w:rPr>
      <w:sz w:val="16"/>
      <w:szCs w:val="16"/>
    </w:rPr>
  </w:style>
  <w:style w:type="paragraph" w:styleId="CommentSubject">
    <w:name w:val="annotation subject"/>
    <w:basedOn w:val="CommentText"/>
    <w:next w:val="CommentText"/>
    <w:link w:val="CommentSubjectChar"/>
    <w:semiHidden/>
    <w:unhideWhenUsed/>
    <w:rsid w:val="00214685"/>
    <w:rPr>
      <w:b/>
      <w:bCs/>
      <w:sz w:val="20"/>
    </w:rPr>
  </w:style>
  <w:style w:type="character" w:customStyle="1" w:styleId="CommentTextChar">
    <w:name w:val="Comment Text Char"/>
    <w:basedOn w:val="DefaultParagraphFont"/>
    <w:link w:val="CommentText"/>
    <w:semiHidden/>
    <w:rsid w:val="00214685"/>
    <w:rPr>
      <w:rFonts w:ascii="Arial" w:eastAsia="SimSun" w:hAnsi="Arial" w:cs="Arial"/>
      <w:sz w:val="18"/>
    </w:rPr>
  </w:style>
  <w:style w:type="character" w:customStyle="1" w:styleId="CommentSubjectChar">
    <w:name w:val="Comment Subject Char"/>
    <w:basedOn w:val="CommentTextChar"/>
    <w:link w:val="CommentSubject"/>
    <w:semiHidden/>
    <w:rsid w:val="00214685"/>
    <w:rPr>
      <w:rFonts w:ascii="Arial" w:eastAsia="SimSun" w:hAnsi="Arial" w:cs="Arial"/>
      <w:b/>
      <w:bCs/>
      <w:sz w:val="18"/>
    </w:rPr>
  </w:style>
  <w:style w:type="paragraph" w:styleId="Revision">
    <w:name w:val="Revision"/>
    <w:hidden/>
    <w:uiPriority w:val="99"/>
    <w:semiHidden/>
    <w:rsid w:val="00D420A9"/>
    <w:rPr>
      <w:rFonts w:ascii="Arial" w:eastAsia="SimSun" w:hAnsi="Arial" w:cs="Arial"/>
      <w:sz w:val="22"/>
    </w:rPr>
  </w:style>
  <w:style w:type="character" w:styleId="Hyperlink">
    <w:name w:val="Hyperlink"/>
    <w:basedOn w:val="DefaultParagraphFont"/>
    <w:semiHidden/>
    <w:unhideWhenUsed/>
    <w:rsid w:val="004C56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E8"/>
    <w:rPr>
      <w:rFonts w:ascii="Arial" w:eastAsia="SimSun" w:hAnsi="Arial" w:cs="Arial"/>
      <w:sz w:val="22"/>
    </w:rPr>
  </w:style>
  <w:style w:type="paragraph" w:styleId="Heading1">
    <w:name w:val="heading 1"/>
    <w:basedOn w:val="Normal"/>
    <w:next w:val="Normal"/>
    <w:link w:val="Heading1Char"/>
    <w:qFormat/>
    <w:rsid w:val="00A143E8"/>
    <w:pPr>
      <w:keepNext/>
      <w:spacing w:before="240" w:after="60"/>
      <w:outlineLvl w:val="0"/>
    </w:pPr>
    <w:rPr>
      <w:b/>
      <w:bCs/>
      <w:caps/>
      <w:kern w:val="32"/>
      <w:szCs w:val="32"/>
    </w:rPr>
  </w:style>
  <w:style w:type="paragraph" w:styleId="Heading2">
    <w:name w:val="heading 2"/>
    <w:basedOn w:val="Normal"/>
    <w:next w:val="Normal"/>
    <w:link w:val="Heading2Char"/>
    <w:qFormat/>
    <w:rsid w:val="00A143E8"/>
    <w:pPr>
      <w:keepNext/>
      <w:spacing w:before="240" w:after="60"/>
      <w:outlineLvl w:val="1"/>
    </w:pPr>
    <w:rPr>
      <w:bCs/>
      <w:iCs/>
      <w:caps/>
      <w:szCs w:val="28"/>
    </w:rPr>
  </w:style>
  <w:style w:type="paragraph" w:styleId="Heading3">
    <w:name w:val="heading 3"/>
    <w:basedOn w:val="Normal"/>
    <w:next w:val="Normal"/>
    <w:link w:val="Heading3Char"/>
    <w:qFormat/>
    <w:rsid w:val="00A143E8"/>
    <w:pPr>
      <w:keepNext/>
      <w:spacing w:before="240" w:after="60"/>
      <w:outlineLvl w:val="2"/>
    </w:pPr>
    <w:rPr>
      <w:bCs/>
      <w:szCs w:val="26"/>
      <w:u w:val="single"/>
    </w:rPr>
  </w:style>
  <w:style w:type="paragraph" w:styleId="Heading4">
    <w:name w:val="heading 4"/>
    <w:basedOn w:val="Normal"/>
    <w:next w:val="Normal"/>
    <w:link w:val="Heading4Char"/>
    <w:qFormat/>
    <w:rsid w:val="00A143E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143E8"/>
    <w:pPr>
      <w:ind w:left="5534"/>
    </w:pPr>
  </w:style>
  <w:style w:type="paragraph" w:styleId="BodyText">
    <w:name w:val="Body Text"/>
    <w:basedOn w:val="Normal"/>
    <w:link w:val="BodyTextChar"/>
    <w:rsid w:val="00A143E8"/>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A143E8"/>
    <w:pPr>
      <w:tabs>
        <w:tab w:val="center" w:pos="4320"/>
        <w:tab w:val="right" w:pos="8640"/>
      </w:tabs>
    </w:pPr>
  </w:style>
  <w:style w:type="paragraph" w:styleId="FootnoteText">
    <w:name w:val="footnote text"/>
    <w:basedOn w:val="Normal"/>
    <w:link w:val="FootnoteTextChar"/>
    <w:semiHidden/>
    <w:rsid w:val="00A143E8"/>
    <w:rPr>
      <w:sz w:val="18"/>
    </w:rPr>
  </w:style>
  <w:style w:type="paragraph" w:styleId="Header">
    <w:name w:val="header"/>
    <w:basedOn w:val="Normal"/>
    <w:link w:val="HeaderChar"/>
    <w:uiPriority w:val="99"/>
    <w:rsid w:val="00A143E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A143E8"/>
    <w:pPr>
      <w:numPr>
        <w:numId w:val="15"/>
      </w:numPr>
    </w:pPr>
  </w:style>
  <w:style w:type="paragraph" w:customStyle="1" w:styleId="ONUMFS">
    <w:name w:val="ONUM FS"/>
    <w:basedOn w:val="BodyText"/>
    <w:rsid w:val="00A143E8"/>
    <w:pPr>
      <w:numPr>
        <w:numId w:val="16"/>
      </w:numPr>
    </w:pPr>
  </w:style>
  <w:style w:type="paragraph" w:styleId="Salutation">
    <w:name w:val="Salutation"/>
    <w:basedOn w:val="Normal"/>
    <w:next w:val="Normal"/>
    <w:link w:val="SalutationChar"/>
    <w:semiHidden/>
    <w:rsid w:val="00A143E8"/>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Heading1Char">
    <w:name w:val="Heading 1 Char"/>
    <w:basedOn w:val="DefaultParagraphFont"/>
    <w:link w:val="Heading1"/>
    <w:rsid w:val="00A143E8"/>
    <w:rPr>
      <w:rFonts w:ascii="Arial" w:eastAsia="SimSun" w:hAnsi="Arial" w:cs="Arial"/>
      <w:b/>
      <w:bCs/>
      <w:caps/>
      <w:kern w:val="32"/>
      <w:sz w:val="22"/>
      <w:szCs w:val="32"/>
    </w:rPr>
  </w:style>
  <w:style w:type="character" w:customStyle="1" w:styleId="Heading2Char">
    <w:name w:val="Heading 2 Char"/>
    <w:basedOn w:val="DefaultParagraphFont"/>
    <w:link w:val="Heading2"/>
    <w:rsid w:val="00A143E8"/>
    <w:rPr>
      <w:rFonts w:ascii="Arial" w:eastAsia="SimSun" w:hAnsi="Arial" w:cs="Arial"/>
      <w:bCs/>
      <w:iCs/>
      <w:caps/>
      <w:sz w:val="22"/>
      <w:szCs w:val="28"/>
    </w:rPr>
  </w:style>
  <w:style w:type="paragraph" w:customStyle="1" w:styleId="Default">
    <w:name w:val="Default"/>
    <w:rsid w:val="00D53E8E"/>
    <w:pPr>
      <w:autoSpaceDE w:val="0"/>
      <w:autoSpaceDN w:val="0"/>
      <w:adjustRightInd w:val="0"/>
    </w:pPr>
    <w:rPr>
      <w:rFonts w:ascii="Arial" w:hAnsi="Arial" w:cs="Arial"/>
      <w:color w:val="000000"/>
      <w:sz w:val="24"/>
      <w:szCs w:val="24"/>
      <w:lang w:eastAsia="en-US"/>
    </w:rPr>
  </w:style>
  <w:style w:type="character" w:customStyle="1" w:styleId="HeaderChar">
    <w:name w:val="Header Char"/>
    <w:basedOn w:val="DefaultParagraphFont"/>
    <w:link w:val="Header"/>
    <w:uiPriority w:val="99"/>
    <w:rsid w:val="00A143E8"/>
    <w:rPr>
      <w:rFonts w:ascii="Arial" w:eastAsia="SimSun" w:hAnsi="Arial" w:cs="Arial"/>
      <w:sz w:val="22"/>
    </w:rPr>
  </w:style>
  <w:style w:type="character" w:customStyle="1" w:styleId="ONUMEChar">
    <w:name w:val="ONUM E Char"/>
    <w:link w:val="ONUME"/>
    <w:locked/>
    <w:rsid w:val="00906BD5"/>
    <w:rPr>
      <w:rFonts w:ascii="Arial" w:eastAsia="SimSun" w:hAnsi="Arial" w:cs="Arial"/>
      <w:sz w:val="22"/>
    </w:rPr>
  </w:style>
  <w:style w:type="paragraph" w:styleId="ListParagraph">
    <w:name w:val="List Paragraph"/>
    <w:basedOn w:val="Normal"/>
    <w:uiPriority w:val="34"/>
    <w:qFormat/>
    <w:rsid w:val="00271B4F"/>
    <w:pPr>
      <w:ind w:left="720"/>
      <w:contextualSpacing/>
    </w:pPr>
  </w:style>
  <w:style w:type="character" w:customStyle="1" w:styleId="BodyTextChar">
    <w:name w:val="Body Text Char"/>
    <w:basedOn w:val="DefaultParagraphFont"/>
    <w:link w:val="BodyText"/>
    <w:rsid w:val="00A143E8"/>
    <w:rPr>
      <w:rFonts w:ascii="Arial" w:eastAsia="SimSun" w:hAnsi="Arial" w:cs="Arial"/>
      <w:sz w:val="22"/>
    </w:rPr>
  </w:style>
  <w:style w:type="character" w:customStyle="1" w:styleId="FooterChar">
    <w:name w:val="Footer Char"/>
    <w:basedOn w:val="DefaultParagraphFont"/>
    <w:link w:val="Footer"/>
    <w:semiHidden/>
    <w:rsid w:val="00A143E8"/>
    <w:rPr>
      <w:rFonts w:ascii="Arial" w:eastAsia="SimSun" w:hAnsi="Arial" w:cs="Arial"/>
      <w:sz w:val="22"/>
    </w:rPr>
  </w:style>
  <w:style w:type="character" w:styleId="FootnoteReference">
    <w:name w:val="footnote reference"/>
    <w:basedOn w:val="DefaultParagraphFont"/>
    <w:semiHidden/>
    <w:rsid w:val="00A143E8"/>
    <w:rPr>
      <w:vertAlign w:val="superscript"/>
    </w:rPr>
  </w:style>
  <w:style w:type="character" w:customStyle="1" w:styleId="FootnoteTextChar">
    <w:name w:val="Footnote Text Char"/>
    <w:basedOn w:val="DefaultParagraphFont"/>
    <w:link w:val="FootnoteText"/>
    <w:semiHidden/>
    <w:rsid w:val="00A143E8"/>
    <w:rPr>
      <w:rFonts w:ascii="Arial" w:eastAsia="SimSun" w:hAnsi="Arial" w:cs="Arial"/>
      <w:sz w:val="18"/>
    </w:rPr>
  </w:style>
  <w:style w:type="character" w:customStyle="1" w:styleId="Heading3Char">
    <w:name w:val="Heading 3 Char"/>
    <w:basedOn w:val="DefaultParagraphFont"/>
    <w:link w:val="Heading3"/>
    <w:rsid w:val="00A143E8"/>
    <w:rPr>
      <w:rFonts w:ascii="Arial" w:eastAsia="SimSun" w:hAnsi="Arial" w:cs="Arial"/>
      <w:bCs/>
      <w:sz w:val="22"/>
      <w:szCs w:val="26"/>
      <w:u w:val="single"/>
    </w:rPr>
  </w:style>
  <w:style w:type="character" w:customStyle="1" w:styleId="Heading4Char">
    <w:name w:val="Heading 4 Char"/>
    <w:basedOn w:val="DefaultParagraphFont"/>
    <w:link w:val="Heading4"/>
    <w:rsid w:val="00A143E8"/>
    <w:rPr>
      <w:rFonts w:ascii="Arial" w:eastAsia="SimSun" w:hAnsi="Arial" w:cs="Arial"/>
      <w:bCs/>
      <w:i/>
      <w:sz w:val="22"/>
      <w:szCs w:val="28"/>
    </w:rPr>
  </w:style>
  <w:style w:type="paragraph" w:customStyle="1" w:styleId="LegTitle">
    <w:name w:val="Leg # Title"/>
    <w:basedOn w:val="Normal"/>
    <w:next w:val="Normal"/>
    <w:rsid w:val="00A143E8"/>
    <w:pPr>
      <w:keepNext/>
      <w:keepLines/>
      <w:suppressAutoHyphens/>
      <w:spacing w:before="240"/>
      <w:jc w:val="center"/>
    </w:pPr>
    <w:rPr>
      <w:rFonts w:eastAsia="Times New Roman" w:cs="Times New Roman"/>
      <w:b/>
      <w:lang w:eastAsia="ja-JP"/>
    </w:rPr>
  </w:style>
  <w:style w:type="paragraph" w:customStyle="1" w:styleId="Leg1">
    <w:name w:val="Leg (1)"/>
    <w:basedOn w:val="Normal"/>
    <w:rsid w:val="00A143E8"/>
    <w:pPr>
      <w:tabs>
        <w:tab w:val="left" w:pos="397"/>
      </w:tabs>
      <w:spacing w:before="120"/>
    </w:pPr>
    <w:rPr>
      <w:rFonts w:eastAsia="Times New Roman" w:cs="Times New Roman"/>
      <w:lang w:eastAsia="ja-JP"/>
    </w:rPr>
  </w:style>
  <w:style w:type="paragraph" w:customStyle="1" w:styleId="Leg1a">
    <w:name w:val="Leg (1)(a)"/>
    <w:basedOn w:val="Normal"/>
    <w:rsid w:val="00A143E8"/>
    <w:pPr>
      <w:tabs>
        <w:tab w:val="left" w:pos="709"/>
      </w:tabs>
      <w:spacing w:before="120"/>
    </w:pPr>
    <w:rPr>
      <w:rFonts w:eastAsia="Times New Roman" w:cs="Times New Roman"/>
      <w:lang w:eastAsia="ja-JP"/>
    </w:rPr>
  </w:style>
  <w:style w:type="paragraph" w:customStyle="1" w:styleId="Leg1i">
    <w:name w:val="Leg (1)(i)"/>
    <w:basedOn w:val="Normal"/>
    <w:rsid w:val="00A143E8"/>
    <w:pPr>
      <w:tabs>
        <w:tab w:val="right" w:pos="1134"/>
        <w:tab w:val="left" w:pos="1276"/>
      </w:tabs>
      <w:spacing w:before="60"/>
    </w:pPr>
    <w:rPr>
      <w:rFonts w:eastAsia="Times New Roman" w:cs="Times New Roman"/>
      <w:lang w:eastAsia="ja-JP"/>
    </w:rPr>
  </w:style>
  <w:style w:type="paragraph" w:customStyle="1" w:styleId="Lega">
    <w:name w:val="Leg (a)"/>
    <w:basedOn w:val="Normal"/>
    <w:rsid w:val="00A143E8"/>
    <w:pPr>
      <w:tabs>
        <w:tab w:val="left" w:pos="454"/>
      </w:tabs>
      <w:spacing w:before="119"/>
    </w:pPr>
    <w:rPr>
      <w:rFonts w:eastAsia="Times New Roman" w:cs="Times New Roman"/>
      <w:snapToGrid w:val="0"/>
      <w:lang w:eastAsia="ja-JP"/>
    </w:rPr>
  </w:style>
  <w:style w:type="paragraph" w:customStyle="1" w:styleId="Legi">
    <w:name w:val="Leg (i)"/>
    <w:basedOn w:val="Normal"/>
    <w:rsid w:val="00A143E8"/>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DefaultParagraphFont"/>
    <w:rsid w:val="00A143E8"/>
    <w:rPr>
      <w:i/>
    </w:rPr>
  </w:style>
  <w:style w:type="paragraph" w:customStyle="1" w:styleId="LegSubRule">
    <w:name w:val="Leg SubRule #"/>
    <w:basedOn w:val="Normal"/>
    <w:rsid w:val="00A143E8"/>
    <w:pPr>
      <w:keepNext/>
      <w:keepLines/>
      <w:tabs>
        <w:tab w:val="left" w:pos="510"/>
      </w:tabs>
      <w:spacing w:before="119"/>
      <w:ind w:left="533" w:hanging="533"/>
      <w:jc w:val="both"/>
    </w:pPr>
    <w:rPr>
      <w:rFonts w:eastAsia="Times New Roman" w:cs="Times New Roman"/>
      <w:snapToGrid w:val="0"/>
      <w:lang w:eastAsia="ja-JP"/>
    </w:rPr>
  </w:style>
  <w:style w:type="paragraph" w:customStyle="1" w:styleId="RComment">
    <w:name w:val="RComment"/>
    <w:basedOn w:val="Normal"/>
    <w:next w:val="Normal"/>
    <w:rsid w:val="00A143E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A143E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A143E8"/>
    <w:rPr>
      <w:sz w:val="24"/>
      <w:lang w:eastAsia="en-US"/>
    </w:rPr>
  </w:style>
  <w:style w:type="paragraph" w:customStyle="1" w:styleId="RContinued">
    <w:name w:val="RContinued"/>
    <w:basedOn w:val="RText"/>
    <w:next w:val="Normal"/>
    <w:rsid w:val="00A143E8"/>
    <w:pPr>
      <w:pageBreakBefore/>
      <w:spacing w:after="360"/>
      <w:jc w:val="center"/>
    </w:pPr>
    <w:rPr>
      <w:i/>
    </w:rPr>
  </w:style>
  <w:style w:type="character" w:customStyle="1" w:styleId="RDeletedText">
    <w:name w:val="RDeletedText"/>
    <w:basedOn w:val="DefaultParagraphFont"/>
    <w:rsid w:val="00A143E8"/>
    <w:rPr>
      <w:strike/>
      <w:color w:val="FF0000"/>
    </w:rPr>
  </w:style>
  <w:style w:type="character" w:customStyle="1" w:styleId="RInsertedText">
    <w:name w:val="RInsertedText"/>
    <w:basedOn w:val="DefaultParagraphFont"/>
    <w:rsid w:val="00A143E8"/>
    <w:rPr>
      <w:color w:val="0000FF"/>
      <w:u w:val="single"/>
    </w:rPr>
  </w:style>
  <w:style w:type="character" w:customStyle="1" w:styleId="RItalic">
    <w:name w:val="RItalic"/>
    <w:basedOn w:val="DefaultParagraphFont"/>
    <w:rsid w:val="00A143E8"/>
    <w:rPr>
      <w:i/>
    </w:rPr>
  </w:style>
  <w:style w:type="paragraph" w:customStyle="1" w:styleId="RNoMain">
    <w:name w:val="RNo.(Main)"/>
    <w:basedOn w:val="Normal"/>
    <w:next w:val="Normal"/>
    <w:rsid w:val="00A143E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A143E8"/>
    <w:pPr>
      <w:spacing w:after="360"/>
    </w:pPr>
  </w:style>
  <w:style w:type="character" w:customStyle="1" w:styleId="RParaChar">
    <w:name w:val="RPar(a) Char"/>
    <w:basedOn w:val="RTextChar"/>
    <w:link w:val="RPara"/>
    <w:rsid w:val="00A143E8"/>
    <w:rPr>
      <w:sz w:val="24"/>
      <w:lang w:eastAsia="en-US"/>
    </w:rPr>
  </w:style>
  <w:style w:type="paragraph" w:customStyle="1" w:styleId="RParai">
    <w:name w:val="RPar(a)(i)"/>
    <w:basedOn w:val="RText"/>
    <w:rsid w:val="00A143E8"/>
    <w:pPr>
      <w:tabs>
        <w:tab w:val="clear" w:pos="567"/>
        <w:tab w:val="right" w:pos="1418"/>
        <w:tab w:val="left" w:pos="1701"/>
      </w:tabs>
      <w:spacing w:after="360"/>
    </w:pPr>
  </w:style>
  <w:style w:type="paragraph" w:customStyle="1" w:styleId="RParaiindent">
    <w:name w:val="RPar(a)(i)indent"/>
    <w:basedOn w:val="RParai"/>
    <w:rsid w:val="00A143E8"/>
    <w:pPr>
      <w:spacing w:line="240" w:lineRule="auto"/>
      <w:ind w:left="1701" w:hanging="1701"/>
    </w:pPr>
  </w:style>
  <w:style w:type="paragraph" w:customStyle="1" w:styleId="RPari">
    <w:name w:val="RPar(i)"/>
    <w:basedOn w:val="RText"/>
    <w:link w:val="RPariChar"/>
    <w:rsid w:val="00A143E8"/>
    <w:pPr>
      <w:tabs>
        <w:tab w:val="clear" w:pos="567"/>
        <w:tab w:val="right" w:pos="1276"/>
        <w:tab w:val="left" w:pos="1418"/>
      </w:tabs>
      <w:spacing w:after="360"/>
    </w:pPr>
  </w:style>
  <w:style w:type="character" w:customStyle="1" w:styleId="RPariChar">
    <w:name w:val="RPar(i) Char"/>
    <w:basedOn w:val="RTextChar"/>
    <w:link w:val="RPari"/>
    <w:rsid w:val="00A143E8"/>
    <w:rPr>
      <w:sz w:val="24"/>
      <w:lang w:eastAsia="en-US"/>
    </w:rPr>
  </w:style>
  <w:style w:type="paragraph" w:customStyle="1" w:styleId="RPariIndent">
    <w:name w:val="RPar(i)Indent"/>
    <w:basedOn w:val="RPari"/>
    <w:rsid w:val="00A143E8"/>
    <w:pPr>
      <w:ind w:left="1418" w:hanging="1418"/>
    </w:pPr>
  </w:style>
  <w:style w:type="paragraph" w:customStyle="1" w:styleId="RTitleMain">
    <w:name w:val="RTitle(Main)"/>
    <w:basedOn w:val="RText"/>
    <w:next w:val="RPara"/>
    <w:rsid w:val="00A143E8"/>
    <w:pPr>
      <w:keepNext/>
      <w:pageBreakBefore/>
      <w:tabs>
        <w:tab w:val="clear" w:pos="567"/>
        <w:tab w:val="left" w:pos="57"/>
      </w:tabs>
      <w:spacing w:after="360"/>
      <w:jc w:val="center"/>
    </w:pPr>
    <w:rPr>
      <w:b/>
    </w:rPr>
  </w:style>
  <w:style w:type="paragraph" w:customStyle="1" w:styleId="RTitleSub">
    <w:name w:val="RTitle(Sub)"/>
    <w:basedOn w:val="RText"/>
    <w:next w:val="RPara"/>
    <w:rsid w:val="00A143E8"/>
    <w:pPr>
      <w:keepNext/>
      <w:spacing w:after="360"/>
    </w:pPr>
  </w:style>
  <w:style w:type="character" w:customStyle="1" w:styleId="SalutationChar">
    <w:name w:val="Salutation Char"/>
    <w:basedOn w:val="DefaultParagraphFont"/>
    <w:link w:val="Salutation"/>
    <w:semiHidden/>
    <w:rsid w:val="00A143E8"/>
    <w:rPr>
      <w:rFonts w:ascii="Arial" w:eastAsia="SimSun" w:hAnsi="Arial" w:cs="Arial"/>
      <w:sz w:val="22"/>
    </w:rPr>
  </w:style>
  <w:style w:type="character" w:styleId="CommentReference">
    <w:name w:val="annotation reference"/>
    <w:basedOn w:val="DefaultParagraphFont"/>
    <w:semiHidden/>
    <w:unhideWhenUsed/>
    <w:rsid w:val="00214685"/>
    <w:rPr>
      <w:sz w:val="16"/>
      <w:szCs w:val="16"/>
    </w:rPr>
  </w:style>
  <w:style w:type="paragraph" w:styleId="CommentSubject">
    <w:name w:val="annotation subject"/>
    <w:basedOn w:val="CommentText"/>
    <w:next w:val="CommentText"/>
    <w:link w:val="CommentSubjectChar"/>
    <w:semiHidden/>
    <w:unhideWhenUsed/>
    <w:rsid w:val="00214685"/>
    <w:rPr>
      <w:b/>
      <w:bCs/>
      <w:sz w:val="20"/>
    </w:rPr>
  </w:style>
  <w:style w:type="character" w:customStyle="1" w:styleId="CommentTextChar">
    <w:name w:val="Comment Text Char"/>
    <w:basedOn w:val="DefaultParagraphFont"/>
    <w:link w:val="CommentText"/>
    <w:semiHidden/>
    <w:rsid w:val="00214685"/>
    <w:rPr>
      <w:rFonts w:ascii="Arial" w:eastAsia="SimSun" w:hAnsi="Arial" w:cs="Arial"/>
      <w:sz w:val="18"/>
    </w:rPr>
  </w:style>
  <w:style w:type="character" w:customStyle="1" w:styleId="CommentSubjectChar">
    <w:name w:val="Comment Subject Char"/>
    <w:basedOn w:val="CommentTextChar"/>
    <w:link w:val="CommentSubject"/>
    <w:semiHidden/>
    <w:rsid w:val="00214685"/>
    <w:rPr>
      <w:rFonts w:ascii="Arial" w:eastAsia="SimSun" w:hAnsi="Arial" w:cs="Arial"/>
      <w:b/>
      <w:bCs/>
      <w:sz w:val="18"/>
    </w:rPr>
  </w:style>
  <w:style w:type="paragraph" w:styleId="Revision">
    <w:name w:val="Revision"/>
    <w:hidden/>
    <w:uiPriority w:val="99"/>
    <w:semiHidden/>
    <w:rsid w:val="00D420A9"/>
    <w:rPr>
      <w:rFonts w:ascii="Arial" w:eastAsia="SimSun" w:hAnsi="Arial" w:cs="Arial"/>
      <w:sz w:val="22"/>
    </w:rPr>
  </w:style>
  <w:style w:type="character" w:styleId="Hyperlink">
    <w:name w:val="Hyperlink"/>
    <w:basedOn w:val="DefaultParagraphFont"/>
    <w:semiHidden/>
    <w:unhideWhenUsed/>
    <w:rsid w:val="004C5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46">
      <w:bodyDiv w:val="1"/>
      <w:marLeft w:val="0"/>
      <w:marRight w:val="0"/>
      <w:marTop w:val="0"/>
      <w:marBottom w:val="0"/>
      <w:divBdr>
        <w:top w:val="none" w:sz="0" w:space="0" w:color="auto"/>
        <w:left w:val="none" w:sz="0" w:space="0" w:color="auto"/>
        <w:bottom w:val="none" w:sz="0" w:space="0" w:color="auto"/>
        <w:right w:val="none" w:sz="0" w:space="0" w:color="auto"/>
      </w:divBdr>
    </w:div>
    <w:div w:id="26687307">
      <w:bodyDiv w:val="1"/>
      <w:marLeft w:val="0"/>
      <w:marRight w:val="0"/>
      <w:marTop w:val="0"/>
      <w:marBottom w:val="0"/>
      <w:divBdr>
        <w:top w:val="none" w:sz="0" w:space="0" w:color="auto"/>
        <w:left w:val="none" w:sz="0" w:space="0" w:color="auto"/>
        <w:bottom w:val="none" w:sz="0" w:space="0" w:color="auto"/>
        <w:right w:val="none" w:sz="0" w:space="0" w:color="auto"/>
      </w:divBdr>
    </w:div>
    <w:div w:id="185942914">
      <w:bodyDiv w:val="1"/>
      <w:marLeft w:val="0"/>
      <w:marRight w:val="0"/>
      <w:marTop w:val="0"/>
      <w:marBottom w:val="0"/>
      <w:divBdr>
        <w:top w:val="none" w:sz="0" w:space="0" w:color="auto"/>
        <w:left w:val="none" w:sz="0" w:space="0" w:color="auto"/>
        <w:bottom w:val="none" w:sz="0" w:space="0" w:color="auto"/>
        <w:right w:val="none" w:sz="0" w:space="0" w:color="auto"/>
      </w:divBdr>
    </w:div>
    <w:div w:id="252057668">
      <w:bodyDiv w:val="1"/>
      <w:marLeft w:val="0"/>
      <w:marRight w:val="0"/>
      <w:marTop w:val="0"/>
      <w:marBottom w:val="0"/>
      <w:divBdr>
        <w:top w:val="none" w:sz="0" w:space="0" w:color="auto"/>
        <w:left w:val="none" w:sz="0" w:space="0" w:color="auto"/>
        <w:bottom w:val="none" w:sz="0" w:space="0" w:color="auto"/>
        <w:right w:val="none" w:sz="0" w:space="0" w:color="auto"/>
      </w:divBdr>
    </w:div>
    <w:div w:id="266933804">
      <w:bodyDiv w:val="1"/>
      <w:marLeft w:val="0"/>
      <w:marRight w:val="0"/>
      <w:marTop w:val="0"/>
      <w:marBottom w:val="0"/>
      <w:divBdr>
        <w:top w:val="none" w:sz="0" w:space="0" w:color="auto"/>
        <w:left w:val="none" w:sz="0" w:space="0" w:color="auto"/>
        <w:bottom w:val="none" w:sz="0" w:space="0" w:color="auto"/>
        <w:right w:val="none" w:sz="0" w:space="0" w:color="auto"/>
      </w:divBdr>
    </w:div>
    <w:div w:id="521237467">
      <w:bodyDiv w:val="1"/>
      <w:marLeft w:val="0"/>
      <w:marRight w:val="0"/>
      <w:marTop w:val="0"/>
      <w:marBottom w:val="0"/>
      <w:divBdr>
        <w:top w:val="none" w:sz="0" w:space="0" w:color="auto"/>
        <w:left w:val="none" w:sz="0" w:space="0" w:color="auto"/>
        <w:bottom w:val="none" w:sz="0" w:space="0" w:color="auto"/>
        <w:right w:val="none" w:sz="0" w:space="0" w:color="auto"/>
      </w:divBdr>
    </w:div>
    <w:div w:id="587662614">
      <w:bodyDiv w:val="1"/>
      <w:marLeft w:val="0"/>
      <w:marRight w:val="0"/>
      <w:marTop w:val="0"/>
      <w:marBottom w:val="0"/>
      <w:divBdr>
        <w:top w:val="none" w:sz="0" w:space="0" w:color="auto"/>
        <w:left w:val="none" w:sz="0" w:space="0" w:color="auto"/>
        <w:bottom w:val="none" w:sz="0" w:space="0" w:color="auto"/>
        <w:right w:val="none" w:sz="0" w:space="0" w:color="auto"/>
      </w:divBdr>
    </w:div>
    <w:div w:id="1184897373">
      <w:bodyDiv w:val="1"/>
      <w:marLeft w:val="0"/>
      <w:marRight w:val="0"/>
      <w:marTop w:val="0"/>
      <w:marBottom w:val="0"/>
      <w:divBdr>
        <w:top w:val="none" w:sz="0" w:space="0" w:color="auto"/>
        <w:left w:val="none" w:sz="0" w:space="0" w:color="auto"/>
        <w:bottom w:val="none" w:sz="0" w:space="0" w:color="auto"/>
        <w:right w:val="none" w:sz="0" w:space="0" w:color="auto"/>
      </w:divBdr>
    </w:div>
    <w:div w:id="1202475246">
      <w:bodyDiv w:val="1"/>
      <w:marLeft w:val="0"/>
      <w:marRight w:val="0"/>
      <w:marTop w:val="0"/>
      <w:marBottom w:val="0"/>
      <w:divBdr>
        <w:top w:val="none" w:sz="0" w:space="0" w:color="auto"/>
        <w:left w:val="none" w:sz="0" w:space="0" w:color="auto"/>
        <w:bottom w:val="none" w:sz="0" w:space="0" w:color="auto"/>
        <w:right w:val="none" w:sz="0" w:space="0" w:color="auto"/>
      </w:divBdr>
    </w:div>
    <w:div w:id="1258950730">
      <w:bodyDiv w:val="1"/>
      <w:marLeft w:val="0"/>
      <w:marRight w:val="0"/>
      <w:marTop w:val="0"/>
      <w:marBottom w:val="0"/>
      <w:divBdr>
        <w:top w:val="none" w:sz="0" w:space="0" w:color="auto"/>
        <w:left w:val="none" w:sz="0" w:space="0" w:color="auto"/>
        <w:bottom w:val="none" w:sz="0" w:space="0" w:color="auto"/>
        <w:right w:val="none" w:sz="0" w:space="0" w:color="auto"/>
      </w:divBdr>
    </w:div>
    <w:div w:id="1390688850">
      <w:bodyDiv w:val="1"/>
      <w:marLeft w:val="0"/>
      <w:marRight w:val="0"/>
      <w:marTop w:val="0"/>
      <w:marBottom w:val="0"/>
      <w:divBdr>
        <w:top w:val="none" w:sz="0" w:space="0" w:color="auto"/>
        <w:left w:val="none" w:sz="0" w:space="0" w:color="auto"/>
        <w:bottom w:val="none" w:sz="0" w:space="0" w:color="auto"/>
        <w:right w:val="none" w:sz="0" w:space="0" w:color="auto"/>
      </w:divBdr>
    </w:div>
    <w:div w:id="1504587882">
      <w:bodyDiv w:val="1"/>
      <w:marLeft w:val="0"/>
      <w:marRight w:val="0"/>
      <w:marTop w:val="0"/>
      <w:marBottom w:val="0"/>
      <w:divBdr>
        <w:top w:val="none" w:sz="0" w:space="0" w:color="auto"/>
        <w:left w:val="none" w:sz="0" w:space="0" w:color="auto"/>
        <w:bottom w:val="none" w:sz="0" w:space="0" w:color="auto"/>
        <w:right w:val="none" w:sz="0" w:space="0" w:color="auto"/>
      </w:divBdr>
    </w:div>
    <w:div w:id="1925600877">
      <w:bodyDiv w:val="1"/>
      <w:marLeft w:val="0"/>
      <w:marRight w:val="0"/>
      <w:marTop w:val="0"/>
      <w:marBottom w:val="0"/>
      <w:divBdr>
        <w:top w:val="none" w:sz="0" w:space="0" w:color="auto"/>
        <w:left w:val="none" w:sz="0" w:space="0" w:color="auto"/>
        <w:bottom w:val="none" w:sz="0" w:space="0" w:color="auto"/>
        <w:right w:val="none" w:sz="0" w:space="0" w:color="auto"/>
      </w:divBdr>
    </w:div>
    <w:div w:id="1989281804">
      <w:bodyDiv w:val="1"/>
      <w:marLeft w:val="0"/>
      <w:marRight w:val="0"/>
      <w:marTop w:val="0"/>
      <w:marBottom w:val="0"/>
      <w:divBdr>
        <w:top w:val="none" w:sz="0" w:space="0" w:color="auto"/>
        <w:left w:val="none" w:sz="0" w:space="0" w:color="auto"/>
        <w:bottom w:val="none" w:sz="0" w:space="0" w:color="auto"/>
        <w:right w:val="none" w:sz="0" w:space="0" w:color="auto"/>
      </w:divBdr>
    </w:div>
    <w:div w:id="200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WIPO\WIPO%20PCT%20Updated%202016\Cash%20flow%20analysis\Cash%20flow%20analysis%20Jan-May%2020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WIPO\WIPO%20PCT%20Updated%202016\Cash%20flow%20analysis\Cash%20flow%20analysis%20Jan-May%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[Cash flow analysis Jan-May 2016.xlsx]Charts!PivotTable1</c:name>
    <c:fmtId val="-1"/>
  </c:pivotSource>
  <c:chart>
    <c:title>
      <c:tx>
        <c:rich>
          <a:bodyPr/>
          <a:lstStyle/>
          <a:p>
            <a:pPr>
              <a:defRPr/>
            </a:pPr>
            <a:r>
              <a:rPr lang="en-US" sz="1200"/>
              <a:t>Recettes PCT en dollars É.-</a:t>
            </a:r>
            <a:r>
              <a:rPr lang="en-US" sz="1200" baseline="0"/>
              <a:t>U. et soldes de dollars É.-U. disponibles pour des opérations de couverture </a:t>
            </a:r>
            <a:br>
              <a:rPr lang="en-US" sz="1200" baseline="0"/>
            </a:br>
            <a:r>
              <a:rPr lang="en-US" sz="1200" b="1" i="0" u="none" strike="noStrike" baseline="0">
                <a:effectLst/>
              </a:rPr>
              <a:t>(évaluations en francs suisses)</a:t>
            </a:r>
            <a:endParaRPr lang="en-US" sz="1200"/>
          </a:p>
        </c:rich>
      </c:tx>
      <c:layout>
        <c:manualLayout>
          <c:xMode val="edge"/>
          <c:yMode val="edge"/>
          <c:x val="0.17418889471290674"/>
          <c:y val="1.7494506100123312E-2"/>
        </c:manualLayout>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s>
    <c:plotArea>
      <c:layout>
        <c:manualLayout>
          <c:layoutTarget val="inner"/>
          <c:xMode val="edge"/>
          <c:yMode val="edge"/>
          <c:x val="0.30412758822569586"/>
          <c:y val="0.2091515893206693"/>
          <c:w val="0.44188031935338717"/>
          <c:h val="0.65373286672499364"/>
        </c:manualLayout>
      </c:layout>
      <c:barChart>
        <c:barDir val="col"/>
        <c:grouping val="clustered"/>
        <c:varyColors val="0"/>
        <c:ser>
          <c:idx val="0"/>
          <c:order val="0"/>
          <c:tx>
            <c:strRef>
              <c:f>Charts!$I$2</c:f>
              <c:strCache>
                <c:ptCount val="1"/>
                <c:pt idx="0">
                  <c:v>Sum of PCT Revenue received in USD</c:v>
                </c:pt>
              </c:strCache>
            </c:strRef>
          </c:tx>
          <c:invertIfNegative val="0"/>
          <c:cat>
            <c:strRef>
              <c:f>Charts!$H$3:$H$20</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Charts!$I$3:$I$20</c:f>
              <c:numCache>
                <c:formatCode>General</c:formatCode>
                <c:ptCount val="17"/>
                <c:pt idx="0">
                  <c:v>12510419.556823276</c:v>
                </c:pt>
                <c:pt idx="1">
                  <c:v>8796711.0937581845</c:v>
                </c:pt>
                <c:pt idx="2">
                  <c:v>10147975.092428593</c:v>
                </c:pt>
                <c:pt idx="3">
                  <c:v>15504967.696022077</c:v>
                </c:pt>
                <c:pt idx="4">
                  <c:v>8274156.0271774204</c:v>
                </c:pt>
                <c:pt idx="5">
                  <c:v>7918400.9892234905</c:v>
                </c:pt>
                <c:pt idx="6">
                  <c:v>8964860.5365508944</c:v>
                </c:pt>
                <c:pt idx="7">
                  <c:v>7870070.2097770991</c:v>
                </c:pt>
                <c:pt idx="8">
                  <c:v>7611110.4850470023</c:v>
                </c:pt>
                <c:pt idx="9">
                  <c:v>9698595.3498496637</c:v>
                </c:pt>
                <c:pt idx="10">
                  <c:v>8861320.5622475371</c:v>
                </c:pt>
                <c:pt idx="11">
                  <c:v>8482595.4814489856</c:v>
                </c:pt>
                <c:pt idx="12">
                  <c:v>9506008.5500000045</c:v>
                </c:pt>
                <c:pt idx="13">
                  <c:v>7186249.7300000014</c:v>
                </c:pt>
                <c:pt idx="14">
                  <c:v>7994649.7600000007</c:v>
                </c:pt>
                <c:pt idx="15">
                  <c:v>8860131.5700000003</c:v>
                </c:pt>
                <c:pt idx="16">
                  <c:v>8422242.0600000005</c:v>
                </c:pt>
              </c:numCache>
            </c:numRef>
          </c:val>
        </c:ser>
        <c:ser>
          <c:idx val="1"/>
          <c:order val="1"/>
          <c:tx>
            <c:strRef>
              <c:f>Charts!$J$2</c:f>
              <c:strCache>
                <c:ptCount val="1"/>
                <c:pt idx="0">
                  <c:v>Sum of USD available to purchase forward contract</c:v>
                </c:pt>
              </c:strCache>
            </c:strRef>
          </c:tx>
          <c:invertIfNegative val="0"/>
          <c:cat>
            <c:strRef>
              <c:f>Charts!$H$3:$H$20</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Charts!$J$3:$J$20</c:f>
              <c:numCache>
                <c:formatCode>General</c:formatCode>
                <c:ptCount val="17"/>
                <c:pt idx="0">
                  <c:v>7917317.6700000046</c:v>
                </c:pt>
                <c:pt idx="1">
                  <c:v>1379637.620000001</c:v>
                </c:pt>
                <c:pt idx="2">
                  <c:v>3544283.6700000148</c:v>
                </c:pt>
                <c:pt idx="3">
                  <c:v>11419492.130000003</c:v>
                </c:pt>
                <c:pt idx="4">
                  <c:v>2793775.9799999907</c:v>
                </c:pt>
                <c:pt idx="5">
                  <c:v>4045293.9999999977</c:v>
                </c:pt>
                <c:pt idx="6">
                  <c:v>3691940.9299999923</c:v>
                </c:pt>
                <c:pt idx="7">
                  <c:v>528288.45000000205</c:v>
                </c:pt>
                <c:pt idx="8">
                  <c:v>2854039.9000000004</c:v>
                </c:pt>
                <c:pt idx="9">
                  <c:v>2164446.8199999947</c:v>
                </c:pt>
                <c:pt idx="10">
                  <c:v>3899576.3699999987</c:v>
                </c:pt>
                <c:pt idx="11">
                  <c:v>345240.08000000007</c:v>
                </c:pt>
                <c:pt idx="12">
                  <c:v>4467886.6800000025</c:v>
                </c:pt>
                <c:pt idx="13">
                  <c:v>31364.280000001199</c:v>
                </c:pt>
                <c:pt idx="14">
                  <c:v>3652440.0700000003</c:v>
                </c:pt>
                <c:pt idx="15">
                  <c:v>4467517.8800000008</c:v>
                </c:pt>
                <c:pt idx="16">
                  <c:v>1343967.790000001</c:v>
                </c:pt>
              </c:numCache>
            </c:numRef>
          </c:val>
        </c:ser>
        <c:dLbls>
          <c:showLegendKey val="0"/>
          <c:showVal val="0"/>
          <c:showCatName val="0"/>
          <c:showSerName val="0"/>
          <c:showPercent val="0"/>
          <c:showBubbleSize val="0"/>
        </c:dLbls>
        <c:gapWidth val="150"/>
        <c:axId val="112392832"/>
        <c:axId val="119277056"/>
      </c:barChart>
      <c:catAx>
        <c:axId val="112392832"/>
        <c:scaling>
          <c:orientation val="minMax"/>
        </c:scaling>
        <c:delete val="0"/>
        <c:axPos val="b"/>
        <c:numFmt formatCode="General" sourceLinked="0"/>
        <c:majorTickMark val="out"/>
        <c:minorTickMark val="none"/>
        <c:tickLblPos val="nextTo"/>
        <c:crossAx val="119277056"/>
        <c:crosses val="autoZero"/>
        <c:auto val="1"/>
        <c:lblAlgn val="ctr"/>
        <c:lblOffset val="100"/>
        <c:noMultiLvlLbl val="0"/>
      </c:catAx>
      <c:valAx>
        <c:axId val="119277056"/>
        <c:scaling>
          <c:orientation val="minMax"/>
        </c:scaling>
        <c:delete val="0"/>
        <c:axPos val="l"/>
        <c:majorGridlines/>
        <c:numFmt formatCode="#,##0_);[Red]\(#,##0\)" sourceLinked="0"/>
        <c:majorTickMark val="out"/>
        <c:minorTickMark val="none"/>
        <c:tickLblPos val="nextTo"/>
        <c:txPr>
          <a:bodyPr/>
          <a:lstStyle/>
          <a:p>
            <a:pPr>
              <a:defRPr baseline="0"/>
            </a:pPr>
            <a:endParaRPr lang="en-US"/>
          </a:p>
        </c:txPr>
        <c:crossAx val="112392832"/>
        <c:crosses val="autoZero"/>
        <c:crossBetween val="between"/>
      </c:valAx>
    </c:plotArea>
    <c:legend>
      <c:legendPos val="r"/>
      <c:layout>
        <c:manualLayout>
          <c:xMode val="edge"/>
          <c:yMode val="edge"/>
          <c:x val="0.80058902965629619"/>
          <c:y val="0.32149879702537276"/>
          <c:w val="0.19941097034370395"/>
          <c:h val="0.47047736220472514"/>
        </c:manualLayout>
      </c:layout>
      <c:overlay val="0"/>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[Cash flow analysis Jan-May 2016.xlsx]Charts!PivotTable2</c:name>
    <c:fmtId val="-1"/>
  </c:pivotSource>
  <c:chart>
    <c:title>
      <c:tx>
        <c:rich>
          <a:bodyPr/>
          <a:lstStyle/>
          <a:p>
            <a:pPr>
              <a:defRPr/>
            </a:pPr>
            <a:r>
              <a:rPr lang="en-US" sz="1200"/>
              <a:t>Recettes PCT en euros et soldes d’euros disponibles pour des opérations de couverture (évaluations en francs suisses)</a:t>
            </a:r>
            <a:endParaRPr lang="en-US" sz="1200" baseline="0"/>
          </a:p>
          <a:p>
            <a:pPr>
              <a:defRPr/>
            </a:pPr>
            <a:endParaRPr lang="en-US"/>
          </a:p>
        </c:rich>
      </c:tx>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s>
    <c:plotArea>
      <c:layout>
        <c:manualLayout>
          <c:layoutTarget val="inner"/>
          <c:xMode val="edge"/>
          <c:yMode val="edge"/>
          <c:x val="0.30412758822569586"/>
          <c:y val="0.2091515893206693"/>
          <c:w val="0.44188031935338695"/>
          <c:h val="0.65373286672499364"/>
        </c:manualLayout>
      </c:layout>
      <c:barChart>
        <c:barDir val="col"/>
        <c:grouping val="clustered"/>
        <c:varyColors val="0"/>
        <c:ser>
          <c:idx val="0"/>
          <c:order val="0"/>
          <c:tx>
            <c:strRef>
              <c:f>Charts!$I$31</c:f>
              <c:strCache>
                <c:ptCount val="1"/>
                <c:pt idx="0">
                  <c:v>Sum of PCT inflow in EUR</c:v>
                </c:pt>
              </c:strCache>
            </c:strRef>
          </c:tx>
          <c:invertIfNegative val="0"/>
          <c:cat>
            <c:strRef>
              <c:f>Charts!$H$32:$H$49</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Charts!$I$32:$I$49</c:f>
              <c:numCache>
                <c:formatCode>General</c:formatCode>
                <c:ptCount val="17"/>
                <c:pt idx="0">
                  <c:v>6757984.4978103079</c:v>
                </c:pt>
                <c:pt idx="1">
                  <c:v>3656495.3460296267</c:v>
                </c:pt>
                <c:pt idx="2">
                  <c:v>4383048.5167372525</c:v>
                </c:pt>
                <c:pt idx="3">
                  <c:v>4971357.3157665217</c:v>
                </c:pt>
                <c:pt idx="4">
                  <c:v>4819031.4300000034</c:v>
                </c:pt>
                <c:pt idx="5">
                  <c:v>4743621.71</c:v>
                </c:pt>
                <c:pt idx="6">
                  <c:v>5491629.8999999994</c:v>
                </c:pt>
                <c:pt idx="7">
                  <c:v>5223629.8299999991</c:v>
                </c:pt>
                <c:pt idx="8">
                  <c:v>4836738.6899999995</c:v>
                </c:pt>
                <c:pt idx="9">
                  <c:v>5008427.0900000045</c:v>
                </c:pt>
                <c:pt idx="10">
                  <c:v>5483236.0300000003</c:v>
                </c:pt>
                <c:pt idx="11">
                  <c:v>5278336.71</c:v>
                </c:pt>
                <c:pt idx="12">
                  <c:v>6224076.3100000015</c:v>
                </c:pt>
                <c:pt idx="13">
                  <c:v>4457734.5100000007</c:v>
                </c:pt>
                <c:pt idx="14">
                  <c:v>4507386.0500000017</c:v>
                </c:pt>
                <c:pt idx="15">
                  <c:v>5379779.7700000014</c:v>
                </c:pt>
                <c:pt idx="16">
                  <c:v>5080305.1599999992</c:v>
                </c:pt>
              </c:numCache>
            </c:numRef>
          </c:val>
        </c:ser>
        <c:ser>
          <c:idx val="1"/>
          <c:order val="1"/>
          <c:tx>
            <c:strRef>
              <c:f>Charts!$J$31</c:f>
              <c:strCache>
                <c:ptCount val="1"/>
                <c:pt idx="0">
                  <c:v>Sum of EUR available to purchase forward contract</c:v>
                </c:pt>
              </c:strCache>
            </c:strRef>
          </c:tx>
          <c:invertIfNegative val="0"/>
          <c:cat>
            <c:strRef>
              <c:f>Charts!$H$32:$H$49</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Charts!$J$32:$J$49</c:f>
              <c:numCache>
                <c:formatCode>General</c:formatCode>
                <c:ptCount val="17"/>
                <c:pt idx="0">
                  <c:v>5360299.0200000005</c:v>
                </c:pt>
                <c:pt idx="1">
                  <c:v>1619056.1700000011</c:v>
                </c:pt>
                <c:pt idx="2">
                  <c:v>3349708.4999999977</c:v>
                </c:pt>
                <c:pt idx="3">
                  <c:v>3685507.3899999987</c:v>
                </c:pt>
                <c:pt idx="4">
                  <c:v>3710569.57</c:v>
                </c:pt>
                <c:pt idx="5">
                  <c:v>2783499.79</c:v>
                </c:pt>
                <c:pt idx="6">
                  <c:v>3293463.1699999995</c:v>
                </c:pt>
                <c:pt idx="7">
                  <c:v>3853576.1199999987</c:v>
                </c:pt>
                <c:pt idx="8">
                  <c:v>3887560.5100000007</c:v>
                </c:pt>
                <c:pt idx="9">
                  <c:v>3276241.900000005</c:v>
                </c:pt>
                <c:pt idx="10">
                  <c:v>4260318.8800000008</c:v>
                </c:pt>
                <c:pt idx="11">
                  <c:v>3469466.5199999977</c:v>
                </c:pt>
                <c:pt idx="12">
                  <c:v>4249900.6700000027</c:v>
                </c:pt>
                <c:pt idx="13">
                  <c:v>2733661.5500000007</c:v>
                </c:pt>
                <c:pt idx="14">
                  <c:v>3484838.2700000014</c:v>
                </c:pt>
                <c:pt idx="15">
                  <c:v>4226100.2</c:v>
                </c:pt>
                <c:pt idx="16">
                  <c:v>3449099.6500000004</c:v>
                </c:pt>
              </c:numCache>
            </c:numRef>
          </c:val>
        </c:ser>
        <c:dLbls>
          <c:showLegendKey val="0"/>
          <c:showVal val="0"/>
          <c:showCatName val="0"/>
          <c:showSerName val="0"/>
          <c:showPercent val="0"/>
          <c:showBubbleSize val="0"/>
        </c:dLbls>
        <c:gapWidth val="150"/>
        <c:axId val="33442816"/>
        <c:axId val="44282624"/>
      </c:barChart>
      <c:catAx>
        <c:axId val="33442816"/>
        <c:scaling>
          <c:orientation val="minMax"/>
        </c:scaling>
        <c:delete val="0"/>
        <c:axPos val="b"/>
        <c:numFmt formatCode="General" sourceLinked="0"/>
        <c:majorTickMark val="out"/>
        <c:minorTickMark val="none"/>
        <c:tickLblPos val="nextTo"/>
        <c:crossAx val="44282624"/>
        <c:crosses val="autoZero"/>
        <c:auto val="1"/>
        <c:lblAlgn val="ctr"/>
        <c:lblOffset val="100"/>
        <c:noMultiLvlLbl val="0"/>
      </c:catAx>
      <c:valAx>
        <c:axId val="44282624"/>
        <c:scaling>
          <c:orientation val="minMax"/>
        </c:scaling>
        <c:delete val="0"/>
        <c:axPos val="l"/>
        <c:majorGridlines/>
        <c:numFmt formatCode="#,##0_);[Red]\(#,##0\)" sourceLinked="0"/>
        <c:majorTickMark val="out"/>
        <c:minorTickMark val="none"/>
        <c:tickLblPos val="nextTo"/>
        <c:txPr>
          <a:bodyPr/>
          <a:lstStyle/>
          <a:p>
            <a:pPr>
              <a:defRPr baseline="0"/>
            </a:pPr>
            <a:endParaRPr lang="en-US"/>
          </a:p>
        </c:txPr>
        <c:crossAx val="33442816"/>
        <c:crosses val="autoZero"/>
        <c:crossBetween val="between"/>
      </c:valAx>
    </c:plotArea>
    <c:legend>
      <c:legendPos val="r"/>
      <c:layout>
        <c:manualLayout>
          <c:xMode val="edge"/>
          <c:yMode val="edge"/>
          <c:x val="0.80058902965629619"/>
          <c:y val="0.32149879702537276"/>
          <c:w val="0.19941097034370384"/>
          <c:h val="0.47047736220472514"/>
        </c:manualLayout>
      </c:layout>
      <c:overlay val="0"/>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Series val="1"/>
      </c14:pivotOptions>
    </c:ext>
  </c:extLst>
</c:chartSpace>
</file>

<file path=word/drawings/drawing1.xml><?xml version="1.0" encoding="utf-8"?>
<c:userShapes xmlns:c="http://schemas.openxmlformats.org/drawingml/2006/chart">
  <cdr:relSizeAnchor xmlns:cdr="http://schemas.openxmlformats.org/drawingml/2006/chartDrawing">
    <cdr:from>
      <cdr:x>0.83948</cdr:x>
      <cdr:y>0.32655</cdr:y>
    </cdr:from>
    <cdr:to>
      <cdr:x>0.99308</cdr:x>
      <cdr:y>0.77606</cdr:y>
    </cdr:to>
    <cdr:sp macro="" textlink="">
      <cdr:nvSpPr>
        <cdr:cNvPr id="2" name="Text Box 1"/>
        <cdr:cNvSpPr txBox="1"/>
      </cdr:nvSpPr>
      <cdr:spPr>
        <a:xfrm xmlns:a="http://schemas.openxmlformats.org/drawingml/2006/main">
          <a:off x="4037990" y="1185062"/>
          <a:ext cx="738835" cy="163129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fr-FR" sz="800"/>
            <a:t>Recettes </a:t>
          </a:r>
          <a:r>
            <a:rPr lang="en-US" sz="800">
              <a:effectLst/>
              <a:latin typeface="+mn-lt"/>
              <a:ea typeface="+mn-ea"/>
              <a:cs typeface="+mn-cs"/>
            </a:rPr>
            <a:t>PCT reçues en dollars</a:t>
          </a:r>
          <a:r>
            <a:rPr lang="en-US" sz="800" baseline="0">
              <a:effectLst/>
              <a:latin typeface="+mn-lt"/>
              <a:ea typeface="+mn-ea"/>
              <a:cs typeface="+mn-cs"/>
            </a:rPr>
            <a:t> É.-U.</a:t>
          </a:r>
        </a:p>
        <a:p xmlns:a="http://schemas.openxmlformats.org/drawingml/2006/main">
          <a:endParaRPr lang="en-US" sz="800">
            <a:effectLst/>
            <a:latin typeface="+mn-lt"/>
            <a:ea typeface="+mn-ea"/>
            <a:cs typeface="+mn-cs"/>
          </a:endParaRPr>
        </a:p>
        <a:p xmlns:a="http://schemas.openxmlformats.org/drawingml/2006/main">
          <a:endParaRPr lang="en-US" sz="600">
            <a:effectLst/>
            <a:latin typeface="+mn-lt"/>
            <a:ea typeface="+mn-ea"/>
            <a:cs typeface="+mn-cs"/>
          </a:endParaRPr>
        </a:p>
        <a:p xmlns:a="http://schemas.openxmlformats.org/drawingml/2006/main">
          <a:endParaRPr lang="en-US" sz="800">
            <a:effectLst/>
            <a:latin typeface="+mn-lt"/>
            <a:ea typeface="+mn-ea"/>
            <a:cs typeface="+mn-cs"/>
          </a:endParaRPr>
        </a:p>
        <a:p xmlns:a="http://schemas.openxmlformats.org/drawingml/2006/main">
          <a:endParaRPr lang="en-US" sz="800">
            <a:effectLst/>
            <a:latin typeface="+mn-lt"/>
            <a:ea typeface="+mn-ea"/>
            <a:cs typeface="+mn-cs"/>
          </a:endParaRPr>
        </a:p>
        <a:p xmlns:a="http://schemas.openxmlformats.org/drawingml/2006/main">
          <a:r>
            <a:rPr lang="en-US" sz="800">
              <a:effectLst/>
              <a:latin typeface="+mn-lt"/>
              <a:ea typeface="+mn-ea"/>
              <a:cs typeface="+mn-cs"/>
            </a:rPr>
            <a:t>Dollars</a:t>
          </a:r>
          <a:r>
            <a:rPr lang="en-US" sz="800" baseline="0">
              <a:effectLst/>
              <a:latin typeface="+mn-lt"/>
              <a:ea typeface="+mn-ea"/>
              <a:cs typeface="+mn-cs"/>
            </a:rPr>
            <a:t> É.-U. </a:t>
          </a:r>
          <a:r>
            <a:rPr lang="en-US" sz="800">
              <a:effectLst/>
              <a:latin typeface="+mn-lt"/>
              <a:ea typeface="+mn-ea"/>
              <a:cs typeface="+mn-cs"/>
            </a:rPr>
            <a:t>disponibles pour l’achat de contrats à terme</a:t>
          </a:r>
          <a:endParaRPr lang="fr-FR" sz="800"/>
        </a:p>
      </cdr:txBody>
    </cdr:sp>
  </cdr:relSizeAnchor>
</c:userShapes>
</file>

<file path=word/drawings/drawing2.xml><?xml version="1.0" encoding="utf-8"?>
<c:userShapes xmlns:c="http://schemas.openxmlformats.org/drawingml/2006/chart">
  <cdr:relSizeAnchor xmlns:cdr="http://schemas.openxmlformats.org/drawingml/2006/chartDrawing">
    <cdr:from>
      <cdr:x>0.82169</cdr:x>
      <cdr:y>0.32311</cdr:y>
    </cdr:from>
    <cdr:to>
      <cdr:x>1</cdr:x>
      <cdr:y>0.79783</cdr:y>
    </cdr:to>
    <cdr:sp macro="" textlink="">
      <cdr:nvSpPr>
        <cdr:cNvPr id="2" name="Text Box 1"/>
        <cdr:cNvSpPr txBox="1"/>
      </cdr:nvSpPr>
      <cdr:spPr>
        <a:xfrm xmlns:a="http://schemas.openxmlformats.org/drawingml/2006/main">
          <a:off x="4286706" y="950976"/>
          <a:ext cx="929031" cy="1397203"/>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fr-FR" sz="800"/>
            <a:t>Recettes PCT reçues en euros</a:t>
          </a:r>
        </a:p>
        <a:p xmlns:a="http://schemas.openxmlformats.org/drawingml/2006/main">
          <a:endParaRPr lang="fr-FR" sz="800"/>
        </a:p>
        <a:p xmlns:a="http://schemas.openxmlformats.org/drawingml/2006/main">
          <a:endParaRPr lang="fr-FR" sz="400"/>
        </a:p>
        <a:p xmlns:a="http://schemas.openxmlformats.org/drawingml/2006/main">
          <a:endParaRPr lang="fr-FR" sz="800"/>
        </a:p>
        <a:p xmlns:a="http://schemas.openxmlformats.org/drawingml/2006/main">
          <a:endParaRPr lang="fr-FR" sz="800"/>
        </a:p>
        <a:p xmlns:a="http://schemas.openxmlformats.org/drawingml/2006/main">
          <a:r>
            <a:rPr lang="fr-FR" sz="800"/>
            <a:t>Euros disponibles pour l’achat</a:t>
          </a:r>
          <a:r>
            <a:rPr lang="fr-FR" sz="800" baseline="0"/>
            <a:t> de contrats à terme</a:t>
          </a:r>
          <a:endParaRPr lang="fr-FR"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F8FFF-4758-4CD7-9569-49324267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6897</Words>
  <Characters>36180</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42992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DOYON Geneviève</dc:creator>
  <cp:keywords>HT/ko</cp:keywords>
  <cp:lastModifiedBy>NETTER Iza</cp:lastModifiedBy>
  <cp:revision>9</cp:revision>
  <cp:lastPrinted>2016-07-08T13:41:00Z</cp:lastPrinted>
  <dcterms:created xsi:type="dcterms:W3CDTF">2016-07-08T09:50:00Z</dcterms:created>
  <dcterms:modified xsi:type="dcterms:W3CDTF">2016-07-08T13:45:00Z</dcterms:modified>
</cp:coreProperties>
</file>