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7445A" w:rsidRPr="008B2CC1" w:rsidTr="009336A9">
        <w:tc>
          <w:tcPr>
            <w:tcW w:w="4513" w:type="dxa"/>
            <w:tcBorders>
              <w:bottom w:val="single" w:sz="4" w:space="0" w:color="auto"/>
            </w:tcBorders>
            <w:tcMar>
              <w:bottom w:w="170" w:type="dxa"/>
            </w:tcMar>
          </w:tcPr>
          <w:p w:rsidR="0077445A" w:rsidRPr="008B2CC1" w:rsidRDefault="0077445A" w:rsidP="009336A9"/>
        </w:tc>
        <w:tc>
          <w:tcPr>
            <w:tcW w:w="4337" w:type="dxa"/>
            <w:tcBorders>
              <w:bottom w:val="single" w:sz="4" w:space="0" w:color="auto"/>
            </w:tcBorders>
            <w:tcMar>
              <w:left w:w="0" w:type="dxa"/>
              <w:right w:w="0" w:type="dxa"/>
            </w:tcMar>
          </w:tcPr>
          <w:p w:rsidR="0077445A" w:rsidRPr="008B2CC1" w:rsidRDefault="0077445A" w:rsidP="009336A9">
            <w:r>
              <w:rPr>
                <w:noProof/>
                <w:lang w:eastAsia="en-US"/>
              </w:rPr>
              <w:drawing>
                <wp:inline distT="0" distB="0" distL="0" distR="0" wp14:anchorId="4D4847C1" wp14:editId="68F59166">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7445A" w:rsidRPr="008B2CC1" w:rsidRDefault="0077445A" w:rsidP="009336A9">
            <w:pPr>
              <w:jc w:val="right"/>
            </w:pPr>
            <w:r>
              <w:rPr>
                <w:b/>
                <w:sz w:val="40"/>
                <w:szCs w:val="40"/>
              </w:rPr>
              <w:t>F</w:t>
            </w:r>
          </w:p>
        </w:tc>
      </w:tr>
      <w:tr w:rsidR="0077445A" w:rsidRPr="001832A6" w:rsidTr="009336A9">
        <w:trPr>
          <w:trHeight w:hRule="exact" w:val="340"/>
        </w:trPr>
        <w:tc>
          <w:tcPr>
            <w:tcW w:w="9356" w:type="dxa"/>
            <w:gridSpan w:val="3"/>
            <w:tcBorders>
              <w:top w:val="single" w:sz="4" w:space="0" w:color="auto"/>
            </w:tcBorders>
            <w:tcMar>
              <w:top w:w="170" w:type="dxa"/>
              <w:left w:w="0" w:type="dxa"/>
              <w:right w:w="0" w:type="dxa"/>
            </w:tcMar>
            <w:vAlign w:val="bottom"/>
          </w:tcPr>
          <w:p w:rsidR="0077445A" w:rsidRPr="0090731E" w:rsidRDefault="0077445A" w:rsidP="009336A9">
            <w:pPr>
              <w:jc w:val="right"/>
              <w:rPr>
                <w:rFonts w:ascii="Arial Black" w:hAnsi="Arial Black"/>
                <w:caps/>
                <w:sz w:val="15"/>
              </w:rPr>
            </w:pPr>
            <w:r>
              <w:rPr>
                <w:rFonts w:ascii="Arial Black" w:hAnsi="Arial Black"/>
                <w:caps/>
                <w:sz w:val="15"/>
              </w:rPr>
              <w:t>WO/PBC/25/</w:t>
            </w:r>
            <w:bookmarkStart w:id="0" w:name="Code"/>
            <w:bookmarkEnd w:id="0"/>
            <w:r>
              <w:rPr>
                <w:rFonts w:ascii="Arial Black" w:hAnsi="Arial Black"/>
                <w:caps/>
                <w:sz w:val="15"/>
              </w:rPr>
              <w:t>15</w:t>
            </w:r>
          </w:p>
        </w:tc>
      </w:tr>
      <w:tr w:rsidR="0077445A" w:rsidRPr="001832A6" w:rsidTr="009336A9">
        <w:trPr>
          <w:trHeight w:hRule="exact" w:val="170"/>
        </w:trPr>
        <w:tc>
          <w:tcPr>
            <w:tcW w:w="9356" w:type="dxa"/>
            <w:gridSpan w:val="3"/>
            <w:noWrap/>
            <w:tcMar>
              <w:left w:w="0" w:type="dxa"/>
              <w:right w:w="0" w:type="dxa"/>
            </w:tcMar>
            <w:vAlign w:val="bottom"/>
          </w:tcPr>
          <w:p w:rsidR="0077445A" w:rsidRPr="0090731E" w:rsidRDefault="0077445A" w:rsidP="009336A9">
            <w:pPr>
              <w:jc w:val="right"/>
              <w:rPr>
                <w:rFonts w:ascii="Arial Black" w:hAnsi="Arial Black"/>
                <w:caps/>
                <w:sz w:val="15"/>
              </w:rPr>
            </w:pPr>
            <w:r w:rsidRPr="0090731E">
              <w:rPr>
                <w:rFonts w:ascii="Arial Black" w:hAnsi="Arial Black"/>
                <w:caps/>
                <w:sz w:val="15"/>
              </w:rPr>
              <w:t>ORIGINAL</w:t>
            </w:r>
            <w:r w:rsidR="002D796F" w:rsidRPr="002D796F">
              <w:rPr>
                <w:rFonts w:ascii="Arial Black" w:hAnsi="Arial Black"/>
                <w:caps/>
                <w:sz w:val="15"/>
              </w:rPr>
              <w:t> </w:t>
            </w:r>
            <w:r w:rsidRPr="0090731E">
              <w:rPr>
                <w:rFonts w:ascii="Arial Black" w:hAnsi="Arial Black"/>
                <w:caps/>
                <w:sz w:val="15"/>
              </w:rPr>
              <w:t xml:space="preserve">: </w:t>
            </w:r>
            <w:bookmarkStart w:id="1" w:name="Original"/>
            <w:bookmarkEnd w:id="1"/>
            <w:r>
              <w:rPr>
                <w:rFonts w:ascii="Arial Black" w:hAnsi="Arial Black"/>
                <w:caps/>
                <w:sz w:val="15"/>
              </w:rPr>
              <w:t>anglais</w:t>
            </w:r>
          </w:p>
        </w:tc>
      </w:tr>
      <w:tr w:rsidR="0077445A" w:rsidRPr="001832A6" w:rsidTr="009336A9">
        <w:trPr>
          <w:trHeight w:hRule="exact" w:val="198"/>
        </w:trPr>
        <w:tc>
          <w:tcPr>
            <w:tcW w:w="9356" w:type="dxa"/>
            <w:gridSpan w:val="3"/>
            <w:tcMar>
              <w:left w:w="0" w:type="dxa"/>
              <w:right w:w="0" w:type="dxa"/>
            </w:tcMar>
            <w:vAlign w:val="bottom"/>
          </w:tcPr>
          <w:p w:rsidR="0077445A" w:rsidRPr="0090731E" w:rsidRDefault="0077445A" w:rsidP="009336A9">
            <w:pPr>
              <w:jc w:val="right"/>
              <w:rPr>
                <w:rFonts w:ascii="Arial Black" w:hAnsi="Arial Black"/>
                <w:caps/>
                <w:sz w:val="15"/>
              </w:rPr>
            </w:pPr>
            <w:r w:rsidRPr="0090731E">
              <w:rPr>
                <w:rFonts w:ascii="Arial Black" w:hAnsi="Arial Black"/>
                <w:caps/>
                <w:sz w:val="15"/>
              </w:rPr>
              <w:t>DATE</w:t>
            </w:r>
            <w:r w:rsidR="002D796F" w:rsidRPr="002D796F">
              <w:rPr>
                <w:rFonts w:ascii="Arial Black" w:hAnsi="Arial Black"/>
                <w:caps/>
                <w:sz w:val="15"/>
              </w:rPr>
              <w:t> </w:t>
            </w:r>
            <w:r w:rsidRPr="0090731E">
              <w:rPr>
                <w:rFonts w:ascii="Arial Black" w:hAnsi="Arial Black"/>
                <w:caps/>
                <w:sz w:val="15"/>
              </w:rPr>
              <w:t xml:space="preserve">: </w:t>
            </w:r>
            <w:bookmarkStart w:id="2" w:name="Date"/>
            <w:bookmarkEnd w:id="2"/>
            <w:r>
              <w:rPr>
                <w:rFonts w:ascii="Arial Black" w:hAnsi="Arial Black"/>
                <w:caps/>
                <w:sz w:val="15"/>
              </w:rPr>
              <w:t>15 juillet 2016</w:t>
            </w:r>
          </w:p>
        </w:tc>
      </w:tr>
    </w:tbl>
    <w:p w:rsidR="0077445A" w:rsidRPr="008B2CC1" w:rsidRDefault="0077445A" w:rsidP="0077445A"/>
    <w:p w:rsidR="0077445A" w:rsidRPr="008B2CC1" w:rsidRDefault="0077445A" w:rsidP="0077445A"/>
    <w:p w:rsidR="0077445A" w:rsidRPr="008B2CC1" w:rsidRDefault="0077445A" w:rsidP="0077445A"/>
    <w:p w:rsidR="0077445A" w:rsidRPr="008B2CC1" w:rsidRDefault="0077445A" w:rsidP="0077445A"/>
    <w:p w:rsidR="0077445A" w:rsidRPr="008B2CC1" w:rsidRDefault="0077445A" w:rsidP="0077445A"/>
    <w:p w:rsidR="0077445A" w:rsidRPr="003845C1" w:rsidRDefault="0077445A" w:rsidP="0077445A">
      <w:pPr>
        <w:rPr>
          <w:b/>
          <w:sz w:val="28"/>
          <w:szCs w:val="28"/>
        </w:rPr>
      </w:pPr>
      <w:proofErr w:type="spellStart"/>
      <w:r>
        <w:rPr>
          <w:b/>
          <w:sz w:val="28"/>
          <w:szCs w:val="28"/>
        </w:rPr>
        <w:t>Comité</w:t>
      </w:r>
      <w:proofErr w:type="spellEnd"/>
      <w:r>
        <w:rPr>
          <w:b/>
          <w:sz w:val="28"/>
          <w:szCs w:val="28"/>
        </w:rPr>
        <w:t xml:space="preserve"> du </w:t>
      </w:r>
      <w:proofErr w:type="spellStart"/>
      <w:r>
        <w:rPr>
          <w:b/>
          <w:sz w:val="28"/>
          <w:szCs w:val="28"/>
        </w:rPr>
        <w:t>programme</w:t>
      </w:r>
      <w:proofErr w:type="spellEnd"/>
      <w:r>
        <w:rPr>
          <w:b/>
          <w:sz w:val="28"/>
          <w:szCs w:val="28"/>
        </w:rPr>
        <w:t xml:space="preserve"> </w:t>
      </w:r>
      <w:proofErr w:type="gramStart"/>
      <w:r>
        <w:rPr>
          <w:b/>
          <w:sz w:val="28"/>
          <w:szCs w:val="28"/>
        </w:rPr>
        <w:t>et</w:t>
      </w:r>
      <w:proofErr w:type="gramEnd"/>
      <w:r>
        <w:rPr>
          <w:b/>
          <w:sz w:val="28"/>
          <w:szCs w:val="28"/>
        </w:rPr>
        <w:t xml:space="preserve"> budget</w:t>
      </w:r>
    </w:p>
    <w:p w:rsidR="0077445A" w:rsidRDefault="0077445A" w:rsidP="0077445A"/>
    <w:p w:rsidR="0077445A" w:rsidRDefault="0077445A" w:rsidP="0077445A"/>
    <w:p w:rsidR="0077445A" w:rsidRPr="003845C1" w:rsidRDefault="0077445A" w:rsidP="0077445A">
      <w:pPr>
        <w:rPr>
          <w:b/>
          <w:sz w:val="24"/>
          <w:szCs w:val="24"/>
        </w:rPr>
      </w:pPr>
      <w:proofErr w:type="spellStart"/>
      <w:r>
        <w:rPr>
          <w:b/>
          <w:sz w:val="24"/>
          <w:szCs w:val="24"/>
        </w:rPr>
        <w:t>Vingt</w:t>
      </w:r>
      <w:r w:rsidR="00DF179D">
        <w:rPr>
          <w:b/>
          <w:sz w:val="24"/>
          <w:szCs w:val="24"/>
        </w:rPr>
        <w:noBreakHyphen/>
      </w:r>
      <w:r>
        <w:rPr>
          <w:b/>
          <w:sz w:val="24"/>
          <w:szCs w:val="24"/>
        </w:rPr>
        <w:t>cinquième</w:t>
      </w:r>
      <w:proofErr w:type="spellEnd"/>
      <w:r w:rsidR="002D796F">
        <w:rPr>
          <w:b/>
          <w:sz w:val="24"/>
          <w:szCs w:val="24"/>
        </w:rPr>
        <w:t> </w:t>
      </w:r>
      <w:r>
        <w:rPr>
          <w:b/>
          <w:sz w:val="24"/>
          <w:szCs w:val="24"/>
        </w:rPr>
        <w:t>s</w:t>
      </w:r>
      <w:r w:rsidRPr="003845C1">
        <w:rPr>
          <w:b/>
          <w:sz w:val="24"/>
          <w:szCs w:val="24"/>
        </w:rPr>
        <w:t>ession</w:t>
      </w:r>
    </w:p>
    <w:p w:rsidR="0077445A" w:rsidRPr="003845C1" w:rsidRDefault="0077445A" w:rsidP="0077445A">
      <w:pPr>
        <w:rPr>
          <w:b/>
          <w:sz w:val="24"/>
          <w:szCs w:val="24"/>
        </w:rPr>
      </w:pPr>
      <w:r>
        <w:rPr>
          <w:b/>
          <w:sz w:val="24"/>
          <w:szCs w:val="24"/>
        </w:rPr>
        <w:t>Genève, 29 </w:t>
      </w:r>
      <w:proofErr w:type="spellStart"/>
      <w:r>
        <w:rPr>
          <w:b/>
          <w:sz w:val="24"/>
          <w:szCs w:val="24"/>
        </w:rPr>
        <w:t>août</w:t>
      </w:r>
      <w:proofErr w:type="spellEnd"/>
      <w:r>
        <w:rPr>
          <w:b/>
          <w:sz w:val="24"/>
          <w:szCs w:val="24"/>
        </w:rPr>
        <w:t xml:space="preserve"> – 2 </w:t>
      </w:r>
      <w:proofErr w:type="spellStart"/>
      <w:r>
        <w:rPr>
          <w:b/>
          <w:sz w:val="24"/>
          <w:szCs w:val="24"/>
        </w:rPr>
        <w:t>septembre</w:t>
      </w:r>
      <w:proofErr w:type="spellEnd"/>
      <w:r>
        <w:rPr>
          <w:b/>
          <w:sz w:val="24"/>
          <w:szCs w:val="24"/>
        </w:rPr>
        <w:t> 2016</w:t>
      </w:r>
    </w:p>
    <w:p w:rsidR="0077445A" w:rsidRPr="008B2CC1" w:rsidRDefault="0077445A" w:rsidP="0077445A"/>
    <w:p w:rsidR="0077445A" w:rsidRPr="008B2CC1" w:rsidRDefault="0077445A" w:rsidP="0077445A"/>
    <w:p w:rsidR="00227FB8" w:rsidRDefault="00227FB8" w:rsidP="00CE3512">
      <w:pPr>
        <w:rPr>
          <w:lang w:val="fr-FR"/>
        </w:rPr>
      </w:pPr>
    </w:p>
    <w:p w:rsidR="00227FB8" w:rsidRPr="00DF179D" w:rsidRDefault="003C16D4" w:rsidP="00DF179D">
      <w:pPr>
        <w:rPr>
          <w:caps/>
          <w:sz w:val="24"/>
          <w:lang w:val="fr-FR"/>
        </w:rPr>
      </w:pPr>
      <w:r w:rsidRPr="00DF179D">
        <w:rPr>
          <w:caps/>
          <w:sz w:val="24"/>
          <w:lang w:val="fr-FR"/>
        </w:rPr>
        <w:t>Propositions concernant les obligations au titre de l</w:t>
      </w:r>
      <w:r w:rsidR="0077445A" w:rsidRPr="00DF179D">
        <w:rPr>
          <w:caps/>
          <w:sz w:val="24"/>
          <w:lang w:val="fr-FR"/>
        </w:rPr>
        <w:t>’</w:t>
      </w:r>
      <w:r w:rsidRPr="00DF179D">
        <w:rPr>
          <w:caps/>
          <w:sz w:val="24"/>
          <w:lang w:val="fr-FR"/>
        </w:rPr>
        <w:t>assurance maladie apr</w:t>
      </w:r>
      <w:r w:rsidR="00DF179D" w:rsidRPr="00DF179D">
        <w:rPr>
          <w:caps/>
          <w:sz w:val="24"/>
          <w:lang w:val="fr-FR"/>
        </w:rPr>
        <w:t>è</w:t>
      </w:r>
      <w:r w:rsidRPr="00DF179D">
        <w:rPr>
          <w:caps/>
          <w:sz w:val="24"/>
          <w:lang w:val="fr-FR"/>
        </w:rPr>
        <w:t>s la cessation de service (AMCS)</w:t>
      </w:r>
    </w:p>
    <w:p w:rsidR="00227FB8" w:rsidRDefault="00227FB8" w:rsidP="00CE3512">
      <w:pPr>
        <w:rPr>
          <w:lang w:val="fr-FR"/>
        </w:rPr>
      </w:pPr>
    </w:p>
    <w:p w:rsidR="00227FB8" w:rsidRDefault="00BD6C3F" w:rsidP="00CE3512">
      <w:pPr>
        <w:rPr>
          <w:i/>
          <w:lang w:val="fr-FR"/>
        </w:rPr>
      </w:pPr>
      <w:bookmarkStart w:id="3" w:name="Prepared"/>
      <w:bookmarkEnd w:id="3"/>
      <w:r w:rsidRPr="006B5442">
        <w:rPr>
          <w:i/>
          <w:lang w:val="fr-FR"/>
        </w:rPr>
        <w:t>Document établi par le Secrétariat</w:t>
      </w:r>
    </w:p>
    <w:p w:rsidR="00227FB8" w:rsidRDefault="00227FB8" w:rsidP="00CE3512">
      <w:pPr>
        <w:rPr>
          <w:lang w:val="fr-FR"/>
        </w:rPr>
      </w:pPr>
    </w:p>
    <w:p w:rsidR="00227FB8" w:rsidRDefault="00227FB8" w:rsidP="00CE3512">
      <w:pPr>
        <w:rPr>
          <w:lang w:val="fr-FR"/>
        </w:rPr>
      </w:pPr>
    </w:p>
    <w:p w:rsidR="00227FB8" w:rsidRDefault="00227FB8" w:rsidP="00CE3512">
      <w:pPr>
        <w:rPr>
          <w:lang w:val="fr-FR"/>
        </w:rPr>
      </w:pPr>
    </w:p>
    <w:p w:rsidR="00227FB8" w:rsidRDefault="006B5442" w:rsidP="00CE3512">
      <w:pPr>
        <w:pStyle w:val="Heading3"/>
        <w:rPr>
          <w:lang w:val="fr-FR"/>
        </w:rPr>
      </w:pPr>
      <w:r w:rsidRPr="006B5442">
        <w:rPr>
          <w:lang w:val="fr-FR"/>
        </w:rPr>
        <w:t>Rappel</w:t>
      </w:r>
    </w:p>
    <w:p w:rsidR="00227FB8" w:rsidRDefault="00227FB8" w:rsidP="00CE3512">
      <w:pPr>
        <w:rPr>
          <w:szCs w:val="22"/>
          <w:lang w:val="fr-FR"/>
        </w:rPr>
      </w:pPr>
    </w:p>
    <w:p w:rsidR="00227FB8" w:rsidRDefault="00BD6C3F" w:rsidP="00CE3512">
      <w:pPr>
        <w:pStyle w:val="ONUMFS"/>
        <w:rPr>
          <w:lang w:val="fr-FR"/>
        </w:rPr>
      </w:pPr>
      <w:r w:rsidRPr="006B5442">
        <w:rPr>
          <w:lang w:val="fr-FR"/>
        </w:rPr>
        <w:t>Suite aux délibérations relatives au point</w:t>
      </w:r>
      <w:r w:rsidR="00572638" w:rsidRPr="006B5442">
        <w:rPr>
          <w:lang w:val="fr-FR"/>
        </w:rPr>
        <w:t> </w:t>
      </w:r>
      <w:r w:rsidRPr="006B5442">
        <w:rPr>
          <w:lang w:val="fr-FR"/>
        </w:rPr>
        <w:t>10 de l</w:t>
      </w:r>
      <w:r w:rsidR="0077445A">
        <w:rPr>
          <w:lang w:val="fr-FR"/>
        </w:rPr>
        <w:t>’</w:t>
      </w:r>
      <w:r w:rsidRPr="006B5442">
        <w:rPr>
          <w:lang w:val="fr-FR"/>
        </w:rPr>
        <w:t xml:space="preserve">ordre du jour, </w:t>
      </w:r>
      <w:r w:rsidR="006B5442" w:rsidRPr="006B5442">
        <w:rPr>
          <w:lang w:val="fr-FR"/>
        </w:rPr>
        <w:t>consacré au</w:t>
      </w:r>
      <w:r w:rsidRPr="006B5442">
        <w:rPr>
          <w:lang w:val="fr-FR"/>
        </w:rPr>
        <w:t xml:space="preserve"> programme et budget proposé pour l</w:t>
      </w:r>
      <w:r w:rsidR="0077445A">
        <w:rPr>
          <w:lang w:val="fr-FR"/>
        </w:rPr>
        <w:t>’</w:t>
      </w:r>
      <w:r w:rsidRPr="006B5442">
        <w:rPr>
          <w:lang w:val="fr-FR"/>
        </w:rPr>
        <w:t>exercice biennal</w:t>
      </w:r>
      <w:r w:rsidR="00572638" w:rsidRPr="006B5442">
        <w:rPr>
          <w:lang w:val="fr-FR"/>
        </w:rPr>
        <w:t> </w:t>
      </w:r>
      <w:r w:rsidRPr="006B5442">
        <w:rPr>
          <w:lang w:val="fr-FR"/>
        </w:rPr>
        <w:t>2016</w:t>
      </w:r>
      <w:r w:rsidR="00DF179D">
        <w:rPr>
          <w:lang w:val="fr-FR"/>
        </w:rPr>
        <w:noBreakHyphen/>
      </w:r>
      <w:r w:rsidRPr="006B5442">
        <w:rPr>
          <w:lang w:val="fr-FR"/>
        </w:rPr>
        <w:t>2017 (documents WO/PBC/24/11 et WO/PBC/24/16</w:t>
      </w:r>
      <w:r w:rsidR="00572638" w:rsidRPr="006B5442">
        <w:rPr>
          <w:lang w:val="fr-FR"/>
        </w:rPr>
        <w:t> </w:t>
      </w:r>
      <w:proofErr w:type="spellStart"/>
      <w:r w:rsidR="005B20FC" w:rsidRPr="006B5442">
        <w:rPr>
          <w:lang w:val="fr-FR"/>
        </w:rPr>
        <w:t>Rev</w:t>
      </w:r>
      <w:proofErr w:type="spellEnd"/>
      <w:r w:rsidR="005B20FC" w:rsidRPr="006B5442">
        <w:rPr>
          <w:lang w:val="fr-FR"/>
        </w:rPr>
        <w:t xml:space="preserve">.), le </w:t>
      </w:r>
      <w:r w:rsidRPr="006B5442">
        <w:rPr>
          <w:lang w:val="fr-FR"/>
        </w:rPr>
        <w:t xml:space="preserve">Comité du programme et budget (PBC), </w:t>
      </w:r>
      <w:r w:rsidR="005B20FC" w:rsidRPr="006B5442">
        <w:rPr>
          <w:lang w:val="fr-FR"/>
        </w:rPr>
        <w:t xml:space="preserve">à sa session de septembre 2015, </w:t>
      </w:r>
      <w:r w:rsidRPr="006B5442">
        <w:rPr>
          <w:lang w:val="fr-FR"/>
        </w:rPr>
        <w:t>a inclu</w:t>
      </w:r>
      <w:r w:rsidR="00572638" w:rsidRPr="006B5442">
        <w:rPr>
          <w:lang w:val="fr-FR"/>
        </w:rPr>
        <w:t>s</w:t>
      </w:r>
      <w:r w:rsidRPr="006B5442">
        <w:rPr>
          <w:lang w:val="fr-FR"/>
        </w:rPr>
        <w:t xml:space="preserve"> le texte suivant dans sa décision sur ce point de l</w:t>
      </w:r>
      <w:r w:rsidR="0077445A">
        <w:rPr>
          <w:lang w:val="fr-FR"/>
        </w:rPr>
        <w:t>’</w:t>
      </w:r>
      <w:r w:rsidRPr="006B5442">
        <w:rPr>
          <w:lang w:val="fr-FR"/>
        </w:rPr>
        <w:t>ordre du jour</w:t>
      </w:r>
      <w:r w:rsidR="00572638" w:rsidRPr="006B5442">
        <w:rPr>
          <w:lang w:val="fr-FR"/>
        </w:rPr>
        <w:t> </w:t>
      </w:r>
      <w:r w:rsidRPr="006B5442">
        <w:rPr>
          <w:lang w:val="fr-FR"/>
        </w:rPr>
        <w:t>:</w:t>
      </w:r>
    </w:p>
    <w:p w:rsidR="00227FB8" w:rsidRDefault="0077445A" w:rsidP="00CE3512">
      <w:pPr>
        <w:ind w:left="540"/>
        <w:rPr>
          <w:i/>
          <w:szCs w:val="22"/>
          <w:lang w:val="fr-FR"/>
        </w:rPr>
      </w:pPr>
      <w:r>
        <w:rPr>
          <w:szCs w:val="22"/>
          <w:lang w:val="fr-FR"/>
        </w:rPr>
        <w:t>“</w:t>
      </w:r>
      <w:r w:rsidR="00CB2AC2" w:rsidRPr="006B5442">
        <w:rPr>
          <w:i/>
          <w:szCs w:val="22"/>
          <w:lang w:val="fr-FR"/>
        </w:rPr>
        <w:t>Le PBC a réitéré la demande soumise à sa vingt</w:t>
      </w:r>
      <w:r w:rsidR="00DF179D">
        <w:rPr>
          <w:i/>
          <w:szCs w:val="22"/>
          <w:lang w:val="fr-FR"/>
        </w:rPr>
        <w:noBreakHyphen/>
      </w:r>
      <w:r w:rsidR="00CB2AC2" w:rsidRPr="006B5442">
        <w:rPr>
          <w:i/>
          <w:szCs w:val="22"/>
          <w:lang w:val="fr-FR"/>
        </w:rPr>
        <w:t>troisième</w:t>
      </w:r>
      <w:r w:rsidR="00572638" w:rsidRPr="006B5442">
        <w:rPr>
          <w:i/>
          <w:szCs w:val="22"/>
          <w:lang w:val="fr-FR"/>
        </w:rPr>
        <w:t> </w:t>
      </w:r>
      <w:r w:rsidR="00CB2AC2" w:rsidRPr="006B5442">
        <w:rPr>
          <w:i/>
          <w:szCs w:val="22"/>
          <w:lang w:val="fr-FR"/>
        </w:rPr>
        <w:t>session tendant à ce que le Secrétariat</w:t>
      </w:r>
    </w:p>
    <w:p w:rsidR="00227FB8" w:rsidRDefault="00227FB8" w:rsidP="00CE3512">
      <w:pPr>
        <w:ind w:left="540"/>
        <w:rPr>
          <w:szCs w:val="22"/>
          <w:lang w:val="fr-FR"/>
        </w:rPr>
      </w:pPr>
    </w:p>
    <w:p w:rsidR="00227FB8" w:rsidRDefault="0077445A" w:rsidP="00CE3512">
      <w:pPr>
        <w:ind w:left="540"/>
        <w:rPr>
          <w:szCs w:val="22"/>
          <w:lang w:val="fr-FR"/>
        </w:rPr>
      </w:pPr>
      <w:r>
        <w:rPr>
          <w:i/>
          <w:szCs w:val="22"/>
          <w:lang w:val="fr-FR"/>
        </w:rPr>
        <w:t>“</w:t>
      </w:r>
      <w:r w:rsidR="003C16D4" w:rsidRPr="006B5442">
        <w:rPr>
          <w:i/>
          <w:szCs w:val="22"/>
          <w:lang w:val="fr-FR"/>
        </w:rPr>
        <w:t>i)</w:t>
      </w:r>
      <w:r w:rsidR="00572638" w:rsidRPr="006B5442">
        <w:rPr>
          <w:i/>
          <w:szCs w:val="22"/>
          <w:lang w:val="fr-FR"/>
        </w:rPr>
        <w:tab/>
      </w:r>
      <w:r w:rsidR="00CB2AC2" w:rsidRPr="006B5442">
        <w:rPr>
          <w:i/>
          <w:szCs w:val="22"/>
          <w:lang w:val="fr-FR"/>
        </w:rPr>
        <w:t>lui présente à sa vingt</w:t>
      </w:r>
      <w:r w:rsidR="00DF179D">
        <w:rPr>
          <w:i/>
          <w:szCs w:val="22"/>
          <w:lang w:val="fr-FR"/>
        </w:rPr>
        <w:noBreakHyphen/>
      </w:r>
      <w:r w:rsidR="00CB2AC2" w:rsidRPr="006B5442">
        <w:rPr>
          <w:i/>
          <w:szCs w:val="22"/>
          <w:lang w:val="fr-FR"/>
        </w:rPr>
        <w:t>cinquième</w:t>
      </w:r>
      <w:r w:rsidR="00572638" w:rsidRPr="006B5442">
        <w:rPr>
          <w:i/>
          <w:szCs w:val="22"/>
          <w:lang w:val="fr-FR"/>
        </w:rPr>
        <w:t> </w:t>
      </w:r>
      <w:r w:rsidR="00CB2AC2" w:rsidRPr="006B5442">
        <w:rPr>
          <w:i/>
          <w:szCs w:val="22"/>
          <w:lang w:val="fr-FR"/>
        </w:rPr>
        <w:t>session des propositions concrètes pour maîtriser les obligations au titre de l</w:t>
      </w:r>
      <w:r>
        <w:rPr>
          <w:i/>
          <w:szCs w:val="22"/>
          <w:lang w:val="fr-FR"/>
        </w:rPr>
        <w:t>’</w:t>
      </w:r>
      <w:r w:rsidR="00CB2AC2" w:rsidRPr="006B5442">
        <w:rPr>
          <w:i/>
          <w:szCs w:val="22"/>
          <w:lang w:val="fr-FR"/>
        </w:rPr>
        <w:t>assurance maladie après la cessation de service (AMCS).</w:t>
      </w:r>
      <w:r w:rsidR="003A4EAA" w:rsidRPr="006B5442">
        <w:rPr>
          <w:i/>
          <w:lang w:val="fr-FR"/>
        </w:rPr>
        <w:t xml:space="preserve"> </w:t>
      </w:r>
      <w:r w:rsidR="00E442BB" w:rsidRPr="006B5442">
        <w:rPr>
          <w:i/>
          <w:lang w:val="fr-FR"/>
        </w:rPr>
        <w:t xml:space="preserve"> </w:t>
      </w:r>
      <w:r w:rsidR="00CB2AC2" w:rsidRPr="006B5442">
        <w:rPr>
          <w:i/>
          <w:szCs w:val="22"/>
          <w:lang w:val="fr-FR"/>
        </w:rPr>
        <w:t>Ces propositions peuvent prendre en considération, de manière non exclusive, les résultats présentés par le Groupe de travail sur l</w:t>
      </w:r>
      <w:r>
        <w:rPr>
          <w:i/>
          <w:szCs w:val="22"/>
          <w:lang w:val="fr-FR"/>
        </w:rPr>
        <w:t>’</w:t>
      </w:r>
      <w:r w:rsidR="00CB2AC2" w:rsidRPr="006B5442">
        <w:rPr>
          <w:i/>
          <w:szCs w:val="22"/>
          <w:lang w:val="fr-FR"/>
        </w:rPr>
        <w:t>AMCS établi par le Comité de haut niveau sur la gestion du Conseil des chefs de secrétariat</w:t>
      </w:r>
      <w:r>
        <w:rPr>
          <w:i/>
          <w:szCs w:val="22"/>
          <w:lang w:val="fr-FR"/>
        </w:rPr>
        <w:t>”</w:t>
      </w:r>
      <w:r w:rsidR="003C16D4" w:rsidRPr="006B5442">
        <w:rPr>
          <w:szCs w:val="22"/>
          <w:lang w:val="fr-FR"/>
        </w:rPr>
        <w:t>.</w:t>
      </w:r>
    </w:p>
    <w:p w:rsidR="00227FB8" w:rsidRDefault="00227FB8" w:rsidP="00CE3512">
      <w:pPr>
        <w:rPr>
          <w:szCs w:val="22"/>
          <w:lang w:val="fr-FR"/>
        </w:rPr>
      </w:pPr>
    </w:p>
    <w:p w:rsidR="00227FB8" w:rsidRDefault="00CB2AC2" w:rsidP="00CE3512">
      <w:pPr>
        <w:keepNext/>
        <w:keepLines/>
        <w:rPr>
          <w:szCs w:val="22"/>
          <w:u w:val="single"/>
          <w:lang w:val="fr-FR"/>
        </w:rPr>
      </w:pPr>
      <w:r w:rsidRPr="006B5442">
        <w:rPr>
          <w:szCs w:val="22"/>
          <w:u w:val="single"/>
          <w:lang w:val="fr-FR"/>
        </w:rPr>
        <w:t>Progrès accomplis par le Groupe de travail sur l</w:t>
      </w:r>
      <w:r w:rsidR="0077445A">
        <w:rPr>
          <w:szCs w:val="22"/>
          <w:u w:val="single"/>
          <w:lang w:val="fr-FR"/>
        </w:rPr>
        <w:t>’</w:t>
      </w:r>
      <w:r w:rsidR="005B20FC" w:rsidRPr="006B5442">
        <w:rPr>
          <w:szCs w:val="22"/>
          <w:u w:val="single"/>
          <w:lang w:val="fr-FR"/>
        </w:rPr>
        <w:t>AMCS</w:t>
      </w:r>
    </w:p>
    <w:p w:rsidR="00227FB8" w:rsidRDefault="00227FB8" w:rsidP="00CE3512">
      <w:pPr>
        <w:pStyle w:val="ONUME"/>
        <w:spacing w:after="0"/>
        <w:rPr>
          <w:szCs w:val="22"/>
          <w:lang w:val="fr-FR"/>
        </w:rPr>
      </w:pPr>
    </w:p>
    <w:p w:rsidR="00227FB8" w:rsidRDefault="005072DD" w:rsidP="00CE3512">
      <w:pPr>
        <w:pStyle w:val="ONUMFS"/>
        <w:rPr>
          <w:lang w:val="fr-FR"/>
        </w:rPr>
      </w:pPr>
      <w:r w:rsidRPr="006B5442">
        <w:rPr>
          <w:lang w:val="fr-FR"/>
        </w:rPr>
        <w:t>La résolution de l</w:t>
      </w:r>
      <w:r w:rsidR="0077445A">
        <w:rPr>
          <w:lang w:val="fr-FR"/>
        </w:rPr>
        <w:t>’</w:t>
      </w:r>
      <w:r w:rsidRPr="006B5442">
        <w:rPr>
          <w:lang w:val="fr-FR"/>
        </w:rPr>
        <w:t>Assemblée générale A/RES/68/244, adoptée en décembre</w:t>
      </w:r>
      <w:r w:rsidR="00572638" w:rsidRPr="006B5442">
        <w:rPr>
          <w:lang w:val="fr-FR"/>
        </w:rPr>
        <w:t> </w:t>
      </w:r>
      <w:r w:rsidRPr="006B5442">
        <w:rPr>
          <w:lang w:val="fr-FR"/>
        </w:rPr>
        <w:t>2013, demandait au Secrétaire général de réaliser une étude sur les régimes d</w:t>
      </w:r>
      <w:r w:rsidR="0077445A">
        <w:rPr>
          <w:lang w:val="fr-FR"/>
        </w:rPr>
        <w:t>’</w:t>
      </w:r>
      <w:r w:rsidRPr="006B5442">
        <w:rPr>
          <w:lang w:val="fr-FR"/>
        </w:rPr>
        <w:t xml:space="preserve">assurance maladie en vigueur dans le système des </w:t>
      </w:r>
      <w:r w:rsidR="0077445A">
        <w:rPr>
          <w:lang w:val="fr-FR"/>
        </w:rPr>
        <w:t>Nations Unies</w:t>
      </w:r>
      <w:r w:rsidRPr="006B5442">
        <w:rPr>
          <w:lang w:val="fr-FR"/>
        </w:rPr>
        <w:t xml:space="preserve"> afin d</w:t>
      </w:r>
      <w:r w:rsidR="0077445A">
        <w:rPr>
          <w:lang w:val="fr-FR"/>
        </w:rPr>
        <w:t>’</w:t>
      </w:r>
      <w:r w:rsidRPr="006B5442">
        <w:rPr>
          <w:lang w:val="fr-FR"/>
        </w:rPr>
        <w:t xml:space="preserve">explorer toutes les </w:t>
      </w:r>
      <w:r w:rsidR="005B20FC" w:rsidRPr="006B5442">
        <w:rPr>
          <w:lang w:val="fr-FR"/>
        </w:rPr>
        <w:t>possibilité</w:t>
      </w:r>
      <w:r w:rsidRPr="006B5442">
        <w:rPr>
          <w:lang w:val="fr-FR"/>
        </w:rPr>
        <w:t>s</w:t>
      </w:r>
      <w:r w:rsidR="005B20FC" w:rsidRPr="006B5442">
        <w:rPr>
          <w:lang w:val="fr-FR"/>
        </w:rPr>
        <w:t xml:space="preserve"> </w:t>
      </w:r>
      <w:r w:rsidRPr="006B5442">
        <w:rPr>
          <w:lang w:val="fr-FR"/>
        </w:rPr>
        <w:t>d</w:t>
      </w:r>
      <w:r w:rsidR="0077445A">
        <w:rPr>
          <w:lang w:val="fr-FR"/>
        </w:rPr>
        <w:t>’</w:t>
      </w:r>
      <w:r w:rsidRPr="006B5442">
        <w:rPr>
          <w:lang w:val="fr-FR"/>
        </w:rPr>
        <w:t>accroître l</w:t>
      </w:r>
      <w:r w:rsidR="0077445A">
        <w:rPr>
          <w:lang w:val="fr-FR"/>
        </w:rPr>
        <w:t>’</w:t>
      </w:r>
      <w:r w:rsidRPr="006B5442">
        <w:rPr>
          <w:lang w:val="fr-FR"/>
        </w:rPr>
        <w:t xml:space="preserve">efficacité et de maîtriser les coûts, </w:t>
      </w:r>
      <w:r w:rsidR="005B20FC" w:rsidRPr="006B5442">
        <w:rPr>
          <w:lang w:val="fr-FR"/>
        </w:rPr>
        <w:t>et</w:t>
      </w:r>
      <w:r w:rsidRPr="006B5442">
        <w:rPr>
          <w:lang w:val="fr-FR"/>
        </w:rPr>
        <w:t xml:space="preserve"> d</w:t>
      </w:r>
      <w:r w:rsidR="0077445A">
        <w:rPr>
          <w:lang w:val="fr-FR"/>
        </w:rPr>
        <w:t>’</w:t>
      </w:r>
      <w:r w:rsidRPr="006B5442">
        <w:rPr>
          <w:lang w:val="fr-FR"/>
        </w:rPr>
        <w:t>examiner la possibilité d</w:t>
      </w:r>
      <w:r w:rsidR="0077445A">
        <w:rPr>
          <w:lang w:val="fr-FR"/>
        </w:rPr>
        <w:t>’</w:t>
      </w:r>
      <w:r w:rsidRPr="006B5442">
        <w:rPr>
          <w:lang w:val="fr-FR"/>
        </w:rPr>
        <w:t xml:space="preserve">élargir le mandat de la Caisse commune des pensions du personnel des </w:t>
      </w:r>
      <w:r w:rsidR="0077445A">
        <w:rPr>
          <w:lang w:val="fr-FR"/>
        </w:rPr>
        <w:t>Nations Unies</w:t>
      </w:r>
      <w:r w:rsidRPr="006B5442">
        <w:rPr>
          <w:lang w:val="fr-FR"/>
        </w:rPr>
        <w:t xml:space="preserve"> (CCPPNU) pour y</w:t>
      </w:r>
      <w:r w:rsidR="005B20FC" w:rsidRPr="006B5442">
        <w:rPr>
          <w:lang w:val="fr-FR"/>
        </w:rPr>
        <w:t> </w:t>
      </w:r>
      <w:r w:rsidRPr="006B5442">
        <w:rPr>
          <w:lang w:val="fr-FR"/>
        </w:rPr>
        <w:t>inclure l</w:t>
      </w:r>
      <w:r w:rsidR="0077445A">
        <w:rPr>
          <w:lang w:val="fr-FR"/>
        </w:rPr>
        <w:t>’</w:t>
      </w:r>
      <w:r w:rsidRPr="006B5442">
        <w:rPr>
          <w:lang w:val="fr-FR"/>
        </w:rPr>
        <w:t>administration des prestations au titre de l</w:t>
      </w:r>
      <w:r w:rsidR="0077445A">
        <w:rPr>
          <w:lang w:val="fr-FR"/>
        </w:rPr>
        <w:t>’</w:t>
      </w:r>
      <w:r w:rsidRPr="006B5442">
        <w:rPr>
          <w:lang w:val="fr-FR"/>
        </w:rPr>
        <w:t>assurance maladie après la cessation de service, et de faire rapport à ce sujet à la soixante</w:t>
      </w:r>
      <w:r w:rsidR="00DF179D">
        <w:rPr>
          <w:lang w:val="fr-FR"/>
        </w:rPr>
        <w:noBreakHyphen/>
      </w:r>
      <w:r w:rsidRPr="006B5442">
        <w:rPr>
          <w:lang w:val="fr-FR"/>
        </w:rPr>
        <w:t>dixième</w:t>
      </w:r>
      <w:r w:rsidR="00572638" w:rsidRPr="006B5442">
        <w:rPr>
          <w:lang w:val="fr-FR"/>
        </w:rPr>
        <w:t> </w:t>
      </w:r>
      <w:r w:rsidRPr="006B5442">
        <w:rPr>
          <w:lang w:val="fr-FR"/>
        </w:rPr>
        <w:t>session de l</w:t>
      </w:r>
      <w:r w:rsidR="0077445A">
        <w:rPr>
          <w:lang w:val="fr-FR"/>
        </w:rPr>
        <w:t>’</w:t>
      </w:r>
      <w:r w:rsidRPr="006B5442">
        <w:rPr>
          <w:lang w:val="fr-FR"/>
        </w:rPr>
        <w:t>Assemblée généra</w:t>
      </w:r>
      <w:r w:rsidR="00DF179D" w:rsidRPr="006B5442">
        <w:rPr>
          <w:lang w:val="fr-FR"/>
        </w:rPr>
        <w:t>le</w:t>
      </w:r>
      <w:r w:rsidR="00DF179D">
        <w:rPr>
          <w:lang w:val="fr-FR"/>
        </w:rPr>
        <w:t xml:space="preserve">.  </w:t>
      </w:r>
      <w:r w:rsidR="00DF179D" w:rsidRPr="006B5442">
        <w:rPr>
          <w:lang w:val="fr-FR"/>
        </w:rPr>
        <w:t>Da</w:t>
      </w:r>
      <w:r w:rsidR="00D34E63" w:rsidRPr="006B5442">
        <w:rPr>
          <w:lang w:val="fr-FR"/>
        </w:rPr>
        <w:t xml:space="preserve">ns cette </w:t>
      </w:r>
      <w:r w:rsidR="00D34E63" w:rsidRPr="006B5442">
        <w:rPr>
          <w:lang w:val="fr-FR"/>
        </w:rPr>
        <w:lastRenderedPageBreak/>
        <w:t>optique</w:t>
      </w:r>
      <w:r w:rsidRPr="006B5442">
        <w:rPr>
          <w:lang w:val="fr-FR"/>
        </w:rPr>
        <w:t xml:space="preserve">, le </w:t>
      </w:r>
      <w:r w:rsidR="00DF179D">
        <w:rPr>
          <w:lang w:val="fr-FR"/>
        </w:rPr>
        <w:t>R</w:t>
      </w:r>
      <w:r w:rsidRPr="006B5442">
        <w:rPr>
          <w:lang w:val="fr-FR"/>
        </w:rPr>
        <w:t xml:space="preserve">éseau </w:t>
      </w:r>
      <w:r w:rsidR="00DF179D">
        <w:rPr>
          <w:lang w:val="fr-FR"/>
        </w:rPr>
        <w:t>F</w:t>
      </w:r>
      <w:r w:rsidRPr="006B5442">
        <w:rPr>
          <w:lang w:val="fr-FR"/>
        </w:rPr>
        <w:t xml:space="preserve">inances et </w:t>
      </w:r>
      <w:r w:rsidR="00DF179D">
        <w:rPr>
          <w:lang w:val="fr-FR"/>
        </w:rPr>
        <w:t>B</w:t>
      </w:r>
      <w:r w:rsidRPr="006B5442">
        <w:rPr>
          <w:lang w:val="fr-FR"/>
        </w:rPr>
        <w:t xml:space="preserve">udget a créé un </w:t>
      </w:r>
      <w:r w:rsidR="00DF179D">
        <w:rPr>
          <w:lang w:val="fr-FR"/>
        </w:rPr>
        <w:t>g</w:t>
      </w:r>
      <w:r w:rsidRPr="006B5442">
        <w:rPr>
          <w:lang w:val="fr-FR"/>
        </w:rPr>
        <w:t>roupe de travail sur l</w:t>
      </w:r>
      <w:r w:rsidR="0077445A">
        <w:rPr>
          <w:lang w:val="fr-FR"/>
        </w:rPr>
        <w:t>’</w:t>
      </w:r>
      <w:r w:rsidRPr="006B5442">
        <w:rPr>
          <w:lang w:val="fr-FR"/>
        </w:rPr>
        <w:t xml:space="preserve">assurance maladie après la cessation de service, chargé de réaliser une étude de vaste portée sur cette question dans le cadre du système des </w:t>
      </w:r>
      <w:r w:rsidR="0077445A">
        <w:rPr>
          <w:lang w:val="fr-FR"/>
        </w:rPr>
        <w:t>Nations Unies</w:t>
      </w:r>
      <w:r w:rsidRPr="006B5442">
        <w:rPr>
          <w:lang w:val="fr-FR"/>
        </w:rPr>
        <w:t>.</w:t>
      </w:r>
    </w:p>
    <w:p w:rsidR="00227FB8" w:rsidRDefault="00080CCE" w:rsidP="00CE3512">
      <w:pPr>
        <w:pStyle w:val="ONUMFS"/>
        <w:rPr>
          <w:lang w:val="fr-FR"/>
        </w:rPr>
      </w:pPr>
      <w:r w:rsidRPr="006B5442">
        <w:rPr>
          <w:lang w:val="fr-FR"/>
        </w:rPr>
        <w:t xml:space="preserve">Le groupe de travail a recensé </w:t>
      </w:r>
      <w:r w:rsidR="00D34E63" w:rsidRPr="006B5442">
        <w:rPr>
          <w:lang w:val="fr-FR"/>
        </w:rPr>
        <w:t xml:space="preserve">les </w:t>
      </w:r>
      <w:r w:rsidRPr="006B5442">
        <w:rPr>
          <w:lang w:val="fr-FR"/>
        </w:rPr>
        <w:t>quatre</w:t>
      </w:r>
      <w:r w:rsidR="00572638" w:rsidRPr="006B5442">
        <w:rPr>
          <w:lang w:val="fr-FR"/>
        </w:rPr>
        <w:t> </w:t>
      </w:r>
      <w:r w:rsidRPr="006B5442">
        <w:rPr>
          <w:lang w:val="fr-FR"/>
        </w:rPr>
        <w:t xml:space="preserve">principaux domaines (ou piliers) </w:t>
      </w:r>
      <w:r w:rsidR="00D34E63" w:rsidRPr="006B5442">
        <w:rPr>
          <w:lang w:val="fr-FR"/>
        </w:rPr>
        <w:t>à étudier ci</w:t>
      </w:r>
      <w:r w:rsidR="00DF179D">
        <w:rPr>
          <w:lang w:val="fr-FR"/>
        </w:rPr>
        <w:noBreakHyphen/>
      </w:r>
      <w:r w:rsidR="00D34E63" w:rsidRPr="006B5442">
        <w:rPr>
          <w:lang w:val="fr-FR"/>
        </w:rPr>
        <w:t>après</w:t>
      </w:r>
      <w:r w:rsidR="00572638" w:rsidRPr="006B5442">
        <w:rPr>
          <w:lang w:val="fr-FR"/>
        </w:rPr>
        <w:t> </w:t>
      </w:r>
      <w:r w:rsidRPr="006B5442">
        <w:rPr>
          <w:lang w:val="fr-FR"/>
        </w:rPr>
        <w:t>:</w:t>
      </w:r>
    </w:p>
    <w:p w:rsidR="00227FB8" w:rsidRDefault="00080CCE" w:rsidP="00DA3DAD">
      <w:pPr>
        <w:tabs>
          <w:tab w:val="left" w:pos="1418"/>
          <w:tab w:val="left" w:pos="1701"/>
        </w:tabs>
        <w:spacing w:after="120"/>
        <w:ind w:left="1701" w:hanging="1134"/>
        <w:rPr>
          <w:szCs w:val="22"/>
          <w:lang w:val="fr-FR"/>
        </w:rPr>
      </w:pPr>
      <w:r w:rsidRPr="006B5442">
        <w:rPr>
          <w:szCs w:val="22"/>
          <w:lang w:val="fr-FR"/>
        </w:rPr>
        <w:t>Pilier</w:t>
      </w:r>
      <w:r w:rsidR="00572638" w:rsidRPr="006B5442">
        <w:rPr>
          <w:szCs w:val="22"/>
          <w:lang w:val="fr-FR"/>
        </w:rPr>
        <w:t> </w:t>
      </w:r>
      <w:r w:rsidRPr="006B5442">
        <w:rPr>
          <w:szCs w:val="22"/>
          <w:lang w:val="fr-FR"/>
        </w:rPr>
        <w:t xml:space="preserve">A </w:t>
      </w:r>
      <w:r w:rsidR="00DA3DAD">
        <w:rPr>
          <w:szCs w:val="22"/>
          <w:lang w:val="fr-FR"/>
        </w:rPr>
        <w:tab/>
      </w:r>
      <w:r w:rsidRPr="006B5442">
        <w:rPr>
          <w:szCs w:val="22"/>
          <w:lang w:val="fr-FR"/>
        </w:rPr>
        <w:t xml:space="preserve">– </w:t>
      </w:r>
      <w:r w:rsidR="00DA3DAD">
        <w:rPr>
          <w:szCs w:val="22"/>
          <w:lang w:val="fr-FR"/>
        </w:rPr>
        <w:tab/>
      </w:r>
      <w:r w:rsidRPr="006B5442">
        <w:rPr>
          <w:szCs w:val="22"/>
          <w:lang w:val="fr-FR"/>
        </w:rPr>
        <w:t>Analyse des coûts et arrangements administratifs;</w:t>
      </w:r>
    </w:p>
    <w:p w:rsidR="00227FB8" w:rsidRDefault="00080CCE" w:rsidP="00DA3DAD">
      <w:pPr>
        <w:tabs>
          <w:tab w:val="left" w:pos="1418"/>
          <w:tab w:val="left" w:pos="1701"/>
        </w:tabs>
        <w:spacing w:after="120"/>
        <w:ind w:left="1701" w:hanging="1134"/>
        <w:rPr>
          <w:szCs w:val="22"/>
          <w:lang w:val="fr-FR"/>
        </w:rPr>
      </w:pPr>
      <w:r w:rsidRPr="006B5442">
        <w:rPr>
          <w:szCs w:val="22"/>
          <w:lang w:val="fr-FR"/>
        </w:rPr>
        <w:t>Pilier</w:t>
      </w:r>
      <w:r w:rsidR="00572638" w:rsidRPr="006B5442">
        <w:rPr>
          <w:szCs w:val="22"/>
          <w:lang w:val="fr-FR"/>
        </w:rPr>
        <w:t> </w:t>
      </w:r>
      <w:r w:rsidRPr="006B5442">
        <w:rPr>
          <w:szCs w:val="22"/>
          <w:lang w:val="fr-FR"/>
        </w:rPr>
        <w:t xml:space="preserve">B </w:t>
      </w:r>
      <w:r w:rsidR="00DA3DAD">
        <w:rPr>
          <w:szCs w:val="22"/>
          <w:lang w:val="fr-FR"/>
        </w:rPr>
        <w:tab/>
      </w:r>
      <w:r w:rsidRPr="006B5442">
        <w:rPr>
          <w:szCs w:val="22"/>
          <w:lang w:val="fr-FR"/>
        </w:rPr>
        <w:t xml:space="preserve">– </w:t>
      </w:r>
      <w:r w:rsidR="00DA3DAD">
        <w:rPr>
          <w:szCs w:val="22"/>
          <w:lang w:val="fr-FR"/>
        </w:rPr>
        <w:tab/>
      </w:r>
      <w:r w:rsidRPr="006B5442">
        <w:rPr>
          <w:szCs w:val="22"/>
          <w:lang w:val="fr-FR"/>
        </w:rPr>
        <w:t>Examen du cadre relatif à l</w:t>
      </w:r>
      <w:r w:rsidR="0077445A">
        <w:rPr>
          <w:szCs w:val="22"/>
          <w:lang w:val="fr-FR"/>
        </w:rPr>
        <w:t>’</w:t>
      </w:r>
      <w:r w:rsidRPr="006B5442">
        <w:rPr>
          <w:szCs w:val="22"/>
          <w:lang w:val="fr-FR"/>
        </w:rPr>
        <w:t xml:space="preserve">assurance maladie après la cessation de service dans le système des </w:t>
      </w:r>
      <w:r w:rsidR="0077445A">
        <w:rPr>
          <w:szCs w:val="22"/>
          <w:lang w:val="fr-FR"/>
        </w:rPr>
        <w:t>Nations Unies</w:t>
      </w:r>
      <w:r w:rsidRPr="006B5442">
        <w:rPr>
          <w:szCs w:val="22"/>
          <w:lang w:val="fr-FR"/>
        </w:rPr>
        <w:t>;</w:t>
      </w:r>
    </w:p>
    <w:p w:rsidR="00227FB8" w:rsidRDefault="00080CCE" w:rsidP="00DA3DAD">
      <w:pPr>
        <w:tabs>
          <w:tab w:val="left" w:pos="1418"/>
          <w:tab w:val="left" w:pos="1701"/>
        </w:tabs>
        <w:spacing w:after="120"/>
        <w:ind w:left="1701" w:hanging="1134"/>
        <w:rPr>
          <w:szCs w:val="22"/>
          <w:lang w:val="fr-FR"/>
        </w:rPr>
      </w:pPr>
      <w:r w:rsidRPr="006B5442">
        <w:rPr>
          <w:szCs w:val="22"/>
          <w:lang w:val="fr-FR"/>
        </w:rPr>
        <w:t>Pilier</w:t>
      </w:r>
      <w:r w:rsidR="00572638" w:rsidRPr="006B5442">
        <w:rPr>
          <w:szCs w:val="22"/>
          <w:lang w:val="fr-FR"/>
        </w:rPr>
        <w:t> </w:t>
      </w:r>
      <w:r w:rsidRPr="006B5442">
        <w:rPr>
          <w:szCs w:val="22"/>
          <w:lang w:val="fr-FR"/>
        </w:rPr>
        <w:t xml:space="preserve">C </w:t>
      </w:r>
      <w:r w:rsidR="00DA3DAD">
        <w:rPr>
          <w:szCs w:val="22"/>
          <w:lang w:val="fr-FR"/>
        </w:rPr>
        <w:tab/>
      </w:r>
      <w:r w:rsidRPr="006B5442">
        <w:rPr>
          <w:szCs w:val="22"/>
          <w:lang w:val="fr-FR"/>
        </w:rPr>
        <w:t xml:space="preserve">– </w:t>
      </w:r>
      <w:r w:rsidR="00DA3DAD">
        <w:rPr>
          <w:szCs w:val="22"/>
          <w:lang w:val="fr-FR"/>
        </w:rPr>
        <w:tab/>
      </w:r>
      <w:r w:rsidRPr="006B5442">
        <w:rPr>
          <w:szCs w:val="22"/>
          <w:lang w:val="fr-FR"/>
        </w:rPr>
        <w:t>Détermin</w:t>
      </w:r>
      <w:bookmarkStart w:id="4" w:name="_GoBack"/>
      <w:bookmarkEnd w:id="4"/>
      <w:r w:rsidRPr="006B5442">
        <w:rPr>
          <w:szCs w:val="22"/>
          <w:lang w:val="fr-FR"/>
        </w:rPr>
        <w:t>ation et</w:t>
      </w:r>
      <w:r w:rsidR="00375FBF" w:rsidRPr="006B5442">
        <w:rPr>
          <w:szCs w:val="22"/>
          <w:lang w:val="fr-FR"/>
        </w:rPr>
        <w:t xml:space="preserve"> </w:t>
      </w:r>
      <w:r w:rsidR="006B5442" w:rsidRPr="006B5442">
        <w:rPr>
          <w:szCs w:val="22"/>
          <w:lang w:val="fr-FR"/>
        </w:rPr>
        <w:t>déclaration du montant des engagements</w:t>
      </w:r>
      <w:r w:rsidRPr="006B5442">
        <w:rPr>
          <w:szCs w:val="22"/>
          <w:lang w:val="fr-FR"/>
        </w:rPr>
        <w:t>;  et</w:t>
      </w:r>
    </w:p>
    <w:p w:rsidR="00227FB8" w:rsidRDefault="00080CCE" w:rsidP="00DA3DAD">
      <w:pPr>
        <w:tabs>
          <w:tab w:val="left" w:pos="1418"/>
          <w:tab w:val="left" w:pos="1701"/>
        </w:tabs>
        <w:ind w:left="1701" w:hanging="1134"/>
        <w:rPr>
          <w:szCs w:val="22"/>
          <w:lang w:val="fr-FR"/>
        </w:rPr>
      </w:pPr>
      <w:r w:rsidRPr="006B5442">
        <w:rPr>
          <w:szCs w:val="22"/>
          <w:lang w:val="fr-FR"/>
        </w:rPr>
        <w:t>Pilier</w:t>
      </w:r>
      <w:r w:rsidR="00572638" w:rsidRPr="006B5442">
        <w:rPr>
          <w:szCs w:val="22"/>
          <w:lang w:val="fr-FR"/>
        </w:rPr>
        <w:t> </w:t>
      </w:r>
      <w:r w:rsidRPr="006B5442">
        <w:rPr>
          <w:szCs w:val="22"/>
          <w:lang w:val="fr-FR"/>
        </w:rPr>
        <w:t xml:space="preserve">D </w:t>
      </w:r>
      <w:r w:rsidR="00DA3DAD">
        <w:rPr>
          <w:szCs w:val="22"/>
          <w:lang w:val="fr-FR"/>
        </w:rPr>
        <w:tab/>
      </w:r>
      <w:r w:rsidRPr="006B5442">
        <w:rPr>
          <w:szCs w:val="22"/>
          <w:lang w:val="fr-FR"/>
        </w:rPr>
        <w:t xml:space="preserve">– </w:t>
      </w:r>
      <w:r w:rsidR="00DA3DAD">
        <w:rPr>
          <w:szCs w:val="22"/>
          <w:lang w:val="fr-FR"/>
        </w:rPr>
        <w:tab/>
      </w:r>
      <w:r w:rsidRPr="006B5442">
        <w:rPr>
          <w:szCs w:val="22"/>
          <w:lang w:val="fr-FR"/>
        </w:rPr>
        <w:t>S</w:t>
      </w:r>
      <w:r w:rsidR="00375FBF" w:rsidRPr="006B5442">
        <w:rPr>
          <w:szCs w:val="22"/>
          <w:lang w:val="fr-FR"/>
        </w:rPr>
        <w:t>tratégie</w:t>
      </w:r>
      <w:r w:rsidRPr="006B5442">
        <w:rPr>
          <w:szCs w:val="22"/>
          <w:lang w:val="fr-FR"/>
        </w:rPr>
        <w:t xml:space="preserve"> de financement de</w:t>
      </w:r>
      <w:r w:rsidR="00375FBF" w:rsidRPr="006B5442">
        <w:rPr>
          <w:szCs w:val="22"/>
          <w:lang w:val="fr-FR"/>
        </w:rPr>
        <w:t xml:space="preserve">s </w:t>
      </w:r>
      <w:r w:rsidR="006B5442" w:rsidRPr="006B5442">
        <w:rPr>
          <w:szCs w:val="22"/>
          <w:lang w:val="fr-FR"/>
        </w:rPr>
        <w:t>engagements</w:t>
      </w:r>
      <w:r w:rsidRPr="006B5442">
        <w:rPr>
          <w:szCs w:val="22"/>
          <w:lang w:val="fr-FR"/>
        </w:rPr>
        <w:t>.</w:t>
      </w:r>
    </w:p>
    <w:p w:rsidR="00227FB8" w:rsidRDefault="00227FB8" w:rsidP="00CE3512">
      <w:pPr>
        <w:rPr>
          <w:szCs w:val="22"/>
          <w:lang w:val="fr-FR"/>
        </w:rPr>
      </w:pPr>
    </w:p>
    <w:p w:rsidR="00227FB8" w:rsidRDefault="003E677B" w:rsidP="00CE3512">
      <w:pPr>
        <w:pStyle w:val="ONUMFS"/>
        <w:rPr>
          <w:lang w:val="fr-FR"/>
        </w:rPr>
      </w:pPr>
      <w:r w:rsidRPr="006B5442">
        <w:rPr>
          <w:lang w:val="fr-FR"/>
        </w:rPr>
        <w:t>L</w:t>
      </w:r>
      <w:r w:rsidR="0077445A">
        <w:rPr>
          <w:lang w:val="fr-FR"/>
        </w:rPr>
        <w:t>’</w:t>
      </w:r>
      <w:r w:rsidRPr="006B5442">
        <w:rPr>
          <w:lang w:val="fr-FR"/>
        </w:rPr>
        <w:t>étude a donné un aperçu très complet de la situation actuelle des régimes d</w:t>
      </w:r>
      <w:r w:rsidR="0077445A">
        <w:rPr>
          <w:lang w:val="fr-FR"/>
        </w:rPr>
        <w:t>’</w:t>
      </w:r>
      <w:r w:rsidRPr="006B5442">
        <w:rPr>
          <w:lang w:val="fr-FR"/>
        </w:rPr>
        <w:t>assurance maladie ainsi que des fonds et des obligations de chaque agence, fournissant le fondement pour un examen plus approfondi des po</w:t>
      </w:r>
      <w:r w:rsidR="00375FBF" w:rsidRPr="006B5442">
        <w:rPr>
          <w:lang w:val="fr-FR"/>
        </w:rPr>
        <w:t>ssibilité</w:t>
      </w:r>
      <w:r w:rsidRPr="006B5442">
        <w:rPr>
          <w:lang w:val="fr-FR"/>
        </w:rPr>
        <w:t>s d</w:t>
      </w:r>
      <w:r w:rsidR="0077445A">
        <w:rPr>
          <w:lang w:val="fr-FR"/>
        </w:rPr>
        <w:t>’</w:t>
      </w:r>
      <w:r w:rsidRPr="006B5442">
        <w:rPr>
          <w:lang w:val="fr-FR"/>
        </w:rPr>
        <w:t>accroître l</w:t>
      </w:r>
      <w:r w:rsidR="0077445A">
        <w:rPr>
          <w:lang w:val="fr-FR"/>
        </w:rPr>
        <w:t>’</w:t>
      </w:r>
      <w:r w:rsidRPr="006B5442">
        <w:rPr>
          <w:lang w:val="fr-FR"/>
        </w:rPr>
        <w:t>efficacité et de maîtriser les coû</w:t>
      </w:r>
      <w:r w:rsidR="00DF179D" w:rsidRPr="006B5442">
        <w:rPr>
          <w:lang w:val="fr-FR"/>
        </w:rPr>
        <w:t>ts</w:t>
      </w:r>
      <w:r w:rsidR="00DF179D">
        <w:rPr>
          <w:lang w:val="fr-FR"/>
        </w:rPr>
        <w:t xml:space="preserve">.  </w:t>
      </w:r>
      <w:r w:rsidR="00DF179D" w:rsidRPr="006B5442">
        <w:rPr>
          <w:lang w:val="fr-FR"/>
        </w:rPr>
        <w:t>Un</w:t>
      </w:r>
      <w:r w:rsidRPr="006B5442">
        <w:rPr>
          <w:lang w:val="fr-FR"/>
        </w:rPr>
        <w:t xml:space="preserve"> rapport sur le résultat de l</w:t>
      </w:r>
      <w:r w:rsidR="0077445A">
        <w:rPr>
          <w:lang w:val="fr-FR"/>
        </w:rPr>
        <w:t>’</w:t>
      </w:r>
      <w:r w:rsidRPr="006B5442">
        <w:rPr>
          <w:lang w:val="fr-FR"/>
        </w:rPr>
        <w:t>étude a été établi par le groupe de travail et soumis à la soixante</w:t>
      </w:r>
      <w:r w:rsidR="00DF179D">
        <w:rPr>
          <w:lang w:val="fr-FR"/>
        </w:rPr>
        <w:noBreakHyphen/>
      </w:r>
      <w:r w:rsidRPr="006B5442">
        <w:rPr>
          <w:lang w:val="fr-FR"/>
        </w:rPr>
        <w:t>dixième</w:t>
      </w:r>
      <w:r w:rsidR="00572638" w:rsidRPr="006B5442">
        <w:rPr>
          <w:lang w:val="fr-FR"/>
        </w:rPr>
        <w:t> </w:t>
      </w:r>
      <w:r w:rsidRPr="006B5442">
        <w:rPr>
          <w:lang w:val="fr-FR"/>
        </w:rPr>
        <w:t>session de l</w:t>
      </w:r>
      <w:r w:rsidR="0077445A">
        <w:rPr>
          <w:lang w:val="fr-FR"/>
        </w:rPr>
        <w:t>’</w:t>
      </w:r>
      <w:r w:rsidRPr="006B5442">
        <w:rPr>
          <w:lang w:val="fr-FR"/>
        </w:rPr>
        <w:t>Assemblée générale sous la forme d</w:t>
      </w:r>
      <w:r w:rsidR="0077445A">
        <w:rPr>
          <w:lang w:val="fr-FR"/>
        </w:rPr>
        <w:t>’</w:t>
      </w:r>
      <w:r w:rsidRPr="006B5442">
        <w:rPr>
          <w:lang w:val="fr-FR"/>
        </w:rPr>
        <w:t>un rapport du Secrétaire général (A/70/590).</w:t>
      </w:r>
    </w:p>
    <w:p w:rsidR="00227FB8" w:rsidRDefault="003904B9" w:rsidP="00CE3512">
      <w:pPr>
        <w:pStyle w:val="ONUMFS"/>
        <w:rPr>
          <w:lang w:val="fr-FR"/>
        </w:rPr>
      </w:pPr>
      <w:r w:rsidRPr="006B5442">
        <w:rPr>
          <w:lang w:val="fr-FR"/>
        </w:rPr>
        <w:t>Le rapport donne un aperçu et une analyse des éléments clés des régimes d</w:t>
      </w:r>
      <w:r w:rsidR="0077445A">
        <w:rPr>
          <w:lang w:val="fr-FR"/>
        </w:rPr>
        <w:t>’</w:t>
      </w:r>
      <w:r w:rsidRPr="006B5442">
        <w:rPr>
          <w:lang w:val="fr-FR"/>
        </w:rPr>
        <w:t xml:space="preserve">assurance maladie appliqués dans tout le système des </w:t>
      </w:r>
      <w:r w:rsidR="0077445A">
        <w:rPr>
          <w:lang w:val="fr-FR"/>
        </w:rPr>
        <w:t>Nations Unies</w:t>
      </w:r>
      <w:r w:rsidRPr="006B5442">
        <w:rPr>
          <w:lang w:val="fr-FR"/>
        </w:rPr>
        <w:t>, mettant l</w:t>
      </w:r>
      <w:r w:rsidR="0077445A">
        <w:rPr>
          <w:lang w:val="fr-FR"/>
        </w:rPr>
        <w:t>’</w:t>
      </w:r>
      <w:r w:rsidRPr="006B5442">
        <w:rPr>
          <w:lang w:val="fr-FR"/>
        </w:rPr>
        <w:t xml:space="preserve">accent sur la gestion et </w:t>
      </w:r>
      <w:r w:rsidR="006B5442" w:rsidRPr="006B5442">
        <w:rPr>
          <w:lang w:val="fr-FR"/>
        </w:rPr>
        <w:t>l</w:t>
      </w:r>
      <w:r w:rsidR="0077445A">
        <w:rPr>
          <w:lang w:val="fr-FR"/>
        </w:rPr>
        <w:t>’</w:t>
      </w:r>
      <w:r w:rsidR="006B5442" w:rsidRPr="006B5442">
        <w:rPr>
          <w:lang w:val="fr-FR"/>
        </w:rPr>
        <w:t xml:space="preserve">actualisation du montant des engagements au titre </w:t>
      </w:r>
      <w:r w:rsidRPr="006B5442">
        <w:rPr>
          <w:lang w:val="fr-FR"/>
        </w:rPr>
        <w:t>de l</w:t>
      </w:r>
      <w:r w:rsidR="0077445A">
        <w:rPr>
          <w:lang w:val="fr-FR"/>
        </w:rPr>
        <w:t>’</w:t>
      </w:r>
      <w:r w:rsidRPr="006B5442">
        <w:rPr>
          <w:lang w:val="fr-FR"/>
        </w:rPr>
        <w:t>assurance maladie après la cessation de service, et présente huit</w:t>
      </w:r>
      <w:r w:rsidR="00572638" w:rsidRPr="006B5442">
        <w:rPr>
          <w:lang w:val="fr-FR"/>
        </w:rPr>
        <w:t> </w:t>
      </w:r>
      <w:r w:rsidRPr="006B5442">
        <w:rPr>
          <w:lang w:val="fr-FR"/>
        </w:rPr>
        <w:t>recommandations en vue de leur examen par l</w:t>
      </w:r>
      <w:r w:rsidR="0077445A">
        <w:rPr>
          <w:lang w:val="fr-FR"/>
        </w:rPr>
        <w:t>’</w:t>
      </w:r>
      <w:r w:rsidRPr="006B5442">
        <w:rPr>
          <w:lang w:val="fr-FR"/>
        </w:rPr>
        <w:t>Assemblée générale.</w:t>
      </w:r>
    </w:p>
    <w:p w:rsidR="00227FB8" w:rsidRDefault="003904B9" w:rsidP="00CE3512">
      <w:pPr>
        <w:pStyle w:val="ONUMFS"/>
        <w:rPr>
          <w:lang w:val="fr-FR"/>
        </w:rPr>
      </w:pPr>
      <w:r w:rsidRPr="006B5442">
        <w:rPr>
          <w:lang w:val="fr-FR"/>
        </w:rPr>
        <w:t>Le Comité consultatif pour les questions administratives et budgétaires (CCQAB) a examiné le rapport en février</w:t>
      </w:r>
      <w:r w:rsidR="00572638" w:rsidRPr="006B5442">
        <w:rPr>
          <w:lang w:val="fr-FR"/>
        </w:rPr>
        <w:t> </w:t>
      </w:r>
      <w:r w:rsidRPr="006B5442">
        <w:rPr>
          <w:lang w:val="fr-FR"/>
        </w:rPr>
        <w:t>2016.</w:t>
      </w:r>
      <w:r w:rsidR="005E08FE" w:rsidRPr="006B5442">
        <w:rPr>
          <w:lang w:val="fr-FR"/>
        </w:rPr>
        <w:t xml:space="preserve">  </w:t>
      </w:r>
      <w:r w:rsidR="00572638" w:rsidRPr="006B5442">
        <w:rPr>
          <w:lang w:val="fr-FR"/>
        </w:rPr>
        <w:t>À</w:t>
      </w:r>
      <w:r w:rsidRPr="006B5442">
        <w:rPr>
          <w:lang w:val="fr-FR"/>
        </w:rPr>
        <w:t xml:space="preserve"> cette occasion,</w:t>
      </w:r>
      <w:r w:rsidR="00156D8F" w:rsidRPr="006B5442">
        <w:rPr>
          <w:lang w:val="fr-FR"/>
        </w:rPr>
        <w:t xml:space="preserve"> le CCQ</w:t>
      </w:r>
      <w:r w:rsidRPr="006B5442">
        <w:rPr>
          <w:lang w:val="fr-FR"/>
        </w:rPr>
        <w:t>AB a approuvé un certain nombre de ces recommandations et a également recommandé que l</w:t>
      </w:r>
      <w:r w:rsidR="0077445A">
        <w:rPr>
          <w:lang w:val="fr-FR"/>
        </w:rPr>
        <w:t>’</w:t>
      </w:r>
      <w:r w:rsidRPr="006B5442">
        <w:rPr>
          <w:lang w:val="fr-FR"/>
        </w:rPr>
        <w:t>Assemblée générale demande au Secrétaire général de maintenir le groupe de travail afin d</w:t>
      </w:r>
      <w:r w:rsidR="0077445A">
        <w:rPr>
          <w:lang w:val="fr-FR"/>
        </w:rPr>
        <w:t>’</w:t>
      </w:r>
      <w:r w:rsidRPr="006B5442">
        <w:rPr>
          <w:lang w:val="fr-FR"/>
        </w:rPr>
        <w:t>étudier d</w:t>
      </w:r>
      <w:r w:rsidR="0077445A">
        <w:rPr>
          <w:lang w:val="fr-FR"/>
        </w:rPr>
        <w:t>’</w:t>
      </w:r>
      <w:r w:rsidRPr="006B5442">
        <w:rPr>
          <w:lang w:val="fr-FR"/>
        </w:rPr>
        <w:t>autres possibilités d</w:t>
      </w:r>
      <w:r w:rsidR="0077445A">
        <w:rPr>
          <w:lang w:val="fr-FR"/>
        </w:rPr>
        <w:t>’</w:t>
      </w:r>
      <w:r w:rsidRPr="006B5442">
        <w:rPr>
          <w:lang w:val="fr-FR"/>
        </w:rPr>
        <w:t>accroître l</w:t>
      </w:r>
      <w:r w:rsidR="0077445A">
        <w:rPr>
          <w:lang w:val="fr-FR"/>
        </w:rPr>
        <w:t>’</w:t>
      </w:r>
      <w:r w:rsidRPr="006B5442">
        <w:rPr>
          <w:lang w:val="fr-FR"/>
        </w:rPr>
        <w:t>efficacité et de maîtriser les coû</w:t>
      </w:r>
      <w:r w:rsidR="00DF179D" w:rsidRPr="006B5442">
        <w:rPr>
          <w:lang w:val="fr-FR"/>
        </w:rPr>
        <w:t>ts</w:t>
      </w:r>
      <w:r w:rsidR="00DF179D">
        <w:rPr>
          <w:lang w:val="fr-FR"/>
        </w:rPr>
        <w:t xml:space="preserve">.  </w:t>
      </w:r>
      <w:r w:rsidR="00DF179D" w:rsidRPr="006B5442">
        <w:rPr>
          <w:lang w:val="fr-FR"/>
        </w:rPr>
        <w:t>La</w:t>
      </w:r>
      <w:r w:rsidR="00DC02D3" w:rsidRPr="006B5442">
        <w:rPr>
          <w:lang w:val="fr-FR"/>
        </w:rPr>
        <w:t xml:space="preserve"> Cinquième</w:t>
      </w:r>
      <w:r w:rsidR="00572638" w:rsidRPr="006B5442">
        <w:rPr>
          <w:lang w:val="fr-FR"/>
        </w:rPr>
        <w:t> </w:t>
      </w:r>
      <w:r w:rsidR="00DC02D3" w:rsidRPr="006B5442">
        <w:rPr>
          <w:lang w:val="fr-FR"/>
        </w:rPr>
        <w:t>Commission a examiné le rapport du Secrétaire général en mars 2016</w:t>
      </w:r>
      <w:r w:rsidR="00375FBF" w:rsidRPr="006B5442">
        <w:rPr>
          <w:lang w:val="fr-FR"/>
        </w:rPr>
        <w:t>,</w:t>
      </w:r>
      <w:r w:rsidR="00DC02D3" w:rsidRPr="006B5442">
        <w:rPr>
          <w:lang w:val="fr-FR"/>
        </w:rPr>
        <w:t xml:space="preserve"> fai</w:t>
      </w:r>
      <w:r w:rsidR="00375FBF" w:rsidRPr="006B5442">
        <w:rPr>
          <w:lang w:val="fr-FR"/>
        </w:rPr>
        <w:t>san</w:t>
      </w:r>
      <w:r w:rsidR="00DC02D3" w:rsidRPr="006B5442">
        <w:rPr>
          <w:lang w:val="fr-FR"/>
        </w:rPr>
        <w:t>t siennes les conclusions et recommandations que</w:t>
      </w:r>
      <w:r w:rsidR="00156D8F" w:rsidRPr="006B5442">
        <w:rPr>
          <w:lang w:val="fr-FR"/>
        </w:rPr>
        <w:t xml:space="preserve"> le CCQ</w:t>
      </w:r>
      <w:r w:rsidR="00DC02D3" w:rsidRPr="006B5442">
        <w:rPr>
          <w:lang w:val="fr-FR"/>
        </w:rPr>
        <w:t>AB avait formulées dans son rappo</w:t>
      </w:r>
      <w:r w:rsidR="00DF179D" w:rsidRPr="006B5442">
        <w:rPr>
          <w:lang w:val="fr-FR"/>
        </w:rPr>
        <w:t>rt</w:t>
      </w:r>
      <w:r w:rsidR="00DF179D">
        <w:rPr>
          <w:lang w:val="fr-FR"/>
        </w:rPr>
        <w:t xml:space="preserve">.  </w:t>
      </w:r>
      <w:r w:rsidR="00DF179D" w:rsidRPr="006B5442">
        <w:rPr>
          <w:lang w:val="fr-FR"/>
        </w:rPr>
        <w:t>Le</w:t>
      </w:r>
      <w:r w:rsidR="00DC02D3" w:rsidRPr="006B5442">
        <w:rPr>
          <w:lang w:val="fr-FR"/>
        </w:rPr>
        <w:t>s huit</w:t>
      </w:r>
      <w:r w:rsidR="00572638" w:rsidRPr="006B5442">
        <w:rPr>
          <w:lang w:val="fr-FR"/>
        </w:rPr>
        <w:t> </w:t>
      </w:r>
      <w:r w:rsidR="00DC02D3" w:rsidRPr="006B5442">
        <w:rPr>
          <w:lang w:val="fr-FR"/>
        </w:rPr>
        <w:t>recommandations du groupe de travail, ainsi que les recommandations</w:t>
      </w:r>
      <w:r w:rsidR="00156D8F" w:rsidRPr="006B5442">
        <w:rPr>
          <w:lang w:val="fr-FR"/>
        </w:rPr>
        <w:t xml:space="preserve"> du CCQ</w:t>
      </w:r>
      <w:r w:rsidR="00DC02D3" w:rsidRPr="006B5442">
        <w:rPr>
          <w:lang w:val="fr-FR"/>
        </w:rPr>
        <w:t>AB</w:t>
      </w:r>
      <w:r w:rsidR="00375FBF" w:rsidRPr="006B5442">
        <w:rPr>
          <w:lang w:val="fr-FR"/>
        </w:rPr>
        <w:t>,</w:t>
      </w:r>
      <w:r w:rsidR="00DC02D3" w:rsidRPr="006B5442">
        <w:rPr>
          <w:lang w:val="fr-FR"/>
        </w:rPr>
        <w:t xml:space="preserve"> figurent dans l</w:t>
      </w:r>
      <w:r w:rsidR="0077445A">
        <w:rPr>
          <w:lang w:val="fr-FR"/>
        </w:rPr>
        <w:t>’</w:t>
      </w:r>
      <w:r w:rsidR="00DC02D3" w:rsidRPr="006B5442">
        <w:rPr>
          <w:lang w:val="fr-FR"/>
        </w:rPr>
        <w:t>anne</w:t>
      </w:r>
      <w:r w:rsidR="00DF179D" w:rsidRPr="006B5442">
        <w:rPr>
          <w:lang w:val="fr-FR"/>
        </w:rPr>
        <w:t>xe</w:t>
      </w:r>
      <w:r w:rsidR="00DF179D">
        <w:rPr>
          <w:lang w:val="fr-FR"/>
        </w:rPr>
        <w:t xml:space="preserve">.  </w:t>
      </w:r>
      <w:r w:rsidR="00DF179D" w:rsidRPr="006B5442">
        <w:rPr>
          <w:lang w:val="fr-FR"/>
        </w:rPr>
        <w:t xml:space="preserve">À </w:t>
      </w:r>
      <w:r w:rsidR="00202BAF" w:rsidRPr="006B5442">
        <w:rPr>
          <w:lang w:val="fr-FR"/>
        </w:rPr>
        <w:t>bien des égards, les conclusions et recommandations</w:t>
      </w:r>
      <w:r w:rsidR="00156D8F" w:rsidRPr="006B5442">
        <w:rPr>
          <w:lang w:val="fr-FR"/>
        </w:rPr>
        <w:t xml:space="preserve"> du CCQ</w:t>
      </w:r>
      <w:r w:rsidR="00202BAF" w:rsidRPr="006B5442">
        <w:rPr>
          <w:lang w:val="fr-FR"/>
        </w:rPr>
        <w:t>AB et de la Cinquième</w:t>
      </w:r>
      <w:r w:rsidR="00572638" w:rsidRPr="006B5442">
        <w:rPr>
          <w:lang w:val="fr-FR"/>
        </w:rPr>
        <w:t> </w:t>
      </w:r>
      <w:r w:rsidR="00202BAF" w:rsidRPr="006B5442">
        <w:rPr>
          <w:lang w:val="fr-FR"/>
        </w:rPr>
        <w:t xml:space="preserve">Commission étaient conformes aux recommandations contenues dans le rapport du Secrétaire général, confirmant </w:t>
      </w:r>
      <w:r w:rsidR="00A55652" w:rsidRPr="006B5442">
        <w:rPr>
          <w:lang w:val="fr-FR"/>
        </w:rPr>
        <w:t>la pertinence et l</w:t>
      </w:r>
      <w:r w:rsidR="0077445A">
        <w:rPr>
          <w:lang w:val="fr-FR"/>
        </w:rPr>
        <w:t>’</w:t>
      </w:r>
      <w:r w:rsidR="00A55652" w:rsidRPr="006B5442">
        <w:rPr>
          <w:lang w:val="fr-FR"/>
        </w:rPr>
        <w:t>utilité d</w:t>
      </w:r>
      <w:r w:rsidR="00202BAF" w:rsidRPr="006B5442">
        <w:rPr>
          <w:lang w:val="fr-FR"/>
        </w:rPr>
        <w:t>es recommandations du groupe de travail, telles qu</w:t>
      </w:r>
      <w:r w:rsidR="0077445A">
        <w:rPr>
          <w:lang w:val="fr-FR"/>
        </w:rPr>
        <w:t>’</w:t>
      </w:r>
      <w:r w:rsidR="00A55652" w:rsidRPr="006B5442">
        <w:rPr>
          <w:lang w:val="fr-FR"/>
        </w:rPr>
        <w:t xml:space="preserve">elles ont été </w:t>
      </w:r>
      <w:r w:rsidR="00202BAF" w:rsidRPr="006B5442">
        <w:rPr>
          <w:lang w:val="fr-FR"/>
        </w:rPr>
        <w:t>approuvées par le Comité de haut niveau sur la gestion.</w:t>
      </w:r>
    </w:p>
    <w:p w:rsidR="00227FB8" w:rsidRDefault="00572638" w:rsidP="00CE3512">
      <w:pPr>
        <w:pStyle w:val="ONUMFS"/>
        <w:rPr>
          <w:lang w:val="fr-FR"/>
        </w:rPr>
      </w:pPr>
      <w:r w:rsidRPr="006B5442">
        <w:rPr>
          <w:lang w:val="fr-FR"/>
        </w:rPr>
        <w:t>À</w:t>
      </w:r>
      <w:r w:rsidR="00202BAF" w:rsidRPr="006B5442">
        <w:rPr>
          <w:lang w:val="fr-FR"/>
        </w:rPr>
        <w:t xml:space="preserve"> sa vingt</w:t>
      </w:r>
      <w:r w:rsidR="00DF179D">
        <w:rPr>
          <w:lang w:val="fr-FR"/>
        </w:rPr>
        <w:noBreakHyphen/>
      </w:r>
      <w:r w:rsidR="00202BAF" w:rsidRPr="006B5442">
        <w:rPr>
          <w:lang w:val="fr-FR"/>
        </w:rPr>
        <w:t>sixième</w:t>
      </w:r>
      <w:r w:rsidRPr="006B5442">
        <w:rPr>
          <w:lang w:val="fr-FR"/>
        </w:rPr>
        <w:t> </w:t>
      </w:r>
      <w:r w:rsidR="00202BAF" w:rsidRPr="006B5442">
        <w:rPr>
          <w:lang w:val="fr-FR"/>
        </w:rPr>
        <w:t>réunion tenue en février</w:t>
      </w:r>
      <w:r w:rsidRPr="006B5442">
        <w:rPr>
          <w:lang w:val="fr-FR"/>
        </w:rPr>
        <w:t> </w:t>
      </w:r>
      <w:r w:rsidR="00DF179D">
        <w:rPr>
          <w:lang w:val="fr-FR"/>
        </w:rPr>
        <w:t>2016, le Réseau F</w:t>
      </w:r>
      <w:r w:rsidR="00202BAF" w:rsidRPr="006B5442">
        <w:rPr>
          <w:lang w:val="fr-FR"/>
        </w:rPr>
        <w:t xml:space="preserve">inances et </w:t>
      </w:r>
      <w:r w:rsidR="00DF179D">
        <w:rPr>
          <w:lang w:val="fr-FR"/>
        </w:rPr>
        <w:t>B</w:t>
      </w:r>
      <w:r w:rsidR="00202BAF" w:rsidRPr="006B5442">
        <w:rPr>
          <w:lang w:val="fr-FR"/>
        </w:rPr>
        <w:t xml:space="preserve">udget a examiné le rapport du Secrétaire général et les principales questions qui avaient été soulevées </w:t>
      </w:r>
      <w:r w:rsidR="00A55652" w:rsidRPr="006B5442">
        <w:rPr>
          <w:lang w:val="fr-FR"/>
        </w:rPr>
        <w:t>lors de débats</w:t>
      </w:r>
      <w:r w:rsidR="00202BAF" w:rsidRPr="006B5442">
        <w:rPr>
          <w:lang w:val="fr-FR"/>
        </w:rPr>
        <w:t xml:space="preserve"> avec</w:t>
      </w:r>
      <w:r w:rsidR="00156D8F" w:rsidRPr="006B5442">
        <w:rPr>
          <w:lang w:val="fr-FR"/>
        </w:rPr>
        <w:t xml:space="preserve"> le CCQ</w:t>
      </w:r>
      <w:r w:rsidR="00202BAF" w:rsidRPr="006B5442">
        <w:rPr>
          <w:lang w:val="fr-FR"/>
        </w:rPr>
        <w:t>AB et a confirmé le</w:t>
      </w:r>
      <w:r w:rsidR="00A55652" w:rsidRPr="006B5442">
        <w:rPr>
          <w:lang w:val="fr-FR"/>
        </w:rPr>
        <w:t xml:space="preserve"> mandat</w:t>
      </w:r>
      <w:r w:rsidR="00202BAF" w:rsidRPr="006B5442">
        <w:rPr>
          <w:lang w:val="fr-FR"/>
        </w:rPr>
        <w:t xml:space="preserve"> pour le maintien du groupe de travail sur l</w:t>
      </w:r>
      <w:r w:rsidR="0077445A">
        <w:rPr>
          <w:lang w:val="fr-FR"/>
        </w:rPr>
        <w:t>’</w:t>
      </w:r>
      <w:r w:rsidR="00202BAF" w:rsidRPr="006B5442">
        <w:rPr>
          <w:lang w:val="fr-FR"/>
        </w:rPr>
        <w:t>AMCS, sous réserve de l</w:t>
      </w:r>
      <w:r w:rsidR="0077445A">
        <w:rPr>
          <w:lang w:val="fr-FR"/>
        </w:rPr>
        <w:t>’</w:t>
      </w:r>
      <w:r w:rsidR="00202BAF" w:rsidRPr="006B5442">
        <w:rPr>
          <w:lang w:val="fr-FR"/>
        </w:rPr>
        <w:t>issue de toute décision prise par l</w:t>
      </w:r>
      <w:r w:rsidR="0077445A">
        <w:rPr>
          <w:lang w:val="fr-FR"/>
        </w:rPr>
        <w:t>’</w:t>
      </w:r>
      <w:r w:rsidR="00202BAF" w:rsidRPr="006B5442">
        <w:rPr>
          <w:lang w:val="fr-FR"/>
        </w:rPr>
        <w:t>Assemblée générale (paragraphe</w:t>
      </w:r>
      <w:r w:rsidR="006C0B04" w:rsidRPr="006B5442">
        <w:rPr>
          <w:lang w:val="fr-FR"/>
        </w:rPr>
        <w:t> </w:t>
      </w:r>
      <w:r w:rsidR="00202BAF" w:rsidRPr="006B5442">
        <w:rPr>
          <w:lang w:val="fr-FR"/>
        </w:rPr>
        <w:t>6 ci</w:t>
      </w:r>
      <w:r w:rsidR="00DF179D">
        <w:rPr>
          <w:lang w:val="fr-FR"/>
        </w:rPr>
        <w:noBreakHyphen/>
      </w:r>
      <w:r w:rsidR="00202BAF" w:rsidRPr="006B5442">
        <w:rPr>
          <w:lang w:val="fr-FR"/>
        </w:rPr>
        <w:t>dess</w:t>
      </w:r>
      <w:r w:rsidR="00DF179D" w:rsidRPr="006B5442">
        <w:rPr>
          <w:lang w:val="fr-FR"/>
        </w:rPr>
        <w:t>us)</w:t>
      </w:r>
      <w:r w:rsidR="00DF179D">
        <w:rPr>
          <w:lang w:val="fr-FR"/>
        </w:rPr>
        <w:t xml:space="preserve">.  </w:t>
      </w:r>
      <w:r w:rsidR="00DF179D" w:rsidRPr="006B5442">
        <w:rPr>
          <w:lang w:val="fr-FR"/>
        </w:rPr>
        <w:t>Il</w:t>
      </w:r>
      <w:r w:rsidR="00286389" w:rsidRPr="006B5442">
        <w:rPr>
          <w:lang w:val="fr-FR"/>
        </w:rPr>
        <w:t xml:space="preserve"> a été convenu que le groupe de travail accomplirait les tâches suivantes</w:t>
      </w:r>
      <w:r w:rsidR="006C0B04" w:rsidRPr="006B5442">
        <w:rPr>
          <w:lang w:val="fr-FR"/>
        </w:rPr>
        <w:t> </w:t>
      </w:r>
      <w:r w:rsidR="00286389" w:rsidRPr="006B5442">
        <w:rPr>
          <w:lang w:val="fr-FR"/>
        </w:rPr>
        <w:t>:</w:t>
      </w:r>
    </w:p>
    <w:p w:rsidR="00227FB8" w:rsidRDefault="00BE4751" w:rsidP="001603F4">
      <w:pPr>
        <w:pStyle w:val="ONUMFS"/>
        <w:numPr>
          <w:ilvl w:val="2"/>
          <w:numId w:val="6"/>
        </w:numPr>
        <w:tabs>
          <w:tab w:val="clear" w:pos="1701"/>
          <w:tab w:val="num" w:pos="1134"/>
        </w:tabs>
        <w:ind w:left="567"/>
        <w:rPr>
          <w:lang w:val="fr-FR"/>
        </w:rPr>
      </w:pPr>
      <w:r w:rsidRPr="006B5442">
        <w:rPr>
          <w:lang w:val="fr-FR"/>
        </w:rPr>
        <w:t>continuer d</w:t>
      </w:r>
      <w:r w:rsidR="0077445A">
        <w:rPr>
          <w:lang w:val="fr-FR"/>
        </w:rPr>
        <w:t>’</w:t>
      </w:r>
      <w:r w:rsidRPr="006B5442">
        <w:rPr>
          <w:lang w:val="fr-FR"/>
        </w:rPr>
        <w:t xml:space="preserve">explorer les possibilités de mener des négociations collectives avec des tiers administrateurs et </w:t>
      </w:r>
      <w:r w:rsidR="00396FDA" w:rsidRPr="006B5442">
        <w:rPr>
          <w:lang w:val="fr-FR"/>
        </w:rPr>
        <w:t>prestataire</w:t>
      </w:r>
      <w:r w:rsidRPr="006B5442">
        <w:rPr>
          <w:lang w:val="fr-FR"/>
        </w:rPr>
        <w:t>s de s</w:t>
      </w:r>
      <w:r w:rsidR="00396FDA" w:rsidRPr="006B5442">
        <w:rPr>
          <w:lang w:val="fr-FR"/>
        </w:rPr>
        <w:t>erv</w:t>
      </w:r>
      <w:r w:rsidRPr="006B5442">
        <w:rPr>
          <w:lang w:val="fr-FR"/>
        </w:rPr>
        <w:t>i</w:t>
      </w:r>
      <w:r w:rsidR="00396FDA" w:rsidRPr="006B5442">
        <w:rPr>
          <w:lang w:val="fr-FR"/>
        </w:rPr>
        <w:t>ces</w:t>
      </w:r>
      <w:r w:rsidRPr="006B5442">
        <w:rPr>
          <w:lang w:val="fr-FR"/>
        </w:rPr>
        <w:t xml:space="preserve"> </w:t>
      </w:r>
      <w:r w:rsidR="00396FDA" w:rsidRPr="006B5442">
        <w:rPr>
          <w:lang w:val="fr-FR"/>
        </w:rPr>
        <w:t>de sant</w:t>
      </w:r>
      <w:r w:rsidRPr="006B5442">
        <w:rPr>
          <w:lang w:val="fr-FR"/>
        </w:rPr>
        <w:t xml:space="preserve">é, et procéder à </w:t>
      </w:r>
      <w:r w:rsidR="00396FDA" w:rsidRPr="006B5442">
        <w:rPr>
          <w:lang w:val="fr-FR"/>
        </w:rPr>
        <w:t>l</w:t>
      </w:r>
      <w:r w:rsidR="0077445A">
        <w:rPr>
          <w:lang w:val="fr-FR"/>
        </w:rPr>
        <w:t>’</w:t>
      </w:r>
      <w:r w:rsidR="00396FDA" w:rsidRPr="006B5442">
        <w:rPr>
          <w:lang w:val="fr-FR"/>
        </w:rPr>
        <w:t xml:space="preserve">examen </w:t>
      </w:r>
      <w:r w:rsidRPr="006B5442">
        <w:rPr>
          <w:lang w:val="fr-FR"/>
        </w:rPr>
        <w:t xml:space="preserve">des </w:t>
      </w:r>
      <w:r w:rsidR="006B5442" w:rsidRPr="006B5442">
        <w:rPr>
          <w:lang w:val="fr-FR"/>
        </w:rPr>
        <w:t>conventions</w:t>
      </w:r>
      <w:r w:rsidRPr="006B5442">
        <w:rPr>
          <w:lang w:val="fr-FR"/>
        </w:rPr>
        <w:t>;</w:t>
      </w:r>
    </w:p>
    <w:p w:rsidR="00227FB8" w:rsidRDefault="00BE4751" w:rsidP="001603F4">
      <w:pPr>
        <w:pStyle w:val="ONUMFS"/>
        <w:numPr>
          <w:ilvl w:val="2"/>
          <w:numId w:val="6"/>
        </w:numPr>
        <w:tabs>
          <w:tab w:val="clear" w:pos="1701"/>
          <w:tab w:val="num" w:pos="1134"/>
        </w:tabs>
        <w:ind w:left="567"/>
        <w:rPr>
          <w:lang w:val="fr-FR"/>
        </w:rPr>
      </w:pPr>
      <w:r w:rsidRPr="006B5442">
        <w:rPr>
          <w:lang w:val="fr-FR"/>
        </w:rPr>
        <w:t>s</w:t>
      </w:r>
      <w:r w:rsidR="0077445A">
        <w:rPr>
          <w:lang w:val="fr-FR"/>
        </w:rPr>
        <w:t>’</w:t>
      </w:r>
      <w:r w:rsidRPr="006B5442">
        <w:rPr>
          <w:lang w:val="fr-FR"/>
        </w:rPr>
        <w:t>e</w:t>
      </w:r>
      <w:r w:rsidR="00396FDA" w:rsidRPr="006B5442">
        <w:rPr>
          <w:lang w:val="fr-FR"/>
        </w:rPr>
        <w:t>ngag</w:t>
      </w:r>
      <w:r w:rsidRPr="006B5442">
        <w:rPr>
          <w:lang w:val="fr-FR"/>
        </w:rPr>
        <w:t xml:space="preserve">er </w:t>
      </w:r>
      <w:r w:rsidR="00396FDA" w:rsidRPr="006B5442">
        <w:rPr>
          <w:lang w:val="fr-FR"/>
        </w:rPr>
        <w:t>à</w:t>
      </w:r>
      <w:r w:rsidRPr="006B5442">
        <w:rPr>
          <w:lang w:val="fr-FR"/>
        </w:rPr>
        <w:t xml:space="preserve"> présenter des informations supplémentaires sur les régimes nationaux d</w:t>
      </w:r>
      <w:r w:rsidR="0077445A">
        <w:rPr>
          <w:lang w:val="fr-FR"/>
        </w:rPr>
        <w:t>’</w:t>
      </w:r>
      <w:r w:rsidRPr="006B5442">
        <w:rPr>
          <w:lang w:val="fr-FR"/>
        </w:rPr>
        <w:t>assurance maladie dans le cadre de la prochaine étape de l</w:t>
      </w:r>
      <w:r w:rsidR="0077445A">
        <w:rPr>
          <w:lang w:val="fr-FR"/>
        </w:rPr>
        <w:t>’</w:t>
      </w:r>
      <w:r w:rsidRPr="006B5442">
        <w:rPr>
          <w:lang w:val="fr-FR"/>
        </w:rPr>
        <w:t>étude;</w:t>
      </w:r>
    </w:p>
    <w:p w:rsidR="00227FB8" w:rsidRDefault="008D3BEA" w:rsidP="001603F4">
      <w:pPr>
        <w:pStyle w:val="ONUMFS"/>
        <w:numPr>
          <w:ilvl w:val="2"/>
          <w:numId w:val="6"/>
        </w:numPr>
        <w:tabs>
          <w:tab w:val="clear" w:pos="1701"/>
          <w:tab w:val="num" w:pos="1134"/>
        </w:tabs>
        <w:ind w:left="567"/>
        <w:rPr>
          <w:lang w:val="fr-FR"/>
        </w:rPr>
      </w:pPr>
      <w:r w:rsidRPr="006B5442">
        <w:rPr>
          <w:lang w:val="fr-FR"/>
        </w:rPr>
        <w:t>continuer d</w:t>
      </w:r>
      <w:r w:rsidR="0077445A">
        <w:rPr>
          <w:lang w:val="fr-FR"/>
        </w:rPr>
        <w:t>’</w:t>
      </w:r>
      <w:r w:rsidRPr="006B5442">
        <w:rPr>
          <w:lang w:val="fr-FR"/>
        </w:rPr>
        <w:t>examiner les p</w:t>
      </w:r>
      <w:r w:rsidR="00ED5658" w:rsidRPr="006B5442">
        <w:rPr>
          <w:lang w:val="fr-FR"/>
        </w:rPr>
        <w:t>ossibilités d</w:t>
      </w:r>
      <w:r w:rsidR="0077445A">
        <w:rPr>
          <w:lang w:val="fr-FR"/>
        </w:rPr>
        <w:t>’</w:t>
      </w:r>
      <w:r w:rsidR="00ED5658" w:rsidRPr="006B5442">
        <w:rPr>
          <w:lang w:val="fr-FR"/>
        </w:rPr>
        <w:t xml:space="preserve">adopter </w:t>
      </w:r>
      <w:r w:rsidRPr="006B5442">
        <w:rPr>
          <w:lang w:val="fr-FR"/>
        </w:rPr>
        <w:t>une approche de la gestion des prestations au titre de l</w:t>
      </w:r>
      <w:r w:rsidR="0077445A">
        <w:rPr>
          <w:lang w:val="fr-FR"/>
        </w:rPr>
        <w:t>’</w:t>
      </w:r>
      <w:r w:rsidRPr="006B5442">
        <w:rPr>
          <w:lang w:val="fr-FR"/>
        </w:rPr>
        <w:t xml:space="preserve">assurance maladie </w:t>
      </w:r>
      <w:r w:rsidR="00ED5658" w:rsidRPr="006B5442">
        <w:rPr>
          <w:lang w:val="fr-FR"/>
        </w:rPr>
        <w:t>applicable à l</w:t>
      </w:r>
      <w:r w:rsidR="0077445A">
        <w:rPr>
          <w:lang w:val="fr-FR"/>
        </w:rPr>
        <w:t>’</w:t>
      </w:r>
      <w:r w:rsidR="00ED5658" w:rsidRPr="006B5442">
        <w:rPr>
          <w:lang w:val="fr-FR"/>
        </w:rPr>
        <w:t xml:space="preserve">ensemble du système </w:t>
      </w:r>
      <w:r w:rsidRPr="006B5442">
        <w:rPr>
          <w:lang w:val="fr-FR"/>
        </w:rPr>
        <w:t xml:space="preserve">et demander à la Caisse commune des pensions du personnel des </w:t>
      </w:r>
      <w:r w:rsidR="0077445A">
        <w:rPr>
          <w:lang w:val="fr-FR"/>
        </w:rPr>
        <w:t>Nations Unies</w:t>
      </w:r>
      <w:r w:rsidRPr="006B5442">
        <w:rPr>
          <w:lang w:val="fr-FR"/>
        </w:rPr>
        <w:t xml:space="preserve"> de </w:t>
      </w:r>
      <w:r w:rsidRPr="006B5442">
        <w:rPr>
          <w:lang w:val="fr-FR"/>
        </w:rPr>
        <w:lastRenderedPageBreak/>
        <w:t>partager ses principes de bonne gestion et ses méthodes pour centraliser et gérer un régime complexe regroupant de nombreux employeurs;</w:t>
      </w:r>
    </w:p>
    <w:p w:rsidR="00227FB8" w:rsidRDefault="00ED5658" w:rsidP="001603F4">
      <w:pPr>
        <w:pStyle w:val="ONUMFS"/>
        <w:numPr>
          <w:ilvl w:val="2"/>
          <w:numId w:val="6"/>
        </w:numPr>
        <w:tabs>
          <w:tab w:val="clear" w:pos="1701"/>
          <w:tab w:val="num" w:pos="1134"/>
        </w:tabs>
        <w:ind w:left="567"/>
        <w:rPr>
          <w:lang w:val="fr-FR"/>
        </w:rPr>
      </w:pPr>
      <w:r w:rsidRPr="006B5442">
        <w:rPr>
          <w:lang w:val="fr-FR"/>
        </w:rPr>
        <w:t xml:space="preserve">déterminer </w:t>
      </w:r>
      <w:r w:rsidR="008D3BEA" w:rsidRPr="006B5442">
        <w:rPr>
          <w:lang w:val="fr-FR"/>
        </w:rPr>
        <w:t xml:space="preserve">si la justification du provisionnement des ressources budgétaires nécessaires </w:t>
      </w:r>
      <w:r w:rsidRPr="006B5442">
        <w:rPr>
          <w:lang w:val="fr-FR"/>
        </w:rPr>
        <w:t xml:space="preserve">pour faire face </w:t>
      </w:r>
      <w:r w:rsidR="008D3BEA" w:rsidRPr="006B5442">
        <w:rPr>
          <w:lang w:val="fr-FR"/>
        </w:rPr>
        <w:t>au</w:t>
      </w:r>
      <w:r w:rsidRPr="006B5442">
        <w:rPr>
          <w:lang w:val="fr-FR"/>
        </w:rPr>
        <w:t>x</w:t>
      </w:r>
      <w:r w:rsidR="008D3BEA" w:rsidRPr="006B5442">
        <w:rPr>
          <w:lang w:val="fr-FR"/>
        </w:rPr>
        <w:t xml:space="preserve"> futures obligations prévues peut et doit être </w:t>
      </w:r>
      <w:r w:rsidRPr="006B5442">
        <w:rPr>
          <w:lang w:val="fr-FR"/>
        </w:rPr>
        <w:t>étay</w:t>
      </w:r>
      <w:r w:rsidR="008D3BEA" w:rsidRPr="006B5442">
        <w:rPr>
          <w:lang w:val="fr-FR"/>
        </w:rPr>
        <w:t>ée;</w:t>
      </w:r>
    </w:p>
    <w:p w:rsidR="00227FB8" w:rsidRDefault="00A12734" w:rsidP="001603F4">
      <w:pPr>
        <w:pStyle w:val="ONUMFS"/>
        <w:numPr>
          <w:ilvl w:val="2"/>
          <w:numId w:val="6"/>
        </w:numPr>
        <w:tabs>
          <w:tab w:val="clear" w:pos="1701"/>
          <w:tab w:val="num" w:pos="1134"/>
        </w:tabs>
        <w:ind w:left="567"/>
        <w:rPr>
          <w:lang w:val="fr-FR"/>
        </w:rPr>
      </w:pPr>
      <w:r w:rsidRPr="006B5442">
        <w:rPr>
          <w:lang w:val="fr-FR"/>
        </w:rPr>
        <w:t>étudier, dans le cadre du Groupe de travail sur les services communs de trésorerie, les possibilités de coordination afin d</w:t>
      </w:r>
      <w:r w:rsidR="0077445A">
        <w:rPr>
          <w:lang w:val="fr-FR"/>
        </w:rPr>
        <w:t>’</w:t>
      </w:r>
      <w:r w:rsidRPr="006B5442">
        <w:rPr>
          <w:lang w:val="fr-FR"/>
        </w:rPr>
        <w:t>obtenir le rendement le plus</w:t>
      </w:r>
      <w:r w:rsidR="00ED5658" w:rsidRPr="006B5442">
        <w:rPr>
          <w:lang w:val="fr-FR"/>
        </w:rPr>
        <w:t xml:space="preserve"> élevé et de réduire </w:t>
      </w:r>
      <w:r w:rsidRPr="006B5442">
        <w:rPr>
          <w:lang w:val="fr-FR"/>
        </w:rPr>
        <w:t>les frais de gestion</w:t>
      </w:r>
      <w:r w:rsidR="00ED5658" w:rsidRPr="006B5442">
        <w:rPr>
          <w:lang w:val="fr-FR"/>
        </w:rPr>
        <w:t xml:space="preserve"> au minimum</w:t>
      </w:r>
      <w:r w:rsidRPr="006B5442">
        <w:rPr>
          <w:lang w:val="fr-FR"/>
        </w:rPr>
        <w:t>;  et</w:t>
      </w:r>
    </w:p>
    <w:p w:rsidR="00227FB8" w:rsidRDefault="00A12734" w:rsidP="001603F4">
      <w:pPr>
        <w:pStyle w:val="ONUMFS"/>
        <w:numPr>
          <w:ilvl w:val="2"/>
          <w:numId w:val="6"/>
        </w:numPr>
        <w:tabs>
          <w:tab w:val="clear" w:pos="1701"/>
          <w:tab w:val="num" w:pos="1134"/>
        </w:tabs>
        <w:ind w:left="567"/>
        <w:rPr>
          <w:lang w:val="fr-FR"/>
        </w:rPr>
      </w:pPr>
      <w:r w:rsidRPr="006B5442">
        <w:rPr>
          <w:lang w:val="fr-FR"/>
        </w:rPr>
        <w:t xml:space="preserve">présenter des propositions concernant les </w:t>
      </w:r>
      <w:r w:rsidR="00ED5658" w:rsidRPr="006B5442">
        <w:rPr>
          <w:lang w:val="fr-FR"/>
        </w:rPr>
        <w:t xml:space="preserve">autres </w:t>
      </w:r>
      <w:r w:rsidRPr="006B5442">
        <w:rPr>
          <w:lang w:val="fr-FR"/>
        </w:rPr>
        <w:t>possibilités d</w:t>
      </w:r>
      <w:r w:rsidR="0077445A">
        <w:rPr>
          <w:lang w:val="fr-FR"/>
        </w:rPr>
        <w:t>’</w:t>
      </w:r>
      <w:r w:rsidRPr="006B5442">
        <w:rPr>
          <w:lang w:val="fr-FR"/>
        </w:rPr>
        <w:t>accroître l</w:t>
      </w:r>
      <w:r w:rsidR="0077445A">
        <w:rPr>
          <w:lang w:val="fr-FR"/>
        </w:rPr>
        <w:t>’</w:t>
      </w:r>
      <w:r w:rsidRPr="006B5442">
        <w:rPr>
          <w:lang w:val="fr-FR"/>
        </w:rPr>
        <w:t>efficacité et de maîtriser les coûts à l</w:t>
      </w:r>
      <w:r w:rsidR="0077445A">
        <w:rPr>
          <w:lang w:val="fr-FR"/>
        </w:rPr>
        <w:t>’</w:t>
      </w:r>
      <w:r w:rsidRPr="006B5442">
        <w:rPr>
          <w:lang w:val="fr-FR"/>
        </w:rPr>
        <w:t>Assemblée générale à sa soixante</w:t>
      </w:r>
      <w:r w:rsidR="006C0B04" w:rsidRPr="006B5442">
        <w:rPr>
          <w:lang w:val="fr-FR"/>
        </w:rPr>
        <w:t> </w:t>
      </w:r>
      <w:r w:rsidRPr="006B5442">
        <w:rPr>
          <w:lang w:val="fr-FR"/>
        </w:rPr>
        <w:t>et</w:t>
      </w:r>
      <w:r w:rsidR="006C0B04" w:rsidRPr="006B5442">
        <w:rPr>
          <w:lang w:val="fr-FR"/>
        </w:rPr>
        <w:t> </w:t>
      </w:r>
      <w:r w:rsidRPr="006B5442">
        <w:rPr>
          <w:lang w:val="fr-FR"/>
        </w:rPr>
        <w:t>onzième</w:t>
      </w:r>
      <w:r w:rsidR="006C0B04" w:rsidRPr="006B5442">
        <w:rPr>
          <w:lang w:val="fr-FR"/>
        </w:rPr>
        <w:t> </w:t>
      </w:r>
      <w:r w:rsidRPr="006B5442">
        <w:rPr>
          <w:lang w:val="fr-FR"/>
        </w:rPr>
        <w:t>session.</w:t>
      </w:r>
    </w:p>
    <w:p w:rsidR="00227FB8" w:rsidRDefault="00227FB8" w:rsidP="00CE3512">
      <w:pPr>
        <w:rPr>
          <w:szCs w:val="22"/>
          <w:lang w:val="fr-FR"/>
        </w:rPr>
      </w:pPr>
    </w:p>
    <w:p w:rsidR="00227FB8" w:rsidRDefault="001D6325" w:rsidP="00CE3512">
      <w:pPr>
        <w:pStyle w:val="ONUMFS"/>
        <w:rPr>
          <w:lang w:val="fr-FR"/>
        </w:rPr>
      </w:pPr>
      <w:r w:rsidRPr="006B5442">
        <w:rPr>
          <w:lang w:val="fr-FR"/>
        </w:rPr>
        <w:t xml:space="preserve">Le Réseau Finances et </w:t>
      </w:r>
      <w:r w:rsidR="006C0B04" w:rsidRPr="006B5442">
        <w:rPr>
          <w:lang w:val="fr-FR"/>
        </w:rPr>
        <w:t>B</w:t>
      </w:r>
      <w:r w:rsidRPr="006B5442">
        <w:rPr>
          <w:lang w:val="fr-FR"/>
        </w:rPr>
        <w:t>udget est également convenu de demander à l</w:t>
      </w:r>
      <w:r w:rsidR="0077445A">
        <w:rPr>
          <w:lang w:val="fr-FR"/>
        </w:rPr>
        <w:t>’</w:t>
      </w:r>
      <w:r w:rsidRPr="006B5442">
        <w:rPr>
          <w:lang w:val="fr-FR"/>
        </w:rPr>
        <w:t>équipe d</w:t>
      </w:r>
      <w:r w:rsidR="0077445A">
        <w:rPr>
          <w:lang w:val="fr-FR"/>
        </w:rPr>
        <w:t>’</w:t>
      </w:r>
      <w:r w:rsidRPr="006B5442">
        <w:rPr>
          <w:lang w:val="fr-FR"/>
        </w:rPr>
        <w:t>experts sur les normes comptables d</w:t>
      </w:r>
      <w:r w:rsidR="0077445A">
        <w:rPr>
          <w:lang w:val="fr-FR"/>
        </w:rPr>
        <w:t>’</w:t>
      </w:r>
      <w:r w:rsidRPr="006B5442">
        <w:rPr>
          <w:lang w:val="fr-FR"/>
        </w:rPr>
        <w:t>accélérer ses travaux concernant l</w:t>
      </w:r>
      <w:r w:rsidR="0077445A">
        <w:rPr>
          <w:lang w:val="fr-FR"/>
        </w:rPr>
        <w:t>’</w:t>
      </w:r>
      <w:r w:rsidRPr="006B5442">
        <w:rPr>
          <w:lang w:val="fr-FR"/>
        </w:rPr>
        <w:t>examen de la méthode et des facteurs d</w:t>
      </w:r>
      <w:r w:rsidR="0077445A">
        <w:rPr>
          <w:lang w:val="fr-FR"/>
        </w:rPr>
        <w:t>’</w:t>
      </w:r>
      <w:r w:rsidRPr="006B5442">
        <w:rPr>
          <w:lang w:val="fr-FR"/>
        </w:rPr>
        <w:t>évaluation des engagements au titre de l</w:t>
      </w:r>
      <w:r w:rsidR="0077445A">
        <w:rPr>
          <w:lang w:val="fr-FR"/>
        </w:rPr>
        <w:t>’</w:t>
      </w:r>
      <w:r w:rsidRPr="006B5442">
        <w:rPr>
          <w:lang w:val="fr-FR"/>
        </w:rPr>
        <w:t>AMCS, en vue d</w:t>
      </w:r>
      <w:r w:rsidR="0077445A">
        <w:rPr>
          <w:lang w:val="fr-FR"/>
        </w:rPr>
        <w:t>’</w:t>
      </w:r>
      <w:r w:rsidRPr="006B5442">
        <w:rPr>
          <w:lang w:val="fr-FR"/>
        </w:rPr>
        <w:t>avoir des hypothèses et des méthodes n</w:t>
      </w:r>
      <w:r w:rsidR="00160BC6" w:rsidRPr="006B5442">
        <w:rPr>
          <w:lang w:val="fr-FR"/>
        </w:rPr>
        <w:t>orm</w:t>
      </w:r>
      <w:r w:rsidRPr="006B5442">
        <w:rPr>
          <w:lang w:val="fr-FR"/>
        </w:rPr>
        <w:t>a</w:t>
      </w:r>
      <w:r w:rsidR="00160BC6" w:rsidRPr="006B5442">
        <w:rPr>
          <w:lang w:val="fr-FR"/>
        </w:rPr>
        <w:t>l</w:t>
      </w:r>
      <w:r w:rsidRPr="006B5442">
        <w:rPr>
          <w:lang w:val="fr-FR"/>
        </w:rPr>
        <w:t>isées à présenter au Réseau d</w:t>
      </w:r>
      <w:r w:rsidR="0077445A">
        <w:rPr>
          <w:lang w:val="fr-FR"/>
        </w:rPr>
        <w:t>’</w:t>
      </w:r>
      <w:r w:rsidRPr="006B5442">
        <w:rPr>
          <w:lang w:val="fr-FR"/>
        </w:rPr>
        <w:t>ici la fin de</w:t>
      </w:r>
      <w:r w:rsidR="006C0B04" w:rsidRPr="006B5442">
        <w:rPr>
          <w:lang w:val="fr-FR"/>
        </w:rPr>
        <w:t> </w:t>
      </w:r>
      <w:r w:rsidRPr="006B5442">
        <w:rPr>
          <w:lang w:val="fr-FR"/>
        </w:rPr>
        <w:t>2016.</w:t>
      </w:r>
    </w:p>
    <w:p w:rsidR="00227FB8" w:rsidRDefault="001D6325" w:rsidP="00CE3512">
      <w:pPr>
        <w:pStyle w:val="ONUMFS"/>
        <w:rPr>
          <w:lang w:val="fr-FR"/>
        </w:rPr>
      </w:pPr>
      <w:r w:rsidRPr="006B5442">
        <w:rPr>
          <w:lang w:val="fr-FR"/>
        </w:rPr>
        <w:t>Le groupe de travail sur l</w:t>
      </w:r>
      <w:r w:rsidR="0077445A">
        <w:rPr>
          <w:lang w:val="fr-FR"/>
        </w:rPr>
        <w:t>’</w:t>
      </w:r>
      <w:r w:rsidRPr="006B5442">
        <w:rPr>
          <w:lang w:val="fr-FR"/>
        </w:rPr>
        <w:t xml:space="preserve">AMCS a </w:t>
      </w:r>
      <w:r w:rsidR="00160BC6" w:rsidRPr="006B5442">
        <w:rPr>
          <w:lang w:val="fr-FR"/>
        </w:rPr>
        <w:t>dès lors</w:t>
      </w:r>
      <w:r w:rsidRPr="006B5442">
        <w:rPr>
          <w:lang w:val="fr-FR"/>
        </w:rPr>
        <w:t xml:space="preserve"> repris ses travaux et l</w:t>
      </w:r>
      <w:r w:rsidR="0077445A">
        <w:rPr>
          <w:lang w:val="fr-FR"/>
        </w:rPr>
        <w:t>’</w:t>
      </w:r>
      <w:r w:rsidRPr="006B5442">
        <w:rPr>
          <w:lang w:val="fr-FR"/>
        </w:rPr>
        <w:t>OMPI continue de participer activement en tant que membre du groupe.</w:t>
      </w:r>
    </w:p>
    <w:p w:rsidR="00227FB8" w:rsidRDefault="001D6325" w:rsidP="00CE3512">
      <w:pPr>
        <w:keepNext/>
        <w:keepLines/>
        <w:rPr>
          <w:szCs w:val="22"/>
          <w:u w:val="single"/>
          <w:lang w:val="fr-FR"/>
        </w:rPr>
      </w:pPr>
      <w:r w:rsidRPr="006B5442">
        <w:rPr>
          <w:szCs w:val="22"/>
          <w:u w:val="single"/>
          <w:lang w:val="fr-FR"/>
        </w:rPr>
        <w:t>Conclusions du Comité de haut niveau sur la gestion</w:t>
      </w:r>
    </w:p>
    <w:p w:rsidR="00227FB8" w:rsidRDefault="00227FB8" w:rsidP="00CE3512">
      <w:pPr>
        <w:keepNext/>
        <w:keepLines/>
        <w:rPr>
          <w:szCs w:val="22"/>
          <w:u w:val="single"/>
          <w:lang w:val="fr-FR"/>
        </w:rPr>
      </w:pPr>
    </w:p>
    <w:p w:rsidR="00227FB8" w:rsidRDefault="001D6325" w:rsidP="00CE3512">
      <w:pPr>
        <w:pStyle w:val="ONUMFS"/>
        <w:rPr>
          <w:lang w:val="fr-FR"/>
        </w:rPr>
      </w:pPr>
      <w:r w:rsidRPr="006B5442">
        <w:rPr>
          <w:lang w:val="fr-FR"/>
        </w:rPr>
        <w:t>Le Comité de haut niveau sur la gestion, à sa trente</w:t>
      </w:r>
      <w:r w:rsidR="006C0B04" w:rsidRPr="006B5442">
        <w:rPr>
          <w:lang w:val="fr-FR"/>
        </w:rPr>
        <w:t> </w:t>
      </w:r>
      <w:r w:rsidRPr="006B5442">
        <w:rPr>
          <w:lang w:val="fr-FR"/>
        </w:rPr>
        <w:t>et</w:t>
      </w:r>
      <w:r w:rsidR="006C0B04" w:rsidRPr="006B5442">
        <w:rPr>
          <w:lang w:val="fr-FR"/>
        </w:rPr>
        <w:t> </w:t>
      </w:r>
      <w:r w:rsidRPr="006B5442">
        <w:rPr>
          <w:lang w:val="fr-FR"/>
        </w:rPr>
        <w:t>unième</w:t>
      </w:r>
      <w:r w:rsidR="006C0B04" w:rsidRPr="006B5442">
        <w:rPr>
          <w:lang w:val="fr-FR"/>
        </w:rPr>
        <w:t> </w:t>
      </w:r>
      <w:r w:rsidRPr="006B5442">
        <w:rPr>
          <w:lang w:val="fr-FR"/>
        </w:rPr>
        <w:t>session tenue en mars</w:t>
      </w:r>
      <w:r w:rsidR="006C0B04" w:rsidRPr="006B5442">
        <w:rPr>
          <w:lang w:val="fr-FR"/>
        </w:rPr>
        <w:t> </w:t>
      </w:r>
      <w:r w:rsidRPr="006B5442">
        <w:rPr>
          <w:lang w:val="fr-FR"/>
        </w:rPr>
        <w:t xml:space="preserve">2016, a examiné la note </w:t>
      </w:r>
      <w:r w:rsidR="00160BC6" w:rsidRPr="006B5442">
        <w:rPr>
          <w:lang w:val="fr-FR"/>
        </w:rPr>
        <w:t>présenté</w:t>
      </w:r>
      <w:r w:rsidRPr="006B5442">
        <w:rPr>
          <w:lang w:val="fr-FR"/>
        </w:rPr>
        <w:t xml:space="preserve">e par le Réseau Finances et </w:t>
      </w:r>
      <w:r w:rsidR="006C0B04" w:rsidRPr="006B5442">
        <w:rPr>
          <w:lang w:val="fr-FR"/>
        </w:rPr>
        <w:t>B</w:t>
      </w:r>
      <w:r w:rsidRPr="006B5442">
        <w:rPr>
          <w:lang w:val="fr-FR"/>
        </w:rPr>
        <w:t xml:space="preserve">udget (document CEB/2016/HLCM/12) intitulée </w:t>
      </w:r>
      <w:r w:rsidR="0077445A">
        <w:rPr>
          <w:lang w:val="fr-FR"/>
        </w:rPr>
        <w:t>“</w:t>
      </w:r>
      <w:r w:rsidRPr="006B5442">
        <w:rPr>
          <w:lang w:val="fr-FR"/>
        </w:rPr>
        <w:t>Résultats des délibérations de l</w:t>
      </w:r>
      <w:r w:rsidR="0077445A">
        <w:rPr>
          <w:lang w:val="fr-FR"/>
        </w:rPr>
        <w:t>’</w:t>
      </w:r>
      <w:r w:rsidRPr="006B5442">
        <w:rPr>
          <w:lang w:val="fr-FR"/>
        </w:rPr>
        <w:t>Assemblée générale sur le rapport du Secrétaire général sur la gestion des obligations au titre de l</w:t>
      </w:r>
      <w:r w:rsidR="0077445A">
        <w:rPr>
          <w:lang w:val="fr-FR"/>
        </w:rPr>
        <w:t>’</w:t>
      </w:r>
      <w:r w:rsidRPr="006B5442">
        <w:rPr>
          <w:lang w:val="fr-FR"/>
        </w:rPr>
        <w:t>assurance maladie après la cessation de service</w:t>
      </w:r>
      <w:r w:rsidR="0077445A">
        <w:rPr>
          <w:lang w:val="fr-FR"/>
        </w:rPr>
        <w:t>”</w:t>
      </w:r>
      <w:r w:rsidRPr="006B5442">
        <w:rPr>
          <w:lang w:val="fr-FR"/>
        </w:rPr>
        <w:t>.</w:t>
      </w:r>
      <w:r w:rsidR="005E08FE" w:rsidRPr="006B5442">
        <w:rPr>
          <w:lang w:val="fr-FR"/>
        </w:rPr>
        <w:t xml:space="preserve">  </w:t>
      </w:r>
      <w:r w:rsidRPr="006B5442">
        <w:rPr>
          <w:lang w:val="fr-FR"/>
        </w:rPr>
        <w:t>Le Comité de haut niveau sur la gestion a félicité le groupe de travail pour ses travaux et a pris note de l</w:t>
      </w:r>
      <w:r w:rsidR="0077445A">
        <w:rPr>
          <w:lang w:val="fr-FR"/>
        </w:rPr>
        <w:t>’</w:t>
      </w:r>
      <w:r w:rsidRPr="006B5442">
        <w:rPr>
          <w:lang w:val="fr-FR"/>
        </w:rPr>
        <w:t>issue des délibérations de l</w:t>
      </w:r>
      <w:r w:rsidR="0077445A">
        <w:rPr>
          <w:lang w:val="fr-FR"/>
        </w:rPr>
        <w:t>’</w:t>
      </w:r>
      <w:r w:rsidRPr="006B5442">
        <w:rPr>
          <w:lang w:val="fr-FR"/>
        </w:rPr>
        <w:t>Assemblée générale sur le rapport du Secrétaire génér</w:t>
      </w:r>
      <w:r w:rsidR="00DF179D" w:rsidRPr="006B5442">
        <w:rPr>
          <w:lang w:val="fr-FR"/>
        </w:rPr>
        <w:t>al</w:t>
      </w:r>
      <w:r w:rsidR="00DF179D">
        <w:rPr>
          <w:lang w:val="fr-FR"/>
        </w:rPr>
        <w:t xml:space="preserve">.  </w:t>
      </w:r>
      <w:r w:rsidR="00DF179D" w:rsidRPr="006B5442">
        <w:rPr>
          <w:lang w:val="fr-FR"/>
        </w:rPr>
        <w:t>Il</w:t>
      </w:r>
      <w:r w:rsidR="00437CC2" w:rsidRPr="006B5442">
        <w:rPr>
          <w:lang w:val="fr-FR"/>
        </w:rPr>
        <w:t xml:space="preserve"> a demandé au Réseau Finances et </w:t>
      </w:r>
      <w:r w:rsidR="006C0B04" w:rsidRPr="006B5442">
        <w:rPr>
          <w:lang w:val="fr-FR"/>
        </w:rPr>
        <w:t>B</w:t>
      </w:r>
      <w:r w:rsidR="00437CC2" w:rsidRPr="006B5442">
        <w:rPr>
          <w:lang w:val="fr-FR"/>
        </w:rPr>
        <w:t>udget d</w:t>
      </w:r>
      <w:r w:rsidR="0077445A">
        <w:rPr>
          <w:lang w:val="fr-FR"/>
        </w:rPr>
        <w:t>’</w:t>
      </w:r>
      <w:r w:rsidR="00437CC2" w:rsidRPr="006B5442">
        <w:rPr>
          <w:lang w:val="fr-FR"/>
        </w:rPr>
        <w:t>assurer le suivi des recommandations formulées dans le rapport, telles qu</w:t>
      </w:r>
      <w:r w:rsidR="0077445A">
        <w:rPr>
          <w:lang w:val="fr-FR"/>
        </w:rPr>
        <w:t>’</w:t>
      </w:r>
      <w:r w:rsidR="00437CC2" w:rsidRPr="006B5442">
        <w:rPr>
          <w:lang w:val="fr-FR"/>
        </w:rPr>
        <w:t>elles ont été approuvées par</w:t>
      </w:r>
      <w:r w:rsidR="00156D8F" w:rsidRPr="006B5442">
        <w:rPr>
          <w:lang w:val="fr-FR"/>
        </w:rPr>
        <w:t xml:space="preserve"> le CCQ</w:t>
      </w:r>
      <w:r w:rsidR="00437CC2" w:rsidRPr="006B5442">
        <w:rPr>
          <w:lang w:val="fr-FR"/>
        </w:rPr>
        <w:t>AB et la Cinquième</w:t>
      </w:r>
      <w:r w:rsidR="006C0B04" w:rsidRPr="006B5442">
        <w:rPr>
          <w:lang w:val="fr-FR"/>
        </w:rPr>
        <w:t> </w:t>
      </w:r>
      <w:r w:rsidR="00437CC2" w:rsidRPr="006B5442">
        <w:rPr>
          <w:lang w:val="fr-FR"/>
        </w:rPr>
        <w:t>Commission, compte tenu de l</w:t>
      </w:r>
      <w:r w:rsidR="0077445A">
        <w:rPr>
          <w:lang w:val="fr-FR"/>
        </w:rPr>
        <w:t>’</w:t>
      </w:r>
      <w:r w:rsidR="00437CC2" w:rsidRPr="006B5442">
        <w:rPr>
          <w:lang w:val="fr-FR"/>
        </w:rPr>
        <w:t>objectif de maîtrise des coûts et de protection des intérêts du personnel et des retraités.</w:t>
      </w:r>
    </w:p>
    <w:p w:rsidR="00227FB8" w:rsidRDefault="009A1C77" w:rsidP="00CE3512">
      <w:pPr>
        <w:pStyle w:val="ONUMFS"/>
        <w:rPr>
          <w:lang w:val="fr-FR"/>
        </w:rPr>
      </w:pPr>
      <w:r w:rsidRPr="006B5442">
        <w:rPr>
          <w:lang w:val="fr-FR"/>
        </w:rPr>
        <w:t xml:space="preserve">Le Comité de haut niveau sur la gestion a réaffirmé la nécessité pour le groupe de travail de réaliser une analyse complète et </w:t>
      </w:r>
      <w:r w:rsidR="00DB5074" w:rsidRPr="006B5442">
        <w:rPr>
          <w:lang w:val="fr-FR"/>
        </w:rPr>
        <w:t xml:space="preserve">un </w:t>
      </w:r>
      <w:r w:rsidRPr="006B5442">
        <w:rPr>
          <w:lang w:val="fr-FR"/>
        </w:rPr>
        <w:t>plan d</w:t>
      </w:r>
      <w:r w:rsidR="0077445A">
        <w:rPr>
          <w:lang w:val="fr-FR"/>
        </w:rPr>
        <w:t>’</w:t>
      </w:r>
      <w:r w:rsidRPr="006B5442">
        <w:rPr>
          <w:lang w:val="fr-FR"/>
        </w:rPr>
        <w:t xml:space="preserve">action </w:t>
      </w:r>
      <w:r w:rsidR="00DB5074" w:rsidRPr="006B5442">
        <w:rPr>
          <w:lang w:val="fr-FR"/>
        </w:rPr>
        <w:t xml:space="preserve">pour le suivi </w:t>
      </w:r>
      <w:r w:rsidRPr="006B5442">
        <w:rPr>
          <w:lang w:val="fr-FR"/>
        </w:rPr>
        <w:t>à l</w:t>
      </w:r>
      <w:r w:rsidR="0077445A">
        <w:rPr>
          <w:lang w:val="fr-FR"/>
        </w:rPr>
        <w:t>’</w:t>
      </w:r>
      <w:r w:rsidRPr="006B5442">
        <w:rPr>
          <w:lang w:val="fr-FR"/>
        </w:rPr>
        <w:t xml:space="preserve">échelle du système des </w:t>
      </w:r>
      <w:r w:rsidR="0077445A">
        <w:rPr>
          <w:lang w:val="fr-FR"/>
        </w:rPr>
        <w:t>Nations Unies</w:t>
      </w:r>
      <w:r w:rsidRPr="006B5442">
        <w:rPr>
          <w:lang w:val="fr-FR"/>
        </w:rPr>
        <w:t xml:space="preserve"> sur le thème </w:t>
      </w:r>
      <w:r w:rsidR="00DB5074" w:rsidRPr="006B5442">
        <w:rPr>
          <w:lang w:val="fr-FR"/>
        </w:rPr>
        <w:t xml:space="preserve">vaste et complexe </w:t>
      </w:r>
      <w:r w:rsidRPr="006B5442">
        <w:rPr>
          <w:lang w:val="fr-FR"/>
        </w:rPr>
        <w:t>de l</w:t>
      </w:r>
      <w:r w:rsidR="0077445A">
        <w:rPr>
          <w:lang w:val="fr-FR"/>
        </w:rPr>
        <w:t>’</w:t>
      </w:r>
      <w:r w:rsidRPr="006B5442">
        <w:rPr>
          <w:lang w:val="fr-FR"/>
        </w:rPr>
        <w:t>AMCS, en s</w:t>
      </w:r>
      <w:r w:rsidR="0077445A">
        <w:rPr>
          <w:lang w:val="fr-FR"/>
        </w:rPr>
        <w:t>’</w:t>
      </w:r>
      <w:r w:rsidR="00DB5074" w:rsidRPr="006B5442">
        <w:rPr>
          <w:lang w:val="fr-FR"/>
        </w:rPr>
        <w:t>inspir</w:t>
      </w:r>
      <w:r w:rsidR="006C0B04" w:rsidRPr="006B5442">
        <w:rPr>
          <w:lang w:val="fr-FR"/>
        </w:rPr>
        <w:t>ant</w:t>
      </w:r>
      <w:r w:rsidRPr="006B5442">
        <w:rPr>
          <w:lang w:val="fr-FR"/>
        </w:rPr>
        <w:t xml:space="preserve"> </w:t>
      </w:r>
      <w:r w:rsidR="00DB5074" w:rsidRPr="006B5442">
        <w:rPr>
          <w:lang w:val="fr-FR"/>
        </w:rPr>
        <w:t>d</w:t>
      </w:r>
      <w:r w:rsidRPr="006B5442">
        <w:rPr>
          <w:lang w:val="fr-FR"/>
        </w:rPr>
        <w:t>u débat intergouvernemental qui a eu lieu à l</w:t>
      </w:r>
      <w:r w:rsidR="0077445A">
        <w:rPr>
          <w:lang w:val="fr-FR"/>
        </w:rPr>
        <w:t>’</w:t>
      </w:r>
      <w:r w:rsidRPr="006B5442">
        <w:rPr>
          <w:lang w:val="fr-FR"/>
        </w:rPr>
        <w:t>Assemblée générale, en vue de présenter une position cohérente et collective, représentat</w:t>
      </w:r>
      <w:r w:rsidR="00DB5074" w:rsidRPr="006B5442">
        <w:rPr>
          <w:lang w:val="fr-FR"/>
        </w:rPr>
        <w:t>ive</w:t>
      </w:r>
      <w:r w:rsidRPr="006B5442">
        <w:rPr>
          <w:lang w:val="fr-FR"/>
        </w:rPr>
        <w:t xml:space="preserve"> </w:t>
      </w:r>
      <w:r w:rsidR="00DB5074" w:rsidRPr="006B5442">
        <w:rPr>
          <w:lang w:val="fr-FR"/>
        </w:rPr>
        <w:t>d</w:t>
      </w:r>
      <w:r w:rsidRPr="006B5442">
        <w:rPr>
          <w:lang w:val="fr-FR"/>
        </w:rPr>
        <w:t>es besoins et spécificités de l</w:t>
      </w:r>
      <w:r w:rsidR="0077445A">
        <w:rPr>
          <w:lang w:val="fr-FR"/>
        </w:rPr>
        <w:t>’</w:t>
      </w:r>
      <w:r w:rsidRPr="006B5442">
        <w:rPr>
          <w:lang w:val="fr-FR"/>
        </w:rPr>
        <w:t>ensemble des organisations membres, dans le prochain rapport du Secrétaire général qui sera soumis à l</w:t>
      </w:r>
      <w:r w:rsidR="0077445A">
        <w:rPr>
          <w:lang w:val="fr-FR"/>
        </w:rPr>
        <w:t>’</w:t>
      </w:r>
      <w:r w:rsidRPr="006B5442">
        <w:rPr>
          <w:lang w:val="fr-FR"/>
        </w:rPr>
        <w:t>Assemblée générale à la reprise de sa soixante</w:t>
      </w:r>
      <w:r w:rsidR="006C0B04" w:rsidRPr="006B5442">
        <w:rPr>
          <w:lang w:val="fr-FR"/>
        </w:rPr>
        <w:t> </w:t>
      </w:r>
      <w:r w:rsidRPr="006B5442">
        <w:rPr>
          <w:lang w:val="fr-FR"/>
        </w:rPr>
        <w:t>et</w:t>
      </w:r>
      <w:r w:rsidR="006C0B04" w:rsidRPr="006B5442">
        <w:rPr>
          <w:lang w:val="fr-FR"/>
        </w:rPr>
        <w:t> </w:t>
      </w:r>
      <w:r w:rsidRPr="006B5442">
        <w:rPr>
          <w:lang w:val="fr-FR"/>
        </w:rPr>
        <w:t>onzième</w:t>
      </w:r>
      <w:r w:rsidR="006C0B04" w:rsidRPr="006B5442">
        <w:rPr>
          <w:lang w:val="fr-FR"/>
        </w:rPr>
        <w:t> </w:t>
      </w:r>
      <w:r w:rsidRPr="006B5442">
        <w:rPr>
          <w:lang w:val="fr-FR"/>
        </w:rPr>
        <w:t>session.</w:t>
      </w:r>
    </w:p>
    <w:p w:rsidR="00227FB8" w:rsidRDefault="009A1C77" w:rsidP="00CE3512">
      <w:pPr>
        <w:pStyle w:val="Heading3"/>
        <w:rPr>
          <w:lang w:val="fr-FR"/>
        </w:rPr>
      </w:pPr>
      <w:r w:rsidRPr="006B5442">
        <w:rPr>
          <w:lang w:val="fr-FR"/>
        </w:rPr>
        <w:t>Marche à suivre</w:t>
      </w:r>
    </w:p>
    <w:p w:rsidR="00227FB8" w:rsidRDefault="00227FB8" w:rsidP="00CE3512">
      <w:pPr>
        <w:rPr>
          <w:szCs w:val="22"/>
          <w:lang w:val="fr-FR"/>
        </w:rPr>
      </w:pPr>
    </w:p>
    <w:p w:rsidR="00227FB8" w:rsidRDefault="009A1C77" w:rsidP="00CE3512">
      <w:pPr>
        <w:pStyle w:val="ONUMFS"/>
        <w:rPr>
          <w:lang w:val="fr-FR"/>
        </w:rPr>
      </w:pPr>
      <w:r w:rsidRPr="006B5442">
        <w:rPr>
          <w:lang w:val="fr-FR"/>
        </w:rPr>
        <w:t>Le groupe de travail a montré que les coûts liés à l</w:t>
      </w:r>
      <w:r w:rsidR="0077445A">
        <w:rPr>
          <w:lang w:val="fr-FR"/>
        </w:rPr>
        <w:t>’</w:t>
      </w:r>
      <w:r w:rsidRPr="006B5442">
        <w:rPr>
          <w:lang w:val="fr-FR"/>
        </w:rPr>
        <w:t xml:space="preserve">AMCS pouvaient être réduits </w:t>
      </w:r>
      <w:r w:rsidR="00227FB8">
        <w:rPr>
          <w:lang w:val="fr-FR"/>
        </w:rPr>
        <w:t xml:space="preserve">et maîtrisés </w:t>
      </w:r>
      <w:r w:rsidRPr="006B5442">
        <w:rPr>
          <w:lang w:val="fr-FR"/>
        </w:rPr>
        <w:t xml:space="preserve">sans </w:t>
      </w:r>
      <w:r w:rsidR="00DB5074" w:rsidRPr="006B5442">
        <w:rPr>
          <w:lang w:val="fr-FR"/>
        </w:rPr>
        <w:t>qu</w:t>
      </w:r>
      <w:r w:rsidR="0077445A">
        <w:rPr>
          <w:lang w:val="fr-FR"/>
        </w:rPr>
        <w:t>’</w:t>
      </w:r>
      <w:r w:rsidR="00DB5074" w:rsidRPr="006B5442">
        <w:rPr>
          <w:lang w:val="fr-FR"/>
        </w:rPr>
        <w:t xml:space="preserve">il soit nécessaire </w:t>
      </w:r>
      <w:r w:rsidRPr="006B5442">
        <w:rPr>
          <w:lang w:val="fr-FR"/>
        </w:rPr>
        <w:t>de diminuer les prestations.</w:t>
      </w:r>
      <w:r w:rsidR="003A4EAA" w:rsidRPr="006B5442">
        <w:rPr>
          <w:lang w:val="fr-FR"/>
        </w:rPr>
        <w:t xml:space="preserve"> </w:t>
      </w:r>
      <w:r w:rsidR="006C0B04" w:rsidRPr="006B5442">
        <w:rPr>
          <w:lang w:val="fr-FR"/>
        </w:rPr>
        <w:t xml:space="preserve"> </w:t>
      </w:r>
      <w:r w:rsidRPr="006B5442">
        <w:rPr>
          <w:lang w:val="fr-FR"/>
        </w:rPr>
        <w:t>L</w:t>
      </w:r>
      <w:r w:rsidR="0077445A">
        <w:rPr>
          <w:lang w:val="fr-FR"/>
        </w:rPr>
        <w:t>’</w:t>
      </w:r>
      <w:r w:rsidRPr="006B5442">
        <w:rPr>
          <w:lang w:val="fr-FR"/>
        </w:rPr>
        <w:t>OMPI estime que le groupe de travail a déjà accompli un t</w:t>
      </w:r>
      <w:r w:rsidR="00DB5074" w:rsidRPr="006B5442">
        <w:rPr>
          <w:lang w:val="fr-FR"/>
        </w:rPr>
        <w:t>ravail</w:t>
      </w:r>
      <w:r w:rsidRPr="006B5442">
        <w:rPr>
          <w:lang w:val="fr-FR"/>
        </w:rPr>
        <w:t xml:space="preserve"> considérable </w:t>
      </w:r>
      <w:r w:rsidR="00822D0E" w:rsidRPr="006B5442">
        <w:rPr>
          <w:lang w:val="fr-FR"/>
        </w:rPr>
        <w:t>concernant les</w:t>
      </w:r>
      <w:r w:rsidRPr="006B5442">
        <w:rPr>
          <w:lang w:val="fr-FR"/>
        </w:rPr>
        <w:t xml:space="preserve"> données recueillies et analysées dans tout le système des </w:t>
      </w:r>
      <w:r w:rsidR="0077445A">
        <w:rPr>
          <w:lang w:val="fr-FR"/>
        </w:rPr>
        <w:t>Nations Unies</w:t>
      </w:r>
      <w:r w:rsidRPr="006B5442">
        <w:rPr>
          <w:lang w:val="fr-FR"/>
        </w:rPr>
        <w:t xml:space="preserve"> et qu</w:t>
      </w:r>
      <w:r w:rsidR="0077445A">
        <w:rPr>
          <w:lang w:val="fr-FR"/>
        </w:rPr>
        <w:t>’</w:t>
      </w:r>
      <w:r w:rsidRPr="006B5442">
        <w:rPr>
          <w:lang w:val="fr-FR"/>
        </w:rPr>
        <w:t xml:space="preserve">il continue de </w:t>
      </w:r>
      <w:r w:rsidR="00822D0E" w:rsidRPr="006B5442">
        <w:rPr>
          <w:lang w:val="fr-FR"/>
        </w:rPr>
        <w:t>progresser à grands pas</w:t>
      </w:r>
      <w:r w:rsidRPr="006B5442">
        <w:rPr>
          <w:lang w:val="fr-FR"/>
        </w:rPr>
        <w:t>.</w:t>
      </w:r>
      <w:r w:rsidR="003A4EAA" w:rsidRPr="006B5442">
        <w:rPr>
          <w:lang w:val="fr-FR"/>
        </w:rPr>
        <w:t xml:space="preserve">  </w:t>
      </w:r>
      <w:r w:rsidR="00D80BCE" w:rsidRPr="006B5442">
        <w:rPr>
          <w:lang w:val="fr-FR"/>
        </w:rPr>
        <w:t>L</w:t>
      </w:r>
      <w:r w:rsidR="0077445A">
        <w:rPr>
          <w:lang w:val="fr-FR"/>
        </w:rPr>
        <w:t>’</w:t>
      </w:r>
      <w:r w:rsidR="00D80BCE" w:rsidRPr="006B5442">
        <w:rPr>
          <w:lang w:val="fr-FR"/>
        </w:rPr>
        <w:t xml:space="preserve">Organisation devrait </w:t>
      </w:r>
      <w:r w:rsidR="00822D0E" w:rsidRPr="006B5442">
        <w:rPr>
          <w:lang w:val="fr-FR"/>
        </w:rPr>
        <w:t>renouveler son soutien au</w:t>
      </w:r>
      <w:r w:rsidR="00D80BCE" w:rsidRPr="006B5442">
        <w:rPr>
          <w:lang w:val="fr-FR"/>
        </w:rPr>
        <w:t xml:space="preserve"> groupe de travail qui </w:t>
      </w:r>
      <w:r w:rsidR="00822D0E" w:rsidRPr="006B5442">
        <w:rPr>
          <w:lang w:val="fr-FR"/>
        </w:rPr>
        <w:t>contribue,</w:t>
      </w:r>
      <w:r w:rsidR="00D80BCE" w:rsidRPr="006B5442">
        <w:rPr>
          <w:lang w:val="fr-FR"/>
        </w:rPr>
        <w:t xml:space="preserve"> </w:t>
      </w:r>
      <w:r w:rsidR="00822D0E" w:rsidRPr="006B5442">
        <w:rPr>
          <w:lang w:val="fr-FR"/>
        </w:rPr>
        <w:t xml:space="preserve">notamment, à renforcer </w:t>
      </w:r>
      <w:r w:rsidR="00D80BCE" w:rsidRPr="006B5442">
        <w:rPr>
          <w:lang w:val="fr-FR"/>
        </w:rPr>
        <w:t>l</w:t>
      </w:r>
      <w:r w:rsidR="0077445A">
        <w:rPr>
          <w:lang w:val="fr-FR"/>
        </w:rPr>
        <w:t>’</w:t>
      </w:r>
      <w:r w:rsidR="00D80BCE" w:rsidRPr="006B5442">
        <w:rPr>
          <w:lang w:val="fr-FR"/>
        </w:rPr>
        <w:t>efficacité des activités de collecte et d</w:t>
      </w:r>
      <w:r w:rsidR="0077445A">
        <w:rPr>
          <w:lang w:val="fr-FR"/>
        </w:rPr>
        <w:t>’</w:t>
      </w:r>
      <w:r w:rsidR="00D80BCE" w:rsidRPr="006B5442">
        <w:rPr>
          <w:lang w:val="fr-FR"/>
        </w:rPr>
        <w:t xml:space="preserve">analyse des données qui </w:t>
      </w:r>
      <w:r w:rsidR="00822D0E" w:rsidRPr="006B5442">
        <w:rPr>
          <w:lang w:val="fr-FR"/>
        </w:rPr>
        <w:t>s</w:t>
      </w:r>
      <w:r w:rsidR="00D80BCE" w:rsidRPr="006B5442">
        <w:rPr>
          <w:lang w:val="fr-FR"/>
        </w:rPr>
        <w:t xml:space="preserve">ont </w:t>
      </w:r>
      <w:r w:rsidR="00822D0E" w:rsidRPr="006B5442">
        <w:rPr>
          <w:lang w:val="fr-FR"/>
        </w:rPr>
        <w:t>ess</w:t>
      </w:r>
      <w:r w:rsidR="00D80BCE" w:rsidRPr="006B5442">
        <w:rPr>
          <w:lang w:val="fr-FR"/>
        </w:rPr>
        <w:t>ent</w:t>
      </w:r>
      <w:r w:rsidR="00822D0E" w:rsidRPr="006B5442">
        <w:rPr>
          <w:lang w:val="fr-FR"/>
        </w:rPr>
        <w:t>ie</w:t>
      </w:r>
      <w:r w:rsidR="00D80BCE" w:rsidRPr="006B5442">
        <w:rPr>
          <w:lang w:val="fr-FR"/>
        </w:rPr>
        <w:t>l</w:t>
      </w:r>
      <w:r w:rsidR="00822D0E" w:rsidRPr="006B5442">
        <w:rPr>
          <w:lang w:val="fr-FR"/>
        </w:rPr>
        <w:t>le</w:t>
      </w:r>
      <w:r w:rsidR="00D80BCE" w:rsidRPr="006B5442">
        <w:rPr>
          <w:lang w:val="fr-FR"/>
        </w:rPr>
        <w:t xml:space="preserve">s </w:t>
      </w:r>
      <w:r w:rsidR="00822D0E" w:rsidRPr="006B5442">
        <w:rPr>
          <w:lang w:val="fr-FR"/>
        </w:rPr>
        <w:t>au</w:t>
      </w:r>
      <w:r w:rsidR="00D80BCE" w:rsidRPr="006B5442">
        <w:rPr>
          <w:lang w:val="fr-FR"/>
        </w:rPr>
        <w:t xml:space="preserve"> recensement des possibilités.</w:t>
      </w:r>
    </w:p>
    <w:p w:rsidR="0077445A" w:rsidRDefault="00227FB8" w:rsidP="0062140F">
      <w:pPr>
        <w:pStyle w:val="ONUMFS"/>
        <w:rPr>
          <w:lang w:val="fr-CH"/>
        </w:rPr>
      </w:pPr>
      <w:r w:rsidRPr="003B3B9B">
        <w:rPr>
          <w:lang w:val="fr-CH"/>
        </w:rPr>
        <w:t>Le Secrétariat, conformément au mandat conféré par les États membres et dans le cadre du dialogue instauré avec d</w:t>
      </w:r>
      <w:r w:rsidR="0077445A">
        <w:rPr>
          <w:lang w:val="fr-CH"/>
        </w:rPr>
        <w:t>’</w:t>
      </w:r>
      <w:r w:rsidRPr="003B3B9B">
        <w:rPr>
          <w:lang w:val="fr-CH"/>
        </w:rPr>
        <w:t>autres institutions, continuera d</w:t>
      </w:r>
      <w:r w:rsidR="0077445A">
        <w:rPr>
          <w:lang w:val="fr-CH"/>
        </w:rPr>
        <w:t>’</w:t>
      </w:r>
      <w:r w:rsidRPr="003B3B9B">
        <w:rPr>
          <w:lang w:val="fr-CH"/>
        </w:rPr>
        <w:t>explorer d</w:t>
      </w:r>
      <w:r w:rsidR="0077445A">
        <w:rPr>
          <w:lang w:val="fr-CH"/>
        </w:rPr>
        <w:t>’</w:t>
      </w:r>
      <w:r w:rsidRPr="003B3B9B">
        <w:rPr>
          <w:lang w:val="fr-CH"/>
        </w:rPr>
        <w:t xml:space="preserve">autres idées </w:t>
      </w:r>
      <w:r w:rsidRPr="003B3B9B">
        <w:rPr>
          <w:lang w:val="fr-CH"/>
        </w:rPr>
        <w:lastRenderedPageBreak/>
        <w:t>d</w:t>
      </w:r>
      <w:r w:rsidR="0077445A">
        <w:rPr>
          <w:lang w:val="fr-CH"/>
        </w:rPr>
        <w:t>’</w:t>
      </w:r>
      <w:r w:rsidRPr="003B3B9B">
        <w:rPr>
          <w:lang w:val="fr-CH"/>
        </w:rPr>
        <w:t>éventuelles mesures de maîtrise des coûts susceptibles de limiter la croissance des engagements au titre de l</w:t>
      </w:r>
      <w:r w:rsidR="0077445A">
        <w:rPr>
          <w:lang w:val="fr-CH"/>
        </w:rPr>
        <w:t>’</w:t>
      </w:r>
      <w:r w:rsidRPr="003B3B9B">
        <w:rPr>
          <w:lang w:val="fr-CH"/>
        </w:rPr>
        <w:t>A</w:t>
      </w:r>
      <w:r w:rsidR="00DF179D" w:rsidRPr="003B3B9B">
        <w:rPr>
          <w:lang w:val="fr-CH"/>
        </w:rPr>
        <w:t>MCS</w:t>
      </w:r>
      <w:r w:rsidR="00DF179D">
        <w:rPr>
          <w:lang w:val="fr-CH"/>
        </w:rPr>
        <w:t xml:space="preserve">.  </w:t>
      </w:r>
      <w:r w:rsidR="00DF179D" w:rsidRPr="003B3B9B">
        <w:rPr>
          <w:lang w:val="fr-CH"/>
        </w:rPr>
        <w:t>En</w:t>
      </w:r>
      <w:r w:rsidR="00C62D04" w:rsidRPr="003B3B9B">
        <w:rPr>
          <w:lang w:val="fr-CH"/>
        </w:rPr>
        <w:t xml:space="preserve"> outre, les efforts de l</w:t>
      </w:r>
      <w:r w:rsidR="0077445A">
        <w:rPr>
          <w:lang w:val="fr-CH"/>
        </w:rPr>
        <w:t>’</w:t>
      </w:r>
      <w:r w:rsidR="00C62D04" w:rsidRPr="003B3B9B">
        <w:rPr>
          <w:lang w:val="fr-CH"/>
        </w:rPr>
        <w:t xml:space="preserve">Organisation pour financer </w:t>
      </w:r>
      <w:r w:rsidR="0022535C" w:rsidRPr="003B3B9B">
        <w:rPr>
          <w:lang w:val="fr-CH"/>
        </w:rPr>
        <w:t xml:space="preserve">ces </w:t>
      </w:r>
      <w:r w:rsidR="00C62D04" w:rsidRPr="003B3B9B">
        <w:rPr>
          <w:lang w:val="fr-CH"/>
        </w:rPr>
        <w:t>engagement</w:t>
      </w:r>
      <w:r w:rsidR="0022535C" w:rsidRPr="003B3B9B">
        <w:rPr>
          <w:lang w:val="fr-CH"/>
        </w:rPr>
        <w:t>s,</w:t>
      </w:r>
      <w:r w:rsidR="00C62D04" w:rsidRPr="003B3B9B">
        <w:rPr>
          <w:lang w:val="fr-CH"/>
        </w:rPr>
        <w:t xml:space="preserve"> qui ont débuté en</w:t>
      </w:r>
      <w:r w:rsidR="004F696B" w:rsidRPr="003B3B9B">
        <w:rPr>
          <w:lang w:val="fr-CH"/>
        </w:rPr>
        <w:t> </w:t>
      </w:r>
      <w:r w:rsidR="00C62D04" w:rsidRPr="003B3B9B">
        <w:rPr>
          <w:lang w:val="fr-CH"/>
        </w:rPr>
        <w:t>2013 (voir le document WO/PBC/20/6)</w:t>
      </w:r>
      <w:r w:rsidR="0022535C" w:rsidRPr="003B3B9B">
        <w:rPr>
          <w:lang w:val="fr-CH"/>
        </w:rPr>
        <w:t>,</w:t>
      </w:r>
      <w:r w:rsidR="00C62D04" w:rsidRPr="003B3B9B">
        <w:rPr>
          <w:lang w:val="fr-CH"/>
        </w:rPr>
        <w:t xml:space="preserve"> se poursuivro</w:t>
      </w:r>
      <w:r w:rsidR="00DF179D" w:rsidRPr="003B3B9B">
        <w:rPr>
          <w:lang w:val="fr-CH"/>
        </w:rPr>
        <w:t>nt</w:t>
      </w:r>
      <w:r w:rsidR="00DF179D">
        <w:rPr>
          <w:lang w:val="fr-CH"/>
        </w:rPr>
        <w:t xml:space="preserve">.  </w:t>
      </w:r>
      <w:r w:rsidR="00DF179D" w:rsidRPr="003B3B9B">
        <w:rPr>
          <w:lang w:val="fr-CH"/>
        </w:rPr>
        <w:t>Au</w:t>
      </w:r>
      <w:r w:rsidR="004F696B" w:rsidRPr="003B3B9B">
        <w:rPr>
          <w:lang w:val="fr-CH"/>
        </w:rPr>
        <w:t> </w:t>
      </w:r>
      <w:r w:rsidR="00C62D04" w:rsidRPr="003B3B9B">
        <w:rPr>
          <w:lang w:val="fr-CH"/>
        </w:rPr>
        <w:t>31</w:t>
      </w:r>
      <w:r w:rsidR="004F696B" w:rsidRPr="003B3B9B">
        <w:rPr>
          <w:lang w:val="fr-CH"/>
        </w:rPr>
        <w:t> </w:t>
      </w:r>
      <w:r w:rsidR="00C62D04" w:rsidRPr="003B3B9B">
        <w:rPr>
          <w:lang w:val="fr-CH"/>
        </w:rPr>
        <w:t>décembre</w:t>
      </w:r>
      <w:r w:rsidR="004F696B" w:rsidRPr="003B3B9B">
        <w:rPr>
          <w:lang w:val="fr-CH"/>
        </w:rPr>
        <w:t> </w:t>
      </w:r>
      <w:r w:rsidR="00C62D04" w:rsidRPr="003B3B9B">
        <w:rPr>
          <w:lang w:val="fr-CH"/>
        </w:rPr>
        <w:t xml:space="preserve">2015, les fonds placés couvraient 62,8% des engagements </w:t>
      </w:r>
      <w:r w:rsidR="0062140F">
        <w:rPr>
          <w:lang w:val="fr-CH"/>
        </w:rPr>
        <w:t xml:space="preserve">de l’OMPI </w:t>
      </w:r>
      <w:r w:rsidR="00C62D04" w:rsidRPr="003B3B9B">
        <w:rPr>
          <w:lang w:val="fr-CH"/>
        </w:rPr>
        <w:t>au titre des prestations à long terme dues au personnel qui figuraient dans l</w:t>
      </w:r>
      <w:r w:rsidR="0077445A">
        <w:rPr>
          <w:lang w:val="fr-CH"/>
        </w:rPr>
        <w:t>’</w:t>
      </w:r>
      <w:r w:rsidR="00C62D04" w:rsidRPr="003B3B9B">
        <w:rPr>
          <w:lang w:val="fr-CH"/>
        </w:rPr>
        <w:t>état de la situation financiè</w:t>
      </w:r>
      <w:r w:rsidR="00DF179D" w:rsidRPr="003B3B9B">
        <w:rPr>
          <w:lang w:val="fr-CH"/>
        </w:rPr>
        <w:t>re</w:t>
      </w:r>
      <w:r w:rsidR="00DF179D">
        <w:rPr>
          <w:lang w:val="fr-CH"/>
        </w:rPr>
        <w:t xml:space="preserve">.  </w:t>
      </w:r>
      <w:r w:rsidR="00DF179D" w:rsidRPr="003B3B9B">
        <w:rPr>
          <w:lang w:val="fr-CH"/>
        </w:rPr>
        <w:t>Co</w:t>
      </w:r>
      <w:r w:rsidR="00C62D04" w:rsidRPr="003B3B9B">
        <w:rPr>
          <w:lang w:val="fr-CH"/>
        </w:rPr>
        <w:t xml:space="preserve">mme cela avait été convenu par les </w:t>
      </w:r>
      <w:r w:rsidR="0022535C" w:rsidRPr="003B3B9B">
        <w:rPr>
          <w:lang w:val="fr-CH"/>
        </w:rPr>
        <w:t>É</w:t>
      </w:r>
      <w:r w:rsidR="00C62D04" w:rsidRPr="003B3B9B">
        <w:rPr>
          <w:lang w:val="fr-CH"/>
        </w:rPr>
        <w:t>tats membres, ces fonds seront investis à long terme</w:t>
      </w:r>
      <w:r w:rsidR="0062140F">
        <w:rPr>
          <w:lang w:val="fr-CH"/>
        </w:rPr>
        <w:t>,</w:t>
      </w:r>
      <w:r w:rsidR="00C62D04" w:rsidRPr="003B3B9B">
        <w:rPr>
          <w:lang w:val="fr-CH"/>
        </w:rPr>
        <w:t xml:space="preserve"> conformément à la politique en matière de placement</w:t>
      </w:r>
      <w:r w:rsidR="0022535C" w:rsidRPr="003B3B9B">
        <w:rPr>
          <w:lang w:val="fr-CH"/>
        </w:rPr>
        <w:t>s</w:t>
      </w:r>
      <w:r w:rsidR="00C62D04" w:rsidRPr="003B3B9B">
        <w:rPr>
          <w:lang w:val="fr-CH"/>
        </w:rPr>
        <w:t xml:space="preserve"> </w:t>
      </w:r>
      <w:r w:rsidR="0062140F">
        <w:rPr>
          <w:lang w:val="fr-CH"/>
        </w:rPr>
        <w:t>relative à</w:t>
      </w:r>
      <w:r w:rsidR="00C62D04" w:rsidRPr="003B3B9B">
        <w:rPr>
          <w:lang w:val="fr-CH"/>
        </w:rPr>
        <w:t xml:space="preserve"> la trésorerie stratégique approuvée en</w:t>
      </w:r>
      <w:r w:rsidR="0022535C" w:rsidRPr="003B3B9B">
        <w:rPr>
          <w:lang w:val="fr-CH"/>
        </w:rPr>
        <w:t> </w:t>
      </w:r>
      <w:r w:rsidR="00C62D04" w:rsidRPr="003B3B9B">
        <w:rPr>
          <w:lang w:val="fr-CH"/>
        </w:rPr>
        <w:t>2015 (voir le document WO/PBC/24/10).</w:t>
      </w:r>
    </w:p>
    <w:p w:rsidR="00227FB8" w:rsidRPr="003B3B9B" w:rsidRDefault="00E96DD9" w:rsidP="0062140F">
      <w:pPr>
        <w:pStyle w:val="ONUMFS"/>
        <w:rPr>
          <w:lang w:val="fr-CH"/>
        </w:rPr>
      </w:pPr>
      <w:r w:rsidRPr="003B3B9B">
        <w:rPr>
          <w:lang w:val="fr-CH"/>
        </w:rPr>
        <w:t>L</w:t>
      </w:r>
      <w:r w:rsidR="0077445A">
        <w:rPr>
          <w:lang w:val="fr-CH"/>
        </w:rPr>
        <w:t>’</w:t>
      </w:r>
      <w:r w:rsidRPr="003B3B9B">
        <w:rPr>
          <w:lang w:val="fr-CH"/>
        </w:rPr>
        <w:t>OMPI reconnaît que les prestations au titre de l</w:t>
      </w:r>
      <w:r w:rsidR="0077445A">
        <w:rPr>
          <w:lang w:val="fr-CH"/>
        </w:rPr>
        <w:t>’</w:t>
      </w:r>
      <w:r w:rsidRPr="003B3B9B">
        <w:rPr>
          <w:lang w:val="fr-CH"/>
        </w:rPr>
        <w:t xml:space="preserve">AMCS </w:t>
      </w:r>
      <w:r w:rsidR="0022535C" w:rsidRPr="003B3B9B">
        <w:rPr>
          <w:lang w:val="fr-CH"/>
        </w:rPr>
        <w:t>fo</w:t>
      </w:r>
      <w:r w:rsidRPr="003B3B9B">
        <w:rPr>
          <w:lang w:val="fr-CH"/>
        </w:rPr>
        <w:t>nt partie d</w:t>
      </w:r>
      <w:r w:rsidR="0077445A">
        <w:rPr>
          <w:lang w:val="fr-CH"/>
        </w:rPr>
        <w:t>’</w:t>
      </w:r>
      <w:r w:rsidRPr="003B3B9B">
        <w:rPr>
          <w:lang w:val="fr-CH"/>
        </w:rPr>
        <w:t>un ensemble d</w:t>
      </w:r>
      <w:r w:rsidR="0077445A">
        <w:rPr>
          <w:lang w:val="fr-CH"/>
        </w:rPr>
        <w:t>’</w:t>
      </w:r>
      <w:r w:rsidRPr="003B3B9B">
        <w:rPr>
          <w:lang w:val="fr-CH"/>
        </w:rPr>
        <w:t>avantages offerts par l</w:t>
      </w:r>
      <w:r w:rsidR="0077445A">
        <w:rPr>
          <w:lang w:val="fr-CH"/>
        </w:rPr>
        <w:t>’</w:t>
      </w:r>
      <w:r w:rsidRPr="003B3B9B">
        <w:rPr>
          <w:lang w:val="fr-CH"/>
        </w:rPr>
        <w:t xml:space="preserve">Organisation visant à </w:t>
      </w:r>
      <w:r w:rsidR="0022535C" w:rsidRPr="003B3B9B">
        <w:rPr>
          <w:lang w:val="fr-CH"/>
        </w:rPr>
        <w:t xml:space="preserve">faire en sorte </w:t>
      </w:r>
      <w:r w:rsidRPr="003B3B9B">
        <w:rPr>
          <w:lang w:val="fr-CH"/>
        </w:rPr>
        <w:t>que les prestations offertes au personnel so</w:t>
      </w:r>
      <w:r w:rsidR="0022535C" w:rsidRPr="003B3B9B">
        <w:rPr>
          <w:lang w:val="fr-CH"/>
        </w:rPr>
        <w:t>ie</w:t>
      </w:r>
      <w:r w:rsidRPr="003B3B9B">
        <w:rPr>
          <w:lang w:val="fr-CH"/>
        </w:rPr>
        <w:t>nt attrayantes par rapport à celles que proposent ses principaux concurren</w:t>
      </w:r>
      <w:r w:rsidR="00DF179D" w:rsidRPr="003B3B9B">
        <w:rPr>
          <w:lang w:val="fr-CH"/>
        </w:rPr>
        <w:t>ts</w:t>
      </w:r>
      <w:r w:rsidR="00DF179D">
        <w:rPr>
          <w:lang w:val="fr-CH"/>
        </w:rPr>
        <w:t xml:space="preserve">.  </w:t>
      </w:r>
      <w:r w:rsidR="00DF179D" w:rsidRPr="003B3B9B">
        <w:rPr>
          <w:lang w:val="fr-CH"/>
        </w:rPr>
        <w:t>De</w:t>
      </w:r>
      <w:r w:rsidR="0022535C" w:rsidRPr="003B3B9B">
        <w:rPr>
          <w:lang w:val="fr-CH"/>
        </w:rPr>
        <w:t> pl</w:t>
      </w:r>
      <w:r w:rsidRPr="003B3B9B">
        <w:rPr>
          <w:lang w:val="fr-CH"/>
        </w:rPr>
        <w:t>u</w:t>
      </w:r>
      <w:r w:rsidR="0022535C" w:rsidRPr="003B3B9B">
        <w:rPr>
          <w:lang w:val="fr-CH"/>
        </w:rPr>
        <w:t>s</w:t>
      </w:r>
      <w:r w:rsidRPr="003B3B9B">
        <w:rPr>
          <w:lang w:val="fr-CH"/>
        </w:rPr>
        <w:t>, en acceptant de travailler dans la fonction publique internationale, de nombreux fon</w:t>
      </w:r>
      <w:r w:rsidR="00F54799" w:rsidRPr="003B3B9B">
        <w:rPr>
          <w:lang w:val="fr-CH"/>
        </w:rPr>
        <w:t xml:space="preserve">ctionnaires </w:t>
      </w:r>
      <w:r w:rsidR="0062140F">
        <w:rPr>
          <w:lang w:val="fr-CH"/>
        </w:rPr>
        <w:t>n’ont pas droit à</w:t>
      </w:r>
      <w:r w:rsidRPr="003B3B9B">
        <w:rPr>
          <w:lang w:val="fr-CH"/>
        </w:rPr>
        <w:t xml:space="preserve"> l</w:t>
      </w:r>
      <w:r w:rsidR="0077445A">
        <w:rPr>
          <w:lang w:val="fr-CH"/>
        </w:rPr>
        <w:t>’</w:t>
      </w:r>
      <w:r w:rsidRPr="003B3B9B">
        <w:rPr>
          <w:lang w:val="fr-CH"/>
        </w:rPr>
        <w:t>assurance maladie dans le cadre de la sécurité sociale ou de</w:t>
      </w:r>
      <w:r w:rsidR="0062140F">
        <w:rPr>
          <w:lang w:val="fr-CH"/>
        </w:rPr>
        <w:t>s</w:t>
      </w:r>
      <w:r w:rsidRPr="003B3B9B">
        <w:rPr>
          <w:lang w:val="fr-CH"/>
        </w:rPr>
        <w:t xml:space="preserve"> régimes privés</w:t>
      </w:r>
      <w:r w:rsidR="00F54799" w:rsidRPr="003B3B9B">
        <w:rPr>
          <w:lang w:val="fr-CH"/>
        </w:rPr>
        <w:t xml:space="preserve"> </w:t>
      </w:r>
      <w:r w:rsidR="0062140F">
        <w:rPr>
          <w:lang w:val="fr-CH"/>
        </w:rPr>
        <w:t>nationaux lorsqu’ils atteignent l’âge de la retraite</w:t>
      </w:r>
      <w:r w:rsidRPr="003B3B9B">
        <w:rPr>
          <w:lang w:val="fr-CH"/>
        </w:rPr>
        <w:t>.  L</w:t>
      </w:r>
      <w:r w:rsidR="0077445A">
        <w:rPr>
          <w:lang w:val="fr-CH"/>
        </w:rPr>
        <w:t>’</w:t>
      </w:r>
      <w:r w:rsidRPr="003B3B9B">
        <w:rPr>
          <w:lang w:val="fr-CH"/>
        </w:rPr>
        <w:t>AMCS est donc prévue pour veiller à ce que les fonctionnaires ne soient pas pénalisés en termes d</w:t>
      </w:r>
      <w:r w:rsidR="0077445A">
        <w:rPr>
          <w:lang w:val="fr-CH"/>
        </w:rPr>
        <w:t>’</w:t>
      </w:r>
      <w:r w:rsidRPr="003B3B9B">
        <w:rPr>
          <w:lang w:val="fr-CH"/>
        </w:rPr>
        <w:t>accès aux soins de santé du fait de leur emploi auprès de l</w:t>
      </w:r>
      <w:r w:rsidR="0077445A">
        <w:rPr>
          <w:lang w:val="fr-CH"/>
        </w:rPr>
        <w:t>’</w:t>
      </w:r>
      <w:r w:rsidRPr="003B3B9B">
        <w:rPr>
          <w:lang w:val="fr-CH"/>
        </w:rPr>
        <w:t>O</w:t>
      </w:r>
      <w:r w:rsidR="00DF179D" w:rsidRPr="003B3B9B">
        <w:rPr>
          <w:lang w:val="fr-CH"/>
        </w:rPr>
        <w:t>MPI</w:t>
      </w:r>
      <w:r w:rsidR="00DF179D">
        <w:rPr>
          <w:lang w:val="fr-CH"/>
        </w:rPr>
        <w:t xml:space="preserve">.  </w:t>
      </w:r>
      <w:r w:rsidR="00DF179D" w:rsidRPr="003B3B9B">
        <w:rPr>
          <w:lang w:val="fr-CH"/>
        </w:rPr>
        <w:t>Pa</w:t>
      </w:r>
      <w:r w:rsidRPr="003B3B9B">
        <w:rPr>
          <w:lang w:val="fr-CH"/>
        </w:rPr>
        <w:t xml:space="preserve">r conséquent, </w:t>
      </w:r>
      <w:r w:rsidR="0062140F">
        <w:rPr>
          <w:lang w:val="fr-CH"/>
        </w:rPr>
        <w:t xml:space="preserve">il convient d’étudier soigneusement </w:t>
      </w:r>
      <w:r w:rsidRPr="003B3B9B">
        <w:rPr>
          <w:lang w:val="fr-CH"/>
        </w:rPr>
        <w:t>la mise en place de mesures visant à maîtriser les coûts et leur incidence éventuelle</w:t>
      </w:r>
      <w:r w:rsidR="00DF179D">
        <w:rPr>
          <w:lang w:val="fr-CH"/>
        </w:rPr>
        <w:t xml:space="preserve">.  </w:t>
      </w:r>
      <w:r w:rsidR="00DF179D" w:rsidRPr="003B3B9B">
        <w:rPr>
          <w:lang w:val="fr-CH"/>
        </w:rPr>
        <w:t>Pa</w:t>
      </w:r>
      <w:r w:rsidR="00F54799" w:rsidRPr="003B3B9B">
        <w:rPr>
          <w:lang w:val="fr-CH"/>
        </w:rPr>
        <w:t>r ailleurs</w:t>
      </w:r>
      <w:r w:rsidRPr="003B3B9B">
        <w:rPr>
          <w:lang w:val="fr-CH"/>
        </w:rPr>
        <w:t>, une mise en œuvre unilatérale de ces mesures pourrait être perçue comme une absence d</w:t>
      </w:r>
      <w:r w:rsidR="0077445A">
        <w:rPr>
          <w:lang w:val="fr-CH"/>
        </w:rPr>
        <w:t>’</w:t>
      </w:r>
      <w:r w:rsidRPr="003B3B9B">
        <w:rPr>
          <w:lang w:val="fr-CH"/>
        </w:rPr>
        <w:t>engagement de l</w:t>
      </w:r>
      <w:r w:rsidR="0077445A">
        <w:rPr>
          <w:lang w:val="fr-CH"/>
        </w:rPr>
        <w:t>’</w:t>
      </w:r>
      <w:r w:rsidRPr="003B3B9B">
        <w:rPr>
          <w:lang w:val="fr-CH"/>
        </w:rPr>
        <w:t>Organisation vis</w:t>
      </w:r>
      <w:r w:rsidR="00DF179D">
        <w:rPr>
          <w:lang w:val="fr-CH"/>
        </w:rPr>
        <w:noBreakHyphen/>
      </w:r>
      <w:r w:rsidRPr="003B3B9B">
        <w:rPr>
          <w:lang w:val="fr-CH"/>
        </w:rPr>
        <w:t>à</w:t>
      </w:r>
      <w:r w:rsidR="00DF179D">
        <w:rPr>
          <w:lang w:val="fr-CH"/>
        </w:rPr>
        <w:noBreakHyphen/>
      </w:r>
      <w:r w:rsidRPr="003B3B9B">
        <w:rPr>
          <w:lang w:val="fr-CH"/>
        </w:rPr>
        <w:t>vis du système commun</w:t>
      </w:r>
      <w:r w:rsidR="0062140F">
        <w:rPr>
          <w:lang w:val="fr-CH"/>
        </w:rPr>
        <w:t>,</w:t>
      </w:r>
      <w:r w:rsidRPr="003B3B9B">
        <w:rPr>
          <w:lang w:val="fr-CH"/>
        </w:rPr>
        <w:t xml:space="preserve"> qui comprend l</w:t>
      </w:r>
      <w:r w:rsidR="0077445A">
        <w:rPr>
          <w:lang w:val="fr-CH"/>
        </w:rPr>
        <w:t>’</w:t>
      </w:r>
      <w:r w:rsidRPr="003B3B9B">
        <w:rPr>
          <w:lang w:val="fr-CH"/>
        </w:rPr>
        <w:t xml:space="preserve">ensemble des prestations offertes par les organisations appliquant le régime commun des </w:t>
      </w:r>
      <w:r w:rsidR="0077445A">
        <w:rPr>
          <w:lang w:val="fr-CH"/>
        </w:rPr>
        <w:t>Nations Uni</w:t>
      </w:r>
      <w:r w:rsidR="00DF179D">
        <w:rPr>
          <w:lang w:val="fr-CH"/>
        </w:rPr>
        <w:t xml:space="preserve">es.  </w:t>
      </w:r>
      <w:r w:rsidR="00DF179D" w:rsidRPr="003B3B9B">
        <w:rPr>
          <w:lang w:val="fr-CH"/>
        </w:rPr>
        <w:t>Co</w:t>
      </w:r>
      <w:r w:rsidR="00676865" w:rsidRPr="003B3B9B">
        <w:rPr>
          <w:lang w:val="fr-CH"/>
        </w:rPr>
        <w:t>nformément aux conclusions tirées par le Comité de haut niveau sur la gestion à sa trente</w:t>
      </w:r>
      <w:r w:rsidR="00F54799" w:rsidRPr="003B3B9B">
        <w:rPr>
          <w:lang w:val="fr-CH"/>
        </w:rPr>
        <w:t> </w:t>
      </w:r>
      <w:r w:rsidR="00676865" w:rsidRPr="003B3B9B">
        <w:rPr>
          <w:lang w:val="fr-CH"/>
        </w:rPr>
        <w:t>et</w:t>
      </w:r>
      <w:r w:rsidR="00F54799" w:rsidRPr="003B3B9B">
        <w:rPr>
          <w:lang w:val="fr-CH"/>
        </w:rPr>
        <w:t> </w:t>
      </w:r>
      <w:r w:rsidR="00676865" w:rsidRPr="003B3B9B">
        <w:rPr>
          <w:lang w:val="fr-CH"/>
        </w:rPr>
        <w:t>unième</w:t>
      </w:r>
      <w:r w:rsidR="00F54799" w:rsidRPr="003B3B9B">
        <w:rPr>
          <w:lang w:val="fr-CH"/>
        </w:rPr>
        <w:t> </w:t>
      </w:r>
      <w:r w:rsidR="00676865" w:rsidRPr="003B3B9B">
        <w:rPr>
          <w:lang w:val="fr-CH"/>
        </w:rPr>
        <w:t xml:space="preserve">session </w:t>
      </w:r>
      <w:r w:rsidR="00F54799" w:rsidRPr="003B3B9B">
        <w:rPr>
          <w:lang w:val="fr-CH"/>
        </w:rPr>
        <w:t xml:space="preserve">tenue </w:t>
      </w:r>
      <w:r w:rsidR="00676865" w:rsidRPr="003B3B9B">
        <w:rPr>
          <w:lang w:val="fr-CH"/>
        </w:rPr>
        <w:t>en mars</w:t>
      </w:r>
      <w:r w:rsidR="00F54799" w:rsidRPr="003B3B9B">
        <w:rPr>
          <w:lang w:val="fr-CH"/>
        </w:rPr>
        <w:t> </w:t>
      </w:r>
      <w:r w:rsidR="00676865" w:rsidRPr="003B3B9B">
        <w:rPr>
          <w:lang w:val="fr-CH"/>
        </w:rPr>
        <w:t>2016 (voir ci</w:t>
      </w:r>
      <w:r w:rsidR="00DF179D">
        <w:rPr>
          <w:lang w:val="fr-CH"/>
        </w:rPr>
        <w:noBreakHyphen/>
      </w:r>
      <w:r w:rsidR="00676865" w:rsidRPr="003B3B9B">
        <w:rPr>
          <w:lang w:val="fr-CH"/>
        </w:rPr>
        <w:t>dessus), il serait donc extrêmement important de veiller à la tenue en bonne et due forme de processus de consultation et à ce que toute mesure envisagée soit examinée en étroite collaboration avec le groupe de travail.</w:t>
      </w:r>
    </w:p>
    <w:p w:rsidR="0077445A" w:rsidRDefault="00676865" w:rsidP="003B3B9B">
      <w:pPr>
        <w:pStyle w:val="ONUMFS"/>
        <w:rPr>
          <w:lang w:val="fr-CH"/>
        </w:rPr>
      </w:pPr>
      <w:r w:rsidRPr="00676865">
        <w:rPr>
          <w:lang w:val="fr-CH"/>
        </w:rPr>
        <w:t>Le paragraphe de décision ci</w:t>
      </w:r>
      <w:r w:rsidR="00DF179D">
        <w:rPr>
          <w:lang w:val="fr-CH"/>
        </w:rPr>
        <w:noBreakHyphen/>
      </w:r>
      <w:r w:rsidRPr="00676865">
        <w:rPr>
          <w:lang w:val="fr-CH"/>
        </w:rPr>
        <w:t>après est proposé.</w:t>
      </w:r>
    </w:p>
    <w:p w:rsidR="00227FB8" w:rsidRDefault="00227FB8" w:rsidP="00676865">
      <w:pPr>
        <w:pStyle w:val="ONUMFS"/>
        <w:numPr>
          <w:ilvl w:val="0"/>
          <w:numId w:val="0"/>
        </w:numPr>
        <w:rPr>
          <w:lang w:val="fr-FR"/>
        </w:rPr>
      </w:pPr>
    </w:p>
    <w:p w:rsidR="00227FB8" w:rsidRPr="004F696B" w:rsidRDefault="003B3B9B" w:rsidP="003B3B9B">
      <w:pPr>
        <w:pStyle w:val="ONUMFS"/>
        <w:numPr>
          <w:ilvl w:val="0"/>
          <w:numId w:val="0"/>
        </w:numPr>
        <w:ind w:left="5533"/>
        <w:rPr>
          <w:i/>
          <w:szCs w:val="22"/>
          <w:lang w:val="fr-FR"/>
        </w:rPr>
      </w:pPr>
      <w:r>
        <w:rPr>
          <w:i/>
          <w:lang w:val="fr-FR"/>
        </w:rPr>
        <w:t>16.</w:t>
      </w:r>
      <w:r>
        <w:rPr>
          <w:i/>
          <w:lang w:val="fr-FR"/>
        </w:rPr>
        <w:tab/>
      </w:r>
      <w:r w:rsidR="00F74418" w:rsidRPr="004F696B">
        <w:rPr>
          <w:i/>
          <w:lang w:val="fr-FR"/>
        </w:rPr>
        <w:t xml:space="preserve">Le Comité du </w:t>
      </w:r>
      <w:r w:rsidR="001603F4" w:rsidRPr="004F696B">
        <w:rPr>
          <w:i/>
          <w:lang w:val="fr-FR"/>
        </w:rPr>
        <w:t>p</w:t>
      </w:r>
      <w:r w:rsidR="00F74418" w:rsidRPr="004F696B">
        <w:rPr>
          <w:i/>
          <w:lang w:val="fr-FR"/>
        </w:rPr>
        <w:t xml:space="preserve">rogramme et </w:t>
      </w:r>
      <w:r w:rsidR="00DF179D">
        <w:rPr>
          <w:i/>
          <w:lang w:val="fr-FR"/>
        </w:rPr>
        <w:t>b</w:t>
      </w:r>
      <w:r w:rsidR="00F74418" w:rsidRPr="004F696B">
        <w:rPr>
          <w:i/>
          <w:lang w:val="fr-FR"/>
        </w:rPr>
        <w:t>udget (PBC) a recommandé aux assemblées des États membres de l</w:t>
      </w:r>
      <w:r w:rsidR="0077445A">
        <w:rPr>
          <w:i/>
          <w:lang w:val="fr-FR"/>
        </w:rPr>
        <w:t>’</w:t>
      </w:r>
      <w:r w:rsidR="00F74418" w:rsidRPr="004F696B">
        <w:rPr>
          <w:i/>
          <w:lang w:val="fr-FR"/>
        </w:rPr>
        <w:t>OMPI et aux unions, chacune pour ce qui la concerne, de prier le Secrétariat</w:t>
      </w:r>
      <w:r w:rsidR="004F696B" w:rsidRPr="004F696B">
        <w:rPr>
          <w:i/>
          <w:lang w:val="fr-FR"/>
        </w:rPr>
        <w:t xml:space="preserve"> </w:t>
      </w:r>
      <w:r w:rsidR="00F74418" w:rsidRPr="004F696B">
        <w:rPr>
          <w:i/>
          <w:szCs w:val="22"/>
          <w:lang w:val="fr-FR"/>
        </w:rPr>
        <w:t>de continuer à participer au groupe de travail sur l</w:t>
      </w:r>
      <w:r w:rsidR="0077445A">
        <w:rPr>
          <w:i/>
          <w:szCs w:val="22"/>
          <w:lang w:val="fr-FR"/>
        </w:rPr>
        <w:t>’</w:t>
      </w:r>
      <w:r w:rsidR="00F74418" w:rsidRPr="004F696B">
        <w:rPr>
          <w:i/>
          <w:szCs w:val="22"/>
          <w:lang w:val="fr-FR"/>
        </w:rPr>
        <w:t xml:space="preserve">assurance maladie après la cessation de service du Réseau Finances et </w:t>
      </w:r>
      <w:r w:rsidR="006C0B04" w:rsidRPr="004F696B">
        <w:rPr>
          <w:i/>
          <w:szCs w:val="22"/>
          <w:lang w:val="fr-FR"/>
        </w:rPr>
        <w:t>B</w:t>
      </w:r>
      <w:r w:rsidR="00F74418" w:rsidRPr="004F696B">
        <w:rPr>
          <w:i/>
          <w:szCs w:val="22"/>
          <w:lang w:val="fr-FR"/>
        </w:rPr>
        <w:t>udget et d</w:t>
      </w:r>
      <w:r w:rsidR="0077445A">
        <w:rPr>
          <w:i/>
          <w:szCs w:val="22"/>
          <w:lang w:val="fr-FR"/>
        </w:rPr>
        <w:t>’</w:t>
      </w:r>
      <w:r w:rsidR="00F74418" w:rsidRPr="004F696B">
        <w:rPr>
          <w:i/>
          <w:szCs w:val="22"/>
          <w:lang w:val="fr-FR"/>
        </w:rPr>
        <w:t>assurer le suivi des propositions spécifiques qui seront présentées par le Secrétaire général à l</w:t>
      </w:r>
      <w:r w:rsidR="0077445A">
        <w:rPr>
          <w:i/>
          <w:szCs w:val="22"/>
          <w:lang w:val="fr-FR"/>
        </w:rPr>
        <w:t>’</w:t>
      </w:r>
      <w:r w:rsidR="00F74418" w:rsidRPr="004F696B">
        <w:rPr>
          <w:i/>
          <w:szCs w:val="22"/>
          <w:lang w:val="fr-FR"/>
        </w:rPr>
        <w:t xml:space="preserve">Assemblée générale des </w:t>
      </w:r>
      <w:r w:rsidR="0077445A">
        <w:rPr>
          <w:i/>
          <w:szCs w:val="22"/>
          <w:lang w:val="fr-FR"/>
        </w:rPr>
        <w:t>Nations Unies</w:t>
      </w:r>
      <w:r w:rsidR="00F74418" w:rsidRPr="004F696B">
        <w:rPr>
          <w:i/>
          <w:szCs w:val="22"/>
          <w:lang w:val="fr-FR"/>
        </w:rPr>
        <w:t xml:space="preserve"> à sa soixante</w:t>
      </w:r>
      <w:r w:rsidR="006C0B04" w:rsidRPr="004F696B">
        <w:rPr>
          <w:i/>
          <w:szCs w:val="22"/>
          <w:lang w:val="fr-FR"/>
        </w:rPr>
        <w:t> </w:t>
      </w:r>
      <w:r w:rsidR="00F74418" w:rsidRPr="004F696B">
        <w:rPr>
          <w:i/>
          <w:szCs w:val="22"/>
          <w:lang w:val="fr-FR"/>
        </w:rPr>
        <w:t>et</w:t>
      </w:r>
      <w:r w:rsidR="001C64C5" w:rsidRPr="004F696B">
        <w:rPr>
          <w:i/>
          <w:szCs w:val="22"/>
          <w:lang w:val="fr-FR"/>
        </w:rPr>
        <w:t> </w:t>
      </w:r>
      <w:r w:rsidR="00F74418" w:rsidRPr="004F696B">
        <w:rPr>
          <w:i/>
          <w:szCs w:val="22"/>
          <w:lang w:val="fr-FR"/>
        </w:rPr>
        <w:t>onzième</w:t>
      </w:r>
      <w:r w:rsidR="006C0B04" w:rsidRPr="004F696B">
        <w:rPr>
          <w:i/>
          <w:szCs w:val="22"/>
          <w:lang w:val="fr-FR"/>
        </w:rPr>
        <w:t> </w:t>
      </w:r>
      <w:r w:rsidR="00F74418" w:rsidRPr="004F696B">
        <w:rPr>
          <w:i/>
          <w:szCs w:val="22"/>
          <w:lang w:val="fr-FR"/>
        </w:rPr>
        <w:t>session.</w:t>
      </w:r>
    </w:p>
    <w:p w:rsidR="00227FB8" w:rsidRDefault="00227FB8" w:rsidP="001603F4">
      <w:pPr>
        <w:pStyle w:val="Endofdocument-Annex"/>
        <w:rPr>
          <w:lang w:val="fr-FR"/>
        </w:rPr>
      </w:pPr>
    </w:p>
    <w:p w:rsidR="00227FB8" w:rsidRDefault="00227FB8" w:rsidP="001603F4">
      <w:pPr>
        <w:pStyle w:val="Endofdocument-Annex"/>
        <w:rPr>
          <w:lang w:val="fr-FR"/>
        </w:rPr>
      </w:pPr>
    </w:p>
    <w:p w:rsidR="00227FB8" w:rsidRDefault="00F74418" w:rsidP="001603F4">
      <w:pPr>
        <w:pStyle w:val="Endofdocument-Annex"/>
        <w:rPr>
          <w:lang w:val="fr-FR"/>
        </w:rPr>
      </w:pPr>
      <w:r w:rsidRPr="006B5442">
        <w:rPr>
          <w:lang w:val="fr-FR"/>
        </w:rPr>
        <w:t>[L</w:t>
      </w:r>
      <w:r w:rsidR="0077445A">
        <w:rPr>
          <w:lang w:val="fr-FR"/>
        </w:rPr>
        <w:t>’</w:t>
      </w:r>
      <w:r w:rsidRPr="006B5442">
        <w:rPr>
          <w:lang w:val="fr-FR"/>
        </w:rPr>
        <w:t>annexe suit]</w:t>
      </w:r>
    </w:p>
    <w:p w:rsidR="00227FB8" w:rsidRDefault="00227FB8" w:rsidP="001603F4">
      <w:pPr>
        <w:pStyle w:val="Endofdocument-Annex"/>
        <w:rPr>
          <w:lang w:val="fr-FR"/>
        </w:rPr>
      </w:pPr>
    </w:p>
    <w:p w:rsidR="001E25DF" w:rsidRPr="006B5442" w:rsidRDefault="001E25DF" w:rsidP="001603F4">
      <w:pPr>
        <w:pStyle w:val="Endofdocument-Annex"/>
        <w:rPr>
          <w:lang w:val="fr-FR"/>
        </w:rPr>
        <w:sectPr w:rsidR="001E25DF" w:rsidRPr="006B5442" w:rsidSect="00274E90">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227FB8" w:rsidRDefault="00F74418" w:rsidP="00CE3512">
      <w:pPr>
        <w:jc w:val="center"/>
        <w:rPr>
          <w:b/>
          <w:lang w:val="fr-FR"/>
        </w:rPr>
      </w:pPr>
      <w:r w:rsidRPr="006B5442">
        <w:rPr>
          <w:b/>
          <w:lang w:val="fr-FR"/>
        </w:rPr>
        <w:lastRenderedPageBreak/>
        <w:t>HUIT</w:t>
      </w:r>
      <w:r w:rsidR="00631550" w:rsidRPr="006B5442">
        <w:rPr>
          <w:b/>
          <w:lang w:val="fr-FR"/>
        </w:rPr>
        <w:t> </w:t>
      </w:r>
      <w:r w:rsidRPr="006B5442">
        <w:rPr>
          <w:b/>
          <w:lang w:val="fr-FR"/>
        </w:rPr>
        <w:t>RECOMMANDATIONS FORMUL</w:t>
      </w:r>
      <w:r w:rsidR="00631550" w:rsidRPr="006B5442">
        <w:rPr>
          <w:b/>
          <w:lang w:val="fr-FR"/>
        </w:rPr>
        <w:t>É</w:t>
      </w:r>
      <w:r w:rsidR="003C16D4" w:rsidRPr="006B5442">
        <w:rPr>
          <w:b/>
          <w:lang w:val="fr-FR"/>
        </w:rPr>
        <w:t>ES PAR LE GROUPE DE TRAVAIL SUR </w:t>
      </w:r>
      <w:r w:rsidRPr="006B5442">
        <w:rPr>
          <w:b/>
          <w:lang w:val="fr-FR"/>
        </w:rPr>
        <w:t>L</w:t>
      </w:r>
      <w:r w:rsidR="0077445A">
        <w:rPr>
          <w:b/>
          <w:lang w:val="fr-FR"/>
        </w:rPr>
        <w:t>’</w:t>
      </w:r>
      <w:r w:rsidRPr="006B5442">
        <w:rPr>
          <w:b/>
          <w:lang w:val="fr-FR"/>
        </w:rPr>
        <w:t>ASSURANCE MALADIE APR</w:t>
      </w:r>
      <w:r w:rsidR="00631550" w:rsidRPr="006B5442">
        <w:rPr>
          <w:b/>
          <w:lang w:val="fr-FR"/>
        </w:rPr>
        <w:t>È</w:t>
      </w:r>
      <w:r w:rsidRPr="006B5442">
        <w:rPr>
          <w:b/>
          <w:lang w:val="fr-FR"/>
        </w:rPr>
        <w:t>S LA CESSATION DE SERVICE, REGROUP</w:t>
      </w:r>
      <w:r w:rsidR="00631550" w:rsidRPr="006B5442">
        <w:rPr>
          <w:b/>
          <w:lang w:val="fr-FR"/>
        </w:rPr>
        <w:t>É</w:t>
      </w:r>
      <w:r w:rsidR="003C16D4" w:rsidRPr="006B5442">
        <w:rPr>
          <w:b/>
          <w:lang w:val="fr-FR"/>
        </w:rPr>
        <w:t>ES PAR </w:t>
      </w:r>
      <w:r w:rsidRPr="006B5442">
        <w:rPr>
          <w:b/>
          <w:lang w:val="fr-FR"/>
        </w:rPr>
        <w:t>PILIER</w:t>
      </w:r>
    </w:p>
    <w:p w:rsidR="00227FB8" w:rsidRDefault="00227FB8" w:rsidP="00CE3512">
      <w:pPr>
        <w:rPr>
          <w:lang w:val="fr-FR"/>
        </w:rPr>
      </w:pPr>
    </w:p>
    <w:p w:rsidR="00227FB8" w:rsidRDefault="00227FB8" w:rsidP="00CE3512">
      <w:pPr>
        <w:jc w:val="both"/>
        <w:rPr>
          <w:lang w:val="fr-FR"/>
        </w:rPr>
      </w:pPr>
    </w:p>
    <w:p w:rsidR="00227FB8" w:rsidRDefault="00F74418" w:rsidP="00CE3512">
      <w:pPr>
        <w:tabs>
          <w:tab w:val="left" w:pos="1440"/>
        </w:tabs>
        <w:jc w:val="both"/>
        <w:rPr>
          <w:b/>
          <w:lang w:val="fr-FR"/>
        </w:rPr>
      </w:pPr>
      <w:r w:rsidRPr="006B5442">
        <w:rPr>
          <w:b/>
          <w:lang w:val="fr-FR"/>
        </w:rPr>
        <w:t>PILIER</w:t>
      </w:r>
      <w:r w:rsidR="00631550" w:rsidRPr="006B5442">
        <w:rPr>
          <w:b/>
          <w:lang w:val="fr-FR"/>
        </w:rPr>
        <w:t> </w:t>
      </w:r>
      <w:r w:rsidRPr="006B5442">
        <w:rPr>
          <w:b/>
          <w:lang w:val="fr-FR"/>
        </w:rPr>
        <w:t>A</w:t>
      </w:r>
      <w:r w:rsidRPr="006B5442">
        <w:rPr>
          <w:b/>
          <w:lang w:val="fr-FR"/>
        </w:rPr>
        <w:tab/>
        <w:t>Analyse des coûts et arrangements administratifs</w:t>
      </w:r>
    </w:p>
    <w:p w:rsidR="00227FB8" w:rsidRDefault="00227FB8" w:rsidP="00CE3512">
      <w:pPr>
        <w:rPr>
          <w:lang w:val="fr-FR"/>
        </w:rPr>
      </w:pPr>
    </w:p>
    <w:p w:rsidR="00227FB8" w:rsidRDefault="00834400" w:rsidP="00CE3512">
      <w:pPr>
        <w:tabs>
          <w:tab w:val="left" w:pos="2340"/>
        </w:tabs>
        <w:rPr>
          <w:lang w:val="fr-FR"/>
        </w:rPr>
      </w:pPr>
      <w:r w:rsidRPr="006B5442">
        <w:rPr>
          <w:u w:val="single"/>
          <w:lang w:val="fr-FR"/>
        </w:rPr>
        <w:t>Recommandation</w:t>
      </w:r>
      <w:r w:rsidR="001C64C5" w:rsidRPr="006B5442">
        <w:rPr>
          <w:u w:val="single"/>
          <w:lang w:val="fr-FR"/>
        </w:rPr>
        <w:t xml:space="preserve"> n°</w:t>
      </w:r>
      <w:r w:rsidR="00631550" w:rsidRPr="006B5442">
        <w:rPr>
          <w:u w:val="single"/>
          <w:lang w:val="fr-FR"/>
        </w:rPr>
        <w:t> </w:t>
      </w:r>
      <w:r w:rsidRPr="006B5442">
        <w:rPr>
          <w:u w:val="single"/>
          <w:lang w:val="fr-FR"/>
        </w:rPr>
        <w:t>1</w:t>
      </w:r>
      <w:r w:rsidR="00631550" w:rsidRPr="006B5442">
        <w:rPr>
          <w:lang w:val="fr-FR"/>
        </w:rPr>
        <w:t> </w:t>
      </w:r>
      <w:r w:rsidRPr="006B5442">
        <w:rPr>
          <w:lang w:val="fr-FR"/>
        </w:rPr>
        <w:t>:</w:t>
      </w:r>
      <w:r w:rsidR="001C64C5" w:rsidRPr="006B5442">
        <w:rPr>
          <w:lang w:val="fr-FR"/>
        </w:rPr>
        <w:t xml:space="preserve"> </w:t>
      </w:r>
      <w:r w:rsidRPr="006B5442">
        <w:rPr>
          <w:lang w:val="fr-FR"/>
        </w:rPr>
        <w:tab/>
        <w:t>Négociations collectives avec des administrateurs tiers</w:t>
      </w:r>
    </w:p>
    <w:p w:rsidR="00227FB8" w:rsidRDefault="00227FB8" w:rsidP="00CE3512">
      <w:pPr>
        <w:rPr>
          <w:lang w:val="fr-FR"/>
        </w:rPr>
      </w:pPr>
    </w:p>
    <w:p w:rsidR="00227FB8" w:rsidRDefault="00834400" w:rsidP="00CE3512">
      <w:pPr>
        <w:rPr>
          <w:lang w:val="fr-FR"/>
        </w:rPr>
      </w:pPr>
      <w:r w:rsidRPr="006B5442">
        <w:rPr>
          <w:lang w:val="fr-FR"/>
        </w:rPr>
        <w:t xml:space="preserve">Les organisations faisant partie du système des </w:t>
      </w:r>
      <w:r w:rsidR="0077445A">
        <w:rPr>
          <w:lang w:val="fr-FR"/>
        </w:rPr>
        <w:t>Nations Unies</w:t>
      </w:r>
      <w:r w:rsidRPr="006B5442">
        <w:rPr>
          <w:lang w:val="fr-FR"/>
        </w:rPr>
        <w:t xml:space="preserve"> devraient négocier avec les administrateurs tiers de manière collective afin d</w:t>
      </w:r>
      <w:r w:rsidR="0077445A">
        <w:rPr>
          <w:lang w:val="fr-FR"/>
        </w:rPr>
        <w:t>’</w:t>
      </w:r>
      <w:r w:rsidRPr="006B5442">
        <w:rPr>
          <w:lang w:val="fr-FR"/>
        </w:rPr>
        <w:t>obtenir les meilleurs prix pour les services administratifs et l</w:t>
      </w:r>
      <w:r w:rsidR="0077445A">
        <w:rPr>
          <w:lang w:val="fr-FR"/>
        </w:rPr>
        <w:t>’</w:t>
      </w:r>
      <w:r w:rsidRPr="006B5442">
        <w:rPr>
          <w:lang w:val="fr-FR"/>
        </w:rPr>
        <w:t>accès au rése</w:t>
      </w:r>
      <w:r w:rsidR="00DF179D" w:rsidRPr="006B5442">
        <w:rPr>
          <w:lang w:val="fr-FR"/>
        </w:rPr>
        <w:t>au</w:t>
      </w:r>
      <w:r w:rsidR="00DF179D">
        <w:rPr>
          <w:lang w:val="fr-FR"/>
        </w:rPr>
        <w:t xml:space="preserve">.  </w:t>
      </w:r>
      <w:r w:rsidR="00DF179D" w:rsidRPr="006B5442">
        <w:rPr>
          <w:lang w:val="fr-FR"/>
        </w:rPr>
        <w:t>Po</w:t>
      </w:r>
      <w:r w:rsidR="00E7736E" w:rsidRPr="006B5442">
        <w:rPr>
          <w:lang w:val="fr-FR"/>
        </w:rPr>
        <w:t xml:space="preserve">ur favoriser la négociation collective, les organisations membres du système des </w:t>
      </w:r>
      <w:r w:rsidR="0077445A">
        <w:rPr>
          <w:lang w:val="fr-FR"/>
        </w:rPr>
        <w:t>Nations Unies</w:t>
      </w:r>
      <w:r w:rsidR="00E7736E" w:rsidRPr="006B5442">
        <w:rPr>
          <w:lang w:val="fr-FR"/>
        </w:rPr>
        <w:t xml:space="preserve"> devraient étudier la possibilité de créer et de tenir à jour une base de données commune pour </w:t>
      </w:r>
      <w:r w:rsidR="00946470" w:rsidRPr="006B5442">
        <w:rPr>
          <w:lang w:val="fr-FR"/>
        </w:rPr>
        <w:t>la saisie d</w:t>
      </w:r>
      <w:r w:rsidR="00E7736E" w:rsidRPr="006B5442">
        <w:rPr>
          <w:lang w:val="fr-FR"/>
        </w:rPr>
        <w:t xml:space="preserve">es informations démographiques et relatives au régime;  une synthèse des données relatives aux demandes de remboursement;  les modalités des accords avec les administrateurs tiers;  les dépenses de personnel;  et une synthèse des informations </w:t>
      </w:r>
      <w:r w:rsidR="00946470" w:rsidRPr="006B5442">
        <w:rPr>
          <w:lang w:val="fr-FR"/>
        </w:rPr>
        <w:t xml:space="preserve">concernant </w:t>
      </w:r>
      <w:r w:rsidR="00E7736E" w:rsidRPr="006B5442">
        <w:rPr>
          <w:lang w:val="fr-FR"/>
        </w:rPr>
        <w:t>les fraudes.</w:t>
      </w:r>
    </w:p>
    <w:p w:rsidR="00227FB8" w:rsidRDefault="00227FB8" w:rsidP="00CE3512">
      <w:pPr>
        <w:rPr>
          <w:lang w:val="fr-FR"/>
        </w:rPr>
      </w:pPr>
    </w:p>
    <w:p w:rsidR="00227FB8" w:rsidRDefault="00E7736E" w:rsidP="00CE3512">
      <w:pPr>
        <w:tabs>
          <w:tab w:val="left" w:pos="2340"/>
        </w:tabs>
        <w:rPr>
          <w:lang w:val="fr-FR"/>
        </w:rPr>
      </w:pPr>
      <w:r w:rsidRPr="006B5442">
        <w:rPr>
          <w:u w:val="single"/>
          <w:lang w:val="fr-FR"/>
        </w:rPr>
        <w:t>Recommandation</w:t>
      </w:r>
      <w:r w:rsidR="001C64C5" w:rsidRPr="006B5442">
        <w:rPr>
          <w:u w:val="single"/>
          <w:lang w:val="fr-FR"/>
        </w:rPr>
        <w:t xml:space="preserve"> n°</w:t>
      </w:r>
      <w:r w:rsidR="00631550" w:rsidRPr="006B5442">
        <w:rPr>
          <w:u w:val="single"/>
          <w:lang w:val="fr-FR"/>
        </w:rPr>
        <w:t> </w:t>
      </w:r>
      <w:r w:rsidRPr="006B5442">
        <w:rPr>
          <w:u w:val="single"/>
          <w:lang w:val="fr-FR"/>
        </w:rPr>
        <w:t>2</w:t>
      </w:r>
      <w:r w:rsidR="00631550" w:rsidRPr="006B5442">
        <w:rPr>
          <w:lang w:val="fr-FR"/>
        </w:rPr>
        <w:t> </w:t>
      </w:r>
      <w:r w:rsidRPr="006B5442">
        <w:rPr>
          <w:lang w:val="fr-FR"/>
        </w:rPr>
        <w:t>:</w:t>
      </w:r>
      <w:r w:rsidR="001C64C5" w:rsidRPr="006B5442">
        <w:rPr>
          <w:lang w:val="fr-FR"/>
        </w:rPr>
        <w:t xml:space="preserve"> </w:t>
      </w:r>
      <w:r w:rsidRPr="006B5442">
        <w:rPr>
          <w:lang w:val="fr-FR"/>
        </w:rPr>
        <w:tab/>
        <w:t>Négociations collectives avec les prestataires de services de santé</w:t>
      </w:r>
    </w:p>
    <w:p w:rsidR="00227FB8" w:rsidRDefault="00227FB8" w:rsidP="00CE3512">
      <w:pPr>
        <w:rPr>
          <w:lang w:val="fr-FR"/>
        </w:rPr>
      </w:pPr>
    </w:p>
    <w:p w:rsidR="00227FB8" w:rsidRDefault="000F192B" w:rsidP="00CE3512">
      <w:pPr>
        <w:rPr>
          <w:lang w:val="fr-FR"/>
        </w:rPr>
      </w:pPr>
      <w:r w:rsidRPr="006B5442">
        <w:rPr>
          <w:lang w:val="fr-FR"/>
        </w:rPr>
        <w:t>Les régimes d</w:t>
      </w:r>
      <w:r w:rsidR="0077445A">
        <w:rPr>
          <w:lang w:val="fr-FR"/>
        </w:rPr>
        <w:t>’</w:t>
      </w:r>
      <w:r w:rsidRPr="006B5442">
        <w:rPr>
          <w:lang w:val="fr-FR"/>
        </w:rPr>
        <w:t>auto</w:t>
      </w:r>
      <w:r w:rsidR="00DF179D">
        <w:rPr>
          <w:lang w:val="fr-FR"/>
        </w:rPr>
        <w:noBreakHyphen/>
      </w:r>
      <w:r w:rsidRPr="006B5442">
        <w:rPr>
          <w:lang w:val="fr-FR"/>
        </w:rPr>
        <w:t>assurance (OIT, OMS, UNSMIS) ont mené avec succès des négociations collectives avec des prestataires de services de santé dans la région genevoi</w:t>
      </w:r>
      <w:r w:rsidR="00DF179D" w:rsidRPr="006B5442">
        <w:rPr>
          <w:lang w:val="fr-FR"/>
        </w:rPr>
        <w:t>se</w:t>
      </w:r>
      <w:r w:rsidR="00DF179D">
        <w:rPr>
          <w:lang w:val="fr-FR"/>
        </w:rPr>
        <w:t xml:space="preserve">.  </w:t>
      </w:r>
      <w:r w:rsidR="00DF179D" w:rsidRPr="006B5442">
        <w:rPr>
          <w:lang w:val="fr-FR"/>
        </w:rPr>
        <w:t>Le</w:t>
      </w:r>
      <w:r w:rsidRPr="006B5442">
        <w:rPr>
          <w:lang w:val="fr-FR"/>
        </w:rPr>
        <w:t>s régimes d</w:t>
      </w:r>
      <w:r w:rsidR="0077445A">
        <w:rPr>
          <w:lang w:val="fr-FR"/>
        </w:rPr>
        <w:t>’</w:t>
      </w:r>
      <w:r w:rsidRPr="006B5442">
        <w:rPr>
          <w:lang w:val="fr-FR"/>
        </w:rPr>
        <w:t>auto</w:t>
      </w:r>
      <w:r w:rsidR="00DF179D">
        <w:rPr>
          <w:lang w:val="fr-FR"/>
        </w:rPr>
        <w:noBreakHyphen/>
      </w:r>
      <w:r w:rsidRPr="006B5442">
        <w:rPr>
          <w:lang w:val="fr-FR"/>
        </w:rPr>
        <w:t>assurance devraient continuer à recenser les domaines dans lesquels les négociations collectives avec des fournisseurs de services de santé pourraient générer des économies substantielles ou des améliorations sensibles sur le plan opérationn</w:t>
      </w:r>
      <w:r w:rsidR="00DF179D" w:rsidRPr="006B5442">
        <w:rPr>
          <w:lang w:val="fr-FR"/>
        </w:rPr>
        <w:t>el</w:t>
      </w:r>
      <w:r w:rsidR="00DF179D">
        <w:rPr>
          <w:lang w:val="fr-FR"/>
        </w:rPr>
        <w:t xml:space="preserve">.  </w:t>
      </w:r>
      <w:r w:rsidR="00DF179D" w:rsidRPr="006B5442">
        <w:rPr>
          <w:lang w:val="fr-FR"/>
        </w:rPr>
        <w:t>Ce</w:t>
      </w:r>
      <w:r w:rsidRPr="006B5442">
        <w:rPr>
          <w:lang w:val="fr-FR"/>
        </w:rPr>
        <w:t>s organisations devraient élaborer des processus standard communs leur permettant de négocier collectivement avec les prestataires de services de santé et les réseaux de fournisseurs afin d</w:t>
      </w:r>
      <w:r w:rsidR="0077445A">
        <w:rPr>
          <w:lang w:val="fr-FR"/>
        </w:rPr>
        <w:t>’</w:t>
      </w:r>
      <w:r w:rsidRPr="006B5442">
        <w:rPr>
          <w:lang w:val="fr-FR"/>
        </w:rPr>
        <w:t>obtenir le meilleur accès et les meilleurs prix pour des soins de santé de qualité tout en réduisant au minimum la volatilité des prix.</w:t>
      </w:r>
    </w:p>
    <w:p w:rsidR="00227FB8" w:rsidRDefault="00227FB8" w:rsidP="00CE3512">
      <w:pPr>
        <w:rPr>
          <w:lang w:val="fr-FR"/>
        </w:rPr>
      </w:pPr>
    </w:p>
    <w:p w:rsidR="00227FB8" w:rsidRDefault="00D207CC" w:rsidP="00CE3512">
      <w:pPr>
        <w:rPr>
          <w:lang w:val="fr-FR"/>
        </w:rPr>
      </w:pPr>
      <w:r w:rsidRPr="006B5442">
        <w:rPr>
          <w:lang w:val="fr-FR"/>
        </w:rPr>
        <w:t>Ces organisations devraient envisager de créer une base de données commune et fournir des informations supplémentaires concernant les pratiques des prestataires de services de santé, les modalités des accords, les informations en matière de fraude et les évaluations de la qualité.</w:t>
      </w:r>
    </w:p>
    <w:p w:rsidR="00227FB8" w:rsidRDefault="00227FB8" w:rsidP="00CE3512">
      <w:pPr>
        <w:rPr>
          <w:lang w:val="fr-FR"/>
        </w:rPr>
      </w:pPr>
    </w:p>
    <w:p w:rsidR="00227FB8" w:rsidRDefault="00D207CC" w:rsidP="00CE3512">
      <w:pPr>
        <w:tabs>
          <w:tab w:val="left" w:pos="2340"/>
        </w:tabs>
        <w:rPr>
          <w:lang w:val="fr-FR"/>
        </w:rPr>
      </w:pPr>
      <w:r w:rsidRPr="006B5442">
        <w:rPr>
          <w:u w:val="single"/>
          <w:lang w:val="fr-FR"/>
        </w:rPr>
        <w:t>Recommandation</w:t>
      </w:r>
      <w:r w:rsidR="001C64C5" w:rsidRPr="006B5442">
        <w:rPr>
          <w:u w:val="single"/>
          <w:lang w:val="fr-FR"/>
        </w:rPr>
        <w:t xml:space="preserve"> n°</w:t>
      </w:r>
      <w:r w:rsidR="00631550" w:rsidRPr="006B5442">
        <w:rPr>
          <w:u w:val="single"/>
          <w:lang w:val="fr-FR"/>
        </w:rPr>
        <w:t> </w:t>
      </w:r>
      <w:r w:rsidRPr="006B5442">
        <w:rPr>
          <w:u w:val="single"/>
          <w:lang w:val="fr-FR"/>
        </w:rPr>
        <w:t>3</w:t>
      </w:r>
      <w:r w:rsidR="00631550" w:rsidRPr="006B5442">
        <w:rPr>
          <w:lang w:val="fr-FR"/>
        </w:rPr>
        <w:t> </w:t>
      </w:r>
      <w:r w:rsidRPr="006B5442">
        <w:rPr>
          <w:lang w:val="fr-FR"/>
        </w:rPr>
        <w:t xml:space="preserve">: </w:t>
      </w:r>
      <w:r w:rsidRPr="006B5442">
        <w:rPr>
          <w:lang w:val="fr-FR"/>
        </w:rPr>
        <w:tab/>
        <w:t>Examen</w:t>
      </w:r>
      <w:r w:rsidR="00946470" w:rsidRPr="006B5442">
        <w:rPr>
          <w:lang w:val="fr-FR"/>
        </w:rPr>
        <w:t xml:space="preserve"> de</w:t>
      </w:r>
      <w:r w:rsidRPr="006B5442">
        <w:rPr>
          <w:lang w:val="fr-FR"/>
        </w:rPr>
        <w:t xml:space="preserve">s </w:t>
      </w:r>
      <w:r w:rsidR="006B5442" w:rsidRPr="006B5442">
        <w:rPr>
          <w:lang w:val="fr-FR"/>
        </w:rPr>
        <w:t>conven</w:t>
      </w:r>
      <w:r w:rsidRPr="006B5442">
        <w:rPr>
          <w:lang w:val="fr-FR"/>
        </w:rPr>
        <w:t>tion</w:t>
      </w:r>
      <w:r w:rsidR="00946470" w:rsidRPr="006B5442">
        <w:rPr>
          <w:lang w:val="fr-FR"/>
        </w:rPr>
        <w:t>s</w:t>
      </w:r>
      <w:r w:rsidRPr="006B5442">
        <w:rPr>
          <w:lang w:val="fr-FR"/>
        </w:rPr>
        <w:t xml:space="preserve"> et négociations avec les assureurs</w:t>
      </w:r>
    </w:p>
    <w:p w:rsidR="00227FB8" w:rsidRDefault="00227FB8" w:rsidP="00CE3512">
      <w:pPr>
        <w:rPr>
          <w:lang w:val="fr-FR"/>
        </w:rPr>
      </w:pPr>
    </w:p>
    <w:p w:rsidR="00227FB8" w:rsidRDefault="002B6367" w:rsidP="00CE3512">
      <w:pPr>
        <w:rPr>
          <w:lang w:val="fr-FR"/>
        </w:rPr>
      </w:pPr>
      <w:r w:rsidRPr="006B5442">
        <w:rPr>
          <w:lang w:val="fr-FR"/>
        </w:rPr>
        <w:t>Afin de disposer d</w:t>
      </w:r>
      <w:r w:rsidR="0077445A">
        <w:rPr>
          <w:lang w:val="fr-FR"/>
        </w:rPr>
        <w:t>’</w:t>
      </w:r>
      <w:r w:rsidRPr="006B5442">
        <w:rPr>
          <w:lang w:val="fr-FR"/>
        </w:rPr>
        <w:t xml:space="preserve">une base solide pour </w:t>
      </w:r>
      <w:r w:rsidR="00946470" w:rsidRPr="006B5442">
        <w:rPr>
          <w:lang w:val="fr-FR"/>
        </w:rPr>
        <w:t>réexaminer les</w:t>
      </w:r>
      <w:r w:rsidRPr="006B5442">
        <w:rPr>
          <w:lang w:val="fr-FR"/>
        </w:rPr>
        <w:t xml:space="preserve"> conditions proposées par les assureurs, les organisations dotées de régimes d</w:t>
      </w:r>
      <w:r w:rsidR="0077445A">
        <w:rPr>
          <w:lang w:val="fr-FR"/>
        </w:rPr>
        <w:t>’</w:t>
      </w:r>
      <w:r w:rsidRPr="006B5442">
        <w:rPr>
          <w:lang w:val="fr-FR"/>
        </w:rPr>
        <w:t>assurance externes devraient effectuer des examens périodiques des opérations d</w:t>
      </w:r>
      <w:r w:rsidR="0077445A">
        <w:rPr>
          <w:lang w:val="fr-FR"/>
        </w:rPr>
        <w:t>’</w:t>
      </w:r>
      <w:r w:rsidRPr="006B5442">
        <w:rPr>
          <w:lang w:val="fr-FR"/>
        </w:rPr>
        <w:t xml:space="preserve">assurance, dont les résultats devraient être partagés au sein du système des </w:t>
      </w:r>
      <w:r w:rsidR="0077445A">
        <w:rPr>
          <w:lang w:val="fr-FR"/>
        </w:rPr>
        <w:t>Nations Unies</w:t>
      </w:r>
      <w:r w:rsidRPr="006B5442">
        <w:rPr>
          <w:lang w:val="fr-FR"/>
        </w:rPr>
        <w:t xml:space="preserve"> à des fins d</w:t>
      </w:r>
      <w:r w:rsidR="0077445A">
        <w:rPr>
          <w:lang w:val="fr-FR"/>
        </w:rPr>
        <w:t>’</w:t>
      </w:r>
      <w:r w:rsidRPr="006B5442">
        <w:rPr>
          <w:lang w:val="fr-FR"/>
        </w:rPr>
        <w:t>analyse comparative.</w:t>
      </w:r>
    </w:p>
    <w:p w:rsidR="00227FB8" w:rsidRDefault="00227FB8" w:rsidP="00CE3512">
      <w:pPr>
        <w:rPr>
          <w:lang w:val="fr-FR"/>
        </w:rPr>
      </w:pPr>
    </w:p>
    <w:p w:rsidR="00227FB8" w:rsidRDefault="002B6367" w:rsidP="00CE3512">
      <w:pPr>
        <w:pStyle w:val="ListParagraph"/>
        <w:tabs>
          <w:tab w:val="left" w:pos="1440"/>
        </w:tabs>
        <w:spacing w:after="0" w:line="240" w:lineRule="auto"/>
        <w:ind w:left="0"/>
        <w:rPr>
          <w:sz w:val="22"/>
          <w:szCs w:val="22"/>
          <w:lang w:val="fr-FR"/>
        </w:rPr>
      </w:pPr>
      <w:r w:rsidRPr="006B5442">
        <w:rPr>
          <w:sz w:val="22"/>
          <w:szCs w:val="22"/>
          <w:lang w:val="fr-FR"/>
        </w:rPr>
        <w:t>Le CCQAB a recommandé que l</w:t>
      </w:r>
      <w:r w:rsidR="0077445A">
        <w:rPr>
          <w:sz w:val="22"/>
          <w:szCs w:val="22"/>
          <w:lang w:val="fr-FR"/>
        </w:rPr>
        <w:t>’</w:t>
      </w:r>
      <w:r w:rsidRPr="006B5442">
        <w:rPr>
          <w:sz w:val="22"/>
          <w:szCs w:val="22"/>
          <w:lang w:val="fr-FR"/>
        </w:rPr>
        <w:t>Assemblée générale approuve les recommandations</w:t>
      </w:r>
      <w:r w:rsidR="001C64C5" w:rsidRPr="006B5442">
        <w:rPr>
          <w:sz w:val="22"/>
          <w:szCs w:val="22"/>
          <w:lang w:val="fr-FR"/>
        </w:rPr>
        <w:t xml:space="preserve"> n</w:t>
      </w:r>
      <w:r w:rsidR="001C64C5" w:rsidRPr="006B5442">
        <w:rPr>
          <w:sz w:val="22"/>
          <w:szCs w:val="22"/>
          <w:vertAlign w:val="superscript"/>
          <w:lang w:val="fr-FR"/>
        </w:rPr>
        <w:t>os</w:t>
      </w:r>
      <w:r w:rsidR="00946470" w:rsidRPr="006B5442">
        <w:rPr>
          <w:sz w:val="22"/>
          <w:szCs w:val="22"/>
          <w:lang w:val="fr-FR"/>
        </w:rPr>
        <w:t> </w:t>
      </w:r>
      <w:r w:rsidRPr="006B5442">
        <w:rPr>
          <w:sz w:val="22"/>
          <w:szCs w:val="22"/>
          <w:lang w:val="fr-FR"/>
        </w:rPr>
        <w:t>1</w:t>
      </w:r>
      <w:r w:rsidR="00946470" w:rsidRPr="006B5442">
        <w:rPr>
          <w:sz w:val="22"/>
          <w:szCs w:val="22"/>
          <w:lang w:val="fr-FR"/>
        </w:rPr>
        <w:t> </w:t>
      </w:r>
      <w:r w:rsidRPr="006B5442">
        <w:rPr>
          <w:sz w:val="22"/>
          <w:szCs w:val="22"/>
          <w:lang w:val="fr-FR"/>
        </w:rPr>
        <w:t>à</w:t>
      </w:r>
      <w:r w:rsidR="00946470" w:rsidRPr="006B5442">
        <w:rPr>
          <w:sz w:val="22"/>
          <w:szCs w:val="22"/>
          <w:lang w:val="fr-FR"/>
        </w:rPr>
        <w:t> </w:t>
      </w:r>
      <w:r w:rsidRPr="006B5442">
        <w:rPr>
          <w:sz w:val="22"/>
          <w:szCs w:val="22"/>
          <w:lang w:val="fr-FR"/>
        </w:rPr>
        <w:t xml:space="preserve">3 du groupe de travail et a encouragé </w:t>
      </w:r>
      <w:r w:rsidR="00631550" w:rsidRPr="006B5442">
        <w:rPr>
          <w:sz w:val="22"/>
          <w:szCs w:val="22"/>
          <w:lang w:val="fr-FR"/>
        </w:rPr>
        <w:t>ce dernier</w:t>
      </w:r>
      <w:r w:rsidRPr="006B5442">
        <w:rPr>
          <w:sz w:val="22"/>
          <w:szCs w:val="22"/>
          <w:lang w:val="fr-FR"/>
        </w:rPr>
        <w:t xml:space="preserve"> à continuer d</w:t>
      </w:r>
      <w:r w:rsidR="0077445A">
        <w:rPr>
          <w:sz w:val="22"/>
          <w:szCs w:val="22"/>
          <w:lang w:val="fr-FR"/>
        </w:rPr>
        <w:t>’</w:t>
      </w:r>
      <w:r w:rsidRPr="006B5442">
        <w:rPr>
          <w:sz w:val="22"/>
          <w:szCs w:val="22"/>
          <w:lang w:val="fr-FR"/>
        </w:rPr>
        <w:t>étudier les possibilités de consolidation des régimes d</w:t>
      </w:r>
      <w:r w:rsidR="0077445A">
        <w:rPr>
          <w:sz w:val="22"/>
          <w:szCs w:val="22"/>
          <w:lang w:val="fr-FR"/>
        </w:rPr>
        <w:t>’</w:t>
      </w:r>
      <w:r w:rsidRPr="006B5442">
        <w:rPr>
          <w:sz w:val="22"/>
          <w:szCs w:val="22"/>
          <w:lang w:val="fr-FR"/>
        </w:rPr>
        <w:t>assurance maladie aux différents niveaux.</w:t>
      </w:r>
    </w:p>
    <w:p w:rsidR="00227FB8" w:rsidRDefault="00227FB8" w:rsidP="00CE3512">
      <w:pPr>
        <w:pStyle w:val="ListParagraph"/>
        <w:tabs>
          <w:tab w:val="left" w:pos="1440"/>
        </w:tabs>
        <w:spacing w:after="0" w:line="240" w:lineRule="auto"/>
        <w:ind w:left="0"/>
        <w:rPr>
          <w:sz w:val="22"/>
          <w:szCs w:val="22"/>
          <w:lang w:val="fr-FR"/>
        </w:rPr>
      </w:pPr>
    </w:p>
    <w:p w:rsidR="00227FB8" w:rsidRDefault="00227FB8" w:rsidP="00CE3512">
      <w:pPr>
        <w:pStyle w:val="ListParagraph"/>
        <w:tabs>
          <w:tab w:val="left" w:pos="1440"/>
        </w:tabs>
        <w:spacing w:after="0" w:line="240" w:lineRule="auto"/>
        <w:ind w:left="0"/>
        <w:rPr>
          <w:sz w:val="22"/>
          <w:szCs w:val="22"/>
          <w:lang w:val="fr-FR"/>
        </w:rPr>
      </w:pPr>
    </w:p>
    <w:p w:rsidR="00227FB8" w:rsidRDefault="002B6367" w:rsidP="00DF2928">
      <w:pPr>
        <w:tabs>
          <w:tab w:val="left" w:pos="1440"/>
        </w:tabs>
        <w:ind w:left="1418" w:hanging="1418"/>
        <w:rPr>
          <w:b/>
          <w:lang w:val="fr-FR"/>
        </w:rPr>
      </w:pPr>
      <w:r w:rsidRPr="006B5442">
        <w:rPr>
          <w:b/>
          <w:lang w:val="fr-FR"/>
        </w:rPr>
        <w:t>PILIER</w:t>
      </w:r>
      <w:r w:rsidR="00631550" w:rsidRPr="006B5442">
        <w:rPr>
          <w:b/>
          <w:lang w:val="fr-FR"/>
        </w:rPr>
        <w:t> </w:t>
      </w:r>
      <w:r w:rsidRPr="006B5442">
        <w:rPr>
          <w:b/>
          <w:lang w:val="fr-FR"/>
        </w:rPr>
        <w:t>B</w:t>
      </w:r>
      <w:r w:rsidRPr="006B5442">
        <w:rPr>
          <w:b/>
          <w:lang w:val="fr-FR"/>
        </w:rPr>
        <w:tab/>
        <w:t>Examen du cadre relatif à l</w:t>
      </w:r>
      <w:r w:rsidR="0077445A">
        <w:rPr>
          <w:b/>
          <w:lang w:val="fr-FR"/>
        </w:rPr>
        <w:t>’</w:t>
      </w:r>
      <w:r w:rsidRPr="006B5442">
        <w:rPr>
          <w:b/>
          <w:lang w:val="fr-FR"/>
        </w:rPr>
        <w:t xml:space="preserve">assurance maladie après la cessation de service dans le système des </w:t>
      </w:r>
      <w:r w:rsidR="0077445A">
        <w:rPr>
          <w:b/>
          <w:lang w:val="fr-FR"/>
        </w:rPr>
        <w:t>Nations Unies</w:t>
      </w:r>
    </w:p>
    <w:p w:rsidR="00227FB8" w:rsidRDefault="00227FB8" w:rsidP="00CE3512">
      <w:pPr>
        <w:rPr>
          <w:lang w:val="fr-FR"/>
        </w:rPr>
      </w:pPr>
    </w:p>
    <w:p w:rsidR="00227FB8" w:rsidRDefault="007620EE" w:rsidP="00CE3512">
      <w:pPr>
        <w:tabs>
          <w:tab w:val="left" w:pos="2340"/>
        </w:tabs>
        <w:rPr>
          <w:lang w:val="fr-FR"/>
        </w:rPr>
      </w:pPr>
      <w:r w:rsidRPr="006B5442">
        <w:rPr>
          <w:u w:val="single"/>
          <w:lang w:val="fr-FR"/>
        </w:rPr>
        <w:t>Recommandation</w:t>
      </w:r>
      <w:r w:rsidR="001C64C5" w:rsidRPr="006B5442">
        <w:rPr>
          <w:u w:val="single"/>
          <w:lang w:val="fr-FR"/>
        </w:rPr>
        <w:t xml:space="preserve"> n°</w:t>
      </w:r>
      <w:r w:rsidR="00631550" w:rsidRPr="006B5442">
        <w:rPr>
          <w:u w:val="single"/>
          <w:lang w:val="fr-FR"/>
        </w:rPr>
        <w:t> </w:t>
      </w:r>
      <w:r w:rsidRPr="006B5442">
        <w:rPr>
          <w:u w:val="single"/>
          <w:lang w:val="fr-FR"/>
        </w:rPr>
        <w:t>4</w:t>
      </w:r>
      <w:r w:rsidR="00631550" w:rsidRPr="006B5442">
        <w:rPr>
          <w:lang w:val="fr-FR"/>
        </w:rPr>
        <w:t> </w:t>
      </w:r>
      <w:r w:rsidRPr="006B5442">
        <w:rPr>
          <w:lang w:val="fr-FR"/>
        </w:rPr>
        <w:t xml:space="preserve">: </w:t>
      </w:r>
      <w:r w:rsidRPr="006B5442">
        <w:rPr>
          <w:lang w:val="fr-FR"/>
        </w:rPr>
        <w:tab/>
        <w:t>Le groupe de travail propose de continuer à soutenir les organisations qui étudieront plus avant la valeur des régimes nationaux d</w:t>
      </w:r>
      <w:r w:rsidR="0077445A">
        <w:rPr>
          <w:lang w:val="fr-FR"/>
        </w:rPr>
        <w:t>’</w:t>
      </w:r>
      <w:r w:rsidRPr="006B5442">
        <w:rPr>
          <w:lang w:val="fr-FR"/>
        </w:rPr>
        <w:t>assurance maladie dans le contexte des régimes d</w:t>
      </w:r>
      <w:r w:rsidR="0077445A">
        <w:rPr>
          <w:lang w:val="fr-FR"/>
        </w:rPr>
        <w:t>’</w:t>
      </w:r>
      <w:r w:rsidRPr="006B5442">
        <w:rPr>
          <w:lang w:val="fr-FR"/>
        </w:rPr>
        <w:t xml:space="preserve">assurance maladie du système des </w:t>
      </w:r>
      <w:r w:rsidR="0077445A">
        <w:rPr>
          <w:lang w:val="fr-FR"/>
        </w:rPr>
        <w:t>Nations Unies</w:t>
      </w:r>
      <w:r w:rsidRPr="006B5442">
        <w:rPr>
          <w:lang w:val="fr-FR"/>
        </w:rPr>
        <w:t xml:space="preserve">, dans un cadre </w:t>
      </w:r>
      <w:r w:rsidR="001668C7" w:rsidRPr="006B5442">
        <w:rPr>
          <w:lang w:val="fr-FR"/>
        </w:rPr>
        <w:t>prévoyant que</w:t>
      </w:r>
      <w:r w:rsidRPr="006B5442">
        <w:rPr>
          <w:lang w:val="fr-FR"/>
        </w:rPr>
        <w:t xml:space="preserve"> les régimes des organisations du système des </w:t>
      </w:r>
      <w:r w:rsidR="0077445A">
        <w:rPr>
          <w:lang w:val="fr-FR"/>
        </w:rPr>
        <w:t>Nations Unies</w:t>
      </w:r>
      <w:r w:rsidRPr="006B5442">
        <w:rPr>
          <w:lang w:val="fr-FR"/>
        </w:rPr>
        <w:t xml:space="preserve"> serv</w:t>
      </w:r>
      <w:r w:rsidR="001668C7" w:rsidRPr="006B5442">
        <w:rPr>
          <w:lang w:val="fr-FR"/>
        </w:rPr>
        <w:t>iro</w:t>
      </w:r>
      <w:r w:rsidRPr="006B5442">
        <w:rPr>
          <w:lang w:val="fr-FR"/>
        </w:rPr>
        <w:t>nt de régimes d</w:t>
      </w:r>
      <w:r w:rsidR="0077445A">
        <w:rPr>
          <w:lang w:val="fr-FR"/>
        </w:rPr>
        <w:t>’</w:t>
      </w:r>
      <w:r w:rsidRPr="006B5442">
        <w:rPr>
          <w:lang w:val="fr-FR"/>
        </w:rPr>
        <w:t xml:space="preserve">appoint pour </w:t>
      </w:r>
      <w:r w:rsidR="006B5442" w:rsidRPr="006B5442">
        <w:rPr>
          <w:lang w:val="fr-FR"/>
        </w:rPr>
        <w:t>rattraper</w:t>
      </w:r>
      <w:r w:rsidRPr="006B5442">
        <w:rPr>
          <w:lang w:val="fr-FR"/>
        </w:rPr>
        <w:t xml:space="preserve"> les conditions qui s</w:t>
      </w:r>
      <w:r w:rsidR="0077445A">
        <w:rPr>
          <w:lang w:val="fr-FR"/>
        </w:rPr>
        <w:t>’</w:t>
      </w:r>
      <w:r w:rsidRPr="006B5442">
        <w:rPr>
          <w:lang w:val="fr-FR"/>
        </w:rPr>
        <w:t xml:space="preserve">appliquent actuellement aux membres du </w:t>
      </w:r>
      <w:r w:rsidRPr="006B5442">
        <w:rPr>
          <w:lang w:val="fr-FR"/>
        </w:rPr>
        <w:lastRenderedPageBreak/>
        <w:t>personnel actifs ou retrait</w:t>
      </w:r>
      <w:r w:rsidR="00DF179D" w:rsidRPr="006B5442">
        <w:rPr>
          <w:lang w:val="fr-FR"/>
        </w:rPr>
        <w:t>és</w:t>
      </w:r>
      <w:r w:rsidR="00DF179D">
        <w:rPr>
          <w:lang w:val="fr-FR"/>
        </w:rPr>
        <w:t xml:space="preserve">.  </w:t>
      </w:r>
      <w:r w:rsidR="00DF179D" w:rsidRPr="006B5442">
        <w:rPr>
          <w:lang w:val="fr-FR"/>
        </w:rPr>
        <w:t>Le</w:t>
      </w:r>
      <w:r w:rsidRPr="006B5442">
        <w:rPr>
          <w:lang w:val="fr-FR"/>
        </w:rPr>
        <w:t xml:space="preserve"> groupe de travail propose que les organisations </w:t>
      </w:r>
      <w:r w:rsidR="001668C7" w:rsidRPr="006B5442">
        <w:rPr>
          <w:lang w:val="fr-FR"/>
        </w:rPr>
        <w:t>in</w:t>
      </w:r>
      <w:r w:rsidR="006B5442" w:rsidRPr="006B5442">
        <w:rPr>
          <w:lang w:val="fr-FR"/>
        </w:rPr>
        <w:t>v</w:t>
      </w:r>
      <w:r w:rsidR="001668C7" w:rsidRPr="006B5442">
        <w:rPr>
          <w:lang w:val="fr-FR"/>
        </w:rPr>
        <w:t>itent l</w:t>
      </w:r>
      <w:r w:rsidRPr="006B5442">
        <w:rPr>
          <w:lang w:val="fr-FR"/>
        </w:rPr>
        <w:t xml:space="preserve">es </w:t>
      </w:r>
      <w:r w:rsidR="00631550" w:rsidRPr="006B5442">
        <w:rPr>
          <w:lang w:val="fr-FR"/>
        </w:rPr>
        <w:t>É</w:t>
      </w:r>
      <w:r w:rsidRPr="006B5442">
        <w:rPr>
          <w:lang w:val="fr-FR"/>
        </w:rPr>
        <w:t xml:space="preserve">tats membres </w:t>
      </w:r>
      <w:r w:rsidR="001668C7" w:rsidRPr="006B5442">
        <w:rPr>
          <w:lang w:val="fr-FR"/>
        </w:rPr>
        <w:t xml:space="preserve">à </w:t>
      </w:r>
      <w:r w:rsidR="006B5442" w:rsidRPr="006B5442">
        <w:rPr>
          <w:lang w:val="fr-FR"/>
        </w:rPr>
        <w:t>s</w:t>
      </w:r>
      <w:r w:rsidR="0077445A">
        <w:rPr>
          <w:lang w:val="fr-FR"/>
        </w:rPr>
        <w:t>’</w:t>
      </w:r>
      <w:r w:rsidR="006B5442" w:rsidRPr="006B5442">
        <w:rPr>
          <w:lang w:val="fr-FR"/>
        </w:rPr>
        <w:t>engager en faveur de l</w:t>
      </w:r>
      <w:r w:rsidR="0077445A">
        <w:rPr>
          <w:lang w:val="fr-FR"/>
        </w:rPr>
        <w:t>’</w:t>
      </w:r>
      <w:r w:rsidR="006B5442" w:rsidRPr="006B5442">
        <w:rPr>
          <w:lang w:val="fr-FR"/>
        </w:rPr>
        <w:t>ouverture des droits des fonctionnaires à une garantie de premier rang dans le cadre de ces régim</w:t>
      </w:r>
      <w:r w:rsidR="00DF179D" w:rsidRPr="006B5442">
        <w:rPr>
          <w:lang w:val="fr-FR"/>
        </w:rPr>
        <w:t>es</w:t>
      </w:r>
      <w:r w:rsidR="00DF179D">
        <w:rPr>
          <w:lang w:val="fr-FR"/>
        </w:rPr>
        <w:t xml:space="preserve">.  </w:t>
      </w:r>
      <w:r w:rsidR="00DF179D" w:rsidRPr="006B5442">
        <w:rPr>
          <w:lang w:val="fr-FR"/>
        </w:rPr>
        <w:t>Ce</w:t>
      </w:r>
      <w:r w:rsidRPr="006B5442">
        <w:rPr>
          <w:lang w:val="fr-FR"/>
        </w:rPr>
        <w:t>la concerne essentiellement les retraités et les personnes qui sont à leur charge</w:t>
      </w:r>
      <w:r w:rsidR="00DF179D">
        <w:rPr>
          <w:lang w:val="fr-FR"/>
        </w:rPr>
        <w:t>,</w:t>
      </w:r>
      <w:r w:rsidRPr="006B5442">
        <w:rPr>
          <w:lang w:val="fr-FR"/>
        </w:rPr>
        <w:t xml:space="preserve"> mais le système pourrait être élargi à la population active dans certaines </w:t>
      </w:r>
      <w:r w:rsidR="001668C7" w:rsidRPr="006B5442">
        <w:rPr>
          <w:lang w:val="fr-FR"/>
        </w:rPr>
        <w:t>circonstance</w:t>
      </w:r>
      <w:r w:rsidRPr="006B5442">
        <w:rPr>
          <w:lang w:val="fr-FR"/>
        </w:rPr>
        <w:t>s.</w:t>
      </w:r>
    </w:p>
    <w:p w:rsidR="00227FB8" w:rsidRDefault="00227FB8" w:rsidP="00CE3512">
      <w:pPr>
        <w:rPr>
          <w:lang w:val="fr-FR"/>
        </w:rPr>
      </w:pPr>
    </w:p>
    <w:p w:rsidR="00227FB8" w:rsidRDefault="0006160F" w:rsidP="00CE3512">
      <w:pPr>
        <w:rPr>
          <w:lang w:val="fr-FR"/>
        </w:rPr>
      </w:pPr>
      <w:r w:rsidRPr="006B5442">
        <w:rPr>
          <w:lang w:val="fr-FR"/>
        </w:rPr>
        <w:t>Les organisations devraient évaluer le bien</w:t>
      </w:r>
      <w:r w:rsidR="00DF179D">
        <w:rPr>
          <w:lang w:val="fr-FR"/>
        </w:rPr>
        <w:noBreakHyphen/>
      </w:r>
      <w:r w:rsidRPr="006B5442">
        <w:rPr>
          <w:lang w:val="fr-FR"/>
        </w:rPr>
        <w:t>fondé, l</w:t>
      </w:r>
      <w:r w:rsidR="0077445A">
        <w:rPr>
          <w:lang w:val="fr-FR"/>
        </w:rPr>
        <w:t>’</w:t>
      </w:r>
      <w:r w:rsidRPr="006B5442">
        <w:rPr>
          <w:lang w:val="fr-FR"/>
        </w:rPr>
        <w:t xml:space="preserve">applicabilité et les </w:t>
      </w:r>
      <w:r w:rsidR="001668C7" w:rsidRPr="006B5442">
        <w:rPr>
          <w:lang w:val="fr-FR"/>
        </w:rPr>
        <w:t>conséquence</w:t>
      </w:r>
      <w:r w:rsidRPr="006B5442">
        <w:rPr>
          <w:lang w:val="fr-FR"/>
        </w:rPr>
        <w:t>s financi</w:t>
      </w:r>
      <w:r w:rsidR="001668C7" w:rsidRPr="006B5442">
        <w:rPr>
          <w:lang w:val="fr-FR"/>
        </w:rPr>
        <w:t>è</w:t>
      </w:r>
      <w:r w:rsidRPr="006B5442">
        <w:rPr>
          <w:lang w:val="fr-FR"/>
        </w:rPr>
        <w:t>r</w:t>
      </w:r>
      <w:r w:rsidR="001668C7" w:rsidRPr="006B5442">
        <w:rPr>
          <w:lang w:val="fr-FR"/>
        </w:rPr>
        <w:t>e</w:t>
      </w:r>
      <w:r w:rsidRPr="006B5442">
        <w:rPr>
          <w:lang w:val="fr-FR"/>
        </w:rPr>
        <w:t>s d</w:t>
      </w:r>
      <w:r w:rsidR="0077445A">
        <w:rPr>
          <w:lang w:val="fr-FR"/>
        </w:rPr>
        <w:t>’</w:t>
      </w:r>
      <w:r w:rsidRPr="006B5442">
        <w:rPr>
          <w:lang w:val="fr-FR"/>
        </w:rPr>
        <w:t>inscrire dans leur régime d</w:t>
      </w:r>
      <w:r w:rsidR="0077445A">
        <w:rPr>
          <w:lang w:val="fr-FR"/>
        </w:rPr>
        <w:t>’</w:t>
      </w:r>
      <w:r w:rsidRPr="006B5442">
        <w:rPr>
          <w:lang w:val="fr-FR"/>
        </w:rPr>
        <w:t>assurance maladie l</w:t>
      </w:r>
      <w:r w:rsidR="0077445A">
        <w:rPr>
          <w:lang w:val="fr-FR"/>
        </w:rPr>
        <w:t>’</w:t>
      </w:r>
      <w:r w:rsidRPr="006B5442">
        <w:rPr>
          <w:lang w:val="fr-FR"/>
        </w:rPr>
        <w:t>obligation de souscrire à un régime d</w:t>
      </w:r>
      <w:r w:rsidR="0077445A">
        <w:rPr>
          <w:lang w:val="fr-FR"/>
        </w:rPr>
        <w:t>’</w:t>
      </w:r>
      <w:r w:rsidRPr="006B5442">
        <w:rPr>
          <w:lang w:val="fr-FR"/>
        </w:rPr>
        <w:t>assurance national, les contributions au régime national étant prises en charge par le régime de l</w:t>
      </w:r>
      <w:r w:rsidR="0077445A">
        <w:rPr>
          <w:lang w:val="fr-FR"/>
        </w:rPr>
        <w:t>’</w:t>
      </w:r>
      <w:r w:rsidRPr="006B5442">
        <w:rPr>
          <w:lang w:val="fr-FR"/>
        </w:rPr>
        <w:t>organisation.</w:t>
      </w:r>
    </w:p>
    <w:p w:rsidR="00227FB8" w:rsidRDefault="00227FB8" w:rsidP="00CE3512">
      <w:pPr>
        <w:rPr>
          <w:lang w:val="fr-FR"/>
        </w:rPr>
      </w:pPr>
    </w:p>
    <w:p w:rsidR="00227FB8" w:rsidRDefault="0006160F" w:rsidP="00CE3512">
      <w:pPr>
        <w:pStyle w:val="ListParagraph"/>
        <w:tabs>
          <w:tab w:val="left" w:pos="0"/>
          <w:tab w:val="left" w:pos="1260"/>
        </w:tabs>
        <w:spacing w:after="0" w:line="240" w:lineRule="auto"/>
        <w:ind w:left="0"/>
        <w:rPr>
          <w:sz w:val="22"/>
          <w:szCs w:val="22"/>
          <w:lang w:val="fr-FR"/>
        </w:rPr>
      </w:pPr>
      <w:r w:rsidRPr="006B5442">
        <w:rPr>
          <w:sz w:val="22"/>
          <w:szCs w:val="22"/>
          <w:lang w:val="fr-FR"/>
        </w:rPr>
        <w:t>Dans l</w:t>
      </w:r>
      <w:r w:rsidR="0077445A">
        <w:rPr>
          <w:sz w:val="22"/>
          <w:szCs w:val="22"/>
          <w:lang w:val="fr-FR"/>
        </w:rPr>
        <w:t>’</w:t>
      </w:r>
      <w:r w:rsidRPr="006B5442">
        <w:rPr>
          <w:sz w:val="22"/>
          <w:szCs w:val="22"/>
          <w:lang w:val="fr-FR"/>
        </w:rPr>
        <w:t>attente de recevoir des informations supplémentaires sur les régimes nationaux d</w:t>
      </w:r>
      <w:r w:rsidR="0077445A">
        <w:rPr>
          <w:sz w:val="22"/>
          <w:szCs w:val="22"/>
          <w:lang w:val="fr-FR"/>
        </w:rPr>
        <w:t>’</w:t>
      </w:r>
      <w:r w:rsidRPr="006B5442">
        <w:rPr>
          <w:sz w:val="22"/>
          <w:szCs w:val="22"/>
          <w:lang w:val="fr-FR"/>
        </w:rPr>
        <w:t>assurance maladie,</w:t>
      </w:r>
      <w:r w:rsidR="00156D8F" w:rsidRPr="006B5442">
        <w:rPr>
          <w:sz w:val="22"/>
          <w:szCs w:val="22"/>
          <w:lang w:val="fr-FR"/>
        </w:rPr>
        <w:t xml:space="preserve"> le CCQ</w:t>
      </w:r>
      <w:r w:rsidRPr="006B5442">
        <w:rPr>
          <w:sz w:val="22"/>
          <w:szCs w:val="22"/>
          <w:lang w:val="fr-FR"/>
        </w:rPr>
        <w:t>AB n</w:t>
      </w:r>
      <w:r w:rsidR="0077445A">
        <w:rPr>
          <w:sz w:val="22"/>
          <w:szCs w:val="22"/>
          <w:lang w:val="fr-FR"/>
        </w:rPr>
        <w:t>’</w:t>
      </w:r>
      <w:r w:rsidRPr="006B5442">
        <w:rPr>
          <w:sz w:val="22"/>
          <w:szCs w:val="22"/>
          <w:lang w:val="fr-FR"/>
        </w:rPr>
        <w:t>a pas recommandé l</w:t>
      </w:r>
      <w:r w:rsidR="0077445A">
        <w:rPr>
          <w:sz w:val="22"/>
          <w:szCs w:val="22"/>
          <w:lang w:val="fr-FR"/>
        </w:rPr>
        <w:t>’</w:t>
      </w:r>
      <w:r w:rsidRPr="006B5442">
        <w:rPr>
          <w:sz w:val="22"/>
          <w:szCs w:val="22"/>
          <w:lang w:val="fr-FR"/>
        </w:rPr>
        <w:t>approbation de la recommandation</w:t>
      </w:r>
      <w:r w:rsidR="001C64C5" w:rsidRPr="006B5442">
        <w:rPr>
          <w:sz w:val="22"/>
          <w:szCs w:val="22"/>
          <w:lang w:val="fr-FR"/>
        </w:rPr>
        <w:t xml:space="preserve"> n°</w:t>
      </w:r>
      <w:r w:rsidR="00631550" w:rsidRPr="006B5442">
        <w:rPr>
          <w:sz w:val="22"/>
          <w:szCs w:val="22"/>
          <w:lang w:val="fr-FR"/>
        </w:rPr>
        <w:t> </w:t>
      </w:r>
      <w:r w:rsidRPr="006B5442">
        <w:rPr>
          <w:sz w:val="22"/>
          <w:szCs w:val="22"/>
          <w:lang w:val="fr-FR"/>
        </w:rPr>
        <w:t>4 du groupe de trava</w:t>
      </w:r>
      <w:r w:rsidR="00DF179D" w:rsidRPr="006B5442">
        <w:rPr>
          <w:sz w:val="22"/>
          <w:szCs w:val="22"/>
          <w:lang w:val="fr-FR"/>
        </w:rPr>
        <w:t>il</w:t>
      </w:r>
      <w:r w:rsidR="00DF179D">
        <w:rPr>
          <w:sz w:val="22"/>
          <w:szCs w:val="22"/>
          <w:lang w:val="fr-FR"/>
        </w:rPr>
        <w:t xml:space="preserve">.  </w:t>
      </w:r>
      <w:r w:rsidR="00DF179D" w:rsidRPr="006B5442">
        <w:rPr>
          <w:sz w:val="22"/>
          <w:szCs w:val="22"/>
          <w:lang w:val="fr-FR"/>
        </w:rPr>
        <w:t>Le</w:t>
      </w:r>
      <w:r w:rsidRPr="006B5442">
        <w:rPr>
          <w:sz w:val="22"/>
          <w:szCs w:val="22"/>
          <w:lang w:val="fr-FR"/>
        </w:rPr>
        <w:t xml:space="preserve"> comité a toutefois reconnu le potentiel d</w:t>
      </w:r>
      <w:r w:rsidR="0077445A">
        <w:rPr>
          <w:sz w:val="22"/>
          <w:szCs w:val="22"/>
          <w:lang w:val="fr-FR"/>
        </w:rPr>
        <w:t>’</w:t>
      </w:r>
      <w:r w:rsidRPr="006B5442">
        <w:rPr>
          <w:sz w:val="22"/>
          <w:szCs w:val="22"/>
          <w:lang w:val="fr-FR"/>
        </w:rPr>
        <w:t xml:space="preserve">économie en cas de mise en </w:t>
      </w:r>
      <w:r w:rsidR="00631550" w:rsidRPr="006B5442">
        <w:rPr>
          <w:sz w:val="22"/>
          <w:szCs w:val="22"/>
          <w:lang w:val="fr-FR"/>
        </w:rPr>
        <w:t xml:space="preserve">œuvre </w:t>
      </w:r>
      <w:r w:rsidRPr="006B5442">
        <w:rPr>
          <w:sz w:val="22"/>
          <w:szCs w:val="22"/>
          <w:lang w:val="fr-FR"/>
        </w:rPr>
        <w:t>de la recommandation et a exprimé l</w:t>
      </w:r>
      <w:r w:rsidR="0077445A">
        <w:rPr>
          <w:sz w:val="22"/>
          <w:szCs w:val="22"/>
          <w:lang w:val="fr-FR"/>
        </w:rPr>
        <w:t>’</w:t>
      </w:r>
      <w:r w:rsidRPr="006B5442">
        <w:rPr>
          <w:sz w:val="22"/>
          <w:szCs w:val="22"/>
          <w:lang w:val="fr-FR"/>
        </w:rPr>
        <w:t>espoir d</w:t>
      </w:r>
      <w:r w:rsidR="0077445A">
        <w:rPr>
          <w:sz w:val="22"/>
          <w:szCs w:val="22"/>
          <w:lang w:val="fr-FR"/>
        </w:rPr>
        <w:t>’</w:t>
      </w:r>
      <w:r w:rsidRPr="006B5442">
        <w:rPr>
          <w:sz w:val="22"/>
          <w:szCs w:val="22"/>
          <w:lang w:val="fr-FR"/>
        </w:rPr>
        <w:t>obtenir les informations nécessaires lors de la prochaine étape de l</w:t>
      </w:r>
      <w:r w:rsidR="0077445A">
        <w:rPr>
          <w:sz w:val="22"/>
          <w:szCs w:val="22"/>
          <w:lang w:val="fr-FR"/>
        </w:rPr>
        <w:t>’</w:t>
      </w:r>
      <w:r w:rsidRPr="006B5442">
        <w:rPr>
          <w:sz w:val="22"/>
          <w:szCs w:val="22"/>
          <w:lang w:val="fr-FR"/>
        </w:rPr>
        <w:t>étude du groupe de travail.</w:t>
      </w:r>
    </w:p>
    <w:p w:rsidR="00227FB8" w:rsidRDefault="00227FB8" w:rsidP="00CE3512">
      <w:pPr>
        <w:pStyle w:val="ListParagraph"/>
        <w:tabs>
          <w:tab w:val="left" w:pos="0"/>
          <w:tab w:val="left" w:pos="1260"/>
        </w:tabs>
        <w:spacing w:after="0" w:line="240" w:lineRule="auto"/>
        <w:ind w:left="0"/>
        <w:rPr>
          <w:sz w:val="22"/>
          <w:szCs w:val="22"/>
          <w:lang w:val="fr-FR"/>
        </w:rPr>
      </w:pPr>
    </w:p>
    <w:p w:rsidR="00227FB8" w:rsidRDefault="0006160F" w:rsidP="00CE3512">
      <w:pPr>
        <w:tabs>
          <w:tab w:val="left" w:pos="2835"/>
        </w:tabs>
        <w:rPr>
          <w:lang w:val="fr-FR"/>
        </w:rPr>
      </w:pPr>
      <w:r w:rsidRPr="006B5442">
        <w:rPr>
          <w:u w:val="single"/>
          <w:lang w:val="fr-FR"/>
        </w:rPr>
        <w:t>Recommandation</w:t>
      </w:r>
      <w:r w:rsidR="001C64C5" w:rsidRPr="006B5442">
        <w:rPr>
          <w:u w:val="single"/>
          <w:lang w:val="fr-FR"/>
        </w:rPr>
        <w:t xml:space="preserve"> n°</w:t>
      </w:r>
      <w:r w:rsidR="00631550" w:rsidRPr="006B5442">
        <w:rPr>
          <w:u w:val="single"/>
          <w:lang w:val="fr-FR"/>
        </w:rPr>
        <w:t> </w:t>
      </w:r>
      <w:r w:rsidRPr="006B5442">
        <w:rPr>
          <w:u w:val="single"/>
          <w:lang w:val="fr-FR"/>
        </w:rPr>
        <w:t>5</w:t>
      </w:r>
      <w:r w:rsidR="00631550" w:rsidRPr="006B5442">
        <w:rPr>
          <w:lang w:val="fr-FR"/>
        </w:rPr>
        <w:t> </w:t>
      </w:r>
      <w:r w:rsidRPr="006B5442">
        <w:rPr>
          <w:lang w:val="fr-FR"/>
        </w:rPr>
        <w:t xml:space="preserve">: </w:t>
      </w:r>
      <w:r w:rsidRPr="006B5442">
        <w:rPr>
          <w:lang w:val="fr-FR"/>
        </w:rPr>
        <w:tab/>
      </w:r>
      <w:r w:rsidR="00631550" w:rsidRPr="006B5442">
        <w:rPr>
          <w:lang w:val="fr-FR"/>
        </w:rPr>
        <w:t>É</w:t>
      </w:r>
      <w:r w:rsidRPr="006B5442">
        <w:rPr>
          <w:lang w:val="fr-FR"/>
        </w:rPr>
        <w:t xml:space="preserve">largir le mandat de la Caisse commune des pensions du personnel des </w:t>
      </w:r>
      <w:r w:rsidR="0077445A">
        <w:rPr>
          <w:lang w:val="fr-FR"/>
        </w:rPr>
        <w:t>Nations Unies</w:t>
      </w:r>
    </w:p>
    <w:p w:rsidR="00227FB8" w:rsidRDefault="00227FB8" w:rsidP="00CE3512">
      <w:pPr>
        <w:rPr>
          <w:lang w:val="fr-FR"/>
        </w:rPr>
      </w:pPr>
    </w:p>
    <w:p w:rsidR="00227FB8" w:rsidRDefault="006733EA" w:rsidP="00CE3512">
      <w:pPr>
        <w:rPr>
          <w:lang w:val="fr-FR"/>
        </w:rPr>
      </w:pPr>
      <w:r w:rsidRPr="006B5442">
        <w:rPr>
          <w:lang w:val="fr-FR"/>
        </w:rPr>
        <w:t>Si les rôles respectifs de</w:t>
      </w:r>
      <w:r w:rsidR="00156D8F" w:rsidRPr="006B5442">
        <w:rPr>
          <w:lang w:val="fr-FR"/>
        </w:rPr>
        <w:t xml:space="preserve"> la CCP</w:t>
      </w:r>
      <w:r w:rsidRPr="006B5442">
        <w:rPr>
          <w:lang w:val="fr-FR"/>
        </w:rPr>
        <w:t xml:space="preserve">PNU, </w:t>
      </w:r>
      <w:r w:rsidR="0077445A">
        <w:rPr>
          <w:lang w:val="fr-FR"/>
        </w:rPr>
        <w:t>y compris</w:t>
      </w:r>
      <w:r w:rsidRPr="006B5442">
        <w:rPr>
          <w:lang w:val="fr-FR"/>
        </w:rPr>
        <w:t xml:space="preserve"> la Division de la gestion des investissements, ne devraient pas être élargis, le Fonds pourrait, conformément à la recommandation</w:t>
      </w:r>
      <w:r w:rsidR="00156D8F" w:rsidRPr="006B5442">
        <w:rPr>
          <w:lang w:val="fr-FR"/>
        </w:rPr>
        <w:t xml:space="preserve"> du CCQ</w:t>
      </w:r>
      <w:r w:rsidRPr="006B5442">
        <w:rPr>
          <w:lang w:val="fr-FR"/>
        </w:rPr>
        <w:t xml:space="preserve">AB, être prié de partager ses principes de bonne gestion et ses méthodes pour centraliser et administrer un régime complexe comprenant de nombreux employeurs avec les organisations du système des </w:t>
      </w:r>
      <w:r w:rsidR="0077445A">
        <w:rPr>
          <w:lang w:val="fr-FR"/>
        </w:rPr>
        <w:t>Nations Unies</w:t>
      </w:r>
      <w:r w:rsidRPr="006B5442">
        <w:rPr>
          <w:lang w:val="fr-FR"/>
        </w:rPr>
        <w:t xml:space="preserve"> </w:t>
      </w:r>
      <w:r w:rsidR="00F90E04" w:rsidRPr="006B5442">
        <w:rPr>
          <w:lang w:val="fr-FR"/>
        </w:rPr>
        <w:t xml:space="preserve">qui </w:t>
      </w:r>
      <w:r w:rsidRPr="006B5442">
        <w:rPr>
          <w:lang w:val="fr-FR"/>
        </w:rPr>
        <w:t>choisi</w:t>
      </w:r>
      <w:r w:rsidR="00F90E04" w:rsidRPr="006B5442">
        <w:rPr>
          <w:lang w:val="fr-FR"/>
        </w:rPr>
        <w:t>r</w:t>
      </w:r>
      <w:r w:rsidRPr="006B5442">
        <w:rPr>
          <w:lang w:val="fr-FR"/>
        </w:rPr>
        <w:t>a</w:t>
      </w:r>
      <w:r w:rsidR="00F90E04" w:rsidRPr="006B5442">
        <w:rPr>
          <w:lang w:val="fr-FR"/>
        </w:rPr>
        <w:t>ien</w:t>
      </w:r>
      <w:r w:rsidRPr="006B5442">
        <w:rPr>
          <w:lang w:val="fr-FR"/>
        </w:rPr>
        <w:t>t de fournir conjointement une couverture dans le cadre de l</w:t>
      </w:r>
      <w:r w:rsidR="0077445A">
        <w:rPr>
          <w:lang w:val="fr-FR"/>
        </w:rPr>
        <w:t>’</w:t>
      </w:r>
      <w:r w:rsidRPr="006B5442">
        <w:rPr>
          <w:lang w:val="fr-FR"/>
        </w:rPr>
        <w:t>assurance maladie après la cessation de service.</w:t>
      </w:r>
    </w:p>
    <w:p w:rsidR="00227FB8" w:rsidRDefault="00227FB8" w:rsidP="00CE3512">
      <w:pPr>
        <w:pStyle w:val="ListParagraph"/>
        <w:tabs>
          <w:tab w:val="left" w:pos="0"/>
          <w:tab w:val="left" w:pos="1260"/>
        </w:tabs>
        <w:spacing w:after="0" w:line="240" w:lineRule="auto"/>
        <w:ind w:left="0"/>
        <w:rPr>
          <w:sz w:val="22"/>
          <w:szCs w:val="22"/>
          <w:lang w:val="fr-FR"/>
        </w:rPr>
      </w:pPr>
    </w:p>
    <w:p w:rsidR="00227FB8" w:rsidRDefault="003149F9" w:rsidP="00CE3512">
      <w:pPr>
        <w:pStyle w:val="ListParagraph"/>
        <w:tabs>
          <w:tab w:val="left" w:pos="0"/>
          <w:tab w:val="left" w:pos="1260"/>
        </w:tabs>
        <w:spacing w:after="0" w:line="240" w:lineRule="auto"/>
        <w:ind w:left="0"/>
        <w:rPr>
          <w:sz w:val="22"/>
          <w:szCs w:val="22"/>
          <w:lang w:val="fr-FR"/>
        </w:rPr>
      </w:pPr>
      <w:r w:rsidRPr="006B5442">
        <w:rPr>
          <w:sz w:val="22"/>
          <w:szCs w:val="22"/>
          <w:lang w:val="fr-FR"/>
        </w:rPr>
        <w:t>Concernant la recommandation</w:t>
      </w:r>
      <w:r w:rsidR="001C64C5" w:rsidRPr="006B5442">
        <w:rPr>
          <w:sz w:val="22"/>
          <w:szCs w:val="22"/>
          <w:lang w:val="fr-FR"/>
        </w:rPr>
        <w:t xml:space="preserve"> n°</w:t>
      </w:r>
      <w:r w:rsidR="00F90E04" w:rsidRPr="006B5442">
        <w:rPr>
          <w:sz w:val="22"/>
          <w:szCs w:val="22"/>
          <w:lang w:val="fr-FR"/>
        </w:rPr>
        <w:t> </w:t>
      </w:r>
      <w:r w:rsidRPr="006B5442">
        <w:rPr>
          <w:sz w:val="22"/>
          <w:szCs w:val="22"/>
          <w:lang w:val="fr-FR"/>
        </w:rPr>
        <w:t>5,</w:t>
      </w:r>
      <w:r w:rsidR="00156D8F" w:rsidRPr="006B5442">
        <w:rPr>
          <w:sz w:val="22"/>
          <w:szCs w:val="22"/>
          <w:lang w:val="fr-FR"/>
        </w:rPr>
        <w:t xml:space="preserve"> le CCQ</w:t>
      </w:r>
      <w:r w:rsidRPr="006B5442">
        <w:rPr>
          <w:sz w:val="22"/>
          <w:szCs w:val="22"/>
          <w:lang w:val="fr-FR"/>
        </w:rPr>
        <w:t>AB a recommandé que le groupe de travail continue d</w:t>
      </w:r>
      <w:r w:rsidR="0077445A">
        <w:rPr>
          <w:sz w:val="22"/>
          <w:szCs w:val="22"/>
          <w:lang w:val="fr-FR"/>
        </w:rPr>
        <w:t>’</w:t>
      </w:r>
      <w:r w:rsidRPr="006B5442">
        <w:rPr>
          <w:sz w:val="22"/>
          <w:szCs w:val="22"/>
          <w:lang w:val="fr-FR"/>
        </w:rPr>
        <w:t>examiner les possibilités d</w:t>
      </w:r>
      <w:r w:rsidR="0077445A">
        <w:rPr>
          <w:sz w:val="22"/>
          <w:szCs w:val="22"/>
          <w:lang w:val="fr-FR"/>
        </w:rPr>
        <w:t>’</w:t>
      </w:r>
      <w:r w:rsidRPr="006B5442">
        <w:rPr>
          <w:sz w:val="22"/>
          <w:szCs w:val="22"/>
          <w:lang w:val="fr-FR"/>
        </w:rPr>
        <w:t>une stratégie à l</w:t>
      </w:r>
      <w:r w:rsidR="0077445A">
        <w:rPr>
          <w:sz w:val="22"/>
          <w:szCs w:val="22"/>
          <w:lang w:val="fr-FR"/>
        </w:rPr>
        <w:t>’</w:t>
      </w:r>
      <w:r w:rsidRPr="006B5442">
        <w:rPr>
          <w:sz w:val="22"/>
          <w:szCs w:val="22"/>
          <w:lang w:val="fr-FR"/>
        </w:rPr>
        <w:t>échelle du système pour gérer les prestations au titre de l</w:t>
      </w:r>
      <w:r w:rsidR="0077445A">
        <w:rPr>
          <w:sz w:val="22"/>
          <w:szCs w:val="22"/>
          <w:lang w:val="fr-FR"/>
        </w:rPr>
        <w:t>’</w:t>
      </w:r>
      <w:r w:rsidRPr="006B5442">
        <w:rPr>
          <w:sz w:val="22"/>
          <w:szCs w:val="22"/>
          <w:lang w:val="fr-FR"/>
        </w:rPr>
        <w:t>AMCS, sans exclure que la Caisse de retraite de l</w:t>
      </w:r>
      <w:r w:rsidR="0077445A">
        <w:rPr>
          <w:sz w:val="22"/>
          <w:szCs w:val="22"/>
          <w:lang w:val="fr-FR"/>
        </w:rPr>
        <w:t>’</w:t>
      </w:r>
      <w:r w:rsidRPr="006B5442">
        <w:rPr>
          <w:sz w:val="22"/>
          <w:szCs w:val="22"/>
          <w:lang w:val="fr-FR"/>
        </w:rPr>
        <w:t>OMPI y joue un rôle potentiel, notamment en partageant ses principes de bonne gestion et ses méthodes de travail.</w:t>
      </w:r>
    </w:p>
    <w:p w:rsidR="00227FB8" w:rsidRDefault="00227FB8" w:rsidP="00CE3512">
      <w:pPr>
        <w:rPr>
          <w:lang w:val="fr-FR"/>
        </w:rPr>
      </w:pPr>
    </w:p>
    <w:p w:rsidR="00227FB8" w:rsidRDefault="00227FB8" w:rsidP="00CE3512">
      <w:pPr>
        <w:rPr>
          <w:lang w:val="fr-FR"/>
        </w:rPr>
      </w:pPr>
    </w:p>
    <w:p w:rsidR="00227FB8" w:rsidRDefault="003149F9" w:rsidP="00CE3512">
      <w:pPr>
        <w:tabs>
          <w:tab w:val="left" w:pos="1440"/>
        </w:tabs>
        <w:rPr>
          <w:b/>
          <w:lang w:val="fr-FR"/>
        </w:rPr>
      </w:pPr>
      <w:r w:rsidRPr="006B5442">
        <w:rPr>
          <w:b/>
          <w:lang w:val="fr-FR"/>
        </w:rPr>
        <w:t>PILIER</w:t>
      </w:r>
      <w:r w:rsidR="0074504B" w:rsidRPr="006B5442">
        <w:rPr>
          <w:b/>
          <w:lang w:val="fr-FR"/>
        </w:rPr>
        <w:t> </w:t>
      </w:r>
      <w:r w:rsidRPr="006B5442">
        <w:rPr>
          <w:b/>
          <w:lang w:val="fr-FR"/>
        </w:rPr>
        <w:t>C</w:t>
      </w:r>
      <w:r w:rsidRPr="006B5442">
        <w:rPr>
          <w:b/>
          <w:lang w:val="fr-FR"/>
        </w:rPr>
        <w:tab/>
        <w:t>Détermination et</w:t>
      </w:r>
      <w:r w:rsidR="00F90E04" w:rsidRPr="006B5442">
        <w:rPr>
          <w:b/>
          <w:lang w:val="fr-FR"/>
        </w:rPr>
        <w:t xml:space="preserve"> </w:t>
      </w:r>
      <w:r w:rsidR="006B5442" w:rsidRPr="006B5442">
        <w:rPr>
          <w:b/>
          <w:lang w:val="fr-FR"/>
        </w:rPr>
        <w:t>déclaration du montant des engagements</w:t>
      </w:r>
    </w:p>
    <w:p w:rsidR="00227FB8" w:rsidRDefault="00227FB8" w:rsidP="00CE3512">
      <w:pPr>
        <w:rPr>
          <w:lang w:val="fr-FR"/>
        </w:rPr>
      </w:pPr>
    </w:p>
    <w:p w:rsidR="00227FB8" w:rsidRDefault="003149F9" w:rsidP="00CE3512">
      <w:pPr>
        <w:tabs>
          <w:tab w:val="left" w:pos="2835"/>
        </w:tabs>
        <w:rPr>
          <w:lang w:val="fr-FR"/>
        </w:rPr>
      </w:pPr>
      <w:r w:rsidRPr="006B5442">
        <w:rPr>
          <w:u w:val="single"/>
          <w:lang w:val="fr-FR"/>
        </w:rPr>
        <w:t>Recommandation</w:t>
      </w:r>
      <w:r w:rsidR="001C64C5" w:rsidRPr="006B5442">
        <w:rPr>
          <w:u w:val="single"/>
          <w:lang w:val="fr-FR"/>
        </w:rPr>
        <w:t xml:space="preserve"> n°</w:t>
      </w:r>
      <w:r w:rsidR="001A53A8" w:rsidRPr="006B5442">
        <w:rPr>
          <w:u w:val="single"/>
          <w:lang w:val="fr-FR"/>
        </w:rPr>
        <w:t> </w:t>
      </w:r>
      <w:r w:rsidRPr="006B5442">
        <w:rPr>
          <w:u w:val="single"/>
          <w:lang w:val="fr-FR"/>
        </w:rPr>
        <w:t>6</w:t>
      </w:r>
      <w:r w:rsidR="0074504B" w:rsidRPr="006B5442">
        <w:rPr>
          <w:lang w:val="fr-FR"/>
        </w:rPr>
        <w:t> </w:t>
      </w:r>
      <w:r w:rsidRPr="006B5442">
        <w:rPr>
          <w:lang w:val="fr-FR"/>
        </w:rPr>
        <w:t xml:space="preserve">: </w:t>
      </w:r>
      <w:r w:rsidRPr="006B5442">
        <w:rPr>
          <w:lang w:val="fr-FR"/>
        </w:rPr>
        <w:tab/>
        <w:t>Standardisation des méthodes générales d</w:t>
      </w:r>
      <w:r w:rsidR="0077445A">
        <w:rPr>
          <w:lang w:val="fr-FR"/>
        </w:rPr>
        <w:t>’</w:t>
      </w:r>
      <w:r w:rsidRPr="006B5442">
        <w:rPr>
          <w:lang w:val="fr-FR"/>
        </w:rPr>
        <w:t>évaluation et établissement et application des facteurs clés d</w:t>
      </w:r>
      <w:r w:rsidR="0077445A">
        <w:rPr>
          <w:lang w:val="fr-FR"/>
        </w:rPr>
        <w:t>’</w:t>
      </w:r>
      <w:r w:rsidRPr="006B5442">
        <w:rPr>
          <w:lang w:val="fr-FR"/>
        </w:rPr>
        <w:t>évaluation des engagements au titre de l</w:t>
      </w:r>
      <w:r w:rsidR="0077445A">
        <w:rPr>
          <w:lang w:val="fr-FR"/>
        </w:rPr>
        <w:t>’</w:t>
      </w:r>
      <w:r w:rsidRPr="006B5442">
        <w:rPr>
          <w:lang w:val="fr-FR"/>
        </w:rPr>
        <w:t>AMCS.</w:t>
      </w:r>
    </w:p>
    <w:p w:rsidR="00227FB8" w:rsidRDefault="00227FB8" w:rsidP="00CE3512">
      <w:pPr>
        <w:rPr>
          <w:lang w:val="fr-FR"/>
        </w:rPr>
      </w:pPr>
    </w:p>
    <w:p w:rsidR="00227FB8" w:rsidRDefault="008560BB" w:rsidP="00CE3512">
      <w:pPr>
        <w:rPr>
          <w:lang w:val="fr-FR"/>
        </w:rPr>
      </w:pPr>
      <w:r w:rsidRPr="006B5442">
        <w:rPr>
          <w:lang w:val="fr-FR"/>
        </w:rPr>
        <w:t>En vue de mener à bien ses travaux dans le cadre du pilier</w:t>
      </w:r>
      <w:r w:rsidR="0074504B" w:rsidRPr="006B5442">
        <w:rPr>
          <w:lang w:val="fr-FR"/>
        </w:rPr>
        <w:t> </w:t>
      </w:r>
      <w:r w:rsidRPr="006B5442">
        <w:rPr>
          <w:lang w:val="fr-FR"/>
        </w:rPr>
        <w:t>C, le groupe de travail devrait coordonner ses efforts avec l</w:t>
      </w:r>
      <w:r w:rsidR="0077445A">
        <w:rPr>
          <w:lang w:val="fr-FR"/>
        </w:rPr>
        <w:t>’</w:t>
      </w:r>
      <w:r w:rsidRPr="006B5442">
        <w:rPr>
          <w:lang w:val="fr-FR"/>
        </w:rPr>
        <w:t>équipe d</w:t>
      </w:r>
      <w:r w:rsidR="0077445A">
        <w:rPr>
          <w:lang w:val="fr-FR"/>
        </w:rPr>
        <w:t>’</w:t>
      </w:r>
      <w:r w:rsidRPr="006B5442">
        <w:rPr>
          <w:lang w:val="fr-FR"/>
        </w:rPr>
        <w:t xml:space="preserve">experts sur les normes comptables du Réseau Finances et Budget </w:t>
      </w:r>
      <w:r w:rsidR="00F90E04" w:rsidRPr="006B5442">
        <w:rPr>
          <w:lang w:val="fr-FR"/>
        </w:rPr>
        <w:t>sous l</w:t>
      </w:r>
      <w:r w:rsidR="0077445A">
        <w:rPr>
          <w:lang w:val="fr-FR"/>
        </w:rPr>
        <w:t>’</w:t>
      </w:r>
      <w:r w:rsidRPr="006B5442">
        <w:rPr>
          <w:lang w:val="fr-FR"/>
        </w:rPr>
        <w:t>é</w:t>
      </w:r>
      <w:r w:rsidR="00F90E04" w:rsidRPr="006B5442">
        <w:rPr>
          <w:lang w:val="fr-FR"/>
        </w:rPr>
        <w:t>g</w:t>
      </w:r>
      <w:r w:rsidRPr="006B5442">
        <w:rPr>
          <w:lang w:val="fr-FR"/>
        </w:rPr>
        <w:t>i</w:t>
      </w:r>
      <w:r w:rsidR="00F90E04" w:rsidRPr="006B5442">
        <w:rPr>
          <w:lang w:val="fr-FR"/>
        </w:rPr>
        <w:t>d</w:t>
      </w:r>
      <w:r w:rsidRPr="006B5442">
        <w:rPr>
          <w:lang w:val="fr-FR"/>
        </w:rPr>
        <w:t xml:space="preserve">e </w:t>
      </w:r>
      <w:r w:rsidR="00F90E04" w:rsidRPr="006B5442">
        <w:rPr>
          <w:lang w:val="fr-FR"/>
        </w:rPr>
        <w:t>du</w:t>
      </w:r>
      <w:r w:rsidRPr="006B5442">
        <w:rPr>
          <w:lang w:val="fr-FR"/>
        </w:rPr>
        <w:t xml:space="preserve"> Comité de haut niveau sur la gestion </w:t>
      </w:r>
      <w:r w:rsidR="00A37818" w:rsidRPr="006B5442">
        <w:rPr>
          <w:lang w:val="fr-FR"/>
        </w:rPr>
        <w:t xml:space="preserve">afin </w:t>
      </w:r>
      <w:r w:rsidRPr="006B5442">
        <w:rPr>
          <w:lang w:val="fr-FR"/>
        </w:rPr>
        <w:t>d</w:t>
      </w:r>
      <w:r w:rsidR="0077445A">
        <w:rPr>
          <w:lang w:val="fr-FR"/>
        </w:rPr>
        <w:t>’</w:t>
      </w:r>
      <w:r w:rsidRPr="006B5442">
        <w:rPr>
          <w:lang w:val="fr-FR"/>
        </w:rPr>
        <w:t>harmoniser les principes généraux en matière d</w:t>
      </w:r>
      <w:r w:rsidR="0077445A">
        <w:rPr>
          <w:lang w:val="fr-FR"/>
        </w:rPr>
        <w:t>’</w:t>
      </w:r>
      <w:r w:rsidRPr="006B5442">
        <w:rPr>
          <w:lang w:val="fr-FR"/>
        </w:rPr>
        <w:t>engagements au titre de l</w:t>
      </w:r>
      <w:r w:rsidR="0077445A">
        <w:rPr>
          <w:lang w:val="fr-FR"/>
        </w:rPr>
        <w:t>’</w:t>
      </w:r>
      <w:r w:rsidRPr="006B5442">
        <w:rPr>
          <w:lang w:val="fr-FR"/>
        </w:rPr>
        <w:t>AMCS pour établir des facteurs et des hypothèses actuarielles au plus tard à fin</w:t>
      </w:r>
      <w:r w:rsidR="0074504B" w:rsidRPr="006B5442">
        <w:rPr>
          <w:lang w:val="fr-FR"/>
        </w:rPr>
        <w:t> </w:t>
      </w:r>
      <w:r w:rsidRPr="006B5442">
        <w:rPr>
          <w:lang w:val="fr-FR"/>
        </w:rPr>
        <w:t xml:space="preserve">2017, </w:t>
      </w:r>
      <w:r w:rsidR="00A37818" w:rsidRPr="006B5442">
        <w:rPr>
          <w:lang w:val="fr-FR"/>
        </w:rPr>
        <w:t>en vue de leur mise en</w:t>
      </w:r>
      <w:r w:rsidRPr="006B5442">
        <w:rPr>
          <w:lang w:val="fr-FR"/>
        </w:rPr>
        <w:t xml:space="preserve"> </w:t>
      </w:r>
      <w:r w:rsidR="0074504B" w:rsidRPr="006B5442">
        <w:rPr>
          <w:lang w:val="fr-FR"/>
        </w:rPr>
        <w:t xml:space="preserve">œuvre </w:t>
      </w:r>
      <w:r w:rsidRPr="006B5442">
        <w:rPr>
          <w:lang w:val="fr-FR"/>
        </w:rPr>
        <w:t>dans les évaluations actuarielles de</w:t>
      </w:r>
      <w:r w:rsidR="0074504B" w:rsidRPr="006B5442">
        <w:rPr>
          <w:lang w:val="fr-FR"/>
        </w:rPr>
        <w:t> </w:t>
      </w:r>
      <w:r w:rsidRPr="006B5442">
        <w:rPr>
          <w:lang w:val="fr-FR"/>
        </w:rPr>
        <w:t>2018.</w:t>
      </w:r>
    </w:p>
    <w:p w:rsidR="00227FB8" w:rsidRDefault="00227FB8" w:rsidP="00CE3512">
      <w:pPr>
        <w:rPr>
          <w:lang w:val="fr-FR"/>
        </w:rPr>
      </w:pPr>
    </w:p>
    <w:p w:rsidR="00227FB8" w:rsidRDefault="008560BB" w:rsidP="00CE3512">
      <w:pPr>
        <w:pStyle w:val="ListParagraph"/>
        <w:tabs>
          <w:tab w:val="left" w:pos="0"/>
        </w:tabs>
        <w:spacing w:after="0" w:line="240" w:lineRule="auto"/>
        <w:ind w:left="0"/>
        <w:rPr>
          <w:sz w:val="22"/>
          <w:szCs w:val="22"/>
          <w:lang w:val="fr-FR"/>
        </w:rPr>
      </w:pPr>
      <w:r w:rsidRPr="006B5442">
        <w:rPr>
          <w:sz w:val="22"/>
          <w:szCs w:val="22"/>
          <w:lang w:val="fr-FR"/>
        </w:rPr>
        <w:t>Le CCQAB a recommandé que l</w:t>
      </w:r>
      <w:r w:rsidR="0077445A">
        <w:rPr>
          <w:sz w:val="22"/>
          <w:szCs w:val="22"/>
          <w:lang w:val="fr-FR"/>
        </w:rPr>
        <w:t>’</w:t>
      </w:r>
      <w:r w:rsidRPr="006B5442">
        <w:rPr>
          <w:sz w:val="22"/>
          <w:szCs w:val="22"/>
          <w:lang w:val="fr-FR"/>
        </w:rPr>
        <w:t>Assemblée générale approuve la recommandation</w:t>
      </w:r>
      <w:r w:rsidR="001C64C5" w:rsidRPr="006B5442">
        <w:rPr>
          <w:sz w:val="22"/>
          <w:szCs w:val="22"/>
          <w:lang w:val="fr-FR"/>
        </w:rPr>
        <w:t xml:space="preserve"> n°</w:t>
      </w:r>
      <w:r w:rsidR="0074504B" w:rsidRPr="006B5442">
        <w:rPr>
          <w:sz w:val="22"/>
          <w:szCs w:val="22"/>
          <w:lang w:val="fr-FR"/>
        </w:rPr>
        <w:t> </w:t>
      </w:r>
      <w:r w:rsidRPr="006B5442">
        <w:rPr>
          <w:sz w:val="22"/>
          <w:szCs w:val="22"/>
          <w:lang w:val="fr-FR"/>
        </w:rPr>
        <w:t xml:space="preserve">6 du groupe de travail, </w:t>
      </w:r>
      <w:r w:rsidR="0074504B" w:rsidRPr="006B5442">
        <w:rPr>
          <w:sz w:val="22"/>
          <w:szCs w:val="22"/>
          <w:lang w:val="fr-FR"/>
        </w:rPr>
        <w:t>exprimant</w:t>
      </w:r>
      <w:r w:rsidRPr="006B5442">
        <w:rPr>
          <w:sz w:val="22"/>
          <w:szCs w:val="22"/>
          <w:lang w:val="fr-FR"/>
        </w:rPr>
        <w:t xml:space="preserve"> l</w:t>
      </w:r>
      <w:r w:rsidR="0077445A">
        <w:rPr>
          <w:sz w:val="22"/>
          <w:szCs w:val="22"/>
          <w:lang w:val="fr-FR"/>
        </w:rPr>
        <w:t>’</w:t>
      </w:r>
      <w:r w:rsidRPr="006B5442">
        <w:rPr>
          <w:sz w:val="22"/>
          <w:szCs w:val="22"/>
          <w:lang w:val="fr-FR"/>
        </w:rPr>
        <w:t>espoir que des mesures soient prises, dans la mesure du possible, pour uniformiser la méthode d</w:t>
      </w:r>
      <w:r w:rsidR="0077445A">
        <w:rPr>
          <w:sz w:val="22"/>
          <w:szCs w:val="22"/>
          <w:lang w:val="fr-FR"/>
        </w:rPr>
        <w:t>’</w:t>
      </w:r>
      <w:r w:rsidRPr="006B5442">
        <w:rPr>
          <w:sz w:val="22"/>
          <w:szCs w:val="22"/>
          <w:lang w:val="fr-FR"/>
        </w:rPr>
        <w:t>évaluation générale des engagements au titre de l</w:t>
      </w:r>
      <w:r w:rsidR="0077445A">
        <w:rPr>
          <w:sz w:val="22"/>
          <w:szCs w:val="22"/>
          <w:lang w:val="fr-FR"/>
        </w:rPr>
        <w:t>’</w:t>
      </w:r>
      <w:r w:rsidRPr="006B5442">
        <w:rPr>
          <w:sz w:val="22"/>
          <w:szCs w:val="22"/>
          <w:lang w:val="fr-FR"/>
        </w:rPr>
        <w:t xml:space="preserve">AMCS dans toutes les organisations du système des </w:t>
      </w:r>
      <w:r w:rsidR="0077445A">
        <w:rPr>
          <w:sz w:val="22"/>
          <w:szCs w:val="22"/>
          <w:lang w:val="fr-FR"/>
        </w:rPr>
        <w:t>Nations Unies</w:t>
      </w:r>
      <w:r w:rsidRPr="006B5442">
        <w:rPr>
          <w:sz w:val="22"/>
          <w:szCs w:val="22"/>
          <w:lang w:val="fr-FR"/>
        </w:rPr>
        <w:t>.</w:t>
      </w:r>
    </w:p>
    <w:p w:rsidR="00227FB8" w:rsidRDefault="00227FB8" w:rsidP="00CE3512">
      <w:pPr>
        <w:pStyle w:val="ListParagraph"/>
        <w:tabs>
          <w:tab w:val="left" w:pos="0"/>
        </w:tabs>
        <w:spacing w:after="0" w:line="240" w:lineRule="auto"/>
        <w:ind w:left="0"/>
        <w:rPr>
          <w:sz w:val="22"/>
          <w:szCs w:val="22"/>
          <w:lang w:val="fr-FR"/>
        </w:rPr>
      </w:pPr>
    </w:p>
    <w:p w:rsidR="00227FB8" w:rsidRDefault="00227FB8" w:rsidP="00CE3512">
      <w:pPr>
        <w:pStyle w:val="ListParagraph"/>
        <w:tabs>
          <w:tab w:val="left" w:pos="0"/>
        </w:tabs>
        <w:spacing w:after="0" w:line="240" w:lineRule="auto"/>
        <w:ind w:left="0"/>
        <w:rPr>
          <w:sz w:val="22"/>
          <w:szCs w:val="22"/>
          <w:lang w:val="fr-FR"/>
        </w:rPr>
      </w:pPr>
    </w:p>
    <w:p w:rsidR="00227FB8" w:rsidRDefault="008560BB" w:rsidP="001603F4">
      <w:pPr>
        <w:keepNext/>
        <w:keepLines/>
        <w:tabs>
          <w:tab w:val="left" w:pos="1440"/>
        </w:tabs>
        <w:rPr>
          <w:b/>
          <w:lang w:val="fr-FR"/>
        </w:rPr>
      </w:pPr>
      <w:r w:rsidRPr="006B5442">
        <w:rPr>
          <w:b/>
          <w:lang w:val="fr-FR"/>
        </w:rPr>
        <w:lastRenderedPageBreak/>
        <w:t>PILIER</w:t>
      </w:r>
      <w:r w:rsidR="0074504B" w:rsidRPr="006B5442">
        <w:rPr>
          <w:b/>
          <w:lang w:val="fr-FR"/>
        </w:rPr>
        <w:t> </w:t>
      </w:r>
      <w:r w:rsidRPr="006B5442">
        <w:rPr>
          <w:b/>
          <w:lang w:val="fr-FR"/>
        </w:rPr>
        <w:t>D</w:t>
      </w:r>
      <w:r w:rsidRPr="006B5442">
        <w:rPr>
          <w:b/>
          <w:lang w:val="fr-FR"/>
        </w:rPr>
        <w:tab/>
        <w:t>S</w:t>
      </w:r>
      <w:r w:rsidR="00A37818" w:rsidRPr="006B5442">
        <w:rPr>
          <w:b/>
          <w:lang w:val="fr-FR"/>
        </w:rPr>
        <w:t xml:space="preserve">tratégie </w:t>
      </w:r>
      <w:r w:rsidRPr="006B5442">
        <w:rPr>
          <w:b/>
          <w:lang w:val="fr-FR"/>
        </w:rPr>
        <w:t>de financement de</w:t>
      </w:r>
      <w:r w:rsidR="00A37818" w:rsidRPr="006B5442">
        <w:rPr>
          <w:b/>
          <w:lang w:val="fr-FR"/>
        </w:rPr>
        <w:t xml:space="preserve">s </w:t>
      </w:r>
      <w:r w:rsidR="006B5442" w:rsidRPr="006B5442">
        <w:rPr>
          <w:b/>
          <w:lang w:val="fr-FR"/>
        </w:rPr>
        <w:t>engagements</w:t>
      </w:r>
    </w:p>
    <w:p w:rsidR="00227FB8" w:rsidRDefault="00227FB8" w:rsidP="001603F4">
      <w:pPr>
        <w:keepNext/>
        <w:keepLines/>
        <w:rPr>
          <w:lang w:val="fr-FR"/>
        </w:rPr>
      </w:pPr>
    </w:p>
    <w:p w:rsidR="00227FB8" w:rsidRDefault="00495705" w:rsidP="001603F4">
      <w:pPr>
        <w:keepNext/>
        <w:keepLines/>
        <w:tabs>
          <w:tab w:val="left" w:pos="2340"/>
        </w:tabs>
        <w:rPr>
          <w:lang w:val="fr-FR"/>
        </w:rPr>
      </w:pPr>
      <w:r w:rsidRPr="006B5442">
        <w:rPr>
          <w:u w:val="single"/>
          <w:lang w:val="fr-FR"/>
        </w:rPr>
        <w:t>Recommandation</w:t>
      </w:r>
      <w:r w:rsidR="001C64C5" w:rsidRPr="006B5442">
        <w:rPr>
          <w:u w:val="single"/>
          <w:lang w:val="fr-FR"/>
        </w:rPr>
        <w:t xml:space="preserve"> n°</w:t>
      </w:r>
      <w:r w:rsidR="0074504B" w:rsidRPr="006B5442">
        <w:rPr>
          <w:u w:val="single"/>
          <w:lang w:val="fr-FR"/>
        </w:rPr>
        <w:t> </w:t>
      </w:r>
      <w:r w:rsidRPr="006B5442">
        <w:rPr>
          <w:u w:val="single"/>
          <w:lang w:val="fr-FR"/>
        </w:rPr>
        <w:t>7</w:t>
      </w:r>
      <w:r w:rsidR="0074504B" w:rsidRPr="006B5442">
        <w:rPr>
          <w:lang w:val="fr-FR"/>
        </w:rPr>
        <w:t> </w:t>
      </w:r>
      <w:r w:rsidRPr="006B5442">
        <w:rPr>
          <w:lang w:val="fr-FR"/>
        </w:rPr>
        <w:t>:</w:t>
      </w:r>
      <w:r w:rsidR="001C64C5" w:rsidRPr="006B5442">
        <w:rPr>
          <w:lang w:val="fr-FR"/>
        </w:rPr>
        <w:t xml:space="preserve"> </w:t>
      </w:r>
      <w:r w:rsidRPr="006B5442">
        <w:rPr>
          <w:lang w:val="fr-FR"/>
        </w:rPr>
        <w:tab/>
        <w:t>Financement approprié des engagements au titre de l</w:t>
      </w:r>
      <w:r w:rsidR="0077445A">
        <w:rPr>
          <w:lang w:val="fr-FR"/>
        </w:rPr>
        <w:t>’</w:t>
      </w:r>
      <w:r w:rsidRPr="006B5442">
        <w:rPr>
          <w:lang w:val="fr-FR"/>
        </w:rPr>
        <w:t>AMCS</w:t>
      </w:r>
    </w:p>
    <w:p w:rsidR="00227FB8" w:rsidRDefault="00227FB8" w:rsidP="001603F4">
      <w:pPr>
        <w:keepNext/>
        <w:keepLines/>
        <w:rPr>
          <w:lang w:val="fr-FR"/>
        </w:rPr>
      </w:pPr>
    </w:p>
    <w:p w:rsidR="00227FB8" w:rsidRDefault="00143B1E" w:rsidP="001603F4">
      <w:pPr>
        <w:keepNext/>
        <w:keepLines/>
        <w:rPr>
          <w:lang w:val="fr-FR"/>
        </w:rPr>
      </w:pPr>
      <w:r w:rsidRPr="006B5442">
        <w:rPr>
          <w:lang w:val="fr-FR"/>
        </w:rPr>
        <w:t>Le groupe de travail recommande que les organisations financent de manière appropriée leurs engagements au titre de l</w:t>
      </w:r>
      <w:r w:rsidR="0077445A">
        <w:rPr>
          <w:lang w:val="fr-FR"/>
        </w:rPr>
        <w:t>’</w:t>
      </w:r>
      <w:r w:rsidRPr="006B5442">
        <w:rPr>
          <w:lang w:val="fr-FR"/>
        </w:rPr>
        <w:t xml:space="preserve">AMCS et constituent des réserves permettant au minimum de </w:t>
      </w:r>
      <w:r w:rsidR="00A37818" w:rsidRPr="006B5442">
        <w:rPr>
          <w:lang w:val="fr-FR"/>
        </w:rPr>
        <w:t xml:space="preserve">provisionner </w:t>
      </w:r>
      <w:r w:rsidRPr="006B5442">
        <w:rPr>
          <w:lang w:val="fr-FR"/>
        </w:rPr>
        <w:t>les c</w:t>
      </w:r>
      <w:r w:rsidR="00842B36" w:rsidRPr="006B5442">
        <w:rPr>
          <w:lang w:val="fr-FR"/>
        </w:rPr>
        <w:t>harge</w:t>
      </w:r>
      <w:r w:rsidRPr="006B5442">
        <w:rPr>
          <w:lang w:val="fr-FR"/>
        </w:rPr>
        <w:t xml:space="preserve">s supplémentaires à payer durant les périodes </w:t>
      </w:r>
      <w:r w:rsidR="00842B36" w:rsidRPr="006B5442">
        <w:rPr>
          <w:lang w:val="fr-FR"/>
        </w:rPr>
        <w:t xml:space="preserve">visées, </w:t>
      </w:r>
      <w:r w:rsidR="0077445A">
        <w:rPr>
          <w:lang w:val="fr-FR"/>
        </w:rPr>
        <w:t>à savoir</w:t>
      </w:r>
      <w:r w:rsidRPr="006B5442">
        <w:rPr>
          <w:lang w:val="fr-FR"/>
        </w:rPr>
        <w:t xml:space="preserve"> l</w:t>
      </w:r>
      <w:r w:rsidR="00842B36" w:rsidRPr="006B5442">
        <w:rPr>
          <w:lang w:val="fr-FR"/>
        </w:rPr>
        <w:t xml:space="preserve">e coût des prestations </w:t>
      </w:r>
      <w:r w:rsidRPr="006B5442">
        <w:rPr>
          <w:lang w:val="fr-FR"/>
        </w:rPr>
        <w:t xml:space="preserve">et </w:t>
      </w:r>
      <w:r w:rsidR="00842B36" w:rsidRPr="006B5442">
        <w:rPr>
          <w:lang w:val="fr-FR"/>
        </w:rPr>
        <w:t>d</w:t>
      </w:r>
      <w:r w:rsidRPr="006B5442">
        <w:rPr>
          <w:lang w:val="fr-FR"/>
        </w:rPr>
        <w:t>es intérêts correspondan</w:t>
      </w:r>
      <w:r w:rsidR="00DF179D" w:rsidRPr="006B5442">
        <w:rPr>
          <w:lang w:val="fr-FR"/>
        </w:rPr>
        <w:t>ts</w:t>
      </w:r>
      <w:r w:rsidR="00DF179D">
        <w:rPr>
          <w:lang w:val="fr-FR"/>
        </w:rPr>
        <w:t xml:space="preserve">.  </w:t>
      </w:r>
      <w:r w:rsidR="00DF179D" w:rsidRPr="006B5442">
        <w:rPr>
          <w:lang w:val="fr-FR"/>
        </w:rPr>
        <w:t>Po</w:t>
      </w:r>
      <w:r w:rsidR="00F9343C" w:rsidRPr="006B5442">
        <w:rPr>
          <w:lang w:val="fr-FR"/>
        </w:rPr>
        <w:t>ur les organisations qui continuent d</w:t>
      </w:r>
      <w:r w:rsidR="0077445A">
        <w:rPr>
          <w:lang w:val="fr-FR"/>
        </w:rPr>
        <w:t>’</w:t>
      </w:r>
      <w:r w:rsidR="00F9343C" w:rsidRPr="006B5442">
        <w:rPr>
          <w:lang w:val="fr-FR"/>
        </w:rPr>
        <w:t xml:space="preserve">appliquer le principe de la </w:t>
      </w:r>
      <w:r w:rsidR="00162749" w:rsidRPr="006B5442">
        <w:rPr>
          <w:lang w:val="fr-FR"/>
        </w:rPr>
        <w:t>comptabilisation au décaissement</w:t>
      </w:r>
      <w:r w:rsidR="00F9343C" w:rsidRPr="006B5442">
        <w:rPr>
          <w:lang w:val="fr-FR"/>
        </w:rPr>
        <w:t xml:space="preserve"> concernant leurs engagements au titre de l</w:t>
      </w:r>
      <w:r w:rsidR="0077445A">
        <w:rPr>
          <w:lang w:val="fr-FR"/>
        </w:rPr>
        <w:t>’</w:t>
      </w:r>
      <w:r w:rsidR="00F9343C" w:rsidRPr="006B5442">
        <w:rPr>
          <w:lang w:val="fr-FR"/>
        </w:rPr>
        <w:t>AMCS, cela impliquerait de passer à un</w:t>
      </w:r>
      <w:r w:rsidR="00162749" w:rsidRPr="006B5442">
        <w:rPr>
          <w:lang w:val="fr-FR"/>
        </w:rPr>
        <w:t xml:space="preserve"> système </w:t>
      </w:r>
      <w:r w:rsidR="00F9343C" w:rsidRPr="006B5442">
        <w:rPr>
          <w:lang w:val="fr-FR"/>
        </w:rPr>
        <w:t xml:space="preserve">de capitalisation, reflétant le coût </w:t>
      </w:r>
      <w:r w:rsidR="00162749" w:rsidRPr="006B5442">
        <w:rPr>
          <w:lang w:val="fr-FR"/>
        </w:rPr>
        <w:t>ré</w:t>
      </w:r>
      <w:r w:rsidR="00F9343C" w:rsidRPr="006B5442">
        <w:rPr>
          <w:lang w:val="fr-FR"/>
        </w:rPr>
        <w:t>e</w:t>
      </w:r>
      <w:r w:rsidR="00162749" w:rsidRPr="006B5442">
        <w:rPr>
          <w:lang w:val="fr-FR"/>
        </w:rPr>
        <w:t>l</w:t>
      </w:r>
      <w:r w:rsidR="00F9343C" w:rsidRPr="006B5442">
        <w:rPr>
          <w:lang w:val="fr-FR"/>
        </w:rPr>
        <w:t xml:space="preserve"> des opérations courantes.</w:t>
      </w:r>
    </w:p>
    <w:p w:rsidR="00227FB8" w:rsidRDefault="00227FB8" w:rsidP="00CE3512">
      <w:pPr>
        <w:rPr>
          <w:lang w:val="fr-FR"/>
        </w:rPr>
      </w:pPr>
    </w:p>
    <w:p w:rsidR="00227FB8" w:rsidRDefault="00F9343C" w:rsidP="00CE3512">
      <w:pPr>
        <w:rPr>
          <w:lang w:val="fr-FR"/>
        </w:rPr>
      </w:pPr>
      <w:r w:rsidRPr="006B5442">
        <w:rPr>
          <w:lang w:val="fr-FR"/>
        </w:rPr>
        <w:t>En outre, les organisations pourraient envisager d</w:t>
      </w:r>
      <w:r w:rsidR="0077445A">
        <w:rPr>
          <w:lang w:val="fr-FR"/>
        </w:rPr>
        <w:t>’</w:t>
      </w:r>
      <w:r w:rsidRPr="006B5442">
        <w:rPr>
          <w:lang w:val="fr-FR"/>
        </w:rPr>
        <w:t xml:space="preserve">intégrer un mécanisme de financement dans les </w:t>
      </w:r>
      <w:r w:rsidR="00162749" w:rsidRPr="006B5442">
        <w:rPr>
          <w:lang w:val="fr-FR"/>
        </w:rPr>
        <w:t>dépenses communes d</w:t>
      </w:r>
      <w:r w:rsidRPr="006B5442">
        <w:rPr>
          <w:lang w:val="fr-FR"/>
        </w:rPr>
        <w:t>e personnel utilisé</w:t>
      </w:r>
      <w:r w:rsidR="00162749" w:rsidRPr="006B5442">
        <w:rPr>
          <w:lang w:val="fr-FR"/>
        </w:rPr>
        <w:t>e</w:t>
      </w:r>
      <w:r w:rsidRPr="006B5442">
        <w:rPr>
          <w:lang w:val="fr-FR"/>
        </w:rPr>
        <w:t>s pour la budgétisation.</w:t>
      </w:r>
    </w:p>
    <w:p w:rsidR="00227FB8" w:rsidRDefault="00227FB8" w:rsidP="00CE3512">
      <w:pPr>
        <w:rPr>
          <w:lang w:val="fr-FR"/>
        </w:rPr>
      </w:pPr>
    </w:p>
    <w:p w:rsidR="00227FB8" w:rsidRDefault="00A45437" w:rsidP="00CE3512">
      <w:pPr>
        <w:rPr>
          <w:lang w:val="fr-FR"/>
        </w:rPr>
      </w:pPr>
      <w:r w:rsidRPr="006B5442">
        <w:rPr>
          <w:lang w:val="fr-FR"/>
        </w:rPr>
        <w:t>Les organisations qui gèrent des fonds extrabudgétaires d</w:t>
      </w:r>
      <w:r w:rsidR="006B5442" w:rsidRPr="006B5442">
        <w:rPr>
          <w:lang w:val="fr-FR"/>
        </w:rPr>
        <w:t>oiv</w:t>
      </w:r>
      <w:r w:rsidRPr="006B5442">
        <w:rPr>
          <w:lang w:val="fr-FR"/>
        </w:rPr>
        <w:t>ent veiller à ce qu</w:t>
      </w:r>
      <w:r w:rsidR="0077445A">
        <w:rPr>
          <w:lang w:val="fr-FR"/>
        </w:rPr>
        <w:t>’</w:t>
      </w:r>
      <w:r w:rsidRPr="006B5442">
        <w:rPr>
          <w:lang w:val="fr-FR"/>
        </w:rPr>
        <w:t xml:space="preserve">aucun compte </w:t>
      </w:r>
      <w:r w:rsidR="00F71292" w:rsidRPr="006B5442">
        <w:rPr>
          <w:lang w:val="fr-FR"/>
        </w:rPr>
        <w:t>compren</w:t>
      </w:r>
      <w:r w:rsidRPr="006B5442">
        <w:rPr>
          <w:lang w:val="fr-FR"/>
        </w:rPr>
        <w:t>ant un engagement au titre de l</w:t>
      </w:r>
      <w:r w:rsidR="0077445A">
        <w:rPr>
          <w:lang w:val="fr-FR"/>
        </w:rPr>
        <w:t>’</w:t>
      </w:r>
      <w:r w:rsidRPr="006B5442">
        <w:rPr>
          <w:lang w:val="fr-FR"/>
        </w:rPr>
        <w:t>AMCS non provisionné ne soit clôturé avant que le</w:t>
      </w:r>
      <w:r w:rsidR="00317362" w:rsidRPr="006B5442">
        <w:rPr>
          <w:lang w:val="fr-FR"/>
        </w:rPr>
        <w:t xml:space="preserve"> p</w:t>
      </w:r>
      <w:r w:rsidRPr="006B5442">
        <w:rPr>
          <w:lang w:val="fr-FR"/>
        </w:rPr>
        <w:t>a</w:t>
      </w:r>
      <w:r w:rsidR="00317362" w:rsidRPr="006B5442">
        <w:rPr>
          <w:lang w:val="fr-FR"/>
        </w:rPr>
        <w:t xml:space="preserve">ssif </w:t>
      </w:r>
      <w:r w:rsidRPr="006B5442">
        <w:rPr>
          <w:lang w:val="fr-FR"/>
        </w:rPr>
        <w:t>n</w:t>
      </w:r>
      <w:r w:rsidR="0077445A">
        <w:rPr>
          <w:lang w:val="fr-FR"/>
        </w:rPr>
        <w:t>’</w:t>
      </w:r>
      <w:r w:rsidRPr="006B5442">
        <w:rPr>
          <w:lang w:val="fr-FR"/>
        </w:rPr>
        <w:t xml:space="preserve">ait été </w:t>
      </w:r>
      <w:r w:rsidR="00317362" w:rsidRPr="006B5442">
        <w:rPr>
          <w:lang w:val="fr-FR"/>
        </w:rPr>
        <w:t>liquid</w:t>
      </w:r>
      <w:r w:rsidR="00F71292" w:rsidRPr="006B5442">
        <w:rPr>
          <w:lang w:val="fr-FR"/>
        </w:rPr>
        <w:t>é</w:t>
      </w:r>
      <w:r w:rsidRPr="006B5442">
        <w:rPr>
          <w:lang w:val="fr-FR"/>
        </w:rPr>
        <w:t xml:space="preserve"> au moyen des fonds disponibles.</w:t>
      </w:r>
    </w:p>
    <w:p w:rsidR="00227FB8" w:rsidRDefault="00227FB8" w:rsidP="00CE3512">
      <w:pPr>
        <w:rPr>
          <w:lang w:val="fr-FR"/>
        </w:rPr>
      </w:pPr>
    </w:p>
    <w:p w:rsidR="00227FB8" w:rsidRDefault="00A45437" w:rsidP="00CE3512">
      <w:pPr>
        <w:rPr>
          <w:lang w:val="fr-FR"/>
        </w:rPr>
      </w:pPr>
      <w:r w:rsidRPr="006B5442">
        <w:rPr>
          <w:lang w:val="fr-FR"/>
        </w:rPr>
        <w:t xml:space="preserve">Les </w:t>
      </w:r>
      <w:r w:rsidR="00317362" w:rsidRPr="006B5442">
        <w:rPr>
          <w:lang w:val="fr-FR"/>
        </w:rPr>
        <w:t>É</w:t>
      </w:r>
      <w:r w:rsidRPr="006B5442">
        <w:rPr>
          <w:lang w:val="fr-FR"/>
        </w:rPr>
        <w:t xml:space="preserve">tats membres et autres parties prenantes </w:t>
      </w:r>
      <w:r w:rsidR="00317362" w:rsidRPr="006B5442">
        <w:rPr>
          <w:lang w:val="fr-FR"/>
        </w:rPr>
        <w:t>parti</w:t>
      </w:r>
      <w:r w:rsidRPr="006B5442">
        <w:rPr>
          <w:lang w:val="fr-FR"/>
        </w:rPr>
        <w:t>ci</w:t>
      </w:r>
      <w:r w:rsidR="00317362" w:rsidRPr="006B5442">
        <w:rPr>
          <w:lang w:val="fr-FR"/>
        </w:rPr>
        <w:t>p</w:t>
      </w:r>
      <w:r w:rsidRPr="006B5442">
        <w:rPr>
          <w:lang w:val="fr-FR"/>
        </w:rPr>
        <w:t xml:space="preserve">antes pourraient aussi envisager de verser aux organisations, le cas échéant, un paiement unique ou de leur fournir des méthodes spécifiques limitées dans le temps pour couvrir les déficits historiques </w:t>
      </w:r>
      <w:r w:rsidR="00162749" w:rsidRPr="006B5442">
        <w:rPr>
          <w:lang w:val="fr-FR"/>
        </w:rPr>
        <w:t xml:space="preserve">en matière </w:t>
      </w:r>
      <w:r w:rsidRPr="006B5442">
        <w:rPr>
          <w:lang w:val="fr-FR"/>
        </w:rPr>
        <w:t>d</w:t>
      </w:r>
      <w:r w:rsidR="00162749" w:rsidRPr="006B5442">
        <w:rPr>
          <w:lang w:val="fr-FR"/>
        </w:rPr>
        <w:t>e</w:t>
      </w:r>
      <w:r w:rsidRPr="006B5442">
        <w:rPr>
          <w:lang w:val="fr-FR"/>
        </w:rPr>
        <w:t xml:space="preserve"> financement de l</w:t>
      </w:r>
      <w:r w:rsidR="0077445A">
        <w:rPr>
          <w:lang w:val="fr-FR"/>
        </w:rPr>
        <w:t>’</w:t>
      </w:r>
      <w:r w:rsidRPr="006B5442">
        <w:rPr>
          <w:lang w:val="fr-FR"/>
        </w:rPr>
        <w:t>assurance maladie après la cessation de service.</w:t>
      </w:r>
    </w:p>
    <w:p w:rsidR="00227FB8" w:rsidRDefault="00227FB8" w:rsidP="00CE3512">
      <w:pPr>
        <w:rPr>
          <w:lang w:val="fr-FR"/>
        </w:rPr>
      </w:pPr>
    </w:p>
    <w:p w:rsidR="00227FB8" w:rsidRDefault="00A45437" w:rsidP="00CE3512">
      <w:pPr>
        <w:pStyle w:val="ListParagraph"/>
        <w:tabs>
          <w:tab w:val="left" w:pos="1440"/>
        </w:tabs>
        <w:spacing w:after="0" w:line="240" w:lineRule="auto"/>
        <w:ind w:left="0"/>
        <w:rPr>
          <w:sz w:val="22"/>
          <w:szCs w:val="22"/>
          <w:lang w:val="fr-FR"/>
        </w:rPr>
      </w:pPr>
      <w:r w:rsidRPr="006B5442">
        <w:rPr>
          <w:sz w:val="22"/>
          <w:szCs w:val="22"/>
          <w:lang w:val="fr-FR"/>
        </w:rPr>
        <w:t>Concernant la recommandation</w:t>
      </w:r>
      <w:r w:rsidR="001C64C5" w:rsidRPr="006B5442">
        <w:rPr>
          <w:sz w:val="22"/>
          <w:szCs w:val="22"/>
          <w:lang w:val="fr-FR"/>
        </w:rPr>
        <w:t xml:space="preserve"> n°</w:t>
      </w:r>
      <w:r w:rsidR="00317362" w:rsidRPr="006B5442">
        <w:rPr>
          <w:sz w:val="22"/>
          <w:szCs w:val="22"/>
          <w:lang w:val="fr-FR"/>
        </w:rPr>
        <w:t> </w:t>
      </w:r>
      <w:r w:rsidRPr="006B5442">
        <w:rPr>
          <w:sz w:val="22"/>
          <w:szCs w:val="22"/>
          <w:lang w:val="fr-FR"/>
        </w:rPr>
        <w:t>7,</w:t>
      </w:r>
      <w:r w:rsidR="00156D8F" w:rsidRPr="006B5442">
        <w:rPr>
          <w:sz w:val="22"/>
          <w:szCs w:val="22"/>
          <w:lang w:val="fr-FR"/>
        </w:rPr>
        <w:t xml:space="preserve"> le CCQ</w:t>
      </w:r>
      <w:r w:rsidRPr="006B5442">
        <w:rPr>
          <w:sz w:val="22"/>
          <w:szCs w:val="22"/>
          <w:lang w:val="fr-FR"/>
        </w:rPr>
        <w:t>AB a noté qu</w:t>
      </w:r>
      <w:r w:rsidR="0077445A">
        <w:rPr>
          <w:sz w:val="22"/>
          <w:szCs w:val="22"/>
          <w:lang w:val="fr-FR"/>
        </w:rPr>
        <w:t>’</w:t>
      </w:r>
      <w:r w:rsidRPr="006B5442">
        <w:rPr>
          <w:sz w:val="22"/>
          <w:szCs w:val="22"/>
          <w:lang w:val="fr-FR"/>
        </w:rPr>
        <w:t xml:space="preserve">elle entraînerait le passage du principe de la </w:t>
      </w:r>
      <w:r w:rsidR="00162749" w:rsidRPr="006B5442">
        <w:rPr>
          <w:sz w:val="22"/>
          <w:szCs w:val="22"/>
          <w:lang w:val="fr-FR"/>
        </w:rPr>
        <w:t>comptabilisa</w:t>
      </w:r>
      <w:r w:rsidRPr="006B5442">
        <w:rPr>
          <w:sz w:val="22"/>
          <w:szCs w:val="22"/>
          <w:lang w:val="fr-FR"/>
        </w:rPr>
        <w:t xml:space="preserve">tion </w:t>
      </w:r>
      <w:r w:rsidR="00162749" w:rsidRPr="006B5442">
        <w:rPr>
          <w:sz w:val="22"/>
          <w:szCs w:val="22"/>
          <w:lang w:val="fr-FR"/>
        </w:rPr>
        <w:t xml:space="preserve">au décaissement </w:t>
      </w:r>
      <w:r w:rsidRPr="006B5442">
        <w:rPr>
          <w:sz w:val="22"/>
          <w:szCs w:val="22"/>
          <w:lang w:val="fr-FR"/>
        </w:rPr>
        <w:t>d</w:t>
      </w:r>
      <w:r w:rsidR="004F1EFD" w:rsidRPr="006B5442">
        <w:rPr>
          <w:sz w:val="22"/>
          <w:szCs w:val="22"/>
          <w:lang w:val="fr-FR"/>
        </w:rPr>
        <w:t xml:space="preserve">es </w:t>
      </w:r>
      <w:r w:rsidRPr="006B5442">
        <w:rPr>
          <w:sz w:val="22"/>
          <w:szCs w:val="22"/>
          <w:lang w:val="fr-FR"/>
        </w:rPr>
        <w:t>engagements au titre de l</w:t>
      </w:r>
      <w:r w:rsidR="0077445A">
        <w:rPr>
          <w:sz w:val="22"/>
          <w:szCs w:val="22"/>
          <w:lang w:val="fr-FR"/>
        </w:rPr>
        <w:t>’</w:t>
      </w:r>
      <w:r w:rsidRPr="006B5442">
        <w:rPr>
          <w:sz w:val="22"/>
          <w:szCs w:val="22"/>
          <w:lang w:val="fr-FR"/>
        </w:rPr>
        <w:t xml:space="preserve">AMCS à celui de la capitalisation pour de nombreuses organisations du système des </w:t>
      </w:r>
      <w:r w:rsidR="0077445A">
        <w:rPr>
          <w:sz w:val="22"/>
          <w:szCs w:val="22"/>
          <w:lang w:val="fr-FR"/>
        </w:rPr>
        <w:t>Nations Uni</w:t>
      </w:r>
      <w:r w:rsidR="00DF179D">
        <w:rPr>
          <w:sz w:val="22"/>
          <w:szCs w:val="22"/>
          <w:lang w:val="fr-FR"/>
        </w:rPr>
        <w:t xml:space="preserve">es.  </w:t>
      </w:r>
      <w:r w:rsidR="00DF179D" w:rsidRPr="006B5442">
        <w:rPr>
          <w:sz w:val="22"/>
          <w:szCs w:val="22"/>
          <w:lang w:val="fr-FR"/>
        </w:rPr>
        <w:t>Le</w:t>
      </w:r>
      <w:r w:rsidRPr="006B5442">
        <w:rPr>
          <w:sz w:val="22"/>
          <w:szCs w:val="22"/>
          <w:lang w:val="fr-FR"/>
        </w:rPr>
        <w:t xml:space="preserve"> comité a par ailleurs indiqué que l</w:t>
      </w:r>
      <w:r w:rsidR="0077445A">
        <w:rPr>
          <w:sz w:val="22"/>
          <w:szCs w:val="22"/>
          <w:lang w:val="fr-FR"/>
        </w:rPr>
        <w:t>’</w:t>
      </w:r>
      <w:r w:rsidRPr="006B5442">
        <w:rPr>
          <w:sz w:val="22"/>
          <w:szCs w:val="22"/>
          <w:lang w:val="fr-FR"/>
        </w:rPr>
        <w:t>Assemblée générale considérait toujours la solution actuelle d</w:t>
      </w:r>
      <w:r w:rsidR="004F1EFD" w:rsidRPr="006B5442">
        <w:rPr>
          <w:sz w:val="22"/>
          <w:szCs w:val="22"/>
          <w:lang w:val="fr-FR"/>
        </w:rPr>
        <w:t>u décaissement</w:t>
      </w:r>
      <w:r w:rsidRPr="006B5442">
        <w:rPr>
          <w:sz w:val="22"/>
          <w:szCs w:val="22"/>
          <w:lang w:val="fr-FR"/>
        </w:rPr>
        <w:t xml:space="preserve"> comme étant viab</w:t>
      </w:r>
      <w:r w:rsidR="00DF179D" w:rsidRPr="006B5442">
        <w:rPr>
          <w:sz w:val="22"/>
          <w:szCs w:val="22"/>
          <w:lang w:val="fr-FR"/>
        </w:rPr>
        <w:t>le</w:t>
      </w:r>
      <w:r w:rsidR="00DF179D">
        <w:rPr>
          <w:sz w:val="22"/>
          <w:szCs w:val="22"/>
          <w:lang w:val="fr-FR"/>
        </w:rPr>
        <w:t xml:space="preserve">.  </w:t>
      </w:r>
      <w:r w:rsidR="00DF179D" w:rsidRPr="006B5442">
        <w:rPr>
          <w:sz w:val="22"/>
          <w:szCs w:val="22"/>
          <w:lang w:val="fr-FR"/>
        </w:rPr>
        <w:t>Il</w:t>
      </w:r>
      <w:r w:rsidR="00E47F00" w:rsidRPr="006B5442">
        <w:rPr>
          <w:sz w:val="22"/>
          <w:szCs w:val="22"/>
          <w:lang w:val="fr-FR"/>
        </w:rPr>
        <w:t xml:space="preserve"> estimait que les raisons de provisionner les ressources budgétaires destinées aux activités en cours pour </w:t>
      </w:r>
      <w:r w:rsidR="004F1EFD" w:rsidRPr="006B5442">
        <w:rPr>
          <w:sz w:val="22"/>
          <w:szCs w:val="22"/>
          <w:lang w:val="fr-FR"/>
        </w:rPr>
        <w:t>couvri</w:t>
      </w:r>
      <w:r w:rsidR="00E47F00" w:rsidRPr="006B5442">
        <w:rPr>
          <w:sz w:val="22"/>
          <w:szCs w:val="22"/>
          <w:lang w:val="fr-FR"/>
        </w:rPr>
        <w:t xml:space="preserve">r les engagements futurs </w:t>
      </w:r>
      <w:r w:rsidR="00317362" w:rsidRPr="006B5442">
        <w:rPr>
          <w:sz w:val="22"/>
          <w:szCs w:val="22"/>
          <w:lang w:val="fr-FR"/>
        </w:rPr>
        <w:t>escomptés</w:t>
      </w:r>
      <w:r w:rsidR="00E47F00" w:rsidRPr="006B5442">
        <w:rPr>
          <w:sz w:val="22"/>
          <w:szCs w:val="22"/>
          <w:lang w:val="fr-FR"/>
        </w:rPr>
        <w:t xml:space="preserve"> n</w:t>
      </w:r>
      <w:r w:rsidR="0077445A">
        <w:rPr>
          <w:sz w:val="22"/>
          <w:szCs w:val="22"/>
          <w:lang w:val="fr-FR"/>
        </w:rPr>
        <w:t>’</w:t>
      </w:r>
      <w:r w:rsidR="00E47F00" w:rsidRPr="006B5442">
        <w:rPr>
          <w:sz w:val="22"/>
          <w:szCs w:val="22"/>
          <w:lang w:val="fr-FR"/>
        </w:rPr>
        <w:t>avaient pas été suffisamment justifiées et a recommandé de continuer d</w:t>
      </w:r>
      <w:r w:rsidR="0077445A">
        <w:rPr>
          <w:sz w:val="22"/>
          <w:szCs w:val="22"/>
          <w:lang w:val="fr-FR"/>
        </w:rPr>
        <w:t>’</w:t>
      </w:r>
      <w:r w:rsidR="00E47F00" w:rsidRPr="006B5442">
        <w:rPr>
          <w:sz w:val="22"/>
          <w:szCs w:val="22"/>
          <w:lang w:val="fr-FR"/>
        </w:rPr>
        <w:t xml:space="preserve">appliquer le principe </w:t>
      </w:r>
      <w:r w:rsidR="004F1EFD" w:rsidRPr="006B5442">
        <w:rPr>
          <w:sz w:val="22"/>
          <w:szCs w:val="22"/>
          <w:lang w:val="fr-FR"/>
        </w:rPr>
        <w:t>de la comptabilisation au décaiss</w:t>
      </w:r>
      <w:r w:rsidR="00E47F00" w:rsidRPr="006B5442">
        <w:rPr>
          <w:sz w:val="22"/>
          <w:szCs w:val="22"/>
          <w:lang w:val="fr-FR"/>
        </w:rPr>
        <w:t>e</w:t>
      </w:r>
      <w:r w:rsidR="004F1EFD" w:rsidRPr="006B5442">
        <w:rPr>
          <w:sz w:val="22"/>
          <w:szCs w:val="22"/>
          <w:lang w:val="fr-FR"/>
        </w:rPr>
        <w:t>ment</w:t>
      </w:r>
      <w:r w:rsidR="00E47F00" w:rsidRPr="006B5442">
        <w:rPr>
          <w:sz w:val="22"/>
          <w:szCs w:val="22"/>
          <w:lang w:val="fr-FR"/>
        </w:rPr>
        <w:t>.</w:t>
      </w:r>
    </w:p>
    <w:p w:rsidR="00227FB8" w:rsidRDefault="00227FB8" w:rsidP="00CE3512">
      <w:pPr>
        <w:pStyle w:val="ListParagraph"/>
        <w:tabs>
          <w:tab w:val="left" w:pos="1440"/>
        </w:tabs>
        <w:spacing w:after="0" w:line="240" w:lineRule="auto"/>
        <w:ind w:left="0"/>
        <w:rPr>
          <w:sz w:val="22"/>
          <w:szCs w:val="22"/>
          <w:lang w:val="fr-FR"/>
        </w:rPr>
      </w:pPr>
    </w:p>
    <w:p w:rsidR="00227FB8" w:rsidRDefault="00E47F00" w:rsidP="00CE3512">
      <w:pPr>
        <w:pStyle w:val="ListParagraph"/>
        <w:tabs>
          <w:tab w:val="left" w:pos="1440"/>
        </w:tabs>
        <w:spacing w:after="0" w:line="240" w:lineRule="auto"/>
        <w:ind w:left="0"/>
        <w:rPr>
          <w:sz w:val="22"/>
          <w:szCs w:val="22"/>
          <w:lang w:val="fr-FR"/>
        </w:rPr>
      </w:pPr>
      <w:r w:rsidRPr="006B5442">
        <w:rPr>
          <w:sz w:val="22"/>
          <w:szCs w:val="22"/>
          <w:lang w:val="fr-FR"/>
        </w:rPr>
        <w:t>Le comité a aussi demandé à ce que les engagements au titre de l</w:t>
      </w:r>
      <w:r w:rsidR="0077445A">
        <w:rPr>
          <w:sz w:val="22"/>
          <w:szCs w:val="22"/>
          <w:lang w:val="fr-FR"/>
        </w:rPr>
        <w:t>’</w:t>
      </w:r>
      <w:r w:rsidRPr="006B5442">
        <w:rPr>
          <w:sz w:val="22"/>
          <w:szCs w:val="22"/>
          <w:lang w:val="fr-FR"/>
        </w:rPr>
        <w:t>AMCS soient suivis de près à l</w:t>
      </w:r>
      <w:r w:rsidR="0077445A">
        <w:rPr>
          <w:sz w:val="22"/>
          <w:szCs w:val="22"/>
          <w:lang w:val="fr-FR"/>
        </w:rPr>
        <w:t>’</w:t>
      </w:r>
      <w:r w:rsidRPr="006B5442">
        <w:rPr>
          <w:sz w:val="22"/>
          <w:szCs w:val="22"/>
          <w:lang w:val="fr-FR"/>
        </w:rPr>
        <w:t>avenir afin de garantir l</w:t>
      </w:r>
      <w:r w:rsidR="0077445A">
        <w:rPr>
          <w:sz w:val="22"/>
          <w:szCs w:val="22"/>
          <w:lang w:val="fr-FR"/>
        </w:rPr>
        <w:t>’</w:t>
      </w:r>
      <w:r w:rsidRPr="006B5442">
        <w:rPr>
          <w:sz w:val="22"/>
          <w:szCs w:val="22"/>
          <w:lang w:val="fr-FR"/>
        </w:rPr>
        <w:t xml:space="preserve">attribution précise des </w:t>
      </w:r>
      <w:r w:rsidR="004F1EFD" w:rsidRPr="006B5442">
        <w:rPr>
          <w:sz w:val="22"/>
          <w:szCs w:val="22"/>
          <w:lang w:val="fr-FR"/>
        </w:rPr>
        <w:t xml:space="preserve">charges à payer </w:t>
      </w:r>
      <w:r w:rsidRPr="006B5442">
        <w:rPr>
          <w:sz w:val="22"/>
          <w:szCs w:val="22"/>
          <w:lang w:val="fr-FR"/>
        </w:rPr>
        <w:t>à leurs sources de financement respectives.</w:t>
      </w:r>
    </w:p>
    <w:p w:rsidR="00227FB8" w:rsidRDefault="00227FB8" w:rsidP="00CE3512">
      <w:pPr>
        <w:pStyle w:val="ListParagraph"/>
        <w:tabs>
          <w:tab w:val="left" w:pos="1440"/>
        </w:tabs>
        <w:spacing w:after="0" w:line="240" w:lineRule="auto"/>
        <w:ind w:left="0"/>
        <w:rPr>
          <w:sz w:val="22"/>
          <w:szCs w:val="22"/>
          <w:lang w:val="fr-FR"/>
        </w:rPr>
      </w:pPr>
    </w:p>
    <w:p w:rsidR="00227FB8" w:rsidRDefault="00E47F00" w:rsidP="00CE3512">
      <w:pPr>
        <w:tabs>
          <w:tab w:val="left" w:pos="2835"/>
        </w:tabs>
        <w:rPr>
          <w:lang w:val="fr-FR"/>
        </w:rPr>
      </w:pPr>
      <w:r w:rsidRPr="006B5442">
        <w:rPr>
          <w:u w:val="single"/>
          <w:lang w:val="fr-FR"/>
        </w:rPr>
        <w:t>Recommandation</w:t>
      </w:r>
      <w:r w:rsidR="001C64C5" w:rsidRPr="006B5442">
        <w:rPr>
          <w:u w:val="single"/>
          <w:lang w:val="fr-FR"/>
        </w:rPr>
        <w:t xml:space="preserve"> n°</w:t>
      </w:r>
      <w:r w:rsidR="00317362" w:rsidRPr="006B5442">
        <w:rPr>
          <w:u w:val="single"/>
          <w:lang w:val="fr-FR"/>
        </w:rPr>
        <w:t> </w:t>
      </w:r>
      <w:r w:rsidRPr="006B5442">
        <w:rPr>
          <w:u w:val="single"/>
          <w:lang w:val="fr-FR"/>
        </w:rPr>
        <w:t>8</w:t>
      </w:r>
      <w:r w:rsidR="00317362" w:rsidRPr="006B5442">
        <w:rPr>
          <w:lang w:val="fr-FR"/>
        </w:rPr>
        <w:t> </w:t>
      </w:r>
      <w:r w:rsidRPr="006B5442">
        <w:rPr>
          <w:lang w:val="fr-FR"/>
        </w:rPr>
        <w:t>:</w:t>
      </w:r>
      <w:r w:rsidR="00DF179D">
        <w:rPr>
          <w:lang w:val="fr-FR"/>
        </w:rPr>
        <w:t xml:space="preserve"> </w:t>
      </w:r>
      <w:r w:rsidR="003C16D4" w:rsidRPr="006B5442">
        <w:rPr>
          <w:lang w:val="fr-FR"/>
        </w:rPr>
        <w:tab/>
      </w:r>
      <w:r w:rsidRPr="006B5442">
        <w:rPr>
          <w:lang w:val="fr-FR"/>
        </w:rPr>
        <w:t>Investissement des réserves</w:t>
      </w:r>
    </w:p>
    <w:p w:rsidR="00227FB8" w:rsidRDefault="00227FB8" w:rsidP="00CE3512">
      <w:pPr>
        <w:rPr>
          <w:lang w:val="fr-FR"/>
        </w:rPr>
      </w:pPr>
    </w:p>
    <w:p w:rsidR="00227FB8" w:rsidRDefault="0074504B" w:rsidP="00CE3512">
      <w:pPr>
        <w:rPr>
          <w:lang w:val="fr-FR"/>
        </w:rPr>
      </w:pPr>
      <w:r w:rsidRPr="006B5442">
        <w:rPr>
          <w:lang w:val="fr-FR"/>
        </w:rPr>
        <w:t xml:space="preserve">Le groupe de travail a recommandé que les organisations du système des </w:t>
      </w:r>
      <w:r w:rsidR="0077445A">
        <w:rPr>
          <w:lang w:val="fr-FR"/>
        </w:rPr>
        <w:t>Nations Unies</w:t>
      </w:r>
      <w:r w:rsidRPr="006B5442">
        <w:rPr>
          <w:lang w:val="fr-FR"/>
        </w:rPr>
        <w:t xml:space="preserve">, </w:t>
      </w:r>
      <w:r w:rsidR="0049588C" w:rsidRPr="006B5442">
        <w:rPr>
          <w:lang w:val="fr-FR"/>
        </w:rPr>
        <w:t>par l</w:t>
      </w:r>
      <w:r w:rsidR="0077445A">
        <w:rPr>
          <w:lang w:val="fr-FR"/>
        </w:rPr>
        <w:t>’</w:t>
      </w:r>
      <w:r w:rsidR="0049588C" w:rsidRPr="006B5442">
        <w:rPr>
          <w:lang w:val="fr-FR"/>
        </w:rPr>
        <w:t>intermédiaire</w:t>
      </w:r>
      <w:r w:rsidRPr="006B5442">
        <w:rPr>
          <w:lang w:val="fr-FR"/>
        </w:rPr>
        <w:t xml:space="preserve"> du </w:t>
      </w:r>
      <w:r w:rsidR="00317362" w:rsidRPr="006B5442">
        <w:rPr>
          <w:lang w:val="fr-FR"/>
        </w:rPr>
        <w:t>G</w:t>
      </w:r>
      <w:r w:rsidRPr="006B5442">
        <w:rPr>
          <w:lang w:val="fr-FR"/>
        </w:rPr>
        <w:t>roupe de travail sur les services communs de trésorerie, étudient les possibilités de coopérer pour tirer parti des arrangements existants avec des gérants d</w:t>
      </w:r>
      <w:r w:rsidR="0077445A">
        <w:rPr>
          <w:lang w:val="fr-FR"/>
        </w:rPr>
        <w:t>’</w:t>
      </w:r>
      <w:r w:rsidRPr="006B5442">
        <w:rPr>
          <w:lang w:val="fr-FR"/>
        </w:rPr>
        <w:t>actifs externes en vue d</w:t>
      </w:r>
      <w:r w:rsidR="0077445A">
        <w:rPr>
          <w:lang w:val="fr-FR"/>
        </w:rPr>
        <w:t>’</w:t>
      </w:r>
      <w:r w:rsidRPr="006B5442">
        <w:rPr>
          <w:lang w:val="fr-FR"/>
        </w:rPr>
        <w:t>obtenir le rendement le plus élevé et de réduire les frais de gestion</w:t>
      </w:r>
      <w:r w:rsidR="0049588C" w:rsidRPr="006B5442">
        <w:rPr>
          <w:lang w:val="fr-FR"/>
        </w:rPr>
        <w:t xml:space="preserve"> au minimum</w:t>
      </w:r>
      <w:r w:rsidRPr="006B5442">
        <w:rPr>
          <w:lang w:val="fr-FR"/>
        </w:rPr>
        <w:t>.</w:t>
      </w:r>
    </w:p>
    <w:p w:rsidR="00227FB8" w:rsidRDefault="00227FB8" w:rsidP="00CE3512">
      <w:pPr>
        <w:tabs>
          <w:tab w:val="left" w:pos="1440"/>
        </w:tabs>
        <w:rPr>
          <w:lang w:val="fr-FR"/>
        </w:rPr>
      </w:pPr>
    </w:p>
    <w:p w:rsidR="00227FB8" w:rsidRDefault="0074504B" w:rsidP="00CE3512">
      <w:pPr>
        <w:tabs>
          <w:tab w:val="left" w:pos="1440"/>
        </w:tabs>
        <w:rPr>
          <w:szCs w:val="22"/>
          <w:lang w:val="fr-FR"/>
        </w:rPr>
      </w:pPr>
      <w:r w:rsidRPr="006B5442">
        <w:rPr>
          <w:szCs w:val="22"/>
          <w:lang w:val="fr-FR"/>
        </w:rPr>
        <w:t xml:space="preserve">Le CCQAB a reconnu </w:t>
      </w:r>
      <w:r w:rsidR="00317362" w:rsidRPr="006B5442">
        <w:rPr>
          <w:szCs w:val="22"/>
          <w:lang w:val="fr-FR"/>
        </w:rPr>
        <w:t>l</w:t>
      </w:r>
      <w:r w:rsidR="0077445A">
        <w:rPr>
          <w:szCs w:val="22"/>
          <w:lang w:val="fr-FR"/>
        </w:rPr>
        <w:t>’</w:t>
      </w:r>
      <w:r w:rsidR="00317362" w:rsidRPr="006B5442">
        <w:rPr>
          <w:szCs w:val="22"/>
          <w:lang w:val="fr-FR"/>
        </w:rPr>
        <w:t>intérêt de</w:t>
      </w:r>
      <w:r w:rsidRPr="006B5442">
        <w:rPr>
          <w:szCs w:val="22"/>
          <w:lang w:val="fr-FR"/>
        </w:rPr>
        <w:t xml:space="preserve"> la recommandation</w:t>
      </w:r>
      <w:r w:rsidR="001C64C5" w:rsidRPr="006B5442">
        <w:rPr>
          <w:szCs w:val="22"/>
          <w:lang w:val="fr-FR"/>
        </w:rPr>
        <w:t xml:space="preserve"> n°</w:t>
      </w:r>
      <w:r w:rsidR="004F1EFD" w:rsidRPr="006B5442">
        <w:rPr>
          <w:szCs w:val="22"/>
          <w:lang w:val="fr-FR"/>
        </w:rPr>
        <w:t> </w:t>
      </w:r>
      <w:r w:rsidRPr="006B5442">
        <w:rPr>
          <w:szCs w:val="22"/>
          <w:lang w:val="fr-FR"/>
        </w:rPr>
        <w:t>8</w:t>
      </w:r>
      <w:r w:rsidR="0049588C" w:rsidRPr="006B5442">
        <w:rPr>
          <w:szCs w:val="22"/>
          <w:lang w:val="fr-FR"/>
        </w:rPr>
        <w:t xml:space="preserve"> pour</w:t>
      </w:r>
      <w:r w:rsidRPr="006B5442">
        <w:rPr>
          <w:szCs w:val="22"/>
          <w:lang w:val="fr-FR"/>
        </w:rPr>
        <w:t xml:space="preserve"> tirer parti des arrangements existants avec des gérants d</w:t>
      </w:r>
      <w:r w:rsidR="0077445A">
        <w:rPr>
          <w:szCs w:val="22"/>
          <w:lang w:val="fr-FR"/>
        </w:rPr>
        <w:t>’</w:t>
      </w:r>
      <w:r w:rsidRPr="006B5442">
        <w:rPr>
          <w:szCs w:val="22"/>
          <w:lang w:val="fr-FR"/>
        </w:rPr>
        <w:t>actifs externes en matière d</w:t>
      </w:r>
      <w:r w:rsidR="0077445A">
        <w:rPr>
          <w:szCs w:val="22"/>
          <w:lang w:val="fr-FR"/>
        </w:rPr>
        <w:t>’</w:t>
      </w:r>
      <w:r w:rsidRPr="006B5442">
        <w:rPr>
          <w:szCs w:val="22"/>
          <w:lang w:val="fr-FR"/>
        </w:rPr>
        <w:t>investissement des réserves destinées à couvrir les engagements au titre de l</w:t>
      </w:r>
      <w:r w:rsidR="0077445A">
        <w:rPr>
          <w:szCs w:val="22"/>
          <w:lang w:val="fr-FR"/>
        </w:rPr>
        <w:t>’</w:t>
      </w:r>
      <w:r w:rsidRPr="006B5442">
        <w:rPr>
          <w:szCs w:val="22"/>
          <w:lang w:val="fr-FR"/>
        </w:rPr>
        <w:t xml:space="preserve">AMCS pour les organisations qui avaient constitué de telles réserves, sans pour autant exclure la possibilité de créer une instance </w:t>
      </w:r>
      <w:proofErr w:type="spellStart"/>
      <w:r w:rsidRPr="006B5442">
        <w:rPr>
          <w:szCs w:val="22"/>
          <w:lang w:val="fr-FR"/>
        </w:rPr>
        <w:t>interinstitutions</w:t>
      </w:r>
      <w:proofErr w:type="spellEnd"/>
      <w:r w:rsidRPr="006B5442">
        <w:rPr>
          <w:szCs w:val="22"/>
          <w:lang w:val="fr-FR"/>
        </w:rPr>
        <w:t xml:space="preserve"> pour investir les réserves accumulées.</w:t>
      </w:r>
    </w:p>
    <w:p w:rsidR="00227FB8" w:rsidRDefault="00227FB8" w:rsidP="00DF2928">
      <w:pPr>
        <w:pStyle w:val="Endofdocument-Annex"/>
        <w:rPr>
          <w:lang w:val="fr-FR"/>
        </w:rPr>
      </w:pPr>
    </w:p>
    <w:p w:rsidR="00227FB8" w:rsidRDefault="00227FB8" w:rsidP="00DF2928">
      <w:pPr>
        <w:pStyle w:val="Endofdocument-Annex"/>
        <w:rPr>
          <w:lang w:val="fr-FR"/>
        </w:rPr>
      </w:pPr>
    </w:p>
    <w:p w:rsidR="00227FB8" w:rsidRDefault="00227FB8" w:rsidP="00DF2928">
      <w:pPr>
        <w:pStyle w:val="Endofdocument-Annex"/>
        <w:rPr>
          <w:lang w:val="fr-FR"/>
        </w:rPr>
      </w:pPr>
    </w:p>
    <w:p w:rsidR="00227FB8" w:rsidRDefault="0074504B" w:rsidP="00DF2928">
      <w:pPr>
        <w:pStyle w:val="Endofdocument-Annex"/>
        <w:rPr>
          <w:lang w:val="fr-FR"/>
        </w:rPr>
      </w:pPr>
      <w:r w:rsidRPr="006B5442">
        <w:rPr>
          <w:lang w:val="fr-FR"/>
        </w:rPr>
        <w:t>[Fin de l</w:t>
      </w:r>
      <w:r w:rsidR="0077445A">
        <w:rPr>
          <w:lang w:val="fr-FR"/>
        </w:rPr>
        <w:t>’</w:t>
      </w:r>
      <w:r w:rsidRPr="006B5442">
        <w:rPr>
          <w:lang w:val="fr-FR"/>
        </w:rPr>
        <w:t>annexe et du document]</w:t>
      </w:r>
    </w:p>
    <w:sectPr w:rsidR="00227FB8" w:rsidSect="00274E90">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3FA" w:rsidRDefault="00A203FA">
      <w:r>
        <w:separator/>
      </w:r>
    </w:p>
  </w:endnote>
  <w:endnote w:type="continuationSeparator" w:id="0">
    <w:p w:rsidR="00A203FA" w:rsidRDefault="00A203FA" w:rsidP="003B38C1">
      <w:r>
        <w:separator/>
      </w:r>
    </w:p>
    <w:p w:rsidR="00A203FA" w:rsidRPr="003B38C1" w:rsidRDefault="00A203FA" w:rsidP="003B38C1">
      <w:pPr>
        <w:spacing w:after="60"/>
        <w:rPr>
          <w:sz w:val="17"/>
        </w:rPr>
      </w:pPr>
      <w:r>
        <w:rPr>
          <w:sz w:val="17"/>
        </w:rPr>
        <w:t>[Endnote continued from previous page]</w:t>
      </w:r>
    </w:p>
  </w:endnote>
  <w:endnote w:type="continuationNotice" w:id="1">
    <w:p w:rsidR="00A203FA" w:rsidRPr="003B38C1" w:rsidRDefault="00A203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E90" w:rsidRPr="00274E90" w:rsidRDefault="00274E90" w:rsidP="00274E90">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6D4" w:rsidRPr="003C16D4" w:rsidRDefault="003C16D4" w:rsidP="003C1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3FA" w:rsidRDefault="00A203FA">
      <w:r>
        <w:separator/>
      </w:r>
    </w:p>
  </w:footnote>
  <w:footnote w:type="continuationSeparator" w:id="0">
    <w:p w:rsidR="00A203FA" w:rsidRDefault="00A203FA" w:rsidP="008B60B2">
      <w:r>
        <w:separator/>
      </w:r>
    </w:p>
    <w:p w:rsidR="00A203FA" w:rsidRPr="00ED77FB" w:rsidRDefault="00A203FA" w:rsidP="008B60B2">
      <w:pPr>
        <w:spacing w:after="60"/>
        <w:rPr>
          <w:sz w:val="17"/>
          <w:szCs w:val="17"/>
        </w:rPr>
      </w:pPr>
      <w:r w:rsidRPr="00ED77FB">
        <w:rPr>
          <w:sz w:val="17"/>
          <w:szCs w:val="17"/>
        </w:rPr>
        <w:t>[Footnote continued from previous page]</w:t>
      </w:r>
    </w:p>
  </w:footnote>
  <w:footnote w:type="continuationNotice" w:id="1">
    <w:p w:rsidR="00A203FA" w:rsidRPr="00ED77FB" w:rsidRDefault="00A203F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A4EAA" w:rsidP="00477D6B">
    <w:pPr>
      <w:jc w:val="right"/>
    </w:pPr>
    <w:bookmarkStart w:id="5" w:name="Code2"/>
    <w:bookmarkEnd w:id="5"/>
    <w:r>
      <w:t>WO/PBC/25/15</w:t>
    </w:r>
  </w:p>
  <w:p w:rsidR="00EC4E49" w:rsidRDefault="00EC4E49" w:rsidP="00477D6B">
    <w:pPr>
      <w:jc w:val="right"/>
    </w:pPr>
    <w:proofErr w:type="gramStart"/>
    <w:r>
      <w:t>page</w:t>
    </w:r>
    <w:proofErr w:type="gramEnd"/>
    <w:r w:rsidR="003C16D4">
      <w:t> </w:t>
    </w:r>
    <w:r>
      <w:fldChar w:fldCharType="begin"/>
    </w:r>
    <w:r>
      <w:instrText xml:space="preserve"> PAGE  \* MERGEFORMAT </w:instrText>
    </w:r>
    <w:r>
      <w:fldChar w:fldCharType="separate"/>
    </w:r>
    <w:r w:rsidR="00DA3DAD">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5DF" w:rsidRDefault="001E25DF" w:rsidP="00477D6B">
    <w:pPr>
      <w:jc w:val="right"/>
    </w:pPr>
    <w:r>
      <w:t>WO/PBC/25/15</w:t>
    </w:r>
  </w:p>
  <w:p w:rsidR="001E25DF" w:rsidRDefault="001E25DF" w:rsidP="00477D6B">
    <w:pPr>
      <w:jc w:val="right"/>
    </w:pPr>
    <w:r>
      <w:t>Annex, page</w:t>
    </w:r>
    <w:r w:rsidR="003C16D4">
      <w:t> </w:t>
    </w:r>
    <w:r>
      <w:fldChar w:fldCharType="begin"/>
    </w:r>
    <w:r>
      <w:instrText xml:space="preserve"> PAGE  \* MERGEFORMAT </w:instrText>
    </w:r>
    <w:r>
      <w:fldChar w:fldCharType="separate"/>
    </w:r>
    <w:r w:rsidR="00DA3DAD">
      <w:rPr>
        <w:noProof/>
      </w:rPr>
      <w:t>3</w:t>
    </w:r>
    <w:r>
      <w:fldChar w:fldCharType="end"/>
    </w:r>
  </w:p>
  <w:p w:rsidR="001E25DF" w:rsidRDefault="001E25D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5DF" w:rsidRDefault="001E25DF" w:rsidP="001E25DF">
    <w:pPr>
      <w:jc w:val="right"/>
    </w:pPr>
    <w:r>
      <w:t>WO/PBC/25/15</w:t>
    </w:r>
  </w:p>
  <w:p w:rsidR="001E25DF" w:rsidRDefault="001E25DF" w:rsidP="001E25DF">
    <w:pPr>
      <w:jc w:val="right"/>
    </w:pPr>
    <w:r>
      <w:t>ANNEX</w:t>
    </w:r>
    <w:r w:rsidR="00212DA5">
      <w:t>E</w:t>
    </w:r>
  </w:p>
  <w:p w:rsidR="001E25DF" w:rsidRPr="001E25DF" w:rsidRDefault="001E25DF" w:rsidP="003C16D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750EAF"/>
    <w:multiLevelType w:val="hybridMultilevel"/>
    <w:tmpl w:val="ED0EB63E"/>
    <w:lvl w:ilvl="0" w:tplc="37727BB4">
      <w:start w:val="1"/>
      <w:numFmt w:val="lowerRoman"/>
      <w:lvlText w:val="%1)"/>
      <w:lvlJc w:val="right"/>
      <w:pPr>
        <w:ind w:left="576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6CD29E3"/>
    <w:multiLevelType w:val="multilevel"/>
    <w:tmpl w:val="F974709C"/>
    <w:lvl w:ilvl="0">
      <w:start w:val="1"/>
      <w:numFmt w:val="decimal"/>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B128E03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744CF7"/>
    <w:multiLevelType w:val="hybridMultilevel"/>
    <w:tmpl w:val="2DC093D0"/>
    <w:lvl w:ilvl="0" w:tplc="B194FBEC">
      <w:start w:val="1"/>
      <w:numFmt w:val="lowerRoman"/>
      <w:lvlText w:val="(%1)"/>
      <w:lvlJc w:val="left"/>
      <w:pPr>
        <w:ind w:left="1494" w:hanging="360"/>
      </w:pPr>
      <w:rPr>
        <w:rFonts w:hint="default"/>
      </w:rPr>
    </w:lvl>
    <w:lvl w:ilvl="1" w:tplc="04090019" w:tentative="1">
      <w:start w:val="1"/>
      <w:numFmt w:val="lowerLetter"/>
      <w:lvlText w:val="%2."/>
      <w:lvlJc w:val="left"/>
      <w:pPr>
        <w:ind w:left="2425" w:hanging="360"/>
      </w:pPr>
    </w:lvl>
    <w:lvl w:ilvl="2" w:tplc="0409001B" w:tentative="1">
      <w:start w:val="1"/>
      <w:numFmt w:val="lowerRoman"/>
      <w:lvlText w:val="%3."/>
      <w:lvlJc w:val="right"/>
      <w:pPr>
        <w:ind w:left="3145" w:hanging="180"/>
      </w:pPr>
    </w:lvl>
    <w:lvl w:ilvl="3" w:tplc="0409000F" w:tentative="1">
      <w:start w:val="1"/>
      <w:numFmt w:val="decimal"/>
      <w:lvlText w:val="%4."/>
      <w:lvlJc w:val="left"/>
      <w:pPr>
        <w:ind w:left="3865" w:hanging="360"/>
      </w:pPr>
    </w:lvl>
    <w:lvl w:ilvl="4" w:tplc="04090019" w:tentative="1">
      <w:start w:val="1"/>
      <w:numFmt w:val="lowerLetter"/>
      <w:lvlText w:val="%5."/>
      <w:lvlJc w:val="left"/>
      <w:pPr>
        <w:ind w:left="4585" w:hanging="360"/>
      </w:pPr>
    </w:lvl>
    <w:lvl w:ilvl="5" w:tplc="0409001B" w:tentative="1">
      <w:start w:val="1"/>
      <w:numFmt w:val="lowerRoman"/>
      <w:lvlText w:val="%6."/>
      <w:lvlJc w:val="right"/>
      <w:pPr>
        <w:ind w:left="5305" w:hanging="180"/>
      </w:pPr>
    </w:lvl>
    <w:lvl w:ilvl="6" w:tplc="0409000F" w:tentative="1">
      <w:start w:val="1"/>
      <w:numFmt w:val="decimal"/>
      <w:lvlText w:val="%7."/>
      <w:lvlJc w:val="left"/>
      <w:pPr>
        <w:ind w:left="6025" w:hanging="360"/>
      </w:pPr>
    </w:lvl>
    <w:lvl w:ilvl="7" w:tplc="04090019" w:tentative="1">
      <w:start w:val="1"/>
      <w:numFmt w:val="lowerLetter"/>
      <w:lvlText w:val="%8."/>
      <w:lvlJc w:val="left"/>
      <w:pPr>
        <w:ind w:left="6745" w:hanging="360"/>
      </w:pPr>
    </w:lvl>
    <w:lvl w:ilvl="8" w:tplc="0409001B" w:tentative="1">
      <w:start w:val="1"/>
      <w:numFmt w:val="lowerRoman"/>
      <w:lvlText w:val="%9."/>
      <w:lvlJc w:val="right"/>
      <w:pPr>
        <w:ind w:left="7465" w:hanging="180"/>
      </w:pPr>
    </w:lvl>
  </w:abstractNum>
  <w:abstractNum w:abstractNumId="6">
    <w:nsid w:val="23EF3C88"/>
    <w:multiLevelType w:val="hybridMultilevel"/>
    <w:tmpl w:val="5A2E0866"/>
    <w:lvl w:ilvl="0" w:tplc="04090001">
      <w:start w:val="1"/>
      <w:numFmt w:val="bullet"/>
      <w:lvlText w:val=""/>
      <w:lvlJc w:val="left"/>
      <w:pPr>
        <w:ind w:left="1381" w:hanging="360"/>
      </w:pPr>
      <w:rPr>
        <w:rFonts w:ascii="Symbol" w:hAnsi="Symbol" w:hint="default"/>
      </w:rPr>
    </w:lvl>
    <w:lvl w:ilvl="1" w:tplc="04090019" w:tentative="1">
      <w:start w:val="1"/>
      <w:numFmt w:val="lowerLetter"/>
      <w:lvlText w:val="%2."/>
      <w:lvlJc w:val="left"/>
      <w:pPr>
        <w:ind w:left="2101" w:hanging="360"/>
      </w:pPr>
    </w:lvl>
    <w:lvl w:ilvl="2" w:tplc="0409001B">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7">
    <w:nsid w:val="28DE7C74"/>
    <w:multiLevelType w:val="hybridMultilevel"/>
    <w:tmpl w:val="D45ECA20"/>
    <w:lvl w:ilvl="0" w:tplc="FBF454E2">
      <w:start w:val="1"/>
      <w:numFmt w:val="decimal"/>
      <w:lvlText w:val="%1)"/>
      <w:lvlJc w:val="left"/>
      <w:pPr>
        <w:ind w:left="1381" w:hanging="36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8">
    <w:nsid w:val="33421597"/>
    <w:multiLevelType w:val="hybridMultilevel"/>
    <w:tmpl w:val="25EC271A"/>
    <w:lvl w:ilvl="0" w:tplc="37727BB4">
      <w:start w:val="1"/>
      <w:numFmt w:val="lowerRoman"/>
      <w:lvlText w:val="%1)"/>
      <w:lvlJc w:val="righ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B51EF"/>
    <w:multiLevelType w:val="hybridMultilevel"/>
    <w:tmpl w:val="24BCA688"/>
    <w:lvl w:ilvl="0" w:tplc="2A7EA3F4">
      <w:start w:val="1"/>
      <w:numFmt w:val="upperRoman"/>
      <w:lvlText w:val="(%1)"/>
      <w:lvlJc w:val="left"/>
      <w:pPr>
        <w:ind w:left="1260"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5A5211A"/>
    <w:multiLevelType w:val="hybridMultilevel"/>
    <w:tmpl w:val="16C01E78"/>
    <w:lvl w:ilvl="0" w:tplc="94A626E6">
      <w:start w:val="1"/>
      <w:numFmt w:val="lowerRoman"/>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3B2662"/>
    <w:multiLevelType w:val="hybridMultilevel"/>
    <w:tmpl w:val="276A8BD0"/>
    <w:lvl w:ilvl="0" w:tplc="37727BB4">
      <w:start w:val="1"/>
      <w:numFmt w:val="lowerRoman"/>
      <w:lvlText w:val="%1)"/>
      <w:lvlJc w:val="righ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8113BE8"/>
    <w:multiLevelType w:val="hybridMultilevel"/>
    <w:tmpl w:val="D45EB7FA"/>
    <w:lvl w:ilvl="0" w:tplc="49968628">
      <w:start w:val="1"/>
      <w:numFmt w:val="upperRoman"/>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5">
    <w:nsid w:val="5FE819DF"/>
    <w:multiLevelType w:val="hybridMultilevel"/>
    <w:tmpl w:val="4990A3BC"/>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10"/>
  </w:num>
  <w:num w:numId="3">
    <w:abstractNumId w:val="0"/>
  </w:num>
  <w:num w:numId="4">
    <w:abstractNumId w:val="12"/>
  </w:num>
  <w:num w:numId="5">
    <w:abstractNumId w:val="2"/>
  </w:num>
  <w:num w:numId="6">
    <w:abstractNumId w:val="4"/>
  </w:num>
  <w:num w:numId="7">
    <w:abstractNumId w:val="7"/>
  </w:num>
  <w:num w:numId="8">
    <w:abstractNumId w:val="6"/>
  </w:num>
  <w:num w:numId="9">
    <w:abstractNumId w:val="1"/>
  </w:num>
  <w:num w:numId="10">
    <w:abstractNumId w:val="5"/>
  </w:num>
  <w:num w:numId="11">
    <w:abstractNumId w:val="2"/>
  </w:num>
  <w:num w:numId="12">
    <w:abstractNumId w:val="2"/>
  </w:num>
  <w:num w:numId="13">
    <w:abstractNumId w:val="2"/>
  </w:num>
  <w:num w:numId="14">
    <w:abstractNumId w:val="2"/>
  </w:num>
  <w:num w:numId="15">
    <w:abstractNumId w:val="2"/>
  </w:num>
  <w:num w:numId="16">
    <w:abstractNumId w:val="14"/>
  </w:num>
  <w:num w:numId="17">
    <w:abstractNumId w:val="9"/>
  </w:num>
  <w:num w:numId="18">
    <w:abstractNumId w:val="11"/>
  </w:num>
  <w:num w:numId="19">
    <w:abstractNumId w:val="8"/>
  </w:num>
  <w:num w:numId="20">
    <w:abstractNumId w:val="15"/>
  </w:num>
  <w:num w:numId="21">
    <w:abstractNumId w:val="13"/>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WorkspaceFTS\EN-FR\UPOV|TextBase TMs\Glossaries\EN-FR|TextBase TMs\Administrative\Meetings|TextBase TMs\Administrative\Other|TextBase TMs\Administrative\Publications|TextBase TMs\Budget and Finance\Meetings|TextBase TMs\Budget and Finance\Other|TextBase TMs\Budget and Finance\Publications|TextBase TMs\Trademarks\Meetings|TextBase TMs\Trademarks\Other|TextBase TMs\Trademarks\Publications|TextBase TMs\Treaties\Model Laws|TextBase TMs\Treaties\Other Laws and Agreements|TextBase TMs\Treaties\WIPO-administered|TextBase TMs\Patents\Meetings|TextBase TMs\Patents\Other|TextBase TMs\Patent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3A4EAA"/>
    <w:rsid w:val="00043CAA"/>
    <w:rsid w:val="0006160F"/>
    <w:rsid w:val="00075432"/>
    <w:rsid w:val="00080CCE"/>
    <w:rsid w:val="0009059E"/>
    <w:rsid w:val="000968ED"/>
    <w:rsid w:val="00097429"/>
    <w:rsid w:val="000D2EDC"/>
    <w:rsid w:val="000F192B"/>
    <w:rsid w:val="000F5E56"/>
    <w:rsid w:val="00126BA0"/>
    <w:rsid w:val="001362EE"/>
    <w:rsid w:val="00143B1E"/>
    <w:rsid w:val="00156D8F"/>
    <w:rsid w:val="001603F4"/>
    <w:rsid w:val="00160BC6"/>
    <w:rsid w:val="00162749"/>
    <w:rsid w:val="001668C7"/>
    <w:rsid w:val="001832A6"/>
    <w:rsid w:val="00190133"/>
    <w:rsid w:val="00196961"/>
    <w:rsid w:val="001A53A8"/>
    <w:rsid w:val="001B648E"/>
    <w:rsid w:val="001C64C5"/>
    <w:rsid w:val="001D367E"/>
    <w:rsid w:val="001D6325"/>
    <w:rsid w:val="001E2371"/>
    <w:rsid w:val="001E25DF"/>
    <w:rsid w:val="00202BAF"/>
    <w:rsid w:val="00207840"/>
    <w:rsid w:val="00212DA5"/>
    <w:rsid w:val="0022535C"/>
    <w:rsid w:val="00227FB8"/>
    <w:rsid w:val="00241BCB"/>
    <w:rsid w:val="00253A2E"/>
    <w:rsid w:val="002634C4"/>
    <w:rsid w:val="0026486E"/>
    <w:rsid w:val="00274E90"/>
    <w:rsid w:val="00286389"/>
    <w:rsid w:val="002928D3"/>
    <w:rsid w:val="0029456B"/>
    <w:rsid w:val="002B230F"/>
    <w:rsid w:val="002B6367"/>
    <w:rsid w:val="002D796F"/>
    <w:rsid w:val="002F1FE6"/>
    <w:rsid w:val="002F493E"/>
    <w:rsid w:val="002F4E68"/>
    <w:rsid w:val="003111B0"/>
    <w:rsid w:val="00312F7F"/>
    <w:rsid w:val="003149F9"/>
    <w:rsid w:val="00316D52"/>
    <w:rsid w:val="00317362"/>
    <w:rsid w:val="00350C95"/>
    <w:rsid w:val="00360966"/>
    <w:rsid w:val="00361450"/>
    <w:rsid w:val="003673CF"/>
    <w:rsid w:val="00375FBF"/>
    <w:rsid w:val="003845C1"/>
    <w:rsid w:val="003904B9"/>
    <w:rsid w:val="00396FDA"/>
    <w:rsid w:val="003A4EAA"/>
    <w:rsid w:val="003A6F89"/>
    <w:rsid w:val="003B38C1"/>
    <w:rsid w:val="003B3B9B"/>
    <w:rsid w:val="003C16D4"/>
    <w:rsid w:val="003C1CC9"/>
    <w:rsid w:val="003C642D"/>
    <w:rsid w:val="003C7B07"/>
    <w:rsid w:val="003E677B"/>
    <w:rsid w:val="00404B42"/>
    <w:rsid w:val="0040707E"/>
    <w:rsid w:val="00423E3E"/>
    <w:rsid w:val="00427AF4"/>
    <w:rsid w:val="00437CC2"/>
    <w:rsid w:val="00437FF7"/>
    <w:rsid w:val="004647DA"/>
    <w:rsid w:val="00474062"/>
    <w:rsid w:val="00477D6B"/>
    <w:rsid w:val="004863B6"/>
    <w:rsid w:val="00495705"/>
    <w:rsid w:val="0049588C"/>
    <w:rsid w:val="004B492D"/>
    <w:rsid w:val="004D7D7F"/>
    <w:rsid w:val="004F1EFD"/>
    <w:rsid w:val="004F4091"/>
    <w:rsid w:val="004F696B"/>
    <w:rsid w:val="005019FF"/>
    <w:rsid w:val="005072DD"/>
    <w:rsid w:val="0053057A"/>
    <w:rsid w:val="00536D86"/>
    <w:rsid w:val="00560A29"/>
    <w:rsid w:val="005628E1"/>
    <w:rsid w:val="00572638"/>
    <w:rsid w:val="005750B1"/>
    <w:rsid w:val="005B20FC"/>
    <w:rsid w:val="005C6649"/>
    <w:rsid w:val="005E08FE"/>
    <w:rsid w:val="00605827"/>
    <w:rsid w:val="00617225"/>
    <w:rsid w:val="0062140F"/>
    <w:rsid w:val="006257A1"/>
    <w:rsid w:val="00631550"/>
    <w:rsid w:val="00646050"/>
    <w:rsid w:val="00655547"/>
    <w:rsid w:val="006713CA"/>
    <w:rsid w:val="006733EA"/>
    <w:rsid w:val="00676865"/>
    <w:rsid w:val="00676C5C"/>
    <w:rsid w:val="00693A5F"/>
    <w:rsid w:val="006B5442"/>
    <w:rsid w:val="006C0B04"/>
    <w:rsid w:val="00707B4B"/>
    <w:rsid w:val="0074504B"/>
    <w:rsid w:val="00761E25"/>
    <w:rsid w:val="007620EE"/>
    <w:rsid w:val="00763AA0"/>
    <w:rsid w:val="00763ED7"/>
    <w:rsid w:val="0077445A"/>
    <w:rsid w:val="00786E31"/>
    <w:rsid w:val="007D1613"/>
    <w:rsid w:val="007E5187"/>
    <w:rsid w:val="007E7164"/>
    <w:rsid w:val="00801754"/>
    <w:rsid w:val="00822D0E"/>
    <w:rsid w:val="00827ABC"/>
    <w:rsid w:val="00831D23"/>
    <w:rsid w:val="00834400"/>
    <w:rsid w:val="00842B36"/>
    <w:rsid w:val="008560BB"/>
    <w:rsid w:val="00860AAA"/>
    <w:rsid w:val="00875212"/>
    <w:rsid w:val="0088732F"/>
    <w:rsid w:val="00893834"/>
    <w:rsid w:val="008A10DB"/>
    <w:rsid w:val="008A6A93"/>
    <w:rsid w:val="008B0D7B"/>
    <w:rsid w:val="008B2CC1"/>
    <w:rsid w:val="008B60B2"/>
    <w:rsid w:val="008C05D9"/>
    <w:rsid w:val="008C40E1"/>
    <w:rsid w:val="008D3BEA"/>
    <w:rsid w:val="008D5644"/>
    <w:rsid w:val="008E6A32"/>
    <w:rsid w:val="008F2590"/>
    <w:rsid w:val="0090731E"/>
    <w:rsid w:val="00916EE2"/>
    <w:rsid w:val="00942341"/>
    <w:rsid w:val="00946470"/>
    <w:rsid w:val="00952A9D"/>
    <w:rsid w:val="00966A22"/>
    <w:rsid w:val="0096722F"/>
    <w:rsid w:val="00980843"/>
    <w:rsid w:val="009A1C77"/>
    <w:rsid w:val="009D7FC0"/>
    <w:rsid w:val="009E23D2"/>
    <w:rsid w:val="009E2791"/>
    <w:rsid w:val="009E3F6F"/>
    <w:rsid w:val="009F499F"/>
    <w:rsid w:val="009F6B78"/>
    <w:rsid w:val="00A016FC"/>
    <w:rsid w:val="00A10220"/>
    <w:rsid w:val="00A12734"/>
    <w:rsid w:val="00A17263"/>
    <w:rsid w:val="00A203FA"/>
    <w:rsid w:val="00A37818"/>
    <w:rsid w:val="00A42DAF"/>
    <w:rsid w:val="00A45437"/>
    <w:rsid w:val="00A45BD8"/>
    <w:rsid w:val="00A46CD1"/>
    <w:rsid w:val="00A55652"/>
    <w:rsid w:val="00A869B7"/>
    <w:rsid w:val="00AC205C"/>
    <w:rsid w:val="00AF0A6B"/>
    <w:rsid w:val="00AF1B57"/>
    <w:rsid w:val="00B01AD5"/>
    <w:rsid w:val="00B03C74"/>
    <w:rsid w:val="00B05A69"/>
    <w:rsid w:val="00B37E04"/>
    <w:rsid w:val="00B52332"/>
    <w:rsid w:val="00B9734B"/>
    <w:rsid w:val="00BA01C5"/>
    <w:rsid w:val="00BA30E2"/>
    <w:rsid w:val="00BB50D5"/>
    <w:rsid w:val="00BD6C3F"/>
    <w:rsid w:val="00BE1E12"/>
    <w:rsid w:val="00BE3A02"/>
    <w:rsid w:val="00BE4751"/>
    <w:rsid w:val="00BF6E8B"/>
    <w:rsid w:val="00C11BFE"/>
    <w:rsid w:val="00C12048"/>
    <w:rsid w:val="00C217A7"/>
    <w:rsid w:val="00C2338F"/>
    <w:rsid w:val="00C62D04"/>
    <w:rsid w:val="00C963C5"/>
    <w:rsid w:val="00C973BA"/>
    <w:rsid w:val="00C97616"/>
    <w:rsid w:val="00CA70E5"/>
    <w:rsid w:val="00CB2AC2"/>
    <w:rsid w:val="00CC0764"/>
    <w:rsid w:val="00CD04F1"/>
    <w:rsid w:val="00CE3512"/>
    <w:rsid w:val="00D16645"/>
    <w:rsid w:val="00D207CC"/>
    <w:rsid w:val="00D34E63"/>
    <w:rsid w:val="00D45252"/>
    <w:rsid w:val="00D5090F"/>
    <w:rsid w:val="00D51610"/>
    <w:rsid w:val="00D658D8"/>
    <w:rsid w:val="00D66574"/>
    <w:rsid w:val="00D71B4D"/>
    <w:rsid w:val="00D80BCE"/>
    <w:rsid w:val="00D85A9D"/>
    <w:rsid w:val="00D93D55"/>
    <w:rsid w:val="00D9713A"/>
    <w:rsid w:val="00DA3DAD"/>
    <w:rsid w:val="00DB5074"/>
    <w:rsid w:val="00DC02D3"/>
    <w:rsid w:val="00DC05C0"/>
    <w:rsid w:val="00DE2AED"/>
    <w:rsid w:val="00DF179D"/>
    <w:rsid w:val="00DF2928"/>
    <w:rsid w:val="00E25843"/>
    <w:rsid w:val="00E335FE"/>
    <w:rsid w:val="00E36305"/>
    <w:rsid w:val="00E442BB"/>
    <w:rsid w:val="00E47F00"/>
    <w:rsid w:val="00E61EFB"/>
    <w:rsid w:val="00E7736E"/>
    <w:rsid w:val="00E77635"/>
    <w:rsid w:val="00E96DD9"/>
    <w:rsid w:val="00EA2C70"/>
    <w:rsid w:val="00EB25D4"/>
    <w:rsid w:val="00EC4E49"/>
    <w:rsid w:val="00ED5658"/>
    <w:rsid w:val="00ED77FB"/>
    <w:rsid w:val="00EE45FA"/>
    <w:rsid w:val="00F36EF2"/>
    <w:rsid w:val="00F54799"/>
    <w:rsid w:val="00F66152"/>
    <w:rsid w:val="00F71292"/>
    <w:rsid w:val="00F74418"/>
    <w:rsid w:val="00F90E04"/>
    <w:rsid w:val="00F9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A4EAA"/>
    <w:rPr>
      <w:rFonts w:ascii="Tahoma" w:hAnsi="Tahoma" w:cs="Tahoma"/>
      <w:sz w:val="16"/>
      <w:szCs w:val="16"/>
    </w:rPr>
  </w:style>
  <w:style w:type="character" w:customStyle="1" w:styleId="BalloonTextChar">
    <w:name w:val="Balloon Text Char"/>
    <w:basedOn w:val="DefaultParagraphFont"/>
    <w:link w:val="BalloonText"/>
    <w:rsid w:val="003A4EAA"/>
    <w:rPr>
      <w:rFonts w:ascii="Tahoma" w:eastAsia="SimSun" w:hAnsi="Tahoma" w:cs="Tahoma"/>
      <w:sz w:val="16"/>
      <w:szCs w:val="16"/>
      <w:lang w:eastAsia="zh-CN"/>
    </w:rPr>
  </w:style>
  <w:style w:type="paragraph" w:styleId="ListParagraph">
    <w:name w:val="List Paragraph"/>
    <w:basedOn w:val="Normal"/>
    <w:uiPriority w:val="34"/>
    <w:qFormat/>
    <w:rsid w:val="003A4EAA"/>
    <w:pPr>
      <w:spacing w:after="120" w:line="260" w:lineRule="atLeast"/>
      <w:ind w:left="720"/>
      <w:contextualSpacing/>
    </w:pPr>
    <w:rPr>
      <w:rFonts w:eastAsia="Times New Roman" w:cs="Times New Roman"/>
      <w:sz w:val="20"/>
      <w:lang w:eastAsia="en-US"/>
    </w:rPr>
  </w:style>
  <w:style w:type="paragraph" w:customStyle="1" w:styleId="EndofDocument">
    <w:name w:val="End of Document"/>
    <w:basedOn w:val="Normal"/>
    <w:rsid w:val="00BE1E12"/>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rsid w:val="0009059E"/>
    <w:rPr>
      <w:sz w:val="16"/>
      <w:szCs w:val="16"/>
    </w:rPr>
  </w:style>
  <w:style w:type="paragraph" w:styleId="CommentSubject">
    <w:name w:val="annotation subject"/>
    <w:basedOn w:val="CommentText"/>
    <w:next w:val="CommentText"/>
    <w:link w:val="CommentSubjectChar"/>
    <w:rsid w:val="0009059E"/>
    <w:rPr>
      <w:b/>
      <w:bCs/>
      <w:sz w:val="20"/>
    </w:rPr>
  </w:style>
  <w:style w:type="character" w:customStyle="1" w:styleId="CommentTextChar">
    <w:name w:val="Comment Text Char"/>
    <w:basedOn w:val="DefaultParagraphFont"/>
    <w:link w:val="CommentText"/>
    <w:semiHidden/>
    <w:rsid w:val="0009059E"/>
    <w:rPr>
      <w:rFonts w:ascii="Arial" w:eastAsia="SimSun" w:hAnsi="Arial" w:cs="Arial"/>
      <w:sz w:val="18"/>
      <w:lang w:eastAsia="zh-CN"/>
    </w:rPr>
  </w:style>
  <w:style w:type="character" w:customStyle="1" w:styleId="CommentSubjectChar">
    <w:name w:val="Comment Subject Char"/>
    <w:basedOn w:val="CommentTextChar"/>
    <w:link w:val="CommentSubject"/>
    <w:rsid w:val="0009059E"/>
    <w:rPr>
      <w:rFonts w:ascii="Arial" w:eastAsia="SimSun" w:hAnsi="Arial" w:cs="Arial"/>
      <w:b/>
      <w:bCs/>
      <w:sz w:val="18"/>
      <w:lang w:eastAsia="zh-CN"/>
    </w:rPr>
  </w:style>
  <w:style w:type="character" w:styleId="Hyperlink">
    <w:name w:val="Hyperlink"/>
    <w:basedOn w:val="DefaultParagraphFont"/>
    <w:rsid w:val="00BA01C5"/>
    <w:rPr>
      <w:color w:val="0000FF" w:themeColor="hyperlink"/>
      <w:u w:val="single"/>
    </w:rPr>
  </w:style>
  <w:style w:type="character" w:customStyle="1" w:styleId="ONUMEChar">
    <w:name w:val="ONUM E Char"/>
    <w:link w:val="ONUME"/>
    <w:rsid w:val="00227FB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A4EAA"/>
    <w:rPr>
      <w:rFonts w:ascii="Tahoma" w:hAnsi="Tahoma" w:cs="Tahoma"/>
      <w:sz w:val="16"/>
      <w:szCs w:val="16"/>
    </w:rPr>
  </w:style>
  <w:style w:type="character" w:customStyle="1" w:styleId="BalloonTextChar">
    <w:name w:val="Balloon Text Char"/>
    <w:basedOn w:val="DefaultParagraphFont"/>
    <w:link w:val="BalloonText"/>
    <w:rsid w:val="003A4EAA"/>
    <w:rPr>
      <w:rFonts w:ascii="Tahoma" w:eastAsia="SimSun" w:hAnsi="Tahoma" w:cs="Tahoma"/>
      <w:sz w:val="16"/>
      <w:szCs w:val="16"/>
      <w:lang w:eastAsia="zh-CN"/>
    </w:rPr>
  </w:style>
  <w:style w:type="paragraph" w:styleId="ListParagraph">
    <w:name w:val="List Paragraph"/>
    <w:basedOn w:val="Normal"/>
    <w:uiPriority w:val="34"/>
    <w:qFormat/>
    <w:rsid w:val="003A4EAA"/>
    <w:pPr>
      <w:spacing w:after="120" w:line="260" w:lineRule="atLeast"/>
      <w:ind w:left="720"/>
      <w:contextualSpacing/>
    </w:pPr>
    <w:rPr>
      <w:rFonts w:eastAsia="Times New Roman" w:cs="Times New Roman"/>
      <w:sz w:val="20"/>
      <w:lang w:eastAsia="en-US"/>
    </w:rPr>
  </w:style>
  <w:style w:type="paragraph" w:customStyle="1" w:styleId="EndofDocument">
    <w:name w:val="End of Document"/>
    <w:basedOn w:val="Normal"/>
    <w:rsid w:val="00BE1E12"/>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rsid w:val="0009059E"/>
    <w:rPr>
      <w:sz w:val="16"/>
      <w:szCs w:val="16"/>
    </w:rPr>
  </w:style>
  <w:style w:type="paragraph" w:styleId="CommentSubject">
    <w:name w:val="annotation subject"/>
    <w:basedOn w:val="CommentText"/>
    <w:next w:val="CommentText"/>
    <w:link w:val="CommentSubjectChar"/>
    <w:rsid w:val="0009059E"/>
    <w:rPr>
      <w:b/>
      <w:bCs/>
      <w:sz w:val="20"/>
    </w:rPr>
  </w:style>
  <w:style w:type="character" w:customStyle="1" w:styleId="CommentTextChar">
    <w:name w:val="Comment Text Char"/>
    <w:basedOn w:val="DefaultParagraphFont"/>
    <w:link w:val="CommentText"/>
    <w:semiHidden/>
    <w:rsid w:val="0009059E"/>
    <w:rPr>
      <w:rFonts w:ascii="Arial" w:eastAsia="SimSun" w:hAnsi="Arial" w:cs="Arial"/>
      <w:sz w:val="18"/>
      <w:lang w:eastAsia="zh-CN"/>
    </w:rPr>
  </w:style>
  <w:style w:type="character" w:customStyle="1" w:styleId="CommentSubjectChar">
    <w:name w:val="Comment Subject Char"/>
    <w:basedOn w:val="CommentTextChar"/>
    <w:link w:val="CommentSubject"/>
    <w:rsid w:val="0009059E"/>
    <w:rPr>
      <w:rFonts w:ascii="Arial" w:eastAsia="SimSun" w:hAnsi="Arial" w:cs="Arial"/>
      <w:b/>
      <w:bCs/>
      <w:sz w:val="18"/>
      <w:lang w:eastAsia="zh-CN"/>
    </w:rPr>
  </w:style>
  <w:style w:type="character" w:styleId="Hyperlink">
    <w:name w:val="Hyperlink"/>
    <w:basedOn w:val="DefaultParagraphFont"/>
    <w:rsid w:val="00BA01C5"/>
    <w:rPr>
      <w:color w:val="0000FF" w:themeColor="hyperlink"/>
      <w:u w:val="single"/>
    </w:rPr>
  </w:style>
  <w:style w:type="character" w:customStyle="1" w:styleId="ONUMEChar">
    <w:name w:val="ONUM E Char"/>
    <w:link w:val="ONUME"/>
    <w:rsid w:val="00227FB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08B78-C9C3-4FE8-A4FA-B22EA051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25 (E)</Template>
  <TotalTime>35</TotalTime>
  <Pages>7</Pages>
  <Words>3240</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21240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FUX VERTUT Sophie</dc:creator>
  <cp:keywords>CB/JCH/ko</cp:keywords>
  <cp:lastModifiedBy>COCAIGNE Julie</cp:lastModifiedBy>
  <cp:revision>7</cp:revision>
  <cp:lastPrinted>2016-07-20T12:11:00Z</cp:lastPrinted>
  <dcterms:created xsi:type="dcterms:W3CDTF">2016-07-20T08:55:00Z</dcterms:created>
  <dcterms:modified xsi:type="dcterms:W3CDTF">2016-07-20T12:38:00Z</dcterms:modified>
</cp:coreProperties>
</file>