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221DD" w:rsidRPr="00E221DD" w:rsidTr="003075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75C9" w:rsidRPr="00E221DD" w:rsidRDefault="003075C9" w:rsidP="006F518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75C9" w:rsidRPr="00E221DD" w:rsidRDefault="003075C9" w:rsidP="006F5186">
            <w:pPr>
              <w:rPr>
                <w:lang w:val="fr-FR"/>
              </w:rPr>
            </w:pPr>
            <w:r w:rsidRPr="00E221DD">
              <w:rPr>
                <w:noProof/>
                <w:lang w:eastAsia="en-US"/>
              </w:rPr>
              <w:drawing>
                <wp:inline distT="0" distB="0" distL="0" distR="0" wp14:anchorId="1BD7EDD2" wp14:editId="45CB57DF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75C9" w:rsidRPr="00E221DD" w:rsidRDefault="003075C9" w:rsidP="006F5186">
            <w:pPr>
              <w:jc w:val="right"/>
              <w:rPr>
                <w:lang w:val="fr-FR"/>
              </w:rPr>
            </w:pPr>
            <w:r w:rsidRPr="00E221D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221DD" w:rsidRPr="00E221DD" w:rsidTr="006F51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75C9" w:rsidRPr="00E221DD" w:rsidRDefault="003075C9" w:rsidP="006F51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21DD">
              <w:rPr>
                <w:rFonts w:ascii="Arial Black" w:hAnsi="Arial Black"/>
                <w:caps/>
                <w:sz w:val="15"/>
                <w:lang w:val="fr-FR"/>
              </w:rPr>
              <w:t>WO/PBC/25/</w:t>
            </w:r>
            <w:bookmarkStart w:id="1" w:name="Code"/>
            <w:bookmarkEnd w:id="1"/>
            <w:r w:rsidRPr="00E221DD">
              <w:rPr>
                <w:rFonts w:ascii="Arial Black" w:hAnsi="Arial Black"/>
                <w:caps/>
                <w:sz w:val="15"/>
                <w:lang w:val="fr-FR"/>
              </w:rPr>
              <w:t>13</w:t>
            </w:r>
          </w:p>
        </w:tc>
      </w:tr>
      <w:tr w:rsidR="00E221DD" w:rsidRPr="00E221DD" w:rsidTr="006F518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75C9" w:rsidRPr="00E221DD" w:rsidRDefault="003075C9" w:rsidP="006F51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21D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2241E" w:rsidRPr="00E221D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221D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E221D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075C9" w:rsidRPr="00E221DD" w:rsidTr="006F518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75C9" w:rsidRPr="00E221DD" w:rsidRDefault="003075C9" w:rsidP="006F51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221D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2241E" w:rsidRPr="00E221D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221D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E221DD">
              <w:rPr>
                <w:rFonts w:ascii="Arial Black" w:hAnsi="Arial Black"/>
                <w:caps/>
                <w:sz w:val="15"/>
                <w:lang w:val="fr-FR"/>
              </w:rPr>
              <w:t>7 juillet 2016</w:t>
            </w:r>
          </w:p>
        </w:tc>
      </w:tr>
    </w:tbl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b/>
          <w:sz w:val="28"/>
          <w:szCs w:val="28"/>
          <w:lang w:val="fr-FR"/>
        </w:rPr>
      </w:pPr>
      <w:r w:rsidRPr="00E221DD">
        <w:rPr>
          <w:b/>
          <w:sz w:val="28"/>
          <w:szCs w:val="28"/>
          <w:lang w:val="fr-FR"/>
        </w:rPr>
        <w:t>Comité du programme et budget</w:t>
      </w: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b/>
          <w:sz w:val="24"/>
          <w:szCs w:val="24"/>
          <w:lang w:val="fr-FR"/>
        </w:rPr>
      </w:pPr>
      <w:r w:rsidRPr="00E221DD">
        <w:rPr>
          <w:b/>
          <w:sz w:val="24"/>
          <w:szCs w:val="24"/>
          <w:lang w:val="fr-FR"/>
        </w:rPr>
        <w:t>Vingt</w:t>
      </w:r>
      <w:r w:rsidR="00833955" w:rsidRPr="00E221DD">
        <w:rPr>
          <w:b/>
          <w:sz w:val="24"/>
          <w:szCs w:val="24"/>
          <w:lang w:val="fr-FR"/>
        </w:rPr>
        <w:noBreakHyphen/>
      </w:r>
      <w:r w:rsidRPr="00E221DD">
        <w:rPr>
          <w:b/>
          <w:sz w:val="24"/>
          <w:szCs w:val="24"/>
          <w:lang w:val="fr-FR"/>
        </w:rPr>
        <w:t>cinquième</w:t>
      </w:r>
      <w:r w:rsidR="00A2241E" w:rsidRPr="00E221DD">
        <w:rPr>
          <w:b/>
          <w:sz w:val="24"/>
          <w:szCs w:val="24"/>
          <w:lang w:val="fr-FR"/>
        </w:rPr>
        <w:t> </w:t>
      </w:r>
      <w:r w:rsidRPr="00E221DD">
        <w:rPr>
          <w:b/>
          <w:sz w:val="24"/>
          <w:szCs w:val="24"/>
          <w:lang w:val="fr-FR"/>
        </w:rPr>
        <w:t>session</w:t>
      </w:r>
    </w:p>
    <w:p w:rsidR="003075C9" w:rsidRPr="00E221DD" w:rsidRDefault="003075C9" w:rsidP="003075C9">
      <w:pPr>
        <w:rPr>
          <w:b/>
          <w:sz w:val="24"/>
          <w:szCs w:val="24"/>
          <w:lang w:val="fr-FR"/>
        </w:rPr>
      </w:pPr>
      <w:r w:rsidRPr="00E221DD">
        <w:rPr>
          <w:b/>
          <w:sz w:val="24"/>
          <w:szCs w:val="24"/>
          <w:lang w:val="fr-FR"/>
        </w:rPr>
        <w:t>Genève, 29 août – 2 septembre 2016</w:t>
      </w:r>
    </w:p>
    <w:p w:rsidR="003075C9" w:rsidRPr="00E221DD" w:rsidRDefault="003075C9" w:rsidP="003075C9">
      <w:pPr>
        <w:rPr>
          <w:lang w:val="fr-FR"/>
        </w:rPr>
      </w:pPr>
    </w:p>
    <w:p w:rsidR="003075C9" w:rsidRPr="00E221DD" w:rsidRDefault="003075C9" w:rsidP="003075C9">
      <w:pPr>
        <w:rPr>
          <w:lang w:val="fr-FR"/>
        </w:rPr>
      </w:pPr>
    </w:p>
    <w:p w:rsidR="00B643EB" w:rsidRPr="00E221DD" w:rsidRDefault="00B643EB" w:rsidP="008B2CC1">
      <w:pPr>
        <w:rPr>
          <w:lang w:val="fr-FR"/>
        </w:rPr>
      </w:pPr>
    </w:p>
    <w:p w:rsidR="00B643EB" w:rsidRPr="00E221DD" w:rsidRDefault="00D6536D" w:rsidP="003075C9">
      <w:pPr>
        <w:rPr>
          <w:caps/>
          <w:sz w:val="24"/>
          <w:lang w:val="fr-FR"/>
        </w:rPr>
      </w:pPr>
      <w:bookmarkStart w:id="4" w:name="TitleOfDoc"/>
      <w:bookmarkEnd w:id="4"/>
      <w:r w:rsidRPr="00E221DD">
        <w:rPr>
          <w:caps/>
          <w:sz w:val="24"/>
          <w:lang w:val="fr-FR"/>
        </w:rPr>
        <w:t xml:space="preserve">Rapport final sur </w:t>
      </w:r>
      <w:r w:rsidR="003075C9" w:rsidRPr="00E221DD">
        <w:rPr>
          <w:caps/>
          <w:sz w:val="24"/>
          <w:lang w:val="fr-FR"/>
        </w:rPr>
        <w:t>le</w:t>
      </w:r>
      <w:r w:rsidRPr="00E221DD">
        <w:rPr>
          <w:caps/>
          <w:sz w:val="24"/>
          <w:lang w:val="fr-FR"/>
        </w:rPr>
        <w:t xml:space="preserve"> projet de nouvelle construction</w:t>
      </w:r>
      <w:r w:rsidRPr="00E221DD">
        <w:rPr>
          <w:caps/>
          <w:sz w:val="24"/>
          <w:lang w:val="fr-FR"/>
        </w:rPr>
        <w:br/>
        <w:t xml:space="preserve">et </w:t>
      </w:r>
      <w:r w:rsidR="003075C9" w:rsidRPr="00E221DD">
        <w:rPr>
          <w:caps/>
          <w:sz w:val="24"/>
          <w:lang w:val="fr-FR"/>
        </w:rPr>
        <w:t>le</w:t>
      </w:r>
      <w:r w:rsidRPr="00E221DD">
        <w:rPr>
          <w:caps/>
          <w:sz w:val="24"/>
          <w:lang w:val="fr-FR"/>
        </w:rPr>
        <w:t xml:space="preserve"> projet de nouvelle salle de conf</w:t>
      </w:r>
      <w:r w:rsidR="002A18E0">
        <w:rPr>
          <w:caps/>
          <w:sz w:val="24"/>
          <w:lang w:val="fr-FR"/>
        </w:rPr>
        <w:t>É</w:t>
      </w:r>
      <w:r w:rsidRPr="00E221DD">
        <w:rPr>
          <w:caps/>
          <w:sz w:val="24"/>
          <w:lang w:val="fr-FR"/>
        </w:rPr>
        <w:t>rence</w:t>
      </w:r>
    </w:p>
    <w:p w:rsidR="00B643EB" w:rsidRPr="00E221DD" w:rsidRDefault="00B643EB" w:rsidP="00D6536D">
      <w:pPr>
        <w:rPr>
          <w:lang w:val="fr-FR"/>
        </w:rPr>
      </w:pPr>
    </w:p>
    <w:p w:rsidR="00B643EB" w:rsidRPr="00E221DD" w:rsidRDefault="00D6536D" w:rsidP="00D6536D">
      <w:pPr>
        <w:rPr>
          <w:i/>
          <w:lang w:val="fr-FR"/>
        </w:rPr>
      </w:pPr>
      <w:proofErr w:type="gramStart"/>
      <w:r w:rsidRPr="00E221DD">
        <w:rPr>
          <w:i/>
          <w:lang w:val="fr-FR"/>
        </w:rPr>
        <w:t>établi</w:t>
      </w:r>
      <w:proofErr w:type="gramEnd"/>
      <w:r w:rsidRPr="00E221DD">
        <w:rPr>
          <w:i/>
          <w:lang w:val="fr-FR"/>
        </w:rPr>
        <w:t xml:space="preserve"> par le Secrétariat</w:t>
      </w:r>
    </w:p>
    <w:p w:rsidR="00B643EB" w:rsidRPr="00E221DD" w:rsidRDefault="00B643EB" w:rsidP="008B2CC1">
      <w:pPr>
        <w:rPr>
          <w:lang w:val="fr-FR"/>
        </w:rPr>
      </w:pPr>
      <w:bookmarkStart w:id="5" w:name="Prepared"/>
      <w:bookmarkEnd w:id="5"/>
    </w:p>
    <w:p w:rsidR="00B643EB" w:rsidRPr="00E221DD" w:rsidRDefault="00B643EB">
      <w:pPr>
        <w:rPr>
          <w:lang w:val="fr-FR"/>
        </w:rPr>
      </w:pPr>
    </w:p>
    <w:p w:rsidR="00B643EB" w:rsidRPr="00E221DD" w:rsidRDefault="00B643EB" w:rsidP="0053057A">
      <w:pPr>
        <w:rPr>
          <w:lang w:val="fr-FR"/>
        </w:rPr>
      </w:pPr>
    </w:p>
    <w:p w:rsidR="00B643EB" w:rsidRPr="00E221DD" w:rsidRDefault="00A82C6D" w:rsidP="006D44F4">
      <w:pPr>
        <w:pStyle w:val="Heading1"/>
        <w:numPr>
          <w:ilvl w:val="0"/>
          <w:numId w:val="0"/>
        </w:numPr>
        <w:ind w:left="567" w:hanging="567"/>
        <w:rPr>
          <w:szCs w:val="22"/>
        </w:rPr>
      </w:pPr>
      <w:r w:rsidRPr="00E221DD">
        <w:rPr>
          <w:szCs w:val="22"/>
        </w:rPr>
        <w:t>Introduction</w:t>
      </w:r>
    </w:p>
    <w:p w:rsidR="00B643EB" w:rsidRPr="00E221DD" w:rsidRDefault="00B643EB" w:rsidP="006D44F4">
      <w:pPr>
        <w:rPr>
          <w:szCs w:val="22"/>
          <w:lang w:val="fr-FR"/>
        </w:rPr>
      </w:pPr>
    </w:p>
    <w:p w:rsidR="0022588B" w:rsidRPr="00E221DD" w:rsidRDefault="00D6536D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objet du présent document est de présenter au Comité du programme et budget (</w:t>
      </w:r>
      <w:r w:rsidR="003075C9" w:rsidRPr="00E221DD">
        <w:rPr>
          <w:szCs w:val="22"/>
          <w:lang w:val="fr-FR"/>
        </w:rPr>
        <w:t>“</w:t>
      </w:r>
      <w:r w:rsidRPr="00E221DD">
        <w:rPr>
          <w:szCs w:val="22"/>
          <w:lang w:val="fr-FR"/>
        </w:rPr>
        <w:t>PBC</w:t>
      </w:r>
      <w:r w:rsidR="003075C9" w:rsidRPr="00E221DD">
        <w:rPr>
          <w:szCs w:val="22"/>
          <w:lang w:val="fr-FR"/>
        </w:rPr>
        <w:t>”</w:t>
      </w:r>
      <w:r w:rsidRPr="00E221DD">
        <w:rPr>
          <w:szCs w:val="22"/>
          <w:lang w:val="fr-FR"/>
        </w:rPr>
        <w:t>) le rapport final sur le projet de nouvelle construction (NC) et le projet de nouvelle salle de conférence (NSC) couvrant la période écoulée depuis septembre 2015, date à laquelle le dernier rapport sur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état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avancement des projets a été soumis</w:t>
      </w:r>
      <w:r w:rsidR="003075C9" w:rsidRPr="00E221DD">
        <w:rPr>
          <w:szCs w:val="22"/>
          <w:lang w:val="fr-FR"/>
        </w:rPr>
        <w:t xml:space="preserve"> au PBC</w:t>
      </w:r>
      <w:r w:rsidRPr="00E221DD">
        <w:rPr>
          <w:szCs w:val="22"/>
          <w:lang w:val="fr-FR"/>
        </w:rPr>
        <w:t xml:space="preserve"> (</w:t>
      </w:r>
      <w:r w:rsidR="003075C9" w:rsidRPr="00E221DD">
        <w:rPr>
          <w:szCs w:val="22"/>
          <w:lang w:val="fr-FR"/>
        </w:rPr>
        <w:t>document WO</w:t>
      </w:r>
      <w:r w:rsidRPr="00E221DD">
        <w:rPr>
          <w:szCs w:val="22"/>
          <w:lang w:val="fr-FR"/>
        </w:rPr>
        <w:t>/PBC/24/13).  Il présente également les enseignements tirés de la gestion de ces deux projets.</w:t>
      </w:r>
    </w:p>
    <w:p w:rsidR="00B643EB" w:rsidRPr="00E221DD" w:rsidRDefault="00A82C6D" w:rsidP="006D44F4">
      <w:pPr>
        <w:pStyle w:val="Heading1"/>
        <w:rPr>
          <w:szCs w:val="22"/>
        </w:rPr>
      </w:pPr>
      <w:r w:rsidRPr="00E221DD">
        <w:rPr>
          <w:szCs w:val="22"/>
        </w:rPr>
        <w:t>Rapport d’activit</w:t>
      </w:r>
      <w:r w:rsidR="002A18E0">
        <w:rPr>
          <w:szCs w:val="22"/>
        </w:rPr>
        <w:t>É</w:t>
      </w:r>
      <w:r w:rsidRPr="00E221DD">
        <w:rPr>
          <w:szCs w:val="22"/>
        </w:rPr>
        <w:t xml:space="preserve"> final</w:t>
      </w:r>
    </w:p>
    <w:p w:rsidR="0022588B" w:rsidRPr="00E221DD" w:rsidRDefault="0022588B" w:rsidP="006D44F4">
      <w:pPr>
        <w:rPr>
          <w:szCs w:val="22"/>
          <w:lang w:val="fr-FR"/>
        </w:rPr>
      </w:pPr>
    </w:p>
    <w:p w:rsidR="0022588B" w:rsidRPr="00E221DD" w:rsidRDefault="00D6536D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Le seul élément majeur restant à achever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ici la fin de 2015 au titre du projet de nouvelle construction avait trait aux travaux de remplacement et de réparation des baies vitrées du rez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de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chaussée, qui ont été dûment achevés à la mi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décembre</w:t>
      </w:r>
      <w:r w:rsidR="00817E2E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2015 et financés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aide des fonds retenus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ancienne entreprise généra</w:t>
      </w:r>
      <w:r w:rsidR="00E55E3F" w:rsidRPr="00E221DD">
        <w:rPr>
          <w:szCs w:val="22"/>
          <w:lang w:val="fr-FR"/>
        </w:rPr>
        <w:t>le.  Da</w:t>
      </w:r>
      <w:r w:rsidRPr="00E221DD">
        <w:rPr>
          <w:szCs w:val="22"/>
          <w:lang w:val="fr-FR"/>
        </w:rPr>
        <w:t>ns un souci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exhaustivité, il convient de souligner que la réalisation de plusieurs éléments de portée mineure a dû être reportée, essentiellement pour une question de planification de la charge de trava</w:t>
      </w:r>
      <w:r w:rsidR="00E55E3F" w:rsidRPr="00E221DD">
        <w:rPr>
          <w:szCs w:val="22"/>
          <w:lang w:val="fr-FR"/>
        </w:rPr>
        <w:t>il.  Ce</w:t>
      </w:r>
      <w:r w:rsidRPr="00E221DD">
        <w:rPr>
          <w:szCs w:val="22"/>
          <w:lang w:val="fr-FR"/>
        </w:rPr>
        <w:t>s éléments devraient désormais être achevés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ici la fin de</w:t>
      </w:r>
      <w:r w:rsidR="00817E2E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2016.  Les engagement</w:t>
      </w:r>
      <w:r w:rsidR="00817E2E" w:rsidRPr="00E221DD">
        <w:rPr>
          <w:szCs w:val="22"/>
          <w:lang w:val="fr-FR"/>
        </w:rPr>
        <w:t>s</w:t>
      </w:r>
      <w:r w:rsidRPr="00E221DD">
        <w:rPr>
          <w:szCs w:val="22"/>
          <w:lang w:val="fr-FR"/>
        </w:rPr>
        <w:t xml:space="preserve"> correspondants sont </w:t>
      </w:r>
      <w:r w:rsidR="002A18E0">
        <w:rPr>
          <w:szCs w:val="22"/>
          <w:lang w:val="fr-FR"/>
        </w:rPr>
        <w:t xml:space="preserve">pris en compte dans </w:t>
      </w:r>
      <w:r w:rsidRPr="00E221DD">
        <w:rPr>
          <w:szCs w:val="22"/>
          <w:lang w:val="fr-FR"/>
        </w:rPr>
        <w:t>annexe II.</w:t>
      </w:r>
    </w:p>
    <w:p w:rsidR="0022588B" w:rsidRPr="00E221DD" w:rsidRDefault="00D6536D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De même, en ce qui concerne le projet de nouvelle salle de conférence, un certain nombre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éléments mineurs en suspens ont dû être reportés</w:t>
      </w:r>
      <w:r w:rsidR="00833955" w:rsidRPr="00E221DD">
        <w:rPr>
          <w:szCs w:val="22"/>
          <w:lang w:val="fr-FR"/>
        </w:rPr>
        <w:t>,</w:t>
      </w:r>
      <w:r w:rsidRPr="00E221DD">
        <w:rPr>
          <w:szCs w:val="22"/>
          <w:lang w:val="fr-FR"/>
        </w:rPr>
        <w:t xml:space="preserve"> mais devraient être achevés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ici la fin de</w:t>
      </w:r>
      <w:r w:rsidR="00817E2E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2016.  Les engagements correspondants sont </w:t>
      </w:r>
      <w:r w:rsidR="002A18E0">
        <w:rPr>
          <w:szCs w:val="22"/>
          <w:lang w:val="fr-FR"/>
        </w:rPr>
        <w:t>pris en compte dans</w:t>
      </w:r>
      <w:r w:rsidR="00A67835">
        <w:rPr>
          <w:szCs w:val="22"/>
          <w:lang w:val="fr-FR"/>
        </w:rPr>
        <w:t xml:space="preserve"> </w:t>
      </w:r>
      <w:r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annexe II.</w:t>
      </w:r>
    </w:p>
    <w:p w:rsidR="00B643EB" w:rsidRPr="00E221DD" w:rsidRDefault="00A82C6D" w:rsidP="006D44F4">
      <w:pPr>
        <w:pStyle w:val="Heading1"/>
        <w:rPr>
          <w:szCs w:val="22"/>
        </w:rPr>
      </w:pPr>
      <w:r w:rsidRPr="00E221DD">
        <w:rPr>
          <w:szCs w:val="22"/>
        </w:rPr>
        <w:lastRenderedPageBreak/>
        <w:t>R</w:t>
      </w:r>
      <w:r w:rsidR="002A18E0">
        <w:rPr>
          <w:szCs w:val="22"/>
        </w:rPr>
        <w:t>É</w:t>
      </w:r>
      <w:r w:rsidRPr="00E221DD">
        <w:rPr>
          <w:szCs w:val="22"/>
        </w:rPr>
        <w:t>sum</w:t>
      </w:r>
      <w:r w:rsidR="002A18E0">
        <w:rPr>
          <w:szCs w:val="22"/>
        </w:rPr>
        <w:t>É</w:t>
      </w:r>
      <w:r w:rsidRPr="00E221DD">
        <w:rPr>
          <w:szCs w:val="22"/>
        </w:rPr>
        <w:t xml:space="preserve"> de la situation du budget et des d</w:t>
      </w:r>
      <w:r w:rsidR="002A18E0">
        <w:rPr>
          <w:szCs w:val="22"/>
        </w:rPr>
        <w:t>É</w:t>
      </w:r>
      <w:r w:rsidRPr="00E221DD">
        <w:rPr>
          <w:szCs w:val="22"/>
        </w:rPr>
        <w:t>penses</w:t>
      </w:r>
    </w:p>
    <w:p w:rsidR="00B643EB" w:rsidRPr="00E221DD" w:rsidRDefault="00B643EB" w:rsidP="006D44F4">
      <w:pPr>
        <w:keepNext/>
        <w:keepLines/>
        <w:rPr>
          <w:szCs w:val="22"/>
          <w:lang w:val="fr-FR"/>
        </w:rPr>
      </w:pPr>
    </w:p>
    <w:p w:rsidR="0022588B" w:rsidRPr="00E221DD" w:rsidRDefault="00D6536D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En ce qui concerne le projet de nouvelle construction, à la date du présent document, les ressources totales non dépensées et non engagées s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élevaient à 167 308 francs suiss</w:t>
      </w:r>
      <w:r w:rsidR="00E55E3F" w:rsidRPr="00E221DD">
        <w:rPr>
          <w:szCs w:val="22"/>
          <w:lang w:val="fr-FR"/>
        </w:rPr>
        <w:t>es.  Ce</w:t>
      </w:r>
      <w:r w:rsidR="00BE370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chiffre est à mettre en parallèle avec le budget révisé de 157 642 643 francs suisses qui avait été approuvé par les assemblées jusqu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en 2015 (voir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annexe II).  Ce montant sera reversé aux réserves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Organisation.</w:t>
      </w:r>
    </w:p>
    <w:p w:rsidR="0022588B" w:rsidRPr="00E221DD" w:rsidRDefault="00D63DAD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En ce qui concerne le projet de nouvelle salle de conférence, les dernières discussions ont été achevées et les comptes de clôture approuvés par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ensemble des 108</w:t>
      </w:r>
      <w:r w:rsidR="00BE370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entités requises pour achever la construction, telles les entreprises de construction et les fournisseurs, ainsi que les sociétés spécialisées et les experts, </w:t>
      </w:r>
      <w:r w:rsidR="002A18E0">
        <w:rPr>
          <w:szCs w:val="22"/>
          <w:lang w:val="fr-FR"/>
        </w:rPr>
        <w:t xml:space="preserve">y compris </w:t>
      </w:r>
      <w:r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architec</w:t>
      </w:r>
      <w:r w:rsidR="00E55E3F" w:rsidRPr="00E221DD">
        <w:rPr>
          <w:szCs w:val="22"/>
          <w:lang w:val="fr-FR"/>
        </w:rPr>
        <w:t xml:space="preserve">te.  À </w:t>
      </w:r>
      <w:r w:rsidR="00A623D6" w:rsidRPr="00E221DD">
        <w:rPr>
          <w:szCs w:val="22"/>
          <w:lang w:val="fr-FR"/>
        </w:rPr>
        <w:t>la date du présent document, les ressources totales non dépensées et non engagées s</w:t>
      </w:r>
      <w:r w:rsidR="003075C9" w:rsidRPr="00E221DD">
        <w:rPr>
          <w:szCs w:val="22"/>
          <w:lang w:val="fr-FR"/>
        </w:rPr>
        <w:t>’</w:t>
      </w:r>
      <w:r w:rsidR="00A623D6" w:rsidRPr="00E221DD">
        <w:rPr>
          <w:szCs w:val="22"/>
          <w:lang w:val="fr-FR"/>
        </w:rPr>
        <w:t>élevaient à 1 048 665 francs suiss</w:t>
      </w:r>
      <w:r w:rsidR="00E55E3F" w:rsidRPr="00E221DD">
        <w:rPr>
          <w:szCs w:val="22"/>
          <w:lang w:val="fr-FR"/>
        </w:rPr>
        <w:t>es.  Ce</w:t>
      </w:r>
      <w:r w:rsidR="00A623D6" w:rsidRPr="00E221DD">
        <w:rPr>
          <w:szCs w:val="22"/>
          <w:lang w:val="fr-FR"/>
        </w:rPr>
        <w:t xml:space="preserve"> chiffre est à mettre en parallèle avec le budget révisé de 78 700 000 francs suisses qui avait été approuvé par les assemblées jusqu</w:t>
      </w:r>
      <w:r w:rsidR="003075C9" w:rsidRPr="00E221DD">
        <w:rPr>
          <w:szCs w:val="22"/>
          <w:lang w:val="fr-FR"/>
        </w:rPr>
        <w:t>’</w:t>
      </w:r>
      <w:r w:rsidR="00A623D6" w:rsidRPr="00E221DD">
        <w:rPr>
          <w:szCs w:val="22"/>
          <w:lang w:val="fr-FR"/>
        </w:rPr>
        <w:t>en</w:t>
      </w:r>
      <w:r w:rsidR="00BE370A" w:rsidRPr="00E221DD">
        <w:rPr>
          <w:szCs w:val="22"/>
          <w:lang w:val="fr-FR"/>
        </w:rPr>
        <w:t> </w:t>
      </w:r>
      <w:r w:rsidR="00A623D6" w:rsidRPr="00E221DD">
        <w:rPr>
          <w:szCs w:val="22"/>
          <w:lang w:val="fr-FR"/>
        </w:rPr>
        <w:t>2015 (voir l</w:t>
      </w:r>
      <w:r w:rsidR="003075C9" w:rsidRPr="00E221DD">
        <w:rPr>
          <w:szCs w:val="22"/>
          <w:lang w:val="fr-FR"/>
        </w:rPr>
        <w:t>’</w:t>
      </w:r>
      <w:r w:rsidR="00A623D6" w:rsidRPr="00E221DD">
        <w:rPr>
          <w:szCs w:val="22"/>
          <w:lang w:val="fr-FR"/>
        </w:rPr>
        <w:t>annexe II).</w:t>
      </w:r>
      <w:r w:rsidR="0001290D" w:rsidRPr="00E221DD">
        <w:rPr>
          <w:szCs w:val="22"/>
          <w:lang w:val="fr-FR"/>
        </w:rPr>
        <w:t xml:space="preserve">  </w:t>
      </w:r>
      <w:r w:rsidR="00A623D6" w:rsidRPr="00E221DD">
        <w:rPr>
          <w:szCs w:val="22"/>
          <w:lang w:val="fr-FR"/>
        </w:rPr>
        <w:t>Une fois que les dernières vérifications portant sur les travaux de finition mineurs restants auront été effectuées d</w:t>
      </w:r>
      <w:r w:rsidR="003075C9" w:rsidRPr="00E221DD">
        <w:rPr>
          <w:szCs w:val="22"/>
          <w:lang w:val="fr-FR"/>
        </w:rPr>
        <w:t>’</w:t>
      </w:r>
      <w:r w:rsidR="00A623D6" w:rsidRPr="00E221DD">
        <w:rPr>
          <w:szCs w:val="22"/>
          <w:lang w:val="fr-FR"/>
        </w:rPr>
        <w:t>ici la fin de</w:t>
      </w:r>
      <w:r w:rsidR="00BE370A" w:rsidRPr="00E221DD">
        <w:rPr>
          <w:szCs w:val="22"/>
          <w:lang w:val="fr-FR"/>
        </w:rPr>
        <w:t> </w:t>
      </w:r>
      <w:r w:rsidR="00A623D6" w:rsidRPr="00E221DD">
        <w:rPr>
          <w:szCs w:val="22"/>
          <w:lang w:val="fr-FR"/>
        </w:rPr>
        <w:t>2016, le solde final sera reversé a</w:t>
      </w:r>
      <w:r w:rsidR="00BE370A" w:rsidRPr="00E221DD">
        <w:rPr>
          <w:szCs w:val="22"/>
          <w:lang w:val="fr-FR"/>
        </w:rPr>
        <w:t>ux</w:t>
      </w:r>
      <w:r w:rsidR="00A623D6" w:rsidRPr="00E221DD">
        <w:rPr>
          <w:szCs w:val="22"/>
          <w:lang w:val="fr-FR"/>
        </w:rPr>
        <w:t xml:space="preserve"> réserves de l</w:t>
      </w:r>
      <w:r w:rsidR="003075C9" w:rsidRPr="00E221DD">
        <w:rPr>
          <w:szCs w:val="22"/>
          <w:lang w:val="fr-FR"/>
        </w:rPr>
        <w:t>’</w:t>
      </w:r>
      <w:r w:rsidR="00A623D6" w:rsidRPr="00E221DD">
        <w:rPr>
          <w:szCs w:val="22"/>
          <w:lang w:val="fr-FR"/>
        </w:rPr>
        <w:t>Organisation.</w:t>
      </w:r>
    </w:p>
    <w:p w:rsidR="0022588B" w:rsidRPr="00E221DD" w:rsidRDefault="002A18E0" w:rsidP="006D44F4">
      <w:pPr>
        <w:pStyle w:val="ONUMFS"/>
        <w:rPr>
          <w:szCs w:val="22"/>
          <w:lang w:val="fr-FR"/>
        </w:rPr>
      </w:pPr>
      <w:r>
        <w:rPr>
          <w:szCs w:val="22"/>
          <w:lang w:val="fr-FR"/>
        </w:rPr>
        <w:t xml:space="preserve">En prenant </w:t>
      </w:r>
      <w:r w:rsidR="006C4CD3" w:rsidRPr="00E221DD">
        <w:rPr>
          <w:szCs w:val="22"/>
          <w:lang w:val="fr-FR"/>
        </w:rPr>
        <w:t>les deux</w:t>
      </w:r>
      <w:r w:rsidR="008E40F5" w:rsidRPr="00E221DD">
        <w:rPr>
          <w:szCs w:val="22"/>
          <w:lang w:val="fr-FR"/>
        </w:rPr>
        <w:t> </w:t>
      </w:r>
      <w:r w:rsidR="006C4CD3" w:rsidRPr="00E221DD">
        <w:rPr>
          <w:szCs w:val="22"/>
          <w:lang w:val="fr-FR"/>
        </w:rPr>
        <w:t>projet</w:t>
      </w:r>
      <w:r w:rsidR="008E40F5" w:rsidRPr="00E221DD">
        <w:rPr>
          <w:szCs w:val="22"/>
          <w:lang w:val="fr-FR"/>
        </w:rPr>
        <w:t>s</w:t>
      </w:r>
      <w:r w:rsidR="00173F0E" w:rsidRPr="00E221DD">
        <w:rPr>
          <w:szCs w:val="22"/>
          <w:lang w:val="fr-FR"/>
        </w:rPr>
        <w:t xml:space="preserve"> ensemble</w:t>
      </w:r>
      <w:r w:rsidR="006C4CD3" w:rsidRPr="00E221DD">
        <w:rPr>
          <w:szCs w:val="22"/>
          <w:lang w:val="fr-FR"/>
        </w:rPr>
        <w:t>, le total des dépenses et des engagements restants, à la date du présent document, s</w:t>
      </w:r>
      <w:r w:rsidR="003075C9" w:rsidRPr="00E221DD">
        <w:rPr>
          <w:szCs w:val="22"/>
          <w:lang w:val="fr-FR"/>
        </w:rPr>
        <w:t>’</w:t>
      </w:r>
      <w:r w:rsidR="006C4CD3" w:rsidRPr="00E221DD">
        <w:rPr>
          <w:szCs w:val="22"/>
          <w:lang w:val="fr-FR"/>
        </w:rPr>
        <w:t xml:space="preserve">élevait à 235 113 023 francs suisses, </w:t>
      </w:r>
      <w:r w:rsidR="00173F0E" w:rsidRPr="00E221DD">
        <w:rPr>
          <w:szCs w:val="22"/>
          <w:lang w:val="fr-FR"/>
        </w:rPr>
        <w:t>alors que</w:t>
      </w:r>
      <w:r w:rsidR="006C4CD3" w:rsidRPr="00E221DD">
        <w:rPr>
          <w:szCs w:val="22"/>
          <w:lang w:val="fr-FR"/>
        </w:rPr>
        <w:t xml:space="preserve"> </w:t>
      </w:r>
      <w:r w:rsidR="00173F0E" w:rsidRPr="00E221DD">
        <w:rPr>
          <w:szCs w:val="22"/>
          <w:lang w:val="fr-FR"/>
        </w:rPr>
        <w:t xml:space="preserve">le </w:t>
      </w:r>
      <w:r w:rsidR="006C4CD3" w:rsidRPr="00E221DD">
        <w:rPr>
          <w:szCs w:val="22"/>
          <w:lang w:val="fr-FR"/>
        </w:rPr>
        <w:t xml:space="preserve">budget approuvé initialement </w:t>
      </w:r>
      <w:r w:rsidR="00173F0E" w:rsidRPr="00E221DD">
        <w:rPr>
          <w:szCs w:val="22"/>
          <w:lang w:val="fr-FR"/>
        </w:rPr>
        <w:t xml:space="preserve">était </w:t>
      </w:r>
      <w:r w:rsidR="006C4CD3" w:rsidRPr="00E221DD">
        <w:rPr>
          <w:szCs w:val="22"/>
          <w:lang w:val="fr-FR"/>
        </w:rPr>
        <w:t>de 229 942 643</w:t>
      </w:r>
      <w:r w:rsidR="008E40F5" w:rsidRPr="00E221DD">
        <w:rPr>
          <w:szCs w:val="22"/>
          <w:lang w:val="fr-FR"/>
        </w:rPr>
        <w:t> </w:t>
      </w:r>
      <w:r w:rsidR="006C4CD3" w:rsidRPr="00E221DD">
        <w:rPr>
          <w:szCs w:val="22"/>
          <w:lang w:val="fr-FR"/>
        </w:rPr>
        <w:t>francs suisses, ce qui représente une augmentation de 2,25% par rapport au budget approuvé initialement.</w:t>
      </w:r>
    </w:p>
    <w:p w:rsidR="00B643EB" w:rsidRPr="00E221DD" w:rsidRDefault="00A82C6D" w:rsidP="006D44F4">
      <w:pPr>
        <w:pStyle w:val="Heading1"/>
        <w:rPr>
          <w:szCs w:val="22"/>
        </w:rPr>
      </w:pPr>
      <w:r w:rsidRPr="00E221DD">
        <w:rPr>
          <w:szCs w:val="22"/>
        </w:rPr>
        <w:t>Supervision et audit</w:t>
      </w:r>
    </w:p>
    <w:p w:rsidR="00B643EB" w:rsidRPr="00E221DD" w:rsidRDefault="00B643EB" w:rsidP="006D44F4">
      <w:pPr>
        <w:keepNext/>
        <w:keepLines/>
        <w:rPr>
          <w:szCs w:val="22"/>
          <w:lang w:val="fr-FR"/>
        </w:rPr>
      </w:pPr>
    </w:p>
    <w:p w:rsidR="0022588B" w:rsidRPr="00E221DD" w:rsidRDefault="006C4CD3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Entre juin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2006 et décembre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2015, le Secrétariat a présenté des rapports </w:t>
      </w:r>
      <w:r w:rsidR="008E40F5" w:rsidRPr="00E221DD">
        <w:rPr>
          <w:szCs w:val="22"/>
          <w:lang w:val="fr-FR"/>
        </w:rPr>
        <w:t>de situation</w:t>
      </w:r>
      <w:r w:rsidRPr="00E221DD">
        <w:rPr>
          <w:szCs w:val="22"/>
          <w:lang w:val="fr-FR"/>
        </w:rPr>
        <w:t xml:space="preserve"> ou fourni des informations ou de la documentation sur le projet de nouvelle construction au Comité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audit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OMPI, puis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Organe consultatif indépendant de surveillance (OCIS).</w:t>
      </w:r>
      <w:r w:rsidR="00F96431" w:rsidRPr="00E221DD">
        <w:rPr>
          <w:szCs w:val="22"/>
          <w:lang w:val="fr-FR"/>
        </w:rPr>
        <w:t xml:space="preserve">  </w:t>
      </w:r>
      <w:r w:rsidRPr="00E221DD">
        <w:rPr>
          <w:szCs w:val="22"/>
          <w:lang w:val="fr-FR"/>
        </w:rPr>
        <w:t xml:space="preserve">Il a fait de même </w:t>
      </w:r>
      <w:r w:rsidR="008E40F5" w:rsidRPr="00E221DD">
        <w:rPr>
          <w:szCs w:val="22"/>
          <w:lang w:val="fr-FR"/>
        </w:rPr>
        <w:t>pour</w:t>
      </w:r>
      <w:r w:rsidRPr="00E221DD">
        <w:rPr>
          <w:szCs w:val="22"/>
          <w:lang w:val="fr-FR"/>
        </w:rPr>
        <w:t xml:space="preserve"> le projet de nouvelle salle de conférence depuis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2008.</w:t>
      </w:r>
    </w:p>
    <w:p w:rsidR="0022588B" w:rsidRPr="00E221DD" w:rsidRDefault="009E7662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La Division de la supervision interne (DS</w:t>
      </w:r>
      <w:r w:rsidR="00522979" w:rsidRPr="00E221DD">
        <w:rPr>
          <w:szCs w:val="22"/>
          <w:lang w:val="fr-FR"/>
        </w:rPr>
        <w:t>I</w:t>
      </w:r>
      <w:r w:rsidRPr="00E221DD">
        <w:rPr>
          <w:szCs w:val="22"/>
          <w:lang w:val="fr-FR"/>
        </w:rPr>
        <w:t>) a établi un rapport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audit en juin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2013 sur le projet de nouvelle construction et le projet de nouvelle salle de conférence, comprenant six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recommandations, qui ont toutes été mises en </w:t>
      </w:r>
      <w:r w:rsidR="008E40F5" w:rsidRPr="00E221DD">
        <w:rPr>
          <w:szCs w:val="22"/>
          <w:lang w:val="fr-FR"/>
        </w:rPr>
        <w:t>œuv</w:t>
      </w:r>
      <w:r w:rsidR="00E55E3F" w:rsidRPr="00E221DD">
        <w:rPr>
          <w:szCs w:val="22"/>
          <w:lang w:val="fr-FR"/>
        </w:rPr>
        <w:t>re.  Il</w:t>
      </w:r>
      <w:r w:rsidRPr="00E221DD">
        <w:rPr>
          <w:szCs w:val="22"/>
          <w:lang w:val="fr-FR"/>
        </w:rPr>
        <w:t xml:space="preserve"> ne reste plus aucune recommandation en suspens en ce qui concerne ces projets.</w:t>
      </w:r>
    </w:p>
    <w:p w:rsidR="0022588B" w:rsidRPr="00E221DD" w:rsidRDefault="009E7662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Le vérificateur externe des comptes </w:t>
      </w:r>
      <w:r w:rsidR="008E40F5" w:rsidRPr="00E221DD">
        <w:rPr>
          <w:szCs w:val="22"/>
          <w:lang w:val="fr-FR"/>
        </w:rPr>
        <w:t>a</w:t>
      </w:r>
      <w:r w:rsidRPr="00E221DD">
        <w:rPr>
          <w:szCs w:val="22"/>
          <w:lang w:val="fr-FR"/>
        </w:rPr>
        <w:t xml:space="preserve"> établi un rapport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audit en août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2014 sur le projet de nouvelle salle de conférence</w:t>
      </w:r>
      <w:r w:rsidRPr="00E221DD">
        <w:rPr>
          <w:rStyle w:val="FootnoteReference"/>
          <w:szCs w:val="22"/>
          <w:lang w:val="fr-FR"/>
        </w:rPr>
        <w:footnoteReference w:id="2"/>
      </w:r>
      <w:r w:rsidRPr="00E221DD">
        <w:rPr>
          <w:szCs w:val="22"/>
          <w:lang w:val="fr-FR"/>
        </w:rPr>
        <w:t>.</w:t>
      </w:r>
      <w:r w:rsidR="00DE59C0" w:rsidRPr="00E221DD">
        <w:rPr>
          <w:szCs w:val="22"/>
          <w:lang w:val="fr-FR"/>
        </w:rPr>
        <w:t xml:space="preserve">  </w:t>
      </w:r>
      <w:r w:rsidRPr="00E221DD">
        <w:rPr>
          <w:szCs w:val="22"/>
          <w:lang w:val="fr-FR"/>
        </w:rPr>
        <w:t>Sur les 10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recommandations figurant dans </w:t>
      </w:r>
      <w:r w:rsidR="00522979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>e rapport, huit</w:t>
      </w:r>
      <w:r w:rsidR="008E40F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ont été closes par le vérificateur des compt</w:t>
      </w:r>
      <w:r w:rsidR="00E55E3F" w:rsidRPr="00E221DD">
        <w:rPr>
          <w:szCs w:val="22"/>
          <w:lang w:val="fr-FR"/>
        </w:rPr>
        <w:t>es.  Qu</w:t>
      </w:r>
      <w:r w:rsidR="00522979" w:rsidRPr="00E221DD">
        <w:rPr>
          <w:szCs w:val="22"/>
          <w:lang w:val="fr-FR"/>
        </w:rPr>
        <w:t>ant aux</w:t>
      </w:r>
      <w:r w:rsidR="00F8286C" w:rsidRPr="00E221DD">
        <w:rPr>
          <w:szCs w:val="22"/>
          <w:lang w:val="fr-FR"/>
        </w:rPr>
        <w:t xml:space="preserve"> deux</w:t>
      </w:r>
      <w:r w:rsidR="008E40F5" w:rsidRPr="00E221DD">
        <w:rPr>
          <w:szCs w:val="22"/>
          <w:lang w:val="fr-FR"/>
        </w:rPr>
        <w:t> </w:t>
      </w:r>
      <w:r w:rsidR="00F8286C" w:rsidRPr="00E221DD">
        <w:rPr>
          <w:szCs w:val="22"/>
          <w:lang w:val="fr-FR"/>
        </w:rPr>
        <w:t>recommandations restantes, une réponse d</w:t>
      </w:r>
      <w:r w:rsidR="008E40F5" w:rsidRPr="00E221DD">
        <w:rPr>
          <w:szCs w:val="22"/>
          <w:lang w:val="fr-FR"/>
        </w:rPr>
        <w:t>u</w:t>
      </w:r>
      <w:r w:rsidR="00F8286C" w:rsidRPr="00E221DD">
        <w:rPr>
          <w:szCs w:val="22"/>
          <w:lang w:val="fr-FR"/>
        </w:rPr>
        <w:t xml:space="preserve"> vérificateur externe des comptes </w:t>
      </w:r>
      <w:r w:rsidR="002A18E0">
        <w:rPr>
          <w:szCs w:val="22"/>
          <w:lang w:val="fr-FR"/>
        </w:rPr>
        <w:t xml:space="preserve">est attendue </w:t>
      </w:r>
      <w:r w:rsidR="00522979" w:rsidRPr="00E221DD">
        <w:rPr>
          <w:szCs w:val="22"/>
          <w:lang w:val="fr-FR"/>
        </w:rPr>
        <w:t>concernant</w:t>
      </w:r>
      <w:r w:rsidR="00F8286C" w:rsidRPr="00E221DD">
        <w:rPr>
          <w:szCs w:val="22"/>
          <w:lang w:val="fr-FR"/>
        </w:rPr>
        <w:t xml:space="preserve"> l</w:t>
      </w:r>
      <w:r w:rsidR="00522979" w:rsidRPr="00E221DD">
        <w:rPr>
          <w:szCs w:val="22"/>
          <w:lang w:val="fr-FR"/>
        </w:rPr>
        <w:t>a suite qui leur a été donnée</w:t>
      </w:r>
      <w:r w:rsidR="00F8286C" w:rsidRPr="00E221DD">
        <w:rPr>
          <w:szCs w:val="22"/>
          <w:lang w:val="fr-FR"/>
        </w:rPr>
        <w:t>.</w:t>
      </w:r>
    </w:p>
    <w:p w:rsidR="00B643EB" w:rsidRPr="00E221DD" w:rsidRDefault="00A82C6D" w:rsidP="006D44F4">
      <w:pPr>
        <w:pStyle w:val="Heading1"/>
        <w:rPr>
          <w:szCs w:val="22"/>
        </w:rPr>
      </w:pPr>
      <w:r w:rsidRPr="00E221DD">
        <w:rPr>
          <w:szCs w:val="22"/>
        </w:rPr>
        <w:t>Enseignements tir</w:t>
      </w:r>
      <w:r w:rsidR="002A18E0">
        <w:rPr>
          <w:szCs w:val="22"/>
        </w:rPr>
        <w:t>É</w:t>
      </w:r>
      <w:r w:rsidRPr="00E221DD">
        <w:rPr>
          <w:szCs w:val="22"/>
        </w:rPr>
        <w:t>s</w:t>
      </w:r>
    </w:p>
    <w:p w:rsidR="0022588B" w:rsidRPr="00E221DD" w:rsidRDefault="0022588B" w:rsidP="006D44F4">
      <w:pPr>
        <w:rPr>
          <w:szCs w:val="22"/>
          <w:lang w:val="fr-FR"/>
        </w:rPr>
      </w:pPr>
    </w:p>
    <w:p w:rsidR="0022588B" w:rsidRPr="00E221DD" w:rsidRDefault="00A04F06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Avant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évoquer les</w:t>
      </w:r>
      <w:r w:rsidR="005C66A6" w:rsidRPr="00E221DD">
        <w:rPr>
          <w:szCs w:val="22"/>
          <w:lang w:val="fr-FR"/>
        </w:rPr>
        <w:t xml:space="preserve"> enseignements tir</w:t>
      </w:r>
      <w:r w:rsidR="00522979" w:rsidRPr="00E221DD">
        <w:rPr>
          <w:szCs w:val="22"/>
          <w:lang w:val="fr-FR"/>
        </w:rPr>
        <w:t>és</w:t>
      </w:r>
      <w:r w:rsidR="005C66A6" w:rsidRPr="00E221DD">
        <w:rPr>
          <w:szCs w:val="22"/>
          <w:lang w:val="fr-FR"/>
        </w:rPr>
        <w:t>, il est utile de rappeler que les deux</w:t>
      </w:r>
      <w:r w:rsidRPr="00E221DD">
        <w:rPr>
          <w:szCs w:val="22"/>
          <w:lang w:val="fr-FR"/>
        </w:rPr>
        <w:t> </w:t>
      </w:r>
      <w:r w:rsidR="005C66A6" w:rsidRPr="00E221DD">
        <w:rPr>
          <w:szCs w:val="22"/>
          <w:lang w:val="fr-FR"/>
        </w:rPr>
        <w:t>projets de construction (nouvelle construction et nouvelle salle de conférence), exécutés entre 2006</w:t>
      </w:r>
      <w:r w:rsidRPr="00E221DD">
        <w:rPr>
          <w:szCs w:val="22"/>
          <w:lang w:val="fr-FR"/>
        </w:rPr>
        <w:t> </w:t>
      </w:r>
      <w:r w:rsidR="005C66A6" w:rsidRPr="00E221DD">
        <w:rPr>
          <w:szCs w:val="22"/>
          <w:lang w:val="fr-FR"/>
        </w:rPr>
        <w:t>et</w:t>
      </w:r>
      <w:r w:rsidRPr="00E221DD">
        <w:rPr>
          <w:szCs w:val="22"/>
          <w:lang w:val="fr-FR"/>
        </w:rPr>
        <w:t> </w:t>
      </w:r>
      <w:r w:rsidR="005C66A6" w:rsidRPr="00E221DD">
        <w:rPr>
          <w:szCs w:val="22"/>
          <w:lang w:val="fr-FR"/>
        </w:rPr>
        <w:t>2016, ont été les premiers projets de construction d</w:t>
      </w:r>
      <w:r w:rsidR="003075C9" w:rsidRPr="00E221DD">
        <w:rPr>
          <w:szCs w:val="22"/>
          <w:lang w:val="fr-FR"/>
        </w:rPr>
        <w:t>’</w:t>
      </w:r>
      <w:r w:rsidR="005C66A6" w:rsidRPr="00E221DD">
        <w:rPr>
          <w:szCs w:val="22"/>
          <w:lang w:val="fr-FR"/>
        </w:rPr>
        <w:t>une telle ampleur, d</w:t>
      </w:r>
      <w:r w:rsidR="003075C9" w:rsidRPr="00E221DD">
        <w:rPr>
          <w:szCs w:val="22"/>
          <w:lang w:val="fr-FR"/>
        </w:rPr>
        <w:t>’</w:t>
      </w:r>
      <w:r w:rsidR="005C66A6" w:rsidRPr="00E221DD">
        <w:rPr>
          <w:szCs w:val="22"/>
          <w:lang w:val="fr-FR"/>
        </w:rPr>
        <w:t>une telle complexité et d</w:t>
      </w:r>
      <w:r w:rsidR="003075C9" w:rsidRPr="00E221DD">
        <w:rPr>
          <w:szCs w:val="22"/>
          <w:lang w:val="fr-FR"/>
        </w:rPr>
        <w:t>’</w:t>
      </w:r>
      <w:r w:rsidR="005C66A6" w:rsidRPr="00E221DD">
        <w:rPr>
          <w:szCs w:val="22"/>
          <w:lang w:val="fr-FR"/>
        </w:rPr>
        <w:t>un tel coût que l</w:t>
      </w:r>
      <w:r w:rsidR="003075C9" w:rsidRPr="00E221DD">
        <w:rPr>
          <w:szCs w:val="22"/>
          <w:lang w:val="fr-FR"/>
        </w:rPr>
        <w:t>’</w:t>
      </w:r>
      <w:r w:rsidR="005C66A6" w:rsidRPr="00E221DD">
        <w:rPr>
          <w:szCs w:val="22"/>
          <w:lang w:val="fr-FR"/>
        </w:rPr>
        <w:t xml:space="preserve">OMPI ait jamais eu à gérer </w:t>
      </w:r>
      <w:r w:rsidR="00AD518F">
        <w:rPr>
          <w:szCs w:val="22"/>
          <w:lang w:val="fr-FR"/>
        </w:rPr>
        <w:t>intégral</w:t>
      </w:r>
      <w:r w:rsidR="005C66A6" w:rsidRPr="00E221DD">
        <w:rPr>
          <w:szCs w:val="22"/>
          <w:lang w:val="fr-FR"/>
        </w:rPr>
        <w:t>ement</w:t>
      </w:r>
      <w:r w:rsidR="00E55E3F" w:rsidRPr="00E221DD">
        <w:rPr>
          <w:szCs w:val="22"/>
          <w:lang w:val="fr-FR"/>
        </w:rPr>
        <w:t>.  Da</w:t>
      </w:r>
      <w:r w:rsidR="008A1672" w:rsidRPr="00E221DD">
        <w:rPr>
          <w:szCs w:val="22"/>
          <w:lang w:val="fr-FR"/>
        </w:rPr>
        <w:t>ns ce contexte, les défis supplémentaires rencontrés dans le cadre du projet de nouvelle salle de conférence étaient doubles</w:t>
      </w:r>
      <w:r w:rsidR="00666527" w:rsidRPr="00E221DD">
        <w:rPr>
          <w:szCs w:val="22"/>
          <w:lang w:val="fr-FR"/>
        </w:rPr>
        <w:t> </w:t>
      </w:r>
      <w:r w:rsidR="008A1672" w:rsidRPr="00E221DD">
        <w:rPr>
          <w:szCs w:val="22"/>
          <w:lang w:val="fr-FR"/>
        </w:rPr>
        <w:t>: i) la complexité architecturale et technique (avec une structure en porte</w:t>
      </w:r>
      <w:r w:rsidR="00833955" w:rsidRPr="00E221DD">
        <w:rPr>
          <w:szCs w:val="22"/>
          <w:lang w:val="fr-FR"/>
        </w:rPr>
        <w:noBreakHyphen/>
      </w:r>
      <w:r w:rsidR="008A1672" w:rsidRPr="00E221DD">
        <w:rPr>
          <w:szCs w:val="22"/>
          <w:lang w:val="fr-FR"/>
        </w:rPr>
        <w:t>à</w:t>
      </w:r>
      <w:r w:rsidR="00833955" w:rsidRPr="00E221DD">
        <w:rPr>
          <w:szCs w:val="22"/>
          <w:lang w:val="fr-FR"/>
        </w:rPr>
        <w:noBreakHyphen/>
      </w:r>
      <w:r w:rsidR="008A1672" w:rsidRPr="00E221DD">
        <w:rPr>
          <w:szCs w:val="22"/>
          <w:lang w:val="fr-FR"/>
        </w:rPr>
        <w:t>faux longue de 35</w:t>
      </w:r>
      <w:r w:rsidR="00666527" w:rsidRPr="00E221DD">
        <w:rPr>
          <w:szCs w:val="22"/>
          <w:lang w:val="fr-FR"/>
        </w:rPr>
        <w:t> </w:t>
      </w:r>
      <w:r w:rsidR="008A1672" w:rsidRPr="00E221DD">
        <w:rPr>
          <w:szCs w:val="22"/>
          <w:lang w:val="fr-FR"/>
        </w:rPr>
        <w:t xml:space="preserve">mètres et une charpente quasiment exclusivement en bois);  et ii) le fait que le </w:t>
      </w:r>
      <w:r w:rsidR="008A1672" w:rsidRPr="00E221DD">
        <w:rPr>
          <w:szCs w:val="22"/>
          <w:lang w:val="fr-FR"/>
        </w:rPr>
        <w:lastRenderedPageBreak/>
        <w:t>Secrétariat a repris la responsabilité directe et entière de la gestion du chantier après que le contrat avec l</w:t>
      </w:r>
      <w:r w:rsidR="003075C9" w:rsidRPr="00E221DD">
        <w:rPr>
          <w:szCs w:val="22"/>
          <w:lang w:val="fr-FR"/>
        </w:rPr>
        <w:t>’</w:t>
      </w:r>
      <w:r w:rsidR="008A1672" w:rsidRPr="00E221DD">
        <w:rPr>
          <w:szCs w:val="22"/>
          <w:lang w:val="fr-FR"/>
        </w:rPr>
        <w:t xml:space="preserve">ancienne entreprise générale a été </w:t>
      </w:r>
      <w:r w:rsidR="002A18E0">
        <w:rPr>
          <w:szCs w:val="22"/>
          <w:lang w:val="fr-FR"/>
        </w:rPr>
        <w:t xml:space="preserve">résilié </w:t>
      </w:r>
      <w:r w:rsidR="008A1672" w:rsidRPr="00E221DD">
        <w:rPr>
          <w:szCs w:val="22"/>
          <w:lang w:val="fr-FR"/>
        </w:rPr>
        <w:t>pendant la construction.</w:t>
      </w:r>
    </w:p>
    <w:p w:rsidR="0022588B" w:rsidRPr="00E221DD" w:rsidRDefault="00DE24D2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Les enseignements tir</w:t>
      </w:r>
      <w:r w:rsidR="00A04F06" w:rsidRPr="00E221DD">
        <w:rPr>
          <w:szCs w:val="22"/>
          <w:lang w:val="fr-FR"/>
        </w:rPr>
        <w:t>és</w:t>
      </w:r>
      <w:r w:rsidRPr="00E221DD">
        <w:rPr>
          <w:szCs w:val="22"/>
          <w:lang w:val="fr-FR"/>
        </w:rPr>
        <w:t xml:space="preserve"> sont répartis dans les catégories suivantes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: 1) gouvernance;  2) </w:t>
      </w:r>
      <w:r w:rsidR="002A18E0">
        <w:rPr>
          <w:szCs w:val="22"/>
          <w:lang w:val="fr-FR"/>
        </w:rPr>
        <w:t>opportunités offertes par le</w:t>
      </w:r>
      <w:r w:rsidRPr="00E221DD">
        <w:rPr>
          <w:szCs w:val="22"/>
          <w:lang w:val="fr-FR"/>
        </w:rPr>
        <w:t xml:space="preserve"> chantier, modifications </w:t>
      </w:r>
      <w:r w:rsidR="002A18E0">
        <w:rPr>
          <w:szCs w:val="22"/>
          <w:lang w:val="fr-FR"/>
        </w:rPr>
        <w:t>de</w:t>
      </w:r>
      <w:r w:rsidRPr="00E221DD">
        <w:rPr>
          <w:szCs w:val="22"/>
          <w:lang w:val="fr-FR"/>
        </w:rPr>
        <w:t xml:space="preserve"> projet et </w:t>
      </w:r>
      <w:r w:rsidR="002A18E0">
        <w:rPr>
          <w:szCs w:val="22"/>
          <w:lang w:val="fr-FR"/>
        </w:rPr>
        <w:t>économies</w:t>
      </w:r>
      <w:r w:rsidRPr="00E221DD">
        <w:rPr>
          <w:szCs w:val="22"/>
          <w:lang w:val="fr-FR"/>
        </w:rPr>
        <w:t xml:space="preserve"> de coût;  3) relations avec les autorités fédérales, cantonales et municipales du pays hôte;  4) </w:t>
      </w:r>
      <w:r w:rsidR="006D4531" w:rsidRPr="00E221DD">
        <w:rPr>
          <w:szCs w:val="22"/>
          <w:lang w:val="fr-FR"/>
        </w:rPr>
        <w:t>possibilités d</w:t>
      </w:r>
      <w:r w:rsidR="003075C9" w:rsidRPr="00E221DD">
        <w:rPr>
          <w:szCs w:val="22"/>
          <w:lang w:val="fr-FR"/>
        </w:rPr>
        <w:t>’</w:t>
      </w:r>
      <w:r w:rsidR="006D4531" w:rsidRPr="00E221DD">
        <w:rPr>
          <w:szCs w:val="22"/>
          <w:lang w:val="fr-FR"/>
        </w:rPr>
        <w:t xml:space="preserve">agir </w:t>
      </w:r>
      <w:r w:rsidRPr="00E221DD">
        <w:rPr>
          <w:szCs w:val="22"/>
          <w:lang w:val="fr-FR"/>
        </w:rPr>
        <w:t xml:space="preserve">différemment ou plus tôt;  et 5) importance du partage des expériences entre institutions du système des </w:t>
      </w:r>
      <w:r w:rsidR="003075C9" w:rsidRPr="00E221DD">
        <w:rPr>
          <w:szCs w:val="22"/>
          <w:lang w:val="fr-FR"/>
        </w:rPr>
        <w:t>Nations Unies</w:t>
      </w:r>
      <w:r w:rsidRPr="00E221DD">
        <w:rPr>
          <w:szCs w:val="22"/>
          <w:lang w:val="fr-FR"/>
        </w:rPr>
        <w:t xml:space="preserve"> et </w:t>
      </w:r>
      <w:r w:rsidR="002A18E0">
        <w:rPr>
          <w:szCs w:val="22"/>
          <w:lang w:val="fr-FR"/>
        </w:rPr>
        <w:t xml:space="preserve">autres </w:t>
      </w:r>
      <w:r w:rsidRPr="00E221DD">
        <w:rPr>
          <w:szCs w:val="22"/>
          <w:lang w:val="fr-FR"/>
        </w:rPr>
        <w:t>organisations internationales et régionales.</w:t>
      </w:r>
    </w:p>
    <w:p w:rsidR="00B643EB" w:rsidRPr="00E221DD" w:rsidRDefault="00DE24D2" w:rsidP="006D44F4">
      <w:pPr>
        <w:pStyle w:val="ListParagraph"/>
        <w:keepNext/>
        <w:numPr>
          <w:ilvl w:val="0"/>
          <w:numId w:val="11"/>
        </w:numPr>
        <w:ind w:left="1134" w:hanging="567"/>
        <w:rPr>
          <w:b/>
          <w:szCs w:val="22"/>
          <w:lang w:val="fr-FR"/>
        </w:rPr>
      </w:pPr>
      <w:r w:rsidRPr="00E221DD">
        <w:rPr>
          <w:b/>
          <w:szCs w:val="22"/>
          <w:lang w:val="fr-FR"/>
        </w:rPr>
        <w:t>Gouvernance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B643EB" w:rsidRPr="00E221DD" w:rsidRDefault="00DE24D2" w:rsidP="006D44F4">
      <w:pPr>
        <w:pStyle w:val="ListParagraph"/>
        <w:keepNext/>
        <w:numPr>
          <w:ilvl w:val="1"/>
          <w:numId w:val="7"/>
        </w:numPr>
        <w:tabs>
          <w:tab w:val="clear" w:pos="1440"/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Utilisation de l</w:t>
      </w:r>
      <w:r w:rsidR="003075C9" w:rsidRPr="00E221DD">
        <w:rPr>
          <w:i/>
          <w:szCs w:val="22"/>
          <w:lang w:val="fr-FR"/>
        </w:rPr>
        <w:t>’</w:t>
      </w:r>
      <w:r w:rsidRPr="00E221DD">
        <w:rPr>
          <w:i/>
          <w:szCs w:val="22"/>
          <w:lang w:val="fr-FR"/>
        </w:rPr>
        <w:t>expérience acquise dans le cadre du projet de nouvelle construction comme base pour le projet de nouvelle salle de conférence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72752B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expérience acquise depuis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2006 dans la gestion du projet de nouvelle construction a donné au Secrétariat une base de travail solide pour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exécution du projet de nouvelle salle de conférence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: i) l</w:t>
      </w:r>
      <w:r w:rsidR="006D4531" w:rsidRPr="00E221DD">
        <w:rPr>
          <w:szCs w:val="22"/>
          <w:lang w:val="fr-FR"/>
        </w:rPr>
        <w:t>es</w:t>
      </w:r>
      <w:r w:rsidRPr="00E221DD">
        <w:rPr>
          <w:szCs w:val="22"/>
          <w:lang w:val="fr-FR"/>
        </w:rPr>
        <w:t xml:space="preserve"> structure</w:t>
      </w:r>
      <w:r w:rsidR="006D4531" w:rsidRPr="00E221DD">
        <w:rPr>
          <w:szCs w:val="22"/>
          <w:lang w:val="fr-FR"/>
        </w:rPr>
        <w:t>s</w:t>
      </w:r>
      <w:r w:rsidRPr="00E221DD">
        <w:rPr>
          <w:szCs w:val="22"/>
          <w:lang w:val="fr-FR"/>
        </w:rPr>
        <w:t xml:space="preserve"> </w:t>
      </w:r>
      <w:r w:rsidR="006D4531" w:rsidRPr="00E221DD">
        <w:rPr>
          <w:szCs w:val="22"/>
          <w:lang w:val="fr-FR"/>
        </w:rPr>
        <w:t xml:space="preserve">existantes </w:t>
      </w:r>
      <w:r w:rsidRPr="00E221DD">
        <w:rPr>
          <w:szCs w:val="22"/>
          <w:lang w:val="fr-FR"/>
        </w:rPr>
        <w:t>de gestion du projet (gestion externe par le pilote du projet, gestion interne par le Comité de construction et suivi interne par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équipe interne de suivi du projet, Charte du projet et Registres des risques);  ii) le cadre de financement contractuel en place;  ainsi que iii) le cadre de supervision en place (vérificateur externe des comptes, Comité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audit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OMPI/OCIS et audit interne/Division de la supervision interne)</w:t>
      </w:r>
      <w:r w:rsidRPr="00E221DD">
        <w:rPr>
          <w:rStyle w:val="FootnoteReference"/>
          <w:szCs w:val="22"/>
          <w:lang w:val="fr-FR"/>
        </w:rPr>
        <w:footnoteReference w:id="3"/>
      </w:r>
      <w:r w:rsidRPr="00E221DD">
        <w:rPr>
          <w:szCs w:val="22"/>
          <w:lang w:val="fr-FR"/>
        </w:rPr>
        <w:t>.</w:t>
      </w:r>
      <w:r w:rsidR="009D4214" w:rsidRPr="00E221DD">
        <w:rPr>
          <w:szCs w:val="22"/>
          <w:lang w:val="fr-FR"/>
        </w:rPr>
        <w:t xml:space="preserve">  </w:t>
      </w:r>
      <w:r w:rsidR="006D4531" w:rsidRPr="00E221DD">
        <w:rPr>
          <w:szCs w:val="22"/>
          <w:lang w:val="fr-FR"/>
        </w:rPr>
        <w:t>Dans la pratiqu</w:t>
      </w:r>
      <w:r w:rsidR="00A077A8" w:rsidRPr="00E221DD">
        <w:rPr>
          <w:szCs w:val="22"/>
          <w:lang w:val="fr-FR"/>
        </w:rPr>
        <w:t>e, toutes les unités administratives</w:t>
      </w:r>
      <w:r w:rsidR="00A077A8" w:rsidRPr="00E221DD">
        <w:rPr>
          <w:rStyle w:val="FootnoteReference"/>
          <w:szCs w:val="22"/>
          <w:lang w:val="fr-FR"/>
        </w:rPr>
        <w:footnoteReference w:id="4"/>
      </w:r>
      <w:r w:rsidR="00A077A8" w:rsidRPr="00E221DD">
        <w:rPr>
          <w:szCs w:val="22"/>
          <w:lang w:val="fr-FR"/>
        </w:rPr>
        <w:t xml:space="preserve"> engagées dans la planification et la mise en </w:t>
      </w:r>
      <w:r w:rsidR="00666527" w:rsidRPr="00E221DD">
        <w:rPr>
          <w:szCs w:val="22"/>
          <w:lang w:val="fr-FR"/>
        </w:rPr>
        <w:t xml:space="preserve">œuvre </w:t>
      </w:r>
      <w:r w:rsidR="00A077A8" w:rsidRPr="00E221DD">
        <w:rPr>
          <w:szCs w:val="22"/>
          <w:lang w:val="fr-FR"/>
        </w:rPr>
        <w:t>des projets, ainsi que les futurs utilisateurs, ont été activement associés à un stade très précoce du processus, réduisant ainsi le risque de refonte ou de réaménagement du projet en cours de route.</w:t>
      </w:r>
    </w:p>
    <w:p w:rsidR="00B643EB" w:rsidRPr="00E221DD" w:rsidRDefault="004855DA" w:rsidP="006D44F4">
      <w:pPr>
        <w:keepNext/>
        <w:tabs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b)</w:t>
      </w:r>
      <w:r w:rsidRPr="00E221DD">
        <w:rPr>
          <w:i/>
          <w:szCs w:val="22"/>
          <w:lang w:val="fr-FR"/>
        </w:rPr>
        <w:tab/>
        <w:t xml:space="preserve">Renforcement de la structure de gestion en place </w:t>
      </w:r>
      <w:r w:rsidR="00143AF0" w:rsidRPr="00E221DD">
        <w:rPr>
          <w:i/>
          <w:szCs w:val="22"/>
          <w:lang w:val="fr-FR"/>
        </w:rPr>
        <w:t>p</w:t>
      </w:r>
      <w:r w:rsidRPr="00E221DD">
        <w:rPr>
          <w:i/>
          <w:szCs w:val="22"/>
          <w:lang w:val="fr-FR"/>
        </w:rPr>
        <w:t>a</w:t>
      </w:r>
      <w:r w:rsidR="00143AF0" w:rsidRPr="00E221DD">
        <w:rPr>
          <w:i/>
          <w:szCs w:val="22"/>
          <w:lang w:val="fr-FR"/>
        </w:rPr>
        <w:t>r</w:t>
      </w:r>
      <w:r w:rsidRPr="00E221DD">
        <w:rPr>
          <w:i/>
          <w:szCs w:val="22"/>
          <w:lang w:val="fr-FR"/>
        </w:rPr>
        <w:t xml:space="preserve"> de nouvelles mesures spécifiques pour répondre aux exigences du projet plus complexe de nouvelle salle de conférence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BC216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La structure de gestion initiale, bien établie et éprouvée</w:t>
      </w:r>
      <w:r w:rsidR="00143AF0" w:rsidRPr="00E221DD">
        <w:rPr>
          <w:szCs w:val="22"/>
          <w:lang w:val="fr-FR"/>
        </w:rPr>
        <w:t>,</w:t>
      </w:r>
      <w:r w:rsidRPr="00E221DD">
        <w:rPr>
          <w:szCs w:val="22"/>
          <w:lang w:val="fr-FR"/>
        </w:rPr>
        <w:t xml:space="preserve"> a été complétée, dès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2012, par les mesures décrites ci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après afin de faire face, de la façon la plus harmonieuse possible, aux conséquences du passage, durant le chantier de la nouvelle salle de conférence,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</w:t>
      </w:r>
      <w:r w:rsidR="00143AF0" w:rsidRPr="00E221DD">
        <w:rPr>
          <w:szCs w:val="22"/>
          <w:lang w:val="fr-FR"/>
        </w:rPr>
        <w:t>e</w:t>
      </w:r>
      <w:r w:rsidRPr="00E221DD">
        <w:rPr>
          <w:szCs w:val="22"/>
          <w:lang w:val="fr-FR"/>
        </w:rPr>
        <w:t xml:space="preserve"> entreprise générale </w:t>
      </w:r>
      <w:r w:rsidR="00143AF0" w:rsidRPr="00E221DD">
        <w:rPr>
          <w:szCs w:val="22"/>
          <w:lang w:val="fr-FR"/>
        </w:rPr>
        <w:t xml:space="preserve">en charge du projet </w:t>
      </w:r>
      <w:r w:rsidRPr="00E221DD">
        <w:rPr>
          <w:szCs w:val="22"/>
          <w:lang w:val="fr-FR"/>
        </w:rPr>
        <w:t xml:space="preserve">à un </w:t>
      </w:r>
      <w:r w:rsidR="003075C9" w:rsidRPr="00E221DD">
        <w:rPr>
          <w:szCs w:val="22"/>
          <w:lang w:val="fr-FR"/>
        </w:rPr>
        <w:t>“</w:t>
      </w:r>
      <w:r w:rsidRPr="00E221DD">
        <w:rPr>
          <w:szCs w:val="22"/>
          <w:lang w:val="fr-FR"/>
        </w:rPr>
        <w:t>mandat classique</w:t>
      </w:r>
      <w:r w:rsidR="003075C9" w:rsidRPr="00E221DD">
        <w:rPr>
          <w:szCs w:val="22"/>
          <w:lang w:val="fr-FR"/>
        </w:rPr>
        <w:t>”</w:t>
      </w:r>
      <w:r w:rsidRPr="00E221DD">
        <w:rPr>
          <w:szCs w:val="22"/>
          <w:lang w:val="fr-FR"/>
        </w:rPr>
        <w:t xml:space="preserve">, sans </w:t>
      </w:r>
      <w:r w:rsidR="002A18E0" w:rsidRPr="00E221DD">
        <w:rPr>
          <w:szCs w:val="22"/>
          <w:lang w:val="fr-FR"/>
        </w:rPr>
        <w:t>entreprise générale</w:t>
      </w:r>
      <w:r w:rsidRPr="00E221DD">
        <w:rPr>
          <w:rStyle w:val="FootnoteReference"/>
          <w:szCs w:val="22"/>
          <w:lang w:val="fr-FR"/>
        </w:rPr>
        <w:footnoteReference w:id="5"/>
      </w:r>
      <w:r w:rsidRPr="00E221DD">
        <w:rPr>
          <w:szCs w:val="22"/>
          <w:lang w:val="fr-FR"/>
        </w:rPr>
        <w:t>.</w:t>
      </w:r>
    </w:p>
    <w:p w:rsidR="0022588B" w:rsidRPr="00E221DD" w:rsidRDefault="00EE014E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La première</w:t>
      </w:r>
      <w:r w:rsidR="00143AF0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mesure a été la création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 sous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 xml:space="preserve">comité, le </w:t>
      </w:r>
      <w:r w:rsidR="00666527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 xml:space="preserve">omité de gestion et coordination de la construction, par délégation du </w:t>
      </w:r>
      <w:r w:rsidR="00666527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 xml:space="preserve">omité de construction, </w:t>
      </w:r>
      <w:r w:rsidR="00C02FE1" w:rsidRPr="00E221DD">
        <w:rPr>
          <w:szCs w:val="22"/>
          <w:lang w:val="fr-FR"/>
        </w:rPr>
        <w:t>doté</w:t>
      </w:r>
      <w:r w:rsidRPr="00E221DD">
        <w:rPr>
          <w:szCs w:val="22"/>
          <w:lang w:val="fr-FR"/>
        </w:rPr>
        <w:t xml:space="preserve"> </w:t>
      </w:r>
      <w:r w:rsidR="00C02FE1" w:rsidRPr="00E221DD">
        <w:rPr>
          <w:szCs w:val="22"/>
          <w:lang w:val="fr-FR"/>
        </w:rPr>
        <w:t>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un </w:t>
      </w:r>
      <w:r w:rsidR="00C02FE1" w:rsidRPr="00E221DD">
        <w:rPr>
          <w:szCs w:val="22"/>
          <w:lang w:val="fr-FR"/>
        </w:rPr>
        <w:t xml:space="preserve">pouvoir </w:t>
      </w:r>
      <w:r w:rsidRPr="00E221DD">
        <w:rPr>
          <w:szCs w:val="22"/>
          <w:lang w:val="fr-FR"/>
        </w:rPr>
        <w:t>et d</w:t>
      </w:r>
      <w:r w:rsidR="003075C9" w:rsidRPr="00E221DD">
        <w:rPr>
          <w:szCs w:val="22"/>
          <w:lang w:val="fr-FR"/>
        </w:rPr>
        <w:t>’</w:t>
      </w:r>
      <w:r w:rsidR="00C02FE1" w:rsidRPr="00E221DD">
        <w:rPr>
          <w:szCs w:val="22"/>
          <w:lang w:val="fr-FR"/>
        </w:rPr>
        <w:t xml:space="preserve">une </w:t>
      </w:r>
      <w:r w:rsidRPr="00E221DD">
        <w:rPr>
          <w:szCs w:val="22"/>
          <w:lang w:val="fr-FR"/>
        </w:rPr>
        <w:t>autonomie suffisant</w:t>
      </w:r>
      <w:r w:rsidR="00C02FE1" w:rsidRPr="00E221DD">
        <w:rPr>
          <w:szCs w:val="22"/>
          <w:lang w:val="fr-FR"/>
        </w:rPr>
        <w:t>s</w:t>
      </w:r>
      <w:r w:rsidRPr="00E221DD">
        <w:rPr>
          <w:szCs w:val="22"/>
          <w:lang w:val="fr-FR"/>
        </w:rPr>
        <w:t xml:space="preserve">, </w:t>
      </w:r>
      <w:r w:rsidR="00C02FE1" w:rsidRPr="00E221DD">
        <w:rPr>
          <w:szCs w:val="22"/>
          <w:lang w:val="fr-FR"/>
        </w:rPr>
        <w:t>de manière à disposer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 organe ayant les compétences,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expérience, la souplesse et la réactivité nécessaires pour prendre les décisions au jour le jo</w:t>
      </w:r>
      <w:r w:rsidR="00E55E3F" w:rsidRPr="00E221DD">
        <w:rPr>
          <w:szCs w:val="22"/>
          <w:lang w:val="fr-FR"/>
        </w:rPr>
        <w:t>ur.  Le</w:t>
      </w:r>
      <w:r w:rsidR="002A7206" w:rsidRPr="00E221DD">
        <w:rPr>
          <w:szCs w:val="22"/>
          <w:lang w:val="fr-FR"/>
        </w:rPr>
        <w:t xml:space="preserve"> Comité de gestion et coordination de la construction a tenu des réunions </w:t>
      </w:r>
      <w:r w:rsidR="00C02FE1" w:rsidRPr="00E221DD">
        <w:rPr>
          <w:szCs w:val="22"/>
          <w:lang w:val="fr-FR"/>
        </w:rPr>
        <w:t>quotidienn</w:t>
      </w:r>
      <w:r w:rsidR="002A7206" w:rsidRPr="00E221DD">
        <w:rPr>
          <w:szCs w:val="22"/>
          <w:lang w:val="fr-FR"/>
        </w:rPr>
        <w:t>es pour r</w:t>
      </w:r>
      <w:r w:rsidR="00C02FE1" w:rsidRPr="00E221DD">
        <w:rPr>
          <w:szCs w:val="22"/>
          <w:lang w:val="fr-FR"/>
        </w:rPr>
        <w:t>evoir</w:t>
      </w:r>
      <w:r w:rsidR="002A7206" w:rsidRPr="00E221DD">
        <w:rPr>
          <w:szCs w:val="22"/>
          <w:lang w:val="fr-FR"/>
        </w:rPr>
        <w:t xml:space="preserve"> et adapter le calendrier et les priorités du chantier et gérer les risques, approuver divers éléments de la mise en </w:t>
      </w:r>
      <w:r w:rsidR="00666527" w:rsidRPr="00E221DD">
        <w:rPr>
          <w:szCs w:val="22"/>
          <w:lang w:val="fr-FR"/>
        </w:rPr>
        <w:t xml:space="preserve">œuvre </w:t>
      </w:r>
      <w:r w:rsidR="002A7206" w:rsidRPr="00E221DD">
        <w:rPr>
          <w:szCs w:val="22"/>
          <w:lang w:val="fr-FR"/>
        </w:rPr>
        <w:t xml:space="preserve">du projet, examiner ou proposer des modifications de projet et étudier les nouveaux besoins </w:t>
      </w:r>
      <w:r w:rsidR="00C02FE1" w:rsidRPr="00E221DD">
        <w:rPr>
          <w:szCs w:val="22"/>
          <w:lang w:val="fr-FR"/>
        </w:rPr>
        <w:t xml:space="preserve">et demandes </w:t>
      </w:r>
      <w:r w:rsidR="002A7206" w:rsidRPr="00E221DD">
        <w:rPr>
          <w:szCs w:val="22"/>
          <w:lang w:val="fr-FR"/>
        </w:rPr>
        <w:t>communiqués par les futurs utilisateurs des nouve</w:t>
      </w:r>
      <w:r w:rsidR="00666527" w:rsidRPr="00E221DD">
        <w:rPr>
          <w:szCs w:val="22"/>
          <w:lang w:val="fr-FR"/>
        </w:rPr>
        <w:t>lles installatio</w:t>
      </w:r>
      <w:r w:rsidR="00E55E3F" w:rsidRPr="00E221DD">
        <w:rPr>
          <w:szCs w:val="22"/>
          <w:lang w:val="fr-FR"/>
        </w:rPr>
        <w:t>ns.  De</w:t>
      </w:r>
      <w:r w:rsidR="002A7206" w:rsidRPr="00E221DD">
        <w:rPr>
          <w:szCs w:val="22"/>
          <w:lang w:val="fr-FR"/>
        </w:rPr>
        <w:t>s rapports réguliers sur ses activités ont été présentés aux sessions mensuelles du Comité de construction et l</w:t>
      </w:r>
      <w:r w:rsidR="003075C9" w:rsidRPr="00E221DD">
        <w:rPr>
          <w:szCs w:val="22"/>
          <w:lang w:val="fr-FR"/>
        </w:rPr>
        <w:t>’</w:t>
      </w:r>
      <w:r w:rsidR="002A7206" w:rsidRPr="00E221DD">
        <w:rPr>
          <w:szCs w:val="22"/>
          <w:lang w:val="fr-FR"/>
        </w:rPr>
        <w:t xml:space="preserve">approbation de ce dernier a été sollicitée </w:t>
      </w:r>
      <w:r w:rsidR="002A18E0">
        <w:rPr>
          <w:szCs w:val="22"/>
          <w:lang w:val="fr-FR"/>
        </w:rPr>
        <w:t xml:space="preserve">sur des questions </w:t>
      </w:r>
      <w:r w:rsidR="002A7206" w:rsidRPr="00E221DD">
        <w:rPr>
          <w:szCs w:val="22"/>
          <w:lang w:val="fr-FR"/>
        </w:rPr>
        <w:t xml:space="preserve">de principe ou en cas de modifications </w:t>
      </w:r>
      <w:r w:rsidR="00C02FE1" w:rsidRPr="00E221DD">
        <w:rPr>
          <w:szCs w:val="22"/>
          <w:lang w:val="fr-FR"/>
        </w:rPr>
        <w:t xml:space="preserve">majeures </w:t>
      </w:r>
      <w:r w:rsidR="002A7206" w:rsidRPr="00E221DD">
        <w:rPr>
          <w:szCs w:val="22"/>
          <w:lang w:val="fr-FR"/>
        </w:rPr>
        <w:t>de grande ampleur.</w:t>
      </w:r>
    </w:p>
    <w:p w:rsidR="0022588B" w:rsidRPr="00E221DD" w:rsidRDefault="00D92001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La deuxième</w:t>
      </w:r>
      <w:r w:rsidR="00C02FE1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mesure, qui s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applique uniquement au projet de nouvelle salle de conférence, a été la création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 comité ad</w:t>
      </w:r>
      <w:r w:rsidR="005704B2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hoc </w:t>
      </w:r>
      <w:r w:rsidR="002A18E0">
        <w:rPr>
          <w:szCs w:val="22"/>
          <w:lang w:val="fr-FR"/>
        </w:rPr>
        <w:t xml:space="preserve">pour examiner </w:t>
      </w:r>
      <w:r w:rsidRPr="00E221DD">
        <w:rPr>
          <w:szCs w:val="22"/>
          <w:lang w:val="fr-FR"/>
        </w:rPr>
        <w:t xml:space="preserve">les contrats de construction, le </w:t>
      </w:r>
      <w:r w:rsidRPr="00E221DD">
        <w:rPr>
          <w:szCs w:val="22"/>
          <w:lang w:val="fr-FR"/>
        </w:rPr>
        <w:lastRenderedPageBreak/>
        <w:t>Comité ad</w:t>
      </w:r>
      <w:r w:rsidR="005704B2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ho</w:t>
      </w:r>
      <w:r w:rsidR="00666527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 xml:space="preserve"> des contrats pour la salle de conférence, indépendant du Comité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examen des contra</w:t>
      </w:r>
      <w:r w:rsidR="00E55E3F" w:rsidRPr="00E221DD">
        <w:rPr>
          <w:szCs w:val="22"/>
          <w:lang w:val="fr-FR"/>
        </w:rPr>
        <w:t>ts.  Il</w:t>
      </w:r>
      <w:r w:rsidRPr="00E221DD">
        <w:rPr>
          <w:szCs w:val="22"/>
          <w:lang w:val="fr-FR"/>
        </w:rPr>
        <w:t xml:space="preserve"> s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agissait de créer un organe doté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autonomie, de la souplesse et de la réactivité nécessaires, qui soit mieux adapté aux besoins des contrats relatifs au chantier (en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occurrence, le seuil pour soumettre un cas au </w:t>
      </w:r>
      <w:r w:rsidR="00880E99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>omité ad</w:t>
      </w:r>
      <w:r w:rsidR="005704B2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hoc a été porté à 200 000</w:t>
      </w:r>
      <w:r w:rsidR="00A2241E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 xml:space="preserve">francs suisses et le </w:t>
      </w:r>
      <w:r w:rsidR="005704B2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 xml:space="preserve">omité a tenu des réunions hebdomadaires selon que de besoin, </w:t>
      </w:r>
      <w:r w:rsidR="00880E99" w:rsidRPr="00E221DD">
        <w:rPr>
          <w:szCs w:val="22"/>
          <w:lang w:val="fr-FR"/>
        </w:rPr>
        <w:t>alors qu</w:t>
      </w:r>
      <w:r w:rsidRPr="00E221DD">
        <w:rPr>
          <w:szCs w:val="22"/>
          <w:lang w:val="fr-FR"/>
        </w:rPr>
        <w:t>e le Comité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examen des contrats</w:t>
      </w:r>
      <w:r w:rsidR="00880E99" w:rsidRPr="00E221DD">
        <w:rPr>
          <w:szCs w:val="22"/>
          <w:lang w:val="fr-FR"/>
        </w:rPr>
        <w:t>,</w:t>
      </w:r>
      <w:r w:rsidRPr="00E221DD">
        <w:rPr>
          <w:szCs w:val="22"/>
          <w:lang w:val="fr-FR"/>
        </w:rPr>
        <w:t xml:space="preserve"> auquel s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applique un seuil</w:t>
      </w:r>
      <w:r w:rsidR="005704B2" w:rsidRPr="00E221DD">
        <w:rPr>
          <w:szCs w:val="22"/>
          <w:lang w:val="fr-FR"/>
        </w:rPr>
        <w:t xml:space="preserve"> </w:t>
      </w:r>
      <w:r w:rsidRPr="00E221DD">
        <w:rPr>
          <w:szCs w:val="22"/>
          <w:lang w:val="fr-FR"/>
        </w:rPr>
        <w:t>de 100 000 francs suisses</w:t>
      </w:r>
      <w:r w:rsidR="00880E99" w:rsidRPr="00E221DD">
        <w:rPr>
          <w:szCs w:val="22"/>
          <w:lang w:val="fr-FR"/>
        </w:rPr>
        <w:t xml:space="preserve"> pour être saisi </w:t>
      </w:r>
      <w:r w:rsidR="002A18E0">
        <w:rPr>
          <w:szCs w:val="22"/>
          <w:lang w:val="fr-FR"/>
        </w:rPr>
        <w:t>d’un dossier</w:t>
      </w:r>
      <w:r w:rsidR="00880E99" w:rsidRPr="00E221DD">
        <w:rPr>
          <w:szCs w:val="22"/>
          <w:lang w:val="fr-FR"/>
        </w:rPr>
        <w:t>, se réunit une fois par mo</w:t>
      </w:r>
      <w:r w:rsidR="00E55E3F" w:rsidRPr="00E221DD">
        <w:rPr>
          <w:szCs w:val="22"/>
          <w:lang w:val="fr-FR"/>
        </w:rPr>
        <w:t>is).  Vo</w:t>
      </w:r>
      <w:r w:rsidRPr="00E221DD">
        <w:rPr>
          <w:szCs w:val="22"/>
          <w:lang w:val="fr-FR"/>
        </w:rPr>
        <w:t>ir également le point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4 ci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après.</w:t>
      </w:r>
    </w:p>
    <w:p w:rsidR="0022588B" w:rsidRPr="00E221DD" w:rsidRDefault="00D92001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La troisième</w:t>
      </w:r>
      <w:r w:rsidR="00880E99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mesure a été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engagement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un expert financier ayant une expérience des grands projets de construction, qui a été mandaté pour analyser et </w:t>
      </w:r>
      <w:r w:rsidR="002A18E0">
        <w:rPr>
          <w:szCs w:val="22"/>
          <w:lang w:val="fr-FR"/>
        </w:rPr>
        <w:t xml:space="preserve">consolider </w:t>
      </w:r>
      <w:r w:rsidRPr="00E221DD">
        <w:rPr>
          <w:szCs w:val="22"/>
          <w:lang w:val="fr-FR"/>
        </w:rPr>
        <w:t xml:space="preserve">le budget et les dépenses et charges associées tant du point de vue du projet que </w:t>
      </w:r>
      <w:r w:rsidR="004E707C" w:rsidRPr="00E221DD">
        <w:rPr>
          <w:szCs w:val="22"/>
          <w:lang w:val="fr-FR"/>
        </w:rPr>
        <w:t>sur le plan</w:t>
      </w:r>
      <w:r w:rsidRPr="00E221DD">
        <w:rPr>
          <w:szCs w:val="22"/>
          <w:lang w:val="fr-FR"/>
        </w:rPr>
        <w:t xml:space="preserve"> financi</w:t>
      </w:r>
      <w:r w:rsidR="00E55E3F" w:rsidRPr="00E221DD">
        <w:rPr>
          <w:szCs w:val="22"/>
          <w:lang w:val="fr-FR"/>
        </w:rPr>
        <w:t>er.  Ce</w:t>
      </w:r>
      <w:r w:rsidR="00C71581" w:rsidRPr="00E221DD">
        <w:rPr>
          <w:szCs w:val="22"/>
          <w:lang w:val="fr-FR"/>
        </w:rPr>
        <w:t>la a grandement facilité le processus de validation de la demande de budget supplémentaire présentée par le Secrétariat en</w:t>
      </w:r>
      <w:r w:rsidR="00666527" w:rsidRPr="00E221DD">
        <w:rPr>
          <w:szCs w:val="22"/>
          <w:lang w:val="fr-FR"/>
        </w:rPr>
        <w:t> </w:t>
      </w:r>
      <w:r w:rsidR="00C71581" w:rsidRPr="00E221DD">
        <w:rPr>
          <w:szCs w:val="22"/>
          <w:lang w:val="fr-FR"/>
        </w:rPr>
        <w:t>2014.</w:t>
      </w:r>
    </w:p>
    <w:p w:rsidR="00B643EB" w:rsidRPr="00E221DD" w:rsidRDefault="00093DD9" w:rsidP="006D44F4">
      <w:pPr>
        <w:pStyle w:val="ListParagraph"/>
        <w:keepNext/>
        <w:tabs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c)</w:t>
      </w:r>
      <w:r w:rsidRPr="00E221DD">
        <w:rPr>
          <w:i/>
          <w:szCs w:val="22"/>
          <w:lang w:val="fr-FR"/>
        </w:rPr>
        <w:tab/>
        <w:t>Capacité à analyser les circonstances, les contraintes et les risques et réactivité permettant de revoir les stratégies et les priorités, selon que de besoin</w:t>
      </w:r>
    </w:p>
    <w:p w:rsidR="00B643EB" w:rsidRPr="00E221DD" w:rsidRDefault="00B643EB" w:rsidP="006D44F4">
      <w:pPr>
        <w:pStyle w:val="ListParagraph"/>
        <w:keepNext/>
        <w:ind w:left="0"/>
        <w:rPr>
          <w:szCs w:val="22"/>
          <w:lang w:val="fr-FR"/>
        </w:rPr>
      </w:pPr>
    </w:p>
    <w:p w:rsidR="0022588B" w:rsidRPr="00E221DD" w:rsidRDefault="00093DD9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En ce qui concerne le projet de nouvelle construction, </w:t>
      </w:r>
      <w:r w:rsidR="002A18E0">
        <w:rPr>
          <w:szCs w:val="22"/>
          <w:lang w:val="fr-FR"/>
        </w:rPr>
        <w:t xml:space="preserve">les responsables </w:t>
      </w:r>
      <w:r w:rsidRPr="00E221DD">
        <w:rPr>
          <w:szCs w:val="22"/>
          <w:lang w:val="fr-FR"/>
        </w:rPr>
        <w:t xml:space="preserve">de </w:t>
      </w:r>
      <w:r w:rsidR="004E707C" w:rsidRPr="00E221DD">
        <w:rPr>
          <w:szCs w:val="22"/>
          <w:lang w:val="fr-FR"/>
        </w:rPr>
        <w:t xml:space="preserve">la </w:t>
      </w:r>
      <w:r w:rsidRPr="00E221DD">
        <w:rPr>
          <w:szCs w:val="22"/>
          <w:lang w:val="fr-FR"/>
        </w:rPr>
        <w:t xml:space="preserve">gestion des locaux </w:t>
      </w:r>
      <w:r w:rsidR="002A18E0">
        <w:rPr>
          <w:szCs w:val="22"/>
          <w:lang w:val="fr-FR"/>
        </w:rPr>
        <w:t xml:space="preserve">ont eu </w:t>
      </w:r>
      <w:r w:rsidRPr="00E221DD">
        <w:rPr>
          <w:szCs w:val="22"/>
          <w:lang w:val="fr-FR"/>
        </w:rPr>
        <w:t>la capacité et le pouvoir de réexaminer et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étaler la date de remise du </w:t>
      </w:r>
      <w:r w:rsidR="00E221DD">
        <w:rPr>
          <w:szCs w:val="22"/>
          <w:lang w:val="fr-FR"/>
        </w:rPr>
        <w:t>N</w:t>
      </w:r>
      <w:r w:rsidRPr="00E221DD">
        <w:rPr>
          <w:szCs w:val="22"/>
          <w:lang w:val="fr-FR"/>
        </w:rPr>
        <w:t xml:space="preserve">ouveau </w:t>
      </w:r>
      <w:r w:rsidR="00E221DD">
        <w:rPr>
          <w:szCs w:val="22"/>
          <w:lang w:val="fr-FR"/>
        </w:rPr>
        <w:t>B</w:t>
      </w:r>
      <w:r w:rsidRPr="00E221DD">
        <w:rPr>
          <w:szCs w:val="22"/>
          <w:lang w:val="fr-FR"/>
        </w:rPr>
        <w:t>âtiment au printemps</w:t>
      </w:r>
      <w:r w:rsidR="00666527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2011, étage par étage et secteur par secteur, tandis que les travaux de finition se poursuivaie</w:t>
      </w:r>
      <w:r w:rsidR="00E55E3F" w:rsidRPr="00E221DD">
        <w:rPr>
          <w:szCs w:val="22"/>
          <w:lang w:val="fr-FR"/>
        </w:rPr>
        <w:t>nt.  Il</w:t>
      </w:r>
      <w:r w:rsidR="00197673" w:rsidRPr="00E221DD">
        <w:rPr>
          <w:szCs w:val="22"/>
          <w:lang w:val="fr-FR"/>
        </w:rPr>
        <w:t xml:space="preserve"> était devenu indispensable de procéder de cette façon pour effectuer le </w:t>
      </w:r>
      <w:r w:rsidR="002A18E0">
        <w:rPr>
          <w:szCs w:val="22"/>
          <w:lang w:val="fr-FR"/>
        </w:rPr>
        <w:t xml:space="preserve">déménagement </w:t>
      </w:r>
      <w:r w:rsidR="00197673" w:rsidRPr="00E221DD">
        <w:rPr>
          <w:szCs w:val="22"/>
          <w:lang w:val="fr-FR"/>
        </w:rPr>
        <w:t xml:space="preserve">du personnel des locaux loués au </w:t>
      </w:r>
      <w:r w:rsidR="00E221DD">
        <w:rPr>
          <w:szCs w:val="22"/>
          <w:lang w:val="fr-FR"/>
        </w:rPr>
        <w:t>N</w:t>
      </w:r>
      <w:r w:rsidR="00197673" w:rsidRPr="00E221DD">
        <w:rPr>
          <w:szCs w:val="22"/>
          <w:lang w:val="fr-FR"/>
        </w:rPr>
        <w:t xml:space="preserve">ouveau </w:t>
      </w:r>
      <w:r w:rsidR="00E221DD">
        <w:rPr>
          <w:szCs w:val="22"/>
          <w:lang w:val="fr-FR"/>
        </w:rPr>
        <w:t>B</w:t>
      </w:r>
      <w:r w:rsidR="00197673" w:rsidRPr="00E221DD">
        <w:rPr>
          <w:szCs w:val="22"/>
          <w:lang w:val="fr-FR"/>
        </w:rPr>
        <w:t xml:space="preserve">âtiment et faire en sorte que </w:t>
      </w:r>
      <w:r w:rsidR="002A18E0">
        <w:rPr>
          <w:szCs w:val="22"/>
          <w:lang w:val="fr-FR"/>
        </w:rPr>
        <w:t xml:space="preserve">ces locaux </w:t>
      </w:r>
      <w:r w:rsidR="00197673" w:rsidRPr="00E221DD">
        <w:rPr>
          <w:szCs w:val="22"/>
          <w:lang w:val="fr-FR"/>
        </w:rPr>
        <w:t>soient libérés avant l</w:t>
      </w:r>
      <w:r w:rsidR="003075C9" w:rsidRPr="00E221DD">
        <w:rPr>
          <w:szCs w:val="22"/>
          <w:lang w:val="fr-FR"/>
        </w:rPr>
        <w:t>’</w:t>
      </w:r>
      <w:r w:rsidR="00197673" w:rsidRPr="00E221DD">
        <w:rPr>
          <w:szCs w:val="22"/>
          <w:lang w:val="fr-FR"/>
        </w:rPr>
        <w:t xml:space="preserve">échéance contractuelle sans </w:t>
      </w:r>
      <w:r w:rsidR="00666527" w:rsidRPr="00E221DD">
        <w:rPr>
          <w:szCs w:val="22"/>
          <w:lang w:val="fr-FR"/>
        </w:rPr>
        <w:t>de</w:t>
      </w:r>
      <w:r w:rsidR="00197673" w:rsidRPr="00E221DD">
        <w:rPr>
          <w:szCs w:val="22"/>
          <w:lang w:val="fr-FR"/>
        </w:rPr>
        <w:t>voir prendre des mesures exception</w:t>
      </w:r>
      <w:r w:rsidR="00666527" w:rsidRPr="00E221DD">
        <w:rPr>
          <w:szCs w:val="22"/>
          <w:lang w:val="fr-FR"/>
        </w:rPr>
        <w:t>n</w:t>
      </w:r>
      <w:r w:rsidR="00197673" w:rsidRPr="00E221DD">
        <w:rPr>
          <w:szCs w:val="22"/>
          <w:lang w:val="fr-FR"/>
        </w:rPr>
        <w:t>elles (telles que l</w:t>
      </w:r>
      <w:r w:rsidR="003075C9" w:rsidRPr="00E221DD">
        <w:rPr>
          <w:szCs w:val="22"/>
          <w:lang w:val="fr-FR"/>
        </w:rPr>
        <w:t>’</w:t>
      </w:r>
      <w:r w:rsidR="00197673" w:rsidRPr="00E221DD">
        <w:rPr>
          <w:szCs w:val="22"/>
          <w:lang w:val="fr-FR"/>
        </w:rPr>
        <w:t>occupation de locaux transitoires à titre temporaire) ni encourir des coûts additionnels.</w:t>
      </w:r>
    </w:p>
    <w:p w:rsidR="0022588B" w:rsidRPr="00E221DD" w:rsidRDefault="00C353E2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Concernant le</w:t>
      </w:r>
      <w:r w:rsidR="00197673" w:rsidRPr="00E221DD">
        <w:rPr>
          <w:szCs w:val="22"/>
          <w:lang w:val="fr-FR"/>
        </w:rPr>
        <w:t xml:space="preserve"> projet de nouvelle salle de conférence, et après la résiliation du contrat avec l</w:t>
      </w:r>
      <w:r w:rsidR="003075C9" w:rsidRPr="00E221DD">
        <w:rPr>
          <w:szCs w:val="22"/>
          <w:lang w:val="fr-FR"/>
        </w:rPr>
        <w:t>’</w:t>
      </w:r>
      <w:r w:rsidR="00197673" w:rsidRPr="00E221DD">
        <w:rPr>
          <w:szCs w:val="22"/>
          <w:lang w:val="fr-FR"/>
        </w:rPr>
        <w:t xml:space="preserve">ancienne entreprise générale, le Comité de gestion et coordination de la construction a joué un rôle crucial </w:t>
      </w:r>
      <w:r w:rsidRPr="00E221DD">
        <w:rPr>
          <w:szCs w:val="22"/>
          <w:lang w:val="fr-FR"/>
        </w:rPr>
        <w:t xml:space="preserve">en permettant de prendre </w:t>
      </w:r>
      <w:r w:rsidR="00197673" w:rsidRPr="00E221DD">
        <w:rPr>
          <w:szCs w:val="22"/>
          <w:lang w:val="fr-FR"/>
        </w:rPr>
        <w:t>de</w:t>
      </w:r>
      <w:r w:rsidRPr="00E221DD">
        <w:rPr>
          <w:szCs w:val="22"/>
          <w:lang w:val="fr-FR"/>
        </w:rPr>
        <w:t>s</w:t>
      </w:r>
      <w:r w:rsidR="00197673" w:rsidRPr="00E221DD">
        <w:rPr>
          <w:szCs w:val="22"/>
          <w:lang w:val="fr-FR"/>
        </w:rPr>
        <w:t xml:space="preserve"> décisions rapide</w:t>
      </w:r>
      <w:r w:rsidRPr="00E221DD">
        <w:rPr>
          <w:szCs w:val="22"/>
          <w:lang w:val="fr-FR"/>
        </w:rPr>
        <w:t>ment</w:t>
      </w:r>
      <w:r w:rsidR="00197673" w:rsidRPr="00E221DD">
        <w:rPr>
          <w:szCs w:val="22"/>
          <w:lang w:val="fr-FR"/>
        </w:rPr>
        <w:t xml:space="preserve"> et </w:t>
      </w:r>
      <w:r w:rsidRPr="00E221DD">
        <w:rPr>
          <w:szCs w:val="22"/>
          <w:lang w:val="fr-FR"/>
        </w:rPr>
        <w:t>de les mettre</w:t>
      </w:r>
      <w:r w:rsidR="00197673" w:rsidRPr="00E221DD">
        <w:rPr>
          <w:szCs w:val="22"/>
          <w:lang w:val="fr-FR"/>
        </w:rPr>
        <w:t xml:space="preserve"> en </w:t>
      </w:r>
      <w:r w:rsidR="00666527" w:rsidRPr="00E221DD">
        <w:rPr>
          <w:szCs w:val="22"/>
          <w:lang w:val="fr-FR"/>
        </w:rPr>
        <w:t xml:space="preserve">œuvre </w:t>
      </w:r>
      <w:r w:rsidR="00197673" w:rsidRPr="00E221DD">
        <w:rPr>
          <w:szCs w:val="22"/>
          <w:lang w:val="fr-FR"/>
        </w:rPr>
        <w:t xml:space="preserve">au </w:t>
      </w:r>
      <w:r w:rsidRPr="00E221DD">
        <w:rPr>
          <w:szCs w:val="22"/>
          <w:lang w:val="fr-FR"/>
        </w:rPr>
        <w:t>jour le jour</w:t>
      </w:r>
      <w:r w:rsidR="00197673" w:rsidRPr="00E221DD">
        <w:rPr>
          <w:szCs w:val="22"/>
          <w:lang w:val="fr-FR"/>
        </w:rPr>
        <w:t xml:space="preserve"> afin d</w:t>
      </w:r>
      <w:r w:rsidR="003075C9" w:rsidRPr="00E221DD">
        <w:rPr>
          <w:szCs w:val="22"/>
          <w:lang w:val="fr-FR"/>
        </w:rPr>
        <w:t>’</w:t>
      </w:r>
      <w:r w:rsidR="00197673" w:rsidRPr="00E221DD">
        <w:rPr>
          <w:szCs w:val="22"/>
          <w:lang w:val="fr-FR"/>
        </w:rPr>
        <w:t>éviter toute paralysie du chanti</w:t>
      </w:r>
      <w:r w:rsidR="00E55E3F" w:rsidRPr="00E221DD">
        <w:rPr>
          <w:szCs w:val="22"/>
          <w:lang w:val="fr-FR"/>
        </w:rPr>
        <w:t>er.  Ce</w:t>
      </w:r>
      <w:r w:rsidR="00BE370A" w:rsidRPr="00E221DD">
        <w:rPr>
          <w:szCs w:val="22"/>
          <w:lang w:val="fr-FR"/>
        </w:rPr>
        <w:t>rtes, la date initiale de remise de la nouvelle salle de conférence a dû être reportée, mais la création en temps utile du Comité de gestion et coordination de la construction (voir le paragraphe</w:t>
      </w:r>
      <w:r w:rsidR="00666527" w:rsidRPr="00E221DD">
        <w:rPr>
          <w:szCs w:val="22"/>
          <w:lang w:val="fr-FR"/>
        </w:rPr>
        <w:t> </w:t>
      </w:r>
      <w:r w:rsidR="00BE370A" w:rsidRPr="00E221DD">
        <w:rPr>
          <w:szCs w:val="22"/>
          <w:lang w:val="fr-FR"/>
        </w:rPr>
        <w:t>14 ci</w:t>
      </w:r>
      <w:r w:rsidR="00833955" w:rsidRPr="00E221DD">
        <w:rPr>
          <w:szCs w:val="22"/>
          <w:lang w:val="fr-FR"/>
        </w:rPr>
        <w:noBreakHyphen/>
      </w:r>
      <w:r w:rsidR="00BE370A" w:rsidRPr="00E221DD">
        <w:rPr>
          <w:szCs w:val="22"/>
          <w:lang w:val="fr-FR"/>
        </w:rPr>
        <w:t>dessus) a permis d</w:t>
      </w:r>
      <w:r w:rsidRPr="00E221DD">
        <w:rPr>
          <w:szCs w:val="22"/>
          <w:lang w:val="fr-FR"/>
        </w:rPr>
        <w:t>e disposer d</w:t>
      </w:r>
      <w:r w:rsidR="003075C9" w:rsidRPr="00E221DD">
        <w:rPr>
          <w:szCs w:val="22"/>
          <w:lang w:val="fr-FR"/>
        </w:rPr>
        <w:t>’</w:t>
      </w:r>
      <w:r w:rsidR="00BE370A" w:rsidRPr="00E221DD">
        <w:rPr>
          <w:szCs w:val="22"/>
          <w:lang w:val="fr-FR"/>
        </w:rPr>
        <w:t xml:space="preserve">un organe de décision ayant la souplesse nécessaire et suffisamment de pouvoir pour achever la construction des </w:t>
      </w:r>
      <w:r w:rsidR="002A18E0">
        <w:rPr>
          <w:szCs w:val="22"/>
          <w:lang w:val="fr-FR"/>
        </w:rPr>
        <w:t xml:space="preserve">nouveaux locaux </w:t>
      </w:r>
      <w:r w:rsidRPr="00E221DD">
        <w:rPr>
          <w:szCs w:val="22"/>
          <w:lang w:val="fr-FR"/>
        </w:rPr>
        <w:t>et assurer leur livraison</w:t>
      </w:r>
      <w:r w:rsidR="00BE370A" w:rsidRPr="00E221DD">
        <w:rPr>
          <w:szCs w:val="22"/>
          <w:lang w:val="fr-FR"/>
        </w:rPr>
        <w:t xml:space="preserve"> à temps pour les assemblées </w:t>
      </w:r>
      <w:r w:rsidR="00CC5E3D" w:rsidRPr="00E221DD">
        <w:rPr>
          <w:szCs w:val="22"/>
          <w:lang w:val="fr-FR"/>
        </w:rPr>
        <w:t>de l</w:t>
      </w:r>
      <w:r w:rsidR="003075C9" w:rsidRPr="00E221DD">
        <w:rPr>
          <w:szCs w:val="22"/>
          <w:lang w:val="fr-FR"/>
        </w:rPr>
        <w:t>’</w:t>
      </w:r>
      <w:r w:rsidR="00CC5E3D" w:rsidRPr="00E221DD">
        <w:rPr>
          <w:szCs w:val="22"/>
          <w:lang w:val="fr-FR"/>
        </w:rPr>
        <w:t xml:space="preserve">OMPI </w:t>
      </w:r>
      <w:r w:rsidR="00BE370A" w:rsidRPr="00E221DD">
        <w:rPr>
          <w:szCs w:val="22"/>
          <w:lang w:val="fr-FR"/>
        </w:rPr>
        <w:t>de septembre</w:t>
      </w:r>
      <w:r w:rsidR="00666527" w:rsidRPr="00E221DD">
        <w:rPr>
          <w:szCs w:val="22"/>
          <w:lang w:val="fr-FR"/>
        </w:rPr>
        <w:t> </w:t>
      </w:r>
      <w:r w:rsidR="00CC5E3D" w:rsidRPr="00E221DD">
        <w:rPr>
          <w:szCs w:val="22"/>
          <w:lang w:val="fr-FR"/>
        </w:rPr>
        <w:t>2014</w:t>
      </w:r>
      <w:r w:rsidR="00BE370A" w:rsidRPr="00E221DD">
        <w:rPr>
          <w:szCs w:val="22"/>
          <w:lang w:val="fr-FR"/>
        </w:rPr>
        <w:t>.</w:t>
      </w:r>
    </w:p>
    <w:p w:rsidR="00B643EB" w:rsidRPr="00E221DD" w:rsidRDefault="00AF52E1" w:rsidP="006D44F4">
      <w:pPr>
        <w:pStyle w:val="ListParagraph"/>
        <w:keepNext/>
        <w:tabs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d)</w:t>
      </w:r>
      <w:r w:rsidRPr="00E221DD">
        <w:rPr>
          <w:i/>
          <w:szCs w:val="22"/>
          <w:lang w:val="fr-FR"/>
        </w:rPr>
        <w:tab/>
        <w:t>Dispositions contractuelles solides dans les contrats de construction</w:t>
      </w:r>
    </w:p>
    <w:p w:rsidR="00B643EB" w:rsidRPr="00E221DD" w:rsidRDefault="00B643EB" w:rsidP="006D44F4">
      <w:pPr>
        <w:pStyle w:val="ListParagraph"/>
        <w:keepNext/>
        <w:ind w:left="0"/>
        <w:rPr>
          <w:szCs w:val="22"/>
          <w:lang w:val="fr-FR"/>
        </w:rPr>
      </w:pPr>
    </w:p>
    <w:p w:rsidR="0022588B" w:rsidRPr="00E221DD" w:rsidRDefault="00AF52E1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Du point de vue des bonnes pratiques en matière de contrats, le contrat avec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ancienne entreprise générale obligeait celle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ci à ne sous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traiter qu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à des entreprises qui seraient tenues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accepter une reprise de leur contrat par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OMPI sans modification (en particulier quant au prix convenu), en cas de résiliation du contrat entre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OMPI et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entreprise généra</w:t>
      </w:r>
      <w:r w:rsidR="00E55E3F" w:rsidRPr="00E221DD">
        <w:rPr>
          <w:szCs w:val="22"/>
          <w:lang w:val="fr-FR"/>
        </w:rPr>
        <w:t>le.  Le</w:t>
      </w:r>
      <w:r w:rsidR="006A2537" w:rsidRPr="00E221DD">
        <w:rPr>
          <w:szCs w:val="22"/>
          <w:lang w:val="fr-FR"/>
        </w:rPr>
        <w:t xml:space="preserve">s circonstances </w:t>
      </w:r>
      <w:r w:rsidR="00CC5E3D" w:rsidRPr="00E221DD">
        <w:rPr>
          <w:szCs w:val="22"/>
          <w:lang w:val="fr-FR"/>
        </w:rPr>
        <w:t>conduis</w:t>
      </w:r>
      <w:r w:rsidR="006A2537" w:rsidRPr="00E221DD">
        <w:rPr>
          <w:szCs w:val="22"/>
          <w:lang w:val="fr-FR"/>
        </w:rPr>
        <w:t xml:space="preserve">ant à </w:t>
      </w:r>
      <w:r w:rsidR="00CC5E3D" w:rsidRPr="00E221DD">
        <w:rPr>
          <w:szCs w:val="22"/>
          <w:lang w:val="fr-FR"/>
        </w:rPr>
        <w:t>une</w:t>
      </w:r>
      <w:r w:rsidR="006A2537" w:rsidRPr="00E221DD">
        <w:rPr>
          <w:szCs w:val="22"/>
          <w:lang w:val="fr-FR"/>
        </w:rPr>
        <w:t xml:space="preserve"> résiliation du contrat s</w:t>
      </w:r>
      <w:r w:rsidR="003075C9" w:rsidRPr="00E221DD">
        <w:rPr>
          <w:szCs w:val="22"/>
          <w:lang w:val="fr-FR"/>
        </w:rPr>
        <w:t>’</w:t>
      </w:r>
      <w:r w:rsidR="006A2537" w:rsidRPr="00E221DD">
        <w:rPr>
          <w:szCs w:val="22"/>
          <w:lang w:val="fr-FR"/>
        </w:rPr>
        <w:t xml:space="preserve">étant matérialisées un an après le début du chantier de la nouvelle salle de conférence, cette disposition donnait au Secrétariat une base solide </w:t>
      </w:r>
      <w:r w:rsidR="00CC5E3D" w:rsidRPr="00E221DD">
        <w:rPr>
          <w:szCs w:val="22"/>
          <w:lang w:val="fr-FR"/>
        </w:rPr>
        <w:t xml:space="preserve">non seulement </w:t>
      </w:r>
      <w:r w:rsidR="006A2537" w:rsidRPr="00E221DD">
        <w:rPr>
          <w:szCs w:val="22"/>
          <w:lang w:val="fr-FR"/>
        </w:rPr>
        <w:t>pour reprendre les 20</w:t>
      </w:r>
      <w:r w:rsidR="00CC5E3D" w:rsidRPr="00E221DD">
        <w:rPr>
          <w:szCs w:val="22"/>
          <w:lang w:val="fr-FR"/>
        </w:rPr>
        <w:t> </w:t>
      </w:r>
      <w:r w:rsidR="006A2537" w:rsidRPr="00E221DD">
        <w:rPr>
          <w:szCs w:val="22"/>
          <w:lang w:val="fr-FR"/>
        </w:rPr>
        <w:t xml:space="preserve">contrats </w:t>
      </w:r>
      <w:r w:rsidR="00CC5E3D" w:rsidRPr="00E221DD">
        <w:rPr>
          <w:szCs w:val="22"/>
          <w:lang w:val="fr-FR"/>
        </w:rPr>
        <w:t>alors</w:t>
      </w:r>
      <w:r w:rsidR="006A2537" w:rsidRPr="00E221DD">
        <w:rPr>
          <w:szCs w:val="22"/>
          <w:lang w:val="fr-FR"/>
        </w:rPr>
        <w:t xml:space="preserve"> en vigueur avec les sous</w:t>
      </w:r>
      <w:r w:rsidR="00833955" w:rsidRPr="00E221DD">
        <w:rPr>
          <w:szCs w:val="22"/>
          <w:lang w:val="fr-FR"/>
        </w:rPr>
        <w:noBreakHyphen/>
      </w:r>
      <w:r w:rsidR="006A2537" w:rsidRPr="00E221DD">
        <w:rPr>
          <w:szCs w:val="22"/>
          <w:lang w:val="fr-FR"/>
        </w:rPr>
        <w:t xml:space="preserve">traitants, mais aussi </w:t>
      </w:r>
      <w:r w:rsidR="00CC5E3D" w:rsidRPr="00E221DD">
        <w:rPr>
          <w:szCs w:val="22"/>
          <w:lang w:val="fr-FR"/>
        </w:rPr>
        <w:t xml:space="preserve">pour </w:t>
      </w:r>
      <w:r w:rsidR="006A2537" w:rsidRPr="00E221DD">
        <w:rPr>
          <w:szCs w:val="22"/>
          <w:lang w:val="fr-FR"/>
        </w:rPr>
        <w:t>attribuer des contrats, aux mêmes conditions et au prix convenu, à de nombreux sous</w:t>
      </w:r>
      <w:r w:rsidR="00833955" w:rsidRPr="00E221DD">
        <w:rPr>
          <w:szCs w:val="22"/>
          <w:lang w:val="fr-FR"/>
        </w:rPr>
        <w:noBreakHyphen/>
      </w:r>
      <w:r w:rsidR="006A2537" w:rsidRPr="00E221DD">
        <w:rPr>
          <w:szCs w:val="22"/>
          <w:lang w:val="fr-FR"/>
        </w:rPr>
        <w:t>traitants qui avaient soumis leurs offres avant que le contrat soit résil</w:t>
      </w:r>
      <w:r w:rsidR="00E55E3F" w:rsidRPr="00E221DD">
        <w:rPr>
          <w:szCs w:val="22"/>
          <w:lang w:val="fr-FR"/>
        </w:rPr>
        <w:t>ié.  Le</w:t>
      </w:r>
      <w:r w:rsidR="006A2537" w:rsidRPr="00E221DD">
        <w:rPr>
          <w:szCs w:val="22"/>
          <w:lang w:val="fr-FR"/>
        </w:rPr>
        <w:t>s intérêts de l</w:t>
      </w:r>
      <w:r w:rsidR="003075C9" w:rsidRPr="00E221DD">
        <w:rPr>
          <w:szCs w:val="22"/>
          <w:lang w:val="fr-FR"/>
        </w:rPr>
        <w:t>’</w:t>
      </w:r>
      <w:r w:rsidR="006A2537" w:rsidRPr="00E221DD">
        <w:rPr>
          <w:szCs w:val="22"/>
          <w:lang w:val="fr-FR"/>
        </w:rPr>
        <w:t>OMPI ont ainsi été bien préservés et les coûts maîtrisés</w:t>
      </w:r>
      <w:r w:rsidR="00297FD4" w:rsidRPr="00E221DD">
        <w:rPr>
          <w:szCs w:val="22"/>
          <w:lang w:val="fr-FR"/>
        </w:rPr>
        <w:t xml:space="preserve"> dans la mesure où</w:t>
      </w:r>
      <w:r w:rsidR="006A2537" w:rsidRPr="00E221DD">
        <w:rPr>
          <w:szCs w:val="22"/>
          <w:lang w:val="fr-FR"/>
        </w:rPr>
        <w:t xml:space="preserve"> tous les sous</w:t>
      </w:r>
      <w:r w:rsidR="00833955" w:rsidRPr="00E221DD">
        <w:rPr>
          <w:szCs w:val="22"/>
          <w:lang w:val="fr-FR"/>
        </w:rPr>
        <w:noBreakHyphen/>
      </w:r>
      <w:r w:rsidR="006A2537" w:rsidRPr="00E221DD">
        <w:rPr>
          <w:szCs w:val="22"/>
          <w:lang w:val="fr-FR"/>
        </w:rPr>
        <w:t>traitants concernés avaient confirmé leur volonté et leur engagement total quant à l</w:t>
      </w:r>
      <w:r w:rsidR="003075C9" w:rsidRPr="00E221DD">
        <w:rPr>
          <w:szCs w:val="22"/>
          <w:lang w:val="fr-FR"/>
        </w:rPr>
        <w:t>’</w:t>
      </w:r>
      <w:r w:rsidR="006A2537" w:rsidRPr="00E221DD">
        <w:rPr>
          <w:szCs w:val="22"/>
          <w:lang w:val="fr-FR"/>
        </w:rPr>
        <w:t>achèvement du projet pour l</w:t>
      </w:r>
      <w:r w:rsidR="003075C9" w:rsidRPr="00E221DD">
        <w:rPr>
          <w:szCs w:val="22"/>
          <w:lang w:val="fr-FR"/>
        </w:rPr>
        <w:t>’</w:t>
      </w:r>
      <w:r w:rsidR="006A2537" w:rsidRPr="00E221DD">
        <w:rPr>
          <w:szCs w:val="22"/>
          <w:lang w:val="fr-FR"/>
        </w:rPr>
        <w:t>OMPI</w:t>
      </w:r>
      <w:r w:rsidR="006A2537" w:rsidRPr="00E221DD">
        <w:rPr>
          <w:rStyle w:val="FootnoteReference"/>
          <w:szCs w:val="22"/>
          <w:lang w:val="fr-FR"/>
        </w:rPr>
        <w:footnoteReference w:id="6"/>
      </w:r>
      <w:r w:rsidR="006A2537" w:rsidRPr="00E221DD">
        <w:rPr>
          <w:szCs w:val="22"/>
          <w:lang w:val="fr-FR"/>
        </w:rPr>
        <w:t>.</w:t>
      </w:r>
      <w:r w:rsidR="006B48FA" w:rsidRPr="00E221DD">
        <w:rPr>
          <w:szCs w:val="22"/>
          <w:lang w:val="fr-FR"/>
        </w:rPr>
        <w:t xml:space="preserve">  </w:t>
      </w:r>
      <w:r w:rsidR="009F17AE" w:rsidRPr="00E221DD">
        <w:rPr>
          <w:szCs w:val="22"/>
          <w:lang w:val="fr-FR"/>
        </w:rPr>
        <w:t>Il n</w:t>
      </w:r>
      <w:r w:rsidR="003075C9" w:rsidRPr="00E221DD">
        <w:rPr>
          <w:szCs w:val="22"/>
          <w:lang w:val="fr-FR"/>
        </w:rPr>
        <w:t>’</w:t>
      </w:r>
      <w:r w:rsidR="009F17AE" w:rsidRPr="00E221DD">
        <w:rPr>
          <w:szCs w:val="22"/>
          <w:lang w:val="fr-FR"/>
        </w:rPr>
        <w:t>avait jamais été nécessaire d</w:t>
      </w:r>
      <w:r w:rsidR="003075C9" w:rsidRPr="00E221DD">
        <w:rPr>
          <w:szCs w:val="22"/>
          <w:lang w:val="fr-FR"/>
        </w:rPr>
        <w:t>’</w:t>
      </w:r>
      <w:r w:rsidR="00297FD4" w:rsidRPr="00E221DD">
        <w:rPr>
          <w:szCs w:val="22"/>
          <w:lang w:val="fr-FR"/>
        </w:rPr>
        <w:t>invoquer</w:t>
      </w:r>
      <w:r w:rsidR="009F17AE" w:rsidRPr="00E221DD">
        <w:rPr>
          <w:szCs w:val="22"/>
          <w:lang w:val="fr-FR"/>
        </w:rPr>
        <w:t xml:space="preserve"> cette </w:t>
      </w:r>
      <w:r w:rsidR="00297FD4" w:rsidRPr="00E221DD">
        <w:rPr>
          <w:szCs w:val="22"/>
          <w:lang w:val="fr-FR"/>
        </w:rPr>
        <w:t>clau</w:t>
      </w:r>
      <w:r w:rsidR="009F17AE" w:rsidRPr="00E221DD">
        <w:rPr>
          <w:szCs w:val="22"/>
          <w:lang w:val="fr-FR"/>
        </w:rPr>
        <w:t>s</w:t>
      </w:r>
      <w:r w:rsidR="00297FD4" w:rsidRPr="00E221DD">
        <w:rPr>
          <w:szCs w:val="22"/>
          <w:lang w:val="fr-FR"/>
        </w:rPr>
        <w:t>e</w:t>
      </w:r>
      <w:r w:rsidR="009F17AE" w:rsidRPr="00E221DD">
        <w:rPr>
          <w:szCs w:val="22"/>
          <w:lang w:val="fr-FR"/>
        </w:rPr>
        <w:t xml:space="preserve"> contractuelle dans un contrat de construction </w:t>
      </w:r>
      <w:r w:rsidR="00297FD4" w:rsidRPr="00E221DD">
        <w:rPr>
          <w:szCs w:val="22"/>
          <w:lang w:val="fr-FR"/>
        </w:rPr>
        <w:t xml:space="preserve">précédemment </w:t>
      </w:r>
      <w:r w:rsidR="009F17AE" w:rsidRPr="00E221DD">
        <w:rPr>
          <w:szCs w:val="22"/>
          <w:lang w:val="fr-FR"/>
        </w:rPr>
        <w:t>conclu par l</w:t>
      </w:r>
      <w:r w:rsidR="003075C9" w:rsidRPr="00E221DD">
        <w:rPr>
          <w:szCs w:val="22"/>
          <w:lang w:val="fr-FR"/>
        </w:rPr>
        <w:t>’</w:t>
      </w:r>
      <w:r w:rsidR="009F17AE" w:rsidRPr="00E221DD">
        <w:rPr>
          <w:szCs w:val="22"/>
          <w:lang w:val="fr-FR"/>
        </w:rPr>
        <w:t>OMPI jusqu</w:t>
      </w:r>
      <w:r w:rsidR="003075C9" w:rsidRPr="00E221DD">
        <w:rPr>
          <w:szCs w:val="22"/>
          <w:lang w:val="fr-FR"/>
        </w:rPr>
        <w:t>’</w:t>
      </w:r>
      <w:r w:rsidR="009F17AE" w:rsidRPr="00E221DD">
        <w:rPr>
          <w:szCs w:val="22"/>
          <w:lang w:val="fr-FR"/>
        </w:rPr>
        <w:t xml:space="preserve">à ce cas particulier, où elle </w:t>
      </w:r>
      <w:r w:rsidR="00297FD4" w:rsidRPr="00E221DD">
        <w:rPr>
          <w:szCs w:val="22"/>
          <w:lang w:val="fr-FR"/>
        </w:rPr>
        <w:t>s</w:t>
      </w:r>
      <w:r w:rsidR="003075C9" w:rsidRPr="00E221DD">
        <w:rPr>
          <w:szCs w:val="22"/>
          <w:lang w:val="fr-FR"/>
        </w:rPr>
        <w:t>’</w:t>
      </w:r>
      <w:r w:rsidR="00297FD4" w:rsidRPr="00E221DD">
        <w:rPr>
          <w:szCs w:val="22"/>
          <w:lang w:val="fr-FR"/>
        </w:rPr>
        <w:t xml:space="preserve">est révélée très utile pour </w:t>
      </w:r>
      <w:r w:rsidR="009F17AE" w:rsidRPr="00E221DD">
        <w:rPr>
          <w:szCs w:val="22"/>
          <w:lang w:val="fr-FR"/>
        </w:rPr>
        <w:t>sauvegarder les intérêts de l</w:t>
      </w:r>
      <w:r w:rsidR="003075C9" w:rsidRPr="00E221DD">
        <w:rPr>
          <w:szCs w:val="22"/>
          <w:lang w:val="fr-FR"/>
        </w:rPr>
        <w:t>’</w:t>
      </w:r>
      <w:r w:rsidR="009F17AE" w:rsidRPr="00E221DD">
        <w:rPr>
          <w:szCs w:val="22"/>
          <w:lang w:val="fr-FR"/>
        </w:rPr>
        <w:t>Organisation.</w:t>
      </w:r>
    </w:p>
    <w:p w:rsidR="0022588B" w:rsidRPr="00E221DD" w:rsidRDefault="00D3343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lastRenderedPageBreak/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obligation d</w:t>
      </w:r>
      <w:r w:rsidR="00297FD4" w:rsidRPr="00E221DD">
        <w:rPr>
          <w:szCs w:val="22"/>
          <w:lang w:val="fr-FR"/>
        </w:rPr>
        <w:t>e contracter</w:t>
      </w:r>
      <w:r w:rsidRPr="00E221DD">
        <w:rPr>
          <w:szCs w:val="22"/>
          <w:lang w:val="fr-FR"/>
        </w:rPr>
        <w:t xml:space="preserve"> des garanties bancaires à première</w:t>
      </w:r>
      <w:r w:rsidR="004B302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demande pour couvrir le coût des défauts susceptibles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être découverts dans les deux</w:t>
      </w:r>
      <w:r w:rsidR="004B302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années suivant la remise du bâtiment ou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installation </w:t>
      </w:r>
      <w:r w:rsidR="004B3025" w:rsidRPr="00E221DD">
        <w:rPr>
          <w:szCs w:val="22"/>
          <w:lang w:val="fr-FR"/>
        </w:rPr>
        <w:t>figura</w:t>
      </w:r>
      <w:r w:rsidRPr="00E221DD">
        <w:rPr>
          <w:szCs w:val="22"/>
          <w:lang w:val="fr-FR"/>
        </w:rPr>
        <w:t>it</w:t>
      </w:r>
      <w:r w:rsidR="004B3025" w:rsidRPr="00E221DD">
        <w:rPr>
          <w:szCs w:val="22"/>
          <w:lang w:val="fr-FR"/>
        </w:rPr>
        <w:t xml:space="preserve"> </w:t>
      </w:r>
      <w:r w:rsidRPr="00E221DD">
        <w:rPr>
          <w:szCs w:val="22"/>
          <w:lang w:val="fr-FR"/>
        </w:rPr>
        <w:t xml:space="preserve">dans </w:t>
      </w:r>
      <w:r w:rsidR="004B3025" w:rsidRPr="00E221DD">
        <w:rPr>
          <w:szCs w:val="22"/>
          <w:lang w:val="fr-FR"/>
        </w:rPr>
        <w:t xml:space="preserve">tous </w:t>
      </w:r>
      <w:r w:rsidRPr="00E221DD">
        <w:rPr>
          <w:szCs w:val="22"/>
          <w:lang w:val="fr-FR"/>
        </w:rPr>
        <w:t xml:space="preserve">les contrats </w:t>
      </w:r>
      <w:r w:rsidR="004B3025" w:rsidRPr="00E221DD">
        <w:rPr>
          <w:szCs w:val="22"/>
          <w:lang w:val="fr-FR"/>
        </w:rPr>
        <w:t xml:space="preserve">conclus </w:t>
      </w:r>
      <w:r w:rsidRPr="00E221DD">
        <w:rPr>
          <w:szCs w:val="22"/>
          <w:lang w:val="fr-FR"/>
        </w:rPr>
        <w:t>avec les entreprises de construction et les fournisseurs.</w:t>
      </w:r>
    </w:p>
    <w:p w:rsidR="0022588B" w:rsidRPr="00E221DD" w:rsidRDefault="00D3343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Certains contrats comportaient des pénalités de </w:t>
      </w:r>
      <w:r w:rsidR="004B3025" w:rsidRPr="00E221DD">
        <w:rPr>
          <w:szCs w:val="22"/>
          <w:lang w:val="fr-FR"/>
        </w:rPr>
        <w:t>retard</w:t>
      </w:r>
      <w:r w:rsidRPr="00E221DD">
        <w:rPr>
          <w:szCs w:val="22"/>
          <w:lang w:val="fr-FR"/>
        </w:rPr>
        <w:t>, mais pas to</w:t>
      </w:r>
      <w:r w:rsidR="00E55E3F" w:rsidRPr="00E221DD">
        <w:rPr>
          <w:szCs w:val="22"/>
          <w:lang w:val="fr-FR"/>
        </w:rPr>
        <w:t>us.  Le</w:t>
      </w:r>
      <w:r w:rsidRPr="00E221DD">
        <w:rPr>
          <w:szCs w:val="22"/>
          <w:lang w:val="fr-FR"/>
        </w:rPr>
        <w:t xml:space="preserve">s </w:t>
      </w:r>
      <w:r w:rsidR="004B3025" w:rsidRPr="00E221DD">
        <w:rPr>
          <w:szCs w:val="22"/>
          <w:lang w:val="fr-FR"/>
        </w:rPr>
        <w:t>pénalités de retard figurant</w:t>
      </w:r>
      <w:r w:rsidRPr="00E221DD">
        <w:rPr>
          <w:szCs w:val="22"/>
          <w:lang w:val="fr-FR"/>
        </w:rPr>
        <w:t xml:space="preserve"> dans les contrats des entreprises de construction ont été activé</w:t>
      </w:r>
      <w:r w:rsidR="004B3025" w:rsidRPr="00E221DD">
        <w:rPr>
          <w:szCs w:val="22"/>
          <w:lang w:val="fr-FR"/>
        </w:rPr>
        <w:t>e</w:t>
      </w:r>
      <w:r w:rsidRPr="00E221DD">
        <w:rPr>
          <w:szCs w:val="22"/>
          <w:lang w:val="fr-FR"/>
        </w:rPr>
        <w:t xml:space="preserve">s et les </w:t>
      </w:r>
      <w:r w:rsidR="004B3025" w:rsidRPr="00E221DD">
        <w:rPr>
          <w:szCs w:val="22"/>
          <w:lang w:val="fr-FR"/>
        </w:rPr>
        <w:t>indemni</w:t>
      </w:r>
      <w:r w:rsidRPr="00E221DD">
        <w:rPr>
          <w:szCs w:val="22"/>
          <w:lang w:val="fr-FR"/>
        </w:rPr>
        <w:t>tés ont été calculées, acceptées et versées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</w:t>
      </w:r>
      <w:r w:rsidR="00E55E3F" w:rsidRPr="00E221DD">
        <w:rPr>
          <w:szCs w:val="22"/>
          <w:lang w:val="fr-FR"/>
        </w:rPr>
        <w:t>MPI.  Vo</w:t>
      </w:r>
      <w:r w:rsidRPr="00E221DD">
        <w:rPr>
          <w:szCs w:val="22"/>
          <w:lang w:val="fr-FR"/>
        </w:rPr>
        <w:t>ir aussi le point</w:t>
      </w:r>
      <w:r w:rsidR="004B3025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4 ci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dessous.</w:t>
      </w:r>
    </w:p>
    <w:p w:rsidR="00B643EB" w:rsidRPr="00E221DD" w:rsidRDefault="00092392" w:rsidP="006D44F4">
      <w:pPr>
        <w:keepNext/>
        <w:tabs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e)</w:t>
      </w:r>
      <w:r w:rsidRPr="00E221DD">
        <w:rPr>
          <w:i/>
          <w:szCs w:val="22"/>
          <w:lang w:val="fr-FR"/>
        </w:rPr>
        <w:tab/>
        <w:t>Mandats élargis pour certaines entreprises spécialisées après que le contrat avec l</w:t>
      </w:r>
      <w:r w:rsidR="003075C9" w:rsidRPr="00E221DD">
        <w:rPr>
          <w:i/>
          <w:szCs w:val="22"/>
          <w:lang w:val="fr-FR"/>
        </w:rPr>
        <w:t>’</w:t>
      </w:r>
      <w:r w:rsidRPr="00E221DD">
        <w:rPr>
          <w:i/>
          <w:szCs w:val="22"/>
          <w:lang w:val="fr-FR"/>
        </w:rPr>
        <w:t>ancienne entreprise générale a été résilié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092392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Des mandats élargis ont été établis pour toutes les entreprises spécialisées, notamment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architecte, le pilote et les ingénieurs, afin de réattribuer di</w:t>
      </w:r>
      <w:r w:rsidR="0058087F" w:rsidRPr="00E221DD">
        <w:rPr>
          <w:szCs w:val="22"/>
          <w:lang w:val="fr-FR"/>
        </w:rPr>
        <w:t>fférent</w:t>
      </w:r>
      <w:r w:rsidRPr="00E221DD">
        <w:rPr>
          <w:szCs w:val="22"/>
          <w:lang w:val="fr-FR"/>
        </w:rPr>
        <w:t>s éléments des rôles et responsabilités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ancienne entreprise générale.</w:t>
      </w:r>
    </w:p>
    <w:p w:rsidR="0022588B" w:rsidRPr="00E221DD" w:rsidRDefault="0058087F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D</w:t>
      </w:r>
      <w:r w:rsidR="003075C9" w:rsidRPr="00E221DD">
        <w:rPr>
          <w:szCs w:val="22"/>
          <w:lang w:val="fr-FR"/>
        </w:rPr>
        <w:t>’</w:t>
      </w:r>
      <w:r w:rsidR="0086590E" w:rsidRPr="00E221DD">
        <w:rPr>
          <w:szCs w:val="22"/>
          <w:lang w:val="fr-FR"/>
        </w:rPr>
        <w:t>autres éléments des rôles et responsabilités de l</w:t>
      </w:r>
      <w:r w:rsidR="003075C9" w:rsidRPr="00E221DD">
        <w:rPr>
          <w:szCs w:val="22"/>
          <w:lang w:val="fr-FR"/>
        </w:rPr>
        <w:t>’</w:t>
      </w:r>
      <w:r w:rsidR="0086590E" w:rsidRPr="00E221DD">
        <w:rPr>
          <w:szCs w:val="22"/>
          <w:lang w:val="fr-FR"/>
        </w:rPr>
        <w:t xml:space="preserve">ancienne entreprise générale ont </w:t>
      </w:r>
      <w:r w:rsidRPr="00E221DD">
        <w:rPr>
          <w:szCs w:val="22"/>
          <w:lang w:val="fr-FR"/>
        </w:rPr>
        <w:t xml:space="preserve">par ailleurs </w:t>
      </w:r>
      <w:r w:rsidR="0086590E" w:rsidRPr="00E221DD">
        <w:rPr>
          <w:szCs w:val="22"/>
          <w:lang w:val="fr-FR"/>
        </w:rPr>
        <w:t>été réattribués à des unités administratives en interne (notamment en ce qui concerne le suivi des contrats avec les quelque</w:t>
      </w:r>
      <w:r w:rsidRPr="00E221DD">
        <w:rPr>
          <w:szCs w:val="22"/>
          <w:lang w:val="fr-FR"/>
        </w:rPr>
        <w:t> </w:t>
      </w:r>
      <w:r w:rsidR="0086590E" w:rsidRPr="00E221DD">
        <w:rPr>
          <w:szCs w:val="22"/>
          <w:lang w:val="fr-FR"/>
        </w:rPr>
        <w:t>80</w:t>
      </w:r>
      <w:r w:rsidRPr="00E221DD">
        <w:rPr>
          <w:szCs w:val="22"/>
          <w:lang w:val="fr-FR"/>
        </w:rPr>
        <w:t> </w:t>
      </w:r>
      <w:r w:rsidR="0086590E" w:rsidRPr="00E221DD">
        <w:rPr>
          <w:szCs w:val="22"/>
          <w:lang w:val="fr-FR"/>
        </w:rPr>
        <w:t>sous</w:t>
      </w:r>
      <w:r w:rsidR="00833955" w:rsidRPr="00E221DD">
        <w:rPr>
          <w:szCs w:val="22"/>
          <w:lang w:val="fr-FR"/>
        </w:rPr>
        <w:noBreakHyphen/>
      </w:r>
      <w:r w:rsidR="0086590E" w:rsidRPr="00E221DD">
        <w:rPr>
          <w:szCs w:val="22"/>
          <w:lang w:val="fr-FR"/>
        </w:rPr>
        <w:t>traitants et fournisseurs, la gestion des factures, paiements et autres transactions, ainsi que les frais administratifs co</w:t>
      </w:r>
      <w:r w:rsidRPr="00E221DD">
        <w:rPr>
          <w:szCs w:val="22"/>
          <w:lang w:val="fr-FR"/>
        </w:rPr>
        <w:t>rrespondan</w:t>
      </w:r>
      <w:r w:rsidR="00E55E3F" w:rsidRPr="00E221DD">
        <w:rPr>
          <w:szCs w:val="22"/>
          <w:lang w:val="fr-FR"/>
        </w:rPr>
        <w:t>ts).  Ce</w:t>
      </w:r>
      <w:r w:rsidR="0086590E" w:rsidRPr="00E221DD">
        <w:rPr>
          <w:szCs w:val="22"/>
          <w:lang w:val="fr-FR"/>
        </w:rPr>
        <w:t>tte réattribution, alliée au renforcement de la structure de gestion interne et aux ressources supplémentaires, a été cruciale pour mener à bonne fin le projet.</w:t>
      </w:r>
    </w:p>
    <w:p w:rsidR="00B643EB" w:rsidRPr="00E221DD" w:rsidRDefault="0086590E" w:rsidP="006D44F4">
      <w:pPr>
        <w:keepNext/>
        <w:tabs>
          <w:tab w:val="left" w:pos="567"/>
        </w:tabs>
        <w:ind w:left="567" w:hanging="567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>f)</w:t>
      </w:r>
      <w:r w:rsidRPr="00E221DD">
        <w:rPr>
          <w:i/>
          <w:szCs w:val="22"/>
          <w:lang w:val="fr-FR"/>
        </w:rPr>
        <w:tab/>
        <w:t>Solliciter et obtenir très tôt l</w:t>
      </w:r>
      <w:r w:rsidR="003075C9" w:rsidRPr="00E221DD">
        <w:rPr>
          <w:i/>
          <w:szCs w:val="22"/>
          <w:lang w:val="fr-FR"/>
        </w:rPr>
        <w:t>’</w:t>
      </w:r>
      <w:r w:rsidRPr="00E221DD">
        <w:rPr>
          <w:i/>
          <w:szCs w:val="22"/>
          <w:lang w:val="fr-FR"/>
        </w:rPr>
        <w:t>approbation</w:t>
      </w:r>
      <w:r w:rsidR="0058087F" w:rsidRPr="00E221DD">
        <w:rPr>
          <w:i/>
          <w:szCs w:val="22"/>
          <w:lang w:val="fr-FR"/>
        </w:rPr>
        <w:t xml:space="preserve"> </w:t>
      </w:r>
      <w:r w:rsidRPr="00E221DD">
        <w:rPr>
          <w:i/>
          <w:szCs w:val="22"/>
          <w:lang w:val="fr-FR"/>
        </w:rPr>
        <w:t>de</w:t>
      </w:r>
      <w:r w:rsidR="0058087F" w:rsidRPr="00E221DD">
        <w:rPr>
          <w:i/>
          <w:szCs w:val="22"/>
          <w:lang w:val="fr-FR"/>
        </w:rPr>
        <w:t>s</w:t>
      </w:r>
      <w:r w:rsidRPr="00E221DD">
        <w:rPr>
          <w:i/>
          <w:szCs w:val="22"/>
          <w:lang w:val="fr-FR"/>
        </w:rPr>
        <w:t xml:space="preserve"> crédits budgétaires additionnels</w:t>
      </w:r>
      <w:r w:rsidR="0058087F" w:rsidRPr="00E221DD">
        <w:rPr>
          <w:i/>
          <w:szCs w:val="22"/>
          <w:lang w:val="fr-FR"/>
        </w:rPr>
        <w:t xml:space="preserve"> par les États membres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9D4BE8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La question de savoir si des ressources supplémentaires étaient éventuellement nécessaires a été </w:t>
      </w:r>
      <w:r w:rsidR="00B7229F" w:rsidRPr="00E221DD">
        <w:rPr>
          <w:szCs w:val="22"/>
          <w:lang w:val="fr-FR"/>
        </w:rPr>
        <w:t>constamment</w:t>
      </w:r>
      <w:r w:rsidRPr="00E221DD">
        <w:rPr>
          <w:szCs w:val="22"/>
          <w:lang w:val="fr-FR"/>
        </w:rPr>
        <w:t xml:space="preserve"> évaluée, précisée et, le cas échéant, présentée de manière justifiée aux organes compétents (PBC et assemblées) en temps </w:t>
      </w:r>
      <w:r w:rsidR="00B7229F" w:rsidRPr="00E221DD">
        <w:rPr>
          <w:szCs w:val="22"/>
          <w:lang w:val="fr-FR"/>
        </w:rPr>
        <w:t>opportun</w:t>
      </w:r>
      <w:r w:rsidRPr="00E221DD">
        <w:rPr>
          <w:szCs w:val="22"/>
          <w:lang w:val="fr-FR"/>
        </w:rPr>
        <w:t xml:space="preserve"> et bien avant que de nouveaux engagements soient pris avec les sous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traitan</w:t>
      </w:r>
      <w:r w:rsidR="00E55E3F" w:rsidRPr="00E221DD">
        <w:rPr>
          <w:szCs w:val="22"/>
          <w:lang w:val="fr-FR"/>
        </w:rPr>
        <w:t>ts.  Le</w:t>
      </w:r>
      <w:r w:rsidRPr="00E221DD">
        <w:rPr>
          <w:szCs w:val="22"/>
          <w:lang w:val="fr-FR"/>
        </w:rPr>
        <w:t xml:space="preserve"> souci principal était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éviter de se retrouver dans une situation où, dans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intérêt de la mise en </w:t>
      </w:r>
      <w:r w:rsidR="00B7229F" w:rsidRPr="00E221DD">
        <w:rPr>
          <w:szCs w:val="22"/>
          <w:lang w:val="fr-FR"/>
        </w:rPr>
        <w:t xml:space="preserve">œuvre </w:t>
      </w:r>
      <w:r w:rsidRPr="00E221DD">
        <w:rPr>
          <w:szCs w:val="22"/>
          <w:lang w:val="fr-FR"/>
        </w:rPr>
        <w:t>du projet, des engagements seraient conclus avec les sous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 xml:space="preserve">traitants et des travaux effectués, mais où le paiement des factures finales devrait être mis en suspens </w:t>
      </w:r>
      <w:r w:rsidR="002D1B8A" w:rsidRPr="00E221DD">
        <w:rPr>
          <w:szCs w:val="22"/>
          <w:lang w:val="fr-FR"/>
        </w:rPr>
        <w:t>jusqu</w:t>
      </w:r>
      <w:r w:rsidR="003075C9" w:rsidRPr="00E221DD">
        <w:rPr>
          <w:szCs w:val="22"/>
          <w:lang w:val="fr-FR"/>
        </w:rPr>
        <w:t>’</w:t>
      </w:r>
      <w:r w:rsidR="002D1B8A" w:rsidRPr="00E221DD">
        <w:rPr>
          <w:szCs w:val="22"/>
          <w:lang w:val="fr-FR"/>
        </w:rPr>
        <w:t>à c</w:t>
      </w:r>
      <w:r w:rsidRPr="00E221DD">
        <w:rPr>
          <w:szCs w:val="22"/>
          <w:lang w:val="fr-FR"/>
        </w:rPr>
        <w:t xml:space="preserve">e que les crédits budgétaires additionnels aient été approuvés par les </w:t>
      </w:r>
      <w:r w:rsidR="002D1B8A" w:rsidRPr="00E221DD">
        <w:rPr>
          <w:szCs w:val="22"/>
          <w:lang w:val="fr-FR"/>
        </w:rPr>
        <w:t>É</w:t>
      </w:r>
      <w:r w:rsidRPr="00E221DD">
        <w:rPr>
          <w:szCs w:val="22"/>
          <w:lang w:val="fr-FR"/>
        </w:rPr>
        <w:t>tats membres.</w:t>
      </w:r>
    </w:p>
    <w:p w:rsidR="00B643EB" w:rsidRPr="00E221DD" w:rsidRDefault="009D4BE8" w:rsidP="00B3469F">
      <w:pPr>
        <w:keepNext/>
        <w:ind w:left="1134" w:hanging="567"/>
        <w:rPr>
          <w:b/>
          <w:szCs w:val="22"/>
          <w:lang w:val="fr-FR"/>
        </w:rPr>
      </w:pPr>
      <w:r w:rsidRPr="00E221DD">
        <w:rPr>
          <w:b/>
          <w:szCs w:val="22"/>
          <w:lang w:val="fr-FR"/>
        </w:rPr>
        <w:t>2)</w:t>
      </w:r>
      <w:r w:rsidRPr="00E221DD">
        <w:rPr>
          <w:b/>
          <w:szCs w:val="22"/>
          <w:lang w:val="fr-FR"/>
        </w:rPr>
        <w:tab/>
      </w:r>
      <w:r w:rsidR="004016FA">
        <w:rPr>
          <w:b/>
          <w:szCs w:val="22"/>
          <w:lang w:val="fr-FR"/>
        </w:rPr>
        <w:t>Opportunités offertes par le</w:t>
      </w:r>
      <w:r w:rsidRPr="00E221DD">
        <w:rPr>
          <w:b/>
          <w:szCs w:val="22"/>
          <w:lang w:val="fr-FR"/>
        </w:rPr>
        <w:t xml:space="preserve"> chantier, modifications </w:t>
      </w:r>
      <w:r w:rsidR="004016FA">
        <w:rPr>
          <w:b/>
          <w:szCs w:val="22"/>
          <w:lang w:val="fr-FR"/>
        </w:rPr>
        <w:t>de</w:t>
      </w:r>
      <w:r w:rsidRPr="00E221DD">
        <w:rPr>
          <w:b/>
          <w:szCs w:val="22"/>
          <w:lang w:val="fr-FR"/>
        </w:rPr>
        <w:t xml:space="preserve"> projet et </w:t>
      </w:r>
      <w:r w:rsidR="004016FA">
        <w:rPr>
          <w:b/>
          <w:szCs w:val="22"/>
          <w:lang w:val="fr-FR"/>
        </w:rPr>
        <w:t xml:space="preserve">économies </w:t>
      </w:r>
      <w:r w:rsidRPr="00E221DD">
        <w:rPr>
          <w:b/>
          <w:szCs w:val="22"/>
          <w:lang w:val="fr-FR"/>
        </w:rPr>
        <w:t>de coût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1B7824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Des coûts ont pu être évités à plusieurs reprises grâce à la capacité du Comité de gestion et coordination de la construction </w:t>
      </w:r>
      <w:r w:rsidR="002D1B8A" w:rsidRPr="00E221DD">
        <w:rPr>
          <w:szCs w:val="22"/>
          <w:lang w:val="fr-FR"/>
        </w:rPr>
        <w:t xml:space="preserve">de </w:t>
      </w:r>
      <w:r w:rsidRPr="00E221DD">
        <w:rPr>
          <w:szCs w:val="22"/>
          <w:lang w:val="fr-FR"/>
        </w:rPr>
        <w:t>réagir rapidement sur le chantier, évitant la mise en place de dispositifs provisoires inutiles qui auraient dû être re</w:t>
      </w:r>
      <w:r w:rsidR="002D1B8A" w:rsidRPr="00E221DD">
        <w:rPr>
          <w:szCs w:val="22"/>
          <w:lang w:val="fr-FR"/>
        </w:rPr>
        <w:t>touch</w:t>
      </w:r>
      <w:r w:rsidRPr="00E221DD">
        <w:rPr>
          <w:szCs w:val="22"/>
          <w:lang w:val="fr-FR"/>
        </w:rPr>
        <w:t xml:space="preserve">és </w:t>
      </w:r>
      <w:r w:rsidR="002D1B8A" w:rsidRPr="00E221DD">
        <w:rPr>
          <w:szCs w:val="22"/>
          <w:lang w:val="fr-FR"/>
        </w:rPr>
        <w:t xml:space="preserve">par la </w:t>
      </w:r>
      <w:r w:rsidRPr="00E221DD">
        <w:rPr>
          <w:szCs w:val="22"/>
          <w:lang w:val="fr-FR"/>
        </w:rPr>
        <w:t>suite,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une part, et grâce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intégration de modifications ou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améliorations qui ont </w:t>
      </w:r>
      <w:r w:rsidR="00006B55" w:rsidRPr="00E221DD">
        <w:rPr>
          <w:szCs w:val="22"/>
          <w:lang w:val="fr-FR"/>
        </w:rPr>
        <w:t>eu des effets positifs rapides sur l</w:t>
      </w:r>
      <w:r w:rsidR="003075C9" w:rsidRPr="00E221DD">
        <w:rPr>
          <w:szCs w:val="22"/>
          <w:lang w:val="fr-FR"/>
        </w:rPr>
        <w:t>’</w:t>
      </w:r>
      <w:r w:rsidR="00006B55" w:rsidRPr="00E221DD">
        <w:rPr>
          <w:szCs w:val="22"/>
          <w:lang w:val="fr-FR"/>
        </w:rPr>
        <w:t xml:space="preserve">ensemble des </w:t>
      </w:r>
      <w:r w:rsidRPr="00E221DD">
        <w:rPr>
          <w:szCs w:val="22"/>
          <w:lang w:val="fr-FR"/>
        </w:rPr>
        <w:t xml:space="preserve">objectifs du projet </w:t>
      </w:r>
      <w:r w:rsidR="00006B55" w:rsidRPr="00E221DD">
        <w:rPr>
          <w:szCs w:val="22"/>
          <w:lang w:val="fr-FR"/>
        </w:rPr>
        <w:t>moye</w:t>
      </w:r>
      <w:r w:rsidRPr="00E221DD">
        <w:rPr>
          <w:szCs w:val="22"/>
          <w:lang w:val="fr-FR"/>
        </w:rPr>
        <w:t>nnant un coût supplémentaire nul ou minimal,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autre pa</w:t>
      </w:r>
      <w:r w:rsidR="00E55E3F" w:rsidRPr="00E221DD">
        <w:rPr>
          <w:szCs w:val="22"/>
          <w:lang w:val="fr-FR"/>
        </w:rPr>
        <w:t>rt.  Pa</w:t>
      </w:r>
      <w:r w:rsidR="00C7344C" w:rsidRPr="00E221DD">
        <w:rPr>
          <w:szCs w:val="22"/>
          <w:lang w:val="fr-FR"/>
        </w:rPr>
        <w:t xml:space="preserve">rmi les modifications ou améliorations apportées au projet durant le chantier de la nouvelle salle de conférence qui sont devenues des éléments essentiels et ont </w:t>
      </w:r>
      <w:r w:rsidR="00006B55" w:rsidRPr="00E221DD">
        <w:rPr>
          <w:szCs w:val="22"/>
          <w:lang w:val="fr-FR"/>
        </w:rPr>
        <w:t>généré des avantages importants</w:t>
      </w:r>
      <w:r w:rsidR="00C7344C" w:rsidRPr="00E221DD">
        <w:rPr>
          <w:szCs w:val="22"/>
          <w:lang w:val="fr-FR"/>
        </w:rPr>
        <w:t xml:space="preserve"> à de nombreux égards</w:t>
      </w:r>
      <w:r w:rsidR="00006B55" w:rsidRPr="00E221DD">
        <w:rPr>
          <w:szCs w:val="22"/>
          <w:lang w:val="fr-FR"/>
        </w:rPr>
        <w:t xml:space="preserve">, on citera </w:t>
      </w:r>
      <w:r w:rsidR="00C7344C"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="00C7344C" w:rsidRPr="00E221DD">
        <w:rPr>
          <w:szCs w:val="22"/>
          <w:lang w:val="fr-FR"/>
        </w:rPr>
        <w:t>ajout d</w:t>
      </w:r>
      <w:r w:rsidR="003075C9" w:rsidRPr="00E221DD">
        <w:rPr>
          <w:szCs w:val="22"/>
          <w:lang w:val="fr-FR"/>
        </w:rPr>
        <w:t>’</w:t>
      </w:r>
      <w:r w:rsidR="00C7344C" w:rsidRPr="00E221DD">
        <w:rPr>
          <w:szCs w:val="22"/>
          <w:lang w:val="fr-FR"/>
        </w:rPr>
        <w:t>une porte près du podium pour un accès plus commode et rapide et l</w:t>
      </w:r>
      <w:r w:rsidR="003075C9" w:rsidRPr="00E221DD">
        <w:rPr>
          <w:szCs w:val="22"/>
          <w:lang w:val="fr-FR"/>
        </w:rPr>
        <w:t>’</w:t>
      </w:r>
      <w:r w:rsidR="00006B55" w:rsidRPr="00E221DD">
        <w:rPr>
          <w:szCs w:val="22"/>
          <w:lang w:val="fr-FR"/>
        </w:rPr>
        <w:t>a</w:t>
      </w:r>
      <w:r w:rsidR="00ED291A" w:rsidRPr="00E221DD">
        <w:rPr>
          <w:szCs w:val="22"/>
          <w:lang w:val="fr-FR"/>
        </w:rPr>
        <w:t>ménagement</w:t>
      </w:r>
      <w:r w:rsidR="00C7344C" w:rsidRPr="00E221DD">
        <w:rPr>
          <w:szCs w:val="22"/>
          <w:lang w:val="fr-FR"/>
        </w:rPr>
        <w:t xml:space="preserve"> de plusieurs pupitres dans la nouvelle salle </w:t>
      </w:r>
      <w:r w:rsidR="00006B55" w:rsidRPr="00E221DD">
        <w:rPr>
          <w:szCs w:val="22"/>
          <w:lang w:val="fr-FR"/>
        </w:rPr>
        <w:t>à l</w:t>
      </w:r>
      <w:r w:rsidR="003075C9" w:rsidRPr="00E221DD">
        <w:rPr>
          <w:szCs w:val="22"/>
          <w:lang w:val="fr-FR"/>
        </w:rPr>
        <w:t>’</w:t>
      </w:r>
      <w:r w:rsidR="00006B55" w:rsidRPr="00E221DD">
        <w:rPr>
          <w:szCs w:val="22"/>
          <w:lang w:val="fr-FR"/>
        </w:rPr>
        <w:t>intention d</w:t>
      </w:r>
      <w:r w:rsidR="00C7344C" w:rsidRPr="00E221DD">
        <w:rPr>
          <w:szCs w:val="22"/>
          <w:lang w:val="fr-FR"/>
        </w:rPr>
        <w:t>es personnes handicapées.</w:t>
      </w:r>
    </w:p>
    <w:p w:rsidR="00B643EB" w:rsidRPr="00E221DD" w:rsidRDefault="00C7344C" w:rsidP="006D44F4">
      <w:pPr>
        <w:pStyle w:val="ListParagraph"/>
        <w:keepNext/>
        <w:ind w:left="567"/>
        <w:rPr>
          <w:b/>
          <w:szCs w:val="22"/>
          <w:lang w:val="fr-FR"/>
        </w:rPr>
      </w:pPr>
      <w:r w:rsidRPr="00E221DD">
        <w:rPr>
          <w:b/>
          <w:szCs w:val="22"/>
          <w:lang w:val="fr-FR"/>
        </w:rPr>
        <w:t>3)</w:t>
      </w:r>
      <w:r w:rsidRPr="00E221DD">
        <w:rPr>
          <w:b/>
          <w:szCs w:val="22"/>
          <w:lang w:val="fr-FR"/>
        </w:rPr>
        <w:tab/>
        <w:t>Relations avec les autorités fédérales, cantonales et municipales du pays hôte</w:t>
      </w:r>
    </w:p>
    <w:p w:rsidR="00B643EB" w:rsidRPr="00E221DD" w:rsidRDefault="00B643EB" w:rsidP="006D44F4">
      <w:pPr>
        <w:pStyle w:val="ListParagraph"/>
        <w:keepNext/>
        <w:ind w:left="0"/>
        <w:rPr>
          <w:szCs w:val="22"/>
          <w:lang w:val="fr-FR"/>
        </w:rPr>
      </w:pPr>
    </w:p>
    <w:p w:rsidR="0022588B" w:rsidRPr="00E221DD" w:rsidRDefault="00C7344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Des demandes ont été déposées auprès des autorités cantonales et des permis de construire ont été obtenus pour le </w:t>
      </w:r>
      <w:r w:rsidR="00E221DD">
        <w:rPr>
          <w:szCs w:val="22"/>
          <w:lang w:val="fr-FR"/>
        </w:rPr>
        <w:t>N</w:t>
      </w:r>
      <w:r w:rsidRPr="00E221DD">
        <w:rPr>
          <w:szCs w:val="22"/>
          <w:lang w:val="fr-FR"/>
        </w:rPr>
        <w:t xml:space="preserve">ouveau </w:t>
      </w:r>
      <w:r w:rsidR="00E221DD">
        <w:rPr>
          <w:szCs w:val="22"/>
          <w:lang w:val="fr-FR"/>
        </w:rPr>
        <w:t>B</w:t>
      </w:r>
      <w:r w:rsidRPr="00E221DD">
        <w:rPr>
          <w:szCs w:val="22"/>
          <w:lang w:val="fr-FR"/>
        </w:rPr>
        <w:t xml:space="preserve">âtiment, ainsi que pour la nouvelle salle de conférence, </w:t>
      </w:r>
      <w:r w:rsidR="00ED291A" w:rsidRPr="00E221DD">
        <w:rPr>
          <w:szCs w:val="22"/>
          <w:lang w:val="fr-FR"/>
        </w:rPr>
        <w:t>ainsi qu</w:t>
      </w:r>
      <w:r w:rsidRPr="00E221DD">
        <w:rPr>
          <w:szCs w:val="22"/>
          <w:lang w:val="fr-FR"/>
        </w:rPr>
        <w:t xml:space="preserve">e divers autres permis </w:t>
      </w:r>
      <w:r w:rsidR="00ED291A" w:rsidRPr="00E221DD">
        <w:rPr>
          <w:szCs w:val="22"/>
          <w:lang w:val="fr-FR"/>
        </w:rPr>
        <w:t>portant sur l</w:t>
      </w:r>
      <w:r w:rsidRPr="00E221DD">
        <w:rPr>
          <w:szCs w:val="22"/>
          <w:lang w:val="fr-FR"/>
        </w:rPr>
        <w:t>es modifications apportées durant les chantiers respecti</w:t>
      </w:r>
      <w:r w:rsidR="00E55E3F" w:rsidRPr="00E221DD">
        <w:rPr>
          <w:szCs w:val="22"/>
          <w:lang w:val="fr-FR"/>
        </w:rPr>
        <w:t>fs.  Le</w:t>
      </w:r>
      <w:r w:rsidR="00EA71C2" w:rsidRPr="00E221DD">
        <w:rPr>
          <w:szCs w:val="22"/>
          <w:lang w:val="fr-FR"/>
        </w:rPr>
        <w:t>s relations professionnelles de grande qualité établies entre le Comité de gestion et coordination de la construction, le pilote, l</w:t>
      </w:r>
      <w:r w:rsidR="003075C9" w:rsidRPr="00E221DD">
        <w:rPr>
          <w:szCs w:val="22"/>
          <w:lang w:val="fr-FR"/>
        </w:rPr>
        <w:t>’</w:t>
      </w:r>
      <w:r w:rsidR="00EA71C2" w:rsidRPr="00E221DD">
        <w:rPr>
          <w:szCs w:val="22"/>
          <w:lang w:val="fr-FR"/>
        </w:rPr>
        <w:t>architecte et les ingénieurs, d</w:t>
      </w:r>
      <w:r w:rsidR="003075C9" w:rsidRPr="00E221DD">
        <w:rPr>
          <w:szCs w:val="22"/>
          <w:lang w:val="fr-FR"/>
        </w:rPr>
        <w:t>’</w:t>
      </w:r>
      <w:r w:rsidR="00EA71C2" w:rsidRPr="00E221DD">
        <w:rPr>
          <w:szCs w:val="22"/>
          <w:lang w:val="fr-FR"/>
        </w:rPr>
        <w:t xml:space="preserve">une part, </w:t>
      </w:r>
      <w:r w:rsidR="00EA71C2" w:rsidRPr="00E221DD">
        <w:rPr>
          <w:szCs w:val="22"/>
          <w:lang w:val="fr-FR"/>
        </w:rPr>
        <w:lastRenderedPageBreak/>
        <w:t>et les autorités cantonales et municipales, d</w:t>
      </w:r>
      <w:r w:rsidR="003075C9" w:rsidRPr="00E221DD">
        <w:rPr>
          <w:szCs w:val="22"/>
          <w:lang w:val="fr-FR"/>
        </w:rPr>
        <w:t>’</w:t>
      </w:r>
      <w:r w:rsidR="00EA71C2" w:rsidRPr="00E221DD">
        <w:rPr>
          <w:szCs w:val="22"/>
          <w:lang w:val="fr-FR"/>
        </w:rPr>
        <w:t xml:space="preserve">autre part, ont largement contribué à assurer </w:t>
      </w:r>
      <w:r w:rsidR="00ED291A" w:rsidRPr="00E221DD">
        <w:rPr>
          <w:szCs w:val="22"/>
          <w:lang w:val="fr-FR"/>
        </w:rPr>
        <w:t>très tôt une bonn</w:t>
      </w:r>
      <w:r w:rsidR="00EA71C2" w:rsidRPr="00E221DD">
        <w:rPr>
          <w:szCs w:val="22"/>
          <w:lang w:val="fr-FR"/>
        </w:rPr>
        <w:t>e compréhension des attent</w:t>
      </w:r>
      <w:r w:rsidR="00E55E3F" w:rsidRPr="00E221DD">
        <w:rPr>
          <w:szCs w:val="22"/>
          <w:lang w:val="fr-FR"/>
        </w:rPr>
        <w:t>es.  De</w:t>
      </w:r>
      <w:r w:rsidR="00EA71C2" w:rsidRPr="00E221DD">
        <w:rPr>
          <w:szCs w:val="22"/>
          <w:lang w:val="fr-FR"/>
        </w:rPr>
        <w:t>s rencontres directes et des visites sur place ont été organisées</w:t>
      </w:r>
      <w:r w:rsidR="00ED291A" w:rsidRPr="00E221DD">
        <w:rPr>
          <w:szCs w:val="22"/>
          <w:lang w:val="fr-FR"/>
        </w:rPr>
        <w:t xml:space="preserve"> au besoin</w:t>
      </w:r>
      <w:r w:rsidR="00EA71C2" w:rsidRPr="00E221DD">
        <w:rPr>
          <w:szCs w:val="22"/>
          <w:lang w:val="fr-FR"/>
        </w:rPr>
        <w:t>, réunissant toutes les parties prenantes</w:t>
      </w:r>
      <w:r w:rsidR="00ED291A" w:rsidRPr="00E221DD">
        <w:rPr>
          <w:szCs w:val="22"/>
          <w:lang w:val="fr-FR"/>
        </w:rPr>
        <w:t xml:space="preserve"> et favorisant</w:t>
      </w:r>
      <w:r w:rsidR="00EA71C2" w:rsidRPr="00E221DD">
        <w:rPr>
          <w:szCs w:val="22"/>
          <w:lang w:val="fr-FR"/>
        </w:rPr>
        <w:t xml:space="preserve"> </w:t>
      </w:r>
      <w:r w:rsidR="00ED291A" w:rsidRPr="00E221DD">
        <w:rPr>
          <w:szCs w:val="22"/>
          <w:lang w:val="fr-FR"/>
        </w:rPr>
        <w:t xml:space="preserve">la </w:t>
      </w:r>
      <w:r w:rsidR="00EA71C2" w:rsidRPr="00E221DD">
        <w:rPr>
          <w:szCs w:val="22"/>
          <w:lang w:val="fr-FR"/>
        </w:rPr>
        <w:t>m</w:t>
      </w:r>
      <w:r w:rsidR="00ED291A" w:rsidRPr="00E221DD">
        <w:rPr>
          <w:szCs w:val="22"/>
          <w:lang w:val="fr-FR"/>
        </w:rPr>
        <w:t>is</w:t>
      </w:r>
      <w:r w:rsidR="00EA71C2" w:rsidRPr="00E221DD">
        <w:rPr>
          <w:szCs w:val="22"/>
          <w:lang w:val="fr-FR"/>
        </w:rPr>
        <w:t xml:space="preserve">e en place </w:t>
      </w:r>
      <w:r w:rsidR="00ED291A" w:rsidRPr="00E221DD">
        <w:rPr>
          <w:szCs w:val="22"/>
          <w:lang w:val="fr-FR"/>
        </w:rPr>
        <w:t>d</w:t>
      </w:r>
      <w:r w:rsidR="003075C9" w:rsidRPr="00E221DD">
        <w:rPr>
          <w:szCs w:val="22"/>
          <w:lang w:val="fr-FR"/>
        </w:rPr>
        <w:t>’</w:t>
      </w:r>
      <w:r w:rsidR="00EA71C2" w:rsidRPr="00E221DD">
        <w:rPr>
          <w:szCs w:val="22"/>
          <w:lang w:val="fr-FR"/>
        </w:rPr>
        <w:t>un processus global harmonieux et efficace.</w:t>
      </w:r>
    </w:p>
    <w:p w:rsidR="0022588B" w:rsidRPr="00E221DD" w:rsidRDefault="00BB647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Par ailleurs, le pays hôte a été consulté sur certaines questions relatives à la mise en </w:t>
      </w:r>
      <w:r w:rsidR="00ED291A" w:rsidRPr="00E221DD">
        <w:rPr>
          <w:szCs w:val="22"/>
          <w:lang w:val="fr-FR"/>
        </w:rPr>
        <w:t xml:space="preserve">œuvre </w:t>
      </w:r>
      <w:r w:rsidRPr="00E221DD">
        <w:rPr>
          <w:szCs w:val="22"/>
          <w:lang w:val="fr-FR"/>
        </w:rPr>
        <w:t>des mesures de sécurité au titre des normes</w:t>
      </w:r>
      <w:r w:rsidR="00ED291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UN H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MOSS ou du droit de passage public sur le site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OMPI, quand bien même cela n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était pas requis en vertu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accord avec le pays hôte sur tous les suje</w:t>
      </w:r>
      <w:r w:rsidR="00E55E3F" w:rsidRPr="00E221DD">
        <w:rPr>
          <w:szCs w:val="22"/>
          <w:lang w:val="fr-FR"/>
        </w:rPr>
        <w:t>ts.  Ce</w:t>
      </w:r>
      <w:r w:rsidRPr="00E221DD">
        <w:rPr>
          <w:szCs w:val="22"/>
          <w:lang w:val="fr-FR"/>
        </w:rPr>
        <w:t>t esprit de coopération et de collaboration a renforcé le climat de bonne volonté qui règne déjà entre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Organisation et le pays hôte.</w:t>
      </w:r>
    </w:p>
    <w:p w:rsidR="00B643EB" w:rsidRPr="00E221DD" w:rsidRDefault="0051016C" w:rsidP="006D44F4">
      <w:pPr>
        <w:keepNext/>
        <w:ind w:left="567"/>
        <w:rPr>
          <w:b/>
          <w:szCs w:val="22"/>
          <w:lang w:val="fr-FR"/>
        </w:rPr>
      </w:pPr>
      <w:r w:rsidRPr="00E221DD">
        <w:rPr>
          <w:b/>
          <w:szCs w:val="22"/>
          <w:lang w:val="fr-FR"/>
        </w:rPr>
        <w:t>4)</w:t>
      </w:r>
      <w:r w:rsidRPr="00E221DD">
        <w:rPr>
          <w:b/>
          <w:szCs w:val="22"/>
          <w:lang w:val="fr-FR"/>
        </w:rPr>
        <w:tab/>
      </w:r>
      <w:r w:rsidR="00617A38" w:rsidRPr="00E221DD">
        <w:rPr>
          <w:b/>
          <w:szCs w:val="22"/>
          <w:lang w:val="fr-FR"/>
        </w:rPr>
        <w:t>Possibilités d</w:t>
      </w:r>
      <w:r w:rsidR="003075C9" w:rsidRPr="00E221DD">
        <w:rPr>
          <w:b/>
          <w:szCs w:val="22"/>
          <w:lang w:val="fr-FR"/>
        </w:rPr>
        <w:t>’</w:t>
      </w:r>
      <w:r w:rsidR="00617A38" w:rsidRPr="00E221DD">
        <w:rPr>
          <w:b/>
          <w:szCs w:val="22"/>
          <w:lang w:val="fr-FR"/>
        </w:rPr>
        <w:t>agir différemment ou plus tôt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51016C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Des pénalités de </w:t>
      </w:r>
      <w:r w:rsidR="00617A38" w:rsidRPr="00E221DD">
        <w:rPr>
          <w:szCs w:val="22"/>
          <w:lang w:val="fr-FR"/>
        </w:rPr>
        <w:t>retard</w:t>
      </w:r>
      <w:r w:rsidRPr="00E221DD">
        <w:rPr>
          <w:szCs w:val="22"/>
          <w:lang w:val="fr-FR"/>
        </w:rPr>
        <w:t xml:space="preserve"> auraient pu être incorporées dans plus de contrats, en particulier dans les contrats conclus avec des entreprises spécialisées</w:t>
      </w:r>
      <w:r w:rsidR="00617A38" w:rsidRPr="00E221DD">
        <w:rPr>
          <w:szCs w:val="22"/>
          <w:lang w:val="fr-FR"/>
        </w:rPr>
        <w:t>, et ce dès le dépa</w:t>
      </w:r>
      <w:r w:rsidR="00E55E3F" w:rsidRPr="00E221DD">
        <w:rPr>
          <w:szCs w:val="22"/>
          <w:lang w:val="fr-FR"/>
        </w:rPr>
        <w:t>rt.  Ce</w:t>
      </w:r>
      <w:r w:rsidR="00617A38" w:rsidRPr="00E221DD">
        <w:rPr>
          <w:szCs w:val="22"/>
          <w:lang w:val="fr-FR"/>
        </w:rPr>
        <w:t xml:space="preserve">tte possibilité doit </w:t>
      </w:r>
      <w:r w:rsidRPr="00E221DD">
        <w:rPr>
          <w:szCs w:val="22"/>
          <w:lang w:val="fr-FR"/>
        </w:rPr>
        <w:t xml:space="preserve">toutefois </w:t>
      </w:r>
      <w:r w:rsidR="00617A38" w:rsidRPr="00E221DD">
        <w:rPr>
          <w:szCs w:val="22"/>
          <w:lang w:val="fr-FR"/>
        </w:rPr>
        <w:t>être mise</w:t>
      </w:r>
      <w:r w:rsidRPr="00E221DD">
        <w:rPr>
          <w:szCs w:val="22"/>
          <w:lang w:val="fr-FR"/>
        </w:rPr>
        <w:t xml:space="preserve"> en balance avec l</w:t>
      </w:r>
      <w:r w:rsidR="003075C9" w:rsidRPr="00E221DD">
        <w:rPr>
          <w:szCs w:val="22"/>
          <w:lang w:val="fr-FR"/>
        </w:rPr>
        <w:t>’</w:t>
      </w:r>
      <w:r w:rsidR="00617A38" w:rsidRPr="00E221DD">
        <w:rPr>
          <w:szCs w:val="22"/>
          <w:lang w:val="fr-FR"/>
        </w:rPr>
        <w:t>inconvénient</w:t>
      </w:r>
      <w:r w:rsidRPr="00E221DD">
        <w:rPr>
          <w:szCs w:val="22"/>
          <w:lang w:val="fr-FR"/>
        </w:rPr>
        <w:t xml:space="preserve"> potentiel que les entreprises </w:t>
      </w:r>
      <w:r w:rsidR="00617A38" w:rsidRPr="00E221DD">
        <w:rPr>
          <w:szCs w:val="22"/>
          <w:lang w:val="fr-FR"/>
        </w:rPr>
        <w:t>intègre</w:t>
      </w:r>
      <w:r w:rsidRPr="00E221DD">
        <w:rPr>
          <w:szCs w:val="22"/>
          <w:lang w:val="fr-FR"/>
        </w:rPr>
        <w:t xml:space="preserve">nt </w:t>
      </w:r>
      <w:r w:rsidR="00617A38" w:rsidRPr="00E221DD">
        <w:rPr>
          <w:szCs w:val="22"/>
          <w:lang w:val="fr-FR"/>
        </w:rPr>
        <w:t xml:space="preserve">le </w:t>
      </w:r>
      <w:r w:rsidRPr="00E221DD">
        <w:rPr>
          <w:szCs w:val="22"/>
          <w:lang w:val="fr-FR"/>
        </w:rPr>
        <w:t xml:space="preserve">risque de devoir payer une pénalité de </w:t>
      </w:r>
      <w:r w:rsidR="00617A38" w:rsidRPr="00E221DD">
        <w:rPr>
          <w:szCs w:val="22"/>
          <w:lang w:val="fr-FR"/>
        </w:rPr>
        <w:t>retard</w:t>
      </w:r>
      <w:r w:rsidRPr="00E221DD">
        <w:rPr>
          <w:szCs w:val="22"/>
          <w:lang w:val="fr-FR"/>
        </w:rPr>
        <w:t xml:space="preserve"> dans le prix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offre, ce qui aurait </w:t>
      </w:r>
      <w:r w:rsidR="00617A38" w:rsidRPr="00E221DD">
        <w:rPr>
          <w:szCs w:val="22"/>
          <w:lang w:val="fr-FR"/>
        </w:rPr>
        <w:t xml:space="preserve">affecté </w:t>
      </w:r>
      <w:r w:rsidRPr="00E221DD">
        <w:rPr>
          <w:szCs w:val="22"/>
          <w:lang w:val="fr-FR"/>
        </w:rPr>
        <w:t>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ensemble du budget.</w:t>
      </w:r>
    </w:p>
    <w:p w:rsidR="0022588B" w:rsidRPr="00E221DD" w:rsidRDefault="00AA44C7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 xml:space="preserve">La </w:t>
      </w:r>
      <w:r w:rsidR="003D209A" w:rsidRPr="00E221DD">
        <w:rPr>
          <w:szCs w:val="22"/>
          <w:lang w:val="fr-FR"/>
        </w:rPr>
        <w:t>mise en place</w:t>
      </w:r>
      <w:r w:rsidRPr="00E221DD">
        <w:rPr>
          <w:szCs w:val="22"/>
          <w:lang w:val="fr-FR"/>
        </w:rPr>
        <w:t xml:space="preserve"> </w:t>
      </w:r>
      <w:r w:rsidR="003D209A" w:rsidRPr="00E221DD">
        <w:rPr>
          <w:szCs w:val="22"/>
          <w:lang w:val="fr-FR"/>
        </w:rPr>
        <w:t>plus tôt dans le processus</w:t>
      </w:r>
      <w:r w:rsidRPr="00E221DD">
        <w:rPr>
          <w:szCs w:val="22"/>
          <w:lang w:val="fr-FR"/>
        </w:rPr>
        <w:t xml:space="preserve"> de certaines mesures aurait </w:t>
      </w:r>
      <w:r w:rsidR="003D209A" w:rsidRPr="00E221DD">
        <w:rPr>
          <w:szCs w:val="22"/>
          <w:lang w:val="fr-FR"/>
        </w:rPr>
        <w:t>c</w:t>
      </w:r>
      <w:r w:rsidRPr="00E221DD">
        <w:rPr>
          <w:szCs w:val="22"/>
          <w:lang w:val="fr-FR"/>
        </w:rPr>
        <w:t>on</w:t>
      </w:r>
      <w:r w:rsidR="003D209A" w:rsidRPr="00E221DD">
        <w:rPr>
          <w:szCs w:val="22"/>
          <w:lang w:val="fr-FR"/>
        </w:rPr>
        <w:t>fér</w:t>
      </w:r>
      <w:r w:rsidRPr="00E221DD">
        <w:rPr>
          <w:szCs w:val="22"/>
          <w:lang w:val="fr-FR"/>
        </w:rPr>
        <w:t>é une plus grande souplesse au</w:t>
      </w:r>
      <w:r w:rsidR="003D209A" w:rsidRPr="00E221DD">
        <w:rPr>
          <w:szCs w:val="22"/>
          <w:lang w:val="fr-FR"/>
        </w:rPr>
        <w:t xml:space="preserve"> sein du</w:t>
      </w:r>
      <w:r w:rsidRPr="00E221DD">
        <w:rPr>
          <w:szCs w:val="22"/>
          <w:lang w:val="fr-FR"/>
        </w:rPr>
        <w:t xml:space="preserve"> cadre </w:t>
      </w:r>
      <w:r w:rsidR="003D209A" w:rsidRPr="00E221DD">
        <w:rPr>
          <w:szCs w:val="22"/>
          <w:lang w:val="fr-FR"/>
        </w:rPr>
        <w:t>établi </w:t>
      </w:r>
      <w:r w:rsidRPr="00E221DD">
        <w:rPr>
          <w:szCs w:val="22"/>
          <w:lang w:val="fr-FR"/>
        </w:rPr>
        <w:t xml:space="preserve">: création </w:t>
      </w:r>
      <w:r w:rsidR="003D209A" w:rsidRPr="00E221DD">
        <w:rPr>
          <w:szCs w:val="22"/>
          <w:lang w:val="fr-FR"/>
        </w:rPr>
        <w:t xml:space="preserve">à un stade </w:t>
      </w:r>
      <w:r w:rsidRPr="00E221DD">
        <w:rPr>
          <w:szCs w:val="22"/>
          <w:lang w:val="fr-FR"/>
        </w:rPr>
        <w:t>plus précoce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</w:t>
      </w:r>
      <w:r w:rsidR="003D209A" w:rsidRPr="00E221DD">
        <w:rPr>
          <w:szCs w:val="22"/>
          <w:lang w:val="fr-FR"/>
        </w:rPr>
        <w:t>n</w:t>
      </w:r>
      <w:r w:rsidRPr="00E221DD">
        <w:rPr>
          <w:szCs w:val="22"/>
          <w:lang w:val="fr-FR"/>
        </w:rPr>
        <w:t xml:space="preserve"> comité ad</w:t>
      </w:r>
      <w:r w:rsidR="003D209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hoc chargé des contrats (tel le Comité ad</w:t>
      </w:r>
      <w:r w:rsidR="003D209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hoc des contrats pour la salle de conférence) et application ant</w:t>
      </w:r>
      <w:r w:rsidR="003D209A" w:rsidRPr="00E221DD">
        <w:rPr>
          <w:szCs w:val="22"/>
          <w:lang w:val="fr-FR"/>
        </w:rPr>
        <w:t>icip</w:t>
      </w:r>
      <w:r w:rsidRPr="00E221DD">
        <w:rPr>
          <w:szCs w:val="22"/>
          <w:lang w:val="fr-FR"/>
        </w:rPr>
        <w:t>ée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un seuil plus élevé pour les procédures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appel</w:t>
      </w:r>
      <w:r w:rsidR="000571AF" w:rsidRPr="00E221DD">
        <w:rPr>
          <w:szCs w:val="22"/>
          <w:lang w:val="fr-FR"/>
        </w:rPr>
        <w:t>s</w:t>
      </w:r>
      <w:r w:rsidRPr="00E221DD">
        <w:rPr>
          <w:szCs w:val="22"/>
          <w:lang w:val="fr-FR"/>
        </w:rPr>
        <w:t xml:space="preserve"> d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offres.</w:t>
      </w:r>
    </w:p>
    <w:p w:rsidR="0022588B" w:rsidRPr="00E221DD" w:rsidRDefault="000571AF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Une p</w:t>
      </w:r>
      <w:r w:rsidR="000118D5" w:rsidRPr="00E221DD">
        <w:rPr>
          <w:szCs w:val="22"/>
          <w:lang w:val="fr-FR"/>
        </w:rPr>
        <w:t xml:space="preserve">lus </w:t>
      </w:r>
      <w:r w:rsidRPr="00E221DD">
        <w:rPr>
          <w:szCs w:val="22"/>
          <w:lang w:val="fr-FR"/>
        </w:rPr>
        <w:t xml:space="preserve">grande </w:t>
      </w:r>
      <w:r w:rsidR="000118D5" w:rsidRPr="00E221DD">
        <w:rPr>
          <w:szCs w:val="22"/>
          <w:lang w:val="fr-FR"/>
        </w:rPr>
        <w:t>attention aurait pu être portée au début (c</w:t>
      </w:r>
      <w:r w:rsidR="003075C9" w:rsidRPr="00E221DD">
        <w:rPr>
          <w:szCs w:val="22"/>
          <w:lang w:val="fr-FR"/>
        </w:rPr>
        <w:t>’</w:t>
      </w:r>
      <w:r w:rsidR="000118D5" w:rsidRPr="00E221DD">
        <w:rPr>
          <w:szCs w:val="22"/>
          <w:lang w:val="fr-FR"/>
        </w:rPr>
        <w:t>est</w:t>
      </w:r>
      <w:r w:rsidR="00833955" w:rsidRPr="00E221DD">
        <w:rPr>
          <w:szCs w:val="22"/>
          <w:lang w:val="fr-FR"/>
        </w:rPr>
        <w:noBreakHyphen/>
      </w:r>
      <w:r w:rsidR="000118D5" w:rsidRPr="00E221DD">
        <w:rPr>
          <w:szCs w:val="22"/>
          <w:lang w:val="fr-FR"/>
        </w:rPr>
        <w:t>à</w:t>
      </w:r>
      <w:r w:rsidR="00833955" w:rsidRPr="00E221DD">
        <w:rPr>
          <w:szCs w:val="22"/>
          <w:lang w:val="fr-FR"/>
        </w:rPr>
        <w:noBreakHyphen/>
      </w:r>
      <w:r w:rsidR="000118D5" w:rsidRPr="00E221DD">
        <w:rPr>
          <w:szCs w:val="22"/>
          <w:lang w:val="fr-FR"/>
        </w:rPr>
        <w:t xml:space="preserve">dire lorsque la gestion directe du chantier a été reprise en interne) </w:t>
      </w:r>
      <w:r w:rsidR="00E910DB" w:rsidRPr="00E221DD">
        <w:rPr>
          <w:szCs w:val="22"/>
          <w:lang w:val="fr-FR"/>
        </w:rPr>
        <w:t>en vue de repréciser l</w:t>
      </w:r>
      <w:r w:rsidR="000118D5" w:rsidRPr="00E221DD">
        <w:rPr>
          <w:szCs w:val="22"/>
          <w:lang w:val="fr-FR"/>
        </w:rPr>
        <w:t xml:space="preserve">es rôles et responsabilités des entreprises spécialisées (architecte, pilote et ingénieurs) et </w:t>
      </w:r>
      <w:r w:rsidR="00E910DB" w:rsidRPr="00E221DD">
        <w:rPr>
          <w:szCs w:val="22"/>
          <w:lang w:val="fr-FR"/>
        </w:rPr>
        <w:t>les</w:t>
      </w:r>
      <w:r w:rsidR="000118D5" w:rsidRPr="00E221DD">
        <w:rPr>
          <w:szCs w:val="22"/>
          <w:lang w:val="fr-FR"/>
        </w:rPr>
        <w:t xml:space="preserve"> interactions et dépendances qui les lient, afin d</w:t>
      </w:r>
      <w:r w:rsidR="003075C9" w:rsidRPr="00E221DD">
        <w:rPr>
          <w:szCs w:val="22"/>
          <w:lang w:val="fr-FR"/>
        </w:rPr>
        <w:t>’</w:t>
      </w:r>
      <w:r w:rsidR="000118D5" w:rsidRPr="00E221DD">
        <w:rPr>
          <w:szCs w:val="22"/>
          <w:lang w:val="fr-FR"/>
        </w:rPr>
        <w:t xml:space="preserve">éviter la découverte ultérieure de </w:t>
      </w:r>
      <w:r w:rsidR="00E910DB" w:rsidRPr="00E221DD">
        <w:rPr>
          <w:szCs w:val="22"/>
          <w:lang w:val="fr-FR"/>
        </w:rPr>
        <w:t>d</w:t>
      </w:r>
      <w:r w:rsidR="006F69C7" w:rsidRPr="00E221DD">
        <w:rPr>
          <w:szCs w:val="22"/>
          <w:lang w:val="fr-FR"/>
        </w:rPr>
        <w:t>écalag</w:t>
      </w:r>
      <w:r w:rsidR="00E910DB" w:rsidRPr="00E221DD">
        <w:rPr>
          <w:szCs w:val="22"/>
          <w:lang w:val="fr-FR"/>
        </w:rPr>
        <w:t>es</w:t>
      </w:r>
      <w:r w:rsidR="000118D5" w:rsidRPr="00E221DD">
        <w:rPr>
          <w:szCs w:val="22"/>
          <w:lang w:val="fr-FR"/>
        </w:rPr>
        <w:t xml:space="preserve"> entre les domaines de compétence respectifs et les attentes </w:t>
      </w:r>
      <w:r w:rsidR="00E910DB" w:rsidRPr="00E221DD">
        <w:rPr>
          <w:szCs w:val="22"/>
          <w:lang w:val="fr-FR"/>
        </w:rPr>
        <w:t>les concernant</w:t>
      </w:r>
      <w:r w:rsidR="002A18E0">
        <w:rPr>
          <w:szCs w:val="22"/>
          <w:lang w:val="fr-FR"/>
        </w:rPr>
        <w:t>,</w:t>
      </w:r>
      <w:r w:rsidR="000118D5" w:rsidRPr="00E221DD">
        <w:rPr>
          <w:szCs w:val="22"/>
          <w:lang w:val="fr-FR"/>
        </w:rPr>
        <w:t xml:space="preserve"> </w:t>
      </w:r>
      <w:r w:rsidR="00E910DB" w:rsidRPr="00E221DD">
        <w:rPr>
          <w:szCs w:val="22"/>
          <w:lang w:val="fr-FR"/>
        </w:rPr>
        <w:t>et les</w:t>
      </w:r>
      <w:r w:rsidR="000118D5" w:rsidRPr="00E221DD">
        <w:rPr>
          <w:szCs w:val="22"/>
          <w:lang w:val="fr-FR"/>
        </w:rPr>
        <w:t xml:space="preserve"> attentes </w:t>
      </w:r>
      <w:r w:rsidR="002A18E0">
        <w:rPr>
          <w:szCs w:val="22"/>
          <w:lang w:val="fr-FR"/>
        </w:rPr>
        <w:t xml:space="preserve">du point de vue de la </w:t>
      </w:r>
      <w:r w:rsidR="00E910DB" w:rsidRPr="00E221DD">
        <w:rPr>
          <w:szCs w:val="22"/>
          <w:lang w:val="fr-FR"/>
        </w:rPr>
        <w:t>gestion d</w:t>
      </w:r>
      <w:r w:rsidR="006F69C7" w:rsidRPr="00E221DD">
        <w:rPr>
          <w:szCs w:val="22"/>
          <w:lang w:val="fr-FR"/>
        </w:rPr>
        <w:t>u</w:t>
      </w:r>
      <w:r w:rsidR="000118D5" w:rsidRPr="00E221DD">
        <w:rPr>
          <w:szCs w:val="22"/>
          <w:lang w:val="fr-FR"/>
        </w:rPr>
        <w:t xml:space="preserve"> proj</w:t>
      </w:r>
      <w:r w:rsidR="00E55E3F" w:rsidRPr="00E221DD">
        <w:rPr>
          <w:szCs w:val="22"/>
          <w:lang w:val="fr-FR"/>
        </w:rPr>
        <w:t>et.  L’e</w:t>
      </w:r>
      <w:r w:rsidR="000118D5" w:rsidRPr="00E221DD">
        <w:rPr>
          <w:szCs w:val="22"/>
          <w:lang w:val="fr-FR"/>
        </w:rPr>
        <w:t>ngagement d</w:t>
      </w:r>
      <w:r w:rsidR="003075C9" w:rsidRPr="00E221DD">
        <w:rPr>
          <w:szCs w:val="22"/>
          <w:lang w:val="fr-FR"/>
        </w:rPr>
        <w:t>’</w:t>
      </w:r>
      <w:r w:rsidR="000118D5" w:rsidRPr="00E221DD">
        <w:rPr>
          <w:szCs w:val="22"/>
          <w:lang w:val="fr-FR"/>
        </w:rPr>
        <w:t>un expert financier ayant l</w:t>
      </w:r>
      <w:r w:rsidR="003075C9" w:rsidRPr="00E221DD">
        <w:rPr>
          <w:szCs w:val="22"/>
          <w:lang w:val="fr-FR"/>
        </w:rPr>
        <w:t>’</w:t>
      </w:r>
      <w:r w:rsidR="000118D5" w:rsidRPr="00E221DD">
        <w:rPr>
          <w:szCs w:val="22"/>
          <w:lang w:val="fr-FR"/>
        </w:rPr>
        <w:t xml:space="preserve">expérience des grands projets de construction </w:t>
      </w:r>
      <w:r w:rsidR="00694B8D">
        <w:rPr>
          <w:szCs w:val="22"/>
          <w:lang w:val="fr-FR"/>
        </w:rPr>
        <w:t xml:space="preserve">dès le </w:t>
      </w:r>
      <w:r w:rsidR="000118D5" w:rsidRPr="00E221DD">
        <w:rPr>
          <w:szCs w:val="22"/>
          <w:lang w:val="fr-FR"/>
        </w:rPr>
        <w:t xml:space="preserve">moment où la gestion directe du chantier </w:t>
      </w:r>
      <w:r w:rsidR="006F69C7" w:rsidRPr="00E221DD">
        <w:rPr>
          <w:szCs w:val="22"/>
          <w:lang w:val="fr-FR"/>
        </w:rPr>
        <w:t xml:space="preserve">a été reprise en interne </w:t>
      </w:r>
      <w:r w:rsidR="000118D5" w:rsidRPr="00E221DD">
        <w:rPr>
          <w:szCs w:val="22"/>
          <w:lang w:val="fr-FR"/>
        </w:rPr>
        <w:t>aurait également été utile.</w:t>
      </w:r>
    </w:p>
    <w:p w:rsidR="00B643EB" w:rsidRPr="00E221DD" w:rsidRDefault="00A82C6D" w:rsidP="006D44F4">
      <w:pPr>
        <w:keepNext/>
        <w:ind w:left="1134" w:hanging="567"/>
        <w:rPr>
          <w:b/>
          <w:szCs w:val="22"/>
          <w:lang w:val="fr-FR"/>
        </w:rPr>
      </w:pPr>
      <w:r w:rsidRPr="00E221DD">
        <w:rPr>
          <w:b/>
          <w:szCs w:val="22"/>
          <w:lang w:val="fr-FR"/>
        </w:rPr>
        <w:t>5)</w:t>
      </w:r>
      <w:r w:rsidR="000118D5" w:rsidRPr="00E221DD">
        <w:rPr>
          <w:b/>
          <w:szCs w:val="22"/>
          <w:lang w:val="fr-FR"/>
        </w:rPr>
        <w:tab/>
        <w:t xml:space="preserve">Importance du partage des expériences entre institutions du système des </w:t>
      </w:r>
      <w:r w:rsidR="003075C9" w:rsidRPr="00E221DD">
        <w:rPr>
          <w:b/>
          <w:szCs w:val="22"/>
          <w:lang w:val="fr-FR"/>
        </w:rPr>
        <w:t>Nations Unies</w:t>
      </w:r>
      <w:r w:rsidR="000118D5" w:rsidRPr="00E221DD">
        <w:rPr>
          <w:b/>
          <w:szCs w:val="22"/>
          <w:lang w:val="fr-FR"/>
        </w:rPr>
        <w:t xml:space="preserve"> et </w:t>
      </w:r>
      <w:r w:rsidR="00694B8D">
        <w:rPr>
          <w:b/>
          <w:szCs w:val="22"/>
          <w:lang w:val="fr-FR"/>
        </w:rPr>
        <w:t xml:space="preserve">autres </w:t>
      </w:r>
      <w:r w:rsidR="000118D5" w:rsidRPr="00E221DD">
        <w:rPr>
          <w:b/>
          <w:szCs w:val="22"/>
          <w:lang w:val="fr-FR"/>
        </w:rPr>
        <w:t xml:space="preserve">organisations internationales et régionales </w:t>
      </w:r>
    </w:p>
    <w:p w:rsidR="00B643EB" w:rsidRPr="00E221DD" w:rsidRDefault="00B643EB" w:rsidP="006D44F4">
      <w:pPr>
        <w:keepNext/>
        <w:rPr>
          <w:szCs w:val="22"/>
          <w:lang w:val="fr-FR"/>
        </w:rPr>
      </w:pPr>
    </w:p>
    <w:p w:rsidR="0022588B" w:rsidRPr="00E221DD" w:rsidRDefault="00721759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t>Cela fait plusieurs années que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 xml:space="preserve">Organisation partage son expérience avec plusieurs institutions des </w:t>
      </w:r>
      <w:r w:rsidR="003075C9" w:rsidRPr="00E221DD">
        <w:rPr>
          <w:szCs w:val="22"/>
          <w:lang w:val="fr-FR"/>
        </w:rPr>
        <w:t>Nations Unies</w:t>
      </w:r>
      <w:r w:rsidRPr="00E221DD">
        <w:rPr>
          <w:szCs w:val="22"/>
          <w:lang w:val="fr-FR"/>
        </w:rPr>
        <w:t xml:space="preserve">, </w:t>
      </w:r>
      <w:r w:rsidR="006F69C7" w:rsidRPr="00E221DD">
        <w:rPr>
          <w:szCs w:val="22"/>
          <w:lang w:val="fr-FR"/>
        </w:rPr>
        <w:t xml:space="preserve">que ce </w:t>
      </w:r>
      <w:r w:rsidRPr="00E221DD">
        <w:rPr>
          <w:szCs w:val="22"/>
          <w:lang w:val="fr-FR"/>
        </w:rPr>
        <w:t xml:space="preserve">soit dans le cadre des réunions annuelles du réseau mondial </w:t>
      </w:r>
      <w:proofErr w:type="spellStart"/>
      <w:r w:rsidRPr="00E221DD">
        <w:rPr>
          <w:szCs w:val="22"/>
          <w:lang w:val="fr-FR"/>
        </w:rPr>
        <w:t>interorganisations</w:t>
      </w:r>
      <w:proofErr w:type="spellEnd"/>
      <w:r w:rsidRPr="00E221DD">
        <w:rPr>
          <w:szCs w:val="22"/>
          <w:lang w:val="fr-FR"/>
        </w:rPr>
        <w:t xml:space="preserve"> des responsables de la gestion des </w:t>
      </w:r>
      <w:r w:rsidR="00694B8D">
        <w:rPr>
          <w:szCs w:val="22"/>
          <w:lang w:val="fr-FR"/>
        </w:rPr>
        <w:t xml:space="preserve">bâtiments </w:t>
      </w:r>
      <w:r w:rsidRPr="00E221DD">
        <w:rPr>
          <w:szCs w:val="22"/>
          <w:lang w:val="fr-FR"/>
        </w:rPr>
        <w:t>(INFM)</w:t>
      </w:r>
      <w:r w:rsidRPr="00E221DD">
        <w:rPr>
          <w:rStyle w:val="FootnoteReference"/>
          <w:szCs w:val="22"/>
          <w:lang w:val="fr-FR"/>
        </w:rPr>
        <w:footnoteReference w:id="7"/>
      </w:r>
      <w:r w:rsidRPr="00E221DD">
        <w:rPr>
          <w:szCs w:val="22"/>
          <w:lang w:val="fr-FR"/>
        </w:rPr>
        <w:t xml:space="preserve"> o</w:t>
      </w:r>
      <w:r w:rsidR="006F69C7" w:rsidRPr="00E221DD">
        <w:rPr>
          <w:szCs w:val="22"/>
          <w:lang w:val="fr-FR"/>
        </w:rPr>
        <w:t>u</w:t>
      </w:r>
      <w:r w:rsidRPr="00E221DD">
        <w:rPr>
          <w:szCs w:val="22"/>
          <w:lang w:val="fr-FR"/>
        </w:rPr>
        <w:t xml:space="preserve"> de réunions multilatérales ou bilatérales particulières organisées entre </w:t>
      </w:r>
      <w:r w:rsidR="00694B8D">
        <w:rPr>
          <w:szCs w:val="22"/>
          <w:lang w:val="fr-FR"/>
        </w:rPr>
        <w:t>des</w:t>
      </w:r>
      <w:r w:rsidR="00A67835">
        <w:rPr>
          <w:szCs w:val="22"/>
          <w:lang w:val="fr-FR"/>
        </w:rPr>
        <w:t xml:space="preserve"> </w:t>
      </w:r>
      <w:r w:rsidRPr="00E221DD">
        <w:rPr>
          <w:szCs w:val="22"/>
          <w:lang w:val="fr-FR"/>
        </w:rPr>
        <w:t xml:space="preserve">institutions des </w:t>
      </w:r>
      <w:r w:rsidR="003075C9" w:rsidRPr="00E221DD">
        <w:rPr>
          <w:szCs w:val="22"/>
          <w:lang w:val="fr-FR"/>
        </w:rPr>
        <w:t>Nations Unies</w:t>
      </w:r>
      <w:r w:rsidRPr="00E221DD">
        <w:rPr>
          <w:szCs w:val="22"/>
          <w:lang w:val="fr-FR"/>
        </w:rPr>
        <w:t xml:space="preserve"> basées à Genève, dont certaines ont été tenues à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O</w:t>
      </w:r>
      <w:r w:rsidR="00E55E3F" w:rsidRPr="00E221DD">
        <w:rPr>
          <w:szCs w:val="22"/>
          <w:lang w:val="fr-FR"/>
        </w:rPr>
        <w:t>MPI.  Le</w:t>
      </w:r>
      <w:r w:rsidRPr="00E221DD">
        <w:rPr>
          <w:szCs w:val="22"/>
          <w:lang w:val="fr-FR"/>
        </w:rPr>
        <w:t xml:space="preserve">s thèmes communs aux grands projets de construction ou de rénovation </w:t>
      </w:r>
      <w:r w:rsidR="006F69C7" w:rsidRPr="00E221DD">
        <w:rPr>
          <w:szCs w:val="22"/>
          <w:lang w:val="fr-FR"/>
        </w:rPr>
        <w:t>portaient sur</w:t>
      </w:r>
      <w:r w:rsidRPr="00E221DD">
        <w:rPr>
          <w:szCs w:val="22"/>
          <w:lang w:val="fr-FR"/>
        </w:rPr>
        <w:t xml:space="preserve"> le choix, et les éléments le justifiant, des meilleures stratégies, mesures de mise en </w:t>
      </w:r>
      <w:r w:rsidR="006F69C7" w:rsidRPr="00E221DD">
        <w:rPr>
          <w:szCs w:val="22"/>
          <w:lang w:val="fr-FR"/>
        </w:rPr>
        <w:t xml:space="preserve">œuvre </w:t>
      </w:r>
      <w:r w:rsidRPr="00E221DD">
        <w:rPr>
          <w:szCs w:val="22"/>
          <w:lang w:val="fr-FR"/>
        </w:rPr>
        <w:t xml:space="preserve">et modalités, concernant la structure de gestion </w:t>
      </w:r>
      <w:r w:rsidR="00694B8D">
        <w:rPr>
          <w:szCs w:val="22"/>
          <w:lang w:val="fr-FR"/>
        </w:rPr>
        <w:t>de</w:t>
      </w:r>
      <w:r w:rsidRPr="00E221DD">
        <w:rPr>
          <w:szCs w:val="22"/>
          <w:lang w:val="fr-FR"/>
        </w:rPr>
        <w:t xml:space="preserve"> projet,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approche contractuelle, les rôles et responsabilités des diverses parties prenantes, la réactivité face aux imprévus et les difficultés à respecter les échéanc</w:t>
      </w:r>
      <w:r w:rsidR="00E55E3F" w:rsidRPr="00E221DD">
        <w:rPr>
          <w:szCs w:val="22"/>
          <w:lang w:val="fr-FR"/>
        </w:rPr>
        <w:t>es.  Da</w:t>
      </w:r>
      <w:r w:rsidR="00A91A7D" w:rsidRPr="00E221DD">
        <w:rPr>
          <w:szCs w:val="22"/>
          <w:lang w:val="fr-FR"/>
        </w:rPr>
        <w:t xml:space="preserve">ns le cadre du partage des connaissances et des expériences, ces </w:t>
      </w:r>
      <w:r w:rsidR="006F69C7" w:rsidRPr="00E221DD">
        <w:rPr>
          <w:szCs w:val="22"/>
          <w:lang w:val="fr-FR"/>
        </w:rPr>
        <w:t>types d</w:t>
      </w:r>
      <w:r w:rsidR="003075C9" w:rsidRPr="00E221DD">
        <w:rPr>
          <w:szCs w:val="22"/>
          <w:lang w:val="fr-FR"/>
        </w:rPr>
        <w:t>’</w:t>
      </w:r>
      <w:r w:rsidR="00A91A7D" w:rsidRPr="00E221DD">
        <w:rPr>
          <w:szCs w:val="22"/>
          <w:lang w:val="fr-FR"/>
        </w:rPr>
        <w:t xml:space="preserve">échanges se poursuivront </w:t>
      </w:r>
      <w:r w:rsidR="006F69C7" w:rsidRPr="00E221DD">
        <w:rPr>
          <w:szCs w:val="22"/>
          <w:lang w:val="fr-FR"/>
        </w:rPr>
        <w:t>au vu</w:t>
      </w:r>
      <w:r w:rsidR="00A91A7D" w:rsidRPr="00E221DD">
        <w:rPr>
          <w:szCs w:val="22"/>
          <w:lang w:val="fr-FR"/>
        </w:rPr>
        <w:t xml:space="preserve"> de l</w:t>
      </w:r>
      <w:r w:rsidR="003075C9" w:rsidRPr="00E221DD">
        <w:rPr>
          <w:szCs w:val="22"/>
          <w:lang w:val="fr-FR"/>
        </w:rPr>
        <w:t>’</w:t>
      </w:r>
      <w:r w:rsidR="00A91A7D" w:rsidRPr="00E221DD">
        <w:rPr>
          <w:szCs w:val="22"/>
          <w:lang w:val="fr-FR"/>
        </w:rPr>
        <w:t>intérêt exprimé et du nombre et de l</w:t>
      </w:r>
      <w:r w:rsidR="003075C9" w:rsidRPr="00E221DD">
        <w:rPr>
          <w:szCs w:val="22"/>
          <w:lang w:val="fr-FR"/>
        </w:rPr>
        <w:t>’</w:t>
      </w:r>
      <w:r w:rsidR="00A91A7D" w:rsidRPr="00E221DD">
        <w:rPr>
          <w:szCs w:val="22"/>
          <w:lang w:val="fr-FR"/>
        </w:rPr>
        <w:t xml:space="preserve">ampleur des grands projets de construction ou de rénovation qui ont été </w:t>
      </w:r>
      <w:r w:rsidR="006F69C7" w:rsidRPr="00E221DD">
        <w:rPr>
          <w:szCs w:val="22"/>
          <w:lang w:val="fr-FR"/>
        </w:rPr>
        <w:t>mené</w:t>
      </w:r>
      <w:r w:rsidR="00A91A7D" w:rsidRPr="00E221DD">
        <w:rPr>
          <w:szCs w:val="22"/>
          <w:lang w:val="fr-FR"/>
        </w:rPr>
        <w:t xml:space="preserve">s par plusieurs institutions des </w:t>
      </w:r>
      <w:r w:rsidR="003075C9" w:rsidRPr="00E221DD">
        <w:rPr>
          <w:szCs w:val="22"/>
          <w:lang w:val="fr-FR"/>
        </w:rPr>
        <w:t>Nations Unies</w:t>
      </w:r>
      <w:r w:rsidR="00A91A7D" w:rsidRPr="00E221DD">
        <w:rPr>
          <w:szCs w:val="22"/>
          <w:lang w:val="fr-FR"/>
        </w:rPr>
        <w:t xml:space="preserve"> ou sont en cours pour les cinq</w:t>
      </w:r>
      <w:r w:rsidR="006F69C7" w:rsidRPr="00E221DD">
        <w:rPr>
          <w:szCs w:val="22"/>
          <w:lang w:val="fr-FR"/>
        </w:rPr>
        <w:t> </w:t>
      </w:r>
      <w:r w:rsidR="00A91A7D" w:rsidRPr="00E221DD">
        <w:rPr>
          <w:szCs w:val="22"/>
          <w:lang w:val="fr-FR"/>
        </w:rPr>
        <w:t xml:space="preserve">à </w:t>
      </w:r>
      <w:r w:rsidR="00A2241E" w:rsidRPr="00E221DD">
        <w:rPr>
          <w:szCs w:val="22"/>
          <w:lang w:val="fr-FR"/>
        </w:rPr>
        <w:t>10</w:t>
      </w:r>
      <w:r w:rsidR="006F69C7" w:rsidRPr="00E221DD">
        <w:rPr>
          <w:szCs w:val="22"/>
          <w:lang w:val="fr-FR"/>
        </w:rPr>
        <w:t> </w:t>
      </w:r>
      <w:r w:rsidR="00A91A7D" w:rsidRPr="00E221DD">
        <w:rPr>
          <w:szCs w:val="22"/>
          <w:lang w:val="fr-FR"/>
        </w:rPr>
        <w:t>prochaines années.</w:t>
      </w:r>
    </w:p>
    <w:p w:rsidR="0022588B" w:rsidRPr="00E221DD" w:rsidRDefault="007B4E5B" w:rsidP="006D44F4">
      <w:pPr>
        <w:pStyle w:val="ONUMFS"/>
        <w:rPr>
          <w:szCs w:val="22"/>
          <w:lang w:val="fr-FR"/>
        </w:rPr>
      </w:pPr>
      <w:r w:rsidRPr="00E221DD">
        <w:rPr>
          <w:szCs w:val="22"/>
          <w:lang w:val="fr-FR"/>
        </w:rPr>
        <w:lastRenderedPageBreak/>
        <w:t>Le paragraphe de décision ci</w:t>
      </w:r>
      <w:r w:rsidR="00833955" w:rsidRPr="00E221DD">
        <w:rPr>
          <w:szCs w:val="22"/>
          <w:lang w:val="fr-FR"/>
        </w:rPr>
        <w:noBreakHyphen/>
      </w:r>
      <w:r w:rsidRPr="00E221DD">
        <w:rPr>
          <w:szCs w:val="22"/>
          <w:lang w:val="fr-FR"/>
        </w:rPr>
        <w:t>après est proposé.</w:t>
      </w:r>
    </w:p>
    <w:p w:rsidR="00B643EB" w:rsidRPr="00E221DD" w:rsidRDefault="0083286B" w:rsidP="006D44F4">
      <w:pPr>
        <w:pStyle w:val="ONUMFS"/>
        <w:ind w:left="5533"/>
        <w:rPr>
          <w:i/>
          <w:szCs w:val="22"/>
          <w:lang w:val="fr-FR"/>
        </w:rPr>
      </w:pPr>
      <w:r w:rsidRPr="00E221DD">
        <w:rPr>
          <w:i/>
          <w:szCs w:val="22"/>
          <w:lang w:val="fr-FR"/>
        </w:rPr>
        <w:t xml:space="preserve">Le Comité du programme et budget (PBC) a pris note du contenu du document WO/PBC/25/13, </w:t>
      </w:r>
      <w:r w:rsidR="008E652B" w:rsidRPr="00E221DD">
        <w:rPr>
          <w:i/>
          <w:szCs w:val="22"/>
          <w:lang w:val="fr-FR"/>
        </w:rPr>
        <w:t xml:space="preserve">notamment du </w:t>
      </w:r>
      <w:r w:rsidRPr="00E221DD">
        <w:rPr>
          <w:i/>
          <w:szCs w:val="22"/>
          <w:lang w:val="fr-FR"/>
        </w:rPr>
        <w:t xml:space="preserve">fait que le solde </w:t>
      </w:r>
      <w:r w:rsidR="008E652B" w:rsidRPr="00E221DD">
        <w:rPr>
          <w:i/>
          <w:szCs w:val="22"/>
          <w:lang w:val="fr-FR"/>
        </w:rPr>
        <w:t>fina</w:t>
      </w:r>
      <w:r w:rsidR="0014691C" w:rsidRPr="00E221DD">
        <w:rPr>
          <w:i/>
          <w:szCs w:val="22"/>
          <w:lang w:val="fr-FR"/>
        </w:rPr>
        <w:t>l des montants</w:t>
      </w:r>
      <w:r w:rsidR="008E652B" w:rsidRPr="00E221DD">
        <w:rPr>
          <w:i/>
          <w:szCs w:val="22"/>
          <w:lang w:val="fr-FR"/>
        </w:rPr>
        <w:t xml:space="preserve"> </w:t>
      </w:r>
      <w:r w:rsidRPr="00E221DD">
        <w:rPr>
          <w:i/>
          <w:szCs w:val="22"/>
          <w:lang w:val="fr-FR"/>
        </w:rPr>
        <w:t xml:space="preserve">non dépensés </w:t>
      </w:r>
      <w:r w:rsidR="008E652B" w:rsidRPr="00E221DD">
        <w:rPr>
          <w:i/>
          <w:szCs w:val="22"/>
          <w:lang w:val="fr-FR"/>
        </w:rPr>
        <w:t>pour les</w:t>
      </w:r>
      <w:r w:rsidRPr="00E221DD">
        <w:rPr>
          <w:i/>
          <w:szCs w:val="22"/>
          <w:lang w:val="fr-FR"/>
        </w:rPr>
        <w:t xml:space="preserve"> projet</w:t>
      </w:r>
      <w:r w:rsidR="008E652B" w:rsidRPr="00E221DD">
        <w:rPr>
          <w:i/>
          <w:szCs w:val="22"/>
          <w:lang w:val="fr-FR"/>
        </w:rPr>
        <w:t>s</w:t>
      </w:r>
      <w:r w:rsidRPr="00E221DD">
        <w:rPr>
          <w:i/>
          <w:szCs w:val="22"/>
          <w:lang w:val="fr-FR"/>
        </w:rPr>
        <w:t xml:space="preserve"> </w:t>
      </w:r>
      <w:r w:rsidR="008E652B" w:rsidRPr="00E221DD">
        <w:rPr>
          <w:i/>
          <w:szCs w:val="22"/>
          <w:lang w:val="fr-FR"/>
        </w:rPr>
        <w:t>ser</w:t>
      </w:r>
      <w:r w:rsidR="0014691C" w:rsidRPr="00E221DD">
        <w:rPr>
          <w:i/>
          <w:szCs w:val="22"/>
          <w:lang w:val="fr-FR"/>
        </w:rPr>
        <w:t>a</w:t>
      </w:r>
      <w:r w:rsidRPr="00E221DD">
        <w:rPr>
          <w:i/>
          <w:szCs w:val="22"/>
          <w:lang w:val="fr-FR"/>
        </w:rPr>
        <w:t xml:space="preserve"> reversé aux réserves de l</w:t>
      </w:r>
      <w:r w:rsidR="003075C9" w:rsidRPr="00E221DD">
        <w:rPr>
          <w:i/>
          <w:szCs w:val="22"/>
          <w:lang w:val="fr-FR"/>
        </w:rPr>
        <w:t>’</w:t>
      </w:r>
      <w:r w:rsidRPr="00E221DD">
        <w:rPr>
          <w:i/>
          <w:szCs w:val="22"/>
          <w:lang w:val="fr-FR"/>
        </w:rPr>
        <w:t>Organisation conformément aux paragraphes</w:t>
      </w:r>
      <w:r w:rsidR="008E652B" w:rsidRPr="00E221DD">
        <w:rPr>
          <w:i/>
          <w:szCs w:val="22"/>
          <w:lang w:val="fr-FR"/>
        </w:rPr>
        <w:t> </w:t>
      </w:r>
      <w:r w:rsidRPr="00E221DD">
        <w:rPr>
          <w:i/>
          <w:szCs w:val="22"/>
          <w:lang w:val="fr-FR"/>
        </w:rPr>
        <w:t>4 et 5.</w:t>
      </w:r>
    </w:p>
    <w:p w:rsidR="00A82C6D" w:rsidRPr="00E221DD" w:rsidRDefault="00A82C6D" w:rsidP="006D44F4">
      <w:pPr>
        <w:pStyle w:val="Endofdocument-Annex"/>
        <w:rPr>
          <w:szCs w:val="22"/>
          <w:lang w:val="fr-FR"/>
        </w:rPr>
      </w:pPr>
    </w:p>
    <w:p w:rsidR="00A82C6D" w:rsidRPr="00E221DD" w:rsidRDefault="00A82C6D" w:rsidP="006D44F4">
      <w:pPr>
        <w:pStyle w:val="Endofdocument-Annex"/>
        <w:rPr>
          <w:szCs w:val="22"/>
          <w:lang w:val="fr-FR"/>
        </w:rPr>
      </w:pPr>
    </w:p>
    <w:p w:rsidR="00B643EB" w:rsidRPr="00E221DD" w:rsidRDefault="0083286B" w:rsidP="006D44F4">
      <w:pPr>
        <w:pStyle w:val="Endofdocument-Annex"/>
        <w:rPr>
          <w:szCs w:val="22"/>
          <w:lang w:val="fr-FR"/>
        </w:rPr>
      </w:pPr>
      <w:r w:rsidRPr="00E221DD">
        <w:rPr>
          <w:szCs w:val="22"/>
          <w:lang w:val="fr-FR"/>
        </w:rPr>
        <w:t>[Les annexes suivent]</w:t>
      </w:r>
    </w:p>
    <w:p w:rsidR="00B643EB" w:rsidRPr="00E221DD" w:rsidRDefault="00B643EB" w:rsidP="009521F6">
      <w:pPr>
        <w:spacing w:line="480" w:lineRule="auto"/>
        <w:rPr>
          <w:szCs w:val="22"/>
          <w:lang w:val="fr-FR"/>
        </w:rPr>
      </w:pPr>
    </w:p>
    <w:p w:rsidR="007673D6" w:rsidRPr="00E221DD" w:rsidRDefault="007673D6" w:rsidP="009521F6">
      <w:pPr>
        <w:spacing w:line="480" w:lineRule="auto"/>
        <w:rPr>
          <w:szCs w:val="22"/>
          <w:lang w:val="fr-FR"/>
        </w:rPr>
        <w:sectPr w:rsidR="007673D6" w:rsidRPr="00E221DD" w:rsidSect="003075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8969" w:type="dxa"/>
        <w:jc w:val="center"/>
        <w:tblInd w:w="-659" w:type="dxa"/>
        <w:tblLayout w:type="fixed"/>
        <w:tblLook w:val="04A0" w:firstRow="1" w:lastRow="0" w:firstColumn="1" w:lastColumn="0" w:noHBand="0" w:noVBand="1"/>
      </w:tblPr>
      <w:tblGrid>
        <w:gridCol w:w="924"/>
        <w:gridCol w:w="1559"/>
        <w:gridCol w:w="1718"/>
        <w:gridCol w:w="1531"/>
        <w:gridCol w:w="1629"/>
        <w:gridCol w:w="1608"/>
      </w:tblGrid>
      <w:tr w:rsidR="00E221DD" w:rsidRPr="00E221DD" w:rsidTr="00895AAC">
        <w:trPr>
          <w:trHeight w:val="529"/>
          <w:jc w:val="center"/>
        </w:trPr>
        <w:tc>
          <w:tcPr>
            <w:tcW w:w="89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176B" w:rsidRPr="00E221DD" w:rsidRDefault="0083286B" w:rsidP="00694B8D">
            <w:pPr>
              <w:spacing w:line="360" w:lineRule="auto"/>
              <w:jc w:val="center"/>
              <w:rPr>
                <w:b/>
                <w:sz w:val="18"/>
                <w:szCs w:val="18"/>
                <w:lang w:val="fr-FR"/>
              </w:rPr>
            </w:pPr>
            <w:r w:rsidRPr="00E221DD">
              <w:rPr>
                <w:b/>
                <w:sz w:val="18"/>
                <w:szCs w:val="18"/>
                <w:lang w:val="fr-FR"/>
              </w:rPr>
              <w:lastRenderedPageBreak/>
              <w:t xml:space="preserve">Liste des rapports </w:t>
            </w:r>
            <w:r w:rsidR="00694B8D">
              <w:rPr>
                <w:b/>
                <w:sz w:val="18"/>
                <w:szCs w:val="18"/>
                <w:lang w:val="fr-FR"/>
              </w:rPr>
              <w:t xml:space="preserve">sur l’état d’avancement des projets </w:t>
            </w:r>
            <w:r w:rsidRPr="00E221DD">
              <w:rPr>
                <w:b/>
                <w:sz w:val="18"/>
                <w:szCs w:val="18"/>
                <w:lang w:val="fr-FR"/>
              </w:rPr>
              <w:t>et autres documents présentés</w:t>
            </w:r>
            <w:r w:rsidR="00A67835">
              <w:rPr>
                <w:b/>
                <w:sz w:val="18"/>
                <w:szCs w:val="18"/>
                <w:lang w:val="fr-FR"/>
              </w:rPr>
              <w:br/>
            </w:r>
            <w:r w:rsidR="003075C9" w:rsidRPr="00E221DD">
              <w:rPr>
                <w:b/>
                <w:sz w:val="18"/>
                <w:szCs w:val="18"/>
                <w:lang w:val="fr-FR"/>
              </w:rPr>
              <w:t>au PBC</w:t>
            </w:r>
            <w:r w:rsidRPr="00E221DD">
              <w:rPr>
                <w:b/>
                <w:sz w:val="18"/>
                <w:szCs w:val="18"/>
                <w:lang w:val="fr-FR"/>
              </w:rPr>
              <w:t xml:space="preserve"> et aux assemblées (2006</w:t>
            </w:r>
            <w:r w:rsidR="00833955" w:rsidRPr="00E221DD">
              <w:rPr>
                <w:b/>
                <w:sz w:val="18"/>
                <w:szCs w:val="18"/>
                <w:lang w:val="fr-FR"/>
              </w:rPr>
              <w:noBreakHyphen/>
            </w:r>
            <w:r w:rsidRPr="00E221DD">
              <w:rPr>
                <w:b/>
                <w:sz w:val="18"/>
                <w:szCs w:val="18"/>
                <w:lang w:val="fr-FR"/>
              </w:rPr>
              <w:t>2016)</w:t>
            </w:r>
          </w:p>
        </w:tc>
      </w:tr>
      <w:tr w:rsidR="00E221DD" w:rsidRPr="00E221DD" w:rsidTr="00895AAC">
        <w:trPr>
          <w:trHeight w:val="759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76B" w:rsidRPr="00E221DD" w:rsidRDefault="0083286B" w:rsidP="0083286B">
            <w:pPr>
              <w:spacing w:line="360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Année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76B" w:rsidRPr="00E221DD" w:rsidRDefault="0083286B" w:rsidP="0083286B">
            <w:pPr>
              <w:spacing w:line="360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Mois où a eu lieu la session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76B" w:rsidRPr="00E221DD" w:rsidRDefault="0083286B" w:rsidP="0083286B">
            <w:pPr>
              <w:spacing w:line="360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Document PBC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76B" w:rsidRPr="00E221DD" w:rsidRDefault="0083286B" w:rsidP="0083286B">
            <w:pPr>
              <w:spacing w:line="360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Document des assemblées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76B" w:rsidRPr="00E221DD" w:rsidRDefault="0083286B" w:rsidP="00A67835">
            <w:pPr>
              <w:spacing w:line="276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 xml:space="preserve">Rapports </w:t>
            </w:r>
            <w:r w:rsidR="00694B8D">
              <w:rPr>
                <w:b/>
                <w:sz w:val="14"/>
                <w:szCs w:val="14"/>
                <w:lang w:val="fr-FR"/>
              </w:rPr>
              <w:t>sur l’état d’avancement des projets</w:t>
            </w:r>
            <w:r w:rsidRPr="00E221DD">
              <w:rPr>
                <w:b/>
                <w:sz w:val="14"/>
                <w:szCs w:val="14"/>
                <w:lang w:val="fr-FR"/>
              </w:rPr>
              <w:t>, propositions</w:t>
            </w:r>
            <w:r w:rsidR="00A67835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E221DD">
              <w:rPr>
                <w:b/>
                <w:sz w:val="14"/>
                <w:szCs w:val="14"/>
                <w:lang w:val="fr-FR"/>
              </w:rPr>
              <w:t>ou mises à jour de projets</w:t>
            </w:r>
          </w:p>
        </w:tc>
      </w:tr>
      <w:tr w:rsidR="00E221DD" w:rsidRPr="00E221DD" w:rsidTr="00895AAC">
        <w:trPr>
          <w:trHeight w:val="328"/>
          <w:jc w:val="center"/>
        </w:trPr>
        <w:tc>
          <w:tcPr>
            <w:tcW w:w="92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1176B" w:rsidRPr="00E221DD" w:rsidRDefault="00F1176B" w:rsidP="002D1B8A">
            <w:pPr>
              <w:spacing w:before="240" w:after="240" w:line="360" w:lineRule="auto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1176B" w:rsidRPr="00E221DD" w:rsidRDefault="00F1176B" w:rsidP="002D1B8A">
            <w:pPr>
              <w:spacing w:before="240" w:after="240" w:line="360" w:lineRule="auto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1718" w:type="dxa"/>
            <w:vMerge/>
            <w:shd w:val="clear" w:color="auto" w:fill="F2F2F2" w:themeFill="background1" w:themeFillShade="F2"/>
            <w:vAlign w:val="center"/>
          </w:tcPr>
          <w:p w:rsidR="00F1176B" w:rsidRPr="00E221DD" w:rsidRDefault="00F1176B" w:rsidP="002D1B8A">
            <w:pPr>
              <w:spacing w:before="240" w:after="240" w:line="360" w:lineRule="auto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1531" w:type="dxa"/>
            <w:vMerge/>
            <w:shd w:val="clear" w:color="auto" w:fill="F2F2F2" w:themeFill="background1" w:themeFillShade="F2"/>
            <w:vAlign w:val="center"/>
          </w:tcPr>
          <w:p w:rsidR="00F1176B" w:rsidRPr="00E221DD" w:rsidRDefault="00F1176B" w:rsidP="002D1B8A">
            <w:pPr>
              <w:spacing w:before="240" w:after="240" w:line="360" w:lineRule="auto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</w:tcPr>
          <w:p w:rsidR="00F1176B" w:rsidRPr="00E221DD" w:rsidRDefault="0083286B" w:rsidP="0083286B">
            <w:pPr>
              <w:spacing w:before="240" w:after="240" w:line="276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Projet de nouvelle construction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:rsidR="00F1176B" w:rsidRPr="00E221DD" w:rsidRDefault="0083286B" w:rsidP="0083286B">
            <w:pPr>
              <w:spacing w:before="240" w:after="240" w:line="276" w:lineRule="auto"/>
              <w:rPr>
                <w:b/>
                <w:sz w:val="14"/>
                <w:szCs w:val="14"/>
                <w:lang w:val="fr-FR"/>
              </w:rPr>
            </w:pPr>
            <w:r w:rsidRPr="00E221DD">
              <w:rPr>
                <w:b/>
                <w:sz w:val="14"/>
                <w:szCs w:val="14"/>
                <w:lang w:val="fr-FR"/>
              </w:rPr>
              <w:t>Projet de nouvelle salle de conférence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2006</w:t>
            </w:r>
          </w:p>
        </w:tc>
        <w:tc>
          <w:tcPr>
            <w:tcW w:w="1559" w:type="dxa"/>
            <w:vAlign w:val="center"/>
          </w:tcPr>
          <w:p w:rsidR="00B643EB" w:rsidRPr="00E221DD" w:rsidRDefault="00F1176B" w:rsidP="002D1B8A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Ju</w:t>
            </w:r>
            <w:r w:rsidR="0083286B" w:rsidRPr="00E221DD">
              <w:rPr>
                <w:sz w:val="14"/>
                <w:szCs w:val="14"/>
                <w:lang w:val="fr-FR"/>
              </w:rPr>
              <w:t>illet</w:t>
            </w:r>
          </w:p>
          <w:p w:rsidR="00F1176B" w:rsidRPr="00E221DD" w:rsidRDefault="00F1176B" w:rsidP="0083286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Septembr</w:t>
            </w:r>
            <w:r w:rsidR="0083286B" w:rsidRPr="00E221DD">
              <w:rPr>
                <w:sz w:val="14"/>
                <w:szCs w:val="14"/>
                <w:lang w:val="fr-FR"/>
              </w:rPr>
              <w:t>e</w:t>
            </w:r>
            <w:r w:rsidRPr="00E221DD">
              <w:rPr>
                <w:sz w:val="14"/>
                <w:szCs w:val="14"/>
                <w:lang w:val="fr-FR"/>
              </w:rPr>
              <w:t>/</w:t>
            </w:r>
            <w:r w:rsidR="0083286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83286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WO/PBC/10/4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A/42/13</w:t>
            </w: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D</w:t>
            </w:r>
            <w:r w:rsidR="00B643EB" w:rsidRPr="00E221DD">
              <w:rPr>
                <w:sz w:val="14"/>
                <w:szCs w:val="14"/>
                <w:lang w:val="fr-FR"/>
              </w:rPr>
              <w:t>é</w:t>
            </w:r>
            <w:r w:rsidRPr="00E221DD">
              <w:rPr>
                <w:sz w:val="14"/>
                <w:szCs w:val="14"/>
                <w:lang w:val="fr-FR"/>
              </w:rPr>
              <w:t>cembr</w:t>
            </w:r>
            <w:r w:rsidR="00B643EB"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WO/PBC/IM/3/06/5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2007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Ju</w:t>
            </w:r>
            <w:r w:rsidR="00B643EB" w:rsidRPr="00E221DD">
              <w:rPr>
                <w:sz w:val="14"/>
                <w:szCs w:val="14"/>
                <w:lang w:val="fr-FR"/>
              </w:rPr>
              <w:t>i</w:t>
            </w:r>
            <w:r w:rsidRPr="00E221DD">
              <w:rPr>
                <w:sz w:val="14"/>
                <w:szCs w:val="14"/>
                <w:lang w:val="fr-FR"/>
              </w:rPr>
              <w:t>n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WO/PBC/11/13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ctobr</w:t>
            </w:r>
            <w:r w:rsidR="00B643EB"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WO/PBC/12/7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WO/GA/34/11</w:t>
            </w: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2008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WO/GA/36/6</w:t>
            </w: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D</w:t>
            </w:r>
            <w:r w:rsidR="00B643EB" w:rsidRPr="00E221DD">
              <w:rPr>
                <w:sz w:val="14"/>
                <w:szCs w:val="14"/>
                <w:lang w:val="fr-FR"/>
              </w:rPr>
              <w:t>é</w:t>
            </w:r>
            <w:r w:rsidRPr="00E221DD">
              <w:rPr>
                <w:sz w:val="14"/>
                <w:szCs w:val="14"/>
                <w:lang w:val="fr-FR"/>
              </w:rPr>
              <w:t>cemb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WO/PBC/13/5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A/46/5</w:t>
            </w:r>
          </w:p>
        </w:tc>
        <w:tc>
          <w:tcPr>
            <w:tcW w:w="1629" w:type="dxa"/>
            <w:vAlign w:val="center"/>
          </w:tcPr>
          <w:p w:rsidR="00F1176B" w:rsidRPr="00E221DD" w:rsidRDefault="004E084A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D</w:t>
            </w:r>
            <w:r w:rsidR="00B643EB" w:rsidRPr="00E221DD">
              <w:rPr>
                <w:sz w:val="14"/>
                <w:szCs w:val="14"/>
                <w:lang w:val="fr-FR"/>
              </w:rPr>
              <w:t>é</w:t>
            </w:r>
            <w:r w:rsidRPr="00E221DD">
              <w:rPr>
                <w:sz w:val="14"/>
                <w:szCs w:val="14"/>
                <w:lang w:val="fr-FR"/>
              </w:rPr>
              <w:t>cemb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WO/PBC/13/6 (b)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A/46/6 (b)</w:t>
            </w:r>
          </w:p>
        </w:tc>
        <w:tc>
          <w:tcPr>
            <w:tcW w:w="1629" w:type="dxa"/>
            <w:vAlign w:val="center"/>
          </w:tcPr>
          <w:p w:rsidR="00F1176B" w:rsidRPr="00E221DD" w:rsidRDefault="00B643EB" w:rsidP="00B643E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Budget et financement actualisés et consolidés pour le projet relatif à la nouvelle construction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D</w:t>
            </w:r>
            <w:r w:rsidR="00B643EB" w:rsidRPr="00E221DD">
              <w:rPr>
                <w:sz w:val="14"/>
                <w:szCs w:val="14"/>
                <w:lang w:val="fr-FR"/>
              </w:rPr>
              <w:t>é</w:t>
            </w:r>
            <w:r w:rsidRPr="00E221DD">
              <w:rPr>
                <w:sz w:val="14"/>
                <w:szCs w:val="14"/>
                <w:lang w:val="fr-FR"/>
              </w:rPr>
              <w:t>cemb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WO/PBC/13/6 (c)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A/46/6 (c)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608" w:type="dxa"/>
            <w:vAlign w:val="center"/>
          </w:tcPr>
          <w:p w:rsidR="00F1176B" w:rsidRPr="00E221DD" w:rsidRDefault="00B643EB" w:rsidP="00B643E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Proposition relative à une nouvelle salle de conférence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2009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WO/PBC/14/9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 xml:space="preserve">A/47/11 + A/47/11 </w:t>
            </w:r>
            <w:proofErr w:type="spellStart"/>
            <w:r w:rsidRPr="00E221DD">
              <w:rPr>
                <w:sz w:val="14"/>
                <w:szCs w:val="14"/>
                <w:lang w:val="fr-FR"/>
              </w:rPr>
              <w:t>Rev</w:t>
            </w:r>
            <w:proofErr w:type="spellEnd"/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WO/PBC/14/10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A/47/12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608" w:type="dxa"/>
            <w:vAlign w:val="center"/>
          </w:tcPr>
          <w:p w:rsidR="00F1176B" w:rsidRPr="00E221DD" w:rsidRDefault="00B643EB" w:rsidP="004E084A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Proposition détaillée concernant la phase</w:t>
            </w:r>
            <w:r w:rsidR="004E084A" w:rsidRPr="00E221DD">
              <w:rPr>
                <w:sz w:val="14"/>
                <w:szCs w:val="14"/>
                <w:lang w:val="fr-FR"/>
              </w:rPr>
              <w:t> </w:t>
            </w:r>
            <w:r w:rsidRPr="00E221DD">
              <w:rPr>
                <w:sz w:val="14"/>
                <w:szCs w:val="14"/>
                <w:lang w:val="fr-FR"/>
              </w:rPr>
              <w:t>II du projet de nouvelle salle de conférence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2010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WO/PBC/15/19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A/48/19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WO/PBC/15/20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A/48/22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bottom w:val="nil"/>
            </w:tcBorders>
            <w:vAlign w:val="center"/>
          </w:tcPr>
          <w:p w:rsidR="00F1176B" w:rsidRPr="00E221DD" w:rsidRDefault="00F1176B" w:rsidP="002D1B8A">
            <w:pPr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2011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WO/PBC/18/9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A/49/11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WO/PBC/18/10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A/49/12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2012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WO/PBC/19/12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A/50/11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WO/PBC/19/13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A/50/12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WO/PBC/19/24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A/50/17</w:t>
            </w:r>
          </w:p>
        </w:tc>
        <w:tc>
          <w:tcPr>
            <w:tcW w:w="3237" w:type="dxa"/>
            <w:gridSpan w:val="2"/>
            <w:vAlign w:val="center"/>
          </w:tcPr>
          <w:p w:rsidR="00F1176B" w:rsidRPr="00E221DD" w:rsidRDefault="00B643EB" w:rsidP="00B643E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Rapport actualisé sur l</w:t>
            </w:r>
            <w:r w:rsidR="003075C9" w:rsidRPr="00E221DD">
              <w:rPr>
                <w:sz w:val="14"/>
                <w:szCs w:val="14"/>
                <w:lang w:val="fr-FR"/>
              </w:rPr>
              <w:t>’</w:t>
            </w:r>
            <w:r w:rsidRPr="00E221DD">
              <w:rPr>
                <w:sz w:val="14"/>
                <w:szCs w:val="14"/>
                <w:lang w:val="fr-FR"/>
              </w:rPr>
              <w:t>état d</w:t>
            </w:r>
            <w:r w:rsidR="003075C9" w:rsidRPr="00E221DD">
              <w:rPr>
                <w:sz w:val="14"/>
                <w:szCs w:val="14"/>
                <w:lang w:val="fr-FR"/>
              </w:rPr>
              <w:t>’</w:t>
            </w:r>
            <w:r w:rsidRPr="00E221DD">
              <w:rPr>
                <w:sz w:val="14"/>
                <w:szCs w:val="14"/>
                <w:lang w:val="fr-FR"/>
              </w:rPr>
              <w:t>avancement du projet de nouvelle construction et du projet de nouvelle salle de conférence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2013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WO/PBC/21/11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A/51/9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2014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WO/PBC/22/14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A/54/11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2015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Septemb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e/</w:t>
            </w:r>
            <w:r w:rsidR="00B643EB" w:rsidRPr="00E221DD">
              <w:rPr>
                <w:sz w:val="14"/>
                <w:szCs w:val="14"/>
                <w:lang w:val="fr-FR"/>
              </w:rPr>
              <w:t>o</w:t>
            </w:r>
            <w:r w:rsidRPr="00E221DD">
              <w:rPr>
                <w:sz w:val="14"/>
                <w:szCs w:val="14"/>
                <w:lang w:val="fr-FR"/>
              </w:rPr>
              <w:t>ctob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WO/PBC/24/13</w:t>
            </w:r>
          </w:p>
        </w:tc>
        <w:tc>
          <w:tcPr>
            <w:tcW w:w="1531" w:type="dxa"/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A/55/11</w:t>
            </w:r>
          </w:p>
        </w:tc>
        <w:tc>
          <w:tcPr>
            <w:tcW w:w="1629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  <w:tc>
          <w:tcPr>
            <w:tcW w:w="1608" w:type="dxa"/>
            <w:vAlign w:val="center"/>
          </w:tcPr>
          <w:p w:rsidR="00F1176B" w:rsidRPr="00E221DD" w:rsidRDefault="00F1176B" w:rsidP="002D1B8A">
            <w:pPr>
              <w:spacing w:line="360" w:lineRule="auto"/>
              <w:jc w:val="center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x</w:t>
            </w:r>
          </w:p>
        </w:tc>
      </w:tr>
      <w:tr w:rsidR="00E221DD" w:rsidRPr="00E221DD" w:rsidTr="00895AAC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76B" w:rsidRPr="00E221DD" w:rsidRDefault="00F1176B" w:rsidP="002D1B8A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2016</w:t>
            </w:r>
          </w:p>
        </w:tc>
        <w:tc>
          <w:tcPr>
            <w:tcW w:w="1559" w:type="dxa"/>
            <w:vAlign w:val="center"/>
          </w:tcPr>
          <w:p w:rsidR="00F1176B" w:rsidRPr="00E221DD" w:rsidRDefault="00F1176B" w:rsidP="00B643E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A</w:t>
            </w:r>
            <w:r w:rsidR="00B643EB" w:rsidRPr="00E221DD">
              <w:rPr>
                <w:sz w:val="14"/>
                <w:szCs w:val="14"/>
                <w:lang w:val="fr-FR"/>
              </w:rPr>
              <w:t>oû</w:t>
            </w:r>
            <w:r w:rsidRPr="00E221DD">
              <w:rPr>
                <w:sz w:val="14"/>
                <w:szCs w:val="14"/>
                <w:lang w:val="fr-FR"/>
              </w:rPr>
              <w:t>t/</w:t>
            </w:r>
            <w:r w:rsidR="00B643EB" w:rsidRPr="00E221DD">
              <w:rPr>
                <w:sz w:val="14"/>
                <w:szCs w:val="14"/>
                <w:lang w:val="fr-FR"/>
              </w:rPr>
              <w:t>s</w:t>
            </w:r>
            <w:r w:rsidRPr="00E221DD">
              <w:rPr>
                <w:sz w:val="14"/>
                <w:szCs w:val="14"/>
                <w:lang w:val="fr-FR"/>
              </w:rPr>
              <w:t>eptemb</w:t>
            </w:r>
            <w:r w:rsidR="00B643EB" w:rsidRPr="00E221DD">
              <w:rPr>
                <w:sz w:val="14"/>
                <w:szCs w:val="14"/>
                <w:lang w:val="fr-FR"/>
              </w:rPr>
              <w:t>r</w:t>
            </w:r>
            <w:r w:rsidRPr="00E221DD">
              <w:rPr>
                <w:sz w:val="14"/>
                <w:szCs w:val="14"/>
                <w:lang w:val="fr-FR"/>
              </w:rPr>
              <w:t>e</w:t>
            </w:r>
          </w:p>
        </w:tc>
        <w:tc>
          <w:tcPr>
            <w:tcW w:w="1718" w:type="dxa"/>
            <w:vAlign w:val="center"/>
          </w:tcPr>
          <w:p w:rsidR="00F1176B" w:rsidRPr="00E221DD" w:rsidRDefault="00F1176B" w:rsidP="00B643E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WO/PBC/25/13 (pr</w:t>
            </w:r>
            <w:r w:rsidR="00B643EB" w:rsidRPr="00E221DD">
              <w:rPr>
                <w:sz w:val="14"/>
                <w:szCs w:val="14"/>
                <w:lang w:val="fr-FR"/>
              </w:rPr>
              <w:t>é</w:t>
            </w:r>
            <w:r w:rsidRPr="00E221DD">
              <w:rPr>
                <w:sz w:val="14"/>
                <w:szCs w:val="14"/>
                <w:lang w:val="fr-FR"/>
              </w:rPr>
              <w:t>sent document)</w:t>
            </w:r>
          </w:p>
        </w:tc>
        <w:tc>
          <w:tcPr>
            <w:tcW w:w="1531" w:type="dxa"/>
            <w:vAlign w:val="center"/>
          </w:tcPr>
          <w:p w:rsidR="00F1176B" w:rsidRPr="00E221DD" w:rsidRDefault="00833955" w:rsidP="00F1176B">
            <w:pPr>
              <w:spacing w:line="360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noBreakHyphen/>
            </w:r>
          </w:p>
        </w:tc>
        <w:tc>
          <w:tcPr>
            <w:tcW w:w="3237" w:type="dxa"/>
            <w:gridSpan w:val="2"/>
            <w:vAlign w:val="center"/>
          </w:tcPr>
          <w:p w:rsidR="00F1176B" w:rsidRPr="00E221DD" w:rsidRDefault="00B643EB" w:rsidP="00B643EB">
            <w:pPr>
              <w:spacing w:line="276" w:lineRule="auto"/>
              <w:rPr>
                <w:sz w:val="14"/>
                <w:szCs w:val="14"/>
                <w:lang w:val="fr-FR"/>
              </w:rPr>
            </w:pPr>
            <w:r w:rsidRPr="00E221DD">
              <w:rPr>
                <w:sz w:val="14"/>
                <w:szCs w:val="14"/>
                <w:lang w:val="fr-FR"/>
              </w:rPr>
              <w:t>Rapport final sur le projet de nouvelle construction et le projet de nouvelle salle de conférence</w:t>
            </w:r>
          </w:p>
        </w:tc>
      </w:tr>
    </w:tbl>
    <w:p w:rsidR="00B643EB" w:rsidRDefault="00B643EB" w:rsidP="00A82C6D">
      <w:pPr>
        <w:pStyle w:val="Endofdocument-Annex"/>
        <w:rPr>
          <w:szCs w:val="22"/>
          <w:lang w:val="fr-FR"/>
        </w:rPr>
      </w:pPr>
    </w:p>
    <w:p w:rsidR="006A66F3" w:rsidRPr="00E221DD" w:rsidRDefault="006A66F3" w:rsidP="00A82C6D">
      <w:pPr>
        <w:pStyle w:val="Endofdocument-Annex"/>
        <w:rPr>
          <w:szCs w:val="22"/>
          <w:lang w:val="fr-FR"/>
        </w:rPr>
      </w:pPr>
    </w:p>
    <w:p w:rsidR="00B643EB" w:rsidRPr="00E221DD" w:rsidRDefault="00B643EB" w:rsidP="00A82C6D">
      <w:pPr>
        <w:pStyle w:val="Endofdocument-Annex"/>
        <w:rPr>
          <w:szCs w:val="22"/>
          <w:lang w:val="fr-FR"/>
        </w:rPr>
      </w:pPr>
    </w:p>
    <w:p w:rsidR="007673D6" w:rsidRPr="00E221DD" w:rsidRDefault="00B643EB" w:rsidP="007E1439">
      <w:pPr>
        <w:pStyle w:val="Endofdocument-Annex"/>
        <w:rPr>
          <w:szCs w:val="22"/>
          <w:lang w:val="fr-FR"/>
        </w:rPr>
        <w:sectPr w:rsidR="007673D6" w:rsidRPr="00E221DD" w:rsidSect="003075C9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221DD">
        <w:rPr>
          <w:szCs w:val="22"/>
          <w:lang w:val="fr-FR"/>
        </w:rPr>
        <w:t>[L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annexe</w:t>
      </w:r>
      <w:r w:rsidR="004E084A" w:rsidRPr="00E221DD">
        <w:rPr>
          <w:szCs w:val="22"/>
          <w:lang w:val="fr-FR"/>
        </w:rPr>
        <w:t> </w:t>
      </w:r>
      <w:r w:rsidRPr="00E221DD">
        <w:rPr>
          <w:szCs w:val="22"/>
          <w:lang w:val="fr-FR"/>
        </w:rPr>
        <w:t>II suit]</w:t>
      </w:r>
    </w:p>
    <w:tbl>
      <w:tblPr>
        <w:tblStyle w:val="TableGrid"/>
        <w:tblW w:w="9193" w:type="dxa"/>
        <w:tblLook w:val="04A0" w:firstRow="1" w:lastRow="0" w:firstColumn="1" w:lastColumn="0" w:noHBand="0" w:noVBand="1"/>
      </w:tblPr>
      <w:tblGrid>
        <w:gridCol w:w="606"/>
        <w:gridCol w:w="4038"/>
        <w:gridCol w:w="1560"/>
        <w:gridCol w:w="1417"/>
        <w:gridCol w:w="1572"/>
      </w:tblGrid>
      <w:tr w:rsidR="00E221DD" w:rsidRPr="00E221DD" w:rsidTr="009F6BF2">
        <w:tc>
          <w:tcPr>
            <w:tcW w:w="9193" w:type="dxa"/>
            <w:gridSpan w:val="5"/>
          </w:tcPr>
          <w:p w:rsidR="00B643EB" w:rsidRPr="00E221DD" w:rsidRDefault="00B643EB" w:rsidP="007673D6">
            <w:pPr>
              <w:jc w:val="center"/>
              <w:rPr>
                <w:sz w:val="20"/>
                <w:lang w:val="fr-FR"/>
              </w:rPr>
            </w:pPr>
          </w:p>
          <w:p w:rsidR="00B643EB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Synthèse des budgets révisés actualisés par rapport</w:t>
            </w:r>
            <w:r w:rsidR="007673D6" w:rsidRPr="00E221DD">
              <w:rPr>
                <w:sz w:val="20"/>
                <w:lang w:val="fr-FR"/>
              </w:rPr>
              <w:t xml:space="preserve"> </w:t>
            </w:r>
            <w:r w:rsidRPr="00E221DD">
              <w:rPr>
                <w:sz w:val="20"/>
                <w:lang w:val="fr-FR"/>
              </w:rPr>
              <w:t>aux dépenses et engagements restants</w:t>
            </w:r>
          </w:p>
          <w:p w:rsidR="00B643EB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pour les projets de construction (situation à la date du présent document)</w:t>
            </w:r>
          </w:p>
          <w:p w:rsidR="007673D6" w:rsidRPr="00E221DD" w:rsidRDefault="007673D6" w:rsidP="007673D6">
            <w:pPr>
              <w:jc w:val="center"/>
              <w:rPr>
                <w:sz w:val="20"/>
                <w:lang w:val="fr-FR"/>
              </w:rPr>
            </w:pPr>
          </w:p>
        </w:tc>
      </w:tr>
      <w:tr w:rsidR="00E221DD" w:rsidRPr="00E221DD" w:rsidTr="00717003">
        <w:tc>
          <w:tcPr>
            <w:tcW w:w="606" w:type="dxa"/>
          </w:tcPr>
          <w:p w:rsidR="00F56C33" w:rsidRPr="00E221DD" w:rsidRDefault="00F56C33" w:rsidP="00905C8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4038" w:type="dxa"/>
          </w:tcPr>
          <w:p w:rsidR="00F56C33" w:rsidRPr="00E221DD" w:rsidRDefault="00F56C33" w:rsidP="00905C83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1560" w:type="dxa"/>
          </w:tcPr>
          <w:p w:rsidR="00B643EB" w:rsidRPr="00E221DD" w:rsidRDefault="00B643EB" w:rsidP="00905C83">
            <w:pPr>
              <w:jc w:val="center"/>
              <w:rPr>
                <w:sz w:val="20"/>
                <w:lang w:val="fr-FR"/>
              </w:rPr>
            </w:pPr>
          </w:p>
          <w:p w:rsidR="00B643EB" w:rsidRPr="00E221DD" w:rsidRDefault="00BA55A5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Projet NC</w:t>
            </w:r>
          </w:p>
          <w:p w:rsidR="00F25FF5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(francs suisses)</w:t>
            </w:r>
          </w:p>
        </w:tc>
        <w:tc>
          <w:tcPr>
            <w:tcW w:w="1417" w:type="dxa"/>
          </w:tcPr>
          <w:p w:rsidR="00B643EB" w:rsidRPr="00E221DD" w:rsidRDefault="00B643EB" w:rsidP="00905C83">
            <w:pPr>
              <w:jc w:val="center"/>
              <w:rPr>
                <w:sz w:val="20"/>
                <w:lang w:val="fr-FR"/>
              </w:rPr>
            </w:pPr>
          </w:p>
          <w:p w:rsidR="00B643EB" w:rsidRPr="00E221DD" w:rsidRDefault="00BA55A5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Projet NSC</w:t>
            </w:r>
          </w:p>
          <w:p w:rsidR="00F25FF5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(francs suisses)</w:t>
            </w:r>
          </w:p>
        </w:tc>
        <w:tc>
          <w:tcPr>
            <w:tcW w:w="1572" w:type="dxa"/>
          </w:tcPr>
          <w:p w:rsidR="00B643EB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Total</w:t>
            </w:r>
          </w:p>
          <w:p w:rsidR="0047363E" w:rsidRDefault="00BA55A5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Projets </w:t>
            </w:r>
          </w:p>
          <w:p w:rsidR="00B643EB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NC + N</w:t>
            </w:r>
            <w:r w:rsidR="00BA55A5" w:rsidRPr="00E221DD">
              <w:rPr>
                <w:sz w:val="20"/>
                <w:lang w:val="fr-FR"/>
              </w:rPr>
              <w:t>S</w:t>
            </w:r>
            <w:r w:rsidRPr="00E221DD">
              <w:rPr>
                <w:sz w:val="20"/>
                <w:lang w:val="fr-FR"/>
              </w:rPr>
              <w:t>C</w:t>
            </w:r>
          </w:p>
          <w:p w:rsidR="00B643EB" w:rsidRPr="00E221DD" w:rsidRDefault="00B643EB" w:rsidP="00B643EB">
            <w:pPr>
              <w:jc w:val="center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(francs suisses)</w:t>
            </w:r>
          </w:p>
          <w:p w:rsidR="00F25FF5" w:rsidRPr="00E221DD" w:rsidRDefault="00F25FF5" w:rsidP="00F25FF5">
            <w:pPr>
              <w:jc w:val="center"/>
              <w:rPr>
                <w:sz w:val="20"/>
                <w:lang w:val="fr-FR"/>
              </w:rPr>
            </w:pPr>
          </w:p>
        </w:tc>
      </w:tr>
      <w:tr w:rsidR="00E221DD" w:rsidRPr="00E221DD" w:rsidTr="00717003">
        <w:tc>
          <w:tcPr>
            <w:tcW w:w="606" w:type="dxa"/>
            <w:shd w:val="clear" w:color="auto" w:fill="auto"/>
          </w:tcPr>
          <w:p w:rsidR="007673D6" w:rsidRPr="00E221DD" w:rsidRDefault="007673D6" w:rsidP="0099183A">
            <w:pPr>
              <w:rPr>
                <w:sz w:val="20"/>
                <w:lang w:val="fr-FR"/>
              </w:rPr>
            </w:pPr>
          </w:p>
        </w:tc>
        <w:tc>
          <w:tcPr>
            <w:tcW w:w="4038" w:type="dxa"/>
            <w:shd w:val="clear" w:color="auto" w:fill="auto"/>
          </w:tcPr>
          <w:p w:rsidR="007673D6" w:rsidRPr="00E221DD" w:rsidRDefault="007673D6" w:rsidP="0099183A">
            <w:pPr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7673D6" w:rsidRPr="00E221DD" w:rsidRDefault="007673D6" w:rsidP="00905C83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:rsidR="007673D6" w:rsidRPr="00E221DD" w:rsidRDefault="007673D6" w:rsidP="00905C83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72" w:type="dxa"/>
            <w:shd w:val="clear" w:color="auto" w:fill="auto"/>
          </w:tcPr>
          <w:p w:rsidR="007673D6" w:rsidRPr="00E221DD" w:rsidRDefault="007673D6" w:rsidP="00905C83">
            <w:pPr>
              <w:jc w:val="right"/>
              <w:rPr>
                <w:sz w:val="20"/>
                <w:lang w:val="fr-FR"/>
              </w:rPr>
            </w:pPr>
          </w:p>
        </w:tc>
      </w:tr>
      <w:tr w:rsidR="00E221DD" w:rsidRPr="00E221DD" w:rsidTr="00717003">
        <w:tc>
          <w:tcPr>
            <w:tcW w:w="606" w:type="dxa"/>
          </w:tcPr>
          <w:p w:rsidR="00F56C33" w:rsidRPr="00E221DD" w:rsidRDefault="00905C83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1.</w:t>
            </w:r>
          </w:p>
        </w:tc>
        <w:tc>
          <w:tcPr>
            <w:tcW w:w="4038" w:type="dxa"/>
          </w:tcPr>
          <w:p w:rsidR="00F56C33" w:rsidRPr="00E221DD" w:rsidRDefault="003C636A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Budget </w:t>
            </w:r>
            <w:r w:rsidR="007F307C" w:rsidRPr="00E221DD">
              <w:rPr>
                <w:sz w:val="20"/>
                <w:lang w:val="fr-FR"/>
              </w:rPr>
              <w:t xml:space="preserve">initial </w:t>
            </w:r>
            <w:r w:rsidRPr="00E221DD">
              <w:rPr>
                <w:sz w:val="20"/>
                <w:lang w:val="fr-FR"/>
              </w:rPr>
              <w:t xml:space="preserve">approuvé </w:t>
            </w:r>
            <w:r w:rsidR="007F307C" w:rsidRPr="00E221DD">
              <w:rPr>
                <w:sz w:val="20"/>
                <w:lang w:val="fr-FR"/>
              </w:rPr>
              <w:t>f</w:t>
            </w:r>
            <w:r w:rsidRPr="00E221DD">
              <w:rPr>
                <w:sz w:val="20"/>
                <w:lang w:val="fr-FR"/>
              </w:rPr>
              <w:t>in</w:t>
            </w:r>
            <w:r w:rsidR="007F307C" w:rsidRPr="00E221DD">
              <w:rPr>
                <w:sz w:val="20"/>
                <w:lang w:val="fr-FR"/>
              </w:rPr>
              <w:t>ancé par le</w:t>
            </w:r>
            <w:r w:rsidRPr="00E221DD">
              <w:rPr>
                <w:sz w:val="20"/>
                <w:lang w:val="fr-FR"/>
              </w:rPr>
              <w:t>s réserves</w:t>
            </w:r>
          </w:p>
        </w:tc>
        <w:tc>
          <w:tcPr>
            <w:tcW w:w="1560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161 742 643</w:t>
            </w:r>
          </w:p>
        </w:tc>
        <w:tc>
          <w:tcPr>
            <w:tcW w:w="1417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68 200 000</w:t>
            </w:r>
          </w:p>
        </w:tc>
        <w:tc>
          <w:tcPr>
            <w:tcW w:w="1572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229 942 643</w:t>
            </w:r>
          </w:p>
        </w:tc>
      </w:tr>
      <w:tr w:rsidR="00E221DD" w:rsidRPr="00E221DD" w:rsidTr="00717003">
        <w:tc>
          <w:tcPr>
            <w:tcW w:w="606" w:type="dxa"/>
          </w:tcPr>
          <w:p w:rsidR="00F56C33" w:rsidRPr="00E221DD" w:rsidRDefault="00905C83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2.</w:t>
            </w:r>
          </w:p>
        </w:tc>
        <w:tc>
          <w:tcPr>
            <w:tcW w:w="4038" w:type="dxa"/>
          </w:tcPr>
          <w:p w:rsidR="00F56C33" w:rsidRPr="00E221DD" w:rsidRDefault="00BA1497" w:rsidP="007F307C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Transferts </w:t>
            </w:r>
            <w:r w:rsidR="003C636A" w:rsidRPr="00E221DD">
              <w:rPr>
                <w:sz w:val="20"/>
                <w:lang w:val="fr-FR"/>
              </w:rPr>
              <w:t xml:space="preserve">approuvés du </w:t>
            </w:r>
            <w:r w:rsidR="00BA55A5" w:rsidRPr="00E221DD">
              <w:rPr>
                <w:sz w:val="20"/>
                <w:lang w:val="fr-FR"/>
              </w:rPr>
              <w:t xml:space="preserve">projet </w:t>
            </w:r>
            <w:r w:rsidR="007F307C" w:rsidRPr="00E221DD">
              <w:rPr>
                <w:sz w:val="20"/>
                <w:lang w:val="fr-FR"/>
              </w:rPr>
              <w:t xml:space="preserve">de </w:t>
            </w:r>
            <w:r w:rsidR="00BA55A5" w:rsidRPr="00E221DD">
              <w:rPr>
                <w:sz w:val="20"/>
                <w:lang w:val="fr-FR"/>
              </w:rPr>
              <w:t xml:space="preserve">nouvelle construction </w:t>
            </w:r>
            <w:r w:rsidR="003C636A" w:rsidRPr="00E221DD">
              <w:rPr>
                <w:sz w:val="20"/>
                <w:lang w:val="fr-FR"/>
              </w:rPr>
              <w:t>au</w:t>
            </w:r>
            <w:r w:rsidR="00BA55A5" w:rsidRPr="00E221DD">
              <w:rPr>
                <w:sz w:val="20"/>
                <w:lang w:val="fr-FR"/>
              </w:rPr>
              <w:t xml:space="preserve"> projet de</w:t>
            </w:r>
            <w:r w:rsidR="003C636A" w:rsidRPr="00E221DD">
              <w:rPr>
                <w:sz w:val="20"/>
                <w:lang w:val="fr-FR"/>
              </w:rPr>
              <w:t xml:space="preserve"> </w:t>
            </w:r>
            <w:r w:rsidR="00BA55A5" w:rsidRPr="00E221DD">
              <w:rPr>
                <w:sz w:val="20"/>
                <w:lang w:val="fr-FR"/>
              </w:rPr>
              <w:t>nouvelle salle de conférence</w:t>
            </w:r>
            <w:r>
              <w:rPr>
                <w:sz w:val="20"/>
                <w:lang w:val="fr-FR"/>
              </w:rPr>
              <w:t>*</w:t>
            </w:r>
          </w:p>
        </w:tc>
        <w:tc>
          <w:tcPr>
            <w:tcW w:w="1560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(4 500 000)</w:t>
            </w:r>
          </w:p>
        </w:tc>
        <w:tc>
          <w:tcPr>
            <w:tcW w:w="1417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4 500 000</w:t>
            </w:r>
          </w:p>
        </w:tc>
        <w:tc>
          <w:tcPr>
            <w:tcW w:w="1572" w:type="dxa"/>
          </w:tcPr>
          <w:p w:rsidR="00F56C33" w:rsidRPr="00E221DD" w:rsidRDefault="00833955" w:rsidP="00905C83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noBreakHyphen/>
            </w:r>
          </w:p>
        </w:tc>
      </w:tr>
      <w:tr w:rsidR="00E221DD" w:rsidRPr="00E221DD" w:rsidTr="00717003">
        <w:tc>
          <w:tcPr>
            <w:tcW w:w="606" w:type="dxa"/>
          </w:tcPr>
          <w:p w:rsidR="00F56C33" w:rsidRPr="00E221DD" w:rsidRDefault="00905C83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3.</w:t>
            </w:r>
          </w:p>
        </w:tc>
        <w:tc>
          <w:tcPr>
            <w:tcW w:w="4038" w:type="dxa"/>
          </w:tcPr>
          <w:p w:rsidR="00F56C33" w:rsidRPr="00E221DD" w:rsidRDefault="003C636A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Ressources supplémentaires approuvées </w:t>
            </w:r>
            <w:r w:rsidR="007F307C" w:rsidRPr="00E221DD">
              <w:rPr>
                <w:sz w:val="20"/>
                <w:lang w:val="fr-FR"/>
              </w:rPr>
              <w:t>en 2014 dans le cadre des réserves</w:t>
            </w:r>
          </w:p>
        </w:tc>
        <w:tc>
          <w:tcPr>
            <w:tcW w:w="1560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400 000</w:t>
            </w:r>
          </w:p>
        </w:tc>
        <w:tc>
          <w:tcPr>
            <w:tcW w:w="1417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2 500 000</w:t>
            </w:r>
          </w:p>
        </w:tc>
        <w:tc>
          <w:tcPr>
            <w:tcW w:w="1572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2 900 000</w:t>
            </w:r>
          </w:p>
        </w:tc>
      </w:tr>
      <w:tr w:rsidR="00E221DD" w:rsidRPr="00E221DD" w:rsidTr="00717003">
        <w:tc>
          <w:tcPr>
            <w:tcW w:w="606" w:type="dxa"/>
          </w:tcPr>
          <w:p w:rsidR="00F56C33" w:rsidRPr="00E221DD" w:rsidRDefault="00905C83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4.</w:t>
            </w:r>
          </w:p>
        </w:tc>
        <w:tc>
          <w:tcPr>
            <w:tcW w:w="4038" w:type="dxa"/>
          </w:tcPr>
          <w:p w:rsidR="00F56C33" w:rsidRPr="00E221DD" w:rsidRDefault="003C636A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Budget révisé approuvé </w:t>
            </w:r>
            <w:r w:rsidR="007F307C" w:rsidRPr="00E221DD">
              <w:rPr>
                <w:sz w:val="20"/>
                <w:lang w:val="fr-FR"/>
              </w:rPr>
              <w:t>financé pa</w:t>
            </w:r>
            <w:r w:rsidRPr="00E221DD">
              <w:rPr>
                <w:sz w:val="20"/>
                <w:lang w:val="fr-FR"/>
              </w:rPr>
              <w:t xml:space="preserve">r les réserves à </w:t>
            </w:r>
            <w:r w:rsidR="007F307C" w:rsidRPr="00E221DD">
              <w:rPr>
                <w:sz w:val="20"/>
                <w:lang w:val="fr-FR"/>
              </w:rPr>
              <w:t xml:space="preserve">la </w:t>
            </w:r>
            <w:r w:rsidRPr="00E221DD">
              <w:rPr>
                <w:sz w:val="20"/>
                <w:lang w:val="fr-FR"/>
              </w:rPr>
              <w:t xml:space="preserve">fin </w:t>
            </w:r>
            <w:r w:rsidR="007F307C" w:rsidRPr="00E221DD">
              <w:rPr>
                <w:sz w:val="20"/>
                <w:lang w:val="fr-FR"/>
              </w:rPr>
              <w:t>de </w:t>
            </w:r>
            <w:r w:rsidRPr="00E221DD">
              <w:rPr>
                <w:sz w:val="20"/>
                <w:lang w:val="fr-FR"/>
              </w:rPr>
              <w:t>2014</w:t>
            </w:r>
          </w:p>
        </w:tc>
        <w:tc>
          <w:tcPr>
            <w:tcW w:w="1560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157 642 643</w:t>
            </w:r>
          </w:p>
        </w:tc>
        <w:tc>
          <w:tcPr>
            <w:tcW w:w="1417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75 200 000</w:t>
            </w:r>
          </w:p>
        </w:tc>
        <w:tc>
          <w:tcPr>
            <w:tcW w:w="1572" w:type="dxa"/>
          </w:tcPr>
          <w:p w:rsidR="00F56C33" w:rsidRPr="00E221DD" w:rsidRDefault="003C636A" w:rsidP="003C636A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232 842 643</w:t>
            </w:r>
          </w:p>
        </w:tc>
      </w:tr>
      <w:tr w:rsidR="00E221DD" w:rsidRPr="00E221DD" w:rsidTr="00717003">
        <w:tc>
          <w:tcPr>
            <w:tcW w:w="606" w:type="dxa"/>
          </w:tcPr>
          <w:p w:rsidR="00E90C9B" w:rsidRPr="00E221DD" w:rsidRDefault="009601DA" w:rsidP="002D1B8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5.</w:t>
            </w:r>
          </w:p>
        </w:tc>
        <w:tc>
          <w:tcPr>
            <w:tcW w:w="4038" w:type="dxa"/>
          </w:tcPr>
          <w:p w:rsidR="00E90C9B" w:rsidRPr="00E221DD" w:rsidRDefault="00252C4B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Dépenses à </w:t>
            </w:r>
            <w:r w:rsidR="007F307C" w:rsidRPr="00E221DD">
              <w:rPr>
                <w:sz w:val="20"/>
                <w:lang w:val="fr-FR"/>
              </w:rPr>
              <w:t xml:space="preserve">la </w:t>
            </w:r>
            <w:r w:rsidRPr="00E221DD">
              <w:rPr>
                <w:sz w:val="20"/>
                <w:lang w:val="fr-FR"/>
              </w:rPr>
              <w:t xml:space="preserve">fin </w:t>
            </w:r>
            <w:r w:rsidR="007F307C" w:rsidRPr="00E221DD">
              <w:rPr>
                <w:sz w:val="20"/>
                <w:lang w:val="fr-FR"/>
              </w:rPr>
              <w:t>de </w:t>
            </w:r>
            <w:r w:rsidRPr="00E221DD">
              <w:rPr>
                <w:sz w:val="20"/>
                <w:lang w:val="fr-FR"/>
              </w:rPr>
              <w:t>2015 et engagements restant à honorer</w:t>
            </w:r>
          </w:p>
        </w:tc>
        <w:tc>
          <w:tcPr>
            <w:tcW w:w="1560" w:type="dxa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(157 475 335)</w:t>
            </w:r>
          </w:p>
        </w:tc>
        <w:tc>
          <w:tcPr>
            <w:tcW w:w="1417" w:type="dxa"/>
          </w:tcPr>
          <w:p w:rsidR="00B643EB" w:rsidRPr="00E221DD" w:rsidRDefault="00B643EB" w:rsidP="00717003">
            <w:pPr>
              <w:jc w:val="right"/>
              <w:rPr>
                <w:sz w:val="20"/>
                <w:lang w:val="fr-FR"/>
              </w:rPr>
            </w:pPr>
          </w:p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(74 151 335)</w:t>
            </w:r>
          </w:p>
        </w:tc>
        <w:tc>
          <w:tcPr>
            <w:tcW w:w="1572" w:type="dxa"/>
          </w:tcPr>
          <w:p w:rsidR="00B643EB" w:rsidRPr="00E221DD" w:rsidRDefault="00B643EB" w:rsidP="00717003">
            <w:pPr>
              <w:jc w:val="right"/>
              <w:rPr>
                <w:sz w:val="20"/>
                <w:lang w:val="fr-FR"/>
              </w:rPr>
            </w:pPr>
          </w:p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(231 626 670)</w:t>
            </w:r>
          </w:p>
        </w:tc>
      </w:tr>
      <w:tr w:rsidR="00E221DD" w:rsidRPr="00E221DD" w:rsidTr="00145C83">
        <w:tc>
          <w:tcPr>
            <w:tcW w:w="606" w:type="dxa"/>
            <w:shd w:val="clear" w:color="auto" w:fill="auto"/>
          </w:tcPr>
          <w:p w:rsidR="00436931" w:rsidRPr="00E221DD" w:rsidRDefault="00436931" w:rsidP="002D1B8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6.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436931" w:rsidRPr="00E221DD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Montant non dépensé et non engagé à la date du présent document, à reverser aux réserves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436931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167 308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436931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1 048 665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436931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1 215 973</w:t>
            </w:r>
          </w:p>
        </w:tc>
      </w:tr>
      <w:tr w:rsidR="00E221DD" w:rsidRPr="00E221DD" w:rsidTr="00717003">
        <w:tc>
          <w:tcPr>
            <w:tcW w:w="606" w:type="dxa"/>
          </w:tcPr>
          <w:p w:rsidR="00436931" w:rsidRPr="00E221DD" w:rsidRDefault="00436931" w:rsidP="002D1B8A">
            <w:pPr>
              <w:rPr>
                <w:sz w:val="20"/>
                <w:lang w:val="fr-FR"/>
              </w:rPr>
            </w:pPr>
          </w:p>
        </w:tc>
        <w:tc>
          <w:tcPr>
            <w:tcW w:w="4038" w:type="dxa"/>
          </w:tcPr>
          <w:p w:rsidR="00436931" w:rsidRPr="00E221DD" w:rsidRDefault="00436931" w:rsidP="002D1B8A">
            <w:pPr>
              <w:rPr>
                <w:sz w:val="20"/>
                <w:lang w:val="fr-FR"/>
              </w:rPr>
            </w:pPr>
          </w:p>
        </w:tc>
        <w:tc>
          <w:tcPr>
            <w:tcW w:w="1560" w:type="dxa"/>
          </w:tcPr>
          <w:p w:rsidR="00436931" w:rsidRPr="00E221DD" w:rsidRDefault="00436931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7" w:type="dxa"/>
          </w:tcPr>
          <w:p w:rsidR="00436931" w:rsidRPr="00E221DD" w:rsidRDefault="00436931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72" w:type="dxa"/>
          </w:tcPr>
          <w:p w:rsidR="00436931" w:rsidRPr="00E221DD" w:rsidRDefault="00436931" w:rsidP="002D1B8A">
            <w:pPr>
              <w:jc w:val="right"/>
              <w:rPr>
                <w:sz w:val="20"/>
                <w:lang w:val="fr-FR"/>
              </w:rPr>
            </w:pPr>
          </w:p>
        </w:tc>
      </w:tr>
      <w:tr w:rsidR="00E221DD" w:rsidRPr="00E221DD" w:rsidDel="00E90C9B" w:rsidTr="00717003">
        <w:tc>
          <w:tcPr>
            <w:tcW w:w="606" w:type="dxa"/>
            <w:shd w:val="clear" w:color="auto" w:fill="auto"/>
          </w:tcPr>
          <w:p w:rsidR="003049A5" w:rsidRPr="00E221DD" w:rsidDel="00E90C9B" w:rsidRDefault="009601DA" w:rsidP="002D1B8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7.</w:t>
            </w:r>
          </w:p>
        </w:tc>
        <w:tc>
          <w:tcPr>
            <w:tcW w:w="4038" w:type="dxa"/>
            <w:shd w:val="clear" w:color="auto" w:fill="auto"/>
          </w:tcPr>
          <w:p w:rsidR="003049A5" w:rsidRPr="00E221DD" w:rsidDel="00E90C9B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Ressource</w:t>
            </w:r>
            <w:r w:rsidR="007F307C" w:rsidRPr="00E221DD">
              <w:rPr>
                <w:sz w:val="20"/>
                <w:lang w:val="fr-FR"/>
              </w:rPr>
              <w:t>s supplémentaires approuvées en </w:t>
            </w:r>
            <w:r w:rsidRPr="00E221DD">
              <w:rPr>
                <w:sz w:val="20"/>
                <w:lang w:val="fr-FR"/>
              </w:rPr>
              <w:t>2015 dans le cadre du budget ordinaire**</w:t>
            </w:r>
          </w:p>
        </w:tc>
        <w:tc>
          <w:tcPr>
            <w:tcW w:w="1560" w:type="dxa"/>
            <w:shd w:val="clear" w:color="auto" w:fill="auto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3049A5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proofErr w:type="spellStart"/>
            <w:r w:rsidRPr="00E221DD">
              <w:rPr>
                <w:sz w:val="20"/>
                <w:lang w:val="fr-FR"/>
              </w:rPr>
              <w:t>n.</w:t>
            </w:r>
            <w:r w:rsidR="009B09ED">
              <w:rPr>
                <w:sz w:val="20"/>
                <w:lang w:val="fr-FR"/>
              </w:rPr>
              <w:t>a</w:t>
            </w:r>
            <w:proofErr w:type="spellEnd"/>
            <w:r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3049A5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3 500 000</w:t>
            </w:r>
          </w:p>
        </w:tc>
        <w:tc>
          <w:tcPr>
            <w:tcW w:w="1572" w:type="dxa"/>
            <w:shd w:val="clear" w:color="auto" w:fill="auto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3049A5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3 500 000</w:t>
            </w:r>
          </w:p>
        </w:tc>
      </w:tr>
      <w:tr w:rsidR="00E221DD" w:rsidRPr="00E221DD" w:rsidTr="00717003">
        <w:tc>
          <w:tcPr>
            <w:tcW w:w="606" w:type="dxa"/>
          </w:tcPr>
          <w:p w:rsidR="00E90C9B" w:rsidRPr="00E221DD" w:rsidRDefault="009601DA" w:rsidP="002D1B8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8</w:t>
            </w:r>
            <w:r w:rsidR="003049A5"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4038" w:type="dxa"/>
          </w:tcPr>
          <w:p w:rsidR="00E90C9B" w:rsidRPr="00E221DD" w:rsidRDefault="00252C4B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Dépenses à la fin de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2015</w:t>
            </w:r>
          </w:p>
        </w:tc>
        <w:tc>
          <w:tcPr>
            <w:tcW w:w="1560" w:type="dxa"/>
          </w:tcPr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proofErr w:type="spellStart"/>
            <w:r w:rsidRPr="00E221DD">
              <w:rPr>
                <w:sz w:val="20"/>
                <w:lang w:val="fr-FR"/>
              </w:rPr>
              <w:t>n.</w:t>
            </w:r>
            <w:r w:rsidR="009B09ED">
              <w:rPr>
                <w:sz w:val="20"/>
                <w:lang w:val="fr-FR"/>
              </w:rPr>
              <w:t>a</w:t>
            </w:r>
            <w:proofErr w:type="spellEnd"/>
            <w:r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1417" w:type="dxa"/>
          </w:tcPr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(3 486 353)</w:t>
            </w:r>
          </w:p>
        </w:tc>
        <w:tc>
          <w:tcPr>
            <w:tcW w:w="1572" w:type="dxa"/>
          </w:tcPr>
          <w:p w:rsidR="00E90C9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(3 486 353)</w:t>
            </w:r>
          </w:p>
        </w:tc>
      </w:tr>
      <w:tr w:rsidR="00E221DD" w:rsidRPr="00E221DD" w:rsidTr="00717003">
        <w:tc>
          <w:tcPr>
            <w:tcW w:w="606" w:type="dxa"/>
          </w:tcPr>
          <w:p w:rsidR="00C8480D" w:rsidRPr="00E221DD" w:rsidRDefault="009601DA" w:rsidP="002D1B8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9</w:t>
            </w:r>
            <w:r w:rsidR="00436931"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C8480D" w:rsidRPr="00E221DD" w:rsidRDefault="00252C4B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Montant non dépensé reversé aux réserves à la fin de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2015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C8480D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proofErr w:type="spellStart"/>
            <w:r w:rsidRPr="00E221DD">
              <w:rPr>
                <w:sz w:val="20"/>
                <w:lang w:val="fr-FR"/>
              </w:rPr>
              <w:t>n.</w:t>
            </w:r>
            <w:r w:rsidR="009B09ED">
              <w:rPr>
                <w:sz w:val="20"/>
                <w:lang w:val="fr-FR"/>
              </w:rPr>
              <w:t>a</w:t>
            </w:r>
            <w:proofErr w:type="spellEnd"/>
            <w:r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C8480D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13 647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:rsidR="00B643EB" w:rsidRPr="00E221DD" w:rsidRDefault="00B643EB" w:rsidP="002D1B8A">
            <w:pPr>
              <w:jc w:val="right"/>
              <w:rPr>
                <w:sz w:val="20"/>
                <w:lang w:val="fr-FR"/>
              </w:rPr>
            </w:pPr>
          </w:p>
          <w:p w:rsidR="00C8480D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13 647</w:t>
            </w:r>
          </w:p>
        </w:tc>
      </w:tr>
      <w:tr w:rsidR="00E221DD" w:rsidRPr="00E221DD" w:rsidTr="00717003">
        <w:tc>
          <w:tcPr>
            <w:tcW w:w="606" w:type="dxa"/>
          </w:tcPr>
          <w:p w:rsidR="00D55A89" w:rsidRPr="00E221DD" w:rsidRDefault="00D55A89" w:rsidP="002D1B8A">
            <w:pPr>
              <w:rPr>
                <w:sz w:val="20"/>
                <w:lang w:val="fr-FR"/>
              </w:rPr>
            </w:pPr>
          </w:p>
        </w:tc>
        <w:tc>
          <w:tcPr>
            <w:tcW w:w="4038" w:type="dxa"/>
          </w:tcPr>
          <w:p w:rsidR="00D55A89" w:rsidRPr="00E221DD" w:rsidRDefault="00D55A89" w:rsidP="002D1B8A">
            <w:pPr>
              <w:rPr>
                <w:sz w:val="20"/>
                <w:lang w:val="fr-FR"/>
              </w:rPr>
            </w:pPr>
          </w:p>
        </w:tc>
        <w:tc>
          <w:tcPr>
            <w:tcW w:w="1560" w:type="dxa"/>
          </w:tcPr>
          <w:p w:rsidR="00D55A89" w:rsidRPr="00E221DD" w:rsidRDefault="00D55A89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7" w:type="dxa"/>
          </w:tcPr>
          <w:p w:rsidR="00D55A89" w:rsidRPr="00E221DD" w:rsidRDefault="00D55A89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72" w:type="dxa"/>
          </w:tcPr>
          <w:p w:rsidR="00D55A89" w:rsidRPr="00E221DD" w:rsidRDefault="00D55A89" w:rsidP="002D1B8A">
            <w:pPr>
              <w:jc w:val="right"/>
              <w:rPr>
                <w:sz w:val="20"/>
                <w:lang w:val="fr-FR"/>
              </w:rPr>
            </w:pPr>
          </w:p>
        </w:tc>
      </w:tr>
      <w:tr w:rsidR="00E221DD" w:rsidRPr="00E221DD" w:rsidTr="00717003">
        <w:tc>
          <w:tcPr>
            <w:tcW w:w="606" w:type="dxa"/>
          </w:tcPr>
          <w:p w:rsidR="00CE122D" w:rsidRPr="00E221DD" w:rsidRDefault="00CE122D" w:rsidP="002D1B8A">
            <w:pPr>
              <w:rPr>
                <w:sz w:val="20"/>
                <w:lang w:val="fr-FR"/>
              </w:rPr>
            </w:pPr>
          </w:p>
        </w:tc>
        <w:tc>
          <w:tcPr>
            <w:tcW w:w="4038" w:type="dxa"/>
          </w:tcPr>
          <w:p w:rsidR="00CE122D" w:rsidRPr="00E221DD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TOTAUX</w:t>
            </w:r>
          </w:p>
        </w:tc>
        <w:tc>
          <w:tcPr>
            <w:tcW w:w="1560" w:type="dxa"/>
          </w:tcPr>
          <w:p w:rsidR="00CE122D" w:rsidRPr="00E221DD" w:rsidRDefault="00CE122D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7" w:type="dxa"/>
          </w:tcPr>
          <w:p w:rsidR="00CE122D" w:rsidRPr="00E221DD" w:rsidRDefault="00CE122D" w:rsidP="002D1B8A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72" w:type="dxa"/>
          </w:tcPr>
          <w:p w:rsidR="00CE122D" w:rsidRPr="00E221DD" w:rsidRDefault="00CE122D" w:rsidP="002D1B8A">
            <w:pPr>
              <w:jc w:val="right"/>
              <w:rPr>
                <w:sz w:val="20"/>
                <w:lang w:val="fr-FR"/>
              </w:rPr>
            </w:pPr>
          </w:p>
        </w:tc>
      </w:tr>
      <w:tr w:rsidR="00E221DD" w:rsidRPr="00E221DD" w:rsidTr="00717003">
        <w:tc>
          <w:tcPr>
            <w:tcW w:w="606" w:type="dxa"/>
            <w:shd w:val="clear" w:color="auto" w:fill="auto"/>
          </w:tcPr>
          <w:p w:rsidR="00F56C33" w:rsidRPr="00E221DD" w:rsidRDefault="009601DA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10</w:t>
            </w:r>
            <w:r w:rsidR="00905C83"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4038" w:type="dxa"/>
            <w:shd w:val="clear" w:color="auto" w:fill="auto"/>
          </w:tcPr>
          <w:p w:rsidR="003075C9" w:rsidRPr="00E221DD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Total des budgets approuvés pour les projets à la fin de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2015</w:t>
            </w:r>
          </w:p>
          <w:p w:rsidR="00F56C33" w:rsidRPr="00E221DD" w:rsidRDefault="00252C4B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(= lignes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4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+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7)</w:t>
            </w:r>
          </w:p>
        </w:tc>
        <w:tc>
          <w:tcPr>
            <w:tcW w:w="1560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F56C33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157 642 643</w:t>
            </w:r>
          </w:p>
        </w:tc>
        <w:tc>
          <w:tcPr>
            <w:tcW w:w="1417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F56C33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78 700 000</w:t>
            </w:r>
          </w:p>
        </w:tc>
        <w:tc>
          <w:tcPr>
            <w:tcW w:w="1572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F56C33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236 342 643</w:t>
            </w:r>
          </w:p>
        </w:tc>
      </w:tr>
      <w:tr w:rsidR="00E221DD" w:rsidRPr="00E221DD" w:rsidDel="00E90C9B" w:rsidTr="00717003">
        <w:tc>
          <w:tcPr>
            <w:tcW w:w="606" w:type="dxa"/>
            <w:shd w:val="clear" w:color="auto" w:fill="auto"/>
          </w:tcPr>
          <w:p w:rsidR="00F56C33" w:rsidRPr="00E221DD" w:rsidDel="00E90C9B" w:rsidRDefault="009601DA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11</w:t>
            </w:r>
            <w:r w:rsidR="00905C83" w:rsidRPr="00E221DD" w:rsidDel="00E90C9B">
              <w:rPr>
                <w:sz w:val="20"/>
                <w:lang w:val="fr-FR"/>
              </w:rPr>
              <w:t>.</w:t>
            </w:r>
          </w:p>
        </w:tc>
        <w:tc>
          <w:tcPr>
            <w:tcW w:w="4038" w:type="dxa"/>
            <w:shd w:val="clear" w:color="auto" w:fill="auto"/>
          </w:tcPr>
          <w:p w:rsidR="00B643EB" w:rsidRPr="00E221DD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Dépenses totales à la fin de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2015 et engagements restant à honorer</w:t>
            </w:r>
          </w:p>
          <w:p w:rsidR="00F56C33" w:rsidRPr="00E221DD" w:rsidDel="00E90C9B" w:rsidRDefault="00252C4B" w:rsidP="007F307C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(= lignes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5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+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8)</w:t>
            </w:r>
          </w:p>
        </w:tc>
        <w:tc>
          <w:tcPr>
            <w:tcW w:w="1560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7673D6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(157 475 335)</w:t>
            </w:r>
          </w:p>
        </w:tc>
        <w:tc>
          <w:tcPr>
            <w:tcW w:w="1417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7673D6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(77 637 688)</w:t>
            </w:r>
          </w:p>
        </w:tc>
        <w:tc>
          <w:tcPr>
            <w:tcW w:w="1572" w:type="dxa"/>
            <w:shd w:val="clear" w:color="auto" w:fill="auto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7673D6" w:rsidRPr="00E221DD" w:rsidDel="00E90C9B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(235 113 023)</w:t>
            </w:r>
          </w:p>
        </w:tc>
      </w:tr>
      <w:tr w:rsidR="00E221DD" w:rsidRPr="00E221DD" w:rsidTr="00717003">
        <w:tc>
          <w:tcPr>
            <w:tcW w:w="606" w:type="dxa"/>
            <w:shd w:val="clear" w:color="auto" w:fill="auto"/>
          </w:tcPr>
          <w:p w:rsidR="00B643EB" w:rsidRPr="00E221DD" w:rsidRDefault="00B643EB" w:rsidP="0099183A">
            <w:pPr>
              <w:rPr>
                <w:sz w:val="20"/>
                <w:lang w:val="fr-FR"/>
              </w:rPr>
            </w:pPr>
          </w:p>
          <w:p w:rsidR="00F56C33" w:rsidRPr="00E221DD" w:rsidRDefault="00D55A89" w:rsidP="0099183A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12</w:t>
            </w:r>
            <w:r w:rsidR="00905C83" w:rsidRPr="00E221DD">
              <w:rPr>
                <w:sz w:val="20"/>
                <w:lang w:val="fr-FR"/>
              </w:rPr>
              <w:t>.</w:t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="00B643EB" w:rsidRPr="00E221DD" w:rsidRDefault="00B643EB" w:rsidP="0099183A">
            <w:pPr>
              <w:rPr>
                <w:sz w:val="20"/>
                <w:lang w:val="fr-FR"/>
              </w:rPr>
            </w:pPr>
          </w:p>
          <w:p w:rsidR="00BA1497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 xml:space="preserve">Montant total non dépensé et non engagé à la date du présent document </w:t>
            </w:r>
          </w:p>
          <w:p w:rsidR="00B643EB" w:rsidRPr="00E221DD" w:rsidRDefault="00252C4B" w:rsidP="00252C4B">
            <w:pPr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(= lignes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6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+</w:t>
            </w:r>
            <w:r w:rsidR="007F307C" w:rsidRPr="00E221DD">
              <w:rPr>
                <w:sz w:val="20"/>
                <w:lang w:val="fr-FR"/>
              </w:rPr>
              <w:t> </w:t>
            </w:r>
            <w:r w:rsidRPr="00E221DD">
              <w:rPr>
                <w:sz w:val="20"/>
                <w:lang w:val="fr-FR"/>
              </w:rPr>
              <w:t>9)</w:t>
            </w:r>
          </w:p>
          <w:p w:rsidR="007673D6" w:rsidRPr="00E221DD" w:rsidRDefault="007673D6" w:rsidP="0099183A">
            <w:pPr>
              <w:rPr>
                <w:sz w:val="20"/>
                <w:lang w:val="fr-F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B643EB" w:rsidRPr="00E221DD" w:rsidRDefault="00B643EB" w:rsidP="00905C83">
            <w:pPr>
              <w:jc w:val="right"/>
              <w:rPr>
                <w:sz w:val="20"/>
                <w:lang w:val="fr-FR"/>
              </w:rPr>
            </w:pPr>
          </w:p>
          <w:p w:rsidR="00F56C33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167 308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643EB" w:rsidRPr="00E221DD" w:rsidRDefault="00B643EB" w:rsidP="001D73E7">
            <w:pPr>
              <w:jc w:val="right"/>
              <w:rPr>
                <w:sz w:val="20"/>
                <w:lang w:val="fr-FR"/>
              </w:rPr>
            </w:pPr>
          </w:p>
          <w:p w:rsidR="00B643EB" w:rsidRPr="00E221DD" w:rsidRDefault="00B643EB" w:rsidP="001D73E7">
            <w:pPr>
              <w:jc w:val="right"/>
              <w:rPr>
                <w:sz w:val="20"/>
                <w:lang w:val="fr-FR"/>
              </w:rPr>
            </w:pPr>
          </w:p>
          <w:p w:rsidR="00B643E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1 062 312</w:t>
            </w:r>
          </w:p>
          <w:p w:rsidR="00F56C33" w:rsidRPr="00E221DD" w:rsidRDefault="00F56C33" w:rsidP="001D73E7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:rsidR="00B643EB" w:rsidRPr="00E221DD" w:rsidRDefault="00B643EB" w:rsidP="001D73E7">
            <w:pPr>
              <w:jc w:val="right"/>
              <w:rPr>
                <w:sz w:val="20"/>
                <w:lang w:val="fr-FR"/>
              </w:rPr>
            </w:pPr>
          </w:p>
          <w:p w:rsidR="00B643EB" w:rsidRPr="00E221DD" w:rsidRDefault="00B643EB" w:rsidP="001D73E7">
            <w:pPr>
              <w:jc w:val="right"/>
              <w:rPr>
                <w:sz w:val="20"/>
                <w:lang w:val="fr-FR"/>
              </w:rPr>
            </w:pPr>
          </w:p>
          <w:p w:rsidR="00B643EB" w:rsidRPr="00E221DD" w:rsidRDefault="00252C4B" w:rsidP="00252C4B">
            <w:pPr>
              <w:jc w:val="right"/>
              <w:rPr>
                <w:sz w:val="20"/>
                <w:lang w:val="fr-FR"/>
              </w:rPr>
            </w:pPr>
            <w:r w:rsidRPr="00E221DD">
              <w:rPr>
                <w:sz w:val="20"/>
                <w:lang w:val="fr-FR"/>
              </w:rPr>
              <w:t>1 229 620</w:t>
            </w:r>
          </w:p>
          <w:p w:rsidR="00F56C33" w:rsidRPr="00E221DD" w:rsidRDefault="00F56C33" w:rsidP="001D73E7">
            <w:pPr>
              <w:jc w:val="right"/>
              <w:rPr>
                <w:sz w:val="20"/>
                <w:lang w:val="fr-FR"/>
              </w:rPr>
            </w:pPr>
          </w:p>
        </w:tc>
      </w:tr>
    </w:tbl>
    <w:p w:rsidR="00B643EB" w:rsidRPr="00E221DD" w:rsidRDefault="00B643EB" w:rsidP="00F25FF5">
      <w:pPr>
        <w:rPr>
          <w:szCs w:val="22"/>
          <w:lang w:val="fr-FR"/>
        </w:rPr>
      </w:pPr>
    </w:p>
    <w:p w:rsidR="00B643EB" w:rsidRPr="00E221DD" w:rsidRDefault="00833955" w:rsidP="006D44F4">
      <w:pPr>
        <w:rPr>
          <w:sz w:val="18"/>
          <w:szCs w:val="18"/>
          <w:lang w:val="fr-FR"/>
        </w:rPr>
      </w:pPr>
      <w:r w:rsidRPr="00E221DD">
        <w:rPr>
          <w:sz w:val="18"/>
          <w:szCs w:val="18"/>
        </w:rPr>
        <w:t>*</w:t>
      </w:r>
      <w:proofErr w:type="gramStart"/>
      <w:r w:rsidRPr="00E221DD">
        <w:rPr>
          <w:sz w:val="18"/>
          <w:szCs w:val="18"/>
        </w:rPr>
        <w:t>  </w:t>
      </w:r>
      <w:r w:rsidR="00997504" w:rsidRPr="00E221DD">
        <w:rPr>
          <w:sz w:val="18"/>
          <w:szCs w:val="18"/>
          <w:lang w:val="fr-FR"/>
        </w:rPr>
        <w:t>Selon</w:t>
      </w:r>
      <w:proofErr w:type="gramEnd"/>
      <w:r w:rsidR="00997504" w:rsidRPr="00E221DD">
        <w:rPr>
          <w:sz w:val="18"/>
          <w:szCs w:val="18"/>
          <w:lang w:val="fr-FR"/>
        </w:rPr>
        <w:t xml:space="preserve"> le document WO/PBC/18/9, le montant de 4 500 000</w:t>
      </w:r>
      <w:r w:rsidR="00A2241E" w:rsidRPr="00E221DD">
        <w:rPr>
          <w:sz w:val="18"/>
          <w:szCs w:val="18"/>
          <w:lang w:val="fr-FR"/>
        </w:rPr>
        <w:t> </w:t>
      </w:r>
      <w:r w:rsidR="00997504" w:rsidRPr="00E221DD">
        <w:rPr>
          <w:sz w:val="18"/>
          <w:szCs w:val="18"/>
          <w:lang w:val="fr-FR"/>
        </w:rPr>
        <w:t>francs suisses comprenait un montant de 2 225 000</w:t>
      </w:r>
      <w:r w:rsidR="00A2241E" w:rsidRPr="00E221DD">
        <w:rPr>
          <w:sz w:val="18"/>
          <w:szCs w:val="18"/>
          <w:lang w:val="fr-FR"/>
        </w:rPr>
        <w:t> </w:t>
      </w:r>
      <w:r w:rsidR="00997504" w:rsidRPr="00E221DD">
        <w:rPr>
          <w:sz w:val="18"/>
          <w:szCs w:val="18"/>
          <w:lang w:val="fr-FR"/>
        </w:rPr>
        <w:t xml:space="preserve">francs suisses correspondant à la pénalité </w:t>
      </w:r>
      <w:r w:rsidR="00F80101">
        <w:rPr>
          <w:sz w:val="18"/>
          <w:szCs w:val="18"/>
          <w:lang w:val="fr-FR"/>
        </w:rPr>
        <w:t xml:space="preserve">de retard </w:t>
      </w:r>
      <w:r w:rsidR="00997504" w:rsidRPr="00E221DD">
        <w:rPr>
          <w:sz w:val="18"/>
          <w:szCs w:val="18"/>
          <w:lang w:val="fr-FR"/>
        </w:rPr>
        <w:t>que l</w:t>
      </w:r>
      <w:r w:rsidR="003075C9" w:rsidRPr="00E221DD">
        <w:rPr>
          <w:sz w:val="18"/>
          <w:szCs w:val="18"/>
          <w:lang w:val="fr-FR"/>
        </w:rPr>
        <w:t>’</w:t>
      </w:r>
      <w:r w:rsidR="00997504" w:rsidRPr="00E221DD">
        <w:rPr>
          <w:sz w:val="18"/>
          <w:szCs w:val="18"/>
          <w:lang w:val="fr-FR"/>
        </w:rPr>
        <w:t>ancienne entreprise générale devait verser à l</w:t>
      </w:r>
      <w:r w:rsidR="003075C9" w:rsidRPr="00E221DD">
        <w:rPr>
          <w:sz w:val="18"/>
          <w:szCs w:val="18"/>
          <w:lang w:val="fr-FR"/>
        </w:rPr>
        <w:t>’</w:t>
      </w:r>
      <w:r w:rsidR="00997504" w:rsidRPr="00E221DD">
        <w:rPr>
          <w:sz w:val="18"/>
          <w:szCs w:val="18"/>
          <w:lang w:val="fr-FR"/>
        </w:rPr>
        <w:t>OMPI et un montant de 2 275 000</w:t>
      </w:r>
      <w:r w:rsidR="00A2241E" w:rsidRPr="00E221DD">
        <w:rPr>
          <w:sz w:val="18"/>
          <w:szCs w:val="18"/>
          <w:lang w:val="fr-FR"/>
        </w:rPr>
        <w:t> </w:t>
      </w:r>
      <w:r w:rsidR="00997504" w:rsidRPr="00E221DD">
        <w:rPr>
          <w:sz w:val="18"/>
          <w:szCs w:val="18"/>
          <w:lang w:val="fr-FR"/>
        </w:rPr>
        <w:t xml:space="preserve">francs suisses correspondant </w:t>
      </w:r>
      <w:r w:rsidR="00F80101">
        <w:rPr>
          <w:sz w:val="18"/>
          <w:szCs w:val="18"/>
          <w:lang w:val="fr-FR"/>
        </w:rPr>
        <w:t xml:space="preserve">à des </w:t>
      </w:r>
      <w:r w:rsidR="00997504" w:rsidRPr="00E221DD">
        <w:rPr>
          <w:sz w:val="18"/>
          <w:szCs w:val="18"/>
          <w:lang w:val="fr-FR"/>
        </w:rPr>
        <w:t xml:space="preserve">fonds non engagés </w:t>
      </w:r>
      <w:r w:rsidR="00F80101">
        <w:rPr>
          <w:sz w:val="18"/>
          <w:szCs w:val="18"/>
          <w:lang w:val="fr-FR"/>
        </w:rPr>
        <w:t xml:space="preserve">ou non utilisés </w:t>
      </w:r>
      <w:r w:rsidR="00997504" w:rsidRPr="00E221DD">
        <w:rPr>
          <w:sz w:val="18"/>
          <w:szCs w:val="18"/>
          <w:lang w:val="fr-FR"/>
        </w:rPr>
        <w:t>dans le projet de nouvelle construction (économi</w:t>
      </w:r>
      <w:r w:rsidR="00E55E3F" w:rsidRPr="00E221DD">
        <w:rPr>
          <w:sz w:val="18"/>
          <w:szCs w:val="18"/>
          <w:lang w:val="fr-FR"/>
        </w:rPr>
        <w:t>es).  Il</w:t>
      </w:r>
      <w:r w:rsidR="00997504" w:rsidRPr="00E221DD">
        <w:rPr>
          <w:sz w:val="18"/>
          <w:szCs w:val="18"/>
          <w:lang w:val="fr-FR"/>
        </w:rPr>
        <w:t xml:space="preserve"> avait été supposé que le montant de la pénalité reçu par l</w:t>
      </w:r>
      <w:r w:rsidR="003075C9" w:rsidRPr="00E221DD">
        <w:rPr>
          <w:sz w:val="18"/>
          <w:szCs w:val="18"/>
          <w:lang w:val="fr-FR"/>
        </w:rPr>
        <w:t>’</w:t>
      </w:r>
      <w:r w:rsidR="00997504" w:rsidRPr="00E221DD">
        <w:rPr>
          <w:sz w:val="18"/>
          <w:szCs w:val="18"/>
          <w:lang w:val="fr-FR"/>
        </w:rPr>
        <w:t>OMPI pourrait être utilisé pour compenser les dépenses de constructi</w:t>
      </w:r>
      <w:r w:rsidR="00E55E3F" w:rsidRPr="00E221DD">
        <w:rPr>
          <w:sz w:val="18"/>
          <w:szCs w:val="18"/>
          <w:lang w:val="fr-FR"/>
        </w:rPr>
        <w:t>on.  To</w:t>
      </w:r>
      <w:r w:rsidR="00877AE4" w:rsidRPr="00E221DD">
        <w:rPr>
          <w:sz w:val="18"/>
          <w:szCs w:val="18"/>
          <w:lang w:val="fr-FR"/>
        </w:rPr>
        <w:t>utefois</w:t>
      </w:r>
      <w:r w:rsidR="001B02F8" w:rsidRPr="00E221DD">
        <w:rPr>
          <w:sz w:val="18"/>
          <w:szCs w:val="18"/>
          <w:lang w:val="fr-FR"/>
        </w:rPr>
        <w:t xml:space="preserve">, </w:t>
      </w:r>
      <w:r w:rsidR="00F80101">
        <w:rPr>
          <w:sz w:val="18"/>
          <w:szCs w:val="18"/>
          <w:lang w:val="fr-FR"/>
        </w:rPr>
        <w:t xml:space="preserve">l’accord sur la pénalité avait été conclu alors que le bâtiment avait, </w:t>
      </w:r>
      <w:r w:rsidR="001B02F8" w:rsidRPr="00E221DD">
        <w:rPr>
          <w:sz w:val="18"/>
          <w:szCs w:val="18"/>
          <w:lang w:val="fr-FR"/>
        </w:rPr>
        <w:t>conformément aux normes</w:t>
      </w:r>
      <w:r w:rsidR="00A2241E" w:rsidRPr="00E221DD">
        <w:rPr>
          <w:sz w:val="18"/>
          <w:szCs w:val="18"/>
          <w:lang w:val="fr-FR"/>
        </w:rPr>
        <w:t> </w:t>
      </w:r>
      <w:r w:rsidR="001B02F8" w:rsidRPr="00E221DD">
        <w:rPr>
          <w:sz w:val="18"/>
          <w:szCs w:val="18"/>
          <w:lang w:val="fr-FR"/>
        </w:rPr>
        <w:t xml:space="preserve">IPSAS, </w:t>
      </w:r>
      <w:r w:rsidR="00F80101">
        <w:rPr>
          <w:sz w:val="18"/>
          <w:szCs w:val="18"/>
          <w:lang w:val="fr-FR"/>
        </w:rPr>
        <w:t xml:space="preserve">été </w:t>
      </w:r>
      <w:r w:rsidR="001B02F8" w:rsidRPr="00E221DD">
        <w:rPr>
          <w:sz w:val="18"/>
          <w:szCs w:val="18"/>
          <w:lang w:val="fr-FR"/>
        </w:rPr>
        <w:t>considéré comme terminé</w:t>
      </w:r>
      <w:r w:rsidR="00A523DC">
        <w:rPr>
          <w:sz w:val="18"/>
          <w:szCs w:val="18"/>
          <w:lang w:val="fr-FR"/>
        </w:rPr>
        <w:t>,</w:t>
      </w:r>
      <w:r w:rsidR="001B02F8" w:rsidRPr="00E221DD">
        <w:rPr>
          <w:sz w:val="18"/>
          <w:szCs w:val="18"/>
          <w:lang w:val="fr-FR"/>
        </w:rPr>
        <w:t xml:space="preserve"> et le montant de la pénalité de retard (2 225 000</w:t>
      </w:r>
      <w:r w:rsidR="00A2241E" w:rsidRPr="00E221DD">
        <w:rPr>
          <w:sz w:val="18"/>
          <w:szCs w:val="18"/>
          <w:lang w:val="fr-FR"/>
        </w:rPr>
        <w:t> </w:t>
      </w:r>
      <w:r w:rsidR="001B02F8" w:rsidRPr="00E221DD">
        <w:rPr>
          <w:sz w:val="18"/>
          <w:szCs w:val="18"/>
          <w:lang w:val="fr-FR"/>
        </w:rPr>
        <w:t>francs suisses)</w:t>
      </w:r>
      <w:r w:rsidR="00877AE4" w:rsidRPr="00E221DD">
        <w:rPr>
          <w:sz w:val="18"/>
          <w:szCs w:val="18"/>
          <w:lang w:val="fr-FR"/>
        </w:rPr>
        <w:t>,</w:t>
      </w:r>
      <w:r w:rsidR="001B02F8" w:rsidRPr="00E221DD">
        <w:rPr>
          <w:sz w:val="18"/>
          <w:szCs w:val="18"/>
          <w:lang w:val="fr-FR"/>
        </w:rPr>
        <w:t xml:space="preserve"> </w:t>
      </w:r>
      <w:r w:rsidR="00A523DC">
        <w:rPr>
          <w:sz w:val="18"/>
          <w:szCs w:val="18"/>
          <w:lang w:val="fr-FR"/>
        </w:rPr>
        <w:t xml:space="preserve">reçu de l’ancienne </w:t>
      </w:r>
      <w:r w:rsidR="001B02F8" w:rsidRPr="00E221DD">
        <w:rPr>
          <w:sz w:val="18"/>
          <w:szCs w:val="18"/>
          <w:lang w:val="fr-FR"/>
        </w:rPr>
        <w:t>entreprise générale</w:t>
      </w:r>
      <w:r w:rsidR="00877AE4" w:rsidRPr="00E221DD">
        <w:rPr>
          <w:sz w:val="18"/>
          <w:szCs w:val="18"/>
          <w:lang w:val="fr-FR"/>
        </w:rPr>
        <w:t>,</w:t>
      </w:r>
      <w:r w:rsidR="001B02F8" w:rsidRPr="00E221DD">
        <w:rPr>
          <w:sz w:val="18"/>
          <w:szCs w:val="18"/>
          <w:lang w:val="fr-FR"/>
        </w:rPr>
        <w:t xml:space="preserve"> </w:t>
      </w:r>
      <w:r w:rsidR="00A523DC">
        <w:rPr>
          <w:sz w:val="18"/>
          <w:szCs w:val="18"/>
          <w:lang w:val="fr-FR"/>
        </w:rPr>
        <w:t xml:space="preserve">avait </w:t>
      </w:r>
      <w:r w:rsidR="001B02F8" w:rsidRPr="00E221DD">
        <w:rPr>
          <w:sz w:val="18"/>
          <w:szCs w:val="18"/>
          <w:lang w:val="fr-FR"/>
        </w:rPr>
        <w:t>été comptabilisé dans les recettes de l</w:t>
      </w:r>
      <w:r w:rsidR="003075C9" w:rsidRPr="00E221DD">
        <w:rPr>
          <w:sz w:val="18"/>
          <w:szCs w:val="18"/>
          <w:lang w:val="fr-FR"/>
        </w:rPr>
        <w:t>’</w:t>
      </w:r>
      <w:r w:rsidR="001B02F8" w:rsidRPr="00E221DD">
        <w:rPr>
          <w:sz w:val="18"/>
          <w:szCs w:val="18"/>
          <w:lang w:val="fr-FR"/>
        </w:rPr>
        <w:t xml:space="preserve">OMPI (sous </w:t>
      </w:r>
      <w:r w:rsidR="003075C9" w:rsidRPr="00E221DD">
        <w:rPr>
          <w:sz w:val="18"/>
          <w:szCs w:val="18"/>
          <w:lang w:val="fr-FR"/>
        </w:rPr>
        <w:t>“</w:t>
      </w:r>
      <w:r w:rsidR="001B02F8" w:rsidRPr="00E221DD">
        <w:rPr>
          <w:sz w:val="18"/>
          <w:szCs w:val="18"/>
          <w:lang w:val="fr-FR"/>
        </w:rPr>
        <w:t>recettes accessoires</w:t>
      </w:r>
      <w:r w:rsidR="003075C9" w:rsidRPr="00E221DD">
        <w:rPr>
          <w:sz w:val="18"/>
          <w:szCs w:val="18"/>
          <w:lang w:val="fr-FR"/>
        </w:rPr>
        <w:t>”</w:t>
      </w:r>
      <w:r w:rsidR="001B02F8" w:rsidRPr="00E221DD">
        <w:rPr>
          <w:sz w:val="18"/>
          <w:szCs w:val="18"/>
          <w:lang w:val="fr-FR"/>
        </w:rPr>
        <w:t>).</w:t>
      </w:r>
    </w:p>
    <w:p w:rsidR="00B643EB" w:rsidRDefault="00B643EB" w:rsidP="006D44F4">
      <w:pPr>
        <w:rPr>
          <w:sz w:val="18"/>
          <w:szCs w:val="18"/>
          <w:lang w:val="fr-FR"/>
        </w:rPr>
      </w:pPr>
    </w:p>
    <w:p w:rsidR="00B643EB" w:rsidRPr="00E221DD" w:rsidRDefault="00833955" w:rsidP="006D44F4">
      <w:pPr>
        <w:rPr>
          <w:sz w:val="18"/>
          <w:szCs w:val="18"/>
          <w:lang w:val="fr-FR"/>
        </w:rPr>
      </w:pPr>
      <w:r w:rsidRPr="00E221DD">
        <w:rPr>
          <w:sz w:val="18"/>
          <w:szCs w:val="18"/>
        </w:rPr>
        <w:t>*</w:t>
      </w:r>
      <w:proofErr w:type="gramStart"/>
      <w:r w:rsidRPr="00E221DD">
        <w:rPr>
          <w:sz w:val="18"/>
          <w:szCs w:val="18"/>
        </w:rPr>
        <w:t>  </w:t>
      </w:r>
      <w:r w:rsidR="001B02F8" w:rsidRPr="00E221DD">
        <w:rPr>
          <w:sz w:val="18"/>
          <w:szCs w:val="18"/>
          <w:lang w:val="fr-FR"/>
        </w:rPr>
        <w:t>Voir</w:t>
      </w:r>
      <w:proofErr w:type="gramEnd"/>
      <w:r w:rsidR="001B02F8" w:rsidRPr="00E221DD">
        <w:rPr>
          <w:sz w:val="18"/>
          <w:szCs w:val="18"/>
          <w:lang w:val="fr-FR"/>
        </w:rPr>
        <w:t xml:space="preserve"> les documents A/55/11 et A/55/13 (rapport, notamment le paragraphe</w:t>
      </w:r>
      <w:r w:rsidR="00877AE4" w:rsidRPr="00E221DD">
        <w:rPr>
          <w:sz w:val="18"/>
          <w:szCs w:val="18"/>
          <w:lang w:val="fr-FR"/>
        </w:rPr>
        <w:t> </w:t>
      </w:r>
      <w:r w:rsidR="001B02F8" w:rsidRPr="00E221DD">
        <w:rPr>
          <w:sz w:val="18"/>
          <w:szCs w:val="18"/>
          <w:lang w:val="fr-FR"/>
        </w:rPr>
        <w:t>205.c)).</w:t>
      </w:r>
    </w:p>
    <w:p w:rsidR="00B643EB" w:rsidRPr="00E221DD" w:rsidRDefault="00B643EB" w:rsidP="00A82C6D">
      <w:pPr>
        <w:pStyle w:val="Endofdocument-Annex"/>
        <w:rPr>
          <w:szCs w:val="22"/>
          <w:lang w:val="fr-FR"/>
        </w:rPr>
      </w:pPr>
    </w:p>
    <w:p w:rsidR="00B643EB" w:rsidRPr="00E221DD" w:rsidRDefault="00B643EB" w:rsidP="00A82C6D">
      <w:pPr>
        <w:pStyle w:val="Endofdocument-Annex"/>
        <w:rPr>
          <w:szCs w:val="22"/>
          <w:lang w:val="fr-FR"/>
        </w:rPr>
      </w:pPr>
    </w:p>
    <w:p w:rsidR="00B643EB" w:rsidRPr="00E221DD" w:rsidRDefault="00B643EB" w:rsidP="00A82C6D">
      <w:pPr>
        <w:pStyle w:val="Endofdocument-Annex"/>
        <w:rPr>
          <w:szCs w:val="22"/>
          <w:lang w:val="fr-FR"/>
        </w:rPr>
      </w:pPr>
    </w:p>
    <w:p w:rsidR="00B643EB" w:rsidRPr="00E221DD" w:rsidRDefault="001B02F8" w:rsidP="00A82C6D">
      <w:pPr>
        <w:pStyle w:val="Endofdocument-Annex"/>
        <w:rPr>
          <w:szCs w:val="22"/>
          <w:lang w:val="fr-FR"/>
        </w:rPr>
      </w:pPr>
      <w:r w:rsidRPr="00E221DD">
        <w:rPr>
          <w:szCs w:val="22"/>
          <w:lang w:val="fr-FR"/>
        </w:rPr>
        <w:t>[Fin de l</w:t>
      </w:r>
      <w:r w:rsidR="003075C9" w:rsidRPr="00E221DD">
        <w:rPr>
          <w:szCs w:val="22"/>
          <w:lang w:val="fr-FR"/>
        </w:rPr>
        <w:t>’</w:t>
      </w:r>
      <w:r w:rsidRPr="00E221DD">
        <w:rPr>
          <w:szCs w:val="22"/>
          <w:lang w:val="fr-FR"/>
        </w:rPr>
        <w:t>annexe et du document]</w:t>
      </w:r>
    </w:p>
    <w:sectPr w:rsidR="00B643EB" w:rsidRPr="00E221DD" w:rsidSect="003075C9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8A" w:rsidRDefault="002D1B8A">
      <w:r>
        <w:separator/>
      </w:r>
    </w:p>
  </w:endnote>
  <w:endnote w:type="continuationSeparator" w:id="0">
    <w:p w:rsidR="002D1B8A" w:rsidRDefault="002D1B8A" w:rsidP="003B38C1">
      <w:r>
        <w:separator/>
      </w:r>
    </w:p>
    <w:p w:rsidR="002D1B8A" w:rsidRPr="003B38C1" w:rsidRDefault="002D1B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1B8A" w:rsidRPr="003B38C1" w:rsidRDefault="002D1B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55" w:rsidRDefault="008339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55" w:rsidRDefault="008339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C9" w:rsidRPr="003075C9" w:rsidRDefault="003075C9" w:rsidP="003075C9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8A" w:rsidRDefault="002D1B8A">
      <w:r>
        <w:separator/>
      </w:r>
    </w:p>
  </w:footnote>
  <w:footnote w:type="continuationSeparator" w:id="0">
    <w:p w:rsidR="002D1B8A" w:rsidRDefault="002D1B8A" w:rsidP="008B60B2">
      <w:r>
        <w:separator/>
      </w:r>
    </w:p>
    <w:p w:rsidR="002D1B8A" w:rsidRPr="00ED77FB" w:rsidRDefault="002D1B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1B8A" w:rsidRPr="00ED77FB" w:rsidRDefault="002D1B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D1B8A" w:rsidRPr="00E221DD" w:rsidRDefault="002D1B8A" w:rsidP="00F8286C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>Voir le document WO/PBC/22/3.</w:t>
      </w:r>
    </w:p>
  </w:footnote>
  <w:footnote w:id="3">
    <w:p w:rsidR="002D1B8A" w:rsidRPr="00E221DD" w:rsidRDefault="002D1B8A" w:rsidP="00A077A8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>Voir le document WO/PBC/14/10 daté du 10 août 2009 (notamment le paragraphe 42).</w:t>
      </w:r>
    </w:p>
  </w:footnote>
  <w:footnote w:id="4">
    <w:p w:rsidR="002D1B8A" w:rsidRPr="00E221DD" w:rsidRDefault="002D1B8A" w:rsidP="00A077A8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>Les unités administratives concernées ont assumé les domaines de responsabilité suivants : entretien du bâtiment, sûreté et sécurité, technologies de l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information et de la communication, systèmes audiovisuels et d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interprétation, services d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appui pour les conférences, assurance informatique, questions juridiques et contractuelles, achats, budget et finance.</w:t>
      </w:r>
    </w:p>
  </w:footnote>
  <w:footnote w:id="5">
    <w:p w:rsidR="002D1B8A" w:rsidRPr="00E221DD" w:rsidRDefault="002D1B8A" w:rsidP="00BC216C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>Pour un rappel des faits concernant la résiliation du contrat avec l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ancienne entreprise générale, voir le document WO/PBC/19/24 et l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annexe du document WO/PBC/21/11.</w:t>
      </w:r>
    </w:p>
  </w:footnote>
  <w:footnote w:id="6">
    <w:p w:rsidR="002D1B8A" w:rsidRPr="00E221DD" w:rsidRDefault="002D1B8A" w:rsidP="009F17AE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>Se référer au paragraphe 40 du document WO/PBC/19/24.</w:t>
      </w:r>
    </w:p>
  </w:footnote>
  <w:footnote w:id="7">
    <w:p w:rsidR="002D1B8A" w:rsidRPr="00E221DD" w:rsidRDefault="002D1B8A" w:rsidP="007B4E5B">
      <w:pPr>
        <w:pStyle w:val="FootnoteText"/>
        <w:rPr>
          <w:lang w:val="fr-CH"/>
        </w:rPr>
      </w:pPr>
      <w:r w:rsidRPr="00E221DD">
        <w:rPr>
          <w:rStyle w:val="FootnoteReference"/>
        </w:rPr>
        <w:footnoteRef/>
      </w:r>
      <w:r w:rsidRPr="00E221DD">
        <w:rPr>
          <w:lang w:val="fr-CH"/>
        </w:rPr>
        <w:t xml:space="preserve"> </w:t>
      </w:r>
      <w:r w:rsidRPr="00E221DD">
        <w:rPr>
          <w:lang w:val="fr-CH"/>
        </w:rPr>
        <w:tab/>
        <w:t xml:space="preserve">Le réseau </w:t>
      </w:r>
      <w:proofErr w:type="spellStart"/>
      <w:r w:rsidRPr="00E221DD">
        <w:rPr>
          <w:lang w:val="fr-CH"/>
        </w:rPr>
        <w:t>interorganisations</w:t>
      </w:r>
      <w:proofErr w:type="spellEnd"/>
      <w:r w:rsidRPr="00E221DD">
        <w:rPr>
          <w:lang w:val="fr-CH"/>
        </w:rPr>
        <w:t xml:space="preserve"> des responsables de la gestion des </w:t>
      </w:r>
      <w:r w:rsidR="00694B8D">
        <w:rPr>
          <w:lang w:val="fr-CH"/>
        </w:rPr>
        <w:t xml:space="preserve">bâtiments </w:t>
      </w:r>
      <w:r w:rsidRPr="00E221DD">
        <w:rPr>
          <w:lang w:val="fr-CH"/>
        </w:rPr>
        <w:t>(INFM) regroupe plus de 40</w:t>
      </w:r>
      <w:r w:rsidR="006F69C7" w:rsidRPr="00E221DD">
        <w:rPr>
          <w:lang w:val="fr-CH"/>
        </w:rPr>
        <w:t> </w:t>
      </w:r>
      <w:r w:rsidRPr="00E221DD">
        <w:rPr>
          <w:lang w:val="fr-CH"/>
        </w:rPr>
        <w:t>institutions, programmes et autres entités, dont les suivantes (liste des membres ayant participé à la réunion de mai</w:t>
      </w:r>
      <w:r w:rsidR="006F69C7" w:rsidRPr="00E221DD">
        <w:rPr>
          <w:lang w:val="fr-CH"/>
        </w:rPr>
        <w:t> </w:t>
      </w:r>
      <w:r w:rsidRPr="00E221DD">
        <w:rPr>
          <w:lang w:val="fr-CH"/>
        </w:rPr>
        <w:t>2016)</w:t>
      </w:r>
      <w:r w:rsidR="006F69C7" w:rsidRPr="00E221DD">
        <w:rPr>
          <w:lang w:val="fr-CH"/>
        </w:rPr>
        <w:t> </w:t>
      </w:r>
      <w:r w:rsidRPr="00E221DD">
        <w:rPr>
          <w:lang w:val="fr-CH"/>
        </w:rPr>
        <w:t xml:space="preserve">: </w:t>
      </w:r>
      <w:r w:rsidR="00002420" w:rsidRPr="00E221DD">
        <w:rPr>
          <w:lang w:val="fr-CH"/>
        </w:rPr>
        <w:t xml:space="preserve">AIEA, Banque mondiale, Bureau des </w:t>
      </w:r>
      <w:r w:rsidR="00E55E3F" w:rsidRPr="00E221DD">
        <w:rPr>
          <w:lang w:val="fr-CH"/>
        </w:rPr>
        <w:t>Nations Unies</w:t>
      </w:r>
      <w:r w:rsidR="00002420" w:rsidRPr="00E221DD">
        <w:rPr>
          <w:lang w:val="fr-CH"/>
        </w:rPr>
        <w:t xml:space="preserve"> à Nairobi, CCI</w:t>
      </w:r>
      <w:r w:rsidRPr="00E221DD">
        <w:rPr>
          <w:lang w:val="fr-CH"/>
        </w:rPr>
        <w:t>, CEPALC, CESA</w:t>
      </w:r>
      <w:r w:rsidR="00002420" w:rsidRPr="00E221DD">
        <w:rPr>
          <w:lang w:val="fr-CH"/>
        </w:rPr>
        <w:t>O</w:t>
      </w:r>
      <w:r w:rsidRPr="00E221DD">
        <w:rPr>
          <w:lang w:val="fr-CH"/>
        </w:rPr>
        <w:t>, CESA</w:t>
      </w:r>
      <w:r w:rsidR="00002420" w:rsidRPr="00E221DD">
        <w:rPr>
          <w:lang w:val="fr-CH"/>
        </w:rPr>
        <w:t>P</w:t>
      </w:r>
      <w:r w:rsidRPr="00E221DD">
        <w:rPr>
          <w:lang w:val="fr-CH"/>
        </w:rPr>
        <w:t xml:space="preserve">, </w:t>
      </w:r>
      <w:r w:rsidR="00002420" w:rsidRPr="00E221DD">
        <w:rPr>
          <w:lang w:val="fr-CH"/>
        </w:rPr>
        <w:t xml:space="preserve">DFS/MONUSCO, </w:t>
      </w:r>
      <w:r w:rsidRPr="00E221DD">
        <w:rPr>
          <w:lang w:val="fr-CH"/>
        </w:rPr>
        <w:t xml:space="preserve">FAO, FIDA, </w:t>
      </w:r>
      <w:r w:rsidR="00002420" w:rsidRPr="00E221DD">
        <w:rPr>
          <w:lang w:val="fr-CH"/>
        </w:rPr>
        <w:t xml:space="preserve">FMI, HCR, </w:t>
      </w:r>
      <w:r w:rsidRPr="00E221DD">
        <w:rPr>
          <w:lang w:val="fr-CH"/>
        </w:rPr>
        <w:t xml:space="preserve">IFRC, </w:t>
      </w:r>
      <w:r w:rsidR="00002420" w:rsidRPr="00E221DD">
        <w:rPr>
          <w:lang w:val="fr-CH"/>
        </w:rPr>
        <w:t xml:space="preserve">MICT, </w:t>
      </w:r>
      <w:r w:rsidRPr="00E221DD">
        <w:rPr>
          <w:lang w:val="fr-CH"/>
        </w:rPr>
        <w:t xml:space="preserve">OIT, </w:t>
      </w:r>
      <w:r w:rsidR="00002420" w:rsidRPr="00E221DD">
        <w:rPr>
          <w:lang w:val="fr-CH"/>
        </w:rPr>
        <w:t xml:space="preserve">OMC, OMM, OMPI, OMS, ONU Femmes, ONUDI, ONUG, </w:t>
      </w:r>
      <w:r w:rsidRPr="00E221DD">
        <w:rPr>
          <w:lang w:val="fr-CH"/>
        </w:rPr>
        <w:t xml:space="preserve">ONUSIDA, </w:t>
      </w:r>
      <w:r w:rsidR="00002420" w:rsidRPr="00E221DD">
        <w:rPr>
          <w:lang w:val="fr-CH"/>
        </w:rPr>
        <w:t xml:space="preserve">ONUST, ONUV, OPS, PAM, </w:t>
      </w:r>
      <w:r w:rsidRPr="00E221DD">
        <w:rPr>
          <w:lang w:val="fr-CH"/>
        </w:rPr>
        <w:t xml:space="preserve">PNUD, PNUE, </w:t>
      </w:r>
      <w:r w:rsidR="008E652B" w:rsidRPr="00E221DD">
        <w:rPr>
          <w:lang w:val="fr-CH"/>
        </w:rPr>
        <w:t>ONU</w:t>
      </w:r>
      <w:r w:rsidR="00694B8D">
        <w:rPr>
          <w:lang w:val="fr-CH"/>
        </w:rPr>
        <w:t xml:space="preserve"> (New York)</w:t>
      </w:r>
      <w:r w:rsidR="00002420" w:rsidRPr="00E221DD">
        <w:rPr>
          <w:lang w:val="fr-CH"/>
        </w:rPr>
        <w:t xml:space="preserve">, Tribunal international du droit de la mer, UIT, </w:t>
      </w:r>
      <w:r w:rsidRPr="00E221DD">
        <w:rPr>
          <w:lang w:val="fr-CH"/>
        </w:rPr>
        <w:t xml:space="preserve">UNESCO, </w:t>
      </w:r>
      <w:r w:rsidR="00002420" w:rsidRPr="00E221DD">
        <w:rPr>
          <w:lang w:val="fr-CH"/>
        </w:rPr>
        <w:t>UNICEF, UNLB, UNMISS</w:t>
      </w:r>
      <w:r w:rsidRPr="00E221DD">
        <w:rPr>
          <w:lang w:val="fr-CH"/>
        </w:rPr>
        <w:t xml:space="preserve">, UNSOS, </w:t>
      </w:r>
      <w:r w:rsidR="00002420" w:rsidRPr="00E221DD">
        <w:rPr>
          <w:lang w:val="fr-CH"/>
        </w:rPr>
        <w:t>VNU,</w:t>
      </w:r>
      <w:r w:rsidRPr="00E221DD">
        <w:rPr>
          <w:lang w:val="fr-CH"/>
        </w:rPr>
        <w:t xml:space="preserve"> ainsi que BAD, </w:t>
      </w:r>
      <w:r w:rsidR="00002420" w:rsidRPr="00E221DD">
        <w:rPr>
          <w:lang w:val="fr-CH"/>
        </w:rPr>
        <w:t xml:space="preserve">CEA, </w:t>
      </w:r>
      <w:r w:rsidRPr="00E221DD">
        <w:rPr>
          <w:lang w:val="fr-CH"/>
        </w:rPr>
        <w:t>CERN, Conseil de l</w:t>
      </w:r>
      <w:r w:rsidR="00E55E3F" w:rsidRPr="00E221DD">
        <w:rPr>
          <w:lang w:val="fr-CH"/>
        </w:rPr>
        <w:t>’</w:t>
      </w:r>
      <w:r w:rsidRPr="00E221DD">
        <w:rPr>
          <w:lang w:val="fr-CH"/>
        </w:rPr>
        <w:t>Europe, ESA, OCDE, OSCE, OTAN</w:t>
      </w:r>
      <w:r w:rsidR="00002420" w:rsidRPr="00E221DD">
        <w:rPr>
          <w:lang w:val="fr-CH"/>
        </w:rPr>
        <w:t>, Union européenne</w:t>
      </w:r>
      <w:r w:rsidRPr="00E221DD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55" w:rsidRDefault="008339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8A" w:rsidRDefault="002D1B8A" w:rsidP="00477D6B">
    <w:pPr>
      <w:jc w:val="right"/>
    </w:pPr>
    <w:bookmarkStart w:id="6" w:name="Code2"/>
    <w:bookmarkEnd w:id="6"/>
    <w:r>
      <w:t>WO/PBC/25/13</w:t>
    </w:r>
  </w:p>
  <w:p w:rsidR="002D1B8A" w:rsidRDefault="002D1B8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4AB5">
      <w:rPr>
        <w:noProof/>
      </w:rPr>
      <w:t>1</w:t>
    </w:r>
    <w:r>
      <w:fldChar w:fldCharType="end"/>
    </w:r>
  </w:p>
  <w:p w:rsidR="002D1B8A" w:rsidRDefault="002D1B8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55" w:rsidRDefault="008339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8A" w:rsidRDefault="002D1B8A" w:rsidP="007673D6">
    <w:pPr>
      <w:pStyle w:val="Header"/>
      <w:jc w:val="right"/>
    </w:pPr>
    <w:r>
      <w:t>WO/PBC/25/13</w:t>
    </w:r>
  </w:p>
  <w:p w:rsidR="002D1B8A" w:rsidRDefault="00833955" w:rsidP="007673D6">
    <w:pPr>
      <w:pStyle w:val="Header"/>
      <w:jc w:val="right"/>
    </w:pPr>
    <w:r>
      <w:t>ANNEXE</w:t>
    </w:r>
    <w:r w:rsidR="002D1B8A">
      <w:t xml:space="preserve"> I</w:t>
    </w:r>
  </w:p>
  <w:p w:rsidR="002D1B8A" w:rsidRDefault="002D1B8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8A" w:rsidRDefault="002D1B8A" w:rsidP="007673D6">
    <w:pPr>
      <w:pStyle w:val="Header"/>
      <w:jc w:val="right"/>
    </w:pPr>
    <w:r>
      <w:t>WO/PBC/25/13</w:t>
    </w:r>
  </w:p>
  <w:p w:rsidR="002D1B8A" w:rsidRDefault="002D1B8A" w:rsidP="007673D6">
    <w:pPr>
      <w:pStyle w:val="Header"/>
      <w:jc w:val="right"/>
    </w:pPr>
    <w:r>
      <w:t>ANNEX</w:t>
    </w:r>
    <w:r w:rsidR="00833955">
      <w:t>E</w:t>
    </w:r>
    <w:r>
      <w:t xml:space="preserve"> II</w:t>
    </w:r>
  </w:p>
  <w:p w:rsidR="002D1B8A" w:rsidRDefault="002D1B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A2696C"/>
    <w:multiLevelType w:val="hybridMultilevel"/>
    <w:tmpl w:val="9A0EB718"/>
    <w:lvl w:ilvl="0" w:tplc="6FEAEB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D03EA"/>
    <w:multiLevelType w:val="hybridMultilevel"/>
    <w:tmpl w:val="C948526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DFE1BE5"/>
    <w:multiLevelType w:val="hybridMultilevel"/>
    <w:tmpl w:val="23BAF8FA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2A53FE"/>
    <w:multiLevelType w:val="hybridMultilevel"/>
    <w:tmpl w:val="1442740A"/>
    <w:lvl w:ilvl="0" w:tplc="138EB46A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14DA6"/>
    <w:multiLevelType w:val="hybridMultilevel"/>
    <w:tmpl w:val="2CBA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7A00DC"/>
    <w:multiLevelType w:val="hybridMultilevel"/>
    <w:tmpl w:val="FE6AE660"/>
    <w:lvl w:ilvl="0" w:tplc="9D44AB80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6016B"/>
    <w:multiLevelType w:val="hybridMultilevel"/>
    <w:tmpl w:val="F0220A4E"/>
    <w:lvl w:ilvl="0" w:tplc="7D386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CA72C7"/>
    <w:rsid w:val="00002420"/>
    <w:rsid w:val="00006B55"/>
    <w:rsid w:val="0001175C"/>
    <w:rsid w:val="000118D5"/>
    <w:rsid w:val="0001290D"/>
    <w:rsid w:val="0001325D"/>
    <w:rsid w:val="00014E3D"/>
    <w:rsid w:val="00030CD6"/>
    <w:rsid w:val="0003746F"/>
    <w:rsid w:val="00043425"/>
    <w:rsid w:val="00043CAA"/>
    <w:rsid w:val="00045BAF"/>
    <w:rsid w:val="0005228A"/>
    <w:rsid w:val="00055441"/>
    <w:rsid w:val="000571AF"/>
    <w:rsid w:val="00060571"/>
    <w:rsid w:val="0007396E"/>
    <w:rsid w:val="00075432"/>
    <w:rsid w:val="000876C9"/>
    <w:rsid w:val="00092392"/>
    <w:rsid w:val="00093DD9"/>
    <w:rsid w:val="000968ED"/>
    <w:rsid w:val="000A79FF"/>
    <w:rsid w:val="000B277C"/>
    <w:rsid w:val="000B301C"/>
    <w:rsid w:val="000D26AB"/>
    <w:rsid w:val="000E552A"/>
    <w:rsid w:val="000F5E56"/>
    <w:rsid w:val="001039AC"/>
    <w:rsid w:val="00114410"/>
    <w:rsid w:val="0013437B"/>
    <w:rsid w:val="001362EE"/>
    <w:rsid w:val="00143AF0"/>
    <w:rsid w:val="00145C83"/>
    <w:rsid w:val="0014691C"/>
    <w:rsid w:val="00173F0E"/>
    <w:rsid w:val="001832A6"/>
    <w:rsid w:val="00197673"/>
    <w:rsid w:val="001B02F8"/>
    <w:rsid w:val="001B0BFA"/>
    <w:rsid w:val="001B7824"/>
    <w:rsid w:val="001D73E7"/>
    <w:rsid w:val="001E07F9"/>
    <w:rsid w:val="001F0B70"/>
    <w:rsid w:val="0020537A"/>
    <w:rsid w:val="00205A83"/>
    <w:rsid w:val="0022588B"/>
    <w:rsid w:val="00244B7F"/>
    <w:rsid w:val="00252C4B"/>
    <w:rsid w:val="002634C4"/>
    <w:rsid w:val="00273CE5"/>
    <w:rsid w:val="00281A24"/>
    <w:rsid w:val="002928D3"/>
    <w:rsid w:val="0029626B"/>
    <w:rsid w:val="00297FD4"/>
    <w:rsid w:val="002A18E0"/>
    <w:rsid w:val="002A7206"/>
    <w:rsid w:val="002D1B8A"/>
    <w:rsid w:val="002E703C"/>
    <w:rsid w:val="002F1FE6"/>
    <w:rsid w:val="002F4E68"/>
    <w:rsid w:val="00300789"/>
    <w:rsid w:val="0030363A"/>
    <w:rsid w:val="003049A5"/>
    <w:rsid w:val="003075C9"/>
    <w:rsid w:val="00312F7F"/>
    <w:rsid w:val="0031569F"/>
    <w:rsid w:val="00316489"/>
    <w:rsid w:val="00327368"/>
    <w:rsid w:val="00336C1F"/>
    <w:rsid w:val="00347EA9"/>
    <w:rsid w:val="00361450"/>
    <w:rsid w:val="0036460B"/>
    <w:rsid w:val="003673CF"/>
    <w:rsid w:val="00375383"/>
    <w:rsid w:val="003845C1"/>
    <w:rsid w:val="00384AB5"/>
    <w:rsid w:val="00391D6B"/>
    <w:rsid w:val="003A6F89"/>
    <w:rsid w:val="003B38C1"/>
    <w:rsid w:val="003C0409"/>
    <w:rsid w:val="003C636A"/>
    <w:rsid w:val="003D209A"/>
    <w:rsid w:val="003D37FE"/>
    <w:rsid w:val="003E42FB"/>
    <w:rsid w:val="003F0ECE"/>
    <w:rsid w:val="003F406B"/>
    <w:rsid w:val="004016FA"/>
    <w:rsid w:val="0040707E"/>
    <w:rsid w:val="00423E3E"/>
    <w:rsid w:val="00427AF4"/>
    <w:rsid w:val="00431B84"/>
    <w:rsid w:val="00436931"/>
    <w:rsid w:val="00440A9C"/>
    <w:rsid w:val="00457363"/>
    <w:rsid w:val="0046241A"/>
    <w:rsid w:val="004647DA"/>
    <w:rsid w:val="0047363E"/>
    <w:rsid w:val="00474062"/>
    <w:rsid w:val="00475A95"/>
    <w:rsid w:val="00477D6B"/>
    <w:rsid w:val="00481257"/>
    <w:rsid w:val="004855DA"/>
    <w:rsid w:val="004907C4"/>
    <w:rsid w:val="004A05FA"/>
    <w:rsid w:val="004B155C"/>
    <w:rsid w:val="004B3025"/>
    <w:rsid w:val="004B3FDB"/>
    <w:rsid w:val="004C2514"/>
    <w:rsid w:val="004D1755"/>
    <w:rsid w:val="004E084A"/>
    <w:rsid w:val="004E707C"/>
    <w:rsid w:val="004E75B0"/>
    <w:rsid w:val="004F5B20"/>
    <w:rsid w:val="005019FF"/>
    <w:rsid w:val="0051016C"/>
    <w:rsid w:val="00522979"/>
    <w:rsid w:val="00524846"/>
    <w:rsid w:val="00524C0C"/>
    <w:rsid w:val="0053057A"/>
    <w:rsid w:val="00544189"/>
    <w:rsid w:val="00560A29"/>
    <w:rsid w:val="005660B8"/>
    <w:rsid w:val="005676F9"/>
    <w:rsid w:val="00567B0D"/>
    <w:rsid w:val="005704B2"/>
    <w:rsid w:val="00575E3F"/>
    <w:rsid w:val="0058087F"/>
    <w:rsid w:val="005A216C"/>
    <w:rsid w:val="005A379D"/>
    <w:rsid w:val="005B7847"/>
    <w:rsid w:val="005C6649"/>
    <w:rsid w:val="005C66A6"/>
    <w:rsid w:val="005C6E4D"/>
    <w:rsid w:val="005D3995"/>
    <w:rsid w:val="005E20BF"/>
    <w:rsid w:val="005E3B40"/>
    <w:rsid w:val="005E7E00"/>
    <w:rsid w:val="0060466D"/>
    <w:rsid w:val="00604933"/>
    <w:rsid w:val="00605827"/>
    <w:rsid w:val="006147BD"/>
    <w:rsid w:val="00617A38"/>
    <w:rsid w:val="00621179"/>
    <w:rsid w:val="006323E2"/>
    <w:rsid w:val="00634AEB"/>
    <w:rsid w:val="00646050"/>
    <w:rsid w:val="00666527"/>
    <w:rsid w:val="006702F6"/>
    <w:rsid w:val="00670B66"/>
    <w:rsid w:val="006713CA"/>
    <w:rsid w:val="00676C5C"/>
    <w:rsid w:val="00677568"/>
    <w:rsid w:val="00684183"/>
    <w:rsid w:val="006901E5"/>
    <w:rsid w:val="00694B8D"/>
    <w:rsid w:val="006A2537"/>
    <w:rsid w:val="006A66F3"/>
    <w:rsid w:val="006B48FA"/>
    <w:rsid w:val="006C13DD"/>
    <w:rsid w:val="006C27FC"/>
    <w:rsid w:val="006C4CD3"/>
    <w:rsid w:val="006C75EC"/>
    <w:rsid w:val="006D19B8"/>
    <w:rsid w:val="006D44F4"/>
    <w:rsid w:val="006D4531"/>
    <w:rsid w:val="006E4523"/>
    <w:rsid w:val="006F69C7"/>
    <w:rsid w:val="00712AEC"/>
    <w:rsid w:val="00715B48"/>
    <w:rsid w:val="00715BC1"/>
    <w:rsid w:val="00717003"/>
    <w:rsid w:val="007213A3"/>
    <w:rsid w:val="00721759"/>
    <w:rsid w:val="0072752B"/>
    <w:rsid w:val="00731F90"/>
    <w:rsid w:val="0073210A"/>
    <w:rsid w:val="00742168"/>
    <w:rsid w:val="007432FC"/>
    <w:rsid w:val="00750B52"/>
    <w:rsid w:val="007521B3"/>
    <w:rsid w:val="00761AD7"/>
    <w:rsid w:val="00764F24"/>
    <w:rsid w:val="007664FD"/>
    <w:rsid w:val="007673D6"/>
    <w:rsid w:val="00774624"/>
    <w:rsid w:val="007B4E5B"/>
    <w:rsid w:val="007B58B4"/>
    <w:rsid w:val="007C0896"/>
    <w:rsid w:val="007C34E4"/>
    <w:rsid w:val="007D1613"/>
    <w:rsid w:val="007D5C23"/>
    <w:rsid w:val="007E1439"/>
    <w:rsid w:val="007F307C"/>
    <w:rsid w:val="007F7EA8"/>
    <w:rsid w:val="0080534D"/>
    <w:rsid w:val="00817E2E"/>
    <w:rsid w:val="008222F2"/>
    <w:rsid w:val="0083286B"/>
    <w:rsid w:val="00833955"/>
    <w:rsid w:val="00835281"/>
    <w:rsid w:val="00835B46"/>
    <w:rsid w:val="00837F92"/>
    <w:rsid w:val="00861642"/>
    <w:rsid w:val="0086590E"/>
    <w:rsid w:val="0087040F"/>
    <w:rsid w:val="00877AE4"/>
    <w:rsid w:val="00880E99"/>
    <w:rsid w:val="00895AAC"/>
    <w:rsid w:val="008A1672"/>
    <w:rsid w:val="008B2CC1"/>
    <w:rsid w:val="008B45FB"/>
    <w:rsid w:val="008B60B2"/>
    <w:rsid w:val="008C4DD1"/>
    <w:rsid w:val="008D7E7F"/>
    <w:rsid w:val="008E40F5"/>
    <w:rsid w:val="008E652B"/>
    <w:rsid w:val="008F0E73"/>
    <w:rsid w:val="008F54A5"/>
    <w:rsid w:val="008F66DE"/>
    <w:rsid w:val="00904DAB"/>
    <w:rsid w:val="00905C83"/>
    <w:rsid w:val="00906A76"/>
    <w:rsid w:val="0090731E"/>
    <w:rsid w:val="00916EE2"/>
    <w:rsid w:val="009368CA"/>
    <w:rsid w:val="009521F6"/>
    <w:rsid w:val="009601DA"/>
    <w:rsid w:val="0096189B"/>
    <w:rsid w:val="00966A22"/>
    <w:rsid w:val="0096722F"/>
    <w:rsid w:val="00974A3A"/>
    <w:rsid w:val="00980843"/>
    <w:rsid w:val="00986541"/>
    <w:rsid w:val="0099183A"/>
    <w:rsid w:val="00997504"/>
    <w:rsid w:val="009976C6"/>
    <w:rsid w:val="009A05B3"/>
    <w:rsid w:val="009B09ED"/>
    <w:rsid w:val="009D26EB"/>
    <w:rsid w:val="009D4214"/>
    <w:rsid w:val="009D4BE8"/>
    <w:rsid w:val="009E2791"/>
    <w:rsid w:val="009E3F6F"/>
    <w:rsid w:val="009E7662"/>
    <w:rsid w:val="009F17AE"/>
    <w:rsid w:val="009F499F"/>
    <w:rsid w:val="009F6BF2"/>
    <w:rsid w:val="00A013C5"/>
    <w:rsid w:val="00A04F06"/>
    <w:rsid w:val="00A077A8"/>
    <w:rsid w:val="00A21031"/>
    <w:rsid w:val="00A2241E"/>
    <w:rsid w:val="00A36418"/>
    <w:rsid w:val="00A40F24"/>
    <w:rsid w:val="00A42DAF"/>
    <w:rsid w:val="00A45BD8"/>
    <w:rsid w:val="00A523DC"/>
    <w:rsid w:val="00A56E49"/>
    <w:rsid w:val="00A623D6"/>
    <w:rsid w:val="00A67835"/>
    <w:rsid w:val="00A808AB"/>
    <w:rsid w:val="00A82C6D"/>
    <w:rsid w:val="00A86062"/>
    <w:rsid w:val="00A869B7"/>
    <w:rsid w:val="00A91A7D"/>
    <w:rsid w:val="00A9354E"/>
    <w:rsid w:val="00AA24F0"/>
    <w:rsid w:val="00AA44C7"/>
    <w:rsid w:val="00AC205C"/>
    <w:rsid w:val="00AD082F"/>
    <w:rsid w:val="00AD518F"/>
    <w:rsid w:val="00AF0A6B"/>
    <w:rsid w:val="00AF3A8F"/>
    <w:rsid w:val="00AF52E1"/>
    <w:rsid w:val="00B02353"/>
    <w:rsid w:val="00B02FA9"/>
    <w:rsid w:val="00B05A69"/>
    <w:rsid w:val="00B3107C"/>
    <w:rsid w:val="00B3469F"/>
    <w:rsid w:val="00B532EB"/>
    <w:rsid w:val="00B643EB"/>
    <w:rsid w:val="00B7229F"/>
    <w:rsid w:val="00B818FA"/>
    <w:rsid w:val="00B87118"/>
    <w:rsid w:val="00B92A13"/>
    <w:rsid w:val="00B93661"/>
    <w:rsid w:val="00B93B16"/>
    <w:rsid w:val="00B9734B"/>
    <w:rsid w:val="00BA1497"/>
    <w:rsid w:val="00BA23DC"/>
    <w:rsid w:val="00BA30E2"/>
    <w:rsid w:val="00BA55A5"/>
    <w:rsid w:val="00BB647C"/>
    <w:rsid w:val="00BC216C"/>
    <w:rsid w:val="00BC434B"/>
    <w:rsid w:val="00BE370A"/>
    <w:rsid w:val="00C0167B"/>
    <w:rsid w:val="00C02FE1"/>
    <w:rsid w:val="00C1189D"/>
    <w:rsid w:val="00C11BFE"/>
    <w:rsid w:val="00C22AA0"/>
    <w:rsid w:val="00C353E2"/>
    <w:rsid w:val="00C41439"/>
    <w:rsid w:val="00C42D25"/>
    <w:rsid w:val="00C55A3E"/>
    <w:rsid w:val="00C71581"/>
    <w:rsid w:val="00C7344C"/>
    <w:rsid w:val="00C75622"/>
    <w:rsid w:val="00C8480D"/>
    <w:rsid w:val="00CA3B27"/>
    <w:rsid w:val="00CA72C7"/>
    <w:rsid w:val="00CB152A"/>
    <w:rsid w:val="00CB5FD4"/>
    <w:rsid w:val="00CC5E3D"/>
    <w:rsid w:val="00CD04F1"/>
    <w:rsid w:val="00CD3CC1"/>
    <w:rsid w:val="00CD6BCB"/>
    <w:rsid w:val="00CE122D"/>
    <w:rsid w:val="00CF537D"/>
    <w:rsid w:val="00D0206E"/>
    <w:rsid w:val="00D0522B"/>
    <w:rsid w:val="00D24DD9"/>
    <w:rsid w:val="00D3343C"/>
    <w:rsid w:val="00D335D0"/>
    <w:rsid w:val="00D45252"/>
    <w:rsid w:val="00D55A89"/>
    <w:rsid w:val="00D63DAD"/>
    <w:rsid w:val="00D6536D"/>
    <w:rsid w:val="00D70194"/>
    <w:rsid w:val="00D702C7"/>
    <w:rsid w:val="00D71B4D"/>
    <w:rsid w:val="00D779B2"/>
    <w:rsid w:val="00D92001"/>
    <w:rsid w:val="00D93D55"/>
    <w:rsid w:val="00DA3AE8"/>
    <w:rsid w:val="00DB2B4F"/>
    <w:rsid w:val="00DB7FAC"/>
    <w:rsid w:val="00DC4BE7"/>
    <w:rsid w:val="00DD020C"/>
    <w:rsid w:val="00DE24D2"/>
    <w:rsid w:val="00DE57DB"/>
    <w:rsid w:val="00DE59C0"/>
    <w:rsid w:val="00E00EF2"/>
    <w:rsid w:val="00E07CC0"/>
    <w:rsid w:val="00E221DD"/>
    <w:rsid w:val="00E322BD"/>
    <w:rsid w:val="00E335FE"/>
    <w:rsid w:val="00E47882"/>
    <w:rsid w:val="00E54C59"/>
    <w:rsid w:val="00E55E3F"/>
    <w:rsid w:val="00E64469"/>
    <w:rsid w:val="00E76CB8"/>
    <w:rsid w:val="00E90C9B"/>
    <w:rsid w:val="00E910DB"/>
    <w:rsid w:val="00E9123C"/>
    <w:rsid w:val="00E924C9"/>
    <w:rsid w:val="00E97A27"/>
    <w:rsid w:val="00EA057A"/>
    <w:rsid w:val="00EA71C2"/>
    <w:rsid w:val="00EA7D72"/>
    <w:rsid w:val="00EB774B"/>
    <w:rsid w:val="00EC0BB2"/>
    <w:rsid w:val="00EC145E"/>
    <w:rsid w:val="00EC3B8B"/>
    <w:rsid w:val="00EC4E49"/>
    <w:rsid w:val="00ED291A"/>
    <w:rsid w:val="00ED73BA"/>
    <w:rsid w:val="00ED77FB"/>
    <w:rsid w:val="00EE014E"/>
    <w:rsid w:val="00EE45FA"/>
    <w:rsid w:val="00EE4E31"/>
    <w:rsid w:val="00EE6035"/>
    <w:rsid w:val="00EF40B6"/>
    <w:rsid w:val="00EF6EE0"/>
    <w:rsid w:val="00F01B53"/>
    <w:rsid w:val="00F077A4"/>
    <w:rsid w:val="00F1002D"/>
    <w:rsid w:val="00F10C43"/>
    <w:rsid w:val="00F1176B"/>
    <w:rsid w:val="00F25FF5"/>
    <w:rsid w:val="00F43164"/>
    <w:rsid w:val="00F56C33"/>
    <w:rsid w:val="00F643EC"/>
    <w:rsid w:val="00F66152"/>
    <w:rsid w:val="00F80101"/>
    <w:rsid w:val="00F8286C"/>
    <w:rsid w:val="00F87C2D"/>
    <w:rsid w:val="00F90621"/>
    <w:rsid w:val="00F90627"/>
    <w:rsid w:val="00F923FE"/>
    <w:rsid w:val="00F9521F"/>
    <w:rsid w:val="00F96431"/>
    <w:rsid w:val="00FA0547"/>
    <w:rsid w:val="00FB32E1"/>
    <w:rsid w:val="00FC5B6B"/>
    <w:rsid w:val="00FD3D08"/>
    <w:rsid w:val="00FE3805"/>
    <w:rsid w:val="00FE6B65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82C6D"/>
    <w:pPr>
      <w:keepNext/>
      <w:numPr>
        <w:numId w:val="13"/>
      </w:numPr>
      <w:spacing w:before="240" w:after="60"/>
      <w:ind w:left="567" w:hanging="567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CA72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81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F5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673D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E322BD"/>
    <w:rPr>
      <w:vertAlign w:val="superscript"/>
    </w:rPr>
  </w:style>
  <w:style w:type="character" w:styleId="CommentReference">
    <w:name w:val="annotation reference"/>
    <w:basedOn w:val="DefaultParagraphFont"/>
    <w:rsid w:val="001039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9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9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039A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E55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82C6D"/>
    <w:pPr>
      <w:keepNext/>
      <w:numPr>
        <w:numId w:val="13"/>
      </w:numPr>
      <w:spacing w:before="240" w:after="60"/>
      <w:ind w:left="567" w:hanging="567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CA72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81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F5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673D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E322BD"/>
    <w:rPr>
      <w:vertAlign w:val="superscript"/>
    </w:rPr>
  </w:style>
  <w:style w:type="character" w:styleId="CommentReference">
    <w:name w:val="annotation reference"/>
    <w:basedOn w:val="DefaultParagraphFont"/>
    <w:rsid w:val="001039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9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9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039A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E55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1527-A284-445B-AEDF-BED022BC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130</TotalTime>
  <Pages>9</Pages>
  <Words>3859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BOUTILLON Isabelle</dc:creator>
  <cp:keywords>CB/jcc</cp:keywords>
  <cp:lastModifiedBy>BOUTILLON Isabelle</cp:lastModifiedBy>
  <cp:revision>25</cp:revision>
  <cp:lastPrinted>2016-07-27T17:22:00Z</cp:lastPrinted>
  <dcterms:created xsi:type="dcterms:W3CDTF">2016-07-18T06:45:00Z</dcterms:created>
  <dcterms:modified xsi:type="dcterms:W3CDTF">2016-07-27T17:23:00Z</dcterms:modified>
</cp:coreProperties>
</file>