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6E52" w:rsidRPr="004A364D" w:rsidTr="00526920">
        <w:tc>
          <w:tcPr>
            <w:tcW w:w="4513" w:type="dxa"/>
            <w:tcBorders>
              <w:bottom w:val="single" w:sz="4" w:space="0" w:color="auto"/>
            </w:tcBorders>
            <w:tcMar>
              <w:bottom w:w="170" w:type="dxa"/>
            </w:tcMar>
          </w:tcPr>
          <w:p w:rsidR="00146E52" w:rsidRPr="004A364D" w:rsidRDefault="00146E52" w:rsidP="00ED5D5B"/>
        </w:tc>
        <w:tc>
          <w:tcPr>
            <w:tcW w:w="4337" w:type="dxa"/>
            <w:tcBorders>
              <w:bottom w:val="single" w:sz="4" w:space="0" w:color="auto"/>
            </w:tcBorders>
            <w:tcMar>
              <w:left w:w="0" w:type="dxa"/>
              <w:right w:w="0" w:type="dxa"/>
            </w:tcMar>
          </w:tcPr>
          <w:p w:rsidR="00146E52" w:rsidRPr="004A364D" w:rsidRDefault="00146E52" w:rsidP="00ED5D5B">
            <w:r w:rsidRPr="004A364D">
              <w:rPr>
                <w:noProof/>
                <w:lang w:val="en-US" w:eastAsia="en-US"/>
              </w:rPr>
              <w:drawing>
                <wp:inline distT="0" distB="0" distL="0" distR="0" wp14:anchorId="139AB677" wp14:editId="3156A608">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46E52" w:rsidRPr="004A364D" w:rsidRDefault="00146E52" w:rsidP="00ED5D5B">
            <w:pPr>
              <w:jc w:val="right"/>
            </w:pPr>
            <w:r w:rsidRPr="004A364D">
              <w:rPr>
                <w:b/>
                <w:sz w:val="40"/>
                <w:szCs w:val="40"/>
              </w:rPr>
              <w:t>F</w:t>
            </w:r>
          </w:p>
        </w:tc>
      </w:tr>
      <w:tr w:rsidR="00146E52" w:rsidRPr="004A364D" w:rsidTr="00ED5D5B">
        <w:trPr>
          <w:trHeight w:hRule="exact" w:val="340"/>
        </w:trPr>
        <w:tc>
          <w:tcPr>
            <w:tcW w:w="9356" w:type="dxa"/>
            <w:gridSpan w:val="3"/>
            <w:tcBorders>
              <w:top w:val="single" w:sz="4" w:space="0" w:color="auto"/>
            </w:tcBorders>
            <w:tcMar>
              <w:top w:w="170" w:type="dxa"/>
              <w:left w:w="0" w:type="dxa"/>
              <w:right w:w="0" w:type="dxa"/>
            </w:tcMar>
            <w:vAlign w:val="bottom"/>
          </w:tcPr>
          <w:p w:rsidR="00146E52" w:rsidRPr="004A364D" w:rsidRDefault="00146E52" w:rsidP="00ED5D5B">
            <w:pPr>
              <w:jc w:val="right"/>
              <w:rPr>
                <w:rFonts w:ascii="Arial Black" w:hAnsi="Arial Black"/>
                <w:caps/>
                <w:sz w:val="15"/>
              </w:rPr>
            </w:pPr>
            <w:r w:rsidRPr="004A364D">
              <w:rPr>
                <w:rFonts w:ascii="Arial Black" w:hAnsi="Arial Black"/>
                <w:caps/>
                <w:sz w:val="15"/>
              </w:rPr>
              <w:t>wo/pbc/24/</w:t>
            </w:r>
            <w:bookmarkStart w:id="0" w:name="Code"/>
            <w:bookmarkEnd w:id="0"/>
            <w:r w:rsidRPr="004A364D">
              <w:rPr>
                <w:rFonts w:ascii="Arial Black" w:hAnsi="Arial Black"/>
                <w:caps/>
                <w:sz w:val="15"/>
              </w:rPr>
              <w:t xml:space="preserve">INF.3 </w:t>
            </w:r>
          </w:p>
        </w:tc>
      </w:tr>
      <w:tr w:rsidR="00146E52" w:rsidRPr="004A364D" w:rsidTr="00ED5D5B">
        <w:trPr>
          <w:trHeight w:hRule="exact" w:val="170"/>
        </w:trPr>
        <w:tc>
          <w:tcPr>
            <w:tcW w:w="9356" w:type="dxa"/>
            <w:gridSpan w:val="3"/>
            <w:noWrap/>
            <w:tcMar>
              <w:left w:w="0" w:type="dxa"/>
              <w:right w:w="0" w:type="dxa"/>
            </w:tcMar>
            <w:vAlign w:val="bottom"/>
          </w:tcPr>
          <w:p w:rsidR="00146E52" w:rsidRPr="004A364D" w:rsidRDefault="00146E52" w:rsidP="00ED5D5B">
            <w:pPr>
              <w:jc w:val="right"/>
              <w:rPr>
                <w:rFonts w:ascii="Arial Black" w:hAnsi="Arial Black"/>
                <w:caps/>
                <w:sz w:val="15"/>
              </w:rPr>
            </w:pPr>
            <w:r w:rsidRPr="004A364D">
              <w:rPr>
                <w:rFonts w:ascii="Arial Black" w:hAnsi="Arial Black"/>
                <w:caps/>
                <w:sz w:val="15"/>
              </w:rPr>
              <w:t>ORIGINAL</w:t>
            </w:r>
            <w:r w:rsidR="007C38A4" w:rsidRPr="004A364D">
              <w:rPr>
                <w:rFonts w:ascii="Arial Black" w:hAnsi="Arial Black"/>
                <w:caps/>
                <w:sz w:val="15"/>
              </w:rPr>
              <w:t> </w:t>
            </w:r>
            <w:r w:rsidRPr="004A364D">
              <w:rPr>
                <w:rFonts w:ascii="Arial Black" w:hAnsi="Arial Black"/>
                <w:caps/>
                <w:sz w:val="15"/>
              </w:rPr>
              <w:t xml:space="preserve">: </w:t>
            </w:r>
            <w:bookmarkStart w:id="1" w:name="Original"/>
            <w:bookmarkEnd w:id="1"/>
            <w:r w:rsidRPr="004A364D">
              <w:rPr>
                <w:rFonts w:ascii="Arial Black" w:hAnsi="Arial Black"/>
                <w:caps/>
                <w:sz w:val="15"/>
              </w:rPr>
              <w:t>anglais</w:t>
            </w:r>
          </w:p>
        </w:tc>
      </w:tr>
      <w:tr w:rsidR="00146E52" w:rsidRPr="004A364D" w:rsidTr="00ED5D5B">
        <w:trPr>
          <w:trHeight w:hRule="exact" w:val="198"/>
        </w:trPr>
        <w:tc>
          <w:tcPr>
            <w:tcW w:w="9356" w:type="dxa"/>
            <w:gridSpan w:val="3"/>
            <w:tcMar>
              <w:left w:w="0" w:type="dxa"/>
              <w:right w:w="0" w:type="dxa"/>
            </w:tcMar>
            <w:vAlign w:val="bottom"/>
          </w:tcPr>
          <w:p w:rsidR="00146E52" w:rsidRPr="004A364D" w:rsidRDefault="00146E52" w:rsidP="00ED5D5B">
            <w:pPr>
              <w:jc w:val="right"/>
              <w:rPr>
                <w:rFonts w:ascii="Arial Black" w:hAnsi="Arial Black"/>
                <w:caps/>
                <w:sz w:val="15"/>
              </w:rPr>
            </w:pPr>
            <w:r w:rsidRPr="004A364D">
              <w:rPr>
                <w:rFonts w:ascii="Arial Black" w:hAnsi="Arial Black"/>
                <w:caps/>
                <w:sz w:val="15"/>
              </w:rPr>
              <w:t>DATE</w:t>
            </w:r>
            <w:r w:rsidR="007C38A4" w:rsidRPr="004A364D">
              <w:rPr>
                <w:rFonts w:ascii="Arial Black" w:hAnsi="Arial Black"/>
                <w:caps/>
                <w:sz w:val="15"/>
              </w:rPr>
              <w:t> </w:t>
            </w:r>
            <w:r w:rsidRPr="004A364D">
              <w:rPr>
                <w:rFonts w:ascii="Arial Black" w:hAnsi="Arial Black"/>
                <w:caps/>
                <w:sz w:val="15"/>
              </w:rPr>
              <w:t xml:space="preserve">: </w:t>
            </w:r>
            <w:bookmarkStart w:id="2" w:name="Date"/>
            <w:bookmarkEnd w:id="2"/>
            <w:r w:rsidRPr="004A364D">
              <w:rPr>
                <w:rFonts w:ascii="Arial Black" w:hAnsi="Arial Black"/>
                <w:caps/>
                <w:sz w:val="15"/>
              </w:rPr>
              <w:t>4 septembre 2015</w:t>
            </w:r>
          </w:p>
        </w:tc>
      </w:tr>
    </w:tbl>
    <w:p w:rsidR="00146E52" w:rsidRPr="004A364D" w:rsidRDefault="00146E52" w:rsidP="00146E52"/>
    <w:p w:rsidR="00146E52" w:rsidRPr="004A364D" w:rsidRDefault="00146E52" w:rsidP="00146E52"/>
    <w:p w:rsidR="00146E52" w:rsidRPr="004A364D" w:rsidRDefault="00146E52" w:rsidP="00146E52"/>
    <w:p w:rsidR="00146E52" w:rsidRPr="004A364D" w:rsidRDefault="00146E52" w:rsidP="00146E52"/>
    <w:p w:rsidR="00146E52" w:rsidRPr="004A364D" w:rsidRDefault="00146E52" w:rsidP="00146E52">
      <w:bookmarkStart w:id="3" w:name="_GoBack"/>
      <w:bookmarkEnd w:id="3"/>
    </w:p>
    <w:p w:rsidR="00146E52" w:rsidRPr="004A364D" w:rsidRDefault="00146E52" w:rsidP="00146E52">
      <w:r w:rsidRPr="004A364D">
        <w:rPr>
          <w:b/>
          <w:sz w:val="28"/>
          <w:szCs w:val="28"/>
        </w:rPr>
        <w:t>Comité du programme et budget</w:t>
      </w:r>
    </w:p>
    <w:p w:rsidR="00146E52" w:rsidRPr="004A364D" w:rsidRDefault="00146E52" w:rsidP="00146E52"/>
    <w:p w:rsidR="00146E52" w:rsidRPr="004A364D" w:rsidRDefault="00146E52" w:rsidP="00146E52"/>
    <w:p w:rsidR="00146E52" w:rsidRPr="004A364D" w:rsidRDefault="00146E52" w:rsidP="00146E52">
      <w:pPr>
        <w:rPr>
          <w:b/>
          <w:sz w:val="24"/>
          <w:szCs w:val="24"/>
        </w:rPr>
      </w:pPr>
      <w:r w:rsidRPr="004A364D">
        <w:rPr>
          <w:b/>
          <w:sz w:val="24"/>
          <w:szCs w:val="24"/>
        </w:rPr>
        <w:t>Vingt</w:t>
      </w:r>
      <w:r w:rsidR="00AC665F" w:rsidRPr="004A364D">
        <w:rPr>
          <w:b/>
          <w:sz w:val="24"/>
          <w:szCs w:val="24"/>
        </w:rPr>
        <w:noBreakHyphen/>
      </w:r>
      <w:r w:rsidRPr="004A364D">
        <w:rPr>
          <w:b/>
          <w:sz w:val="24"/>
          <w:szCs w:val="24"/>
        </w:rPr>
        <w:t>quatrième</w:t>
      </w:r>
      <w:r w:rsidR="007C38A4" w:rsidRPr="004A364D">
        <w:rPr>
          <w:b/>
          <w:sz w:val="24"/>
          <w:szCs w:val="24"/>
        </w:rPr>
        <w:t> </w:t>
      </w:r>
      <w:r w:rsidRPr="004A364D">
        <w:rPr>
          <w:b/>
          <w:sz w:val="24"/>
          <w:szCs w:val="24"/>
        </w:rPr>
        <w:t>session</w:t>
      </w:r>
    </w:p>
    <w:p w:rsidR="00146E52" w:rsidRPr="004A364D" w:rsidRDefault="00146E52" w:rsidP="00146E52">
      <w:r w:rsidRPr="004A364D">
        <w:rPr>
          <w:b/>
          <w:sz w:val="24"/>
          <w:szCs w:val="24"/>
        </w:rPr>
        <w:t>Genève, 14 – 1</w:t>
      </w:r>
      <w:r w:rsidR="003D3AF4" w:rsidRPr="004A364D">
        <w:rPr>
          <w:b/>
          <w:sz w:val="24"/>
          <w:szCs w:val="24"/>
        </w:rPr>
        <w:t>8 septembre 20</w:t>
      </w:r>
      <w:r w:rsidRPr="004A364D">
        <w:rPr>
          <w:b/>
          <w:sz w:val="24"/>
          <w:szCs w:val="24"/>
        </w:rPr>
        <w:t>15</w:t>
      </w:r>
    </w:p>
    <w:p w:rsidR="00146E52" w:rsidRPr="004A364D" w:rsidRDefault="00146E52" w:rsidP="00146E52"/>
    <w:p w:rsidR="00146E52" w:rsidRPr="004A364D" w:rsidRDefault="00146E52" w:rsidP="00146E52"/>
    <w:p w:rsidR="00146E52" w:rsidRPr="004A364D" w:rsidRDefault="00146E52" w:rsidP="00146E52"/>
    <w:p w:rsidR="006F64E2" w:rsidRPr="004A364D" w:rsidRDefault="0005795E" w:rsidP="00300FEF">
      <w:pPr>
        <w:rPr>
          <w:caps/>
          <w:sz w:val="24"/>
        </w:rPr>
      </w:pPr>
      <w:r w:rsidRPr="004A364D">
        <w:rPr>
          <w:caps/>
          <w:sz w:val="24"/>
        </w:rPr>
        <w:t>Informations actualisées sur</w:t>
      </w:r>
      <w:r w:rsidR="00300FEF" w:rsidRPr="004A364D">
        <w:rPr>
          <w:caps/>
          <w:sz w:val="24"/>
        </w:rPr>
        <w:t xml:space="preserve"> la proposition du groupe de travail du traité de coopération en matière de brevets (PCT) concernant la stratégie de couverture </w:t>
      </w:r>
      <w:r w:rsidRPr="004A364D">
        <w:rPr>
          <w:caps/>
          <w:sz w:val="24"/>
        </w:rPr>
        <w:t xml:space="preserve">des risques de change </w:t>
      </w:r>
      <w:r w:rsidR="00300FEF" w:rsidRPr="004A364D">
        <w:rPr>
          <w:caps/>
          <w:sz w:val="24"/>
        </w:rPr>
        <w:t>pour les recettes</w:t>
      </w:r>
      <w:r w:rsidR="003D3AF4" w:rsidRPr="004A364D">
        <w:rPr>
          <w:caps/>
          <w:sz w:val="24"/>
        </w:rPr>
        <w:t xml:space="preserve"> du PCT</w:t>
      </w:r>
    </w:p>
    <w:p w:rsidR="006F64E2" w:rsidRPr="004A364D" w:rsidRDefault="006F64E2" w:rsidP="008B2CC1"/>
    <w:p w:rsidR="006F64E2" w:rsidRPr="004A364D" w:rsidRDefault="00300FEF" w:rsidP="00300FEF">
      <w:pPr>
        <w:rPr>
          <w:i/>
        </w:rPr>
      </w:pPr>
      <w:bookmarkStart w:id="4" w:name="Prepared"/>
      <w:bookmarkEnd w:id="4"/>
      <w:r w:rsidRPr="004A364D">
        <w:rPr>
          <w:i/>
        </w:rPr>
        <w:t>Document établi par le Secrétariat</w:t>
      </w:r>
    </w:p>
    <w:p w:rsidR="006F64E2" w:rsidRPr="004A364D" w:rsidRDefault="006F64E2"/>
    <w:p w:rsidR="00146E52" w:rsidRPr="004A364D" w:rsidRDefault="00146E52"/>
    <w:p w:rsidR="00146E52" w:rsidRPr="004A364D" w:rsidRDefault="00146E52"/>
    <w:p w:rsidR="00146E52" w:rsidRPr="004A364D" w:rsidRDefault="00146E52"/>
    <w:p w:rsidR="006F64E2" w:rsidRPr="004A364D" w:rsidRDefault="00A82854" w:rsidP="00E566A8">
      <w:pPr>
        <w:pStyle w:val="ONUMFS"/>
      </w:pPr>
      <w:r w:rsidRPr="004A364D">
        <w:t>À sa vingt</w:t>
      </w:r>
      <w:r w:rsidR="00AC665F" w:rsidRPr="004A364D">
        <w:noBreakHyphen/>
      </w:r>
      <w:r w:rsidRPr="004A364D">
        <w:t>troisième</w:t>
      </w:r>
      <w:r w:rsidR="007C38A4" w:rsidRPr="004A364D">
        <w:t> </w:t>
      </w:r>
      <w:r w:rsidRPr="004A364D">
        <w:t>session tenue du 13 au 1</w:t>
      </w:r>
      <w:r w:rsidR="003D3AF4" w:rsidRPr="004A364D">
        <w:t>7 juillet 20</w:t>
      </w:r>
      <w:r w:rsidRPr="004A364D">
        <w:t>15, le Comité du programme et budget (PBC) a prié le Secrétariat de lui présenter à sa vingt</w:t>
      </w:r>
      <w:r w:rsidR="00AC665F" w:rsidRPr="004A364D">
        <w:noBreakHyphen/>
      </w:r>
      <w:r w:rsidRPr="004A364D">
        <w:t>quatrième</w:t>
      </w:r>
      <w:r w:rsidR="007C38A4" w:rsidRPr="004A364D">
        <w:t> </w:t>
      </w:r>
      <w:r w:rsidRPr="004A364D">
        <w:t xml:space="preserve">session un point sur </w:t>
      </w:r>
      <w:r w:rsidR="007230F0" w:rsidRPr="004A364D">
        <w:t>les</w:t>
      </w:r>
      <w:r w:rsidRPr="004A364D">
        <w:t xml:space="preserve"> progrès réalisés en ce qui concerne la mise en œuvre de la stratégie de couverture des risques de change pour les recettes</w:t>
      </w:r>
      <w:r w:rsidR="003D3AF4" w:rsidRPr="004A364D">
        <w:t xml:space="preserve"> du PCT</w:t>
      </w:r>
      <w:r w:rsidRPr="004A364D">
        <w:t xml:space="preserve"> (WO/PBC/23/REF/HEDGING STRATEGY FOR PCT INCOME), suite à l</w:t>
      </w:r>
      <w:r w:rsidR="003D3AF4" w:rsidRPr="004A364D">
        <w:t>’</w:t>
      </w:r>
      <w:r w:rsidRPr="004A364D">
        <w:t xml:space="preserve">approbation par le Groupe de travail du Traité de coopération en matière de brevets (PCT) à sa session de </w:t>
      </w:r>
      <w:r w:rsidR="003D3AF4" w:rsidRPr="004A364D">
        <w:t>mai 20</w:t>
      </w:r>
      <w:r w:rsidRPr="004A364D">
        <w:t xml:space="preserve">15 des propositions de modification des </w:t>
      </w:r>
      <w:r w:rsidR="00575E58" w:rsidRPr="004A364D">
        <w:t>“</w:t>
      </w:r>
      <w:r w:rsidRPr="004A364D">
        <w:t>Directives de l</w:t>
      </w:r>
      <w:r w:rsidR="003D3AF4" w:rsidRPr="004A364D">
        <w:t>’</w:t>
      </w:r>
      <w:r w:rsidRPr="004A364D">
        <w:t>Assemblée concernant l</w:t>
      </w:r>
      <w:r w:rsidR="003D3AF4" w:rsidRPr="004A364D">
        <w:t>’</w:t>
      </w:r>
      <w:r w:rsidRPr="004A364D">
        <w:t>établissement des montants équivalents de certaines taxes</w:t>
      </w:r>
      <w:r w:rsidR="00575E58" w:rsidRPr="004A364D">
        <w:t>”</w:t>
      </w:r>
      <w:r w:rsidRPr="004A364D">
        <w:t>, en vue de leur communication à l</w:t>
      </w:r>
      <w:r w:rsidR="003D3AF4" w:rsidRPr="004A364D">
        <w:t>’</w:t>
      </w:r>
      <w:r w:rsidRPr="004A364D">
        <w:t>Assemblée de l</w:t>
      </w:r>
      <w:r w:rsidR="003D3AF4" w:rsidRPr="004A364D">
        <w:t>’</w:t>
      </w:r>
      <w:r w:rsidRPr="004A364D">
        <w:t>Union</w:t>
      </w:r>
      <w:r w:rsidR="003D3AF4" w:rsidRPr="004A364D">
        <w:t xml:space="preserve"> du PCT</w:t>
      </w:r>
      <w:r w:rsidRPr="004A364D">
        <w:t xml:space="preserve"> pour examen et adoption à sa session d</w:t>
      </w:r>
      <w:r w:rsidR="003D3AF4" w:rsidRPr="004A364D">
        <w:t>’</w:t>
      </w:r>
      <w:r w:rsidRPr="004A364D">
        <w:t>octobre 2015 (voir le document PCT/A/47/5).</w:t>
      </w:r>
      <w:r w:rsidR="00D53E8E" w:rsidRPr="004A364D">
        <w:t xml:space="preserve">  </w:t>
      </w:r>
      <w:r w:rsidR="00372D9D" w:rsidRPr="004A364D">
        <w:t xml:space="preserve">Si elles sont adoptées, ces modifications permettront au Bureau international de commencer à couvrir les risques de change imputables aux versements de la taxe internationale de dépôt en euros, en yen </w:t>
      </w:r>
      <w:r w:rsidR="00526920" w:rsidRPr="004A364D">
        <w:t xml:space="preserve">japonais </w:t>
      </w:r>
      <w:r w:rsidR="00372D9D" w:rsidRPr="004A364D">
        <w:t>et en dollars</w:t>
      </w:r>
      <w:r w:rsidR="007C38A4" w:rsidRPr="004A364D">
        <w:t> </w:t>
      </w:r>
      <w:r w:rsidR="00372D9D" w:rsidRPr="004A364D">
        <w:t>É.</w:t>
      </w:r>
      <w:r w:rsidR="00AC665F" w:rsidRPr="004A364D">
        <w:noBreakHyphen/>
      </w:r>
      <w:r w:rsidR="00372D9D" w:rsidRPr="004A364D">
        <w:t>U.</w:t>
      </w:r>
      <w:r w:rsidR="00D53E8E" w:rsidRPr="004A364D">
        <w:t xml:space="preserve">  </w:t>
      </w:r>
      <w:r w:rsidR="00372D9D" w:rsidRPr="004A364D">
        <w:t>Le présent document fait suite à la demande formulée par</w:t>
      </w:r>
      <w:r w:rsidR="003D3AF4" w:rsidRPr="004A364D">
        <w:t xml:space="preserve"> le PBC</w:t>
      </w:r>
      <w:r w:rsidR="00372D9D" w:rsidRPr="004A364D">
        <w:t>.</w:t>
      </w:r>
    </w:p>
    <w:p w:rsidR="006F64E2" w:rsidRPr="004A364D" w:rsidRDefault="00E566A8" w:rsidP="00E566A8">
      <w:pPr>
        <w:pStyle w:val="Heading1"/>
      </w:pPr>
      <w:r w:rsidRPr="004A364D">
        <w:t>Informations générales sur la proposition de mise en œuvre d</w:t>
      </w:r>
      <w:r w:rsidR="003D3AF4" w:rsidRPr="004A364D">
        <w:t>’</w:t>
      </w:r>
      <w:r w:rsidRPr="004A364D">
        <w:t>une stratégie de couverture des risques de change pour les recettes du PCT</w:t>
      </w:r>
    </w:p>
    <w:p w:rsidR="00E566A8" w:rsidRPr="004A364D" w:rsidRDefault="00E566A8" w:rsidP="00E566A8"/>
    <w:p w:rsidR="003D3AF4" w:rsidRPr="004A364D" w:rsidRDefault="00372D9D" w:rsidP="00E566A8">
      <w:pPr>
        <w:pStyle w:val="ONUMFS"/>
      </w:pPr>
      <w:r w:rsidRPr="004A364D">
        <w:t>Au quatrième trimestre de</w:t>
      </w:r>
      <w:r w:rsidR="007C38A4" w:rsidRPr="004A364D">
        <w:t> </w:t>
      </w:r>
      <w:r w:rsidRPr="004A364D">
        <w:t>2013, l</w:t>
      </w:r>
      <w:r w:rsidR="003D3AF4" w:rsidRPr="004A364D">
        <w:t>’</w:t>
      </w:r>
      <w:r w:rsidRPr="004A364D">
        <w:t>OMPI a décidé de lancer un projet d</w:t>
      </w:r>
      <w:r w:rsidR="003D3AF4" w:rsidRPr="004A364D">
        <w:t>’</w:t>
      </w:r>
      <w:r w:rsidRPr="004A364D">
        <w:t>examen de sa trésorerie, dont l</w:t>
      </w:r>
      <w:r w:rsidR="003D3AF4" w:rsidRPr="004A364D">
        <w:t>’</w:t>
      </w:r>
      <w:r w:rsidRPr="004A364D">
        <w:t xml:space="preserve">objectif principal était de réaliser une évaluation indépendante et objective des fonctions actuelles de gestion de la trésorerie, ainsi que des politiques et des procédures en la matière, </w:t>
      </w:r>
      <w:r w:rsidR="003D3AF4" w:rsidRPr="004A364D">
        <w:t>y compris</w:t>
      </w:r>
      <w:r w:rsidRPr="004A364D">
        <w:t xml:space="preserve"> un examen des risques auxquels est exposée la trésorerie de l</w:t>
      </w:r>
      <w:r w:rsidR="003D3AF4" w:rsidRPr="004A364D">
        <w:t>’</w:t>
      </w:r>
      <w:r w:rsidRPr="004A364D">
        <w:t>OMPI.</w:t>
      </w:r>
      <w:r w:rsidR="00D53E8E" w:rsidRPr="004A364D">
        <w:t xml:space="preserve">  </w:t>
      </w:r>
      <w:r w:rsidR="009623A1" w:rsidRPr="004A364D">
        <w:t>Cet examen a permis de passer en revue l</w:t>
      </w:r>
      <w:r w:rsidR="003D3AF4" w:rsidRPr="004A364D">
        <w:t>’</w:t>
      </w:r>
      <w:r w:rsidR="009623A1" w:rsidRPr="004A364D">
        <w:t>exposition aux risques de change à l</w:t>
      </w:r>
      <w:r w:rsidR="003D3AF4" w:rsidRPr="004A364D">
        <w:t>’</w:t>
      </w:r>
      <w:r w:rsidR="009623A1" w:rsidRPr="004A364D">
        <w:t xml:space="preserve">OMPI, notamment </w:t>
      </w:r>
      <w:r w:rsidR="009623A1" w:rsidRPr="004A364D">
        <w:lastRenderedPageBreak/>
        <w:t>en ce qui concerne les recettes provenant des taxes</w:t>
      </w:r>
      <w:r w:rsidR="003D3AF4" w:rsidRPr="004A364D">
        <w:t xml:space="preserve"> du PCT</w:t>
      </w:r>
      <w:r w:rsidR="009623A1" w:rsidRPr="004A364D">
        <w:t>, et a débouché sur une recommandation en faveur de l</w:t>
      </w:r>
      <w:r w:rsidR="003D3AF4" w:rsidRPr="004A364D">
        <w:t>’</w:t>
      </w:r>
      <w:r w:rsidR="009623A1" w:rsidRPr="004A364D">
        <w:t>adoption d</w:t>
      </w:r>
      <w:r w:rsidR="003D3AF4" w:rsidRPr="004A364D">
        <w:t>’</w:t>
      </w:r>
      <w:r w:rsidR="009623A1" w:rsidRPr="004A364D">
        <w:t>une nouvelle stratégie de gestion des risques de change fondée sur des opérations de couverture.</w:t>
      </w:r>
    </w:p>
    <w:p w:rsidR="006F64E2" w:rsidRPr="004A364D" w:rsidRDefault="009623A1" w:rsidP="00E566A8">
      <w:pPr>
        <w:pStyle w:val="ONUMFS"/>
      </w:pPr>
      <w:r w:rsidRPr="004A364D">
        <w:t>La circulaire C.PCT 1440 (Mesures possibles pour réduire les risques de change auxquels sont exposées les recettes provenant des taxes</w:t>
      </w:r>
      <w:r w:rsidR="003D3AF4" w:rsidRPr="004A364D">
        <w:t xml:space="preserve"> du PCT</w:t>
      </w:r>
      <w:r w:rsidRPr="004A364D">
        <w:t>) contient une explication de la proposition de couverture, avec les modalités d</w:t>
      </w:r>
      <w:r w:rsidR="003D3AF4" w:rsidRPr="004A364D">
        <w:t>’</w:t>
      </w:r>
      <w:r w:rsidRPr="004A364D">
        <w:t>autres mesures proposées pour réduire l</w:t>
      </w:r>
      <w:r w:rsidR="003D3AF4" w:rsidRPr="004A364D">
        <w:t>’</w:t>
      </w:r>
      <w:r w:rsidRPr="004A364D">
        <w:t>exposition des recettes provenant des taxes</w:t>
      </w:r>
      <w:r w:rsidR="003D3AF4" w:rsidRPr="004A364D">
        <w:t xml:space="preserve"> du PCT</w:t>
      </w:r>
      <w:r w:rsidRPr="004A364D">
        <w:t xml:space="preserve"> aux fluctuations de change.</w:t>
      </w:r>
      <w:r w:rsidR="00D53E8E" w:rsidRPr="004A364D">
        <w:t xml:space="preserve">  </w:t>
      </w:r>
      <w:r w:rsidRPr="004A364D">
        <w:t>Cette circulaire a été envoyée en janvier 2015 à toutes les parties prenantes</w:t>
      </w:r>
      <w:r w:rsidR="003D3AF4" w:rsidRPr="004A364D">
        <w:t xml:space="preserve"> du PCT</w:t>
      </w:r>
      <w:r w:rsidRPr="004A364D">
        <w:t>.</w:t>
      </w:r>
      <w:r w:rsidR="00D53E8E" w:rsidRPr="004A364D">
        <w:t xml:space="preserve">  </w:t>
      </w:r>
      <w:r w:rsidRPr="004A364D">
        <w:t>En réponse aux informations reçues à la suite de la circulaire, le document PCT/WG/8/15, détaillant la suite à donner aux diverses mesures possibles pour réduire l</w:t>
      </w:r>
      <w:r w:rsidR="003D3AF4" w:rsidRPr="004A364D">
        <w:t>’</w:t>
      </w:r>
      <w:r w:rsidRPr="004A364D">
        <w:t>exposition des recettes provenant des taxes</w:t>
      </w:r>
      <w:r w:rsidR="003D3AF4" w:rsidRPr="004A364D">
        <w:t xml:space="preserve"> du PCT</w:t>
      </w:r>
      <w:r w:rsidRPr="004A364D">
        <w:t xml:space="preserve"> </w:t>
      </w:r>
      <w:r w:rsidR="00526920" w:rsidRPr="004A364D">
        <w:t>indiqu</w:t>
      </w:r>
      <w:r w:rsidRPr="004A364D">
        <w:t>ées dans la circulaire, a été soumis au Groupe de travail</w:t>
      </w:r>
      <w:r w:rsidR="003D3AF4" w:rsidRPr="004A364D">
        <w:t xml:space="preserve"> du PCT</w:t>
      </w:r>
      <w:r w:rsidRPr="004A364D">
        <w:t xml:space="preserve"> à sa huitième</w:t>
      </w:r>
      <w:r w:rsidR="007C38A4" w:rsidRPr="004A364D">
        <w:t> </w:t>
      </w:r>
      <w:r w:rsidRPr="004A364D">
        <w:t xml:space="preserve">session, en </w:t>
      </w:r>
      <w:r w:rsidR="003D3AF4" w:rsidRPr="004A364D">
        <w:t>mai 20</w:t>
      </w:r>
      <w:r w:rsidRPr="004A364D">
        <w:t>15.</w:t>
      </w:r>
    </w:p>
    <w:p w:rsidR="003D3AF4" w:rsidRPr="004A364D" w:rsidRDefault="008F46C0" w:rsidP="00E566A8">
      <w:pPr>
        <w:pStyle w:val="ONUMFS"/>
      </w:pPr>
      <w:r w:rsidRPr="004A364D">
        <w:t>Durant la huitième</w:t>
      </w:r>
      <w:r w:rsidR="007C38A4" w:rsidRPr="004A364D">
        <w:t> </w:t>
      </w:r>
      <w:r w:rsidRPr="004A364D">
        <w:t>session du Groupe de travail</w:t>
      </w:r>
      <w:r w:rsidR="003D3AF4" w:rsidRPr="004A364D">
        <w:t xml:space="preserve"> du PCT</w:t>
      </w:r>
      <w:r w:rsidRPr="004A364D">
        <w:t>, toutes les délégations qui ont pris la parole ont accueilli favorablement la proposition tendant à commencer à couvrir le risque de change pour les taxes internationales de dépôt</w:t>
      </w:r>
      <w:r w:rsidR="003D3AF4" w:rsidRPr="004A364D">
        <w:t xml:space="preserve"> du PCT</w:t>
      </w:r>
      <w:r w:rsidRPr="004A364D">
        <w:t xml:space="preserve"> découlant des </w:t>
      </w:r>
      <w:r w:rsidR="00526920" w:rsidRPr="004A364D">
        <w:t>transactions libellées en euros</w:t>
      </w:r>
      <w:r w:rsidRPr="004A364D">
        <w:t>, en yen japonais et en dollars des États</w:t>
      </w:r>
      <w:r w:rsidR="00AC665F" w:rsidRPr="004A364D">
        <w:noBreakHyphen/>
      </w:r>
      <w:r w:rsidRPr="004A364D">
        <w:t>Unis d</w:t>
      </w:r>
      <w:r w:rsidR="003D3AF4" w:rsidRPr="004A364D">
        <w:t>’</w:t>
      </w:r>
      <w:r w:rsidRPr="004A364D">
        <w:t>Amérique.</w:t>
      </w:r>
      <w:r w:rsidR="00D53E8E" w:rsidRPr="004A364D">
        <w:t xml:space="preserve">  </w:t>
      </w:r>
      <w:r w:rsidR="00F562B6" w:rsidRPr="004A364D">
        <w:t>Les détails de la discussion figurent aux paragraphes</w:t>
      </w:r>
      <w:r w:rsidR="007C38A4" w:rsidRPr="004A364D">
        <w:t> </w:t>
      </w:r>
      <w:r w:rsidR="00AC665F" w:rsidRPr="004A364D">
        <w:t>21 à </w:t>
      </w:r>
      <w:r w:rsidR="00F562B6" w:rsidRPr="004A364D">
        <w:t>36</w:t>
      </w:r>
      <w:r w:rsidR="00AC665F" w:rsidRPr="004A364D">
        <w:t xml:space="preserve"> </w:t>
      </w:r>
      <w:r w:rsidR="00F562B6" w:rsidRPr="004A364D">
        <w:t>du résumé présenté par le président, publié sous la cote PCT/WG/8/25.  Les principales recommandations du groupe de travail à soumettre à l</w:t>
      </w:r>
      <w:r w:rsidR="003D3AF4" w:rsidRPr="004A364D">
        <w:t>’</w:t>
      </w:r>
      <w:r w:rsidR="00F562B6" w:rsidRPr="004A364D">
        <w:t>Assemblée à sa session d</w:t>
      </w:r>
      <w:r w:rsidR="003D3AF4" w:rsidRPr="004A364D">
        <w:t>’</w:t>
      </w:r>
      <w:r w:rsidR="00F562B6" w:rsidRPr="004A364D">
        <w:t>octobre 2015 pour décision, étaient les suivantes :</w:t>
      </w:r>
    </w:p>
    <w:p w:rsidR="003D3AF4" w:rsidRPr="004A364D" w:rsidRDefault="00F562B6" w:rsidP="00E566A8">
      <w:pPr>
        <w:pStyle w:val="ONUMFS"/>
        <w:numPr>
          <w:ilvl w:val="1"/>
          <w:numId w:val="3"/>
        </w:numPr>
      </w:pPr>
      <w:r w:rsidRPr="004A364D">
        <w:t>commencer la couverture du risque de change des taxes de dépôt international selon</w:t>
      </w:r>
      <w:r w:rsidR="003D3AF4" w:rsidRPr="004A364D">
        <w:t xml:space="preserve"> le PCT</w:t>
      </w:r>
      <w:r w:rsidRPr="004A364D">
        <w:t xml:space="preserve"> pour les transactions en euros, en yen japonais et en dollars</w:t>
      </w:r>
      <w:r w:rsidR="007C38A4" w:rsidRPr="004A364D">
        <w:t> </w:t>
      </w:r>
      <w:r w:rsidRPr="004A364D">
        <w:t>É.</w:t>
      </w:r>
      <w:r w:rsidR="00AC665F" w:rsidRPr="004A364D">
        <w:noBreakHyphen/>
      </w:r>
      <w:r w:rsidRPr="004A364D">
        <w:t>U. avec effet à compter du 1</w:t>
      </w:r>
      <w:r w:rsidRPr="004A364D">
        <w:rPr>
          <w:vertAlign w:val="superscript"/>
        </w:rPr>
        <w:t>er</w:t>
      </w:r>
      <w:r w:rsidR="00526920" w:rsidRPr="004A364D">
        <w:t> </w:t>
      </w:r>
      <w:r w:rsidRPr="004A364D">
        <w:t>janvier</w:t>
      </w:r>
      <w:r w:rsidR="00526920" w:rsidRPr="004A364D">
        <w:t> </w:t>
      </w:r>
      <w:r w:rsidRPr="004A364D">
        <w:t>2016;</w:t>
      </w:r>
    </w:p>
    <w:p w:rsidR="003D3AF4" w:rsidRPr="004A364D" w:rsidRDefault="00F562B6" w:rsidP="00E566A8">
      <w:pPr>
        <w:pStyle w:val="ONUMFS"/>
        <w:numPr>
          <w:ilvl w:val="1"/>
          <w:numId w:val="3"/>
        </w:numPr>
      </w:pPr>
      <w:r w:rsidRPr="004A364D">
        <w:t>réviser le processus d</w:t>
      </w:r>
      <w:r w:rsidR="003D3AF4" w:rsidRPr="004A364D">
        <w:t>’</w:t>
      </w:r>
      <w:r w:rsidRPr="004A364D">
        <w:t>établissement des montants équivalents pour certaines taxes</w:t>
      </w:r>
      <w:r w:rsidR="003D3AF4" w:rsidRPr="004A364D">
        <w:t xml:space="preserve"> du PCT</w:t>
      </w:r>
      <w:r w:rsidRPr="004A364D">
        <w:t xml:space="preserve"> en vue de f</w:t>
      </w:r>
      <w:r w:rsidR="00526920" w:rsidRPr="004A364D">
        <w:t>aire</w:t>
      </w:r>
      <w:r w:rsidRPr="004A364D">
        <w:t xml:space="preserve"> de sorte que les nouveaux montants équivalents ne soient plus fixés dorénavant qu</w:t>
      </w:r>
      <w:r w:rsidR="003D3AF4" w:rsidRPr="004A364D">
        <w:t>’</w:t>
      </w:r>
      <w:r w:rsidRPr="004A364D">
        <w:t>une fois par année et restent inchangés pendant une période de 12</w:t>
      </w:r>
      <w:r w:rsidR="00526920" w:rsidRPr="004A364D">
        <w:t> </w:t>
      </w:r>
      <w:r w:rsidRPr="004A364D">
        <w:t xml:space="preserve">mois, et modifier en conséquence les </w:t>
      </w:r>
      <w:r w:rsidR="00526920" w:rsidRPr="004A364D">
        <w:t>d</w:t>
      </w:r>
      <w:r w:rsidRPr="004A364D">
        <w:t>irectives de l</w:t>
      </w:r>
      <w:r w:rsidR="003D3AF4" w:rsidRPr="004A364D">
        <w:t>’</w:t>
      </w:r>
      <w:r w:rsidRPr="004A364D">
        <w:t>Assemblée de l</w:t>
      </w:r>
      <w:r w:rsidR="003D3AF4" w:rsidRPr="004A364D">
        <w:t>’</w:t>
      </w:r>
      <w:r w:rsidRPr="004A364D">
        <w:t>Union</w:t>
      </w:r>
      <w:r w:rsidR="003D3AF4" w:rsidRPr="004A364D">
        <w:t xml:space="preserve"> du PCT</w:t>
      </w:r>
      <w:r w:rsidRPr="004A364D">
        <w:t xml:space="preserve"> concernant l</w:t>
      </w:r>
      <w:r w:rsidR="003D3AF4" w:rsidRPr="004A364D">
        <w:t>’</w:t>
      </w:r>
      <w:r w:rsidRPr="004A364D">
        <w:t>établissement des montants équivalents de certaines taxes</w:t>
      </w:r>
      <w:r w:rsidR="003D3AF4" w:rsidRPr="004A364D">
        <w:t xml:space="preserve"> du PCT</w:t>
      </w:r>
      <w:r w:rsidRPr="004A364D">
        <w:t>;  et</w:t>
      </w:r>
    </w:p>
    <w:p w:rsidR="003D3AF4" w:rsidRPr="004A364D" w:rsidRDefault="00F562B6" w:rsidP="00E566A8">
      <w:pPr>
        <w:pStyle w:val="ONUMFS"/>
        <w:numPr>
          <w:ilvl w:val="1"/>
          <w:numId w:val="3"/>
        </w:numPr>
      </w:pPr>
      <w:r w:rsidRPr="004A364D">
        <w:t xml:space="preserve">procéder à une simulation de </w:t>
      </w:r>
      <w:r w:rsidR="00575E58" w:rsidRPr="004A364D">
        <w:t>“</w:t>
      </w:r>
      <w:r w:rsidRPr="004A364D">
        <w:t>validation du concept</w:t>
      </w:r>
      <w:r w:rsidR="00575E58" w:rsidRPr="004A364D">
        <w:t>”</w:t>
      </w:r>
      <w:r w:rsidRPr="004A364D">
        <w:t xml:space="preserve"> en vue de l</w:t>
      </w:r>
      <w:r w:rsidR="003D3AF4" w:rsidRPr="004A364D">
        <w:t>’</w:t>
      </w:r>
      <w:r w:rsidRPr="004A364D">
        <w:t>examen d</w:t>
      </w:r>
      <w:r w:rsidR="003D3AF4" w:rsidRPr="004A364D">
        <w:t>’</w:t>
      </w:r>
      <w:r w:rsidRPr="004A364D">
        <w:t>une proposition détaillée du Secrétariat à la prochaine session du groupe de travail, en</w:t>
      </w:r>
      <w:r w:rsidR="007C38A4" w:rsidRPr="004A364D">
        <w:t> </w:t>
      </w:r>
      <w:r w:rsidRPr="004A364D">
        <w:t>2016.</w:t>
      </w:r>
    </w:p>
    <w:p w:rsidR="006F64E2" w:rsidRPr="004A364D" w:rsidRDefault="00F562B6" w:rsidP="00E566A8">
      <w:pPr>
        <w:pStyle w:val="Heading1"/>
      </w:pPr>
      <w:r w:rsidRPr="004A364D">
        <w:t>Mesures prises par le secrétariat à ce jour</w:t>
      </w:r>
    </w:p>
    <w:p w:rsidR="00E566A8" w:rsidRPr="004A364D" w:rsidRDefault="00E566A8" w:rsidP="00E566A8"/>
    <w:p w:rsidR="006F64E2" w:rsidRPr="004A364D" w:rsidRDefault="00D01F44" w:rsidP="00E566A8">
      <w:pPr>
        <w:pStyle w:val="ONUMFS"/>
      </w:pPr>
      <w:r w:rsidRPr="004A364D">
        <w:t>Suite à la décision prise par le Groupe de travail</w:t>
      </w:r>
      <w:r w:rsidR="003D3AF4" w:rsidRPr="004A364D">
        <w:t xml:space="preserve"> du PCT</w:t>
      </w:r>
      <w:r w:rsidRPr="004A364D">
        <w:t xml:space="preserve"> en </w:t>
      </w:r>
      <w:r w:rsidR="003D3AF4" w:rsidRPr="004A364D">
        <w:t>mai 20</w:t>
      </w:r>
      <w:r w:rsidRPr="004A364D">
        <w:t xml:space="preserve">15, le Secrétariat a entamé des consultations avec ses principaux partenaires bancaires afin de mettre en place les lignes de crédit nécessaires pour la mise en </w:t>
      </w:r>
      <w:r w:rsidR="00575E58" w:rsidRPr="004A364D">
        <w:t>œuvre</w:t>
      </w:r>
      <w:r w:rsidRPr="004A364D">
        <w:t xml:space="preserve"> d</w:t>
      </w:r>
      <w:r w:rsidR="003D3AF4" w:rsidRPr="004A364D">
        <w:t>’</w:t>
      </w:r>
      <w:r w:rsidRPr="004A364D">
        <w:t>une stratégie de couverture de risques de change de ce type.</w:t>
      </w:r>
      <w:r w:rsidR="00D53E8E" w:rsidRPr="004A364D">
        <w:t xml:space="preserve">  </w:t>
      </w:r>
      <w:r w:rsidRPr="004A364D">
        <w:t>Ces consultations ont été productives et les lignes de crédit nécessaires sont en cours d</w:t>
      </w:r>
      <w:r w:rsidR="003D3AF4" w:rsidRPr="004A364D">
        <w:t>’</w:t>
      </w:r>
      <w:r w:rsidRPr="004A364D">
        <w:t>ouverture dans plusieurs établissements bancaires.</w:t>
      </w:r>
      <w:r w:rsidR="00D53E8E" w:rsidRPr="004A364D">
        <w:t xml:space="preserve">  </w:t>
      </w:r>
      <w:r w:rsidRPr="004A364D">
        <w:t>Par ailleurs, des discussions ont été menées avec d</w:t>
      </w:r>
      <w:r w:rsidR="003D3AF4" w:rsidRPr="004A364D">
        <w:t>’</w:t>
      </w:r>
      <w:r w:rsidRPr="004A364D">
        <w:t xml:space="preserve">autres institutions des </w:t>
      </w:r>
      <w:r w:rsidR="003D3AF4" w:rsidRPr="004A364D">
        <w:t>Nations Unies</w:t>
      </w:r>
      <w:r w:rsidRPr="004A364D">
        <w:t xml:space="preserve"> qui procèdent à la couverture des risques de change afin de dé</w:t>
      </w:r>
      <w:r w:rsidR="00526920" w:rsidRPr="004A364D">
        <w:t>terminer</w:t>
      </w:r>
      <w:r w:rsidRPr="004A364D">
        <w:t xml:space="preserve"> comment leurs programmes de couverture ont été mis en </w:t>
      </w:r>
      <w:r w:rsidR="00575E58" w:rsidRPr="004A364D">
        <w:t>œuvre</w:t>
      </w:r>
      <w:r w:rsidRPr="004A364D">
        <w:t xml:space="preserve"> et d</w:t>
      </w:r>
      <w:r w:rsidR="003D3AF4" w:rsidRPr="004A364D">
        <w:t>’</w:t>
      </w:r>
      <w:r w:rsidRPr="004A364D">
        <w:t>obtenir des informations comparatives utiles.</w:t>
      </w:r>
    </w:p>
    <w:p w:rsidR="006F64E2" w:rsidRPr="004A364D" w:rsidRDefault="00D01F44" w:rsidP="00E566A8">
      <w:pPr>
        <w:pStyle w:val="ONUMFS"/>
      </w:pPr>
      <w:r w:rsidRPr="004A364D">
        <w:t>Le Secrétariat a également engagé des consultants pour examiner les questions indiquées ci</w:t>
      </w:r>
      <w:r w:rsidR="00AC665F" w:rsidRPr="004A364D">
        <w:noBreakHyphen/>
      </w:r>
      <w:r w:rsidRPr="004A364D">
        <w:t>dessous :</w:t>
      </w:r>
    </w:p>
    <w:p w:rsidR="006F64E2" w:rsidRPr="004A364D" w:rsidRDefault="00A82720" w:rsidP="00E566A8">
      <w:pPr>
        <w:pStyle w:val="ONUMFS"/>
        <w:numPr>
          <w:ilvl w:val="1"/>
          <w:numId w:val="3"/>
        </w:numPr>
      </w:pPr>
      <w:r w:rsidRPr="004A364D">
        <w:t>l</w:t>
      </w:r>
      <w:r w:rsidR="003D3AF4" w:rsidRPr="004A364D">
        <w:t>’</w:t>
      </w:r>
      <w:r w:rsidRPr="004A364D">
        <w:t>incidence sur les résultats nets de l</w:t>
      </w:r>
      <w:r w:rsidR="003D3AF4" w:rsidRPr="004A364D">
        <w:t>’</w:t>
      </w:r>
      <w:r w:rsidRPr="004A364D">
        <w:t>OMPI pour</w:t>
      </w:r>
      <w:r w:rsidR="007C38A4" w:rsidRPr="004A364D">
        <w:t> </w:t>
      </w:r>
      <w:r w:rsidRPr="004A364D">
        <w:t>2013, 2014 et 2015 (jusqu</w:t>
      </w:r>
      <w:r w:rsidR="003D3AF4" w:rsidRPr="004A364D">
        <w:t>’</w:t>
      </w:r>
      <w:r w:rsidRPr="004A364D">
        <w:t>au mois d</w:t>
      </w:r>
      <w:r w:rsidR="003D3AF4" w:rsidRPr="004A364D">
        <w:t>’</w:t>
      </w:r>
      <w:r w:rsidRPr="004A364D">
        <w:t xml:space="preserve">août inclus) si la stratégie de couverture avait été mise en </w:t>
      </w:r>
      <w:r w:rsidR="00575E58" w:rsidRPr="004A364D">
        <w:t>œuvre</w:t>
      </w:r>
      <w:r w:rsidRPr="004A364D">
        <w:t xml:space="preserve"> à ces périodes;</w:t>
      </w:r>
    </w:p>
    <w:p w:rsidR="006F64E2" w:rsidRPr="004A364D" w:rsidRDefault="00A82720" w:rsidP="00E566A8">
      <w:pPr>
        <w:pStyle w:val="ONUMFS"/>
        <w:numPr>
          <w:ilvl w:val="1"/>
          <w:numId w:val="3"/>
        </w:numPr>
      </w:pPr>
      <w:r w:rsidRPr="004A364D">
        <w:t xml:space="preserve">les projections relatives aux besoins de trésorerie pour assurer la couverture des </w:t>
      </w:r>
      <w:r w:rsidR="00575E58" w:rsidRPr="004A364D">
        <w:t>transactions</w:t>
      </w:r>
      <w:r w:rsidRPr="004A364D">
        <w:t xml:space="preserve"> en </w:t>
      </w:r>
      <w:r w:rsidR="00526920" w:rsidRPr="004A364D">
        <w:t>yen japonais, dollars É.</w:t>
      </w:r>
      <w:r w:rsidR="00AC665F" w:rsidRPr="004A364D">
        <w:noBreakHyphen/>
      </w:r>
      <w:r w:rsidR="00526920" w:rsidRPr="004A364D">
        <w:t>U.</w:t>
      </w:r>
      <w:r w:rsidRPr="004A364D">
        <w:t xml:space="preserve"> et euros effectuées en</w:t>
      </w:r>
      <w:r w:rsidR="007C38A4" w:rsidRPr="004A364D">
        <w:t> </w:t>
      </w:r>
      <w:r w:rsidRPr="004A364D">
        <w:t>2016;</w:t>
      </w:r>
    </w:p>
    <w:p w:rsidR="006F64E2" w:rsidRPr="004A364D" w:rsidRDefault="00A82720" w:rsidP="00E566A8">
      <w:pPr>
        <w:pStyle w:val="ONUMFS"/>
        <w:numPr>
          <w:ilvl w:val="1"/>
          <w:numId w:val="3"/>
        </w:numPr>
      </w:pPr>
      <w:r w:rsidRPr="004A364D">
        <w:lastRenderedPageBreak/>
        <w:t>les risques supplémentaires pour l</w:t>
      </w:r>
      <w:r w:rsidR="003D3AF4" w:rsidRPr="004A364D">
        <w:t>’</w:t>
      </w:r>
      <w:r w:rsidRPr="004A364D">
        <w:t xml:space="preserve">Organisation découlant de la mise en </w:t>
      </w:r>
      <w:r w:rsidR="00575E58" w:rsidRPr="004A364D">
        <w:t>œuvre</w:t>
      </w:r>
      <w:r w:rsidRPr="004A364D">
        <w:t xml:space="preserve"> de la stratégie de couverture des changes;</w:t>
      </w:r>
    </w:p>
    <w:p w:rsidR="006F64E2" w:rsidRPr="004A364D" w:rsidRDefault="00A82720" w:rsidP="00E566A8">
      <w:pPr>
        <w:pStyle w:val="ONUMFS"/>
        <w:numPr>
          <w:ilvl w:val="1"/>
          <w:numId w:val="3"/>
        </w:numPr>
      </w:pPr>
      <w:r w:rsidRPr="004A364D">
        <w:t xml:space="preserve">les politiques et procédures comptables à mettre en </w:t>
      </w:r>
      <w:r w:rsidR="007230F0" w:rsidRPr="004A364D">
        <w:t>œuvre</w:t>
      </w:r>
      <w:r w:rsidRPr="004A364D">
        <w:t xml:space="preserve"> dans le système AIMS afin de préserver l</w:t>
      </w:r>
      <w:r w:rsidR="003D3AF4" w:rsidRPr="004A364D">
        <w:t>’</w:t>
      </w:r>
      <w:r w:rsidRPr="004A364D">
        <w:t>observation de normes comptables internationales du secteur public (normes</w:t>
      </w:r>
      <w:r w:rsidR="007C38A4" w:rsidRPr="004A364D">
        <w:t> </w:t>
      </w:r>
      <w:r w:rsidRPr="004A364D">
        <w:t>IPSAS) à l</w:t>
      </w:r>
      <w:r w:rsidR="003D3AF4" w:rsidRPr="004A364D">
        <w:t>’</w:t>
      </w:r>
      <w:r w:rsidRPr="004A364D">
        <w:t>OMPI.</w:t>
      </w:r>
    </w:p>
    <w:p w:rsidR="006F64E2" w:rsidRPr="004A364D" w:rsidRDefault="00A82720" w:rsidP="00E566A8">
      <w:pPr>
        <w:pStyle w:val="Heading1"/>
      </w:pPr>
      <w:r w:rsidRPr="004A364D">
        <w:t>Problèmes</w:t>
      </w:r>
    </w:p>
    <w:p w:rsidR="00E566A8" w:rsidRPr="004A364D" w:rsidRDefault="00E566A8" w:rsidP="00E566A8"/>
    <w:p w:rsidR="006F64E2" w:rsidRPr="004A364D" w:rsidRDefault="007A7FAB" w:rsidP="00E566A8">
      <w:pPr>
        <w:pStyle w:val="ONUMFS"/>
      </w:pPr>
      <w:r w:rsidRPr="004A364D">
        <w:t>L</w:t>
      </w:r>
      <w:r w:rsidR="003D3AF4" w:rsidRPr="004A364D">
        <w:t>’</w:t>
      </w:r>
      <w:r w:rsidRPr="004A364D">
        <w:t>analyse effectuée par les consultants a mis en évidence les problèmes ci</w:t>
      </w:r>
      <w:r w:rsidR="00AC665F" w:rsidRPr="004A364D">
        <w:noBreakHyphen/>
      </w:r>
      <w:r w:rsidRPr="004A364D">
        <w:t xml:space="preserve">après concernant la mise en </w:t>
      </w:r>
      <w:r w:rsidR="00575E58" w:rsidRPr="004A364D">
        <w:t>œuvre</w:t>
      </w:r>
      <w:r w:rsidRPr="004A364D">
        <w:t xml:space="preserve"> de la couverture des risques de change comme solution pour remédier à l</w:t>
      </w:r>
      <w:r w:rsidR="003D3AF4" w:rsidRPr="004A364D">
        <w:t>’</w:t>
      </w:r>
      <w:r w:rsidRPr="004A364D">
        <w:t>exposition des recettes provenant des taxes</w:t>
      </w:r>
      <w:r w:rsidR="003D3AF4" w:rsidRPr="004A364D">
        <w:t xml:space="preserve"> du PCT</w:t>
      </w:r>
      <w:r w:rsidRPr="004A364D">
        <w:t>.</w:t>
      </w:r>
    </w:p>
    <w:p w:rsidR="006F64E2" w:rsidRPr="004A364D" w:rsidRDefault="00E566A8" w:rsidP="00E566A8">
      <w:pPr>
        <w:pStyle w:val="Heading2"/>
      </w:pPr>
      <w:r w:rsidRPr="004A364D">
        <w:t>P</w:t>
      </w:r>
      <w:r w:rsidR="007A7FAB" w:rsidRPr="004A364D">
        <w:t>récision des prévisions</w:t>
      </w:r>
    </w:p>
    <w:p w:rsidR="00E566A8" w:rsidRPr="004A364D" w:rsidRDefault="00E566A8" w:rsidP="00E566A8"/>
    <w:p w:rsidR="006F64E2" w:rsidRPr="004A364D" w:rsidRDefault="00E83586" w:rsidP="00E566A8">
      <w:pPr>
        <w:pStyle w:val="ONUMFS"/>
      </w:pPr>
      <w:r w:rsidRPr="004A364D">
        <w:t>La stratégie de l</w:t>
      </w:r>
      <w:r w:rsidR="003D3AF4" w:rsidRPr="004A364D">
        <w:t>’</w:t>
      </w:r>
      <w:r w:rsidRPr="004A364D">
        <w:t>OMPI consisterait à couvrir une partie hautement prévisible des recettes à percevoir dans chacune des trois</w:t>
      </w:r>
      <w:r w:rsidR="007C38A4" w:rsidRPr="004A364D">
        <w:t> </w:t>
      </w:r>
      <w:r w:rsidRPr="004A364D">
        <w:t>monnaies concernées.</w:t>
      </w:r>
      <w:r w:rsidR="00D53E8E" w:rsidRPr="004A364D">
        <w:t xml:space="preserve">  </w:t>
      </w:r>
      <w:r w:rsidRPr="004A364D">
        <w:t>Les prévisions sont établies pour chaque exercice biennal par la Section de l</w:t>
      </w:r>
      <w:r w:rsidR="003D3AF4" w:rsidRPr="004A364D">
        <w:t>’</w:t>
      </w:r>
      <w:r w:rsidRPr="004A364D">
        <w:t>élaboration des données de la Division de l</w:t>
      </w:r>
      <w:r w:rsidR="003D3AF4" w:rsidRPr="004A364D">
        <w:t>’</w:t>
      </w:r>
      <w:r w:rsidRPr="004A364D">
        <w:t>économie et des statistiques et mises à jour annuellement, sur la base d</w:t>
      </w:r>
      <w:r w:rsidR="003D3AF4" w:rsidRPr="004A364D">
        <w:t>’</w:t>
      </w:r>
      <w:r w:rsidR="006615DC" w:rsidRPr="004A364D">
        <w:t>une</w:t>
      </w:r>
      <w:r w:rsidRPr="004A364D">
        <w:t xml:space="preserve"> fourchette basse, moyenne et haute de demandes PCT attendues.</w:t>
      </w:r>
      <w:r w:rsidR="00D53E8E" w:rsidRPr="004A364D">
        <w:t xml:space="preserve">  </w:t>
      </w:r>
      <w:r w:rsidRPr="004A364D">
        <w:t>Le Département des finances et de la planification des programmes, en collaboration avec le Secteur des brevets et de la technologie, détermine quelle fourchette utiliser pour les estimations budgétaires sur la base des informations disponibles au moment de la préparation du budget.</w:t>
      </w:r>
      <w:r w:rsidR="00D53E8E" w:rsidRPr="004A364D">
        <w:t xml:space="preserve">  </w:t>
      </w:r>
      <w:r w:rsidRPr="004A364D">
        <w:t>Les estimations utilisées sont généralement prudentes, de sorte que les recettes effectives dépassent normalement les prévisions.</w:t>
      </w:r>
    </w:p>
    <w:p w:rsidR="006F64E2" w:rsidRPr="004A364D" w:rsidRDefault="00E2236A" w:rsidP="00E566A8">
      <w:pPr>
        <w:pStyle w:val="ONUMFS"/>
        <w:rPr>
          <w:szCs w:val="22"/>
        </w:rPr>
      </w:pPr>
      <w:r w:rsidRPr="004A364D">
        <w:rPr>
          <w:szCs w:val="22"/>
        </w:rPr>
        <w:t xml:space="preserve">Une fois la stratégie de couverture des risques de change en place, les mêmes estimations seraient utilisées pour estimer les recettes attendues pour la période de </w:t>
      </w:r>
      <w:r w:rsidR="007C38A4" w:rsidRPr="004A364D">
        <w:rPr>
          <w:szCs w:val="22"/>
        </w:rPr>
        <w:t>12 </w:t>
      </w:r>
      <w:r w:rsidRPr="004A364D">
        <w:rPr>
          <w:szCs w:val="22"/>
        </w:rPr>
        <w:t>mois couverte.</w:t>
      </w:r>
      <w:r w:rsidR="00D53E8E" w:rsidRPr="004A364D">
        <w:rPr>
          <w:szCs w:val="22"/>
        </w:rPr>
        <w:t xml:space="preserve">  </w:t>
      </w:r>
      <w:r w:rsidRPr="004A364D">
        <w:rPr>
          <w:szCs w:val="22"/>
        </w:rPr>
        <w:t>Si les prévisions retenues sont trop hautes et que les recettes sont moins élevées que prévues dans l</w:t>
      </w:r>
      <w:r w:rsidR="003D3AF4" w:rsidRPr="004A364D">
        <w:rPr>
          <w:szCs w:val="22"/>
        </w:rPr>
        <w:t>’</w:t>
      </w:r>
      <w:r w:rsidRPr="004A364D">
        <w:rPr>
          <w:szCs w:val="22"/>
        </w:rPr>
        <w:t>une des trois</w:t>
      </w:r>
      <w:r w:rsidR="007C38A4" w:rsidRPr="004A364D">
        <w:rPr>
          <w:szCs w:val="22"/>
        </w:rPr>
        <w:t> </w:t>
      </w:r>
      <w:r w:rsidRPr="004A364D">
        <w:rPr>
          <w:szCs w:val="22"/>
        </w:rPr>
        <w:t>monnaies, l</w:t>
      </w:r>
      <w:r w:rsidR="003D3AF4" w:rsidRPr="004A364D">
        <w:rPr>
          <w:szCs w:val="22"/>
        </w:rPr>
        <w:t>’</w:t>
      </w:r>
      <w:r w:rsidRPr="004A364D">
        <w:rPr>
          <w:szCs w:val="22"/>
        </w:rPr>
        <w:t>Organisation pourrait se retrouver avec un montant insuffisant de dollars, de yen ou d</w:t>
      </w:r>
      <w:r w:rsidR="003D3AF4" w:rsidRPr="004A364D">
        <w:rPr>
          <w:szCs w:val="22"/>
        </w:rPr>
        <w:t>’</w:t>
      </w:r>
      <w:r w:rsidRPr="004A364D">
        <w:rPr>
          <w:szCs w:val="22"/>
        </w:rPr>
        <w:t>euros pour honorer le paiement mensuel du contrat à terme dans cette monnaie.</w:t>
      </w:r>
      <w:r w:rsidR="00D53E8E" w:rsidRPr="004A364D">
        <w:rPr>
          <w:szCs w:val="22"/>
        </w:rPr>
        <w:t xml:space="preserve">  </w:t>
      </w:r>
      <w:r w:rsidRPr="004A364D">
        <w:rPr>
          <w:szCs w:val="22"/>
        </w:rPr>
        <w:t>Dans ce cas, l</w:t>
      </w:r>
      <w:r w:rsidR="003D3AF4" w:rsidRPr="004A364D">
        <w:rPr>
          <w:szCs w:val="22"/>
        </w:rPr>
        <w:t>’</w:t>
      </w:r>
      <w:r w:rsidRPr="004A364D">
        <w:rPr>
          <w:szCs w:val="22"/>
        </w:rPr>
        <w:t>OMPI serait contrainte de vendre des francs suisses pour racheter une quantité suffisante de la devise concernée auprès de la banque.</w:t>
      </w:r>
      <w:r w:rsidR="00D53E8E" w:rsidRPr="004A364D">
        <w:rPr>
          <w:szCs w:val="22"/>
        </w:rPr>
        <w:t xml:space="preserve">  </w:t>
      </w:r>
      <w:r w:rsidRPr="004A364D">
        <w:rPr>
          <w:szCs w:val="22"/>
        </w:rPr>
        <w:t>Cela pourrait se traduire par une perte non négligeable si la valeur de cette monnaie avait reculé par rapport au franc suisse.</w:t>
      </w:r>
    </w:p>
    <w:p w:rsidR="006F64E2" w:rsidRPr="004A364D" w:rsidRDefault="003A5486" w:rsidP="00E566A8">
      <w:pPr>
        <w:pStyle w:val="ONUMFS"/>
        <w:rPr>
          <w:szCs w:val="22"/>
        </w:rPr>
      </w:pPr>
      <w:r w:rsidRPr="004A364D">
        <w:rPr>
          <w:szCs w:val="22"/>
        </w:rPr>
        <w:t>Si les prévisions sont trop basses dans une monnaie donnée, les taxes payées en sus ne seraient pas couvertes et, si la monnaie perdait de la valeur par rapport au franc suisse, il en résulterait un manque à gagner par rapport aux recettes supplémentaires potentielles.</w:t>
      </w:r>
      <w:r w:rsidR="00D53E8E" w:rsidRPr="004A364D">
        <w:rPr>
          <w:szCs w:val="22"/>
        </w:rPr>
        <w:t xml:space="preserve">  </w:t>
      </w:r>
      <w:r w:rsidRPr="004A364D">
        <w:rPr>
          <w:szCs w:val="22"/>
        </w:rPr>
        <w:t>Toutefois, il convient de noter que ce manque à gagner n</w:t>
      </w:r>
      <w:r w:rsidR="003D3AF4" w:rsidRPr="004A364D">
        <w:rPr>
          <w:szCs w:val="22"/>
        </w:rPr>
        <w:t>’</w:t>
      </w:r>
      <w:r w:rsidRPr="004A364D">
        <w:rPr>
          <w:szCs w:val="22"/>
        </w:rPr>
        <w:t>influerait pas sur les recettes prévues de l</w:t>
      </w:r>
      <w:r w:rsidR="003D3AF4" w:rsidRPr="004A364D">
        <w:rPr>
          <w:szCs w:val="22"/>
        </w:rPr>
        <w:t>’</w:t>
      </w:r>
      <w:r w:rsidRPr="004A364D">
        <w:rPr>
          <w:szCs w:val="22"/>
        </w:rPr>
        <w:t>Organisation.</w:t>
      </w:r>
    </w:p>
    <w:p w:rsidR="006F64E2" w:rsidRPr="004A364D" w:rsidRDefault="00870C78" w:rsidP="00E566A8">
      <w:pPr>
        <w:pStyle w:val="ONUMFS"/>
        <w:rPr>
          <w:szCs w:val="22"/>
        </w:rPr>
      </w:pPr>
      <w:r w:rsidRPr="004A364D">
        <w:rPr>
          <w:szCs w:val="22"/>
        </w:rPr>
        <w:t>Des discussions auront lieu entre la Division de l</w:t>
      </w:r>
      <w:r w:rsidR="003D3AF4" w:rsidRPr="004A364D">
        <w:rPr>
          <w:szCs w:val="22"/>
        </w:rPr>
        <w:t>’</w:t>
      </w:r>
      <w:r w:rsidRPr="004A364D">
        <w:rPr>
          <w:szCs w:val="22"/>
        </w:rPr>
        <w:t>économie et des statistiques, le Secteur des brevets et de la technologie (qui administre</w:t>
      </w:r>
      <w:r w:rsidR="003D3AF4" w:rsidRPr="004A364D">
        <w:rPr>
          <w:szCs w:val="22"/>
        </w:rPr>
        <w:t xml:space="preserve"> le PCT</w:t>
      </w:r>
      <w:r w:rsidRPr="004A364D">
        <w:rPr>
          <w:szCs w:val="22"/>
        </w:rPr>
        <w:t xml:space="preserve">) et le Département des finances et de la planification des programmes pour veiller à ce que les prévisions utilisées pour les contrats à terme à négocier </w:t>
      </w:r>
      <w:r w:rsidR="00575E58" w:rsidRPr="004A364D">
        <w:rPr>
          <w:szCs w:val="22"/>
        </w:rPr>
        <w:t>soient</w:t>
      </w:r>
      <w:r w:rsidRPr="004A364D">
        <w:rPr>
          <w:szCs w:val="22"/>
        </w:rPr>
        <w:t xml:space="preserve"> aussi précises que possible et recèlent toutes les informations requises pour </w:t>
      </w:r>
      <w:r w:rsidR="00526920" w:rsidRPr="004A364D">
        <w:rPr>
          <w:szCs w:val="22"/>
        </w:rPr>
        <w:t xml:space="preserve">contrôler </w:t>
      </w:r>
      <w:r w:rsidRPr="004A364D">
        <w:rPr>
          <w:szCs w:val="22"/>
        </w:rPr>
        <w:t>l</w:t>
      </w:r>
      <w:r w:rsidR="003D3AF4" w:rsidRPr="004A364D">
        <w:rPr>
          <w:szCs w:val="22"/>
        </w:rPr>
        <w:t>’</w:t>
      </w:r>
      <w:r w:rsidRPr="004A364D">
        <w:rPr>
          <w:szCs w:val="22"/>
        </w:rPr>
        <w:t>efficacité de la stratégie de couverture des risques de change.</w:t>
      </w:r>
      <w:r w:rsidR="00D53E8E" w:rsidRPr="004A364D">
        <w:rPr>
          <w:szCs w:val="22"/>
        </w:rPr>
        <w:t xml:space="preserve">  </w:t>
      </w:r>
      <w:r w:rsidRPr="004A364D">
        <w:rPr>
          <w:szCs w:val="22"/>
        </w:rPr>
        <w:t>En outre, les prévisions sont actuellement établies par trimestre calendaire et par pays</w:t>
      </w:r>
      <w:r w:rsidR="00526920" w:rsidRPr="004A364D">
        <w:rPr>
          <w:szCs w:val="22"/>
        </w:rPr>
        <w:t>,</w:t>
      </w:r>
      <w:r w:rsidRPr="004A364D">
        <w:rPr>
          <w:szCs w:val="22"/>
        </w:rPr>
        <w:t xml:space="preserve"> et il faudra déterminer si la pratique actuelle permettra d</w:t>
      </w:r>
      <w:r w:rsidR="003D3AF4" w:rsidRPr="004A364D">
        <w:rPr>
          <w:szCs w:val="22"/>
        </w:rPr>
        <w:t>’</w:t>
      </w:r>
      <w:r w:rsidRPr="004A364D">
        <w:rPr>
          <w:szCs w:val="22"/>
        </w:rPr>
        <w:t>obtenir toutes les informations nécessaires pour établir le niveau de couverture approprié et contrôler l</w:t>
      </w:r>
      <w:r w:rsidR="003D3AF4" w:rsidRPr="004A364D">
        <w:rPr>
          <w:szCs w:val="22"/>
        </w:rPr>
        <w:t>’</w:t>
      </w:r>
      <w:r w:rsidRPr="004A364D">
        <w:rPr>
          <w:szCs w:val="22"/>
        </w:rPr>
        <w:t>efficacité des différents contrats à terme mensuels.</w:t>
      </w:r>
    </w:p>
    <w:p w:rsidR="006F64E2" w:rsidRPr="004A364D" w:rsidRDefault="00315025" w:rsidP="00E566A8">
      <w:pPr>
        <w:pStyle w:val="Heading2"/>
      </w:pPr>
      <w:r w:rsidRPr="004A364D">
        <w:lastRenderedPageBreak/>
        <w:t>Couvrir uniquement le montant net de trésorerie disponible par monnaie</w:t>
      </w:r>
    </w:p>
    <w:p w:rsidR="00E566A8" w:rsidRPr="004A364D" w:rsidRDefault="00E566A8" w:rsidP="00E566A8"/>
    <w:p w:rsidR="003D3AF4" w:rsidRPr="004A364D" w:rsidRDefault="00315025" w:rsidP="00E566A8">
      <w:pPr>
        <w:pStyle w:val="ONUMFS"/>
      </w:pPr>
      <w:r w:rsidRPr="004A364D">
        <w:t>L</w:t>
      </w:r>
      <w:r w:rsidR="003D3AF4" w:rsidRPr="004A364D">
        <w:t>’</w:t>
      </w:r>
      <w:r w:rsidRPr="004A364D">
        <w:t>OMPI ne peut conclure des contrats d</w:t>
      </w:r>
      <w:r w:rsidR="003D3AF4" w:rsidRPr="004A364D">
        <w:t>’</w:t>
      </w:r>
      <w:r w:rsidRPr="004A364D">
        <w:t xml:space="preserve">achat à terme que pour le montant net disponible par monnaie au cours de chaque période de couverture de </w:t>
      </w:r>
      <w:r w:rsidR="007C38A4" w:rsidRPr="004A364D">
        <w:t>12 </w:t>
      </w:r>
      <w:r w:rsidRPr="004A364D">
        <w:t>mois.</w:t>
      </w:r>
      <w:r w:rsidR="00D53E8E" w:rsidRPr="004A364D">
        <w:t xml:space="preserve">  </w:t>
      </w:r>
      <w:r w:rsidR="009F13DC" w:rsidRPr="004A364D">
        <w:t>Si les décaissements de l</w:t>
      </w:r>
      <w:r w:rsidR="003D3AF4" w:rsidRPr="004A364D">
        <w:t>’</w:t>
      </w:r>
      <w:r w:rsidR="009F13DC" w:rsidRPr="004A364D">
        <w:t>OMPI effectués en yen japonais sont minimes, ses dépenses en dollars</w:t>
      </w:r>
      <w:r w:rsidR="007C38A4" w:rsidRPr="004A364D">
        <w:t> </w:t>
      </w:r>
      <w:r w:rsidR="009F13DC" w:rsidRPr="004A364D">
        <w:t>É.</w:t>
      </w:r>
      <w:r w:rsidR="00AC665F" w:rsidRPr="004A364D">
        <w:noBreakHyphen/>
      </w:r>
      <w:r w:rsidR="009F13DC" w:rsidRPr="004A364D">
        <w:t>U. s</w:t>
      </w:r>
      <w:r w:rsidR="003D3AF4" w:rsidRPr="004A364D">
        <w:t>’</w:t>
      </w:r>
      <w:r w:rsidR="009F13DC" w:rsidRPr="004A364D">
        <w:t>élèvent en moyenne à 6,0</w:t>
      </w:r>
      <w:r w:rsidR="007C38A4" w:rsidRPr="004A364D">
        <w:t> </w:t>
      </w:r>
      <w:r w:rsidR="009F13DC" w:rsidRPr="004A364D">
        <w:t xml:space="preserve">millions par mois, soit 45% du total des recettes annuelles perçues dans cette monnaie.  Ces décaissements correspondent aux cotisations à la Caisse commune des pensions du personnel des </w:t>
      </w:r>
      <w:r w:rsidR="003D3AF4" w:rsidRPr="004A364D">
        <w:t>Nations Unies</w:t>
      </w:r>
      <w:r w:rsidR="009F13DC" w:rsidRPr="004A364D">
        <w:t>, au paiement des frais facturés par le Centre international de calcul, au remboursement des impôts payés par les fonctionnaires des États</w:t>
      </w:r>
      <w:r w:rsidR="00AC665F" w:rsidRPr="004A364D">
        <w:noBreakHyphen/>
      </w:r>
      <w:r w:rsidR="009F13DC" w:rsidRPr="004A364D">
        <w:t>Unis d</w:t>
      </w:r>
      <w:r w:rsidR="003D3AF4" w:rsidRPr="004A364D">
        <w:t>’</w:t>
      </w:r>
      <w:r w:rsidR="009F13DC" w:rsidRPr="004A364D">
        <w:t>Amérique et aux frais de voyage, dont le règlement se fait obligatoirement en dollars.  Les décaissements en euros s</w:t>
      </w:r>
      <w:r w:rsidR="003D3AF4" w:rsidRPr="004A364D">
        <w:t>’</w:t>
      </w:r>
      <w:r w:rsidR="009F13DC" w:rsidRPr="004A364D">
        <w:t>élèvent en moyenne à 20,0</w:t>
      </w:r>
      <w:r w:rsidR="007C38A4" w:rsidRPr="004A364D">
        <w:t> </w:t>
      </w:r>
      <w:r w:rsidR="009F13DC" w:rsidRPr="004A364D">
        <w:t>millions par an, soit 40% des recettes totales perçues dans cette monnaie, qui concernent essentiellement les taxes de recherche perçues par le Bureau international agissant en tant qu</w:t>
      </w:r>
      <w:r w:rsidR="003D3AF4" w:rsidRPr="004A364D">
        <w:t>’</w:t>
      </w:r>
      <w:r w:rsidR="009F13DC" w:rsidRPr="004A364D">
        <w:t>office récepteur</w:t>
      </w:r>
      <w:r w:rsidR="003D3AF4" w:rsidRPr="004A364D">
        <w:t xml:space="preserve"> du PCT</w:t>
      </w:r>
      <w:r w:rsidR="009F13DC" w:rsidRPr="004A364D">
        <w:t xml:space="preserve"> (principalement en francs suisses, mais avec une partie en dollars et une partie en euros) à reverser à l</w:t>
      </w:r>
      <w:r w:rsidR="003D3AF4" w:rsidRPr="004A364D">
        <w:t>’</w:t>
      </w:r>
      <w:r w:rsidR="009F13DC" w:rsidRPr="004A364D">
        <w:t>Office européen des brevets (OEB) en sa qualité d</w:t>
      </w:r>
      <w:r w:rsidR="003D3AF4" w:rsidRPr="004A364D">
        <w:t>’</w:t>
      </w:r>
      <w:r w:rsidR="009F13DC" w:rsidRPr="004A364D">
        <w:t>administration chargée de la recherche internationale selon</w:t>
      </w:r>
      <w:r w:rsidR="003D3AF4" w:rsidRPr="004A364D">
        <w:t xml:space="preserve"> le PCT</w:t>
      </w:r>
      <w:r w:rsidR="009F13DC" w:rsidRPr="004A364D">
        <w:t>.</w:t>
      </w:r>
    </w:p>
    <w:p w:rsidR="003D3AF4" w:rsidRPr="004A364D" w:rsidRDefault="007D344B" w:rsidP="00E566A8">
      <w:pPr>
        <w:pStyle w:val="ONUMFS"/>
      </w:pPr>
      <w:r w:rsidRPr="004A364D">
        <w:t>L</w:t>
      </w:r>
      <w:r w:rsidR="003D3AF4" w:rsidRPr="004A364D">
        <w:t>’</w:t>
      </w:r>
      <w:r w:rsidRPr="004A364D">
        <w:t>étude sur la gestion de la trésorerie de l</w:t>
      </w:r>
      <w:r w:rsidR="003D3AF4" w:rsidRPr="004A364D">
        <w:t>’</w:t>
      </w:r>
      <w:r w:rsidRPr="004A364D">
        <w:t xml:space="preserve">OMPI établie en </w:t>
      </w:r>
      <w:r w:rsidR="003D3AF4" w:rsidRPr="004A364D">
        <w:t>mars 20</w:t>
      </w:r>
      <w:r w:rsidRPr="004A364D">
        <w:t>14 a mis en évidence cette question et souligné le problème potentiel causé par le fait que, pour le dollar comme pour l</w:t>
      </w:r>
      <w:r w:rsidR="003D3AF4" w:rsidRPr="004A364D">
        <w:t>’</w:t>
      </w:r>
      <w:r w:rsidRPr="004A364D">
        <w:t>euro, une partie seulement des recettes provenant des taxes</w:t>
      </w:r>
      <w:r w:rsidR="003D3AF4" w:rsidRPr="004A364D">
        <w:t xml:space="preserve"> du PCT</w:t>
      </w:r>
      <w:r w:rsidRPr="004A364D">
        <w:t xml:space="preserve"> serait couverte contre le risque de change.</w:t>
      </w:r>
      <w:r w:rsidR="00D53E8E" w:rsidRPr="004A364D">
        <w:t xml:space="preserve">  </w:t>
      </w:r>
      <w:r w:rsidRPr="004A364D">
        <w:t>Étant donné que les taxes payables dans les trois</w:t>
      </w:r>
      <w:r w:rsidR="007C38A4" w:rsidRPr="004A364D">
        <w:t> </w:t>
      </w:r>
      <w:r w:rsidRPr="004A364D">
        <w:t xml:space="preserve">monnaies seront fixées au taux de couverture pondéré, quelque 55% des taxes en dollars et 40% des taxes en euros seront payées par les déposants au </w:t>
      </w:r>
      <w:r w:rsidR="00526920" w:rsidRPr="004A364D">
        <w:t>montant fondé sur le taux de couverture pondéré</w:t>
      </w:r>
      <w:r w:rsidRPr="004A364D">
        <w:t xml:space="preserve">, nonobstant le fait que tout ajustement de change ne sera pas compensé par le changement de valeur </w:t>
      </w:r>
      <w:r w:rsidR="00526920" w:rsidRPr="004A364D">
        <w:t>d</w:t>
      </w:r>
      <w:r w:rsidRPr="004A364D">
        <w:t>es contrats d</w:t>
      </w:r>
      <w:r w:rsidR="003D3AF4" w:rsidRPr="004A364D">
        <w:t>’</w:t>
      </w:r>
      <w:r w:rsidRPr="004A364D">
        <w:t>achat à terme.</w:t>
      </w:r>
    </w:p>
    <w:p w:rsidR="006F64E2" w:rsidRPr="004A364D" w:rsidRDefault="004256C2" w:rsidP="00E566A8">
      <w:pPr>
        <w:pStyle w:val="ONUMFS"/>
      </w:pPr>
      <w:r w:rsidRPr="004A364D">
        <w:t>À l</w:t>
      </w:r>
      <w:r w:rsidR="003D3AF4" w:rsidRPr="004A364D">
        <w:t>’</w:t>
      </w:r>
      <w:r w:rsidRPr="004A364D">
        <w:t xml:space="preserve">heure actuelle, si la fluctuation des recettes engendrée par une baisse du taux de change du franc suisse </w:t>
      </w:r>
      <w:r w:rsidR="00526920" w:rsidRPr="004A364D">
        <w:t>excède</w:t>
      </w:r>
      <w:r w:rsidRPr="004A364D">
        <w:t xml:space="preserve"> 5% pendant quatre</w:t>
      </w:r>
      <w:r w:rsidR="007C38A4" w:rsidRPr="004A364D">
        <w:t> </w:t>
      </w:r>
      <w:r w:rsidRPr="004A364D">
        <w:t>vendredis consécutifs, les directives de l</w:t>
      </w:r>
      <w:r w:rsidR="003D3AF4" w:rsidRPr="004A364D">
        <w:t>’</w:t>
      </w:r>
      <w:r w:rsidRPr="004A364D">
        <w:t>Assemblée de l</w:t>
      </w:r>
      <w:r w:rsidR="003D3AF4" w:rsidRPr="004A364D">
        <w:t>’</w:t>
      </w:r>
      <w:r w:rsidRPr="004A364D">
        <w:t>Union</w:t>
      </w:r>
      <w:r w:rsidR="003D3AF4" w:rsidRPr="004A364D">
        <w:t xml:space="preserve"> du PCT</w:t>
      </w:r>
      <w:r w:rsidRPr="004A364D">
        <w:t xml:space="preserve"> prévoient que le Directeur général peut fixer un taux révisé après consultations.</w:t>
      </w:r>
      <w:r w:rsidR="00D53E8E" w:rsidRPr="004A364D">
        <w:t xml:space="preserve">  </w:t>
      </w:r>
      <w:r w:rsidRPr="004A364D">
        <w:t>Or, une fois la stratégie de couverture en place, le taux appliqué serait le taux pondéré pendant 12 mois sans possibilité de changement, nonobstant le fait qu</w:t>
      </w:r>
      <w:r w:rsidR="003D3AF4" w:rsidRPr="004A364D">
        <w:t>’</w:t>
      </w:r>
      <w:r w:rsidRPr="004A364D">
        <w:t>une partie seulement des recettes</w:t>
      </w:r>
      <w:r w:rsidR="003D3AF4" w:rsidRPr="004A364D">
        <w:t xml:space="preserve"> du PCT</w:t>
      </w:r>
      <w:r w:rsidRPr="004A364D">
        <w:t xml:space="preserve"> serait protégée par les contrats à terme.</w:t>
      </w:r>
      <w:r w:rsidR="00D53E8E" w:rsidRPr="004A364D">
        <w:t xml:space="preserve">  </w:t>
      </w:r>
      <w:r w:rsidRPr="004A364D">
        <w:t>Ayant éliminé la procédure actuelle de nouveau montant équivalent et établi toutes les taxes payables dans chacune des monnaies au taux de couverture pondéré, l</w:t>
      </w:r>
      <w:r w:rsidR="003D3AF4" w:rsidRPr="004A364D">
        <w:t>’</w:t>
      </w:r>
      <w:r w:rsidRPr="004A364D">
        <w:t>OMPI serait dans l</w:t>
      </w:r>
      <w:r w:rsidR="003D3AF4" w:rsidRPr="004A364D">
        <w:t>’</w:t>
      </w:r>
      <w:r w:rsidRPr="004A364D">
        <w:t>incapacité de compenser l</w:t>
      </w:r>
      <w:r w:rsidR="003D3AF4" w:rsidRPr="004A364D">
        <w:t>’</w:t>
      </w:r>
      <w:r w:rsidRPr="004A364D">
        <w:t>exposition créée par les gains ou pertes de change sur la partie non couverte des recettes provenant des taxes</w:t>
      </w:r>
      <w:r w:rsidR="003D3AF4" w:rsidRPr="004A364D">
        <w:t xml:space="preserve"> du PCT</w:t>
      </w:r>
      <w:r w:rsidRPr="004A364D">
        <w:t>.</w:t>
      </w:r>
    </w:p>
    <w:p w:rsidR="006F64E2" w:rsidRPr="004A364D" w:rsidRDefault="004256C2" w:rsidP="00E566A8">
      <w:pPr>
        <w:pStyle w:val="ONUMFS"/>
      </w:pPr>
      <w:r w:rsidRPr="004A364D">
        <w:t>Dans une certaine mesure, les recettes en euros et en dollars non couvertes provenant des taxes</w:t>
      </w:r>
      <w:r w:rsidR="003D3AF4" w:rsidRPr="004A364D">
        <w:t xml:space="preserve"> du PCT</w:t>
      </w:r>
      <w:r w:rsidRPr="004A364D">
        <w:t xml:space="preserve"> seraient compensées par le fait que, si le taux de change devait réduire la valeur en francs suisses des recettes</w:t>
      </w:r>
      <w:r w:rsidR="003D3AF4" w:rsidRPr="004A364D">
        <w:t xml:space="preserve"> du PCT</w:t>
      </w:r>
      <w:r w:rsidRPr="004A364D">
        <w:t xml:space="preserve"> libellées dans ces monnaies, la valeur en francs suisses des décaissements dans ces monnaies serait elle aussi réduite.</w:t>
      </w:r>
      <w:r w:rsidR="00D53E8E" w:rsidRPr="004A364D">
        <w:t xml:space="preserve">  </w:t>
      </w:r>
      <w:r w:rsidR="00BF1AB7" w:rsidRPr="004A364D">
        <w:t xml:space="preserve">Toutefois, cette </w:t>
      </w:r>
      <w:r w:rsidR="00575E58" w:rsidRPr="004A364D">
        <w:t>“</w:t>
      </w:r>
      <w:r w:rsidR="00BF1AB7" w:rsidRPr="004A364D">
        <w:t>compensation</w:t>
      </w:r>
      <w:r w:rsidR="00575E58" w:rsidRPr="004A364D">
        <w:t>”</w:t>
      </w:r>
      <w:r w:rsidR="00BF1AB7" w:rsidRPr="004A364D">
        <w:t xml:space="preserve"> au titre des décaissements existe déjà dans le cadre de la procédure des nouveaux montants équivalents et l</w:t>
      </w:r>
      <w:r w:rsidR="003D3AF4" w:rsidRPr="004A364D">
        <w:t>’</w:t>
      </w:r>
      <w:r w:rsidR="00BF1AB7" w:rsidRPr="004A364D">
        <w:t>OMPI réalise des gains ou des pertes selon l</w:t>
      </w:r>
      <w:r w:rsidR="003D3AF4" w:rsidRPr="004A364D">
        <w:t>’</w:t>
      </w:r>
      <w:r w:rsidR="00BF1AB7" w:rsidRPr="004A364D">
        <w:t>évolution de la valeur en francs suisses de ses décaissements</w:t>
      </w:r>
      <w:r w:rsidR="00526920" w:rsidRPr="004A364D">
        <w:t>,</w:t>
      </w:r>
      <w:r w:rsidR="00BF1AB7" w:rsidRPr="004A364D">
        <w:t xml:space="preserve"> que la stratégie de couverture soit mise en </w:t>
      </w:r>
      <w:r w:rsidR="007230F0" w:rsidRPr="004A364D">
        <w:t>œuvre</w:t>
      </w:r>
      <w:r w:rsidR="00BF1AB7" w:rsidRPr="004A364D">
        <w:t xml:space="preserve"> ou non.</w:t>
      </w:r>
    </w:p>
    <w:p w:rsidR="006F64E2" w:rsidRPr="004A364D" w:rsidRDefault="00BF1AB7" w:rsidP="00E566A8">
      <w:pPr>
        <w:pStyle w:val="Heading2"/>
      </w:pPr>
      <w:r w:rsidRPr="004A364D">
        <w:t>Qualité et accessibilité des données</w:t>
      </w:r>
    </w:p>
    <w:p w:rsidR="00E566A8" w:rsidRPr="004A364D" w:rsidRDefault="00E566A8" w:rsidP="00E566A8"/>
    <w:p w:rsidR="006F64E2" w:rsidRPr="004A364D" w:rsidRDefault="00BF1AB7" w:rsidP="00E566A8">
      <w:pPr>
        <w:pStyle w:val="ONUMFS"/>
      </w:pPr>
      <w:r w:rsidRPr="004A364D">
        <w:t>Si l</w:t>
      </w:r>
      <w:r w:rsidR="003D3AF4" w:rsidRPr="004A364D">
        <w:t>’</w:t>
      </w:r>
      <w:r w:rsidRPr="004A364D">
        <w:t xml:space="preserve">OMPI met en </w:t>
      </w:r>
      <w:r w:rsidR="00575E58" w:rsidRPr="004A364D">
        <w:t>œuvre</w:t>
      </w:r>
      <w:r w:rsidRPr="004A364D">
        <w:t xml:space="preserve"> une stratégie de couverture, il sera essentiel que toutes les données utilisées pour prévoir les besoins et contrôler l</w:t>
      </w:r>
      <w:r w:rsidR="003D3AF4" w:rsidRPr="004A364D">
        <w:t>’</w:t>
      </w:r>
      <w:r w:rsidRPr="004A364D">
        <w:t>efficacité de la couverture soient aussi précises que possible.</w:t>
      </w:r>
      <w:r w:rsidR="00D53E8E" w:rsidRPr="004A364D">
        <w:t xml:space="preserve">  </w:t>
      </w:r>
      <w:r w:rsidRPr="004A364D">
        <w:t>À l</w:t>
      </w:r>
      <w:r w:rsidR="003D3AF4" w:rsidRPr="004A364D">
        <w:t>’</w:t>
      </w:r>
      <w:r w:rsidRPr="004A364D">
        <w:t>heure actuelle, il n</w:t>
      </w:r>
      <w:r w:rsidR="003D3AF4" w:rsidRPr="004A364D">
        <w:t>’</w:t>
      </w:r>
      <w:r w:rsidRPr="004A364D">
        <w:t>y a pas d</w:t>
      </w:r>
      <w:r w:rsidR="003D3AF4" w:rsidRPr="004A364D">
        <w:t>’</w:t>
      </w:r>
      <w:r w:rsidRPr="004A364D">
        <w:t>interface automatisée en</w:t>
      </w:r>
      <w:r w:rsidR="00526920" w:rsidRPr="004A364D">
        <w:t>tre</w:t>
      </w:r>
      <w:r w:rsidRPr="004A364D">
        <w:t xml:space="preserve"> le système informatique</w:t>
      </w:r>
      <w:r w:rsidR="003D3AF4" w:rsidRPr="004A364D">
        <w:t xml:space="preserve"> du PCT</w:t>
      </w:r>
      <w:r w:rsidRPr="004A364D">
        <w:t xml:space="preserve"> (</w:t>
      </w:r>
      <w:proofErr w:type="spellStart"/>
      <w:r w:rsidRPr="004A364D">
        <w:t>BibAdmin</w:t>
      </w:r>
      <w:proofErr w:type="spellEnd"/>
      <w:r w:rsidRPr="004A364D">
        <w:t>) et celui des finances (AIMS).</w:t>
      </w:r>
      <w:r w:rsidR="00D53E8E" w:rsidRPr="004A364D">
        <w:t xml:space="preserve">  </w:t>
      </w:r>
      <w:r w:rsidR="00C21362" w:rsidRPr="004A364D">
        <w:t>Cela tient principalement à des considérations de sécurité, afin de contrôler l</w:t>
      </w:r>
      <w:r w:rsidR="003D3AF4" w:rsidRPr="004A364D">
        <w:t>’</w:t>
      </w:r>
      <w:r w:rsidR="00C21362" w:rsidRPr="004A364D">
        <w:t>accès aux données relatives aux demandes internationales.</w:t>
      </w:r>
      <w:r w:rsidR="00D53E8E" w:rsidRPr="004A364D">
        <w:t xml:space="preserve">  </w:t>
      </w:r>
      <w:r w:rsidR="00B21CFF" w:rsidRPr="004A364D">
        <w:t xml:space="preserve">Toutefois, dès lors que la stratégie de couverture sera en place, il deviendra de </w:t>
      </w:r>
      <w:r w:rsidR="00B21CFF" w:rsidRPr="004A364D">
        <w:lastRenderedPageBreak/>
        <w:t>plus en plus important que l</w:t>
      </w:r>
      <w:r w:rsidR="003D3AF4" w:rsidRPr="004A364D">
        <w:t>’</w:t>
      </w:r>
      <w:r w:rsidR="00B21CFF" w:rsidRPr="004A364D">
        <w:t>information statistique sur les demandes PCT et l</w:t>
      </w:r>
      <w:r w:rsidR="003D3AF4" w:rsidRPr="004A364D">
        <w:t>’</w:t>
      </w:r>
      <w:r w:rsidR="00B21CFF" w:rsidRPr="004A364D">
        <w:t>information sur les recettes perçues soient liées aussi étroitement que possible et que les deux</w:t>
      </w:r>
      <w:r w:rsidR="007C38A4" w:rsidRPr="004A364D">
        <w:t> </w:t>
      </w:r>
      <w:r w:rsidR="00B21CFF" w:rsidRPr="004A364D">
        <w:t>séries de données soient aussi précises que possible, afin que les tendances relatives aux différences de change puissent être suivies et que les problèmes puissent être solutionnés rapidement.</w:t>
      </w:r>
      <w:r w:rsidR="00D53E8E" w:rsidRPr="004A364D">
        <w:t xml:space="preserve">  </w:t>
      </w:r>
      <w:r w:rsidR="00B21CFF" w:rsidRPr="004A364D">
        <w:t>Il reste à élaborer un plan pour garantir l</w:t>
      </w:r>
      <w:r w:rsidR="003D3AF4" w:rsidRPr="004A364D">
        <w:t>’</w:t>
      </w:r>
      <w:r w:rsidR="00B21CFF" w:rsidRPr="004A364D">
        <w:t>accessibilité et la qualité des données.</w:t>
      </w:r>
    </w:p>
    <w:p w:rsidR="006F64E2" w:rsidRPr="004A364D" w:rsidRDefault="00B21CFF" w:rsidP="00E566A8">
      <w:pPr>
        <w:pStyle w:val="ONUMFS"/>
      </w:pPr>
      <w:r w:rsidRPr="004A364D">
        <w:t>En outre, le système comptable de l</w:t>
      </w:r>
      <w:r w:rsidR="003D3AF4" w:rsidRPr="004A364D">
        <w:t>’</w:t>
      </w:r>
      <w:r w:rsidRPr="004A364D">
        <w:t xml:space="preserve">OMPI </w:t>
      </w:r>
      <w:r w:rsidR="00526920" w:rsidRPr="004A364D">
        <w:t>repose sur</w:t>
      </w:r>
      <w:r w:rsidRPr="004A364D">
        <w:t xml:space="preserve"> une comptabilité d</w:t>
      </w:r>
      <w:r w:rsidR="003D3AF4" w:rsidRPr="004A364D">
        <w:t>’</w:t>
      </w:r>
      <w:r w:rsidRPr="004A364D">
        <w:t>exercice conformément aux normes</w:t>
      </w:r>
      <w:r w:rsidR="007C38A4" w:rsidRPr="004A364D">
        <w:t> </w:t>
      </w:r>
      <w:r w:rsidRPr="004A364D">
        <w:t>IPSAS.</w:t>
      </w:r>
      <w:r w:rsidR="00D53E8E" w:rsidRPr="004A364D">
        <w:t xml:space="preserve"> </w:t>
      </w:r>
      <w:r w:rsidR="00526920" w:rsidRPr="004A364D">
        <w:t xml:space="preserve"> </w:t>
      </w:r>
      <w:r w:rsidR="00DC5015" w:rsidRPr="004A364D">
        <w:t>L</w:t>
      </w:r>
      <w:r w:rsidR="003D3AF4" w:rsidRPr="004A364D">
        <w:t>’</w:t>
      </w:r>
      <w:r w:rsidR="00DC5015" w:rsidRPr="004A364D">
        <w:t>information nécessaire pour assurer le suivi et l</w:t>
      </w:r>
      <w:r w:rsidR="003D3AF4" w:rsidRPr="004A364D">
        <w:t>’</w:t>
      </w:r>
      <w:r w:rsidR="00DC5015" w:rsidRPr="004A364D">
        <w:t>évaluation des flux de trésorerie doit être améliorée pour permettre l</w:t>
      </w:r>
      <w:r w:rsidR="003D3AF4" w:rsidRPr="004A364D">
        <w:t>’</w:t>
      </w:r>
      <w:r w:rsidR="00DC5015" w:rsidRPr="004A364D">
        <w:t>accès en temps réel.</w:t>
      </w:r>
      <w:r w:rsidR="00D53E8E" w:rsidRPr="004A364D">
        <w:t xml:space="preserve">  </w:t>
      </w:r>
      <w:r w:rsidR="00DC5015" w:rsidRPr="004A364D">
        <w:t>Les départements concernés devront se concerter pour définir les critères essentiels en matière de communication de l</w:t>
      </w:r>
      <w:r w:rsidR="003D3AF4" w:rsidRPr="004A364D">
        <w:t>’</w:t>
      </w:r>
      <w:r w:rsidR="00DC5015" w:rsidRPr="004A364D">
        <w:t>information.</w:t>
      </w:r>
    </w:p>
    <w:p w:rsidR="006F64E2" w:rsidRPr="004A364D" w:rsidRDefault="00DC5015" w:rsidP="00E566A8">
      <w:pPr>
        <w:pStyle w:val="Heading2"/>
      </w:pPr>
      <w:r w:rsidRPr="004A364D">
        <w:t>Incertitude quant aux flux de trésorerie</w:t>
      </w:r>
    </w:p>
    <w:p w:rsidR="00E566A8" w:rsidRPr="004A364D" w:rsidRDefault="00E566A8" w:rsidP="00E566A8"/>
    <w:p w:rsidR="003D3AF4" w:rsidRPr="004A364D" w:rsidRDefault="002D157F" w:rsidP="00E566A8">
      <w:pPr>
        <w:pStyle w:val="ONUMFS"/>
      </w:pPr>
      <w:r w:rsidRPr="004A364D">
        <w:t>L</w:t>
      </w:r>
      <w:r w:rsidR="003D3AF4" w:rsidRPr="004A364D">
        <w:t>’</w:t>
      </w:r>
      <w:r w:rsidRPr="004A364D">
        <w:t xml:space="preserve">analyse des données relatives aux </w:t>
      </w:r>
      <w:r w:rsidR="006615DC" w:rsidRPr="004A364D">
        <w:t>virements</w:t>
      </w:r>
      <w:r w:rsidRPr="004A364D">
        <w:t xml:space="preserve"> des offices récepteurs</w:t>
      </w:r>
      <w:r w:rsidR="003D3AF4" w:rsidRPr="004A364D">
        <w:t xml:space="preserve"> du PCT</w:t>
      </w:r>
      <w:r w:rsidRPr="004A364D">
        <w:t xml:space="preserve"> à l</w:t>
      </w:r>
      <w:r w:rsidR="003D3AF4" w:rsidRPr="004A364D">
        <w:t>’</w:t>
      </w:r>
      <w:r w:rsidRPr="004A364D">
        <w:t>intention du Bureau international opérés de</w:t>
      </w:r>
      <w:r w:rsidR="007C38A4" w:rsidRPr="004A364D">
        <w:t> </w:t>
      </w:r>
      <w:r w:rsidRPr="004A364D">
        <w:t>2012 à (août) 2015 a fait apparaître que, si les taxes</w:t>
      </w:r>
      <w:r w:rsidR="003D3AF4" w:rsidRPr="004A364D">
        <w:t xml:space="preserve"> du PCT</w:t>
      </w:r>
      <w:r w:rsidRPr="004A364D">
        <w:t xml:space="preserve"> payées à l</w:t>
      </w:r>
      <w:r w:rsidR="003D3AF4" w:rsidRPr="004A364D">
        <w:t>’</w:t>
      </w:r>
      <w:r w:rsidRPr="004A364D">
        <w:t>intention du Bureau international ont été transférées de manière relativement régulière au Bureau international par les offices récepteurs, pendant un ou plusieurs mois de chaque année ou presque, ces taxes n</w:t>
      </w:r>
      <w:r w:rsidR="003D3AF4" w:rsidRPr="004A364D">
        <w:t>’</w:t>
      </w:r>
      <w:r w:rsidRPr="004A364D">
        <w:t>ont pas été payées le mois suivant comme l</w:t>
      </w:r>
      <w:r w:rsidR="003D3AF4" w:rsidRPr="004A364D">
        <w:t>’</w:t>
      </w:r>
      <w:r w:rsidRPr="004A364D">
        <w:t>exigent les Directives à l</w:t>
      </w:r>
      <w:r w:rsidR="003D3AF4" w:rsidRPr="004A364D">
        <w:t>’</w:t>
      </w:r>
      <w:r w:rsidRPr="004A364D">
        <w:t>usage des offices récepteurs</w:t>
      </w:r>
      <w:r w:rsidR="003D3AF4" w:rsidRPr="004A364D">
        <w:t xml:space="preserve"> du PCT</w:t>
      </w:r>
      <w:r w:rsidRPr="004A364D">
        <w:t>.</w:t>
      </w:r>
      <w:r w:rsidR="00D53E8E" w:rsidRPr="004A364D">
        <w:t xml:space="preserve">  </w:t>
      </w:r>
      <w:r w:rsidRPr="004A364D">
        <w:t>Étant donné que les contrats d</w:t>
      </w:r>
      <w:r w:rsidR="003D3AF4" w:rsidRPr="004A364D">
        <w:t>’</w:t>
      </w:r>
      <w:r w:rsidRPr="004A364D">
        <w:t xml:space="preserve">achat à terme pour chaque monnaie seront réalisables </w:t>
      </w:r>
      <w:r w:rsidR="00526920" w:rsidRPr="004A364D">
        <w:t xml:space="preserve">chaque mois </w:t>
      </w:r>
      <w:r w:rsidRPr="004A364D">
        <w:t xml:space="preserve">auprès </w:t>
      </w:r>
      <w:r w:rsidR="00526920" w:rsidRPr="004A364D">
        <w:t xml:space="preserve">des établissements bancaires à </w:t>
      </w:r>
      <w:r w:rsidRPr="004A364D">
        <w:t xml:space="preserve">date </w:t>
      </w:r>
      <w:r w:rsidR="00526920" w:rsidRPr="004A364D">
        <w:t>fixe</w:t>
      </w:r>
      <w:r w:rsidRPr="004A364D">
        <w:t>, l</w:t>
      </w:r>
      <w:r w:rsidR="003D3AF4" w:rsidRPr="004A364D">
        <w:t>’</w:t>
      </w:r>
      <w:r w:rsidRPr="004A364D">
        <w:t>OMPI doit être certaine qu</w:t>
      </w:r>
      <w:r w:rsidR="003D3AF4" w:rsidRPr="004A364D">
        <w:t>’</w:t>
      </w:r>
      <w:r w:rsidRPr="004A364D">
        <w:t>elle dispose des fonds suffisants dans chacune des trois</w:t>
      </w:r>
      <w:r w:rsidR="007C38A4" w:rsidRPr="004A364D">
        <w:t> </w:t>
      </w:r>
      <w:r w:rsidRPr="004A364D">
        <w:t>monnaies à cette date.</w:t>
      </w:r>
    </w:p>
    <w:p w:rsidR="003D3AF4" w:rsidRPr="004A364D" w:rsidRDefault="002D157F" w:rsidP="00E566A8">
      <w:pPr>
        <w:pStyle w:val="ONUMFS"/>
      </w:pPr>
      <w:r w:rsidRPr="004A364D">
        <w:t>Comme indiqué au paragraphe</w:t>
      </w:r>
      <w:r w:rsidR="007C38A4" w:rsidRPr="004A364D">
        <w:t> </w:t>
      </w:r>
      <w:r w:rsidRPr="004A364D">
        <w:t>9, en cas de fonds insuffisant en yen, en dollars ou en euros à la date contractuelle, l</w:t>
      </w:r>
      <w:r w:rsidR="003D3AF4" w:rsidRPr="004A364D">
        <w:t>’</w:t>
      </w:r>
      <w:r w:rsidRPr="004A364D">
        <w:t xml:space="preserve">OMPI serait contrainte de vendre du franc suisse à perte pour honorer </w:t>
      </w:r>
      <w:r w:rsidR="00526920" w:rsidRPr="004A364D">
        <w:t>ses</w:t>
      </w:r>
      <w:r w:rsidRPr="004A364D">
        <w:t xml:space="preserve"> engag</w:t>
      </w:r>
      <w:r w:rsidR="00526920" w:rsidRPr="004A364D">
        <w:t>ements</w:t>
      </w:r>
      <w:r w:rsidRPr="004A364D">
        <w:t>.</w:t>
      </w:r>
      <w:r w:rsidR="00D53E8E" w:rsidRPr="004A364D">
        <w:t xml:space="preserve">  </w:t>
      </w:r>
      <w:r w:rsidRPr="004A364D">
        <w:t>Pour réduire ce risque, il faut que l</w:t>
      </w:r>
      <w:r w:rsidR="003D3AF4" w:rsidRPr="004A364D">
        <w:t>’</w:t>
      </w:r>
      <w:r w:rsidRPr="004A364D">
        <w:t xml:space="preserve">OMPI conserve des fonds équivalant au moins à un mois de </w:t>
      </w:r>
      <w:r w:rsidR="00575E58" w:rsidRPr="004A364D">
        <w:t>recettes</w:t>
      </w:r>
      <w:r w:rsidRPr="004A364D">
        <w:t xml:space="preserve"> prévues dans chaque monnaie.</w:t>
      </w:r>
      <w:r w:rsidR="00D53E8E" w:rsidRPr="004A364D">
        <w:t xml:space="preserve">  </w:t>
      </w:r>
      <w:r w:rsidRPr="004A364D">
        <w:t>Or la détention d</w:t>
      </w:r>
      <w:r w:rsidR="003D3AF4" w:rsidRPr="004A364D">
        <w:t>’</w:t>
      </w:r>
      <w:r w:rsidRPr="004A364D">
        <w:t>un montant aussi élevé dans ces monnaies crée un autre risque, étant donné que les fonds de dépôt seront réévalués en fin de mois pour tenir compte des différences de change par rapport au franc suisse.</w:t>
      </w:r>
      <w:r w:rsidR="00D53E8E" w:rsidRPr="004A364D">
        <w:t xml:space="preserve">  </w:t>
      </w:r>
      <w:r w:rsidR="00C80981" w:rsidRPr="004A364D">
        <w:t>Tout gain ou perte de change qui en découle sera comptabili</w:t>
      </w:r>
      <w:r w:rsidR="00526920" w:rsidRPr="004A364D">
        <w:t>s</w:t>
      </w:r>
      <w:r w:rsidR="00C80981" w:rsidRPr="004A364D">
        <w:t>é dans les états de performance financière de l</w:t>
      </w:r>
      <w:r w:rsidR="003D3AF4" w:rsidRPr="004A364D">
        <w:t>’</w:t>
      </w:r>
      <w:r w:rsidR="00C80981" w:rsidRPr="004A364D">
        <w:t>OMPI.</w:t>
      </w:r>
    </w:p>
    <w:p w:rsidR="006F64E2" w:rsidRPr="004A364D" w:rsidRDefault="00136D7E" w:rsidP="00E566A8">
      <w:pPr>
        <w:pStyle w:val="ONUMFS"/>
      </w:pPr>
      <w:r w:rsidRPr="004A364D">
        <w:t xml:space="preserve">Par ailleurs, le jour où les fonds sont reçus par le Bureau international </w:t>
      </w:r>
      <w:r w:rsidR="00526920" w:rsidRPr="004A364D">
        <w:t xml:space="preserve">dans </w:t>
      </w:r>
      <w:r w:rsidRPr="004A364D">
        <w:t xml:space="preserve">le mois suivant leur </w:t>
      </w:r>
      <w:r w:rsidR="00575E58" w:rsidRPr="004A364D">
        <w:t>réception</w:t>
      </w:r>
      <w:r w:rsidRPr="004A364D">
        <w:t xml:space="preserve"> par l</w:t>
      </w:r>
      <w:r w:rsidR="003D3AF4" w:rsidRPr="004A364D">
        <w:t>’</w:t>
      </w:r>
      <w:r w:rsidRPr="004A364D">
        <w:t>office récepteur varie considérablement.</w:t>
      </w:r>
      <w:r w:rsidR="00D53E8E" w:rsidRPr="004A364D">
        <w:t xml:space="preserve">  </w:t>
      </w:r>
      <w:r w:rsidRPr="004A364D">
        <w:t>Sur la base de cette analyse, il est nécessaire de fixer les dates de réalisation des contrats à terme mensuels plus tard dans le mois que l</w:t>
      </w:r>
      <w:r w:rsidR="003D3AF4" w:rsidRPr="004A364D">
        <w:t>’</w:t>
      </w:r>
      <w:r w:rsidRPr="004A364D">
        <w:t>on ne pensait initialement, éventuellement le 25 du mois, voire ultérieurement.</w:t>
      </w:r>
      <w:r w:rsidR="00D53E8E" w:rsidRPr="004A364D">
        <w:t xml:space="preserve">  </w:t>
      </w:r>
      <w:r w:rsidRPr="004A364D">
        <w:t>Plus on repousse cette date vers la fin du mois, plus l</w:t>
      </w:r>
      <w:r w:rsidR="003D3AF4" w:rsidRPr="004A364D">
        <w:t>’</w:t>
      </w:r>
      <w:r w:rsidRPr="004A364D">
        <w:t xml:space="preserve">écart entre le taux </w:t>
      </w:r>
      <w:r w:rsidR="007230F0" w:rsidRPr="004A364D">
        <w:t>de</w:t>
      </w:r>
      <w:r w:rsidRPr="004A364D">
        <w:t xml:space="preserve"> change opérationnel de l</w:t>
      </w:r>
      <w:r w:rsidR="003D3AF4" w:rsidRPr="004A364D">
        <w:t>’</w:t>
      </w:r>
      <w:r w:rsidRPr="004A364D">
        <w:t xml:space="preserve">ONU (fixé le </w:t>
      </w:r>
      <w:r w:rsidR="003D3AF4" w:rsidRPr="004A364D">
        <w:t>1</w:t>
      </w:r>
      <w:r w:rsidR="003D3AF4" w:rsidRPr="004A364D">
        <w:rPr>
          <w:vertAlign w:val="superscript"/>
        </w:rPr>
        <w:t>er</w:t>
      </w:r>
      <w:r w:rsidR="003D3AF4" w:rsidRPr="004A364D">
        <w:t> </w:t>
      </w:r>
      <w:r w:rsidRPr="004A364D">
        <w:t>du mois et ajusté le 15 en cas de variation supérieure à 3%) et le taux convenu avec les établissements bancaires sera important.</w:t>
      </w:r>
      <w:r w:rsidR="00D53E8E" w:rsidRPr="004A364D">
        <w:t xml:space="preserve">  </w:t>
      </w:r>
      <w:r w:rsidR="00AE781B" w:rsidRPr="004A364D">
        <w:t>Étant donné que le taux ONU est utilisé dans les états financiers pour établir la valeur des contrats à terme lors de leur réalisation, plus ceux</w:t>
      </w:r>
      <w:r w:rsidR="00AC665F" w:rsidRPr="004A364D">
        <w:noBreakHyphen/>
      </w:r>
      <w:r w:rsidR="00AE781B" w:rsidRPr="004A364D">
        <w:t xml:space="preserve">ci </w:t>
      </w:r>
      <w:r w:rsidR="00526920" w:rsidRPr="004A364D">
        <w:t>sont exécutés tard dans le mois</w:t>
      </w:r>
      <w:r w:rsidR="00AE781B" w:rsidRPr="004A364D">
        <w:t xml:space="preserve"> plus la stratégie de couverture est soumise à une volatilité potentielle des changes.</w:t>
      </w:r>
    </w:p>
    <w:p w:rsidR="006F64E2" w:rsidRPr="004A364D" w:rsidRDefault="00AE781B" w:rsidP="00E566A8">
      <w:pPr>
        <w:pStyle w:val="ONUMFS"/>
      </w:pPr>
      <w:r w:rsidRPr="004A364D">
        <w:t>Une autre difficulté tient au fait que, dans la mesure où les prévisions de recettes sont prudentes, le montant des recettes mensuelles varie considérablement d</w:t>
      </w:r>
      <w:r w:rsidR="003D3AF4" w:rsidRPr="004A364D">
        <w:t>’</w:t>
      </w:r>
      <w:r w:rsidRPr="004A364D">
        <w:t>une année sur l</w:t>
      </w:r>
      <w:r w:rsidR="003D3AF4" w:rsidRPr="004A364D">
        <w:t>’</w:t>
      </w:r>
      <w:r w:rsidRPr="004A364D">
        <w:t>autre, ce qui complique la prévision des recette</w:t>
      </w:r>
      <w:r w:rsidR="00526920" w:rsidRPr="004A364D">
        <w:t>s</w:t>
      </w:r>
      <w:r w:rsidRPr="004A364D">
        <w:t xml:space="preserve"> mensuelles et, par voie de conséquence, l</w:t>
      </w:r>
      <w:r w:rsidR="003D3AF4" w:rsidRPr="004A364D">
        <w:t>’</w:t>
      </w:r>
      <w:r w:rsidRPr="004A364D">
        <w:t>établissement du montant approprié des contrats à terme.</w:t>
      </w:r>
      <w:r w:rsidR="00D53E8E" w:rsidRPr="004A364D">
        <w:t xml:space="preserve">  </w:t>
      </w:r>
      <w:r w:rsidRPr="004A364D">
        <w:t>L</w:t>
      </w:r>
      <w:r w:rsidR="003D3AF4" w:rsidRPr="004A364D">
        <w:t>’</w:t>
      </w:r>
      <w:r w:rsidRPr="004A364D">
        <w:t>analyse montre qu</w:t>
      </w:r>
      <w:r w:rsidR="003D3AF4" w:rsidRPr="004A364D">
        <w:t>’</w:t>
      </w:r>
      <w:r w:rsidRPr="004A364D">
        <w:t>il n</w:t>
      </w:r>
      <w:r w:rsidR="003D3AF4" w:rsidRPr="004A364D">
        <w:t>’</w:t>
      </w:r>
      <w:r w:rsidRPr="004A364D">
        <w:t xml:space="preserve">est pas possible de dégager une tendance en matière de </w:t>
      </w:r>
      <w:r w:rsidR="00526920" w:rsidRPr="004A364D">
        <w:t>paiements</w:t>
      </w:r>
      <w:r w:rsidRPr="004A364D">
        <w:t xml:space="preserve"> en espèces.</w:t>
      </w:r>
      <w:r w:rsidR="00D53E8E" w:rsidRPr="004A364D">
        <w:t xml:space="preserve">  </w:t>
      </w:r>
      <w:r w:rsidRPr="004A364D">
        <w:t>En raison de ce problème, les contrats à terme devront être établis en montant</w:t>
      </w:r>
      <w:r w:rsidR="006615DC" w:rsidRPr="004A364D">
        <w:t xml:space="preserve">s </w:t>
      </w:r>
      <w:r w:rsidRPr="004A364D">
        <w:t>mensuels fixes sans relation directe avec les flux de trésorerie.</w:t>
      </w:r>
      <w:r w:rsidR="00D53E8E" w:rsidRPr="004A364D">
        <w:t xml:space="preserve">  </w:t>
      </w:r>
      <w:r w:rsidRPr="004A364D">
        <w:t>Pour plus de sécurité, il faudra établir des contrats à terme moins importants au début de la période de couverture pour que l</w:t>
      </w:r>
      <w:r w:rsidR="003D3AF4" w:rsidRPr="004A364D">
        <w:t>’</w:t>
      </w:r>
      <w:r w:rsidRPr="004A364D">
        <w:t>Organisation puisse accumuler les fonds nécessaires dans les trois</w:t>
      </w:r>
      <w:r w:rsidR="007C38A4" w:rsidRPr="004A364D">
        <w:t> </w:t>
      </w:r>
      <w:r w:rsidRPr="004A364D">
        <w:t>monnaies concernées à chaque début d</w:t>
      </w:r>
      <w:r w:rsidR="003D3AF4" w:rsidRPr="004A364D">
        <w:t>’</w:t>
      </w:r>
      <w:r w:rsidRPr="004A364D">
        <w:t>année, outre la pr</w:t>
      </w:r>
      <w:r w:rsidR="00526920" w:rsidRPr="004A364D">
        <w:t>o</w:t>
      </w:r>
      <w:r w:rsidRPr="004A364D">
        <w:t>vision d</w:t>
      </w:r>
      <w:r w:rsidR="003D3AF4" w:rsidRPr="004A364D">
        <w:t>’</w:t>
      </w:r>
      <w:r w:rsidRPr="004A364D">
        <w:t>un mois mentionnée précédemment, pour se prémunir des retards mensuels dans la perception des fonds virés par les offices récepteurs.</w:t>
      </w:r>
    </w:p>
    <w:p w:rsidR="006F64E2" w:rsidRPr="004A364D" w:rsidRDefault="00AE781B" w:rsidP="00E566A8">
      <w:pPr>
        <w:pStyle w:val="Heading2"/>
      </w:pPr>
      <w:r w:rsidRPr="004A364D">
        <w:lastRenderedPageBreak/>
        <w:t>Période de couverture</w:t>
      </w:r>
    </w:p>
    <w:p w:rsidR="00E566A8" w:rsidRPr="004A364D" w:rsidRDefault="00E566A8" w:rsidP="00E566A8"/>
    <w:p w:rsidR="006F64E2" w:rsidRPr="004A364D" w:rsidRDefault="00AE781B" w:rsidP="00E566A8">
      <w:pPr>
        <w:pStyle w:val="ONUMFS"/>
      </w:pPr>
      <w:r w:rsidRPr="004A364D">
        <w:t>La proposition arrêtée par le Groupe de travail</w:t>
      </w:r>
      <w:r w:rsidR="003D3AF4" w:rsidRPr="004A364D">
        <w:t xml:space="preserve"> du PCT</w:t>
      </w:r>
      <w:r w:rsidRPr="004A364D">
        <w:t xml:space="preserve"> prévoit une stratégie de couverture débutant au 1</w:t>
      </w:r>
      <w:r w:rsidRPr="004A364D">
        <w:rPr>
          <w:vertAlign w:val="superscript"/>
        </w:rPr>
        <w:t>er</w:t>
      </w:r>
      <w:r w:rsidR="00526920" w:rsidRPr="004A364D">
        <w:t> </w:t>
      </w:r>
      <w:r w:rsidRPr="004A364D">
        <w:t>janvier</w:t>
      </w:r>
      <w:r w:rsidR="00526920" w:rsidRPr="004A364D">
        <w:t> </w:t>
      </w:r>
      <w:r w:rsidRPr="004A364D">
        <w:t>2016 et suppose que la période couverte par les contrats à terme soit de 12 mois à partir du mois de janvier de chaque année.</w:t>
      </w:r>
      <w:r w:rsidR="00D53E8E" w:rsidRPr="004A364D">
        <w:t xml:space="preserve">  </w:t>
      </w:r>
      <w:r w:rsidRPr="004A364D">
        <w:t>Toutefois, cette question requiert un complément d</w:t>
      </w:r>
      <w:r w:rsidR="003D3AF4" w:rsidRPr="004A364D">
        <w:t>’</w:t>
      </w:r>
      <w:r w:rsidRPr="004A364D">
        <w:t>examen, compte tenu de la méthodologie convenue avec le vérificateur externe des comptes pour la comptabilisation des recettes</w:t>
      </w:r>
      <w:r w:rsidR="003D3AF4" w:rsidRPr="004A364D">
        <w:t xml:space="preserve"> du PCT</w:t>
      </w:r>
      <w:r w:rsidRPr="004A364D">
        <w:t xml:space="preserve"> dans les états financiers.</w:t>
      </w:r>
    </w:p>
    <w:p w:rsidR="006F64E2" w:rsidRPr="004A364D" w:rsidRDefault="00A07545" w:rsidP="00E566A8">
      <w:pPr>
        <w:pStyle w:val="ONUMFS"/>
      </w:pPr>
      <w:r w:rsidRPr="004A364D">
        <w:t>Dans les états financiers établis conformément aux normes</w:t>
      </w:r>
      <w:r w:rsidR="007C38A4" w:rsidRPr="004A364D">
        <w:t> </w:t>
      </w:r>
      <w:r w:rsidRPr="004A364D">
        <w:t>IPSAS, lorsqu</w:t>
      </w:r>
      <w:r w:rsidR="003D3AF4" w:rsidRPr="004A364D">
        <w:t>’</w:t>
      </w:r>
      <w:r w:rsidRPr="004A364D">
        <w:t>un déposant dépose une demande selon</w:t>
      </w:r>
      <w:r w:rsidR="003D3AF4" w:rsidRPr="004A364D">
        <w:t xml:space="preserve"> le PCT</w:t>
      </w:r>
      <w:r w:rsidRPr="004A364D">
        <w:t xml:space="preserve"> auprès de l</w:t>
      </w:r>
      <w:r w:rsidR="003D3AF4" w:rsidRPr="004A364D">
        <w:t>’</w:t>
      </w:r>
      <w:r w:rsidRPr="004A364D">
        <w:t>office récepteur, une créance est inscrite dans les livres comptables de l</w:t>
      </w:r>
      <w:r w:rsidR="003D3AF4" w:rsidRPr="004A364D">
        <w:t>’</w:t>
      </w:r>
      <w:r w:rsidRPr="004A364D">
        <w:t>OMPI dans la monnaie dans laquelle les taxes</w:t>
      </w:r>
      <w:r w:rsidR="003D3AF4" w:rsidRPr="004A364D">
        <w:t xml:space="preserve"> du PCT</w:t>
      </w:r>
      <w:r w:rsidRPr="004A364D">
        <w:t xml:space="preserve"> ont été versées à l</w:t>
      </w:r>
      <w:r w:rsidR="003D3AF4" w:rsidRPr="004A364D">
        <w:t>’</w:t>
      </w:r>
      <w:r w:rsidRPr="004A364D">
        <w:t>office récepteur à la date du dépôt.</w:t>
      </w:r>
      <w:r w:rsidR="00D53E8E" w:rsidRPr="004A364D">
        <w:t xml:space="preserve">  </w:t>
      </w:r>
      <w:r w:rsidRPr="004A364D">
        <w:t>Lorsque ces taxes sont transférées par l</w:t>
      </w:r>
      <w:r w:rsidR="003D3AF4" w:rsidRPr="004A364D">
        <w:t>’</w:t>
      </w:r>
      <w:r w:rsidRPr="004A364D">
        <w:t>office récepteur au Bureau international, la créance est annulée.</w:t>
      </w:r>
      <w:r w:rsidR="00D53E8E" w:rsidRPr="004A364D">
        <w:t xml:space="preserve">  </w:t>
      </w:r>
      <w:r w:rsidRPr="004A364D">
        <w:t>La différence entre la valeur en francs suisses de la créance au taux opérationnel de l</w:t>
      </w:r>
      <w:r w:rsidR="003D3AF4" w:rsidRPr="004A364D">
        <w:t>’</w:t>
      </w:r>
      <w:r w:rsidRPr="004A364D">
        <w:t>ONU à la date du dépôt et la valeur à la date de réception des fonds par le Bureau international est comptabili</w:t>
      </w:r>
      <w:r w:rsidR="00526920" w:rsidRPr="004A364D">
        <w:t>s</w:t>
      </w:r>
      <w:r w:rsidRPr="004A364D">
        <w:t>é</w:t>
      </w:r>
      <w:r w:rsidR="00526920" w:rsidRPr="004A364D">
        <w:t>e</w:t>
      </w:r>
      <w:r w:rsidRPr="004A364D">
        <w:t xml:space="preserve"> comme gain ou perte de change.</w:t>
      </w:r>
      <w:r w:rsidR="00D53E8E" w:rsidRPr="004A364D">
        <w:t xml:space="preserve">  </w:t>
      </w:r>
      <w:r w:rsidRPr="004A364D">
        <w:t>L</w:t>
      </w:r>
      <w:r w:rsidR="003D3AF4" w:rsidRPr="004A364D">
        <w:t>’</w:t>
      </w:r>
      <w:r w:rsidRPr="004A364D">
        <w:t>incidence de ces transactions est à l</w:t>
      </w:r>
      <w:r w:rsidR="003D3AF4" w:rsidRPr="004A364D">
        <w:t>’</w:t>
      </w:r>
      <w:r w:rsidRPr="004A364D">
        <w:t>origine d</w:t>
      </w:r>
      <w:r w:rsidR="003D3AF4" w:rsidRPr="004A364D">
        <w:t>’</w:t>
      </w:r>
      <w:r w:rsidRPr="004A364D">
        <w:t>une grande partie des différences de change dans les livres comptables ces dernières années, comme indiqué ci</w:t>
      </w:r>
      <w:r w:rsidR="00AC665F" w:rsidRPr="004A364D">
        <w:noBreakHyphen/>
      </w:r>
      <w:r w:rsidRPr="004A364D">
        <w:t>dessous :</w:t>
      </w:r>
    </w:p>
    <w:tbl>
      <w:tblPr>
        <w:tblW w:w="8620" w:type="dxa"/>
        <w:tblInd w:w="55" w:type="dxa"/>
        <w:tblCellMar>
          <w:left w:w="70" w:type="dxa"/>
          <w:right w:w="70" w:type="dxa"/>
        </w:tblCellMar>
        <w:tblLook w:val="04A0" w:firstRow="1" w:lastRow="0" w:firstColumn="1" w:lastColumn="0" w:noHBand="0" w:noVBand="1"/>
      </w:tblPr>
      <w:tblGrid>
        <w:gridCol w:w="4980"/>
        <w:gridCol w:w="1140"/>
        <w:gridCol w:w="1140"/>
        <w:gridCol w:w="1360"/>
      </w:tblGrid>
      <w:tr w:rsidR="00153718" w:rsidRPr="004A364D" w:rsidTr="004A364D">
        <w:trPr>
          <w:trHeight w:val="255"/>
        </w:trPr>
        <w:tc>
          <w:tcPr>
            <w:tcW w:w="4980" w:type="dxa"/>
            <w:tcBorders>
              <w:top w:val="nil"/>
              <w:left w:val="nil"/>
            </w:tcBorders>
            <w:shd w:val="clear" w:color="auto" w:fill="auto"/>
            <w:noWrap/>
            <w:vAlign w:val="bottom"/>
            <w:hideMark/>
          </w:tcPr>
          <w:p w:rsidR="00153718" w:rsidRPr="004A364D" w:rsidRDefault="00153718" w:rsidP="00153718">
            <w:pPr>
              <w:rPr>
                <w:rFonts w:eastAsia="Times New Roman"/>
                <w:b/>
                <w:bCs/>
                <w:color w:val="000000"/>
                <w:sz w:val="20"/>
                <w:lang w:eastAsia="fr-FR"/>
              </w:rPr>
            </w:pPr>
            <w:r w:rsidRPr="004A364D">
              <w:rPr>
                <w:rFonts w:eastAsia="Times New Roman"/>
                <w:b/>
                <w:bCs/>
                <w:color w:val="000000"/>
                <w:sz w:val="20"/>
                <w:lang w:eastAsia="fr-FR"/>
              </w:rPr>
              <w:t>Recettes provenant des taxes du PCT</w:t>
            </w:r>
          </w:p>
        </w:tc>
        <w:tc>
          <w:tcPr>
            <w:tcW w:w="1140" w:type="dxa"/>
            <w:tcBorders>
              <w:top w:val="nil"/>
            </w:tcBorders>
            <w:shd w:val="clear" w:color="auto" w:fill="auto"/>
            <w:noWrap/>
            <w:vAlign w:val="bottom"/>
            <w:hideMark/>
          </w:tcPr>
          <w:p w:rsidR="00153718" w:rsidRPr="004A364D" w:rsidRDefault="00153718" w:rsidP="00153718">
            <w:pPr>
              <w:rPr>
                <w:rFonts w:eastAsia="Times New Roman"/>
                <w:color w:val="000000"/>
                <w:sz w:val="20"/>
                <w:lang w:eastAsia="fr-FR"/>
              </w:rPr>
            </w:pPr>
          </w:p>
        </w:tc>
        <w:tc>
          <w:tcPr>
            <w:tcW w:w="1140" w:type="dxa"/>
            <w:tcBorders>
              <w:top w:val="nil"/>
            </w:tcBorders>
            <w:shd w:val="clear" w:color="auto" w:fill="auto"/>
            <w:noWrap/>
            <w:vAlign w:val="bottom"/>
            <w:hideMark/>
          </w:tcPr>
          <w:p w:rsidR="00153718" w:rsidRPr="004A364D" w:rsidRDefault="00153718" w:rsidP="00153718">
            <w:pPr>
              <w:rPr>
                <w:rFonts w:eastAsia="Times New Roman"/>
                <w:color w:val="000000"/>
                <w:sz w:val="20"/>
                <w:lang w:eastAsia="fr-FR"/>
              </w:rPr>
            </w:pPr>
          </w:p>
        </w:tc>
        <w:tc>
          <w:tcPr>
            <w:tcW w:w="1360" w:type="dxa"/>
            <w:tcBorders>
              <w:top w:val="nil"/>
              <w:right w:val="nil"/>
            </w:tcBorders>
            <w:shd w:val="clear" w:color="auto" w:fill="auto"/>
            <w:noWrap/>
            <w:vAlign w:val="bottom"/>
            <w:hideMark/>
          </w:tcPr>
          <w:p w:rsidR="00153718" w:rsidRPr="004A364D" w:rsidRDefault="00153718" w:rsidP="00153718">
            <w:pPr>
              <w:rPr>
                <w:rFonts w:eastAsia="Times New Roman"/>
                <w:color w:val="000000"/>
                <w:sz w:val="20"/>
                <w:lang w:eastAsia="fr-FR"/>
              </w:rPr>
            </w:pPr>
          </w:p>
        </w:tc>
      </w:tr>
      <w:tr w:rsidR="00153718" w:rsidRPr="004A364D" w:rsidTr="004A364D">
        <w:trPr>
          <w:trHeight w:val="255"/>
        </w:trPr>
        <w:tc>
          <w:tcPr>
            <w:tcW w:w="4980" w:type="dxa"/>
            <w:tcBorders>
              <w:left w:val="nil"/>
              <w:bottom w:val="single" w:sz="4" w:space="0" w:color="auto"/>
            </w:tcBorders>
            <w:shd w:val="clear" w:color="auto" w:fill="auto"/>
            <w:noWrap/>
            <w:vAlign w:val="bottom"/>
            <w:hideMark/>
          </w:tcPr>
          <w:p w:rsidR="00153718" w:rsidRPr="004A364D" w:rsidRDefault="00153718" w:rsidP="00153718">
            <w:pPr>
              <w:rPr>
                <w:rFonts w:eastAsia="Times New Roman"/>
                <w:b/>
                <w:bCs/>
                <w:color w:val="000000"/>
                <w:sz w:val="20"/>
                <w:lang w:eastAsia="fr-FR"/>
              </w:rPr>
            </w:pPr>
            <w:r w:rsidRPr="004A364D">
              <w:rPr>
                <w:rFonts w:eastAsia="Times New Roman"/>
                <w:b/>
                <w:bCs/>
                <w:color w:val="000000"/>
                <w:sz w:val="20"/>
                <w:lang w:eastAsia="fr-FR"/>
              </w:rPr>
              <w:t>Gains (pertes) de change comptabilisés (note n° 1)</w:t>
            </w:r>
          </w:p>
        </w:tc>
        <w:tc>
          <w:tcPr>
            <w:tcW w:w="1140" w:type="dxa"/>
            <w:tcBorders>
              <w:bottom w:val="single" w:sz="4" w:space="0" w:color="auto"/>
            </w:tcBorders>
            <w:shd w:val="clear" w:color="auto" w:fill="auto"/>
            <w:noWrap/>
            <w:vAlign w:val="bottom"/>
            <w:hideMark/>
          </w:tcPr>
          <w:p w:rsidR="00153718" w:rsidRPr="004A364D" w:rsidRDefault="00153718" w:rsidP="00153718">
            <w:pPr>
              <w:rPr>
                <w:rFonts w:eastAsia="Times New Roman"/>
                <w:color w:val="000000"/>
                <w:sz w:val="20"/>
                <w:lang w:eastAsia="fr-FR"/>
              </w:rPr>
            </w:pPr>
          </w:p>
        </w:tc>
        <w:tc>
          <w:tcPr>
            <w:tcW w:w="1140" w:type="dxa"/>
            <w:tcBorders>
              <w:bottom w:val="single" w:sz="4" w:space="0" w:color="auto"/>
            </w:tcBorders>
            <w:shd w:val="clear" w:color="auto" w:fill="auto"/>
            <w:noWrap/>
            <w:vAlign w:val="bottom"/>
            <w:hideMark/>
          </w:tcPr>
          <w:p w:rsidR="00153718" w:rsidRPr="004A364D" w:rsidRDefault="00153718" w:rsidP="00153718">
            <w:pPr>
              <w:rPr>
                <w:rFonts w:eastAsia="Times New Roman"/>
                <w:color w:val="000000"/>
                <w:sz w:val="20"/>
                <w:lang w:eastAsia="fr-FR"/>
              </w:rPr>
            </w:pPr>
          </w:p>
        </w:tc>
        <w:tc>
          <w:tcPr>
            <w:tcW w:w="1360" w:type="dxa"/>
            <w:tcBorders>
              <w:bottom w:val="single" w:sz="4" w:space="0" w:color="auto"/>
              <w:right w:val="nil"/>
            </w:tcBorders>
            <w:shd w:val="clear" w:color="auto" w:fill="auto"/>
            <w:noWrap/>
            <w:vAlign w:val="bottom"/>
            <w:hideMark/>
          </w:tcPr>
          <w:p w:rsidR="00153718" w:rsidRPr="004A364D" w:rsidRDefault="00153718" w:rsidP="00153718">
            <w:pPr>
              <w:rPr>
                <w:rFonts w:eastAsia="Times New Roman"/>
                <w:color w:val="000000"/>
                <w:sz w:val="20"/>
                <w:lang w:eastAsia="fr-FR"/>
              </w:rPr>
            </w:pPr>
          </w:p>
        </w:tc>
      </w:tr>
      <w:tr w:rsidR="00153718" w:rsidRPr="004A364D" w:rsidTr="004A364D">
        <w:trPr>
          <w:trHeight w:val="255"/>
        </w:trPr>
        <w:tc>
          <w:tcPr>
            <w:tcW w:w="4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718" w:rsidRPr="004A364D" w:rsidRDefault="00153718" w:rsidP="00153718">
            <w:pPr>
              <w:rPr>
                <w:rFonts w:eastAsia="Times New Roman"/>
                <w:color w:val="000000"/>
                <w:sz w:val="20"/>
                <w:lang w:eastAsia="fr-FR"/>
              </w:rPr>
            </w:pPr>
            <w:r w:rsidRPr="004A364D">
              <w:rPr>
                <w:rFonts w:eastAsia="Times New Roman"/>
                <w:color w:val="000000"/>
                <w:sz w:val="20"/>
                <w:lang w:eastAsia="fr-FR"/>
              </w:rPr>
              <w:t>Monnaie</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153718" w:rsidRPr="004A364D" w:rsidRDefault="00153718" w:rsidP="00153718">
            <w:pPr>
              <w:jc w:val="center"/>
              <w:rPr>
                <w:rFonts w:eastAsia="Times New Roman"/>
                <w:color w:val="000000"/>
                <w:sz w:val="20"/>
                <w:lang w:eastAsia="fr-FR"/>
              </w:rPr>
            </w:pPr>
            <w:r w:rsidRPr="004A364D">
              <w:rPr>
                <w:rFonts w:eastAsia="Times New Roman"/>
                <w:color w:val="000000"/>
                <w:sz w:val="20"/>
                <w:lang w:eastAsia="fr-FR"/>
              </w:rPr>
              <w:t>2013</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153718" w:rsidRPr="004A364D" w:rsidRDefault="00153718" w:rsidP="00153718">
            <w:pPr>
              <w:jc w:val="center"/>
              <w:rPr>
                <w:rFonts w:eastAsia="Times New Roman"/>
                <w:color w:val="000000"/>
                <w:sz w:val="20"/>
                <w:lang w:eastAsia="fr-FR"/>
              </w:rPr>
            </w:pPr>
            <w:r w:rsidRPr="004A364D">
              <w:rPr>
                <w:rFonts w:eastAsia="Times New Roman"/>
                <w:color w:val="000000"/>
                <w:sz w:val="20"/>
                <w:lang w:eastAsia="fr-FR"/>
              </w:rPr>
              <w:t>2014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153718" w:rsidRPr="004A364D" w:rsidRDefault="00153718" w:rsidP="00153718">
            <w:pPr>
              <w:jc w:val="center"/>
              <w:rPr>
                <w:rFonts w:eastAsia="Times New Roman"/>
                <w:color w:val="000000"/>
                <w:sz w:val="20"/>
                <w:lang w:eastAsia="fr-FR"/>
              </w:rPr>
            </w:pPr>
            <w:r w:rsidRPr="004A364D">
              <w:rPr>
                <w:rFonts w:eastAsia="Times New Roman"/>
                <w:color w:val="000000"/>
                <w:sz w:val="20"/>
                <w:lang w:eastAsia="fr-FR"/>
              </w:rPr>
              <w:t>2015 (6 mois)</w:t>
            </w:r>
          </w:p>
        </w:tc>
      </w:tr>
      <w:tr w:rsidR="00153718" w:rsidRPr="004A364D" w:rsidTr="00153718">
        <w:trPr>
          <w:trHeight w:val="255"/>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rsidR="00153718" w:rsidRPr="004A364D" w:rsidRDefault="00153718" w:rsidP="00153718">
            <w:pPr>
              <w:rPr>
                <w:rFonts w:eastAsia="Times New Roman"/>
                <w:color w:val="000000"/>
                <w:sz w:val="20"/>
                <w:lang w:eastAsia="fr-FR"/>
              </w:rPr>
            </w:pPr>
            <w:r w:rsidRPr="004A364D">
              <w:rPr>
                <w:rFonts w:eastAsia="Times New Roman"/>
                <w:color w:val="000000"/>
                <w:sz w:val="20"/>
                <w:lang w:eastAsia="fr-FR"/>
              </w:rPr>
              <w:t>Euro</w:t>
            </w:r>
          </w:p>
        </w:tc>
        <w:tc>
          <w:tcPr>
            <w:tcW w:w="1140" w:type="dxa"/>
            <w:tcBorders>
              <w:top w:val="nil"/>
              <w:left w:val="nil"/>
              <w:bottom w:val="single" w:sz="4" w:space="0" w:color="auto"/>
              <w:right w:val="single" w:sz="4" w:space="0" w:color="auto"/>
            </w:tcBorders>
            <w:shd w:val="clear" w:color="auto" w:fill="auto"/>
            <w:noWrap/>
            <w:vAlign w:val="bottom"/>
            <w:hideMark/>
          </w:tcPr>
          <w:p w:rsidR="00153718" w:rsidRPr="004A364D" w:rsidRDefault="00153718" w:rsidP="00153718">
            <w:pPr>
              <w:jc w:val="right"/>
              <w:rPr>
                <w:rFonts w:eastAsia="Times New Roman"/>
                <w:color w:val="000000"/>
                <w:sz w:val="20"/>
                <w:lang w:eastAsia="fr-FR"/>
              </w:rPr>
            </w:pPr>
            <w:r w:rsidRPr="004A364D">
              <w:rPr>
                <w:rFonts w:eastAsia="Times New Roman"/>
                <w:color w:val="000000"/>
                <w:sz w:val="20"/>
                <w:lang w:eastAsia="fr-FR"/>
              </w:rPr>
              <w:t xml:space="preserve">698 168 </w:t>
            </w:r>
          </w:p>
        </w:tc>
        <w:tc>
          <w:tcPr>
            <w:tcW w:w="1140" w:type="dxa"/>
            <w:tcBorders>
              <w:top w:val="nil"/>
              <w:left w:val="nil"/>
              <w:bottom w:val="single" w:sz="4" w:space="0" w:color="auto"/>
              <w:right w:val="single" w:sz="4" w:space="0" w:color="auto"/>
            </w:tcBorders>
            <w:shd w:val="clear" w:color="auto" w:fill="auto"/>
            <w:noWrap/>
            <w:vAlign w:val="bottom"/>
            <w:hideMark/>
          </w:tcPr>
          <w:p w:rsidR="00153718" w:rsidRPr="004A364D" w:rsidRDefault="00153718" w:rsidP="00153718">
            <w:pPr>
              <w:jc w:val="right"/>
              <w:rPr>
                <w:rFonts w:eastAsia="Times New Roman"/>
                <w:color w:val="000000"/>
                <w:sz w:val="20"/>
                <w:lang w:eastAsia="fr-FR"/>
              </w:rPr>
            </w:pPr>
            <w:r w:rsidRPr="004A364D">
              <w:rPr>
                <w:rFonts w:eastAsia="Times New Roman"/>
                <w:color w:val="FF0000"/>
                <w:sz w:val="20"/>
                <w:lang w:eastAsia="fr-FR"/>
              </w:rPr>
              <w:t xml:space="preserve">-459 941 </w:t>
            </w:r>
          </w:p>
        </w:tc>
        <w:tc>
          <w:tcPr>
            <w:tcW w:w="1360" w:type="dxa"/>
            <w:tcBorders>
              <w:top w:val="nil"/>
              <w:left w:val="nil"/>
              <w:bottom w:val="single" w:sz="4" w:space="0" w:color="auto"/>
              <w:right w:val="single" w:sz="4" w:space="0" w:color="auto"/>
            </w:tcBorders>
            <w:shd w:val="clear" w:color="auto" w:fill="auto"/>
            <w:noWrap/>
            <w:vAlign w:val="bottom"/>
            <w:hideMark/>
          </w:tcPr>
          <w:p w:rsidR="00153718" w:rsidRPr="004A364D" w:rsidRDefault="00153718" w:rsidP="00153718">
            <w:pPr>
              <w:jc w:val="right"/>
              <w:rPr>
                <w:rFonts w:eastAsia="Times New Roman"/>
                <w:color w:val="000000"/>
                <w:sz w:val="20"/>
                <w:lang w:eastAsia="fr-FR"/>
              </w:rPr>
            </w:pPr>
            <w:r w:rsidRPr="004A364D">
              <w:rPr>
                <w:rFonts w:eastAsia="Times New Roman"/>
                <w:color w:val="FF0000"/>
                <w:sz w:val="20"/>
                <w:lang w:eastAsia="fr-FR"/>
              </w:rPr>
              <w:t xml:space="preserve">-2 057 922 </w:t>
            </w:r>
          </w:p>
        </w:tc>
      </w:tr>
      <w:tr w:rsidR="00153718" w:rsidRPr="004A364D" w:rsidTr="00153718">
        <w:trPr>
          <w:trHeight w:val="255"/>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rsidR="00153718" w:rsidRPr="004A364D" w:rsidRDefault="00153718" w:rsidP="00153718">
            <w:pPr>
              <w:rPr>
                <w:rFonts w:eastAsia="Times New Roman"/>
                <w:color w:val="000000"/>
                <w:sz w:val="20"/>
                <w:lang w:eastAsia="fr-FR"/>
              </w:rPr>
            </w:pPr>
            <w:r w:rsidRPr="004A364D">
              <w:rPr>
                <w:rFonts w:eastAsia="Times New Roman"/>
                <w:color w:val="000000"/>
                <w:sz w:val="20"/>
                <w:lang w:eastAsia="fr-FR"/>
              </w:rPr>
              <w:t>Yen japonais</w:t>
            </w:r>
          </w:p>
        </w:tc>
        <w:tc>
          <w:tcPr>
            <w:tcW w:w="1140" w:type="dxa"/>
            <w:tcBorders>
              <w:top w:val="nil"/>
              <w:left w:val="nil"/>
              <w:bottom w:val="single" w:sz="4" w:space="0" w:color="auto"/>
              <w:right w:val="single" w:sz="4" w:space="0" w:color="auto"/>
            </w:tcBorders>
            <w:shd w:val="clear" w:color="auto" w:fill="auto"/>
            <w:noWrap/>
            <w:vAlign w:val="bottom"/>
            <w:hideMark/>
          </w:tcPr>
          <w:p w:rsidR="00153718" w:rsidRPr="004A364D" w:rsidRDefault="00153718" w:rsidP="00153718">
            <w:pPr>
              <w:jc w:val="right"/>
              <w:rPr>
                <w:rFonts w:eastAsia="Times New Roman"/>
                <w:color w:val="000000"/>
                <w:sz w:val="20"/>
                <w:lang w:eastAsia="fr-FR"/>
              </w:rPr>
            </w:pPr>
            <w:r w:rsidRPr="004A364D">
              <w:rPr>
                <w:rFonts w:eastAsia="Times New Roman"/>
                <w:color w:val="FF0000"/>
                <w:sz w:val="20"/>
                <w:lang w:eastAsia="fr-FR"/>
              </w:rPr>
              <w:t xml:space="preserve">-4 854 137 </w:t>
            </w:r>
          </w:p>
        </w:tc>
        <w:tc>
          <w:tcPr>
            <w:tcW w:w="1140" w:type="dxa"/>
            <w:tcBorders>
              <w:top w:val="nil"/>
              <w:left w:val="nil"/>
              <w:bottom w:val="single" w:sz="4" w:space="0" w:color="auto"/>
              <w:right w:val="single" w:sz="4" w:space="0" w:color="auto"/>
            </w:tcBorders>
            <w:shd w:val="clear" w:color="auto" w:fill="auto"/>
            <w:noWrap/>
            <w:vAlign w:val="bottom"/>
            <w:hideMark/>
          </w:tcPr>
          <w:p w:rsidR="00153718" w:rsidRPr="004A364D" w:rsidRDefault="00153718" w:rsidP="00153718">
            <w:pPr>
              <w:jc w:val="right"/>
              <w:rPr>
                <w:rFonts w:eastAsia="Times New Roman"/>
                <w:color w:val="000000"/>
                <w:sz w:val="20"/>
                <w:lang w:eastAsia="fr-FR"/>
              </w:rPr>
            </w:pPr>
            <w:r w:rsidRPr="004A364D">
              <w:rPr>
                <w:rFonts w:eastAsia="Times New Roman"/>
                <w:color w:val="FF0000"/>
                <w:sz w:val="20"/>
                <w:lang w:eastAsia="fr-FR"/>
              </w:rPr>
              <w:t xml:space="preserve">-1 285 830 </w:t>
            </w:r>
          </w:p>
        </w:tc>
        <w:tc>
          <w:tcPr>
            <w:tcW w:w="1360" w:type="dxa"/>
            <w:tcBorders>
              <w:top w:val="nil"/>
              <w:left w:val="nil"/>
              <w:bottom w:val="single" w:sz="4" w:space="0" w:color="auto"/>
              <w:right w:val="single" w:sz="4" w:space="0" w:color="auto"/>
            </w:tcBorders>
            <w:shd w:val="clear" w:color="auto" w:fill="auto"/>
            <w:noWrap/>
            <w:vAlign w:val="bottom"/>
            <w:hideMark/>
          </w:tcPr>
          <w:p w:rsidR="00153718" w:rsidRPr="004A364D" w:rsidRDefault="00153718" w:rsidP="00153718">
            <w:pPr>
              <w:jc w:val="right"/>
              <w:rPr>
                <w:rFonts w:eastAsia="Times New Roman"/>
                <w:color w:val="000000"/>
                <w:sz w:val="20"/>
                <w:lang w:eastAsia="fr-FR"/>
              </w:rPr>
            </w:pPr>
            <w:r w:rsidRPr="004A364D">
              <w:rPr>
                <w:rFonts w:eastAsia="Times New Roman"/>
                <w:color w:val="FF0000"/>
                <w:sz w:val="20"/>
                <w:lang w:eastAsia="fr-FR"/>
              </w:rPr>
              <w:t xml:space="preserve">-2 156 232 </w:t>
            </w:r>
          </w:p>
        </w:tc>
      </w:tr>
      <w:tr w:rsidR="00153718" w:rsidRPr="004A364D" w:rsidTr="00153718">
        <w:trPr>
          <w:trHeight w:val="255"/>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rsidR="00153718" w:rsidRPr="004A364D" w:rsidRDefault="00153718" w:rsidP="00153718">
            <w:pPr>
              <w:rPr>
                <w:rFonts w:eastAsia="Times New Roman"/>
                <w:color w:val="000000"/>
                <w:sz w:val="20"/>
                <w:lang w:eastAsia="fr-FR"/>
              </w:rPr>
            </w:pPr>
            <w:r w:rsidRPr="004A364D">
              <w:rPr>
                <w:rFonts w:eastAsia="Times New Roman"/>
                <w:color w:val="000000"/>
                <w:sz w:val="20"/>
                <w:lang w:eastAsia="fr-FR"/>
              </w:rPr>
              <w:t>Dollar É.-U.</w:t>
            </w:r>
          </w:p>
        </w:tc>
        <w:tc>
          <w:tcPr>
            <w:tcW w:w="1140" w:type="dxa"/>
            <w:tcBorders>
              <w:top w:val="nil"/>
              <w:left w:val="nil"/>
              <w:bottom w:val="single" w:sz="4" w:space="0" w:color="auto"/>
              <w:right w:val="single" w:sz="4" w:space="0" w:color="auto"/>
            </w:tcBorders>
            <w:shd w:val="clear" w:color="auto" w:fill="auto"/>
            <w:noWrap/>
            <w:vAlign w:val="bottom"/>
            <w:hideMark/>
          </w:tcPr>
          <w:p w:rsidR="00153718" w:rsidRPr="004A364D" w:rsidRDefault="00153718" w:rsidP="00153718">
            <w:pPr>
              <w:jc w:val="right"/>
              <w:rPr>
                <w:rFonts w:eastAsia="Times New Roman"/>
                <w:color w:val="000000"/>
                <w:sz w:val="20"/>
                <w:lang w:eastAsia="fr-FR"/>
              </w:rPr>
            </w:pPr>
            <w:r w:rsidRPr="004A364D">
              <w:rPr>
                <w:rFonts w:eastAsia="Times New Roman"/>
                <w:color w:val="FF0000"/>
                <w:sz w:val="20"/>
                <w:lang w:eastAsia="fr-FR"/>
              </w:rPr>
              <w:t xml:space="preserve">-1 507 127 </w:t>
            </w:r>
          </w:p>
        </w:tc>
        <w:tc>
          <w:tcPr>
            <w:tcW w:w="1140" w:type="dxa"/>
            <w:tcBorders>
              <w:top w:val="nil"/>
              <w:left w:val="nil"/>
              <w:bottom w:val="single" w:sz="4" w:space="0" w:color="auto"/>
              <w:right w:val="single" w:sz="4" w:space="0" w:color="auto"/>
            </w:tcBorders>
            <w:shd w:val="clear" w:color="auto" w:fill="auto"/>
            <w:noWrap/>
            <w:vAlign w:val="bottom"/>
            <w:hideMark/>
          </w:tcPr>
          <w:p w:rsidR="00153718" w:rsidRPr="004A364D" w:rsidRDefault="00153718" w:rsidP="00153718">
            <w:pPr>
              <w:jc w:val="right"/>
              <w:rPr>
                <w:rFonts w:eastAsia="Times New Roman"/>
                <w:color w:val="000000"/>
                <w:sz w:val="20"/>
                <w:lang w:eastAsia="fr-FR"/>
              </w:rPr>
            </w:pPr>
            <w:r w:rsidRPr="004A364D">
              <w:rPr>
                <w:rFonts w:eastAsia="Times New Roman"/>
                <w:color w:val="000000"/>
                <w:sz w:val="20"/>
                <w:lang w:eastAsia="fr-FR"/>
              </w:rPr>
              <w:t xml:space="preserve">89 681 </w:t>
            </w:r>
          </w:p>
        </w:tc>
        <w:tc>
          <w:tcPr>
            <w:tcW w:w="1360" w:type="dxa"/>
            <w:tcBorders>
              <w:top w:val="nil"/>
              <w:left w:val="nil"/>
              <w:bottom w:val="single" w:sz="4" w:space="0" w:color="auto"/>
              <w:right w:val="single" w:sz="4" w:space="0" w:color="auto"/>
            </w:tcBorders>
            <w:shd w:val="clear" w:color="auto" w:fill="auto"/>
            <w:noWrap/>
            <w:vAlign w:val="bottom"/>
            <w:hideMark/>
          </w:tcPr>
          <w:p w:rsidR="00153718" w:rsidRPr="004A364D" w:rsidRDefault="00153718" w:rsidP="00153718">
            <w:pPr>
              <w:jc w:val="right"/>
              <w:rPr>
                <w:rFonts w:eastAsia="Times New Roman"/>
                <w:color w:val="000000"/>
                <w:sz w:val="20"/>
                <w:lang w:eastAsia="fr-FR"/>
              </w:rPr>
            </w:pPr>
            <w:r w:rsidRPr="004A364D">
              <w:rPr>
                <w:rFonts w:eastAsia="Times New Roman"/>
                <w:color w:val="000000"/>
                <w:sz w:val="20"/>
                <w:lang w:eastAsia="fr-FR"/>
              </w:rPr>
              <w:t xml:space="preserve">1 627 058 </w:t>
            </w:r>
          </w:p>
        </w:tc>
      </w:tr>
      <w:tr w:rsidR="00153718" w:rsidRPr="004A364D" w:rsidTr="00153718">
        <w:trPr>
          <w:trHeight w:val="255"/>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rsidR="00153718" w:rsidRPr="004A364D" w:rsidRDefault="00153718" w:rsidP="00153718">
            <w:pPr>
              <w:rPr>
                <w:rFonts w:eastAsia="Times New Roman"/>
                <w:color w:val="000000"/>
                <w:sz w:val="20"/>
                <w:lang w:eastAsia="fr-FR"/>
              </w:rPr>
            </w:pPr>
            <w:r w:rsidRPr="004A364D">
              <w:rPr>
                <w:rFonts w:eastAsia="Times New Roman"/>
                <w:color w:val="000000"/>
                <w:sz w:val="20"/>
                <w:lang w:eastAsia="fr-FR"/>
              </w:rPr>
              <w:t>Autre</w:t>
            </w:r>
          </w:p>
        </w:tc>
        <w:tc>
          <w:tcPr>
            <w:tcW w:w="1140" w:type="dxa"/>
            <w:tcBorders>
              <w:top w:val="nil"/>
              <w:left w:val="nil"/>
              <w:bottom w:val="single" w:sz="4" w:space="0" w:color="auto"/>
              <w:right w:val="single" w:sz="4" w:space="0" w:color="auto"/>
            </w:tcBorders>
            <w:shd w:val="clear" w:color="auto" w:fill="auto"/>
            <w:noWrap/>
            <w:vAlign w:val="bottom"/>
            <w:hideMark/>
          </w:tcPr>
          <w:p w:rsidR="00153718" w:rsidRPr="004A364D" w:rsidRDefault="00153718" w:rsidP="00153718">
            <w:pPr>
              <w:jc w:val="right"/>
              <w:rPr>
                <w:rFonts w:eastAsia="Times New Roman"/>
                <w:color w:val="000000"/>
                <w:sz w:val="20"/>
                <w:lang w:eastAsia="fr-FR"/>
              </w:rPr>
            </w:pPr>
            <w:r w:rsidRPr="004A364D">
              <w:rPr>
                <w:rFonts w:eastAsia="Times New Roman"/>
                <w:color w:val="FF0000"/>
                <w:sz w:val="20"/>
                <w:lang w:eastAsia="fr-FR"/>
              </w:rPr>
              <w:t xml:space="preserve">-345 959 </w:t>
            </w:r>
          </w:p>
        </w:tc>
        <w:tc>
          <w:tcPr>
            <w:tcW w:w="1140" w:type="dxa"/>
            <w:tcBorders>
              <w:top w:val="nil"/>
              <w:left w:val="nil"/>
              <w:bottom w:val="single" w:sz="4" w:space="0" w:color="auto"/>
              <w:right w:val="single" w:sz="4" w:space="0" w:color="auto"/>
            </w:tcBorders>
            <w:shd w:val="clear" w:color="auto" w:fill="auto"/>
            <w:noWrap/>
            <w:vAlign w:val="bottom"/>
            <w:hideMark/>
          </w:tcPr>
          <w:p w:rsidR="00153718" w:rsidRPr="004A364D" w:rsidRDefault="00153718" w:rsidP="00153718">
            <w:pPr>
              <w:jc w:val="right"/>
              <w:rPr>
                <w:rFonts w:eastAsia="Times New Roman"/>
                <w:color w:val="000000"/>
                <w:sz w:val="20"/>
                <w:lang w:eastAsia="fr-FR"/>
              </w:rPr>
            </w:pPr>
            <w:r w:rsidRPr="004A364D">
              <w:rPr>
                <w:rFonts w:eastAsia="Times New Roman"/>
                <w:color w:val="FF0000"/>
                <w:sz w:val="20"/>
                <w:lang w:eastAsia="fr-FR"/>
              </w:rPr>
              <w:t xml:space="preserve">-75 706 </w:t>
            </w:r>
          </w:p>
        </w:tc>
        <w:tc>
          <w:tcPr>
            <w:tcW w:w="1360" w:type="dxa"/>
            <w:tcBorders>
              <w:top w:val="nil"/>
              <w:left w:val="nil"/>
              <w:bottom w:val="single" w:sz="4" w:space="0" w:color="auto"/>
              <w:right w:val="single" w:sz="4" w:space="0" w:color="auto"/>
            </w:tcBorders>
            <w:shd w:val="clear" w:color="auto" w:fill="auto"/>
            <w:noWrap/>
            <w:vAlign w:val="bottom"/>
            <w:hideMark/>
          </w:tcPr>
          <w:p w:rsidR="00153718" w:rsidRPr="004A364D" w:rsidRDefault="00153718" w:rsidP="00153718">
            <w:pPr>
              <w:jc w:val="right"/>
              <w:rPr>
                <w:rFonts w:eastAsia="Times New Roman"/>
                <w:color w:val="000000"/>
                <w:sz w:val="20"/>
                <w:lang w:eastAsia="fr-FR"/>
              </w:rPr>
            </w:pPr>
            <w:r w:rsidRPr="004A364D">
              <w:rPr>
                <w:rFonts w:eastAsia="Times New Roman"/>
                <w:color w:val="FF0000"/>
                <w:sz w:val="20"/>
                <w:lang w:eastAsia="fr-FR"/>
              </w:rPr>
              <w:t xml:space="preserve">-410 065 </w:t>
            </w:r>
          </w:p>
        </w:tc>
      </w:tr>
      <w:tr w:rsidR="00153718" w:rsidRPr="004A364D" w:rsidTr="004A364D">
        <w:trPr>
          <w:trHeight w:val="255"/>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rsidR="00153718" w:rsidRPr="004A364D" w:rsidRDefault="00153718" w:rsidP="00153718">
            <w:pPr>
              <w:rPr>
                <w:rFonts w:eastAsia="Times New Roman"/>
                <w:color w:val="000000"/>
                <w:sz w:val="20"/>
                <w:lang w:eastAsia="fr-FR"/>
              </w:rPr>
            </w:pPr>
            <w:r w:rsidRPr="004A364D">
              <w:rPr>
                <w:rFonts w:eastAsia="Times New Roman"/>
                <w:color w:val="000000"/>
                <w:sz w:val="20"/>
                <w:lang w:eastAsia="fr-FR"/>
              </w:rPr>
              <w:t>Total</w:t>
            </w:r>
          </w:p>
        </w:tc>
        <w:tc>
          <w:tcPr>
            <w:tcW w:w="1140" w:type="dxa"/>
            <w:tcBorders>
              <w:top w:val="nil"/>
              <w:left w:val="nil"/>
              <w:bottom w:val="single" w:sz="4" w:space="0" w:color="auto"/>
              <w:right w:val="single" w:sz="4" w:space="0" w:color="auto"/>
            </w:tcBorders>
            <w:shd w:val="clear" w:color="auto" w:fill="auto"/>
            <w:noWrap/>
            <w:vAlign w:val="bottom"/>
            <w:hideMark/>
          </w:tcPr>
          <w:p w:rsidR="00153718" w:rsidRPr="004A364D" w:rsidRDefault="00153718" w:rsidP="00153718">
            <w:pPr>
              <w:jc w:val="right"/>
              <w:rPr>
                <w:rFonts w:eastAsia="Times New Roman"/>
                <w:color w:val="000000"/>
                <w:sz w:val="20"/>
                <w:lang w:eastAsia="fr-FR"/>
              </w:rPr>
            </w:pPr>
            <w:r w:rsidRPr="004A364D">
              <w:rPr>
                <w:rFonts w:eastAsia="Times New Roman"/>
                <w:color w:val="FF0000"/>
                <w:sz w:val="20"/>
                <w:lang w:eastAsia="fr-FR"/>
              </w:rPr>
              <w:t xml:space="preserve">-6 009 054 </w:t>
            </w:r>
          </w:p>
        </w:tc>
        <w:tc>
          <w:tcPr>
            <w:tcW w:w="1140" w:type="dxa"/>
            <w:tcBorders>
              <w:top w:val="nil"/>
              <w:left w:val="nil"/>
              <w:bottom w:val="single" w:sz="4" w:space="0" w:color="auto"/>
              <w:right w:val="single" w:sz="4" w:space="0" w:color="auto"/>
            </w:tcBorders>
            <w:shd w:val="clear" w:color="auto" w:fill="auto"/>
            <w:noWrap/>
            <w:vAlign w:val="bottom"/>
            <w:hideMark/>
          </w:tcPr>
          <w:p w:rsidR="00153718" w:rsidRPr="004A364D" w:rsidRDefault="00153718" w:rsidP="00153718">
            <w:pPr>
              <w:jc w:val="right"/>
              <w:rPr>
                <w:rFonts w:eastAsia="Times New Roman"/>
                <w:color w:val="000000"/>
                <w:sz w:val="20"/>
                <w:lang w:eastAsia="fr-FR"/>
              </w:rPr>
            </w:pPr>
            <w:r w:rsidRPr="004A364D">
              <w:rPr>
                <w:rFonts w:eastAsia="Times New Roman"/>
                <w:color w:val="FF0000"/>
                <w:sz w:val="20"/>
                <w:lang w:eastAsia="fr-FR"/>
              </w:rPr>
              <w:t xml:space="preserve">-1 731 796 </w:t>
            </w:r>
          </w:p>
        </w:tc>
        <w:tc>
          <w:tcPr>
            <w:tcW w:w="1360" w:type="dxa"/>
            <w:tcBorders>
              <w:top w:val="nil"/>
              <w:left w:val="nil"/>
              <w:bottom w:val="single" w:sz="4" w:space="0" w:color="auto"/>
              <w:right w:val="single" w:sz="4" w:space="0" w:color="auto"/>
            </w:tcBorders>
            <w:shd w:val="clear" w:color="auto" w:fill="auto"/>
            <w:noWrap/>
            <w:vAlign w:val="bottom"/>
            <w:hideMark/>
          </w:tcPr>
          <w:p w:rsidR="00153718" w:rsidRPr="004A364D" w:rsidRDefault="00153718" w:rsidP="00153718">
            <w:pPr>
              <w:jc w:val="right"/>
              <w:rPr>
                <w:rFonts w:eastAsia="Times New Roman"/>
                <w:color w:val="000000"/>
                <w:sz w:val="20"/>
                <w:lang w:eastAsia="fr-FR"/>
              </w:rPr>
            </w:pPr>
            <w:r w:rsidRPr="004A364D">
              <w:rPr>
                <w:rFonts w:eastAsia="Times New Roman"/>
                <w:color w:val="FF0000"/>
                <w:sz w:val="20"/>
                <w:lang w:eastAsia="fr-FR"/>
              </w:rPr>
              <w:t xml:space="preserve">-2 997 161 </w:t>
            </w:r>
          </w:p>
        </w:tc>
      </w:tr>
      <w:tr w:rsidR="00153718" w:rsidRPr="004A364D" w:rsidTr="004A364D">
        <w:trPr>
          <w:trHeight w:val="255"/>
        </w:trPr>
        <w:tc>
          <w:tcPr>
            <w:tcW w:w="4980" w:type="dxa"/>
            <w:tcBorders>
              <w:top w:val="single" w:sz="4" w:space="0" w:color="auto"/>
              <w:left w:val="nil"/>
              <w:bottom w:val="single" w:sz="4" w:space="0" w:color="auto"/>
            </w:tcBorders>
            <w:shd w:val="clear" w:color="auto" w:fill="auto"/>
            <w:noWrap/>
            <w:vAlign w:val="bottom"/>
            <w:hideMark/>
          </w:tcPr>
          <w:p w:rsidR="00153718" w:rsidRPr="004A364D" w:rsidRDefault="00153718" w:rsidP="00153718">
            <w:pPr>
              <w:rPr>
                <w:rFonts w:eastAsia="Times New Roman"/>
                <w:color w:val="000000"/>
                <w:sz w:val="20"/>
                <w:lang w:eastAsia="fr-FR"/>
              </w:rPr>
            </w:pPr>
          </w:p>
        </w:tc>
        <w:tc>
          <w:tcPr>
            <w:tcW w:w="1140" w:type="dxa"/>
            <w:tcBorders>
              <w:top w:val="single" w:sz="4" w:space="0" w:color="auto"/>
              <w:bottom w:val="single" w:sz="4" w:space="0" w:color="auto"/>
            </w:tcBorders>
            <w:shd w:val="clear" w:color="auto" w:fill="auto"/>
            <w:noWrap/>
            <w:vAlign w:val="bottom"/>
            <w:hideMark/>
          </w:tcPr>
          <w:p w:rsidR="00153718" w:rsidRPr="004A364D" w:rsidRDefault="00153718" w:rsidP="00153718">
            <w:pPr>
              <w:rPr>
                <w:rFonts w:eastAsia="Times New Roman"/>
                <w:color w:val="000000"/>
                <w:sz w:val="20"/>
                <w:lang w:eastAsia="fr-FR"/>
              </w:rPr>
            </w:pPr>
          </w:p>
        </w:tc>
        <w:tc>
          <w:tcPr>
            <w:tcW w:w="1140" w:type="dxa"/>
            <w:tcBorders>
              <w:top w:val="single" w:sz="4" w:space="0" w:color="auto"/>
              <w:bottom w:val="single" w:sz="4" w:space="0" w:color="auto"/>
            </w:tcBorders>
            <w:shd w:val="clear" w:color="auto" w:fill="auto"/>
            <w:noWrap/>
            <w:vAlign w:val="bottom"/>
            <w:hideMark/>
          </w:tcPr>
          <w:p w:rsidR="00153718" w:rsidRPr="004A364D" w:rsidRDefault="00153718" w:rsidP="00153718">
            <w:pPr>
              <w:rPr>
                <w:rFonts w:eastAsia="Times New Roman"/>
                <w:color w:val="000000"/>
                <w:sz w:val="20"/>
                <w:lang w:eastAsia="fr-FR"/>
              </w:rPr>
            </w:pPr>
          </w:p>
        </w:tc>
        <w:tc>
          <w:tcPr>
            <w:tcW w:w="1360" w:type="dxa"/>
            <w:tcBorders>
              <w:top w:val="single" w:sz="4" w:space="0" w:color="auto"/>
              <w:bottom w:val="single" w:sz="4" w:space="0" w:color="auto"/>
              <w:right w:val="nil"/>
            </w:tcBorders>
            <w:shd w:val="clear" w:color="auto" w:fill="auto"/>
            <w:noWrap/>
            <w:vAlign w:val="bottom"/>
            <w:hideMark/>
          </w:tcPr>
          <w:p w:rsidR="00153718" w:rsidRPr="004A364D" w:rsidRDefault="00153718" w:rsidP="00153718">
            <w:pPr>
              <w:rPr>
                <w:rFonts w:eastAsia="Times New Roman"/>
                <w:color w:val="000000"/>
                <w:sz w:val="20"/>
                <w:lang w:eastAsia="fr-FR"/>
              </w:rPr>
            </w:pPr>
          </w:p>
        </w:tc>
      </w:tr>
      <w:tr w:rsidR="00153718" w:rsidRPr="004A364D" w:rsidTr="004A364D">
        <w:trPr>
          <w:trHeight w:val="255"/>
        </w:trPr>
        <w:tc>
          <w:tcPr>
            <w:tcW w:w="8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53718" w:rsidRPr="004A364D" w:rsidRDefault="00153718" w:rsidP="00153718">
            <w:pPr>
              <w:rPr>
                <w:rFonts w:eastAsia="Times New Roman"/>
                <w:color w:val="000000"/>
                <w:sz w:val="16"/>
                <w:szCs w:val="16"/>
                <w:lang w:eastAsia="fr-FR"/>
              </w:rPr>
            </w:pPr>
            <w:r w:rsidRPr="004A364D">
              <w:rPr>
                <w:rFonts w:eastAsia="Times New Roman"/>
                <w:color w:val="000000"/>
                <w:sz w:val="16"/>
                <w:szCs w:val="16"/>
                <w:lang w:eastAsia="fr-FR"/>
              </w:rPr>
              <w:t>Note n° 1 – Différence en valeur des demandes à la date de dépôt et à la date de réception par le Bureau international</w:t>
            </w:r>
          </w:p>
        </w:tc>
      </w:tr>
    </w:tbl>
    <w:p w:rsidR="00153718" w:rsidRPr="004A364D" w:rsidRDefault="00153718" w:rsidP="00F516DC"/>
    <w:p w:rsidR="006F64E2" w:rsidRPr="004A364D" w:rsidRDefault="00A5126D" w:rsidP="00E566A8">
      <w:pPr>
        <w:pStyle w:val="ONUMFS"/>
      </w:pPr>
      <w:r w:rsidRPr="004A364D">
        <w:t>Généralement, il y a un écart d</w:t>
      </w:r>
      <w:r w:rsidR="003D3AF4" w:rsidRPr="004A364D">
        <w:t>’</w:t>
      </w:r>
      <w:r w:rsidRPr="004A364D">
        <w:t>un à trois</w:t>
      </w:r>
      <w:r w:rsidR="007C38A4" w:rsidRPr="004A364D">
        <w:t> </w:t>
      </w:r>
      <w:r w:rsidRPr="004A364D">
        <w:t xml:space="preserve">mois entre la date de dépôt et la date de réception des taxes par le Bureau international.  Les discussions avec le consultant chargé de fournir des avis techniques sur les procédures comptables ont fait apparaître que, si la stratégie de couverture était mise en </w:t>
      </w:r>
      <w:r w:rsidR="00575E58" w:rsidRPr="004A364D">
        <w:t>œuvre</w:t>
      </w:r>
      <w:r w:rsidRPr="004A364D">
        <w:t xml:space="preserve"> de janvier à décembre chaque année, elle ne compenserait pas complètement dans les états financiers tout grain ou perte de change pour les demandes déposées en janvier ou en février.</w:t>
      </w:r>
      <w:r w:rsidR="00D53E8E" w:rsidRPr="004A364D">
        <w:t xml:space="preserve">  </w:t>
      </w:r>
      <w:r w:rsidRPr="004A364D">
        <w:t>Pour cette période de deux</w:t>
      </w:r>
      <w:r w:rsidR="007C38A4" w:rsidRPr="004A364D">
        <w:t> </w:t>
      </w:r>
      <w:r w:rsidRPr="004A364D">
        <w:t xml:space="preserve">mois, les taxes payées par </w:t>
      </w:r>
      <w:r w:rsidR="00575E58" w:rsidRPr="004A364D">
        <w:t>le déposant</w:t>
      </w:r>
      <w:r w:rsidRPr="004A364D">
        <w:t xml:space="preserve"> seraient basées sur le taux de couverture pondéré pour l</w:t>
      </w:r>
      <w:r w:rsidR="003D3AF4" w:rsidRPr="004A364D">
        <w:t>’</w:t>
      </w:r>
      <w:r w:rsidRPr="004A364D">
        <w:t>année précédente et le contrat à terme serait au taux de l</w:t>
      </w:r>
      <w:r w:rsidR="003D3AF4" w:rsidRPr="004A364D">
        <w:t>’</w:t>
      </w:r>
      <w:r w:rsidRPr="004A364D">
        <w:t>année en cours.</w:t>
      </w:r>
      <w:r w:rsidR="00D53E8E" w:rsidRPr="004A364D">
        <w:t xml:space="preserve">  </w:t>
      </w:r>
      <w:r w:rsidRPr="004A364D">
        <w:t>Les gains ou pertes de change qui en résultent devraient donc continuer d</w:t>
      </w:r>
      <w:r w:rsidR="003D3AF4" w:rsidRPr="004A364D">
        <w:t>’</w:t>
      </w:r>
      <w:r w:rsidRPr="004A364D">
        <w:t xml:space="preserve">être comptabilisés dans les états financiers pour cette </w:t>
      </w:r>
      <w:r w:rsidR="00575E58" w:rsidRPr="004A364D">
        <w:t>période</w:t>
      </w:r>
      <w:r w:rsidRPr="004A364D">
        <w:t>.</w:t>
      </w:r>
    </w:p>
    <w:p w:rsidR="006F64E2" w:rsidRPr="004A364D" w:rsidRDefault="00A5126D" w:rsidP="00E566A8">
      <w:pPr>
        <w:pStyle w:val="ONUMFS"/>
      </w:pPr>
      <w:r w:rsidRPr="004A364D">
        <w:t>L</w:t>
      </w:r>
      <w:r w:rsidR="003D3AF4" w:rsidRPr="004A364D">
        <w:t>’</w:t>
      </w:r>
      <w:r w:rsidRPr="004A364D">
        <w:t>incidence de la couverture des risques de change sur les états financiers est encore compliquée par le fait que les recettes sont comptabilisées dans l</w:t>
      </w:r>
      <w:r w:rsidR="003D3AF4" w:rsidRPr="004A364D">
        <w:t>’</w:t>
      </w:r>
      <w:r w:rsidRPr="004A364D">
        <w:t>état de la performance financière à une phase différente du cycle de la demande internationale que dans le budget.</w:t>
      </w:r>
      <w:r w:rsidR="00D53E8E" w:rsidRPr="004A364D">
        <w:t xml:space="preserve">  </w:t>
      </w:r>
      <w:r w:rsidRPr="004A364D">
        <w:t>Les recettes sont comptabilisées dans le budget en trésorerie – lorsque les fonds sont reçus par le Bureau international de la part des offices récepteurs.</w:t>
      </w:r>
      <w:r w:rsidR="00D53E8E" w:rsidRPr="004A364D">
        <w:t xml:space="preserve">  </w:t>
      </w:r>
      <w:r w:rsidRPr="004A364D">
        <w:t>Dans les états financiers, lorsqu</w:t>
      </w:r>
      <w:r w:rsidR="003D3AF4" w:rsidRPr="004A364D">
        <w:t>’</w:t>
      </w:r>
      <w:r w:rsidRPr="004A364D">
        <w:t>une demande est déposée auprès d</w:t>
      </w:r>
      <w:r w:rsidR="003D3AF4" w:rsidRPr="004A364D">
        <w:t>’</w:t>
      </w:r>
      <w:r w:rsidRPr="004A364D">
        <w:t>un office récepteur (ou du Bureau international agissant en tant qu</w:t>
      </w:r>
      <w:r w:rsidR="003D3AF4" w:rsidRPr="004A364D">
        <w:t>’</w:t>
      </w:r>
      <w:r w:rsidRPr="004A364D">
        <w:t>office récepteur), elle est comptabilisée comme encaissement par anticipation et inscrite au passif dans les livres comptables jusqu</w:t>
      </w:r>
      <w:r w:rsidR="003D3AF4" w:rsidRPr="004A364D">
        <w:t>’</w:t>
      </w:r>
      <w:r w:rsidRPr="004A364D">
        <w:t>à l</w:t>
      </w:r>
      <w:r w:rsidR="003D3AF4" w:rsidRPr="004A364D">
        <w:t>’</w:t>
      </w:r>
      <w:r w:rsidRPr="004A364D">
        <w:t>achèvement du traitement de la demande par le Bureau international.</w:t>
      </w:r>
      <w:r w:rsidR="00D53E8E" w:rsidRPr="004A364D">
        <w:t xml:space="preserve">  </w:t>
      </w:r>
      <w:r w:rsidRPr="004A364D">
        <w:t>Il s</w:t>
      </w:r>
      <w:r w:rsidR="003D3AF4" w:rsidRPr="004A364D">
        <w:t>’</w:t>
      </w:r>
      <w:r w:rsidRPr="004A364D">
        <w:t>agit de la date à laquelle la demande est publiée dans la Gazette.</w:t>
      </w:r>
      <w:r w:rsidR="00D53E8E" w:rsidRPr="004A364D">
        <w:t xml:space="preserve">  </w:t>
      </w:r>
      <w:r w:rsidRPr="004A364D">
        <w:t>Cette publication intervient généralement six</w:t>
      </w:r>
      <w:r w:rsidR="007C38A4" w:rsidRPr="004A364D">
        <w:t> </w:t>
      </w:r>
      <w:r w:rsidRPr="004A364D">
        <w:t>mois après la date de dépôt.</w:t>
      </w:r>
      <w:r w:rsidR="00D53E8E" w:rsidRPr="004A364D">
        <w:t xml:space="preserve">  </w:t>
      </w:r>
      <w:r w:rsidRPr="004A364D">
        <w:t>À cette date, les recettes sont comptabilisées à la valeur en francs suisses de la taxe payée à la date du dépôt.</w:t>
      </w:r>
    </w:p>
    <w:p w:rsidR="003D3AF4" w:rsidRPr="004A364D" w:rsidRDefault="00A5126D" w:rsidP="00E566A8">
      <w:pPr>
        <w:pStyle w:val="ONUMFS"/>
      </w:pPr>
      <w:r w:rsidRPr="004A364D">
        <w:t xml:space="preserve">Ainsi, une fois la stratégie de couverture mise en </w:t>
      </w:r>
      <w:r w:rsidR="00575E58" w:rsidRPr="004A364D">
        <w:t>œuvre</w:t>
      </w:r>
      <w:r w:rsidRPr="004A364D">
        <w:t>, les taxes payées en</w:t>
      </w:r>
      <w:r w:rsidR="007C38A4" w:rsidRPr="004A364D">
        <w:t> </w:t>
      </w:r>
      <w:r w:rsidRPr="004A364D">
        <w:t>2016 seraient fondées sur le taux de couverture pondéré fixé vers la fin d</w:t>
      </w:r>
      <w:r w:rsidR="003D3AF4" w:rsidRPr="004A364D">
        <w:t>’</w:t>
      </w:r>
      <w:r w:rsidRPr="004A364D">
        <w:t>octobre 2015.</w:t>
      </w:r>
      <w:r w:rsidR="00D53E8E" w:rsidRPr="004A364D">
        <w:t xml:space="preserve">  </w:t>
      </w:r>
      <w:r w:rsidR="00575E58" w:rsidRPr="004A364D">
        <w:t xml:space="preserve">Or, les </w:t>
      </w:r>
      <w:r w:rsidR="00575E58" w:rsidRPr="004A364D">
        <w:lastRenderedPageBreak/>
        <w:t>six</w:t>
      </w:r>
      <w:r w:rsidR="007C38A4" w:rsidRPr="004A364D">
        <w:t> </w:t>
      </w:r>
      <w:r w:rsidR="00575E58" w:rsidRPr="004A364D">
        <w:t>premiers mois de</w:t>
      </w:r>
      <w:r w:rsidR="007C38A4" w:rsidRPr="004A364D">
        <w:t> </w:t>
      </w:r>
      <w:r w:rsidR="00575E58" w:rsidRPr="004A364D">
        <w:t>2016, les recettes seraient comptabilisées dans les états financiers pour les taxes payées au cours des six</w:t>
      </w:r>
      <w:r w:rsidR="007C38A4" w:rsidRPr="004A364D">
        <w:t> </w:t>
      </w:r>
      <w:r w:rsidR="00575E58" w:rsidRPr="004A364D">
        <w:t>derniers mois de</w:t>
      </w:r>
      <w:r w:rsidR="007C38A4" w:rsidRPr="004A364D">
        <w:t> </w:t>
      </w:r>
      <w:r w:rsidR="00575E58" w:rsidRPr="004A364D">
        <w:t>2015 selon le processus des nouveaux montants équivalents des taxes</w:t>
      </w:r>
      <w:r w:rsidR="003D3AF4" w:rsidRPr="004A364D">
        <w:t xml:space="preserve"> du PCT</w:t>
      </w:r>
      <w:r w:rsidR="00575E58" w:rsidRPr="004A364D">
        <w:t xml:space="preserve"> et, au cours du second semestre de</w:t>
      </w:r>
      <w:r w:rsidR="007C38A4" w:rsidRPr="004A364D">
        <w:t> </w:t>
      </w:r>
      <w:r w:rsidR="00575E58" w:rsidRPr="004A364D">
        <w:t>2016, au taux de couverture pondéré utilisé dans les contrats à terme.</w:t>
      </w:r>
      <w:r w:rsidR="00D53E8E" w:rsidRPr="004A364D">
        <w:t xml:space="preserve">  </w:t>
      </w:r>
      <w:r w:rsidR="00575E58" w:rsidRPr="004A364D">
        <w:t>En</w:t>
      </w:r>
      <w:r w:rsidR="007C38A4" w:rsidRPr="004A364D">
        <w:t> </w:t>
      </w:r>
      <w:r w:rsidR="00575E58" w:rsidRPr="004A364D">
        <w:t>2017, les recettes seraient comptabilisées pour les six</w:t>
      </w:r>
      <w:r w:rsidR="007C38A4" w:rsidRPr="004A364D">
        <w:t> </w:t>
      </w:r>
      <w:r w:rsidR="00575E58" w:rsidRPr="004A364D">
        <w:t>premiers mois au taux de couverture pour</w:t>
      </w:r>
      <w:r w:rsidR="007C38A4" w:rsidRPr="004A364D">
        <w:t> </w:t>
      </w:r>
      <w:r w:rsidR="00575E58" w:rsidRPr="004A364D">
        <w:t>2016 et, au second semestre, au taux de couverture pour</w:t>
      </w:r>
      <w:r w:rsidR="007C38A4" w:rsidRPr="004A364D">
        <w:t> </w:t>
      </w:r>
      <w:r w:rsidR="00575E58" w:rsidRPr="004A364D">
        <w:t>2017.</w:t>
      </w:r>
    </w:p>
    <w:p w:rsidR="004A364D" w:rsidRPr="004A364D" w:rsidRDefault="004A364D" w:rsidP="004A364D">
      <w:pPr>
        <w:pStyle w:val="ONUMFS"/>
      </w:pPr>
      <w:r w:rsidRPr="004A364D">
        <w:t xml:space="preserve">Pour compenser la première variation de change entre la date du dépôt et la date de réception du montant correspondant de la part de l’office récepteur, il serait nécessaire de revoir la période de couverture afin qu’elle commence au mois de mars et se termine au mois de février de l’année suivante.  Pour compenser la seconde variation de change (comptabilisation des produits), il conviendrait de revoir la période de couverture et donc celle d’établissement des taxes afin qu’elle s’étale du mois de juillet au mois de juin de l’année suivante plutôt que sur l’année civile.  Il faut encore déterminer quelle est la période de couverture qui offre la meilleure protection en ce qui concerne les recettes de l’OMPI.  Les incidences de ces modifications éventuelles doivent être examinées plus en détail avec le vérificateur externe des comptes afin de garantir que l’approche utilisée est tout à fait conforme à celle pour la comptabilisation des produits.  </w:t>
      </w:r>
    </w:p>
    <w:p w:rsidR="004A364D" w:rsidRPr="004A364D" w:rsidRDefault="004A364D" w:rsidP="004A364D">
      <w:pPr>
        <w:pStyle w:val="ONUMFS"/>
      </w:pPr>
      <w:r w:rsidRPr="004A364D">
        <w:t>Il convient également de noter qu’en modifiant la période de couverture en passant d’une année civile à une période allant de mars à février ou de juillet à juin, celle</w:t>
      </w:r>
      <w:r w:rsidRPr="004A364D">
        <w:noBreakHyphen/>
        <w:t>ci passerait de 15 mois à compter de la date à laquelle les contrats à terme sont exécutés (le premier lundi du mois d’octobre de l’année précédente) à 17 mois (de mars à février) ou 21 mois (de juillet à juin).  Cette modification pourrait faire augmenter le coût des contrats à terme et également le niveau du taux de couverture pondéré, du fait que les banques contractantes devraient tenir compte de ce risque supplémentaire lorsqu’elles présentent leur offre.</w:t>
      </w:r>
    </w:p>
    <w:p w:rsidR="004A364D" w:rsidRPr="004A364D" w:rsidRDefault="004A364D" w:rsidP="004A364D">
      <w:pPr>
        <w:pStyle w:val="Heading2"/>
      </w:pPr>
      <w:r w:rsidRPr="004A364D">
        <w:t>Couverture des taxes de recherche</w:t>
      </w:r>
    </w:p>
    <w:p w:rsidR="004A364D" w:rsidRPr="004A364D" w:rsidRDefault="004A364D" w:rsidP="004A364D"/>
    <w:p w:rsidR="004A364D" w:rsidRPr="004A364D" w:rsidRDefault="004A364D" w:rsidP="004A364D">
      <w:pPr>
        <w:pStyle w:val="ONUMFS"/>
      </w:pPr>
      <w:r w:rsidRPr="004A364D">
        <w:t>Dans le cadre d’un programme pilote réunissant l’Office des brevets et des marques des États</w:t>
      </w:r>
      <w:r w:rsidRPr="004A364D">
        <w:noBreakHyphen/>
        <w:t>Unis d’Amérique (USPTO), l’Office européen des brevets (OEB) et le Bureau international, l’OMPI reçoit actuellement les taxes de recherche en dollars É.</w:t>
      </w:r>
      <w:r w:rsidRPr="004A364D">
        <w:noBreakHyphen/>
        <w:t>U. pour les demandes selon le PCT déposées auprès de l’USPTO pour lesquelles l’OEB est l’administration compétente chargée de la recherche internationale, qui perçoit les taxes en euros.  L’OMPI utilise les euros qu’elle détient en dépôt pour transférer ces taxes de recherche en euros à l’OEB.  Le montant en jeu en euros est conséquent et s’élevait au total à 51,8 millions de dollars É.</w:t>
      </w:r>
      <w:r w:rsidRPr="004A364D">
        <w:noBreakHyphen/>
        <w:t>U. en 2014.  La procédure n’a actuellement aucune incidence sur les gains ou les pertes de change, car l’opération est traitée intégralement sur un mois civil sans fluctuations des taux de change.</w:t>
      </w:r>
    </w:p>
    <w:p w:rsidR="004A364D" w:rsidRPr="004A364D" w:rsidRDefault="004A364D" w:rsidP="004A364D">
      <w:pPr>
        <w:pStyle w:val="ONUMFS"/>
      </w:pPr>
      <w:r w:rsidRPr="004A364D">
        <w:t>Toutefois, comme indiqué au paragraphe 12 ci</w:t>
      </w:r>
      <w:r w:rsidRPr="004A364D">
        <w:noBreakHyphen/>
        <w:t>dessus, l’OMPI ne peut couvrir ses recettes contre les gains ou les pertes de change dans une monnaie que dans la limite du montant net disponible dans cette monnaie chaque mois.  Si le processus actuel de transfert de fonds à l’OEB devait se poursuivre, l’OMPI disposerait de plus de dollars É.</w:t>
      </w:r>
      <w:r w:rsidRPr="004A364D">
        <w:noBreakHyphen/>
        <w:t>U. et de moins d’euros chaque mois, ce qui modifierait radicalement les liquidités disponibles dans chacune de ces monnaies, comme indiqué au paragraphe 12 ci</w:t>
      </w:r>
      <w:r w:rsidRPr="004A364D">
        <w:noBreakHyphen/>
        <w:t xml:space="preserve">dessus.  </w:t>
      </w:r>
    </w:p>
    <w:p w:rsidR="004A364D" w:rsidRPr="004A364D" w:rsidRDefault="004A364D" w:rsidP="004A364D">
      <w:pPr>
        <w:pStyle w:val="ONUMFS"/>
      </w:pPr>
      <w:r w:rsidRPr="004A364D">
        <w:t>Il s’agit pour l’instant d’une étude pilote devant faire l’objet d’un réexamen annuel.  Il existe d’autres stratégies pour permettre à l’OMPI de maintenir cet arrangement :</w:t>
      </w:r>
    </w:p>
    <w:p w:rsidR="004A364D" w:rsidRPr="004A364D" w:rsidRDefault="004A364D" w:rsidP="004A364D">
      <w:pPr>
        <w:pStyle w:val="ONUMFS"/>
        <w:numPr>
          <w:ilvl w:val="1"/>
          <w:numId w:val="3"/>
        </w:numPr>
      </w:pPr>
      <w:r w:rsidRPr="004A364D">
        <w:t>Continuer à utiliser les euros disponibles pour transférer les taxes de recherche en euros à l’OEB et conserver les dollars É.</w:t>
      </w:r>
      <w:r w:rsidRPr="004A364D">
        <w:noBreakHyphen/>
        <w:t>U. envoyés à l’OMPI par l’USPTO.  Cela modifierait les chiffres indiqués au paragraphe 12 ci</w:t>
      </w:r>
      <w:r w:rsidRPr="004A364D">
        <w:noBreakHyphen/>
        <w:t>dessus, de sorte que 90% des taxes du PCT à payer en dollars É.</w:t>
      </w:r>
      <w:r w:rsidRPr="004A364D">
        <w:noBreakHyphen/>
        <w:t xml:space="preserve">U. seraient couvertes plutôt que 55%.  Toutefois, l’OMPI ne </w:t>
      </w:r>
      <w:r w:rsidRPr="004A364D">
        <w:lastRenderedPageBreak/>
        <w:t xml:space="preserve">disposerait plus d’euros pour couvrir les taxes du PCT en euros, car elle n’aurait plus d’euros à convertir en francs suisses moyennant des contrats à terme.  </w:t>
      </w:r>
    </w:p>
    <w:p w:rsidR="004A364D" w:rsidRPr="004A364D" w:rsidRDefault="004A364D" w:rsidP="004A364D">
      <w:pPr>
        <w:pStyle w:val="ONUMFS"/>
        <w:numPr>
          <w:ilvl w:val="1"/>
          <w:numId w:val="3"/>
        </w:numPr>
      </w:pPr>
      <w:r w:rsidRPr="004A364D">
        <w:t>Vendre les dollars É.</w:t>
      </w:r>
      <w:r w:rsidRPr="004A364D">
        <w:noBreakHyphen/>
        <w:t>U. reçus pour acheter des euros.  Toutefois, cette opération pourrait entraîner des variations de change même si les dollars É.</w:t>
      </w:r>
      <w:r w:rsidRPr="004A364D">
        <w:noBreakHyphen/>
        <w:t>U. étaient vendus immédiatement, car la vente se ferait au taux de la banque et tout écart entre le taux de la banque et le taux de change opérationnel de l’Organisation des Nations Unies à la date de la vente serait comptabilisé en tant que gain ou perte de change.</w:t>
      </w:r>
    </w:p>
    <w:p w:rsidR="004A364D" w:rsidRPr="004A364D" w:rsidRDefault="004A364D" w:rsidP="004A364D">
      <w:pPr>
        <w:pStyle w:val="ONUMFS"/>
        <w:numPr>
          <w:ilvl w:val="1"/>
          <w:numId w:val="3"/>
        </w:numPr>
      </w:pPr>
      <w:r w:rsidRPr="004A364D">
        <w:t>Acheter un contrat à terme pour couvrir cette opération séparément de la couverture des recettes provenant du PCT.  Cette solution semble être la meilleure, mais elle pose des problèmes de flux de trésorerie semblables à ceux mentionnés aux paragraphes 18 à 21 ci</w:t>
      </w:r>
      <w:r w:rsidRPr="004A364D">
        <w:noBreakHyphen/>
        <w:t>dessus.</w:t>
      </w:r>
    </w:p>
    <w:p w:rsidR="004A364D" w:rsidRPr="004A364D" w:rsidRDefault="004A364D" w:rsidP="004A364D">
      <w:pPr>
        <w:pStyle w:val="ONUMFS"/>
      </w:pPr>
      <w:r w:rsidRPr="004A364D">
        <w:t>Une étude détaillée doit être réalisée avant de parvenir à un quelconque accord sur la prolongation de l’arrangement actuel.  Cette étude s’inscrira dans la simulation de “validation du concept” relative à la couverture des taxes de recherche réalisée à la demande du Groupe de travail du PCT (voir le paragraphe 4.c) ci</w:t>
      </w:r>
      <w:r w:rsidRPr="004A364D">
        <w:noBreakHyphen/>
        <w:t>dessus).  En outre, la procédure comptable à utiliser quelle que soit l’approche retenue devra être examinée avec le vérificateur externe des comptes pour veiller à ce qu’aucune réserve ne soit émise à l’égard des états financiers de l’OMPI.</w:t>
      </w:r>
    </w:p>
    <w:p w:rsidR="004A364D" w:rsidRPr="004A364D" w:rsidRDefault="004A364D" w:rsidP="004A364D">
      <w:pPr>
        <w:pStyle w:val="Heading2"/>
      </w:pPr>
      <w:r w:rsidRPr="004A364D">
        <w:t>Traitement comptable des opérations de couverture selon les normes IPSAS</w:t>
      </w:r>
    </w:p>
    <w:p w:rsidR="004A364D" w:rsidRPr="004A364D" w:rsidRDefault="004A364D" w:rsidP="004A364D"/>
    <w:p w:rsidR="004A364D" w:rsidRPr="004A364D" w:rsidRDefault="004A364D" w:rsidP="004A364D">
      <w:pPr>
        <w:pStyle w:val="ONUMFS"/>
      </w:pPr>
      <w:r w:rsidRPr="004A364D">
        <w:t>Comme mentionné plus haut, un consultant a été mandaté pour fournir des informations sur les opérations comptables qui seraient nécessaires pour assurer la pleine conformité avec les normes IPSAS une fois la stratégie de couverture des risques de change en place.  La norme IPSAS 29 (Instruments financiers : comptabilisation et évaluation) prévoit d’autres approches comptables pouvant être utilisées lorsqu’une partie hautement prévisible des prévisions de recettes provenant du PCT est couverte par une série de contrats à terme mensuels.  Chaque option présente des avantages et des inconvénients qui doivent être examinés pour déterminer quel est le traitement qui répond le mieux aux recommandations du Groupe de travail du PCT.  Le consultant fournira des informations détaillées sur les incidences des options disponibles, ainsi que des recommandations.</w:t>
      </w:r>
    </w:p>
    <w:p w:rsidR="004A364D" w:rsidRPr="004A364D" w:rsidRDefault="004A364D" w:rsidP="004A364D">
      <w:pPr>
        <w:pStyle w:val="Heading2"/>
      </w:pPr>
      <w:r w:rsidRPr="004A364D">
        <w:t>Incidence sur les états financiers</w:t>
      </w:r>
    </w:p>
    <w:p w:rsidR="004A364D" w:rsidRPr="004A364D" w:rsidRDefault="004A364D" w:rsidP="004A364D"/>
    <w:p w:rsidR="004A364D" w:rsidRPr="004A364D" w:rsidRDefault="004A364D" w:rsidP="004A364D">
      <w:pPr>
        <w:pStyle w:val="ONUMFS"/>
      </w:pPr>
      <w:r w:rsidRPr="004A364D">
        <w:t>Outre l’incidence de la stratégie de couverture des risques de change sur les résultats budgétaires, il est essentiel d’examiner aussi l’incidence de la stratégie de mise en œuvre sur la performance financière et sur les actifs nets/réserves consignés dans les états financiers selon les normes IPSAS.  Une analyse est en cours pour démontrer l’incidence qu’aurait eue la stratégie de couverture des risques de change sur les résultats budgétaires de l’OMPI et les résultats des états financiers pour 2013, 2014 et le premier semestre de 2015.  Cette analyse aidera à déterminer quelle est l’approche comptable qui permet de protéger au mieux à la fois les résultats budgétaires de l’OMPI et les actifs nets/réserves fondés sur les normes IPSAS contre les fluctuations des taux de change.  La stratégie jugée la plus efficace devra être examinée en détail avec le vérificateur externe des comptes pour déterminer ensemble l’incidence qu’aura cette approche sur les états financiers vérifiés.</w:t>
      </w:r>
    </w:p>
    <w:p w:rsidR="004A364D" w:rsidRPr="004A364D" w:rsidRDefault="004A364D" w:rsidP="004A364D">
      <w:pPr>
        <w:pStyle w:val="ONUMFS"/>
      </w:pPr>
      <w:r w:rsidRPr="004A364D">
        <w:t>L’une des difficultés rencontrées lorsque l’on examine l’historique des taux réside dans le fait que chacune des trois monnaies s’est comportée très différemment par rapport au franc suisse.  Des informations sur l’incidence de l’évolution du rapport de ces trois monnaies au franc suisse sont présentées à l’annexe I. </w:t>
      </w:r>
    </w:p>
    <w:p w:rsidR="004A364D" w:rsidRPr="004A364D" w:rsidRDefault="004A364D" w:rsidP="004A364D">
      <w:pPr>
        <w:pStyle w:val="Heading1"/>
      </w:pPr>
      <w:r w:rsidRPr="004A364D">
        <w:lastRenderedPageBreak/>
        <w:t>La voie à suivre</w:t>
      </w:r>
    </w:p>
    <w:p w:rsidR="004A364D" w:rsidRPr="004A364D" w:rsidRDefault="004A364D" w:rsidP="004A364D"/>
    <w:p w:rsidR="004A364D" w:rsidRPr="004A364D" w:rsidRDefault="004A364D" w:rsidP="004A364D">
      <w:pPr>
        <w:pStyle w:val="ONUMFS"/>
      </w:pPr>
      <w:r w:rsidRPr="004A364D">
        <w:t>Comme il a été expliqué ci</w:t>
      </w:r>
      <w:r w:rsidRPr="004A364D">
        <w:noBreakHyphen/>
        <w:t>dessus, des problèmes et des risques ont été recensés qui, de l’avis du Secrétariat, méritent des recherches et une analyse plus poussée avant qu’une stratégie de couverture des risques de change donnée puisse être adoptée et des accords contractuels conclus avec des contreparties pour les opérations de couverture.  Cette tâche nécessitera évidemment du temps et des ressources, voire beaucoup de temps, compte tenu de la complexité des questions à l’étude.  Si la stratégie de couverture des risques de change était mise en œuvre sans que soient limités les risques associés aux questions recensées, le coût financier pour l’Organisation pourrait être considérable.</w:t>
      </w:r>
    </w:p>
    <w:p w:rsidR="004A364D" w:rsidRPr="004A364D" w:rsidRDefault="004A364D" w:rsidP="004A364D">
      <w:pPr>
        <w:pStyle w:val="ONUMFS"/>
      </w:pPr>
      <w:r w:rsidRPr="004A364D">
        <w:t>Il est donc demandé au comité de donner son avis sur la meilleure façon de procéder à ce stade, étant donné que l’Assemblée de l’Union du PCT est invitée (voie le document PCT/A/47/5) à adopter, à sa prochaine session qui se tiendra en octobre 2015, des modifications du cadre juridique du PCT afin de permettre au Bureau international de commencer à couvrir les risques de change imputables aux versements de la taxe internationale de dépôt en euros, en yen japonais et en dollars É.</w:t>
      </w:r>
      <w:r w:rsidRPr="004A364D">
        <w:noBreakHyphen/>
        <w:t>U.</w:t>
      </w:r>
    </w:p>
    <w:p w:rsidR="004A364D" w:rsidRPr="004A364D" w:rsidRDefault="004A364D" w:rsidP="004A364D"/>
    <w:p w:rsidR="004A364D" w:rsidRPr="004A364D" w:rsidRDefault="004A364D" w:rsidP="004A364D"/>
    <w:p w:rsidR="004A364D" w:rsidRPr="004A364D" w:rsidRDefault="004A364D" w:rsidP="004A364D">
      <w:pPr>
        <w:pStyle w:val="Endofdocument-Annex"/>
      </w:pPr>
      <w:r w:rsidRPr="004A364D">
        <w:t>[L’annexe suit]</w:t>
      </w:r>
    </w:p>
    <w:p w:rsidR="004A364D" w:rsidRPr="004A364D" w:rsidRDefault="004A364D" w:rsidP="004A364D"/>
    <w:p w:rsidR="004A364D" w:rsidRPr="004A364D" w:rsidRDefault="004A364D" w:rsidP="004A364D">
      <w:pPr>
        <w:pStyle w:val="ONUMFS"/>
        <w:numPr>
          <w:ilvl w:val="0"/>
          <w:numId w:val="0"/>
        </w:numPr>
        <w:sectPr w:rsidR="004A364D" w:rsidRPr="004A364D" w:rsidSect="004A364D">
          <w:headerReference w:type="default" r:id="rId10"/>
          <w:endnotePr>
            <w:numFmt w:val="decimal"/>
          </w:endnotePr>
          <w:pgSz w:w="11907" w:h="16840" w:code="9"/>
          <w:pgMar w:top="567" w:right="1134" w:bottom="1417" w:left="1417" w:header="510" w:footer="1020" w:gutter="0"/>
          <w:cols w:space="720"/>
          <w:titlePg/>
          <w:docGrid w:linePitch="299"/>
        </w:sectPr>
      </w:pPr>
    </w:p>
    <w:p w:rsidR="004A364D" w:rsidRPr="004A364D" w:rsidRDefault="004A364D" w:rsidP="004A364D">
      <w:pPr>
        <w:pStyle w:val="Heading1"/>
      </w:pPr>
      <w:r w:rsidRPr="004A364D">
        <w:lastRenderedPageBreak/>
        <w:t>Rapport de l’euro, du yen japonais et du dollar É.</w:t>
      </w:r>
      <w:r w:rsidRPr="004A364D">
        <w:noBreakHyphen/>
        <w:t>U. au franc suisse en 2013, 2014 et 2015 (jusqu’au 31 juillet 2015)</w:t>
      </w:r>
    </w:p>
    <w:p w:rsidR="004A364D" w:rsidRPr="004A364D" w:rsidRDefault="004A364D" w:rsidP="004A364D"/>
    <w:p w:rsidR="004A364D" w:rsidRPr="004A364D" w:rsidRDefault="004A364D" w:rsidP="004A364D">
      <w:pPr>
        <w:pStyle w:val="ONUMFS"/>
        <w:numPr>
          <w:ilvl w:val="0"/>
          <w:numId w:val="10"/>
        </w:numPr>
      </w:pPr>
      <w:r w:rsidRPr="004A364D">
        <w:t>Les diagrammes ci</w:t>
      </w:r>
      <w:r w:rsidRPr="004A364D">
        <w:noBreakHyphen/>
        <w:t>après montrent le rapport des trois monnaies à couvrir au franc suisse en 2013, 2014 et durant les sept premiers mois de 2015.  La ligne en tirets indique le taux utilisé pour établir les taxes du PCT, la ligne en pointillé le taux de change opérationnel de l’Organisation des Nations Unies et la ligne continue le taux estimé qui aurait été utilisé comme taux de couverture pondéré si les contrats à terme avaient été achetés au mois d’octobre de chaque année.</w:t>
      </w:r>
    </w:p>
    <w:p w:rsidR="004A364D" w:rsidRPr="004A364D" w:rsidRDefault="004A364D" w:rsidP="004A364D">
      <w:pPr>
        <w:pStyle w:val="ONUMFS"/>
      </w:pPr>
      <w:r w:rsidRPr="004A364D">
        <w:t>Durant la période comprise entre les mois de janvier 2013 et janvier 2015, le franc suisse était indexé sur l’euro, le taux ne pouvant fluctuer que dans une fourchette très étroite.  Il n’y a pas eu de modification du barème des taxes du PCT durant cette période et celui</w:t>
      </w:r>
      <w:r w:rsidRPr="004A364D">
        <w:noBreakHyphen/>
        <w:t>ci suivait de près le taux couvert.  Toutefois, lorsque la Banque nationale suisse a décidé de ne plus indexer le franc suisse sur l’euro, le taux a chuté de 17%, même s’il est légèrement remonté au début du mois de juillet.  Avec le nouveau processus d’établissement des montants équivalents actuellement en vigueur, de nouveaux montants équivalents pour les taxes du PCT ont été fixés avec effet au 1</w:t>
      </w:r>
      <w:r w:rsidRPr="004A364D">
        <w:rPr>
          <w:vertAlign w:val="superscript"/>
        </w:rPr>
        <w:t>er</w:t>
      </w:r>
      <w:r w:rsidRPr="004A364D">
        <w:t xml:space="preserve"> avril 2015, ce qui a permis à l’OMPI de stabiliser les pertes en ce qui concerne les recettes provenant de taxes du PCT.  </w:t>
      </w:r>
    </w:p>
    <w:p w:rsidR="004A364D" w:rsidRPr="004A364D" w:rsidRDefault="004A364D" w:rsidP="004A364D">
      <w:pPr>
        <w:pStyle w:val="ONUMFS"/>
      </w:pPr>
      <w:r w:rsidRPr="004A364D">
        <w:t>Si le processus proposé avait été en place, les taxes du PCT à payer en euros auraient été établies en fonction du taux de couverture pondéré fixé en octobre 2014, c’est</w:t>
      </w:r>
      <w:r w:rsidRPr="004A364D">
        <w:noBreakHyphen/>
        <w:t>à</w:t>
      </w:r>
      <w:r w:rsidRPr="004A364D">
        <w:noBreakHyphen/>
        <w:t xml:space="preserve">dire avant la décision de la Banque nationale suisse de ne plus indexer le franc suisse sur l’euro.  Par conséquent, les déposants auraient continué à payer les taxes en euros au montant inférieur, ce qui se serait traduit par une perte de revenus provenant des taxes du PCT et une baisse significative des recettes totales de l’Organisation.  Cependant, cette perte aurait été compensée par les gains réalisés sur l’exécution des contrats à terme (francs suisses reçus sur les contrats à terme au taux de couverture pondéré par rapport aux francs suisses dus au taux de change opérationnel de l’Organisation des Nations Unies).  </w:t>
      </w:r>
    </w:p>
    <w:p w:rsidR="004A364D" w:rsidRPr="004A364D" w:rsidRDefault="004A364D" w:rsidP="004A364D">
      <w:pPr>
        <w:keepNext/>
        <w:jc w:val="center"/>
        <w:rPr>
          <w:lang w:eastAsia="en-US"/>
        </w:rPr>
      </w:pPr>
      <w:proofErr w:type="gramStart"/>
      <w:r w:rsidRPr="004A364D">
        <w:rPr>
          <w:lang w:eastAsia="en-US"/>
        </w:rPr>
        <w:t>euro</w:t>
      </w:r>
      <w:proofErr w:type="gramEnd"/>
      <w:r w:rsidRPr="004A364D">
        <w:rPr>
          <w:lang w:eastAsia="en-US"/>
        </w:rPr>
        <w:t xml:space="preserve"> = franc suisse</w:t>
      </w:r>
    </w:p>
    <w:p w:rsidR="004A364D" w:rsidRPr="004A364D" w:rsidRDefault="004A364D" w:rsidP="004A364D">
      <w:pPr>
        <w:jc w:val="center"/>
        <w:rPr>
          <w:lang w:eastAsia="en-US"/>
        </w:rPr>
      </w:pPr>
      <w:r w:rsidRPr="004A364D">
        <w:rPr>
          <w:noProof/>
          <w:lang w:val="en-US" w:eastAsia="en-US"/>
        </w:rPr>
        <w:drawing>
          <wp:inline distT="0" distB="0" distL="0" distR="0" wp14:anchorId="28421121" wp14:editId="0997EC51">
            <wp:extent cx="5203065" cy="368880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3065" cy="3688800"/>
                    </a:xfrm>
                    <a:prstGeom prst="rect">
                      <a:avLst/>
                    </a:prstGeom>
                    <a:noFill/>
                    <a:ln>
                      <a:noFill/>
                    </a:ln>
                  </pic:spPr>
                </pic:pic>
              </a:graphicData>
            </a:graphic>
          </wp:inline>
        </w:drawing>
      </w:r>
    </w:p>
    <w:p w:rsidR="004A364D" w:rsidRPr="004A364D" w:rsidRDefault="004A364D" w:rsidP="004A364D">
      <w:pPr>
        <w:rPr>
          <w:lang w:eastAsia="en-US"/>
        </w:rPr>
      </w:pPr>
    </w:p>
    <w:p w:rsidR="004A364D" w:rsidRPr="004A364D" w:rsidRDefault="004A364D" w:rsidP="004A364D">
      <w:pPr>
        <w:pStyle w:val="ONUMFS"/>
      </w:pPr>
      <w:r w:rsidRPr="004A364D">
        <w:lastRenderedPageBreak/>
        <w:t>Le taux de change entre le dollar É.</w:t>
      </w:r>
      <w:r w:rsidRPr="004A364D">
        <w:noBreakHyphen/>
        <w:t>U. et le franc suisse a fluctué durant la période comprise entre les mois de janvier 2013 et juillet 2015, mais s’est maintenu dans la fourchette de 5% sur quatre vendredis fixée selon le processus d’établissement des montants équivalents actuel.  Par conséquent, sur la période complète de 31 mois, il n’y a pas eu de modification du barème des taxes du PCT selon le nouveau processus d’établissement des montants équivalents et le taux de couverture pondéré, s’il avait été en place, aurait, en effet, suivi de près le taux de la taxe en dollars É.</w:t>
      </w:r>
      <w:r w:rsidRPr="004A364D">
        <w:noBreakHyphen/>
        <w:t>U.  Le taux de change opérationnel de l’Organisation des Nations Unies a connu une augmentation et une diminution significatives durant cette période, qui se sont traduites par une perte conséquente en 2013 et un gain important en 2015 (jusqu’à présent), comme le montre le tableau qui suit le paragraphe 23 ci</w:t>
      </w:r>
      <w:r w:rsidRPr="004A364D">
        <w:noBreakHyphen/>
        <w:t>dessus.  Un examen montre que l’incidence de la stratégie de couverture des risques de change sur les taxes payées en dollars É.</w:t>
      </w:r>
      <w:r w:rsidRPr="004A364D">
        <w:noBreakHyphen/>
        <w:t>U. aurait été minime.</w:t>
      </w:r>
    </w:p>
    <w:p w:rsidR="004A364D" w:rsidRPr="004A364D" w:rsidRDefault="004A364D" w:rsidP="004A364D">
      <w:pPr>
        <w:keepNext/>
        <w:jc w:val="center"/>
        <w:rPr>
          <w:lang w:eastAsia="en-US"/>
        </w:rPr>
      </w:pPr>
      <w:proofErr w:type="gramStart"/>
      <w:r w:rsidRPr="004A364D">
        <w:rPr>
          <w:lang w:eastAsia="en-US"/>
        </w:rPr>
        <w:t>dollar</w:t>
      </w:r>
      <w:proofErr w:type="gramEnd"/>
      <w:r w:rsidRPr="004A364D">
        <w:rPr>
          <w:lang w:eastAsia="en-US"/>
        </w:rPr>
        <w:t> É.</w:t>
      </w:r>
      <w:r w:rsidRPr="004A364D">
        <w:rPr>
          <w:lang w:eastAsia="en-US"/>
        </w:rPr>
        <w:noBreakHyphen/>
        <w:t>U. = franc suisse</w:t>
      </w:r>
    </w:p>
    <w:p w:rsidR="004A364D" w:rsidRPr="004A364D" w:rsidRDefault="004A364D" w:rsidP="004A364D">
      <w:pPr>
        <w:keepNext/>
        <w:jc w:val="center"/>
        <w:rPr>
          <w:lang w:eastAsia="en-US"/>
        </w:rPr>
      </w:pPr>
      <w:r w:rsidRPr="004A364D">
        <w:rPr>
          <w:noProof/>
          <w:lang w:val="en-US" w:eastAsia="en-US"/>
        </w:rPr>
        <w:drawing>
          <wp:inline distT="0" distB="0" distL="0" distR="0" wp14:anchorId="2451A449" wp14:editId="6B185B95">
            <wp:extent cx="5061600" cy="35280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61600" cy="3528000"/>
                    </a:xfrm>
                    <a:prstGeom prst="rect">
                      <a:avLst/>
                    </a:prstGeom>
                    <a:noFill/>
                    <a:ln>
                      <a:noFill/>
                    </a:ln>
                  </pic:spPr>
                </pic:pic>
              </a:graphicData>
            </a:graphic>
          </wp:inline>
        </w:drawing>
      </w:r>
    </w:p>
    <w:p w:rsidR="004A364D" w:rsidRPr="004A364D" w:rsidRDefault="004A364D" w:rsidP="004A364D">
      <w:pPr>
        <w:jc w:val="center"/>
        <w:rPr>
          <w:lang w:eastAsia="en-US"/>
        </w:rPr>
      </w:pPr>
    </w:p>
    <w:p w:rsidR="004A364D" w:rsidRPr="004A364D" w:rsidRDefault="004A364D" w:rsidP="004A364D">
      <w:pPr>
        <w:pStyle w:val="ONUMFS"/>
      </w:pPr>
      <w:r w:rsidRPr="004A364D">
        <w:t xml:space="preserve">Le rapport du franc suisse au yen japonais a été marqué par une baisse quasiment constante entre le mois de janvier 2013 et le mois de juillet 2015.  En janvier 2013, un franc suisse valait 83 yen japonais, augmentant de plus de 55% pour passer à 128 yen japonais en juillet de la même année.  </w:t>
      </w:r>
    </w:p>
    <w:p w:rsidR="004A364D" w:rsidRPr="004A364D" w:rsidRDefault="004A364D" w:rsidP="004A364D">
      <w:pPr>
        <w:pStyle w:val="ONUMFS"/>
      </w:pPr>
      <w:r w:rsidRPr="004A364D">
        <w:t>Sur cette période de 31 mois, les taux des taxes du PCT à payer en yen japonais ont été ajustés six fois au moyen de nouveau processus d’établissement des montants équivalents existant, comme indiqué ci</w:t>
      </w:r>
      <w:r w:rsidRPr="004A364D">
        <w:noBreakHyphen/>
        <w:t>dessous;  une réduction supplémentaire de 8,4% est prévue pour le 1</w:t>
      </w:r>
      <w:r w:rsidRPr="004A364D">
        <w:rPr>
          <w:vertAlign w:val="superscript"/>
        </w:rPr>
        <w:t>er</w:t>
      </w:r>
      <w:r w:rsidRPr="004A364D">
        <w:t> septembre 2015.</w:t>
      </w:r>
    </w:p>
    <w:tbl>
      <w:tblPr>
        <w:tblStyle w:val="TableGrid"/>
        <w:tblW w:w="0" w:type="auto"/>
        <w:tblLook w:val="04A0" w:firstRow="1" w:lastRow="0" w:firstColumn="1" w:lastColumn="0" w:noHBand="0" w:noVBand="1"/>
      </w:tblPr>
      <w:tblGrid>
        <w:gridCol w:w="1380"/>
        <w:gridCol w:w="1397"/>
        <w:gridCol w:w="1309"/>
        <w:gridCol w:w="1309"/>
        <w:gridCol w:w="1310"/>
        <w:gridCol w:w="1310"/>
        <w:gridCol w:w="1310"/>
      </w:tblGrid>
      <w:tr w:rsidR="004A364D" w:rsidRPr="004A364D" w:rsidTr="00F96704">
        <w:tc>
          <w:tcPr>
            <w:tcW w:w="1380" w:type="dxa"/>
            <w:shd w:val="clear" w:color="auto" w:fill="DAEEF3" w:themeFill="accent5" w:themeFillTint="33"/>
            <w:vAlign w:val="center"/>
          </w:tcPr>
          <w:p w:rsidR="004A364D" w:rsidRPr="004A364D" w:rsidRDefault="004A364D" w:rsidP="00F96704">
            <w:pPr>
              <w:jc w:val="center"/>
              <w:rPr>
                <w:b/>
                <w:sz w:val="18"/>
                <w:szCs w:val="18"/>
              </w:rPr>
            </w:pPr>
            <w:r w:rsidRPr="004A364D">
              <w:rPr>
                <w:b/>
                <w:sz w:val="18"/>
                <w:szCs w:val="18"/>
              </w:rPr>
              <w:t>Période</w:t>
            </w:r>
          </w:p>
        </w:tc>
        <w:tc>
          <w:tcPr>
            <w:tcW w:w="1309" w:type="dxa"/>
            <w:shd w:val="clear" w:color="auto" w:fill="DAEEF3" w:themeFill="accent5" w:themeFillTint="33"/>
            <w:vAlign w:val="center"/>
          </w:tcPr>
          <w:p w:rsidR="004A364D" w:rsidRPr="004A364D" w:rsidRDefault="004A364D" w:rsidP="00F96704">
            <w:pPr>
              <w:jc w:val="center"/>
              <w:rPr>
                <w:b/>
                <w:sz w:val="18"/>
                <w:szCs w:val="18"/>
              </w:rPr>
            </w:pPr>
            <w:r w:rsidRPr="004A364D">
              <w:rPr>
                <w:b/>
                <w:sz w:val="18"/>
                <w:szCs w:val="18"/>
              </w:rPr>
              <w:t>Taxe internationale</w:t>
            </w:r>
          </w:p>
        </w:tc>
        <w:tc>
          <w:tcPr>
            <w:tcW w:w="1309" w:type="dxa"/>
            <w:shd w:val="clear" w:color="auto" w:fill="DAEEF3" w:themeFill="accent5" w:themeFillTint="33"/>
            <w:vAlign w:val="center"/>
          </w:tcPr>
          <w:p w:rsidR="004A364D" w:rsidRPr="004A364D" w:rsidRDefault="004A364D" w:rsidP="00F96704">
            <w:pPr>
              <w:jc w:val="center"/>
              <w:rPr>
                <w:b/>
                <w:sz w:val="18"/>
                <w:szCs w:val="18"/>
                <w:vertAlign w:val="superscript"/>
              </w:rPr>
            </w:pPr>
            <w:r w:rsidRPr="004A364D">
              <w:rPr>
                <w:b/>
                <w:sz w:val="18"/>
                <w:szCs w:val="18"/>
              </w:rPr>
              <w:t>Taxe par feuille à compter de la 31</w:t>
            </w:r>
            <w:r w:rsidRPr="004A364D">
              <w:rPr>
                <w:b/>
                <w:sz w:val="18"/>
                <w:szCs w:val="18"/>
                <w:vertAlign w:val="superscript"/>
              </w:rPr>
              <w:t>e</w:t>
            </w:r>
          </w:p>
        </w:tc>
        <w:tc>
          <w:tcPr>
            <w:tcW w:w="1309" w:type="dxa"/>
            <w:shd w:val="clear" w:color="auto" w:fill="DAEEF3" w:themeFill="accent5" w:themeFillTint="33"/>
            <w:vAlign w:val="center"/>
          </w:tcPr>
          <w:p w:rsidR="004A364D" w:rsidRPr="004A364D" w:rsidRDefault="004A364D" w:rsidP="00F96704">
            <w:pPr>
              <w:jc w:val="center"/>
              <w:rPr>
                <w:b/>
                <w:sz w:val="18"/>
                <w:szCs w:val="18"/>
              </w:rPr>
            </w:pPr>
            <w:r w:rsidRPr="004A364D">
              <w:rPr>
                <w:b/>
                <w:sz w:val="18"/>
                <w:szCs w:val="18"/>
              </w:rPr>
              <w:t>Réduction EASY</w:t>
            </w:r>
          </w:p>
        </w:tc>
        <w:tc>
          <w:tcPr>
            <w:tcW w:w="1310" w:type="dxa"/>
            <w:shd w:val="clear" w:color="auto" w:fill="DAEEF3" w:themeFill="accent5" w:themeFillTint="33"/>
            <w:vAlign w:val="center"/>
          </w:tcPr>
          <w:p w:rsidR="004A364D" w:rsidRPr="004A364D" w:rsidRDefault="004A364D" w:rsidP="00F96704">
            <w:pPr>
              <w:jc w:val="center"/>
              <w:rPr>
                <w:b/>
                <w:sz w:val="18"/>
                <w:szCs w:val="18"/>
              </w:rPr>
            </w:pPr>
            <w:r w:rsidRPr="004A364D">
              <w:rPr>
                <w:b/>
                <w:sz w:val="18"/>
                <w:szCs w:val="18"/>
              </w:rPr>
              <w:t>Réduction XML</w:t>
            </w:r>
          </w:p>
        </w:tc>
        <w:tc>
          <w:tcPr>
            <w:tcW w:w="1310" w:type="dxa"/>
            <w:shd w:val="clear" w:color="auto" w:fill="DAEEF3" w:themeFill="accent5" w:themeFillTint="33"/>
            <w:vAlign w:val="center"/>
          </w:tcPr>
          <w:p w:rsidR="004A364D" w:rsidRPr="004A364D" w:rsidRDefault="004A364D" w:rsidP="00F96704">
            <w:pPr>
              <w:jc w:val="center"/>
              <w:rPr>
                <w:b/>
                <w:sz w:val="18"/>
                <w:szCs w:val="18"/>
              </w:rPr>
            </w:pPr>
            <w:r w:rsidRPr="004A364D">
              <w:rPr>
                <w:b/>
                <w:sz w:val="18"/>
                <w:szCs w:val="18"/>
              </w:rPr>
              <w:t>Taxe de traitement</w:t>
            </w:r>
          </w:p>
        </w:tc>
        <w:tc>
          <w:tcPr>
            <w:tcW w:w="1310" w:type="dxa"/>
            <w:shd w:val="clear" w:color="auto" w:fill="DAEEF3" w:themeFill="accent5" w:themeFillTint="33"/>
            <w:vAlign w:val="center"/>
          </w:tcPr>
          <w:p w:rsidR="004A364D" w:rsidRPr="004A364D" w:rsidRDefault="004A364D" w:rsidP="00F96704">
            <w:pPr>
              <w:jc w:val="center"/>
              <w:rPr>
                <w:b/>
                <w:sz w:val="18"/>
                <w:szCs w:val="18"/>
              </w:rPr>
            </w:pPr>
            <w:r w:rsidRPr="004A364D">
              <w:rPr>
                <w:b/>
                <w:sz w:val="18"/>
                <w:szCs w:val="18"/>
              </w:rPr>
              <w:t>Ajustement en pourcent</w:t>
            </w:r>
          </w:p>
        </w:tc>
      </w:tr>
      <w:tr w:rsidR="004A364D" w:rsidRPr="004A364D" w:rsidTr="00F96704">
        <w:tc>
          <w:tcPr>
            <w:tcW w:w="1380" w:type="dxa"/>
          </w:tcPr>
          <w:p w:rsidR="004A364D" w:rsidRPr="004A364D" w:rsidRDefault="004A364D" w:rsidP="00F96704">
            <w:pPr>
              <w:rPr>
                <w:sz w:val="18"/>
                <w:szCs w:val="18"/>
              </w:rPr>
            </w:pPr>
            <w:r w:rsidRPr="004A364D">
              <w:rPr>
                <w:sz w:val="18"/>
                <w:szCs w:val="18"/>
              </w:rPr>
              <w:t>01.01.2013</w:t>
            </w:r>
          </w:p>
        </w:tc>
        <w:tc>
          <w:tcPr>
            <w:tcW w:w="1309" w:type="dxa"/>
          </w:tcPr>
          <w:p w:rsidR="004A364D" w:rsidRPr="004A364D" w:rsidRDefault="004A364D" w:rsidP="00F96704">
            <w:pPr>
              <w:jc w:val="right"/>
              <w:rPr>
                <w:sz w:val="18"/>
                <w:szCs w:val="18"/>
              </w:rPr>
            </w:pPr>
            <w:r w:rsidRPr="004A364D">
              <w:rPr>
                <w:sz w:val="18"/>
                <w:szCs w:val="18"/>
              </w:rPr>
              <w:t>110 700</w:t>
            </w:r>
          </w:p>
        </w:tc>
        <w:tc>
          <w:tcPr>
            <w:tcW w:w="1309" w:type="dxa"/>
          </w:tcPr>
          <w:p w:rsidR="004A364D" w:rsidRPr="004A364D" w:rsidRDefault="004A364D" w:rsidP="00F96704">
            <w:pPr>
              <w:jc w:val="right"/>
              <w:rPr>
                <w:sz w:val="18"/>
                <w:szCs w:val="18"/>
              </w:rPr>
            </w:pPr>
            <w:r w:rsidRPr="004A364D">
              <w:rPr>
                <w:sz w:val="18"/>
                <w:szCs w:val="18"/>
              </w:rPr>
              <w:t>1 200</w:t>
            </w:r>
          </w:p>
        </w:tc>
        <w:tc>
          <w:tcPr>
            <w:tcW w:w="1309" w:type="dxa"/>
          </w:tcPr>
          <w:p w:rsidR="004A364D" w:rsidRPr="004A364D" w:rsidRDefault="004A364D" w:rsidP="00F96704">
            <w:pPr>
              <w:jc w:val="right"/>
              <w:rPr>
                <w:sz w:val="18"/>
                <w:szCs w:val="18"/>
              </w:rPr>
            </w:pPr>
            <w:r w:rsidRPr="004A364D">
              <w:rPr>
                <w:sz w:val="18"/>
                <w:szCs w:val="18"/>
              </w:rPr>
              <w:t>8 300</w:t>
            </w:r>
          </w:p>
        </w:tc>
        <w:tc>
          <w:tcPr>
            <w:tcW w:w="1310" w:type="dxa"/>
          </w:tcPr>
          <w:p w:rsidR="004A364D" w:rsidRPr="004A364D" w:rsidRDefault="004A364D" w:rsidP="00F96704">
            <w:pPr>
              <w:jc w:val="right"/>
              <w:rPr>
                <w:sz w:val="18"/>
                <w:szCs w:val="18"/>
              </w:rPr>
            </w:pPr>
            <w:r w:rsidRPr="004A364D">
              <w:rPr>
                <w:sz w:val="18"/>
                <w:szCs w:val="18"/>
              </w:rPr>
              <w:t>25 000</w:t>
            </w:r>
          </w:p>
        </w:tc>
        <w:tc>
          <w:tcPr>
            <w:tcW w:w="1310" w:type="dxa"/>
          </w:tcPr>
          <w:p w:rsidR="004A364D" w:rsidRPr="004A364D" w:rsidRDefault="004A364D" w:rsidP="00F96704">
            <w:pPr>
              <w:jc w:val="right"/>
              <w:rPr>
                <w:sz w:val="18"/>
                <w:szCs w:val="18"/>
              </w:rPr>
            </w:pPr>
            <w:r w:rsidRPr="004A364D">
              <w:rPr>
                <w:sz w:val="18"/>
                <w:szCs w:val="18"/>
              </w:rPr>
              <w:t>16 600</w:t>
            </w:r>
          </w:p>
        </w:tc>
        <w:tc>
          <w:tcPr>
            <w:tcW w:w="1310" w:type="dxa"/>
          </w:tcPr>
          <w:p w:rsidR="004A364D" w:rsidRPr="004A364D" w:rsidRDefault="004A364D" w:rsidP="00F96704">
            <w:pPr>
              <w:jc w:val="right"/>
              <w:rPr>
                <w:sz w:val="18"/>
                <w:szCs w:val="18"/>
              </w:rPr>
            </w:pPr>
          </w:p>
        </w:tc>
      </w:tr>
      <w:tr w:rsidR="004A364D" w:rsidRPr="004A364D" w:rsidTr="00F96704">
        <w:tc>
          <w:tcPr>
            <w:tcW w:w="1380" w:type="dxa"/>
          </w:tcPr>
          <w:p w:rsidR="004A364D" w:rsidRPr="004A364D" w:rsidRDefault="004A364D" w:rsidP="00F96704">
            <w:pPr>
              <w:rPr>
                <w:sz w:val="18"/>
                <w:szCs w:val="18"/>
              </w:rPr>
            </w:pPr>
            <w:r w:rsidRPr="004A364D">
              <w:rPr>
                <w:sz w:val="18"/>
                <w:szCs w:val="18"/>
              </w:rPr>
              <w:t>01.03.2013</w:t>
            </w:r>
          </w:p>
        </w:tc>
        <w:tc>
          <w:tcPr>
            <w:tcW w:w="1309" w:type="dxa"/>
          </w:tcPr>
          <w:p w:rsidR="004A364D" w:rsidRPr="004A364D" w:rsidRDefault="004A364D" w:rsidP="00F96704">
            <w:pPr>
              <w:jc w:val="right"/>
              <w:rPr>
                <w:sz w:val="18"/>
                <w:szCs w:val="18"/>
              </w:rPr>
            </w:pPr>
            <w:r w:rsidRPr="004A364D">
              <w:rPr>
                <w:sz w:val="18"/>
                <w:szCs w:val="18"/>
              </w:rPr>
              <w:t>121 400</w:t>
            </w:r>
          </w:p>
        </w:tc>
        <w:tc>
          <w:tcPr>
            <w:tcW w:w="1309" w:type="dxa"/>
          </w:tcPr>
          <w:p w:rsidR="004A364D" w:rsidRPr="004A364D" w:rsidRDefault="004A364D" w:rsidP="00F96704">
            <w:pPr>
              <w:jc w:val="right"/>
              <w:rPr>
                <w:sz w:val="18"/>
                <w:szCs w:val="18"/>
              </w:rPr>
            </w:pPr>
            <w:r w:rsidRPr="004A364D">
              <w:rPr>
                <w:sz w:val="18"/>
                <w:szCs w:val="18"/>
              </w:rPr>
              <w:t>1 400</w:t>
            </w:r>
          </w:p>
        </w:tc>
        <w:tc>
          <w:tcPr>
            <w:tcW w:w="1309" w:type="dxa"/>
          </w:tcPr>
          <w:p w:rsidR="004A364D" w:rsidRPr="004A364D" w:rsidRDefault="004A364D" w:rsidP="00F96704">
            <w:pPr>
              <w:jc w:val="right"/>
              <w:rPr>
                <w:sz w:val="18"/>
                <w:szCs w:val="18"/>
              </w:rPr>
            </w:pPr>
            <w:r w:rsidRPr="004A364D">
              <w:rPr>
                <w:sz w:val="18"/>
                <w:szCs w:val="18"/>
              </w:rPr>
              <w:t>9 100</w:t>
            </w:r>
          </w:p>
        </w:tc>
        <w:tc>
          <w:tcPr>
            <w:tcW w:w="1310" w:type="dxa"/>
          </w:tcPr>
          <w:p w:rsidR="004A364D" w:rsidRPr="004A364D" w:rsidRDefault="004A364D" w:rsidP="00F96704">
            <w:pPr>
              <w:jc w:val="right"/>
              <w:rPr>
                <w:sz w:val="18"/>
                <w:szCs w:val="18"/>
              </w:rPr>
            </w:pPr>
            <w:r w:rsidRPr="004A364D">
              <w:rPr>
                <w:sz w:val="18"/>
                <w:szCs w:val="18"/>
              </w:rPr>
              <w:t>27 400</w:t>
            </w:r>
          </w:p>
        </w:tc>
        <w:tc>
          <w:tcPr>
            <w:tcW w:w="1310" w:type="dxa"/>
          </w:tcPr>
          <w:p w:rsidR="004A364D" w:rsidRPr="004A364D" w:rsidRDefault="004A364D" w:rsidP="00F96704">
            <w:pPr>
              <w:jc w:val="right"/>
              <w:rPr>
                <w:sz w:val="18"/>
                <w:szCs w:val="18"/>
              </w:rPr>
            </w:pPr>
            <w:r w:rsidRPr="004A364D">
              <w:rPr>
                <w:sz w:val="18"/>
                <w:szCs w:val="18"/>
              </w:rPr>
              <w:t>18 300</w:t>
            </w:r>
          </w:p>
        </w:tc>
        <w:tc>
          <w:tcPr>
            <w:tcW w:w="1310" w:type="dxa"/>
          </w:tcPr>
          <w:p w:rsidR="004A364D" w:rsidRPr="004A364D" w:rsidRDefault="004A364D" w:rsidP="00F96704">
            <w:pPr>
              <w:jc w:val="right"/>
              <w:rPr>
                <w:sz w:val="18"/>
                <w:szCs w:val="18"/>
              </w:rPr>
            </w:pPr>
            <w:r w:rsidRPr="004A364D">
              <w:rPr>
                <w:sz w:val="18"/>
                <w:szCs w:val="18"/>
              </w:rPr>
              <w:t>9,7%</w:t>
            </w:r>
          </w:p>
        </w:tc>
      </w:tr>
      <w:tr w:rsidR="004A364D" w:rsidRPr="004A364D" w:rsidTr="00F96704">
        <w:tc>
          <w:tcPr>
            <w:tcW w:w="1380" w:type="dxa"/>
          </w:tcPr>
          <w:p w:rsidR="004A364D" w:rsidRPr="004A364D" w:rsidRDefault="004A364D" w:rsidP="00F96704">
            <w:pPr>
              <w:rPr>
                <w:sz w:val="18"/>
                <w:szCs w:val="18"/>
              </w:rPr>
            </w:pPr>
            <w:r w:rsidRPr="004A364D">
              <w:rPr>
                <w:sz w:val="18"/>
                <w:szCs w:val="18"/>
              </w:rPr>
              <w:t>01.05.2013</w:t>
            </w:r>
          </w:p>
        </w:tc>
        <w:tc>
          <w:tcPr>
            <w:tcW w:w="1309" w:type="dxa"/>
          </w:tcPr>
          <w:p w:rsidR="004A364D" w:rsidRPr="004A364D" w:rsidRDefault="004A364D" w:rsidP="00F96704">
            <w:pPr>
              <w:jc w:val="right"/>
              <w:rPr>
                <w:sz w:val="18"/>
                <w:szCs w:val="18"/>
              </w:rPr>
            </w:pPr>
            <w:r w:rsidRPr="004A364D">
              <w:rPr>
                <w:sz w:val="18"/>
                <w:szCs w:val="18"/>
              </w:rPr>
              <w:t>135 500</w:t>
            </w:r>
          </w:p>
        </w:tc>
        <w:tc>
          <w:tcPr>
            <w:tcW w:w="1309" w:type="dxa"/>
          </w:tcPr>
          <w:p w:rsidR="004A364D" w:rsidRPr="004A364D" w:rsidRDefault="004A364D" w:rsidP="00F96704">
            <w:pPr>
              <w:jc w:val="right"/>
              <w:rPr>
                <w:sz w:val="18"/>
                <w:szCs w:val="18"/>
              </w:rPr>
            </w:pPr>
            <w:r w:rsidRPr="004A364D">
              <w:rPr>
                <w:sz w:val="18"/>
                <w:szCs w:val="18"/>
              </w:rPr>
              <w:t>1 500</w:t>
            </w:r>
          </w:p>
        </w:tc>
        <w:tc>
          <w:tcPr>
            <w:tcW w:w="1309" w:type="dxa"/>
          </w:tcPr>
          <w:p w:rsidR="004A364D" w:rsidRPr="004A364D" w:rsidRDefault="004A364D" w:rsidP="00F96704">
            <w:pPr>
              <w:jc w:val="right"/>
              <w:rPr>
                <w:sz w:val="18"/>
                <w:szCs w:val="18"/>
              </w:rPr>
            </w:pPr>
            <w:r w:rsidRPr="004A364D">
              <w:rPr>
                <w:sz w:val="18"/>
                <w:szCs w:val="18"/>
              </w:rPr>
              <w:t>10 200</w:t>
            </w:r>
          </w:p>
        </w:tc>
        <w:tc>
          <w:tcPr>
            <w:tcW w:w="1310" w:type="dxa"/>
          </w:tcPr>
          <w:p w:rsidR="004A364D" w:rsidRPr="004A364D" w:rsidRDefault="004A364D" w:rsidP="00F96704">
            <w:pPr>
              <w:jc w:val="right"/>
              <w:rPr>
                <w:sz w:val="18"/>
                <w:szCs w:val="18"/>
              </w:rPr>
            </w:pPr>
            <w:r w:rsidRPr="004A364D">
              <w:rPr>
                <w:sz w:val="18"/>
                <w:szCs w:val="18"/>
              </w:rPr>
              <w:t>30 600</w:t>
            </w:r>
          </w:p>
        </w:tc>
        <w:tc>
          <w:tcPr>
            <w:tcW w:w="1310" w:type="dxa"/>
          </w:tcPr>
          <w:p w:rsidR="004A364D" w:rsidRPr="004A364D" w:rsidRDefault="004A364D" w:rsidP="00F96704">
            <w:pPr>
              <w:jc w:val="right"/>
              <w:rPr>
                <w:sz w:val="18"/>
                <w:szCs w:val="18"/>
              </w:rPr>
            </w:pPr>
            <w:r w:rsidRPr="004A364D">
              <w:rPr>
                <w:sz w:val="18"/>
                <w:szCs w:val="18"/>
              </w:rPr>
              <w:t>20 400</w:t>
            </w:r>
          </w:p>
        </w:tc>
        <w:tc>
          <w:tcPr>
            <w:tcW w:w="1310" w:type="dxa"/>
          </w:tcPr>
          <w:p w:rsidR="004A364D" w:rsidRPr="004A364D" w:rsidRDefault="004A364D" w:rsidP="00F96704">
            <w:pPr>
              <w:jc w:val="right"/>
              <w:rPr>
                <w:sz w:val="18"/>
                <w:szCs w:val="18"/>
              </w:rPr>
            </w:pPr>
            <w:r w:rsidRPr="004A364D">
              <w:rPr>
                <w:sz w:val="18"/>
                <w:szCs w:val="18"/>
              </w:rPr>
              <w:t>11,6%</w:t>
            </w:r>
          </w:p>
        </w:tc>
      </w:tr>
      <w:tr w:rsidR="004A364D" w:rsidRPr="004A364D" w:rsidTr="00F96704">
        <w:tc>
          <w:tcPr>
            <w:tcW w:w="1380" w:type="dxa"/>
          </w:tcPr>
          <w:p w:rsidR="004A364D" w:rsidRPr="004A364D" w:rsidRDefault="004A364D" w:rsidP="00F96704">
            <w:pPr>
              <w:rPr>
                <w:sz w:val="18"/>
                <w:szCs w:val="18"/>
              </w:rPr>
            </w:pPr>
            <w:r w:rsidRPr="004A364D">
              <w:rPr>
                <w:sz w:val="18"/>
                <w:szCs w:val="18"/>
              </w:rPr>
              <w:t>01.01.2014</w:t>
            </w:r>
          </w:p>
        </w:tc>
        <w:tc>
          <w:tcPr>
            <w:tcW w:w="1309" w:type="dxa"/>
          </w:tcPr>
          <w:p w:rsidR="004A364D" w:rsidRPr="004A364D" w:rsidRDefault="004A364D" w:rsidP="00F96704">
            <w:pPr>
              <w:jc w:val="right"/>
              <w:rPr>
                <w:sz w:val="18"/>
                <w:szCs w:val="18"/>
              </w:rPr>
            </w:pPr>
            <w:r w:rsidRPr="004A364D">
              <w:rPr>
                <w:sz w:val="18"/>
                <w:szCs w:val="18"/>
              </w:rPr>
              <w:t>142 600</w:t>
            </w:r>
          </w:p>
        </w:tc>
        <w:tc>
          <w:tcPr>
            <w:tcW w:w="1309" w:type="dxa"/>
          </w:tcPr>
          <w:p w:rsidR="004A364D" w:rsidRPr="004A364D" w:rsidRDefault="004A364D" w:rsidP="00F96704">
            <w:pPr>
              <w:jc w:val="right"/>
              <w:rPr>
                <w:sz w:val="18"/>
                <w:szCs w:val="18"/>
              </w:rPr>
            </w:pPr>
            <w:r w:rsidRPr="004A364D">
              <w:rPr>
                <w:sz w:val="18"/>
                <w:szCs w:val="18"/>
              </w:rPr>
              <w:t>1 600</w:t>
            </w:r>
          </w:p>
        </w:tc>
        <w:tc>
          <w:tcPr>
            <w:tcW w:w="1309" w:type="dxa"/>
          </w:tcPr>
          <w:p w:rsidR="004A364D" w:rsidRPr="004A364D" w:rsidRDefault="004A364D" w:rsidP="00F96704">
            <w:pPr>
              <w:jc w:val="right"/>
              <w:rPr>
                <w:sz w:val="18"/>
                <w:szCs w:val="18"/>
              </w:rPr>
            </w:pPr>
            <w:r w:rsidRPr="004A364D">
              <w:rPr>
                <w:sz w:val="18"/>
                <w:szCs w:val="18"/>
              </w:rPr>
              <w:t>10 700</w:t>
            </w:r>
          </w:p>
        </w:tc>
        <w:tc>
          <w:tcPr>
            <w:tcW w:w="1310" w:type="dxa"/>
          </w:tcPr>
          <w:p w:rsidR="004A364D" w:rsidRPr="004A364D" w:rsidRDefault="004A364D" w:rsidP="00F96704">
            <w:pPr>
              <w:jc w:val="right"/>
              <w:rPr>
                <w:sz w:val="18"/>
                <w:szCs w:val="18"/>
              </w:rPr>
            </w:pPr>
            <w:r w:rsidRPr="004A364D">
              <w:rPr>
                <w:sz w:val="18"/>
                <w:szCs w:val="18"/>
              </w:rPr>
              <w:t>32 200</w:t>
            </w:r>
          </w:p>
        </w:tc>
        <w:tc>
          <w:tcPr>
            <w:tcW w:w="1310" w:type="dxa"/>
          </w:tcPr>
          <w:p w:rsidR="004A364D" w:rsidRPr="004A364D" w:rsidRDefault="004A364D" w:rsidP="00F96704">
            <w:pPr>
              <w:jc w:val="right"/>
              <w:rPr>
                <w:sz w:val="18"/>
                <w:szCs w:val="18"/>
              </w:rPr>
            </w:pPr>
            <w:r w:rsidRPr="004A364D">
              <w:rPr>
                <w:sz w:val="18"/>
                <w:szCs w:val="18"/>
              </w:rPr>
              <w:t>21 400</w:t>
            </w:r>
          </w:p>
        </w:tc>
        <w:tc>
          <w:tcPr>
            <w:tcW w:w="1310" w:type="dxa"/>
          </w:tcPr>
          <w:p w:rsidR="004A364D" w:rsidRPr="004A364D" w:rsidRDefault="004A364D" w:rsidP="00F96704">
            <w:pPr>
              <w:jc w:val="right"/>
              <w:rPr>
                <w:sz w:val="18"/>
                <w:szCs w:val="18"/>
              </w:rPr>
            </w:pPr>
            <w:r w:rsidRPr="004A364D">
              <w:rPr>
                <w:sz w:val="18"/>
                <w:szCs w:val="18"/>
              </w:rPr>
              <w:t>5,2%</w:t>
            </w:r>
          </w:p>
        </w:tc>
      </w:tr>
      <w:tr w:rsidR="004A364D" w:rsidRPr="004A364D" w:rsidTr="00F96704">
        <w:tc>
          <w:tcPr>
            <w:tcW w:w="1380" w:type="dxa"/>
          </w:tcPr>
          <w:p w:rsidR="004A364D" w:rsidRPr="004A364D" w:rsidRDefault="004A364D" w:rsidP="00F96704">
            <w:pPr>
              <w:rPr>
                <w:sz w:val="18"/>
                <w:szCs w:val="18"/>
              </w:rPr>
            </w:pPr>
            <w:r w:rsidRPr="004A364D">
              <w:rPr>
                <w:sz w:val="18"/>
                <w:szCs w:val="18"/>
              </w:rPr>
              <w:t>01.04.2014</w:t>
            </w:r>
          </w:p>
        </w:tc>
        <w:tc>
          <w:tcPr>
            <w:tcW w:w="1309" w:type="dxa"/>
          </w:tcPr>
          <w:p w:rsidR="004A364D" w:rsidRPr="004A364D" w:rsidRDefault="004A364D" w:rsidP="00F96704">
            <w:pPr>
              <w:jc w:val="right"/>
              <w:rPr>
                <w:sz w:val="18"/>
                <w:szCs w:val="18"/>
              </w:rPr>
            </w:pPr>
            <w:r w:rsidRPr="004A364D">
              <w:rPr>
                <w:sz w:val="18"/>
                <w:szCs w:val="18"/>
              </w:rPr>
              <w:t>154 800</w:t>
            </w:r>
          </w:p>
        </w:tc>
        <w:tc>
          <w:tcPr>
            <w:tcW w:w="1309" w:type="dxa"/>
          </w:tcPr>
          <w:p w:rsidR="004A364D" w:rsidRPr="004A364D" w:rsidRDefault="004A364D" w:rsidP="00F96704">
            <w:pPr>
              <w:jc w:val="right"/>
              <w:rPr>
                <w:sz w:val="18"/>
                <w:szCs w:val="18"/>
              </w:rPr>
            </w:pPr>
            <w:r w:rsidRPr="004A364D">
              <w:rPr>
                <w:sz w:val="18"/>
                <w:szCs w:val="18"/>
              </w:rPr>
              <w:t>1 700</w:t>
            </w:r>
          </w:p>
        </w:tc>
        <w:tc>
          <w:tcPr>
            <w:tcW w:w="1309" w:type="dxa"/>
          </w:tcPr>
          <w:p w:rsidR="004A364D" w:rsidRPr="004A364D" w:rsidRDefault="004A364D" w:rsidP="00F96704">
            <w:pPr>
              <w:jc w:val="right"/>
              <w:rPr>
                <w:sz w:val="18"/>
                <w:szCs w:val="18"/>
              </w:rPr>
            </w:pPr>
            <w:r w:rsidRPr="004A364D">
              <w:rPr>
                <w:sz w:val="18"/>
                <w:szCs w:val="18"/>
              </w:rPr>
              <w:t>11 600</w:t>
            </w:r>
          </w:p>
        </w:tc>
        <w:tc>
          <w:tcPr>
            <w:tcW w:w="1310" w:type="dxa"/>
          </w:tcPr>
          <w:p w:rsidR="004A364D" w:rsidRPr="004A364D" w:rsidRDefault="004A364D" w:rsidP="00F96704">
            <w:pPr>
              <w:jc w:val="right"/>
              <w:rPr>
                <w:sz w:val="18"/>
                <w:szCs w:val="18"/>
              </w:rPr>
            </w:pPr>
            <w:r w:rsidRPr="004A364D">
              <w:rPr>
                <w:sz w:val="18"/>
                <w:szCs w:val="18"/>
              </w:rPr>
              <w:t>34 900</w:t>
            </w:r>
          </w:p>
        </w:tc>
        <w:tc>
          <w:tcPr>
            <w:tcW w:w="1310" w:type="dxa"/>
          </w:tcPr>
          <w:p w:rsidR="004A364D" w:rsidRPr="004A364D" w:rsidRDefault="004A364D" w:rsidP="00F96704">
            <w:pPr>
              <w:jc w:val="right"/>
              <w:rPr>
                <w:sz w:val="18"/>
                <w:szCs w:val="18"/>
              </w:rPr>
            </w:pPr>
            <w:r w:rsidRPr="004A364D">
              <w:rPr>
                <w:sz w:val="18"/>
                <w:szCs w:val="18"/>
              </w:rPr>
              <w:t>23 300</w:t>
            </w:r>
          </w:p>
        </w:tc>
        <w:tc>
          <w:tcPr>
            <w:tcW w:w="1310" w:type="dxa"/>
          </w:tcPr>
          <w:p w:rsidR="004A364D" w:rsidRPr="004A364D" w:rsidRDefault="004A364D" w:rsidP="00F96704">
            <w:pPr>
              <w:jc w:val="right"/>
              <w:rPr>
                <w:sz w:val="18"/>
                <w:szCs w:val="18"/>
              </w:rPr>
            </w:pPr>
            <w:r w:rsidRPr="004A364D">
              <w:rPr>
                <w:sz w:val="18"/>
                <w:szCs w:val="18"/>
              </w:rPr>
              <w:t>8,6%</w:t>
            </w:r>
          </w:p>
        </w:tc>
      </w:tr>
      <w:tr w:rsidR="004A364D" w:rsidRPr="004A364D" w:rsidTr="00F96704">
        <w:tc>
          <w:tcPr>
            <w:tcW w:w="1380" w:type="dxa"/>
          </w:tcPr>
          <w:p w:rsidR="004A364D" w:rsidRPr="004A364D" w:rsidRDefault="004A364D" w:rsidP="00F96704">
            <w:pPr>
              <w:rPr>
                <w:sz w:val="18"/>
                <w:szCs w:val="18"/>
              </w:rPr>
            </w:pPr>
            <w:r w:rsidRPr="004A364D">
              <w:rPr>
                <w:sz w:val="18"/>
                <w:szCs w:val="18"/>
              </w:rPr>
              <w:t>01.01.2015</w:t>
            </w:r>
          </w:p>
        </w:tc>
        <w:tc>
          <w:tcPr>
            <w:tcW w:w="1309" w:type="dxa"/>
          </w:tcPr>
          <w:p w:rsidR="004A364D" w:rsidRPr="004A364D" w:rsidRDefault="004A364D" w:rsidP="00F96704">
            <w:pPr>
              <w:jc w:val="right"/>
              <w:rPr>
                <w:sz w:val="18"/>
                <w:szCs w:val="18"/>
              </w:rPr>
            </w:pPr>
            <w:r w:rsidRPr="004A364D">
              <w:rPr>
                <w:sz w:val="18"/>
                <w:szCs w:val="18"/>
              </w:rPr>
              <w:t>150 900</w:t>
            </w:r>
          </w:p>
        </w:tc>
        <w:tc>
          <w:tcPr>
            <w:tcW w:w="1309" w:type="dxa"/>
          </w:tcPr>
          <w:p w:rsidR="004A364D" w:rsidRPr="004A364D" w:rsidRDefault="004A364D" w:rsidP="00F96704">
            <w:pPr>
              <w:jc w:val="right"/>
              <w:rPr>
                <w:sz w:val="18"/>
                <w:szCs w:val="18"/>
              </w:rPr>
            </w:pPr>
            <w:r w:rsidRPr="004A364D">
              <w:rPr>
                <w:sz w:val="18"/>
                <w:szCs w:val="18"/>
              </w:rPr>
              <w:t>1 700</w:t>
            </w:r>
          </w:p>
        </w:tc>
        <w:tc>
          <w:tcPr>
            <w:tcW w:w="1309" w:type="dxa"/>
          </w:tcPr>
          <w:p w:rsidR="004A364D" w:rsidRPr="004A364D" w:rsidRDefault="004A364D" w:rsidP="00F96704">
            <w:pPr>
              <w:jc w:val="right"/>
              <w:rPr>
                <w:sz w:val="18"/>
                <w:szCs w:val="18"/>
              </w:rPr>
            </w:pPr>
            <w:r w:rsidRPr="004A364D">
              <w:rPr>
                <w:sz w:val="18"/>
                <w:szCs w:val="18"/>
              </w:rPr>
              <w:t>11 300</w:t>
            </w:r>
          </w:p>
        </w:tc>
        <w:tc>
          <w:tcPr>
            <w:tcW w:w="1310" w:type="dxa"/>
          </w:tcPr>
          <w:p w:rsidR="004A364D" w:rsidRPr="004A364D" w:rsidRDefault="004A364D" w:rsidP="00F96704">
            <w:pPr>
              <w:jc w:val="right"/>
              <w:rPr>
                <w:sz w:val="18"/>
                <w:szCs w:val="18"/>
              </w:rPr>
            </w:pPr>
            <w:r w:rsidRPr="004A364D">
              <w:rPr>
                <w:sz w:val="18"/>
                <w:szCs w:val="18"/>
              </w:rPr>
              <w:t>34 000</w:t>
            </w:r>
          </w:p>
        </w:tc>
        <w:tc>
          <w:tcPr>
            <w:tcW w:w="1310" w:type="dxa"/>
          </w:tcPr>
          <w:p w:rsidR="004A364D" w:rsidRPr="004A364D" w:rsidRDefault="004A364D" w:rsidP="00F96704">
            <w:pPr>
              <w:jc w:val="right"/>
              <w:rPr>
                <w:sz w:val="18"/>
                <w:szCs w:val="18"/>
              </w:rPr>
            </w:pPr>
            <w:r w:rsidRPr="004A364D">
              <w:rPr>
                <w:sz w:val="18"/>
                <w:szCs w:val="18"/>
              </w:rPr>
              <w:t>22 700</w:t>
            </w:r>
          </w:p>
        </w:tc>
        <w:tc>
          <w:tcPr>
            <w:tcW w:w="1310" w:type="dxa"/>
          </w:tcPr>
          <w:p w:rsidR="004A364D" w:rsidRPr="004A364D" w:rsidRDefault="004A364D" w:rsidP="00F96704">
            <w:pPr>
              <w:jc w:val="right"/>
              <w:rPr>
                <w:sz w:val="18"/>
                <w:szCs w:val="18"/>
              </w:rPr>
            </w:pPr>
            <w:r w:rsidRPr="004A364D">
              <w:rPr>
                <w:sz w:val="18"/>
                <w:szCs w:val="18"/>
              </w:rPr>
              <w:t>-2,5%</w:t>
            </w:r>
          </w:p>
        </w:tc>
      </w:tr>
      <w:tr w:rsidR="004A364D" w:rsidRPr="004A364D" w:rsidTr="00F96704">
        <w:tc>
          <w:tcPr>
            <w:tcW w:w="1380" w:type="dxa"/>
          </w:tcPr>
          <w:p w:rsidR="004A364D" w:rsidRPr="004A364D" w:rsidRDefault="004A364D" w:rsidP="00F96704">
            <w:pPr>
              <w:rPr>
                <w:sz w:val="18"/>
                <w:szCs w:val="18"/>
              </w:rPr>
            </w:pPr>
            <w:r w:rsidRPr="004A364D">
              <w:rPr>
                <w:sz w:val="18"/>
                <w:szCs w:val="18"/>
              </w:rPr>
              <w:t>01.03.2015</w:t>
            </w:r>
          </w:p>
        </w:tc>
        <w:tc>
          <w:tcPr>
            <w:tcW w:w="1309" w:type="dxa"/>
          </w:tcPr>
          <w:p w:rsidR="004A364D" w:rsidRPr="004A364D" w:rsidRDefault="004A364D" w:rsidP="00F96704">
            <w:pPr>
              <w:jc w:val="right"/>
              <w:rPr>
                <w:sz w:val="18"/>
                <w:szCs w:val="18"/>
              </w:rPr>
            </w:pPr>
            <w:r w:rsidRPr="004A364D">
              <w:rPr>
                <w:sz w:val="18"/>
                <w:szCs w:val="18"/>
              </w:rPr>
              <w:t>164 300</w:t>
            </w:r>
          </w:p>
        </w:tc>
        <w:tc>
          <w:tcPr>
            <w:tcW w:w="1309" w:type="dxa"/>
          </w:tcPr>
          <w:p w:rsidR="004A364D" w:rsidRPr="004A364D" w:rsidRDefault="004A364D" w:rsidP="00F96704">
            <w:pPr>
              <w:jc w:val="right"/>
              <w:rPr>
                <w:sz w:val="18"/>
                <w:szCs w:val="18"/>
              </w:rPr>
            </w:pPr>
            <w:r w:rsidRPr="004A364D">
              <w:rPr>
                <w:sz w:val="18"/>
                <w:szCs w:val="18"/>
              </w:rPr>
              <w:t>1 900</w:t>
            </w:r>
          </w:p>
        </w:tc>
        <w:tc>
          <w:tcPr>
            <w:tcW w:w="1309" w:type="dxa"/>
          </w:tcPr>
          <w:p w:rsidR="004A364D" w:rsidRPr="004A364D" w:rsidRDefault="004A364D" w:rsidP="00F96704">
            <w:pPr>
              <w:jc w:val="right"/>
              <w:rPr>
                <w:sz w:val="18"/>
                <w:szCs w:val="18"/>
              </w:rPr>
            </w:pPr>
            <w:r w:rsidRPr="004A364D">
              <w:rPr>
                <w:sz w:val="18"/>
                <w:szCs w:val="18"/>
              </w:rPr>
              <w:t>12 400</w:t>
            </w:r>
          </w:p>
        </w:tc>
        <w:tc>
          <w:tcPr>
            <w:tcW w:w="1310" w:type="dxa"/>
          </w:tcPr>
          <w:p w:rsidR="004A364D" w:rsidRPr="004A364D" w:rsidRDefault="004A364D" w:rsidP="00F96704">
            <w:pPr>
              <w:jc w:val="right"/>
              <w:rPr>
                <w:sz w:val="18"/>
                <w:szCs w:val="18"/>
              </w:rPr>
            </w:pPr>
            <w:r w:rsidRPr="004A364D">
              <w:rPr>
                <w:sz w:val="18"/>
                <w:szCs w:val="18"/>
              </w:rPr>
              <w:t>37 100</w:t>
            </w:r>
          </w:p>
        </w:tc>
        <w:tc>
          <w:tcPr>
            <w:tcW w:w="1310" w:type="dxa"/>
          </w:tcPr>
          <w:p w:rsidR="004A364D" w:rsidRPr="004A364D" w:rsidRDefault="004A364D" w:rsidP="00F96704">
            <w:pPr>
              <w:jc w:val="right"/>
              <w:rPr>
                <w:sz w:val="18"/>
                <w:szCs w:val="18"/>
              </w:rPr>
            </w:pPr>
            <w:r w:rsidRPr="004A364D">
              <w:rPr>
                <w:sz w:val="18"/>
                <w:szCs w:val="18"/>
              </w:rPr>
              <w:t>24 700</w:t>
            </w:r>
          </w:p>
        </w:tc>
        <w:tc>
          <w:tcPr>
            <w:tcW w:w="1310" w:type="dxa"/>
          </w:tcPr>
          <w:p w:rsidR="004A364D" w:rsidRPr="004A364D" w:rsidRDefault="004A364D" w:rsidP="00F96704">
            <w:pPr>
              <w:jc w:val="right"/>
              <w:rPr>
                <w:sz w:val="18"/>
                <w:szCs w:val="18"/>
              </w:rPr>
            </w:pPr>
            <w:r w:rsidRPr="004A364D">
              <w:rPr>
                <w:sz w:val="18"/>
                <w:szCs w:val="18"/>
              </w:rPr>
              <w:t>8,9%</w:t>
            </w:r>
          </w:p>
        </w:tc>
      </w:tr>
    </w:tbl>
    <w:p w:rsidR="004A364D" w:rsidRPr="004A364D" w:rsidRDefault="004A364D" w:rsidP="004A364D">
      <w:pPr>
        <w:pStyle w:val="ONUMFS"/>
      </w:pPr>
      <w:r w:rsidRPr="004A364D">
        <w:lastRenderedPageBreak/>
        <w:t>Si la stratégie de couverture des risques de change avait été en vigueur durant cette période de 31 mois, les taxes auraient été établies chaque année en fonction du taux de couverture pondéré fixé au mois d’octobre précédent (similaire aux taux du 1</w:t>
      </w:r>
      <w:r w:rsidRPr="004A364D">
        <w:rPr>
          <w:vertAlign w:val="superscript"/>
        </w:rPr>
        <w:t>er</w:t>
      </w:r>
      <w:r w:rsidRPr="004A364D">
        <w:t> janvier indiqués dans le tableau ci</w:t>
      </w:r>
      <w:r w:rsidRPr="004A364D">
        <w:noBreakHyphen/>
        <w:t>dessus).  Cela aurait entraîné une baisse significative des recettes, de plus de 20% en 2013, et une diminution des montants enregistrés en 2014 et en 2015 (jusqu’à présent).  Cependant, cette perte aurait été compensée par la plus</w:t>
      </w:r>
      <w:r w:rsidRPr="004A364D">
        <w:noBreakHyphen/>
        <w:t>value des contrats à terme, éliminant ainsi toute perte nette pour l’OMPI.</w:t>
      </w:r>
    </w:p>
    <w:p w:rsidR="004A364D" w:rsidRPr="004A364D" w:rsidRDefault="004A364D" w:rsidP="004A364D">
      <w:pPr>
        <w:keepNext/>
        <w:jc w:val="center"/>
        <w:rPr>
          <w:lang w:eastAsia="en-US"/>
        </w:rPr>
      </w:pPr>
      <w:proofErr w:type="gramStart"/>
      <w:r w:rsidRPr="004A364D">
        <w:rPr>
          <w:lang w:eastAsia="en-US"/>
        </w:rPr>
        <w:t>franc</w:t>
      </w:r>
      <w:proofErr w:type="gramEnd"/>
      <w:r w:rsidRPr="004A364D">
        <w:rPr>
          <w:lang w:eastAsia="en-US"/>
        </w:rPr>
        <w:t xml:space="preserve"> suisse = yen japonais</w:t>
      </w:r>
    </w:p>
    <w:p w:rsidR="004A364D" w:rsidRPr="004A364D" w:rsidRDefault="004A364D" w:rsidP="004A364D">
      <w:pPr>
        <w:keepNext/>
        <w:jc w:val="center"/>
        <w:rPr>
          <w:lang w:eastAsia="en-US"/>
        </w:rPr>
      </w:pPr>
      <w:r w:rsidRPr="004A364D">
        <w:rPr>
          <w:noProof/>
          <w:lang w:val="en-US" w:eastAsia="en-US"/>
        </w:rPr>
        <w:drawing>
          <wp:inline distT="0" distB="0" distL="0" distR="0" wp14:anchorId="207E65E2" wp14:editId="2C17413B">
            <wp:extent cx="4946015" cy="293433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46015" cy="2934335"/>
                    </a:xfrm>
                    <a:prstGeom prst="rect">
                      <a:avLst/>
                    </a:prstGeom>
                    <a:noFill/>
                    <a:ln>
                      <a:noFill/>
                    </a:ln>
                  </pic:spPr>
                </pic:pic>
              </a:graphicData>
            </a:graphic>
          </wp:inline>
        </w:drawing>
      </w:r>
    </w:p>
    <w:p w:rsidR="004A364D" w:rsidRPr="004A364D" w:rsidRDefault="004A364D" w:rsidP="004A364D">
      <w:pPr>
        <w:jc w:val="center"/>
        <w:rPr>
          <w:lang w:eastAsia="en-US"/>
        </w:rPr>
      </w:pPr>
    </w:p>
    <w:p w:rsidR="004A364D" w:rsidRPr="004A364D" w:rsidRDefault="004A364D" w:rsidP="004A364D">
      <w:pPr>
        <w:pStyle w:val="ONUMFS"/>
      </w:pPr>
      <w:r w:rsidRPr="004A364D">
        <w:t>Comme indiqué dans les tableaux ci</w:t>
      </w:r>
      <w:r w:rsidRPr="004A364D">
        <w:noBreakHyphen/>
        <w:t>dessus, si la stratégie de couverture des risques de change avait été en vigueur pour le yen japonais sur les trois années et pour l’euro en 2015 (jusqu’à présent), les déposants auraient payé des montants nettement inférieurs en ce qui concerne les taxes, ce qui aurait occasionné une perte de recettes pour l’OMPI.  Cependant, cette perte aurait été compensée par les recettes résultant du gain de change réalisé sur l’exécution des contrats à terme.  Toutefois, dans la situation inverse, si le yen japonais et l’euro s’étaient renforcés par rapport au franc suisse, le contraire se serait produit, c’est</w:t>
      </w:r>
      <w:r w:rsidRPr="004A364D">
        <w:noBreakHyphen/>
        <w:t>à</w:t>
      </w:r>
      <w:r w:rsidRPr="004A364D">
        <w:noBreakHyphen/>
        <w:t>dire que les déposants auraient payé davantage qu’avec le système actuel, ce qui aurait entraîné une augmentation des recettes provenant des taxes, compensée par des pertes sur les contrats à terme.</w:t>
      </w:r>
    </w:p>
    <w:p w:rsidR="004A364D" w:rsidRPr="004A364D" w:rsidRDefault="004A364D" w:rsidP="004A364D"/>
    <w:p w:rsidR="004A364D" w:rsidRPr="004A364D" w:rsidRDefault="004A364D" w:rsidP="004A364D"/>
    <w:p w:rsidR="004A364D" w:rsidRPr="004A364D" w:rsidRDefault="004A364D" w:rsidP="004A364D">
      <w:pPr>
        <w:pStyle w:val="Endofdocument-Annex"/>
      </w:pPr>
      <w:r w:rsidRPr="004A364D">
        <w:t>[Fin de l’annexe et du document]</w:t>
      </w:r>
    </w:p>
    <w:sectPr w:rsidR="004A364D" w:rsidRPr="004A364D" w:rsidSect="004A364D">
      <w:headerReference w:type="default" r:id="rId14"/>
      <w:headerReference w:type="first" r:id="rId15"/>
      <w:footerReference w:type="first" r:id="rId16"/>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39B" w:rsidRDefault="0003439B">
      <w:r>
        <w:separator/>
      </w:r>
    </w:p>
  </w:endnote>
  <w:endnote w:type="continuationSeparator" w:id="0">
    <w:p w:rsidR="0003439B" w:rsidRDefault="0003439B" w:rsidP="003B38C1">
      <w:r>
        <w:separator/>
      </w:r>
    </w:p>
    <w:p w:rsidR="0003439B" w:rsidRPr="003B38C1" w:rsidRDefault="0003439B" w:rsidP="003B38C1">
      <w:pPr>
        <w:spacing w:after="60"/>
        <w:rPr>
          <w:sz w:val="17"/>
        </w:rPr>
      </w:pPr>
      <w:r>
        <w:rPr>
          <w:sz w:val="17"/>
        </w:rPr>
        <w:t>[Endnote continued from previous page]</w:t>
      </w:r>
    </w:p>
  </w:endnote>
  <w:endnote w:type="continuationNotice" w:id="1">
    <w:p w:rsidR="0003439B" w:rsidRPr="003B38C1" w:rsidRDefault="000343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20" w:rsidRPr="004A364D" w:rsidRDefault="00526920" w:rsidP="004A3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39B" w:rsidRDefault="0003439B">
      <w:r>
        <w:separator/>
      </w:r>
    </w:p>
  </w:footnote>
  <w:footnote w:type="continuationSeparator" w:id="0">
    <w:p w:rsidR="0003439B" w:rsidRDefault="0003439B" w:rsidP="008B60B2">
      <w:r>
        <w:separator/>
      </w:r>
    </w:p>
    <w:p w:rsidR="0003439B" w:rsidRPr="00ED77FB" w:rsidRDefault="0003439B" w:rsidP="008B60B2">
      <w:pPr>
        <w:spacing w:after="60"/>
        <w:rPr>
          <w:sz w:val="17"/>
          <w:szCs w:val="17"/>
        </w:rPr>
      </w:pPr>
      <w:r w:rsidRPr="00ED77FB">
        <w:rPr>
          <w:sz w:val="17"/>
          <w:szCs w:val="17"/>
        </w:rPr>
        <w:t>[Footnote continued from previous page]</w:t>
      </w:r>
    </w:p>
  </w:footnote>
  <w:footnote w:type="continuationNotice" w:id="1">
    <w:p w:rsidR="0003439B" w:rsidRPr="00ED77FB" w:rsidRDefault="0003439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4D" w:rsidRPr="00D53E8E" w:rsidRDefault="004A364D" w:rsidP="00477D6B">
    <w:pPr>
      <w:jc w:val="right"/>
      <w:rPr>
        <w:lang w:val="fr-CH"/>
      </w:rPr>
    </w:pPr>
    <w:bookmarkStart w:id="5" w:name="Code2"/>
    <w:bookmarkEnd w:id="5"/>
    <w:r w:rsidRPr="00D53E8E">
      <w:rPr>
        <w:lang w:val="fr-CH"/>
      </w:rPr>
      <w:t>W</w:t>
    </w:r>
    <w:r>
      <w:rPr>
        <w:lang w:val="fr-CH"/>
      </w:rPr>
      <w:t>O/PBC/24/INF.</w:t>
    </w:r>
    <w:r w:rsidRPr="00D53E8E">
      <w:rPr>
        <w:lang w:val="fr-CH"/>
      </w:rPr>
      <w:t>3</w:t>
    </w:r>
  </w:p>
  <w:p w:rsidR="004A364D" w:rsidRPr="00D53E8E" w:rsidRDefault="004A364D" w:rsidP="00477D6B">
    <w:pPr>
      <w:jc w:val="right"/>
      <w:rPr>
        <w:lang w:val="fr-CH"/>
      </w:rPr>
    </w:pPr>
    <w:proofErr w:type="gramStart"/>
    <w:r>
      <w:rPr>
        <w:lang w:val="fr-CH"/>
      </w:rPr>
      <w:t>p</w:t>
    </w:r>
    <w:r w:rsidRPr="00D53E8E">
      <w:rPr>
        <w:lang w:val="fr-CH"/>
      </w:rPr>
      <w:t>age</w:t>
    </w:r>
    <w:proofErr w:type="gramEnd"/>
    <w:r w:rsidRPr="00D53E8E">
      <w:rPr>
        <w:lang w:val="fr-CH"/>
      </w:rPr>
      <w:t xml:space="preserve"> </w:t>
    </w:r>
    <w:r>
      <w:fldChar w:fldCharType="begin"/>
    </w:r>
    <w:r w:rsidRPr="00D53E8E">
      <w:rPr>
        <w:lang w:val="fr-CH"/>
      </w:rPr>
      <w:instrText xml:space="preserve"> PAGE  \* MERGEFORMAT </w:instrText>
    </w:r>
    <w:r>
      <w:fldChar w:fldCharType="separate"/>
    </w:r>
    <w:r w:rsidR="004A0A6D">
      <w:rPr>
        <w:noProof/>
        <w:lang w:val="fr-CH"/>
      </w:rPr>
      <w:t>9</w:t>
    </w:r>
    <w:r>
      <w:fldChar w:fldCharType="end"/>
    </w:r>
  </w:p>
  <w:p w:rsidR="004A364D" w:rsidRPr="00D53E8E" w:rsidRDefault="004A364D"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59" w:rsidRPr="00D53E8E" w:rsidRDefault="00E566A8" w:rsidP="00477D6B">
    <w:pPr>
      <w:jc w:val="right"/>
      <w:rPr>
        <w:lang w:val="fr-CH"/>
      </w:rPr>
    </w:pPr>
    <w:r>
      <w:rPr>
        <w:lang w:val="fr-CH"/>
      </w:rPr>
      <w:t>WO/PBC/24/INF.</w:t>
    </w:r>
    <w:r w:rsidR="009F3F59" w:rsidRPr="00D53E8E">
      <w:rPr>
        <w:lang w:val="fr-CH"/>
      </w:rPr>
      <w:t>3</w:t>
    </w:r>
  </w:p>
  <w:p w:rsidR="009F3F59" w:rsidRPr="00D53E8E" w:rsidRDefault="004A364D" w:rsidP="00477D6B">
    <w:pPr>
      <w:jc w:val="right"/>
      <w:rPr>
        <w:lang w:val="fr-CH"/>
      </w:rPr>
    </w:pPr>
    <w:r>
      <w:rPr>
        <w:lang w:val="fr-CH"/>
      </w:rPr>
      <w:t xml:space="preserve">Annexe, </w:t>
    </w:r>
    <w:r w:rsidR="009F3F59">
      <w:rPr>
        <w:lang w:val="fr-CH"/>
      </w:rPr>
      <w:t>p</w:t>
    </w:r>
    <w:r w:rsidR="009F3F59" w:rsidRPr="00D53E8E">
      <w:rPr>
        <w:lang w:val="fr-CH"/>
      </w:rPr>
      <w:t xml:space="preserve">age </w:t>
    </w:r>
    <w:r w:rsidR="009F3F59">
      <w:fldChar w:fldCharType="begin"/>
    </w:r>
    <w:r w:rsidR="009F3F59" w:rsidRPr="00D53E8E">
      <w:rPr>
        <w:lang w:val="fr-CH"/>
      </w:rPr>
      <w:instrText xml:space="preserve"> PAGE  \* MERGEFORMAT </w:instrText>
    </w:r>
    <w:r w:rsidR="009F3F59">
      <w:fldChar w:fldCharType="separate"/>
    </w:r>
    <w:r w:rsidR="004A0A6D">
      <w:rPr>
        <w:noProof/>
        <w:lang w:val="fr-CH"/>
      </w:rPr>
      <w:t>3</w:t>
    </w:r>
    <w:r w:rsidR="009F3F59">
      <w:fldChar w:fldCharType="end"/>
    </w:r>
  </w:p>
  <w:p w:rsidR="009F3F59" w:rsidRPr="00D53E8E" w:rsidRDefault="009F3F59"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4D" w:rsidRPr="00D53E8E" w:rsidRDefault="004A364D" w:rsidP="004A364D">
    <w:pPr>
      <w:jc w:val="right"/>
      <w:rPr>
        <w:lang w:val="fr-CH"/>
      </w:rPr>
    </w:pPr>
    <w:r w:rsidRPr="00D53E8E">
      <w:rPr>
        <w:lang w:val="fr-CH"/>
      </w:rPr>
      <w:t>W</w:t>
    </w:r>
    <w:r>
      <w:rPr>
        <w:lang w:val="fr-CH"/>
      </w:rPr>
      <w:t>O/PBC/24/INF.</w:t>
    </w:r>
    <w:r w:rsidRPr="00D53E8E">
      <w:rPr>
        <w:lang w:val="fr-CH"/>
      </w:rPr>
      <w:t>3</w:t>
    </w:r>
  </w:p>
  <w:p w:rsidR="004A364D" w:rsidRPr="00D53E8E" w:rsidRDefault="004A364D" w:rsidP="004A364D">
    <w:pPr>
      <w:jc w:val="right"/>
      <w:rPr>
        <w:lang w:val="fr-CH"/>
      </w:rPr>
    </w:pPr>
    <w:r>
      <w:rPr>
        <w:lang w:val="fr-CH"/>
      </w:rPr>
      <w:t>ANNEXE</w:t>
    </w:r>
  </w:p>
  <w:p w:rsidR="004A364D" w:rsidRPr="00D53E8E" w:rsidRDefault="004A364D" w:rsidP="004A364D">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E203ED3"/>
    <w:multiLevelType w:val="hybridMultilevel"/>
    <w:tmpl w:val="BCAEEC64"/>
    <w:lvl w:ilvl="0" w:tplc="0409000F">
      <w:start w:val="1"/>
      <w:numFmt w:val="decimal"/>
      <w:pStyle w:val="Salutation"/>
      <w:lvlText w:val="%1."/>
      <w:lvlJc w:val="left"/>
      <w:pPr>
        <w:tabs>
          <w:tab w:val="num" w:pos="709"/>
        </w:tabs>
        <w:ind w:left="14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TRADTERM"/>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Treaties\Model Laws|TextBase TMs\Treaties\Other Laws and Agreements|TextBase TMs\Treaties\WIPO-administered|TextBase TMs\Glossaries\EN-FR|TextBase TMs\Administrative\Meetings|TextBase TMs\Administrative\Other|TextBase TMs\Administrative\Publications|TextBase TMs\Budget and Finance\Meetings|TextBase TMs\Budget and Finance\Other|TextBase TMs\Budget and Finance\Publications|TextBase TMs\Patents\Meetings|TextBase TMs\Patents\Other|TextBase TMs\Patents\Publications|TextBase TMs\Trademarks\Meetings|TextBase TMs\Trademarks\Other|TextBase TMs\Trademark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am Server TMs\Default"/>
    <w:docVar w:name="TextBaseURL" w:val="empty"/>
    <w:docVar w:name="UILng" w:val="en"/>
  </w:docVars>
  <w:rsids>
    <w:rsidRoot w:val="00D53E8E"/>
    <w:rsid w:val="0003439B"/>
    <w:rsid w:val="0004193B"/>
    <w:rsid w:val="00043CAA"/>
    <w:rsid w:val="0005795E"/>
    <w:rsid w:val="00075432"/>
    <w:rsid w:val="000968ED"/>
    <w:rsid w:val="000B5AEC"/>
    <w:rsid w:val="000C2142"/>
    <w:rsid w:val="000E77FC"/>
    <w:rsid w:val="000F5E56"/>
    <w:rsid w:val="001362EE"/>
    <w:rsid w:val="00136D7E"/>
    <w:rsid w:val="00146E52"/>
    <w:rsid w:val="00153718"/>
    <w:rsid w:val="001832A6"/>
    <w:rsid w:val="001850F1"/>
    <w:rsid w:val="001A7224"/>
    <w:rsid w:val="00247A90"/>
    <w:rsid w:val="002634C4"/>
    <w:rsid w:val="002928D3"/>
    <w:rsid w:val="002D157F"/>
    <w:rsid w:val="002E6414"/>
    <w:rsid w:val="002F1FE6"/>
    <w:rsid w:val="002F2F39"/>
    <w:rsid w:val="002F4E68"/>
    <w:rsid w:val="00300FEF"/>
    <w:rsid w:val="00312F7F"/>
    <w:rsid w:val="00315025"/>
    <w:rsid w:val="00361450"/>
    <w:rsid w:val="003673CF"/>
    <w:rsid w:val="00372D9D"/>
    <w:rsid w:val="003845C1"/>
    <w:rsid w:val="003A5486"/>
    <w:rsid w:val="003A6F89"/>
    <w:rsid w:val="003A7DA8"/>
    <w:rsid w:val="003B38C1"/>
    <w:rsid w:val="003D3AF4"/>
    <w:rsid w:val="0042142C"/>
    <w:rsid w:val="00423E3E"/>
    <w:rsid w:val="004256C2"/>
    <w:rsid w:val="00427AF4"/>
    <w:rsid w:val="004647DA"/>
    <w:rsid w:val="00474062"/>
    <w:rsid w:val="00477D6B"/>
    <w:rsid w:val="004A0A6D"/>
    <w:rsid w:val="004A364D"/>
    <w:rsid w:val="004D40C8"/>
    <w:rsid w:val="005019FF"/>
    <w:rsid w:val="005179AE"/>
    <w:rsid w:val="00526920"/>
    <w:rsid w:val="0053057A"/>
    <w:rsid w:val="00560A29"/>
    <w:rsid w:val="005725F2"/>
    <w:rsid w:val="00572797"/>
    <w:rsid w:val="00575E58"/>
    <w:rsid w:val="005A2E04"/>
    <w:rsid w:val="005A3271"/>
    <w:rsid w:val="005C6649"/>
    <w:rsid w:val="00605827"/>
    <w:rsid w:val="00646050"/>
    <w:rsid w:val="006615DC"/>
    <w:rsid w:val="006713CA"/>
    <w:rsid w:val="00676C5C"/>
    <w:rsid w:val="00693A0C"/>
    <w:rsid w:val="006C0271"/>
    <w:rsid w:val="006F64E2"/>
    <w:rsid w:val="00702575"/>
    <w:rsid w:val="007230F0"/>
    <w:rsid w:val="00770963"/>
    <w:rsid w:val="007A396E"/>
    <w:rsid w:val="007A7FAB"/>
    <w:rsid w:val="007C38A4"/>
    <w:rsid w:val="007D1613"/>
    <w:rsid w:val="007D344B"/>
    <w:rsid w:val="007F0536"/>
    <w:rsid w:val="007F2586"/>
    <w:rsid w:val="00870C78"/>
    <w:rsid w:val="008A68E6"/>
    <w:rsid w:val="008B2CC1"/>
    <w:rsid w:val="008B60B2"/>
    <w:rsid w:val="008C1209"/>
    <w:rsid w:val="008F46C0"/>
    <w:rsid w:val="0090462F"/>
    <w:rsid w:val="0090731E"/>
    <w:rsid w:val="00916EE2"/>
    <w:rsid w:val="00921D5A"/>
    <w:rsid w:val="009478BB"/>
    <w:rsid w:val="00953096"/>
    <w:rsid w:val="009623A1"/>
    <w:rsid w:val="00966A22"/>
    <w:rsid w:val="0096722F"/>
    <w:rsid w:val="00980843"/>
    <w:rsid w:val="009973E9"/>
    <w:rsid w:val="009B1896"/>
    <w:rsid w:val="009B36E8"/>
    <w:rsid w:val="009C287C"/>
    <w:rsid w:val="009E2791"/>
    <w:rsid w:val="009E3F6F"/>
    <w:rsid w:val="009F13DC"/>
    <w:rsid w:val="009F3F59"/>
    <w:rsid w:val="009F499F"/>
    <w:rsid w:val="00A07545"/>
    <w:rsid w:val="00A172D2"/>
    <w:rsid w:val="00A24CF0"/>
    <w:rsid w:val="00A42DAF"/>
    <w:rsid w:val="00A45BD8"/>
    <w:rsid w:val="00A5126D"/>
    <w:rsid w:val="00A77461"/>
    <w:rsid w:val="00A82720"/>
    <w:rsid w:val="00A82854"/>
    <w:rsid w:val="00A869B7"/>
    <w:rsid w:val="00AA58F5"/>
    <w:rsid w:val="00AC205C"/>
    <w:rsid w:val="00AC665F"/>
    <w:rsid w:val="00AE781B"/>
    <w:rsid w:val="00AF0A6B"/>
    <w:rsid w:val="00B05A69"/>
    <w:rsid w:val="00B21CFF"/>
    <w:rsid w:val="00B502CF"/>
    <w:rsid w:val="00B92758"/>
    <w:rsid w:val="00B9734B"/>
    <w:rsid w:val="00BB6A70"/>
    <w:rsid w:val="00BF1AB7"/>
    <w:rsid w:val="00C11BFE"/>
    <w:rsid w:val="00C21362"/>
    <w:rsid w:val="00C56403"/>
    <w:rsid w:val="00C61230"/>
    <w:rsid w:val="00C80981"/>
    <w:rsid w:val="00CB7696"/>
    <w:rsid w:val="00CD0A5A"/>
    <w:rsid w:val="00CF77BF"/>
    <w:rsid w:val="00D01F44"/>
    <w:rsid w:val="00D04697"/>
    <w:rsid w:val="00D45252"/>
    <w:rsid w:val="00D4592C"/>
    <w:rsid w:val="00D53E8E"/>
    <w:rsid w:val="00D71B4D"/>
    <w:rsid w:val="00D93D55"/>
    <w:rsid w:val="00DA1B2F"/>
    <w:rsid w:val="00DC5015"/>
    <w:rsid w:val="00E2236A"/>
    <w:rsid w:val="00E335FE"/>
    <w:rsid w:val="00E37350"/>
    <w:rsid w:val="00E566A8"/>
    <w:rsid w:val="00E83586"/>
    <w:rsid w:val="00EB339A"/>
    <w:rsid w:val="00EC4E49"/>
    <w:rsid w:val="00ED77FB"/>
    <w:rsid w:val="00EE45FA"/>
    <w:rsid w:val="00F516DC"/>
    <w:rsid w:val="00F562B6"/>
    <w:rsid w:val="00F66152"/>
    <w:rsid w:val="00F811B0"/>
    <w:rsid w:val="00FD7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64D"/>
    <w:rPr>
      <w:rFonts w:ascii="Arial" w:eastAsia="SimSun" w:hAnsi="Arial" w:cs="Arial"/>
      <w:sz w:val="22"/>
      <w:lang w:val="fr-FR"/>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pPr>
      <w:numPr>
        <w:numId w:val="4"/>
      </w:numPr>
    </w:pPr>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character" w:customStyle="1" w:styleId="Heading1Char">
    <w:name w:val="Heading 1 Char"/>
    <w:basedOn w:val="DefaultParagraphFont"/>
    <w:link w:val="Heading1"/>
    <w:rsid w:val="00D53E8E"/>
    <w:rPr>
      <w:rFonts w:ascii="Arial" w:eastAsia="SimSun" w:hAnsi="Arial" w:cs="Arial"/>
      <w:b/>
      <w:bCs/>
      <w:caps/>
      <w:kern w:val="32"/>
      <w:sz w:val="22"/>
      <w:szCs w:val="32"/>
    </w:rPr>
  </w:style>
  <w:style w:type="character" w:customStyle="1" w:styleId="Heading2Char">
    <w:name w:val="Heading 2 Char"/>
    <w:basedOn w:val="DefaultParagraphFont"/>
    <w:link w:val="Heading2"/>
    <w:rsid w:val="00D53E8E"/>
    <w:rPr>
      <w:rFonts w:ascii="Arial" w:eastAsia="SimSun" w:hAnsi="Arial" w:cs="Arial"/>
      <w:bCs/>
      <w:iCs/>
      <w:caps/>
      <w:sz w:val="22"/>
      <w:szCs w:val="28"/>
    </w:rPr>
  </w:style>
  <w:style w:type="paragraph" w:customStyle="1" w:styleId="Default">
    <w:name w:val="Default"/>
    <w:rsid w:val="00D53E8E"/>
    <w:pPr>
      <w:autoSpaceDE w:val="0"/>
      <w:autoSpaceDN w:val="0"/>
      <w:adjustRightInd w:val="0"/>
    </w:pPr>
    <w:rPr>
      <w:rFonts w:ascii="Arial" w:hAnsi="Arial" w:cs="Arial"/>
      <w:color w:val="000000"/>
      <w:sz w:val="24"/>
      <w:szCs w:val="24"/>
      <w:lang w:eastAsia="en-US"/>
    </w:rPr>
  </w:style>
  <w:style w:type="character" w:customStyle="1" w:styleId="HeaderChar">
    <w:name w:val="Header Char"/>
    <w:basedOn w:val="DefaultParagraphFont"/>
    <w:link w:val="Header"/>
    <w:uiPriority w:val="99"/>
    <w:rsid w:val="00D53E8E"/>
    <w:rPr>
      <w:rFonts w:ascii="Arial" w:eastAsia="SimSun" w:hAnsi="Arial" w:cs="Arial"/>
      <w:sz w:val="22"/>
    </w:rPr>
  </w:style>
  <w:style w:type="character" w:styleId="Hyperlink">
    <w:name w:val="Hyperlink"/>
    <w:basedOn w:val="DefaultParagraphFont"/>
    <w:rsid w:val="00AC665F"/>
    <w:rPr>
      <w:color w:val="0000FF" w:themeColor="hyperlink"/>
      <w:u w:val="single"/>
    </w:rPr>
  </w:style>
  <w:style w:type="character" w:customStyle="1" w:styleId="FooterChar">
    <w:name w:val="Footer Char"/>
    <w:basedOn w:val="DefaultParagraphFont"/>
    <w:link w:val="Footer"/>
    <w:semiHidden/>
    <w:rsid w:val="004A364D"/>
    <w:rPr>
      <w:rFonts w:ascii="Arial" w:eastAsia="SimSun" w:hAnsi="Arial" w:cs="Arial"/>
      <w:sz w:val="22"/>
    </w:rPr>
  </w:style>
  <w:style w:type="table" w:styleId="TableGrid">
    <w:name w:val="Table Grid"/>
    <w:basedOn w:val="TableNormal"/>
    <w:uiPriority w:val="59"/>
    <w:rsid w:val="004A364D"/>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64D"/>
    <w:rPr>
      <w:rFonts w:ascii="Arial" w:eastAsia="SimSun" w:hAnsi="Arial" w:cs="Arial"/>
      <w:sz w:val="22"/>
      <w:lang w:val="fr-FR"/>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pPr>
      <w:numPr>
        <w:numId w:val="4"/>
      </w:numPr>
    </w:pPr>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character" w:customStyle="1" w:styleId="Heading1Char">
    <w:name w:val="Heading 1 Char"/>
    <w:basedOn w:val="DefaultParagraphFont"/>
    <w:link w:val="Heading1"/>
    <w:rsid w:val="00D53E8E"/>
    <w:rPr>
      <w:rFonts w:ascii="Arial" w:eastAsia="SimSun" w:hAnsi="Arial" w:cs="Arial"/>
      <w:b/>
      <w:bCs/>
      <w:caps/>
      <w:kern w:val="32"/>
      <w:sz w:val="22"/>
      <w:szCs w:val="32"/>
    </w:rPr>
  </w:style>
  <w:style w:type="character" w:customStyle="1" w:styleId="Heading2Char">
    <w:name w:val="Heading 2 Char"/>
    <w:basedOn w:val="DefaultParagraphFont"/>
    <w:link w:val="Heading2"/>
    <w:rsid w:val="00D53E8E"/>
    <w:rPr>
      <w:rFonts w:ascii="Arial" w:eastAsia="SimSun" w:hAnsi="Arial" w:cs="Arial"/>
      <w:bCs/>
      <w:iCs/>
      <w:caps/>
      <w:sz w:val="22"/>
      <w:szCs w:val="28"/>
    </w:rPr>
  </w:style>
  <w:style w:type="paragraph" w:customStyle="1" w:styleId="Default">
    <w:name w:val="Default"/>
    <w:rsid w:val="00D53E8E"/>
    <w:pPr>
      <w:autoSpaceDE w:val="0"/>
      <w:autoSpaceDN w:val="0"/>
      <w:adjustRightInd w:val="0"/>
    </w:pPr>
    <w:rPr>
      <w:rFonts w:ascii="Arial" w:hAnsi="Arial" w:cs="Arial"/>
      <w:color w:val="000000"/>
      <w:sz w:val="24"/>
      <w:szCs w:val="24"/>
      <w:lang w:eastAsia="en-US"/>
    </w:rPr>
  </w:style>
  <w:style w:type="character" w:customStyle="1" w:styleId="HeaderChar">
    <w:name w:val="Header Char"/>
    <w:basedOn w:val="DefaultParagraphFont"/>
    <w:link w:val="Header"/>
    <w:uiPriority w:val="99"/>
    <w:rsid w:val="00D53E8E"/>
    <w:rPr>
      <w:rFonts w:ascii="Arial" w:eastAsia="SimSun" w:hAnsi="Arial" w:cs="Arial"/>
      <w:sz w:val="22"/>
    </w:rPr>
  </w:style>
  <w:style w:type="character" w:styleId="Hyperlink">
    <w:name w:val="Hyperlink"/>
    <w:basedOn w:val="DefaultParagraphFont"/>
    <w:rsid w:val="00AC665F"/>
    <w:rPr>
      <w:color w:val="0000FF" w:themeColor="hyperlink"/>
      <w:u w:val="single"/>
    </w:rPr>
  </w:style>
  <w:style w:type="character" w:customStyle="1" w:styleId="FooterChar">
    <w:name w:val="Footer Char"/>
    <w:basedOn w:val="DefaultParagraphFont"/>
    <w:link w:val="Footer"/>
    <w:semiHidden/>
    <w:rsid w:val="004A364D"/>
    <w:rPr>
      <w:rFonts w:ascii="Arial" w:eastAsia="SimSun" w:hAnsi="Arial" w:cs="Arial"/>
      <w:sz w:val="22"/>
    </w:rPr>
  </w:style>
  <w:style w:type="table" w:styleId="TableGrid">
    <w:name w:val="Table Grid"/>
    <w:basedOn w:val="TableNormal"/>
    <w:uiPriority w:val="59"/>
    <w:rsid w:val="004A364D"/>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58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277E7-A800-48E2-8FEB-8C0B4499F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24(E)</Template>
  <TotalTime>24</TotalTime>
  <Pages>12</Pages>
  <Words>17392</Words>
  <Characters>18437</Characters>
  <Application>Microsoft Office Word</Application>
  <DocSecurity>0</DocSecurity>
  <Lines>449</Lines>
  <Paragraphs>149</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35680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DOYON Geneviève</dc:creator>
  <cp:keywords>JCH/MP/ko/sc</cp:keywords>
  <cp:lastModifiedBy>NETTER Iza</cp:lastModifiedBy>
  <cp:revision>13</cp:revision>
  <cp:lastPrinted>2015-09-11T12:56:00Z</cp:lastPrinted>
  <dcterms:created xsi:type="dcterms:W3CDTF">2015-09-11T08:36:00Z</dcterms:created>
  <dcterms:modified xsi:type="dcterms:W3CDTF">2015-09-11T12:57:00Z</dcterms:modified>
</cp:coreProperties>
</file>