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7E4A0F" w:rsidRPr="007E4A0F" w:rsidTr="00894E0D">
        <w:tc>
          <w:tcPr>
            <w:tcW w:w="4513" w:type="dxa"/>
            <w:tcBorders>
              <w:bottom w:val="single" w:sz="4" w:space="0" w:color="auto"/>
            </w:tcBorders>
            <w:tcMar>
              <w:bottom w:w="170" w:type="dxa"/>
            </w:tcMar>
          </w:tcPr>
          <w:p w:rsidR="00894E0D" w:rsidRPr="007E4A0F" w:rsidRDefault="00894E0D" w:rsidP="00894E0D">
            <w:pPr>
              <w:rPr>
                <w:lang w:val="fr-FR"/>
              </w:rPr>
            </w:pPr>
          </w:p>
        </w:tc>
        <w:tc>
          <w:tcPr>
            <w:tcW w:w="4337" w:type="dxa"/>
            <w:tcBorders>
              <w:bottom w:val="single" w:sz="4" w:space="0" w:color="auto"/>
            </w:tcBorders>
            <w:tcMar>
              <w:left w:w="0" w:type="dxa"/>
              <w:right w:w="0" w:type="dxa"/>
            </w:tcMar>
          </w:tcPr>
          <w:p w:rsidR="00894E0D" w:rsidRPr="007E4A0F" w:rsidRDefault="00894E0D" w:rsidP="00894E0D">
            <w:pPr>
              <w:rPr>
                <w:lang w:val="fr-FR"/>
              </w:rPr>
            </w:pPr>
            <w:r w:rsidRPr="007E4A0F">
              <w:rPr>
                <w:noProof/>
                <w:lang w:val="en-US" w:eastAsia="en-US"/>
              </w:rPr>
              <w:drawing>
                <wp:inline distT="0" distB="0" distL="0" distR="0" wp14:anchorId="587B21DE" wp14:editId="06CF272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894E0D" w:rsidRPr="007E4A0F" w:rsidRDefault="00894E0D" w:rsidP="00894E0D">
            <w:pPr>
              <w:jc w:val="right"/>
              <w:rPr>
                <w:lang w:val="fr-FR"/>
              </w:rPr>
            </w:pPr>
            <w:r w:rsidRPr="007E4A0F">
              <w:rPr>
                <w:b/>
                <w:sz w:val="40"/>
                <w:szCs w:val="40"/>
                <w:lang w:val="fr-FR"/>
              </w:rPr>
              <w:t>F</w:t>
            </w:r>
          </w:p>
        </w:tc>
      </w:tr>
      <w:tr w:rsidR="007E4A0F" w:rsidRPr="007E4A0F" w:rsidTr="00894E0D">
        <w:trPr>
          <w:trHeight w:hRule="exact" w:val="340"/>
        </w:trPr>
        <w:tc>
          <w:tcPr>
            <w:tcW w:w="9433" w:type="dxa"/>
            <w:gridSpan w:val="3"/>
            <w:tcBorders>
              <w:top w:val="single" w:sz="4" w:space="0" w:color="auto"/>
            </w:tcBorders>
            <w:tcMar>
              <w:top w:w="170" w:type="dxa"/>
              <w:left w:w="0" w:type="dxa"/>
              <w:right w:w="0" w:type="dxa"/>
            </w:tcMar>
            <w:vAlign w:val="bottom"/>
          </w:tcPr>
          <w:p w:rsidR="00894E0D" w:rsidRPr="007E4A0F" w:rsidRDefault="00894E0D" w:rsidP="00894E0D">
            <w:pPr>
              <w:jc w:val="right"/>
              <w:rPr>
                <w:rFonts w:ascii="Arial Black" w:hAnsi="Arial Black"/>
                <w:caps/>
                <w:sz w:val="15"/>
                <w:lang w:val="fr-FR"/>
              </w:rPr>
            </w:pPr>
            <w:r w:rsidRPr="007E4A0F">
              <w:rPr>
                <w:rFonts w:ascii="Arial Black" w:hAnsi="Arial Black"/>
                <w:caps/>
                <w:sz w:val="15"/>
                <w:lang w:val="fr-FR"/>
              </w:rPr>
              <w:t>wo/pbc/24/</w:t>
            </w:r>
            <w:bookmarkStart w:id="0" w:name="Code"/>
            <w:bookmarkEnd w:id="0"/>
            <w:r w:rsidRPr="007E4A0F">
              <w:rPr>
                <w:rFonts w:ascii="Arial Black" w:hAnsi="Arial Black"/>
                <w:caps/>
                <w:sz w:val="15"/>
                <w:lang w:val="fr-FR"/>
              </w:rPr>
              <w:t>5</w:t>
            </w:r>
          </w:p>
        </w:tc>
      </w:tr>
      <w:tr w:rsidR="007E4A0F" w:rsidRPr="007E4A0F" w:rsidTr="00894E0D">
        <w:trPr>
          <w:trHeight w:hRule="exact" w:val="170"/>
        </w:trPr>
        <w:tc>
          <w:tcPr>
            <w:tcW w:w="9433" w:type="dxa"/>
            <w:gridSpan w:val="3"/>
            <w:noWrap/>
            <w:tcMar>
              <w:left w:w="0" w:type="dxa"/>
              <w:right w:w="0" w:type="dxa"/>
            </w:tcMar>
            <w:vAlign w:val="bottom"/>
          </w:tcPr>
          <w:p w:rsidR="00894E0D" w:rsidRPr="007E4A0F" w:rsidRDefault="00894E0D" w:rsidP="00894E0D">
            <w:pPr>
              <w:jc w:val="right"/>
              <w:rPr>
                <w:rFonts w:ascii="Arial Black" w:hAnsi="Arial Black"/>
                <w:caps/>
                <w:sz w:val="15"/>
                <w:lang w:val="fr-FR"/>
              </w:rPr>
            </w:pPr>
            <w:bookmarkStart w:id="1" w:name="Original"/>
            <w:bookmarkEnd w:id="1"/>
            <w:r w:rsidRPr="007E4A0F">
              <w:rPr>
                <w:rFonts w:ascii="Arial Black" w:hAnsi="Arial Black"/>
                <w:caps/>
                <w:sz w:val="15"/>
                <w:lang w:val="fr-FR"/>
              </w:rPr>
              <w:t>ORIGINAL : anglais</w:t>
            </w:r>
          </w:p>
        </w:tc>
      </w:tr>
      <w:tr w:rsidR="00894E0D" w:rsidRPr="007E4A0F" w:rsidTr="00894E0D">
        <w:trPr>
          <w:trHeight w:hRule="exact" w:val="198"/>
        </w:trPr>
        <w:tc>
          <w:tcPr>
            <w:tcW w:w="9433" w:type="dxa"/>
            <w:gridSpan w:val="3"/>
            <w:tcMar>
              <w:left w:w="0" w:type="dxa"/>
              <w:right w:w="0" w:type="dxa"/>
            </w:tcMar>
            <w:vAlign w:val="bottom"/>
          </w:tcPr>
          <w:p w:rsidR="00894E0D" w:rsidRPr="007E4A0F" w:rsidRDefault="00894E0D" w:rsidP="00894E0D">
            <w:pPr>
              <w:jc w:val="right"/>
              <w:rPr>
                <w:rFonts w:ascii="Arial Black" w:hAnsi="Arial Black"/>
                <w:caps/>
                <w:sz w:val="15"/>
                <w:lang w:val="fr-FR"/>
              </w:rPr>
            </w:pPr>
            <w:r w:rsidRPr="007E4A0F">
              <w:rPr>
                <w:rFonts w:ascii="Arial Black" w:hAnsi="Arial Black"/>
                <w:caps/>
                <w:sz w:val="15"/>
                <w:lang w:val="fr-FR"/>
              </w:rPr>
              <w:t>DATE : 31 juillet 2015</w:t>
            </w:r>
          </w:p>
        </w:tc>
      </w:tr>
    </w:tbl>
    <w:p w:rsidR="00947AF6" w:rsidRPr="007E4A0F" w:rsidRDefault="00947AF6" w:rsidP="008B2CC1">
      <w:pPr>
        <w:rPr>
          <w:lang w:val="fr-FR"/>
        </w:rPr>
      </w:pPr>
    </w:p>
    <w:p w:rsidR="00894E0D" w:rsidRPr="007E4A0F" w:rsidRDefault="00894E0D" w:rsidP="008B2CC1">
      <w:pPr>
        <w:rPr>
          <w:lang w:val="fr-FR"/>
        </w:rPr>
      </w:pPr>
    </w:p>
    <w:p w:rsidR="00894E0D" w:rsidRPr="007E4A0F" w:rsidRDefault="00894E0D" w:rsidP="008B2CC1">
      <w:pPr>
        <w:rPr>
          <w:lang w:val="fr-FR"/>
        </w:rPr>
      </w:pPr>
    </w:p>
    <w:p w:rsidR="00894E0D" w:rsidRPr="007E4A0F" w:rsidRDefault="00894E0D" w:rsidP="008B2CC1">
      <w:pPr>
        <w:rPr>
          <w:lang w:val="fr-FR"/>
        </w:rPr>
      </w:pPr>
    </w:p>
    <w:p w:rsidR="002D5F87" w:rsidRPr="007E4A0F" w:rsidRDefault="002D5F87" w:rsidP="008B2CC1">
      <w:pPr>
        <w:rPr>
          <w:lang w:val="fr-FR"/>
        </w:rPr>
      </w:pPr>
    </w:p>
    <w:p w:rsidR="00947AF6" w:rsidRPr="007E4A0F" w:rsidRDefault="00762DB6" w:rsidP="00762DB6">
      <w:pPr>
        <w:rPr>
          <w:b/>
          <w:sz w:val="28"/>
          <w:szCs w:val="28"/>
          <w:lang w:val="fr-FR"/>
        </w:rPr>
      </w:pPr>
      <w:r w:rsidRPr="007E4A0F">
        <w:rPr>
          <w:b/>
          <w:sz w:val="28"/>
          <w:szCs w:val="28"/>
          <w:lang w:val="fr-FR"/>
        </w:rPr>
        <w:t>Comit</w:t>
      </w:r>
      <w:r w:rsidRPr="007E4A0F">
        <w:rPr>
          <w:rFonts w:cs="Simplified Arabic"/>
          <w:b/>
          <w:sz w:val="28"/>
          <w:szCs w:val="28"/>
          <w:lang w:val="fr-FR"/>
        </w:rPr>
        <w:t>é</w:t>
      </w:r>
      <w:r w:rsidRPr="007E4A0F">
        <w:rPr>
          <w:b/>
          <w:sz w:val="28"/>
          <w:szCs w:val="28"/>
          <w:lang w:val="fr-FR"/>
        </w:rPr>
        <w:t xml:space="preserve"> du programme et budget</w:t>
      </w:r>
    </w:p>
    <w:p w:rsidR="00947AF6" w:rsidRPr="007E4A0F" w:rsidRDefault="00947AF6" w:rsidP="003845C1">
      <w:pPr>
        <w:rPr>
          <w:lang w:val="fr-FR"/>
        </w:rPr>
      </w:pPr>
    </w:p>
    <w:p w:rsidR="00947AF6" w:rsidRPr="007E4A0F" w:rsidRDefault="00947AF6" w:rsidP="003845C1">
      <w:pPr>
        <w:rPr>
          <w:lang w:val="fr-FR"/>
        </w:rPr>
      </w:pPr>
    </w:p>
    <w:p w:rsidR="00947AF6" w:rsidRPr="007E4A0F" w:rsidRDefault="00762DB6" w:rsidP="00762DB6">
      <w:pPr>
        <w:rPr>
          <w:b/>
          <w:sz w:val="24"/>
          <w:szCs w:val="24"/>
          <w:lang w:val="fr-FR"/>
        </w:rPr>
      </w:pPr>
      <w:r w:rsidRPr="007E4A0F">
        <w:rPr>
          <w:b/>
          <w:bCs/>
          <w:sz w:val="24"/>
          <w:szCs w:val="24"/>
          <w:lang w:val="fr-FR"/>
        </w:rPr>
        <w:t>Vingt</w:t>
      </w:r>
      <w:r w:rsidR="00CB1BDA" w:rsidRPr="007E4A0F">
        <w:rPr>
          <w:b/>
          <w:bCs/>
          <w:sz w:val="24"/>
          <w:szCs w:val="24"/>
          <w:lang w:val="fr-FR"/>
        </w:rPr>
        <w:noBreakHyphen/>
      </w:r>
      <w:r w:rsidR="00DE4235" w:rsidRPr="007E4A0F">
        <w:rPr>
          <w:b/>
          <w:bCs/>
          <w:sz w:val="24"/>
          <w:szCs w:val="24"/>
          <w:lang w:val="fr-FR"/>
        </w:rPr>
        <w:t>quatrième</w:t>
      </w:r>
      <w:r w:rsidR="006C7CFD" w:rsidRPr="007E4A0F">
        <w:rPr>
          <w:b/>
          <w:bCs/>
          <w:sz w:val="24"/>
          <w:szCs w:val="24"/>
          <w:lang w:val="fr-FR"/>
        </w:rPr>
        <w:t> </w:t>
      </w:r>
      <w:r w:rsidRPr="007E4A0F">
        <w:rPr>
          <w:b/>
          <w:bCs/>
          <w:sz w:val="24"/>
          <w:szCs w:val="24"/>
          <w:lang w:val="fr-FR"/>
        </w:rPr>
        <w:t>se</w:t>
      </w:r>
      <w:r w:rsidRPr="007E4A0F">
        <w:rPr>
          <w:b/>
          <w:sz w:val="24"/>
          <w:szCs w:val="24"/>
          <w:lang w:val="fr-FR"/>
        </w:rPr>
        <w:t>ssion</w:t>
      </w:r>
    </w:p>
    <w:p w:rsidR="00947AF6" w:rsidRPr="007E4A0F" w:rsidRDefault="00762DB6" w:rsidP="00762DB6">
      <w:pPr>
        <w:rPr>
          <w:b/>
          <w:sz w:val="24"/>
          <w:szCs w:val="24"/>
          <w:lang w:val="fr-FR"/>
        </w:rPr>
      </w:pPr>
      <w:r w:rsidRPr="007E4A0F">
        <w:rPr>
          <w:b/>
          <w:sz w:val="24"/>
          <w:szCs w:val="24"/>
          <w:lang w:val="fr-FR"/>
        </w:rPr>
        <w:t xml:space="preserve">Genève, </w:t>
      </w:r>
      <w:r w:rsidR="00DE4235" w:rsidRPr="007E4A0F">
        <w:rPr>
          <w:b/>
          <w:sz w:val="24"/>
          <w:szCs w:val="24"/>
          <w:lang w:val="fr-FR"/>
        </w:rPr>
        <w:t>14</w:t>
      </w:r>
      <w:r w:rsidRPr="007E4A0F">
        <w:rPr>
          <w:b/>
          <w:sz w:val="24"/>
          <w:szCs w:val="24"/>
          <w:lang w:val="fr-FR"/>
        </w:rPr>
        <w:t xml:space="preserve"> – </w:t>
      </w:r>
      <w:r w:rsidR="00DE4235" w:rsidRPr="007E4A0F">
        <w:rPr>
          <w:b/>
          <w:sz w:val="24"/>
          <w:szCs w:val="24"/>
          <w:lang w:val="fr-FR"/>
        </w:rPr>
        <w:t>1</w:t>
      </w:r>
      <w:r w:rsidR="00B274E6" w:rsidRPr="007E4A0F">
        <w:rPr>
          <w:b/>
          <w:sz w:val="24"/>
          <w:szCs w:val="24"/>
          <w:lang w:val="fr-FR"/>
        </w:rPr>
        <w:t>8 septembre 20</w:t>
      </w:r>
      <w:r w:rsidRPr="007E4A0F">
        <w:rPr>
          <w:b/>
          <w:sz w:val="24"/>
          <w:szCs w:val="24"/>
          <w:lang w:val="fr-FR"/>
        </w:rPr>
        <w:t>15</w:t>
      </w:r>
    </w:p>
    <w:p w:rsidR="00947AF6" w:rsidRPr="007E4A0F" w:rsidRDefault="00947AF6" w:rsidP="008B2CC1">
      <w:pPr>
        <w:rPr>
          <w:lang w:val="fr-FR"/>
        </w:rPr>
      </w:pPr>
    </w:p>
    <w:p w:rsidR="00947AF6" w:rsidRPr="007E4A0F" w:rsidRDefault="00947AF6" w:rsidP="008B2CC1">
      <w:pPr>
        <w:rPr>
          <w:lang w:val="fr-FR"/>
        </w:rPr>
      </w:pPr>
    </w:p>
    <w:p w:rsidR="00947AF6" w:rsidRPr="007E4A0F" w:rsidRDefault="00947AF6" w:rsidP="008B2CC1">
      <w:pPr>
        <w:rPr>
          <w:lang w:val="fr-FR"/>
        </w:rPr>
      </w:pPr>
    </w:p>
    <w:p w:rsidR="00947AF6" w:rsidRPr="007E4A0F" w:rsidRDefault="00DE4235" w:rsidP="008B2CC1">
      <w:pPr>
        <w:rPr>
          <w:caps/>
          <w:sz w:val="24"/>
          <w:lang w:val="fr-FR"/>
        </w:rPr>
      </w:pPr>
      <w:bookmarkStart w:id="2" w:name="TitleOfDoc"/>
      <w:bookmarkEnd w:id="2"/>
      <w:r w:rsidRPr="007E4A0F">
        <w:rPr>
          <w:caps/>
          <w:sz w:val="24"/>
          <w:lang w:val="fr-FR"/>
        </w:rPr>
        <w:t>Rapport du vérificateur externe des comptes</w:t>
      </w:r>
    </w:p>
    <w:p w:rsidR="00947AF6" w:rsidRPr="007E4A0F" w:rsidRDefault="00947AF6" w:rsidP="008B2CC1">
      <w:pPr>
        <w:rPr>
          <w:lang w:val="fr-FR"/>
        </w:rPr>
      </w:pPr>
    </w:p>
    <w:p w:rsidR="00947AF6" w:rsidRPr="007E4A0F" w:rsidRDefault="00DE4235" w:rsidP="008B2CC1">
      <w:pPr>
        <w:rPr>
          <w:i/>
          <w:lang w:val="fr-FR"/>
        </w:rPr>
      </w:pPr>
      <w:bookmarkStart w:id="3" w:name="Prepared"/>
      <w:bookmarkEnd w:id="3"/>
      <w:proofErr w:type="gramStart"/>
      <w:r w:rsidRPr="007E4A0F">
        <w:rPr>
          <w:i/>
          <w:lang w:val="fr-FR"/>
        </w:rPr>
        <w:t>établi</w:t>
      </w:r>
      <w:proofErr w:type="gramEnd"/>
      <w:r w:rsidRPr="007E4A0F">
        <w:rPr>
          <w:i/>
          <w:lang w:val="fr-FR"/>
        </w:rPr>
        <w:t xml:space="preserve"> par le Secrétariat</w:t>
      </w:r>
    </w:p>
    <w:p w:rsidR="00947AF6" w:rsidRPr="007E4A0F" w:rsidRDefault="00947AF6" w:rsidP="003845C1">
      <w:pPr>
        <w:rPr>
          <w:lang w:val="fr-FR"/>
        </w:rPr>
      </w:pPr>
    </w:p>
    <w:p w:rsidR="00947AF6" w:rsidRPr="007E4A0F" w:rsidRDefault="00947AF6" w:rsidP="003845C1">
      <w:pPr>
        <w:rPr>
          <w:lang w:val="fr-FR"/>
        </w:rPr>
      </w:pPr>
    </w:p>
    <w:p w:rsidR="00947AF6" w:rsidRPr="007E4A0F" w:rsidRDefault="00947AF6" w:rsidP="003845C1">
      <w:pPr>
        <w:rPr>
          <w:lang w:val="fr-FR"/>
        </w:rPr>
      </w:pPr>
    </w:p>
    <w:p w:rsidR="00947AF6" w:rsidRPr="007E4A0F" w:rsidRDefault="00947AF6" w:rsidP="003845C1">
      <w:pPr>
        <w:rPr>
          <w:lang w:val="fr-FR"/>
        </w:rPr>
      </w:pPr>
    </w:p>
    <w:p w:rsidR="00947AF6" w:rsidRPr="007E4A0F" w:rsidRDefault="00B06B90" w:rsidP="00894E0D">
      <w:pPr>
        <w:pStyle w:val="ONUMFS"/>
        <w:numPr>
          <w:ilvl w:val="0"/>
          <w:numId w:val="35"/>
        </w:numPr>
        <w:rPr>
          <w:lang w:val="fr-FR"/>
        </w:rPr>
      </w:pPr>
      <w:r w:rsidRPr="007E4A0F">
        <w:rPr>
          <w:lang w:val="fr-FR"/>
        </w:rPr>
        <w:t>Le présent document se compose des éléments suivants :</w:t>
      </w:r>
    </w:p>
    <w:p w:rsidR="00947AF6" w:rsidRPr="007E4A0F" w:rsidRDefault="00B06B90" w:rsidP="00DC3997">
      <w:pPr>
        <w:pStyle w:val="ONUMFS"/>
        <w:numPr>
          <w:ilvl w:val="2"/>
          <w:numId w:val="3"/>
        </w:numPr>
        <w:tabs>
          <w:tab w:val="clear" w:pos="1701"/>
        </w:tabs>
        <w:ind w:left="567"/>
        <w:rPr>
          <w:lang w:val="fr-FR"/>
        </w:rPr>
      </w:pPr>
      <w:r w:rsidRPr="007E4A0F">
        <w:rPr>
          <w:lang w:val="fr-FR"/>
        </w:rPr>
        <w:t>le rapport du vérificateur indépendant des comptes, qui contient l</w:t>
      </w:r>
      <w:r w:rsidR="00B274E6" w:rsidRPr="007E4A0F">
        <w:rPr>
          <w:lang w:val="fr-FR"/>
        </w:rPr>
        <w:t>’</w:t>
      </w:r>
      <w:r w:rsidRPr="007E4A0F">
        <w:rPr>
          <w:lang w:val="fr-FR"/>
        </w:rPr>
        <w:t>opinion du vérificateur externe des comptes sur les états financiers de l</w:t>
      </w:r>
      <w:r w:rsidR="00B274E6" w:rsidRPr="007E4A0F">
        <w:rPr>
          <w:lang w:val="fr-FR"/>
        </w:rPr>
        <w:t>’</w:t>
      </w:r>
      <w:r w:rsidRPr="007E4A0F">
        <w:rPr>
          <w:lang w:val="fr-FR"/>
        </w:rPr>
        <w:t>Organisation Mondiale de la Propriété Intellectuelle (OMPI) pour l</w:t>
      </w:r>
      <w:r w:rsidR="00B274E6" w:rsidRPr="007E4A0F">
        <w:rPr>
          <w:lang w:val="fr-FR"/>
        </w:rPr>
        <w:t>’</w:t>
      </w:r>
      <w:r w:rsidRPr="007E4A0F">
        <w:rPr>
          <w:lang w:val="fr-FR"/>
        </w:rPr>
        <w:t>exercice clos au 31 décembre 2014;</w:t>
      </w:r>
    </w:p>
    <w:p w:rsidR="00947AF6" w:rsidRPr="007E4A0F" w:rsidRDefault="00B06B90" w:rsidP="00DC3997">
      <w:pPr>
        <w:pStyle w:val="ONUMFS"/>
        <w:numPr>
          <w:ilvl w:val="2"/>
          <w:numId w:val="3"/>
        </w:numPr>
        <w:tabs>
          <w:tab w:val="clear" w:pos="1701"/>
        </w:tabs>
        <w:ind w:left="567"/>
        <w:rPr>
          <w:lang w:val="fr-FR"/>
        </w:rPr>
      </w:pPr>
      <w:r w:rsidRPr="007E4A0F">
        <w:rPr>
          <w:lang w:val="fr-FR"/>
        </w:rPr>
        <w:t>le rapport du vérificateur externe des comptes pour l</w:t>
      </w:r>
      <w:r w:rsidR="00B274E6" w:rsidRPr="007E4A0F">
        <w:rPr>
          <w:lang w:val="fr-FR"/>
        </w:rPr>
        <w:t>’</w:t>
      </w:r>
      <w:r w:rsidRPr="007E4A0F">
        <w:rPr>
          <w:lang w:val="fr-FR"/>
        </w:rPr>
        <w:t>exercice 2014 à la cinquante</w:t>
      </w:r>
      <w:r w:rsidR="00CB1BDA" w:rsidRPr="007E4A0F">
        <w:rPr>
          <w:lang w:val="fr-FR"/>
        </w:rPr>
        <w:noBreakHyphen/>
      </w:r>
      <w:r w:rsidRPr="007E4A0F">
        <w:rPr>
          <w:snapToGrid w:val="0"/>
          <w:lang w:val="fr-FR"/>
        </w:rPr>
        <w:t>cinquième</w:t>
      </w:r>
      <w:r w:rsidRPr="007E4A0F">
        <w:rPr>
          <w:lang w:val="fr-FR"/>
        </w:rPr>
        <w:t> série de réunions des assemblées des États membres de l</w:t>
      </w:r>
      <w:r w:rsidR="00B274E6" w:rsidRPr="007E4A0F">
        <w:rPr>
          <w:lang w:val="fr-FR"/>
        </w:rPr>
        <w:t>’</w:t>
      </w:r>
      <w:r w:rsidRPr="007E4A0F">
        <w:rPr>
          <w:lang w:val="fr-FR"/>
        </w:rPr>
        <w:t xml:space="preserve">OMPI (également connu sous le nom de </w:t>
      </w:r>
      <w:r w:rsidR="00524088" w:rsidRPr="007E4A0F">
        <w:rPr>
          <w:lang w:val="fr-FR"/>
        </w:rPr>
        <w:t>“</w:t>
      </w:r>
      <w:r w:rsidRPr="007E4A0F">
        <w:rPr>
          <w:lang w:val="fr-FR"/>
        </w:rPr>
        <w:t>rapport détaillé</w:t>
      </w:r>
      <w:r w:rsidR="00524088" w:rsidRPr="007E4A0F">
        <w:rPr>
          <w:lang w:val="fr-FR"/>
        </w:rPr>
        <w:t>”</w:t>
      </w:r>
      <w:r w:rsidRPr="007E4A0F">
        <w:rPr>
          <w:lang w:val="fr-FR"/>
        </w:rPr>
        <w:t>).  Ce rapport contient les recommandations du vérificateur externe des comptes découlant des trois audits effectués au cours de l</w:t>
      </w:r>
      <w:r w:rsidR="00B274E6" w:rsidRPr="007E4A0F">
        <w:rPr>
          <w:lang w:val="fr-FR"/>
        </w:rPr>
        <w:t>’</w:t>
      </w:r>
      <w:r w:rsidRPr="007E4A0F">
        <w:rPr>
          <w:lang w:val="fr-FR"/>
        </w:rPr>
        <w:t>exercice 2014</w:t>
      </w:r>
      <w:r w:rsidR="00CB1BDA" w:rsidRPr="007E4A0F">
        <w:rPr>
          <w:lang w:val="fr-FR"/>
        </w:rPr>
        <w:noBreakHyphen/>
      </w:r>
      <w:r w:rsidRPr="007E4A0F">
        <w:rPr>
          <w:lang w:val="fr-FR"/>
        </w:rPr>
        <w:t>2015;</w:t>
      </w:r>
    </w:p>
    <w:p w:rsidR="00947AF6" w:rsidRPr="007E4A0F" w:rsidRDefault="00B06B90" w:rsidP="00DC3997">
      <w:pPr>
        <w:pStyle w:val="ONUMFS"/>
        <w:numPr>
          <w:ilvl w:val="2"/>
          <w:numId w:val="3"/>
        </w:numPr>
        <w:tabs>
          <w:tab w:val="clear" w:pos="1701"/>
        </w:tabs>
        <w:ind w:left="567"/>
        <w:rPr>
          <w:lang w:val="fr-FR"/>
        </w:rPr>
      </w:pPr>
      <w:r w:rsidRPr="007E4A0F">
        <w:rPr>
          <w:lang w:val="fr-FR"/>
        </w:rPr>
        <w:t>les réponses du Secrétariat de l</w:t>
      </w:r>
      <w:r w:rsidR="00B274E6" w:rsidRPr="007E4A0F">
        <w:rPr>
          <w:lang w:val="fr-FR"/>
        </w:rPr>
        <w:t>’</w:t>
      </w:r>
      <w:r w:rsidRPr="007E4A0F">
        <w:rPr>
          <w:lang w:val="fr-FR"/>
        </w:rPr>
        <w:t>OMPI aux recommandations du vérificateur externe des comptes;</w:t>
      </w:r>
    </w:p>
    <w:p w:rsidR="00947AF6" w:rsidRPr="007E4A0F" w:rsidRDefault="00B06B90" w:rsidP="00DC3997">
      <w:pPr>
        <w:pStyle w:val="ONUMFS"/>
        <w:numPr>
          <w:ilvl w:val="2"/>
          <w:numId w:val="3"/>
        </w:numPr>
        <w:tabs>
          <w:tab w:val="clear" w:pos="1701"/>
        </w:tabs>
        <w:ind w:left="567"/>
        <w:rPr>
          <w:lang w:val="fr-FR"/>
        </w:rPr>
      </w:pPr>
      <w:r w:rsidRPr="007E4A0F">
        <w:rPr>
          <w:lang w:val="fr-FR"/>
        </w:rPr>
        <w:t>la déclaration sur le contrôle interne de l</w:t>
      </w:r>
      <w:r w:rsidR="00B274E6" w:rsidRPr="007E4A0F">
        <w:rPr>
          <w:lang w:val="fr-FR"/>
        </w:rPr>
        <w:t>’</w:t>
      </w:r>
      <w:r w:rsidRPr="007E4A0F">
        <w:rPr>
          <w:lang w:val="fr-FR"/>
        </w:rPr>
        <w:t>OMPI, signée par le Directeur général.</w:t>
      </w:r>
    </w:p>
    <w:p w:rsidR="00947AF6" w:rsidRPr="007E4A0F" w:rsidRDefault="00947AF6">
      <w:pPr>
        <w:rPr>
          <w:lang w:val="fr-FR"/>
        </w:rPr>
      </w:pPr>
    </w:p>
    <w:p w:rsidR="00894E0D" w:rsidRPr="007E4A0F" w:rsidRDefault="00B06B90" w:rsidP="00B06B90">
      <w:pPr>
        <w:pStyle w:val="ONUMFS"/>
        <w:rPr>
          <w:lang w:val="fr-FR"/>
        </w:rPr>
      </w:pPr>
      <w:r w:rsidRPr="007E4A0F">
        <w:rPr>
          <w:lang w:val="fr-FR"/>
        </w:rPr>
        <w:t>Le paragraphe de décision ci</w:t>
      </w:r>
      <w:r w:rsidR="00CB1BDA" w:rsidRPr="007E4A0F">
        <w:rPr>
          <w:lang w:val="fr-FR"/>
        </w:rPr>
        <w:noBreakHyphen/>
      </w:r>
      <w:r w:rsidRPr="007E4A0F">
        <w:rPr>
          <w:lang w:val="fr-FR"/>
        </w:rPr>
        <w:t>après est proposé.</w:t>
      </w:r>
    </w:p>
    <w:p w:rsidR="00894E0D" w:rsidRPr="007E4A0F" w:rsidRDefault="00894E0D">
      <w:pPr>
        <w:rPr>
          <w:lang w:val="fr-FR"/>
        </w:rPr>
      </w:pPr>
      <w:r w:rsidRPr="007E4A0F">
        <w:rPr>
          <w:lang w:val="fr-FR"/>
        </w:rPr>
        <w:br w:type="page"/>
      </w:r>
    </w:p>
    <w:p w:rsidR="00947AF6" w:rsidRPr="007E4A0F" w:rsidRDefault="00947AF6" w:rsidP="00894E0D">
      <w:pPr>
        <w:pStyle w:val="ONUMFS"/>
        <w:numPr>
          <w:ilvl w:val="0"/>
          <w:numId w:val="0"/>
        </w:numPr>
        <w:rPr>
          <w:lang w:val="fr-FR"/>
        </w:rPr>
      </w:pPr>
    </w:p>
    <w:p w:rsidR="00947AF6" w:rsidRPr="007E4A0F" w:rsidRDefault="00B06B90" w:rsidP="00B06B90">
      <w:pPr>
        <w:pStyle w:val="ONUMFS"/>
        <w:ind w:left="5533"/>
        <w:rPr>
          <w:i/>
          <w:lang w:val="fr-FR"/>
        </w:rPr>
      </w:pPr>
      <w:r w:rsidRPr="007E4A0F">
        <w:rPr>
          <w:i/>
          <w:lang w:val="fr-FR"/>
        </w:rPr>
        <w:t>Le Comité du programme et budget a recommandé à l</w:t>
      </w:r>
      <w:r w:rsidR="00B274E6" w:rsidRPr="007E4A0F">
        <w:rPr>
          <w:i/>
          <w:lang w:val="fr-FR"/>
        </w:rPr>
        <w:t>’</w:t>
      </w:r>
      <w:r w:rsidRPr="007E4A0F">
        <w:rPr>
          <w:i/>
          <w:lang w:val="fr-FR"/>
        </w:rPr>
        <w:t>Assemblée générale et aux autres assemblées des États membres de l</w:t>
      </w:r>
      <w:r w:rsidR="00B274E6" w:rsidRPr="007E4A0F">
        <w:rPr>
          <w:i/>
          <w:lang w:val="fr-FR"/>
        </w:rPr>
        <w:t>’</w:t>
      </w:r>
      <w:r w:rsidRPr="007E4A0F">
        <w:rPr>
          <w:i/>
          <w:lang w:val="fr-FR"/>
        </w:rPr>
        <w:t>OMPI de prendre note du rapport du vérificateur externe des comptes (document WO/PBC/24/5).</w:t>
      </w:r>
    </w:p>
    <w:p w:rsidR="00947AF6" w:rsidRPr="007E4A0F" w:rsidRDefault="00947AF6" w:rsidP="00B06B90">
      <w:pPr>
        <w:rPr>
          <w:lang w:val="fr-FR"/>
        </w:rPr>
      </w:pPr>
    </w:p>
    <w:p w:rsidR="00947AF6" w:rsidRPr="007E4A0F" w:rsidRDefault="00947AF6" w:rsidP="00B06B90">
      <w:pPr>
        <w:rPr>
          <w:lang w:val="fr-FR"/>
        </w:rPr>
      </w:pPr>
    </w:p>
    <w:p w:rsidR="00947AF6" w:rsidRPr="007E4A0F" w:rsidRDefault="00B06B90" w:rsidP="00B06B90">
      <w:pPr>
        <w:pStyle w:val="Endofdocument-Annex"/>
        <w:rPr>
          <w:lang w:val="fr-FR"/>
        </w:rPr>
      </w:pPr>
      <w:r w:rsidRPr="007E4A0F">
        <w:rPr>
          <w:lang w:val="fr-FR"/>
        </w:rPr>
        <w:t>[Le rapport du vérificateur externe des comptes suit]</w:t>
      </w:r>
    </w:p>
    <w:p w:rsidR="00947AF6" w:rsidRPr="007E4A0F" w:rsidRDefault="00947AF6">
      <w:pPr>
        <w:rPr>
          <w:lang w:val="fr-FR"/>
        </w:rPr>
      </w:pPr>
    </w:p>
    <w:p w:rsidR="00B06B90" w:rsidRPr="007E4A0F" w:rsidRDefault="00B06B90">
      <w:pPr>
        <w:rPr>
          <w:lang w:val="fr-FR"/>
        </w:rPr>
        <w:sectPr w:rsidR="00B06B90" w:rsidRPr="007E4A0F" w:rsidSect="00894E0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47AF6" w:rsidRPr="007E4A0F" w:rsidRDefault="00EC37BF" w:rsidP="00EC37BF">
      <w:pPr>
        <w:spacing w:line="360" w:lineRule="auto"/>
        <w:ind w:left="567" w:right="567"/>
        <w:jc w:val="center"/>
        <w:rPr>
          <w:rFonts w:eastAsia="Times New Roman"/>
          <w:b/>
          <w:sz w:val="28"/>
          <w:szCs w:val="28"/>
          <w:u w:val="single"/>
          <w:lang w:val="fr-FR" w:eastAsia="en-US"/>
        </w:rPr>
      </w:pPr>
      <w:r w:rsidRPr="007E4A0F">
        <w:rPr>
          <w:rFonts w:eastAsia="Times New Roman"/>
          <w:b/>
          <w:sz w:val="28"/>
          <w:szCs w:val="28"/>
          <w:u w:val="single"/>
          <w:lang w:val="fr-FR" w:eastAsia="en-US"/>
        </w:rPr>
        <w:lastRenderedPageBreak/>
        <w:t>RAPPORT DU VÉRIFICATEUR INDÉPENDANT DES COMPTES</w:t>
      </w:r>
    </w:p>
    <w:p w:rsidR="00947AF6" w:rsidRPr="007E4A0F" w:rsidRDefault="00947AF6" w:rsidP="00EC37BF">
      <w:pPr>
        <w:spacing w:line="360" w:lineRule="auto"/>
        <w:ind w:left="567" w:right="567"/>
        <w:jc w:val="center"/>
        <w:rPr>
          <w:rFonts w:eastAsia="Times New Roman"/>
          <w:b/>
          <w:sz w:val="24"/>
          <w:szCs w:val="24"/>
          <w:lang w:val="fr-FR" w:eastAsia="en-US"/>
        </w:rPr>
      </w:pPr>
    </w:p>
    <w:p w:rsidR="00947AF6" w:rsidRPr="007E4A0F" w:rsidRDefault="00947AF6" w:rsidP="00EC37BF">
      <w:pPr>
        <w:spacing w:line="360" w:lineRule="auto"/>
        <w:ind w:left="567" w:right="567"/>
        <w:jc w:val="center"/>
        <w:rPr>
          <w:rFonts w:eastAsia="Times New Roman"/>
          <w:b/>
          <w:sz w:val="24"/>
          <w:szCs w:val="24"/>
          <w:lang w:val="fr-FR" w:eastAsia="en-US"/>
        </w:rPr>
      </w:pPr>
    </w:p>
    <w:p w:rsidR="00947AF6" w:rsidRPr="007E4A0F" w:rsidRDefault="00EC37BF" w:rsidP="00EC37BF">
      <w:pPr>
        <w:spacing w:line="360" w:lineRule="auto"/>
        <w:ind w:left="567" w:right="567"/>
        <w:rPr>
          <w:rFonts w:eastAsia="Times New Roman"/>
          <w:b/>
          <w:sz w:val="24"/>
          <w:szCs w:val="24"/>
          <w:lang w:val="fr-FR" w:eastAsia="en-US"/>
        </w:rPr>
      </w:pPr>
      <w:r w:rsidRPr="007E4A0F">
        <w:rPr>
          <w:rFonts w:eastAsia="Times New Roman"/>
          <w:b/>
          <w:sz w:val="24"/>
          <w:szCs w:val="24"/>
          <w:lang w:val="fr-FR" w:eastAsia="en-US"/>
        </w:rPr>
        <w:t>À l</w:t>
      </w:r>
      <w:r w:rsidR="00B274E6" w:rsidRPr="007E4A0F">
        <w:rPr>
          <w:rFonts w:eastAsia="Times New Roman"/>
          <w:b/>
          <w:sz w:val="24"/>
          <w:szCs w:val="24"/>
          <w:lang w:val="fr-FR" w:eastAsia="en-US"/>
        </w:rPr>
        <w:t>’</w:t>
      </w:r>
      <w:r w:rsidRPr="007E4A0F">
        <w:rPr>
          <w:rFonts w:eastAsia="Times New Roman"/>
          <w:b/>
          <w:sz w:val="24"/>
          <w:szCs w:val="24"/>
          <w:lang w:val="fr-FR" w:eastAsia="en-US"/>
        </w:rPr>
        <w:t>attention de</w:t>
      </w:r>
    </w:p>
    <w:p w:rsidR="00947AF6" w:rsidRPr="007E4A0F" w:rsidRDefault="00EC37BF" w:rsidP="00EC37BF">
      <w:pPr>
        <w:spacing w:line="360" w:lineRule="auto"/>
        <w:ind w:left="567" w:right="567"/>
        <w:rPr>
          <w:rFonts w:eastAsia="Times New Roman"/>
          <w:b/>
          <w:bCs/>
          <w:sz w:val="24"/>
          <w:szCs w:val="24"/>
          <w:lang w:val="fr-FR" w:eastAsia="en-US"/>
        </w:rPr>
      </w:pPr>
      <w:r w:rsidRPr="007E4A0F">
        <w:rPr>
          <w:rFonts w:eastAsia="Times New Roman"/>
          <w:b/>
          <w:bCs/>
          <w:sz w:val="24"/>
          <w:szCs w:val="24"/>
          <w:lang w:val="fr-FR" w:eastAsia="en-US"/>
        </w:rPr>
        <w:t>L</w:t>
      </w:r>
      <w:r w:rsidR="00B274E6" w:rsidRPr="007E4A0F">
        <w:rPr>
          <w:rFonts w:eastAsia="Times New Roman"/>
          <w:b/>
          <w:bCs/>
          <w:sz w:val="24"/>
          <w:szCs w:val="24"/>
          <w:lang w:val="fr-FR" w:eastAsia="en-US"/>
        </w:rPr>
        <w:t>’</w:t>
      </w:r>
      <w:r w:rsidRPr="007E4A0F">
        <w:rPr>
          <w:rFonts w:eastAsia="Times New Roman"/>
          <w:b/>
          <w:bCs/>
          <w:sz w:val="24"/>
          <w:szCs w:val="24"/>
          <w:lang w:val="fr-FR" w:eastAsia="en-US"/>
        </w:rPr>
        <w:t>ASSEMBLÉE GÉNÉRALE</w:t>
      </w:r>
    </w:p>
    <w:p w:rsidR="00947AF6" w:rsidRPr="007E4A0F" w:rsidRDefault="00EC37BF" w:rsidP="00EC37BF">
      <w:pPr>
        <w:spacing w:line="360" w:lineRule="auto"/>
        <w:ind w:left="567" w:right="567"/>
        <w:rPr>
          <w:rFonts w:eastAsia="Times New Roman"/>
          <w:b/>
          <w:bCs/>
          <w:sz w:val="24"/>
          <w:szCs w:val="24"/>
          <w:lang w:val="fr-FR" w:eastAsia="en-US"/>
        </w:rPr>
      </w:pPr>
      <w:r w:rsidRPr="007E4A0F">
        <w:rPr>
          <w:rFonts w:eastAsia="Times New Roman"/>
          <w:b/>
          <w:bCs/>
          <w:sz w:val="24"/>
          <w:szCs w:val="24"/>
          <w:lang w:val="fr-FR" w:eastAsia="en-US"/>
        </w:rPr>
        <w:t>ORGANISATION MONDIALE DE LA PROPRIÉTÉ INTELLECTUELLE</w:t>
      </w:r>
    </w:p>
    <w:p w:rsidR="00947AF6" w:rsidRPr="007E4A0F" w:rsidRDefault="00947AF6" w:rsidP="00EC37BF">
      <w:pPr>
        <w:spacing w:line="360" w:lineRule="auto"/>
        <w:ind w:left="567" w:right="567"/>
        <w:rPr>
          <w:rFonts w:eastAsia="Times New Roman"/>
          <w:b/>
          <w:sz w:val="24"/>
          <w:szCs w:val="24"/>
          <w:lang w:val="fr-FR" w:eastAsia="en-US"/>
        </w:rPr>
      </w:pPr>
    </w:p>
    <w:p w:rsidR="00947AF6" w:rsidRPr="007E4A0F" w:rsidRDefault="00947AF6" w:rsidP="00EC37BF">
      <w:pPr>
        <w:spacing w:line="360" w:lineRule="auto"/>
        <w:ind w:left="567" w:right="567"/>
        <w:rPr>
          <w:rFonts w:eastAsia="Times New Roman"/>
          <w:b/>
          <w:sz w:val="24"/>
          <w:szCs w:val="24"/>
          <w:lang w:val="fr-FR" w:eastAsia="en-US"/>
        </w:rPr>
      </w:pPr>
    </w:p>
    <w:p w:rsidR="00947AF6" w:rsidRPr="007E4A0F" w:rsidRDefault="00EC37BF" w:rsidP="00EC37BF">
      <w:pPr>
        <w:spacing w:line="360" w:lineRule="auto"/>
        <w:ind w:left="567" w:right="567"/>
        <w:rPr>
          <w:b/>
          <w:lang w:val="fr-FR" w:eastAsia="en-US"/>
        </w:rPr>
      </w:pPr>
      <w:r w:rsidRPr="007E4A0F">
        <w:rPr>
          <w:b/>
          <w:lang w:val="fr-FR" w:eastAsia="en-US"/>
        </w:rPr>
        <w:t>Rapport sur les états financiers</w:t>
      </w:r>
    </w:p>
    <w:p w:rsidR="00947AF6" w:rsidRPr="007E4A0F" w:rsidRDefault="00947AF6" w:rsidP="00EC37BF">
      <w:pPr>
        <w:spacing w:line="360" w:lineRule="auto"/>
        <w:ind w:left="567" w:right="567"/>
        <w:rPr>
          <w:b/>
          <w:szCs w:val="21"/>
          <w:cs/>
          <w:lang w:val="fr-FR" w:eastAsia="en-US" w:bidi="hi-IN"/>
        </w:rPr>
      </w:pPr>
    </w:p>
    <w:p w:rsidR="00947AF6" w:rsidRPr="007E4A0F" w:rsidRDefault="00EC37BF" w:rsidP="00EC37BF">
      <w:pPr>
        <w:spacing w:line="360" w:lineRule="auto"/>
        <w:ind w:left="567" w:right="567"/>
        <w:jc w:val="both"/>
        <w:rPr>
          <w:szCs w:val="22"/>
          <w:lang w:val="fr-FR" w:eastAsia="en-US"/>
        </w:rPr>
      </w:pPr>
      <w:r w:rsidRPr="007E4A0F">
        <w:rPr>
          <w:szCs w:val="22"/>
          <w:lang w:val="fr-FR" w:eastAsia="en-US"/>
        </w:rPr>
        <w:t xml:space="preserve">Nous </w:t>
      </w:r>
      <w:r w:rsidR="008C0101" w:rsidRPr="007E4A0F">
        <w:rPr>
          <w:szCs w:val="22"/>
          <w:lang w:val="fr-FR" w:eastAsia="en-US"/>
        </w:rPr>
        <w:t>soussignés</w:t>
      </w:r>
      <w:r w:rsidRPr="007E4A0F">
        <w:rPr>
          <w:szCs w:val="22"/>
          <w:lang w:val="fr-FR" w:eastAsia="en-US"/>
        </w:rPr>
        <w:t xml:space="preserve"> avons vérifié les états financiers de l</w:t>
      </w:r>
      <w:r w:rsidR="00B274E6" w:rsidRPr="007E4A0F">
        <w:rPr>
          <w:szCs w:val="22"/>
          <w:lang w:val="fr-FR" w:eastAsia="en-US"/>
        </w:rPr>
        <w:t>’</w:t>
      </w:r>
      <w:r w:rsidRPr="007E4A0F">
        <w:rPr>
          <w:szCs w:val="22"/>
          <w:lang w:val="fr-FR" w:eastAsia="en-US"/>
        </w:rPr>
        <w:t>Organisation Mondiale de la Propriété Intellectuelle (OMPI), qui se composent des éléments suivants : l</w:t>
      </w:r>
      <w:r w:rsidR="00B274E6" w:rsidRPr="007E4A0F">
        <w:rPr>
          <w:szCs w:val="22"/>
          <w:lang w:val="fr-FR" w:eastAsia="en-US"/>
        </w:rPr>
        <w:t>’</w:t>
      </w:r>
      <w:r w:rsidRPr="007E4A0F">
        <w:rPr>
          <w:szCs w:val="22"/>
          <w:lang w:val="fr-FR" w:eastAsia="en-US"/>
        </w:rPr>
        <w:t>état de la situation financière au 31 décembre 2014;  l</w:t>
      </w:r>
      <w:r w:rsidR="00B274E6" w:rsidRPr="007E4A0F">
        <w:rPr>
          <w:szCs w:val="22"/>
          <w:lang w:val="fr-FR" w:eastAsia="en-US"/>
        </w:rPr>
        <w:t>’</w:t>
      </w:r>
      <w:r w:rsidRPr="007E4A0F">
        <w:rPr>
          <w:szCs w:val="22"/>
          <w:lang w:val="fr-FR" w:eastAsia="en-US"/>
        </w:rPr>
        <w:t>état de la performance financière pour l</w:t>
      </w:r>
      <w:r w:rsidR="00B274E6" w:rsidRPr="007E4A0F">
        <w:rPr>
          <w:szCs w:val="22"/>
          <w:lang w:val="fr-FR" w:eastAsia="en-US"/>
        </w:rPr>
        <w:t>’</w:t>
      </w:r>
      <w:r w:rsidRPr="007E4A0F">
        <w:rPr>
          <w:szCs w:val="22"/>
          <w:lang w:val="fr-FR" w:eastAsia="en-US"/>
        </w:rPr>
        <w:t>exercice clos au 31 décembre 2014;  l</w:t>
      </w:r>
      <w:r w:rsidR="00B274E6" w:rsidRPr="007E4A0F">
        <w:rPr>
          <w:szCs w:val="22"/>
          <w:lang w:val="fr-FR" w:eastAsia="en-US"/>
        </w:rPr>
        <w:t>’</w:t>
      </w:r>
      <w:r w:rsidRPr="007E4A0F">
        <w:rPr>
          <w:szCs w:val="22"/>
          <w:lang w:val="fr-FR" w:eastAsia="en-US"/>
        </w:rPr>
        <w:t>état des variations concernant les actifs nets;  l</w:t>
      </w:r>
      <w:r w:rsidR="00B274E6" w:rsidRPr="007E4A0F">
        <w:rPr>
          <w:szCs w:val="22"/>
          <w:lang w:val="fr-FR" w:eastAsia="en-US"/>
        </w:rPr>
        <w:t>’</w:t>
      </w:r>
      <w:r w:rsidRPr="007E4A0F">
        <w:rPr>
          <w:szCs w:val="22"/>
          <w:lang w:val="fr-FR" w:eastAsia="en-US"/>
        </w:rPr>
        <w:t>état des flux de trésorerie;  l</w:t>
      </w:r>
      <w:r w:rsidR="00B274E6" w:rsidRPr="007E4A0F">
        <w:rPr>
          <w:szCs w:val="22"/>
          <w:lang w:val="fr-FR" w:eastAsia="en-US"/>
        </w:rPr>
        <w:t>’</w:t>
      </w:r>
      <w:r w:rsidRPr="007E4A0F">
        <w:rPr>
          <w:szCs w:val="22"/>
          <w:lang w:val="fr-FR" w:eastAsia="en-US"/>
        </w:rPr>
        <w:t>état de comparaison des montants budgétaires et des montants réels et</w:t>
      </w:r>
      <w:r w:rsidRPr="007E4A0F">
        <w:rPr>
          <w:rFonts w:eastAsia="Times New Roman"/>
          <w:szCs w:val="22"/>
          <w:lang w:val="fr-FR" w:eastAsia="en-US"/>
        </w:rPr>
        <w:t xml:space="preserve"> </w:t>
      </w:r>
      <w:r w:rsidRPr="007E4A0F">
        <w:rPr>
          <w:szCs w:val="22"/>
          <w:lang w:val="fr-FR" w:eastAsia="en-US"/>
        </w:rPr>
        <w:t>les notes relatives aux états financiers pour l</w:t>
      </w:r>
      <w:r w:rsidR="00B274E6" w:rsidRPr="007E4A0F">
        <w:rPr>
          <w:szCs w:val="22"/>
          <w:lang w:val="fr-FR" w:eastAsia="en-US"/>
        </w:rPr>
        <w:t>’</w:t>
      </w:r>
      <w:r w:rsidRPr="007E4A0F">
        <w:rPr>
          <w:szCs w:val="22"/>
          <w:lang w:val="fr-FR" w:eastAsia="en-US"/>
        </w:rPr>
        <w:t>exercice clos au 31 décembre 2014.</w:t>
      </w:r>
    </w:p>
    <w:p w:rsidR="00947AF6" w:rsidRPr="007E4A0F" w:rsidRDefault="00947AF6" w:rsidP="00EC37BF">
      <w:pPr>
        <w:spacing w:line="360" w:lineRule="auto"/>
        <w:ind w:left="567" w:right="567"/>
        <w:jc w:val="both"/>
        <w:rPr>
          <w:rFonts w:eastAsia="Times New Roman"/>
          <w:b/>
          <w:bCs/>
          <w:sz w:val="24"/>
          <w:szCs w:val="24"/>
          <w:lang w:val="fr-FR" w:eastAsia="en-US"/>
        </w:rPr>
      </w:pPr>
    </w:p>
    <w:p w:rsidR="00947AF6" w:rsidRPr="007E4A0F" w:rsidRDefault="00EC37BF" w:rsidP="00EC37BF">
      <w:pPr>
        <w:spacing w:line="360" w:lineRule="auto"/>
        <w:ind w:left="567" w:right="567"/>
        <w:rPr>
          <w:b/>
          <w:bCs/>
          <w:lang w:val="fr-FR" w:eastAsia="en-US"/>
        </w:rPr>
      </w:pPr>
      <w:r w:rsidRPr="007E4A0F">
        <w:rPr>
          <w:b/>
          <w:bCs/>
          <w:lang w:val="fr-FR" w:eastAsia="en-US"/>
        </w:rPr>
        <w:t>Responsabilité de la direction pour les états financiers</w:t>
      </w:r>
    </w:p>
    <w:p w:rsidR="00947AF6" w:rsidRPr="007E4A0F" w:rsidRDefault="00947AF6" w:rsidP="00EC37BF">
      <w:pPr>
        <w:spacing w:line="360" w:lineRule="auto"/>
        <w:ind w:left="567" w:right="567"/>
        <w:rPr>
          <w:b/>
          <w:bCs/>
          <w:szCs w:val="21"/>
          <w:cs/>
          <w:lang w:val="fr-FR" w:eastAsia="en-US" w:bidi="hi-IN"/>
        </w:rPr>
      </w:pPr>
    </w:p>
    <w:p w:rsidR="00947AF6" w:rsidRPr="007E4A0F" w:rsidRDefault="00EC37BF" w:rsidP="00EC37BF">
      <w:pPr>
        <w:spacing w:line="360" w:lineRule="auto"/>
        <w:ind w:left="567" w:right="567"/>
        <w:jc w:val="both"/>
        <w:rPr>
          <w:szCs w:val="22"/>
          <w:lang w:val="fr-FR" w:eastAsia="en-US"/>
        </w:rPr>
      </w:pPr>
      <w:r w:rsidRPr="007E4A0F">
        <w:rPr>
          <w:rFonts w:eastAsia="Times New Roman"/>
          <w:szCs w:val="22"/>
          <w:lang w:val="fr-FR" w:eastAsia="en-US"/>
        </w:rPr>
        <w:t>Comme indiqué dans les notes relatives aux états financiers, les états financiers, ainsi que les tableaux et notes connexes, sont établis selon la méthode de la comptabilité d</w:t>
      </w:r>
      <w:r w:rsidR="00B274E6" w:rsidRPr="007E4A0F">
        <w:rPr>
          <w:rFonts w:eastAsia="Times New Roman"/>
          <w:szCs w:val="22"/>
          <w:lang w:val="fr-FR" w:eastAsia="en-US"/>
        </w:rPr>
        <w:t>’</w:t>
      </w:r>
      <w:r w:rsidRPr="007E4A0F">
        <w:rPr>
          <w:rFonts w:eastAsia="Times New Roman"/>
          <w:szCs w:val="22"/>
          <w:lang w:val="fr-FR" w:eastAsia="en-US"/>
        </w:rPr>
        <w:t xml:space="preserve">exercice, conformément aux Normes comptables internationales du secteur public (normes IPSAS).  </w:t>
      </w:r>
      <w:r w:rsidRPr="007E4A0F">
        <w:rPr>
          <w:szCs w:val="22"/>
          <w:lang w:val="fr-FR" w:eastAsia="en-US"/>
        </w:rPr>
        <w:t>La direction est chargée d</w:t>
      </w:r>
      <w:r w:rsidR="00B274E6" w:rsidRPr="007E4A0F">
        <w:rPr>
          <w:szCs w:val="22"/>
          <w:lang w:val="fr-FR" w:eastAsia="en-US"/>
        </w:rPr>
        <w:t>’</w:t>
      </w:r>
      <w:r w:rsidRPr="007E4A0F">
        <w:rPr>
          <w:szCs w:val="22"/>
          <w:lang w:val="fr-FR" w:eastAsia="en-US"/>
        </w:rPr>
        <w:t>établir les états financiers et d</w:t>
      </w:r>
      <w:r w:rsidR="00B274E6" w:rsidRPr="007E4A0F">
        <w:rPr>
          <w:szCs w:val="22"/>
          <w:lang w:val="fr-FR" w:eastAsia="en-US"/>
        </w:rPr>
        <w:t>’</w:t>
      </w:r>
      <w:r w:rsidRPr="007E4A0F">
        <w:rPr>
          <w:szCs w:val="22"/>
          <w:lang w:val="fr-FR" w:eastAsia="en-US"/>
        </w:rPr>
        <w:t>en présenter une image fidèle.  Cette responsabilité englobe ce qui suit : a) l</w:t>
      </w:r>
      <w:r w:rsidR="00B274E6" w:rsidRPr="007E4A0F">
        <w:rPr>
          <w:szCs w:val="22"/>
          <w:lang w:val="fr-FR" w:eastAsia="en-US"/>
        </w:rPr>
        <w:t>’</w:t>
      </w:r>
      <w:r w:rsidRPr="007E4A0F">
        <w:rPr>
          <w:szCs w:val="22"/>
          <w:lang w:val="fr-FR" w:eastAsia="en-US"/>
        </w:rPr>
        <w:t>élaboration, la mise en place et le maintien du contrôle interne en ce qui concerne l</w:t>
      </w:r>
      <w:r w:rsidR="00B274E6" w:rsidRPr="007E4A0F">
        <w:rPr>
          <w:szCs w:val="22"/>
          <w:lang w:val="fr-FR" w:eastAsia="en-US"/>
        </w:rPr>
        <w:t>’</w:t>
      </w:r>
      <w:r w:rsidRPr="007E4A0F">
        <w:rPr>
          <w:szCs w:val="22"/>
          <w:lang w:val="fr-FR" w:eastAsia="en-US"/>
        </w:rPr>
        <w:t>établissement et la présentation des états financiers de manière fidèle et exempte d</w:t>
      </w:r>
      <w:r w:rsidR="00B274E6" w:rsidRPr="007E4A0F">
        <w:rPr>
          <w:szCs w:val="22"/>
          <w:lang w:val="fr-FR" w:eastAsia="en-US"/>
        </w:rPr>
        <w:t>’</w:t>
      </w:r>
      <w:r w:rsidRPr="007E4A0F">
        <w:rPr>
          <w:szCs w:val="22"/>
          <w:lang w:val="fr-FR" w:eastAsia="en-US"/>
        </w:rPr>
        <w:t>anomalies significatives – que celles</w:t>
      </w:r>
      <w:r w:rsidR="00CB1BDA" w:rsidRPr="007E4A0F">
        <w:rPr>
          <w:szCs w:val="22"/>
          <w:lang w:val="fr-FR" w:eastAsia="en-US"/>
        </w:rPr>
        <w:noBreakHyphen/>
      </w:r>
      <w:r w:rsidRPr="007E4A0F">
        <w:rPr>
          <w:szCs w:val="22"/>
          <w:lang w:val="fr-FR" w:eastAsia="en-US"/>
        </w:rPr>
        <w:t>ci proviennent de fraudes ou résultent d</w:t>
      </w:r>
      <w:r w:rsidR="00B274E6" w:rsidRPr="007E4A0F">
        <w:rPr>
          <w:szCs w:val="22"/>
          <w:lang w:val="fr-FR" w:eastAsia="en-US"/>
        </w:rPr>
        <w:t>’</w:t>
      </w:r>
      <w:r w:rsidRPr="007E4A0F">
        <w:rPr>
          <w:szCs w:val="22"/>
          <w:lang w:val="fr-FR" w:eastAsia="en-US"/>
        </w:rPr>
        <w:t>erreurs;  b) le choix et l</w:t>
      </w:r>
      <w:r w:rsidR="00B274E6" w:rsidRPr="007E4A0F">
        <w:rPr>
          <w:szCs w:val="22"/>
          <w:lang w:val="fr-FR" w:eastAsia="en-US"/>
        </w:rPr>
        <w:t>’</w:t>
      </w:r>
      <w:r w:rsidRPr="007E4A0F">
        <w:rPr>
          <w:szCs w:val="22"/>
          <w:lang w:val="fr-FR" w:eastAsia="en-US"/>
        </w:rPr>
        <w:t>application de méthodes comptables adéquates et c) la réalisation d</w:t>
      </w:r>
      <w:r w:rsidR="00B274E6" w:rsidRPr="007E4A0F">
        <w:rPr>
          <w:szCs w:val="22"/>
          <w:lang w:val="fr-FR" w:eastAsia="en-US"/>
        </w:rPr>
        <w:t>’</w:t>
      </w:r>
      <w:r w:rsidRPr="007E4A0F">
        <w:rPr>
          <w:szCs w:val="22"/>
          <w:lang w:val="fr-FR" w:eastAsia="en-US"/>
        </w:rPr>
        <w:t>estimations comptables raisonnables en la circonstance.</w:t>
      </w:r>
    </w:p>
    <w:p w:rsidR="00947AF6" w:rsidRPr="007E4A0F" w:rsidRDefault="00947AF6" w:rsidP="00EC37BF">
      <w:pPr>
        <w:tabs>
          <w:tab w:val="left" w:pos="720"/>
          <w:tab w:val="num" w:pos="1782"/>
        </w:tabs>
        <w:spacing w:line="360" w:lineRule="auto"/>
        <w:ind w:left="567" w:right="567"/>
        <w:jc w:val="both"/>
        <w:rPr>
          <w:rFonts w:eastAsia="Times New Roman"/>
          <w:bCs/>
          <w:sz w:val="24"/>
          <w:szCs w:val="24"/>
          <w:lang w:val="fr-FR" w:eastAsia="en-US"/>
        </w:rPr>
      </w:pPr>
    </w:p>
    <w:p w:rsidR="00947AF6" w:rsidRPr="007E4A0F" w:rsidRDefault="00EC37BF" w:rsidP="00EC37BF">
      <w:pPr>
        <w:keepNext/>
        <w:spacing w:line="360" w:lineRule="auto"/>
        <w:ind w:left="567" w:right="567"/>
        <w:rPr>
          <w:b/>
          <w:bCs/>
          <w:lang w:val="fr-FR" w:eastAsia="en-US"/>
        </w:rPr>
      </w:pPr>
      <w:r w:rsidRPr="007E4A0F">
        <w:rPr>
          <w:b/>
          <w:bCs/>
          <w:lang w:val="fr-FR" w:eastAsia="en-US"/>
        </w:rPr>
        <w:t>Responsabilité du vérificateur des comptes</w:t>
      </w:r>
    </w:p>
    <w:p w:rsidR="00947AF6" w:rsidRPr="007E4A0F" w:rsidRDefault="00947AF6" w:rsidP="00EC37BF">
      <w:pPr>
        <w:spacing w:line="360" w:lineRule="auto"/>
        <w:ind w:left="567" w:right="567"/>
        <w:rPr>
          <w:b/>
          <w:bCs/>
          <w:szCs w:val="21"/>
          <w:cs/>
          <w:lang w:val="fr-FR" w:eastAsia="en-US" w:bidi="hi-IN"/>
        </w:rPr>
      </w:pPr>
    </w:p>
    <w:p w:rsidR="00947AF6" w:rsidRPr="007E4A0F" w:rsidRDefault="00EC37BF" w:rsidP="00EC37BF">
      <w:pPr>
        <w:spacing w:line="360" w:lineRule="auto"/>
        <w:ind w:left="567" w:right="567"/>
        <w:jc w:val="both"/>
        <w:rPr>
          <w:lang w:val="fr-FR" w:eastAsia="en-US"/>
        </w:rPr>
      </w:pPr>
      <w:r w:rsidRPr="007E4A0F">
        <w:rPr>
          <w:lang w:val="fr-FR" w:eastAsia="en-US"/>
        </w:rPr>
        <w:t>Notre responsabilité est d</w:t>
      </w:r>
      <w:r w:rsidR="00B274E6" w:rsidRPr="007E4A0F">
        <w:rPr>
          <w:lang w:val="fr-FR" w:eastAsia="en-US"/>
        </w:rPr>
        <w:t>’</w:t>
      </w:r>
      <w:r w:rsidRPr="007E4A0F">
        <w:rPr>
          <w:lang w:val="fr-FR" w:eastAsia="en-US"/>
        </w:rPr>
        <w:t>exprimer une opinion sur les états financiers de l</w:t>
      </w:r>
      <w:r w:rsidR="00B274E6" w:rsidRPr="007E4A0F">
        <w:rPr>
          <w:lang w:val="fr-FR" w:eastAsia="en-US"/>
        </w:rPr>
        <w:t>’</w:t>
      </w:r>
      <w:r w:rsidRPr="007E4A0F">
        <w:rPr>
          <w:lang w:val="fr-FR" w:eastAsia="en-US"/>
        </w:rPr>
        <w:t>OMPI sur la base de notre audit.  Nous l</w:t>
      </w:r>
      <w:r w:rsidR="00B274E6" w:rsidRPr="007E4A0F">
        <w:rPr>
          <w:lang w:val="fr-FR" w:eastAsia="en-US"/>
        </w:rPr>
        <w:t>’</w:t>
      </w:r>
      <w:r w:rsidRPr="007E4A0F">
        <w:rPr>
          <w:lang w:val="fr-FR" w:eastAsia="en-US"/>
        </w:rPr>
        <w:t>avons effectué selon les Normes internationales d</w:t>
      </w:r>
      <w:r w:rsidR="00B274E6" w:rsidRPr="007E4A0F">
        <w:rPr>
          <w:lang w:val="fr-FR" w:eastAsia="en-US"/>
        </w:rPr>
        <w:t>’</w:t>
      </w:r>
      <w:r w:rsidRPr="007E4A0F">
        <w:rPr>
          <w:lang w:val="fr-FR" w:eastAsia="en-US"/>
        </w:rPr>
        <w:t>audit.  Ces normes exigent que nous nous conformions aux règles d</w:t>
      </w:r>
      <w:r w:rsidR="00B274E6" w:rsidRPr="007E4A0F">
        <w:rPr>
          <w:lang w:val="fr-FR" w:eastAsia="en-US"/>
        </w:rPr>
        <w:t>’</w:t>
      </w:r>
      <w:r w:rsidRPr="007E4A0F">
        <w:rPr>
          <w:lang w:val="fr-FR" w:eastAsia="en-US"/>
        </w:rPr>
        <w:t xml:space="preserve">éthique et </w:t>
      </w:r>
      <w:r w:rsidRPr="007E4A0F">
        <w:rPr>
          <w:lang w:val="fr-FR" w:eastAsia="en-US"/>
        </w:rPr>
        <w:lastRenderedPageBreak/>
        <w:t>que nous planifions et réalisions l</w:t>
      </w:r>
      <w:r w:rsidR="00B274E6" w:rsidRPr="007E4A0F">
        <w:rPr>
          <w:lang w:val="fr-FR" w:eastAsia="en-US"/>
        </w:rPr>
        <w:t>’</w:t>
      </w:r>
      <w:r w:rsidRPr="007E4A0F">
        <w:rPr>
          <w:lang w:val="fr-FR" w:eastAsia="en-US"/>
        </w:rPr>
        <w:t>audit en vue d</w:t>
      </w:r>
      <w:r w:rsidR="00B274E6" w:rsidRPr="007E4A0F">
        <w:rPr>
          <w:lang w:val="fr-FR" w:eastAsia="en-US"/>
        </w:rPr>
        <w:t>’</w:t>
      </w:r>
      <w:r w:rsidRPr="007E4A0F">
        <w:rPr>
          <w:lang w:val="fr-FR" w:eastAsia="en-US"/>
        </w:rPr>
        <w:t>obtenir une assurance raisonnable que les états financiers ne comportent pas d</w:t>
      </w:r>
      <w:r w:rsidR="00B274E6" w:rsidRPr="007E4A0F">
        <w:rPr>
          <w:lang w:val="fr-FR" w:eastAsia="en-US"/>
        </w:rPr>
        <w:t>’</w:t>
      </w:r>
      <w:r w:rsidRPr="007E4A0F">
        <w:rPr>
          <w:lang w:val="fr-FR" w:eastAsia="en-US"/>
        </w:rPr>
        <w:t>anomalies significatives.</w:t>
      </w:r>
    </w:p>
    <w:p w:rsidR="00947AF6" w:rsidRPr="007E4A0F" w:rsidRDefault="00947AF6" w:rsidP="00EC37BF">
      <w:pPr>
        <w:spacing w:line="360" w:lineRule="auto"/>
        <w:ind w:left="567" w:right="567"/>
        <w:jc w:val="both"/>
        <w:rPr>
          <w:lang w:val="fr-FR" w:eastAsia="en-US"/>
        </w:rPr>
      </w:pPr>
    </w:p>
    <w:p w:rsidR="00947AF6" w:rsidRPr="007E4A0F" w:rsidRDefault="00EC37BF" w:rsidP="00EC37BF">
      <w:pPr>
        <w:spacing w:line="360" w:lineRule="auto"/>
        <w:ind w:left="567" w:right="567"/>
        <w:jc w:val="both"/>
        <w:rPr>
          <w:lang w:val="fr-FR" w:eastAsia="en-US"/>
        </w:rPr>
      </w:pPr>
      <w:r w:rsidRPr="007E4A0F">
        <w:rPr>
          <w:lang w:val="fr-FR" w:eastAsia="en-US"/>
        </w:rPr>
        <w:t>Un audit implique la mise en œuvre de procédures en vue de recueillir des éléments probants concernant les montants et les informations fournis dans les états financiers.  Le choix des procédures relève du jugement de l</w:t>
      </w:r>
      <w:r w:rsidR="00B274E6" w:rsidRPr="007E4A0F">
        <w:rPr>
          <w:lang w:val="fr-FR" w:eastAsia="en-US"/>
        </w:rPr>
        <w:t>’</w:t>
      </w:r>
      <w:r w:rsidRPr="007E4A0F">
        <w:rPr>
          <w:lang w:val="fr-FR" w:eastAsia="en-US"/>
        </w:rPr>
        <w:t>auditeur, de même que l</w:t>
      </w:r>
      <w:r w:rsidR="00B274E6" w:rsidRPr="007E4A0F">
        <w:rPr>
          <w:lang w:val="fr-FR" w:eastAsia="en-US"/>
        </w:rPr>
        <w:t>’</w:t>
      </w:r>
      <w:r w:rsidRPr="007E4A0F">
        <w:rPr>
          <w:lang w:val="fr-FR" w:eastAsia="en-US"/>
        </w:rPr>
        <w:t>évaluation des risques que les états financiers comportent des anomalies significatives – que celles</w:t>
      </w:r>
      <w:r w:rsidR="00CB1BDA" w:rsidRPr="007E4A0F">
        <w:rPr>
          <w:lang w:val="fr-FR" w:eastAsia="en-US"/>
        </w:rPr>
        <w:noBreakHyphen/>
      </w:r>
      <w:r w:rsidRPr="007E4A0F">
        <w:rPr>
          <w:lang w:val="fr-FR" w:eastAsia="en-US"/>
        </w:rPr>
        <w:t>ci proviennent de fraudes ou résultent d</w:t>
      </w:r>
      <w:r w:rsidR="00B274E6" w:rsidRPr="007E4A0F">
        <w:rPr>
          <w:lang w:val="fr-FR" w:eastAsia="en-US"/>
        </w:rPr>
        <w:t>’</w:t>
      </w:r>
      <w:r w:rsidRPr="007E4A0F">
        <w:rPr>
          <w:lang w:val="fr-FR" w:eastAsia="en-US"/>
        </w:rPr>
        <w:t>erreurs.  En procédant à cette évaluation, l</w:t>
      </w:r>
      <w:r w:rsidR="00B274E6" w:rsidRPr="007E4A0F">
        <w:rPr>
          <w:lang w:val="fr-FR" w:eastAsia="en-US"/>
        </w:rPr>
        <w:t>’</w:t>
      </w:r>
      <w:r w:rsidRPr="007E4A0F">
        <w:rPr>
          <w:lang w:val="fr-FR" w:eastAsia="en-US"/>
        </w:rPr>
        <w:t>auditeur prend en compte le contrôle interne relatif à l</w:t>
      </w:r>
      <w:r w:rsidR="00B274E6" w:rsidRPr="007E4A0F">
        <w:rPr>
          <w:lang w:val="fr-FR" w:eastAsia="en-US"/>
        </w:rPr>
        <w:t>’</w:t>
      </w:r>
      <w:r w:rsidRPr="007E4A0F">
        <w:rPr>
          <w:lang w:val="fr-FR" w:eastAsia="en-US"/>
        </w:rPr>
        <w:t>établissement des états financiers et à la présentation d</w:t>
      </w:r>
      <w:r w:rsidR="00B274E6" w:rsidRPr="007E4A0F">
        <w:rPr>
          <w:lang w:val="fr-FR" w:eastAsia="en-US"/>
        </w:rPr>
        <w:t>’</w:t>
      </w:r>
      <w:r w:rsidRPr="007E4A0F">
        <w:rPr>
          <w:lang w:val="fr-FR" w:eastAsia="en-US"/>
        </w:rPr>
        <w:t>une image fidèle de ceux</w:t>
      </w:r>
      <w:r w:rsidR="00CB1BDA" w:rsidRPr="007E4A0F">
        <w:rPr>
          <w:lang w:val="fr-FR" w:eastAsia="en-US"/>
        </w:rPr>
        <w:noBreakHyphen/>
      </w:r>
      <w:r w:rsidRPr="007E4A0F">
        <w:rPr>
          <w:lang w:val="fr-FR" w:eastAsia="en-US"/>
        </w:rPr>
        <w:t>ci par l</w:t>
      </w:r>
      <w:r w:rsidR="00B274E6" w:rsidRPr="007E4A0F">
        <w:rPr>
          <w:lang w:val="fr-FR" w:eastAsia="en-US"/>
        </w:rPr>
        <w:t>’</w:t>
      </w:r>
      <w:r w:rsidRPr="007E4A0F">
        <w:rPr>
          <w:lang w:val="fr-FR" w:eastAsia="en-US"/>
        </w:rPr>
        <w:t>entité afin de définir des procédures d</w:t>
      </w:r>
      <w:r w:rsidR="00B274E6" w:rsidRPr="007E4A0F">
        <w:rPr>
          <w:lang w:val="fr-FR" w:eastAsia="en-US"/>
        </w:rPr>
        <w:t>’</w:t>
      </w:r>
      <w:r w:rsidRPr="007E4A0F">
        <w:rPr>
          <w:lang w:val="fr-FR" w:eastAsia="en-US"/>
        </w:rPr>
        <w:t>audit appropriées en la circonstance, et non dans le but d</w:t>
      </w:r>
      <w:r w:rsidR="00B274E6" w:rsidRPr="007E4A0F">
        <w:rPr>
          <w:lang w:val="fr-FR" w:eastAsia="en-US"/>
        </w:rPr>
        <w:t>’</w:t>
      </w:r>
      <w:r w:rsidRPr="007E4A0F">
        <w:rPr>
          <w:lang w:val="fr-FR" w:eastAsia="en-US"/>
        </w:rPr>
        <w:t>exprimer une opinion sur l</w:t>
      </w:r>
      <w:r w:rsidR="00B274E6" w:rsidRPr="007E4A0F">
        <w:rPr>
          <w:lang w:val="fr-FR" w:eastAsia="en-US"/>
        </w:rPr>
        <w:t>’</w:t>
      </w:r>
      <w:r w:rsidRPr="007E4A0F">
        <w:rPr>
          <w:lang w:val="fr-FR" w:eastAsia="en-US"/>
        </w:rPr>
        <w:t>efficacité du contrôle interne de l</w:t>
      </w:r>
      <w:r w:rsidR="00B274E6" w:rsidRPr="007E4A0F">
        <w:rPr>
          <w:lang w:val="fr-FR" w:eastAsia="en-US"/>
        </w:rPr>
        <w:t>’</w:t>
      </w:r>
      <w:r w:rsidRPr="007E4A0F">
        <w:rPr>
          <w:lang w:val="fr-FR" w:eastAsia="en-US"/>
        </w:rPr>
        <w:t>entité.  Un audit implique également l</w:t>
      </w:r>
      <w:r w:rsidR="00B274E6" w:rsidRPr="007E4A0F">
        <w:rPr>
          <w:lang w:val="fr-FR" w:eastAsia="en-US"/>
        </w:rPr>
        <w:t>’</w:t>
      </w:r>
      <w:r w:rsidRPr="007E4A0F">
        <w:rPr>
          <w:lang w:val="fr-FR" w:eastAsia="en-US"/>
        </w:rPr>
        <w:t>appréciation du caractère approprié des politiques comptables retenues et du caractère raisonnable des estimations comptables faites par la direction, de même que l</w:t>
      </w:r>
      <w:r w:rsidR="00B274E6" w:rsidRPr="007E4A0F">
        <w:rPr>
          <w:lang w:val="fr-FR" w:eastAsia="en-US"/>
        </w:rPr>
        <w:t>’</w:t>
      </w:r>
      <w:r w:rsidRPr="007E4A0F">
        <w:rPr>
          <w:lang w:val="fr-FR" w:eastAsia="en-US"/>
        </w:rPr>
        <w:t>appréciation de la présentation d</w:t>
      </w:r>
      <w:r w:rsidR="00B274E6" w:rsidRPr="007E4A0F">
        <w:rPr>
          <w:lang w:val="fr-FR" w:eastAsia="en-US"/>
        </w:rPr>
        <w:t>’</w:t>
      </w:r>
      <w:r w:rsidRPr="007E4A0F">
        <w:rPr>
          <w:lang w:val="fr-FR" w:eastAsia="en-US"/>
        </w:rPr>
        <w:t>ensemble des états financiers.</w:t>
      </w:r>
    </w:p>
    <w:p w:rsidR="00947AF6" w:rsidRPr="007E4A0F" w:rsidRDefault="00947AF6" w:rsidP="00EC37BF">
      <w:pPr>
        <w:spacing w:line="360" w:lineRule="auto"/>
        <w:ind w:left="567" w:right="567"/>
        <w:jc w:val="both"/>
        <w:rPr>
          <w:lang w:val="fr-FR" w:eastAsia="en-US"/>
        </w:rPr>
      </w:pPr>
    </w:p>
    <w:p w:rsidR="00947AF6" w:rsidRPr="007E4A0F" w:rsidRDefault="00EC37BF" w:rsidP="00EC37BF">
      <w:pPr>
        <w:spacing w:line="360" w:lineRule="auto"/>
        <w:ind w:left="567" w:right="567"/>
        <w:jc w:val="both"/>
        <w:rPr>
          <w:lang w:val="fr-FR" w:eastAsia="en-US"/>
        </w:rPr>
      </w:pPr>
      <w:r w:rsidRPr="007E4A0F">
        <w:rPr>
          <w:lang w:val="fr-FR" w:eastAsia="en-US"/>
        </w:rPr>
        <w:t>Nous estimons que les éléments probants recueillis sont suffisants et appropriés pour fonder notre opinion.</w:t>
      </w:r>
    </w:p>
    <w:p w:rsidR="00947AF6" w:rsidRPr="007E4A0F" w:rsidRDefault="00947AF6" w:rsidP="00EC37BF">
      <w:pPr>
        <w:spacing w:line="360" w:lineRule="auto"/>
        <w:ind w:left="567" w:right="567"/>
        <w:rPr>
          <w:rFonts w:eastAsia="Times New Roman"/>
          <w:b/>
          <w:bCs/>
          <w:sz w:val="24"/>
          <w:szCs w:val="24"/>
          <w:lang w:val="fr-FR" w:eastAsia="en-US"/>
        </w:rPr>
      </w:pPr>
    </w:p>
    <w:p w:rsidR="00947AF6" w:rsidRPr="007E4A0F" w:rsidRDefault="00EC37BF" w:rsidP="00EC37BF">
      <w:pPr>
        <w:spacing w:line="360" w:lineRule="auto"/>
        <w:ind w:left="567" w:right="567"/>
        <w:rPr>
          <w:b/>
          <w:bCs/>
          <w:lang w:val="fr-FR" w:eastAsia="en-US"/>
        </w:rPr>
      </w:pPr>
      <w:r w:rsidRPr="007E4A0F">
        <w:rPr>
          <w:b/>
          <w:bCs/>
          <w:lang w:val="fr-FR" w:eastAsia="en-US"/>
        </w:rPr>
        <w:t>Opinion</w:t>
      </w:r>
    </w:p>
    <w:p w:rsidR="00947AF6" w:rsidRPr="007E4A0F" w:rsidRDefault="00947AF6" w:rsidP="00EC37BF">
      <w:pPr>
        <w:spacing w:line="360" w:lineRule="auto"/>
        <w:ind w:left="567" w:right="567"/>
        <w:rPr>
          <w:b/>
          <w:bCs/>
          <w:szCs w:val="21"/>
          <w:cs/>
          <w:lang w:val="fr-FR" w:eastAsia="en-US" w:bidi="hi-IN"/>
        </w:rPr>
      </w:pPr>
    </w:p>
    <w:p w:rsidR="00947AF6" w:rsidRPr="007E4A0F" w:rsidRDefault="00EC37BF" w:rsidP="00EC37BF">
      <w:pPr>
        <w:spacing w:line="360" w:lineRule="auto"/>
        <w:ind w:left="567" w:right="567"/>
        <w:rPr>
          <w:lang w:val="fr-FR" w:eastAsia="en-US"/>
        </w:rPr>
      </w:pPr>
      <w:r w:rsidRPr="007E4A0F">
        <w:rPr>
          <w:lang w:val="fr-FR" w:eastAsia="en-US"/>
        </w:rPr>
        <w:t>À notre avis, les états financiers donnent une image fidèle, dans tous leurs aspects significatifs, de la situation financière de l</w:t>
      </w:r>
      <w:r w:rsidR="00B274E6" w:rsidRPr="007E4A0F">
        <w:rPr>
          <w:lang w:val="fr-FR" w:eastAsia="en-US"/>
        </w:rPr>
        <w:t>’</w:t>
      </w:r>
      <w:r w:rsidRPr="007E4A0F">
        <w:rPr>
          <w:lang w:val="fr-FR" w:eastAsia="en-US"/>
        </w:rPr>
        <w:t>OMPI au 31 décembre 2014, ainsi que de sa performance financière et de ses flux de trésorerie au cours de l</w:t>
      </w:r>
      <w:r w:rsidR="00B274E6" w:rsidRPr="007E4A0F">
        <w:rPr>
          <w:lang w:val="fr-FR" w:eastAsia="en-US"/>
        </w:rPr>
        <w:t>’</w:t>
      </w:r>
      <w:r w:rsidRPr="007E4A0F">
        <w:rPr>
          <w:lang w:val="fr-FR" w:eastAsia="en-US"/>
        </w:rPr>
        <w:t>exercice allant du 1</w:t>
      </w:r>
      <w:r w:rsidRPr="007E4A0F">
        <w:rPr>
          <w:vertAlign w:val="superscript"/>
          <w:lang w:val="fr-FR" w:eastAsia="en-US"/>
        </w:rPr>
        <w:t>er</w:t>
      </w:r>
      <w:r w:rsidRPr="007E4A0F">
        <w:rPr>
          <w:lang w:val="fr-FR" w:eastAsia="en-US"/>
        </w:rPr>
        <w:t> janvier 2014 au 31 décembre 2014 conformément aux normes IPSAS.</w:t>
      </w:r>
    </w:p>
    <w:p w:rsidR="00947AF6" w:rsidRPr="007E4A0F" w:rsidRDefault="00947AF6" w:rsidP="00EC37BF">
      <w:pPr>
        <w:spacing w:line="360" w:lineRule="auto"/>
        <w:ind w:left="567" w:right="567"/>
        <w:jc w:val="both"/>
        <w:rPr>
          <w:rFonts w:eastAsia="Times New Roman"/>
          <w:sz w:val="24"/>
          <w:szCs w:val="24"/>
          <w:lang w:val="fr-FR" w:eastAsia="en-US"/>
        </w:rPr>
      </w:pPr>
    </w:p>
    <w:p w:rsidR="00947AF6" w:rsidRPr="007E4A0F" w:rsidRDefault="00EC37BF" w:rsidP="00EC37BF">
      <w:pPr>
        <w:spacing w:line="360" w:lineRule="auto"/>
        <w:ind w:left="567" w:right="567"/>
        <w:rPr>
          <w:b/>
          <w:lang w:val="fr-FR" w:eastAsia="en-US"/>
        </w:rPr>
      </w:pPr>
      <w:r w:rsidRPr="007E4A0F">
        <w:rPr>
          <w:b/>
          <w:lang w:val="fr-FR" w:eastAsia="en-US"/>
        </w:rPr>
        <w:t>Rapport sur les autres obligations légales ou réglementaires</w:t>
      </w:r>
    </w:p>
    <w:p w:rsidR="00947AF6" w:rsidRPr="007E4A0F" w:rsidRDefault="00947AF6" w:rsidP="00EC37BF">
      <w:pPr>
        <w:spacing w:line="360" w:lineRule="auto"/>
        <w:ind w:left="567" w:right="567"/>
        <w:rPr>
          <w:b/>
          <w:lang w:val="fr-FR" w:eastAsia="en-US"/>
        </w:rPr>
      </w:pPr>
    </w:p>
    <w:p w:rsidR="00947AF6" w:rsidRPr="007E4A0F" w:rsidRDefault="00EC37BF" w:rsidP="00EC37BF">
      <w:pPr>
        <w:spacing w:line="360" w:lineRule="auto"/>
        <w:ind w:left="567" w:right="567"/>
        <w:jc w:val="both"/>
        <w:rPr>
          <w:lang w:val="fr-FR" w:eastAsia="en-US"/>
        </w:rPr>
      </w:pPr>
      <w:r w:rsidRPr="007E4A0F">
        <w:rPr>
          <w:lang w:val="fr-FR" w:eastAsia="en-US"/>
        </w:rPr>
        <w:t>De plus, à notre avis, les opérations de l</w:t>
      </w:r>
      <w:r w:rsidR="00B274E6" w:rsidRPr="007E4A0F">
        <w:rPr>
          <w:lang w:val="fr-FR" w:eastAsia="en-US"/>
        </w:rPr>
        <w:t>’</w:t>
      </w:r>
      <w:r w:rsidRPr="007E4A0F">
        <w:rPr>
          <w:lang w:val="fr-FR" w:eastAsia="en-US"/>
        </w:rPr>
        <w:t>OMPI qui ont retenu notre attention ou que nous avons examinées par sondage dans le cadre de notre audit ont été, pour tous les aspects significatifs, conformes au Règlement financier et au règlement d</w:t>
      </w:r>
      <w:r w:rsidR="00B274E6" w:rsidRPr="007E4A0F">
        <w:rPr>
          <w:lang w:val="fr-FR" w:eastAsia="en-US"/>
        </w:rPr>
        <w:t>’</w:t>
      </w:r>
      <w:r w:rsidRPr="007E4A0F">
        <w:rPr>
          <w:lang w:val="fr-FR" w:eastAsia="en-US"/>
        </w:rPr>
        <w:t>exécution du Règlement financier de l</w:t>
      </w:r>
      <w:r w:rsidR="00B274E6" w:rsidRPr="007E4A0F">
        <w:rPr>
          <w:lang w:val="fr-FR" w:eastAsia="en-US"/>
        </w:rPr>
        <w:t>’</w:t>
      </w:r>
      <w:r w:rsidRPr="007E4A0F">
        <w:rPr>
          <w:lang w:val="fr-FR" w:eastAsia="en-US"/>
        </w:rPr>
        <w:t>OMPI.</w:t>
      </w:r>
    </w:p>
    <w:p w:rsidR="00947AF6" w:rsidRPr="007E4A0F" w:rsidRDefault="00947AF6" w:rsidP="00EC37BF">
      <w:pPr>
        <w:spacing w:line="360" w:lineRule="auto"/>
        <w:ind w:left="567" w:right="567"/>
        <w:jc w:val="both"/>
        <w:rPr>
          <w:lang w:val="fr-FR" w:eastAsia="en-US"/>
        </w:rPr>
      </w:pPr>
    </w:p>
    <w:p w:rsidR="00947AF6" w:rsidRPr="007E4A0F" w:rsidRDefault="00EC37BF" w:rsidP="00EC37BF">
      <w:pPr>
        <w:keepNext/>
        <w:spacing w:line="360" w:lineRule="auto"/>
        <w:ind w:left="567" w:right="567"/>
        <w:jc w:val="both"/>
        <w:rPr>
          <w:szCs w:val="22"/>
          <w:lang w:val="fr-FR" w:eastAsia="en-US"/>
        </w:rPr>
      </w:pPr>
      <w:r w:rsidRPr="007E4A0F">
        <w:rPr>
          <w:szCs w:val="22"/>
          <w:lang w:val="fr-FR" w:eastAsia="en-US"/>
        </w:rPr>
        <w:t>Conformément à l</w:t>
      </w:r>
      <w:r w:rsidR="00B274E6" w:rsidRPr="007E4A0F">
        <w:rPr>
          <w:szCs w:val="22"/>
          <w:lang w:val="fr-FR" w:eastAsia="en-US"/>
        </w:rPr>
        <w:t>’</w:t>
      </w:r>
      <w:r w:rsidR="004C4C2B" w:rsidRPr="007E4A0F">
        <w:rPr>
          <w:szCs w:val="22"/>
          <w:lang w:val="fr-FR" w:eastAsia="en-US"/>
        </w:rPr>
        <w:t>article 8.10 du Règlement</w:t>
      </w:r>
      <w:r w:rsidRPr="007E4A0F">
        <w:rPr>
          <w:szCs w:val="22"/>
          <w:lang w:val="fr-FR" w:eastAsia="en-US"/>
        </w:rPr>
        <w:t xml:space="preserve"> financier et de son règlement d</w:t>
      </w:r>
      <w:r w:rsidR="00B274E6" w:rsidRPr="007E4A0F">
        <w:rPr>
          <w:szCs w:val="22"/>
          <w:lang w:val="fr-FR" w:eastAsia="en-US"/>
        </w:rPr>
        <w:t>’</w:t>
      </w:r>
      <w:r w:rsidRPr="007E4A0F">
        <w:rPr>
          <w:szCs w:val="22"/>
          <w:lang w:val="fr-FR" w:eastAsia="en-US"/>
        </w:rPr>
        <w:t>exécution, nous avons aussi établi un rapport détaillé sur notre audit de l</w:t>
      </w:r>
      <w:r w:rsidR="00B274E6" w:rsidRPr="007E4A0F">
        <w:rPr>
          <w:szCs w:val="22"/>
          <w:lang w:val="fr-FR" w:eastAsia="en-US"/>
        </w:rPr>
        <w:t>’</w:t>
      </w:r>
      <w:r w:rsidRPr="007E4A0F">
        <w:rPr>
          <w:szCs w:val="22"/>
          <w:lang w:val="fr-FR" w:eastAsia="en-US"/>
        </w:rPr>
        <w:t>OMPI.</w:t>
      </w:r>
    </w:p>
    <w:p w:rsidR="00947AF6" w:rsidRPr="007E4A0F" w:rsidRDefault="00947AF6" w:rsidP="00EC37BF">
      <w:pPr>
        <w:spacing w:line="360" w:lineRule="auto"/>
        <w:ind w:left="567" w:right="567"/>
        <w:jc w:val="right"/>
        <w:rPr>
          <w:rFonts w:eastAsia="Times New Roman"/>
          <w:szCs w:val="22"/>
          <w:lang w:val="fr-FR" w:eastAsia="en-US"/>
        </w:rPr>
      </w:pPr>
    </w:p>
    <w:p w:rsidR="00947AF6" w:rsidRPr="007E4A0F" w:rsidRDefault="00947AF6" w:rsidP="00EC37BF">
      <w:pPr>
        <w:spacing w:line="360" w:lineRule="auto"/>
        <w:ind w:left="567" w:right="567"/>
        <w:jc w:val="right"/>
        <w:rPr>
          <w:rFonts w:eastAsia="Times New Roman"/>
          <w:szCs w:val="22"/>
          <w:lang w:val="fr-FR" w:eastAsia="en-US"/>
        </w:rPr>
      </w:pPr>
    </w:p>
    <w:p w:rsidR="00947AF6" w:rsidRPr="007E4A0F" w:rsidRDefault="00EC37BF" w:rsidP="00EC37BF">
      <w:pPr>
        <w:spacing w:line="360" w:lineRule="auto"/>
        <w:ind w:left="567" w:right="567"/>
        <w:jc w:val="right"/>
        <w:rPr>
          <w:rFonts w:eastAsia="Times New Roman"/>
          <w:szCs w:val="22"/>
          <w:lang w:val="fr-FR" w:eastAsia="en-US"/>
        </w:rPr>
      </w:pPr>
      <w:r w:rsidRPr="007E4A0F">
        <w:rPr>
          <w:rFonts w:eastAsia="Times New Roman"/>
          <w:szCs w:val="22"/>
          <w:lang w:val="fr-FR" w:eastAsia="en-US"/>
        </w:rPr>
        <w:t>[Signé]</w:t>
      </w:r>
    </w:p>
    <w:p w:rsidR="00947AF6" w:rsidRPr="007E4A0F" w:rsidRDefault="00EC37BF" w:rsidP="00EC37BF">
      <w:pPr>
        <w:shd w:val="clear" w:color="auto" w:fill="FFFFFF"/>
        <w:tabs>
          <w:tab w:val="left" w:pos="709"/>
        </w:tabs>
        <w:spacing w:line="360" w:lineRule="auto"/>
        <w:ind w:left="567" w:right="567"/>
        <w:jc w:val="right"/>
        <w:rPr>
          <w:b/>
          <w:szCs w:val="22"/>
          <w:lang w:val="fr-FR" w:eastAsia="en-US"/>
        </w:rPr>
      </w:pPr>
      <w:r w:rsidRPr="007E4A0F">
        <w:rPr>
          <w:b/>
          <w:szCs w:val="22"/>
          <w:lang w:val="fr-FR" w:eastAsia="en-US"/>
        </w:rPr>
        <w:t>Shashi Kant Sharma</w:t>
      </w:r>
    </w:p>
    <w:p w:rsidR="00947AF6" w:rsidRPr="007E4A0F" w:rsidRDefault="00EC37BF" w:rsidP="00EC37BF">
      <w:pPr>
        <w:spacing w:line="360" w:lineRule="auto"/>
        <w:ind w:left="567" w:right="567"/>
        <w:jc w:val="right"/>
        <w:rPr>
          <w:b/>
          <w:szCs w:val="22"/>
          <w:lang w:val="fr-FR" w:eastAsia="en-US"/>
        </w:rPr>
      </w:pPr>
      <w:r w:rsidRPr="007E4A0F">
        <w:rPr>
          <w:b/>
          <w:szCs w:val="22"/>
          <w:lang w:val="fr-FR" w:eastAsia="en-US"/>
        </w:rPr>
        <w:t>Contrôleur et vérificateur général des comptes de l</w:t>
      </w:r>
      <w:r w:rsidR="00B274E6" w:rsidRPr="007E4A0F">
        <w:rPr>
          <w:b/>
          <w:szCs w:val="22"/>
          <w:lang w:val="fr-FR" w:eastAsia="en-US"/>
        </w:rPr>
        <w:t>’</w:t>
      </w:r>
      <w:r w:rsidRPr="007E4A0F">
        <w:rPr>
          <w:b/>
          <w:szCs w:val="22"/>
          <w:lang w:val="fr-FR" w:eastAsia="en-US"/>
        </w:rPr>
        <w:t>Inde</w:t>
      </w:r>
    </w:p>
    <w:p w:rsidR="00947AF6" w:rsidRPr="007E4A0F" w:rsidRDefault="00EC37BF" w:rsidP="00EC37BF">
      <w:pPr>
        <w:spacing w:line="360" w:lineRule="auto"/>
        <w:ind w:left="567" w:right="567"/>
        <w:jc w:val="right"/>
        <w:rPr>
          <w:b/>
          <w:szCs w:val="22"/>
          <w:lang w:val="fr-FR" w:eastAsia="en-US"/>
        </w:rPr>
      </w:pPr>
      <w:r w:rsidRPr="007E4A0F">
        <w:rPr>
          <w:b/>
          <w:szCs w:val="22"/>
          <w:lang w:val="fr-FR" w:eastAsia="en-US"/>
        </w:rPr>
        <w:t>Vérificateur externe des comptes</w:t>
      </w:r>
    </w:p>
    <w:p w:rsidR="00947AF6" w:rsidRPr="007E4A0F" w:rsidRDefault="00947AF6" w:rsidP="00EC37BF">
      <w:pPr>
        <w:spacing w:line="360" w:lineRule="auto"/>
        <w:ind w:left="567" w:right="567"/>
        <w:jc w:val="right"/>
        <w:rPr>
          <w:b/>
          <w:szCs w:val="22"/>
          <w:lang w:val="fr-FR" w:eastAsia="en-US"/>
        </w:rPr>
      </w:pPr>
    </w:p>
    <w:p w:rsidR="00947AF6" w:rsidRPr="007E4A0F" w:rsidRDefault="00EC37BF" w:rsidP="00EC37BF">
      <w:pPr>
        <w:spacing w:line="360" w:lineRule="auto"/>
        <w:ind w:left="567" w:right="567"/>
        <w:jc w:val="right"/>
        <w:rPr>
          <w:szCs w:val="22"/>
          <w:lang w:val="fr-FR" w:eastAsia="en-US"/>
        </w:rPr>
      </w:pPr>
      <w:r w:rsidRPr="007E4A0F">
        <w:rPr>
          <w:b/>
          <w:bCs/>
          <w:szCs w:val="22"/>
          <w:lang w:val="fr-FR" w:eastAsia="en-US"/>
        </w:rPr>
        <w:t>New Delhi (Inde)</w:t>
      </w:r>
    </w:p>
    <w:p w:rsidR="00947AF6" w:rsidRPr="007E4A0F" w:rsidRDefault="00B274E6" w:rsidP="00EC37BF">
      <w:pPr>
        <w:spacing w:line="360" w:lineRule="auto"/>
        <w:ind w:left="567" w:right="567"/>
        <w:jc w:val="right"/>
        <w:rPr>
          <w:b/>
          <w:bCs/>
          <w:szCs w:val="22"/>
          <w:lang w:val="fr-FR" w:eastAsia="en-US"/>
        </w:rPr>
      </w:pPr>
      <w:r w:rsidRPr="007E4A0F">
        <w:rPr>
          <w:b/>
          <w:szCs w:val="22"/>
          <w:lang w:val="fr-FR" w:eastAsia="en-US"/>
        </w:rPr>
        <w:t>7 juillet 20</w:t>
      </w:r>
      <w:r w:rsidR="00EC37BF" w:rsidRPr="007E4A0F">
        <w:rPr>
          <w:b/>
          <w:szCs w:val="22"/>
          <w:lang w:val="fr-FR" w:eastAsia="en-US"/>
        </w:rPr>
        <w:t>15</w:t>
      </w:r>
    </w:p>
    <w:p w:rsidR="000E2FE2" w:rsidRPr="007E4A0F" w:rsidRDefault="000E2FE2">
      <w:pPr>
        <w:rPr>
          <w:lang w:val="fr-FR"/>
        </w:rPr>
      </w:pPr>
      <w:r w:rsidRPr="007E4A0F">
        <w:rPr>
          <w:lang w:val="fr-FR"/>
        </w:rPr>
        <w:br w:type="page"/>
      </w:r>
    </w:p>
    <w:tbl>
      <w:tblPr>
        <w:tblW w:w="0" w:type="auto"/>
        <w:jc w:val="center"/>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4"/>
        <w:gridCol w:w="5159"/>
      </w:tblGrid>
      <w:tr w:rsidR="007E4A0F" w:rsidRPr="007E4A0F" w:rsidTr="0012066D">
        <w:trPr>
          <w:trHeight w:val="12088"/>
          <w:jc w:val="center"/>
        </w:trPr>
        <w:tc>
          <w:tcPr>
            <w:tcW w:w="4307" w:type="dxa"/>
            <w:shd w:val="clear" w:color="auto" w:fill="4F81BD"/>
          </w:tcPr>
          <w:p w:rsidR="00947AF6" w:rsidRPr="007E4A0F" w:rsidRDefault="000E2FE2" w:rsidP="0012066D">
            <w:pPr>
              <w:jc w:val="center"/>
              <w:rPr>
                <w:b/>
                <w:sz w:val="24"/>
                <w:szCs w:val="24"/>
                <w:lang w:val="fr-FR"/>
              </w:rPr>
            </w:pPr>
            <w:r w:rsidRPr="007E4A0F">
              <w:rPr>
                <w:b/>
                <w:noProof/>
                <w:sz w:val="24"/>
                <w:szCs w:val="24"/>
                <w:lang w:val="en-US" w:eastAsia="en-US"/>
              </w:rPr>
              <w:lastRenderedPageBreak/>
              <w:drawing>
                <wp:inline distT="0" distB="0" distL="0" distR="0" wp14:anchorId="754143D6" wp14:editId="63D46EA3">
                  <wp:extent cx="1311910" cy="1399540"/>
                  <wp:effectExtent l="0" t="0" r="0" b="0"/>
                  <wp:docPr id="2"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947AF6" w:rsidRPr="007E4A0F" w:rsidRDefault="00875E41" w:rsidP="0012066D">
            <w:pPr>
              <w:jc w:val="center"/>
              <w:rPr>
                <w:b/>
                <w:sz w:val="24"/>
                <w:szCs w:val="24"/>
                <w:lang w:val="fr-FR"/>
              </w:rPr>
            </w:pPr>
            <w:r w:rsidRPr="007E4A0F">
              <w:rPr>
                <w:b/>
                <w:sz w:val="24"/>
                <w:szCs w:val="24"/>
                <w:lang w:val="fr-FR"/>
              </w:rPr>
              <w:t>BUREAU DU CONTRÔLEUR ET VÉRIFICATEUR GÉNÉRAL DES COMPTES DE L</w:t>
            </w:r>
            <w:r w:rsidR="00B274E6" w:rsidRPr="007E4A0F">
              <w:rPr>
                <w:b/>
                <w:sz w:val="24"/>
                <w:szCs w:val="24"/>
                <w:lang w:val="fr-FR"/>
              </w:rPr>
              <w:t>’</w:t>
            </w:r>
            <w:r w:rsidRPr="007E4A0F">
              <w:rPr>
                <w:b/>
                <w:sz w:val="24"/>
                <w:szCs w:val="24"/>
                <w:lang w:val="fr-FR"/>
              </w:rPr>
              <w:t>INDE</w:t>
            </w:r>
          </w:p>
          <w:p w:rsidR="00947AF6" w:rsidRPr="007E4A0F" w:rsidRDefault="00947AF6" w:rsidP="0012066D">
            <w:pPr>
              <w:jc w:val="center"/>
              <w:rPr>
                <w:b/>
                <w:sz w:val="24"/>
                <w:szCs w:val="24"/>
                <w:lang w:val="fr-FR"/>
              </w:rPr>
            </w:pPr>
          </w:p>
          <w:p w:rsidR="00947AF6" w:rsidRPr="007E4A0F" w:rsidRDefault="00FE4F71" w:rsidP="0012066D">
            <w:pPr>
              <w:jc w:val="both"/>
              <w:rPr>
                <w:sz w:val="24"/>
                <w:szCs w:val="24"/>
                <w:lang w:val="fr-FR"/>
              </w:rPr>
            </w:pPr>
            <w:r w:rsidRPr="007E4A0F">
              <w:rPr>
                <w:sz w:val="24"/>
                <w:szCs w:val="24"/>
                <w:lang w:val="fr-FR"/>
              </w:rPr>
              <w:t>Notre</w:t>
            </w:r>
            <w:r w:rsidR="007E4A0F" w:rsidRPr="007E4A0F">
              <w:rPr>
                <w:sz w:val="24"/>
                <w:szCs w:val="24"/>
                <w:lang w:val="fr-FR"/>
              </w:rPr>
              <w:t xml:space="preserve"> </w:t>
            </w:r>
            <w:r w:rsidR="000E2FE2" w:rsidRPr="007E4A0F">
              <w:rPr>
                <w:sz w:val="24"/>
                <w:szCs w:val="24"/>
                <w:lang w:val="fr-FR"/>
              </w:rPr>
              <w:t xml:space="preserve">audit </w:t>
            </w:r>
            <w:r w:rsidRPr="007E4A0F">
              <w:rPr>
                <w:sz w:val="24"/>
                <w:szCs w:val="24"/>
                <w:lang w:val="fr-FR"/>
              </w:rPr>
              <w:t>vise à apporter une garantie indépendante et une valeur ajoutée à la gestion de l’Organisation Mondiale de la Propriété Intellectuelle en formulant des recommandations constructives</w:t>
            </w: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875E41" w:rsidP="00875E41">
            <w:pPr>
              <w:rPr>
                <w:b/>
                <w:sz w:val="24"/>
                <w:szCs w:val="24"/>
                <w:lang w:val="fr-FR"/>
              </w:rPr>
            </w:pPr>
            <w:r w:rsidRPr="007E4A0F">
              <w:rPr>
                <w:b/>
                <w:sz w:val="24"/>
                <w:szCs w:val="24"/>
                <w:lang w:val="fr-FR"/>
              </w:rPr>
              <w:t>Pour de plus amples informations, veuillez contacter </w:t>
            </w:r>
            <w:r w:rsidR="000E2FE2" w:rsidRPr="007E4A0F">
              <w:rPr>
                <w:b/>
                <w:sz w:val="24"/>
                <w:szCs w:val="24"/>
                <w:lang w:val="fr-FR"/>
              </w:rPr>
              <w:t>:</w:t>
            </w:r>
          </w:p>
          <w:p w:rsidR="00947AF6" w:rsidRPr="007E4A0F" w:rsidRDefault="00875E41" w:rsidP="00875E41">
            <w:pPr>
              <w:jc w:val="both"/>
              <w:rPr>
                <w:b/>
                <w:sz w:val="24"/>
                <w:szCs w:val="24"/>
                <w:lang w:val="fr-FR"/>
              </w:rPr>
            </w:pPr>
            <w:r w:rsidRPr="007E4A0F">
              <w:rPr>
                <w:b/>
                <w:sz w:val="24"/>
                <w:szCs w:val="24"/>
                <w:lang w:val="fr-FR"/>
              </w:rPr>
              <w:t>M</w:t>
            </w:r>
            <w:r w:rsidR="000E2FE2" w:rsidRPr="007E4A0F">
              <w:rPr>
                <w:b/>
                <w:sz w:val="24"/>
                <w:szCs w:val="24"/>
                <w:lang w:val="fr-FR"/>
              </w:rPr>
              <w:t>.</w:t>
            </w:r>
            <w:r w:rsidR="006C7CFD" w:rsidRPr="007E4A0F">
              <w:rPr>
                <w:b/>
                <w:sz w:val="24"/>
                <w:szCs w:val="24"/>
                <w:lang w:val="fr-FR"/>
              </w:rPr>
              <w:t> </w:t>
            </w:r>
            <w:r w:rsidR="000E2FE2" w:rsidRPr="007E4A0F">
              <w:rPr>
                <w:b/>
                <w:sz w:val="24"/>
                <w:szCs w:val="24"/>
                <w:lang w:val="fr-FR"/>
              </w:rPr>
              <w:t>K.</w:t>
            </w:r>
            <w:r w:rsidR="006C7CFD" w:rsidRPr="007E4A0F">
              <w:rPr>
                <w:b/>
                <w:sz w:val="24"/>
                <w:szCs w:val="24"/>
                <w:lang w:val="fr-FR"/>
              </w:rPr>
              <w:t> </w:t>
            </w:r>
            <w:r w:rsidR="000E2FE2" w:rsidRPr="007E4A0F">
              <w:rPr>
                <w:b/>
                <w:sz w:val="24"/>
                <w:szCs w:val="24"/>
                <w:lang w:val="fr-FR"/>
              </w:rPr>
              <w:t>S.</w:t>
            </w:r>
            <w:r w:rsidR="006C7CFD" w:rsidRPr="007E4A0F">
              <w:rPr>
                <w:b/>
                <w:sz w:val="24"/>
                <w:szCs w:val="24"/>
                <w:lang w:val="fr-FR"/>
              </w:rPr>
              <w:t> </w:t>
            </w:r>
            <w:proofErr w:type="spellStart"/>
            <w:r w:rsidR="000E2FE2" w:rsidRPr="007E4A0F">
              <w:rPr>
                <w:b/>
                <w:sz w:val="24"/>
                <w:szCs w:val="24"/>
                <w:lang w:val="fr-FR"/>
              </w:rPr>
              <w:t>Subramanian</w:t>
            </w:r>
            <w:proofErr w:type="spellEnd"/>
          </w:p>
          <w:p w:rsidR="00947AF6" w:rsidRPr="007E4A0F" w:rsidRDefault="00875E41" w:rsidP="00875E41">
            <w:pPr>
              <w:rPr>
                <w:b/>
                <w:sz w:val="24"/>
                <w:szCs w:val="24"/>
                <w:lang w:val="fr-FR"/>
              </w:rPr>
            </w:pPr>
            <w:r w:rsidRPr="007E4A0F">
              <w:rPr>
                <w:b/>
                <w:sz w:val="24"/>
                <w:szCs w:val="24"/>
                <w:lang w:val="fr-FR"/>
              </w:rPr>
              <w:t>Directeur général</w:t>
            </w:r>
            <w:r w:rsidR="000E2FE2" w:rsidRPr="007E4A0F">
              <w:rPr>
                <w:b/>
                <w:sz w:val="24"/>
                <w:szCs w:val="24"/>
                <w:lang w:val="fr-FR"/>
              </w:rPr>
              <w:t xml:space="preserve"> (</w:t>
            </w:r>
            <w:r w:rsidRPr="007E4A0F">
              <w:rPr>
                <w:b/>
                <w:sz w:val="24"/>
                <w:szCs w:val="24"/>
                <w:lang w:val="fr-FR"/>
              </w:rPr>
              <w:t>relations internationales</w:t>
            </w:r>
            <w:r w:rsidR="000E2FE2" w:rsidRPr="007E4A0F">
              <w:rPr>
                <w:b/>
                <w:sz w:val="24"/>
                <w:szCs w:val="24"/>
                <w:lang w:val="fr-FR"/>
              </w:rPr>
              <w:t>)</w:t>
            </w:r>
          </w:p>
          <w:p w:rsidR="00947AF6" w:rsidRPr="00652B97" w:rsidRDefault="000E2FE2" w:rsidP="0012066D">
            <w:pPr>
              <w:rPr>
                <w:sz w:val="24"/>
                <w:szCs w:val="24"/>
                <w:lang w:val="en-US"/>
              </w:rPr>
            </w:pPr>
            <w:r w:rsidRPr="00652B97">
              <w:rPr>
                <w:sz w:val="24"/>
                <w:szCs w:val="24"/>
                <w:lang w:val="en-US"/>
              </w:rPr>
              <w:t>O/o the Comptroller and Auditor General of India</w:t>
            </w:r>
          </w:p>
          <w:p w:rsidR="00947AF6" w:rsidRPr="00652B97" w:rsidRDefault="000E2FE2" w:rsidP="0012066D">
            <w:pPr>
              <w:rPr>
                <w:sz w:val="24"/>
                <w:szCs w:val="24"/>
                <w:lang w:val="en-US"/>
              </w:rPr>
            </w:pPr>
            <w:r w:rsidRPr="00652B97">
              <w:rPr>
                <w:sz w:val="24"/>
                <w:szCs w:val="24"/>
                <w:lang w:val="en-US"/>
              </w:rPr>
              <w:t>9, Deen Dayal Upadhyay Marg</w:t>
            </w:r>
          </w:p>
          <w:p w:rsidR="00947AF6" w:rsidRPr="00652B97" w:rsidRDefault="000E2FE2" w:rsidP="0012066D">
            <w:pPr>
              <w:rPr>
                <w:sz w:val="24"/>
                <w:szCs w:val="24"/>
                <w:lang w:val="en-US"/>
              </w:rPr>
            </w:pPr>
            <w:r w:rsidRPr="00652B97">
              <w:rPr>
                <w:sz w:val="24"/>
                <w:szCs w:val="24"/>
                <w:lang w:val="en-US"/>
              </w:rPr>
              <w:t xml:space="preserve">New Delhi, </w:t>
            </w:r>
            <w:r w:rsidR="00875E41" w:rsidRPr="00652B97">
              <w:rPr>
                <w:sz w:val="24"/>
                <w:szCs w:val="24"/>
                <w:lang w:val="en-US"/>
              </w:rPr>
              <w:t>Inde</w:t>
            </w:r>
            <w:r w:rsidRPr="00652B97">
              <w:rPr>
                <w:sz w:val="24"/>
                <w:szCs w:val="24"/>
                <w:lang w:val="en-US"/>
              </w:rPr>
              <w:t xml:space="preserve"> </w:t>
            </w:r>
            <w:r w:rsidR="00875E41" w:rsidRPr="00652B97">
              <w:rPr>
                <w:sz w:val="24"/>
                <w:szCs w:val="24"/>
                <w:lang w:val="en-US"/>
              </w:rPr>
              <w:t>–</w:t>
            </w:r>
            <w:r w:rsidRPr="00652B97">
              <w:rPr>
                <w:sz w:val="24"/>
                <w:szCs w:val="24"/>
                <w:lang w:val="en-US"/>
              </w:rPr>
              <w:t xml:space="preserve"> 110124</w:t>
            </w:r>
          </w:p>
          <w:p w:rsidR="000E2FE2" w:rsidRPr="007E4A0F" w:rsidRDefault="00875E41" w:rsidP="0012066D">
            <w:pPr>
              <w:jc w:val="both"/>
              <w:rPr>
                <w:b/>
                <w:sz w:val="24"/>
                <w:szCs w:val="24"/>
                <w:lang w:val="fr-FR"/>
              </w:rPr>
            </w:pPr>
            <w:r w:rsidRPr="007E4A0F">
              <w:rPr>
                <w:sz w:val="24"/>
                <w:szCs w:val="24"/>
                <w:lang w:val="fr-FR"/>
              </w:rPr>
              <w:t xml:space="preserve">Mél. </w:t>
            </w:r>
            <w:r w:rsidR="006C7CFD" w:rsidRPr="007E4A0F">
              <w:rPr>
                <w:sz w:val="24"/>
                <w:szCs w:val="24"/>
                <w:lang w:val="fr-FR"/>
              </w:rPr>
              <w:t> </w:t>
            </w:r>
            <w:r w:rsidR="000E2FE2" w:rsidRPr="007E4A0F">
              <w:rPr>
                <w:sz w:val="24"/>
                <w:szCs w:val="24"/>
                <w:lang w:val="fr-FR"/>
              </w:rPr>
              <w:t xml:space="preserve">: </w:t>
            </w:r>
            <w:hyperlink r:id="rId12" w:history="1">
              <w:r w:rsidR="000E2FE2" w:rsidRPr="007E4A0F">
                <w:rPr>
                  <w:rStyle w:val="Hyperlink"/>
                  <w:color w:val="auto"/>
                  <w:sz w:val="24"/>
                  <w:szCs w:val="24"/>
                  <w:lang w:val="fr-FR"/>
                </w:rPr>
                <w:t>subramanianKS@cag.gov.in</w:t>
              </w:r>
            </w:hyperlink>
          </w:p>
        </w:tc>
        <w:tc>
          <w:tcPr>
            <w:tcW w:w="5161" w:type="dxa"/>
          </w:tcPr>
          <w:p w:rsidR="00947AF6" w:rsidRPr="007E4A0F" w:rsidRDefault="00947AF6" w:rsidP="0012066D">
            <w:pPr>
              <w:jc w:val="center"/>
              <w:rPr>
                <w:b/>
                <w:sz w:val="28"/>
                <w:szCs w:val="28"/>
                <w:lang w:val="fr-FR"/>
              </w:rPr>
            </w:pPr>
          </w:p>
          <w:p w:rsidR="00947AF6" w:rsidRPr="007E4A0F" w:rsidRDefault="00947AF6" w:rsidP="0012066D">
            <w:pPr>
              <w:tabs>
                <w:tab w:val="left" w:pos="709"/>
              </w:tabs>
              <w:autoSpaceDE w:val="0"/>
              <w:autoSpaceDN w:val="0"/>
              <w:adjustRightInd w:val="0"/>
              <w:jc w:val="center"/>
              <w:rPr>
                <w:b/>
                <w:bCs/>
                <w:sz w:val="32"/>
                <w:szCs w:val="32"/>
                <w:u w:val="single"/>
                <w:lang w:val="fr-FR"/>
              </w:rPr>
            </w:pPr>
          </w:p>
          <w:p w:rsidR="00947AF6" w:rsidRPr="007E4A0F" w:rsidRDefault="00947AF6" w:rsidP="0012066D">
            <w:pPr>
              <w:tabs>
                <w:tab w:val="left" w:pos="709"/>
              </w:tabs>
              <w:autoSpaceDE w:val="0"/>
              <w:autoSpaceDN w:val="0"/>
              <w:adjustRightInd w:val="0"/>
              <w:jc w:val="center"/>
              <w:rPr>
                <w:b/>
                <w:bCs/>
                <w:sz w:val="28"/>
                <w:szCs w:val="28"/>
                <w:lang w:val="fr-FR"/>
              </w:rPr>
            </w:pPr>
          </w:p>
          <w:p w:rsidR="00947AF6" w:rsidRPr="007E4A0F" w:rsidRDefault="00947AF6" w:rsidP="0012066D">
            <w:pPr>
              <w:tabs>
                <w:tab w:val="left" w:pos="709"/>
              </w:tabs>
              <w:autoSpaceDE w:val="0"/>
              <w:autoSpaceDN w:val="0"/>
              <w:adjustRightInd w:val="0"/>
              <w:jc w:val="center"/>
              <w:rPr>
                <w:b/>
                <w:bCs/>
                <w:sz w:val="28"/>
                <w:szCs w:val="28"/>
                <w:lang w:val="fr-FR"/>
              </w:rPr>
            </w:pPr>
          </w:p>
          <w:p w:rsidR="00947AF6" w:rsidRPr="007E4A0F" w:rsidRDefault="00947AF6" w:rsidP="0012066D">
            <w:pPr>
              <w:tabs>
                <w:tab w:val="left" w:pos="709"/>
              </w:tabs>
              <w:autoSpaceDE w:val="0"/>
              <w:autoSpaceDN w:val="0"/>
              <w:adjustRightInd w:val="0"/>
              <w:jc w:val="center"/>
              <w:rPr>
                <w:b/>
                <w:bCs/>
                <w:sz w:val="28"/>
                <w:szCs w:val="28"/>
                <w:lang w:val="fr-FR"/>
              </w:rPr>
            </w:pPr>
            <w:bookmarkStart w:id="5" w:name="_GoBack"/>
            <w:bookmarkEnd w:id="5"/>
          </w:p>
          <w:p w:rsidR="00947AF6" w:rsidRPr="007E4A0F" w:rsidRDefault="000E2FE2" w:rsidP="0012066D">
            <w:pPr>
              <w:tabs>
                <w:tab w:val="left" w:pos="709"/>
              </w:tabs>
              <w:autoSpaceDE w:val="0"/>
              <w:autoSpaceDN w:val="0"/>
              <w:adjustRightInd w:val="0"/>
              <w:jc w:val="center"/>
              <w:rPr>
                <w:b/>
                <w:bCs/>
                <w:sz w:val="36"/>
                <w:szCs w:val="36"/>
                <w:lang w:val="fr-FR"/>
              </w:rPr>
            </w:pPr>
            <w:r w:rsidRPr="007E4A0F">
              <w:rPr>
                <w:b/>
                <w:bCs/>
                <w:sz w:val="36"/>
                <w:szCs w:val="36"/>
                <w:lang w:val="fr-FR"/>
              </w:rPr>
              <w:t>RAPPORT DU VÉRIFICATEUR EXTERNE DES COMPTES</w:t>
            </w:r>
          </w:p>
          <w:p w:rsidR="00947AF6" w:rsidRPr="007E4A0F" w:rsidRDefault="00947AF6" w:rsidP="0012066D">
            <w:pPr>
              <w:tabs>
                <w:tab w:val="left" w:pos="709"/>
              </w:tabs>
              <w:autoSpaceDE w:val="0"/>
              <w:autoSpaceDN w:val="0"/>
              <w:adjustRightInd w:val="0"/>
              <w:jc w:val="center"/>
              <w:rPr>
                <w:b/>
                <w:bCs/>
                <w:sz w:val="28"/>
                <w:szCs w:val="28"/>
                <w:lang w:val="fr-FR"/>
              </w:rPr>
            </w:pPr>
          </w:p>
          <w:p w:rsidR="00B274E6" w:rsidRPr="007E4A0F" w:rsidRDefault="00875E41" w:rsidP="0012066D">
            <w:pPr>
              <w:tabs>
                <w:tab w:val="left" w:pos="709"/>
              </w:tabs>
              <w:autoSpaceDE w:val="0"/>
              <w:autoSpaceDN w:val="0"/>
              <w:adjustRightInd w:val="0"/>
              <w:jc w:val="center"/>
              <w:rPr>
                <w:b/>
                <w:bCs/>
                <w:sz w:val="28"/>
                <w:szCs w:val="28"/>
                <w:lang w:val="fr-FR"/>
              </w:rPr>
            </w:pPr>
            <w:r w:rsidRPr="007E4A0F">
              <w:rPr>
                <w:b/>
                <w:bCs/>
                <w:sz w:val="28"/>
                <w:szCs w:val="28"/>
                <w:lang w:val="fr-FR"/>
              </w:rPr>
              <w:t>À LA CINQUANTE</w:t>
            </w:r>
            <w:r w:rsidR="00CB1BDA" w:rsidRPr="007E4A0F">
              <w:rPr>
                <w:b/>
                <w:bCs/>
                <w:sz w:val="28"/>
                <w:szCs w:val="28"/>
                <w:lang w:val="fr-FR"/>
              </w:rPr>
              <w:noBreakHyphen/>
            </w:r>
            <w:r w:rsidRPr="007E4A0F">
              <w:rPr>
                <w:b/>
                <w:bCs/>
                <w:snapToGrid w:val="0"/>
                <w:sz w:val="28"/>
                <w:szCs w:val="28"/>
                <w:lang w:val="fr-FR"/>
              </w:rPr>
              <w:t>CINQUIÈME</w:t>
            </w:r>
            <w:r w:rsidRPr="007E4A0F">
              <w:rPr>
                <w:b/>
                <w:bCs/>
                <w:sz w:val="28"/>
                <w:szCs w:val="28"/>
                <w:lang w:val="fr-FR"/>
              </w:rPr>
              <w:t> SÉRIE DE RÉUNIONS DES ASSEMBLÉES DES ÉTATS MEMBRES</w:t>
            </w:r>
          </w:p>
          <w:p w:rsidR="00947AF6" w:rsidRPr="007E4A0F" w:rsidRDefault="00947AF6" w:rsidP="0012066D">
            <w:pPr>
              <w:tabs>
                <w:tab w:val="left" w:pos="709"/>
              </w:tabs>
              <w:autoSpaceDE w:val="0"/>
              <w:autoSpaceDN w:val="0"/>
              <w:adjustRightInd w:val="0"/>
              <w:jc w:val="center"/>
              <w:rPr>
                <w:b/>
                <w:bCs/>
                <w:sz w:val="28"/>
                <w:szCs w:val="28"/>
                <w:lang w:val="fr-FR"/>
              </w:rPr>
            </w:pPr>
          </w:p>
          <w:p w:rsidR="00947AF6" w:rsidRPr="007E4A0F" w:rsidRDefault="00875E41" w:rsidP="0012066D">
            <w:pPr>
              <w:tabs>
                <w:tab w:val="left" w:pos="709"/>
              </w:tabs>
              <w:autoSpaceDE w:val="0"/>
              <w:autoSpaceDN w:val="0"/>
              <w:adjustRightInd w:val="0"/>
              <w:jc w:val="center"/>
              <w:rPr>
                <w:b/>
                <w:bCs/>
                <w:sz w:val="32"/>
                <w:szCs w:val="32"/>
                <w:lang w:val="fr-FR"/>
              </w:rPr>
            </w:pPr>
            <w:r w:rsidRPr="007E4A0F">
              <w:rPr>
                <w:b/>
                <w:bCs/>
                <w:sz w:val="32"/>
                <w:szCs w:val="32"/>
                <w:lang w:val="fr-FR"/>
              </w:rPr>
              <w:t>DE L</w:t>
            </w:r>
            <w:r w:rsidR="00B274E6" w:rsidRPr="007E4A0F">
              <w:rPr>
                <w:b/>
                <w:bCs/>
                <w:sz w:val="32"/>
                <w:szCs w:val="32"/>
                <w:lang w:val="fr-FR"/>
              </w:rPr>
              <w:t>’</w:t>
            </w:r>
            <w:r w:rsidRPr="007E4A0F">
              <w:rPr>
                <w:b/>
                <w:bCs/>
                <w:sz w:val="32"/>
                <w:szCs w:val="32"/>
                <w:lang w:val="fr-FR"/>
              </w:rPr>
              <w:t>ORGANISATION MONDIALE DE LA PROPRIÉTÉ INTELLECTUELLE (OMPI)</w:t>
            </w:r>
          </w:p>
          <w:p w:rsidR="00947AF6" w:rsidRPr="007E4A0F" w:rsidRDefault="00947AF6" w:rsidP="0012066D">
            <w:pPr>
              <w:jc w:val="center"/>
              <w:rPr>
                <w:b/>
                <w:bCs/>
                <w:sz w:val="28"/>
                <w:szCs w:val="28"/>
                <w:lang w:val="fr-FR"/>
              </w:rPr>
            </w:pPr>
          </w:p>
          <w:p w:rsidR="00947AF6" w:rsidRPr="007E4A0F" w:rsidRDefault="00875E41" w:rsidP="0012066D">
            <w:pPr>
              <w:jc w:val="center"/>
              <w:rPr>
                <w:b/>
                <w:bCs/>
                <w:sz w:val="28"/>
                <w:szCs w:val="28"/>
                <w:lang w:val="fr-FR"/>
              </w:rPr>
            </w:pPr>
            <w:r w:rsidRPr="007E4A0F">
              <w:rPr>
                <w:b/>
                <w:bCs/>
                <w:sz w:val="28"/>
                <w:szCs w:val="28"/>
                <w:lang w:val="fr-FR"/>
              </w:rPr>
              <w:t>POUR L</w:t>
            </w:r>
            <w:r w:rsidR="00B274E6" w:rsidRPr="007E4A0F">
              <w:rPr>
                <w:b/>
                <w:bCs/>
                <w:sz w:val="28"/>
                <w:szCs w:val="28"/>
                <w:lang w:val="fr-FR"/>
              </w:rPr>
              <w:t>’</w:t>
            </w:r>
            <w:r w:rsidRPr="007E4A0F">
              <w:rPr>
                <w:b/>
                <w:bCs/>
                <w:sz w:val="28"/>
                <w:szCs w:val="28"/>
                <w:lang w:val="fr-FR"/>
              </w:rPr>
              <w:t>EXERCICE</w:t>
            </w:r>
            <w:r w:rsidR="000E2FE2" w:rsidRPr="007E4A0F">
              <w:rPr>
                <w:b/>
                <w:bCs/>
                <w:sz w:val="28"/>
                <w:szCs w:val="28"/>
                <w:lang w:val="fr-FR"/>
              </w:rPr>
              <w:t xml:space="preserve"> 2014</w:t>
            </w:r>
          </w:p>
          <w:p w:rsidR="000E2FE2" w:rsidRPr="007E4A0F" w:rsidRDefault="000E2FE2" w:rsidP="0012066D">
            <w:pPr>
              <w:jc w:val="center"/>
              <w:rPr>
                <w:b/>
                <w:sz w:val="24"/>
                <w:szCs w:val="24"/>
                <w:lang w:val="fr-FR"/>
              </w:rPr>
            </w:pPr>
          </w:p>
        </w:tc>
      </w:tr>
    </w:tbl>
    <w:p w:rsidR="00947AF6" w:rsidRPr="007E4A0F" w:rsidRDefault="00947AF6">
      <w:pPr>
        <w:rPr>
          <w:lang w:val="fr-FR"/>
        </w:rPr>
      </w:pPr>
    </w:p>
    <w:p w:rsidR="00947AF6" w:rsidRPr="007E4A0F" w:rsidRDefault="00F030CA">
      <w:pPr>
        <w:rPr>
          <w:lang w:val="fr-FR"/>
        </w:rPr>
      </w:pPr>
      <w:r w:rsidRPr="007E4A0F">
        <w:rPr>
          <w:lang w:val="fr-FR"/>
        </w:rPr>
        <w:br w:type="page"/>
      </w:r>
    </w:p>
    <w:p w:rsidR="00947AF6" w:rsidRPr="007E4A0F" w:rsidRDefault="001A0A9F" w:rsidP="001A0A9F">
      <w:pPr>
        <w:pStyle w:val="Heading1"/>
        <w:spacing w:line="360" w:lineRule="auto"/>
        <w:jc w:val="center"/>
        <w:rPr>
          <w:lang w:val="fr-FR"/>
        </w:rPr>
      </w:pPr>
      <w:r w:rsidRPr="007E4A0F">
        <w:rPr>
          <w:lang w:val="fr-FR"/>
        </w:rPr>
        <w:lastRenderedPageBreak/>
        <w:t>RÉSUMÉ</w:t>
      </w:r>
    </w:p>
    <w:p w:rsidR="00947AF6" w:rsidRPr="007E4A0F" w:rsidRDefault="001A0A9F" w:rsidP="001A0A9F">
      <w:pPr>
        <w:pStyle w:val="Style1"/>
      </w:pPr>
      <w:r w:rsidRPr="007E4A0F">
        <w:t>Le présent rapport présente les principaux résultats de la vérification des comptes de l</w:t>
      </w:r>
      <w:r w:rsidR="00B274E6" w:rsidRPr="007E4A0F">
        <w:t>’</w:t>
      </w:r>
      <w:r w:rsidRPr="007E4A0F">
        <w:t>exercice 2014 de l</w:t>
      </w:r>
      <w:r w:rsidR="00B274E6" w:rsidRPr="007E4A0F">
        <w:t>’</w:t>
      </w:r>
      <w:r w:rsidRPr="007E4A0F">
        <w:t>Organisation Mondiale de la Propriété Intellectuelle (OMPI) effectuée par le contrôleur</w:t>
      </w:r>
      <w:r w:rsidR="00CB1BDA" w:rsidRPr="007E4A0F">
        <w:noBreakHyphen/>
      </w:r>
      <w:r w:rsidRPr="007E4A0F">
        <w:t>vérificateur général des comptes de l</w:t>
      </w:r>
      <w:r w:rsidR="00B274E6" w:rsidRPr="007E4A0F">
        <w:t>’</w:t>
      </w:r>
      <w:r w:rsidRPr="007E4A0F">
        <w:t>Inde.  Cette vérification a consisté en un audit des états financiers de l</w:t>
      </w:r>
      <w:r w:rsidR="00B274E6" w:rsidRPr="007E4A0F">
        <w:t>’</w:t>
      </w:r>
      <w:r w:rsidRPr="007E4A0F">
        <w:t xml:space="preserve">OMPI, un audit du </w:t>
      </w:r>
      <w:r w:rsidR="00524088" w:rsidRPr="007E4A0F">
        <w:t>“</w:t>
      </w:r>
      <w:r w:rsidRPr="007E4A0F">
        <w:t>système intégré de planification des ressources</w:t>
      </w:r>
      <w:r w:rsidR="00524088" w:rsidRPr="007E4A0F">
        <w:t>”</w:t>
      </w:r>
      <w:r w:rsidRPr="007E4A0F">
        <w:t xml:space="preserve"> de l</w:t>
      </w:r>
      <w:r w:rsidR="00B274E6" w:rsidRPr="007E4A0F">
        <w:t>’</w:t>
      </w:r>
      <w:r w:rsidRPr="007E4A0F">
        <w:t>OMPI et un audit du Département de la gestion des ressources humaines de l</w:t>
      </w:r>
      <w:r w:rsidR="00B274E6" w:rsidRPr="007E4A0F">
        <w:t>’</w:t>
      </w:r>
      <w:r w:rsidRPr="007E4A0F">
        <w:t>OMPI.</w:t>
      </w:r>
    </w:p>
    <w:p w:rsidR="00947AF6" w:rsidRPr="007E4A0F" w:rsidRDefault="001A0A9F" w:rsidP="001A0A9F">
      <w:pPr>
        <w:pStyle w:val="Style1"/>
      </w:pPr>
      <w:r w:rsidRPr="007E4A0F">
        <w:t>Sur la base de notre audit, nous estimons que les états financiers de l</w:t>
      </w:r>
      <w:r w:rsidR="00B274E6" w:rsidRPr="007E4A0F">
        <w:t>’</w:t>
      </w:r>
      <w:r w:rsidRPr="007E4A0F">
        <w:t>OMPI pour l</w:t>
      </w:r>
      <w:r w:rsidR="00B274E6" w:rsidRPr="007E4A0F">
        <w:t>’</w:t>
      </w:r>
      <w:r w:rsidRPr="007E4A0F">
        <w:t>exercice clos au 31 décembre 2014 donnent une image fidèle, dans tous leurs aspects significatifs, de la situation financière de l</w:t>
      </w:r>
      <w:r w:rsidR="00B274E6" w:rsidRPr="007E4A0F">
        <w:t>’</w:t>
      </w:r>
      <w:r w:rsidRPr="007E4A0F">
        <w:t>OMPI à cette date et de sa performance financière au cours de l</w:t>
      </w:r>
      <w:r w:rsidR="00B274E6" w:rsidRPr="007E4A0F">
        <w:t>’</w:t>
      </w:r>
      <w:r w:rsidRPr="007E4A0F">
        <w:t>exercice allant du 1</w:t>
      </w:r>
      <w:r w:rsidRPr="007E4A0F">
        <w:rPr>
          <w:vertAlign w:val="superscript"/>
        </w:rPr>
        <w:t>er</w:t>
      </w:r>
      <w:r w:rsidRPr="007E4A0F">
        <w:t> janvier 2014 au 31 décembre 2014.  J</w:t>
      </w:r>
      <w:r w:rsidR="00B274E6" w:rsidRPr="007E4A0F">
        <w:t>’</w:t>
      </w:r>
      <w:r w:rsidRPr="007E4A0F">
        <w:t>ai par conséquent émis une opinion sans réserve sur ces états financiers.</w:t>
      </w:r>
    </w:p>
    <w:p w:rsidR="00947AF6" w:rsidRPr="007E4A0F" w:rsidRDefault="001A0A9F" w:rsidP="00EF46EC">
      <w:pPr>
        <w:pStyle w:val="Heading4"/>
        <w:rPr>
          <w:lang w:val="fr-FR"/>
        </w:rPr>
      </w:pPr>
      <w:r w:rsidRPr="007E4A0F">
        <w:rPr>
          <w:lang w:val="fr-FR"/>
        </w:rPr>
        <w:t>Gestion financière</w:t>
      </w:r>
    </w:p>
    <w:p w:rsidR="00947AF6" w:rsidRPr="007E4A0F" w:rsidRDefault="007329EA" w:rsidP="00EF46EC">
      <w:pPr>
        <w:pStyle w:val="Style1"/>
      </w:pPr>
      <w:r w:rsidRPr="007E4A0F">
        <w:t>L</w:t>
      </w:r>
      <w:r w:rsidR="00B274E6" w:rsidRPr="007E4A0F">
        <w:t>’</w:t>
      </w:r>
      <w:r w:rsidRPr="007E4A0F">
        <w:t>OMPI a dégagé pour l</w:t>
      </w:r>
      <w:r w:rsidR="00B274E6" w:rsidRPr="007E4A0F">
        <w:t>’</w:t>
      </w:r>
      <w:r w:rsidRPr="007E4A0F">
        <w:t>année 2014 un excédent de 37</w:t>
      </w:r>
      <w:r w:rsidR="006C7CFD" w:rsidRPr="007E4A0F">
        <w:t> </w:t>
      </w:r>
      <w:r w:rsidRPr="007E4A0F">
        <w:t>millions de francs suisses, ce qui représente une augmentation de 145% par rapport à l</w:t>
      </w:r>
      <w:r w:rsidR="00B274E6" w:rsidRPr="007E4A0F">
        <w:t>’</w:t>
      </w:r>
      <w:r w:rsidRPr="007E4A0F">
        <w:t xml:space="preserve">excédent </w:t>
      </w:r>
      <w:r w:rsidR="00632EE3" w:rsidRPr="007E4A0F">
        <w:t>réalis</w:t>
      </w:r>
      <w:r w:rsidRPr="007E4A0F">
        <w:t>é pour</w:t>
      </w:r>
      <w:r w:rsidR="006C7CFD" w:rsidRPr="007E4A0F">
        <w:t> </w:t>
      </w:r>
      <w:r w:rsidRPr="007E4A0F">
        <w:t>2013.  L</w:t>
      </w:r>
      <w:r w:rsidR="007C749C" w:rsidRPr="007E4A0F">
        <w:t>e poids de l</w:t>
      </w:r>
      <w:r w:rsidR="00B274E6" w:rsidRPr="007E4A0F">
        <w:t>’</w:t>
      </w:r>
      <w:r w:rsidR="007C749C" w:rsidRPr="007E4A0F">
        <w:t>Union</w:t>
      </w:r>
      <w:r w:rsidR="00B274E6" w:rsidRPr="007E4A0F">
        <w:t xml:space="preserve"> du PCT</w:t>
      </w:r>
      <w:r w:rsidR="007C749C" w:rsidRPr="007E4A0F">
        <w:t xml:space="preserve"> (Traité de coopération en matière de brevets)</w:t>
      </w:r>
      <w:r w:rsidRPr="007E4A0F">
        <w:t xml:space="preserve"> </w:t>
      </w:r>
      <w:r w:rsidR="007C749C" w:rsidRPr="007E4A0F">
        <w:t xml:space="preserve">dans </w:t>
      </w:r>
      <w:r w:rsidRPr="007E4A0F">
        <w:t>l</w:t>
      </w:r>
      <w:r w:rsidR="00B274E6" w:rsidRPr="007E4A0F">
        <w:t>’</w:t>
      </w:r>
      <w:r w:rsidRPr="007E4A0F">
        <w:t>excédent de</w:t>
      </w:r>
      <w:r w:rsidR="006C7CFD" w:rsidRPr="007E4A0F">
        <w:t> </w:t>
      </w:r>
      <w:r w:rsidRPr="007E4A0F">
        <w:t>2014 a été de 106% (</w:t>
      </w:r>
      <w:r w:rsidR="006779C8" w:rsidRPr="007E4A0F">
        <w:t xml:space="preserve">il était </w:t>
      </w:r>
      <w:r w:rsidRPr="007E4A0F">
        <w:t>124,5% en</w:t>
      </w:r>
      <w:r w:rsidR="006C7CFD" w:rsidRPr="007E4A0F">
        <w:t> </w:t>
      </w:r>
      <w:r w:rsidRPr="007E4A0F">
        <w:t xml:space="preserve">2013).  </w:t>
      </w:r>
      <w:r w:rsidR="006E6F53" w:rsidRPr="007E4A0F">
        <w:t>L</w:t>
      </w:r>
      <w:r w:rsidR="00B274E6" w:rsidRPr="007E4A0F">
        <w:t>’</w:t>
      </w:r>
      <w:r w:rsidR="006E6F53" w:rsidRPr="007E4A0F">
        <w:t xml:space="preserve">excédent ou le déficit </w:t>
      </w:r>
      <w:r w:rsidR="00632EE3" w:rsidRPr="007E4A0F">
        <w:t>enregistr</w:t>
      </w:r>
      <w:r w:rsidR="006E6F53" w:rsidRPr="007E4A0F">
        <w:t>é sur les opérations</w:t>
      </w:r>
      <w:r w:rsidR="00B274E6" w:rsidRPr="007E4A0F">
        <w:t xml:space="preserve"> du PCT</w:t>
      </w:r>
      <w:r w:rsidR="006E6F53" w:rsidRPr="007E4A0F">
        <w:t xml:space="preserve"> est donc le principal </w:t>
      </w:r>
      <w:r w:rsidR="00C54CEF" w:rsidRPr="007E4A0F">
        <w:t>déterminant</w:t>
      </w:r>
      <w:r w:rsidR="006E6F53" w:rsidRPr="007E4A0F">
        <w:t xml:space="preserve"> du caractère excédentaire ou déficitaire des résultats de l</w:t>
      </w:r>
      <w:r w:rsidR="00B274E6" w:rsidRPr="007E4A0F">
        <w:t>’</w:t>
      </w:r>
      <w:r w:rsidR="006E6F53" w:rsidRPr="007E4A0F">
        <w:t>OMPI.</w:t>
      </w:r>
    </w:p>
    <w:p w:rsidR="00947AF6" w:rsidRPr="007E4A0F" w:rsidRDefault="00304E0A" w:rsidP="00EF46EC">
      <w:pPr>
        <w:pStyle w:val="Style1"/>
      </w:pPr>
      <w:r w:rsidRPr="007E4A0F">
        <w:t>Les recettes totales de l</w:t>
      </w:r>
      <w:r w:rsidR="00B274E6" w:rsidRPr="007E4A0F">
        <w:t>’</w:t>
      </w:r>
      <w:r w:rsidRPr="007E4A0F">
        <w:t>OMPI ont augmenté de 5,3%, passant de 351,6</w:t>
      </w:r>
      <w:r w:rsidR="006C7CFD" w:rsidRPr="007E4A0F">
        <w:t> </w:t>
      </w:r>
      <w:r w:rsidRPr="007E4A0F">
        <w:t>millions de francs suisses en</w:t>
      </w:r>
      <w:r w:rsidR="006C7CFD" w:rsidRPr="007E4A0F">
        <w:t> </w:t>
      </w:r>
      <w:r w:rsidRPr="007E4A0F">
        <w:t>2013 à 370,18</w:t>
      </w:r>
      <w:r w:rsidR="006C7CFD" w:rsidRPr="007E4A0F">
        <w:t> </w:t>
      </w:r>
      <w:r w:rsidRPr="007E4A0F">
        <w:t>millions de francs suisses pour</w:t>
      </w:r>
      <w:r w:rsidR="006C7CFD" w:rsidRPr="007E4A0F">
        <w:t> </w:t>
      </w:r>
      <w:r w:rsidRPr="007E4A0F">
        <w:t>2014.  La principale source de recettes en</w:t>
      </w:r>
      <w:r w:rsidR="006C7CFD" w:rsidRPr="007E4A0F">
        <w:t> </w:t>
      </w:r>
      <w:r w:rsidRPr="007E4A0F">
        <w:t>2014 a été l</w:t>
      </w:r>
      <w:r w:rsidR="00B274E6" w:rsidRPr="007E4A0F">
        <w:t>’</w:t>
      </w:r>
      <w:r w:rsidRPr="007E4A0F">
        <w:t>Union</w:t>
      </w:r>
      <w:r w:rsidR="00B274E6" w:rsidRPr="007E4A0F">
        <w:t xml:space="preserve"> du PCT</w:t>
      </w:r>
      <w:r w:rsidRPr="007E4A0F">
        <w:t>, qui a représenté 76% du chiffre total.  Les recettes générées par l</w:t>
      </w:r>
      <w:r w:rsidR="00B274E6" w:rsidRPr="007E4A0F">
        <w:t>’</w:t>
      </w:r>
      <w:r w:rsidRPr="007E4A0F">
        <w:t>Union</w:t>
      </w:r>
      <w:r w:rsidR="00B274E6" w:rsidRPr="007E4A0F">
        <w:t xml:space="preserve"> du PCT</w:t>
      </w:r>
      <w:r w:rsidRPr="007E4A0F">
        <w:t xml:space="preserve"> en</w:t>
      </w:r>
      <w:r w:rsidR="006C7CFD" w:rsidRPr="007E4A0F">
        <w:t> </w:t>
      </w:r>
      <w:r w:rsidRPr="007E4A0F">
        <w:t>2014 ont progressé de 7,7% par rapport à 2013.</w:t>
      </w:r>
    </w:p>
    <w:p w:rsidR="00B274E6" w:rsidRPr="007E4A0F" w:rsidRDefault="00304E0A" w:rsidP="00EF46EC">
      <w:pPr>
        <w:pStyle w:val="Style1"/>
      </w:pPr>
      <w:r w:rsidRPr="007E4A0F">
        <w:t>En</w:t>
      </w:r>
      <w:r w:rsidR="006C7CFD" w:rsidRPr="007E4A0F">
        <w:t> </w:t>
      </w:r>
      <w:r w:rsidRPr="007E4A0F">
        <w:t>2014, les dépenses de l</w:t>
      </w:r>
      <w:r w:rsidR="00B274E6" w:rsidRPr="007E4A0F">
        <w:t>’</w:t>
      </w:r>
      <w:r w:rsidRPr="007E4A0F">
        <w:t>OMPI se sont établies à 333,2</w:t>
      </w:r>
      <w:r w:rsidR="006C7CFD" w:rsidRPr="007E4A0F">
        <w:t> </w:t>
      </w:r>
      <w:r w:rsidRPr="007E4A0F">
        <w:t xml:space="preserve">millions, en baisse de </w:t>
      </w:r>
      <w:r w:rsidR="00AF7405" w:rsidRPr="007E4A0F">
        <w:t>1% par rapport à 2013.  Tout à fait</w:t>
      </w:r>
      <w:r w:rsidRPr="007E4A0F">
        <w:t xml:space="preserve"> logique</w:t>
      </w:r>
      <w:r w:rsidR="00AF7405" w:rsidRPr="007E4A0F">
        <w:t>ment</w:t>
      </w:r>
      <w:r w:rsidRPr="007E4A0F">
        <w:t>, compte tenu des activités de l</w:t>
      </w:r>
      <w:r w:rsidR="00B274E6" w:rsidRPr="007E4A0F">
        <w:t>’</w:t>
      </w:r>
      <w:r w:rsidRPr="007E4A0F">
        <w:t>Organisation, le poste le plus important dans ces dépenses a été celui des frais de personnel, qui se sont élevées à 216,4</w:t>
      </w:r>
      <w:r w:rsidR="006C7CFD" w:rsidRPr="007E4A0F">
        <w:t> </w:t>
      </w:r>
      <w:r w:rsidRPr="007E4A0F">
        <w:t xml:space="preserve">millions de francs suisses, soit 64,9% des dépenses totales. </w:t>
      </w:r>
      <w:r w:rsidR="006C7CFD" w:rsidRPr="007E4A0F">
        <w:t xml:space="preserve"> </w:t>
      </w:r>
      <w:r w:rsidRPr="007E4A0F">
        <w:t>Les dépenses de personnel ont augmenté de 1,1% en</w:t>
      </w:r>
      <w:r w:rsidR="006C7CFD" w:rsidRPr="007E4A0F">
        <w:t> </w:t>
      </w:r>
      <w:r w:rsidRPr="007E4A0F">
        <w:t>2014 par rapport à 2013.</w:t>
      </w:r>
    </w:p>
    <w:p w:rsidR="00304E0A" w:rsidRPr="007E4A0F" w:rsidRDefault="00304E0A" w:rsidP="00304E0A">
      <w:pPr>
        <w:pStyle w:val="Style1"/>
      </w:pPr>
      <w:r w:rsidRPr="007E4A0F">
        <w:t>Nous nous félicitons des modifications et améliorations apportées</w:t>
      </w:r>
      <w:r w:rsidR="00AF7405" w:rsidRPr="007E4A0F">
        <w:t xml:space="preserve"> sur la base de nos observations</w:t>
      </w:r>
      <w:r w:rsidRPr="007E4A0F">
        <w:t xml:space="preserve"> par la direction</w:t>
      </w:r>
      <w:r w:rsidR="00AF7405" w:rsidRPr="007E4A0F">
        <w:t xml:space="preserve"> dans les états financiers de l</w:t>
      </w:r>
      <w:r w:rsidR="00B274E6" w:rsidRPr="007E4A0F">
        <w:t>’</w:t>
      </w:r>
      <w:r w:rsidR="00AF7405" w:rsidRPr="007E4A0F">
        <w:t>OMPI pour l</w:t>
      </w:r>
      <w:r w:rsidR="00B274E6" w:rsidRPr="007E4A0F">
        <w:t>’</w:t>
      </w:r>
      <w:r w:rsidR="00AF7405" w:rsidRPr="007E4A0F">
        <w:t>exercice 2014</w:t>
      </w:r>
      <w:r w:rsidRPr="007E4A0F">
        <w:t>.</w:t>
      </w:r>
    </w:p>
    <w:p w:rsidR="00304E0A" w:rsidRPr="007E4A0F" w:rsidRDefault="00304E0A" w:rsidP="00304E0A">
      <w:pPr>
        <w:pStyle w:val="Heading4"/>
        <w:rPr>
          <w:lang w:val="fr-FR"/>
        </w:rPr>
      </w:pPr>
      <w:r w:rsidRPr="007E4A0F">
        <w:rPr>
          <w:lang w:val="fr-FR"/>
        </w:rPr>
        <w:t>Questions financières</w:t>
      </w:r>
    </w:p>
    <w:p w:rsidR="00B274E6" w:rsidRPr="007E4A0F" w:rsidRDefault="00304E0A" w:rsidP="00304E0A">
      <w:pPr>
        <w:pStyle w:val="Style1"/>
      </w:pPr>
      <w:r w:rsidRPr="007E4A0F">
        <w:t>Nous avons constaté que le solde du compte</w:t>
      </w:r>
      <w:r w:rsidR="00523FE7" w:rsidRPr="007E4A0F">
        <w:t xml:space="preserve"> débiteur</w:t>
      </w:r>
      <w:r w:rsidRPr="007E4A0F">
        <w:t xml:space="preserve"> </w:t>
      </w:r>
      <w:r w:rsidR="00577A60" w:rsidRPr="007E4A0F">
        <w:t>relatif aux i</w:t>
      </w:r>
      <w:r w:rsidRPr="007E4A0F">
        <w:t xml:space="preserve">mpôts </w:t>
      </w:r>
      <w:r w:rsidR="00523FE7" w:rsidRPr="007E4A0F">
        <w:t>d</w:t>
      </w:r>
      <w:r w:rsidRPr="007E4A0F">
        <w:t>es États</w:t>
      </w:r>
      <w:r w:rsidR="00CB1BDA" w:rsidRPr="007E4A0F">
        <w:noBreakHyphen/>
      </w:r>
      <w:r w:rsidRPr="007E4A0F">
        <w:t>Unis d</w:t>
      </w:r>
      <w:r w:rsidR="00B274E6" w:rsidRPr="007E4A0F">
        <w:t>’</w:t>
      </w:r>
      <w:r w:rsidRPr="007E4A0F">
        <w:t xml:space="preserve">Amérique comprenait des montants </w:t>
      </w:r>
      <w:r w:rsidR="00577A60" w:rsidRPr="007E4A0F">
        <w:t>concernant</w:t>
      </w:r>
      <w:r w:rsidRPr="007E4A0F">
        <w:t xml:space="preserve"> des périodes anciennes, et que le rapprochement entre les montants réclamés et les remboursements n</w:t>
      </w:r>
      <w:r w:rsidR="00B274E6" w:rsidRPr="007E4A0F">
        <w:t>’</w:t>
      </w:r>
      <w:r w:rsidRPr="007E4A0F">
        <w:t xml:space="preserve">était pas effectué avec </w:t>
      </w:r>
      <w:r w:rsidRPr="007E4A0F">
        <w:lastRenderedPageBreak/>
        <w:t>régularité.  L</w:t>
      </w:r>
      <w:r w:rsidR="00B274E6" w:rsidRPr="007E4A0F">
        <w:t>’</w:t>
      </w:r>
      <w:r w:rsidRPr="007E4A0F">
        <w:t>OMPI pourra</w:t>
      </w:r>
      <w:r w:rsidR="0094668B" w:rsidRPr="007E4A0F">
        <w:t>it</w:t>
      </w:r>
      <w:r w:rsidRPr="007E4A0F">
        <w:t xml:space="preserve"> </w:t>
      </w:r>
      <w:r w:rsidR="004E55BC" w:rsidRPr="007E4A0F">
        <w:t>accélérer</w:t>
      </w:r>
      <w:r w:rsidRPr="007E4A0F">
        <w:t xml:space="preserve"> le processus de rapprochement des montants en suspens avec les autorités fiscales des États</w:t>
      </w:r>
      <w:r w:rsidR="00CB1BDA" w:rsidRPr="007E4A0F">
        <w:noBreakHyphen/>
      </w:r>
      <w:r w:rsidRPr="007E4A0F">
        <w:t>Unis d</w:t>
      </w:r>
      <w:r w:rsidR="00B274E6" w:rsidRPr="007E4A0F">
        <w:t>’</w:t>
      </w:r>
      <w:r w:rsidRPr="007E4A0F">
        <w:t>Amérique.</w:t>
      </w:r>
    </w:p>
    <w:p w:rsidR="00947AF6" w:rsidRPr="007E4A0F" w:rsidRDefault="00D85178" w:rsidP="00EF46EC">
      <w:pPr>
        <w:pStyle w:val="Style1"/>
        <w:rPr>
          <w:b/>
        </w:rPr>
      </w:pPr>
      <w:r w:rsidRPr="007E4A0F">
        <w:t>L</w:t>
      </w:r>
      <w:r w:rsidR="00A942A1" w:rsidRPr="007E4A0F">
        <w:t>es principes directeurs de l</w:t>
      </w:r>
      <w:r w:rsidR="00B274E6" w:rsidRPr="007E4A0F">
        <w:t>’</w:t>
      </w:r>
      <w:r w:rsidR="00A942A1" w:rsidRPr="007E4A0F">
        <w:t xml:space="preserve">Organisation des </w:t>
      </w:r>
      <w:r w:rsidR="00B274E6" w:rsidRPr="007E4A0F">
        <w:t>Nations Unies</w:t>
      </w:r>
      <w:r w:rsidR="00A942A1" w:rsidRPr="007E4A0F">
        <w:t xml:space="preserve"> concernant les normes</w:t>
      </w:r>
      <w:r w:rsidR="006C7CFD" w:rsidRPr="007E4A0F">
        <w:t> </w:t>
      </w:r>
      <w:r w:rsidR="00A942A1" w:rsidRPr="007E4A0F">
        <w:t>IPSAS (normes comptables internationales du secteur public)</w:t>
      </w:r>
      <w:r w:rsidRPr="007E4A0F">
        <w:t xml:space="preserve"> prévoient que l</w:t>
      </w:r>
      <w:r w:rsidR="00B274E6" w:rsidRPr="007E4A0F">
        <w:t>’</w:t>
      </w:r>
      <w:r w:rsidRPr="007E4A0F">
        <w:t>ONU ne comptabilise pas</w:t>
      </w:r>
      <w:r w:rsidR="008B5FE2" w:rsidRPr="007E4A0F">
        <w:t xml:space="preserve"> les actifs patrimoniaux</w:t>
      </w:r>
      <w:r w:rsidRPr="007E4A0F">
        <w:t xml:space="preserve">, mais doit en donner une description détaillée </w:t>
      </w:r>
      <w:r w:rsidR="00941B0C" w:rsidRPr="007E4A0F">
        <w:t>dans les notes aux états financiers.</w:t>
      </w:r>
      <w:r w:rsidR="00B4577A" w:rsidRPr="007E4A0F">
        <w:t xml:space="preserve">  </w:t>
      </w:r>
      <w:r w:rsidRPr="007E4A0F">
        <w:t>Nous avons constaté que l</w:t>
      </w:r>
      <w:r w:rsidR="00B274E6" w:rsidRPr="007E4A0F">
        <w:t>’</w:t>
      </w:r>
      <w:r w:rsidRPr="007E4A0F">
        <w:t xml:space="preserve">OMPI ne faisait pas figurer dans ses états financiers de détails concernant </w:t>
      </w:r>
      <w:r w:rsidR="00CB05EB" w:rsidRPr="007E4A0F">
        <w:t>s</w:t>
      </w:r>
      <w:r w:rsidRPr="007E4A0F">
        <w:t xml:space="preserve">es actifs patrimoniaux, </w:t>
      </w:r>
      <w:r w:rsidR="00B274E6" w:rsidRPr="007E4A0F">
        <w:t>y compris</w:t>
      </w:r>
      <w:r w:rsidRPr="007E4A0F">
        <w:t xml:space="preserve"> les œuvres d</w:t>
      </w:r>
      <w:r w:rsidR="00B274E6" w:rsidRPr="007E4A0F">
        <w:t>’</w:t>
      </w:r>
      <w:r w:rsidRPr="007E4A0F">
        <w:t xml:space="preserve">art. </w:t>
      </w:r>
      <w:r w:rsidR="0021059E" w:rsidRPr="007E4A0F">
        <w:t xml:space="preserve"> Nous avons également </w:t>
      </w:r>
      <w:r w:rsidR="006A1D13" w:rsidRPr="007E4A0F">
        <w:t>noté l</w:t>
      </w:r>
      <w:r w:rsidR="00B274E6" w:rsidRPr="007E4A0F">
        <w:t>’</w:t>
      </w:r>
      <w:r w:rsidR="006A1D13" w:rsidRPr="007E4A0F">
        <w:t>absence, selon les vérifications physiques effectuées en</w:t>
      </w:r>
      <w:r w:rsidR="006C7CFD" w:rsidRPr="007E4A0F">
        <w:t> </w:t>
      </w:r>
      <w:r w:rsidR="006A1D13" w:rsidRPr="007E4A0F">
        <w:t xml:space="preserve">2014, de certains biens classés dans la catégorie </w:t>
      </w:r>
      <w:r w:rsidR="00524088" w:rsidRPr="007E4A0F">
        <w:t>“</w:t>
      </w:r>
      <w:r w:rsidR="006A1D13" w:rsidRPr="007E4A0F">
        <w:t>œuvres d</w:t>
      </w:r>
      <w:r w:rsidR="00B274E6" w:rsidRPr="007E4A0F">
        <w:t>’</w:t>
      </w:r>
      <w:r w:rsidR="006A1D13" w:rsidRPr="007E4A0F">
        <w:t>art</w:t>
      </w:r>
      <w:r w:rsidR="00524088" w:rsidRPr="007E4A0F">
        <w:t>”</w:t>
      </w:r>
      <w:r w:rsidR="006A1D13" w:rsidRPr="007E4A0F">
        <w:t xml:space="preserve">.  </w:t>
      </w:r>
      <w:r w:rsidR="00CD19B5" w:rsidRPr="007E4A0F">
        <w:t>Nous invitons l</w:t>
      </w:r>
      <w:r w:rsidR="00B274E6" w:rsidRPr="007E4A0F">
        <w:t>’</w:t>
      </w:r>
      <w:r w:rsidR="00CD19B5" w:rsidRPr="007E4A0F">
        <w:t>OMPI à</w:t>
      </w:r>
      <w:r w:rsidR="00CB05EB" w:rsidRPr="007E4A0F">
        <w:t xml:space="preserve"> fournir dans ses états financiers les détails relatifs à ses actifs patrimoniaux et </w:t>
      </w:r>
      <w:r w:rsidR="00523FE7" w:rsidRPr="007E4A0F">
        <w:t>à</w:t>
      </w:r>
      <w:r w:rsidR="00CB05EB" w:rsidRPr="007E4A0F">
        <w:t xml:space="preserve"> prendre des mesures </w:t>
      </w:r>
      <w:r w:rsidR="00FB62BD" w:rsidRPr="007E4A0F">
        <w:t>pour renforcer les systèmes de sécurité afin</w:t>
      </w:r>
      <w:r w:rsidR="00901EAB" w:rsidRPr="007E4A0F">
        <w:t xml:space="preserve"> d</w:t>
      </w:r>
      <w:r w:rsidR="00B274E6" w:rsidRPr="007E4A0F">
        <w:t>’</w:t>
      </w:r>
      <w:r w:rsidR="00901EAB" w:rsidRPr="007E4A0F">
        <w:t>empêcher à l</w:t>
      </w:r>
      <w:r w:rsidR="00B274E6" w:rsidRPr="007E4A0F">
        <w:t>’</w:t>
      </w:r>
      <w:r w:rsidR="00901EAB" w:rsidRPr="007E4A0F">
        <w:t xml:space="preserve">avenir </w:t>
      </w:r>
      <w:r w:rsidR="00FF6BA9" w:rsidRPr="007E4A0F">
        <w:t>la perte de ce type d</w:t>
      </w:r>
      <w:r w:rsidR="00B274E6" w:rsidRPr="007E4A0F">
        <w:t>’</w:t>
      </w:r>
      <w:r w:rsidR="00FF6BA9" w:rsidRPr="007E4A0F">
        <w:t>actifs.</w:t>
      </w:r>
    </w:p>
    <w:p w:rsidR="00947AF6" w:rsidRPr="007E4A0F" w:rsidRDefault="00304E0A" w:rsidP="00EF46EC">
      <w:pPr>
        <w:pStyle w:val="Heading4"/>
        <w:rPr>
          <w:lang w:val="fr-FR"/>
        </w:rPr>
      </w:pPr>
      <w:r w:rsidRPr="007E4A0F">
        <w:rPr>
          <w:lang w:val="fr-FR"/>
        </w:rPr>
        <w:t>Système intégré de planification des ressources</w:t>
      </w:r>
      <w:r w:rsidR="0002106B" w:rsidRPr="007E4A0F">
        <w:rPr>
          <w:lang w:val="fr-FR"/>
        </w:rPr>
        <w:t xml:space="preserve"> (ERP)</w:t>
      </w:r>
    </w:p>
    <w:p w:rsidR="00947AF6" w:rsidRPr="007E4A0F" w:rsidRDefault="0002106B" w:rsidP="00EF46EC">
      <w:pPr>
        <w:pStyle w:val="Style1"/>
      </w:pPr>
      <w:r w:rsidRPr="007E4A0F">
        <w:t xml:space="preserve">La mise en œuvre du système ERP </w:t>
      </w:r>
      <w:r w:rsidR="002937C1" w:rsidRPr="007E4A0F">
        <w:t>de</w:t>
      </w:r>
      <w:r w:rsidRPr="007E4A0F">
        <w:t xml:space="preserve"> l</w:t>
      </w:r>
      <w:r w:rsidR="00B274E6" w:rsidRPr="007E4A0F">
        <w:t>’</w:t>
      </w:r>
      <w:r w:rsidRPr="007E4A0F">
        <w:t>OMPI</w:t>
      </w:r>
      <w:r w:rsidR="00807B28" w:rsidRPr="007E4A0F">
        <w:t>, laquelle comprend quatre</w:t>
      </w:r>
      <w:r w:rsidR="006C7CFD" w:rsidRPr="007E4A0F">
        <w:t> </w:t>
      </w:r>
      <w:r w:rsidR="00807B28" w:rsidRPr="007E4A0F">
        <w:t>séries de projets, a été entamée en</w:t>
      </w:r>
      <w:r w:rsidR="006C7CFD" w:rsidRPr="007E4A0F">
        <w:t> </w:t>
      </w:r>
      <w:r w:rsidR="00807B28" w:rsidRPr="007E4A0F">
        <w:t>2010</w:t>
      </w:r>
      <w:r w:rsidR="00DF206B" w:rsidRPr="007E4A0F">
        <w:t xml:space="preserve"> et devait être terminée à la fin de l</w:t>
      </w:r>
      <w:r w:rsidR="00B274E6" w:rsidRPr="007E4A0F">
        <w:t>’</w:t>
      </w:r>
      <w:r w:rsidR="00DF206B" w:rsidRPr="007E4A0F">
        <w:t xml:space="preserve">année 2015.  Selon le calendrier révisé, le système ERP </w:t>
      </w:r>
      <w:r w:rsidR="005C4572" w:rsidRPr="007E4A0F">
        <w:t>sera</w:t>
      </w:r>
      <w:r w:rsidR="00DF206B" w:rsidRPr="007E4A0F">
        <w:t xml:space="preserve"> en place pour le deuxième trimestre</w:t>
      </w:r>
      <w:r w:rsidR="005C4572" w:rsidRPr="007E4A0F">
        <w:t xml:space="preserve"> de</w:t>
      </w:r>
      <w:r w:rsidR="006C7CFD" w:rsidRPr="007E4A0F">
        <w:t> </w:t>
      </w:r>
      <w:r w:rsidR="005C4572" w:rsidRPr="007E4A0F">
        <w:t>2016.  Sur les 19 projets</w:t>
      </w:r>
      <w:r w:rsidR="0077316E" w:rsidRPr="007E4A0F">
        <w:t xml:space="preserve"> </w:t>
      </w:r>
      <w:r w:rsidR="008037A6" w:rsidRPr="007E4A0F">
        <w:t xml:space="preserve">prévus au titre du système ERP, </w:t>
      </w:r>
      <w:r w:rsidR="00784182" w:rsidRPr="007E4A0F">
        <w:t>un est achevé et sept</w:t>
      </w:r>
      <w:r w:rsidR="006C7CFD" w:rsidRPr="007E4A0F">
        <w:t> </w:t>
      </w:r>
      <w:r w:rsidR="00784182" w:rsidRPr="007E4A0F">
        <w:t>autres sont opérationnels.</w:t>
      </w:r>
      <w:r w:rsidR="006C7CFD" w:rsidRPr="007E4A0F">
        <w:t xml:space="preserve"> </w:t>
      </w:r>
      <w:r w:rsidR="00FF42F0" w:rsidRPr="007E4A0F">
        <w:t xml:space="preserve"> Compte tenu </w:t>
      </w:r>
      <w:r w:rsidR="00F42EAF" w:rsidRPr="007E4A0F">
        <w:t>d</w:t>
      </w:r>
      <w:r w:rsidR="00F858F8" w:rsidRPr="007E4A0F">
        <w:t>u</w:t>
      </w:r>
      <w:r w:rsidR="00F42EAF" w:rsidRPr="007E4A0F">
        <w:t xml:space="preserve"> retard </w:t>
      </w:r>
      <w:r w:rsidR="00F858F8" w:rsidRPr="007E4A0F">
        <w:t>pri</w:t>
      </w:r>
      <w:r w:rsidR="00F42EAF" w:rsidRPr="007E4A0F">
        <w:t>s dans l</w:t>
      </w:r>
      <w:r w:rsidR="00B274E6" w:rsidRPr="007E4A0F">
        <w:t>’</w:t>
      </w:r>
      <w:r w:rsidR="00F42EAF" w:rsidRPr="007E4A0F">
        <w:t>achèvement de certains projets et de l</w:t>
      </w:r>
      <w:r w:rsidR="00B274E6" w:rsidRPr="007E4A0F">
        <w:t>’</w:t>
      </w:r>
      <w:r w:rsidR="00F42EAF" w:rsidRPr="007E4A0F">
        <w:t>interdépendance des projets compos</w:t>
      </w:r>
      <w:r w:rsidR="00156C9D" w:rsidRPr="007E4A0F">
        <w:t>a</w:t>
      </w:r>
      <w:r w:rsidR="00F42EAF" w:rsidRPr="007E4A0F">
        <w:t>nt le système ERP,</w:t>
      </w:r>
      <w:r w:rsidR="000D452F" w:rsidRPr="007E4A0F">
        <w:t xml:space="preserve"> nous n</w:t>
      </w:r>
      <w:r w:rsidR="00B274E6" w:rsidRPr="007E4A0F">
        <w:t>’</w:t>
      </w:r>
      <w:r w:rsidR="000D452F" w:rsidRPr="007E4A0F">
        <w:t xml:space="preserve">avons pas été en mesure </w:t>
      </w:r>
      <w:r w:rsidR="00F42EAF" w:rsidRPr="007E4A0F">
        <w:t>d</w:t>
      </w:r>
      <w:r w:rsidR="00B274E6" w:rsidRPr="007E4A0F">
        <w:t>’</w:t>
      </w:r>
      <w:r w:rsidR="00F42EAF" w:rsidRPr="007E4A0F">
        <w:t>évaluer globalement les avantages</w:t>
      </w:r>
      <w:r w:rsidR="001B0C60" w:rsidRPr="007E4A0F">
        <w:t xml:space="preserve"> </w:t>
      </w:r>
      <w:r w:rsidR="00156C9D" w:rsidRPr="007E4A0F">
        <w:t xml:space="preserve">qui </w:t>
      </w:r>
      <w:r w:rsidR="000D452F" w:rsidRPr="007E4A0F">
        <w:t>découl</w:t>
      </w:r>
      <w:r w:rsidR="00156C9D" w:rsidRPr="007E4A0F">
        <w:t>e</w:t>
      </w:r>
      <w:r w:rsidR="000D452F" w:rsidRPr="007E4A0F">
        <w:t>nt de</w:t>
      </w:r>
      <w:r w:rsidR="001B0C60" w:rsidRPr="007E4A0F">
        <w:t xml:space="preserve"> ce dernier pour l</w:t>
      </w:r>
      <w:r w:rsidR="00B274E6" w:rsidRPr="007E4A0F">
        <w:t>’</w:t>
      </w:r>
      <w:r w:rsidR="001B0C60" w:rsidRPr="007E4A0F">
        <w:t xml:space="preserve">OMPI.  </w:t>
      </w:r>
      <w:r w:rsidR="000D452F" w:rsidRPr="007E4A0F">
        <w:t>Selon l</w:t>
      </w:r>
      <w:r w:rsidR="00B274E6" w:rsidRPr="007E4A0F">
        <w:t>’</w:t>
      </w:r>
      <w:r w:rsidR="000D452F" w:rsidRPr="007E4A0F">
        <w:t>Organisation,</w:t>
      </w:r>
      <w:r w:rsidR="00CC1669" w:rsidRPr="007E4A0F">
        <w:t xml:space="preserve"> il n</w:t>
      </w:r>
      <w:r w:rsidR="00B274E6" w:rsidRPr="007E4A0F">
        <w:t>’</w:t>
      </w:r>
      <w:r w:rsidR="00CC1669" w:rsidRPr="007E4A0F">
        <w:t xml:space="preserve">est pas </w:t>
      </w:r>
      <w:r w:rsidR="00E9080B" w:rsidRPr="007E4A0F">
        <w:t xml:space="preserve">encore </w:t>
      </w:r>
      <w:r w:rsidR="00CC1669" w:rsidRPr="007E4A0F">
        <w:t>possible d</w:t>
      </w:r>
      <w:r w:rsidR="00B274E6" w:rsidRPr="007E4A0F">
        <w:t>’</w:t>
      </w:r>
      <w:r w:rsidR="00CC1669" w:rsidRPr="007E4A0F">
        <w:t>effectuer une évaluation globale des avantages obtenus grâce au système ERP,</w:t>
      </w:r>
      <w:r w:rsidR="00BE2B32" w:rsidRPr="007E4A0F">
        <w:t xml:space="preserve"> parce que l</w:t>
      </w:r>
      <w:r w:rsidR="00B274E6" w:rsidRPr="007E4A0F">
        <w:t>’</w:t>
      </w:r>
      <w:r w:rsidR="00BE2B32" w:rsidRPr="007E4A0F">
        <w:t>exécution du portefeuille n</w:t>
      </w:r>
      <w:r w:rsidR="00B274E6" w:rsidRPr="007E4A0F">
        <w:t>’</w:t>
      </w:r>
      <w:r w:rsidR="00BE2B32" w:rsidRPr="007E4A0F">
        <w:t>est pas</w:t>
      </w:r>
      <w:r w:rsidR="005A373D" w:rsidRPr="007E4A0F">
        <w:t xml:space="preserve"> achevée</w:t>
      </w:r>
      <w:r w:rsidR="00BE2B32" w:rsidRPr="007E4A0F">
        <w:t xml:space="preserve">.  Nous recommandons </w:t>
      </w:r>
      <w:r w:rsidR="00FD2A76" w:rsidRPr="007E4A0F">
        <w:t>que l</w:t>
      </w:r>
      <w:r w:rsidR="00B274E6" w:rsidRPr="007E4A0F">
        <w:t>’</w:t>
      </w:r>
      <w:r w:rsidR="00FD2A76" w:rsidRPr="007E4A0F">
        <w:t xml:space="preserve">OMPI continue à </w:t>
      </w:r>
      <w:r w:rsidR="00646DE5" w:rsidRPr="007E4A0F">
        <w:t>recherch</w:t>
      </w:r>
      <w:r w:rsidR="00FD2A76" w:rsidRPr="007E4A0F">
        <w:t>er des moyens de</w:t>
      </w:r>
      <w:r w:rsidR="00646DE5" w:rsidRPr="007E4A0F">
        <w:t xml:space="preserve"> réduire</w:t>
      </w:r>
      <w:r w:rsidR="00795B34" w:rsidRPr="007E4A0F">
        <w:t xml:space="preserve"> les délais</w:t>
      </w:r>
      <w:r w:rsidR="0033117B" w:rsidRPr="007E4A0F">
        <w:t xml:space="preserve"> qui retardent</w:t>
      </w:r>
      <w:r w:rsidR="00795B34" w:rsidRPr="007E4A0F">
        <w:t>, tant au niveau des projets qu</w:t>
      </w:r>
      <w:r w:rsidR="00B274E6" w:rsidRPr="007E4A0F">
        <w:t>’</w:t>
      </w:r>
      <w:r w:rsidR="00795B34" w:rsidRPr="007E4A0F">
        <w:t>à celui du portefeuille,</w:t>
      </w:r>
      <w:r w:rsidR="00BE2B32" w:rsidRPr="007E4A0F">
        <w:t xml:space="preserve"> </w:t>
      </w:r>
      <w:r w:rsidR="00795B34" w:rsidRPr="007E4A0F">
        <w:t xml:space="preserve">la mise en œuvre du système intégré de planification des ressources, de manière à ce que cette dernière soit </w:t>
      </w:r>
      <w:r w:rsidR="0033117B" w:rsidRPr="007E4A0F">
        <w:t>achev</w:t>
      </w:r>
      <w:r w:rsidR="00795B34" w:rsidRPr="007E4A0F">
        <w:t>ée conformément au calendrier révisé.</w:t>
      </w:r>
    </w:p>
    <w:p w:rsidR="00947AF6" w:rsidRPr="007E4A0F" w:rsidRDefault="004725D3" w:rsidP="00EF46EC">
      <w:pPr>
        <w:pStyle w:val="Style1"/>
      </w:pPr>
      <w:r w:rsidRPr="007E4A0F">
        <w:t>L</w:t>
      </w:r>
      <w:r w:rsidR="00B274E6" w:rsidRPr="007E4A0F">
        <w:t>’</w:t>
      </w:r>
      <w:r w:rsidRPr="007E4A0F">
        <w:t>OMPI n</w:t>
      </w:r>
      <w:r w:rsidR="00B274E6" w:rsidRPr="007E4A0F">
        <w:t>’</w:t>
      </w:r>
      <w:r w:rsidRPr="007E4A0F">
        <w:t xml:space="preserve">avait pas de système de gestion de documents pour les projets entrepris au titre du système ERP. </w:t>
      </w:r>
      <w:r w:rsidR="009366DF" w:rsidRPr="007E4A0F">
        <w:t xml:space="preserve"> </w:t>
      </w:r>
      <w:r w:rsidR="0080303C" w:rsidRPr="007E4A0F">
        <w:t>Faute de site central</w:t>
      </w:r>
      <w:r w:rsidR="00760F62" w:rsidRPr="007E4A0F">
        <w:t xml:space="preserve"> de dépôt des </w:t>
      </w:r>
      <w:r w:rsidR="0080303C" w:rsidRPr="007E4A0F">
        <w:t>documents relatifs à ces projets, un</w:t>
      </w:r>
      <w:r w:rsidR="00881BE1" w:rsidRPr="007E4A0F">
        <w:t xml:space="preserve"> w</w:t>
      </w:r>
      <w:r w:rsidR="0080303C" w:rsidRPr="007E4A0F">
        <w:t>iki a été utilisé pour les partager avec le personnel de l</w:t>
      </w:r>
      <w:r w:rsidR="00B274E6" w:rsidRPr="007E4A0F">
        <w:t>’</w:t>
      </w:r>
      <w:r w:rsidR="0080303C" w:rsidRPr="007E4A0F">
        <w:t>OMPI</w:t>
      </w:r>
      <w:r w:rsidR="00760F62" w:rsidRPr="007E4A0F">
        <w:t xml:space="preserve"> </w:t>
      </w:r>
      <w:r w:rsidR="0033117B" w:rsidRPr="007E4A0F">
        <w:t>ainsi que</w:t>
      </w:r>
      <w:r w:rsidR="00760F62" w:rsidRPr="007E4A0F">
        <w:t xml:space="preserve"> les vérificateurs.  Certains documents n</w:t>
      </w:r>
      <w:r w:rsidR="00B274E6" w:rsidRPr="007E4A0F">
        <w:t>’</w:t>
      </w:r>
      <w:r w:rsidR="007B35A5" w:rsidRPr="007E4A0F">
        <w:t>étaie</w:t>
      </w:r>
      <w:r w:rsidR="00760F62" w:rsidRPr="007E4A0F">
        <w:t xml:space="preserve">nt pas déposés sur le </w:t>
      </w:r>
      <w:r w:rsidR="00881BE1" w:rsidRPr="007E4A0F">
        <w:t>w</w:t>
      </w:r>
      <w:r w:rsidR="00760F62" w:rsidRPr="007E4A0F">
        <w:t>iki</w:t>
      </w:r>
      <w:r w:rsidR="00881BE1" w:rsidRPr="007E4A0F">
        <w:t>.  Lorsque les vérificateurs demandaient des documents ne se trouvant pas sur le wiki, l</w:t>
      </w:r>
      <w:r w:rsidR="00B274E6" w:rsidRPr="007E4A0F">
        <w:t>’</w:t>
      </w:r>
      <w:r w:rsidR="00881BE1" w:rsidRPr="007E4A0F">
        <w:t xml:space="preserve">OMPI fournissait ces derniers, soit par courrier électronique, soit en </w:t>
      </w:r>
      <w:proofErr w:type="gramStart"/>
      <w:r w:rsidR="00881BE1" w:rsidRPr="007E4A0F">
        <w:t>les déposant</w:t>
      </w:r>
      <w:proofErr w:type="gramEnd"/>
      <w:r w:rsidR="00881BE1" w:rsidRPr="007E4A0F">
        <w:t xml:space="preserve"> sur le wiki.  </w:t>
      </w:r>
      <w:r w:rsidR="00054D71" w:rsidRPr="007E4A0F">
        <w:t>Nous exhortons par conséquent l</w:t>
      </w:r>
      <w:r w:rsidR="00B274E6" w:rsidRPr="007E4A0F">
        <w:t>’</w:t>
      </w:r>
      <w:r w:rsidR="00054D71" w:rsidRPr="007E4A0F">
        <w:t xml:space="preserve">OMPI à renforcer son système de gestion des documents, de manière à ce que tous les documents relatifs aux projets soient réunis </w:t>
      </w:r>
      <w:r w:rsidR="0033117B" w:rsidRPr="007E4A0F">
        <w:t>au même endroit</w:t>
      </w:r>
      <w:r w:rsidR="00054D71" w:rsidRPr="007E4A0F">
        <w:t>.</w:t>
      </w:r>
    </w:p>
    <w:p w:rsidR="00947AF6" w:rsidRPr="007E4A0F" w:rsidRDefault="00D209C2" w:rsidP="00EF46EC">
      <w:pPr>
        <w:pStyle w:val="Style1"/>
      </w:pPr>
      <w:r w:rsidRPr="007E4A0F">
        <w:t>Nous avons constaté que l</w:t>
      </w:r>
      <w:r w:rsidR="00B274E6" w:rsidRPr="007E4A0F">
        <w:t>’</w:t>
      </w:r>
      <w:r w:rsidRPr="007E4A0F">
        <w:t>OMPI n</w:t>
      </w:r>
      <w:r w:rsidR="00B274E6" w:rsidRPr="007E4A0F">
        <w:t>’</w:t>
      </w:r>
      <w:r w:rsidRPr="007E4A0F">
        <w:t>avait pas</w:t>
      </w:r>
      <w:r w:rsidR="00343761" w:rsidRPr="007E4A0F">
        <w:t xml:space="preserve"> adéquatement </w:t>
      </w:r>
      <w:r w:rsidRPr="007E4A0F">
        <w:t xml:space="preserve">détaillé les </w:t>
      </w:r>
      <w:r w:rsidR="00466F94" w:rsidRPr="007E4A0F">
        <w:t>livrables</w:t>
      </w:r>
      <w:r w:rsidRPr="007E4A0F">
        <w:t xml:space="preserve">/services relatifs à chacune des étapes, </w:t>
      </w:r>
      <w:r w:rsidR="00343761" w:rsidRPr="007E4A0F">
        <w:t>et que les rapports hebdomadaires sur l</w:t>
      </w:r>
      <w:r w:rsidR="00B274E6" w:rsidRPr="007E4A0F">
        <w:t>’</w:t>
      </w:r>
      <w:r w:rsidR="00343761" w:rsidRPr="007E4A0F">
        <w:t>état d</w:t>
      </w:r>
      <w:r w:rsidR="00B274E6" w:rsidRPr="007E4A0F">
        <w:t>’</w:t>
      </w:r>
      <w:r w:rsidR="00343761" w:rsidRPr="007E4A0F">
        <w:t>avancement des projets</w:t>
      </w:r>
      <w:r w:rsidR="00BD1428" w:rsidRPr="007E4A0F">
        <w:t xml:space="preserve"> ne</w:t>
      </w:r>
      <w:r w:rsidR="00343761" w:rsidRPr="007E4A0F">
        <w:t xml:space="preserve"> contenaient pas suffisamment de détails pour</w:t>
      </w:r>
      <w:r w:rsidR="00AF30AE" w:rsidRPr="007E4A0F">
        <w:t xml:space="preserve"> suivre les progrès réalisés concernant </w:t>
      </w:r>
      <w:r w:rsidR="00AF30AE" w:rsidRPr="007E4A0F">
        <w:lastRenderedPageBreak/>
        <w:t xml:space="preserve">les </w:t>
      </w:r>
      <w:r w:rsidR="00B02593" w:rsidRPr="007E4A0F">
        <w:t>questions en suspens</w:t>
      </w:r>
      <w:r w:rsidR="00AF30AE" w:rsidRPr="007E4A0F">
        <w:t xml:space="preserve">, les </w:t>
      </w:r>
      <w:r w:rsidR="00466F94" w:rsidRPr="007E4A0F">
        <w:t>livrables</w:t>
      </w:r>
      <w:r w:rsidR="00AF30AE" w:rsidRPr="007E4A0F">
        <w:t>/services, les obligations contractuelles et l</w:t>
      </w:r>
      <w:r w:rsidR="00B274E6" w:rsidRPr="007E4A0F">
        <w:t>’</w:t>
      </w:r>
      <w:r w:rsidR="00AF30AE" w:rsidRPr="007E4A0F">
        <w:t>exécution du contrat.</w:t>
      </w:r>
      <w:r w:rsidR="00BD1428" w:rsidRPr="007E4A0F">
        <w:t xml:space="preserve"> </w:t>
      </w:r>
      <w:r w:rsidRPr="007E4A0F">
        <w:t xml:space="preserve"> </w:t>
      </w:r>
      <w:r w:rsidR="00E663A3" w:rsidRPr="007E4A0F">
        <w:t xml:space="preserve">Nous </w:t>
      </w:r>
      <w:r w:rsidR="00CC26C2" w:rsidRPr="007E4A0F">
        <w:t>invitons instamment</w:t>
      </w:r>
      <w:r w:rsidR="00E663A3" w:rsidRPr="007E4A0F">
        <w:t xml:space="preserve"> l</w:t>
      </w:r>
      <w:r w:rsidR="00B274E6" w:rsidRPr="007E4A0F">
        <w:t>’</w:t>
      </w:r>
      <w:r w:rsidR="00E663A3" w:rsidRPr="007E4A0F">
        <w:t>OMPI à renforcer son mécanisme de gestion et de suivi de contrats,</w:t>
      </w:r>
      <w:r w:rsidR="004D7228" w:rsidRPr="007E4A0F">
        <w:t xml:space="preserve"> de manière à assurer</w:t>
      </w:r>
      <w:r w:rsidR="002C459E" w:rsidRPr="007E4A0F">
        <w:t xml:space="preserve"> la bonne réalisation, dans les délais voulus, des </w:t>
      </w:r>
      <w:r w:rsidR="00466F94" w:rsidRPr="007E4A0F">
        <w:t>livrables</w:t>
      </w:r>
      <w:r w:rsidR="002C459E" w:rsidRPr="007E4A0F">
        <w:t>/services définis pour chaque étape</w:t>
      </w:r>
      <w:r w:rsidR="00EB5615" w:rsidRPr="007E4A0F">
        <w:t>,</w:t>
      </w:r>
      <w:r w:rsidR="00212186" w:rsidRPr="007E4A0F">
        <w:t xml:space="preserve"> ainsi qu</w:t>
      </w:r>
      <w:r w:rsidR="00B274E6" w:rsidRPr="007E4A0F">
        <w:t>’</w:t>
      </w:r>
      <w:r w:rsidR="00212186" w:rsidRPr="007E4A0F">
        <w:t>à documenter plus en détail les modifications contractuelles.</w:t>
      </w:r>
    </w:p>
    <w:p w:rsidR="00947AF6" w:rsidRPr="007E4A0F" w:rsidRDefault="00996F82" w:rsidP="00EF46EC">
      <w:pPr>
        <w:pStyle w:val="Style1"/>
      </w:pPr>
      <w:r w:rsidRPr="007E4A0F">
        <w:t>Nous avons procédé à titre d</w:t>
      </w:r>
      <w:r w:rsidR="00B274E6" w:rsidRPr="007E4A0F">
        <w:t>’</w:t>
      </w:r>
      <w:r w:rsidRPr="007E4A0F">
        <w:t>essai à une vérification des rapports hebdomadaires sur l</w:t>
      </w:r>
      <w:r w:rsidR="00B274E6" w:rsidRPr="007E4A0F">
        <w:t>’</w:t>
      </w:r>
      <w:r w:rsidRPr="007E4A0F">
        <w:t>état d</w:t>
      </w:r>
      <w:r w:rsidR="00B274E6" w:rsidRPr="007E4A0F">
        <w:t>’</w:t>
      </w:r>
      <w:r w:rsidRPr="007E4A0F">
        <w:t xml:space="preserve">avancement du </w:t>
      </w:r>
      <w:r w:rsidR="00F76166" w:rsidRPr="007E4A0F">
        <w:t>module</w:t>
      </w:r>
      <w:r w:rsidR="006B7E46" w:rsidRPr="007E4A0F">
        <w:t xml:space="preserve"> du système ERP relatif aux ressources humaines – Phase I – </w:t>
      </w:r>
      <w:r w:rsidR="002363A6" w:rsidRPr="007E4A0F">
        <w:t xml:space="preserve">et avons constaté que plusieurs </w:t>
      </w:r>
      <w:r w:rsidR="00B02593" w:rsidRPr="007E4A0F">
        <w:t>question</w:t>
      </w:r>
      <w:r w:rsidR="002363A6" w:rsidRPr="007E4A0F">
        <w:t>s restaient non résolu</w:t>
      </w:r>
      <w:r w:rsidR="00B02593" w:rsidRPr="007E4A0F">
        <w:t>e</w:t>
      </w:r>
      <w:r w:rsidR="002363A6" w:rsidRPr="007E4A0F">
        <w:t>s</w:t>
      </w:r>
      <w:r w:rsidR="00644B09" w:rsidRPr="007E4A0F">
        <w:t xml:space="preserve"> pendant des périodes importantes, pouvant atteindre 83 semaines.  Qui plus est,</w:t>
      </w:r>
      <w:r w:rsidR="00EE646E" w:rsidRPr="007E4A0F">
        <w:t xml:space="preserve"> les équipes du Bureau de gestion du projet ERP</w:t>
      </w:r>
      <w:r w:rsidR="00812709" w:rsidRPr="007E4A0F">
        <w:t xml:space="preserve"> n</w:t>
      </w:r>
      <w:r w:rsidR="00B274E6" w:rsidRPr="007E4A0F">
        <w:t>’</w:t>
      </w:r>
      <w:r w:rsidR="00812709" w:rsidRPr="007E4A0F">
        <w:t>effectuaient aucune analyse</w:t>
      </w:r>
      <w:r w:rsidR="00B10B61" w:rsidRPr="007E4A0F">
        <w:t xml:space="preserve"> de</w:t>
      </w:r>
      <w:r w:rsidR="00DE420D" w:rsidRPr="007E4A0F">
        <w:t xml:space="preserve"> </w:t>
      </w:r>
      <w:r w:rsidR="0094668B" w:rsidRPr="007E4A0F">
        <w:t>sensibili</w:t>
      </w:r>
      <w:r w:rsidR="00DE420D" w:rsidRPr="007E4A0F">
        <w:t xml:space="preserve">té </w:t>
      </w:r>
      <w:r w:rsidR="00B10B61" w:rsidRPr="007E4A0F">
        <w:t>de</w:t>
      </w:r>
      <w:r w:rsidR="00B02593" w:rsidRPr="007E4A0F">
        <w:t xml:space="preserve"> ce</w:t>
      </w:r>
      <w:r w:rsidR="00B10B61" w:rsidRPr="007E4A0F">
        <w:t xml:space="preserve">s </w:t>
      </w:r>
      <w:r w:rsidR="00B02593" w:rsidRPr="007E4A0F">
        <w:t>questions</w:t>
      </w:r>
      <w:r w:rsidR="00B10B61" w:rsidRPr="007E4A0F">
        <w:t xml:space="preserve"> </w:t>
      </w:r>
      <w:r w:rsidR="009A34FF" w:rsidRPr="007E4A0F">
        <w:t xml:space="preserve">pour </w:t>
      </w:r>
      <w:r w:rsidR="00B10B61" w:rsidRPr="007E4A0F">
        <w:t xml:space="preserve">comprendre leur importance </w:t>
      </w:r>
      <w:r w:rsidR="00DE420D" w:rsidRPr="007E4A0F">
        <w:t>dans la gouvernance globale du projet et établir des priorités concernant leur atténuation.  L</w:t>
      </w:r>
      <w:r w:rsidR="00B274E6" w:rsidRPr="007E4A0F">
        <w:t>’</w:t>
      </w:r>
      <w:r w:rsidR="00DE420D" w:rsidRPr="007E4A0F">
        <w:t>OMPI pourra</w:t>
      </w:r>
      <w:r w:rsidR="00495222" w:rsidRPr="007E4A0F">
        <w:t>it</w:t>
      </w:r>
      <w:r w:rsidR="00DE420D" w:rsidRPr="007E4A0F">
        <w:t xml:space="preserve"> envisager </w:t>
      </w:r>
      <w:r w:rsidR="00793B15" w:rsidRPr="007E4A0F">
        <w:t xml:space="preserve">de procéder à une analyse de </w:t>
      </w:r>
      <w:r w:rsidR="0094668B" w:rsidRPr="007E4A0F">
        <w:t>sensibil</w:t>
      </w:r>
      <w:r w:rsidR="00793B15" w:rsidRPr="007E4A0F">
        <w:t>ité des questions soulevées</w:t>
      </w:r>
      <w:r w:rsidR="00631695" w:rsidRPr="007E4A0F">
        <w:t xml:space="preserve"> </w:t>
      </w:r>
      <w:r w:rsidR="00C43213" w:rsidRPr="007E4A0F">
        <w:t xml:space="preserve">au cours </w:t>
      </w:r>
      <w:r w:rsidR="00631695" w:rsidRPr="007E4A0F">
        <w:t>de</w:t>
      </w:r>
      <w:r w:rsidR="00BC2FDD" w:rsidRPr="007E4A0F">
        <w:t>s</w:t>
      </w:r>
      <w:r w:rsidR="00631695" w:rsidRPr="007E4A0F">
        <w:t xml:space="preserve"> réunion</w:t>
      </w:r>
      <w:r w:rsidR="00BC2FDD" w:rsidRPr="007E4A0F">
        <w:t>s</w:t>
      </w:r>
      <w:r w:rsidR="00631695" w:rsidRPr="007E4A0F">
        <w:t xml:space="preserve"> du Bureau de gestion du projet ERP et d</w:t>
      </w:r>
      <w:r w:rsidR="00BC2FDD" w:rsidRPr="007E4A0F">
        <w:t>es</w:t>
      </w:r>
      <w:r w:rsidR="00631695" w:rsidRPr="007E4A0F">
        <w:t xml:space="preserve"> comité</w:t>
      </w:r>
      <w:r w:rsidR="00BC2FDD" w:rsidRPr="007E4A0F">
        <w:t>s</w:t>
      </w:r>
      <w:r w:rsidR="00631695" w:rsidRPr="007E4A0F">
        <w:t xml:space="preserve"> directeur</w:t>
      </w:r>
      <w:r w:rsidR="00BC2FDD" w:rsidRPr="007E4A0F">
        <w:t>s</w:t>
      </w:r>
      <w:r w:rsidR="00C43213" w:rsidRPr="007E4A0F">
        <w:t xml:space="preserve">, </w:t>
      </w:r>
      <w:r w:rsidR="003547C8" w:rsidRPr="007E4A0F">
        <w:t xml:space="preserve">en se fondant </w:t>
      </w:r>
      <w:r w:rsidR="00C0296D" w:rsidRPr="007E4A0F">
        <w:t>sur leur degré d</w:t>
      </w:r>
      <w:r w:rsidR="00B274E6" w:rsidRPr="007E4A0F">
        <w:t>’</w:t>
      </w:r>
      <w:r w:rsidR="00C0296D" w:rsidRPr="007E4A0F">
        <w:t>importance</w:t>
      </w:r>
      <w:r w:rsidR="003547C8" w:rsidRPr="007E4A0F">
        <w:t>.</w:t>
      </w:r>
    </w:p>
    <w:p w:rsidR="00947AF6" w:rsidRPr="007E4A0F" w:rsidRDefault="00B74F06" w:rsidP="00EF46EC">
      <w:pPr>
        <w:pStyle w:val="Style1"/>
      </w:pPr>
      <w:r w:rsidRPr="007E4A0F">
        <w:t>Le rapport sur l</w:t>
      </w:r>
      <w:r w:rsidR="00B274E6" w:rsidRPr="007E4A0F">
        <w:t>’</w:t>
      </w:r>
      <w:r w:rsidRPr="007E4A0F">
        <w:t>état d</w:t>
      </w:r>
      <w:r w:rsidR="00B274E6" w:rsidRPr="007E4A0F">
        <w:t>’</w:t>
      </w:r>
      <w:r w:rsidRPr="007E4A0F">
        <w:t xml:space="preserve">avancement du projet </w:t>
      </w:r>
      <w:r w:rsidR="00EF46EC" w:rsidRPr="007E4A0F">
        <w:t xml:space="preserve">ERP </w:t>
      </w:r>
      <w:r w:rsidR="00226514" w:rsidRPr="007E4A0F">
        <w:t>présenté chaque année</w:t>
      </w:r>
      <w:r w:rsidR="00B274E6" w:rsidRPr="007E4A0F">
        <w:t xml:space="preserve"> au PBC</w:t>
      </w:r>
      <w:r w:rsidR="00226514" w:rsidRPr="007E4A0F">
        <w:t xml:space="preserve"> </w:t>
      </w:r>
      <w:r w:rsidR="00BB5EAB" w:rsidRPr="007E4A0F">
        <w:t xml:space="preserve">indique le total des </w:t>
      </w:r>
      <w:r w:rsidR="007E2C03" w:rsidRPr="007E4A0F">
        <w:t>dépenses effectuées</w:t>
      </w:r>
      <w:r w:rsidR="00BB5EAB" w:rsidRPr="007E4A0F">
        <w:t xml:space="preserve"> </w:t>
      </w:r>
      <w:r w:rsidR="00B274E6" w:rsidRPr="007E4A0F">
        <w:t>à l’égard</w:t>
      </w:r>
      <w:r w:rsidR="00BB5EAB" w:rsidRPr="007E4A0F">
        <w:t xml:space="preserve"> des partenaires d</w:t>
      </w:r>
      <w:r w:rsidR="00B274E6" w:rsidRPr="007E4A0F">
        <w:t>’</w:t>
      </w:r>
      <w:r w:rsidR="00BB5EAB" w:rsidRPr="007E4A0F">
        <w:t xml:space="preserve">exécution externes. </w:t>
      </w:r>
      <w:r w:rsidR="00F976A5" w:rsidRPr="007E4A0F">
        <w:t xml:space="preserve"> Nous avons remarqué</w:t>
      </w:r>
      <w:r w:rsidR="001770CC" w:rsidRPr="007E4A0F">
        <w:t xml:space="preserve"> qu</w:t>
      </w:r>
      <w:r w:rsidR="00B274E6" w:rsidRPr="007E4A0F">
        <w:t>’</w:t>
      </w:r>
      <w:r w:rsidR="001770CC" w:rsidRPr="007E4A0F">
        <w:t>aucun détail n</w:t>
      </w:r>
      <w:r w:rsidR="00B274E6" w:rsidRPr="007E4A0F">
        <w:t>’</w:t>
      </w:r>
      <w:r w:rsidR="001770CC" w:rsidRPr="007E4A0F">
        <w:t>était fourni en ce qui concerne l</w:t>
      </w:r>
      <w:r w:rsidR="00B274E6" w:rsidRPr="007E4A0F">
        <w:t>’</w:t>
      </w:r>
      <w:r w:rsidR="001770CC" w:rsidRPr="007E4A0F">
        <w:t>évaluation de leur performance.</w:t>
      </w:r>
      <w:r w:rsidR="00BB5EAB" w:rsidRPr="007E4A0F">
        <w:t xml:space="preserve"> </w:t>
      </w:r>
      <w:r w:rsidR="001770CC" w:rsidRPr="007E4A0F">
        <w:t xml:space="preserve"> L</w:t>
      </w:r>
      <w:r w:rsidR="00B274E6" w:rsidRPr="007E4A0F">
        <w:t>’</w:t>
      </w:r>
      <w:r w:rsidR="001770CC" w:rsidRPr="007E4A0F">
        <w:t>OMPI pourrait envisager d</w:t>
      </w:r>
      <w:r w:rsidR="00B274E6" w:rsidRPr="007E4A0F">
        <w:t>’</w:t>
      </w:r>
      <w:r w:rsidR="001770CC" w:rsidRPr="007E4A0F">
        <w:t>inclure</w:t>
      </w:r>
      <w:r w:rsidR="00117387" w:rsidRPr="007E4A0F">
        <w:t xml:space="preserve"> une évaluation de</w:t>
      </w:r>
      <w:r w:rsidR="00826443" w:rsidRPr="007E4A0F">
        <w:t xml:space="preserve"> la</w:t>
      </w:r>
      <w:r w:rsidR="00117387" w:rsidRPr="007E4A0F">
        <w:t xml:space="preserve"> performance des partenaires d</w:t>
      </w:r>
      <w:r w:rsidR="00B274E6" w:rsidRPr="007E4A0F">
        <w:t>’</w:t>
      </w:r>
      <w:r w:rsidR="00117387" w:rsidRPr="007E4A0F">
        <w:t>exécution externes</w:t>
      </w:r>
      <w:r w:rsidR="001770CC" w:rsidRPr="007E4A0F">
        <w:t xml:space="preserve"> dans son rapport aux assemblées des États membres sur l</w:t>
      </w:r>
      <w:r w:rsidR="00B274E6" w:rsidRPr="007E4A0F">
        <w:t>’</w:t>
      </w:r>
      <w:r w:rsidR="001770CC" w:rsidRPr="007E4A0F">
        <w:t>état d</w:t>
      </w:r>
      <w:r w:rsidR="00B274E6" w:rsidRPr="007E4A0F">
        <w:t>’</w:t>
      </w:r>
      <w:r w:rsidR="001770CC" w:rsidRPr="007E4A0F">
        <w:t>avancement de la mise en œuvre du système global de planification des ressources</w:t>
      </w:r>
      <w:r w:rsidR="00117387" w:rsidRPr="007E4A0F">
        <w:t>.</w:t>
      </w:r>
      <w:r w:rsidR="00EF46EC" w:rsidRPr="007E4A0F">
        <w:t> </w:t>
      </w:r>
    </w:p>
    <w:p w:rsidR="00947AF6" w:rsidRPr="007E4A0F" w:rsidRDefault="006C69F3" w:rsidP="00EF46EC">
      <w:pPr>
        <w:pStyle w:val="Heading4"/>
        <w:rPr>
          <w:lang w:val="fr-FR"/>
        </w:rPr>
      </w:pPr>
      <w:r w:rsidRPr="007E4A0F">
        <w:rPr>
          <w:lang w:val="fr-FR"/>
        </w:rPr>
        <w:t>Département de la gestion des ressources humaines</w:t>
      </w:r>
    </w:p>
    <w:p w:rsidR="00947AF6" w:rsidRPr="007E4A0F" w:rsidRDefault="009E5F11" w:rsidP="00EF46EC">
      <w:pPr>
        <w:pStyle w:val="Style1"/>
      </w:pPr>
      <w:r w:rsidRPr="007E4A0F">
        <w:t>Nous avons constaté que l</w:t>
      </w:r>
      <w:r w:rsidR="00B274E6" w:rsidRPr="007E4A0F">
        <w:t>’</w:t>
      </w:r>
      <w:r w:rsidRPr="007E4A0F">
        <w:t xml:space="preserve">OMPI </w:t>
      </w:r>
      <w:r w:rsidR="002951C0" w:rsidRPr="007E4A0F">
        <w:t>subventionnait les primes d</w:t>
      </w:r>
      <w:r w:rsidR="00B274E6" w:rsidRPr="007E4A0F">
        <w:t>’</w:t>
      </w:r>
      <w:r w:rsidR="002951C0" w:rsidRPr="007E4A0F">
        <w:t xml:space="preserve">assurance relatives à la couverture des accidents non imputables au service.  </w:t>
      </w:r>
      <w:r w:rsidR="00B74C64" w:rsidRPr="007E4A0F">
        <w:t>Si nous comprenons qu</w:t>
      </w:r>
      <w:r w:rsidR="00B274E6" w:rsidRPr="007E4A0F">
        <w:t>’</w:t>
      </w:r>
      <w:r w:rsidR="00B74C64" w:rsidRPr="007E4A0F">
        <w:t>il s</w:t>
      </w:r>
      <w:r w:rsidR="00B274E6" w:rsidRPr="007E4A0F">
        <w:t>’</w:t>
      </w:r>
      <w:r w:rsidR="00B74C64" w:rsidRPr="007E4A0F">
        <w:t>agit là d</w:t>
      </w:r>
      <w:r w:rsidR="00B274E6" w:rsidRPr="007E4A0F">
        <w:t>’</w:t>
      </w:r>
      <w:r w:rsidR="00B74C64" w:rsidRPr="007E4A0F">
        <w:t xml:space="preserve">une mesure </w:t>
      </w:r>
      <w:r w:rsidR="00A41C35" w:rsidRPr="007E4A0F">
        <w:t>de sécurité sociale en faveur</w:t>
      </w:r>
      <w:r w:rsidR="00B74C64" w:rsidRPr="007E4A0F">
        <w:t xml:space="preserve"> du personnel, nous estimons que ces versements ne sont justifiés par aucune disposition expresse du règlement</w:t>
      </w:r>
      <w:r w:rsidR="00C32571" w:rsidRPr="007E4A0F">
        <w:t>.  L</w:t>
      </w:r>
      <w:r w:rsidR="00B274E6" w:rsidRPr="007E4A0F">
        <w:t>’</w:t>
      </w:r>
      <w:r w:rsidR="00C32571" w:rsidRPr="007E4A0F">
        <w:t>OMPI pourrait, par conséquent, cesser de subventionner les primes d</w:t>
      </w:r>
      <w:r w:rsidR="00B274E6" w:rsidRPr="007E4A0F">
        <w:t>’</w:t>
      </w:r>
      <w:r w:rsidR="00C32571" w:rsidRPr="007E4A0F">
        <w:t>assurance relatives aux accidents non imputables au service.</w:t>
      </w:r>
    </w:p>
    <w:p w:rsidR="00947AF6" w:rsidRPr="007E4A0F" w:rsidRDefault="00922379" w:rsidP="00EF46EC">
      <w:pPr>
        <w:pStyle w:val="Style1"/>
      </w:pPr>
      <w:r w:rsidRPr="007E4A0F">
        <w:t xml:space="preserve">Le montant des allocations familiales était déterminé sur la base du barème des traitements applicable à Genève, </w:t>
      </w:r>
      <w:r w:rsidR="00AE3CF5" w:rsidRPr="007E4A0F">
        <w:t>et cela quel que soit le lieu de travail du conjoint, alors que le règlement en dispose autrement.  Nous</w:t>
      </w:r>
      <w:r w:rsidR="009A34FF" w:rsidRPr="007E4A0F">
        <w:t xml:space="preserve"> avons</w:t>
      </w:r>
      <w:r w:rsidR="00AE3CF5" w:rsidRPr="007E4A0F">
        <w:t xml:space="preserve"> recommand</w:t>
      </w:r>
      <w:r w:rsidR="009A34FF" w:rsidRPr="007E4A0F">
        <w:t>é</w:t>
      </w:r>
      <w:r w:rsidR="00E31348" w:rsidRPr="007E4A0F">
        <w:t xml:space="preserve"> que </w:t>
      </w:r>
      <w:r w:rsidR="00556EF5" w:rsidRPr="007E4A0F">
        <w:t>la pratique relative à la</w:t>
      </w:r>
      <w:r w:rsidR="00E31348" w:rsidRPr="007E4A0F">
        <w:t xml:space="preserve"> détermination du</w:t>
      </w:r>
      <w:r w:rsidR="00A85D41" w:rsidRPr="007E4A0F">
        <w:t xml:space="preserve"> plafond </w:t>
      </w:r>
      <w:r w:rsidR="000C6B63" w:rsidRPr="007E4A0F">
        <w:t xml:space="preserve">de </w:t>
      </w:r>
      <w:r w:rsidR="00E31348" w:rsidRPr="007E4A0F">
        <w:t xml:space="preserve">revenu professionnel brut </w:t>
      </w:r>
      <w:r w:rsidR="004C6771" w:rsidRPr="007E4A0F">
        <w:t xml:space="preserve">à prendre en compte </w:t>
      </w:r>
      <w:r w:rsidR="00A85D41" w:rsidRPr="007E4A0F">
        <w:t>aux fins de l</w:t>
      </w:r>
      <w:r w:rsidR="00B274E6" w:rsidRPr="007E4A0F">
        <w:t>’</w:t>
      </w:r>
      <w:r w:rsidR="00A85D41" w:rsidRPr="007E4A0F">
        <w:t xml:space="preserve">allocation pour conjoint à charge </w:t>
      </w:r>
      <w:r w:rsidR="00B668B7" w:rsidRPr="007E4A0F">
        <w:t xml:space="preserve">soit </w:t>
      </w:r>
      <w:r w:rsidR="00556EF5" w:rsidRPr="007E4A0F">
        <w:t>réexaminée afin d</w:t>
      </w:r>
      <w:r w:rsidR="00B274E6" w:rsidRPr="007E4A0F">
        <w:t>’</w:t>
      </w:r>
      <w:r w:rsidR="00556EF5" w:rsidRPr="007E4A0F">
        <w:t xml:space="preserve">assurer sa conformité </w:t>
      </w:r>
      <w:r w:rsidR="00B668B7" w:rsidRPr="007E4A0F">
        <w:t xml:space="preserve">au </w:t>
      </w:r>
      <w:r w:rsidRPr="007E4A0F">
        <w:t>Statut et Règlement du personnel</w:t>
      </w:r>
      <w:r w:rsidR="00EF46EC" w:rsidRPr="007E4A0F">
        <w:t>.</w:t>
      </w:r>
    </w:p>
    <w:p w:rsidR="00947AF6" w:rsidRPr="007E4A0F" w:rsidRDefault="000F2D41" w:rsidP="00EF46EC">
      <w:pPr>
        <w:pStyle w:val="Style1"/>
      </w:pPr>
      <w:r w:rsidRPr="007E4A0F">
        <w:t>S</w:t>
      </w:r>
      <w:r w:rsidR="00B274E6" w:rsidRPr="007E4A0F">
        <w:t>’</w:t>
      </w:r>
      <w:r w:rsidRPr="007E4A0F">
        <w:t>agissant de l</w:t>
      </w:r>
      <w:r w:rsidR="00B274E6" w:rsidRPr="007E4A0F">
        <w:t>’</w:t>
      </w:r>
      <w:r w:rsidRPr="007E4A0F">
        <w:t>allocation</w:t>
      </w:r>
      <w:r w:rsidR="00CB1BDA" w:rsidRPr="007E4A0F">
        <w:noBreakHyphen/>
      </w:r>
      <w:r w:rsidRPr="007E4A0F">
        <w:t>logement,</w:t>
      </w:r>
      <w:r w:rsidR="00D620D5" w:rsidRPr="007E4A0F">
        <w:t xml:space="preserve"> </w:t>
      </w:r>
      <w:r w:rsidR="008A60CF" w:rsidRPr="007E4A0F">
        <w:t xml:space="preserve">nous avons constaté </w:t>
      </w:r>
      <w:r w:rsidR="00C80D2C" w:rsidRPr="007E4A0F">
        <w:t>que l</w:t>
      </w:r>
      <w:r w:rsidR="004B5965" w:rsidRPr="007E4A0F">
        <w:t>es dispositions des ordres de service</w:t>
      </w:r>
      <w:r w:rsidR="00C80D2C" w:rsidRPr="007E4A0F">
        <w:t xml:space="preserve"> avaient besoin d</w:t>
      </w:r>
      <w:r w:rsidR="00B274E6" w:rsidRPr="007E4A0F">
        <w:t>’</w:t>
      </w:r>
      <w:r w:rsidR="00C80D2C" w:rsidRPr="007E4A0F">
        <w:t xml:space="preserve">être observées </w:t>
      </w:r>
      <w:r w:rsidR="00C85FA2" w:rsidRPr="007E4A0F">
        <w:t>dans les délais prescrits</w:t>
      </w:r>
      <w:r w:rsidR="004B5965" w:rsidRPr="007E4A0F">
        <w:t>.</w:t>
      </w:r>
    </w:p>
    <w:p w:rsidR="00947AF6" w:rsidRPr="007E4A0F" w:rsidRDefault="00D9175D" w:rsidP="00EF46EC">
      <w:pPr>
        <w:pStyle w:val="Style1"/>
      </w:pPr>
      <w:r w:rsidRPr="007E4A0F">
        <w:lastRenderedPageBreak/>
        <w:t>Nous avons constaté que les dispositions des règles applicables en manière de primes pour connaissances linguistiques n</w:t>
      </w:r>
      <w:r w:rsidR="00B274E6" w:rsidRPr="007E4A0F">
        <w:t>’</w:t>
      </w:r>
      <w:r w:rsidRPr="007E4A0F">
        <w:t>étaient pas observées.  L</w:t>
      </w:r>
      <w:r w:rsidR="00B274E6" w:rsidRPr="007E4A0F">
        <w:t>’</w:t>
      </w:r>
      <w:r w:rsidRPr="007E4A0F">
        <w:t>OMPI pourrait</w:t>
      </w:r>
      <w:r w:rsidR="00F32038" w:rsidRPr="007E4A0F">
        <w:t xml:space="preserve"> </w:t>
      </w:r>
      <w:r w:rsidR="004A5C2C" w:rsidRPr="007E4A0F">
        <w:t>soumettre</w:t>
      </w:r>
      <w:r w:rsidR="006A0AEE" w:rsidRPr="007E4A0F">
        <w:t xml:space="preserve"> </w:t>
      </w:r>
      <w:r w:rsidR="004A5C2C" w:rsidRPr="007E4A0F">
        <w:t>les fonctionnaires bénéficiaires d</w:t>
      </w:r>
      <w:r w:rsidR="00B274E6" w:rsidRPr="007E4A0F">
        <w:t>’</w:t>
      </w:r>
      <w:r w:rsidR="004A5C2C" w:rsidRPr="007E4A0F">
        <w:t xml:space="preserve">une prime pour connaissances linguistiques </w:t>
      </w:r>
      <w:r w:rsidR="006A0AEE" w:rsidRPr="007E4A0F">
        <w:t>à un nouvel examen</w:t>
      </w:r>
      <w:r w:rsidR="004A5C2C" w:rsidRPr="007E4A0F">
        <w:t xml:space="preserve"> destiné à montrer</w:t>
      </w:r>
      <w:r w:rsidR="002C312C" w:rsidRPr="007E4A0F">
        <w:t xml:space="preserve"> qu</w:t>
      </w:r>
      <w:r w:rsidR="00B274E6" w:rsidRPr="007E4A0F">
        <w:t>’</w:t>
      </w:r>
      <w:r w:rsidR="002C312C" w:rsidRPr="007E4A0F">
        <w:t xml:space="preserve">ils ont </w:t>
      </w:r>
      <w:r w:rsidR="00C85FA2" w:rsidRPr="007E4A0F">
        <w:t>conservé leur connaissance</w:t>
      </w:r>
      <w:r w:rsidR="002C312C" w:rsidRPr="007E4A0F">
        <w:t xml:space="preserve"> de la langue concernée et réévaluer l</w:t>
      </w:r>
      <w:r w:rsidR="00B274E6" w:rsidRPr="007E4A0F">
        <w:t>’</w:t>
      </w:r>
      <w:r w:rsidR="002C312C" w:rsidRPr="007E4A0F">
        <w:t xml:space="preserve">opportunité de maintenir </w:t>
      </w:r>
      <w:r w:rsidR="00EE503E" w:rsidRPr="007E4A0F">
        <w:t>cette</w:t>
      </w:r>
      <w:r w:rsidR="002C312C" w:rsidRPr="007E4A0F">
        <w:t xml:space="preserve"> prime lorsqu</w:t>
      </w:r>
      <w:r w:rsidR="00B274E6" w:rsidRPr="007E4A0F">
        <w:t>’</w:t>
      </w:r>
      <w:r w:rsidR="002C312C" w:rsidRPr="007E4A0F">
        <w:t>un fonctionnaire est muté ou nommé à un nouveau poste</w:t>
      </w:r>
      <w:r w:rsidR="00EE503E" w:rsidRPr="007E4A0F">
        <w:t xml:space="preserve"> </w:t>
      </w:r>
      <w:r w:rsidR="00590984" w:rsidRPr="007E4A0F">
        <w:t>pour lequel il doit avoir une connaissance approfondie d</w:t>
      </w:r>
      <w:r w:rsidR="00B274E6" w:rsidRPr="007E4A0F">
        <w:t>’</w:t>
      </w:r>
      <w:r w:rsidR="00590984" w:rsidRPr="007E4A0F">
        <w:t>une langue selon les termes de son engagement.</w:t>
      </w:r>
    </w:p>
    <w:p w:rsidR="00947AF6" w:rsidRPr="007E4A0F" w:rsidRDefault="00536FBF" w:rsidP="00EF46EC">
      <w:pPr>
        <w:pStyle w:val="Style1"/>
      </w:pPr>
      <w:r w:rsidRPr="007E4A0F">
        <w:t>S</w:t>
      </w:r>
      <w:r w:rsidR="00B274E6" w:rsidRPr="007E4A0F">
        <w:t>’</w:t>
      </w:r>
      <w:r w:rsidR="005A05B2" w:rsidRPr="007E4A0F">
        <w:t xml:space="preserve">agissant des heures supplémentaires, </w:t>
      </w:r>
      <w:r w:rsidRPr="007E4A0F">
        <w:t xml:space="preserve">nous avons constaté </w:t>
      </w:r>
      <w:r w:rsidR="005A05B2" w:rsidRPr="007E4A0F">
        <w:t>que les dispositions</w:t>
      </w:r>
      <w:r w:rsidRPr="007E4A0F">
        <w:t xml:space="preserve"> de l</w:t>
      </w:r>
      <w:r w:rsidR="00B274E6" w:rsidRPr="007E4A0F">
        <w:t>’</w:t>
      </w:r>
      <w:r w:rsidRPr="007E4A0F">
        <w:t>ordre de service n</w:t>
      </w:r>
      <w:r w:rsidR="00B274E6" w:rsidRPr="007E4A0F">
        <w:t>’</w:t>
      </w:r>
      <w:r w:rsidRPr="007E4A0F">
        <w:t>étaient pas respectées.  Nous recommandons que les contrôles internes soient renforcés</w:t>
      </w:r>
      <w:r w:rsidR="002D45E2" w:rsidRPr="007E4A0F">
        <w:t>, de manière à assurer le respect intégral des dispositions de l</w:t>
      </w:r>
      <w:r w:rsidR="00B274E6" w:rsidRPr="007E4A0F">
        <w:t>’</w:t>
      </w:r>
      <w:r w:rsidR="002D45E2" w:rsidRPr="007E4A0F">
        <w:t>ordre de service relatif aux heures supplémentaires.</w:t>
      </w:r>
    </w:p>
    <w:p w:rsidR="00947AF6" w:rsidRPr="007E4A0F" w:rsidRDefault="008F3FB0" w:rsidP="00EF46EC">
      <w:pPr>
        <w:pStyle w:val="Style1"/>
      </w:pPr>
      <w:r w:rsidRPr="007E4A0F">
        <w:t>Nous avons observé un non</w:t>
      </w:r>
      <w:r w:rsidR="00CB1BDA" w:rsidRPr="007E4A0F">
        <w:noBreakHyphen/>
      </w:r>
      <w:r w:rsidRPr="007E4A0F">
        <w:t>respect de l</w:t>
      </w:r>
      <w:r w:rsidR="00B274E6" w:rsidRPr="007E4A0F">
        <w:t>’</w:t>
      </w:r>
      <w:r w:rsidRPr="007E4A0F">
        <w:t>esprit et de la lettre des règles s</w:t>
      </w:r>
      <w:r w:rsidR="00B274E6" w:rsidRPr="007E4A0F">
        <w:t>’</w:t>
      </w:r>
      <w:r w:rsidRPr="007E4A0F">
        <w:t>appliquant au versement de l</w:t>
      </w:r>
      <w:r w:rsidR="00B274E6" w:rsidRPr="007E4A0F">
        <w:t>’</w:t>
      </w:r>
      <w:r w:rsidRPr="007E4A0F">
        <w:t xml:space="preserve">indemnité spéciale de fonctions.  </w:t>
      </w:r>
      <w:r w:rsidR="004660CB" w:rsidRPr="007E4A0F">
        <w:t>L</w:t>
      </w:r>
      <w:r w:rsidR="00B274E6" w:rsidRPr="007E4A0F">
        <w:t>’</w:t>
      </w:r>
      <w:r w:rsidR="004660CB" w:rsidRPr="007E4A0F">
        <w:t>OMPI doit se conformer aux dispositions des articles</w:t>
      </w:r>
      <w:r w:rsidR="006C7CFD" w:rsidRPr="007E4A0F">
        <w:t> </w:t>
      </w:r>
      <w:r w:rsidR="004660CB" w:rsidRPr="007E4A0F">
        <w:t xml:space="preserve">3.11 et 3.22, tout en autorisant la prolongation </w:t>
      </w:r>
      <w:r w:rsidR="00AC7788" w:rsidRPr="007E4A0F">
        <w:t>du versement de l</w:t>
      </w:r>
      <w:r w:rsidR="00B274E6" w:rsidRPr="007E4A0F">
        <w:t>’</w:t>
      </w:r>
      <w:r w:rsidR="00AC7788" w:rsidRPr="007E4A0F">
        <w:t>indemnité spéciale de fonctions</w:t>
      </w:r>
      <w:r w:rsidR="004660CB" w:rsidRPr="007E4A0F">
        <w:t xml:space="preserve"> au</w:t>
      </w:r>
      <w:r w:rsidR="00CB1BDA" w:rsidRPr="007E4A0F">
        <w:noBreakHyphen/>
      </w:r>
      <w:r w:rsidR="004660CB" w:rsidRPr="007E4A0F">
        <w:t>delà de 12 mois dans des circonstances exceptionnelles.</w:t>
      </w:r>
    </w:p>
    <w:p w:rsidR="00947AF6" w:rsidRPr="007E4A0F" w:rsidRDefault="000B058C">
      <w:pPr>
        <w:rPr>
          <w:lang w:val="fr-FR"/>
        </w:rPr>
      </w:pPr>
      <w:r w:rsidRPr="007E4A0F">
        <w:rPr>
          <w:lang w:val="fr-FR"/>
        </w:rPr>
        <w:br w:type="page"/>
      </w:r>
    </w:p>
    <w:p w:rsidR="00947AF6" w:rsidRPr="007E4A0F" w:rsidRDefault="0012066D" w:rsidP="004E5982">
      <w:pPr>
        <w:pStyle w:val="Heading2"/>
        <w:rPr>
          <w:lang w:val="fr-FR"/>
        </w:rPr>
      </w:pPr>
      <w:r w:rsidRPr="007E4A0F">
        <w:rPr>
          <w:lang w:val="fr-FR"/>
        </w:rPr>
        <w:lastRenderedPageBreak/>
        <w:t>Introduction</w:t>
      </w:r>
    </w:p>
    <w:p w:rsidR="00947AF6" w:rsidRPr="007E4A0F" w:rsidRDefault="00BF6A2E" w:rsidP="00BF6A2E">
      <w:pPr>
        <w:pStyle w:val="Heading4"/>
        <w:rPr>
          <w:lang w:val="fr-FR"/>
        </w:rPr>
      </w:pPr>
      <w:r w:rsidRPr="007E4A0F">
        <w:rPr>
          <w:lang w:val="fr-FR"/>
        </w:rPr>
        <w:t>Étendue de la vérification et méthode de vérification</w:t>
      </w:r>
    </w:p>
    <w:p w:rsidR="00947AF6" w:rsidRPr="007E4A0F" w:rsidRDefault="00F36A31" w:rsidP="00F36A31">
      <w:pPr>
        <w:pStyle w:val="Style1"/>
        <w:numPr>
          <w:ilvl w:val="0"/>
          <w:numId w:val="11"/>
        </w:numPr>
      </w:pPr>
      <w:r w:rsidRPr="007E4A0F">
        <w:t>L</w:t>
      </w:r>
      <w:r w:rsidR="00B274E6" w:rsidRPr="007E4A0F">
        <w:t>’</w:t>
      </w:r>
      <w:r w:rsidRPr="007E4A0F">
        <w:t>audit de l</w:t>
      </w:r>
      <w:r w:rsidR="00B274E6" w:rsidRPr="007E4A0F">
        <w:t>’</w:t>
      </w:r>
      <w:r w:rsidRPr="007E4A0F">
        <w:t>Organisation Mondiale de la Propriété Intellectuelle (OMPI) a été confié au contrôleur</w:t>
      </w:r>
      <w:r w:rsidR="00CB1BDA" w:rsidRPr="007E4A0F">
        <w:noBreakHyphen/>
      </w:r>
      <w:r w:rsidRPr="007E4A0F">
        <w:t>vérificateur général des comptes de l</w:t>
      </w:r>
      <w:r w:rsidR="00B274E6" w:rsidRPr="007E4A0F">
        <w:t>’</w:t>
      </w:r>
      <w:r w:rsidRPr="007E4A0F">
        <w:t>Inde pour les exercices financiers 2012 à 2017 sur approbation de l</w:t>
      </w:r>
      <w:r w:rsidR="00B274E6" w:rsidRPr="007E4A0F">
        <w:t>’</w:t>
      </w:r>
      <w:r w:rsidRPr="007E4A0F">
        <w:t>Assemblée générale de l</w:t>
      </w:r>
      <w:r w:rsidR="00B274E6" w:rsidRPr="007E4A0F">
        <w:t>’</w:t>
      </w:r>
      <w:r w:rsidRPr="007E4A0F">
        <w:t>OMPI à sa quarantième</w:t>
      </w:r>
      <w:r w:rsidR="006C7CFD" w:rsidRPr="007E4A0F">
        <w:t> </w:t>
      </w:r>
      <w:r w:rsidRPr="007E4A0F">
        <w:t>session (20</w:t>
      </w:r>
      <w:r w:rsidRPr="007E4A0F">
        <w:rPr>
          <w:vertAlign w:val="superscript"/>
        </w:rPr>
        <w:t>e</w:t>
      </w:r>
      <w:r w:rsidRPr="007E4A0F">
        <w:t xml:space="preserve"> session ordinaire), tenue à Genève du 2</w:t>
      </w:r>
      <w:r w:rsidR="00B274E6" w:rsidRPr="007E4A0F">
        <w:t>6 septembre</w:t>
      </w:r>
      <w:r w:rsidRPr="007E4A0F">
        <w:t xml:space="preserve"> au </w:t>
      </w:r>
      <w:r w:rsidR="00B274E6" w:rsidRPr="007E4A0F">
        <w:t>5 octobre 20</w:t>
      </w:r>
      <w:r w:rsidRPr="007E4A0F">
        <w:t>11.</w:t>
      </w:r>
      <w:r w:rsidR="0012066D" w:rsidRPr="007E4A0F">
        <w:t xml:space="preserve"> </w:t>
      </w:r>
      <w:r w:rsidR="006C7CFD" w:rsidRPr="007E4A0F">
        <w:t xml:space="preserve"> </w:t>
      </w:r>
      <w:r w:rsidRPr="007E4A0F">
        <w:t>L</w:t>
      </w:r>
      <w:r w:rsidR="00B274E6" w:rsidRPr="007E4A0F">
        <w:t>’</w:t>
      </w:r>
      <w:r w:rsidRPr="007E4A0F">
        <w:t>étendue de la vérification est conforme à l</w:t>
      </w:r>
      <w:r w:rsidR="00B274E6" w:rsidRPr="007E4A0F">
        <w:t>’</w:t>
      </w:r>
      <w:r w:rsidRPr="007E4A0F">
        <w:t>article</w:t>
      </w:r>
      <w:r w:rsidR="006C7CFD" w:rsidRPr="007E4A0F">
        <w:t> </w:t>
      </w:r>
      <w:r w:rsidRPr="007E4A0F">
        <w:t>8.10 du Règlement financier ainsi qu</w:t>
      </w:r>
      <w:r w:rsidR="00B274E6" w:rsidRPr="007E4A0F">
        <w:t>’</w:t>
      </w:r>
      <w:r w:rsidRPr="007E4A0F">
        <w:t>aux principes énoncés dans l</w:t>
      </w:r>
      <w:r w:rsidR="00B274E6" w:rsidRPr="007E4A0F">
        <w:t>’</w:t>
      </w:r>
      <w:r w:rsidRPr="007E4A0F">
        <w:t>annexe dudit règlement.</w:t>
      </w:r>
    </w:p>
    <w:p w:rsidR="00947AF6" w:rsidRPr="007E4A0F" w:rsidRDefault="00F36A31" w:rsidP="00F36A31">
      <w:pPr>
        <w:pStyle w:val="Style1"/>
        <w:rPr>
          <w:bCs/>
          <w:iCs/>
        </w:rPr>
      </w:pPr>
      <w:r w:rsidRPr="007E4A0F">
        <w:rPr>
          <w:bCs/>
          <w:iCs/>
        </w:rPr>
        <w:t>La vérification des comptes de l</w:t>
      </w:r>
      <w:r w:rsidR="00B274E6" w:rsidRPr="007E4A0F">
        <w:rPr>
          <w:bCs/>
          <w:iCs/>
        </w:rPr>
        <w:t>’</w:t>
      </w:r>
      <w:r w:rsidRPr="007E4A0F">
        <w:rPr>
          <w:bCs/>
          <w:iCs/>
        </w:rPr>
        <w:t>exercice 2014 s</w:t>
      </w:r>
      <w:r w:rsidR="00B274E6" w:rsidRPr="007E4A0F">
        <w:rPr>
          <w:bCs/>
          <w:iCs/>
        </w:rPr>
        <w:t>’</w:t>
      </w:r>
      <w:r w:rsidRPr="007E4A0F">
        <w:rPr>
          <w:bCs/>
          <w:iCs/>
        </w:rPr>
        <w:t>est faite conformément au plan d</w:t>
      </w:r>
      <w:r w:rsidR="00B274E6" w:rsidRPr="007E4A0F">
        <w:rPr>
          <w:bCs/>
          <w:iCs/>
        </w:rPr>
        <w:t>’</w:t>
      </w:r>
      <w:r w:rsidRPr="007E4A0F">
        <w:rPr>
          <w:bCs/>
          <w:iCs/>
        </w:rPr>
        <w:t>audit, établi sur la base de l</w:t>
      </w:r>
      <w:r w:rsidR="00B274E6" w:rsidRPr="007E4A0F">
        <w:rPr>
          <w:bCs/>
          <w:iCs/>
        </w:rPr>
        <w:t>’</w:t>
      </w:r>
      <w:r w:rsidRPr="007E4A0F">
        <w:rPr>
          <w:bCs/>
          <w:iCs/>
        </w:rPr>
        <w:t>analyse des risques à l</w:t>
      </w:r>
      <w:r w:rsidR="00B274E6" w:rsidRPr="007E4A0F">
        <w:rPr>
          <w:bCs/>
          <w:iCs/>
        </w:rPr>
        <w:t>’</w:t>
      </w:r>
      <w:r w:rsidRPr="007E4A0F">
        <w:rPr>
          <w:bCs/>
          <w:iCs/>
        </w:rPr>
        <w:t>OMPI effectuée par nos soins.</w:t>
      </w:r>
      <w:r w:rsidR="0012066D" w:rsidRPr="007E4A0F">
        <w:t xml:space="preserve"> </w:t>
      </w:r>
      <w:r w:rsidR="00FD001D" w:rsidRPr="007E4A0F">
        <w:t xml:space="preserve"> </w:t>
      </w:r>
      <w:r w:rsidR="00FD001D" w:rsidRPr="007E4A0F">
        <w:rPr>
          <w:bCs/>
          <w:iCs/>
        </w:rPr>
        <w:t xml:space="preserve">Notre travail a consisté en un </w:t>
      </w:r>
      <w:r w:rsidR="0012066D" w:rsidRPr="007E4A0F">
        <w:rPr>
          <w:bCs/>
          <w:iCs/>
        </w:rPr>
        <w:t xml:space="preserve">audit </w:t>
      </w:r>
      <w:r w:rsidR="00FD001D" w:rsidRPr="007E4A0F">
        <w:rPr>
          <w:bCs/>
          <w:iCs/>
        </w:rPr>
        <w:t>des états financiers de l</w:t>
      </w:r>
      <w:r w:rsidR="00B274E6" w:rsidRPr="007E4A0F">
        <w:rPr>
          <w:bCs/>
          <w:iCs/>
        </w:rPr>
        <w:t>’</w:t>
      </w:r>
      <w:r w:rsidR="00FD001D" w:rsidRPr="007E4A0F">
        <w:rPr>
          <w:bCs/>
          <w:iCs/>
        </w:rPr>
        <w:t>OMPI</w:t>
      </w:r>
      <w:r w:rsidR="0012066D" w:rsidRPr="007E4A0F">
        <w:rPr>
          <w:bCs/>
          <w:iCs/>
        </w:rPr>
        <w:t xml:space="preserve">, </w:t>
      </w:r>
      <w:r w:rsidR="00FD001D" w:rsidRPr="007E4A0F">
        <w:rPr>
          <w:bCs/>
          <w:iCs/>
        </w:rPr>
        <w:t xml:space="preserve">un </w:t>
      </w:r>
      <w:r w:rsidR="0012066D" w:rsidRPr="007E4A0F">
        <w:rPr>
          <w:bCs/>
          <w:iCs/>
        </w:rPr>
        <w:t xml:space="preserve">audit </w:t>
      </w:r>
      <w:r w:rsidR="00FD001D" w:rsidRPr="007E4A0F">
        <w:rPr>
          <w:bCs/>
          <w:iCs/>
        </w:rPr>
        <w:t>du</w:t>
      </w:r>
      <w:r w:rsidR="0012066D" w:rsidRPr="007E4A0F">
        <w:rPr>
          <w:bCs/>
          <w:iCs/>
        </w:rPr>
        <w:t xml:space="preserve"> </w:t>
      </w:r>
      <w:r w:rsidR="00FD001D" w:rsidRPr="007E4A0F">
        <w:rPr>
          <w:bCs/>
          <w:iCs/>
        </w:rPr>
        <w:t>s</w:t>
      </w:r>
      <w:r w:rsidR="00D216D8" w:rsidRPr="007E4A0F">
        <w:rPr>
          <w:bCs/>
          <w:iCs/>
        </w:rPr>
        <w:t>ystème intégré de planification des ressources</w:t>
      </w:r>
      <w:r w:rsidR="0012066D" w:rsidRPr="007E4A0F">
        <w:rPr>
          <w:bCs/>
          <w:iCs/>
        </w:rPr>
        <w:t xml:space="preserve"> </w:t>
      </w:r>
      <w:r w:rsidR="00FD001D" w:rsidRPr="007E4A0F">
        <w:rPr>
          <w:bCs/>
          <w:iCs/>
        </w:rPr>
        <w:t>et un</w:t>
      </w:r>
      <w:r w:rsidR="0012066D" w:rsidRPr="007E4A0F">
        <w:rPr>
          <w:bCs/>
          <w:iCs/>
        </w:rPr>
        <w:t xml:space="preserve"> audit </w:t>
      </w:r>
      <w:r w:rsidR="00FD001D" w:rsidRPr="007E4A0F">
        <w:rPr>
          <w:bCs/>
          <w:iCs/>
        </w:rPr>
        <w:t>du Département de la gestion des ressources humaines</w:t>
      </w:r>
      <w:r w:rsidR="0012066D" w:rsidRPr="007E4A0F">
        <w:rPr>
          <w:bCs/>
          <w:iCs/>
        </w:rPr>
        <w:t xml:space="preserve">. </w:t>
      </w:r>
      <w:r w:rsidR="00614FF1" w:rsidRPr="007E4A0F">
        <w:rPr>
          <w:bCs/>
          <w:iCs/>
        </w:rPr>
        <w:t xml:space="preserve"> Il </w:t>
      </w:r>
      <w:r w:rsidR="00ED6305" w:rsidRPr="007E4A0F">
        <w:rPr>
          <w:bCs/>
          <w:iCs/>
        </w:rPr>
        <w:t>s</w:t>
      </w:r>
      <w:r w:rsidR="00B274E6" w:rsidRPr="007E4A0F">
        <w:rPr>
          <w:bCs/>
          <w:iCs/>
        </w:rPr>
        <w:t>’</w:t>
      </w:r>
      <w:r w:rsidR="00ED6305" w:rsidRPr="007E4A0F">
        <w:rPr>
          <w:bCs/>
          <w:iCs/>
        </w:rPr>
        <w:t>est appuyé</w:t>
      </w:r>
      <w:r w:rsidR="00614FF1" w:rsidRPr="007E4A0F">
        <w:rPr>
          <w:bCs/>
          <w:iCs/>
        </w:rPr>
        <w:t>, lorsque cela s</w:t>
      </w:r>
      <w:r w:rsidR="00B274E6" w:rsidRPr="007E4A0F">
        <w:rPr>
          <w:bCs/>
          <w:iCs/>
        </w:rPr>
        <w:t>’</w:t>
      </w:r>
      <w:r w:rsidR="00614FF1" w:rsidRPr="007E4A0F">
        <w:rPr>
          <w:bCs/>
          <w:iCs/>
        </w:rPr>
        <w:t xml:space="preserve">est avéré nécessaire, </w:t>
      </w:r>
      <w:r w:rsidR="00ED6305" w:rsidRPr="007E4A0F">
        <w:rPr>
          <w:bCs/>
          <w:iCs/>
        </w:rPr>
        <w:t>sur les</w:t>
      </w:r>
      <w:r w:rsidR="00614FF1" w:rsidRPr="007E4A0F">
        <w:rPr>
          <w:bCs/>
          <w:iCs/>
        </w:rPr>
        <w:t xml:space="preserve"> travaux de l</w:t>
      </w:r>
      <w:r w:rsidR="00B274E6" w:rsidRPr="007E4A0F">
        <w:rPr>
          <w:bCs/>
          <w:iCs/>
        </w:rPr>
        <w:t>’</w:t>
      </w:r>
      <w:r w:rsidR="00614FF1" w:rsidRPr="007E4A0F">
        <w:rPr>
          <w:bCs/>
          <w:iCs/>
        </w:rPr>
        <w:t>audit interne.</w:t>
      </w:r>
    </w:p>
    <w:p w:rsidR="00947AF6" w:rsidRPr="007E4A0F" w:rsidRDefault="00F36A31" w:rsidP="00F36A31">
      <w:pPr>
        <w:pStyle w:val="Style1"/>
        <w:rPr>
          <w:bCs/>
          <w:iCs/>
        </w:rPr>
      </w:pPr>
      <w:r w:rsidRPr="007E4A0F">
        <w:t>Les résultats essentiels de la vérification ont été examinés avec la direction, puis communiqués à cette dernière via des notes de gestion.</w:t>
      </w:r>
      <w:r w:rsidR="0012066D" w:rsidRPr="007E4A0F">
        <w:t xml:space="preserve"> </w:t>
      </w:r>
      <w:r w:rsidR="006C7CFD" w:rsidRPr="007E4A0F">
        <w:t xml:space="preserve"> </w:t>
      </w:r>
      <w:r w:rsidRPr="007E4A0F">
        <w:t>Les plus importants d</w:t>
      </w:r>
      <w:r w:rsidR="00B274E6" w:rsidRPr="007E4A0F">
        <w:t>’</w:t>
      </w:r>
      <w:r w:rsidRPr="007E4A0F">
        <w:t>entre eux, adéquatement regroupés, sont présentés dans le présent rapport.</w:t>
      </w:r>
    </w:p>
    <w:p w:rsidR="00947AF6" w:rsidRPr="007E4A0F" w:rsidRDefault="00F36A31" w:rsidP="00F36A31">
      <w:pPr>
        <w:pStyle w:val="Heading4"/>
        <w:rPr>
          <w:lang w:val="fr-FR"/>
        </w:rPr>
      </w:pPr>
      <w:r w:rsidRPr="007E4A0F">
        <w:rPr>
          <w:lang w:val="fr-FR"/>
        </w:rPr>
        <w:t>Normes d</w:t>
      </w:r>
      <w:r w:rsidR="00B274E6" w:rsidRPr="007E4A0F">
        <w:rPr>
          <w:lang w:val="fr-FR"/>
        </w:rPr>
        <w:t>’</w:t>
      </w:r>
      <w:r w:rsidRPr="007E4A0F">
        <w:rPr>
          <w:lang w:val="fr-FR"/>
        </w:rPr>
        <w:t>audit</w:t>
      </w:r>
    </w:p>
    <w:p w:rsidR="00947AF6" w:rsidRPr="007E4A0F" w:rsidRDefault="00F36A31" w:rsidP="00F36A31">
      <w:pPr>
        <w:pStyle w:val="Style1"/>
      </w:pPr>
      <w:r w:rsidRPr="007E4A0F">
        <w:t>L</w:t>
      </w:r>
      <w:r w:rsidR="00B274E6" w:rsidRPr="007E4A0F">
        <w:t>’</w:t>
      </w:r>
      <w:r w:rsidRPr="007E4A0F">
        <w:t>audit a été effectué conformément aux dispositions suivantes</w:t>
      </w:r>
      <w:r w:rsidR="006C7CFD" w:rsidRPr="007E4A0F">
        <w:t> </w:t>
      </w:r>
      <w:r w:rsidRPr="007E4A0F">
        <w:t>: les Normes internationales d</w:t>
      </w:r>
      <w:r w:rsidR="00B274E6" w:rsidRPr="007E4A0F">
        <w:t>’</w:t>
      </w:r>
      <w:r w:rsidRPr="007E4A0F">
        <w:t>audit établies par la Fédération internationale des comptables et adoptées par le Groupe des vérificateurs externes des comptes de l</w:t>
      </w:r>
      <w:r w:rsidR="00B274E6" w:rsidRPr="007E4A0F">
        <w:t>’</w:t>
      </w:r>
      <w:r w:rsidRPr="007E4A0F">
        <w:t>ONU, de ses institutions spécialisées et de l</w:t>
      </w:r>
      <w:r w:rsidR="00B274E6" w:rsidRPr="007E4A0F">
        <w:t>’</w:t>
      </w:r>
      <w:r w:rsidRPr="007E4A0F">
        <w:t>Agence internationale de l</w:t>
      </w:r>
      <w:r w:rsidR="00B274E6" w:rsidRPr="007E4A0F">
        <w:t>’</w:t>
      </w:r>
      <w:r w:rsidRPr="007E4A0F">
        <w:t>énergie atomique;  les Normes d</w:t>
      </w:r>
      <w:r w:rsidR="00B274E6" w:rsidRPr="007E4A0F">
        <w:t>’</w:t>
      </w:r>
      <w:r w:rsidRPr="007E4A0F">
        <w:t>audit de l</w:t>
      </w:r>
      <w:r w:rsidR="00B274E6" w:rsidRPr="007E4A0F">
        <w:t>’</w:t>
      </w:r>
      <w:r w:rsidRPr="007E4A0F">
        <w:t>Organisation internationale des institutions supérieures de contrôle des finances publiques;  et l</w:t>
      </w:r>
      <w:r w:rsidR="00B274E6" w:rsidRPr="007E4A0F">
        <w:t>’</w:t>
      </w:r>
      <w:r w:rsidRPr="007E4A0F">
        <w:t>article</w:t>
      </w:r>
      <w:r w:rsidR="006C7CFD" w:rsidRPr="007E4A0F">
        <w:t> </w:t>
      </w:r>
      <w:r w:rsidRPr="007E4A0F">
        <w:t>8.10 du Règlement financier de l</w:t>
      </w:r>
      <w:r w:rsidR="00B274E6" w:rsidRPr="007E4A0F">
        <w:t>’</w:t>
      </w:r>
      <w:r w:rsidRPr="007E4A0F">
        <w:t>OMPI ainsi que le mandat régissant l</w:t>
      </w:r>
      <w:r w:rsidR="00B274E6" w:rsidRPr="007E4A0F">
        <w:t>’</w:t>
      </w:r>
      <w:r w:rsidRPr="007E4A0F">
        <w:t>audit de l</w:t>
      </w:r>
      <w:r w:rsidR="00B274E6" w:rsidRPr="007E4A0F">
        <w:t>’</w:t>
      </w:r>
      <w:r w:rsidRPr="007E4A0F">
        <w:t>OMPI tel que défini dans les annexes dudit règlement.</w:t>
      </w:r>
    </w:p>
    <w:p w:rsidR="00947AF6" w:rsidRPr="007E4A0F" w:rsidRDefault="00F36A31" w:rsidP="00F36A31">
      <w:pPr>
        <w:pStyle w:val="Heading4"/>
        <w:rPr>
          <w:lang w:val="fr-FR"/>
        </w:rPr>
      </w:pPr>
      <w:r w:rsidRPr="007E4A0F">
        <w:rPr>
          <w:lang w:val="fr-FR"/>
        </w:rPr>
        <w:t>Gestion financière</w:t>
      </w:r>
    </w:p>
    <w:p w:rsidR="00947AF6" w:rsidRPr="007E4A0F" w:rsidRDefault="00F36A31" w:rsidP="00F36A31">
      <w:pPr>
        <w:pStyle w:val="Style1"/>
      </w:pPr>
      <w:r w:rsidRPr="007E4A0F">
        <w:t>Notre audit a compris un examen des états financiers pour vérifier l</w:t>
      </w:r>
      <w:r w:rsidR="00B274E6" w:rsidRPr="007E4A0F">
        <w:t>’</w:t>
      </w:r>
      <w:r w:rsidRPr="007E4A0F">
        <w:t>absence d</w:t>
      </w:r>
      <w:r w:rsidR="00B274E6" w:rsidRPr="007E4A0F">
        <w:t>’</w:t>
      </w:r>
      <w:r w:rsidRPr="007E4A0F">
        <w:t>erreurs significatives et le respect des Normes comptables internationales pour le secteur public (normes</w:t>
      </w:r>
      <w:r w:rsidR="006C7CFD" w:rsidRPr="007E4A0F">
        <w:t> </w:t>
      </w:r>
      <w:r w:rsidRPr="007E4A0F">
        <w:t>IPSAS).</w:t>
      </w:r>
      <w:r w:rsidR="0012066D" w:rsidRPr="007E4A0F">
        <w:t xml:space="preserve"> </w:t>
      </w:r>
      <w:r w:rsidR="006C7CFD" w:rsidRPr="007E4A0F">
        <w:t xml:space="preserve"> </w:t>
      </w:r>
      <w:r w:rsidRPr="007E4A0F">
        <w:t>L</w:t>
      </w:r>
      <w:r w:rsidR="00B274E6" w:rsidRPr="007E4A0F">
        <w:t>’</w:t>
      </w:r>
      <w:r w:rsidRPr="007E4A0F">
        <w:t>OMPI a adopté ces normes en</w:t>
      </w:r>
      <w:r w:rsidR="006C7CFD" w:rsidRPr="007E4A0F">
        <w:t> </w:t>
      </w:r>
      <w:r w:rsidRPr="007E4A0F">
        <w:t>2010 et les normes</w:t>
      </w:r>
      <w:r w:rsidR="006C7CFD" w:rsidRPr="007E4A0F">
        <w:t> </w:t>
      </w:r>
      <w:r w:rsidRPr="007E4A0F">
        <w:t>IPSAS 28, 29 et 30 applicables aux instruments financiers en</w:t>
      </w:r>
      <w:r w:rsidR="006C7CFD" w:rsidRPr="007E4A0F">
        <w:t> </w:t>
      </w:r>
      <w:r w:rsidRPr="007E4A0F">
        <w:t>2013.</w:t>
      </w:r>
    </w:p>
    <w:p w:rsidR="00947AF6" w:rsidRPr="007E4A0F" w:rsidRDefault="00F36A31" w:rsidP="00F36A31">
      <w:pPr>
        <w:pStyle w:val="Heading4"/>
        <w:rPr>
          <w:lang w:val="fr-FR"/>
        </w:rPr>
      </w:pPr>
      <w:r w:rsidRPr="007E4A0F">
        <w:rPr>
          <w:lang w:val="fr-FR"/>
        </w:rPr>
        <w:t>Opinion d</w:t>
      </w:r>
      <w:r w:rsidR="00B274E6" w:rsidRPr="007E4A0F">
        <w:rPr>
          <w:lang w:val="fr-FR"/>
        </w:rPr>
        <w:t>’</w:t>
      </w:r>
      <w:r w:rsidRPr="007E4A0F">
        <w:rPr>
          <w:lang w:val="fr-FR"/>
        </w:rPr>
        <w:t>audit sur les états financiers pour</w:t>
      </w:r>
      <w:r w:rsidR="006C7CFD" w:rsidRPr="007E4A0F">
        <w:rPr>
          <w:lang w:val="fr-FR"/>
        </w:rPr>
        <w:t> </w:t>
      </w:r>
      <w:r w:rsidRPr="007E4A0F">
        <w:rPr>
          <w:lang w:val="fr-FR"/>
        </w:rPr>
        <w:t>2014</w:t>
      </w:r>
    </w:p>
    <w:p w:rsidR="00B274E6" w:rsidRPr="007E4A0F" w:rsidRDefault="00B84098" w:rsidP="00B84098">
      <w:pPr>
        <w:pStyle w:val="Style1"/>
        <w:rPr>
          <w:rFonts w:eastAsia="SimSun"/>
        </w:rPr>
      </w:pPr>
      <w:r w:rsidRPr="007E4A0F">
        <w:t>Conformément au mandat du vérificateur externe des comptes, il m</w:t>
      </w:r>
      <w:r w:rsidR="00B274E6" w:rsidRPr="007E4A0F">
        <w:t>’</w:t>
      </w:r>
      <w:r w:rsidRPr="007E4A0F">
        <w:t>incombe d</w:t>
      </w:r>
      <w:r w:rsidR="00B274E6" w:rsidRPr="007E4A0F">
        <w:t>’</w:t>
      </w:r>
      <w:r w:rsidRPr="007E4A0F">
        <w:t>exprimer une opinion sur les états financiers de l</w:t>
      </w:r>
      <w:r w:rsidR="00B274E6" w:rsidRPr="007E4A0F">
        <w:t>’</w:t>
      </w:r>
      <w:r w:rsidRPr="007E4A0F">
        <w:t>OMPI pour l</w:t>
      </w:r>
      <w:r w:rsidR="00B274E6" w:rsidRPr="007E4A0F">
        <w:t>’</w:t>
      </w:r>
      <w:r w:rsidRPr="007E4A0F">
        <w:t>exercice clos au 3</w:t>
      </w:r>
      <w:r w:rsidR="00B274E6" w:rsidRPr="007E4A0F">
        <w:t>1 décembre 20</w:t>
      </w:r>
      <w:r w:rsidRPr="007E4A0F">
        <w:t>14.</w:t>
      </w:r>
      <w:r w:rsidR="0012066D" w:rsidRPr="007E4A0F">
        <w:t xml:space="preserve"> </w:t>
      </w:r>
      <w:r w:rsidR="006C7CFD" w:rsidRPr="007E4A0F">
        <w:t xml:space="preserve"> </w:t>
      </w:r>
      <w:r w:rsidRPr="007E4A0F">
        <w:t>Je n</w:t>
      </w:r>
      <w:r w:rsidR="00B274E6" w:rsidRPr="007E4A0F">
        <w:t>’</w:t>
      </w:r>
      <w:r w:rsidRPr="007E4A0F">
        <w:t>ai pas constaté lors de ma vérification des comptes de l</w:t>
      </w:r>
      <w:r w:rsidR="00B274E6" w:rsidRPr="007E4A0F">
        <w:t>’</w:t>
      </w:r>
      <w:r w:rsidRPr="007E4A0F">
        <w:t xml:space="preserve">exercice 2014 de lacunes ou </w:t>
      </w:r>
      <w:r w:rsidRPr="007E4A0F">
        <w:lastRenderedPageBreak/>
        <w:t>d</w:t>
      </w:r>
      <w:r w:rsidR="00B274E6" w:rsidRPr="007E4A0F">
        <w:t>’</w:t>
      </w:r>
      <w:r w:rsidRPr="007E4A0F">
        <w:t>erreurs qui selon moi importent s</w:t>
      </w:r>
      <w:r w:rsidR="00B274E6" w:rsidRPr="007E4A0F">
        <w:t>’</w:t>
      </w:r>
      <w:r w:rsidRPr="007E4A0F">
        <w:t>agissant de l</w:t>
      </w:r>
      <w:r w:rsidR="00B274E6" w:rsidRPr="007E4A0F">
        <w:t>’</w:t>
      </w:r>
      <w:r w:rsidRPr="007E4A0F">
        <w:t>exactitude, de l</w:t>
      </w:r>
      <w:r w:rsidR="00B274E6" w:rsidRPr="007E4A0F">
        <w:t>’</w:t>
      </w:r>
      <w:r w:rsidRPr="007E4A0F">
        <w:t>exhaustivité et de la validité de ces comptes dans leur ensemble.</w:t>
      </w:r>
      <w:r w:rsidR="0012066D" w:rsidRPr="007E4A0F">
        <w:t xml:space="preserve"> </w:t>
      </w:r>
      <w:r w:rsidR="006C7CFD" w:rsidRPr="007E4A0F">
        <w:t xml:space="preserve"> </w:t>
      </w:r>
      <w:r w:rsidRPr="007E4A0F">
        <w:rPr>
          <w:rFonts w:eastAsia="SimSun"/>
        </w:rPr>
        <w:t>J</w:t>
      </w:r>
      <w:r w:rsidR="00B274E6" w:rsidRPr="007E4A0F">
        <w:rPr>
          <w:rFonts w:eastAsia="SimSun"/>
        </w:rPr>
        <w:t>’</w:t>
      </w:r>
      <w:r w:rsidRPr="007E4A0F">
        <w:rPr>
          <w:rFonts w:eastAsia="SimSun"/>
        </w:rPr>
        <w:t>ai par conséquent émis une opinion sans réserve sur les états financiers de l</w:t>
      </w:r>
      <w:r w:rsidR="00B274E6" w:rsidRPr="007E4A0F">
        <w:rPr>
          <w:rFonts w:eastAsia="SimSun"/>
        </w:rPr>
        <w:t>’</w:t>
      </w:r>
      <w:r w:rsidRPr="007E4A0F">
        <w:rPr>
          <w:rFonts w:eastAsia="SimSun"/>
        </w:rPr>
        <w:t>OMPI pour l</w:t>
      </w:r>
      <w:r w:rsidR="00B274E6" w:rsidRPr="007E4A0F">
        <w:rPr>
          <w:rFonts w:eastAsia="SimSun"/>
        </w:rPr>
        <w:t>’</w:t>
      </w:r>
      <w:r w:rsidRPr="007E4A0F">
        <w:rPr>
          <w:rFonts w:eastAsia="SimSun"/>
        </w:rPr>
        <w:t>exercice clos au 3</w:t>
      </w:r>
      <w:r w:rsidR="00B274E6" w:rsidRPr="007E4A0F">
        <w:rPr>
          <w:rFonts w:eastAsia="SimSun"/>
        </w:rPr>
        <w:t>1 décembre 20</w:t>
      </w:r>
      <w:r w:rsidRPr="007E4A0F">
        <w:rPr>
          <w:rFonts w:eastAsia="SimSun"/>
        </w:rPr>
        <w:t>14.</w:t>
      </w:r>
    </w:p>
    <w:p w:rsidR="00947AF6" w:rsidRPr="007E4A0F" w:rsidRDefault="00B84098" w:rsidP="00B84098">
      <w:pPr>
        <w:pStyle w:val="Heading4"/>
        <w:rPr>
          <w:lang w:val="fr-FR"/>
        </w:rPr>
      </w:pPr>
      <w:r w:rsidRPr="007E4A0F">
        <w:rPr>
          <w:lang w:val="fr-FR"/>
        </w:rPr>
        <w:t>Principaux indicateurs financiers</w:t>
      </w:r>
    </w:p>
    <w:p w:rsidR="00B274E6" w:rsidRPr="007E4A0F" w:rsidRDefault="00B84098" w:rsidP="00B84098">
      <w:pPr>
        <w:pStyle w:val="Style1"/>
      </w:pPr>
      <w:r w:rsidRPr="007E4A0F">
        <w:t>Les principaux indicateurs financiers auxquels les États membres doivent prêter attention sont décrits ci</w:t>
      </w:r>
      <w:r w:rsidR="00CB1BDA" w:rsidRPr="007E4A0F">
        <w:noBreakHyphen/>
      </w:r>
      <w:r w:rsidRPr="007E4A0F">
        <w:t>dessous</w:t>
      </w:r>
      <w:r w:rsidR="006C7CFD" w:rsidRPr="007E4A0F">
        <w:t> </w:t>
      </w:r>
      <w:r w:rsidRPr="007E4A0F">
        <w:t>:</w:t>
      </w:r>
    </w:p>
    <w:p w:rsidR="00B274E6" w:rsidRPr="007E4A0F" w:rsidRDefault="00B84098" w:rsidP="00B84098">
      <w:pPr>
        <w:pStyle w:val="Heading4"/>
        <w:rPr>
          <w:lang w:val="fr-FR"/>
        </w:rPr>
      </w:pPr>
      <w:r w:rsidRPr="007E4A0F">
        <w:rPr>
          <w:lang w:val="fr-FR"/>
        </w:rPr>
        <w:t>Excédent/déficit d</w:t>
      </w:r>
      <w:r w:rsidR="00B274E6" w:rsidRPr="007E4A0F">
        <w:rPr>
          <w:lang w:val="fr-FR"/>
        </w:rPr>
        <w:t>’</w:t>
      </w:r>
      <w:r w:rsidRPr="007E4A0F">
        <w:rPr>
          <w:lang w:val="fr-FR"/>
        </w:rPr>
        <w:t>exploitation</w:t>
      </w:r>
    </w:p>
    <w:p w:rsidR="00947AF6" w:rsidRPr="007E4A0F" w:rsidRDefault="00B84098" w:rsidP="00B84098">
      <w:pPr>
        <w:pStyle w:val="Style1"/>
      </w:pPr>
      <w:r w:rsidRPr="007E4A0F">
        <w:t>L</w:t>
      </w:r>
      <w:r w:rsidR="00B274E6" w:rsidRPr="007E4A0F">
        <w:t>’</w:t>
      </w:r>
      <w:r w:rsidRPr="007E4A0F">
        <w:t>excédent ou le déficit est la différence entre les recettes et les dépenses de l</w:t>
      </w:r>
      <w:r w:rsidR="00B274E6" w:rsidRPr="007E4A0F">
        <w:t>’</w:t>
      </w:r>
      <w:r w:rsidRPr="007E4A0F">
        <w:t>OMPI durant l</w:t>
      </w:r>
      <w:r w:rsidR="00B274E6" w:rsidRPr="007E4A0F">
        <w:t>’</w:t>
      </w:r>
      <w:r w:rsidRPr="007E4A0F">
        <w:t>exercice.</w:t>
      </w:r>
      <w:r w:rsidR="0012066D" w:rsidRPr="007E4A0F">
        <w:t xml:space="preserve"> </w:t>
      </w:r>
      <w:r w:rsidR="00606B9D" w:rsidRPr="007E4A0F">
        <w:t xml:space="preserve"> L</w:t>
      </w:r>
      <w:r w:rsidR="00B274E6" w:rsidRPr="007E4A0F">
        <w:t>’</w:t>
      </w:r>
      <w:r w:rsidR="00606B9D" w:rsidRPr="007E4A0F">
        <w:t>OMPI a dégagé pour l</w:t>
      </w:r>
      <w:r w:rsidR="00B274E6" w:rsidRPr="007E4A0F">
        <w:t>’</w:t>
      </w:r>
      <w:r w:rsidR="00606B9D" w:rsidRPr="007E4A0F">
        <w:t>année 2014 un excédent de 37</w:t>
      </w:r>
      <w:r w:rsidR="006C7CFD" w:rsidRPr="007E4A0F">
        <w:t> </w:t>
      </w:r>
      <w:r w:rsidR="00606B9D" w:rsidRPr="007E4A0F">
        <w:t>millions de francs suisses, ce qui représente une augmentation de 145% par rapport à l</w:t>
      </w:r>
      <w:r w:rsidR="00B274E6" w:rsidRPr="007E4A0F">
        <w:t>’</w:t>
      </w:r>
      <w:r w:rsidR="00606B9D" w:rsidRPr="007E4A0F">
        <w:t>excédent enregistré pour</w:t>
      </w:r>
      <w:r w:rsidR="006C7CFD" w:rsidRPr="007E4A0F">
        <w:t> </w:t>
      </w:r>
      <w:r w:rsidR="00606B9D" w:rsidRPr="007E4A0F">
        <w:t>2013 et de 89,7% par rapport à celui de</w:t>
      </w:r>
      <w:r w:rsidR="006C7CFD" w:rsidRPr="007E4A0F">
        <w:t> </w:t>
      </w:r>
      <w:r w:rsidR="0012066D" w:rsidRPr="007E4A0F">
        <w:t>2012.</w:t>
      </w:r>
    </w:p>
    <w:p w:rsidR="00947AF6" w:rsidRPr="007E4A0F" w:rsidRDefault="00947AF6" w:rsidP="0012066D">
      <w:pPr>
        <w:jc w:val="center"/>
        <w:rPr>
          <w:lang w:val="fr-FR"/>
        </w:rPr>
      </w:pPr>
    </w:p>
    <w:p w:rsidR="00947AF6" w:rsidRPr="007E4A0F" w:rsidRDefault="00D54C62" w:rsidP="0012066D">
      <w:pPr>
        <w:jc w:val="center"/>
        <w:rPr>
          <w:lang w:val="fr-FR"/>
        </w:rPr>
      </w:pPr>
      <w:r w:rsidRPr="007E4A0F">
        <w:rPr>
          <w:noProof/>
          <w:lang w:val="en-US" w:eastAsia="en-US"/>
        </w:rPr>
        <w:drawing>
          <wp:inline distT="0" distB="0" distL="0" distR="0" wp14:anchorId="42FEB06F" wp14:editId="3FC35A68">
            <wp:extent cx="4579620" cy="2750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rsidR="00947AF6" w:rsidRPr="007E4A0F" w:rsidRDefault="00947AF6" w:rsidP="0012066D">
      <w:pPr>
        <w:jc w:val="center"/>
        <w:rPr>
          <w:lang w:val="fr-FR"/>
        </w:rPr>
      </w:pPr>
    </w:p>
    <w:p w:rsidR="00947AF6" w:rsidRPr="007E4A0F" w:rsidRDefault="00AA1039" w:rsidP="0012066D">
      <w:pPr>
        <w:pStyle w:val="Style1"/>
      </w:pPr>
      <w:r w:rsidRPr="007E4A0F">
        <w:t>Selon nos constatations, l</w:t>
      </w:r>
      <w:r w:rsidR="00B274E6" w:rsidRPr="007E4A0F">
        <w:t>’</w:t>
      </w:r>
      <w:r w:rsidRPr="007E4A0F">
        <w:t xml:space="preserve">amélioration de la performance financière </w:t>
      </w:r>
      <w:r w:rsidR="00612320" w:rsidRPr="007E4A0F">
        <w:t>de</w:t>
      </w:r>
      <w:r w:rsidR="006C7CFD" w:rsidRPr="007E4A0F">
        <w:t> </w:t>
      </w:r>
      <w:r w:rsidR="00946A79" w:rsidRPr="007E4A0F">
        <w:t xml:space="preserve">2014 par rapport à </w:t>
      </w:r>
      <w:r w:rsidR="00612320" w:rsidRPr="007E4A0F">
        <w:t>celles de</w:t>
      </w:r>
      <w:r w:rsidR="006C7CFD" w:rsidRPr="007E4A0F">
        <w:t> </w:t>
      </w:r>
      <w:r w:rsidR="00946A79" w:rsidRPr="007E4A0F">
        <w:t xml:space="preserve">2013 et 2012 est due </w:t>
      </w:r>
      <w:r w:rsidR="00DC3B7D" w:rsidRPr="007E4A0F">
        <w:t>essentiel</w:t>
      </w:r>
      <w:r w:rsidR="00946A79" w:rsidRPr="007E4A0F">
        <w:t>lement à un</w:t>
      </w:r>
      <w:r w:rsidR="008E42C6" w:rsidRPr="007E4A0F">
        <w:t>e augmentation des activités de l</w:t>
      </w:r>
      <w:r w:rsidR="00B274E6" w:rsidRPr="007E4A0F">
        <w:t>’</w:t>
      </w:r>
      <w:r w:rsidR="008E42C6" w:rsidRPr="007E4A0F">
        <w:t xml:space="preserve">Union </w:t>
      </w:r>
      <w:r w:rsidR="00DC3B7D" w:rsidRPr="007E4A0F">
        <w:t xml:space="preserve">du Traité </w:t>
      </w:r>
      <w:r w:rsidR="008E42C6" w:rsidRPr="007E4A0F">
        <w:t>de coopération en matière de brevets, qui ont compté pour 76% dans le total des recettes de l</w:t>
      </w:r>
      <w:r w:rsidR="00B274E6" w:rsidRPr="007E4A0F">
        <w:t>’</w:t>
      </w:r>
      <w:r w:rsidR="008E42C6" w:rsidRPr="007E4A0F">
        <w:t>OMPI en</w:t>
      </w:r>
      <w:r w:rsidR="006C7CFD" w:rsidRPr="007E4A0F">
        <w:t> </w:t>
      </w:r>
      <w:r w:rsidR="008E42C6" w:rsidRPr="007E4A0F">
        <w:t>2014.</w:t>
      </w:r>
    </w:p>
    <w:p w:rsidR="00947AF6" w:rsidRPr="007E4A0F" w:rsidRDefault="00947AF6" w:rsidP="004E5982">
      <w:pPr>
        <w:jc w:val="center"/>
        <w:rPr>
          <w:lang w:val="fr-FR"/>
        </w:rPr>
      </w:pPr>
    </w:p>
    <w:p w:rsidR="00D54C62" w:rsidRPr="007E4A0F" w:rsidRDefault="00D54C62" w:rsidP="00D54C62">
      <w:pPr>
        <w:jc w:val="center"/>
        <w:rPr>
          <w:lang w:val="fr-FR"/>
        </w:rPr>
      </w:pPr>
      <w:r w:rsidRPr="007E4A0F">
        <w:rPr>
          <w:noProof/>
          <w:lang w:val="en-US" w:eastAsia="en-US"/>
        </w:rPr>
        <w:lastRenderedPageBreak/>
        <w:drawing>
          <wp:inline distT="0" distB="0" distL="0" distR="0" wp14:anchorId="4CDAE41B" wp14:editId="046DC018">
            <wp:extent cx="457962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a:ln>
                      <a:noFill/>
                    </a:ln>
                  </pic:spPr>
                </pic:pic>
              </a:graphicData>
            </a:graphic>
          </wp:inline>
        </w:drawing>
      </w:r>
    </w:p>
    <w:p w:rsidR="00947AF6" w:rsidRPr="007E4A0F" w:rsidRDefault="00947AF6" w:rsidP="00D54C62">
      <w:pPr>
        <w:jc w:val="center"/>
        <w:rPr>
          <w:lang w:val="fr-FR"/>
        </w:rPr>
      </w:pPr>
    </w:p>
    <w:p w:rsidR="00947AF6" w:rsidRPr="007E4A0F" w:rsidRDefault="0012066D" w:rsidP="004E5982">
      <w:pPr>
        <w:pStyle w:val="Heading4"/>
        <w:rPr>
          <w:lang w:val="fr-FR"/>
        </w:rPr>
      </w:pPr>
      <w:r w:rsidRPr="007E4A0F">
        <w:rPr>
          <w:lang w:val="fr-FR"/>
        </w:rPr>
        <w:t>Analys</w:t>
      </w:r>
      <w:r w:rsidR="009A28D0" w:rsidRPr="007E4A0F">
        <w:rPr>
          <w:lang w:val="fr-FR"/>
        </w:rPr>
        <w:t>e sectorielle</w:t>
      </w:r>
    </w:p>
    <w:p w:rsidR="00B274E6" w:rsidRPr="007E4A0F" w:rsidRDefault="009F586C" w:rsidP="0012066D">
      <w:pPr>
        <w:pStyle w:val="Style1"/>
      </w:pPr>
      <w:r w:rsidRPr="007E4A0F">
        <w:t xml:space="preserve">Le tableau suivant répartit les recettes, dépenses et excédents ou déficits </w:t>
      </w:r>
      <w:r w:rsidR="00B9676E" w:rsidRPr="007E4A0F">
        <w:t>par segment</w:t>
      </w:r>
      <w:r w:rsidR="004E5982" w:rsidRPr="007E4A0F">
        <w:rPr>
          <w:rStyle w:val="FootnoteReference"/>
        </w:rPr>
        <w:footnoteReference w:id="2"/>
      </w:r>
      <w:r w:rsidR="006C7CFD" w:rsidRPr="007E4A0F">
        <w:t> </w:t>
      </w:r>
      <w:r w:rsidR="0012066D" w:rsidRPr="007E4A0F">
        <w:t>:</w:t>
      </w:r>
    </w:p>
    <w:p w:rsidR="00947AF6" w:rsidRPr="007E4A0F" w:rsidRDefault="00947AF6" w:rsidP="004E5982">
      <w:pPr>
        <w:rPr>
          <w:lang w:val="fr-FR"/>
        </w:rPr>
      </w:pPr>
    </w:p>
    <w:p w:rsidR="0012066D" w:rsidRPr="007E4A0F" w:rsidRDefault="0012066D" w:rsidP="0012066D">
      <w:pPr>
        <w:pStyle w:val="Default"/>
        <w:jc w:val="right"/>
        <w:rPr>
          <w:rFonts w:ascii="Arial" w:hAnsi="Arial" w:cs="Arial"/>
          <w:b/>
          <w:color w:val="auto"/>
          <w:sz w:val="20"/>
          <w:szCs w:val="20"/>
          <w:lang w:val="fr-FR"/>
        </w:rPr>
      </w:pPr>
      <w:r w:rsidRPr="007E4A0F">
        <w:rPr>
          <w:rFonts w:ascii="Arial" w:hAnsi="Arial" w:cs="Arial"/>
          <w:b/>
          <w:i/>
          <w:color w:val="auto"/>
          <w:sz w:val="20"/>
          <w:szCs w:val="20"/>
          <w:lang w:val="fr-FR"/>
        </w:rPr>
        <w:t>(</w:t>
      </w:r>
      <w:proofErr w:type="gramStart"/>
      <w:r w:rsidR="00EE54E3" w:rsidRPr="007E4A0F">
        <w:rPr>
          <w:rFonts w:ascii="Arial" w:hAnsi="Arial" w:cs="Arial"/>
          <w:b/>
          <w:i/>
          <w:color w:val="auto"/>
          <w:sz w:val="20"/>
          <w:szCs w:val="20"/>
          <w:lang w:val="fr-FR"/>
        </w:rPr>
        <w:t>en</w:t>
      </w:r>
      <w:proofErr w:type="gramEnd"/>
      <w:r w:rsidR="00EE54E3" w:rsidRPr="007E4A0F">
        <w:rPr>
          <w:rFonts w:ascii="Arial" w:hAnsi="Arial" w:cs="Arial"/>
          <w:b/>
          <w:i/>
          <w:color w:val="auto"/>
          <w:sz w:val="20"/>
          <w:szCs w:val="20"/>
          <w:lang w:val="fr-FR"/>
        </w:rPr>
        <w:t xml:space="preserve"> milliers de francs suisse</w:t>
      </w:r>
      <w:r w:rsidRPr="007E4A0F">
        <w:rPr>
          <w:rFonts w:ascii="Arial" w:hAnsi="Arial" w:cs="Arial"/>
          <w:b/>
          <w:i/>
          <w:color w:val="auto"/>
          <w:sz w:val="20"/>
          <w:szCs w:val="20"/>
          <w:lang w:val="fr-FR"/>
        </w:rPr>
        <w:t>s)</w:t>
      </w: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961"/>
        <w:gridCol w:w="1400"/>
        <w:gridCol w:w="1120"/>
        <w:gridCol w:w="1087"/>
        <w:gridCol w:w="1105"/>
        <w:gridCol w:w="1137"/>
      </w:tblGrid>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Année 2014</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12066D">
            <w:pPr>
              <w:jc w:val="center"/>
              <w:rPr>
                <w:b/>
                <w:bCs/>
                <w:sz w:val="20"/>
                <w:lang w:val="fr-FR"/>
              </w:rPr>
            </w:pPr>
            <w:r w:rsidRPr="007E4A0F">
              <w:rPr>
                <w:b/>
                <w:bCs/>
                <w:sz w:val="20"/>
                <w:lang w:val="fr-FR"/>
              </w:rPr>
              <w:t>Segment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D17510" w:rsidP="00C1051C">
            <w:pPr>
              <w:jc w:val="center"/>
              <w:rPr>
                <w:b/>
                <w:bCs/>
                <w:sz w:val="20"/>
                <w:lang w:val="fr-FR"/>
              </w:rPr>
            </w:pPr>
            <w:r w:rsidRPr="007E4A0F">
              <w:rPr>
                <w:b/>
                <w:bCs/>
                <w:sz w:val="20"/>
                <w:lang w:val="fr-FR"/>
              </w:rPr>
              <w:t xml:space="preserve">Unions financées par des </w:t>
            </w:r>
            <w:r w:rsidR="00C1051C" w:rsidRPr="007E4A0F">
              <w:rPr>
                <w:b/>
                <w:bCs/>
                <w:sz w:val="20"/>
                <w:lang w:val="fr-FR"/>
              </w:rPr>
              <w:t>contributions</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Union du РCT</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Union de Madrid</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 xml:space="preserve">Union de </w:t>
            </w:r>
            <w:r w:rsidR="00B274E6" w:rsidRPr="007E4A0F">
              <w:rPr>
                <w:b/>
                <w:bCs/>
                <w:sz w:val="20"/>
                <w:lang w:val="fr-FR"/>
              </w:rPr>
              <w:t>La Haye</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Union de Lisbonne</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917A7" w:rsidP="00B917A7">
            <w:pPr>
              <w:jc w:val="center"/>
              <w:rPr>
                <w:b/>
                <w:bCs/>
                <w:sz w:val="20"/>
                <w:lang w:val="fr-FR"/>
              </w:rPr>
            </w:pPr>
            <w:r w:rsidRPr="007E4A0F">
              <w:rPr>
                <w:b/>
                <w:bCs/>
                <w:sz w:val="20"/>
                <w:lang w:val="fr-FR"/>
              </w:rPr>
              <w:t>Comptes</w:t>
            </w:r>
            <w:r w:rsidR="0012066D" w:rsidRPr="007E4A0F">
              <w:rPr>
                <w:b/>
                <w:bCs/>
                <w:sz w:val="20"/>
                <w:lang w:val="fr-FR"/>
              </w:rPr>
              <w:t xml:space="preserve"> </w:t>
            </w:r>
            <w:r w:rsidRPr="007E4A0F">
              <w:rPr>
                <w:b/>
                <w:bCs/>
                <w:sz w:val="20"/>
                <w:lang w:val="fr-FR"/>
              </w:rPr>
              <w:t>spéciaux</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18 817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281 318</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57 285</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3 927</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764</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8 069</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17 560</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242 133</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57 330</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7 322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792</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8 069</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1 257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84098" w:rsidRPr="007E4A0F">
              <w:rPr>
                <w:bCs/>
                <w:sz w:val="20"/>
                <w:lang w:val="fr-FR"/>
              </w:rPr>
              <w:t>39 185</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274E6" w:rsidRPr="007E4A0F">
              <w:rPr>
                <w:bCs/>
                <w:sz w:val="20"/>
                <w:lang w:val="fr-FR"/>
              </w:rPr>
              <w:t xml:space="preserve"> – </w:t>
            </w:r>
            <w:r w:rsidRPr="007E4A0F">
              <w:rPr>
                <w:bCs/>
                <w:sz w:val="20"/>
                <w:lang w:val="fr-FR"/>
              </w:rPr>
              <w:t>45</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B84098" w:rsidRPr="007E4A0F">
              <w:rPr>
                <w:bCs/>
                <w:sz w:val="20"/>
                <w:lang w:val="fr-FR"/>
              </w:rPr>
              <w:t xml:space="preserve"> 3 </w:t>
            </w:r>
            <w:r w:rsidR="0012066D" w:rsidRPr="007E4A0F">
              <w:rPr>
                <w:bCs/>
                <w:sz w:val="20"/>
                <w:lang w:val="fr-FR"/>
              </w:rPr>
              <w:t>395</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28</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ind w:left="-74"/>
              <w:jc w:val="center"/>
              <w:rPr>
                <w:b/>
                <w:bCs/>
                <w:sz w:val="20"/>
                <w:lang w:val="fr-FR"/>
              </w:rPr>
            </w:pPr>
            <w:r w:rsidRPr="007E4A0F">
              <w:rPr>
                <w:b/>
                <w:bCs/>
                <w:sz w:val="20"/>
                <w:lang w:val="fr-FR"/>
              </w:rPr>
              <w:t>Année 2013</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19 277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261 181</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58 456</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4 531</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1 308</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6 858</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19 068</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242 349</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59 749</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7 603</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852</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6 858</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209</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84098" w:rsidRPr="007E4A0F">
              <w:rPr>
                <w:bCs/>
                <w:sz w:val="20"/>
                <w:lang w:val="fr-FR"/>
              </w:rPr>
              <w:t>18 832</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1</w:t>
            </w:r>
            <w:r w:rsidR="00B84098" w:rsidRPr="007E4A0F">
              <w:rPr>
                <w:bCs/>
                <w:sz w:val="20"/>
                <w:lang w:val="fr-FR"/>
              </w:rPr>
              <w:t> </w:t>
            </w:r>
            <w:r w:rsidR="0012066D" w:rsidRPr="007E4A0F">
              <w:rPr>
                <w:bCs/>
                <w:sz w:val="20"/>
                <w:lang w:val="fr-FR"/>
              </w:rPr>
              <w:t>293</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274E6" w:rsidP="00CB1BDA">
            <w:pPr>
              <w:jc w:val="right"/>
              <w:rPr>
                <w:bCs/>
                <w:sz w:val="20"/>
                <w:lang w:val="fr-FR"/>
              </w:rPr>
            </w:pPr>
            <w:r w:rsidRPr="007E4A0F">
              <w:rPr>
                <w:bCs/>
                <w:sz w:val="20"/>
                <w:lang w:val="fr-FR"/>
              </w:rPr>
              <w:t xml:space="preserve"> – </w:t>
            </w:r>
            <w:r w:rsidR="0012066D" w:rsidRPr="007E4A0F">
              <w:rPr>
                <w:bCs/>
                <w:sz w:val="20"/>
                <w:lang w:val="fr-FR"/>
              </w:rPr>
              <w:t>3</w:t>
            </w:r>
            <w:r w:rsidR="00B84098" w:rsidRPr="007E4A0F">
              <w:rPr>
                <w:bCs/>
                <w:sz w:val="20"/>
                <w:lang w:val="fr-FR"/>
              </w:rPr>
              <w:t> </w:t>
            </w:r>
            <w:r w:rsidR="0012066D" w:rsidRPr="007E4A0F">
              <w:rPr>
                <w:bCs/>
                <w:sz w:val="20"/>
                <w:lang w:val="fr-FR"/>
              </w:rPr>
              <w:t>072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456</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ind w:left="-74"/>
              <w:jc w:val="center"/>
              <w:rPr>
                <w:b/>
                <w:bCs/>
                <w:sz w:val="20"/>
                <w:lang w:val="fr-FR"/>
              </w:rPr>
            </w:pPr>
            <w:r w:rsidRPr="007E4A0F">
              <w:rPr>
                <w:b/>
                <w:bCs/>
                <w:sz w:val="20"/>
                <w:lang w:val="fr-FR"/>
              </w:rPr>
              <w:t>Année 2012</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18 631</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253 183</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54 329</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3 442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390</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7 021</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18 414</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232 104</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56 159</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6 854</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734</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7 021</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217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84098" w:rsidRPr="007E4A0F">
              <w:rPr>
                <w:bCs/>
                <w:sz w:val="20"/>
                <w:lang w:val="fr-FR"/>
              </w:rPr>
              <w:t>21 079</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1</w:t>
            </w:r>
            <w:r w:rsidR="00B84098" w:rsidRPr="007E4A0F">
              <w:rPr>
                <w:bCs/>
                <w:sz w:val="20"/>
                <w:lang w:val="fr-FR"/>
              </w:rPr>
              <w:t> </w:t>
            </w:r>
            <w:r w:rsidR="0012066D" w:rsidRPr="007E4A0F">
              <w:rPr>
                <w:bCs/>
                <w:sz w:val="20"/>
                <w:lang w:val="fr-FR"/>
              </w:rPr>
              <w:t>830</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3</w:t>
            </w:r>
            <w:r w:rsidR="00B84098" w:rsidRPr="007E4A0F">
              <w:rPr>
                <w:bCs/>
                <w:sz w:val="20"/>
                <w:lang w:val="fr-FR"/>
              </w:rPr>
              <w:t> </w:t>
            </w:r>
            <w:r w:rsidR="0012066D" w:rsidRPr="007E4A0F">
              <w:rPr>
                <w:bCs/>
                <w:sz w:val="20"/>
                <w:lang w:val="fr-FR"/>
              </w:rPr>
              <w:t>412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344</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ind w:left="-74"/>
              <w:jc w:val="center"/>
              <w:rPr>
                <w:b/>
                <w:bCs/>
                <w:sz w:val="20"/>
                <w:lang w:val="fr-FR"/>
              </w:rPr>
            </w:pPr>
            <w:r w:rsidRPr="007E4A0F">
              <w:rPr>
                <w:b/>
                <w:bCs/>
                <w:sz w:val="20"/>
                <w:lang w:val="fr-FR"/>
              </w:rPr>
              <w:t>Année 2011</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B84098">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18 080</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210 345</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53 731</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3 260</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215</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7 506</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18 954</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234 316</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57 838</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5 981</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752</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7 506</w:t>
            </w:r>
          </w:p>
        </w:tc>
      </w:tr>
      <w:tr w:rsidR="0012066D"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874</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B84098" w:rsidRPr="007E4A0F">
              <w:rPr>
                <w:bCs/>
                <w:sz w:val="20"/>
                <w:lang w:val="fr-FR"/>
              </w:rPr>
              <w:t xml:space="preserve"> 23 971</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ind w:hanging="33"/>
              <w:jc w:val="right"/>
              <w:rPr>
                <w:bCs/>
                <w:sz w:val="20"/>
                <w:lang w:val="fr-FR"/>
              </w:rPr>
            </w:pPr>
            <w:r w:rsidRPr="007E4A0F">
              <w:rPr>
                <w:bCs/>
                <w:sz w:val="20"/>
                <w:lang w:val="fr-FR"/>
              </w:rPr>
              <w:noBreakHyphen/>
            </w:r>
            <w:r w:rsidR="0012066D" w:rsidRPr="007E4A0F">
              <w:rPr>
                <w:bCs/>
                <w:sz w:val="20"/>
                <w:lang w:val="fr-FR"/>
              </w:rPr>
              <w:t xml:space="preserve"> 4</w:t>
            </w:r>
            <w:r w:rsidR="00B84098" w:rsidRPr="007E4A0F">
              <w:rPr>
                <w:bCs/>
                <w:sz w:val="20"/>
                <w:lang w:val="fr-FR"/>
              </w:rPr>
              <w:t> </w:t>
            </w:r>
            <w:r w:rsidR="0012066D" w:rsidRPr="007E4A0F">
              <w:rPr>
                <w:bCs/>
                <w:sz w:val="20"/>
                <w:lang w:val="fr-FR"/>
              </w:rPr>
              <w:t>107</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2</w:t>
            </w:r>
            <w:r w:rsidR="00B84098" w:rsidRPr="007E4A0F">
              <w:rPr>
                <w:bCs/>
                <w:sz w:val="20"/>
                <w:lang w:val="fr-FR"/>
              </w:rPr>
              <w:t> </w:t>
            </w:r>
            <w:r w:rsidR="0012066D" w:rsidRPr="007E4A0F">
              <w:rPr>
                <w:bCs/>
                <w:sz w:val="20"/>
                <w:lang w:val="fr-FR"/>
              </w:rPr>
              <w:t>721</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537</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bl>
    <w:p w:rsidR="00947AF6" w:rsidRPr="007E4A0F" w:rsidRDefault="00947AF6" w:rsidP="004E5982">
      <w:pPr>
        <w:rPr>
          <w:lang w:val="fr-FR"/>
        </w:rPr>
      </w:pPr>
    </w:p>
    <w:p w:rsidR="00947AF6" w:rsidRPr="007E4A0F" w:rsidRDefault="00F77BDA" w:rsidP="004E5982">
      <w:pPr>
        <w:pStyle w:val="Style1"/>
      </w:pPr>
      <w:r w:rsidRPr="007E4A0F">
        <w:t>Le poids des recettes totales de l</w:t>
      </w:r>
      <w:r w:rsidR="00B274E6" w:rsidRPr="007E4A0F">
        <w:t>’</w:t>
      </w:r>
      <w:r w:rsidRPr="007E4A0F">
        <w:t>Union</w:t>
      </w:r>
      <w:r w:rsidR="00B274E6" w:rsidRPr="007E4A0F">
        <w:t xml:space="preserve"> du PCT</w:t>
      </w:r>
      <w:r w:rsidRPr="007E4A0F">
        <w:t xml:space="preserve"> dans l</w:t>
      </w:r>
      <w:r w:rsidR="00B274E6" w:rsidRPr="007E4A0F">
        <w:t>’</w:t>
      </w:r>
      <w:r w:rsidRPr="007E4A0F">
        <w:t>excédent pour</w:t>
      </w:r>
      <w:r w:rsidR="006C7CFD" w:rsidRPr="007E4A0F">
        <w:t> </w:t>
      </w:r>
      <w:r w:rsidRPr="007E4A0F">
        <w:t xml:space="preserve">2014 a été de 106% </w:t>
      </w:r>
      <w:r w:rsidR="00D777CC" w:rsidRPr="007E4A0F">
        <w:t>(</w:t>
      </w:r>
      <w:r w:rsidR="006779C8" w:rsidRPr="007E4A0F">
        <w:t xml:space="preserve">il était de </w:t>
      </w:r>
      <w:r w:rsidR="00D777CC" w:rsidRPr="007E4A0F">
        <w:t>124,5% en</w:t>
      </w:r>
      <w:r w:rsidR="006C7CFD" w:rsidRPr="007E4A0F">
        <w:t> </w:t>
      </w:r>
      <w:r w:rsidR="00D777CC" w:rsidRPr="007E4A0F">
        <w:t xml:space="preserve">2013).  </w:t>
      </w:r>
      <w:r w:rsidR="00E26308" w:rsidRPr="007E4A0F">
        <w:t>L</w:t>
      </w:r>
      <w:r w:rsidR="00B274E6" w:rsidRPr="007E4A0F">
        <w:t>’</w:t>
      </w:r>
      <w:r w:rsidR="00E26308" w:rsidRPr="007E4A0F">
        <w:t>excédent ou le déficit enregistré sur les opérations</w:t>
      </w:r>
      <w:r w:rsidR="00B274E6" w:rsidRPr="007E4A0F">
        <w:t xml:space="preserve"> du PCT</w:t>
      </w:r>
      <w:r w:rsidR="00E26308" w:rsidRPr="007E4A0F">
        <w:t xml:space="preserve"> est donc le principal </w:t>
      </w:r>
      <w:r w:rsidR="0080453E" w:rsidRPr="007E4A0F">
        <w:t>déterminant</w:t>
      </w:r>
      <w:r w:rsidR="00E26308" w:rsidRPr="007E4A0F">
        <w:t xml:space="preserve"> du caractère excédentaire ou déficitaire des résultats de l</w:t>
      </w:r>
      <w:r w:rsidR="00B274E6" w:rsidRPr="007E4A0F">
        <w:t>’</w:t>
      </w:r>
      <w:r w:rsidR="00E26308" w:rsidRPr="007E4A0F">
        <w:t>OMPI.</w:t>
      </w:r>
    </w:p>
    <w:p w:rsidR="00947AF6" w:rsidRPr="007E4A0F" w:rsidRDefault="00F2300F" w:rsidP="004E5982">
      <w:pPr>
        <w:pStyle w:val="Style1"/>
      </w:pPr>
      <w:r w:rsidRPr="007E4A0F">
        <w:lastRenderedPageBreak/>
        <w:t>E</w:t>
      </w:r>
      <w:r w:rsidR="0012066D" w:rsidRPr="007E4A0F">
        <w:t>n</w:t>
      </w:r>
      <w:r w:rsidR="006C7CFD" w:rsidRPr="007E4A0F">
        <w:t> </w:t>
      </w:r>
      <w:r w:rsidR="0012066D" w:rsidRPr="007E4A0F">
        <w:t xml:space="preserve">2014, </w:t>
      </w:r>
      <w:r w:rsidRPr="007E4A0F">
        <w:t>les dépenses ont diminué de 1%, tandis que les recettes augmentaient de 5,28% par rapport à 2013</w:t>
      </w:r>
      <w:r w:rsidR="002E1A85" w:rsidRPr="007E4A0F">
        <w:t>, ce qui s</w:t>
      </w:r>
      <w:r w:rsidR="00B274E6" w:rsidRPr="007E4A0F">
        <w:t>’</w:t>
      </w:r>
      <w:r w:rsidR="002E1A85" w:rsidRPr="007E4A0F">
        <w:t>est traduit par un excédent de 37</w:t>
      </w:r>
      <w:r w:rsidR="006C7CFD" w:rsidRPr="007E4A0F">
        <w:t> </w:t>
      </w:r>
      <w:r w:rsidR="002E1A85" w:rsidRPr="007E4A0F">
        <w:t>millions de francs suisses, en hausse de 145% par rapport à celui de</w:t>
      </w:r>
      <w:r w:rsidR="006C7CFD" w:rsidRPr="007E4A0F">
        <w:t> </w:t>
      </w:r>
      <w:r w:rsidR="002E1A85" w:rsidRPr="007E4A0F">
        <w:t>2013.</w:t>
      </w:r>
    </w:p>
    <w:p w:rsidR="00947AF6" w:rsidRPr="007E4A0F" w:rsidRDefault="002E1A85" w:rsidP="004E5982">
      <w:pPr>
        <w:pStyle w:val="Heading4"/>
        <w:rPr>
          <w:lang w:val="fr-FR"/>
        </w:rPr>
      </w:pPr>
      <w:r w:rsidRPr="007E4A0F">
        <w:rPr>
          <w:lang w:val="fr-FR"/>
        </w:rPr>
        <w:t>Recettes</w:t>
      </w:r>
    </w:p>
    <w:p w:rsidR="00947AF6" w:rsidRPr="007E4A0F" w:rsidRDefault="00B84098" w:rsidP="00B84098">
      <w:pPr>
        <w:pStyle w:val="Style1"/>
      </w:pPr>
      <w:r w:rsidRPr="007E4A0F">
        <w:t>Pour l</w:t>
      </w:r>
      <w:r w:rsidR="00B274E6" w:rsidRPr="007E4A0F">
        <w:t>’</w:t>
      </w:r>
      <w:r w:rsidRPr="007E4A0F">
        <w:t>exercice 2014, le total des recettes de l</w:t>
      </w:r>
      <w:r w:rsidR="00B274E6" w:rsidRPr="007E4A0F">
        <w:t>’</w:t>
      </w:r>
      <w:r w:rsidRPr="007E4A0F">
        <w:t>OMPI s</w:t>
      </w:r>
      <w:r w:rsidR="00B274E6" w:rsidRPr="007E4A0F">
        <w:t>’</w:t>
      </w:r>
      <w:r w:rsidRPr="007E4A0F">
        <w:t>est établi à 370,2</w:t>
      </w:r>
      <w:r w:rsidR="006C7CFD" w:rsidRPr="007E4A0F">
        <w:t> </w:t>
      </w:r>
      <w:r w:rsidRPr="007E4A0F">
        <w:t>millions de francs suisses, soit une augmentation de 18,6</w:t>
      </w:r>
      <w:r w:rsidR="006C7CFD" w:rsidRPr="007E4A0F">
        <w:t> </w:t>
      </w:r>
      <w:r w:rsidRPr="007E4A0F">
        <w:t>millions de francs suisses par rapport au total des recettes pour</w:t>
      </w:r>
      <w:r w:rsidR="006C7CFD" w:rsidRPr="007E4A0F">
        <w:t> </w:t>
      </w:r>
      <w:r w:rsidRPr="007E4A0F">
        <w:t>2013 (351,6</w:t>
      </w:r>
      <w:r w:rsidR="006C7CFD" w:rsidRPr="007E4A0F">
        <w:t> </w:t>
      </w:r>
      <w:r w:rsidRPr="007E4A0F">
        <w:t>millions de francs suisses).</w:t>
      </w:r>
    </w:p>
    <w:p w:rsidR="00947AF6" w:rsidRPr="007E4A0F" w:rsidRDefault="00947AF6" w:rsidP="004E5982">
      <w:pPr>
        <w:jc w:val="center"/>
        <w:rPr>
          <w:lang w:val="fr-FR"/>
        </w:rPr>
      </w:pPr>
    </w:p>
    <w:p w:rsidR="00947AF6" w:rsidRPr="007E4A0F" w:rsidRDefault="00D54C62" w:rsidP="004E5982">
      <w:pPr>
        <w:jc w:val="center"/>
        <w:rPr>
          <w:lang w:val="fr-FR"/>
        </w:rPr>
      </w:pPr>
      <w:r w:rsidRPr="007E4A0F">
        <w:rPr>
          <w:noProof/>
          <w:lang w:val="en-US" w:eastAsia="en-US"/>
        </w:rPr>
        <w:drawing>
          <wp:inline distT="0" distB="0" distL="0" distR="0" wp14:anchorId="658E121F" wp14:editId="165A2414">
            <wp:extent cx="4594225" cy="28092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4225" cy="2809240"/>
                    </a:xfrm>
                    <a:prstGeom prst="rect">
                      <a:avLst/>
                    </a:prstGeom>
                    <a:noFill/>
                    <a:ln>
                      <a:noFill/>
                    </a:ln>
                  </pic:spPr>
                </pic:pic>
              </a:graphicData>
            </a:graphic>
          </wp:inline>
        </w:drawing>
      </w:r>
    </w:p>
    <w:p w:rsidR="00D54C62" w:rsidRPr="007E4A0F" w:rsidRDefault="00D54C62" w:rsidP="004E5982">
      <w:pPr>
        <w:jc w:val="center"/>
        <w:rPr>
          <w:lang w:val="fr-FR"/>
        </w:rPr>
      </w:pPr>
    </w:p>
    <w:p w:rsidR="00947AF6" w:rsidRPr="007E4A0F" w:rsidRDefault="00B84098" w:rsidP="00B84098">
      <w:pPr>
        <w:pStyle w:val="Style1"/>
      </w:pPr>
      <w:r w:rsidRPr="007E4A0F">
        <w:t>Comme indiqué ci</w:t>
      </w:r>
      <w:r w:rsidR="00CB1BDA" w:rsidRPr="007E4A0F">
        <w:noBreakHyphen/>
      </w:r>
      <w:r w:rsidRPr="007E4A0F">
        <w:t>dessus, l</w:t>
      </w:r>
      <w:r w:rsidR="00B274E6" w:rsidRPr="007E4A0F">
        <w:t>’</w:t>
      </w:r>
      <w:r w:rsidRPr="007E4A0F">
        <w:t>Union</w:t>
      </w:r>
      <w:r w:rsidR="00B274E6" w:rsidRPr="007E4A0F">
        <w:t xml:space="preserve"> du PCT</w:t>
      </w:r>
      <w:r w:rsidRPr="007E4A0F">
        <w:t xml:space="preserve"> </w:t>
      </w:r>
      <w:r w:rsidR="008C0101" w:rsidRPr="007E4A0F">
        <w:t>a</w:t>
      </w:r>
      <w:r w:rsidRPr="007E4A0F">
        <w:t xml:space="preserve"> été la principale source de recettes en</w:t>
      </w:r>
      <w:r w:rsidR="006C7CFD" w:rsidRPr="007E4A0F">
        <w:t> </w:t>
      </w:r>
      <w:r w:rsidRPr="007E4A0F">
        <w:t>2014, représentant 76% du total.</w:t>
      </w:r>
      <w:r w:rsidR="0012066D" w:rsidRPr="007E4A0F">
        <w:t xml:space="preserve"> </w:t>
      </w:r>
      <w:r w:rsidR="006C7CFD" w:rsidRPr="007E4A0F">
        <w:t xml:space="preserve"> </w:t>
      </w:r>
      <w:r w:rsidRPr="007E4A0F">
        <w:t>Les recettes de l</w:t>
      </w:r>
      <w:r w:rsidR="00B274E6" w:rsidRPr="007E4A0F">
        <w:t>’</w:t>
      </w:r>
      <w:r w:rsidRPr="007E4A0F">
        <w:t>Union</w:t>
      </w:r>
      <w:r w:rsidR="00B274E6" w:rsidRPr="007E4A0F">
        <w:t xml:space="preserve"> du PCT</w:t>
      </w:r>
      <w:r w:rsidRPr="007E4A0F">
        <w:t xml:space="preserve"> ont augmenté de 7,7% en</w:t>
      </w:r>
      <w:r w:rsidR="006C7CFD" w:rsidRPr="007E4A0F">
        <w:t> </w:t>
      </w:r>
      <w:r w:rsidRPr="007E4A0F">
        <w:t xml:space="preserve">2014 par rapport </w:t>
      </w:r>
      <w:r w:rsidR="008C0101" w:rsidRPr="007E4A0F">
        <w:t>aux</w:t>
      </w:r>
      <w:r w:rsidRPr="007E4A0F">
        <w:t xml:space="preserve"> activités selon</w:t>
      </w:r>
      <w:r w:rsidR="00B274E6" w:rsidRPr="007E4A0F">
        <w:t xml:space="preserve"> le PCT</w:t>
      </w:r>
      <w:r w:rsidRPr="007E4A0F">
        <w:t xml:space="preserve"> ont continué de croître et le nombre des demandes déposées en</w:t>
      </w:r>
      <w:r w:rsidR="006C7CFD" w:rsidRPr="007E4A0F">
        <w:t> </w:t>
      </w:r>
      <w:r w:rsidRPr="007E4A0F">
        <w:t>2014 a totalisé d</w:t>
      </w:r>
      <w:r w:rsidR="00B274E6" w:rsidRPr="007E4A0F">
        <w:t>’</w:t>
      </w:r>
      <w:r w:rsidRPr="007E4A0F">
        <w:t>après les estimations 214 900 contre 205 270 en</w:t>
      </w:r>
      <w:r w:rsidR="006C7CFD" w:rsidRPr="007E4A0F">
        <w:t> </w:t>
      </w:r>
      <w:r w:rsidRPr="007E4A0F">
        <w:t>2013 et 195 334 en</w:t>
      </w:r>
      <w:r w:rsidR="006C7CFD" w:rsidRPr="007E4A0F">
        <w:t> </w:t>
      </w:r>
      <w:r w:rsidRPr="007E4A0F">
        <w:t>2012.</w:t>
      </w:r>
    </w:p>
    <w:p w:rsidR="00947AF6" w:rsidRPr="007E4A0F" w:rsidRDefault="00C35878" w:rsidP="004E5982">
      <w:pPr>
        <w:pStyle w:val="Style1"/>
      </w:pPr>
      <w:r w:rsidRPr="007E4A0F">
        <w:t>Les recettes de l</w:t>
      </w:r>
      <w:r w:rsidR="00B274E6" w:rsidRPr="007E4A0F">
        <w:t>’</w:t>
      </w:r>
      <w:r w:rsidRPr="007E4A0F">
        <w:t>Union de Madrid ont été la deuxième source de recettes</w:t>
      </w:r>
      <w:r w:rsidR="00436296" w:rsidRPr="007E4A0F">
        <w:t xml:space="preserve"> en importance</w:t>
      </w:r>
      <w:r w:rsidRPr="007E4A0F">
        <w:t xml:space="preserve"> pour l</w:t>
      </w:r>
      <w:r w:rsidR="00B274E6" w:rsidRPr="007E4A0F">
        <w:t>’</w:t>
      </w:r>
      <w:r w:rsidRPr="007E4A0F">
        <w:t>Organisation</w:t>
      </w:r>
      <w:r w:rsidR="00436296" w:rsidRPr="007E4A0F">
        <w:t>, avec 15,5% du total.  Les recettes de l</w:t>
      </w:r>
      <w:r w:rsidR="00B274E6" w:rsidRPr="007E4A0F">
        <w:t>’</w:t>
      </w:r>
      <w:r w:rsidR="00436296" w:rsidRPr="007E4A0F">
        <w:t xml:space="preserve">Union de Madrid </w:t>
      </w:r>
      <w:r w:rsidR="0012066D" w:rsidRPr="007E4A0F">
        <w:t xml:space="preserve">Revenue </w:t>
      </w:r>
      <w:r w:rsidR="00436296" w:rsidRPr="007E4A0F">
        <w:t>ont connu une baisse de 2% par rapport à 2013.  Elles avaient augmenté de 7,6% en</w:t>
      </w:r>
      <w:r w:rsidR="006C7CFD" w:rsidRPr="007E4A0F">
        <w:t> </w:t>
      </w:r>
      <w:r w:rsidR="00436296" w:rsidRPr="007E4A0F">
        <w:t>2013 par rapport à 2012.  Les recettes de l</w:t>
      </w:r>
      <w:r w:rsidR="00B274E6" w:rsidRPr="007E4A0F">
        <w:t>’</w:t>
      </w:r>
      <w:r w:rsidR="00436296" w:rsidRPr="007E4A0F">
        <w:t xml:space="preserve">Union de </w:t>
      </w:r>
      <w:r w:rsidR="00B274E6" w:rsidRPr="007E4A0F">
        <w:t>La Haye</w:t>
      </w:r>
      <w:r w:rsidR="00436296" w:rsidRPr="007E4A0F">
        <w:t xml:space="preserve"> </w:t>
      </w:r>
      <w:r w:rsidR="00A61BB9" w:rsidRPr="007E4A0F">
        <w:t>ont baissé de 604 000</w:t>
      </w:r>
      <w:r w:rsidR="006C7CFD" w:rsidRPr="007E4A0F">
        <w:t> </w:t>
      </w:r>
      <w:r w:rsidR="00A61BB9" w:rsidRPr="007E4A0F">
        <w:t>francs suisses en</w:t>
      </w:r>
      <w:r w:rsidR="006C7CFD" w:rsidRPr="007E4A0F">
        <w:t> </w:t>
      </w:r>
      <w:r w:rsidR="00A61BB9" w:rsidRPr="007E4A0F">
        <w:t>2014 par rapport à l</w:t>
      </w:r>
      <w:r w:rsidR="00B274E6" w:rsidRPr="007E4A0F">
        <w:t>’</w:t>
      </w:r>
      <w:r w:rsidR="00A61BB9" w:rsidRPr="007E4A0F">
        <w:t>année précédente.</w:t>
      </w:r>
    </w:p>
    <w:p w:rsidR="00947AF6" w:rsidRPr="007E4A0F" w:rsidRDefault="00547025" w:rsidP="00547025">
      <w:pPr>
        <w:pStyle w:val="Style1"/>
      </w:pPr>
      <w:r w:rsidRPr="007E4A0F">
        <w:t>Les recettes des contributions statutaires de 17,9</w:t>
      </w:r>
      <w:r w:rsidR="006C7CFD" w:rsidRPr="007E4A0F">
        <w:t> </w:t>
      </w:r>
      <w:r w:rsidRPr="007E4A0F">
        <w:t>millions de francs suisses ont représenté 4,8% du total tandis que celles des contributions volontaires reçues au titre des comptes spéciaux à hauteur de 8,9</w:t>
      </w:r>
      <w:r w:rsidR="006C7CFD" w:rsidRPr="007E4A0F">
        <w:t> </w:t>
      </w:r>
      <w:r w:rsidRPr="007E4A0F">
        <w:t>millions de francs suisses en ont représenté 2,4%.</w:t>
      </w:r>
    </w:p>
    <w:p w:rsidR="00947AF6" w:rsidRPr="007E4A0F" w:rsidRDefault="007402E7" w:rsidP="004E5982">
      <w:pPr>
        <w:pStyle w:val="Heading4"/>
        <w:rPr>
          <w:lang w:val="fr-FR"/>
        </w:rPr>
      </w:pPr>
      <w:r w:rsidRPr="007E4A0F">
        <w:rPr>
          <w:lang w:val="fr-FR"/>
        </w:rPr>
        <w:lastRenderedPageBreak/>
        <w:t>Dépenses</w:t>
      </w:r>
    </w:p>
    <w:p w:rsidR="00947AF6" w:rsidRPr="007E4A0F" w:rsidRDefault="007402E7" w:rsidP="004E5982">
      <w:pPr>
        <w:pStyle w:val="Style1"/>
      </w:pPr>
      <w:r w:rsidRPr="007E4A0F">
        <w:t>E</w:t>
      </w:r>
      <w:r w:rsidR="0012066D" w:rsidRPr="007E4A0F">
        <w:t>n</w:t>
      </w:r>
      <w:r w:rsidR="006C7CFD" w:rsidRPr="007E4A0F">
        <w:t> </w:t>
      </w:r>
      <w:r w:rsidR="0012066D" w:rsidRPr="007E4A0F">
        <w:t xml:space="preserve">2014, </w:t>
      </w:r>
      <w:r w:rsidRPr="007E4A0F">
        <w:t>les dépenses de l</w:t>
      </w:r>
      <w:r w:rsidR="00B274E6" w:rsidRPr="007E4A0F">
        <w:t>’</w:t>
      </w:r>
      <w:r w:rsidRPr="007E4A0F">
        <w:t>OMPI se sont élevées à 333,2</w:t>
      </w:r>
      <w:r w:rsidR="006C7CFD" w:rsidRPr="007E4A0F">
        <w:t> </w:t>
      </w:r>
      <w:r w:rsidRPr="007E4A0F">
        <w:t>millions de francs suisses, ce qui représente une diminution de 1% par rapport aux 336,5</w:t>
      </w:r>
      <w:r w:rsidR="006C7CFD" w:rsidRPr="007E4A0F">
        <w:t> </w:t>
      </w:r>
      <w:r w:rsidRPr="007E4A0F">
        <w:t xml:space="preserve">millions de francs suisses </w:t>
      </w:r>
      <w:r w:rsidR="00C06558" w:rsidRPr="007E4A0F">
        <w:t>de dépenses enregistrés en</w:t>
      </w:r>
      <w:r w:rsidR="006C7CFD" w:rsidRPr="007E4A0F">
        <w:t> </w:t>
      </w:r>
      <w:r w:rsidR="00C06558" w:rsidRPr="007E4A0F">
        <w:t>2013.</w:t>
      </w:r>
    </w:p>
    <w:p w:rsidR="00947AF6" w:rsidRPr="007E4A0F" w:rsidRDefault="00EA2D75" w:rsidP="004E5982">
      <w:pPr>
        <w:pStyle w:val="Style1"/>
      </w:pPr>
      <w:r w:rsidRPr="007E4A0F">
        <w:t>Tout à fait logiquement</w:t>
      </w:r>
      <w:r w:rsidR="00987C71" w:rsidRPr="007E4A0F">
        <w:t>, compte tenu des activités de l</w:t>
      </w:r>
      <w:r w:rsidR="00B274E6" w:rsidRPr="007E4A0F">
        <w:t>’</w:t>
      </w:r>
      <w:r w:rsidR="00987C71" w:rsidRPr="007E4A0F">
        <w:t>Organisation, le poste le plus important de ses dépenses pour</w:t>
      </w:r>
      <w:r w:rsidR="006C7CFD" w:rsidRPr="007E4A0F">
        <w:t> </w:t>
      </w:r>
      <w:r w:rsidR="00987C71" w:rsidRPr="007E4A0F">
        <w:t>2014 a été celui des frais de personnel, qui se sont élevées à 216,4</w:t>
      </w:r>
      <w:r w:rsidR="006C7CFD" w:rsidRPr="007E4A0F">
        <w:t> </w:t>
      </w:r>
      <w:r w:rsidR="00987C71" w:rsidRPr="007E4A0F">
        <w:t xml:space="preserve">millions de francs suisses, soit 64,9% des dépenses totales.  </w:t>
      </w:r>
      <w:r w:rsidR="002A75E4" w:rsidRPr="007E4A0F">
        <w:t>Les dépenses de personnel ont augmenté de 1,1% par rapport à 2013.</w:t>
      </w:r>
    </w:p>
    <w:p w:rsidR="00947AF6" w:rsidRPr="007E4A0F" w:rsidRDefault="00DB64FF" w:rsidP="004E5982">
      <w:pPr>
        <w:pStyle w:val="Style1"/>
      </w:pPr>
      <w:r w:rsidRPr="007E4A0F">
        <w:t>Les services contractuels sont restés la deuxième dépense en importance de l</w:t>
      </w:r>
      <w:r w:rsidR="00B274E6" w:rsidRPr="007E4A0F">
        <w:t>’</w:t>
      </w:r>
      <w:r w:rsidRPr="007E4A0F">
        <w:t>OMPI en</w:t>
      </w:r>
      <w:r w:rsidR="006C7CFD" w:rsidRPr="007E4A0F">
        <w:t> </w:t>
      </w:r>
      <w:r w:rsidRPr="007E4A0F">
        <w:t>2014, avec 63,6</w:t>
      </w:r>
      <w:r w:rsidR="006C7CFD" w:rsidRPr="007E4A0F">
        <w:t> </w:t>
      </w:r>
      <w:r w:rsidRPr="007E4A0F">
        <w:t xml:space="preserve">millions de francs suisses représentant 19,1% du total des dépenses.  </w:t>
      </w:r>
      <w:r w:rsidR="00985D31" w:rsidRPr="007E4A0F">
        <w:t>Les dépenses de services contractuels ont diminué de 2,2% par rapport à 2013.</w:t>
      </w:r>
    </w:p>
    <w:p w:rsidR="00B274E6" w:rsidRPr="007E4A0F" w:rsidRDefault="00137ACA" w:rsidP="004E5982">
      <w:pPr>
        <w:pStyle w:val="Style1"/>
      </w:pPr>
      <w:r w:rsidRPr="007E4A0F">
        <w:t>Les dépenses de fonctionnement se sont élevées pour</w:t>
      </w:r>
      <w:r w:rsidR="006C7CFD" w:rsidRPr="007E4A0F">
        <w:t> </w:t>
      </w:r>
      <w:r w:rsidRPr="007E4A0F">
        <w:t>2014 à 20,9</w:t>
      </w:r>
      <w:r w:rsidR="006C7CFD" w:rsidRPr="007E4A0F">
        <w:t> </w:t>
      </w:r>
      <w:r w:rsidRPr="007E4A0F">
        <w:t>millions de francs suisses, ce qui représente 6,3% des dépenses totales de l</w:t>
      </w:r>
      <w:r w:rsidR="00B274E6" w:rsidRPr="007E4A0F">
        <w:t>’</w:t>
      </w:r>
      <w:r w:rsidRPr="007E4A0F">
        <w:t>OMPI pour cette année.  Ces dépenses de fonctionnement sont inférieures de 1,3% à celles de</w:t>
      </w:r>
      <w:r w:rsidR="006C7CFD" w:rsidRPr="007E4A0F">
        <w:t> </w:t>
      </w:r>
      <w:r w:rsidRPr="007E4A0F">
        <w:t>2013.</w:t>
      </w:r>
    </w:p>
    <w:p w:rsidR="00947AF6" w:rsidRPr="007E4A0F" w:rsidRDefault="00704796" w:rsidP="004E5982">
      <w:pPr>
        <w:pStyle w:val="Style1"/>
      </w:pPr>
      <w:r w:rsidRPr="007E4A0F">
        <w:t>Les dépenses au titre des frais de voyage et bourses ont été de 15,4</w:t>
      </w:r>
      <w:r w:rsidR="006C7CFD" w:rsidRPr="007E4A0F">
        <w:t> </w:t>
      </w:r>
      <w:r w:rsidRPr="007E4A0F">
        <w:t>millions de francs suisses pour l</w:t>
      </w:r>
      <w:r w:rsidR="00B274E6" w:rsidRPr="007E4A0F">
        <w:t>’</w:t>
      </w:r>
      <w:r w:rsidR="0013409E" w:rsidRPr="007E4A0F">
        <w:t>exercice</w:t>
      </w:r>
      <w:r w:rsidRPr="007E4A0F">
        <w:t xml:space="preserve"> 2014, </w:t>
      </w:r>
      <w:r w:rsidR="0042077E" w:rsidRPr="007E4A0F">
        <w:t>soit</w:t>
      </w:r>
      <w:r w:rsidRPr="007E4A0F">
        <w:t xml:space="preserve"> 4,6% des dépenses totales</w:t>
      </w:r>
      <w:r w:rsidR="0042077E" w:rsidRPr="007E4A0F">
        <w:t>.</w:t>
      </w:r>
      <w:r w:rsidR="006C7CFD" w:rsidRPr="007E4A0F">
        <w:t xml:space="preserve"> </w:t>
      </w:r>
      <w:r w:rsidR="0042077E" w:rsidRPr="007E4A0F">
        <w:t xml:space="preserve"> Ce chiffre représente une baisse de </w:t>
      </w:r>
      <w:r w:rsidRPr="007E4A0F">
        <w:t>20% par rapport à 2013</w:t>
      </w:r>
      <w:r w:rsidR="0042077E" w:rsidRPr="007E4A0F">
        <w:t>.</w:t>
      </w:r>
    </w:p>
    <w:p w:rsidR="00947AF6" w:rsidRPr="007E4A0F" w:rsidRDefault="0013409E" w:rsidP="004E5982">
      <w:pPr>
        <w:pStyle w:val="Style1"/>
      </w:pPr>
      <w:r w:rsidRPr="007E4A0F">
        <w:t>Les dépenses de fournitures et matériel se sont élevées à 1,8</w:t>
      </w:r>
      <w:r w:rsidR="006C7CFD" w:rsidRPr="007E4A0F">
        <w:t> million</w:t>
      </w:r>
      <w:r w:rsidRPr="007E4A0F">
        <w:t xml:space="preserve"> de francs suisses pour l</w:t>
      </w:r>
      <w:r w:rsidR="00B274E6" w:rsidRPr="007E4A0F">
        <w:t>’</w:t>
      </w:r>
      <w:r w:rsidRPr="007E4A0F">
        <w:t xml:space="preserve">exercice 2014.  Elles étaient inférieures de 44,8% </w:t>
      </w:r>
      <w:r w:rsidR="00EA596F" w:rsidRPr="007E4A0F">
        <w:t>à celles de l</w:t>
      </w:r>
      <w:r w:rsidR="00B274E6" w:rsidRPr="007E4A0F">
        <w:t>’</w:t>
      </w:r>
      <w:r w:rsidR="00EA596F" w:rsidRPr="007E4A0F">
        <w:t>exercice 2013.</w:t>
      </w:r>
    </w:p>
    <w:p w:rsidR="00947AF6" w:rsidRPr="007E4A0F" w:rsidRDefault="00A4606A" w:rsidP="004E5982">
      <w:pPr>
        <w:pStyle w:val="Heading4"/>
        <w:rPr>
          <w:lang w:val="fr-FR"/>
        </w:rPr>
      </w:pPr>
      <w:r w:rsidRPr="007E4A0F">
        <w:rPr>
          <w:lang w:val="fr-FR"/>
        </w:rPr>
        <w:t>Position financière</w:t>
      </w:r>
    </w:p>
    <w:p w:rsidR="00B274E6" w:rsidRPr="007E4A0F" w:rsidRDefault="00CD0CBC" w:rsidP="00CD0CBC">
      <w:pPr>
        <w:pStyle w:val="Style1"/>
        <w:rPr>
          <w:bCs/>
        </w:rPr>
      </w:pPr>
      <w:r w:rsidRPr="007E4A0F">
        <w:rPr>
          <w:bCs/>
        </w:rPr>
        <w:t>Au 3</w:t>
      </w:r>
      <w:r w:rsidR="00B274E6" w:rsidRPr="007E4A0F">
        <w:rPr>
          <w:bCs/>
        </w:rPr>
        <w:t>1 décembre 20</w:t>
      </w:r>
      <w:r w:rsidRPr="007E4A0F">
        <w:rPr>
          <w:bCs/>
        </w:rPr>
        <w:t>14, l</w:t>
      </w:r>
      <w:r w:rsidR="00B274E6" w:rsidRPr="007E4A0F">
        <w:rPr>
          <w:bCs/>
        </w:rPr>
        <w:t>’</w:t>
      </w:r>
      <w:r w:rsidRPr="007E4A0F">
        <w:rPr>
          <w:bCs/>
        </w:rPr>
        <w:t>Organisation avait des actifs nets de 245,8</w:t>
      </w:r>
      <w:r w:rsidR="006C7CFD" w:rsidRPr="007E4A0F">
        <w:rPr>
          <w:bCs/>
        </w:rPr>
        <w:t> </w:t>
      </w:r>
      <w:r w:rsidRPr="007E4A0F">
        <w:rPr>
          <w:bCs/>
        </w:rPr>
        <w:t>millions de francs suisses, le total des actifs s</w:t>
      </w:r>
      <w:r w:rsidR="00B274E6" w:rsidRPr="007E4A0F">
        <w:rPr>
          <w:bCs/>
        </w:rPr>
        <w:t>’</w:t>
      </w:r>
      <w:r w:rsidRPr="007E4A0F">
        <w:rPr>
          <w:bCs/>
        </w:rPr>
        <w:t>élevant à 969,4</w:t>
      </w:r>
      <w:r w:rsidR="006C7CFD" w:rsidRPr="007E4A0F">
        <w:rPr>
          <w:bCs/>
        </w:rPr>
        <w:t> </w:t>
      </w:r>
      <w:r w:rsidRPr="007E4A0F">
        <w:rPr>
          <w:bCs/>
        </w:rPr>
        <w:t>millions de francs suisses et le total des passifs à 723,6</w:t>
      </w:r>
      <w:r w:rsidR="006C7CFD" w:rsidRPr="007E4A0F">
        <w:rPr>
          <w:bCs/>
        </w:rPr>
        <w:t> </w:t>
      </w:r>
      <w:r w:rsidRPr="007E4A0F">
        <w:rPr>
          <w:bCs/>
        </w:rPr>
        <w:t>millions de francs suisses.</w:t>
      </w:r>
      <w:r w:rsidR="0012066D" w:rsidRPr="007E4A0F">
        <w:t xml:space="preserve"> </w:t>
      </w:r>
      <w:r w:rsidR="009E41A6" w:rsidRPr="007E4A0F">
        <w:t xml:space="preserve"> </w:t>
      </w:r>
      <w:r w:rsidR="009720F5" w:rsidRPr="007E4A0F">
        <w:rPr>
          <w:bCs/>
        </w:rPr>
        <w:t>Le montant des actifs nets est passé de 208,8</w:t>
      </w:r>
      <w:r w:rsidR="006C7CFD" w:rsidRPr="007E4A0F">
        <w:rPr>
          <w:bCs/>
        </w:rPr>
        <w:t> </w:t>
      </w:r>
      <w:r w:rsidR="009720F5" w:rsidRPr="007E4A0F">
        <w:rPr>
          <w:bCs/>
        </w:rPr>
        <w:t>millions de francs suisses à la fin de l</w:t>
      </w:r>
      <w:r w:rsidR="00B274E6" w:rsidRPr="007E4A0F">
        <w:rPr>
          <w:bCs/>
        </w:rPr>
        <w:t>’</w:t>
      </w:r>
      <w:r w:rsidR="009720F5" w:rsidRPr="007E4A0F">
        <w:rPr>
          <w:bCs/>
        </w:rPr>
        <w:t>exercice 2013 à 245,8</w:t>
      </w:r>
      <w:r w:rsidR="006C7CFD" w:rsidRPr="007E4A0F">
        <w:rPr>
          <w:bCs/>
        </w:rPr>
        <w:t> </w:t>
      </w:r>
      <w:r w:rsidR="009720F5" w:rsidRPr="007E4A0F">
        <w:rPr>
          <w:bCs/>
        </w:rPr>
        <w:t>millions de francs suisses à la fin de l</w:t>
      </w:r>
      <w:r w:rsidR="00B274E6" w:rsidRPr="007E4A0F">
        <w:rPr>
          <w:bCs/>
        </w:rPr>
        <w:t>’</w:t>
      </w:r>
      <w:r w:rsidR="009720F5" w:rsidRPr="007E4A0F">
        <w:rPr>
          <w:bCs/>
        </w:rPr>
        <w:t xml:space="preserve">exercice 2014 </w:t>
      </w:r>
      <w:r w:rsidR="007F6D0A" w:rsidRPr="007E4A0F">
        <w:rPr>
          <w:bCs/>
        </w:rPr>
        <w:t>du fait</w:t>
      </w:r>
      <w:r w:rsidR="009720F5" w:rsidRPr="007E4A0F">
        <w:rPr>
          <w:bCs/>
        </w:rPr>
        <w:t xml:space="preserve"> de l</w:t>
      </w:r>
      <w:r w:rsidR="00B274E6" w:rsidRPr="007E4A0F">
        <w:rPr>
          <w:bCs/>
        </w:rPr>
        <w:t>’</w:t>
      </w:r>
      <w:r w:rsidR="009720F5" w:rsidRPr="007E4A0F">
        <w:rPr>
          <w:bCs/>
        </w:rPr>
        <w:t>excédent de 37</w:t>
      </w:r>
      <w:r w:rsidR="006C7CFD" w:rsidRPr="007E4A0F">
        <w:rPr>
          <w:bCs/>
        </w:rPr>
        <w:t> </w:t>
      </w:r>
      <w:r w:rsidR="00AA30B6" w:rsidRPr="007E4A0F">
        <w:rPr>
          <w:bCs/>
        </w:rPr>
        <w:t>millions de francs suisses enregistré pour</w:t>
      </w:r>
      <w:r w:rsidR="006C7CFD" w:rsidRPr="007E4A0F">
        <w:rPr>
          <w:bCs/>
        </w:rPr>
        <w:t> </w:t>
      </w:r>
      <w:r w:rsidR="00AA30B6" w:rsidRPr="007E4A0F">
        <w:rPr>
          <w:bCs/>
        </w:rPr>
        <w:t>2014.</w:t>
      </w:r>
    </w:p>
    <w:p w:rsidR="00947AF6" w:rsidRPr="007E4A0F" w:rsidRDefault="00947AF6" w:rsidP="004E5982">
      <w:pPr>
        <w:jc w:val="center"/>
        <w:rPr>
          <w:lang w:val="fr-FR"/>
        </w:rPr>
      </w:pPr>
    </w:p>
    <w:p w:rsidR="00947AF6" w:rsidRPr="007E4A0F" w:rsidRDefault="00D54C62" w:rsidP="004E5982">
      <w:pPr>
        <w:jc w:val="center"/>
        <w:rPr>
          <w:lang w:val="fr-FR"/>
        </w:rPr>
      </w:pPr>
      <w:r w:rsidRPr="007E4A0F">
        <w:rPr>
          <w:noProof/>
          <w:lang w:val="en-US" w:eastAsia="en-US"/>
        </w:rPr>
        <w:lastRenderedPageBreak/>
        <w:drawing>
          <wp:inline distT="0" distB="0" distL="0" distR="0" wp14:anchorId="55E6E990" wp14:editId="169B2463">
            <wp:extent cx="4579620"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a:ln>
                      <a:noFill/>
                    </a:ln>
                  </pic:spPr>
                </pic:pic>
              </a:graphicData>
            </a:graphic>
          </wp:inline>
        </w:drawing>
      </w:r>
    </w:p>
    <w:p w:rsidR="00D54C62" w:rsidRPr="007E4A0F" w:rsidRDefault="00D54C62" w:rsidP="004E5982">
      <w:pPr>
        <w:jc w:val="center"/>
        <w:rPr>
          <w:lang w:val="fr-FR"/>
        </w:rPr>
      </w:pPr>
    </w:p>
    <w:p w:rsidR="00947AF6" w:rsidRPr="007E4A0F" w:rsidRDefault="006005B3" w:rsidP="004E5982">
      <w:pPr>
        <w:pStyle w:val="Heading4"/>
        <w:rPr>
          <w:lang w:val="fr-FR"/>
        </w:rPr>
      </w:pPr>
      <w:r w:rsidRPr="007E4A0F">
        <w:rPr>
          <w:lang w:val="fr-FR"/>
        </w:rPr>
        <w:t>Performance budgétaire</w:t>
      </w:r>
    </w:p>
    <w:p w:rsidR="00947AF6" w:rsidRPr="007E4A0F" w:rsidRDefault="004A7AB2" w:rsidP="004E5982">
      <w:pPr>
        <w:pStyle w:val="Style1"/>
      </w:pPr>
      <w:r w:rsidRPr="007E4A0F">
        <w:t>L</w:t>
      </w:r>
      <w:r w:rsidR="009C1065" w:rsidRPr="007E4A0F">
        <w:t>es budgets de l</w:t>
      </w:r>
      <w:r w:rsidR="00B274E6" w:rsidRPr="007E4A0F">
        <w:t>’</w:t>
      </w:r>
      <w:r w:rsidRPr="007E4A0F">
        <w:t xml:space="preserve">OMPI </w:t>
      </w:r>
      <w:r w:rsidR="009C1065" w:rsidRPr="007E4A0F">
        <w:t>sont</w:t>
      </w:r>
      <w:r w:rsidRPr="007E4A0F">
        <w:t xml:space="preserve"> bienna</w:t>
      </w:r>
      <w:r w:rsidR="00070496" w:rsidRPr="007E4A0F">
        <w:t>ux</w:t>
      </w:r>
      <w:r w:rsidRPr="007E4A0F">
        <w:t>.</w:t>
      </w:r>
      <w:r w:rsidR="0012066D" w:rsidRPr="007E4A0F">
        <w:t xml:space="preserve"> </w:t>
      </w:r>
      <w:r w:rsidRPr="007E4A0F">
        <w:t xml:space="preserve"> </w:t>
      </w:r>
      <w:r w:rsidR="00422C8A" w:rsidRPr="007E4A0F">
        <w:t>Les assemblées des États membres de l</w:t>
      </w:r>
      <w:r w:rsidR="00B274E6" w:rsidRPr="007E4A0F">
        <w:t>’</w:t>
      </w:r>
      <w:r w:rsidR="00422C8A" w:rsidRPr="007E4A0F">
        <w:t>OMPI ont approuvé</w:t>
      </w:r>
      <w:r w:rsidR="00BB4C36" w:rsidRPr="007E4A0F">
        <w:t>, le 1</w:t>
      </w:r>
      <w:r w:rsidR="00B274E6" w:rsidRPr="007E4A0F">
        <w:t>2 décembre 20</w:t>
      </w:r>
      <w:r w:rsidR="00BB4C36" w:rsidRPr="007E4A0F">
        <w:t>13, un budget de 674</w:t>
      </w:r>
      <w:r w:rsidR="006C7CFD" w:rsidRPr="007E4A0F">
        <w:t> </w:t>
      </w:r>
      <w:r w:rsidR="00BB4C36" w:rsidRPr="007E4A0F">
        <w:t>millions de francs suisses pour l</w:t>
      </w:r>
      <w:r w:rsidR="00B274E6" w:rsidRPr="007E4A0F">
        <w:t>’</w:t>
      </w:r>
      <w:r w:rsidR="00BB4C36" w:rsidRPr="007E4A0F">
        <w:t>exercice biennal</w:t>
      </w:r>
      <w:r w:rsidR="006C7CFD" w:rsidRPr="007E4A0F">
        <w:t> </w:t>
      </w:r>
      <w:r w:rsidR="00BB4C36" w:rsidRPr="007E4A0F">
        <w:t xml:space="preserve">2014 – 2015.  </w:t>
      </w:r>
      <w:r w:rsidR="00593536" w:rsidRPr="007E4A0F">
        <w:t>Le budget annuel établi par l</w:t>
      </w:r>
      <w:r w:rsidR="00B274E6" w:rsidRPr="007E4A0F">
        <w:t>’</w:t>
      </w:r>
      <w:r w:rsidR="00593536" w:rsidRPr="007E4A0F">
        <w:t>OMPI conformément aux exigences des normes</w:t>
      </w:r>
      <w:r w:rsidR="006C7CFD" w:rsidRPr="007E4A0F">
        <w:t> </w:t>
      </w:r>
      <w:r w:rsidR="00593536" w:rsidRPr="007E4A0F">
        <w:t>IPSAS prévoyait des recettes totales de 351,3</w:t>
      </w:r>
      <w:r w:rsidR="006C7CFD" w:rsidRPr="007E4A0F">
        <w:t> </w:t>
      </w:r>
      <w:r w:rsidR="00593536" w:rsidRPr="007E4A0F">
        <w:t>millions de francs suisses pour</w:t>
      </w:r>
      <w:r w:rsidR="006C7CFD" w:rsidRPr="007E4A0F">
        <w:t> </w:t>
      </w:r>
      <w:r w:rsidR="00593536" w:rsidRPr="007E4A0F">
        <w:t>2014.  Les recettes totales réelles</w:t>
      </w:r>
      <w:r w:rsidR="00C97B87" w:rsidRPr="007E4A0F">
        <w:t xml:space="preserve"> enregistrées au cours de cette année ont été de 378,7</w:t>
      </w:r>
      <w:r w:rsidR="006C7CFD" w:rsidRPr="007E4A0F">
        <w:t> </w:t>
      </w:r>
      <w:r w:rsidR="00C97B87" w:rsidRPr="007E4A0F">
        <w:t>millions de francs suisses, soit 27,4</w:t>
      </w:r>
      <w:r w:rsidR="006C7CFD" w:rsidRPr="007E4A0F">
        <w:t> </w:t>
      </w:r>
      <w:r w:rsidR="00C97B87" w:rsidRPr="007E4A0F">
        <w:t>millions de francs suisses de plus que l</w:t>
      </w:r>
      <w:r w:rsidR="00B274E6" w:rsidRPr="007E4A0F">
        <w:t>’</w:t>
      </w:r>
      <w:r w:rsidR="00C97B87" w:rsidRPr="007E4A0F">
        <w:t>estimation budgétaire.  Les dépenses totales se sont élevées pour cette même année à 308,8</w:t>
      </w:r>
      <w:r w:rsidR="006C7CFD" w:rsidRPr="007E4A0F">
        <w:t> </w:t>
      </w:r>
      <w:r w:rsidR="00C97B87" w:rsidRPr="007E4A0F">
        <w:t>millions de francs suisses, soit 28,2</w:t>
      </w:r>
      <w:r w:rsidR="006C7CFD" w:rsidRPr="007E4A0F">
        <w:t> </w:t>
      </w:r>
      <w:r w:rsidR="00C97B87" w:rsidRPr="007E4A0F">
        <w:t>millions de francs suisses de moins que l</w:t>
      </w:r>
      <w:r w:rsidR="00B274E6" w:rsidRPr="007E4A0F">
        <w:t>’</w:t>
      </w:r>
      <w:r w:rsidR="00C97B87" w:rsidRPr="007E4A0F">
        <w:t>estimation budgétaire.</w:t>
      </w:r>
    </w:p>
    <w:p w:rsidR="00947AF6" w:rsidRPr="007E4A0F" w:rsidRDefault="00C057D9" w:rsidP="004E5982">
      <w:pPr>
        <w:pStyle w:val="Heading4"/>
        <w:rPr>
          <w:lang w:val="fr-FR"/>
        </w:rPr>
      </w:pPr>
      <w:r w:rsidRPr="007E4A0F">
        <w:rPr>
          <w:lang w:val="fr-FR"/>
        </w:rPr>
        <w:t>Améliorations apportées dans les états financiers de l</w:t>
      </w:r>
      <w:r w:rsidR="00B274E6" w:rsidRPr="007E4A0F">
        <w:rPr>
          <w:lang w:val="fr-FR"/>
        </w:rPr>
        <w:t>’</w:t>
      </w:r>
      <w:r w:rsidRPr="007E4A0F">
        <w:rPr>
          <w:lang w:val="fr-FR"/>
        </w:rPr>
        <w:t>exercice 2014 à la suite de l</w:t>
      </w:r>
      <w:r w:rsidR="00B274E6" w:rsidRPr="007E4A0F">
        <w:rPr>
          <w:lang w:val="fr-FR"/>
        </w:rPr>
        <w:t>’</w:t>
      </w:r>
      <w:r w:rsidRPr="007E4A0F">
        <w:rPr>
          <w:lang w:val="fr-FR"/>
        </w:rPr>
        <w:t>audit externe</w:t>
      </w:r>
    </w:p>
    <w:p w:rsidR="00947AF6" w:rsidRPr="007E4A0F" w:rsidRDefault="00AD39C9" w:rsidP="004E5982">
      <w:pPr>
        <w:pStyle w:val="Style1"/>
      </w:pPr>
      <w:r w:rsidRPr="007E4A0F">
        <w:t>Nous nous félicitons de</w:t>
      </w:r>
      <w:r w:rsidR="00CE6A0E" w:rsidRPr="007E4A0F">
        <w:t xml:space="preserve"> ce que la direction ait apporté des</w:t>
      </w:r>
      <w:r w:rsidRPr="007E4A0F">
        <w:t xml:space="preserve"> modifications et améliorations</w:t>
      </w:r>
      <w:r w:rsidR="00CE6A0E" w:rsidRPr="007E4A0F">
        <w:t xml:space="preserve"> </w:t>
      </w:r>
      <w:r w:rsidRPr="007E4A0F">
        <w:t>dans les états financiers de l</w:t>
      </w:r>
      <w:r w:rsidR="00B274E6" w:rsidRPr="007E4A0F">
        <w:t>’</w:t>
      </w:r>
      <w:r w:rsidRPr="007E4A0F">
        <w:t>exercice 2014</w:t>
      </w:r>
      <w:r w:rsidR="00CE6A0E" w:rsidRPr="007E4A0F">
        <w:t xml:space="preserve"> sur la base des observations de l</w:t>
      </w:r>
      <w:r w:rsidR="00B274E6" w:rsidRPr="007E4A0F">
        <w:t>’</w:t>
      </w:r>
      <w:r w:rsidR="00CE6A0E" w:rsidRPr="007E4A0F">
        <w:t>audit externe</w:t>
      </w:r>
      <w:r w:rsidRPr="007E4A0F">
        <w:t xml:space="preserve">.  </w:t>
      </w:r>
      <w:r w:rsidR="007A0085" w:rsidRPr="007E4A0F">
        <w:t xml:space="preserve">Les améliorations suivantes </w:t>
      </w:r>
      <w:r w:rsidR="00CE6A0E" w:rsidRPr="007E4A0F">
        <w:t>figure</w:t>
      </w:r>
      <w:r w:rsidR="007A0085" w:rsidRPr="007E4A0F">
        <w:t>nt parmi les plus importantes :</w:t>
      </w:r>
    </w:p>
    <w:p w:rsidR="00947AF6" w:rsidRPr="007E4A0F" w:rsidRDefault="00E97550" w:rsidP="00E26B4E">
      <w:pPr>
        <w:pStyle w:val="Style2"/>
      </w:pPr>
      <w:r w:rsidRPr="007E4A0F">
        <w:t>l</w:t>
      </w:r>
      <w:r w:rsidR="007026B3" w:rsidRPr="007E4A0F">
        <w:t xml:space="preserve">es </w:t>
      </w:r>
      <w:r w:rsidR="001B5769" w:rsidRPr="007E4A0F">
        <w:t>charges financières</w:t>
      </w:r>
      <w:r w:rsidR="003E2954" w:rsidRPr="007E4A0F">
        <w:t xml:space="preserve"> survenu</w:t>
      </w:r>
      <w:r w:rsidR="001B5769" w:rsidRPr="007E4A0F">
        <w:t>e</w:t>
      </w:r>
      <w:r w:rsidR="003E2954" w:rsidRPr="007E4A0F">
        <w:t>s au cours de l</w:t>
      </w:r>
      <w:r w:rsidR="00B274E6" w:rsidRPr="007E4A0F">
        <w:t>’</w:t>
      </w:r>
      <w:r w:rsidR="003E2954" w:rsidRPr="007E4A0F">
        <w:t>exercice 2014, lesquel</w:t>
      </w:r>
      <w:r w:rsidR="001B5769" w:rsidRPr="007E4A0F">
        <w:t>le</w:t>
      </w:r>
      <w:r w:rsidR="003E2954" w:rsidRPr="007E4A0F">
        <w:t>s s</w:t>
      </w:r>
      <w:r w:rsidR="00B274E6" w:rsidRPr="007E4A0F">
        <w:t>’</w:t>
      </w:r>
      <w:r w:rsidR="003E2954" w:rsidRPr="007E4A0F">
        <w:t>élèvent à 3,26</w:t>
      </w:r>
      <w:r w:rsidR="006C7CFD" w:rsidRPr="007E4A0F">
        <w:t> </w:t>
      </w:r>
      <w:r w:rsidR="003E2954" w:rsidRPr="007E4A0F">
        <w:t xml:space="preserve">millions de francs suisses, ont été </w:t>
      </w:r>
      <w:r w:rsidR="001B5769" w:rsidRPr="007E4A0F">
        <w:t xml:space="preserve">présentées </w:t>
      </w:r>
      <w:r w:rsidR="00CC670C" w:rsidRPr="007E4A0F">
        <w:t xml:space="preserve">séparément </w:t>
      </w:r>
      <w:r w:rsidR="001B5769" w:rsidRPr="007E4A0F">
        <w:t>dans un poste de l</w:t>
      </w:r>
      <w:r w:rsidR="00B274E6" w:rsidRPr="007E4A0F">
        <w:t>’</w:t>
      </w:r>
      <w:r w:rsidR="001B5769" w:rsidRPr="007E4A0F">
        <w:t xml:space="preserve">état de la performance financière, </w:t>
      </w:r>
      <w:r w:rsidR="00CC670C" w:rsidRPr="007E4A0F">
        <w:t>conformément au</w:t>
      </w:r>
      <w:r w:rsidR="001B5769" w:rsidRPr="007E4A0F">
        <w:t xml:space="preserve"> paragraphe</w:t>
      </w:r>
      <w:r w:rsidR="006C7CFD" w:rsidRPr="007E4A0F">
        <w:t> </w:t>
      </w:r>
      <w:r w:rsidR="001B5769" w:rsidRPr="007E4A0F">
        <w:t>102</w:t>
      </w:r>
      <w:r w:rsidRPr="007E4A0F">
        <w:t xml:space="preserve"> de la norme</w:t>
      </w:r>
      <w:r w:rsidR="006C7CFD" w:rsidRPr="007E4A0F">
        <w:t> </w:t>
      </w:r>
      <w:r w:rsidR="006B51E0" w:rsidRPr="007E4A0F">
        <w:t>IPSAS </w:t>
      </w:r>
      <w:r w:rsidRPr="007E4A0F">
        <w:t>1;</w:t>
      </w:r>
    </w:p>
    <w:p w:rsidR="00947AF6" w:rsidRPr="007E4A0F" w:rsidRDefault="00E97550" w:rsidP="00CC670C">
      <w:pPr>
        <w:pStyle w:val="Style2"/>
      </w:pPr>
      <w:r w:rsidRPr="007E4A0F">
        <w:t>l</w:t>
      </w:r>
      <w:r w:rsidR="00B274E6" w:rsidRPr="007E4A0F">
        <w:t>’</w:t>
      </w:r>
      <w:r w:rsidR="00CC670C" w:rsidRPr="007E4A0F">
        <w:t>effet des variations des cours de change sur la trésorerie et les équivalents de trésorerie, lequel se solde par un profit de 2,14</w:t>
      </w:r>
      <w:r w:rsidR="006C7CFD" w:rsidRPr="007E4A0F">
        <w:t> </w:t>
      </w:r>
      <w:r w:rsidR="00CC670C" w:rsidRPr="007E4A0F">
        <w:t xml:space="preserve">millions de francs suisses, a été présenté dans </w:t>
      </w:r>
      <w:r w:rsidR="000334D2" w:rsidRPr="007E4A0F">
        <w:t>le tableau des flux de trésorerie, conformément au paragraphe</w:t>
      </w:r>
      <w:r w:rsidR="006C7CFD" w:rsidRPr="007E4A0F">
        <w:t> </w:t>
      </w:r>
      <w:r w:rsidR="000334D2" w:rsidRPr="007E4A0F">
        <w:t>39 de la norme</w:t>
      </w:r>
      <w:r w:rsidR="006C7CFD" w:rsidRPr="007E4A0F">
        <w:t> </w:t>
      </w:r>
      <w:r w:rsidRPr="007E4A0F">
        <w:t>IPSAS</w:t>
      </w:r>
      <w:r w:rsidR="006B51E0" w:rsidRPr="007E4A0F">
        <w:t> </w:t>
      </w:r>
      <w:r w:rsidRPr="007E4A0F">
        <w:t>2;</w:t>
      </w:r>
    </w:p>
    <w:p w:rsidR="00947AF6" w:rsidRPr="007E4A0F" w:rsidRDefault="002D333D" w:rsidP="00E26B4E">
      <w:pPr>
        <w:pStyle w:val="Style2"/>
      </w:pPr>
      <w:r w:rsidRPr="007E4A0F">
        <w:t xml:space="preserve">219 éléments de stocks manquants </w:t>
      </w:r>
      <w:r w:rsidR="00E2795E" w:rsidRPr="007E4A0F">
        <w:t>ayant un coût d</w:t>
      </w:r>
      <w:r w:rsidR="00B274E6" w:rsidRPr="007E4A0F">
        <w:t>’</w:t>
      </w:r>
      <w:r w:rsidR="00E2795E" w:rsidRPr="007E4A0F">
        <w:t>acquisition de 759 439</w:t>
      </w:r>
      <w:r w:rsidR="006C7CFD" w:rsidRPr="007E4A0F">
        <w:t> </w:t>
      </w:r>
      <w:r w:rsidR="00E2795E" w:rsidRPr="007E4A0F">
        <w:t xml:space="preserve">francs suisses et une valeur </w:t>
      </w:r>
      <w:r w:rsidR="008963D9" w:rsidRPr="007E4A0F">
        <w:t>nette comptable</w:t>
      </w:r>
      <w:r w:rsidR="00E2795E" w:rsidRPr="007E4A0F">
        <w:t xml:space="preserve"> de </w:t>
      </w:r>
      <w:r w:rsidR="006C7CFD" w:rsidRPr="007E4A0F">
        <w:t>5656 </w:t>
      </w:r>
      <w:r w:rsidR="00E2795E" w:rsidRPr="007E4A0F">
        <w:t>francs suisse</w:t>
      </w:r>
      <w:r w:rsidR="008963D9" w:rsidRPr="007E4A0F">
        <w:t xml:space="preserve">s </w:t>
      </w:r>
      <w:r w:rsidRPr="007E4A0F">
        <w:t>ont été retirés des livres</w:t>
      </w:r>
      <w:r w:rsidR="009C1065" w:rsidRPr="007E4A0F">
        <w:t>;</w:t>
      </w:r>
    </w:p>
    <w:p w:rsidR="00947AF6" w:rsidRPr="007E4A0F" w:rsidRDefault="009C1065" w:rsidP="00E26B4E">
      <w:pPr>
        <w:pStyle w:val="Style2"/>
      </w:pPr>
      <w:r w:rsidRPr="007E4A0F">
        <w:lastRenderedPageBreak/>
        <w:t>l</w:t>
      </w:r>
      <w:r w:rsidR="00C20924" w:rsidRPr="007E4A0F">
        <w:t xml:space="preserve">es </w:t>
      </w:r>
      <w:r w:rsidR="005D741D" w:rsidRPr="007E4A0F">
        <w:t xml:space="preserve">impôts </w:t>
      </w:r>
      <w:r w:rsidR="00523FE7" w:rsidRPr="007E4A0F">
        <w:t>d</w:t>
      </w:r>
      <w:r w:rsidR="005D741D" w:rsidRPr="007E4A0F">
        <w:t>es États</w:t>
      </w:r>
      <w:r w:rsidR="00CB1BDA" w:rsidRPr="007E4A0F">
        <w:noBreakHyphen/>
      </w:r>
      <w:r w:rsidR="005D741D" w:rsidRPr="007E4A0F">
        <w:t>Unis d</w:t>
      </w:r>
      <w:r w:rsidR="00B274E6" w:rsidRPr="007E4A0F">
        <w:t>’</w:t>
      </w:r>
      <w:r w:rsidR="005D741D" w:rsidRPr="007E4A0F">
        <w:t>Amérique</w:t>
      </w:r>
      <w:r w:rsidR="00523FE7" w:rsidRPr="007E4A0F">
        <w:t xml:space="preserve"> remboursables</w:t>
      </w:r>
      <w:r w:rsidR="005D741D" w:rsidRPr="007E4A0F">
        <w:t xml:space="preserve"> </w:t>
      </w:r>
      <w:r w:rsidR="00523FE7" w:rsidRPr="007E4A0F">
        <w:t>figurant dans les comptes</w:t>
      </w:r>
      <w:r w:rsidR="009133D0" w:rsidRPr="007E4A0F">
        <w:t xml:space="preserve"> de</w:t>
      </w:r>
      <w:r w:rsidR="00523FE7" w:rsidRPr="007E4A0F">
        <w:t xml:space="preserve"> débiteurs </w:t>
      </w:r>
      <w:r w:rsidR="005D741D" w:rsidRPr="007E4A0F">
        <w:t>(</w:t>
      </w:r>
      <w:r w:rsidR="00523FE7" w:rsidRPr="007E4A0F">
        <w:t>opérations</w:t>
      </w:r>
      <w:r w:rsidR="005D741D" w:rsidRPr="007E4A0F">
        <w:t xml:space="preserve"> de change) </w:t>
      </w:r>
      <w:r w:rsidR="00182DF7" w:rsidRPr="007E4A0F">
        <w:t>ont été réévalués de manière à présenter leur juste valeur conformément à IPSAS 30, et une partie de ces derniers (3,39</w:t>
      </w:r>
      <w:r w:rsidR="006C7CFD" w:rsidRPr="007E4A0F">
        <w:t> </w:t>
      </w:r>
      <w:r w:rsidR="00182DF7" w:rsidRPr="007E4A0F">
        <w:t xml:space="preserve">millions de francs suisses) a été classée </w:t>
      </w:r>
      <w:r w:rsidR="003F3D9D" w:rsidRPr="007E4A0F">
        <w:t>en</w:t>
      </w:r>
      <w:r w:rsidR="00182DF7" w:rsidRPr="007E4A0F">
        <w:t xml:space="preserve"> actif non courant.</w:t>
      </w:r>
    </w:p>
    <w:p w:rsidR="00947AF6" w:rsidRPr="007E4A0F" w:rsidRDefault="00CD0CBC" w:rsidP="00CD0CBC">
      <w:pPr>
        <w:pStyle w:val="Heading2"/>
        <w:rPr>
          <w:lang w:val="fr-FR"/>
        </w:rPr>
      </w:pPr>
      <w:r w:rsidRPr="007E4A0F">
        <w:rPr>
          <w:lang w:val="fr-FR"/>
        </w:rPr>
        <w:t>Résultats de l</w:t>
      </w:r>
      <w:r w:rsidR="00B274E6" w:rsidRPr="007E4A0F">
        <w:rPr>
          <w:lang w:val="fr-FR"/>
        </w:rPr>
        <w:t>’</w:t>
      </w:r>
      <w:r w:rsidRPr="007E4A0F">
        <w:rPr>
          <w:lang w:val="fr-FR"/>
        </w:rPr>
        <w:t>audit</w:t>
      </w:r>
    </w:p>
    <w:p w:rsidR="00947AF6" w:rsidRPr="007E4A0F" w:rsidRDefault="00CD0CBC" w:rsidP="00CD0CBC">
      <w:pPr>
        <w:pStyle w:val="Heading3"/>
        <w:rPr>
          <w:lang w:val="fr-FR"/>
        </w:rPr>
      </w:pPr>
      <w:r w:rsidRPr="007E4A0F">
        <w:rPr>
          <w:lang w:val="fr-FR"/>
        </w:rPr>
        <w:t>Questions financières</w:t>
      </w:r>
    </w:p>
    <w:p w:rsidR="00947AF6" w:rsidRPr="007E4A0F" w:rsidRDefault="00C6457D" w:rsidP="004E5982">
      <w:pPr>
        <w:pStyle w:val="Heading4"/>
        <w:rPr>
          <w:lang w:val="fr-FR"/>
        </w:rPr>
      </w:pPr>
      <w:r w:rsidRPr="007E4A0F">
        <w:rPr>
          <w:lang w:val="fr-FR"/>
        </w:rPr>
        <w:t>Comptes de débiteurs, avances et paiements anticipés</w:t>
      </w:r>
    </w:p>
    <w:p w:rsidR="00947AF6" w:rsidRPr="007E4A0F" w:rsidRDefault="00751173" w:rsidP="004E5982">
      <w:pPr>
        <w:pStyle w:val="Style1"/>
      </w:pPr>
      <w:r w:rsidRPr="007E4A0F">
        <w:t>Le solde du compte d</w:t>
      </w:r>
      <w:r w:rsidR="00B274E6" w:rsidRPr="007E4A0F">
        <w:t>’</w:t>
      </w:r>
      <w:r w:rsidRPr="007E4A0F">
        <w:t>impôts des États</w:t>
      </w:r>
      <w:r w:rsidR="00CB1BDA" w:rsidRPr="007E4A0F">
        <w:noBreakHyphen/>
      </w:r>
      <w:r w:rsidRPr="007E4A0F">
        <w:t>Unis d</w:t>
      </w:r>
      <w:r w:rsidR="00B274E6" w:rsidRPr="007E4A0F">
        <w:t>’</w:t>
      </w:r>
      <w:r w:rsidRPr="007E4A0F">
        <w:t>Amérique remboursables correspond aux impôts sur le revenu des employés de l</w:t>
      </w:r>
      <w:r w:rsidR="00B274E6" w:rsidRPr="007E4A0F">
        <w:t>’</w:t>
      </w:r>
      <w:r w:rsidRPr="007E4A0F">
        <w:t>OMPI travaillant aux États</w:t>
      </w:r>
      <w:r w:rsidR="00CB1BDA" w:rsidRPr="007E4A0F">
        <w:noBreakHyphen/>
      </w:r>
      <w:r w:rsidRPr="007E4A0F">
        <w:t>Unis d</w:t>
      </w:r>
      <w:r w:rsidR="00B274E6" w:rsidRPr="007E4A0F">
        <w:t>’</w:t>
      </w:r>
      <w:r w:rsidRPr="007E4A0F">
        <w:t>Amérique</w:t>
      </w:r>
      <w:r w:rsidR="00FD612F" w:rsidRPr="007E4A0F">
        <w:t xml:space="preserve"> qui sont payés par l</w:t>
      </w:r>
      <w:r w:rsidR="00B274E6" w:rsidRPr="007E4A0F">
        <w:t>’</w:t>
      </w:r>
      <w:r w:rsidR="00FD612F" w:rsidRPr="007E4A0F">
        <w:t>OMPI pour le compte de ces employés et remboursés par la suite par les États</w:t>
      </w:r>
      <w:r w:rsidR="00CB1BDA" w:rsidRPr="007E4A0F">
        <w:noBreakHyphen/>
      </w:r>
      <w:r w:rsidR="00FD612F" w:rsidRPr="007E4A0F">
        <w:t>Unis d</w:t>
      </w:r>
      <w:r w:rsidR="00B274E6" w:rsidRPr="007E4A0F">
        <w:t>’</w:t>
      </w:r>
      <w:r w:rsidR="00FD612F" w:rsidRPr="007E4A0F">
        <w:t>Amérique en vertu d</w:t>
      </w:r>
      <w:r w:rsidR="00B274E6" w:rsidRPr="007E4A0F">
        <w:t>’</w:t>
      </w:r>
      <w:r w:rsidR="00FD612F" w:rsidRPr="007E4A0F">
        <w:t>un accord signé entre l</w:t>
      </w:r>
      <w:r w:rsidR="00B274E6" w:rsidRPr="007E4A0F">
        <w:t>’</w:t>
      </w:r>
      <w:r w:rsidR="00FD612F" w:rsidRPr="007E4A0F">
        <w:t>OMPI et les États</w:t>
      </w:r>
      <w:r w:rsidR="00CB1BDA" w:rsidRPr="007E4A0F">
        <w:noBreakHyphen/>
      </w:r>
      <w:r w:rsidR="00FD612F" w:rsidRPr="007E4A0F">
        <w:t>Unis d</w:t>
      </w:r>
      <w:r w:rsidR="00B274E6" w:rsidRPr="007E4A0F">
        <w:t>’</w:t>
      </w:r>
      <w:r w:rsidR="00FD612F" w:rsidRPr="007E4A0F">
        <w:t>Amérique.</w:t>
      </w:r>
    </w:p>
    <w:p w:rsidR="00947AF6" w:rsidRPr="007E4A0F" w:rsidRDefault="004D3AC6" w:rsidP="004E5982">
      <w:pPr>
        <w:pStyle w:val="Style1"/>
      </w:pPr>
      <w:r w:rsidRPr="007E4A0F">
        <w:t>Entre 2002 et 2014,</w:t>
      </w:r>
      <w:r w:rsidR="00983354" w:rsidRPr="007E4A0F">
        <w:t xml:space="preserve"> l</w:t>
      </w:r>
      <w:r w:rsidR="00B274E6" w:rsidRPr="007E4A0F">
        <w:t>’</w:t>
      </w:r>
      <w:r w:rsidR="00983354" w:rsidRPr="007E4A0F">
        <w:t>OMPI a réclamé aux États</w:t>
      </w:r>
      <w:r w:rsidR="00CB1BDA" w:rsidRPr="007E4A0F">
        <w:noBreakHyphen/>
      </w:r>
      <w:r w:rsidR="00983354" w:rsidRPr="007E4A0F">
        <w:t>Unis d</w:t>
      </w:r>
      <w:r w:rsidR="00B274E6" w:rsidRPr="007E4A0F">
        <w:t>’</w:t>
      </w:r>
      <w:r w:rsidR="00983354" w:rsidRPr="007E4A0F">
        <w:t>Amérique</w:t>
      </w:r>
      <w:r w:rsidR="008C7E04" w:rsidRPr="007E4A0F">
        <w:t>, au titre des remboursements d</w:t>
      </w:r>
      <w:r w:rsidR="00B274E6" w:rsidRPr="007E4A0F">
        <w:t>’</w:t>
      </w:r>
      <w:r w:rsidR="008C7E04" w:rsidRPr="007E4A0F">
        <w:t>impôts payés au nom de ses employés,</w:t>
      </w:r>
      <w:r w:rsidR="00983354" w:rsidRPr="007E4A0F">
        <w:t xml:space="preserve"> un total de 7 166 818 dollars</w:t>
      </w:r>
      <w:r w:rsidR="006C7CFD" w:rsidRPr="007E4A0F">
        <w:t> </w:t>
      </w:r>
      <w:r w:rsidR="00983354" w:rsidRPr="007E4A0F">
        <w:t>É.</w:t>
      </w:r>
      <w:r w:rsidR="00CB1BDA" w:rsidRPr="007E4A0F">
        <w:noBreakHyphen/>
      </w:r>
      <w:r w:rsidR="00983354" w:rsidRPr="007E4A0F">
        <w:t xml:space="preserve">U. </w:t>
      </w:r>
      <w:r w:rsidR="008C7E04" w:rsidRPr="007E4A0F">
        <w:t>sur lequel 3 170 887 dollars</w:t>
      </w:r>
      <w:r w:rsidR="006C7CFD" w:rsidRPr="007E4A0F">
        <w:t> </w:t>
      </w:r>
      <w:r w:rsidR="008C7E04" w:rsidRPr="007E4A0F">
        <w:t>É.</w:t>
      </w:r>
      <w:r w:rsidR="00CB1BDA" w:rsidRPr="007E4A0F">
        <w:noBreakHyphen/>
      </w:r>
      <w:r w:rsidR="008C7E04" w:rsidRPr="007E4A0F">
        <w:t>U.</w:t>
      </w:r>
      <w:r w:rsidR="006C7CFD" w:rsidRPr="007E4A0F">
        <w:t> </w:t>
      </w:r>
      <w:r w:rsidR="008C7E04" w:rsidRPr="007E4A0F">
        <w:t xml:space="preserve">(44,2%) lui ont été versés.  </w:t>
      </w:r>
      <w:r w:rsidR="00ED4AD5" w:rsidRPr="007E4A0F">
        <w:t>L</w:t>
      </w:r>
      <w:r w:rsidR="00B274E6" w:rsidRPr="007E4A0F">
        <w:t>’</w:t>
      </w:r>
      <w:r w:rsidR="00ED4AD5" w:rsidRPr="007E4A0F">
        <w:t>Organisation n</w:t>
      </w:r>
      <w:r w:rsidR="00B274E6" w:rsidRPr="007E4A0F">
        <w:t>’</w:t>
      </w:r>
      <w:r w:rsidR="00C8321C" w:rsidRPr="007E4A0F">
        <w:t>a pas été en mesure d</w:t>
      </w:r>
      <w:r w:rsidR="00B274E6" w:rsidRPr="007E4A0F">
        <w:t>’</w:t>
      </w:r>
      <w:r w:rsidR="00C8321C" w:rsidRPr="007E4A0F">
        <w:t>effectuer le</w:t>
      </w:r>
      <w:r w:rsidR="00ED4AD5" w:rsidRPr="007E4A0F">
        <w:t xml:space="preserve"> rapproche</w:t>
      </w:r>
      <w:r w:rsidR="00C8321C" w:rsidRPr="007E4A0F">
        <w:t>ment de</w:t>
      </w:r>
      <w:r w:rsidR="00ED4AD5" w:rsidRPr="007E4A0F">
        <w:t xml:space="preserve"> </w:t>
      </w:r>
      <w:r w:rsidR="00F45871" w:rsidRPr="007E4A0F">
        <w:t>ces remboursements avec les sommes réclamées</w:t>
      </w:r>
      <w:r w:rsidR="003E4D85" w:rsidRPr="007E4A0F">
        <w:t>, les autorités fiscales des États</w:t>
      </w:r>
      <w:r w:rsidR="00CB1BDA" w:rsidRPr="007E4A0F">
        <w:noBreakHyphen/>
      </w:r>
      <w:r w:rsidR="003E4D85" w:rsidRPr="007E4A0F">
        <w:t>Unis d</w:t>
      </w:r>
      <w:r w:rsidR="00B274E6" w:rsidRPr="007E4A0F">
        <w:t>’</w:t>
      </w:r>
      <w:r w:rsidR="003E4D85" w:rsidRPr="007E4A0F">
        <w:t>Amérique ne fournissant pas de détails</w:t>
      </w:r>
      <w:r w:rsidR="00C8321C" w:rsidRPr="007E4A0F">
        <w:t>, ni par contribuable ni par exercice,</w:t>
      </w:r>
      <w:r w:rsidR="003E4D85" w:rsidRPr="007E4A0F">
        <w:t xml:space="preserve"> sur la répartition des remboursements.  </w:t>
      </w:r>
      <w:r w:rsidR="00BA03C2" w:rsidRPr="007E4A0F">
        <w:t>L</w:t>
      </w:r>
      <w:r w:rsidR="00B274E6" w:rsidRPr="007E4A0F">
        <w:t>’</w:t>
      </w:r>
      <w:r w:rsidR="00BA03C2" w:rsidRPr="007E4A0F">
        <w:t>examen de la correspondance échangée avec les autorités fiscales des États</w:t>
      </w:r>
      <w:r w:rsidR="00CB1BDA" w:rsidRPr="007E4A0F">
        <w:noBreakHyphen/>
      </w:r>
      <w:r w:rsidR="00BA03C2" w:rsidRPr="007E4A0F">
        <w:t>Unis d</w:t>
      </w:r>
      <w:r w:rsidR="00B274E6" w:rsidRPr="007E4A0F">
        <w:t>’</w:t>
      </w:r>
      <w:r w:rsidR="00BA03C2" w:rsidRPr="007E4A0F">
        <w:t>Amérique a révélé que ces dernières avaient contesté certaines des demandes de remboursement de l</w:t>
      </w:r>
      <w:r w:rsidR="00B274E6" w:rsidRPr="007E4A0F">
        <w:t>’</w:t>
      </w:r>
      <w:r w:rsidR="00BA03C2" w:rsidRPr="007E4A0F">
        <w:t>OMPI.</w:t>
      </w:r>
    </w:p>
    <w:p w:rsidR="00B274E6" w:rsidRPr="007E4A0F" w:rsidRDefault="0088179A" w:rsidP="004E5982">
      <w:pPr>
        <w:pStyle w:val="Style1"/>
      </w:pPr>
      <w:r w:rsidRPr="007E4A0F">
        <w:t>L</w:t>
      </w:r>
      <w:r w:rsidR="00B274E6" w:rsidRPr="007E4A0F">
        <w:t>’</w:t>
      </w:r>
      <w:r w:rsidRPr="007E4A0F">
        <w:t>OMPI a indiqué n</w:t>
      </w:r>
      <w:r w:rsidR="00B274E6" w:rsidRPr="007E4A0F">
        <w:t>’</w:t>
      </w:r>
      <w:r w:rsidRPr="007E4A0F">
        <w:t>avoir aucune raison de douter du remboursement des sommes encore dues.</w:t>
      </w:r>
    </w:p>
    <w:p w:rsidR="00947AF6" w:rsidRPr="007E4A0F" w:rsidRDefault="000563CC" w:rsidP="004E5982">
      <w:pPr>
        <w:pStyle w:val="Style1"/>
        <w:rPr>
          <w:bCs/>
        </w:rPr>
      </w:pPr>
      <w:r w:rsidRPr="007E4A0F">
        <w:t>Nous estimons qu</w:t>
      </w:r>
      <w:r w:rsidR="00B274E6" w:rsidRPr="007E4A0F">
        <w:t>’</w:t>
      </w:r>
      <w:r w:rsidRPr="007E4A0F">
        <w:t>il serait approprié d</w:t>
      </w:r>
      <w:r w:rsidR="00B274E6" w:rsidRPr="007E4A0F">
        <w:t>’</w:t>
      </w:r>
      <w:r w:rsidRPr="007E4A0F">
        <w:t>accélérer le processus de rapprochement avec les autorités fiscales des États</w:t>
      </w:r>
      <w:r w:rsidR="00CB1BDA" w:rsidRPr="007E4A0F">
        <w:noBreakHyphen/>
      </w:r>
      <w:r w:rsidRPr="007E4A0F">
        <w:t>Unis d</w:t>
      </w:r>
      <w:r w:rsidR="00B274E6" w:rsidRPr="007E4A0F">
        <w:t>’</w:t>
      </w:r>
      <w:r w:rsidRPr="007E4A0F">
        <w:t>Amérique.</w:t>
      </w:r>
    </w:p>
    <w:p w:rsidR="00947AF6" w:rsidRPr="007E4A0F" w:rsidRDefault="000A6F80" w:rsidP="00CD0CBC">
      <w:pPr>
        <w:pStyle w:val="Heading4"/>
        <w:rPr>
          <w:lang w:val="fr-FR"/>
        </w:rPr>
      </w:pPr>
      <w:r w:rsidRPr="007E4A0F">
        <w:rPr>
          <w:lang w:val="fr-FR"/>
        </w:rPr>
        <w:t>Recommandation n° 1</w:t>
      </w:r>
    </w:p>
    <w:p w:rsidR="00947AF6" w:rsidRPr="007E4A0F" w:rsidRDefault="000563CC" w:rsidP="004E5982">
      <w:pPr>
        <w:pStyle w:val="Heading4"/>
        <w:rPr>
          <w:lang w:val="fr-FR"/>
        </w:rPr>
      </w:pPr>
      <w:r w:rsidRPr="007E4A0F">
        <w:rPr>
          <w:lang w:val="fr-FR"/>
        </w:rPr>
        <w:t>L</w:t>
      </w:r>
      <w:r w:rsidR="00B274E6" w:rsidRPr="007E4A0F">
        <w:rPr>
          <w:lang w:val="fr-FR"/>
        </w:rPr>
        <w:t>’</w:t>
      </w:r>
      <w:r w:rsidRPr="007E4A0F">
        <w:rPr>
          <w:lang w:val="fr-FR"/>
        </w:rPr>
        <w:t xml:space="preserve">OMPI pourrait accélérer le processus de rapprochement </w:t>
      </w:r>
      <w:r w:rsidR="00A968B2" w:rsidRPr="007E4A0F">
        <w:rPr>
          <w:lang w:val="fr-FR"/>
        </w:rPr>
        <w:t>des montants encore dus avec les autorités fiscales des États</w:t>
      </w:r>
      <w:r w:rsidR="00CB1BDA" w:rsidRPr="007E4A0F">
        <w:rPr>
          <w:lang w:val="fr-FR"/>
        </w:rPr>
        <w:noBreakHyphen/>
      </w:r>
      <w:r w:rsidR="00A968B2" w:rsidRPr="007E4A0F">
        <w:rPr>
          <w:lang w:val="fr-FR"/>
        </w:rPr>
        <w:t>Unis d</w:t>
      </w:r>
      <w:r w:rsidR="00B274E6" w:rsidRPr="007E4A0F">
        <w:rPr>
          <w:lang w:val="fr-FR"/>
        </w:rPr>
        <w:t>’</w:t>
      </w:r>
      <w:r w:rsidR="00A968B2" w:rsidRPr="007E4A0F">
        <w:rPr>
          <w:lang w:val="fr-FR"/>
        </w:rPr>
        <w:t>Amérique.</w:t>
      </w:r>
    </w:p>
    <w:p w:rsidR="00947AF6" w:rsidRPr="007E4A0F" w:rsidRDefault="00A968B2" w:rsidP="004E5982">
      <w:pPr>
        <w:pStyle w:val="Style1"/>
      </w:pPr>
      <w:r w:rsidRPr="007E4A0F">
        <w:t>L</w:t>
      </w:r>
      <w:r w:rsidR="00B274E6" w:rsidRPr="007E4A0F">
        <w:t>’</w:t>
      </w:r>
      <w:r w:rsidRPr="007E4A0F">
        <w:t>OMPI a accepté la recommandation, en indiquant que le processus de rapprochement pouvait seulement être mené à bien si les autorités fiscales des États</w:t>
      </w:r>
      <w:r w:rsidR="00CB1BDA" w:rsidRPr="007E4A0F">
        <w:noBreakHyphen/>
      </w:r>
      <w:r w:rsidRPr="007E4A0F">
        <w:t>Unis d</w:t>
      </w:r>
      <w:r w:rsidR="00B274E6" w:rsidRPr="007E4A0F">
        <w:t>’</w:t>
      </w:r>
      <w:r w:rsidRPr="007E4A0F">
        <w:t>Amérique étaient en mesure de fournir suffisamment de détails sur</w:t>
      </w:r>
      <w:r w:rsidR="00A754D7" w:rsidRPr="007E4A0F">
        <w:t xml:space="preserve"> les sommes déjà remboursées à l</w:t>
      </w:r>
      <w:r w:rsidR="00B274E6" w:rsidRPr="007E4A0F">
        <w:t>’</w:t>
      </w:r>
      <w:r w:rsidR="00A754D7" w:rsidRPr="007E4A0F">
        <w:t>Organisation.</w:t>
      </w:r>
    </w:p>
    <w:p w:rsidR="00947AF6" w:rsidRPr="007E4A0F" w:rsidRDefault="0012066D" w:rsidP="004E5982">
      <w:pPr>
        <w:pStyle w:val="Heading4"/>
        <w:rPr>
          <w:lang w:val="fr-FR"/>
        </w:rPr>
      </w:pPr>
      <w:r w:rsidRPr="007E4A0F">
        <w:rPr>
          <w:lang w:val="fr-FR"/>
        </w:rPr>
        <w:lastRenderedPageBreak/>
        <w:t>Non</w:t>
      </w:r>
      <w:r w:rsidR="00CB1BDA" w:rsidRPr="007E4A0F">
        <w:rPr>
          <w:lang w:val="fr-FR"/>
        </w:rPr>
        <w:noBreakHyphen/>
      </w:r>
      <w:r w:rsidR="002A3958" w:rsidRPr="007E4A0F">
        <w:rPr>
          <w:lang w:val="fr-FR"/>
        </w:rPr>
        <w:t>divulgation des actifs patrimoniaux</w:t>
      </w:r>
    </w:p>
    <w:p w:rsidR="00B274E6" w:rsidRPr="007E4A0F" w:rsidRDefault="008C4993" w:rsidP="004E5982">
      <w:pPr>
        <w:pStyle w:val="Style1"/>
      </w:pPr>
      <w:r w:rsidRPr="007E4A0F">
        <w:t>Les principes directeurs de l</w:t>
      </w:r>
      <w:r w:rsidR="00B274E6" w:rsidRPr="007E4A0F">
        <w:t>’</w:t>
      </w:r>
      <w:r w:rsidRPr="007E4A0F">
        <w:t xml:space="preserve">Organisation des </w:t>
      </w:r>
      <w:r w:rsidR="00B274E6" w:rsidRPr="007E4A0F">
        <w:t>Nations Unies</w:t>
      </w:r>
      <w:r w:rsidRPr="007E4A0F">
        <w:t xml:space="preserve"> concernant les normes</w:t>
      </w:r>
      <w:r w:rsidR="006C7CFD" w:rsidRPr="007E4A0F">
        <w:t> </w:t>
      </w:r>
      <w:r w:rsidRPr="007E4A0F">
        <w:t>IPSAS prévoient que l</w:t>
      </w:r>
      <w:r w:rsidR="00B274E6" w:rsidRPr="007E4A0F">
        <w:t>’</w:t>
      </w:r>
      <w:r w:rsidRPr="007E4A0F">
        <w:t>ONU ne comptabilise pas les actifs patrimoniaux, mais doit en donner une description détaillée dans les notes aux états financiers.</w:t>
      </w:r>
    </w:p>
    <w:p w:rsidR="00947AF6" w:rsidRPr="007E4A0F" w:rsidRDefault="00B40179" w:rsidP="004E5982">
      <w:pPr>
        <w:pStyle w:val="Style1"/>
      </w:pPr>
      <w:r w:rsidRPr="007E4A0F">
        <w:t>Nous avons constaté que l</w:t>
      </w:r>
      <w:r w:rsidR="00B274E6" w:rsidRPr="007E4A0F">
        <w:t>’</w:t>
      </w:r>
      <w:r w:rsidRPr="007E4A0F">
        <w:t xml:space="preserve">OMPI ne faisait pas figurer dans ses états financiers de détails concernant ces actifs patrimoniaux, </w:t>
      </w:r>
      <w:r w:rsidR="00B274E6" w:rsidRPr="007E4A0F">
        <w:t>y compris</w:t>
      </w:r>
      <w:r w:rsidRPr="007E4A0F">
        <w:t xml:space="preserve"> les œuvres d</w:t>
      </w:r>
      <w:r w:rsidR="00B274E6" w:rsidRPr="007E4A0F">
        <w:t>’</w:t>
      </w:r>
      <w:r w:rsidRPr="007E4A0F">
        <w:t>art.  Nous avons également noté l</w:t>
      </w:r>
      <w:r w:rsidR="00B274E6" w:rsidRPr="007E4A0F">
        <w:t>’</w:t>
      </w:r>
      <w:r w:rsidRPr="007E4A0F">
        <w:t>absence, selon les vérifications physiques effectuées en</w:t>
      </w:r>
      <w:r w:rsidR="006C7CFD" w:rsidRPr="007E4A0F">
        <w:t> </w:t>
      </w:r>
      <w:r w:rsidRPr="007E4A0F">
        <w:t xml:space="preserve">2014, de 13 biens classés dans la catégorie </w:t>
      </w:r>
      <w:r w:rsidR="00524088" w:rsidRPr="007E4A0F">
        <w:t>“</w:t>
      </w:r>
      <w:r w:rsidRPr="007E4A0F">
        <w:t>œuvres d</w:t>
      </w:r>
      <w:r w:rsidR="00B274E6" w:rsidRPr="007E4A0F">
        <w:t>’</w:t>
      </w:r>
      <w:r w:rsidRPr="007E4A0F">
        <w:t>art</w:t>
      </w:r>
      <w:r w:rsidR="00524088" w:rsidRPr="007E4A0F">
        <w:t>”</w:t>
      </w:r>
      <w:r w:rsidRPr="007E4A0F">
        <w:t xml:space="preserve"> (dont quatre</w:t>
      </w:r>
      <w:r w:rsidR="006C7CFD" w:rsidRPr="007E4A0F">
        <w:t> </w:t>
      </w:r>
      <w:r w:rsidRPr="007E4A0F">
        <w:t>se trouvaient probablement dans les locaux, mais</w:t>
      </w:r>
      <w:r w:rsidR="00F964BA" w:rsidRPr="007E4A0F">
        <w:t xml:space="preserve"> dans des armoires verrouillées, ce qui ne permettait pas d</w:t>
      </w:r>
      <w:r w:rsidR="00B274E6" w:rsidRPr="007E4A0F">
        <w:t>’</w:t>
      </w:r>
      <w:r w:rsidR="00F964BA" w:rsidRPr="007E4A0F">
        <w:t>y avoir accès).</w:t>
      </w:r>
    </w:p>
    <w:p w:rsidR="00947AF6" w:rsidRPr="007E4A0F" w:rsidRDefault="000B323D" w:rsidP="004E5982">
      <w:pPr>
        <w:pStyle w:val="Style1"/>
      </w:pPr>
      <w:r w:rsidRPr="007E4A0F">
        <w:t>L</w:t>
      </w:r>
      <w:r w:rsidR="00B274E6" w:rsidRPr="007E4A0F">
        <w:t>’</w:t>
      </w:r>
      <w:r w:rsidRPr="007E4A0F">
        <w:t>OMPI a indiqué que les normes</w:t>
      </w:r>
      <w:r w:rsidR="006C7CFD" w:rsidRPr="007E4A0F">
        <w:t> </w:t>
      </w:r>
      <w:r w:rsidRPr="007E4A0F">
        <w:t>IPSAS n</w:t>
      </w:r>
      <w:r w:rsidR="00B274E6" w:rsidRPr="007E4A0F">
        <w:t>’</w:t>
      </w:r>
      <w:r w:rsidRPr="007E4A0F">
        <w:t xml:space="preserve">imposaient pas </w:t>
      </w:r>
      <w:r w:rsidR="002A3958" w:rsidRPr="007E4A0F">
        <w:t>la divulgation des actifs patrimoniaux n</w:t>
      </w:r>
      <w:r w:rsidR="00B274E6" w:rsidRPr="007E4A0F">
        <w:t>’</w:t>
      </w:r>
      <w:r w:rsidR="002A3958" w:rsidRPr="007E4A0F">
        <w:t xml:space="preserve">ayant pas été comptabilisés dans les états financiers.  </w:t>
      </w:r>
      <w:r w:rsidR="007E70C1" w:rsidRPr="007E4A0F">
        <w:t>En outre, l</w:t>
      </w:r>
      <w:r w:rsidR="00B274E6" w:rsidRPr="007E4A0F">
        <w:t>’</w:t>
      </w:r>
      <w:r w:rsidR="007E70C1" w:rsidRPr="007E4A0F">
        <w:t>orientation actuellement fournie par l</w:t>
      </w:r>
      <w:r w:rsidR="00B274E6" w:rsidRPr="007E4A0F">
        <w:t>’</w:t>
      </w:r>
      <w:r w:rsidR="007E70C1" w:rsidRPr="007E4A0F">
        <w:t>équipe d</w:t>
      </w:r>
      <w:r w:rsidR="00B274E6" w:rsidRPr="007E4A0F">
        <w:t>’</w:t>
      </w:r>
      <w:r w:rsidR="007E70C1" w:rsidRPr="007E4A0F">
        <w:t>experts de l</w:t>
      </w:r>
      <w:r w:rsidR="00B274E6" w:rsidRPr="007E4A0F">
        <w:t>’</w:t>
      </w:r>
      <w:r w:rsidR="007E70C1" w:rsidRPr="007E4A0F">
        <w:t>O</w:t>
      </w:r>
      <w:r w:rsidR="00C8321C" w:rsidRPr="007E4A0F">
        <w:t>NU est de ne pas comptabiliser c</w:t>
      </w:r>
      <w:r w:rsidR="007E70C1" w:rsidRPr="007E4A0F">
        <w:t>es actifs dans les états financiers.</w:t>
      </w:r>
    </w:p>
    <w:p w:rsidR="00947AF6" w:rsidRPr="007E4A0F" w:rsidRDefault="000A6F80" w:rsidP="00CD0CBC">
      <w:pPr>
        <w:pStyle w:val="Heading4"/>
        <w:rPr>
          <w:lang w:val="fr-FR"/>
        </w:rPr>
      </w:pPr>
      <w:r w:rsidRPr="007E4A0F">
        <w:rPr>
          <w:lang w:val="fr-FR"/>
        </w:rPr>
        <w:t>Recommandation n° 2</w:t>
      </w:r>
    </w:p>
    <w:p w:rsidR="00947AF6" w:rsidRPr="007E4A0F" w:rsidRDefault="00F23D95" w:rsidP="004E5982">
      <w:pPr>
        <w:pStyle w:val="Heading4"/>
        <w:rPr>
          <w:lang w:val="fr-FR"/>
        </w:rPr>
      </w:pPr>
      <w:r w:rsidRPr="007E4A0F">
        <w:rPr>
          <w:lang w:val="fr-FR"/>
        </w:rPr>
        <w:t>L</w:t>
      </w:r>
      <w:r w:rsidR="00B274E6" w:rsidRPr="007E4A0F">
        <w:rPr>
          <w:lang w:val="fr-FR"/>
        </w:rPr>
        <w:t>’</w:t>
      </w:r>
      <w:r w:rsidRPr="007E4A0F">
        <w:rPr>
          <w:lang w:val="fr-FR"/>
        </w:rPr>
        <w:t xml:space="preserve">OMPI pourrait fournir </w:t>
      </w:r>
      <w:r w:rsidR="00901EAB" w:rsidRPr="007E4A0F">
        <w:rPr>
          <w:lang w:val="fr-FR"/>
        </w:rPr>
        <w:t xml:space="preserve">dans les notes relatives aux états financiers les détails concernant ses actifs patrimoniaux, </w:t>
      </w:r>
      <w:r w:rsidR="00B274E6" w:rsidRPr="007E4A0F">
        <w:rPr>
          <w:lang w:val="fr-FR"/>
        </w:rPr>
        <w:t>y compris</w:t>
      </w:r>
      <w:r w:rsidR="00901EAB" w:rsidRPr="007E4A0F">
        <w:rPr>
          <w:lang w:val="fr-FR"/>
        </w:rPr>
        <w:t xml:space="preserve"> les œuvres d</w:t>
      </w:r>
      <w:r w:rsidR="00B274E6" w:rsidRPr="007E4A0F">
        <w:rPr>
          <w:lang w:val="fr-FR"/>
        </w:rPr>
        <w:t>’</w:t>
      </w:r>
      <w:r w:rsidR="00901EAB" w:rsidRPr="007E4A0F">
        <w:rPr>
          <w:lang w:val="fr-FR"/>
        </w:rPr>
        <w:t>art, et prendre des mesures pour renforcer les systèmes de sécurité afin d</w:t>
      </w:r>
      <w:r w:rsidR="00B274E6" w:rsidRPr="007E4A0F">
        <w:rPr>
          <w:lang w:val="fr-FR"/>
        </w:rPr>
        <w:t>’</w:t>
      </w:r>
      <w:r w:rsidR="00901EAB" w:rsidRPr="007E4A0F">
        <w:rPr>
          <w:lang w:val="fr-FR"/>
        </w:rPr>
        <w:t>empêcher à l</w:t>
      </w:r>
      <w:r w:rsidR="00B274E6" w:rsidRPr="007E4A0F">
        <w:rPr>
          <w:lang w:val="fr-FR"/>
        </w:rPr>
        <w:t>’</w:t>
      </w:r>
      <w:r w:rsidR="00901EAB" w:rsidRPr="007E4A0F">
        <w:rPr>
          <w:lang w:val="fr-FR"/>
        </w:rPr>
        <w:t>avenir la perte de ce type d</w:t>
      </w:r>
      <w:r w:rsidR="00B274E6" w:rsidRPr="007E4A0F">
        <w:rPr>
          <w:lang w:val="fr-FR"/>
        </w:rPr>
        <w:t>’</w:t>
      </w:r>
      <w:r w:rsidR="00901EAB" w:rsidRPr="007E4A0F">
        <w:rPr>
          <w:lang w:val="fr-FR"/>
        </w:rPr>
        <w:t>actifs.</w:t>
      </w:r>
    </w:p>
    <w:p w:rsidR="00947AF6" w:rsidRPr="007E4A0F" w:rsidRDefault="00873708" w:rsidP="004E5982">
      <w:pPr>
        <w:pStyle w:val="Style1"/>
      </w:pPr>
      <w:r w:rsidRPr="007E4A0F">
        <w:t>L</w:t>
      </w:r>
      <w:r w:rsidR="00B274E6" w:rsidRPr="007E4A0F">
        <w:t>’</w:t>
      </w:r>
      <w:r w:rsidRPr="007E4A0F">
        <w:t xml:space="preserve">OMPI a accepté la recommandation et proposé </w:t>
      </w:r>
      <w:r w:rsidR="007C4166" w:rsidRPr="007E4A0F">
        <w:t>que la question des actifs patrimoniaux soit examinée à la prochaine réunion de l</w:t>
      </w:r>
      <w:r w:rsidR="00B274E6" w:rsidRPr="007E4A0F">
        <w:t>’</w:t>
      </w:r>
      <w:r w:rsidR="007C4166" w:rsidRPr="007E4A0F">
        <w:t>équipe d</w:t>
      </w:r>
      <w:r w:rsidR="00B274E6" w:rsidRPr="007E4A0F">
        <w:t>’</w:t>
      </w:r>
      <w:r w:rsidR="007C4166" w:rsidRPr="007E4A0F">
        <w:t>experts de l</w:t>
      </w:r>
      <w:r w:rsidR="00B274E6" w:rsidRPr="007E4A0F">
        <w:t>’</w:t>
      </w:r>
      <w:r w:rsidR="007C4166" w:rsidRPr="007E4A0F">
        <w:t xml:space="preserve">ONU, en </w:t>
      </w:r>
      <w:r w:rsidR="00B274E6" w:rsidRPr="007E4A0F">
        <w:t>octobre 20</w:t>
      </w:r>
      <w:r w:rsidR="007C4166" w:rsidRPr="007E4A0F">
        <w:t xml:space="preserve">15.  </w:t>
      </w:r>
      <w:r w:rsidR="00FE2DFB" w:rsidRPr="007E4A0F">
        <w:t>La possibilité de procéder à une divulgation plus détaillée dans les états financiers de</w:t>
      </w:r>
      <w:r w:rsidR="006C7CFD" w:rsidRPr="007E4A0F">
        <w:t> </w:t>
      </w:r>
      <w:r w:rsidR="00FE2DFB" w:rsidRPr="007E4A0F">
        <w:t xml:space="preserve">2015 serait ensuite envisagée. </w:t>
      </w:r>
      <w:r w:rsidR="003D1267" w:rsidRPr="007E4A0F">
        <w:t xml:space="preserve"> L</w:t>
      </w:r>
      <w:r w:rsidR="00B274E6" w:rsidRPr="007E4A0F">
        <w:t>’</w:t>
      </w:r>
      <w:r w:rsidR="003D1267" w:rsidRPr="007E4A0F">
        <w:t>OMPI a ajouté qu</w:t>
      </w:r>
      <w:r w:rsidR="00B274E6" w:rsidRPr="007E4A0F">
        <w:t>’</w:t>
      </w:r>
      <w:r w:rsidR="003D1267" w:rsidRPr="007E4A0F">
        <w:t>après la publication du nouvel ordre de service sur la gestion des actifs, la responsabilité de la collection d</w:t>
      </w:r>
      <w:r w:rsidR="00B274E6" w:rsidRPr="007E4A0F">
        <w:t>’</w:t>
      </w:r>
      <w:r w:rsidR="003D1267" w:rsidRPr="007E4A0F">
        <w:t>œuvres d</w:t>
      </w:r>
      <w:r w:rsidR="00B274E6" w:rsidRPr="007E4A0F">
        <w:t>’</w:t>
      </w:r>
      <w:r w:rsidR="003D1267" w:rsidRPr="007E4A0F">
        <w:t>art relèverait de la Division de l</w:t>
      </w:r>
      <w:r w:rsidR="00B274E6" w:rsidRPr="007E4A0F">
        <w:t>’</w:t>
      </w:r>
      <w:r w:rsidR="003D1267" w:rsidRPr="007E4A0F">
        <w:t>infrastructure des locaux</w:t>
      </w:r>
      <w:r w:rsidR="00E925FE" w:rsidRPr="007E4A0F">
        <w:t xml:space="preserve"> et que diverses mesures seraient mises en place, dont notamment le renforcement des systèmes de sécurité.</w:t>
      </w:r>
    </w:p>
    <w:p w:rsidR="00947AF6" w:rsidRPr="007E4A0F" w:rsidRDefault="00DC3F17" w:rsidP="004E5982">
      <w:pPr>
        <w:pStyle w:val="Heading4"/>
        <w:rPr>
          <w:lang w:val="fr-FR"/>
        </w:rPr>
      </w:pPr>
      <w:r w:rsidRPr="007E4A0F">
        <w:rPr>
          <w:lang w:val="fr-FR"/>
        </w:rPr>
        <w:t>Rapprochement entre l</w:t>
      </w:r>
      <w:r w:rsidR="00B274E6" w:rsidRPr="007E4A0F">
        <w:rPr>
          <w:lang w:val="fr-FR"/>
        </w:rPr>
        <w:t>’</w:t>
      </w:r>
      <w:r w:rsidRPr="007E4A0F">
        <w:rPr>
          <w:lang w:val="fr-FR"/>
        </w:rPr>
        <w:t>état de comparaison budgétaire et l</w:t>
      </w:r>
      <w:r w:rsidR="00B274E6" w:rsidRPr="007E4A0F">
        <w:rPr>
          <w:lang w:val="fr-FR"/>
        </w:rPr>
        <w:t>’</w:t>
      </w:r>
      <w:r w:rsidRPr="007E4A0F">
        <w:rPr>
          <w:lang w:val="fr-FR"/>
        </w:rPr>
        <w:t>état de la performance financière</w:t>
      </w:r>
    </w:p>
    <w:p w:rsidR="00947AF6" w:rsidRPr="007E4A0F" w:rsidRDefault="00C83C30" w:rsidP="004E5982">
      <w:pPr>
        <w:pStyle w:val="Style1"/>
      </w:pPr>
      <w:r w:rsidRPr="007E4A0F">
        <w:t>L</w:t>
      </w:r>
      <w:r w:rsidR="00B274E6" w:rsidRPr="007E4A0F">
        <w:t>’</w:t>
      </w:r>
      <w:r w:rsidRPr="007E4A0F">
        <w:t>état V, qui fait partie des états financiers de l</w:t>
      </w:r>
      <w:r w:rsidR="00B274E6" w:rsidRPr="007E4A0F">
        <w:t>’</w:t>
      </w:r>
      <w:r w:rsidRPr="007E4A0F">
        <w:t>OMPI pour l</w:t>
      </w:r>
      <w:r w:rsidR="00B274E6" w:rsidRPr="007E4A0F">
        <w:t>’</w:t>
      </w:r>
      <w:r w:rsidRPr="007E4A0F">
        <w:t xml:space="preserve">exercice 2014, présente une comparaison des montants budgétaires et des montants réels.  </w:t>
      </w:r>
      <w:r w:rsidR="00C204B2" w:rsidRPr="007E4A0F">
        <w:t xml:space="preserve">Il fait apparaître des écarts non négligeables entre ces montants </w:t>
      </w:r>
      <w:r w:rsidR="00830105" w:rsidRPr="007E4A0F">
        <w:t>pour de nombreux postes de recettes et de dépenses.</w:t>
      </w:r>
    </w:p>
    <w:p w:rsidR="00947AF6" w:rsidRPr="007E4A0F" w:rsidRDefault="00532AFF" w:rsidP="005C5A67">
      <w:pPr>
        <w:pStyle w:val="Style1"/>
      </w:pPr>
      <w:r w:rsidRPr="007E4A0F">
        <w:t>Le paragraphe</w:t>
      </w:r>
      <w:r w:rsidR="006C7CFD" w:rsidRPr="007E4A0F">
        <w:t> </w:t>
      </w:r>
      <w:r w:rsidR="00BE0EB3" w:rsidRPr="007E4A0F">
        <w:t>14.</w:t>
      </w:r>
      <w:r w:rsidRPr="007E4A0F">
        <w:t>c) de la norme</w:t>
      </w:r>
      <w:r w:rsidR="006C7CFD" w:rsidRPr="007E4A0F">
        <w:t> </w:t>
      </w:r>
      <w:r w:rsidRPr="007E4A0F">
        <w:t xml:space="preserve">IPSAS 24 prévoit </w:t>
      </w:r>
      <w:r w:rsidR="00C92F22" w:rsidRPr="007E4A0F">
        <w:t>que la</w:t>
      </w:r>
      <w:r w:rsidRPr="007E4A0F">
        <w:t xml:space="preserve"> comparaison des montants inscrits au budget et des montants réels</w:t>
      </w:r>
      <w:r w:rsidR="00C92F22" w:rsidRPr="007E4A0F">
        <w:t xml:space="preserve"> doit présenter séparément pour chaque niveau de tutelle législative, sous la forme d</w:t>
      </w:r>
      <w:r w:rsidR="00B274E6" w:rsidRPr="007E4A0F">
        <w:t>’</w:t>
      </w:r>
      <w:r w:rsidR="00C92F22" w:rsidRPr="007E4A0F">
        <w:t xml:space="preserve">informations fournies dans les notes, une explication des </w:t>
      </w:r>
      <w:r w:rsidR="00C92F22" w:rsidRPr="007E4A0F">
        <w:lastRenderedPageBreak/>
        <w:t>différences significatives entre le budget</w:t>
      </w:r>
      <w:r w:rsidR="005C5A67" w:rsidRPr="007E4A0F">
        <w:t xml:space="preserve"> dont l</w:t>
      </w:r>
      <w:r w:rsidR="00B274E6" w:rsidRPr="007E4A0F">
        <w:t>’</w:t>
      </w:r>
      <w:r w:rsidR="005C5A67" w:rsidRPr="007E4A0F">
        <w:t>entité est tenue publiquement responsable et les montants réels, à moins qu</w:t>
      </w:r>
      <w:r w:rsidR="00B274E6" w:rsidRPr="007E4A0F">
        <w:t>’</w:t>
      </w:r>
      <w:r w:rsidR="005C5A67" w:rsidRPr="007E4A0F">
        <w:t xml:space="preserve">une telle explication ne </w:t>
      </w:r>
      <w:r w:rsidR="00CD6DD5" w:rsidRPr="007E4A0F">
        <w:t>figure</w:t>
      </w:r>
      <w:r w:rsidR="005C5A67" w:rsidRPr="007E4A0F">
        <w:t xml:space="preserve"> dans d</w:t>
      </w:r>
      <w:r w:rsidR="00B274E6" w:rsidRPr="007E4A0F">
        <w:t>’</w:t>
      </w:r>
      <w:r w:rsidR="005C5A67" w:rsidRPr="007E4A0F">
        <w:t>autres documents publiés en parallèle avec les états financiers et qu</w:t>
      </w:r>
      <w:r w:rsidR="00B274E6" w:rsidRPr="007E4A0F">
        <w:t>’</w:t>
      </w:r>
      <w:r w:rsidR="005C5A67" w:rsidRPr="007E4A0F">
        <w:t>un envoi à ces documents ne figure dans les notes.</w:t>
      </w:r>
    </w:p>
    <w:p w:rsidR="00947AF6" w:rsidRPr="007E4A0F" w:rsidRDefault="00FC4FB1" w:rsidP="004E5982">
      <w:pPr>
        <w:pStyle w:val="Style1"/>
      </w:pPr>
      <w:r w:rsidRPr="007E4A0F">
        <w:t>Comme l</w:t>
      </w:r>
      <w:r w:rsidR="00B274E6" w:rsidRPr="007E4A0F">
        <w:t>’</w:t>
      </w:r>
      <w:r w:rsidRPr="007E4A0F">
        <w:t>indique la note n°</w:t>
      </w:r>
      <w:r w:rsidR="006C7CFD" w:rsidRPr="007E4A0F">
        <w:t> </w:t>
      </w:r>
      <w:r w:rsidRPr="007E4A0F">
        <w:t>22, le rapport sur l</w:t>
      </w:r>
      <w:r w:rsidR="00B274E6" w:rsidRPr="007E4A0F">
        <w:t>’</w:t>
      </w:r>
      <w:r w:rsidRPr="007E4A0F">
        <w:t>exécution du programme en</w:t>
      </w:r>
      <w:r w:rsidR="006C7CFD" w:rsidRPr="007E4A0F">
        <w:t> </w:t>
      </w:r>
      <w:r w:rsidRPr="007E4A0F">
        <w:t xml:space="preserve">2014 contient des explications sur les variations entre le budget initial et le budget final après virements, et les différences </w:t>
      </w:r>
      <w:r w:rsidR="00CD6DD5" w:rsidRPr="007E4A0F">
        <w:t>significatives</w:t>
      </w:r>
      <w:r w:rsidRPr="007E4A0F">
        <w:t xml:space="preserve"> entre les montants inscrits au budget et les montants réels.</w:t>
      </w:r>
      <w:r w:rsidR="0012066D" w:rsidRPr="007E4A0F">
        <w:t xml:space="preserve"> </w:t>
      </w:r>
      <w:r w:rsidRPr="007E4A0F">
        <w:t xml:space="preserve"> Nous avons noté que le rapport sur l</w:t>
      </w:r>
      <w:r w:rsidR="00B274E6" w:rsidRPr="007E4A0F">
        <w:t>’</w:t>
      </w:r>
      <w:r w:rsidRPr="007E4A0F">
        <w:t>exécution du programme en</w:t>
      </w:r>
      <w:r w:rsidR="006C7CFD" w:rsidRPr="007E4A0F">
        <w:t> </w:t>
      </w:r>
      <w:r w:rsidRPr="007E4A0F">
        <w:t>2014 n</w:t>
      </w:r>
      <w:r w:rsidR="00B274E6" w:rsidRPr="007E4A0F">
        <w:t>’</w:t>
      </w:r>
      <w:r w:rsidRPr="007E4A0F">
        <w:t xml:space="preserve">avait été établi </w:t>
      </w:r>
      <w:r w:rsidR="00E7032A" w:rsidRPr="007E4A0F">
        <w:t>qu</w:t>
      </w:r>
      <w:r w:rsidR="00B274E6" w:rsidRPr="007E4A0F">
        <w:t>’</w:t>
      </w:r>
      <w:r w:rsidR="00E7032A" w:rsidRPr="007E4A0F">
        <w:t>au moment de l</w:t>
      </w:r>
      <w:r w:rsidR="00B274E6" w:rsidRPr="007E4A0F">
        <w:t>’</w:t>
      </w:r>
      <w:r w:rsidR="00E7032A" w:rsidRPr="007E4A0F">
        <w:t>audit.</w:t>
      </w:r>
    </w:p>
    <w:p w:rsidR="00B274E6" w:rsidRPr="007E4A0F" w:rsidRDefault="00D02599" w:rsidP="004E5982">
      <w:pPr>
        <w:pStyle w:val="Style1"/>
      </w:pPr>
      <w:r w:rsidRPr="007E4A0F">
        <w:t>L</w:t>
      </w:r>
      <w:r w:rsidR="00B274E6" w:rsidRPr="007E4A0F">
        <w:t>’</w:t>
      </w:r>
      <w:r w:rsidRPr="007E4A0F">
        <w:t>OMPI a indiqué que les états financiers vérifiés éta</w:t>
      </w:r>
      <w:r w:rsidR="00BA5182" w:rsidRPr="007E4A0F">
        <w:t>ient généralement présentés au C</w:t>
      </w:r>
      <w:r w:rsidRPr="007E4A0F">
        <w:t>omité du programme et budget en même temps que le rapport sur l</w:t>
      </w:r>
      <w:r w:rsidR="00B274E6" w:rsidRPr="007E4A0F">
        <w:t>’</w:t>
      </w:r>
      <w:r w:rsidRPr="007E4A0F">
        <w:t>exécution du programme, et qu</w:t>
      </w:r>
      <w:r w:rsidR="00B274E6" w:rsidRPr="007E4A0F">
        <w:t>’</w:t>
      </w:r>
      <w:r w:rsidRPr="007E4A0F">
        <w:t>il n</w:t>
      </w:r>
      <w:r w:rsidR="00B274E6" w:rsidRPr="007E4A0F">
        <w:t>’</w:t>
      </w:r>
      <w:r w:rsidRPr="007E4A0F">
        <w:t>était pas nécessaire de répéter ces informations dans les deux</w:t>
      </w:r>
      <w:r w:rsidR="006C7CFD" w:rsidRPr="007E4A0F">
        <w:t> </w:t>
      </w:r>
      <w:r w:rsidRPr="007E4A0F">
        <w:t xml:space="preserve">documents.  </w:t>
      </w:r>
      <w:r w:rsidR="00A41FA4" w:rsidRPr="007E4A0F">
        <w:t>L</w:t>
      </w:r>
      <w:r w:rsidR="00B274E6" w:rsidRPr="007E4A0F">
        <w:t>’</w:t>
      </w:r>
      <w:r w:rsidR="00A41FA4" w:rsidRPr="007E4A0F">
        <w:t>OMPI a ajouté qu</w:t>
      </w:r>
      <w:r w:rsidR="00B274E6" w:rsidRPr="007E4A0F">
        <w:t>’</w:t>
      </w:r>
      <w:r w:rsidR="00A41FA4" w:rsidRPr="007E4A0F">
        <w:t>en</w:t>
      </w:r>
      <w:r w:rsidR="006C7CFD" w:rsidRPr="007E4A0F">
        <w:t> </w:t>
      </w:r>
      <w:r w:rsidR="00A41FA4" w:rsidRPr="007E4A0F">
        <w:t>2015, le rapport sur l</w:t>
      </w:r>
      <w:r w:rsidR="00B274E6" w:rsidRPr="007E4A0F">
        <w:t>’</w:t>
      </w:r>
      <w:r w:rsidR="00A41FA4" w:rsidRPr="007E4A0F">
        <w:t>exécution du programme devait être prése</w:t>
      </w:r>
      <w:r w:rsidR="00BA5182" w:rsidRPr="007E4A0F">
        <w:t>nté à la session de juillet du C</w:t>
      </w:r>
      <w:r w:rsidR="00A41FA4" w:rsidRPr="007E4A0F">
        <w:t>omité du programme et budget, c</w:t>
      </w:r>
      <w:r w:rsidR="00B274E6" w:rsidRPr="007E4A0F">
        <w:t>’</w:t>
      </w:r>
      <w:r w:rsidR="00A41FA4" w:rsidRPr="007E4A0F">
        <w:t>est</w:t>
      </w:r>
      <w:r w:rsidR="00CB1BDA" w:rsidRPr="007E4A0F">
        <w:noBreakHyphen/>
      </w:r>
      <w:r w:rsidR="00A41FA4" w:rsidRPr="007E4A0F">
        <w:t>à</w:t>
      </w:r>
      <w:r w:rsidR="00CB1BDA" w:rsidRPr="007E4A0F">
        <w:noBreakHyphen/>
      </w:r>
      <w:r w:rsidR="00A41FA4" w:rsidRPr="007E4A0F">
        <w:t>dire avant les états financiers.</w:t>
      </w:r>
    </w:p>
    <w:p w:rsidR="00947AF6" w:rsidRPr="007E4A0F" w:rsidRDefault="000A6F80" w:rsidP="00CD0CBC">
      <w:pPr>
        <w:pStyle w:val="Heading4"/>
        <w:rPr>
          <w:lang w:val="fr-FR"/>
        </w:rPr>
      </w:pPr>
      <w:r w:rsidRPr="007E4A0F">
        <w:rPr>
          <w:lang w:val="fr-FR"/>
        </w:rPr>
        <w:t>Recommandation n° 3</w:t>
      </w:r>
    </w:p>
    <w:p w:rsidR="00947AF6" w:rsidRPr="007E4A0F" w:rsidRDefault="00E87A14" w:rsidP="004C170B">
      <w:pPr>
        <w:pStyle w:val="Heading4"/>
        <w:rPr>
          <w:lang w:val="fr-FR"/>
        </w:rPr>
      </w:pPr>
      <w:r w:rsidRPr="007E4A0F">
        <w:rPr>
          <w:lang w:val="fr-FR"/>
        </w:rPr>
        <w:t>L</w:t>
      </w:r>
      <w:r w:rsidR="00B274E6" w:rsidRPr="007E4A0F">
        <w:rPr>
          <w:lang w:val="fr-FR"/>
        </w:rPr>
        <w:t>’</w:t>
      </w:r>
      <w:r w:rsidRPr="007E4A0F">
        <w:rPr>
          <w:lang w:val="fr-FR"/>
        </w:rPr>
        <w:t>OMPI pourrait envisager d</w:t>
      </w:r>
      <w:r w:rsidR="00B274E6" w:rsidRPr="007E4A0F">
        <w:rPr>
          <w:lang w:val="fr-FR"/>
        </w:rPr>
        <w:t>’</w:t>
      </w:r>
      <w:r w:rsidRPr="007E4A0F">
        <w:rPr>
          <w:lang w:val="fr-FR"/>
        </w:rPr>
        <w:t>établir le rapport sur l</w:t>
      </w:r>
      <w:r w:rsidR="00B274E6" w:rsidRPr="007E4A0F">
        <w:rPr>
          <w:lang w:val="fr-FR"/>
        </w:rPr>
        <w:t>’</w:t>
      </w:r>
      <w:r w:rsidRPr="007E4A0F">
        <w:rPr>
          <w:lang w:val="fr-FR"/>
        </w:rPr>
        <w:t>exécution du programme avant la fin de l</w:t>
      </w:r>
      <w:r w:rsidR="00B274E6" w:rsidRPr="007E4A0F">
        <w:rPr>
          <w:lang w:val="fr-FR"/>
        </w:rPr>
        <w:t>’</w:t>
      </w:r>
      <w:r w:rsidRPr="007E4A0F">
        <w:rPr>
          <w:lang w:val="fr-FR"/>
        </w:rPr>
        <w:t xml:space="preserve">audit financier ou </w:t>
      </w:r>
      <w:r w:rsidR="00F5518C" w:rsidRPr="007E4A0F">
        <w:rPr>
          <w:lang w:val="fr-FR"/>
        </w:rPr>
        <w:t xml:space="preserve">de </w:t>
      </w:r>
      <w:r w:rsidRPr="007E4A0F">
        <w:rPr>
          <w:lang w:val="fr-FR"/>
        </w:rPr>
        <w:t xml:space="preserve">présenter une explication des </w:t>
      </w:r>
      <w:r w:rsidR="00E44060" w:rsidRPr="007E4A0F">
        <w:rPr>
          <w:lang w:val="fr-FR"/>
        </w:rPr>
        <w:t>écart</w:t>
      </w:r>
      <w:r w:rsidRPr="007E4A0F">
        <w:rPr>
          <w:lang w:val="fr-FR"/>
        </w:rPr>
        <w:t>s entre les montants inscrits au budget et les montants réels dans les états financiers</w:t>
      </w:r>
      <w:r w:rsidR="001A4E95" w:rsidRPr="007E4A0F">
        <w:rPr>
          <w:lang w:val="fr-FR"/>
        </w:rPr>
        <w:t>, conformément à la norme</w:t>
      </w:r>
      <w:r w:rsidR="006C7CFD" w:rsidRPr="007E4A0F">
        <w:rPr>
          <w:lang w:val="fr-FR"/>
        </w:rPr>
        <w:t> </w:t>
      </w:r>
      <w:r w:rsidR="001A4E95" w:rsidRPr="007E4A0F">
        <w:rPr>
          <w:lang w:val="fr-FR"/>
        </w:rPr>
        <w:t>IPSAS 24.</w:t>
      </w:r>
    </w:p>
    <w:p w:rsidR="00947AF6" w:rsidRPr="007E4A0F" w:rsidRDefault="00992ECD" w:rsidP="004E5982">
      <w:pPr>
        <w:pStyle w:val="Style1"/>
      </w:pPr>
      <w:r w:rsidRPr="007E4A0F">
        <w:t>L</w:t>
      </w:r>
      <w:r w:rsidR="00B274E6" w:rsidRPr="007E4A0F">
        <w:t>’</w:t>
      </w:r>
      <w:r w:rsidRPr="007E4A0F">
        <w:t>OMPI a indiqué qu</w:t>
      </w:r>
      <w:r w:rsidR="00B274E6" w:rsidRPr="007E4A0F">
        <w:t>’</w:t>
      </w:r>
      <w:r w:rsidRPr="007E4A0F">
        <w:t>un projet d</w:t>
      </w:r>
      <w:r w:rsidR="00B274E6" w:rsidRPr="007E4A0F">
        <w:t>’</w:t>
      </w:r>
      <w:r w:rsidRPr="007E4A0F">
        <w:t>explication des ressources établies pour le rapport sur l</w:t>
      </w:r>
      <w:r w:rsidR="00B274E6" w:rsidRPr="007E4A0F">
        <w:t>’</w:t>
      </w:r>
      <w:r w:rsidRPr="007E4A0F">
        <w:t>exécution du programme serait communiqué à l</w:t>
      </w:r>
      <w:r w:rsidR="00B274E6" w:rsidRPr="007E4A0F">
        <w:t>’</w:t>
      </w:r>
      <w:r w:rsidRPr="007E4A0F">
        <w:t xml:space="preserve">avenir </w:t>
      </w:r>
      <w:r w:rsidR="00F5518C" w:rsidRPr="007E4A0F">
        <w:t>dur</w:t>
      </w:r>
      <w:r w:rsidRPr="007E4A0F">
        <w:t>ant l</w:t>
      </w:r>
      <w:r w:rsidR="00B274E6" w:rsidRPr="007E4A0F">
        <w:t>’</w:t>
      </w:r>
      <w:r w:rsidRPr="007E4A0F">
        <w:t>audit.</w:t>
      </w:r>
    </w:p>
    <w:p w:rsidR="00947AF6" w:rsidRPr="007E4A0F" w:rsidRDefault="00E81E4B" w:rsidP="004C170B">
      <w:pPr>
        <w:pStyle w:val="Heading4"/>
        <w:rPr>
          <w:lang w:val="fr-FR"/>
        </w:rPr>
      </w:pPr>
      <w:r w:rsidRPr="007E4A0F">
        <w:rPr>
          <w:lang w:val="fr-FR"/>
        </w:rPr>
        <w:t>Retards dans la réception des taxes</w:t>
      </w:r>
    </w:p>
    <w:p w:rsidR="00947AF6" w:rsidRPr="007E4A0F" w:rsidRDefault="00C70BE6" w:rsidP="004E5982">
      <w:pPr>
        <w:pStyle w:val="Style1"/>
      </w:pPr>
      <w:r w:rsidRPr="007E4A0F">
        <w:t>Conformément aux paragraphes</w:t>
      </w:r>
      <w:r w:rsidR="006C7CFD" w:rsidRPr="007E4A0F">
        <w:t> </w:t>
      </w:r>
      <w:r w:rsidRPr="007E4A0F">
        <w:t xml:space="preserve">272 et 273 des directives </w:t>
      </w:r>
      <w:r w:rsidR="00F926EC" w:rsidRPr="007E4A0F">
        <w:t>à l</w:t>
      </w:r>
      <w:r w:rsidR="00B274E6" w:rsidRPr="007E4A0F">
        <w:t>’</w:t>
      </w:r>
      <w:r w:rsidR="00F926EC" w:rsidRPr="007E4A0F">
        <w:t>usage des offices récepteurs pour l</w:t>
      </w:r>
      <w:r w:rsidR="00B274E6" w:rsidRPr="007E4A0F">
        <w:t>’</w:t>
      </w:r>
      <w:r w:rsidR="00F926EC" w:rsidRPr="007E4A0F">
        <w:t xml:space="preserve">instruction des demandes internationales dans le cadre du Traité de coopération en matière de brevets en vigueur à partir du </w:t>
      </w:r>
      <w:r w:rsidR="00B274E6" w:rsidRPr="007E4A0F">
        <w:t>1</w:t>
      </w:r>
      <w:r w:rsidR="00B274E6" w:rsidRPr="007E4A0F">
        <w:rPr>
          <w:vertAlign w:val="superscript"/>
        </w:rPr>
        <w:t>er</w:t>
      </w:r>
      <w:r w:rsidR="00B274E6" w:rsidRPr="007E4A0F">
        <w:t> juillet 20</w:t>
      </w:r>
      <w:r w:rsidR="00F926EC" w:rsidRPr="007E4A0F">
        <w:t xml:space="preserve">13 lus en conjonction avec </w:t>
      </w:r>
      <w:r w:rsidR="00DD3460" w:rsidRPr="007E4A0F">
        <w:t>les règles</w:t>
      </w:r>
      <w:r w:rsidR="006C7CFD" w:rsidRPr="007E4A0F">
        <w:t> </w:t>
      </w:r>
      <w:r w:rsidR="00DD3460" w:rsidRPr="007E4A0F">
        <w:t>15.2.c) et d)</w:t>
      </w:r>
      <w:r w:rsidR="006C7CFD" w:rsidRPr="007E4A0F">
        <w:t> </w:t>
      </w:r>
      <w:r w:rsidR="00DD3460" w:rsidRPr="007E4A0F">
        <w:t>et 16.1.c) et d)</w:t>
      </w:r>
      <w:r w:rsidR="006C7CFD" w:rsidRPr="007E4A0F">
        <w:t> </w:t>
      </w:r>
      <w:r w:rsidR="00DD3460" w:rsidRPr="007E4A0F">
        <w:t>du règlement d</w:t>
      </w:r>
      <w:r w:rsidR="00B274E6" w:rsidRPr="007E4A0F">
        <w:t>’</w:t>
      </w:r>
      <w:r w:rsidR="00DD3460" w:rsidRPr="007E4A0F">
        <w:t>exécution</w:t>
      </w:r>
      <w:r w:rsidR="00B274E6" w:rsidRPr="007E4A0F">
        <w:t xml:space="preserve"> du PCT</w:t>
      </w:r>
      <w:r w:rsidR="00DD3460" w:rsidRPr="007E4A0F">
        <w:t>, les offices récepteurs, c</w:t>
      </w:r>
      <w:r w:rsidR="00B274E6" w:rsidRPr="007E4A0F">
        <w:t>’</w:t>
      </w:r>
      <w:r w:rsidR="00DD3460" w:rsidRPr="007E4A0F">
        <w:t>est</w:t>
      </w:r>
      <w:r w:rsidR="00CB1BDA" w:rsidRPr="007E4A0F">
        <w:noBreakHyphen/>
      </w:r>
      <w:r w:rsidR="00DD3460" w:rsidRPr="007E4A0F">
        <w:t>à</w:t>
      </w:r>
      <w:r w:rsidR="00CB1BDA" w:rsidRPr="007E4A0F">
        <w:noBreakHyphen/>
      </w:r>
      <w:r w:rsidR="00DD3460" w:rsidRPr="007E4A0F">
        <w:t xml:space="preserve">dire les offices de propriété intellectuelle, doivent transférer chaque mois au Bureau international et </w:t>
      </w:r>
      <w:r w:rsidR="00276959" w:rsidRPr="007E4A0F">
        <w:t xml:space="preserve">à </w:t>
      </w:r>
      <w:r w:rsidR="00DD3460" w:rsidRPr="007E4A0F">
        <w:t>l</w:t>
      </w:r>
      <w:r w:rsidR="00B274E6" w:rsidRPr="007E4A0F">
        <w:t>’</w:t>
      </w:r>
      <w:r w:rsidR="00DD3460" w:rsidRPr="007E4A0F">
        <w:t>administration chargée de la recherche internationale, respectivement, les sommes reçues au cours du mois précédent en tant que taxe internationale de dépôt et taxe de recherche.  Lors du transfert de la taxe internationale de dépôt,</w:t>
      </w:r>
      <w:r w:rsidR="0021644D" w:rsidRPr="007E4A0F">
        <w:t xml:space="preserve"> les offices récepteurs doivent communiquer au Bureau international, par lettre, par télécopie ou sous forme électronique, le numéro de la demande internationale, le nom du déposant et le montant total de la taxe internationale de dépôt.</w:t>
      </w:r>
    </w:p>
    <w:p w:rsidR="00B274E6" w:rsidRPr="007E4A0F" w:rsidRDefault="008509A4" w:rsidP="004E5982">
      <w:pPr>
        <w:pStyle w:val="Style1"/>
      </w:pPr>
      <w:r w:rsidRPr="007E4A0F">
        <w:t>Nous avons constaté que</w:t>
      </w:r>
      <w:r w:rsidR="007F4782" w:rsidRPr="007E4A0F">
        <w:t xml:space="preserve"> les dispositions précitées</w:t>
      </w:r>
      <w:r w:rsidR="009A3E3B" w:rsidRPr="007E4A0F">
        <w:t xml:space="preserve"> n</w:t>
      </w:r>
      <w:r w:rsidR="00B274E6" w:rsidRPr="007E4A0F">
        <w:t>’</w:t>
      </w:r>
      <w:r w:rsidR="009A3E3B" w:rsidRPr="007E4A0F">
        <w:t>étaient pas suivies par l</w:t>
      </w:r>
      <w:r w:rsidR="00B274E6" w:rsidRPr="007E4A0F">
        <w:t>’</w:t>
      </w:r>
      <w:r w:rsidR="009A3E3B" w:rsidRPr="007E4A0F">
        <w:t>Office d</w:t>
      </w:r>
      <w:r w:rsidR="00B274E6" w:rsidRPr="007E4A0F">
        <w:t>’</w:t>
      </w:r>
      <w:r w:rsidR="009A3E3B" w:rsidRPr="007E4A0F">
        <w:t>État de la propriété intellectuelle de la République populaire de Chine</w:t>
      </w:r>
      <w:r w:rsidRPr="007E4A0F">
        <w:t xml:space="preserve"> </w:t>
      </w:r>
      <w:r w:rsidR="009A3E3B" w:rsidRPr="007E4A0F">
        <w:t xml:space="preserve">(SIPO), des retards </w:t>
      </w:r>
      <w:r w:rsidR="009A3E3B" w:rsidRPr="007E4A0F">
        <w:lastRenderedPageBreak/>
        <w:t>importants</w:t>
      </w:r>
      <w:r w:rsidR="00FE565C" w:rsidRPr="007E4A0F">
        <w:t>, d</w:t>
      </w:r>
      <w:r w:rsidR="00B274E6" w:rsidRPr="007E4A0F">
        <w:t>’</w:t>
      </w:r>
      <w:r w:rsidR="00FE565C" w:rsidRPr="007E4A0F">
        <w:t>une durée</w:t>
      </w:r>
      <w:r w:rsidR="009A3E3B" w:rsidRPr="007E4A0F">
        <w:t xml:space="preserve"> de trois</w:t>
      </w:r>
      <w:r w:rsidR="006C7CFD" w:rsidRPr="007E4A0F">
        <w:t> </w:t>
      </w:r>
      <w:r w:rsidR="006B51E0" w:rsidRPr="007E4A0F">
        <w:t>à 12 </w:t>
      </w:r>
      <w:r w:rsidR="009A3E3B" w:rsidRPr="007E4A0F">
        <w:t>mois</w:t>
      </w:r>
      <w:r w:rsidR="00FE565C" w:rsidRPr="007E4A0F">
        <w:t>,</w:t>
      </w:r>
      <w:r w:rsidR="009A3E3B" w:rsidRPr="007E4A0F">
        <w:t xml:space="preserve"> ayant été observés dans la réception des taxes</w:t>
      </w:r>
      <w:r w:rsidR="00B274E6" w:rsidRPr="007E4A0F">
        <w:t xml:space="preserve"> du SIP</w:t>
      </w:r>
      <w:r w:rsidR="009A3E3B" w:rsidRPr="007E4A0F">
        <w:t>O en</w:t>
      </w:r>
      <w:r w:rsidR="006C7CFD" w:rsidRPr="007E4A0F">
        <w:t> </w:t>
      </w:r>
      <w:r w:rsidR="009A3E3B" w:rsidRPr="007E4A0F">
        <w:t xml:space="preserve">2014.  </w:t>
      </w:r>
      <w:r w:rsidR="00582089" w:rsidRPr="007E4A0F">
        <w:t>La situation s</w:t>
      </w:r>
      <w:r w:rsidR="00B274E6" w:rsidRPr="007E4A0F">
        <w:t>’</w:t>
      </w:r>
      <w:r w:rsidR="00582089" w:rsidRPr="007E4A0F">
        <w:t>est quelque peu améliorée dernièrement en ce qui concerne la réception des taxes</w:t>
      </w:r>
      <w:r w:rsidR="00B274E6" w:rsidRPr="007E4A0F">
        <w:t xml:space="preserve"> du SIP</w:t>
      </w:r>
      <w:r w:rsidR="00582089" w:rsidRPr="007E4A0F">
        <w:t xml:space="preserve">O, </w:t>
      </w:r>
      <w:r w:rsidR="002B45FB" w:rsidRPr="007E4A0F">
        <w:t>mais les retards sont encore de plus de trois</w:t>
      </w:r>
      <w:r w:rsidR="006C7CFD" w:rsidRPr="007E4A0F">
        <w:t> </w:t>
      </w:r>
      <w:r w:rsidR="002B45FB" w:rsidRPr="007E4A0F">
        <w:t>mois en moyenne.</w:t>
      </w:r>
    </w:p>
    <w:p w:rsidR="00947AF6" w:rsidRPr="007E4A0F" w:rsidRDefault="00200682" w:rsidP="004E5982">
      <w:pPr>
        <w:pStyle w:val="Style1"/>
      </w:pPr>
      <w:r w:rsidRPr="007E4A0F">
        <w:t>L</w:t>
      </w:r>
      <w:r w:rsidR="00B274E6" w:rsidRPr="007E4A0F">
        <w:t>’</w:t>
      </w:r>
      <w:r w:rsidRPr="007E4A0F">
        <w:t xml:space="preserve">OMPI </w:t>
      </w:r>
      <w:r w:rsidR="00276959" w:rsidRPr="007E4A0F">
        <w:t xml:space="preserve">a </w:t>
      </w:r>
      <w:r w:rsidRPr="007E4A0F">
        <w:t>indiqué que le Bureau international avait régulièrement des contacts</w:t>
      </w:r>
      <w:r w:rsidR="00F12D02" w:rsidRPr="007E4A0F">
        <w:t xml:space="preserve"> avec</w:t>
      </w:r>
      <w:r w:rsidR="00B274E6" w:rsidRPr="007E4A0F">
        <w:t xml:space="preserve"> le SIP</w:t>
      </w:r>
      <w:r w:rsidR="00F12D02" w:rsidRPr="007E4A0F">
        <w:t>O depuis un certain temps déjà au sujet du respect des délais de transmission des demandes internationales et de la taxe internationale de dépôt.</w:t>
      </w:r>
    </w:p>
    <w:p w:rsidR="00947AF6" w:rsidRPr="007E4A0F" w:rsidRDefault="000A6F80" w:rsidP="00CD0CBC">
      <w:pPr>
        <w:pStyle w:val="Heading4"/>
        <w:rPr>
          <w:lang w:val="fr-FR"/>
        </w:rPr>
      </w:pPr>
      <w:r w:rsidRPr="007E4A0F">
        <w:rPr>
          <w:lang w:val="fr-FR"/>
        </w:rPr>
        <w:t>Recommandation n° 4</w:t>
      </w:r>
    </w:p>
    <w:p w:rsidR="00947AF6" w:rsidRPr="007E4A0F" w:rsidRDefault="000A1B4D" w:rsidP="004C170B">
      <w:pPr>
        <w:pStyle w:val="Heading4"/>
        <w:rPr>
          <w:lang w:val="fr-FR"/>
        </w:rPr>
      </w:pPr>
      <w:r w:rsidRPr="007E4A0F">
        <w:rPr>
          <w:lang w:val="fr-FR"/>
        </w:rPr>
        <w:t xml:space="preserve">Le Bureau international pourrait envisager </w:t>
      </w:r>
      <w:r w:rsidR="005A4DDD" w:rsidRPr="007E4A0F">
        <w:rPr>
          <w:lang w:val="fr-FR"/>
        </w:rPr>
        <w:t>d</w:t>
      </w:r>
      <w:r w:rsidR="00B274E6" w:rsidRPr="007E4A0F">
        <w:rPr>
          <w:lang w:val="fr-FR"/>
        </w:rPr>
        <w:t>’</w:t>
      </w:r>
      <w:r w:rsidR="005A4DDD" w:rsidRPr="007E4A0F">
        <w:rPr>
          <w:lang w:val="fr-FR"/>
        </w:rPr>
        <w:t xml:space="preserve">accroître ses efforts </w:t>
      </w:r>
      <w:r w:rsidR="005D498A" w:rsidRPr="007E4A0F">
        <w:rPr>
          <w:lang w:val="fr-FR"/>
        </w:rPr>
        <w:t xml:space="preserve">pour que les taxes des offices de propriété intellectuelle lui parviennent </w:t>
      </w:r>
      <w:r w:rsidR="00992D6E" w:rsidRPr="007E4A0F">
        <w:rPr>
          <w:lang w:val="fr-FR"/>
        </w:rPr>
        <w:t>sans retard</w:t>
      </w:r>
      <w:r w:rsidR="005D498A" w:rsidRPr="007E4A0F">
        <w:rPr>
          <w:lang w:val="fr-FR"/>
        </w:rPr>
        <w:t>.</w:t>
      </w:r>
    </w:p>
    <w:p w:rsidR="00947AF6" w:rsidRPr="007E4A0F" w:rsidRDefault="005D498A" w:rsidP="004E5982">
      <w:pPr>
        <w:pStyle w:val="Style1"/>
        <w:rPr>
          <w:b/>
        </w:rPr>
      </w:pPr>
      <w:r w:rsidRPr="007E4A0F">
        <w:t>L</w:t>
      </w:r>
      <w:r w:rsidR="00B274E6" w:rsidRPr="007E4A0F">
        <w:t>’</w:t>
      </w:r>
      <w:r w:rsidRPr="007E4A0F">
        <w:t>OMPI a accepté la recommandation, indiquant que</w:t>
      </w:r>
      <w:r w:rsidR="00B274E6" w:rsidRPr="007E4A0F">
        <w:t xml:space="preserve"> le SIP</w:t>
      </w:r>
      <w:r w:rsidRPr="007E4A0F">
        <w:t xml:space="preserve">O </w:t>
      </w:r>
      <w:r w:rsidR="00C22174" w:rsidRPr="007E4A0F">
        <w:t>était en progrès constant à cet égard et que le délai moyen de transmission s</w:t>
      </w:r>
      <w:r w:rsidR="00B274E6" w:rsidRPr="007E4A0F">
        <w:t>’</w:t>
      </w:r>
      <w:r w:rsidR="00C22174" w:rsidRPr="007E4A0F">
        <w:t>était réduit depuis le début de</w:t>
      </w:r>
      <w:r w:rsidR="006C7CFD" w:rsidRPr="007E4A0F">
        <w:t> </w:t>
      </w:r>
      <w:r w:rsidR="00C22174" w:rsidRPr="007E4A0F">
        <w:t>2015</w:t>
      </w:r>
      <w:r w:rsidR="00F81C9E" w:rsidRPr="007E4A0F">
        <w:t xml:space="preserve"> pour atteindre trois</w:t>
      </w:r>
      <w:r w:rsidR="006C7CFD" w:rsidRPr="007E4A0F">
        <w:t> </w:t>
      </w:r>
      <w:r w:rsidR="00F81C9E" w:rsidRPr="007E4A0F">
        <w:t>mois, ce qui constituait une amélioration remarquable par rapport à la même période en</w:t>
      </w:r>
      <w:r w:rsidR="006C7CFD" w:rsidRPr="007E4A0F">
        <w:t> </w:t>
      </w:r>
      <w:r w:rsidR="00F81C9E" w:rsidRPr="007E4A0F">
        <w:t>2014.  L</w:t>
      </w:r>
      <w:r w:rsidR="00B274E6" w:rsidRPr="007E4A0F">
        <w:t>’</w:t>
      </w:r>
      <w:r w:rsidR="00F81C9E" w:rsidRPr="007E4A0F">
        <w:t xml:space="preserve">OMPI a ajouté que le Bureau international </w:t>
      </w:r>
      <w:r w:rsidR="00992D6E" w:rsidRPr="007E4A0F">
        <w:t>était</w:t>
      </w:r>
      <w:r w:rsidR="00F81C9E" w:rsidRPr="007E4A0F">
        <w:t xml:space="preserve"> déterminé à continuer à travailler sur cette question avec</w:t>
      </w:r>
      <w:r w:rsidR="00B274E6" w:rsidRPr="007E4A0F">
        <w:t xml:space="preserve"> le SIP</w:t>
      </w:r>
      <w:r w:rsidR="00F81C9E" w:rsidRPr="007E4A0F">
        <w:t>O</w:t>
      </w:r>
      <w:r w:rsidR="005D6A63" w:rsidRPr="007E4A0F">
        <w:t xml:space="preserve"> et que l</w:t>
      </w:r>
      <w:r w:rsidR="00B274E6" w:rsidRPr="007E4A0F">
        <w:t>’</w:t>
      </w:r>
      <w:r w:rsidR="005D6A63" w:rsidRPr="007E4A0F">
        <w:t>on pouvait s</w:t>
      </w:r>
      <w:r w:rsidR="00B274E6" w:rsidRPr="007E4A0F">
        <w:t>’</w:t>
      </w:r>
      <w:r w:rsidR="005D6A63" w:rsidRPr="007E4A0F">
        <w:t>attendre à ce que la situation s</w:t>
      </w:r>
      <w:r w:rsidR="00B274E6" w:rsidRPr="007E4A0F">
        <w:t>’</w:t>
      </w:r>
      <w:r w:rsidR="005D6A63" w:rsidRPr="007E4A0F">
        <w:t>améliore encore dans un proche avenir.</w:t>
      </w:r>
    </w:p>
    <w:p w:rsidR="00B274E6" w:rsidRPr="007E4A0F" w:rsidRDefault="00D216D8" w:rsidP="004C170B">
      <w:pPr>
        <w:pStyle w:val="Heading3"/>
        <w:rPr>
          <w:lang w:val="fr-FR"/>
        </w:rPr>
      </w:pPr>
      <w:r w:rsidRPr="007E4A0F">
        <w:rPr>
          <w:lang w:val="fr-FR"/>
        </w:rPr>
        <w:t>Système intégré de planification des ressources</w:t>
      </w:r>
    </w:p>
    <w:p w:rsidR="00947AF6" w:rsidRPr="007E4A0F" w:rsidRDefault="00894E85" w:rsidP="004C170B">
      <w:pPr>
        <w:pStyle w:val="Heading4"/>
        <w:rPr>
          <w:lang w:val="fr-FR"/>
        </w:rPr>
      </w:pPr>
      <w:r w:rsidRPr="007E4A0F">
        <w:rPr>
          <w:lang w:val="fr-FR"/>
        </w:rPr>
        <w:t>Rappel</w:t>
      </w:r>
    </w:p>
    <w:p w:rsidR="00947AF6" w:rsidRPr="007E4A0F" w:rsidRDefault="00F00BCB" w:rsidP="004E5982">
      <w:pPr>
        <w:pStyle w:val="Style1"/>
      </w:pPr>
      <w:r w:rsidRPr="007E4A0F">
        <w:t>L</w:t>
      </w:r>
      <w:r w:rsidR="00B274E6" w:rsidRPr="007E4A0F">
        <w:t>’</w:t>
      </w:r>
      <w:r w:rsidRPr="007E4A0F">
        <w:t>OMPI a opté pour la mise en œuvre progressive de son système intégré de planification des ressources (ERP) en</w:t>
      </w:r>
      <w:r w:rsidR="006C7CFD" w:rsidRPr="007E4A0F">
        <w:t> </w:t>
      </w:r>
      <w:r w:rsidRPr="007E4A0F">
        <w:t>2003, après avoir obtenu l</w:t>
      </w:r>
      <w:r w:rsidR="00B274E6" w:rsidRPr="007E4A0F">
        <w:t>’</w:t>
      </w:r>
      <w:r w:rsidRPr="007E4A0F">
        <w:t xml:space="preserve">approbation des États membres pour la mise en œuvre du </w:t>
      </w:r>
      <w:r w:rsidR="003D06C1" w:rsidRPr="007E4A0F">
        <w:t>projet de système intégré de gestion administrative AIMS, qui répondait</w:t>
      </w:r>
      <w:r w:rsidRPr="007E4A0F">
        <w:t xml:space="preserve"> </w:t>
      </w:r>
      <w:r w:rsidR="003D06C1" w:rsidRPr="007E4A0F">
        <w:t>aux besoins de l</w:t>
      </w:r>
      <w:r w:rsidR="00B274E6" w:rsidRPr="007E4A0F">
        <w:t>’</w:t>
      </w:r>
      <w:r w:rsidR="003D06C1" w:rsidRPr="007E4A0F">
        <w:t>Organisation en matière d</w:t>
      </w:r>
      <w:r w:rsidR="00B274E6" w:rsidRPr="007E4A0F">
        <w:t>’</w:t>
      </w:r>
      <w:r w:rsidR="003D06C1" w:rsidRPr="007E4A0F">
        <w:t>information financière et budgétaire.</w:t>
      </w:r>
    </w:p>
    <w:p w:rsidR="00947AF6" w:rsidRPr="007E4A0F" w:rsidRDefault="003D06C1" w:rsidP="003C66DF">
      <w:pPr>
        <w:pStyle w:val="Style1"/>
        <w:numPr>
          <w:ilvl w:val="0"/>
          <w:numId w:val="0"/>
        </w:numPr>
      </w:pPr>
      <w:r w:rsidRPr="007E4A0F">
        <w:t xml:space="preserve">Le projet </w:t>
      </w:r>
      <w:r w:rsidR="0012066D" w:rsidRPr="007E4A0F">
        <w:t xml:space="preserve">AIMS </w:t>
      </w:r>
      <w:r w:rsidRPr="007E4A0F">
        <w:t>a été réalisé dans les délais et dans les limites du budget, et le système est utilisé depuis</w:t>
      </w:r>
      <w:r w:rsidR="006C7CFD" w:rsidRPr="007E4A0F">
        <w:t> </w:t>
      </w:r>
      <w:r w:rsidRPr="007E4A0F">
        <w:t>2004.  E</w:t>
      </w:r>
      <w:r w:rsidR="0012066D" w:rsidRPr="007E4A0F">
        <w:t>n</w:t>
      </w:r>
      <w:r w:rsidR="006C7CFD" w:rsidRPr="007E4A0F">
        <w:t> </w:t>
      </w:r>
      <w:r w:rsidR="0012066D" w:rsidRPr="007E4A0F">
        <w:t xml:space="preserve">2008, </w:t>
      </w:r>
      <w:r w:rsidRPr="007E4A0F">
        <w:t>les États membres ont approuvé</w:t>
      </w:r>
      <w:r w:rsidR="003D2A1B" w:rsidRPr="007E4A0F">
        <w:t xml:space="preserve"> le projet FRR</w:t>
      </w:r>
      <w:r w:rsidR="00CB1BDA" w:rsidRPr="007E4A0F">
        <w:noBreakHyphen/>
      </w:r>
      <w:r w:rsidR="003D2A1B" w:rsidRPr="007E4A0F">
        <w:t>IPSAS</w:t>
      </w:r>
      <w:r w:rsidR="00E433DB" w:rsidRPr="007E4A0F">
        <w:t xml:space="preserve">, </w:t>
      </w:r>
      <w:r w:rsidR="003D2A1B" w:rsidRPr="007E4A0F">
        <w:t>comprenant le Règlement financier et son règlement d</w:t>
      </w:r>
      <w:r w:rsidR="00B274E6" w:rsidRPr="007E4A0F">
        <w:t>’</w:t>
      </w:r>
      <w:r w:rsidR="003D2A1B" w:rsidRPr="007E4A0F">
        <w:t xml:space="preserve">exécution </w:t>
      </w:r>
      <w:r w:rsidR="00637462" w:rsidRPr="007E4A0F">
        <w:t>(FRR) et</w:t>
      </w:r>
      <w:r w:rsidR="003D2A1B" w:rsidRPr="007E4A0F">
        <w:t xml:space="preserve"> les normes comptables internationales du secteur public (IPSAS), lequel </w:t>
      </w:r>
      <w:r w:rsidR="00637462" w:rsidRPr="007E4A0F">
        <w:t>projet englobait</w:t>
      </w:r>
      <w:r w:rsidR="003D2A1B" w:rsidRPr="007E4A0F">
        <w:t xml:space="preserve"> la mise en œuvre de modules d</w:t>
      </w:r>
      <w:r w:rsidR="00B274E6" w:rsidRPr="007E4A0F">
        <w:t>’</w:t>
      </w:r>
      <w:r w:rsidR="003D2A1B" w:rsidRPr="007E4A0F">
        <w:t>achats et de gestion des actifs</w:t>
      </w:r>
      <w:r w:rsidR="00E66CFC" w:rsidRPr="007E4A0F">
        <w:t xml:space="preserve">.  Ce système est entré en service en </w:t>
      </w:r>
      <w:r w:rsidR="00B274E6" w:rsidRPr="007E4A0F">
        <w:t>janvier 20</w:t>
      </w:r>
      <w:r w:rsidR="00E66CFC" w:rsidRPr="007E4A0F">
        <w:t>10.</w:t>
      </w:r>
    </w:p>
    <w:p w:rsidR="00947AF6" w:rsidRPr="007E4A0F" w:rsidRDefault="00973CA7" w:rsidP="004E5982">
      <w:pPr>
        <w:pStyle w:val="Style1"/>
      </w:pPr>
      <w:r w:rsidRPr="007E4A0F">
        <w:t>La quarante</w:t>
      </w:r>
      <w:r w:rsidR="00CB1BDA" w:rsidRPr="007E4A0F">
        <w:noBreakHyphen/>
      </w:r>
      <w:r w:rsidRPr="007E4A0F">
        <w:t>huitième série de réunions des assemblées</w:t>
      </w:r>
      <w:r w:rsidR="00A45AC4" w:rsidRPr="007E4A0F">
        <w:t>, tenue en</w:t>
      </w:r>
      <w:r w:rsidRPr="007E4A0F">
        <w:t xml:space="preserve"> </w:t>
      </w:r>
      <w:r w:rsidR="00B274E6" w:rsidRPr="007E4A0F">
        <w:t>septembre 20</w:t>
      </w:r>
      <w:r w:rsidRPr="007E4A0F">
        <w:t>10</w:t>
      </w:r>
      <w:r w:rsidR="00A45AC4" w:rsidRPr="007E4A0F">
        <w:t>,</w:t>
      </w:r>
      <w:r w:rsidRPr="007E4A0F">
        <w:t xml:space="preserve"> a approuvé la mise en œuvre d</w:t>
      </w:r>
      <w:r w:rsidR="00B274E6" w:rsidRPr="007E4A0F">
        <w:t>’</w:t>
      </w:r>
      <w:r w:rsidRPr="007E4A0F">
        <w:t>un système intégré et global de planification des ressources (ERP) visant</w:t>
      </w:r>
      <w:r w:rsidR="00940422" w:rsidRPr="007E4A0F">
        <w:t> :</w:t>
      </w:r>
    </w:p>
    <w:p w:rsidR="00947AF6" w:rsidRPr="007E4A0F" w:rsidRDefault="00940422" w:rsidP="00DC3997">
      <w:pPr>
        <w:pStyle w:val="Style1"/>
        <w:numPr>
          <w:ilvl w:val="0"/>
          <w:numId w:val="12"/>
        </w:numPr>
        <w:ind w:left="1134" w:hanging="567"/>
      </w:pPr>
      <w:r w:rsidRPr="007E4A0F">
        <w:t>la modernisation des fonctions essentielles d</w:t>
      </w:r>
      <w:r w:rsidR="00B274E6" w:rsidRPr="007E4A0F">
        <w:t>’</w:t>
      </w:r>
      <w:r w:rsidRPr="007E4A0F">
        <w:t>administration, de gestion et de service à la clientèle</w:t>
      </w:r>
      <w:r w:rsidR="0012066D" w:rsidRPr="007E4A0F">
        <w:t>;</w:t>
      </w:r>
    </w:p>
    <w:p w:rsidR="00947AF6" w:rsidRPr="007E4A0F" w:rsidRDefault="00940422" w:rsidP="00DC3997">
      <w:pPr>
        <w:pStyle w:val="Style1"/>
        <w:numPr>
          <w:ilvl w:val="0"/>
          <w:numId w:val="12"/>
        </w:numPr>
        <w:ind w:left="1134" w:hanging="567"/>
      </w:pPr>
      <w:r w:rsidRPr="007E4A0F">
        <w:t>l</w:t>
      </w:r>
      <w:r w:rsidR="00B274E6" w:rsidRPr="007E4A0F">
        <w:t>’</w:t>
      </w:r>
      <w:r w:rsidRPr="007E4A0F">
        <w:t>amélioration de l</w:t>
      </w:r>
      <w:r w:rsidR="00B274E6" w:rsidRPr="007E4A0F">
        <w:t>’</w:t>
      </w:r>
      <w:r w:rsidRPr="007E4A0F">
        <w:t>efficacité et de la productivité des processus d</w:t>
      </w:r>
      <w:r w:rsidR="00B274E6" w:rsidRPr="007E4A0F">
        <w:t>’</w:t>
      </w:r>
      <w:r w:rsidRPr="007E4A0F">
        <w:t>administration et de gestion</w:t>
      </w:r>
      <w:r w:rsidR="0012066D" w:rsidRPr="007E4A0F">
        <w:t>;</w:t>
      </w:r>
    </w:p>
    <w:p w:rsidR="00B274E6" w:rsidRPr="007E4A0F" w:rsidRDefault="00940422" w:rsidP="00DC3997">
      <w:pPr>
        <w:pStyle w:val="Style1"/>
        <w:numPr>
          <w:ilvl w:val="0"/>
          <w:numId w:val="12"/>
        </w:numPr>
        <w:ind w:left="1134" w:hanging="567"/>
      </w:pPr>
      <w:r w:rsidRPr="007E4A0F">
        <w:lastRenderedPageBreak/>
        <w:t>l</w:t>
      </w:r>
      <w:r w:rsidR="00A45AC4" w:rsidRPr="007E4A0F">
        <w:t>e renforcement</w:t>
      </w:r>
      <w:r w:rsidRPr="007E4A0F">
        <w:t xml:space="preserve"> de la capacité de fournir de meilleures informations aux États membres</w:t>
      </w:r>
      <w:r w:rsidR="00575041" w:rsidRPr="007E4A0F">
        <w:t xml:space="preserve">, aux parties prenantes et </w:t>
      </w:r>
      <w:r w:rsidR="00213F6F" w:rsidRPr="007E4A0F">
        <w:t xml:space="preserve">à </w:t>
      </w:r>
      <w:r w:rsidR="00575041" w:rsidRPr="007E4A0F">
        <w:t>la direction.</w:t>
      </w:r>
    </w:p>
    <w:p w:rsidR="00B274E6" w:rsidRPr="007E4A0F" w:rsidRDefault="00213F6F" w:rsidP="004E5982">
      <w:pPr>
        <w:pStyle w:val="Style1"/>
      </w:pPr>
      <w:r w:rsidRPr="007E4A0F">
        <w:t>Le système ERP était mis en œuvre au moyen d</w:t>
      </w:r>
      <w:r w:rsidR="00B274E6" w:rsidRPr="007E4A0F">
        <w:t>’</w:t>
      </w:r>
      <w:r w:rsidRPr="007E4A0F">
        <w:t>un portefeuille de projets interdépendants.  La première série de projets visait à fournir à l</w:t>
      </w:r>
      <w:r w:rsidR="00B274E6" w:rsidRPr="007E4A0F">
        <w:t>’</w:t>
      </w:r>
      <w:r w:rsidRPr="007E4A0F">
        <w:t>OMPI un ensemble exhaustif d</w:t>
      </w:r>
      <w:r w:rsidR="00B274E6" w:rsidRPr="007E4A0F">
        <w:t>’</w:t>
      </w:r>
      <w:r w:rsidRPr="007E4A0F">
        <w:t>outils pour consolider la gestion des ressources humaines, comprenant la gestion des postes, les prestations et les avantages, les états de paie, le recrutement, les performances des fonctionnaires, ainsi que la formation et le perfectionnement.</w:t>
      </w:r>
    </w:p>
    <w:p w:rsidR="00947AF6" w:rsidRPr="007E4A0F" w:rsidRDefault="00971644" w:rsidP="004E5982">
      <w:pPr>
        <w:pStyle w:val="Style1"/>
      </w:pPr>
      <w:r w:rsidRPr="007E4A0F">
        <w:t>La deuxième série de projets visait à fournir à l</w:t>
      </w:r>
      <w:r w:rsidR="00B274E6" w:rsidRPr="007E4A0F">
        <w:t>’</w:t>
      </w:r>
      <w:r w:rsidRPr="007E4A0F">
        <w:t>OMPI un ensemble d</w:t>
      </w:r>
      <w:r w:rsidR="00B274E6" w:rsidRPr="007E4A0F">
        <w:t>’</w:t>
      </w:r>
      <w:r w:rsidRPr="007E4A0F">
        <w:t xml:space="preserve">outils pour renforcer la mise en œuvre de la gestion axée sur les résultats, comprenant la planification biennale, la programmation annuelle, </w:t>
      </w:r>
      <w:r w:rsidR="00830D7A" w:rsidRPr="007E4A0F">
        <w:t>le suivi de la mise en œuvre ainsi que l</w:t>
      </w:r>
      <w:r w:rsidR="00B274E6" w:rsidRPr="007E4A0F">
        <w:t>’</w:t>
      </w:r>
      <w:r w:rsidR="00830D7A" w:rsidRPr="007E4A0F">
        <w:t>évaluation des performances et l</w:t>
      </w:r>
      <w:r w:rsidR="00B274E6" w:rsidRPr="007E4A0F">
        <w:t>’</w:t>
      </w:r>
      <w:r w:rsidR="00830D7A" w:rsidRPr="007E4A0F">
        <w:t xml:space="preserve">établissement de rapports </w:t>
      </w:r>
      <w:r w:rsidR="00381CE9" w:rsidRPr="007E4A0F">
        <w:t>les concernant</w:t>
      </w:r>
      <w:r w:rsidR="00830D7A" w:rsidRPr="007E4A0F">
        <w:t>.  Un outil d</w:t>
      </w:r>
      <w:r w:rsidR="00B274E6" w:rsidRPr="007E4A0F">
        <w:t>’</w:t>
      </w:r>
      <w:r w:rsidR="00830D7A" w:rsidRPr="007E4A0F">
        <w:t>analyse des données décisionnelles serait mis en place pour appuyer la gestion des performances.</w:t>
      </w:r>
      <w:r w:rsidR="00E9655A" w:rsidRPr="007E4A0F">
        <w:t xml:space="preserve">  Au fur et à mesure des progrès réalisés dans la mise en œuvre de ces séries de projets, de plus en plus de données seraient disponibles dans le système ERP, et la solution d</w:t>
      </w:r>
      <w:r w:rsidR="00B274E6" w:rsidRPr="007E4A0F">
        <w:t>’</w:t>
      </w:r>
      <w:r w:rsidR="00E9655A" w:rsidRPr="007E4A0F">
        <w:t>analyse de données décisionnelles permettrait progressivement d</w:t>
      </w:r>
      <w:r w:rsidR="00B274E6" w:rsidRPr="007E4A0F">
        <w:t>’</w:t>
      </w:r>
      <w:r w:rsidR="00E9655A" w:rsidRPr="007E4A0F">
        <w:t>améliorer les rapports sur les performances, les résultats et les ressources humaines et financières à l</w:t>
      </w:r>
      <w:r w:rsidR="00B274E6" w:rsidRPr="007E4A0F">
        <w:t>’</w:t>
      </w:r>
      <w:r w:rsidR="00E9655A" w:rsidRPr="007E4A0F">
        <w:t>intention des États membres, de la direction et du personnel.</w:t>
      </w:r>
    </w:p>
    <w:p w:rsidR="00947AF6" w:rsidRPr="007E4A0F" w:rsidRDefault="00991D88" w:rsidP="004E5982">
      <w:pPr>
        <w:pStyle w:val="Style1"/>
      </w:pPr>
      <w:r w:rsidRPr="007E4A0F">
        <w:t>La troisième série de projets visait à perfectionner les systèmes existants des finances, des achats et des voyages grâce à des changements de configuration et des mises à jour permettant d</w:t>
      </w:r>
      <w:r w:rsidR="00B274E6" w:rsidRPr="007E4A0F">
        <w:t>’</w:t>
      </w:r>
      <w:r w:rsidRPr="007E4A0F">
        <w:t>offrir de nouvelles fonctionnalités, d</w:t>
      </w:r>
      <w:r w:rsidR="00B274E6" w:rsidRPr="007E4A0F">
        <w:t>’</w:t>
      </w:r>
      <w:r w:rsidRPr="007E4A0F">
        <w:t>améliorer certains processus opérationnels et de mettre en place de nouveaux modules.</w:t>
      </w:r>
    </w:p>
    <w:p w:rsidR="00947AF6" w:rsidRPr="007E4A0F" w:rsidRDefault="00965780" w:rsidP="004E5982">
      <w:pPr>
        <w:pStyle w:val="Style1"/>
      </w:pPr>
      <w:r w:rsidRPr="007E4A0F">
        <w:t>La quatrième série de projets visait à jeter les bases d</w:t>
      </w:r>
      <w:r w:rsidR="00B274E6" w:rsidRPr="007E4A0F">
        <w:t>’</w:t>
      </w:r>
      <w:r w:rsidRPr="007E4A0F">
        <w:t>une gestion améliorée de la relation avec les clients en appuyant les projets axés sur les activités métiers de l</w:t>
      </w:r>
      <w:r w:rsidR="00B274E6" w:rsidRPr="007E4A0F">
        <w:t>’</w:t>
      </w:r>
      <w:r w:rsidRPr="007E4A0F">
        <w:t>Organisation, notamment par des outils de gestion de listes de distribution et de bases de données de contacts, de gestion des accès et d</w:t>
      </w:r>
      <w:r w:rsidR="00B274E6" w:rsidRPr="007E4A0F">
        <w:t>’</w:t>
      </w:r>
      <w:r w:rsidRPr="007E4A0F">
        <w:t>analyse du comportement des clients.</w:t>
      </w:r>
    </w:p>
    <w:p w:rsidR="00947AF6" w:rsidRPr="007E4A0F" w:rsidRDefault="00BE4861" w:rsidP="004E5982">
      <w:pPr>
        <w:pStyle w:val="Style1"/>
      </w:pPr>
      <w:r w:rsidRPr="007E4A0F">
        <w:t xml:space="preserve">Le système ERP représente un catalyseur essentiel et incontournable de la modernisation </w:t>
      </w:r>
      <w:r w:rsidR="00EE5A8A" w:rsidRPr="007E4A0F">
        <w:t>des principaux processus opérationnels d</w:t>
      </w:r>
      <w:r w:rsidR="00B274E6" w:rsidRPr="007E4A0F">
        <w:t>’</w:t>
      </w:r>
      <w:r w:rsidR="00EE5A8A" w:rsidRPr="007E4A0F">
        <w:t>administration et de gestion de l</w:t>
      </w:r>
      <w:r w:rsidR="00B274E6" w:rsidRPr="007E4A0F">
        <w:t>’</w:t>
      </w:r>
      <w:r w:rsidR="00EE5A8A" w:rsidRPr="007E4A0F">
        <w:t xml:space="preserve">OMPI.  </w:t>
      </w:r>
      <w:r w:rsidR="003D391D" w:rsidRPr="007E4A0F">
        <w:t>Ses objectifs étaient les suivants</w:t>
      </w:r>
      <w:r w:rsidR="006C7CFD" w:rsidRPr="007E4A0F">
        <w:t> </w:t>
      </w:r>
      <w:r w:rsidR="003D391D" w:rsidRPr="007E4A0F">
        <w:t>:</w:t>
      </w:r>
    </w:p>
    <w:p w:rsidR="00947AF6" w:rsidRPr="007E4A0F" w:rsidRDefault="00902483" w:rsidP="00DC3997">
      <w:pPr>
        <w:pStyle w:val="Style1"/>
        <w:numPr>
          <w:ilvl w:val="0"/>
          <w:numId w:val="12"/>
        </w:numPr>
        <w:ind w:left="1134" w:hanging="567"/>
      </w:pPr>
      <w:r w:rsidRPr="007E4A0F">
        <w:t>assurer l</w:t>
      </w:r>
      <w:r w:rsidR="00B274E6" w:rsidRPr="007E4A0F">
        <w:t>’</w:t>
      </w:r>
      <w:r w:rsidRPr="007E4A0F">
        <w:t>automatisation et l</w:t>
      </w:r>
      <w:r w:rsidR="00B274E6" w:rsidRPr="007E4A0F">
        <w:t>’</w:t>
      </w:r>
      <w:r w:rsidRPr="007E4A0F">
        <w:t>intégration horizontale nécessaires pour favoriser des améliorations de productivité et d</w:t>
      </w:r>
      <w:r w:rsidR="00B274E6" w:rsidRPr="007E4A0F">
        <w:t>’</w:t>
      </w:r>
      <w:r w:rsidRPr="007E4A0F">
        <w:t xml:space="preserve">efficacité en rendant les processus plus réactifs et </w:t>
      </w:r>
      <w:r w:rsidR="00790D1A" w:rsidRPr="007E4A0F">
        <w:t>plus aptes à servir les opérations</w:t>
      </w:r>
      <w:r w:rsidR="0012066D" w:rsidRPr="007E4A0F">
        <w:t>;</w:t>
      </w:r>
    </w:p>
    <w:p w:rsidR="00947AF6" w:rsidRPr="007E4A0F" w:rsidRDefault="00F17F9C" w:rsidP="00DC3997">
      <w:pPr>
        <w:pStyle w:val="Style1"/>
        <w:numPr>
          <w:ilvl w:val="0"/>
          <w:numId w:val="12"/>
        </w:numPr>
        <w:ind w:left="1134" w:hanging="567"/>
      </w:pPr>
      <w:r w:rsidRPr="007E4A0F">
        <w:t>moderniser les fonctions essentielles d</w:t>
      </w:r>
      <w:r w:rsidR="00B274E6" w:rsidRPr="007E4A0F">
        <w:t>’</w:t>
      </w:r>
      <w:r w:rsidRPr="007E4A0F">
        <w:t xml:space="preserve">administration, de gestion et de service </w:t>
      </w:r>
      <w:r w:rsidR="00EB7CDC" w:rsidRPr="007E4A0F">
        <w:t>de l</w:t>
      </w:r>
      <w:r w:rsidR="00B274E6" w:rsidRPr="007E4A0F">
        <w:t>’</w:t>
      </w:r>
      <w:r w:rsidR="00EB7CDC" w:rsidRPr="007E4A0F">
        <w:t>OMPI</w:t>
      </w:r>
      <w:r w:rsidR="0012066D" w:rsidRPr="007E4A0F">
        <w:t>;</w:t>
      </w:r>
    </w:p>
    <w:p w:rsidR="00947AF6" w:rsidRPr="007E4A0F" w:rsidRDefault="000177C9" w:rsidP="00DC3997">
      <w:pPr>
        <w:pStyle w:val="Style1"/>
        <w:numPr>
          <w:ilvl w:val="0"/>
          <w:numId w:val="12"/>
        </w:numPr>
        <w:ind w:left="1134" w:hanging="567"/>
      </w:pPr>
      <w:r w:rsidRPr="007E4A0F">
        <w:t xml:space="preserve">permettre la fourniture aux États membres et </w:t>
      </w:r>
      <w:r w:rsidR="00944ED5" w:rsidRPr="007E4A0F">
        <w:t xml:space="preserve">à </w:t>
      </w:r>
      <w:r w:rsidRPr="007E4A0F">
        <w:t xml:space="preserve">la direction </w:t>
      </w:r>
      <w:r w:rsidR="00744BFF" w:rsidRPr="007E4A0F">
        <w:t>de meilleures informations en matière de performances et d</w:t>
      </w:r>
      <w:r w:rsidR="00B274E6" w:rsidRPr="007E4A0F">
        <w:t>’</w:t>
      </w:r>
      <w:r w:rsidR="00744BFF" w:rsidRPr="007E4A0F">
        <w:t>utilisation des ressources</w:t>
      </w:r>
      <w:r w:rsidR="0012066D" w:rsidRPr="007E4A0F">
        <w:t>;</w:t>
      </w:r>
    </w:p>
    <w:p w:rsidR="00947AF6" w:rsidRPr="007E4A0F" w:rsidRDefault="00744BFF" w:rsidP="00DC3997">
      <w:pPr>
        <w:pStyle w:val="Style1"/>
        <w:numPr>
          <w:ilvl w:val="0"/>
          <w:numId w:val="12"/>
        </w:numPr>
        <w:ind w:left="1134" w:hanging="567"/>
      </w:pPr>
      <w:r w:rsidRPr="007E4A0F">
        <w:lastRenderedPageBreak/>
        <w:t>favoriser le respect du cadre réglementaire en renforçant la structure de responsabilité, d</w:t>
      </w:r>
      <w:r w:rsidR="00B274E6" w:rsidRPr="007E4A0F">
        <w:t>’</w:t>
      </w:r>
      <w:r w:rsidRPr="007E4A0F">
        <w:t>obligation de rendre des comptes et d</w:t>
      </w:r>
      <w:r w:rsidR="00B274E6" w:rsidRPr="007E4A0F">
        <w:t>’</w:t>
      </w:r>
      <w:r w:rsidRPr="007E4A0F">
        <w:t>autorité.</w:t>
      </w:r>
    </w:p>
    <w:p w:rsidR="00947AF6" w:rsidRPr="007E4A0F" w:rsidRDefault="00714CBF" w:rsidP="003C66DF">
      <w:pPr>
        <w:pStyle w:val="Heading4"/>
        <w:rPr>
          <w:lang w:val="fr-FR"/>
        </w:rPr>
      </w:pPr>
      <w:r w:rsidRPr="007E4A0F">
        <w:rPr>
          <w:lang w:val="fr-FR"/>
        </w:rPr>
        <w:t>Audit interne et validation et vérification indépendante</w:t>
      </w:r>
    </w:p>
    <w:p w:rsidR="00947AF6" w:rsidRPr="007E4A0F" w:rsidRDefault="00405205" w:rsidP="003C66DF">
      <w:pPr>
        <w:pStyle w:val="Style1"/>
      </w:pPr>
      <w:r w:rsidRPr="007E4A0F">
        <w:t>La mise en œuvre du système ERP a été soumise en</w:t>
      </w:r>
      <w:r w:rsidR="006C7CFD" w:rsidRPr="007E4A0F">
        <w:t> </w:t>
      </w:r>
      <w:r w:rsidRPr="007E4A0F">
        <w:t>2013</w:t>
      </w:r>
      <w:r w:rsidR="00CB1BDA" w:rsidRPr="007E4A0F">
        <w:noBreakHyphen/>
      </w:r>
      <w:r w:rsidRPr="007E4A0F">
        <w:t>2014 à un audit de la Division de l</w:t>
      </w:r>
      <w:r w:rsidR="00B274E6" w:rsidRPr="007E4A0F">
        <w:t>’</w:t>
      </w:r>
      <w:r w:rsidRPr="007E4A0F">
        <w:t>audit et de la supervision internes</w:t>
      </w:r>
      <w:r w:rsidR="0012066D" w:rsidRPr="007E4A0F">
        <w:t xml:space="preserve">. </w:t>
      </w:r>
      <w:r w:rsidRPr="007E4A0F">
        <w:t xml:space="preserve"> Cette dernière a</w:t>
      </w:r>
      <w:r w:rsidR="0001299D" w:rsidRPr="007E4A0F">
        <w:t xml:space="preserve"> procédé à un examen de </w:t>
      </w:r>
      <w:r w:rsidR="00D92B95" w:rsidRPr="007E4A0F">
        <w:t>la migration des données vers le nouveau système de gestion des ressources humaines</w:t>
      </w:r>
      <w:r w:rsidR="00663EED" w:rsidRPr="007E4A0F">
        <w:t xml:space="preserve"> qui a conduit à la formulation de deux</w:t>
      </w:r>
      <w:r w:rsidR="006C7CFD" w:rsidRPr="007E4A0F">
        <w:t> </w:t>
      </w:r>
      <w:r w:rsidR="00663EED" w:rsidRPr="007E4A0F">
        <w:t xml:space="preserve">recommandations.  </w:t>
      </w:r>
      <w:r w:rsidR="00E9310A" w:rsidRPr="007E4A0F">
        <w:t>L</w:t>
      </w:r>
      <w:r w:rsidR="00B274E6" w:rsidRPr="007E4A0F">
        <w:t>’</w:t>
      </w:r>
      <w:r w:rsidR="00E9310A" w:rsidRPr="007E4A0F">
        <w:t>OMPI a confirmé que</w:t>
      </w:r>
      <w:r w:rsidR="00EB527C" w:rsidRPr="007E4A0F">
        <w:t xml:space="preserve"> </w:t>
      </w:r>
      <w:r w:rsidR="00AC7DE3" w:rsidRPr="007E4A0F">
        <w:t xml:space="preserve">la mise en œuvre de </w:t>
      </w:r>
      <w:r w:rsidR="00EB527C" w:rsidRPr="007E4A0F">
        <w:t xml:space="preserve">ces recommandations </w:t>
      </w:r>
      <w:r w:rsidR="00944ED5" w:rsidRPr="007E4A0F">
        <w:t>s</w:t>
      </w:r>
      <w:r w:rsidR="00B274E6" w:rsidRPr="007E4A0F">
        <w:t>’</w:t>
      </w:r>
      <w:r w:rsidR="00992D6E" w:rsidRPr="007E4A0F">
        <w:t>étai</w:t>
      </w:r>
      <w:r w:rsidR="00AC7DE3" w:rsidRPr="007E4A0F">
        <w:t xml:space="preserve">t </w:t>
      </w:r>
      <w:r w:rsidR="00944ED5" w:rsidRPr="007E4A0F">
        <w:t>achev</w:t>
      </w:r>
      <w:r w:rsidR="00AC7DE3" w:rsidRPr="007E4A0F">
        <w:t>ée</w:t>
      </w:r>
      <w:r w:rsidR="00EB527C" w:rsidRPr="007E4A0F">
        <w:t xml:space="preserve"> </w:t>
      </w:r>
      <w:r w:rsidR="0071660D" w:rsidRPr="007E4A0F">
        <w:t>en</w:t>
      </w:r>
      <w:r w:rsidR="00E9310A" w:rsidRPr="007E4A0F">
        <w:t xml:space="preserve"> </w:t>
      </w:r>
      <w:r w:rsidR="00B274E6" w:rsidRPr="007E4A0F">
        <w:t>juillet 20</w:t>
      </w:r>
      <w:r w:rsidR="00E9310A" w:rsidRPr="007E4A0F">
        <w:t>14</w:t>
      </w:r>
      <w:r w:rsidR="00EB527C" w:rsidRPr="007E4A0F">
        <w:t xml:space="preserve"> et </w:t>
      </w:r>
      <w:r w:rsidR="00AC7DE3" w:rsidRPr="007E4A0F">
        <w:t>qu</w:t>
      </w:r>
      <w:r w:rsidR="00B274E6" w:rsidRPr="007E4A0F">
        <w:t>’</w:t>
      </w:r>
      <w:r w:rsidR="00AC7DE3" w:rsidRPr="007E4A0F">
        <w:t xml:space="preserve">elles avaient été </w:t>
      </w:r>
      <w:r w:rsidR="0036656E" w:rsidRPr="007E4A0F">
        <w:t>classées après évaluation par</w:t>
      </w:r>
      <w:r w:rsidR="00EB527C" w:rsidRPr="007E4A0F">
        <w:t xml:space="preserve"> la Division de l</w:t>
      </w:r>
      <w:r w:rsidR="00B274E6" w:rsidRPr="007E4A0F">
        <w:t>’</w:t>
      </w:r>
      <w:r w:rsidR="00EB527C" w:rsidRPr="007E4A0F">
        <w:t>audit et de la supervision internes</w:t>
      </w:r>
      <w:r w:rsidR="00345435" w:rsidRPr="007E4A0F">
        <w:t>.</w:t>
      </w:r>
    </w:p>
    <w:p w:rsidR="00947AF6" w:rsidRPr="007E4A0F" w:rsidRDefault="006C3FE6" w:rsidP="003C66DF">
      <w:pPr>
        <w:pStyle w:val="Style1"/>
      </w:pPr>
      <w:r w:rsidRPr="007E4A0F">
        <w:t>L</w:t>
      </w:r>
      <w:r w:rsidR="00B274E6" w:rsidRPr="007E4A0F">
        <w:t>’</w:t>
      </w:r>
      <w:r w:rsidRPr="007E4A0F">
        <w:t>OMPI a engagé un prestataire de services externe, la société Gartner Consulting, pour effectuer une vérification et une validation indépendantes du système ERP au cours du deuxième semestre de</w:t>
      </w:r>
      <w:r w:rsidR="006C7CFD" w:rsidRPr="007E4A0F">
        <w:t> </w:t>
      </w:r>
      <w:r w:rsidRPr="007E4A0F">
        <w:t xml:space="preserve">2013.  </w:t>
      </w:r>
      <w:r w:rsidR="00CA1263" w:rsidRPr="007E4A0F">
        <w:t>Cette vérification, qui s</w:t>
      </w:r>
      <w:r w:rsidR="00B274E6" w:rsidRPr="007E4A0F">
        <w:t>’</w:t>
      </w:r>
      <w:r w:rsidR="00CA1263" w:rsidRPr="007E4A0F">
        <w:t>est effectuée sur une période de six</w:t>
      </w:r>
      <w:r w:rsidR="006C7CFD" w:rsidRPr="007E4A0F">
        <w:t> </w:t>
      </w:r>
      <w:r w:rsidR="00CA1263" w:rsidRPr="007E4A0F">
        <w:t xml:space="preserve">semaines, </w:t>
      </w:r>
      <w:r w:rsidR="006B51E0" w:rsidRPr="007E4A0F">
        <w:t>a abouti à la formulation de 58 </w:t>
      </w:r>
      <w:r w:rsidR="00CA1263" w:rsidRPr="007E4A0F">
        <w:t xml:space="preserve">recommandations.  </w:t>
      </w:r>
      <w:r w:rsidR="00BD42B2" w:rsidRPr="007E4A0F">
        <w:t>L</w:t>
      </w:r>
      <w:r w:rsidR="00B274E6" w:rsidRPr="007E4A0F">
        <w:t>’</w:t>
      </w:r>
      <w:r w:rsidR="00BD42B2" w:rsidRPr="007E4A0F">
        <w:t>OMPI a confirmé qu</w:t>
      </w:r>
      <w:r w:rsidR="00B274E6" w:rsidRPr="007E4A0F">
        <w:t>’</w:t>
      </w:r>
      <w:r w:rsidR="00985A66" w:rsidRPr="007E4A0F">
        <w:t xml:space="preserve">en </w:t>
      </w:r>
      <w:r w:rsidR="00B274E6" w:rsidRPr="007E4A0F">
        <w:t>avril 20</w:t>
      </w:r>
      <w:r w:rsidR="00985A66" w:rsidRPr="007E4A0F">
        <w:t>14</w:t>
      </w:r>
      <w:r w:rsidR="00AC7DE3" w:rsidRPr="007E4A0F">
        <w:t>,</w:t>
      </w:r>
      <w:r w:rsidR="00BD42B2" w:rsidRPr="007E4A0F">
        <w:t xml:space="preserve"> ces recommandations avaient toutes été mises en œuvre.</w:t>
      </w:r>
    </w:p>
    <w:p w:rsidR="00947AF6" w:rsidRPr="007E4A0F" w:rsidRDefault="00AC7DE3" w:rsidP="003C66DF">
      <w:pPr>
        <w:pStyle w:val="Heading4"/>
        <w:rPr>
          <w:lang w:val="fr-FR"/>
        </w:rPr>
      </w:pPr>
      <w:r w:rsidRPr="007E4A0F">
        <w:rPr>
          <w:lang w:val="fr-FR"/>
        </w:rPr>
        <w:t>Situation actuelle de la mise en œuvre du système ERP</w:t>
      </w:r>
    </w:p>
    <w:p w:rsidR="00947AF6" w:rsidRPr="007E4A0F" w:rsidRDefault="00F83065" w:rsidP="003C66DF">
      <w:pPr>
        <w:pStyle w:val="Style1"/>
      </w:pPr>
      <w:r w:rsidRPr="007E4A0F">
        <w:t>L</w:t>
      </w:r>
      <w:r w:rsidR="00B274E6" w:rsidRPr="007E4A0F">
        <w:t>’</w:t>
      </w:r>
      <w:r w:rsidRPr="007E4A0F">
        <w:t>OMPI a entrepris la mise en œuvre du système ERP en</w:t>
      </w:r>
      <w:r w:rsidR="006C7CFD" w:rsidRPr="007E4A0F">
        <w:t> </w:t>
      </w:r>
      <w:r w:rsidRPr="007E4A0F">
        <w:t>2010, avec un portefeuille de quatre</w:t>
      </w:r>
      <w:r w:rsidR="006C7CFD" w:rsidRPr="007E4A0F">
        <w:t> </w:t>
      </w:r>
      <w:r w:rsidRPr="007E4A0F">
        <w:t>séries de projets.  Selon la proposition initiale, la mise en œuvre du système ERP devrait être terminée avant la fin de l</w:t>
      </w:r>
      <w:r w:rsidR="00B274E6" w:rsidRPr="007E4A0F">
        <w:t>’</w:t>
      </w:r>
      <w:r w:rsidRPr="007E4A0F">
        <w:t>année 2015.  Le tableau ci</w:t>
      </w:r>
      <w:r w:rsidR="00CB1BDA" w:rsidRPr="007E4A0F">
        <w:noBreakHyphen/>
      </w:r>
      <w:r w:rsidRPr="007E4A0F">
        <w:t>dessous indique la situation actuelle de chacun des projets du portefeuille.</w:t>
      </w:r>
    </w:p>
    <w:p w:rsidR="0012066D" w:rsidRPr="007E4A0F" w:rsidRDefault="0012066D" w:rsidP="003C66DF">
      <w:pPr>
        <w:rPr>
          <w:lang w:val="fr-FR"/>
        </w:rPr>
      </w:pP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14"/>
        <w:gridCol w:w="3356"/>
        <w:gridCol w:w="1564"/>
        <w:gridCol w:w="2546"/>
      </w:tblGrid>
      <w:tr w:rsidR="007E4A0F" w:rsidRPr="007E4A0F" w:rsidTr="0012762F">
        <w:trPr>
          <w:jc w:val="center"/>
        </w:trPr>
        <w:tc>
          <w:tcPr>
            <w:tcW w:w="1314" w:type="dxa"/>
            <w:shd w:val="clear" w:color="auto" w:fill="auto"/>
            <w:vAlign w:val="center"/>
            <w:hideMark/>
          </w:tcPr>
          <w:p w:rsidR="0012066D" w:rsidRPr="007E4A0F" w:rsidRDefault="0012066D" w:rsidP="00AE171A">
            <w:pPr>
              <w:spacing w:before="120"/>
              <w:contextualSpacing/>
              <w:jc w:val="center"/>
              <w:rPr>
                <w:b/>
                <w:bCs/>
                <w:sz w:val="20"/>
                <w:lang w:val="fr-FR"/>
              </w:rPr>
            </w:pPr>
            <w:r w:rsidRPr="007E4A0F">
              <w:rPr>
                <w:b/>
                <w:bCs/>
                <w:kern w:val="24"/>
                <w:sz w:val="20"/>
                <w:lang w:val="fr-FR"/>
              </w:rPr>
              <w:t>S</w:t>
            </w:r>
            <w:r w:rsidR="00AE171A" w:rsidRPr="007E4A0F">
              <w:rPr>
                <w:b/>
                <w:bCs/>
                <w:kern w:val="24"/>
                <w:sz w:val="20"/>
                <w:lang w:val="fr-FR"/>
              </w:rPr>
              <w:t>érie</w:t>
            </w:r>
          </w:p>
        </w:tc>
        <w:tc>
          <w:tcPr>
            <w:tcW w:w="3356" w:type="dxa"/>
            <w:shd w:val="clear" w:color="auto" w:fill="auto"/>
            <w:vAlign w:val="center"/>
            <w:hideMark/>
          </w:tcPr>
          <w:p w:rsidR="0012066D" w:rsidRPr="007E4A0F" w:rsidRDefault="0012066D" w:rsidP="00AE171A">
            <w:pPr>
              <w:spacing w:before="120"/>
              <w:contextualSpacing/>
              <w:jc w:val="center"/>
              <w:rPr>
                <w:b/>
                <w:bCs/>
                <w:sz w:val="20"/>
                <w:lang w:val="fr-FR"/>
              </w:rPr>
            </w:pPr>
            <w:r w:rsidRPr="007E4A0F">
              <w:rPr>
                <w:b/>
                <w:bCs/>
                <w:kern w:val="24"/>
                <w:sz w:val="20"/>
                <w:lang w:val="fr-FR"/>
              </w:rPr>
              <w:t>Projet</w:t>
            </w:r>
          </w:p>
        </w:tc>
        <w:tc>
          <w:tcPr>
            <w:tcW w:w="1564" w:type="dxa"/>
          </w:tcPr>
          <w:p w:rsidR="0012066D" w:rsidRPr="007E4A0F" w:rsidRDefault="000C5DE2" w:rsidP="000C5DE2">
            <w:pPr>
              <w:spacing w:before="120"/>
              <w:contextualSpacing/>
              <w:jc w:val="center"/>
              <w:rPr>
                <w:b/>
                <w:bCs/>
                <w:kern w:val="24"/>
                <w:sz w:val="20"/>
                <w:lang w:val="fr-FR"/>
              </w:rPr>
            </w:pPr>
            <w:r w:rsidRPr="007E4A0F">
              <w:rPr>
                <w:b/>
                <w:bCs/>
                <w:kern w:val="24"/>
                <w:sz w:val="20"/>
                <w:lang w:val="fr-FR"/>
              </w:rPr>
              <w:t>Cible d</w:t>
            </w:r>
            <w:r w:rsidR="00B274E6" w:rsidRPr="007E4A0F">
              <w:rPr>
                <w:b/>
                <w:bCs/>
                <w:kern w:val="24"/>
                <w:sz w:val="20"/>
                <w:lang w:val="fr-FR"/>
              </w:rPr>
              <w:t>’</w:t>
            </w:r>
            <w:r w:rsidRPr="007E4A0F">
              <w:rPr>
                <w:b/>
                <w:bCs/>
                <w:kern w:val="24"/>
                <w:sz w:val="20"/>
                <w:lang w:val="fr-FR"/>
              </w:rPr>
              <w:t xml:space="preserve">achèvement initiale </w:t>
            </w:r>
          </w:p>
        </w:tc>
        <w:tc>
          <w:tcPr>
            <w:tcW w:w="2546" w:type="dxa"/>
            <w:shd w:val="clear" w:color="auto" w:fill="auto"/>
            <w:vAlign w:val="center"/>
            <w:hideMark/>
          </w:tcPr>
          <w:p w:rsidR="0012066D" w:rsidRPr="007E4A0F" w:rsidRDefault="000C5DE2" w:rsidP="0012066D">
            <w:pPr>
              <w:spacing w:before="120"/>
              <w:contextualSpacing/>
              <w:jc w:val="center"/>
              <w:rPr>
                <w:b/>
                <w:bCs/>
                <w:sz w:val="20"/>
                <w:lang w:val="fr-FR"/>
              </w:rPr>
            </w:pPr>
            <w:r w:rsidRPr="007E4A0F">
              <w:rPr>
                <w:b/>
                <w:bCs/>
                <w:kern w:val="24"/>
                <w:sz w:val="20"/>
                <w:lang w:val="fr-FR"/>
              </w:rPr>
              <w:t>Situation</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BGP</w:t>
            </w:r>
          </w:p>
        </w:tc>
        <w:tc>
          <w:tcPr>
            <w:tcW w:w="3356" w:type="dxa"/>
            <w:tcBorders>
              <w:top w:val="single" w:sz="8" w:space="0" w:color="000000"/>
              <w:bottom w:val="single" w:sz="8" w:space="0" w:color="000000"/>
            </w:tcBorders>
            <w:vAlign w:val="center"/>
            <w:hideMark/>
          </w:tcPr>
          <w:p w:rsidR="0012066D" w:rsidRPr="007E4A0F" w:rsidRDefault="006711F0" w:rsidP="0012066D">
            <w:pPr>
              <w:spacing w:before="120"/>
              <w:contextualSpacing/>
              <w:rPr>
                <w:sz w:val="20"/>
                <w:lang w:val="fr-FR"/>
              </w:rPr>
            </w:pPr>
            <w:r w:rsidRPr="007E4A0F">
              <w:rPr>
                <w:kern w:val="24"/>
                <w:sz w:val="20"/>
                <w:lang w:val="fr-FR"/>
              </w:rPr>
              <w:t>Document d</w:t>
            </w:r>
            <w:r w:rsidR="00B274E6" w:rsidRPr="007E4A0F">
              <w:rPr>
                <w:kern w:val="24"/>
                <w:sz w:val="20"/>
                <w:lang w:val="fr-FR"/>
              </w:rPr>
              <w:t>’</w:t>
            </w:r>
            <w:r w:rsidRPr="007E4A0F">
              <w:rPr>
                <w:kern w:val="24"/>
                <w:sz w:val="20"/>
                <w:lang w:val="fr-FR"/>
              </w:rPr>
              <w:t>orientation</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6C7CFD" w:rsidRPr="007E4A0F">
              <w:rPr>
                <w:kern w:val="24"/>
                <w:sz w:val="20"/>
                <w:lang w:val="fr-FR"/>
              </w:rPr>
              <w:t>2</w:t>
            </w:r>
            <w:r w:rsidR="006B51E0" w:rsidRPr="007E4A0F">
              <w:rPr>
                <w:kern w:val="24"/>
                <w:sz w:val="20"/>
                <w:lang w:val="fr-FR"/>
              </w:rPr>
              <w:t xml:space="preserve"> </w:t>
            </w:r>
            <w:r w:rsidR="006C7CFD" w:rsidRPr="007E4A0F">
              <w:rPr>
                <w:kern w:val="24"/>
                <w:sz w:val="20"/>
                <w:lang w:val="fr-FR"/>
              </w:rPr>
              <w:t>201</w:t>
            </w:r>
            <w:r w:rsidR="0012066D" w:rsidRPr="007E4A0F">
              <w:rPr>
                <w:kern w:val="24"/>
                <w:sz w:val="20"/>
                <w:lang w:val="fr-FR"/>
              </w:rPr>
              <w:t>1</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12066D">
            <w:pPr>
              <w:spacing w:before="120"/>
              <w:contextualSpacing/>
              <w:jc w:val="center"/>
              <w:rPr>
                <w:sz w:val="20"/>
                <w:lang w:val="fr-FR"/>
              </w:rPr>
            </w:pPr>
            <w:r w:rsidRPr="007E4A0F">
              <w:rPr>
                <w:kern w:val="24"/>
                <w:sz w:val="20"/>
                <w:lang w:val="fr-FR"/>
              </w:rPr>
              <w:t>Achevé</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vAlign w:val="center"/>
            <w:hideMark/>
          </w:tcPr>
          <w:p w:rsidR="0012066D" w:rsidRPr="007E4A0F" w:rsidRDefault="001576FE" w:rsidP="001576FE">
            <w:pPr>
              <w:spacing w:before="120"/>
              <w:contextualSpacing/>
              <w:rPr>
                <w:sz w:val="20"/>
                <w:lang w:val="fr-FR"/>
              </w:rPr>
            </w:pPr>
            <w:r w:rsidRPr="007E4A0F">
              <w:rPr>
                <w:kern w:val="24"/>
                <w:sz w:val="20"/>
                <w:lang w:val="fr-FR"/>
              </w:rPr>
              <w:t>Module de base RH/Paie</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2 2012</w:t>
            </w:r>
          </w:p>
        </w:tc>
        <w:tc>
          <w:tcPr>
            <w:tcW w:w="2546" w:type="dxa"/>
            <w:vAlign w:val="center"/>
            <w:hideMark/>
          </w:tcPr>
          <w:p w:rsidR="0012066D" w:rsidRPr="007E4A0F" w:rsidRDefault="00072DD9" w:rsidP="003C66DF">
            <w:pPr>
              <w:spacing w:before="120"/>
              <w:contextualSpacing/>
              <w:jc w:val="center"/>
              <w:rPr>
                <w:sz w:val="20"/>
                <w:lang w:val="fr-FR"/>
              </w:rPr>
            </w:pPr>
            <w:r w:rsidRPr="007E4A0F">
              <w:rPr>
                <w:kern w:val="24"/>
                <w:sz w:val="20"/>
                <w:lang w:val="fr-FR"/>
              </w:rPr>
              <w:t>Opérationnel</w:t>
            </w:r>
            <w:r w:rsidR="003C66DF" w:rsidRPr="007E4A0F">
              <w:rPr>
                <w:rStyle w:val="FootnoteReference"/>
                <w:kern w:val="24"/>
                <w:sz w:val="20"/>
                <w:lang w:val="fr-FR"/>
              </w:rPr>
              <w:footnoteReference w:id="3"/>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tcBorders>
              <w:top w:val="single" w:sz="8" w:space="0" w:color="000000"/>
              <w:bottom w:val="single" w:sz="8" w:space="0" w:color="000000"/>
            </w:tcBorders>
            <w:vAlign w:val="center"/>
            <w:hideMark/>
          </w:tcPr>
          <w:p w:rsidR="0012066D" w:rsidRPr="007E4A0F" w:rsidRDefault="0012066D" w:rsidP="00C20D5D">
            <w:pPr>
              <w:spacing w:before="120"/>
              <w:contextualSpacing/>
              <w:rPr>
                <w:sz w:val="20"/>
                <w:lang w:val="fr-FR"/>
              </w:rPr>
            </w:pPr>
            <w:r w:rsidRPr="007E4A0F">
              <w:rPr>
                <w:kern w:val="24"/>
                <w:sz w:val="20"/>
                <w:lang w:val="fr-FR"/>
              </w:rPr>
              <w:t>Recrut</w:t>
            </w:r>
            <w:r w:rsidR="00C20D5D" w:rsidRPr="007E4A0F">
              <w:rPr>
                <w:kern w:val="24"/>
                <w:sz w:val="20"/>
                <w:lang w:val="fr-FR"/>
              </w:rPr>
              <w:t>e</w:t>
            </w:r>
            <w:r w:rsidRPr="007E4A0F">
              <w:rPr>
                <w:kern w:val="24"/>
                <w:sz w:val="20"/>
                <w:lang w:val="fr-FR"/>
              </w:rPr>
              <w:t>ment</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 xml:space="preserve">En cours de mise en œuvre </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vAlign w:val="center"/>
            <w:hideMark/>
          </w:tcPr>
          <w:p w:rsidR="0012066D" w:rsidRPr="007E4A0F" w:rsidRDefault="00C20D5D" w:rsidP="00013345">
            <w:pPr>
              <w:spacing w:before="120"/>
              <w:contextualSpacing/>
              <w:rPr>
                <w:sz w:val="20"/>
                <w:lang w:val="fr-FR"/>
              </w:rPr>
            </w:pPr>
            <w:r w:rsidRPr="007E4A0F">
              <w:rPr>
                <w:kern w:val="24"/>
                <w:sz w:val="20"/>
                <w:lang w:val="fr-FR"/>
              </w:rPr>
              <w:t>Libre</w:t>
            </w:r>
            <w:r w:rsidR="00CB1BDA" w:rsidRPr="007E4A0F">
              <w:rPr>
                <w:kern w:val="24"/>
                <w:sz w:val="20"/>
                <w:lang w:val="fr-FR"/>
              </w:rPr>
              <w:noBreakHyphen/>
            </w:r>
            <w:r w:rsidRPr="007E4A0F">
              <w:rPr>
                <w:kern w:val="24"/>
                <w:sz w:val="20"/>
                <w:lang w:val="fr-FR"/>
              </w:rPr>
              <w:t>s</w:t>
            </w:r>
            <w:r w:rsidR="0012066D" w:rsidRPr="007E4A0F">
              <w:rPr>
                <w:kern w:val="24"/>
                <w:sz w:val="20"/>
                <w:lang w:val="fr-FR"/>
              </w:rPr>
              <w:t>ervice</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C47ADA" w:rsidP="0012066D">
            <w:pPr>
              <w:spacing w:before="120"/>
              <w:contextualSpacing/>
              <w:jc w:val="center"/>
              <w:rPr>
                <w:sz w:val="20"/>
                <w:lang w:val="fr-FR"/>
              </w:rPr>
            </w:pPr>
            <w:r w:rsidRPr="007E4A0F">
              <w:rPr>
                <w:kern w:val="24"/>
                <w:sz w:val="20"/>
                <w:lang w:val="fr-FR"/>
              </w:rPr>
              <w:t>En cours de mise en œuvre</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tcBorders>
              <w:top w:val="single" w:sz="8" w:space="0" w:color="000000"/>
              <w:bottom w:val="single" w:sz="8" w:space="0" w:color="000000"/>
            </w:tcBorders>
            <w:vAlign w:val="center"/>
            <w:hideMark/>
          </w:tcPr>
          <w:p w:rsidR="0012066D" w:rsidRPr="007E4A0F" w:rsidRDefault="00C20D5D" w:rsidP="00C20D5D">
            <w:pPr>
              <w:spacing w:before="120"/>
              <w:contextualSpacing/>
              <w:rPr>
                <w:sz w:val="20"/>
                <w:lang w:val="fr-FR"/>
              </w:rPr>
            </w:pPr>
            <w:r w:rsidRPr="007E4A0F">
              <w:rPr>
                <w:kern w:val="24"/>
                <w:sz w:val="20"/>
                <w:lang w:val="fr-FR"/>
              </w:rPr>
              <w:t>Gestion des performances et de la formation</w:t>
            </w:r>
          </w:p>
        </w:tc>
        <w:tc>
          <w:tcPr>
            <w:tcW w:w="1564" w:type="dxa"/>
            <w:tcBorders>
              <w:top w:val="single" w:sz="8" w:space="0" w:color="000000"/>
              <w:bottom w:val="single" w:sz="8" w:space="0" w:color="000000"/>
            </w:tcBorders>
          </w:tcPr>
          <w:p w:rsidR="0012066D" w:rsidRPr="007E4A0F" w:rsidRDefault="006711F0" w:rsidP="006711F0">
            <w:pPr>
              <w:spacing w:before="120"/>
              <w:contextualSpacing/>
              <w:jc w:val="center"/>
              <w:rPr>
                <w:kern w:val="24"/>
                <w:sz w:val="20"/>
                <w:lang w:val="fr-FR"/>
              </w:rPr>
            </w:pPr>
            <w:r w:rsidRPr="007E4A0F">
              <w:rPr>
                <w:kern w:val="24"/>
                <w:sz w:val="20"/>
                <w:lang w:val="fr-FR"/>
              </w:rPr>
              <w:t>T</w:t>
            </w:r>
            <w:r w:rsidR="0012066D" w:rsidRPr="007E4A0F">
              <w:rPr>
                <w:kern w:val="24"/>
                <w:sz w:val="20"/>
                <w:lang w:val="fr-FR"/>
              </w:rPr>
              <w:t xml:space="preserve">1 2013 </w:t>
            </w:r>
            <w:r w:rsidRPr="007E4A0F">
              <w:rPr>
                <w:kern w:val="24"/>
                <w:sz w:val="20"/>
                <w:lang w:val="fr-FR"/>
              </w:rPr>
              <w:t>à</w:t>
            </w:r>
            <w:r w:rsidR="0012066D" w:rsidRPr="007E4A0F">
              <w:rPr>
                <w:kern w:val="24"/>
                <w:sz w:val="20"/>
                <w:lang w:val="fr-FR"/>
              </w:rPr>
              <w:t xml:space="preserve"> </w:t>
            </w:r>
            <w:r w:rsidRPr="007E4A0F">
              <w:rPr>
                <w:kern w:val="24"/>
                <w:sz w:val="20"/>
                <w:lang w:val="fr-FR"/>
              </w:rPr>
              <w:t>T</w:t>
            </w:r>
            <w:r w:rsidR="006B51E0" w:rsidRPr="007E4A0F">
              <w:rPr>
                <w:kern w:val="24"/>
                <w:sz w:val="20"/>
                <w:lang w:val="fr-FR"/>
              </w:rPr>
              <w:t>1 </w:t>
            </w:r>
            <w:r w:rsidR="0012066D" w:rsidRPr="007E4A0F">
              <w:rPr>
                <w:kern w:val="24"/>
                <w:sz w:val="20"/>
                <w:lang w:val="fr-FR"/>
              </w:rPr>
              <w:t>2014</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9E5C20" w:rsidP="00F10DB6">
            <w:pPr>
              <w:spacing w:before="120"/>
              <w:contextualSpacing/>
              <w:jc w:val="center"/>
              <w:rPr>
                <w:sz w:val="20"/>
                <w:lang w:val="fr-FR"/>
              </w:rPr>
            </w:pPr>
            <w:r w:rsidRPr="007E4A0F">
              <w:rPr>
                <w:kern w:val="24"/>
                <w:sz w:val="20"/>
                <w:lang w:val="fr-FR"/>
              </w:rPr>
              <w:t>P</w:t>
            </w:r>
            <w:r w:rsidR="00F10DB6" w:rsidRPr="007E4A0F">
              <w:rPr>
                <w:kern w:val="24"/>
                <w:sz w:val="20"/>
                <w:lang w:val="fr-FR"/>
              </w:rPr>
              <w:t>lanifié</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vAlign w:val="center"/>
            <w:hideMark/>
          </w:tcPr>
          <w:p w:rsidR="0012066D" w:rsidRPr="007E4A0F" w:rsidRDefault="00A41C35" w:rsidP="00A41C35">
            <w:pPr>
              <w:spacing w:before="120"/>
              <w:contextualSpacing/>
              <w:rPr>
                <w:sz w:val="20"/>
                <w:lang w:val="fr-FR"/>
              </w:rPr>
            </w:pPr>
            <w:r w:rsidRPr="007E4A0F">
              <w:rPr>
                <w:kern w:val="24"/>
                <w:sz w:val="20"/>
                <w:lang w:val="fr-FR"/>
              </w:rPr>
              <w:t xml:space="preserve">Sécurité sociale </w:t>
            </w:r>
            <w:r w:rsidR="00173515" w:rsidRPr="007E4A0F">
              <w:rPr>
                <w:kern w:val="24"/>
                <w:sz w:val="20"/>
                <w:lang w:val="fr-FR"/>
              </w:rPr>
              <w:t>du personnel</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3 2015</w:t>
            </w:r>
          </w:p>
        </w:tc>
        <w:tc>
          <w:tcPr>
            <w:tcW w:w="2546" w:type="dxa"/>
            <w:vAlign w:val="center"/>
            <w:hideMark/>
          </w:tcPr>
          <w:p w:rsidR="0012066D" w:rsidRPr="007E4A0F" w:rsidRDefault="009E5C20" w:rsidP="00F10DB6">
            <w:pPr>
              <w:spacing w:before="120"/>
              <w:contextualSpacing/>
              <w:jc w:val="center"/>
              <w:rPr>
                <w:sz w:val="20"/>
                <w:lang w:val="fr-FR"/>
              </w:rPr>
            </w:pPr>
            <w:r w:rsidRPr="007E4A0F">
              <w:rPr>
                <w:kern w:val="24"/>
                <w:sz w:val="20"/>
                <w:lang w:val="fr-FR"/>
              </w:rPr>
              <w:t>P</w:t>
            </w:r>
            <w:r w:rsidR="00F10DB6" w:rsidRPr="007E4A0F">
              <w:rPr>
                <w:kern w:val="24"/>
                <w:sz w:val="20"/>
                <w:lang w:val="fr-FR"/>
              </w:rPr>
              <w:t>lanifié</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2066D" w:rsidP="0012066D">
            <w:pPr>
              <w:spacing w:before="120"/>
              <w:contextualSpacing/>
              <w:jc w:val="center"/>
              <w:rPr>
                <w:sz w:val="20"/>
                <w:lang w:val="fr-FR"/>
              </w:rPr>
            </w:pPr>
            <w:r w:rsidRPr="007E4A0F">
              <w:rPr>
                <w:kern w:val="24"/>
                <w:sz w:val="20"/>
                <w:lang w:val="fr-FR"/>
              </w:rPr>
              <w:t>AIMS</w:t>
            </w:r>
          </w:p>
        </w:tc>
        <w:tc>
          <w:tcPr>
            <w:tcW w:w="3356" w:type="dxa"/>
            <w:tcBorders>
              <w:top w:val="single" w:sz="8" w:space="0" w:color="000000"/>
              <w:bottom w:val="single" w:sz="8" w:space="0" w:color="000000"/>
            </w:tcBorders>
            <w:vAlign w:val="center"/>
            <w:hideMark/>
          </w:tcPr>
          <w:p w:rsidR="0012066D" w:rsidRPr="007E4A0F" w:rsidRDefault="00C20D5D" w:rsidP="00C20D5D">
            <w:pPr>
              <w:spacing w:before="120"/>
              <w:contextualSpacing/>
              <w:rPr>
                <w:sz w:val="20"/>
                <w:lang w:val="fr-FR"/>
              </w:rPr>
            </w:pPr>
            <w:r w:rsidRPr="007E4A0F">
              <w:rPr>
                <w:kern w:val="24"/>
                <w:sz w:val="20"/>
                <w:lang w:val="fr-FR"/>
              </w:rPr>
              <w:t xml:space="preserve">Mise à niveau </w:t>
            </w:r>
            <w:r w:rsidR="0012066D" w:rsidRPr="007E4A0F">
              <w:rPr>
                <w:kern w:val="24"/>
                <w:sz w:val="20"/>
                <w:lang w:val="fr-FR"/>
              </w:rPr>
              <w:t>PeopleSoft 9.1</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4 2013</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vAlign w:val="center"/>
            <w:hideMark/>
          </w:tcPr>
          <w:p w:rsidR="0012066D" w:rsidRPr="007E4A0F" w:rsidRDefault="0012066D" w:rsidP="0012066D">
            <w:pPr>
              <w:spacing w:before="120"/>
              <w:contextualSpacing/>
              <w:jc w:val="center"/>
              <w:rPr>
                <w:sz w:val="20"/>
                <w:lang w:val="fr-FR"/>
              </w:rPr>
            </w:pPr>
            <w:r w:rsidRPr="007E4A0F">
              <w:rPr>
                <w:kern w:val="24"/>
                <w:sz w:val="20"/>
                <w:lang w:val="fr-FR"/>
              </w:rPr>
              <w:t>AIMS</w:t>
            </w:r>
          </w:p>
        </w:tc>
        <w:tc>
          <w:tcPr>
            <w:tcW w:w="3356" w:type="dxa"/>
            <w:vAlign w:val="center"/>
            <w:hideMark/>
          </w:tcPr>
          <w:p w:rsidR="0012066D" w:rsidRPr="007E4A0F" w:rsidRDefault="00C20D5D" w:rsidP="0012066D">
            <w:pPr>
              <w:spacing w:before="120"/>
              <w:contextualSpacing/>
              <w:rPr>
                <w:sz w:val="20"/>
                <w:lang w:val="fr-FR"/>
              </w:rPr>
            </w:pPr>
            <w:r w:rsidRPr="007E4A0F">
              <w:rPr>
                <w:kern w:val="24"/>
                <w:sz w:val="20"/>
                <w:lang w:val="fr-FR"/>
              </w:rPr>
              <w:t xml:space="preserve">Mise à niveau </w:t>
            </w:r>
            <w:r w:rsidR="0012066D" w:rsidRPr="007E4A0F">
              <w:rPr>
                <w:kern w:val="24"/>
                <w:sz w:val="20"/>
                <w:lang w:val="fr-FR"/>
              </w:rPr>
              <w:t>PeopleSoft 9.2</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4 2013</w:t>
            </w:r>
          </w:p>
        </w:tc>
        <w:tc>
          <w:tcPr>
            <w:tcW w:w="2546" w:type="dxa"/>
            <w:vAlign w:val="center"/>
            <w:hideMark/>
          </w:tcPr>
          <w:p w:rsidR="0012066D" w:rsidRPr="007E4A0F" w:rsidRDefault="00F137CC" w:rsidP="0012066D">
            <w:pPr>
              <w:spacing w:before="120"/>
              <w:contextualSpacing/>
              <w:jc w:val="center"/>
              <w:rPr>
                <w:sz w:val="20"/>
                <w:lang w:val="fr-FR"/>
              </w:rPr>
            </w:pPr>
            <w:r w:rsidRPr="007E4A0F">
              <w:rPr>
                <w:kern w:val="24"/>
                <w:sz w:val="20"/>
                <w:lang w:val="fr-FR"/>
              </w:rPr>
              <w:t>Engag</w:t>
            </w:r>
            <w:r w:rsidR="00E25040" w:rsidRPr="007E4A0F">
              <w:rPr>
                <w:kern w:val="24"/>
                <w:sz w:val="20"/>
                <w:lang w:val="fr-FR"/>
              </w:rPr>
              <w:t>é</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2066D" w:rsidP="0012066D">
            <w:pPr>
              <w:spacing w:before="120"/>
              <w:contextualSpacing/>
              <w:jc w:val="center"/>
              <w:rPr>
                <w:sz w:val="20"/>
                <w:lang w:val="fr-FR"/>
              </w:rPr>
            </w:pPr>
            <w:r w:rsidRPr="007E4A0F">
              <w:rPr>
                <w:kern w:val="24"/>
                <w:sz w:val="20"/>
                <w:lang w:val="fr-FR"/>
              </w:rPr>
              <w:t>AIMS</w:t>
            </w:r>
          </w:p>
        </w:tc>
        <w:tc>
          <w:tcPr>
            <w:tcW w:w="3356" w:type="dxa"/>
            <w:tcBorders>
              <w:top w:val="single" w:sz="8" w:space="0" w:color="000000"/>
              <w:bottom w:val="single" w:sz="8" w:space="0" w:color="000000"/>
            </w:tcBorders>
            <w:vAlign w:val="center"/>
            <w:hideMark/>
          </w:tcPr>
          <w:p w:rsidR="0012066D" w:rsidRPr="007E4A0F" w:rsidRDefault="00C20D5D" w:rsidP="0012066D">
            <w:pPr>
              <w:spacing w:before="120"/>
              <w:contextualSpacing/>
              <w:rPr>
                <w:sz w:val="20"/>
                <w:lang w:val="fr-FR"/>
              </w:rPr>
            </w:pPr>
            <w:r w:rsidRPr="007E4A0F">
              <w:rPr>
                <w:kern w:val="24"/>
                <w:sz w:val="20"/>
                <w:lang w:val="fr-FR"/>
              </w:rPr>
              <w:t>Outil de réservation en ligne</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4 2013</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EA42B2">
            <w:pPr>
              <w:spacing w:before="120"/>
              <w:contextualSpacing/>
              <w:jc w:val="center"/>
              <w:rPr>
                <w:sz w:val="20"/>
                <w:lang w:val="fr-FR"/>
              </w:rPr>
            </w:pPr>
            <w:r w:rsidRPr="007E4A0F">
              <w:rPr>
                <w:kern w:val="24"/>
                <w:sz w:val="20"/>
                <w:lang w:val="fr-FR"/>
              </w:rPr>
              <w:t>Opérationnel</w:t>
            </w:r>
            <w:r w:rsidR="0012066D" w:rsidRPr="007E4A0F">
              <w:rPr>
                <w:kern w:val="24"/>
                <w:sz w:val="20"/>
                <w:lang w:val="fr-FR"/>
              </w:rPr>
              <w:t xml:space="preserve"> (</w:t>
            </w:r>
            <w:r w:rsidR="00EA42B2" w:rsidRPr="007E4A0F">
              <w:rPr>
                <w:kern w:val="24"/>
                <w:sz w:val="20"/>
                <w:lang w:val="fr-FR"/>
              </w:rPr>
              <w:t>en cours de stabilisation</w:t>
            </w:r>
            <w:r w:rsidR="0012066D" w:rsidRPr="007E4A0F">
              <w:rPr>
                <w:kern w:val="24"/>
                <w:sz w:val="20"/>
                <w:lang w:val="fr-FR"/>
              </w:rPr>
              <w:t>)</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vAlign w:val="center"/>
            <w:hideMark/>
          </w:tcPr>
          <w:p w:rsidR="0012066D" w:rsidRPr="007E4A0F" w:rsidRDefault="00C20D5D" w:rsidP="0012066D">
            <w:pPr>
              <w:spacing w:before="120"/>
              <w:contextualSpacing/>
              <w:rPr>
                <w:sz w:val="20"/>
                <w:lang w:val="fr-FR"/>
              </w:rPr>
            </w:pPr>
            <w:r w:rsidRPr="007E4A0F">
              <w:rPr>
                <w:kern w:val="24"/>
                <w:sz w:val="20"/>
                <w:lang w:val="fr-FR"/>
              </w:rPr>
              <w:t>Planification biennale</w:t>
            </w:r>
            <w:r w:rsidR="0012066D" w:rsidRPr="007E4A0F">
              <w:rPr>
                <w:kern w:val="24"/>
                <w:sz w:val="20"/>
                <w:lang w:val="fr-FR"/>
              </w:rPr>
              <w:t xml:space="preserve"> (14/15)</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lastRenderedPageBreak/>
              <w:t>GPO</w:t>
            </w:r>
          </w:p>
        </w:tc>
        <w:tc>
          <w:tcPr>
            <w:tcW w:w="3356" w:type="dxa"/>
            <w:tcBorders>
              <w:top w:val="single" w:sz="8" w:space="0" w:color="000000"/>
              <w:bottom w:val="single" w:sz="8" w:space="0" w:color="000000"/>
            </w:tcBorders>
            <w:vAlign w:val="center"/>
            <w:hideMark/>
          </w:tcPr>
          <w:p w:rsidR="0012066D" w:rsidRPr="007E4A0F" w:rsidRDefault="002D15FE" w:rsidP="002D15FE">
            <w:pPr>
              <w:spacing w:before="120"/>
              <w:contextualSpacing/>
              <w:rPr>
                <w:sz w:val="20"/>
                <w:lang w:val="fr-FR"/>
              </w:rPr>
            </w:pPr>
            <w:r w:rsidRPr="007E4A0F">
              <w:rPr>
                <w:kern w:val="24"/>
                <w:sz w:val="20"/>
                <w:lang w:val="fr-FR"/>
              </w:rPr>
              <w:t>Planification du travail annuel</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vAlign w:val="center"/>
            <w:hideMark/>
          </w:tcPr>
          <w:p w:rsidR="0012066D" w:rsidRPr="007E4A0F" w:rsidRDefault="002D15FE" w:rsidP="0012066D">
            <w:pPr>
              <w:spacing w:before="120"/>
              <w:contextualSpacing/>
              <w:rPr>
                <w:sz w:val="20"/>
                <w:lang w:val="fr-FR"/>
              </w:rPr>
            </w:pPr>
            <w:r w:rsidRPr="007E4A0F">
              <w:rPr>
                <w:kern w:val="24"/>
                <w:sz w:val="20"/>
                <w:lang w:val="fr-FR"/>
              </w:rPr>
              <w:t>Suivi et évaluation</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tcBorders>
              <w:top w:val="single" w:sz="8" w:space="0" w:color="000000"/>
              <w:bottom w:val="single" w:sz="8" w:space="0" w:color="000000"/>
            </w:tcBorders>
            <w:vAlign w:val="center"/>
            <w:hideMark/>
          </w:tcPr>
          <w:p w:rsidR="0012066D" w:rsidRPr="007E4A0F" w:rsidRDefault="002D15FE" w:rsidP="0012066D">
            <w:pPr>
              <w:spacing w:before="120"/>
              <w:contextualSpacing/>
              <w:rPr>
                <w:sz w:val="20"/>
                <w:lang w:val="fr-FR"/>
              </w:rPr>
            </w:pPr>
            <w:r w:rsidRPr="007E4A0F">
              <w:rPr>
                <w:kern w:val="24"/>
                <w:sz w:val="20"/>
                <w:lang w:val="fr-FR"/>
              </w:rPr>
              <w:t>Planification biennale</w:t>
            </w:r>
            <w:r w:rsidR="0012066D" w:rsidRPr="007E4A0F">
              <w:rPr>
                <w:kern w:val="24"/>
                <w:sz w:val="20"/>
                <w:lang w:val="fr-FR"/>
              </w:rPr>
              <w:t xml:space="preserve"> (16/17)</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C47ADA">
            <w:pPr>
              <w:spacing w:before="120"/>
              <w:contextualSpacing/>
              <w:jc w:val="center"/>
              <w:rPr>
                <w:sz w:val="20"/>
                <w:lang w:val="fr-FR"/>
              </w:rPr>
            </w:pPr>
            <w:r w:rsidRPr="007E4A0F">
              <w:rPr>
                <w:kern w:val="24"/>
                <w:sz w:val="20"/>
                <w:lang w:val="fr-FR"/>
              </w:rPr>
              <w:t>En cours de mise en œuvre</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vAlign w:val="center"/>
            <w:hideMark/>
          </w:tcPr>
          <w:p w:rsidR="0012066D" w:rsidRPr="007E4A0F" w:rsidRDefault="002D15FE" w:rsidP="002D15FE">
            <w:pPr>
              <w:spacing w:before="120"/>
              <w:contextualSpacing/>
              <w:rPr>
                <w:sz w:val="20"/>
                <w:lang w:val="fr-FR"/>
              </w:rPr>
            </w:pPr>
            <w:r w:rsidRPr="007E4A0F">
              <w:rPr>
                <w:kern w:val="24"/>
                <w:sz w:val="20"/>
                <w:lang w:val="fr-FR"/>
              </w:rPr>
              <w:t>Gestion des risques de l</w:t>
            </w:r>
            <w:r w:rsidR="00B274E6" w:rsidRPr="007E4A0F">
              <w:rPr>
                <w:kern w:val="24"/>
                <w:sz w:val="20"/>
                <w:lang w:val="fr-FR"/>
              </w:rPr>
              <w:t>’</w:t>
            </w:r>
            <w:r w:rsidRPr="007E4A0F">
              <w:rPr>
                <w:kern w:val="24"/>
                <w:sz w:val="20"/>
                <w:lang w:val="fr-FR"/>
              </w:rPr>
              <w:t>Organisation</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072DD9" w:rsidP="00EA42B2">
            <w:pPr>
              <w:spacing w:before="120"/>
              <w:contextualSpacing/>
              <w:jc w:val="center"/>
              <w:rPr>
                <w:sz w:val="20"/>
                <w:lang w:val="fr-FR"/>
              </w:rPr>
            </w:pPr>
            <w:r w:rsidRPr="007E4A0F">
              <w:rPr>
                <w:kern w:val="24"/>
                <w:sz w:val="20"/>
                <w:lang w:val="fr-FR"/>
              </w:rPr>
              <w:t>Opérationnel</w:t>
            </w:r>
            <w:r w:rsidR="0012066D" w:rsidRPr="007E4A0F">
              <w:rPr>
                <w:kern w:val="24"/>
                <w:sz w:val="20"/>
                <w:lang w:val="fr-FR"/>
              </w:rPr>
              <w:t xml:space="preserve"> (</w:t>
            </w:r>
            <w:r w:rsidR="00EA42B2" w:rsidRPr="007E4A0F">
              <w:rPr>
                <w:kern w:val="24"/>
                <w:sz w:val="20"/>
                <w:lang w:val="fr-FR"/>
              </w:rPr>
              <w:t>en cours de stabilisation</w:t>
            </w:r>
            <w:r w:rsidR="0012066D" w:rsidRPr="007E4A0F">
              <w:rPr>
                <w:kern w:val="24"/>
                <w:sz w:val="20"/>
                <w:lang w:val="fr-FR"/>
              </w:rPr>
              <w:t>)</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tcBorders>
              <w:top w:val="single" w:sz="8" w:space="0" w:color="000000"/>
              <w:bottom w:val="single" w:sz="8" w:space="0" w:color="000000"/>
            </w:tcBorders>
            <w:vAlign w:val="center"/>
            <w:hideMark/>
          </w:tcPr>
          <w:p w:rsidR="0012066D" w:rsidRPr="007E4A0F" w:rsidRDefault="00E059CC" w:rsidP="00E059CC">
            <w:pPr>
              <w:spacing w:before="120"/>
              <w:contextualSpacing/>
              <w:rPr>
                <w:sz w:val="20"/>
                <w:lang w:val="fr-FR"/>
              </w:rPr>
            </w:pPr>
            <w:r w:rsidRPr="007E4A0F">
              <w:rPr>
                <w:kern w:val="24"/>
                <w:sz w:val="20"/>
                <w:lang w:val="fr-FR"/>
              </w:rPr>
              <w:t>Analyse de données décisionnelles</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En cours de mise en œuvre</w:t>
            </w:r>
          </w:p>
        </w:tc>
      </w:tr>
      <w:tr w:rsidR="007E4A0F" w:rsidRPr="007E4A0F" w:rsidTr="0012762F">
        <w:trPr>
          <w:jc w:val="center"/>
        </w:trPr>
        <w:tc>
          <w:tcPr>
            <w:tcW w:w="1314" w:type="dxa"/>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vAlign w:val="center"/>
            <w:hideMark/>
          </w:tcPr>
          <w:p w:rsidR="0012066D" w:rsidRPr="007E4A0F" w:rsidRDefault="001D01FD" w:rsidP="001D01FD">
            <w:pPr>
              <w:spacing w:before="120"/>
              <w:contextualSpacing/>
              <w:rPr>
                <w:sz w:val="20"/>
                <w:lang w:val="fr-FR"/>
              </w:rPr>
            </w:pPr>
            <w:r w:rsidRPr="007E4A0F">
              <w:rPr>
                <w:kern w:val="24"/>
                <w:sz w:val="20"/>
                <w:lang w:val="fr-FR"/>
              </w:rPr>
              <w:t>Entrepôt de données relatives aux clients</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tcBorders>
              <w:top w:val="single" w:sz="8" w:space="0" w:color="000000"/>
              <w:bottom w:val="single" w:sz="8" w:space="0" w:color="000000"/>
            </w:tcBorders>
            <w:vAlign w:val="center"/>
            <w:hideMark/>
          </w:tcPr>
          <w:p w:rsidR="0012066D" w:rsidRPr="007E4A0F" w:rsidRDefault="001D01FD" w:rsidP="001D01FD">
            <w:pPr>
              <w:spacing w:before="120"/>
              <w:contextualSpacing/>
              <w:rPr>
                <w:sz w:val="20"/>
                <w:lang w:val="fr-FR"/>
              </w:rPr>
            </w:pPr>
            <w:r w:rsidRPr="007E4A0F">
              <w:rPr>
                <w:kern w:val="24"/>
                <w:sz w:val="20"/>
                <w:lang w:val="fr-FR"/>
              </w:rPr>
              <w:t>Transition des services de conférence</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r w:rsidR="007E4A0F" w:rsidRPr="007E4A0F" w:rsidTr="0012762F">
        <w:trPr>
          <w:jc w:val="center"/>
        </w:trPr>
        <w:tc>
          <w:tcPr>
            <w:tcW w:w="1314" w:type="dxa"/>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vAlign w:val="center"/>
            <w:hideMark/>
          </w:tcPr>
          <w:p w:rsidR="0012066D" w:rsidRPr="007E4A0F" w:rsidRDefault="00F6208F" w:rsidP="00F6208F">
            <w:pPr>
              <w:spacing w:before="120"/>
              <w:contextualSpacing/>
              <w:rPr>
                <w:sz w:val="20"/>
                <w:lang w:val="fr-FR"/>
              </w:rPr>
            </w:pPr>
            <w:r w:rsidRPr="007E4A0F">
              <w:rPr>
                <w:kern w:val="24"/>
                <w:sz w:val="20"/>
                <w:lang w:val="fr-FR"/>
              </w:rPr>
              <w:t>Transition</w:t>
            </w:r>
            <w:r w:rsidR="00B274E6" w:rsidRPr="007E4A0F">
              <w:rPr>
                <w:kern w:val="24"/>
                <w:sz w:val="20"/>
                <w:lang w:val="fr-FR"/>
              </w:rPr>
              <w:t xml:space="preserve"> du DSS</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r w:rsidR="0012066D"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tcBorders>
              <w:top w:val="single" w:sz="8" w:space="0" w:color="000000"/>
              <w:bottom w:val="single" w:sz="8" w:space="0" w:color="000000"/>
            </w:tcBorders>
            <w:vAlign w:val="center"/>
            <w:hideMark/>
          </w:tcPr>
          <w:p w:rsidR="0012066D" w:rsidRPr="007E4A0F" w:rsidRDefault="005C1EF2" w:rsidP="005C1EF2">
            <w:pPr>
              <w:spacing w:before="120"/>
              <w:contextualSpacing/>
              <w:rPr>
                <w:sz w:val="20"/>
                <w:lang w:val="fr-FR"/>
              </w:rPr>
            </w:pPr>
            <w:r w:rsidRPr="007E4A0F">
              <w:rPr>
                <w:kern w:val="24"/>
                <w:sz w:val="20"/>
                <w:lang w:val="fr-FR"/>
              </w:rPr>
              <w:t xml:space="preserve">États financiers des clients </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bl>
    <w:p w:rsidR="00947AF6" w:rsidRPr="007E4A0F" w:rsidRDefault="00947AF6" w:rsidP="003C66DF">
      <w:pPr>
        <w:rPr>
          <w:lang w:val="fr-FR"/>
        </w:rPr>
      </w:pPr>
    </w:p>
    <w:p w:rsidR="00947AF6" w:rsidRPr="007E4A0F" w:rsidRDefault="00F23474" w:rsidP="003C66DF">
      <w:pPr>
        <w:pStyle w:val="Style1"/>
      </w:pPr>
      <w:r w:rsidRPr="007E4A0F">
        <w:t xml:space="preserve">Selon la situation actuelle du portefeuille de projets, sur les 19 projets prévus au titre du système ERP, un </w:t>
      </w:r>
      <w:r w:rsidR="00F137CC" w:rsidRPr="007E4A0F">
        <w:t>était</w:t>
      </w:r>
      <w:r w:rsidRPr="007E4A0F">
        <w:t xml:space="preserve"> achevé, sept</w:t>
      </w:r>
      <w:r w:rsidR="006C7CFD" w:rsidRPr="007E4A0F">
        <w:t> </w:t>
      </w:r>
      <w:r w:rsidR="00F137CC" w:rsidRPr="007E4A0F">
        <w:t>étaient</w:t>
      </w:r>
      <w:r w:rsidRPr="007E4A0F">
        <w:t xml:space="preserve"> opérationnels dont deux</w:t>
      </w:r>
      <w:r w:rsidR="006C7CFD" w:rsidRPr="007E4A0F">
        <w:t> </w:t>
      </w:r>
      <w:r w:rsidRPr="007E4A0F">
        <w:t>en cours de stabilisation, quatre</w:t>
      </w:r>
      <w:r w:rsidR="006C7CFD" w:rsidRPr="007E4A0F">
        <w:t> </w:t>
      </w:r>
      <w:r w:rsidR="00F137CC" w:rsidRPr="007E4A0F">
        <w:t>étaient</w:t>
      </w:r>
      <w:r w:rsidRPr="007E4A0F">
        <w:t xml:space="preserve"> en cours de mise en œuvre dont deux</w:t>
      </w:r>
      <w:r w:rsidR="006C7CFD" w:rsidRPr="007E4A0F">
        <w:t> </w:t>
      </w:r>
      <w:r w:rsidRPr="007E4A0F">
        <w:t>qui n</w:t>
      </w:r>
      <w:r w:rsidR="00B274E6" w:rsidRPr="007E4A0F">
        <w:t>’</w:t>
      </w:r>
      <w:r w:rsidR="00F137CC" w:rsidRPr="007E4A0F">
        <w:t>avaie</w:t>
      </w:r>
      <w:r w:rsidRPr="007E4A0F">
        <w:t>nt pas atteint le stade</w:t>
      </w:r>
      <w:r w:rsidR="00BA664A" w:rsidRPr="007E4A0F">
        <w:t xml:space="preserve"> des indicateurs d</w:t>
      </w:r>
      <w:r w:rsidR="00B274E6" w:rsidRPr="007E4A0F">
        <w:t>’</w:t>
      </w:r>
      <w:r w:rsidR="00BA664A" w:rsidRPr="007E4A0F">
        <w:t xml:space="preserve">exécution </w:t>
      </w:r>
      <w:r w:rsidRPr="007E4A0F">
        <w:t>et de l</w:t>
      </w:r>
      <w:r w:rsidR="00B274E6" w:rsidRPr="007E4A0F">
        <w:t>’</w:t>
      </w:r>
      <w:r w:rsidRPr="007E4A0F">
        <w:t>analyse d</w:t>
      </w:r>
      <w:r w:rsidR="00B274E6" w:rsidRPr="007E4A0F">
        <w:t>’</w:t>
      </w:r>
      <w:r w:rsidRPr="007E4A0F">
        <w:t xml:space="preserve">adéquation, </w:t>
      </w:r>
      <w:r w:rsidR="00F137CC" w:rsidRPr="007E4A0F">
        <w:t>trois</w:t>
      </w:r>
      <w:r w:rsidR="006C7CFD" w:rsidRPr="007E4A0F">
        <w:t> </w:t>
      </w:r>
      <w:r w:rsidR="00F137CC" w:rsidRPr="007E4A0F">
        <w:t>étaient planifiés ou engagés</w:t>
      </w:r>
      <w:r w:rsidR="005D19E9" w:rsidRPr="007E4A0F">
        <w:t xml:space="preserve"> et quatre</w:t>
      </w:r>
      <w:r w:rsidR="006C7CFD" w:rsidRPr="007E4A0F">
        <w:t> </w:t>
      </w:r>
      <w:r w:rsidR="003B49A9" w:rsidRPr="007E4A0F">
        <w:t>n</w:t>
      </w:r>
      <w:r w:rsidR="00B274E6" w:rsidRPr="007E4A0F">
        <w:t>’</w:t>
      </w:r>
      <w:r w:rsidR="005D19E9" w:rsidRPr="007E4A0F">
        <w:t xml:space="preserve">étaient encore </w:t>
      </w:r>
      <w:r w:rsidR="003B49A9" w:rsidRPr="007E4A0F">
        <w:t>qu</w:t>
      </w:r>
      <w:r w:rsidR="00B274E6" w:rsidRPr="007E4A0F">
        <w:t>’</w:t>
      </w:r>
      <w:r w:rsidR="005D19E9" w:rsidRPr="007E4A0F">
        <w:t xml:space="preserve">au stade </w:t>
      </w:r>
      <w:r w:rsidR="00AB1228" w:rsidRPr="007E4A0F">
        <w:t>conceptuel</w:t>
      </w:r>
      <w:r w:rsidR="003B49A9" w:rsidRPr="007E4A0F">
        <w:t>.</w:t>
      </w:r>
    </w:p>
    <w:p w:rsidR="00947AF6" w:rsidRPr="007E4A0F" w:rsidRDefault="00AA47FA" w:rsidP="003C66DF">
      <w:pPr>
        <w:pStyle w:val="Style1"/>
      </w:pPr>
      <w:r w:rsidRPr="007E4A0F">
        <w:t>Selon le calendrier révisé soumis aux États membres dans le rapport de</w:t>
      </w:r>
      <w:r w:rsidR="006C7CFD" w:rsidRPr="007E4A0F">
        <w:t> </w:t>
      </w:r>
      <w:r w:rsidRPr="007E4A0F">
        <w:t>2014 sur l</w:t>
      </w:r>
      <w:r w:rsidR="00B274E6" w:rsidRPr="007E4A0F">
        <w:t>’</w:t>
      </w:r>
      <w:r w:rsidRPr="007E4A0F">
        <w:t>état d</w:t>
      </w:r>
      <w:r w:rsidR="00B274E6" w:rsidRPr="007E4A0F">
        <w:t>’</w:t>
      </w:r>
      <w:r w:rsidRPr="007E4A0F">
        <w:t>avancement du système ERP (</w:t>
      </w:r>
      <w:r w:rsidR="00973988" w:rsidRPr="007E4A0F">
        <w:rPr>
          <w:b/>
          <w:i/>
        </w:rPr>
        <w:t>a</w:t>
      </w:r>
      <w:r w:rsidRPr="007E4A0F">
        <w:rPr>
          <w:b/>
          <w:i/>
        </w:rPr>
        <w:t>nnexe</w:t>
      </w:r>
      <w:r w:rsidR="006C7CFD" w:rsidRPr="007E4A0F">
        <w:rPr>
          <w:b/>
          <w:i/>
        </w:rPr>
        <w:t> </w:t>
      </w:r>
      <w:r w:rsidR="0012066D" w:rsidRPr="007E4A0F">
        <w:rPr>
          <w:b/>
          <w:i/>
        </w:rPr>
        <w:t>I</w:t>
      </w:r>
      <w:r w:rsidR="0012066D" w:rsidRPr="007E4A0F">
        <w:t xml:space="preserve">), </w:t>
      </w:r>
      <w:r w:rsidRPr="007E4A0F">
        <w:t>ce dernier serait achevé pour le deuxième trimestre de</w:t>
      </w:r>
      <w:r w:rsidR="006C7CFD" w:rsidRPr="007E4A0F">
        <w:t> </w:t>
      </w:r>
      <w:r w:rsidRPr="007E4A0F">
        <w:t>2016</w:t>
      </w:r>
      <w:r w:rsidR="007D65D9" w:rsidRPr="007E4A0F">
        <w:t xml:space="preserve">.  </w:t>
      </w:r>
      <w:r w:rsidR="00FF42F0" w:rsidRPr="007E4A0F">
        <w:t>Compte tenu du retard pris dans l</w:t>
      </w:r>
      <w:r w:rsidR="00B274E6" w:rsidRPr="007E4A0F">
        <w:t>’</w:t>
      </w:r>
      <w:r w:rsidR="00FF42F0" w:rsidRPr="007E4A0F">
        <w:t>achèvement de certains projets et de l</w:t>
      </w:r>
      <w:r w:rsidR="00B274E6" w:rsidRPr="007E4A0F">
        <w:t>’</w:t>
      </w:r>
      <w:r w:rsidR="00FF42F0" w:rsidRPr="007E4A0F">
        <w:t>interdépendance des projets composant le système ERP, nous n</w:t>
      </w:r>
      <w:r w:rsidR="00B274E6" w:rsidRPr="007E4A0F">
        <w:t>’</w:t>
      </w:r>
      <w:r w:rsidR="00FF42F0" w:rsidRPr="007E4A0F">
        <w:t>avons pas été en mesure d</w:t>
      </w:r>
      <w:r w:rsidR="00B274E6" w:rsidRPr="007E4A0F">
        <w:t>’</w:t>
      </w:r>
      <w:r w:rsidR="00FF42F0" w:rsidRPr="007E4A0F">
        <w:t>évaluer globalement les avantages qui découlent de ce dernier pour l</w:t>
      </w:r>
      <w:r w:rsidR="00B274E6" w:rsidRPr="007E4A0F">
        <w:t>’</w:t>
      </w:r>
      <w:r w:rsidR="00FF42F0" w:rsidRPr="007E4A0F">
        <w:t>OMPI.</w:t>
      </w:r>
    </w:p>
    <w:p w:rsidR="00947AF6" w:rsidRPr="007E4A0F" w:rsidRDefault="00FF42F0" w:rsidP="003C66DF">
      <w:pPr>
        <w:pStyle w:val="Style1"/>
      </w:pPr>
      <w:r w:rsidRPr="007E4A0F">
        <w:t>Selon l</w:t>
      </w:r>
      <w:r w:rsidR="00B274E6" w:rsidRPr="007E4A0F">
        <w:t>’</w:t>
      </w:r>
      <w:r w:rsidRPr="007E4A0F">
        <w:t>OMPI, il n</w:t>
      </w:r>
      <w:r w:rsidR="00B274E6" w:rsidRPr="007E4A0F">
        <w:t>’</w:t>
      </w:r>
      <w:r w:rsidRPr="007E4A0F">
        <w:t xml:space="preserve">était pas </w:t>
      </w:r>
      <w:r w:rsidR="00E9080B" w:rsidRPr="007E4A0F">
        <w:t xml:space="preserve">encore </w:t>
      </w:r>
      <w:r w:rsidRPr="007E4A0F">
        <w:t>possible d</w:t>
      </w:r>
      <w:r w:rsidR="00B274E6" w:rsidRPr="007E4A0F">
        <w:t>’</w:t>
      </w:r>
      <w:r w:rsidRPr="007E4A0F">
        <w:t>effectuer une évaluation globale des avantages obtenus grâce au système ERP, parce que l</w:t>
      </w:r>
      <w:r w:rsidR="00B274E6" w:rsidRPr="007E4A0F">
        <w:t>’</w:t>
      </w:r>
      <w:r w:rsidRPr="007E4A0F">
        <w:t>exécution du portefeuille</w:t>
      </w:r>
      <w:r w:rsidR="005A373D" w:rsidRPr="007E4A0F">
        <w:t xml:space="preserve"> n</w:t>
      </w:r>
      <w:r w:rsidR="00B274E6" w:rsidRPr="007E4A0F">
        <w:t>’</w:t>
      </w:r>
      <w:r w:rsidR="005A373D" w:rsidRPr="007E4A0F">
        <w:t xml:space="preserve">était </w:t>
      </w:r>
      <w:r w:rsidRPr="007E4A0F">
        <w:t>pas</w:t>
      </w:r>
      <w:r w:rsidR="005A373D" w:rsidRPr="007E4A0F">
        <w:t xml:space="preserve"> achevée</w:t>
      </w:r>
      <w:r w:rsidRPr="007E4A0F">
        <w:t>.</w:t>
      </w:r>
    </w:p>
    <w:p w:rsidR="00947AF6" w:rsidRPr="007E4A0F" w:rsidRDefault="000A6F80" w:rsidP="00A537E0">
      <w:pPr>
        <w:pStyle w:val="Heading4"/>
        <w:rPr>
          <w:lang w:val="fr-FR"/>
        </w:rPr>
      </w:pPr>
      <w:r w:rsidRPr="007E4A0F">
        <w:rPr>
          <w:lang w:val="fr-FR"/>
        </w:rPr>
        <w:t>Recommandation n° 5</w:t>
      </w:r>
    </w:p>
    <w:p w:rsidR="00B274E6" w:rsidRPr="007E4A0F" w:rsidRDefault="00951ABA" w:rsidP="003C66DF">
      <w:pPr>
        <w:pStyle w:val="Heading4"/>
        <w:rPr>
          <w:lang w:val="fr-FR"/>
        </w:rPr>
      </w:pPr>
      <w:r w:rsidRPr="007E4A0F">
        <w:rPr>
          <w:lang w:val="fr-FR"/>
        </w:rPr>
        <w:t>L</w:t>
      </w:r>
      <w:r w:rsidR="00B274E6" w:rsidRPr="007E4A0F">
        <w:rPr>
          <w:lang w:val="fr-FR"/>
        </w:rPr>
        <w:t>’</w:t>
      </w:r>
      <w:r w:rsidRPr="007E4A0F">
        <w:rPr>
          <w:lang w:val="fr-FR"/>
        </w:rPr>
        <w:t>OMPI pourrait continuer à rechercher des moyens de réduire les délais, tant au niveau des projets qu</w:t>
      </w:r>
      <w:r w:rsidR="00B274E6" w:rsidRPr="007E4A0F">
        <w:rPr>
          <w:lang w:val="fr-FR"/>
        </w:rPr>
        <w:t>’</w:t>
      </w:r>
      <w:r w:rsidRPr="007E4A0F">
        <w:rPr>
          <w:lang w:val="fr-FR"/>
        </w:rPr>
        <w:t xml:space="preserve">à celui du portefeuille, qui retardent la mise en œuvre du système intégré de planification des ressources, de manière à ce que cette dernière soit terminée conformément au calendrier révisé qui sera présenté aux États membres en </w:t>
      </w:r>
      <w:r w:rsidR="00B274E6" w:rsidRPr="007E4A0F">
        <w:rPr>
          <w:lang w:val="fr-FR"/>
        </w:rPr>
        <w:t>septembre 20</w:t>
      </w:r>
      <w:r w:rsidRPr="007E4A0F">
        <w:rPr>
          <w:lang w:val="fr-FR"/>
        </w:rPr>
        <w:t>15.</w:t>
      </w:r>
    </w:p>
    <w:p w:rsidR="00947AF6" w:rsidRPr="007E4A0F" w:rsidRDefault="007E29F0" w:rsidP="003C66DF">
      <w:pPr>
        <w:pStyle w:val="Style1"/>
      </w:pPr>
      <w:r w:rsidRPr="007E4A0F">
        <w:t>L</w:t>
      </w:r>
      <w:r w:rsidR="00B274E6" w:rsidRPr="007E4A0F">
        <w:t>’</w:t>
      </w:r>
      <w:r w:rsidRPr="007E4A0F">
        <w:t>OMPI</w:t>
      </w:r>
      <w:r w:rsidR="000B47B3" w:rsidRPr="007E4A0F">
        <w:t xml:space="preserve"> a également été d</w:t>
      </w:r>
      <w:r w:rsidR="00B274E6" w:rsidRPr="007E4A0F">
        <w:t>’</w:t>
      </w:r>
      <w:r w:rsidR="000B47B3" w:rsidRPr="007E4A0F">
        <w:t xml:space="preserve">avis </w:t>
      </w:r>
      <w:r w:rsidR="00A7231D" w:rsidRPr="007E4A0F">
        <w:t>que la réduction des délais était une nécessité</w:t>
      </w:r>
      <w:r w:rsidRPr="007E4A0F">
        <w:t>.</w:t>
      </w:r>
      <w:r w:rsidR="00A7231D" w:rsidRPr="007E4A0F">
        <w:t xml:space="preserve">  </w:t>
      </w:r>
      <w:r w:rsidR="001254D1" w:rsidRPr="007E4A0F">
        <w:t xml:space="preserve">Consciente du fait </w:t>
      </w:r>
      <w:r w:rsidR="000B47B3" w:rsidRPr="007E4A0F">
        <w:t>que</w:t>
      </w:r>
      <w:r w:rsidR="00A7231D" w:rsidRPr="007E4A0F">
        <w:t xml:space="preserve"> la gestion des projets </w:t>
      </w:r>
      <w:r w:rsidR="000B47B3" w:rsidRPr="007E4A0F">
        <w:t>était confrontée à un triangle de</w:t>
      </w:r>
      <w:r w:rsidR="00A7231D" w:rsidRPr="007E4A0F">
        <w:t xml:space="preserve"> contraintes de coût, qualité et temps, </w:t>
      </w:r>
      <w:r w:rsidR="001254D1" w:rsidRPr="007E4A0F">
        <w:t>l</w:t>
      </w:r>
      <w:r w:rsidR="00B274E6" w:rsidRPr="007E4A0F">
        <w:t>’</w:t>
      </w:r>
      <w:r w:rsidR="001254D1" w:rsidRPr="007E4A0F">
        <w:t xml:space="preserve">Organisation a choisi de faire passer la qualité et le coût avant le temps, notamment en ce qui concerne le projet relatif aux états de paie, pour lequel une exactitude absolue était obligatoire.  </w:t>
      </w:r>
      <w:r w:rsidR="00340969" w:rsidRPr="007E4A0F">
        <w:t>L</w:t>
      </w:r>
      <w:r w:rsidR="00B274E6" w:rsidRPr="007E4A0F">
        <w:t>’</w:t>
      </w:r>
      <w:r w:rsidR="00340969" w:rsidRPr="007E4A0F">
        <w:t>OMPI a fait part de son intention de présenter une nouvelle mise à jour du calendrier dans le rapport de</w:t>
      </w:r>
      <w:r w:rsidR="006C7CFD" w:rsidRPr="007E4A0F">
        <w:t> </w:t>
      </w:r>
      <w:r w:rsidR="00340969" w:rsidRPr="007E4A0F">
        <w:t>2015 aux États membres sur l</w:t>
      </w:r>
      <w:r w:rsidR="00B274E6" w:rsidRPr="007E4A0F">
        <w:t>’</w:t>
      </w:r>
      <w:r w:rsidR="00340969" w:rsidRPr="007E4A0F">
        <w:t>état d</w:t>
      </w:r>
      <w:r w:rsidR="00B274E6" w:rsidRPr="007E4A0F">
        <w:t>’</w:t>
      </w:r>
      <w:r w:rsidR="00340969" w:rsidRPr="007E4A0F">
        <w:t xml:space="preserve">avancement du </w:t>
      </w:r>
      <w:r w:rsidR="00340969" w:rsidRPr="007E4A0F">
        <w:lastRenderedPageBreak/>
        <w:t>système ERP et de s</w:t>
      </w:r>
      <w:r w:rsidR="00B274E6" w:rsidRPr="007E4A0F">
        <w:t>’</w:t>
      </w:r>
      <w:r w:rsidR="00340969" w:rsidRPr="007E4A0F">
        <w:t>efforcer de respecter ce nouveau calendrier pour la mise en œuvre du projet.</w:t>
      </w:r>
    </w:p>
    <w:p w:rsidR="00B274E6" w:rsidRPr="007E4A0F" w:rsidRDefault="0012066D" w:rsidP="003C66DF">
      <w:pPr>
        <w:pStyle w:val="Heading4"/>
        <w:rPr>
          <w:lang w:val="fr-FR"/>
        </w:rPr>
      </w:pPr>
      <w:r w:rsidRPr="007E4A0F">
        <w:rPr>
          <w:lang w:val="fr-FR"/>
        </w:rPr>
        <w:t>Documentation</w:t>
      </w:r>
    </w:p>
    <w:p w:rsidR="00947AF6" w:rsidRPr="007E4A0F" w:rsidRDefault="00CD6C85" w:rsidP="003C66DF">
      <w:pPr>
        <w:pStyle w:val="Style1"/>
      </w:pPr>
      <w:r w:rsidRPr="007E4A0F">
        <w:t>Nous avons constaté que l</w:t>
      </w:r>
      <w:r w:rsidR="00B274E6" w:rsidRPr="007E4A0F">
        <w:t>’</w:t>
      </w:r>
      <w:r w:rsidRPr="007E4A0F">
        <w:t>OMPI n</w:t>
      </w:r>
      <w:r w:rsidR="00B274E6" w:rsidRPr="007E4A0F">
        <w:t>’</w:t>
      </w:r>
      <w:r w:rsidRPr="007E4A0F">
        <w:t>avait pas de système de gestion de documents pour les projets entrepris au titre du système ERP.</w:t>
      </w:r>
      <w:r w:rsidR="009366DF" w:rsidRPr="007E4A0F">
        <w:t xml:space="preserve">  Faute de site central de dépôt des documents relatifs à ces projets, un wiki a été utilisé pour les partager avec le personnel de l</w:t>
      </w:r>
      <w:r w:rsidR="00B274E6" w:rsidRPr="007E4A0F">
        <w:t>’</w:t>
      </w:r>
      <w:r w:rsidR="009366DF" w:rsidRPr="007E4A0F">
        <w:t>OMPI et les vérificateurs.  Certains documents n</w:t>
      </w:r>
      <w:r w:rsidR="00B274E6" w:rsidRPr="007E4A0F">
        <w:t>’</w:t>
      </w:r>
      <w:r w:rsidR="009366DF" w:rsidRPr="007E4A0F">
        <w:t>étaient pas déposés sur le wiki.  Lorsque les vérificateurs demandaient des documents ne se trouvant pas sur le wiki, l</w:t>
      </w:r>
      <w:r w:rsidR="00B274E6" w:rsidRPr="007E4A0F">
        <w:t>’</w:t>
      </w:r>
      <w:r w:rsidR="009366DF" w:rsidRPr="007E4A0F">
        <w:t xml:space="preserve">OMPI fournissait ces derniers, soit par courrier électronique, soit en </w:t>
      </w:r>
      <w:proofErr w:type="gramStart"/>
      <w:r w:rsidR="009366DF" w:rsidRPr="007E4A0F">
        <w:t>les déposant</w:t>
      </w:r>
      <w:proofErr w:type="gramEnd"/>
      <w:r w:rsidR="009366DF" w:rsidRPr="007E4A0F">
        <w:t xml:space="preserve"> sur le wiki.</w:t>
      </w:r>
    </w:p>
    <w:p w:rsidR="00947AF6" w:rsidRPr="007E4A0F" w:rsidRDefault="009366DF" w:rsidP="003C66DF">
      <w:pPr>
        <w:pStyle w:val="Style1"/>
      </w:pPr>
      <w:r w:rsidRPr="007E4A0F">
        <w:t>L</w:t>
      </w:r>
      <w:r w:rsidR="00B274E6" w:rsidRPr="007E4A0F">
        <w:t>’</w:t>
      </w:r>
      <w:r w:rsidRPr="007E4A0F">
        <w:t>OMPI a indiqué qu</w:t>
      </w:r>
      <w:r w:rsidR="00B274E6" w:rsidRPr="007E4A0F">
        <w:t>’</w:t>
      </w:r>
      <w:r w:rsidRPr="007E4A0F">
        <w:t>en l</w:t>
      </w:r>
      <w:r w:rsidR="00B274E6" w:rsidRPr="007E4A0F">
        <w:t>’</w:t>
      </w:r>
      <w:r w:rsidRPr="007E4A0F">
        <w:t>absence de système de gestion de documents, le Bureau de gestion du projet ERP</w:t>
      </w:r>
      <w:r w:rsidR="000A0FB6" w:rsidRPr="007E4A0F">
        <w:t xml:space="preserve"> et les différentes équipes de projet utilisaient actuellement les outils existants qui étaient à leur disposition, </w:t>
      </w:r>
      <w:r w:rsidR="00B274E6" w:rsidRPr="007E4A0F">
        <w:t>y compris</w:t>
      </w:r>
      <w:r w:rsidR="000A0FB6" w:rsidRPr="007E4A0F">
        <w:t xml:space="preserve"> le système de classement et le wiki, pour faire en sorte que les documents soient classés et accessibles aux utilisateurs.</w:t>
      </w:r>
    </w:p>
    <w:p w:rsidR="00947AF6" w:rsidRPr="007E4A0F" w:rsidRDefault="000A6F80" w:rsidP="00A537E0">
      <w:pPr>
        <w:pStyle w:val="Heading4"/>
        <w:rPr>
          <w:lang w:val="fr-FR"/>
        </w:rPr>
      </w:pPr>
      <w:r w:rsidRPr="007E4A0F">
        <w:rPr>
          <w:lang w:val="fr-FR"/>
        </w:rPr>
        <w:t>Recommandation n° 6</w:t>
      </w:r>
    </w:p>
    <w:p w:rsidR="00947AF6" w:rsidRPr="007E4A0F" w:rsidRDefault="00612D47" w:rsidP="003C66DF">
      <w:pPr>
        <w:pStyle w:val="Heading4"/>
        <w:rPr>
          <w:lang w:val="fr-FR"/>
        </w:rPr>
      </w:pPr>
      <w:r w:rsidRPr="007E4A0F">
        <w:rPr>
          <w:lang w:val="fr-FR"/>
        </w:rPr>
        <w:t>L</w:t>
      </w:r>
      <w:r w:rsidR="00B274E6" w:rsidRPr="007E4A0F">
        <w:rPr>
          <w:lang w:val="fr-FR"/>
        </w:rPr>
        <w:t>’</w:t>
      </w:r>
      <w:r w:rsidRPr="007E4A0F">
        <w:rPr>
          <w:lang w:val="fr-FR"/>
        </w:rPr>
        <w:t xml:space="preserve">OMPI pourrait renforcer son système de gestion des documents, de manière à ce que tous les documents relatifs aux projets soient réunis </w:t>
      </w:r>
      <w:r w:rsidR="0033117B" w:rsidRPr="007E4A0F">
        <w:rPr>
          <w:lang w:val="fr-FR"/>
        </w:rPr>
        <w:t>au même endroit</w:t>
      </w:r>
      <w:r w:rsidR="0012066D" w:rsidRPr="007E4A0F">
        <w:rPr>
          <w:lang w:val="fr-FR"/>
        </w:rPr>
        <w:t>.</w:t>
      </w:r>
    </w:p>
    <w:p w:rsidR="00947AF6" w:rsidRPr="007E4A0F" w:rsidRDefault="001B0808" w:rsidP="003C66DF">
      <w:pPr>
        <w:pStyle w:val="Style1"/>
      </w:pPr>
      <w:r w:rsidRPr="007E4A0F">
        <w:t>L</w:t>
      </w:r>
      <w:r w:rsidR="00B274E6" w:rsidRPr="007E4A0F">
        <w:t>’</w:t>
      </w:r>
      <w:r w:rsidRPr="007E4A0F">
        <w:t xml:space="preserve">OMPI a accepté la recommandation.  </w:t>
      </w:r>
      <w:r w:rsidR="0063221F" w:rsidRPr="007E4A0F">
        <w:t xml:space="preserve">Elle a indiqué que même si le système </w:t>
      </w:r>
      <w:r w:rsidR="00376774" w:rsidRPr="007E4A0F">
        <w:t xml:space="preserve">et les outils actuels de documentation répondaient aux besoins, </w:t>
      </w:r>
      <w:r w:rsidR="0063221F" w:rsidRPr="007E4A0F">
        <w:t>l</w:t>
      </w:r>
      <w:r w:rsidR="00B274E6" w:rsidRPr="007E4A0F">
        <w:t>’</w:t>
      </w:r>
      <w:r w:rsidR="0063221F" w:rsidRPr="007E4A0F">
        <w:t xml:space="preserve">Organisation </w:t>
      </w:r>
      <w:r w:rsidR="00376774" w:rsidRPr="007E4A0F">
        <w:t xml:space="preserve">gagnerait à disposer </w:t>
      </w:r>
      <w:r w:rsidR="007000B7" w:rsidRPr="007E4A0F">
        <w:t>d</w:t>
      </w:r>
      <w:r w:rsidR="00B274E6" w:rsidRPr="007E4A0F">
        <w:t>’</w:t>
      </w:r>
      <w:r w:rsidR="007000B7" w:rsidRPr="007E4A0F">
        <w:t>un système de gestion</w:t>
      </w:r>
      <w:r w:rsidR="0063221F" w:rsidRPr="007E4A0F">
        <w:t xml:space="preserve"> </w:t>
      </w:r>
      <w:r w:rsidR="007000B7" w:rsidRPr="007E4A0F">
        <w:t xml:space="preserve">de ses contenus.  </w:t>
      </w:r>
      <w:r w:rsidR="00E87023" w:rsidRPr="007E4A0F">
        <w:t>L</w:t>
      </w:r>
      <w:r w:rsidR="00B274E6" w:rsidRPr="007E4A0F">
        <w:t>’</w:t>
      </w:r>
      <w:r w:rsidR="00E87023" w:rsidRPr="007E4A0F">
        <w:t>initiative relative à ce système procédait actuellement au recensement de ses éléments les plus prioritaires, et l</w:t>
      </w:r>
      <w:r w:rsidR="00B274E6" w:rsidRPr="007E4A0F">
        <w:t>’</w:t>
      </w:r>
      <w:r w:rsidR="00E87023" w:rsidRPr="007E4A0F">
        <w:t xml:space="preserve">OMPI comptait profiter de cette occasion pour </w:t>
      </w:r>
      <w:r w:rsidR="00E34972" w:rsidRPr="007E4A0F">
        <w:t>vérifier si le portefeuille ERP pouvait être l</w:t>
      </w:r>
      <w:r w:rsidR="00B274E6" w:rsidRPr="007E4A0F">
        <w:t>’</w:t>
      </w:r>
      <w:r w:rsidR="00E34972" w:rsidRPr="007E4A0F">
        <w:t>un des premiers à adopter le système de gestion des contenus de l</w:t>
      </w:r>
      <w:r w:rsidR="00B274E6" w:rsidRPr="007E4A0F">
        <w:t>’</w:t>
      </w:r>
      <w:r w:rsidR="00E34972" w:rsidRPr="007E4A0F">
        <w:t>Organisation dont la mise en place est pr</w:t>
      </w:r>
      <w:r w:rsidR="00C36B02" w:rsidRPr="007E4A0F">
        <w:t>ojetée,</w:t>
      </w:r>
      <w:r w:rsidR="00E34972" w:rsidRPr="007E4A0F">
        <w:t xml:space="preserve"> et à bénéficier de ses avantages.</w:t>
      </w:r>
    </w:p>
    <w:p w:rsidR="00947AF6" w:rsidRPr="007E4A0F" w:rsidRDefault="0036536E" w:rsidP="003C66DF">
      <w:pPr>
        <w:pStyle w:val="Heading4"/>
        <w:rPr>
          <w:lang w:val="fr-FR"/>
        </w:rPr>
      </w:pPr>
      <w:r w:rsidRPr="007E4A0F">
        <w:rPr>
          <w:lang w:val="fr-FR"/>
        </w:rPr>
        <w:t>Établissement du coût des éléments</w:t>
      </w:r>
    </w:p>
    <w:p w:rsidR="00B274E6" w:rsidRPr="007E4A0F" w:rsidRDefault="00D13B32" w:rsidP="003C66DF">
      <w:pPr>
        <w:pStyle w:val="Style1"/>
      </w:pPr>
      <w:r w:rsidRPr="007E4A0F">
        <w:t>Le tableau suivant présente la répartition des coûts ainsi que le coût estimatif à l</w:t>
      </w:r>
      <w:r w:rsidR="00B274E6" w:rsidRPr="007E4A0F">
        <w:t>’</w:t>
      </w:r>
      <w:r w:rsidRPr="007E4A0F">
        <w:t>achèvement du projet</w:t>
      </w:r>
      <w:r w:rsidR="006C7CFD" w:rsidRPr="007E4A0F">
        <w:t> </w:t>
      </w:r>
      <w:r w:rsidRPr="007E4A0F">
        <w:t>:</w:t>
      </w:r>
    </w:p>
    <w:p w:rsidR="009212AC" w:rsidRDefault="009212AC">
      <w:pPr>
        <w:rPr>
          <w:lang w:val="fr-FR"/>
        </w:rPr>
      </w:pPr>
      <w:r>
        <w:rPr>
          <w:lang w:val="fr-FR"/>
        </w:rPr>
        <w:br w:type="page"/>
      </w:r>
    </w:p>
    <w:p w:rsidR="0012066D" w:rsidRPr="007E4A0F" w:rsidRDefault="0012066D" w:rsidP="0012066D">
      <w:pPr>
        <w:spacing w:line="360" w:lineRule="auto"/>
        <w:contextualSpacing/>
        <w:jc w:val="right"/>
        <w:rPr>
          <w:b/>
          <w:i/>
          <w:sz w:val="20"/>
          <w:lang w:val="fr-FR"/>
        </w:rPr>
      </w:pPr>
      <w:r w:rsidRPr="007E4A0F">
        <w:rPr>
          <w:b/>
          <w:i/>
          <w:sz w:val="20"/>
          <w:lang w:val="fr-FR"/>
        </w:rPr>
        <w:lastRenderedPageBreak/>
        <w:t>(</w:t>
      </w:r>
      <w:proofErr w:type="gramStart"/>
      <w:r w:rsidR="00D13B32" w:rsidRPr="007E4A0F">
        <w:rPr>
          <w:b/>
          <w:i/>
          <w:sz w:val="20"/>
          <w:lang w:val="fr-FR"/>
        </w:rPr>
        <w:t>en</w:t>
      </w:r>
      <w:proofErr w:type="gramEnd"/>
      <w:r w:rsidR="00D13B32" w:rsidRPr="007E4A0F">
        <w:rPr>
          <w:b/>
          <w:i/>
          <w:sz w:val="20"/>
          <w:lang w:val="fr-FR"/>
        </w:rPr>
        <w:t xml:space="preserve"> francs suisses</w:t>
      </w:r>
      <w:r w:rsidRPr="007E4A0F">
        <w:rPr>
          <w:b/>
          <w:i/>
          <w:sz w:val="20"/>
          <w:lang w:val="fr-FR"/>
        </w:rPr>
        <w:t>)</w:t>
      </w:r>
    </w:p>
    <w:tbl>
      <w:tblPr>
        <w:tblW w:w="4675" w:type="pct"/>
        <w:tblLayout w:type="fixed"/>
        <w:tblLook w:val="04A0" w:firstRow="1" w:lastRow="0" w:firstColumn="1" w:lastColumn="0" w:noHBand="0" w:noVBand="1"/>
      </w:tblPr>
      <w:tblGrid>
        <w:gridCol w:w="3558"/>
        <w:gridCol w:w="1473"/>
        <w:gridCol w:w="2044"/>
        <w:gridCol w:w="1874"/>
      </w:tblGrid>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36536E" w:rsidP="0036536E">
            <w:pPr>
              <w:spacing w:before="120"/>
              <w:contextualSpacing/>
              <w:rPr>
                <w:b/>
                <w:bCs/>
                <w:sz w:val="20"/>
                <w:lang w:val="fr-FR"/>
              </w:rPr>
            </w:pPr>
            <w:r w:rsidRPr="007E4A0F">
              <w:rPr>
                <w:b/>
                <w:bCs/>
                <w:sz w:val="20"/>
                <w:lang w:val="fr-FR"/>
              </w:rPr>
              <w:t>Élément</w:t>
            </w:r>
          </w:p>
        </w:tc>
        <w:tc>
          <w:tcPr>
            <w:tcW w:w="823" w:type="pct"/>
            <w:tcBorders>
              <w:top w:val="single" w:sz="4" w:space="0" w:color="auto"/>
              <w:left w:val="nil"/>
              <w:bottom w:val="single" w:sz="4" w:space="0" w:color="auto"/>
              <w:right w:val="single" w:sz="4" w:space="0" w:color="auto"/>
            </w:tcBorders>
            <w:shd w:val="clear" w:color="auto" w:fill="auto"/>
            <w:noWrap/>
            <w:vAlign w:val="bottom"/>
            <w:hideMark/>
          </w:tcPr>
          <w:p w:rsidR="0012066D" w:rsidRPr="007E4A0F" w:rsidRDefault="0036536E" w:rsidP="0012066D">
            <w:pPr>
              <w:spacing w:before="120"/>
              <w:contextualSpacing/>
              <w:jc w:val="center"/>
              <w:rPr>
                <w:b/>
                <w:bCs/>
                <w:sz w:val="20"/>
                <w:lang w:val="fr-FR"/>
              </w:rPr>
            </w:pPr>
            <w:r w:rsidRPr="007E4A0F">
              <w:rPr>
                <w:b/>
                <w:bCs/>
                <w:sz w:val="20"/>
                <w:lang w:val="fr-FR"/>
              </w:rPr>
              <w:t>Coût budgét</w:t>
            </w:r>
            <w:r w:rsidR="007C4E10" w:rsidRPr="007E4A0F">
              <w:rPr>
                <w:b/>
                <w:bCs/>
                <w:sz w:val="20"/>
                <w:lang w:val="fr-FR"/>
              </w:rPr>
              <w:t>aire</w:t>
            </w:r>
          </w:p>
        </w:tc>
        <w:tc>
          <w:tcPr>
            <w:tcW w:w="1142" w:type="pct"/>
            <w:tcBorders>
              <w:top w:val="single" w:sz="4" w:space="0" w:color="auto"/>
              <w:left w:val="nil"/>
              <w:bottom w:val="single" w:sz="4" w:space="0" w:color="auto"/>
              <w:right w:val="single" w:sz="4" w:space="0" w:color="auto"/>
            </w:tcBorders>
            <w:shd w:val="clear" w:color="auto" w:fill="auto"/>
            <w:noWrap/>
            <w:vAlign w:val="bottom"/>
            <w:hideMark/>
          </w:tcPr>
          <w:p w:rsidR="0012066D" w:rsidRPr="007E4A0F" w:rsidRDefault="0036536E" w:rsidP="00D13B32">
            <w:pPr>
              <w:spacing w:before="120"/>
              <w:contextualSpacing/>
              <w:jc w:val="center"/>
              <w:rPr>
                <w:b/>
                <w:bCs/>
                <w:sz w:val="20"/>
                <w:lang w:val="fr-FR"/>
              </w:rPr>
            </w:pPr>
            <w:r w:rsidRPr="007E4A0F">
              <w:rPr>
                <w:b/>
                <w:bCs/>
                <w:sz w:val="20"/>
                <w:lang w:val="fr-FR"/>
              </w:rPr>
              <w:t>Coût estim</w:t>
            </w:r>
            <w:r w:rsidR="00D13B32" w:rsidRPr="007E4A0F">
              <w:rPr>
                <w:b/>
                <w:bCs/>
                <w:sz w:val="20"/>
                <w:lang w:val="fr-FR"/>
              </w:rPr>
              <w:t>atif</w:t>
            </w:r>
            <w:r w:rsidRPr="007E4A0F">
              <w:rPr>
                <w:b/>
                <w:bCs/>
                <w:sz w:val="20"/>
                <w:lang w:val="fr-FR"/>
              </w:rPr>
              <w:t xml:space="preserve"> à l</w:t>
            </w:r>
            <w:r w:rsidR="00B274E6" w:rsidRPr="007E4A0F">
              <w:rPr>
                <w:b/>
                <w:bCs/>
                <w:sz w:val="20"/>
                <w:lang w:val="fr-FR"/>
              </w:rPr>
              <w:t>’</w:t>
            </w:r>
            <w:r w:rsidRPr="007E4A0F">
              <w:rPr>
                <w:b/>
                <w:bCs/>
                <w:sz w:val="20"/>
                <w:lang w:val="fr-FR"/>
              </w:rPr>
              <w:t>achèvement du projet</w:t>
            </w:r>
          </w:p>
        </w:tc>
        <w:tc>
          <w:tcPr>
            <w:tcW w:w="1047" w:type="pct"/>
            <w:tcBorders>
              <w:top w:val="single" w:sz="4" w:space="0" w:color="auto"/>
              <w:left w:val="nil"/>
              <w:bottom w:val="single" w:sz="4" w:space="0" w:color="auto"/>
              <w:right w:val="single" w:sz="4" w:space="0" w:color="auto"/>
            </w:tcBorders>
            <w:shd w:val="clear" w:color="auto" w:fill="auto"/>
            <w:noWrap/>
            <w:vAlign w:val="bottom"/>
            <w:hideMark/>
          </w:tcPr>
          <w:p w:rsidR="0012066D" w:rsidRPr="007E4A0F" w:rsidRDefault="0012066D" w:rsidP="0036536E">
            <w:pPr>
              <w:spacing w:before="120"/>
              <w:contextualSpacing/>
              <w:jc w:val="center"/>
              <w:rPr>
                <w:b/>
                <w:bCs/>
                <w:sz w:val="20"/>
                <w:lang w:val="fr-FR"/>
              </w:rPr>
            </w:pPr>
            <w:r w:rsidRPr="007E4A0F">
              <w:rPr>
                <w:b/>
                <w:bCs/>
                <w:sz w:val="20"/>
                <w:lang w:val="fr-FR"/>
              </w:rPr>
              <w:t xml:space="preserve">% </w:t>
            </w:r>
            <w:r w:rsidR="0036536E" w:rsidRPr="007E4A0F">
              <w:rPr>
                <w:b/>
                <w:bCs/>
                <w:sz w:val="20"/>
                <w:lang w:val="fr-FR"/>
              </w:rPr>
              <w:t>du coût budgét</w:t>
            </w:r>
            <w:r w:rsidR="007C4E10" w:rsidRPr="007E4A0F">
              <w:rPr>
                <w:b/>
                <w:bCs/>
                <w:sz w:val="20"/>
                <w:lang w:val="fr-FR"/>
              </w:rPr>
              <w:t>aire</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D13B32" w:rsidP="00D13B32">
            <w:pPr>
              <w:spacing w:before="120"/>
              <w:contextualSpacing/>
              <w:rPr>
                <w:sz w:val="20"/>
                <w:lang w:val="fr-FR"/>
              </w:rPr>
            </w:pPr>
            <w:r w:rsidRPr="007E4A0F">
              <w:rPr>
                <w:sz w:val="20"/>
                <w:lang w:val="fr-FR"/>
              </w:rPr>
              <w:t>Hébergement des applications</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w:t>
            </w:r>
            <w:r w:rsidR="00547025" w:rsidRPr="007E4A0F">
              <w:rPr>
                <w:sz w:val="20"/>
                <w:lang w:val="fr-FR"/>
              </w:rPr>
              <w:t> </w:t>
            </w:r>
            <w:r w:rsidRPr="007E4A0F">
              <w:rPr>
                <w:sz w:val="20"/>
                <w:lang w:val="fr-FR"/>
              </w:rPr>
              <w:t>383</w:t>
            </w:r>
            <w:r w:rsidR="00547025" w:rsidRPr="007E4A0F">
              <w:rPr>
                <w:sz w:val="20"/>
                <w:lang w:val="fr-FR"/>
              </w:rPr>
              <w:t> </w:t>
            </w:r>
            <w:r w:rsidRPr="007E4A0F">
              <w:rPr>
                <w:sz w:val="20"/>
                <w:lang w:val="fr-FR"/>
              </w:rPr>
              <w:t>360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674</w:t>
            </w:r>
            <w:r w:rsidR="00547025" w:rsidRPr="007E4A0F">
              <w:rPr>
                <w:sz w:val="20"/>
                <w:lang w:val="fr-FR"/>
              </w:rPr>
              <w:t> </w:t>
            </w:r>
            <w:r w:rsidRPr="007E4A0F">
              <w:rPr>
                <w:sz w:val="20"/>
                <w:lang w:val="fr-FR"/>
              </w:rPr>
              <w:t>911</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48</w:t>
            </w:r>
            <w:r w:rsidR="00547025" w:rsidRPr="007E4A0F">
              <w:rPr>
                <w:sz w:val="20"/>
                <w:lang w:val="fr-FR"/>
              </w:rPr>
              <w:t>,</w:t>
            </w:r>
            <w:r w:rsidRPr="007E4A0F">
              <w:rPr>
                <w:sz w:val="20"/>
                <w:lang w:val="fr-FR"/>
              </w:rPr>
              <w:t>79</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D13B32" w:rsidP="00D13B32">
            <w:pPr>
              <w:spacing w:before="120"/>
              <w:contextualSpacing/>
              <w:rPr>
                <w:sz w:val="20"/>
                <w:lang w:val="fr-FR"/>
              </w:rPr>
            </w:pPr>
            <w:r w:rsidRPr="007E4A0F">
              <w:rPr>
                <w:sz w:val="20"/>
                <w:lang w:val="fr-FR"/>
              </w:rPr>
              <w:t>Acquisition et maintenance des logiciels</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w:t>
            </w:r>
            <w:r w:rsidR="00547025" w:rsidRPr="007E4A0F">
              <w:rPr>
                <w:sz w:val="20"/>
                <w:lang w:val="fr-FR"/>
              </w:rPr>
              <w:t> </w:t>
            </w:r>
            <w:r w:rsidRPr="007E4A0F">
              <w:rPr>
                <w:sz w:val="20"/>
                <w:lang w:val="fr-FR"/>
              </w:rPr>
              <w:t>989</w:t>
            </w:r>
            <w:r w:rsidR="00547025" w:rsidRPr="007E4A0F">
              <w:rPr>
                <w:sz w:val="20"/>
                <w:lang w:val="fr-FR"/>
              </w:rPr>
              <w:t> </w:t>
            </w:r>
            <w:r w:rsidRPr="007E4A0F">
              <w:rPr>
                <w:sz w:val="20"/>
                <w:lang w:val="fr-FR"/>
              </w:rPr>
              <w:t>738</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w:t>
            </w:r>
            <w:r w:rsidR="00547025" w:rsidRPr="007E4A0F">
              <w:rPr>
                <w:sz w:val="20"/>
                <w:lang w:val="fr-FR"/>
              </w:rPr>
              <w:t> </w:t>
            </w:r>
            <w:r w:rsidRPr="007E4A0F">
              <w:rPr>
                <w:sz w:val="20"/>
                <w:lang w:val="fr-FR"/>
              </w:rPr>
              <w:t>095</w:t>
            </w:r>
            <w:r w:rsidR="00547025" w:rsidRPr="007E4A0F">
              <w:rPr>
                <w:sz w:val="20"/>
                <w:lang w:val="fr-FR"/>
              </w:rPr>
              <w:t> </w:t>
            </w:r>
            <w:r w:rsidRPr="007E4A0F">
              <w:rPr>
                <w:sz w:val="20"/>
                <w:lang w:val="fr-FR"/>
              </w:rPr>
              <w:t>862</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77</w:t>
            </w:r>
            <w:r w:rsidR="00547025" w:rsidRPr="007E4A0F">
              <w:rPr>
                <w:sz w:val="20"/>
                <w:lang w:val="fr-FR"/>
              </w:rPr>
              <w:t>,</w:t>
            </w:r>
            <w:r w:rsidRPr="007E4A0F">
              <w:rPr>
                <w:sz w:val="20"/>
                <w:lang w:val="fr-FR"/>
              </w:rPr>
              <w:t>60</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rPr>
                <w:sz w:val="20"/>
                <w:lang w:val="fr-FR"/>
              </w:rPr>
            </w:pPr>
            <w:r w:rsidRPr="007E4A0F">
              <w:rPr>
                <w:sz w:val="20"/>
                <w:lang w:val="fr-FR"/>
              </w:rPr>
              <w:t>Personnel</w:t>
            </w:r>
            <w:r w:rsidR="00D13B32" w:rsidRPr="007E4A0F">
              <w:rPr>
                <w:sz w:val="20"/>
                <w:lang w:val="fr-FR"/>
              </w:rPr>
              <w:t xml:space="preserve"> affecté au projet</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5</w:t>
            </w:r>
            <w:r w:rsidR="00547025" w:rsidRPr="007E4A0F">
              <w:rPr>
                <w:sz w:val="20"/>
                <w:lang w:val="fr-FR"/>
              </w:rPr>
              <w:t> </w:t>
            </w:r>
            <w:r w:rsidRPr="007E4A0F">
              <w:rPr>
                <w:sz w:val="20"/>
                <w:lang w:val="fr-FR"/>
              </w:rPr>
              <w:t>564</w:t>
            </w:r>
            <w:r w:rsidR="00547025" w:rsidRPr="007E4A0F">
              <w:rPr>
                <w:sz w:val="20"/>
                <w:lang w:val="fr-FR"/>
              </w:rPr>
              <w:t> </w:t>
            </w:r>
            <w:r w:rsidRPr="007E4A0F">
              <w:rPr>
                <w:sz w:val="20"/>
                <w:lang w:val="fr-FR"/>
              </w:rPr>
              <w:t>680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8</w:t>
            </w:r>
            <w:r w:rsidR="00547025" w:rsidRPr="007E4A0F">
              <w:rPr>
                <w:sz w:val="20"/>
                <w:lang w:val="fr-FR"/>
              </w:rPr>
              <w:t> </w:t>
            </w:r>
            <w:r w:rsidRPr="007E4A0F">
              <w:rPr>
                <w:sz w:val="20"/>
                <w:lang w:val="fr-FR"/>
              </w:rPr>
              <w:t>772</w:t>
            </w:r>
            <w:r w:rsidR="00547025" w:rsidRPr="007E4A0F">
              <w:rPr>
                <w:sz w:val="20"/>
                <w:lang w:val="fr-FR"/>
              </w:rPr>
              <w:t> </w:t>
            </w:r>
            <w:r w:rsidRPr="007E4A0F">
              <w:rPr>
                <w:sz w:val="20"/>
                <w:lang w:val="fr-FR"/>
              </w:rPr>
              <w:t>279</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157</w:t>
            </w:r>
            <w:r w:rsidR="00547025" w:rsidRPr="007E4A0F">
              <w:rPr>
                <w:sz w:val="20"/>
                <w:lang w:val="fr-FR"/>
              </w:rPr>
              <w:t>,</w:t>
            </w:r>
            <w:r w:rsidRPr="007E4A0F">
              <w:rPr>
                <w:sz w:val="20"/>
                <w:lang w:val="fr-FR"/>
              </w:rPr>
              <w:t>64</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A233BE" w:rsidP="00E74024">
            <w:pPr>
              <w:spacing w:before="120"/>
              <w:contextualSpacing/>
              <w:rPr>
                <w:sz w:val="20"/>
                <w:lang w:val="fr-FR"/>
              </w:rPr>
            </w:pPr>
            <w:r w:rsidRPr="007E4A0F">
              <w:rPr>
                <w:sz w:val="20"/>
                <w:lang w:val="fr-FR"/>
              </w:rPr>
              <w:t>Ressources a</w:t>
            </w:r>
            <w:r w:rsidR="00E74024" w:rsidRPr="007E4A0F">
              <w:rPr>
                <w:sz w:val="20"/>
                <w:lang w:val="fr-FR"/>
              </w:rPr>
              <w:t>ffect</w:t>
            </w:r>
            <w:r w:rsidRPr="007E4A0F">
              <w:rPr>
                <w:sz w:val="20"/>
                <w:lang w:val="fr-FR"/>
              </w:rPr>
              <w:t>ées au remplacement de</w:t>
            </w:r>
            <w:r w:rsidR="00E74024" w:rsidRPr="007E4A0F">
              <w:rPr>
                <w:sz w:val="20"/>
                <w:lang w:val="fr-FR"/>
              </w:rPr>
              <w:t xml:space="preserve"> personnel</w:t>
            </w:r>
            <w:r w:rsidR="00446074" w:rsidRPr="007E4A0F">
              <w:rPr>
                <w:sz w:val="20"/>
                <w:lang w:val="fr-FR"/>
              </w:rPr>
              <w:t xml:space="preserve"> détaché</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2</w:t>
            </w:r>
            <w:r w:rsidR="00547025" w:rsidRPr="007E4A0F">
              <w:rPr>
                <w:sz w:val="20"/>
                <w:lang w:val="fr-FR"/>
              </w:rPr>
              <w:t> </w:t>
            </w:r>
            <w:r w:rsidRPr="007E4A0F">
              <w:rPr>
                <w:sz w:val="20"/>
                <w:lang w:val="fr-FR"/>
              </w:rPr>
              <w:t>703</w:t>
            </w:r>
            <w:r w:rsidR="00547025" w:rsidRPr="007E4A0F">
              <w:rPr>
                <w:sz w:val="20"/>
                <w:lang w:val="fr-FR"/>
              </w:rPr>
              <w:t> </w:t>
            </w:r>
            <w:r w:rsidRPr="007E4A0F">
              <w:rPr>
                <w:sz w:val="20"/>
                <w:lang w:val="fr-FR"/>
              </w:rPr>
              <w:t>800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w:t>
            </w:r>
            <w:r w:rsidR="00547025" w:rsidRPr="007E4A0F">
              <w:rPr>
                <w:sz w:val="20"/>
                <w:lang w:val="fr-FR"/>
              </w:rPr>
              <w:t> </w:t>
            </w:r>
            <w:r w:rsidRPr="007E4A0F">
              <w:rPr>
                <w:sz w:val="20"/>
                <w:lang w:val="fr-FR"/>
              </w:rPr>
              <w:t>912</w:t>
            </w:r>
            <w:r w:rsidR="00547025" w:rsidRPr="007E4A0F">
              <w:rPr>
                <w:sz w:val="20"/>
                <w:lang w:val="fr-FR"/>
              </w:rPr>
              <w:t> </w:t>
            </w:r>
            <w:r w:rsidRPr="007E4A0F">
              <w:rPr>
                <w:sz w:val="20"/>
                <w:lang w:val="fr-FR"/>
              </w:rPr>
              <w:t>510</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70</w:t>
            </w:r>
            <w:r w:rsidR="00547025" w:rsidRPr="007E4A0F">
              <w:rPr>
                <w:sz w:val="20"/>
                <w:lang w:val="fr-FR"/>
              </w:rPr>
              <w:t>,</w:t>
            </w:r>
            <w:r w:rsidRPr="007E4A0F">
              <w:rPr>
                <w:sz w:val="20"/>
                <w:lang w:val="fr-FR"/>
              </w:rPr>
              <w:t>73</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A233BE" w:rsidP="00A233BE">
            <w:pPr>
              <w:spacing w:before="120"/>
              <w:contextualSpacing/>
              <w:rPr>
                <w:sz w:val="20"/>
                <w:lang w:val="fr-FR"/>
              </w:rPr>
            </w:pPr>
            <w:r w:rsidRPr="007E4A0F">
              <w:rPr>
                <w:sz w:val="20"/>
                <w:lang w:val="fr-FR"/>
              </w:rPr>
              <w:t>Partenaire d</w:t>
            </w:r>
            <w:r w:rsidR="00B274E6" w:rsidRPr="007E4A0F">
              <w:rPr>
                <w:sz w:val="20"/>
                <w:lang w:val="fr-FR"/>
              </w:rPr>
              <w:t>’</w:t>
            </w:r>
            <w:r w:rsidRPr="007E4A0F">
              <w:rPr>
                <w:sz w:val="20"/>
                <w:lang w:val="fr-FR"/>
              </w:rPr>
              <w:t>exécution externe</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9</w:t>
            </w:r>
            <w:r w:rsidR="00547025" w:rsidRPr="007E4A0F">
              <w:rPr>
                <w:sz w:val="20"/>
                <w:lang w:val="fr-FR"/>
              </w:rPr>
              <w:t> </w:t>
            </w:r>
            <w:r w:rsidRPr="007E4A0F">
              <w:rPr>
                <w:sz w:val="20"/>
                <w:lang w:val="fr-FR"/>
              </w:rPr>
              <w:t>896</w:t>
            </w:r>
            <w:r w:rsidR="00547025" w:rsidRPr="007E4A0F">
              <w:rPr>
                <w:sz w:val="20"/>
                <w:lang w:val="fr-FR"/>
              </w:rPr>
              <w:t> </w:t>
            </w:r>
            <w:r w:rsidRPr="007E4A0F">
              <w:rPr>
                <w:sz w:val="20"/>
                <w:lang w:val="fr-FR"/>
              </w:rPr>
              <w:t>109</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10</w:t>
            </w:r>
            <w:r w:rsidR="00547025" w:rsidRPr="007E4A0F">
              <w:rPr>
                <w:sz w:val="20"/>
                <w:lang w:val="fr-FR"/>
              </w:rPr>
              <w:t> </w:t>
            </w:r>
            <w:r w:rsidRPr="007E4A0F">
              <w:rPr>
                <w:sz w:val="20"/>
                <w:lang w:val="fr-FR"/>
              </w:rPr>
              <w:t>199</w:t>
            </w:r>
            <w:r w:rsidR="00547025" w:rsidRPr="007E4A0F">
              <w:rPr>
                <w:sz w:val="20"/>
                <w:lang w:val="fr-FR"/>
              </w:rPr>
              <w:t> </w:t>
            </w:r>
            <w:r w:rsidRPr="007E4A0F">
              <w:rPr>
                <w:sz w:val="20"/>
                <w:lang w:val="fr-FR"/>
              </w:rPr>
              <w:t>546</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103</w:t>
            </w:r>
            <w:r w:rsidR="00547025" w:rsidRPr="007E4A0F">
              <w:rPr>
                <w:sz w:val="20"/>
                <w:lang w:val="fr-FR"/>
              </w:rPr>
              <w:t>,</w:t>
            </w:r>
            <w:r w:rsidRPr="007E4A0F">
              <w:rPr>
                <w:sz w:val="20"/>
                <w:lang w:val="fr-FR"/>
              </w:rPr>
              <w:t>07</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A233BE" w:rsidP="00547025">
            <w:pPr>
              <w:spacing w:before="120"/>
              <w:contextualSpacing/>
              <w:rPr>
                <w:sz w:val="20"/>
                <w:lang w:val="fr-FR"/>
              </w:rPr>
            </w:pPr>
            <w:r w:rsidRPr="007E4A0F">
              <w:rPr>
                <w:sz w:val="20"/>
                <w:lang w:val="fr-FR"/>
              </w:rPr>
              <w:t>Formation</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w:t>
            </w:r>
            <w:r w:rsidR="00547025" w:rsidRPr="007E4A0F">
              <w:rPr>
                <w:sz w:val="20"/>
                <w:lang w:val="fr-FR"/>
              </w:rPr>
              <w:t> </w:t>
            </w:r>
            <w:r w:rsidRPr="007E4A0F">
              <w:rPr>
                <w:sz w:val="20"/>
                <w:lang w:val="fr-FR"/>
              </w:rPr>
              <w:t>253</w:t>
            </w:r>
            <w:r w:rsidR="00547025" w:rsidRPr="007E4A0F">
              <w:rPr>
                <w:sz w:val="20"/>
                <w:lang w:val="fr-FR"/>
              </w:rPr>
              <w:t> </w:t>
            </w:r>
            <w:r w:rsidRPr="007E4A0F">
              <w:rPr>
                <w:sz w:val="20"/>
                <w:lang w:val="fr-FR"/>
              </w:rPr>
              <w:t>780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474</w:t>
            </w:r>
            <w:r w:rsidR="00547025" w:rsidRPr="007E4A0F">
              <w:rPr>
                <w:sz w:val="20"/>
                <w:lang w:val="fr-FR"/>
              </w:rPr>
              <w:t> </w:t>
            </w:r>
            <w:r w:rsidRPr="007E4A0F">
              <w:rPr>
                <w:sz w:val="20"/>
                <w:lang w:val="fr-FR"/>
              </w:rPr>
              <w:t>673</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37</w:t>
            </w:r>
            <w:r w:rsidR="00547025" w:rsidRPr="007E4A0F">
              <w:rPr>
                <w:sz w:val="20"/>
                <w:lang w:val="fr-FR"/>
              </w:rPr>
              <w:t>,</w:t>
            </w:r>
            <w:r w:rsidRPr="007E4A0F">
              <w:rPr>
                <w:sz w:val="20"/>
                <w:lang w:val="fr-FR"/>
              </w:rPr>
              <w:t>86</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12066D" w:rsidP="00A233BE">
            <w:pPr>
              <w:spacing w:before="120"/>
              <w:contextualSpacing/>
              <w:rPr>
                <w:sz w:val="20"/>
                <w:lang w:val="fr-FR"/>
              </w:rPr>
            </w:pPr>
            <w:r w:rsidRPr="007E4A0F">
              <w:rPr>
                <w:sz w:val="20"/>
                <w:lang w:val="fr-FR"/>
              </w:rPr>
              <w:t>Communications</w:t>
            </w:r>
            <w:r w:rsidR="00A233BE" w:rsidRPr="007E4A0F">
              <w:rPr>
                <w:sz w:val="20"/>
                <w:lang w:val="fr-FR"/>
              </w:rPr>
              <w:t xml:space="preserve"> et autres</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550</w:t>
            </w:r>
            <w:r w:rsidR="00547025" w:rsidRPr="007E4A0F">
              <w:rPr>
                <w:sz w:val="20"/>
                <w:lang w:val="fr-FR"/>
              </w:rPr>
              <w:t> </w:t>
            </w:r>
            <w:r w:rsidRPr="007E4A0F">
              <w:rPr>
                <w:sz w:val="20"/>
                <w:lang w:val="fr-FR"/>
              </w:rPr>
              <w:t>000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208</w:t>
            </w:r>
            <w:r w:rsidR="00547025" w:rsidRPr="007E4A0F">
              <w:rPr>
                <w:sz w:val="20"/>
                <w:lang w:val="fr-FR"/>
              </w:rPr>
              <w:t> </w:t>
            </w:r>
            <w:r w:rsidRPr="007E4A0F">
              <w:rPr>
                <w:sz w:val="20"/>
                <w:lang w:val="fr-FR"/>
              </w:rPr>
              <w:t>916</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37</w:t>
            </w:r>
            <w:r w:rsidR="00547025" w:rsidRPr="007E4A0F">
              <w:rPr>
                <w:sz w:val="20"/>
                <w:lang w:val="fr-FR"/>
              </w:rPr>
              <w:t>,</w:t>
            </w:r>
            <w:r w:rsidRPr="007E4A0F">
              <w:rPr>
                <w:sz w:val="20"/>
                <w:lang w:val="fr-FR"/>
              </w:rPr>
              <w:t>98</w:t>
            </w:r>
          </w:p>
        </w:tc>
      </w:tr>
      <w:tr w:rsidR="0012066D"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rPr>
                <w:b/>
                <w:bCs/>
                <w:sz w:val="20"/>
                <w:lang w:val="fr-FR"/>
              </w:rPr>
            </w:pPr>
            <w:r w:rsidRPr="007E4A0F">
              <w:rPr>
                <w:b/>
                <w:bCs/>
                <w:sz w:val="20"/>
                <w:lang w:val="fr-FR"/>
              </w:rPr>
              <w:t>Total</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b/>
                <w:sz w:val="20"/>
                <w:lang w:val="fr-FR"/>
              </w:rPr>
            </w:pPr>
            <w:r w:rsidRPr="007E4A0F">
              <w:rPr>
                <w:b/>
                <w:sz w:val="20"/>
                <w:lang w:val="fr-FR"/>
              </w:rPr>
              <w:t>25</w:t>
            </w:r>
            <w:r w:rsidR="00547025" w:rsidRPr="007E4A0F">
              <w:rPr>
                <w:b/>
                <w:sz w:val="20"/>
                <w:lang w:val="fr-FR"/>
              </w:rPr>
              <w:t> </w:t>
            </w:r>
            <w:r w:rsidRPr="007E4A0F">
              <w:rPr>
                <w:b/>
                <w:sz w:val="20"/>
                <w:lang w:val="fr-FR"/>
              </w:rPr>
              <w:t>341</w:t>
            </w:r>
            <w:r w:rsidR="00547025" w:rsidRPr="007E4A0F">
              <w:rPr>
                <w:b/>
                <w:sz w:val="20"/>
                <w:lang w:val="fr-FR"/>
              </w:rPr>
              <w:t> </w:t>
            </w:r>
            <w:r w:rsidRPr="007E4A0F">
              <w:rPr>
                <w:b/>
                <w:sz w:val="20"/>
                <w:lang w:val="fr-FR"/>
              </w:rPr>
              <w:t>467</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b/>
                <w:sz w:val="20"/>
                <w:lang w:val="fr-FR"/>
              </w:rPr>
            </w:pPr>
            <w:r w:rsidRPr="007E4A0F">
              <w:rPr>
                <w:b/>
                <w:sz w:val="20"/>
                <w:lang w:val="fr-FR"/>
              </w:rPr>
              <w:t>25</w:t>
            </w:r>
            <w:r w:rsidR="00547025" w:rsidRPr="007E4A0F">
              <w:rPr>
                <w:b/>
                <w:sz w:val="20"/>
                <w:lang w:val="fr-FR"/>
              </w:rPr>
              <w:t> </w:t>
            </w:r>
            <w:r w:rsidRPr="007E4A0F">
              <w:rPr>
                <w:b/>
                <w:sz w:val="20"/>
                <w:lang w:val="fr-FR"/>
              </w:rPr>
              <w:t>338</w:t>
            </w:r>
            <w:r w:rsidR="00547025" w:rsidRPr="007E4A0F">
              <w:rPr>
                <w:b/>
                <w:sz w:val="20"/>
                <w:lang w:val="fr-FR"/>
              </w:rPr>
              <w:t> </w:t>
            </w:r>
            <w:r w:rsidRPr="007E4A0F">
              <w:rPr>
                <w:b/>
                <w:sz w:val="20"/>
                <w:lang w:val="fr-FR"/>
              </w:rPr>
              <w:t>698</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b/>
                <w:sz w:val="20"/>
                <w:lang w:val="fr-FR"/>
              </w:rPr>
            </w:pPr>
            <w:r w:rsidRPr="007E4A0F">
              <w:rPr>
                <w:b/>
                <w:sz w:val="20"/>
                <w:lang w:val="fr-FR"/>
              </w:rPr>
              <w:t>99</w:t>
            </w:r>
            <w:r w:rsidR="00547025" w:rsidRPr="007E4A0F">
              <w:rPr>
                <w:b/>
                <w:sz w:val="20"/>
                <w:lang w:val="fr-FR"/>
              </w:rPr>
              <w:t>,</w:t>
            </w:r>
            <w:r w:rsidRPr="007E4A0F">
              <w:rPr>
                <w:b/>
                <w:sz w:val="20"/>
                <w:lang w:val="fr-FR"/>
              </w:rPr>
              <w:t>99</w:t>
            </w:r>
          </w:p>
        </w:tc>
      </w:tr>
    </w:tbl>
    <w:p w:rsidR="00947AF6" w:rsidRPr="007E4A0F" w:rsidRDefault="00947AF6" w:rsidP="00E26B4E">
      <w:pPr>
        <w:rPr>
          <w:lang w:val="fr-FR"/>
        </w:rPr>
      </w:pPr>
    </w:p>
    <w:p w:rsidR="00947AF6" w:rsidRPr="007E4A0F" w:rsidRDefault="00287DBA" w:rsidP="00E26B4E">
      <w:pPr>
        <w:pStyle w:val="Style1"/>
      </w:pPr>
      <w:r w:rsidRPr="007E4A0F">
        <w:t>Bien qu</w:t>
      </w:r>
      <w:r w:rsidR="00B274E6" w:rsidRPr="007E4A0F">
        <w:t>’</w:t>
      </w:r>
      <w:r w:rsidRPr="007E4A0F">
        <w:t>aya</w:t>
      </w:r>
      <w:r w:rsidR="005004DE" w:rsidRPr="007E4A0F">
        <w:t>nt approuvé le projet ERP, les États membres ont fait part de leur préoccupation concernant le coût total d</w:t>
      </w:r>
      <w:r w:rsidR="000B140A" w:rsidRPr="007E4A0F">
        <w:t>e ce</w:t>
      </w:r>
      <w:r w:rsidR="005004DE" w:rsidRPr="007E4A0F">
        <w:t xml:space="preserve"> projet.  Ils ont demandé que les rapports établi</w:t>
      </w:r>
      <w:r w:rsidRPr="007E4A0F">
        <w:t xml:space="preserve">s par </w:t>
      </w:r>
      <w:r w:rsidR="005004DE" w:rsidRPr="007E4A0F">
        <w:t>l</w:t>
      </w:r>
      <w:r w:rsidR="00B274E6" w:rsidRPr="007E4A0F">
        <w:t>’</w:t>
      </w:r>
      <w:r w:rsidR="005004DE" w:rsidRPr="007E4A0F">
        <w:t xml:space="preserve">OMPI décrivent </w:t>
      </w:r>
      <w:r w:rsidRPr="007E4A0F">
        <w:t xml:space="preserve">désormais </w:t>
      </w:r>
      <w:r w:rsidR="005004DE" w:rsidRPr="007E4A0F">
        <w:t xml:space="preserve">les mesures spécifiques prises pour contenir les coûts du projet.  Un aspect du coût total </w:t>
      </w:r>
      <w:r w:rsidR="003D201C" w:rsidRPr="007E4A0F">
        <w:t>sur lequel les États membres ont porté plus particulièrement leur attention était celui des sommes qui seraient consacrées au personnel affecté au projet, aux ressources affectées au remplacement de personnel détaché et au partenaire d</w:t>
      </w:r>
      <w:r w:rsidR="00B274E6" w:rsidRPr="007E4A0F">
        <w:t>’</w:t>
      </w:r>
      <w:r w:rsidR="003D201C" w:rsidRPr="007E4A0F">
        <w:t>exécution externe.</w:t>
      </w:r>
    </w:p>
    <w:p w:rsidR="00B274E6" w:rsidRPr="007E4A0F" w:rsidRDefault="00F36D21" w:rsidP="00E26B4E">
      <w:pPr>
        <w:pStyle w:val="Style1"/>
      </w:pPr>
      <w:r w:rsidRPr="007E4A0F">
        <w:t>Nous avons observé ce qui suit</w:t>
      </w:r>
      <w:r w:rsidR="006C7CFD" w:rsidRPr="007E4A0F">
        <w:t> </w:t>
      </w:r>
      <w:r w:rsidRPr="007E4A0F">
        <w:t>:</w:t>
      </w:r>
    </w:p>
    <w:p w:rsidR="00947AF6" w:rsidRPr="007E4A0F" w:rsidRDefault="001330E2" w:rsidP="001330E2">
      <w:pPr>
        <w:pStyle w:val="Style1"/>
        <w:numPr>
          <w:ilvl w:val="1"/>
          <w:numId w:val="14"/>
        </w:numPr>
      </w:pPr>
      <w:r w:rsidRPr="007E4A0F">
        <w:t>l</w:t>
      </w:r>
      <w:r w:rsidR="00A83D8C" w:rsidRPr="007E4A0F">
        <w:t xml:space="preserve">a part des sommes consacrées </w:t>
      </w:r>
      <w:r w:rsidRPr="007E4A0F">
        <w:t>au personnel affecté au projet, aux ressources affectées au remplacement de personnel détaché et à un partenaire d</w:t>
      </w:r>
      <w:r w:rsidR="00B274E6" w:rsidRPr="007E4A0F">
        <w:t>’</w:t>
      </w:r>
      <w:r w:rsidRPr="007E4A0F">
        <w:t>exécution externe serait de 82,42% contre une estimation initiale de 71,68%.  Ces estimations étaient fondées sur l</w:t>
      </w:r>
      <w:r w:rsidR="00B274E6" w:rsidRPr="007E4A0F">
        <w:t>’</w:t>
      </w:r>
      <w:r w:rsidRPr="007E4A0F">
        <w:t>hypothèse que tous les projets seraient achevés</w:t>
      </w:r>
      <w:r w:rsidR="008419E9" w:rsidRPr="007E4A0F">
        <w:t xml:space="preserve"> pou</w:t>
      </w:r>
      <w:r w:rsidR="00C24961" w:rsidRPr="007E4A0F">
        <w:t>r le deuxième trimestre de</w:t>
      </w:r>
      <w:r w:rsidR="006C7CFD" w:rsidRPr="007E4A0F">
        <w:t> </w:t>
      </w:r>
      <w:r w:rsidR="00C24961" w:rsidRPr="007E4A0F">
        <w:t>2016;</w:t>
      </w:r>
    </w:p>
    <w:p w:rsidR="00947AF6" w:rsidRPr="007E4A0F" w:rsidRDefault="00C24961" w:rsidP="00E26B4E">
      <w:pPr>
        <w:pStyle w:val="Style1"/>
        <w:numPr>
          <w:ilvl w:val="0"/>
          <w:numId w:val="0"/>
        </w:numPr>
        <w:ind w:left="567"/>
      </w:pPr>
      <w:r w:rsidRPr="007E4A0F">
        <w:t>selon l</w:t>
      </w:r>
      <w:r w:rsidR="00B274E6" w:rsidRPr="007E4A0F">
        <w:t>’</w:t>
      </w:r>
      <w:r w:rsidRPr="007E4A0F">
        <w:t>OMPI, s</w:t>
      </w:r>
      <w:r w:rsidR="00B274E6" w:rsidRPr="007E4A0F">
        <w:t>’</w:t>
      </w:r>
      <w:r w:rsidRPr="007E4A0F">
        <w:t>il n</w:t>
      </w:r>
      <w:r w:rsidR="00B274E6" w:rsidRPr="007E4A0F">
        <w:t>’</w:t>
      </w:r>
      <w:r w:rsidRPr="007E4A0F">
        <w:t>était pas prévu de dépassement en ce qui concerne l</w:t>
      </w:r>
      <w:r w:rsidR="00B274E6" w:rsidRPr="007E4A0F">
        <w:t>’</w:t>
      </w:r>
      <w:r w:rsidRPr="007E4A0F">
        <w:t>estimation relative au partenaire d</w:t>
      </w:r>
      <w:r w:rsidR="00B274E6" w:rsidRPr="007E4A0F">
        <w:t>’</w:t>
      </w:r>
      <w:r w:rsidRPr="007E4A0F">
        <w:t>exécution externe, il était probable que</w:t>
      </w:r>
      <w:r w:rsidR="00740C27" w:rsidRPr="007E4A0F">
        <w:t xml:space="preserve"> le coût du personnel affecté au projet soit supérieur aux estimations initiales, en raison</w:t>
      </w:r>
      <w:r w:rsidR="009F1CF4" w:rsidRPr="007E4A0F">
        <w:t xml:space="preserve"> de l</w:t>
      </w:r>
      <w:r w:rsidR="00B274E6" w:rsidRPr="007E4A0F">
        <w:t>’</w:t>
      </w:r>
      <w:r w:rsidR="009F1CF4" w:rsidRPr="007E4A0F">
        <w:t>utilisation accrue de ressources internes pour des activités telles que la formation et la communication, comme cela avait été indiqué précédemment aux États membres dans le rapport de</w:t>
      </w:r>
      <w:r w:rsidR="006C7CFD" w:rsidRPr="007E4A0F">
        <w:t> </w:t>
      </w:r>
      <w:r w:rsidR="009F1CF4" w:rsidRPr="007E4A0F">
        <w:t>2014 sur l</w:t>
      </w:r>
      <w:r w:rsidR="00B274E6" w:rsidRPr="007E4A0F">
        <w:t>’</w:t>
      </w:r>
      <w:r w:rsidR="009F1CF4" w:rsidRPr="007E4A0F">
        <w:t>état d</w:t>
      </w:r>
      <w:r w:rsidR="00B274E6" w:rsidRPr="007E4A0F">
        <w:t>’</w:t>
      </w:r>
      <w:r w:rsidR="009F1CF4" w:rsidRPr="007E4A0F">
        <w:t xml:space="preserve">avancement du projet ERP.  </w:t>
      </w:r>
      <w:r w:rsidR="00AB6876" w:rsidRPr="007E4A0F">
        <w:t>L</w:t>
      </w:r>
      <w:r w:rsidR="00B274E6" w:rsidRPr="007E4A0F">
        <w:t>’</w:t>
      </w:r>
      <w:r w:rsidR="00AB6876" w:rsidRPr="007E4A0F">
        <w:t>Organisation a ajouté que les coûts de personnel (tant interne et externe) étaient en augmentation constante, tandis que le coût des technologies telles que matériels et logiciels, autrefois élevés, étaient maintenant</w:t>
      </w:r>
      <w:r w:rsidR="005F6DB3" w:rsidRPr="007E4A0F">
        <w:t xml:space="preserve"> beaucoup plus faibles</w:t>
      </w:r>
      <w:r w:rsidR="00F803CD" w:rsidRPr="007E4A0F">
        <w:t xml:space="preserve">.  </w:t>
      </w:r>
      <w:r w:rsidR="005F6DB3" w:rsidRPr="007E4A0F">
        <w:t>Par conséquent, la proportion du coût total consacrée au personnel dans un projet de mise en œuvre était aujourd</w:t>
      </w:r>
      <w:r w:rsidR="00B274E6" w:rsidRPr="007E4A0F">
        <w:t>’</w:t>
      </w:r>
      <w:r w:rsidR="005F6DB3" w:rsidRPr="007E4A0F">
        <w:t>hui nettement plus élevée que par le passé;</w:t>
      </w:r>
    </w:p>
    <w:p w:rsidR="00947AF6" w:rsidRPr="007E4A0F" w:rsidRDefault="00C36FB4" w:rsidP="00DC3997">
      <w:pPr>
        <w:pStyle w:val="Style1"/>
        <w:numPr>
          <w:ilvl w:val="1"/>
          <w:numId w:val="14"/>
        </w:numPr>
      </w:pPr>
      <w:r w:rsidRPr="007E4A0F">
        <w:t>des économies étaient à prévoir</w:t>
      </w:r>
      <w:r w:rsidR="001313FC" w:rsidRPr="007E4A0F">
        <w:t>, dans le projet de système ERP en cours,</w:t>
      </w:r>
      <w:r w:rsidRPr="007E4A0F">
        <w:t xml:space="preserve"> en ce qui concerne les postes </w:t>
      </w:r>
      <w:r w:rsidR="00524088" w:rsidRPr="007E4A0F">
        <w:t>“</w:t>
      </w:r>
      <w:r w:rsidRPr="007E4A0F">
        <w:t>Formation</w:t>
      </w:r>
      <w:r w:rsidR="00524088" w:rsidRPr="007E4A0F">
        <w:t>”</w:t>
      </w:r>
      <w:r w:rsidR="001313FC" w:rsidRPr="007E4A0F">
        <w:t xml:space="preserve"> (62,14%)</w:t>
      </w:r>
      <w:r w:rsidRPr="007E4A0F">
        <w:t xml:space="preserve"> et </w:t>
      </w:r>
      <w:r w:rsidR="00524088" w:rsidRPr="007E4A0F">
        <w:t>“</w:t>
      </w:r>
      <w:r w:rsidR="001313FC" w:rsidRPr="007E4A0F">
        <w:t>Communication et autres</w:t>
      </w:r>
      <w:r w:rsidR="00524088" w:rsidRPr="007E4A0F">
        <w:t>”</w:t>
      </w:r>
      <w:r w:rsidR="001313FC" w:rsidRPr="007E4A0F">
        <w:t xml:space="preserve"> (62,02%).  </w:t>
      </w:r>
      <w:r w:rsidR="00312208" w:rsidRPr="007E4A0F">
        <w:lastRenderedPageBreak/>
        <w:t>L</w:t>
      </w:r>
      <w:r w:rsidR="00B274E6" w:rsidRPr="007E4A0F">
        <w:t>’</w:t>
      </w:r>
      <w:r w:rsidR="00312208" w:rsidRPr="007E4A0F">
        <w:t xml:space="preserve">OMPI avait justement réalisé aussi des économies sur les postes </w:t>
      </w:r>
      <w:r w:rsidR="00524088" w:rsidRPr="007E4A0F">
        <w:t>“</w:t>
      </w:r>
      <w:r w:rsidR="00312208" w:rsidRPr="007E4A0F">
        <w:t>Formation</w:t>
      </w:r>
      <w:r w:rsidR="00524088" w:rsidRPr="007E4A0F">
        <w:t>”</w:t>
      </w:r>
      <w:r w:rsidR="00312208" w:rsidRPr="007E4A0F">
        <w:t xml:space="preserve"> (75,5%) et </w:t>
      </w:r>
      <w:r w:rsidR="00524088" w:rsidRPr="007E4A0F">
        <w:t>“</w:t>
      </w:r>
      <w:r w:rsidR="00312208" w:rsidRPr="007E4A0F">
        <w:t>Communication et autres</w:t>
      </w:r>
      <w:r w:rsidR="00524088" w:rsidRPr="007E4A0F">
        <w:t>”</w:t>
      </w:r>
      <w:r w:rsidR="00312208" w:rsidRPr="007E4A0F">
        <w:t xml:space="preserve"> (60,9%) dans un projet antérieur, </w:t>
      </w:r>
      <w:r w:rsidR="00B274E6" w:rsidRPr="007E4A0F">
        <w:t>à savoir</w:t>
      </w:r>
      <w:r w:rsidR="00312208" w:rsidRPr="007E4A0F">
        <w:t xml:space="preserve"> la mise en œuvre de modules informatiques pour assurer la conformité avec le projet FRR</w:t>
      </w:r>
      <w:r w:rsidR="00CB1BDA" w:rsidRPr="007E4A0F">
        <w:noBreakHyphen/>
      </w:r>
      <w:r w:rsidR="00312208" w:rsidRPr="007E4A0F">
        <w:t xml:space="preserve">IPSAS.  </w:t>
      </w:r>
      <w:r w:rsidR="00535D25" w:rsidRPr="007E4A0F">
        <w:t>Cela signifiait</w:t>
      </w:r>
      <w:r w:rsidR="003625BF" w:rsidRPr="007E4A0F">
        <w:t xml:space="preserve"> qu</w:t>
      </w:r>
      <w:r w:rsidR="00B274E6" w:rsidRPr="007E4A0F">
        <w:t>’</w:t>
      </w:r>
      <w:r w:rsidR="003625BF" w:rsidRPr="007E4A0F">
        <w:t xml:space="preserve">un examen de </w:t>
      </w:r>
      <w:r w:rsidR="00535D25" w:rsidRPr="007E4A0F">
        <w:t>la méthode utilisée pour calculer le coût de chaque élément</w:t>
      </w:r>
      <w:r w:rsidR="003625BF" w:rsidRPr="007E4A0F">
        <w:t xml:space="preserve"> était nécessaire;</w:t>
      </w:r>
    </w:p>
    <w:p w:rsidR="00947AF6" w:rsidRPr="007E4A0F" w:rsidRDefault="00630632" w:rsidP="00E26B4E">
      <w:pPr>
        <w:pStyle w:val="Style1"/>
        <w:numPr>
          <w:ilvl w:val="0"/>
          <w:numId w:val="0"/>
        </w:numPr>
        <w:ind w:left="567"/>
      </w:pPr>
      <w:proofErr w:type="gramStart"/>
      <w:r w:rsidRPr="007E4A0F">
        <w:t>l</w:t>
      </w:r>
      <w:r w:rsidR="00B274E6" w:rsidRPr="007E4A0F">
        <w:t>’</w:t>
      </w:r>
      <w:r w:rsidRPr="007E4A0F">
        <w:t>OMPI</w:t>
      </w:r>
      <w:proofErr w:type="gramEnd"/>
      <w:r w:rsidRPr="007E4A0F">
        <w:t xml:space="preserve"> a </w:t>
      </w:r>
      <w:r w:rsidR="007344F9" w:rsidRPr="007E4A0F">
        <w:t>dit avoir étudié les montants budgétaires du projet FRR</w:t>
      </w:r>
      <w:r w:rsidR="00CB1BDA" w:rsidRPr="007E4A0F">
        <w:noBreakHyphen/>
      </w:r>
      <w:r w:rsidR="007344F9" w:rsidRPr="007E4A0F">
        <w:t xml:space="preserve">IPSAS et les montants réels </w:t>
      </w:r>
      <w:r w:rsidR="000F1BD8" w:rsidRPr="007E4A0F">
        <w:t>a</w:t>
      </w:r>
      <w:r w:rsidR="007344F9" w:rsidRPr="007E4A0F">
        <w:t xml:space="preserve">fin de comprendre ces </w:t>
      </w:r>
      <w:r w:rsidR="00524088" w:rsidRPr="007E4A0F">
        <w:t>“</w:t>
      </w:r>
      <w:r w:rsidR="007344F9" w:rsidRPr="007E4A0F">
        <w:t>économies</w:t>
      </w:r>
      <w:r w:rsidR="00524088" w:rsidRPr="007E4A0F">
        <w:t>”</w:t>
      </w:r>
      <w:r w:rsidR="000D5F28" w:rsidRPr="007E4A0F">
        <w:t>,</w:t>
      </w:r>
      <w:r w:rsidR="000F1BD8" w:rsidRPr="007E4A0F">
        <w:t xml:space="preserve"> et </w:t>
      </w:r>
      <w:r w:rsidR="0062421F" w:rsidRPr="007E4A0F">
        <w:t>tent</w:t>
      </w:r>
      <w:r w:rsidR="000D5F28" w:rsidRPr="007E4A0F">
        <w:t>é</w:t>
      </w:r>
      <w:r w:rsidR="0062421F" w:rsidRPr="007E4A0F">
        <w:t xml:space="preserve"> de les appliquer aux estimations </w:t>
      </w:r>
      <w:r w:rsidR="00CB5608" w:rsidRPr="007E4A0F">
        <w:t>budgétaires</w:t>
      </w:r>
      <w:r w:rsidR="0062421F" w:rsidRPr="007E4A0F">
        <w:t xml:space="preserve"> du portefeuille ERP en </w:t>
      </w:r>
      <w:r w:rsidR="007A7288" w:rsidRPr="007E4A0F">
        <w:t>prenant soin de ne pas</w:t>
      </w:r>
      <w:r w:rsidR="0062421F" w:rsidRPr="007E4A0F">
        <w:t xml:space="preserve"> </w:t>
      </w:r>
      <w:r w:rsidR="000D5F28" w:rsidRPr="007E4A0F">
        <w:t>poser en principe</w:t>
      </w:r>
      <w:r w:rsidR="0062421F" w:rsidRPr="007E4A0F">
        <w:t xml:space="preserve"> qu</w:t>
      </w:r>
      <w:r w:rsidR="00B274E6" w:rsidRPr="007E4A0F">
        <w:t>’</w:t>
      </w:r>
      <w:r w:rsidR="000D5F28" w:rsidRPr="007E4A0F">
        <w:t>elles</w:t>
      </w:r>
      <w:r w:rsidR="0062421F" w:rsidRPr="007E4A0F">
        <w:t xml:space="preserve"> </w:t>
      </w:r>
      <w:r w:rsidR="00F8008A" w:rsidRPr="007E4A0F">
        <w:t xml:space="preserve">se </w:t>
      </w:r>
      <w:r w:rsidR="0062421F" w:rsidRPr="007E4A0F">
        <w:t>r</w:t>
      </w:r>
      <w:r w:rsidR="00CF45DD" w:rsidRPr="007E4A0F">
        <w:t>épliquer</w:t>
      </w:r>
      <w:r w:rsidR="0062421F" w:rsidRPr="007E4A0F">
        <w:t>aient</w:t>
      </w:r>
      <w:r w:rsidR="00F8008A" w:rsidRPr="007E4A0F">
        <w:t xml:space="preserve"> </w:t>
      </w:r>
      <w:r w:rsidR="000D5F28" w:rsidRPr="007E4A0F">
        <w:t>nécessair</w:t>
      </w:r>
      <w:r w:rsidR="00F8008A" w:rsidRPr="007E4A0F">
        <w:t xml:space="preserve">ement.  </w:t>
      </w:r>
      <w:r w:rsidR="004346EB" w:rsidRPr="007E4A0F">
        <w:t xml:space="preserve">Les hypothèses </w:t>
      </w:r>
      <w:r w:rsidR="00CF45DD" w:rsidRPr="007E4A0F">
        <w:t>initi</w:t>
      </w:r>
      <w:r w:rsidR="004346EB" w:rsidRPr="007E4A0F">
        <w:t>ales relatives à la planification de la formation</w:t>
      </w:r>
      <w:r w:rsidR="00983234" w:rsidRPr="007E4A0F">
        <w:t xml:space="preserve"> avaient supposé une certaine combinaison d</w:t>
      </w:r>
      <w:r w:rsidR="00B274E6" w:rsidRPr="007E4A0F">
        <w:t>’</w:t>
      </w:r>
      <w:r w:rsidR="00983234" w:rsidRPr="007E4A0F">
        <w:t>événements de formation sur site et hors site, et l</w:t>
      </w:r>
      <w:r w:rsidR="00B274E6" w:rsidRPr="007E4A0F">
        <w:t>’</w:t>
      </w:r>
      <w:r w:rsidR="00983234" w:rsidRPr="007E4A0F">
        <w:t>OMPI s</w:t>
      </w:r>
      <w:r w:rsidR="00B274E6" w:rsidRPr="007E4A0F">
        <w:t>’</w:t>
      </w:r>
      <w:r w:rsidR="00983234" w:rsidRPr="007E4A0F">
        <w:t>efforçait de faire d</w:t>
      </w:r>
      <w:r w:rsidR="000F52B7" w:rsidRPr="007E4A0F">
        <w:t>ispense</w:t>
      </w:r>
      <w:r w:rsidR="00983234" w:rsidRPr="007E4A0F">
        <w:t>r la majorité de ces formations par des ressources internes.</w:t>
      </w:r>
      <w:r w:rsidR="000F52B7" w:rsidRPr="007E4A0F">
        <w:t xml:space="preserve">  Les coûts de ces formations internes n</w:t>
      </w:r>
      <w:r w:rsidR="00B274E6" w:rsidRPr="007E4A0F">
        <w:t>’</w:t>
      </w:r>
      <w:r w:rsidR="000F52B7" w:rsidRPr="007E4A0F">
        <w:t>avaient pas été</w:t>
      </w:r>
      <w:r w:rsidR="002032BF" w:rsidRPr="007E4A0F">
        <w:t xml:space="preserve"> pris en compte dans le </w:t>
      </w:r>
      <w:r w:rsidR="000F52B7" w:rsidRPr="007E4A0F">
        <w:t>budget de formation, car</w:t>
      </w:r>
      <w:r w:rsidR="002032BF" w:rsidRPr="007E4A0F">
        <w:t xml:space="preserve"> les frais relatifs au personnel chargé de les dispenser avaient été inscrits au poste </w:t>
      </w:r>
      <w:r w:rsidR="00524088" w:rsidRPr="007E4A0F">
        <w:t>“</w:t>
      </w:r>
      <w:r w:rsidR="003952DD" w:rsidRPr="007E4A0F">
        <w:t>P</w:t>
      </w:r>
      <w:r w:rsidR="002032BF" w:rsidRPr="007E4A0F">
        <w:t>ersonnel affecté au projet</w:t>
      </w:r>
      <w:r w:rsidR="00524088" w:rsidRPr="007E4A0F">
        <w:t>”</w:t>
      </w:r>
      <w:r w:rsidR="002032BF" w:rsidRPr="007E4A0F">
        <w:t xml:space="preserve">, </w:t>
      </w:r>
      <w:r w:rsidR="00446C0E" w:rsidRPr="007E4A0F">
        <w:t>conformément aux pratiques comptables habituelles de l</w:t>
      </w:r>
      <w:r w:rsidR="00B274E6" w:rsidRPr="007E4A0F">
        <w:t>’</w:t>
      </w:r>
      <w:r w:rsidR="00446C0E" w:rsidRPr="007E4A0F">
        <w:t xml:space="preserve">OMPI.  </w:t>
      </w:r>
      <w:r w:rsidR="008041EA" w:rsidRPr="007E4A0F">
        <w:t>L</w:t>
      </w:r>
      <w:r w:rsidR="00B274E6" w:rsidRPr="007E4A0F">
        <w:t>’</w:t>
      </w:r>
      <w:r w:rsidR="008041EA" w:rsidRPr="007E4A0F">
        <w:t xml:space="preserve">Organisation a ajouté que la méthode de calcul des coûts </w:t>
      </w:r>
      <w:r w:rsidR="00AC0864" w:rsidRPr="007E4A0F">
        <w:t>s</w:t>
      </w:r>
      <w:r w:rsidR="00B274E6" w:rsidRPr="007E4A0F">
        <w:t>’</w:t>
      </w:r>
      <w:r w:rsidR="00AC0864" w:rsidRPr="007E4A0F">
        <w:t>était avérée fiable et avait été utilisée pour déterminer les sommes nécessaires</w:t>
      </w:r>
      <w:r w:rsidR="008905B9" w:rsidRPr="007E4A0F">
        <w:t xml:space="preserve"> à l</w:t>
      </w:r>
      <w:r w:rsidR="00B274E6" w:rsidRPr="007E4A0F">
        <w:t>’</w:t>
      </w:r>
      <w:r w:rsidR="008905B9" w:rsidRPr="007E4A0F">
        <w:t>exécution d</w:t>
      </w:r>
      <w:r w:rsidR="00843FD4" w:rsidRPr="007E4A0F">
        <w:t>es</w:t>
      </w:r>
      <w:r w:rsidR="008905B9" w:rsidRPr="007E4A0F">
        <w:t xml:space="preserve"> projet</w:t>
      </w:r>
      <w:r w:rsidR="00843FD4" w:rsidRPr="007E4A0F">
        <w:t>s</w:t>
      </w:r>
      <w:r w:rsidR="008905B9" w:rsidRPr="007E4A0F">
        <w:t>, et non la manière dont s</w:t>
      </w:r>
      <w:r w:rsidR="00B274E6" w:rsidRPr="007E4A0F">
        <w:t>’</w:t>
      </w:r>
      <w:r w:rsidR="008905B9" w:rsidRPr="007E4A0F">
        <w:t xml:space="preserve">effectuerait la prestation proprement dite des services.  </w:t>
      </w:r>
      <w:r w:rsidR="00843FD4" w:rsidRPr="007E4A0F">
        <w:t>L</w:t>
      </w:r>
      <w:r w:rsidR="00B274E6" w:rsidRPr="007E4A0F">
        <w:t>’</w:t>
      </w:r>
      <w:r w:rsidR="00843FD4" w:rsidRPr="007E4A0F">
        <w:t>OMPI avait procédé à la fin de chaque projet à un inventaire des enseignements tirés.</w:t>
      </w:r>
    </w:p>
    <w:p w:rsidR="00B274E6" w:rsidRPr="007E4A0F" w:rsidRDefault="00896C79" w:rsidP="00E26B4E">
      <w:pPr>
        <w:pStyle w:val="Style1"/>
      </w:pPr>
      <w:r w:rsidRPr="007E4A0F">
        <w:t>Nous nous félicitons des efforts de l</w:t>
      </w:r>
      <w:r w:rsidR="00B274E6" w:rsidRPr="007E4A0F">
        <w:t>’</w:t>
      </w:r>
      <w:r w:rsidRPr="007E4A0F">
        <w:t xml:space="preserve">OMPI pour contrôler les coûts de formation.  Toutefois, compte tenu des dépassements de coûts prévus </w:t>
      </w:r>
      <w:r w:rsidR="00C224A2" w:rsidRPr="007E4A0F">
        <w:t>en ce qui concerne le personnel affecté au projet et le partenaire d</w:t>
      </w:r>
      <w:r w:rsidR="00B274E6" w:rsidRPr="007E4A0F">
        <w:t>’</w:t>
      </w:r>
      <w:r w:rsidR="00C224A2" w:rsidRPr="007E4A0F">
        <w:t xml:space="preserve">exécution externe et des économies à prévoir en ce qui concerne les postes </w:t>
      </w:r>
      <w:r w:rsidR="00524088" w:rsidRPr="007E4A0F">
        <w:t>“</w:t>
      </w:r>
      <w:r w:rsidR="003952DD" w:rsidRPr="007E4A0F">
        <w:t>Formation</w:t>
      </w:r>
      <w:r w:rsidR="00524088" w:rsidRPr="007E4A0F">
        <w:t>”</w:t>
      </w:r>
      <w:r w:rsidR="003952DD" w:rsidRPr="007E4A0F">
        <w:t xml:space="preserve"> et </w:t>
      </w:r>
      <w:r w:rsidR="00524088" w:rsidRPr="007E4A0F">
        <w:t>“</w:t>
      </w:r>
      <w:r w:rsidR="003952DD" w:rsidRPr="007E4A0F">
        <w:t>Communication et autres</w:t>
      </w:r>
      <w:r w:rsidR="00524088" w:rsidRPr="007E4A0F">
        <w:t>”</w:t>
      </w:r>
      <w:r w:rsidR="0012066D" w:rsidRPr="007E4A0F">
        <w:t xml:space="preserve">, </w:t>
      </w:r>
      <w:r w:rsidR="00C224A2" w:rsidRPr="007E4A0F">
        <w:t>nous estimons que la méthode de calcul des coûts a besoin d</w:t>
      </w:r>
      <w:r w:rsidR="00B274E6" w:rsidRPr="007E4A0F">
        <w:t>’</w:t>
      </w:r>
      <w:r w:rsidR="00C224A2" w:rsidRPr="007E4A0F">
        <w:t>être revue.</w:t>
      </w:r>
    </w:p>
    <w:p w:rsidR="00947AF6" w:rsidRPr="007E4A0F" w:rsidRDefault="000A6F80" w:rsidP="00A537E0">
      <w:pPr>
        <w:pStyle w:val="Heading4"/>
        <w:rPr>
          <w:lang w:val="fr-FR"/>
        </w:rPr>
      </w:pPr>
      <w:r w:rsidRPr="007E4A0F">
        <w:rPr>
          <w:lang w:val="fr-FR"/>
        </w:rPr>
        <w:t>Recommandation n° 7</w:t>
      </w:r>
    </w:p>
    <w:p w:rsidR="00947AF6" w:rsidRPr="007E4A0F" w:rsidRDefault="00D95240" w:rsidP="00E26B4E">
      <w:pPr>
        <w:pStyle w:val="Heading4"/>
        <w:rPr>
          <w:lang w:val="fr-FR"/>
        </w:rPr>
      </w:pPr>
      <w:r w:rsidRPr="007E4A0F">
        <w:rPr>
          <w:lang w:val="fr-FR"/>
        </w:rPr>
        <w:t>L</w:t>
      </w:r>
      <w:r w:rsidR="00B274E6" w:rsidRPr="007E4A0F">
        <w:rPr>
          <w:lang w:val="fr-FR"/>
        </w:rPr>
        <w:t>’</w:t>
      </w:r>
      <w:r w:rsidRPr="007E4A0F">
        <w:rPr>
          <w:lang w:val="fr-FR"/>
        </w:rPr>
        <w:t>OMPI pourrait prendre des mesures pour renforcer encore sa méthode de calcul des coûts,</w:t>
      </w:r>
      <w:r w:rsidR="00F67948" w:rsidRPr="007E4A0F">
        <w:rPr>
          <w:lang w:val="fr-FR"/>
        </w:rPr>
        <w:t xml:space="preserve"> de manière à éviter</w:t>
      </w:r>
      <w:r w:rsidR="00C76B53" w:rsidRPr="007E4A0F">
        <w:rPr>
          <w:lang w:val="fr-FR"/>
        </w:rPr>
        <w:t xml:space="preserve"> que</w:t>
      </w:r>
      <w:r w:rsidR="007C4E10" w:rsidRPr="007E4A0F">
        <w:rPr>
          <w:lang w:val="fr-FR"/>
        </w:rPr>
        <w:t xml:space="preserve"> le coût budgétaire</w:t>
      </w:r>
      <w:r w:rsidR="00C76B53" w:rsidRPr="007E4A0F">
        <w:rPr>
          <w:lang w:val="fr-FR"/>
        </w:rPr>
        <w:t xml:space="preserve"> et le coût réel des différents éléments du portefeuille ne présentent des écarts importants.</w:t>
      </w:r>
    </w:p>
    <w:p w:rsidR="00947AF6" w:rsidRPr="007E4A0F" w:rsidRDefault="007F6EC4" w:rsidP="00E26B4E">
      <w:pPr>
        <w:pStyle w:val="Style1"/>
      </w:pPr>
      <w:r w:rsidRPr="007E4A0F">
        <w:t>L</w:t>
      </w:r>
      <w:r w:rsidR="00B274E6" w:rsidRPr="007E4A0F">
        <w:t>’</w:t>
      </w:r>
      <w:r w:rsidRPr="007E4A0F">
        <w:t>OMPI a indiqué qu</w:t>
      </w:r>
      <w:r w:rsidR="00B274E6" w:rsidRPr="007E4A0F">
        <w:t>’</w:t>
      </w:r>
      <w:r w:rsidRPr="007E4A0F">
        <w:t>elle présenterait aux États membres, dans le rapport de</w:t>
      </w:r>
      <w:r w:rsidR="006C7CFD" w:rsidRPr="007E4A0F">
        <w:t> </w:t>
      </w:r>
      <w:r w:rsidRPr="007E4A0F">
        <w:t>2015 sur l</w:t>
      </w:r>
      <w:r w:rsidR="00B274E6" w:rsidRPr="007E4A0F">
        <w:t>’</w:t>
      </w:r>
      <w:r w:rsidRPr="007E4A0F">
        <w:t>état d</w:t>
      </w:r>
      <w:r w:rsidR="00B274E6" w:rsidRPr="007E4A0F">
        <w:t>’</w:t>
      </w:r>
      <w:r w:rsidRPr="007E4A0F">
        <w:t>avancement du système ERP, un budget révisé pour le portefeuille, par série de projets</w:t>
      </w:r>
      <w:r w:rsidR="006F3093" w:rsidRPr="007E4A0F">
        <w:t xml:space="preserve"> et catégorie de dépenses. </w:t>
      </w:r>
      <w:r w:rsidR="00AE709D" w:rsidRPr="007E4A0F">
        <w:t xml:space="preserve"> Tout en reconnaissant</w:t>
      </w:r>
      <w:r w:rsidR="00D96A84" w:rsidRPr="007E4A0F">
        <w:t xml:space="preserve"> que l</w:t>
      </w:r>
      <w:r w:rsidR="00B274E6" w:rsidRPr="007E4A0F">
        <w:t>’</w:t>
      </w:r>
      <w:r w:rsidR="00D96A84" w:rsidRPr="007E4A0F">
        <w:t>analyse des écarts importants était une nécessité</w:t>
      </w:r>
      <w:r w:rsidR="00AE709D" w:rsidRPr="007E4A0F">
        <w:t>,</w:t>
      </w:r>
      <w:r w:rsidR="00163131" w:rsidRPr="007E4A0F">
        <w:t xml:space="preserve"> l</w:t>
      </w:r>
      <w:r w:rsidR="00B274E6" w:rsidRPr="007E4A0F">
        <w:t>’</w:t>
      </w:r>
      <w:r w:rsidR="00163131" w:rsidRPr="007E4A0F">
        <w:t>OMPI a fait valoir</w:t>
      </w:r>
      <w:r w:rsidR="007C4E10" w:rsidRPr="007E4A0F">
        <w:t xml:space="preserve"> qu</w:t>
      </w:r>
      <w:r w:rsidR="00B274E6" w:rsidRPr="007E4A0F">
        <w:t>’</w:t>
      </w:r>
      <w:r w:rsidR="007C4E10" w:rsidRPr="007E4A0F">
        <w:t>il existerait toujours des</w:t>
      </w:r>
      <w:r w:rsidR="00D96A84" w:rsidRPr="007E4A0F">
        <w:t xml:space="preserve"> différences </w:t>
      </w:r>
      <w:r w:rsidR="007C4E10" w:rsidRPr="007E4A0F">
        <w:t>entre les coûts</w:t>
      </w:r>
      <w:r w:rsidR="007D6636" w:rsidRPr="007E4A0F">
        <w:t xml:space="preserve"> prévus et les coûts réels, en particulier</w:t>
      </w:r>
      <w:r w:rsidR="00D96A84" w:rsidRPr="007E4A0F">
        <w:t xml:space="preserve"> dans le cas de projets étalés sur plusieurs années comme le projet ERP, que</w:t>
      </w:r>
      <w:r w:rsidR="00D352F7" w:rsidRPr="007E4A0F">
        <w:t xml:space="preserve"> ce dernier ne présentait à l</w:t>
      </w:r>
      <w:r w:rsidR="00B274E6" w:rsidRPr="007E4A0F">
        <w:t>’</w:t>
      </w:r>
      <w:r w:rsidR="00D352F7" w:rsidRPr="007E4A0F">
        <w:t>heure actuelle aucun écart important de ce type et que l</w:t>
      </w:r>
      <w:r w:rsidR="00B274E6" w:rsidRPr="007E4A0F">
        <w:t>’</w:t>
      </w:r>
      <w:r w:rsidR="00D352F7" w:rsidRPr="007E4A0F">
        <w:t>Organisation mettait tout en œuvre pour les éviter le plus possible.</w:t>
      </w:r>
    </w:p>
    <w:p w:rsidR="00947AF6" w:rsidRPr="007E4A0F" w:rsidRDefault="00EC7A5A" w:rsidP="00E26B4E">
      <w:pPr>
        <w:pStyle w:val="Heading4"/>
        <w:rPr>
          <w:lang w:val="fr-FR"/>
        </w:rPr>
      </w:pPr>
      <w:r w:rsidRPr="007E4A0F">
        <w:rPr>
          <w:lang w:val="fr-FR"/>
        </w:rPr>
        <w:lastRenderedPageBreak/>
        <w:t>Structure de gouvernance</w:t>
      </w:r>
      <w:r w:rsidR="001119D0" w:rsidRPr="007E4A0F">
        <w:rPr>
          <w:lang w:val="fr-FR"/>
        </w:rPr>
        <w:t xml:space="preserve"> complète</w:t>
      </w:r>
    </w:p>
    <w:p w:rsidR="00947AF6" w:rsidRPr="007E4A0F" w:rsidRDefault="00D352F7" w:rsidP="00E26B4E">
      <w:pPr>
        <w:pStyle w:val="Style1"/>
      </w:pPr>
      <w:r w:rsidRPr="007E4A0F">
        <w:t>Dans le rapport sur l</w:t>
      </w:r>
      <w:r w:rsidR="00B274E6" w:rsidRPr="007E4A0F">
        <w:t>’</w:t>
      </w:r>
      <w:r w:rsidRPr="007E4A0F">
        <w:t>état d</w:t>
      </w:r>
      <w:r w:rsidR="00B274E6" w:rsidRPr="007E4A0F">
        <w:t>’</w:t>
      </w:r>
      <w:r w:rsidRPr="007E4A0F">
        <w:t xml:space="preserve">avancement de la mise en œuvre </w:t>
      </w:r>
      <w:r w:rsidR="00630AB1" w:rsidRPr="007E4A0F">
        <w:t xml:space="preserve">du système ERP </w:t>
      </w:r>
      <w:r w:rsidR="0012066D" w:rsidRPr="007E4A0F">
        <w:t xml:space="preserve">(WO/PBC/18/12), </w:t>
      </w:r>
      <w:r w:rsidR="00630AB1" w:rsidRPr="007E4A0F">
        <w:t>l</w:t>
      </w:r>
      <w:r w:rsidR="00B274E6" w:rsidRPr="007E4A0F">
        <w:t>’</w:t>
      </w:r>
      <w:r w:rsidR="00630AB1" w:rsidRPr="007E4A0F">
        <w:t>OMPI a indiqué que l</w:t>
      </w:r>
      <w:r w:rsidR="00B274E6" w:rsidRPr="007E4A0F">
        <w:t>’</w:t>
      </w:r>
      <w:r w:rsidR="00630AB1" w:rsidRPr="007E4A0F">
        <w:t>approche relative à cette mise en œuvre engloberait l</w:t>
      </w:r>
      <w:r w:rsidR="00B274E6" w:rsidRPr="007E4A0F">
        <w:t>’</w:t>
      </w:r>
      <w:r w:rsidR="00630AB1" w:rsidRPr="007E4A0F">
        <w:t>examen attentif des principaux risques et leur limitation grâce à une administration rigoureuse du portefeuille et à l</w:t>
      </w:r>
      <w:r w:rsidR="00B274E6" w:rsidRPr="007E4A0F">
        <w:t>’</w:t>
      </w:r>
      <w:r w:rsidR="00630AB1" w:rsidRPr="007E4A0F">
        <w:t xml:space="preserve">adoption de pratiques recommandées.  La </w:t>
      </w:r>
      <w:r w:rsidR="00FE62C7" w:rsidRPr="007E4A0F">
        <w:t>méthode</w:t>
      </w:r>
      <w:r w:rsidR="00630AB1" w:rsidRPr="007E4A0F">
        <w:t xml:space="preserve"> PRINCE2</w:t>
      </w:r>
      <w:r w:rsidR="00D97A43" w:rsidRPr="007E4A0F">
        <w:t>, utilisée par l</w:t>
      </w:r>
      <w:r w:rsidR="00B274E6" w:rsidRPr="007E4A0F">
        <w:t>’</w:t>
      </w:r>
      <w:r w:rsidR="00D97A43" w:rsidRPr="007E4A0F">
        <w:t>OMPI pour la gestion de ce projet, met également l</w:t>
      </w:r>
      <w:r w:rsidR="00B274E6" w:rsidRPr="007E4A0F">
        <w:t>’</w:t>
      </w:r>
      <w:r w:rsidR="00D97A43" w:rsidRPr="007E4A0F">
        <w:t>accent sur l</w:t>
      </w:r>
      <w:r w:rsidR="00B274E6" w:rsidRPr="007E4A0F">
        <w:t>’</w:t>
      </w:r>
      <w:r w:rsidR="00D97A43" w:rsidRPr="007E4A0F">
        <w:t>établissement et le maintien</w:t>
      </w:r>
      <w:r w:rsidR="009D14A1" w:rsidRPr="007E4A0F">
        <w:t xml:space="preserve"> d</w:t>
      </w:r>
      <w:r w:rsidR="00B274E6" w:rsidRPr="007E4A0F">
        <w:t>’</w:t>
      </w:r>
      <w:r w:rsidR="009D14A1" w:rsidRPr="007E4A0F">
        <w:t>un outil commun de planification et de contrôle.</w:t>
      </w:r>
    </w:p>
    <w:p w:rsidR="00B274E6" w:rsidRPr="007E4A0F" w:rsidRDefault="00F36D21" w:rsidP="00E26B4E">
      <w:pPr>
        <w:pStyle w:val="Style1"/>
      </w:pPr>
      <w:r w:rsidRPr="007E4A0F">
        <w:t>Nous avons observé ce qui suit</w:t>
      </w:r>
      <w:r w:rsidR="006C7CFD" w:rsidRPr="007E4A0F">
        <w:t> </w:t>
      </w:r>
      <w:r w:rsidRPr="007E4A0F">
        <w:t>:</w:t>
      </w:r>
    </w:p>
    <w:p w:rsidR="00947AF6" w:rsidRPr="007E4A0F" w:rsidRDefault="00B04B9A" w:rsidP="00DC3997">
      <w:pPr>
        <w:pStyle w:val="Style1"/>
        <w:numPr>
          <w:ilvl w:val="0"/>
          <w:numId w:val="12"/>
        </w:numPr>
        <w:ind w:left="1134" w:hanging="567"/>
      </w:pPr>
      <w:r w:rsidRPr="007E4A0F">
        <w:t>l</w:t>
      </w:r>
      <w:r w:rsidR="00B274E6" w:rsidRPr="007E4A0F">
        <w:t>’</w:t>
      </w:r>
      <w:r w:rsidRPr="007E4A0F">
        <w:t xml:space="preserve">OMPI a entrepris une stratégie de mise en œuvre commune en </w:t>
      </w:r>
      <w:r w:rsidR="00B274E6" w:rsidRPr="007E4A0F">
        <w:t>janvier 20</w:t>
      </w:r>
      <w:r w:rsidRPr="007E4A0F">
        <w:t>14;</w:t>
      </w:r>
    </w:p>
    <w:p w:rsidR="00947AF6" w:rsidRPr="007E4A0F" w:rsidRDefault="00B04B9A" w:rsidP="00DC3997">
      <w:pPr>
        <w:pStyle w:val="Style1"/>
        <w:numPr>
          <w:ilvl w:val="0"/>
          <w:numId w:val="12"/>
        </w:numPr>
        <w:ind w:left="1134" w:hanging="567"/>
      </w:pPr>
      <w:r w:rsidRPr="007E4A0F">
        <w:t xml:space="preserve">la première réunion du comité chargé de la mise en œuvre du portefeuille </w:t>
      </w:r>
      <w:r w:rsidR="0012066D" w:rsidRPr="007E4A0F">
        <w:t xml:space="preserve">AIMS </w:t>
      </w:r>
      <w:r w:rsidRPr="007E4A0F">
        <w:t xml:space="preserve">a eu lieu en </w:t>
      </w:r>
      <w:r w:rsidR="00B274E6" w:rsidRPr="007E4A0F">
        <w:t>mars 20</w:t>
      </w:r>
      <w:r w:rsidRPr="007E4A0F">
        <w:t xml:space="preserve">14 et celle du comité directeur système AIMS, </w:t>
      </w:r>
      <w:r w:rsidR="004372F8" w:rsidRPr="007E4A0F">
        <w:t xml:space="preserve">en </w:t>
      </w:r>
      <w:r w:rsidR="00B274E6" w:rsidRPr="007E4A0F">
        <w:t>juin 20</w:t>
      </w:r>
      <w:r w:rsidR="004372F8" w:rsidRPr="007E4A0F">
        <w:t>14;</w:t>
      </w:r>
    </w:p>
    <w:p w:rsidR="00947AF6" w:rsidRPr="007E4A0F" w:rsidRDefault="008B1056" w:rsidP="00DC3997">
      <w:pPr>
        <w:pStyle w:val="Style1"/>
        <w:numPr>
          <w:ilvl w:val="0"/>
          <w:numId w:val="12"/>
        </w:numPr>
        <w:ind w:left="1134" w:hanging="567"/>
      </w:pPr>
      <w:r w:rsidRPr="007E4A0F">
        <w:t>une stratégie officielle de gestion du changement a été mise en œuvre à partir d</w:t>
      </w:r>
      <w:r w:rsidR="00B274E6" w:rsidRPr="007E4A0F">
        <w:t>’octobre 20</w:t>
      </w:r>
      <w:r w:rsidRPr="007E4A0F">
        <w:t>14 aux fins de la gestion des changements du projet.</w:t>
      </w:r>
    </w:p>
    <w:p w:rsidR="00947AF6" w:rsidRPr="007E4A0F" w:rsidRDefault="00561290" w:rsidP="00E26B4E">
      <w:pPr>
        <w:pStyle w:val="Style1"/>
      </w:pPr>
      <w:r w:rsidRPr="007E4A0F">
        <w:t xml:space="preserve">Nous avons constaté en outre en consultant les documents </w:t>
      </w:r>
      <w:r w:rsidR="00A42669" w:rsidRPr="007E4A0F">
        <w:t>relatifs au</w:t>
      </w:r>
      <w:r w:rsidRPr="007E4A0F">
        <w:t xml:space="preserve"> lancement de</w:t>
      </w:r>
      <w:r w:rsidR="00A42669" w:rsidRPr="007E4A0F">
        <w:t>s</w:t>
      </w:r>
      <w:r w:rsidRPr="007E4A0F">
        <w:t xml:space="preserve"> projets</w:t>
      </w:r>
      <w:r w:rsidR="00A42669" w:rsidRPr="007E4A0F">
        <w:t xml:space="preserve"> que les méthodes de planification, d</w:t>
      </w:r>
      <w:r w:rsidR="00B274E6" w:rsidRPr="007E4A0F">
        <w:t>’</w:t>
      </w:r>
      <w:r w:rsidR="00A42669" w:rsidRPr="007E4A0F">
        <w:t>assurance de la qualité et de gestion de projet n</w:t>
      </w:r>
      <w:r w:rsidR="00B274E6" w:rsidRPr="007E4A0F">
        <w:t>’</w:t>
      </w:r>
      <w:r w:rsidR="00A42669" w:rsidRPr="007E4A0F">
        <w:t xml:space="preserve">étaient pas les mêmes pour tous les projets, </w:t>
      </w:r>
      <w:r w:rsidR="00B274E6" w:rsidRPr="007E4A0F">
        <w:t>y compris</w:t>
      </w:r>
      <w:r w:rsidR="0037284B" w:rsidRPr="007E4A0F">
        <w:t>, dans le détail, en matière de stratégie de gestion de la qualité, de stratégie de gestion de</w:t>
      </w:r>
      <w:r w:rsidR="00214BB0" w:rsidRPr="007E4A0F">
        <w:t>s</w:t>
      </w:r>
      <w:r w:rsidR="0037284B" w:rsidRPr="007E4A0F">
        <w:t xml:space="preserve"> risque</w:t>
      </w:r>
      <w:r w:rsidR="00214BB0" w:rsidRPr="007E4A0F">
        <w:t>s</w:t>
      </w:r>
      <w:r w:rsidR="0037284B" w:rsidRPr="007E4A0F">
        <w:t>, de planification d</w:t>
      </w:r>
      <w:r w:rsidR="00B274E6" w:rsidRPr="007E4A0F">
        <w:t>’</w:t>
      </w:r>
      <w:r w:rsidR="0037284B" w:rsidRPr="007E4A0F">
        <w:t>étapes et de seuils de tolérance.  Par exemple, les attentes en matière de qualité étaient définies en détail avec les critères correspondants dans les indicateurs d</w:t>
      </w:r>
      <w:r w:rsidR="00B274E6" w:rsidRPr="007E4A0F">
        <w:t>’</w:t>
      </w:r>
      <w:r w:rsidR="0037284B" w:rsidRPr="007E4A0F">
        <w:t>exécution</w:t>
      </w:r>
      <w:r w:rsidR="003323B3" w:rsidRPr="007E4A0F">
        <w:t xml:space="preserve"> du projet relatif aux états de paie, mais étaient ignorées dans les indicateurs d</w:t>
      </w:r>
      <w:r w:rsidR="00B274E6" w:rsidRPr="007E4A0F">
        <w:t>’</w:t>
      </w:r>
      <w:r w:rsidR="003323B3" w:rsidRPr="007E4A0F">
        <w:t>exécution du projet relatif à la gestion des performances de l</w:t>
      </w:r>
      <w:r w:rsidR="00B274E6" w:rsidRPr="007E4A0F">
        <w:t>’</w:t>
      </w:r>
      <w:r w:rsidR="003323B3" w:rsidRPr="007E4A0F">
        <w:t>Organisation</w:t>
      </w:r>
      <w:r w:rsidR="00443903" w:rsidRPr="007E4A0F">
        <w:t>.  De la même manière, le mécanisme d</w:t>
      </w:r>
      <w:r w:rsidR="00B274E6" w:rsidRPr="007E4A0F">
        <w:t>’</w:t>
      </w:r>
      <w:r w:rsidR="00443903" w:rsidRPr="007E4A0F">
        <w:t>assurance de la qualité défini en détail dans les indicateurs d</w:t>
      </w:r>
      <w:r w:rsidR="00B274E6" w:rsidRPr="007E4A0F">
        <w:t>’</w:t>
      </w:r>
      <w:r w:rsidR="00443903" w:rsidRPr="007E4A0F">
        <w:t>exécution du projet relatif aux états de paie n</w:t>
      </w:r>
      <w:r w:rsidR="00B274E6" w:rsidRPr="007E4A0F">
        <w:t>’</w:t>
      </w:r>
      <w:r w:rsidR="00443903" w:rsidRPr="007E4A0F">
        <w:t>était pas pris en compte dans les indicateurs d</w:t>
      </w:r>
      <w:r w:rsidR="00B274E6" w:rsidRPr="007E4A0F">
        <w:t>’</w:t>
      </w:r>
      <w:r w:rsidR="00443903" w:rsidRPr="007E4A0F">
        <w:t>exécution du projet relatif à la gestion des performances de l</w:t>
      </w:r>
      <w:r w:rsidR="00B274E6" w:rsidRPr="007E4A0F">
        <w:t>’</w:t>
      </w:r>
      <w:r w:rsidR="00443903" w:rsidRPr="007E4A0F">
        <w:t>Organisation ou du projet relatif</w:t>
      </w:r>
      <w:r w:rsidR="00F366EA" w:rsidRPr="007E4A0F">
        <w:t xml:space="preserve"> à l</w:t>
      </w:r>
      <w:r w:rsidR="00B274E6" w:rsidRPr="007E4A0F">
        <w:t>’</w:t>
      </w:r>
      <w:r w:rsidR="00F366EA" w:rsidRPr="007E4A0F">
        <w:t>outil de réservation en ligne.</w:t>
      </w:r>
    </w:p>
    <w:p w:rsidR="00947AF6" w:rsidRPr="007E4A0F" w:rsidRDefault="00B32F1D" w:rsidP="00E26B4E">
      <w:pPr>
        <w:pStyle w:val="Style1"/>
      </w:pPr>
      <w:r w:rsidRPr="007E4A0F">
        <w:t>L</w:t>
      </w:r>
      <w:r w:rsidR="00B274E6" w:rsidRPr="007E4A0F">
        <w:t>’</w:t>
      </w:r>
      <w:r w:rsidRPr="007E4A0F">
        <w:t xml:space="preserve">OMPI a indiqué que la </w:t>
      </w:r>
      <w:r w:rsidR="00FE62C7" w:rsidRPr="007E4A0F">
        <w:t>méthode</w:t>
      </w:r>
      <w:r w:rsidRPr="007E4A0F">
        <w:t xml:space="preserve"> PRINCE2 était celle qu</w:t>
      </w:r>
      <w:r w:rsidR="00B274E6" w:rsidRPr="007E4A0F">
        <w:t>’</w:t>
      </w:r>
      <w:r w:rsidRPr="007E4A0F">
        <w:t xml:space="preserve">elle utilisait pour la gestion de tous ses projets et que le portefeuille avait toujours suivie.  </w:t>
      </w:r>
      <w:r w:rsidR="00AE48E9" w:rsidRPr="007E4A0F">
        <w:t xml:space="preserve">Elle avait apporté des améliorations à la </w:t>
      </w:r>
      <w:r w:rsidR="00FE62C7" w:rsidRPr="007E4A0F">
        <w:t>méthode</w:t>
      </w:r>
      <w:r w:rsidR="00AE48E9" w:rsidRPr="007E4A0F">
        <w:t xml:space="preserve"> PRINCE2 dans le cadre de l</w:t>
      </w:r>
      <w:r w:rsidR="00B274E6" w:rsidRPr="007E4A0F">
        <w:t>’</w:t>
      </w:r>
      <w:r w:rsidR="00AE48E9" w:rsidRPr="007E4A0F">
        <w:t>examen effectué en</w:t>
      </w:r>
      <w:r w:rsidR="006C7CFD" w:rsidRPr="007E4A0F">
        <w:t> </w:t>
      </w:r>
      <w:r w:rsidR="00AE48E9" w:rsidRPr="007E4A0F">
        <w:t>2013, afin de</w:t>
      </w:r>
      <w:r w:rsidR="002C64BC" w:rsidRPr="007E4A0F">
        <w:t xml:space="preserve"> mieux l</w:t>
      </w:r>
      <w:r w:rsidR="00B274E6" w:rsidRPr="007E4A0F">
        <w:t>’</w:t>
      </w:r>
      <w:r w:rsidR="002C64BC" w:rsidRPr="007E4A0F">
        <w:t>adapter au portefeuille ERP.</w:t>
      </w:r>
      <w:r w:rsidR="006D5516" w:rsidRPr="007E4A0F">
        <w:t xml:space="preserve">  PRINCE2 était devenue</w:t>
      </w:r>
      <w:r w:rsidR="00857172" w:rsidRPr="007E4A0F">
        <w:t xml:space="preserve"> depuis le début de</w:t>
      </w:r>
      <w:r w:rsidR="006C7CFD" w:rsidRPr="007E4A0F">
        <w:t> </w:t>
      </w:r>
      <w:r w:rsidR="00857172" w:rsidRPr="007E4A0F">
        <w:t xml:space="preserve">2014 </w:t>
      </w:r>
      <w:r w:rsidR="001D1089" w:rsidRPr="007E4A0F">
        <w:t>l</w:t>
      </w:r>
      <w:r w:rsidR="006D5516" w:rsidRPr="007E4A0F">
        <w:t xml:space="preserve">a </w:t>
      </w:r>
      <w:r w:rsidR="00FE62C7" w:rsidRPr="007E4A0F">
        <w:t>méthode</w:t>
      </w:r>
      <w:r w:rsidR="006D5516" w:rsidRPr="007E4A0F">
        <w:t xml:space="preserve"> commune </w:t>
      </w:r>
      <w:r w:rsidR="00857172" w:rsidRPr="007E4A0F">
        <w:t>en matière de mise en œuvre et de suivi.</w:t>
      </w:r>
      <w:r w:rsidR="00EE7B47" w:rsidRPr="007E4A0F">
        <w:t xml:space="preserve">  Nous nous félicitons de ce que la vérification et les recommandations de la société Gartner</w:t>
      </w:r>
      <w:r w:rsidR="00857172" w:rsidRPr="007E4A0F">
        <w:t xml:space="preserve"> </w:t>
      </w:r>
      <w:r w:rsidR="00EE7B47" w:rsidRPr="007E4A0F">
        <w:t xml:space="preserve">aient </w:t>
      </w:r>
      <w:r w:rsidR="002D6DDE" w:rsidRPr="007E4A0F">
        <w:t>conduit à</w:t>
      </w:r>
      <w:r w:rsidR="003F483E" w:rsidRPr="007E4A0F">
        <w:t xml:space="preserve"> un renforcement de la structure de gouvernance et à une plus grande communauté d</w:t>
      </w:r>
      <w:r w:rsidR="00B274E6" w:rsidRPr="007E4A0F">
        <w:t>’</w:t>
      </w:r>
      <w:r w:rsidR="003F483E" w:rsidRPr="007E4A0F">
        <w:t>approche.</w:t>
      </w:r>
    </w:p>
    <w:p w:rsidR="00947AF6" w:rsidRPr="007E4A0F" w:rsidRDefault="0012066D" w:rsidP="00E26B4E">
      <w:pPr>
        <w:pStyle w:val="Heading4"/>
        <w:rPr>
          <w:lang w:val="fr-FR"/>
        </w:rPr>
      </w:pPr>
      <w:r w:rsidRPr="007E4A0F">
        <w:rPr>
          <w:lang w:val="fr-FR"/>
        </w:rPr>
        <w:lastRenderedPageBreak/>
        <w:t>Module</w:t>
      </w:r>
      <w:r w:rsidR="001601E5" w:rsidRPr="007E4A0F">
        <w:rPr>
          <w:lang w:val="fr-FR"/>
        </w:rPr>
        <w:t xml:space="preserve"> d</w:t>
      </w:r>
      <w:r w:rsidR="00B274E6" w:rsidRPr="007E4A0F">
        <w:rPr>
          <w:lang w:val="fr-FR"/>
        </w:rPr>
        <w:t>’</w:t>
      </w:r>
      <w:r w:rsidR="001601E5" w:rsidRPr="007E4A0F">
        <w:rPr>
          <w:lang w:val="fr-FR"/>
        </w:rPr>
        <w:t>audit</w:t>
      </w:r>
    </w:p>
    <w:p w:rsidR="00947AF6" w:rsidRPr="007E4A0F" w:rsidRDefault="00140622" w:rsidP="00E26B4E">
      <w:pPr>
        <w:pStyle w:val="Style1"/>
      </w:pPr>
      <w:r w:rsidRPr="007E4A0F">
        <w:t>L</w:t>
      </w:r>
      <w:r w:rsidR="00B274E6" w:rsidRPr="007E4A0F">
        <w:t>’</w:t>
      </w:r>
      <w:r w:rsidRPr="007E4A0F">
        <w:t>un des avantages escomptés dans le cas d</w:t>
      </w:r>
      <w:r w:rsidR="00B274E6" w:rsidRPr="007E4A0F">
        <w:t>’</w:t>
      </w:r>
      <w:r w:rsidRPr="007E4A0F">
        <w:t>entreprise (version 1.2 de</w:t>
      </w:r>
      <w:r w:rsidR="006C7CFD" w:rsidRPr="007E4A0F">
        <w:t> </w:t>
      </w:r>
      <w:r w:rsidRPr="007E4A0F">
        <w:t xml:space="preserve">2014) du portefeuille AIMS était la réalisation de la conformité </w:t>
      </w:r>
      <w:r w:rsidR="003F483E" w:rsidRPr="007E4A0F">
        <w:t>aux exigences en matière de contrôle interne, de sécurité des données, de confidentialité et d</w:t>
      </w:r>
      <w:r w:rsidR="00B274E6" w:rsidRPr="007E4A0F">
        <w:t>’</w:t>
      </w:r>
      <w:r w:rsidR="003F483E" w:rsidRPr="007E4A0F">
        <w:t>enregistrement des opérations</w:t>
      </w:r>
      <w:r w:rsidR="008400C4" w:rsidRPr="007E4A0F">
        <w:t>.</w:t>
      </w:r>
    </w:p>
    <w:p w:rsidR="00947AF6" w:rsidRPr="007E4A0F" w:rsidRDefault="0011619A" w:rsidP="00E26B4E">
      <w:pPr>
        <w:pStyle w:val="Style1"/>
      </w:pPr>
      <w:r w:rsidRPr="007E4A0F">
        <w:t>Nous avons constaté qu</w:t>
      </w:r>
      <w:r w:rsidR="00B274E6" w:rsidRPr="007E4A0F">
        <w:t>’</w:t>
      </w:r>
      <w:r w:rsidRPr="007E4A0F">
        <w:t>aucun module d</w:t>
      </w:r>
      <w:r w:rsidR="00B274E6" w:rsidRPr="007E4A0F">
        <w:t>’</w:t>
      </w:r>
      <w:r w:rsidRPr="007E4A0F">
        <w:t>audit n</w:t>
      </w:r>
      <w:r w:rsidR="00B274E6" w:rsidRPr="007E4A0F">
        <w:t>’</w:t>
      </w:r>
      <w:r w:rsidRPr="007E4A0F">
        <w:t>était envisagé dans le système ERP.  La Division de l</w:t>
      </w:r>
      <w:r w:rsidR="00B274E6" w:rsidRPr="007E4A0F">
        <w:t>’</w:t>
      </w:r>
      <w:r w:rsidRPr="007E4A0F">
        <w:t xml:space="preserve">audit et de la supervision internes </w:t>
      </w:r>
      <w:r w:rsidR="000562A0" w:rsidRPr="007E4A0F">
        <w:t>tire</w:t>
      </w:r>
      <w:r w:rsidRPr="007E4A0F">
        <w:t xml:space="preserve"> ses données de la base de données (</w:t>
      </w:r>
      <w:r w:rsidR="000562A0" w:rsidRPr="007E4A0F">
        <w:t>tableaux) et utilise l</w:t>
      </w:r>
      <w:r w:rsidR="00B274E6" w:rsidRPr="007E4A0F">
        <w:t>’</w:t>
      </w:r>
      <w:r w:rsidR="000562A0" w:rsidRPr="007E4A0F">
        <w:t>outil ACL pour ses audits.  L</w:t>
      </w:r>
      <w:r w:rsidR="00B274E6" w:rsidRPr="007E4A0F">
        <w:t>’</w:t>
      </w:r>
      <w:r w:rsidR="000562A0" w:rsidRPr="007E4A0F">
        <w:t>outil de gestion des données décisionnelles que l</w:t>
      </w:r>
      <w:r w:rsidR="00B274E6" w:rsidRPr="007E4A0F">
        <w:t>’</w:t>
      </w:r>
      <w:r w:rsidR="000562A0" w:rsidRPr="007E4A0F">
        <w:t xml:space="preserve">OMPI met </w:t>
      </w:r>
      <w:r w:rsidR="008E7635" w:rsidRPr="007E4A0F">
        <w:t xml:space="preserve">actuellement </w:t>
      </w:r>
      <w:r w:rsidR="000562A0" w:rsidRPr="007E4A0F">
        <w:t>en place</w:t>
      </w:r>
      <w:r w:rsidR="008E7635" w:rsidRPr="007E4A0F">
        <w:t xml:space="preserve"> </w:t>
      </w:r>
      <w:r w:rsidR="00DD6BE6" w:rsidRPr="007E4A0F">
        <w:t>en tant que système d</w:t>
      </w:r>
      <w:r w:rsidR="00B274E6" w:rsidRPr="007E4A0F">
        <w:t>’</w:t>
      </w:r>
      <w:r w:rsidR="00DD6BE6" w:rsidRPr="007E4A0F">
        <w:t xml:space="preserve">information pourrait être utile pour la division ainsi que pour tout autre vérificateur externe, </w:t>
      </w:r>
      <w:r w:rsidR="0021201D" w:rsidRPr="007E4A0F">
        <w:t>pour</w:t>
      </w:r>
      <w:r w:rsidR="008400C4" w:rsidRPr="007E4A0F">
        <w:t xml:space="preserve"> au</w:t>
      </w:r>
      <w:r w:rsidR="0021201D" w:rsidRPr="007E4A0F">
        <w:t>tant que les besoins en matière d</w:t>
      </w:r>
      <w:r w:rsidR="00B274E6" w:rsidRPr="007E4A0F">
        <w:t>’</w:t>
      </w:r>
      <w:r w:rsidR="0021201D" w:rsidRPr="007E4A0F">
        <w:t>audit soient pris en considération dans le développement d</w:t>
      </w:r>
      <w:r w:rsidR="00B274E6" w:rsidRPr="007E4A0F">
        <w:t>’</w:t>
      </w:r>
      <w:r w:rsidR="0021201D" w:rsidRPr="007E4A0F">
        <w:t>un outil d</w:t>
      </w:r>
      <w:r w:rsidR="00B274E6" w:rsidRPr="007E4A0F">
        <w:t>’</w:t>
      </w:r>
      <w:r w:rsidR="0021201D" w:rsidRPr="007E4A0F">
        <w:t>établissement de rapports sur les données décisionnelles.</w:t>
      </w:r>
    </w:p>
    <w:p w:rsidR="00947AF6" w:rsidRPr="007E4A0F" w:rsidRDefault="001E0C73" w:rsidP="00E26B4E">
      <w:pPr>
        <w:pStyle w:val="Style1"/>
      </w:pPr>
      <w:r w:rsidRPr="007E4A0F">
        <w:t>L</w:t>
      </w:r>
      <w:r w:rsidR="00B274E6" w:rsidRPr="007E4A0F">
        <w:t>’</w:t>
      </w:r>
      <w:r w:rsidRPr="007E4A0F">
        <w:t xml:space="preserve">OMPI </w:t>
      </w:r>
      <w:r w:rsidR="00616A6E" w:rsidRPr="007E4A0F">
        <w:t xml:space="preserve">a </w:t>
      </w:r>
      <w:r w:rsidRPr="007E4A0F">
        <w:t>indiqué que</w:t>
      </w:r>
      <w:r w:rsidR="008C36F6" w:rsidRPr="007E4A0F">
        <w:t xml:space="preserve"> la question des besoins en matière d</w:t>
      </w:r>
      <w:r w:rsidR="00B274E6" w:rsidRPr="007E4A0F">
        <w:t>’</w:t>
      </w:r>
      <w:r w:rsidR="008C36F6" w:rsidRPr="007E4A0F">
        <w:t>audit faisait l</w:t>
      </w:r>
      <w:r w:rsidR="00B274E6" w:rsidRPr="007E4A0F">
        <w:t>’</w:t>
      </w:r>
      <w:r w:rsidR="008C36F6" w:rsidRPr="007E4A0F">
        <w:t>objet d</w:t>
      </w:r>
      <w:r w:rsidR="00B274E6" w:rsidRPr="007E4A0F">
        <w:t>’</w:t>
      </w:r>
      <w:r w:rsidR="008C36F6" w:rsidRPr="007E4A0F">
        <w:t xml:space="preserve">un dialogue permanent </w:t>
      </w:r>
      <w:r w:rsidRPr="007E4A0F">
        <w:t>entre la Division de l</w:t>
      </w:r>
      <w:r w:rsidR="00B274E6" w:rsidRPr="007E4A0F">
        <w:t>’</w:t>
      </w:r>
      <w:r w:rsidRPr="007E4A0F">
        <w:t>audit et de la supervision interne</w:t>
      </w:r>
      <w:r w:rsidR="008C36F6" w:rsidRPr="007E4A0F">
        <w:t>s et l</w:t>
      </w:r>
      <w:r w:rsidR="00B274E6" w:rsidRPr="007E4A0F">
        <w:t>’</w:t>
      </w:r>
      <w:r w:rsidR="008C36F6" w:rsidRPr="007E4A0F">
        <w:t>équipe ERP de l</w:t>
      </w:r>
      <w:r w:rsidR="00B274E6" w:rsidRPr="007E4A0F">
        <w:t>’</w:t>
      </w:r>
      <w:r w:rsidR="008C36F6" w:rsidRPr="007E4A0F">
        <w:t xml:space="preserve">OMPI.  </w:t>
      </w:r>
      <w:r w:rsidR="00571A80" w:rsidRPr="007E4A0F">
        <w:t>Ces échanges entre la Division de l</w:t>
      </w:r>
      <w:r w:rsidR="00B274E6" w:rsidRPr="007E4A0F">
        <w:t>’</w:t>
      </w:r>
      <w:r w:rsidR="00571A80" w:rsidRPr="007E4A0F">
        <w:t>audit et de la supervision internes et le projet d</w:t>
      </w:r>
      <w:r w:rsidR="00B274E6" w:rsidRPr="007E4A0F">
        <w:t>’</w:t>
      </w:r>
      <w:r w:rsidR="00571A80" w:rsidRPr="007E4A0F">
        <w:t>analyse de données décisionnelles permettraient à l</w:t>
      </w:r>
      <w:r w:rsidR="00B274E6" w:rsidRPr="007E4A0F">
        <w:t>’</w:t>
      </w:r>
      <w:r w:rsidR="00571A80" w:rsidRPr="007E4A0F">
        <w:t>OMPI</w:t>
      </w:r>
      <w:r w:rsidR="0028025D" w:rsidRPr="007E4A0F">
        <w:t xml:space="preserve"> de réunir les besoins de la division en matière d</w:t>
      </w:r>
      <w:r w:rsidR="00B274E6" w:rsidRPr="007E4A0F">
        <w:t>’</w:t>
      </w:r>
      <w:r w:rsidR="0028025D" w:rsidRPr="007E4A0F">
        <w:t>audit,</w:t>
      </w:r>
      <w:r w:rsidR="00616A6E" w:rsidRPr="007E4A0F">
        <w:t xml:space="preserve"> </w:t>
      </w:r>
      <w:r w:rsidR="00665013" w:rsidRPr="007E4A0F">
        <w:t xml:space="preserve">lesquels pourraient ensuite idéalement être colligés et mis à la disposition de la division et </w:t>
      </w:r>
      <w:r w:rsidR="008400C4" w:rsidRPr="007E4A0F">
        <w:t>d</w:t>
      </w:r>
      <w:r w:rsidR="00B274E6" w:rsidRPr="007E4A0F">
        <w:t>’</w:t>
      </w:r>
      <w:r w:rsidR="00665013" w:rsidRPr="007E4A0F">
        <w:t>autres parties prenantes.</w:t>
      </w:r>
    </w:p>
    <w:p w:rsidR="00947AF6" w:rsidRPr="007E4A0F" w:rsidRDefault="000A6F80" w:rsidP="00A537E0">
      <w:pPr>
        <w:pStyle w:val="Heading4"/>
        <w:rPr>
          <w:lang w:val="fr-FR"/>
        </w:rPr>
      </w:pPr>
      <w:r w:rsidRPr="007E4A0F">
        <w:rPr>
          <w:lang w:val="fr-FR"/>
        </w:rPr>
        <w:t>Recommandation n° 8</w:t>
      </w:r>
    </w:p>
    <w:p w:rsidR="00947AF6" w:rsidRPr="007E4A0F" w:rsidRDefault="001F16EA" w:rsidP="00E26B4E">
      <w:pPr>
        <w:pStyle w:val="Heading4"/>
        <w:rPr>
          <w:lang w:val="fr-FR"/>
        </w:rPr>
      </w:pPr>
      <w:r w:rsidRPr="007E4A0F">
        <w:rPr>
          <w:lang w:val="fr-FR"/>
        </w:rPr>
        <w:t>L</w:t>
      </w:r>
      <w:r w:rsidR="00B274E6" w:rsidRPr="007E4A0F">
        <w:rPr>
          <w:lang w:val="fr-FR"/>
        </w:rPr>
        <w:t>’</w:t>
      </w:r>
      <w:r w:rsidRPr="007E4A0F">
        <w:rPr>
          <w:lang w:val="fr-FR"/>
        </w:rPr>
        <w:t>OMPI pourrait poursuivre ses échanges avec diverses parties prenantes et établir un plan d</w:t>
      </w:r>
      <w:r w:rsidR="00B274E6" w:rsidRPr="007E4A0F">
        <w:rPr>
          <w:lang w:val="fr-FR"/>
        </w:rPr>
        <w:t>’</w:t>
      </w:r>
      <w:r w:rsidRPr="007E4A0F">
        <w:rPr>
          <w:lang w:val="fr-FR"/>
        </w:rPr>
        <w:t>action limité dans le temps</w:t>
      </w:r>
      <w:r w:rsidR="00847C91" w:rsidRPr="007E4A0F">
        <w:rPr>
          <w:lang w:val="fr-FR"/>
        </w:rPr>
        <w:t xml:space="preserve"> </w:t>
      </w:r>
      <w:r w:rsidR="00C63B18" w:rsidRPr="007E4A0F">
        <w:rPr>
          <w:lang w:val="fr-FR"/>
        </w:rPr>
        <w:t>pour la production de rapports d</w:t>
      </w:r>
      <w:r w:rsidR="00B274E6" w:rsidRPr="007E4A0F">
        <w:rPr>
          <w:lang w:val="fr-FR"/>
        </w:rPr>
        <w:t>’</w:t>
      </w:r>
      <w:r w:rsidR="00C63B18" w:rsidRPr="007E4A0F">
        <w:rPr>
          <w:lang w:val="fr-FR"/>
        </w:rPr>
        <w:t>anomalies personnalisés.</w:t>
      </w:r>
    </w:p>
    <w:p w:rsidR="00B274E6" w:rsidRPr="007E4A0F" w:rsidRDefault="0090009A" w:rsidP="00E26B4E">
      <w:pPr>
        <w:pStyle w:val="Style1"/>
      </w:pPr>
      <w:r w:rsidRPr="007E4A0F">
        <w:t>L</w:t>
      </w:r>
      <w:r w:rsidR="00B274E6" w:rsidRPr="007E4A0F">
        <w:t>’</w:t>
      </w:r>
      <w:r w:rsidRPr="007E4A0F">
        <w:t>OMPI a accepté la recommandation.  Une réunion est tenue chaque mois avec les parties prenantes dans le cadre des activités permanentes d</w:t>
      </w:r>
      <w:r w:rsidR="00B274E6" w:rsidRPr="007E4A0F">
        <w:t>’</w:t>
      </w:r>
      <w:r w:rsidRPr="007E4A0F">
        <w:t>analyse de données décisionnelles pour recenser,</w:t>
      </w:r>
      <w:r w:rsidR="00543267" w:rsidRPr="007E4A0F">
        <w:t xml:space="preserve"> relever et classer par ordre de priorité les besoins en matière d</w:t>
      </w:r>
      <w:r w:rsidR="00B274E6" w:rsidRPr="007E4A0F">
        <w:t>’</w:t>
      </w:r>
      <w:r w:rsidR="00543267" w:rsidRPr="007E4A0F">
        <w:t>établissement de rapports.</w:t>
      </w:r>
    </w:p>
    <w:p w:rsidR="00947AF6" w:rsidRPr="007E4A0F" w:rsidRDefault="00B45823" w:rsidP="00E26B4E">
      <w:pPr>
        <w:pStyle w:val="Heading4"/>
        <w:rPr>
          <w:lang w:val="fr-FR"/>
        </w:rPr>
      </w:pPr>
      <w:r w:rsidRPr="007E4A0F">
        <w:rPr>
          <w:lang w:val="fr-FR"/>
        </w:rPr>
        <w:t>Gestion de contrats</w:t>
      </w:r>
    </w:p>
    <w:p w:rsidR="00947AF6" w:rsidRPr="007E4A0F" w:rsidRDefault="00B45823" w:rsidP="00E26B4E">
      <w:pPr>
        <w:pStyle w:val="Style1"/>
      </w:pPr>
      <w:r w:rsidRPr="007E4A0F">
        <w:t>En vertu du contrat</w:t>
      </w:r>
      <w:r w:rsidR="00720109" w:rsidRPr="007E4A0F">
        <w:t xml:space="preserve"> conclu entre l</w:t>
      </w:r>
      <w:r w:rsidR="00B274E6" w:rsidRPr="007E4A0F">
        <w:t>’</w:t>
      </w:r>
      <w:r w:rsidR="00720109" w:rsidRPr="007E4A0F">
        <w:t xml:space="preserve">OMPI et la société </w:t>
      </w:r>
      <w:r w:rsidR="0012066D" w:rsidRPr="007E4A0F">
        <w:t>Cedar Consulting (UK) Limited (</w:t>
      </w:r>
      <w:r w:rsidR="00720109" w:rsidRPr="007E4A0F">
        <w:t>partenaire d</w:t>
      </w:r>
      <w:r w:rsidR="00B274E6" w:rsidRPr="007E4A0F">
        <w:t>’</w:t>
      </w:r>
      <w:r w:rsidR="00720109" w:rsidRPr="007E4A0F">
        <w:t>exécution externe</w:t>
      </w:r>
      <w:r w:rsidR="0012066D" w:rsidRPr="007E4A0F">
        <w:t xml:space="preserve">), </w:t>
      </w:r>
      <w:r w:rsidR="00D2688C" w:rsidRPr="007E4A0F">
        <w:t xml:space="preserve">le système de gestion du module de base relatif aux ressources humaines et </w:t>
      </w:r>
      <w:r w:rsidR="00333108" w:rsidRPr="007E4A0F">
        <w:t>aux</w:t>
      </w:r>
      <w:r w:rsidR="00D2688C" w:rsidRPr="007E4A0F">
        <w:t xml:space="preserve"> états de paie </w:t>
      </w:r>
      <w:r w:rsidR="00333108" w:rsidRPr="007E4A0F">
        <w:t>devait</w:t>
      </w:r>
      <w:r w:rsidR="00ED3E6A" w:rsidRPr="007E4A0F">
        <w:t xml:space="preserve"> être mis en œuvre dans un délai de 15</w:t>
      </w:r>
      <w:r w:rsidR="00973988" w:rsidRPr="007E4A0F">
        <w:t> </w:t>
      </w:r>
      <w:r w:rsidR="00ED3E6A" w:rsidRPr="007E4A0F">
        <w:t xml:space="preserve">mois comptés à partir du </w:t>
      </w:r>
      <w:r w:rsidR="00B274E6" w:rsidRPr="007E4A0F">
        <w:t>1</w:t>
      </w:r>
      <w:r w:rsidR="00B274E6" w:rsidRPr="007E4A0F">
        <w:rPr>
          <w:vertAlign w:val="superscript"/>
        </w:rPr>
        <w:t>er</w:t>
      </w:r>
      <w:r w:rsidR="00B274E6" w:rsidRPr="007E4A0F">
        <w:t> août 20</w:t>
      </w:r>
      <w:r w:rsidR="00ED3E6A" w:rsidRPr="007E4A0F">
        <w:t>12, et cela, pour un montant de 1 997 925 francs suisses.</w:t>
      </w:r>
      <w:r w:rsidR="00437E7A" w:rsidRPr="007E4A0F">
        <w:t xml:space="preserve">  </w:t>
      </w:r>
      <w:r w:rsidR="00F31834" w:rsidRPr="007E4A0F">
        <w:t>La signature de l</w:t>
      </w:r>
      <w:r w:rsidR="00B274E6" w:rsidRPr="007E4A0F">
        <w:t>’</w:t>
      </w:r>
      <w:r w:rsidR="00F31834" w:rsidRPr="007E4A0F">
        <w:t xml:space="preserve">approbation finale </w:t>
      </w:r>
      <w:r w:rsidR="00937DC6" w:rsidRPr="007E4A0F">
        <w:t>a</w:t>
      </w:r>
      <w:r w:rsidR="00F31834" w:rsidRPr="007E4A0F">
        <w:t xml:space="preserve"> toutefois </w:t>
      </w:r>
      <w:r w:rsidR="00264458" w:rsidRPr="007E4A0F">
        <w:t xml:space="preserve">occasionné </w:t>
      </w:r>
      <w:r w:rsidR="00F31834" w:rsidRPr="007E4A0F">
        <w:t>u</w:t>
      </w:r>
      <w:r w:rsidR="00437E7A" w:rsidRPr="007E4A0F">
        <w:t>n retard de 11 mois</w:t>
      </w:r>
      <w:r w:rsidR="00F31834" w:rsidRPr="007E4A0F">
        <w:t xml:space="preserve">, </w:t>
      </w:r>
      <w:r w:rsidR="00264458" w:rsidRPr="007E4A0F">
        <w:t>et l</w:t>
      </w:r>
      <w:r w:rsidR="00B274E6" w:rsidRPr="007E4A0F">
        <w:t>’</w:t>
      </w:r>
      <w:r w:rsidR="00264458" w:rsidRPr="007E4A0F">
        <w:t>approbation de différentes étapes a également donné lieu à des retards de deux</w:t>
      </w:r>
      <w:r w:rsidR="006C7CFD" w:rsidRPr="007E4A0F">
        <w:t> </w:t>
      </w:r>
      <w:r w:rsidR="00264458" w:rsidRPr="007E4A0F">
        <w:t>à huit</w:t>
      </w:r>
      <w:r w:rsidR="006C7CFD" w:rsidRPr="007E4A0F">
        <w:t> </w:t>
      </w:r>
      <w:r w:rsidR="00264458" w:rsidRPr="007E4A0F">
        <w:t>mois, comme le montre le tableau suivant</w:t>
      </w:r>
      <w:r w:rsidR="006C7CFD" w:rsidRPr="007E4A0F">
        <w:t> </w:t>
      </w:r>
      <w:r w:rsidR="00264458" w:rsidRPr="007E4A0F">
        <w:t>:</w:t>
      </w:r>
    </w:p>
    <w:p w:rsidR="00E26B4E" w:rsidRPr="007E4A0F" w:rsidRDefault="00E26B4E" w:rsidP="00E26B4E">
      <w:pPr>
        <w:rPr>
          <w:lang w:val="fr-FR"/>
        </w:rPr>
      </w:pPr>
    </w:p>
    <w:tbl>
      <w:tblPr>
        <w:tblW w:w="4525" w:type="pct"/>
        <w:jc w:val="center"/>
        <w:tblLook w:val="04A0" w:firstRow="1" w:lastRow="0" w:firstColumn="1" w:lastColumn="0" w:noHBand="0" w:noVBand="1"/>
      </w:tblPr>
      <w:tblGrid>
        <w:gridCol w:w="3012"/>
        <w:gridCol w:w="2396"/>
        <w:gridCol w:w="1884"/>
        <w:gridCol w:w="1370"/>
      </w:tblGrid>
      <w:tr w:rsidR="007E4A0F" w:rsidRPr="007E4A0F" w:rsidTr="0012066D">
        <w:trPr>
          <w:trHeight w:val="677"/>
          <w:tblHeader/>
          <w:jc w:val="center"/>
        </w:trPr>
        <w:tc>
          <w:tcPr>
            <w:tcW w:w="176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12066D" w:rsidRPr="007E4A0F" w:rsidRDefault="0012066D" w:rsidP="00CD1C82">
            <w:pPr>
              <w:keepNext/>
              <w:jc w:val="center"/>
              <w:rPr>
                <w:b/>
                <w:sz w:val="20"/>
                <w:lang w:val="fr-FR"/>
              </w:rPr>
            </w:pPr>
            <w:r w:rsidRPr="007E4A0F">
              <w:rPr>
                <w:b/>
                <w:sz w:val="20"/>
                <w:lang w:val="fr-FR"/>
              </w:rPr>
              <w:t>Sta</w:t>
            </w:r>
            <w:r w:rsidR="00CD1C82" w:rsidRPr="007E4A0F">
              <w:rPr>
                <w:b/>
                <w:sz w:val="20"/>
                <w:lang w:val="fr-FR"/>
              </w:rPr>
              <w:t>d</w:t>
            </w:r>
            <w:r w:rsidRPr="007E4A0F">
              <w:rPr>
                <w:b/>
                <w:sz w:val="20"/>
                <w:lang w:val="fr-FR"/>
              </w:rPr>
              <w:t>e/</w:t>
            </w:r>
            <w:r w:rsidR="00CD1C82" w:rsidRPr="007E4A0F">
              <w:rPr>
                <w:b/>
                <w:sz w:val="20"/>
                <w:lang w:val="fr-FR"/>
              </w:rPr>
              <w:t>Étap</w:t>
            </w:r>
            <w:r w:rsidRPr="007E4A0F">
              <w:rPr>
                <w:b/>
                <w:sz w:val="20"/>
                <w:lang w:val="fr-FR"/>
              </w:rPr>
              <w:t>e</w:t>
            </w:r>
          </w:p>
        </w:tc>
        <w:tc>
          <w:tcPr>
            <w:tcW w:w="1413" w:type="pct"/>
            <w:tcBorders>
              <w:top w:val="single" w:sz="8" w:space="0" w:color="auto"/>
              <w:left w:val="nil"/>
              <w:bottom w:val="single" w:sz="4" w:space="0" w:color="auto"/>
              <w:right w:val="single" w:sz="4" w:space="0" w:color="auto"/>
            </w:tcBorders>
            <w:shd w:val="clear" w:color="auto" w:fill="auto"/>
            <w:vAlign w:val="center"/>
            <w:hideMark/>
          </w:tcPr>
          <w:p w:rsidR="0012066D" w:rsidRPr="007E4A0F" w:rsidRDefault="00CD1C82" w:rsidP="00CD1C82">
            <w:pPr>
              <w:keepNext/>
              <w:jc w:val="center"/>
              <w:rPr>
                <w:b/>
                <w:sz w:val="20"/>
                <w:lang w:val="fr-FR"/>
              </w:rPr>
            </w:pPr>
            <w:r w:rsidRPr="007E4A0F">
              <w:rPr>
                <w:b/>
                <w:sz w:val="20"/>
                <w:lang w:val="fr-FR"/>
              </w:rPr>
              <w:t>Délai prévu</w:t>
            </w:r>
          </w:p>
        </w:tc>
        <w:tc>
          <w:tcPr>
            <w:tcW w:w="997" w:type="pct"/>
            <w:tcBorders>
              <w:top w:val="single" w:sz="8" w:space="0" w:color="auto"/>
              <w:left w:val="nil"/>
              <w:bottom w:val="single" w:sz="4" w:space="0" w:color="auto"/>
              <w:right w:val="single" w:sz="4" w:space="0" w:color="auto"/>
            </w:tcBorders>
            <w:shd w:val="clear" w:color="auto" w:fill="auto"/>
            <w:vAlign w:val="center"/>
            <w:hideMark/>
          </w:tcPr>
          <w:p w:rsidR="0012066D" w:rsidRPr="007E4A0F" w:rsidRDefault="00CE412D" w:rsidP="00E26B4E">
            <w:pPr>
              <w:keepNext/>
              <w:jc w:val="center"/>
              <w:rPr>
                <w:b/>
                <w:sz w:val="20"/>
                <w:lang w:val="fr-FR"/>
              </w:rPr>
            </w:pPr>
            <w:r w:rsidRPr="007E4A0F">
              <w:rPr>
                <w:b/>
                <w:sz w:val="20"/>
                <w:lang w:val="fr-FR"/>
              </w:rPr>
              <w:t>Date d</w:t>
            </w:r>
            <w:r w:rsidR="00B274E6" w:rsidRPr="007E4A0F">
              <w:rPr>
                <w:b/>
                <w:sz w:val="20"/>
                <w:lang w:val="fr-FR"/>
              </w:rPr>
              <w:t>’</w:t>
            </w:r>
            <w:r w:rsidRPr="007E4A0F">
              <w:rPr>
                <w:b/>
                <w:sz w:val="20"/>
                <w:lang w:val="fr-FR"/>
              </w:rPr>
              <w:t>approbation réelle</w:t>
            </w:r>
          </w:p>
        </w:tc>
        <w:tc>
          <w:tcPr>
            <w:tcW w:w="821" w:type="pct"/>
            <w:tcBorders>
              <w:top w:val="single" w:sz="8" w:space="0" w:color="auto"/>
              <w:left w:val="nil"/>
              <w:bottom w:val="single" w:sz="4" w:space="0" w:color="auto"/>
              <w:right w:val="single" w:sz="8" w:space="0" w:color="auto"/>
            </w:tcBorders>
            <w:shd w:val="clear" w:color="auto" w:fill="auto"/>
            <w:vAlign w:val="center"/>
            <w:hideMark/>
          </w:tcPr>
          <w:p w:rsidR="0012066D" w:rsidRPr="007E4A0F" w:rsidRDefault="00CE412D" w:rsidP="00CE412D">
            <w:pPr>
              <w:keepNext/>
              <w:jc w:val="center"/>
              <w:rPr>
                <w:b/>
                <w:sz w:val="20"/>
                <w:lang w:val="fr-FR"/>
              </w:rPr>
            </w:pPr>
            <w:r w:rsidRPr="007E4A0F">
              <w:rPr>
                <w:b/>
                <w:sz w:val="20"/>
                <w:lang w:val="fr-FR"/>
              </w:rPr>
              <w:t>Retard (en mois)</w:t>
            </w:r>
          </w:p>
        </w:tc>
      </w:tr>
      <w:tr w:rsidR="007E4A0F" w:rsidRPr="007E4A0F" w:rsidTr="0012066D">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7D19F1" w:rsidP="007D19F1">
            <w:pPr>
              <w:rPr>
                <w:sz w:val="20"/>
                <w:lang w:val="fr-FR"/>
              </w:rPr>
            </w:pPr>
            <w:r w:rsidRPr="007E4A0F">
              <w:rPr>
                <w:sz w:val="20"/>
                <w:lang w:val="fr-FR"/>
              </w:rPr>
              <w:t>Mise en marche et mobilisation</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juillet à </w:t>
            </w:r>
            <w:r w:rsidR="00B274E6" w:rsidRPr="007E4A0F">
              <w:rPr>
                <w:sz w:val="20"/>
                <w:lang w:val="fr-FR"/>
              </w:rPr>
              <w:t>août 20</w:t>
            </w:r>
            <w:r w:rsidRPr="007E4A0F">
              <w:rPr>
                <w:sz w:val="20"/>
                <w:lang w:val="fr-FR"/>
              </w:rPr>
              <w:t>12</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5 novembre 20</w:t>
            </w:r>
            <w:r w:rsidR="00547025" w:rsidRPr="007E4A0F">
              <w:rPr>
                <w:sz w:val="20"/>
                <w:lang w:val="fr-FR"/>
              </w:rPr>
              <w:t>12</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2</w:t>
            </w:r>
          </w:p>
        </w:tc>
      </w:tr>
      <w:tr w:rsidR="007E4A0F" w:rsidRPr="007E4A0F" w:rsidTr="0012066D">
        <w:trPr>
          <w:trHeight w:val="804"/>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7D19F1" w:rsidP="007D19F1">
            <w:pPr>
              <w:rPr>
                <w:sz w:val="20"/>
                <w:lang w:val="fr-FR"/>
              </w:rPr>
            </w:pPr>
            <w:r w:rsidRPr="007E4A0F">
              <w:rPr>
                <w:sz w:val="20"/>
                <w:lang w:val="fr-FR"/>
              </w:rPr>
              <w:t xml:space="preserve">Définition et conception </w:t>
            </w:r>
            <w:r w:rsidR="00547025" w:rsidRPr="007E4A0F">
              <w:rPr>
                <w:sz w:val="20"/>
                <w:lang w:val="fr-FR"/>
              </w:rPr>
              <w:t>(</w:t>
            </w:r>
            <w:r w:rsidRPr="007E4A0F">
              <w:rPr>
                <w:sz w:val="20"/>
                <w:lang w:val="fr-FR"/>
              </w:rPr>
              <w:t>1</w:t>
            </w:r>
            <w:r w:rsidRPr="007E4A0F">
              <w:rPr>
                <w:sz w:val="20"/>
                <w:vertAlign w:val="superscript"/>
                <w:lang w:val="fr-FR"/>
              </w:rPr>
              <w:t>re</w:t>
            </w:r>
            <w:r w:rsidR="00973988" w:rsidRPr="007E4A0F">
              <w:rPr>
                <w:sz w:val="20"/>
                <w:lang w:val="fr-FR"/>
              </w:rPr>
              <w:t> </w:t>
            </w:r>
            <w:r w:rsidRPr="007E4A0F">
              <w:rPr>
                <w:sz w:val="20"/>
                <w:lang w:val="fr-FR"/>
              </w:rPr>
              <w:t>partie</w:t>
            </w:r>
            <w:r w:rsidR="00547025" w:rsidRPr="007E4A0F">
              <w:rPr>
                <w:sz w:val="20"/>
                <w:lang w:val="fr-FR"/>
              </w:rPr>
              <w:t>)</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août à </w:t>
            </w:r>
            <w:r w:rsidR="00B274E6" w:rsidRPr="007E4A0F">
              <w:rPr>
                <w:sz w:val="20"/>
                <w:lang w:val="fr-FR"/>
              </w:rPr>
              <w:t>octobre 20</w:t>
            </w:r>
            <w:r w:rsidRPr="007E4A0F">
              <w:rPr>
                <w:sz w:val="20"/>
                <w:lang w:val="fr-FR"/>
              </w:rPr>
              <w:t>12</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1</w:t>
            </w:r>
            <w:r w:rsidR="00B274E6" w:rsidRPr="007E4A0F">
              <w:rPr>
                <w:sz w:val="20"/>
                <w:lang w:val="fr-FR"/>
              </w:rPr>
              <w:t>9 décembre 20</w:t>
            </w:r>
            <w:r w:rsidRPr="007E4A0F">
              <w:rPr>
                <w:sz w:val="20"/>
                <w:lang w:val="fr-FR"/>
              </w:rPr>
              <w:t>12</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2</w:t>
            </w:r>
          </w:p>
        </w:tc>
      </w:tr>
      <w:tr w:rsidR="007E4A0F" w:rsidRPr="007E4A0F" w:rsidTr="0012066D">
        <w:trPr>
          <w:trHeight w:val="804"/>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7D19F1" w:rsidP="007D19F1">
            <w:pPr>
              <w:rPr>
                <w:sz w:val="20"/>
                <w:lang w:val="fr-FR"/>
              </w:rPr>
            </w:pPr>
            <w:r w:rsidRPr="007E4A0F">
              <w:rPr>
                <w:sz w:val="20"/>
                <w:lang w:val="fr-FR"/>
              </w:rPr>
              <w:t>Définition et conception (2</w:t>
            </w:r>
            <w:r w:rsidRPr="007E4A0F">
              <w:rPr>
                <w:sz w:val="20"/>
                <w:vertAlign w:val="superscript"/>
                <w:lang w:val="fr-FR"/>
              </w:rPr>
              <w:t>e</w:t>
            </w:r>
            <w:r w:rsidR="00973988" w:rsidRPr="007E4A0F">
              <w:rPr>
                <w:sz w:val="20"/>
                <w:lang w:val="fr-FR"/>
              </w:rPr>
              <w:t> </w:t>
            </w:r>
            <w:r w:rsidRPr="007E4A0F">
              <w:rPr>
                <w:sz w:val="20"/>
                <w:lang w:val="fr-FR"/>
              </w:rPr>
              <w:t>partie</w:t>
            </w:r>
            <w:r w:rsidR="00547025" w:rsidRPr="007E4A0F">
              <w:rPr>
                <w:sz w:val="20"/>
                <w:lang w:val="fr-FR"/>
              </w:rPr>
              <w:t>)</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octobre à </w:t>
            </w:r>
            <w:r w:rsidR="00B274E6" w:rsidRPr="007E4A0F">
              <w:rPr>
                <w:sz w:val="20"/>
                <w:lang w:val="fr-FR"/>
              </w:rPr>
              <w:t>décembre 20</w:t>
            </w:r>
            <w:r w:rsidRPr="007E4A0F">
              <w:rPr>
                <w:sz w:val="20"/>
                <w:lang w:val="fr-FR"/>
              </w:rPr>
              <w:t>12</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5 avril 20</w:t>
            </w:r>
            <w:r w:rsidR="00547025" w:rsidRPr="007E4A0F">
              <w:rPr>
                <w:sz w:val="20"/>
                <w:lang w:val="fr-FR"/>
              </w:rPr>
              <w:t>13</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4</w:t>
            </w:r>
          </w:p>
        </w:tc>
      </w:tr>
      <w:tr w:rsidR="007E4A0F" w:rsidRPr="007E4A0F" w:rsidTr="0012066D">
        <w:trPr>
          <w:trHeight w:val="677"/>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592B36" w:rsidP="00B66121">
            <w:pPr>
              <w:rPr>
                <w:sz w:val="20"/>
                <w:lang w:val="fr-FR"/>
              </w:rPr>
            </w:pPr>
            <w:r w:rsidRPr="007E4A0F">
              <w:rPr>
                <w:sz w:val="20"/>
                <w:lang w:val="fr-FR"/>
              </w:rPr>
              <w:t>Compilation</w:t>
            </w:r>
            <w:r w:rsidR="002E24ED" w:rsidRPr="007E4A0F">
              <w:rPr>
                <w:sz w:val="20"/>
                <w:lang w:val="fr-FR"/>
              </w:rPr>
              <w:t xml:space="preserve"> et test unitaire</w:t>
            </w:r>
            <w:r w:rsidR="00CE412D" w:rsidRPr="007E4A0F">
              <w:rPr>
                <w:sz w:val="20"/>
                <w:lang w:val="fr-FR"/>
              </w:rPr>
              <w:t xml:space="preserve"> </w:t>
            </w:r>
            <w:r w:rsidR="00547025" w:rsidRPr="007E4A0F">
              <w:rPr>
                <w:sz w:val="20"/>
                <w:lang w:val="fr-FR"/>
              </w:rPr>
              <w:t>(</w:t>
            </w:r>
            <w:r w:rsidR="00CF17D3" w:rsidRPr="007E4A0F">
              <w:rPr>
                <w:sz w:val="20"/>
                <w:lang w:val="fr-FR"/>
              </w:rPr>
              <w:t>1</w:t>
            </w:r>
            <w:r w:rsidR="00CF17D3" w:rsidRPr="007E4A0F">
              <w:rPr>
                <w:sz w:val="20"/>
                <w:vertAlign w:val="superscript"/>
                <w:lang w:val="fr-FR"/>
              </w:rPr>
              <w:t>re</w:t>
            </w:r>
            <w:r w:rsidR="00973988" w:rsidRPr="007E4A0F">
              <w:rPr>
                <w:sz w:val="20"/>
                <w:lang w:val="fr-FR"/>
              </w:rPr>
              <w:t> </w:t>
            </w:r>
            <w:r w:rsidR="00CF17D3" w:rsidRPr="007E4A0F">
              <w:rPr>
                <w:sz w:val="20"/>
                <w:lang w:val="fr-FR"/>
              </w:rPr>
              <w:t>partie</w:t>
            </w:r>
            <w:r w:rsidR="00547025" w:rsidRPr="007E4A0F">
              <w:rPr>
                <w:sz w:val="20"/>
                <w:lang w:val="fr-FR"/>
              </w:rPr>
              <w:t>)</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547025">
            <w:pPr>
              <w:jc w:val="center"/>
              <w:rPr>
                <w:sz w:val="20"/>
                <w:lang w:val="fr-FR"/>
              </w:rPr>
            </w:pPr>
            <w:r w:rsidRPr="007E4A0F">
              <w:rPr>
                <w:sz w:val="20"/>
                <w:lang w:val="fr-FR"/>
              </w:rPr>
              <w:t>décembre 20</w:t>
            </w:r>
            <w:r w:rsidR="00547025" w:rsidRPr="007E4A0F">
              <w:rPr>
                <w:sz w:val="20"/>
                <w:lang w:val="fr-FR"/>
              </w:rPr>
              <w:t xml:space="preserve">12 à </w:t>
            </w:r>
            <w:r w:rsidRPr="007E4A0F">
              <w:rPr>
                <w:sz w:val="20"/>
                <w:lang w:val="fr-FR"/>
              </w:rPr>
              <w:t>janvier 20</w:t>
            </w:r>
            <w:r w:rsidR="00547025"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2</w:t>
            </w:r>
            <w:r w:rsidR="00B274E6" w:rsidRPr="007E4A0F">
              <w:rPr>
                <w:sz w:val="20"/>
                <w:lang w:val="fr-FR"/>
              </w:rPr>
              <w:t>9 avril 20</w:t>
            </w:r>
            <w:r w:rsidRPr="007E4A0F">
              <w:rPr>
                <w:sz w:val="20"/>
                <w:lang w:val="fr-FR"/>
              </w:rPr>
              <w:t>13</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3</w:t>
            </w:r>
          </w:p>
        </w:tc>
      </w:tr>
      <w:tr w:rsidR="007E4A0F" w:rsidRPr="007E4A0F" w:rsidTr="0012066D">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592B36" w:rsidP="00B66121">
            <w:pPr>
              <w:rPr>
                <w:sz w:val="20"/>
                <w:lang w:val="fr-FR"/>
              </w:rPr>
            </w:pPr>
            <w:r w:rsidRPr="007E4A0F">
              <w:rPr>
                <w:sz w:val="20"/>
                <w:lang w:val="fr-FR"/>
              </w:rPr>
              <w:t>Compilation</w:t>
            </w:r>
            <w:r w:rsidR="002E24ED" w:rsidRPr="007E4A0F">
              <w:rPr>
                <w:sz w:val="20"/>
                <w:lang w:val="fr-FR"/>
              </w:rPr>
              <w:t xml:space="preserve"> et test unitaire</w:t>
            </w:r>
            <w:r w:rsidR="00CF17D3" w:rsidRPr="007E4A0F">
              <w:rPr>
                <w:sz w:val="20"/>
                <w:lang w:val="fr-FR"/>
              </w:rPr>
              <w:t xml:space="preserve"> (2</w:t>
            </w:r>
            <w:r w:rsidR="00CF17D3" w:rsidRPr="007E4A0F">
              <w:rPr>
                <w:sz w:val="20"/>
                <w:vertAlign w:val="superscript"/>
                <w:lang w:val="fr-FR"/>
              </w:rPr>
              <w:t>e</w:t>
            </w:r>
            <w:r w:rsidR="00973988" w:rsidRPr="007E4A0F">
              <w:rPr>
                <w:sz w:val="20"/>
                <w:lang w:val="fr-FR"/>
              </w:rPr>
              <w:t> </w:t>
            </w:r>
            <w:r w:rsidR="00CF17D3" w:rsidRPr="007E4A0F">
              <w:rPr>
                <w:sz w:val="20"/>
                <w:lang w:val="fr-FR"/>
              </w:rPr>
              <w:t>partie)</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janvier à </w:t>
            </w:r>
            <w:r w:rsidR="00B274E6" w:rsidRPr="007E4A0F">
              <w:rPr>
                <w:sz w:val="20"/>
                <w:lang w:val="fr-FR"/>
              </w:rPr>
              <w:t>avril 20</w:t>
            </w:r>
            <w:r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5 juillet 20</w:t>
            </w:r>
            <w:r w:rsidR="00547025" w:rsidRPr="007E4A0F">
              <w:rPr>
                <w:sz w:val="20"/>
                <w:lang w:val="fr-FR"/>
              </w:rPr>
              <w:t>13</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3</w:t>
            </w:r>
          </w:p>
        </w:tc>
      </w:tr>
      <w:tr w:rsidR="007E4A0F" w:rsidRPr="007E4A0F" w:rsidTr="0012066D">
        <w:trPr>
          <w:trHeight w:val="677"/>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855313" w:rsidP="00855313">
            <w:pPr>
              <w:rPr>
                <w:sz w:val="20"/>
                <w:lang w:val="fr-FR"/>
              </w:rPr>
            </w:pPr>
            <w:r w:rsidRPr="007E4A0F">
              <w:rPr>
                <w:sz w:val="20"/>
                <w:lang w:val="fr-FR"/>
              </w:rPr>
              <w:t>Essai du système</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avril à </w:t>
            </w:r>
            <w:r w:rsidR="00B274E6" w:rsidRPr="007E4A0F">
              <w:rPr>
                <w:sz w:val="20"/>
                <w:lang w:val="fr-FR"/>
              </w:rPr>
              <w:t>juin 20</w:t>
            </w:r>
            <w:r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2 février 20</w:t>
            </w:r>
            <w:r w:rsidR="00547025" w:rsidRPr="007E4A0F">
              <w:rPr>
                <w:sz w:val="20"/>
                <w:lang w:val="fr-FR"/>
              </w:rPr>
              <w:t>14</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7</w:t>
            </w:r>
          </w:p>
        </w:tc>
      </w:tr>
      <w:tr w:rsidR="007E4A0F" w:rsidRPr="007E4A0F" w:rsidTr="0012066D">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352C5D" w:rsidP="00437E7A">
            <w:pPr>
              <w:rPr>
                <w:sz w:val="20"/>
                <w:lang w:val="fr-FR"/>
              </w:rPr>
            </w:pPr>
            <w:r w:rsidRPr="007E4A0F">
              <w:rPr>
                <w:sz w:val="20"/>
                <w:lang w:val="fr-FR"/>
              </w:rPr>
              <w:t xml:space="preserve">Réception </w:t>
            </w:r>
            <w:r w:rsidR="00437E7A" w:rsidRPr="007E4A0F">
              <w:rPr>
                <w:sz w:val="20"/>
                <w:lang w:val="fr-FR"/>
              </w:rPr>
              <w:t>et mise en service</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juin à </w:t>
            </w:r>
            <w:r w:rsidR="00B274E6" w:rsidRPr="007E4A0F">
              <w:rPr>
                <w:sz w:val="20"/>
                <w:lang w:val="fr-FR"/>
              </w:rPr>
              <w:t>août 20</w:t>
            </w:r>
            <w:r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1</w:t>
            </w:r>
            <w:r w:rsidR="00B274E6" w:rsidRPr="007E4A0F">
              <w:rPr>
                <w:sz w:val="20"/>
                <w:lang w:val="fr-FR"/>
              </w:rPr>
              <w:t>7 avril 20</w:t>
            </w:r>
            <w:r w:rsidRPr="007E4A0F">
              <w:rPr>
                <w:sz w:val="20"/>
                <w:lang w:val="fr-FR"/>
              </w:rPr>
              <w:t>14</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8</w:t>
            </w:r>
          </w:p>
        </w:tc>
      </w:tr>
      <w:tr w:rsidR="00547025" w:rsidRPr="007E4A0F" w:rsidTr="0012066D">
        <w:trPr>
          <w:trHeight w:val="689"/>
          <w:tblHeader/>
          <w:jc w:val="center"/>
        </w:trPr>
        <w:tc>
          <w:tcPr>
            <w:tcW w:w="1769"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547025" w:rsidRPr="007E4A0F" w:rsidRDefault="00437E7A" w:rsidP="00E26B4E">
            <w:pPr>
              <w:rPr>
                <w:sz w:val="20"/>
                <w:lang w:val="fr-FR"/>
              </w:rPr>
            </w:pPr>
            <w:r w:rsidRPr="007E4A0F">
              <w:rPr>
                <w:sz w:val="20"/>
                <w:lang w:val="fr-FR"/>
              </w:rPr>
              <w:t>Garantie</w:t>
            </w:r>
          </w:p>
        </w:tc>
        <w:tc>
          <w:tcPr>
            <w:tcW w:w="1413" w:type="pct"/>
            <w:tcBorders>
              <w:top w:val="single" w:sz="4" w:space="0" w:color="auto"/>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août à </w:t>
            </w:r>
            <w:r w:rsidR="00B274E6" w:rsidRPr="007E4A0F">
              <w:rPr>
                <w:sz w:val="20"/>
                <w:lang w:val="fr-FR"/>
              </w:rPr>
              <w:t>octobre 20</w:t>
            </w:r>
            <w:r w:rsidRPr="007E4A0F">
              <w:rPr>
                <w:sz w:val="20"/>
                <w:lang w:val="fr-FR"/>
              </w:rPr>
              <w:t>13</w:t>
            </w:r>
          </w:p>
        </w:tc>
        <w:tc>
          <w:tcPr>
            <w:tcW w:w="997" w:type="pct"/>
            <w:tcBorders>
              <w:top w:val="single" w:sz="4" w:space="0" w:color="auto"/>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9 octobre 20</w:t>
            </w:r>
            <w:r w:rsidR="00547025" w:rsidRPr="007E4A0F">
              <w:rPr>
                <w:sz w:val="20"/>
                <w:lang w:val="fr-FR"/>
              </w:rPr>
              <w:t>14</w:t>
            </w:r>
          </w:p>
        </w:tc>
        <w:tc>
          <w:tcPr>
            <w:tcW w:w="821" w:type="pct"/>
            <w:tcBorders>
              <w:top w:val="single" w:sz="4" w:space="0" w:color="auto"/>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11</w:t>
            </w:r>
          </w:p>
        </w:tc>
      </w:tr>
    </w:tbl>
    <w:p w:rsidR="00947AF6" w:rsidRPr="007E4A0F" w:rsidRDefault="00947AF6" w:rsidP="00E26B4E">
      <w:pPr>
        <w:rPr>
          <w:lang w:val="fr-FR"/>
        </w:rPr>
      </w:pPr>
    </w:p>
    <w:p w:rsidR="00B274E6" w:rsidRPr="007E4A0F" w:rsidRDefault="00264458" w:rsidP="00E26B4E">
      <w:pPr>
        <w:pStyle w:val="Style1"/>
      </w:pPr>
      <w:r w:rsidRPr="007E4A0F">
        <w:t>L</w:t>
      </w:r>
      <w:r w:rsidR="00B274E6" w:rsidRPr="007E4A0F">
        <w:t>’</w:t>
      </w:r>
      <w:r w:rsidRPr="007E4A0F">
        <w:t xml:space="preserve">OMPI </w:t>
      </w:r>
      <w:proofErr w:type="gramStart"/>
      <w:r w:rsidRPr="007E4A0F">
        <w:t>a</w:t>
      </w:r>
      <w:proofErr w:type="gramEnd"/>
      <w:r w:rsidRPr="007E4A0F">
        <w:t xml:space="preserve"> versé pour les travaux ci</w:t>
      </w:r>
      <w:r w:rsidR="00CB1BDA" w:rsidRPr="007E4A0F">
        <w:noBreakHyphen/>
      </w:r>
      <w:r w:rsidRPr="007E4A0F">
        <w:t>dessus au fournisseur la somme de 2 505 517,50</w:t>
      </w:r>
      <w:r w:rsidR="006C7CFD" w:rsidRPr="007E4A0F">
        <w:t> </w:t>
      </w:r>
      <w:r w:rsidRPr="007E4A0F">
        <w:t>francs suisses</w:t>
      </w:r>
      <w:r w:rsidR="00F4404C" w:rsidRPr="007E4A0F">
        <w:t>, ce qui représentait 507 592,50</w:t>
      </w:r>
      <w:r w:rsidR="006C7CFD" w:rsidRPr="007E4A0F">
        <w:t> </w:t>
      </w:r>
      <w:r w:rsidR="00F4404C" w:rsidRPr="007E4A0F">
        <w:t xml:space="preserve">francs suisses (25,41%) de plus que le montant prévu au contrat.  </w:t>
      </w:r>
      <w:r w:rsidR="008A4206" w:rsidRPr="007E4A0F">
        <w:t>Les suppléments se répartissaient comme suit</w:t>
      </w:r>
      <w:r w:rsidR="006C7CFD" w:rsidRPr="007E4A0F">
        <w:t> </w:t>
      </w:r>
      <w:r w:rsidR="008A4206" w:rsidRPr="007E4A0F">
        <w:t>:</w:t>
      </w:r>
    </w:p>
    <w:p w:rsidR="00E26B4E" w:rsidRPr="007E4A0F" w:rsidRDefault="00E26B4E" w:rsidP="00E26B4E">
      <w:pPr>
        <w:rPr>
          <w:lang w:val="fr-FR"/>
        </w:rPr>
      </w:pPr>
    </w:p>
    <w:tbl>
      <w:tblPr>
        <w:tblW w:w="3851" w:type="pct"/>
        <w:tblInd w:w="1242" w:type="dxa"/>
        <w:tblCellMar>
          <w:left w:w="0" w:type="dxa"/>
          <w:right w:w="0" w:type="dxa"/>
        </w:tblCellMar>
        <w:tblLook w:val="04A0" w:firstRow="1" w:lastRow="0" w:firstColumn="1" w:lastColumn="0" w:noHBand="0" w:noVBand="1"/>
      </w:tblPr>
      <w:tblGrid>
        <w:gridCol w:w="3851"/>
        <w:gridCol w:w="3521"/>
      </w:tblGrid>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CB5608" w:rsidP="0012066D">
            <w:pPr>
              <w:jc w:val="center"/>
              <w:rPr>
                <w:b/>
                <w:sz w:val="20"/>
                <w:szCs w:val="24"/>
                <w:lang w:val="fr-FR"/>
              </w:rPr>
            </w:pPr>
            <w:r w:rsidRPr="007E4A0F">
              <w:rPr>
                <w:b/>
                <w:sz w:val="20"/>
                <w:szCs w:val="24"/>
                <w:lang w:val="fr-FR"/>
              </w:rPr>
              <w:t>Objet</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D90990" w:rsidP="00D90990">
            <w:pPr>
              <w:jc w:val="center"/>
              <w:rPr>
                <w:b/>
                <w:sz w:val="20"/>
                <w:szCs w:val="24"/>
                <w:lang w:val="fr-FR"/>
              </w:rPr>
            </w:pPr>
            <w:r w:rsidRPr="007E4A0F">
              <w:rPr>
                <w:b/>
                <w:sz w:val="20"/>
                <w:szCs w:val="24"/>
                <w:lang w:val="fr-FR"/>
              </w:rPr>
              <w:t xml:space="preserve">Supplément </w:t>
            </w:r>
            <w:r w:rsidR="0012066D" w:rsidRPr="007E4A0F">
              <w:rPr>
                <w:b/>
                <w:sz w:val="20"/>
                <w:szCs w:val="24"/>
                <w:lang w:val="fr-FR"/>
              </w:rPr>
              <w:t>(</w:t>
            </w:r>
            <w:r w:rsidRPr="007E4A0F">
              <w:rPr>
                <w:b/>
                <w:sz w:val="20"/>
                <w:szCs w:val="24"/>
                <w:lang w:val="fr-FR"/>
              </w:rPr>
              <w:t>en francs suisses</w:t>
            </w:r>
            <w:r w:rsidR="0012066D" w:rsidRPr="007E4A0F">
              <w:rPr>
                <w:b/>
                <w:sz w:val="20"/>
                <w:szCs w:val="24"/>
                <w:lang w:val="fr-FR"/>
              </w:rPr>
              <w:t>)</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rPr>
                <w:sz w:val="20"/>
                <w:szCs w:val="24"/>
                <w:lang w:val="fr-FR"/>
              </w:rPr>
            </w:pPr>
            <w:r w:rsidRPr="007E4A0F">
              <w:rPr>
                <w:sz w:val="20"/>
                <w:szCs w:val="24"/>
                <w:lang w:val="fr-FR"/>
              </w:rPr>
              <w:t>Prototype</w:t>
            </w:r>
            <w:r w:rsidR="00ED5FAA" w:rsidRPr="007E4A0F">
              <w:rPr>
                <w:sz w:val="20"/>
                <w:szCs w:val="24"/>
                <w:lang w:val="fr-FR"/>
              </w:rPr>
              <w:t xml:space="preserve"> HCR</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98</w:t>
            </w:r>
            <w:r w:rsidR="00547025" w:rsidRPr="007E4A0F">
              <w:rPr>
                <w:sz w:val="20"/>
                <w:szCs w:val="24"/>
                <w:lang w:val="fr-FR"/>
              </w:rPr>
              <w:t> </w:t>
            </w:r>
            <w:r w:rsidRPr="007E4A0F">
              <w:rPr>
                <w:sz w:val="20"/>
                <w:szCs w:val="24"/>
                <w:lang w:val="fr-FR"/>
              </w:rPr>
              <w:t>922</w:t>
            </w:r>
            <w:r w:rsidR="00547025" w:rsidRPr="007E4A0F">
              <w:rPr>
                <w:sz w:val="20"/>
                <w:szCs w:val="24"/>
                <w:lang w:val="fr-FR"/>
              </w:rPr>
              <w:t>,</w:t>
            </w:r>
            <w:r w:rsidRPr="007E4A0F">
              <w:rPr>
                <w:sz w:val="20"/>
                <w:szCs w:val="24"/>
                <w:lang w:val="fr-FR"/>
              </w:rPr>
              <w:t>50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ED5FAA" w:rsidP="00ED5FAA">
            <w:pPr>
              <w:rPr>
                <w:sz w:val="20"/>
                <w:szCs w:val="24"/>
                <w:lang w:val="fr-FR"/>
              </w:rPr>
            </w:pPr>
            <w:r w:rsidRPr="007E4A0F">
              <w:rPr>
                <w:sz w:val="20"/>
                <w:szCs w:val="24"/>
                <w:lang w:val="fr-FR"/>
              </w:rPr>
              <w:t>Formation paie</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13</w:t>
            </w:r>
            <w:r w:rsidR="00547025" w:rsidRPr="007E4A0F">
              <w:rPr>
                <w:sz w:val="20"/>
                <w:szCs w:val="24"/>
                <w:lang w:val="fr-FR"/>
              </w:rPr>
              <w:t> </w:t>
            </w:r>
            <w:r w:rsidRPr="007E4A0F">
              <w:rPr>
                <w:sz w:val="20"/>
                <w:szCs w:val="24"/>
                <w:lang w:val="fr-FR"/>
              </w:rPr>
              <w:t>600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 xml:space="preserve">Demande de modification – étape </w:t>
            </w:r>
            <w:r w:rsidR="0012066D" w:rsidRPr="007E4A0F">
              <w:rPr>
                <w:sz w:val="20"/>
                <w:szCs w:val="24"/>
                <w:lang w:val="fr-FR"/>
              </w:rPr>
              <w:t>1</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20</w:t>
            </w:r>
            <w:r w:rsidR="00547025" w:rsidRPr="007E4A0F">
              <w:rPr>
                <w:sz w:val="20"/>
                <w:szCs w:val="24"/>
                <w:lang w:val="fr-FR"/>
              </w:rPr>
              <w:t> </w:t>
            </w:r>
            <w:r w:rsidRPr="007E4A0F">
              <w:rPr>
                <w:sz w:val="20"/>
                <w:szCs w:val="24"/>
                <w:lang w:val="fr-FR"/>
              </w:rPr>
              <w:t>396</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Demande de modification – étape 2</w:t>
            </w:r>
            <w:r w:rsidR="0012066D" w:rsidRPr="007E4A0F">
              <w:rPr>
                <w:sz w:val="20"/>
                <w:szCs w:val="24"/>
                <w:lang w:val="fr-FR"/>
              </w:rPr>
              <w:t xml:space="preserve"> </w:t>
            </w:r>
            <w:r w:rsidRPr="007E4A0F">
              <w:rPr>
                <w:sz w:val="20"/>
                <w:szCs w:val="24"/>
                <w:lang w:val="fr-FR"/>
              </w:rPr>
              <w:t xml:space="preserve">et demande de modification – étape </w:t>
            </w:r>
            <w:r w:rsidR="0012066D" w:rsidRPr="007E4A0F">
              <w:rPr>
                <w:sz w:val="20"/>
                <w:szCs w:val="24"/>
                <w:lang w:val="fr-FR"/>
              </w:rPr>
              <w:t>3</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47</w:t>
            </w:r>
            <w:r w:rsidR="00547025" w:rsidRPr="007E4A0F">
              <w:rPr>
                <w:sz w:val="20"/>
                <w:szCs w:val="24"/>
                <w:lang w:val="fr-FR"/>
              </w:rPr>
              <w:t> </w:t>
            </w:r>
            <w:r w:rsidRPr="007E4A0F">
              <w:rPr>
                <w:sz w:val="20"/>
                <w:szCs w:val="24"/>
                <w:lang w:val="fr-FR"/>
              </w:rPr>
              <w:t>734</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12066D">
            <w:pPr>
              <w:rPr>
                <w:sz w:val="20"/>
                <w:szCs w:val="24"/>
                <w:lang w:val="fr-FR"/>
              </w:rPr>
            </w:pPr>
            <w:r w:rsidRPr="007E4A0F">
              <w:rPr>
                <w:sz w:val="20"/>
                <w:szCs w:val="24"/>
                <w:lang w:val="fr-FR"/>
              </w:rPr>
              <w:t>Matériel de formation</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52</w:t>
            </w:r>
            <w:r w:rsidR="00547025" w:rsidRPr="007E4A0F">
              <w:rPr>
                <w:sz w:val="20"/>
                <w:szCs w:val="24"/>
                <w:lang w:val="fr-FR"/>
              </w:rPr>
              <w:t> </w:t>
            </w:r>
            <w:r w:rsidRPr="007E4A0F">
              <w:rPr>
                <w:sz w:val="20"/>
                <w:szCs w:val="24"/>
                <w:lang w:val="fr-FR"/>
              </w:rPr>
              <w:t>500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12066D">
            <w:pPr>
              <w:rPr>
                <w:sz w:val="20"/>
                <w:szCs w:val="24"/>
                <w:lang w:val="fr-FR"/>
              </w:rPr>
            </w:pPr>
            <w:r w:rsidRPr="007E4A0F">
              <w:rPr>
                <w:sz w:val="20"/>
                <w:szCs w:val="24"/>
                <w:lang w:val="fr-FR"/>
              </w:rPr>
              <w:t>Interface fournisseur</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3</w:t>
            </w:r>
            <w:r w:rsidR="00547025" w:rsidRPr="007E4A0F">
              <w:rPr>
                <w:sz w:val="20"/>
                <w:szCs w:val="24"/>
                <w:lang w:val="fr-FR"/>
              </w:rPr>
              <w:t> </w:t>
            </w:r>
            <w:r w:rsidRPr="007E4A0F">
              <w:rPr>
                <w:sz w:val="20"/>
                <w:szCs w:val="24"/>
                <w:lang w:val="fr-FR"/>
              </w:rPr>
              <w:t>750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12066D">
            <w:pPr>
              <w:rPr>
                <w:sz w:val="20"/>
                <w:szCs w:val="24"/>
                <w:lang w:val="fr-FR"/>
              </w:rPr>
            </w:pPr>
            <w:r w:rsidRPr="007E4A0F">
              <w:rPr>
                <w:sz w:val="20"/>
                <w:szCs w:val="24"/>
                <w:lang w:val="fr-FR"/>
              </w:rPr>
              <w:t>Sécurité</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16</w:t>
            </w:r>
            <w:r w:rsidR="00547025" w:rsidRPr="007E4A0F">
              <w:rPr>
                <w:sz w:val="20"/>
                <w:szCs w:val="24"/>
                <w:lang w:val="fr-FR"/>
              </w:rPr>
              <w:t> </w:t>
            </w:r>
            <w:r w:rsidRPr="007E4A0F">
              <w:rPr>
                <w:sz w:val="20"/>
                <w:szCs w:val="24"/>
                <w:lang w:val="fr-FR"/>
              </w:rPr>
              <w:t>100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 xml:space="preserve">Demande de modification – étape </w:t>
            </w:r>
            <w:r w:rsidR="0012066D" w:rsidRPr="007E4A0F">
              <w:rPr>
                <w:sz w:val="20"/>
                <w:szCs w:val="24"/>
                <w:lang w:val="fr-FR"/>
              </w:rPr>
              <w:t>4</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22</w:t>
            </w:r>
            <w:r w:rsidR="00547025" w:rsidRPr="007E4A0F">
              <w:rPr>
                <w:sz w:val="20"/>
                <w:szCs w:val="24"/>
                <w:lang w:val="fr-FR"/>
              </w:rPr>
              <w:t> </w:t>
            </w:r>
            <w:r w:rsidRPr="007E4A0F">
              <w:rPr>
                <w:sz w:val="20"/>
                <w:szCs w:val="24"/>
                <w:lang w:val="fr-FR"/>
              </w:rPr>
              <w:t>035</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ED5FAA" w:rsidP="00E32C19">
            <w:pPr>
              <w:rPr>
                <w:sz w:val="20"/>
                <w:szCs w:val="24"/>
                <w:lang w:val="fr-FR"/>
              </w:rPr>
            </w:pPr>
            <w:r w:rsidRPr="007E4A0F">
              <w:rPr>
                <w:sz w:val="20"/>
                <w:szCs w:val="24"/>
                <w:lang w:val="fr-FR"/>
              </w:rPr>
              <w:t>Assistance après</w:t>
            </w:r>
            <w:r w:rsidR="00E32C19" w:rsidRPr="007E4A0F">
              <w:rPr>
                <w:sz w:val="20"/>
                <w:szCs w:val="24"/>
                <w:lang w:val="fr-FR"/>
              </w:rPr>
              <w:t xml:space="preserve"> mise en service</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60</w:t>
            </w:r>
            <w:r w:rsidR="00547025" w:rsidRPr="007E4A0F">
              <w:rPr>
                <w:sz w:val="20"/>
                <w:szCs w:val="24"/>
                <w:lang w:val="fr-FR"/>
              </w:rPr>
              <w:t> </w:t>
            </w:r>
            <w:r w:rsidRPr="007E4A0F">
              <w:rPr>
                <w:sz w:val="20"/>
                <w:szCs w:val="24"/>
                <w:lang w:val="fr-FR"/>
              </w:rPr>
              <w:t>000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 xml:space="preserve">Après </w:t>
            </w:r>
            <w:r w:rsidR="00D90990" w:rsidRPr="007E4A0F">
              <w:rPr>
                <w:sz w:val="20"/>
                <w:szCs w:val="24"/>
                <w:lang w:val="fr-FR"/>
              </w:rPr>
              <w:t xml:space="preserve">les </w:t>
            </w:r>
            <w:r w:rsidRPr="007E4A0F">
              <w:rPr>
                <w:sz w:val="20"/>
                <w:szCs w:val="24"/>
                <w:lang w:val="fr-FR"/>
              </w:rPr>
              <w:t>demande</w:t>
            </w:r>
            <w:r w:rsidR="00D90990" w:rsidRPr="007E4A0F">
              <w:rPr>
                <w:sz w:val="20"/>
                <w:szCs w:val="24"/>
                <w:lang w:val="fr-FR"/>
              </w:rPr>
              <w:t>s</w:t>
            </w:r>
            <w:r w:rsidRPr="007E4A0F">
              <w:rPr>
                <w:sz w:val="20"/>
                <w:szCs w:val="24"/>
                <w:lang w:val="fr-FR"/>
              </w:rPr>
              <w:t xml:space="preserve"> de modification</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157</w:t>
            </w:r>
            <w:r w:rsidR="00547025" w:rsidRPr="007E4A0F">
              <w:rPr>
                <w:sz w:val="20"/>
                <w:szCs w:val="24"/>
                <w:lang w:val="fr-FR"/>
              </w:rPr>
              <w:t> </w:t>
            </w:r>
            <w:r w:rsidRPr="007E4A0F">
              <w:rPr>
                <w:sz w:val="20"/>
                <w:szCs w:val="24"/>
                <w:lang w:val="fr-FR"/>
              </w:rPr>
              <w:t>155</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4417D4" w:rsidP="004417D4">
            <w:pPr>
              <w:rPr>
                <w:sz w:val="20"/>
                <w:szCs w:val="24"/>
                <w:lang w:val="fr-FR"/>
              </w:rPr>
            </w:pPr>
            <w:r w:rsidRPr="007E4A0F">
              <w:rPr>
                <w:sz w:val="20"/>
                <w:szCs w:val="24"/>
                <w:lang w:val="fr-FR"/>
              </w:rPr>
              <w:t>Directeur de transition</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15</w:t>
            </w:r>
            <w:r w:rsidR="00547025" w:rsidRPr="007E4A0F">
              <w:rPr>
                <w:sz w:val="20"/>
                <w:szCs w:val="24"/>
                <w:lang w:val="fr-FR"/>
              </w:rPr>
              <w:t> </w:t>
            </w:r>
            <w:r w:rsidRPr="007E4A0F">
              <w:rPr>
                <w:sz w:val="20"/>
                <w:szCs w:val="24"/>
                <w:lang w:val="fr-FR"/>
              </w:rPr>
              <w:t>400</w:t>
            </w:r>
            <w:r w:rsidR="00547025" w:rsidRPr="007E4A0F">
              <w:rPr>
                <w:sz w:val="20"/>
                <w:szCs w:val="24"/>
                <w:lang w:val="fr-FR"/>
              </w:rPr>
              <w:t>,</w:t>
            </w:r>
            <w:r w:rsidRPr="007E4A0F">
              <w:rPr>
                <w:sz w:val="20"/>
                <w:szCs w:val="24"/>
                <w:lang w:val="fr-FR"/>
              </w:rPr>
              <w:t>00</w:t>
            </w:r>
          </w:p>
        </w:tc>
      </w:tr>
      <w:tr w:rsidR="0012066D"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D90990">
            <w:pPr>
              <w:jc w:val="center"/>
              <w:rPr>
                <w:sz w:val="20"/>
                <w:szCs w:val="24"/>
                <w:lang w:val="fr-FR"/>
              </w:rPr>
            </w:pPr>
            <w:r w:rsidRPr="007E4A0F">
              <w:rPr>
                <w:b/>
                <w:sz w:val="20"/>
                <w:szCs w:val="24"/>
                <w:lang w:val="fr-FR"/>
              </w:rPr>
              <w:t xml:space="preserve">Total </w:t>
            </w:r>
            <w:r w:rsidR="00D90990" w:rsidRPr="007E4A0F">
              <w:rPr>
                <w:b/>
                <w:sz w:val="20"/>
                <w:szCs w:val="24"/>
                <w:lang w:val="fr-FR"/>
              </w:rPr>
              <w:t>des suppléments</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b/>
                <w:sz w:val="20"/>
                <w:szCs w:val="24"/>
                <w:lang w:val="fr-FR"/>
              </w:rPr>
            </w:pPr>
            <w:r w:rsidRPr="007E4A0F">
              <w:rPr>
                <w:b/>
                <w:sz w:val="20"/>
                <w:szCs w:val="24"/>
                <w:lang w:val="fr-FR"/>
              </w:rPr>
              <w:t>507</w:t>
            </w:r>
            <w:r w:rsidR="00547025" w:rsidRPr="007E4A0F">
              <w:rPr>
                <w:b/>
                <w:sz w:val="20"/>
                <w:szCs w:val="24"/>
                <w:lang w:val="fr-FR"/>
              </w:rPr>
              <w:t> </w:t>
            </w:r>
            <w:r w:rsidRPr="007E4A0F">
              <w:rPr>
                <w:b/>
                <w:sz w:val="20"/>
                <w:szCs w:val="24"/>
                <w:lang w:val="fr-FR"/>
              </w:rPr>
              <w:t>592</w:t>
            </w:r>
            <w:r w:rsidR="00547025" w:rsidRPr="007E4A0F">
              <w:rPr>
                <w:b/>
                <w:sz w:val="20"/>
                <w:szCs w:val="24"/>
                <w:lang w:val="fr-FR"/>
              </w:rPr>
              <w:t>,</w:t>
            </w:r>
            <w:r w:rsidRPr="007E4A0F">
              <w:rPr>
                <w:b/>
                <w:sz w:val="20"/>
                <w:szCs w:val="24"/>
                <w:lang w:val="fr-FR"/>
              </w:rPr>
              <w:t>50</w:t>
            </w:r>
          </w:p>
        </w:tc>
      </w:tr>
    </w:tbl>
    <w:p w:rsidR="00947AF6" w:rsidRPr="007E4A0F" w:rsidRDefault="00947AF6" w:rsidP="00E26B4E">
      <w:pPr>
        <w:rPr>
          <w:lang w:val="fr-FR"/>
        </w:rPr>
      </w:pPr>
    </w:p>
    <w:p w:rsidR="00947AF6" w:rsidRPr="007E4A0F" w:rsidRDefault="00F36D21" w:rsidP="00E26B4E">
      <w:pPr>
        <w:pStyle w:val="Style1"/>
      </w:pPr>
      <w:r w:rsidRPr="007E4A0F">
        <w:t>Nous avons observé ce qui suit</w:t>
      </w:r>
      <w:r w:rsidR="006C7CFD" w:rsidRPr="007E4A0F">
        <w:t> </w:t>
      </w:r>
      <w:r w:rsidRPr="007E4A0F">
        <w:t>:</w:t>
      </w:r>
    </w:p>
    <w:p w:rsidR="00947AF6" w:rsidRPr="007E4A0F" w:rsidRDefault="001258F8" w:rsidP="00DC3997">
      <w:pPr>
        <w:pStyle w:val="Style1"/>
        <w:numPr>
          <w:ilvl w:val="1"/>
          <w:numId w:val="15"/>
        </w:numPr>
      </w:pPr>
      <w:r w:rsidRPr="007E4A0F">
        <w:t>les motifs de retard n</w:t>
      </w:r>
      <w:r w:rsidR="00B274E6" w:rsidRPr="007E4A0F">
        <w:t>’</w:t>
      </w:r>
      <w:r w:rsidRPr="007E4A0F">
        <w:t>étant définis dans aucun</w:t>
      </w:r>
      <w:r w:rsidR="00352C5D" w:rsidRPr="007E4A0F">
        <w:t xml:space="preserve"> des </w:t>
      </w:r>
      <w:r w:rsidR="00E31F98" w:rsidRPr="007E4A0F">
        <w:t>documents d</w:t>
      </w:r>
      <w:r w:rsidR="00B274E6" w:rsidRPr="007E4A0F">
        <w:t>’</w:t>
      </w:r>
      <w:r w:rsidR="00E31F98" w:rsidRPr="007E4A0F">
        <w:t>approbation</w:t>
      </w:r>
      <w:r w:rsidR="00352C5D" w:rsidRPr="007E4A0F">
        <w:t>, il n</w:t>
      </w:r>
      <w:r w:rsidR="00B274E6" w:rsidRPr="007E4A0F">
        <w:t>’</w:t>
      </w:r>
      <w:r w:rsidR="00352C5D" w:rsidRPr="007E4A0F">
        <w:t>est pas possible de dire exactement si les retards étaient attribuables au partenaire d</w:t>
      </w:r>
      <w:r w:rsidR="00B274E6" w:rsidRPr="007E4A0F">
        <w:t>’</w:t>
      </w:r>
      <w:r w:rsidR="00352C5D" w:rsidRPr="007E4A0F">
        <w:t xml:space="preserve">exécution </w:t>
      </w:r>
      <w:r w:rsidR="00E32C19" w:rsidRPr="007E4A0F">
        <w:t>ou à l</w:t>
      </w:r>
      <w:r w:rsidR="00B274E6" w:rsidRPr="007E4A0F">
        <w:t>’</w:t>
      </w:r>
      <w:r w:rsidR="00E32C19" w:rsidRPr="007E4A0F">
        <w:t>OMPI;</w:t>
      </w:r>
    </w:p>
    <w:p w:rsidR="00B274E6" w:rsidRPr="007E4A0F" w:rsidRDefault="00E32C19" w:rsidP="00DC3997">
      <w:pPr>
        <w:pStyle w:val="Style1"/>
        <w:numPr>
          <w:ilvl w:val="1"/>
          <w:numId w:val="15"/>
        </w:numPr>
      </w:pPr>
      <w:r w:rsidRPr="007E4A0F">
        <w:lastRenderedPageBreak/>
        <w:t>l</w:t>
      </w:r>
      <w:r w:rsidR="00B274E6" w:rsidRPr="007E4A0F">
        <w:t>’</w:t>
      </w:r>
      <w:r w:rsidRPr="007E4A0F">
        <w:t xml:space="preserve">OMPI </w:t>
      </w:r>
      <w:r w:rsidR="00161ECE" w:rsidRPr="007E4A0F">
        <w:t>a</w:t>
      </w:r>
      <w:r w:rsidRPr="007E4A0F">
        <w:t xml:space="preserve"> établi un cahier des charges distinct pour les travaux ci</w:t>
      </w:r>
      <w:r w:rsidR="00CB1BDA" w:rsidRPr="007E4A0F">
        <w:noBreakHyphen/>
      </w:r>
      <w:r w:rsidRPr="007E4A0F">
        <w:t>dessus, à l</w:t>
      </w:r>
      <w:r w:rsidR="00B274E6" w:rsidRPr="007E4A0F">
        <w:t>’</w:t>
      </w:r>
      <w:r w:rsidRPr="007E4A0F">
        <w:t>exception de l</w:t>
      </w:r>
      <w:r w:rsidR="00B274E6" w:rsidRPr="007E4A0F">
        <w:t>’</w:t>
      </w:r>
      <w:r w:rsidRPr="007E4A0F">
        <w:t xml:space="preserve">assistance après mise en service et du prototype HCR, </w:t>
      </w:r>
      <w:r w:rsidR="0072611F" w:rsidRPr="007E4A0F">
        <w:t xml:space="preserve">et a réglé le fournisseur en conséquence.  </w:t>
      </w:r>
      <w:r w:rsidR="00716AEC" w:rsidRPr="007E4A0F">
        <w:t>L</w:t>
      </w:r>
      <w:r w:rsidR="00B274E6" w:rsidRPr="007E4A0F">
        <w:t>’</w:t>
      </w:r>
      <w:r w:rsidR="00716AEC" w:rsidRPr="007E4A0F">
        <w:t>OMPI a indiqué que le prototype HCR avait été réalisé en dehors du contrat du projet relatif aux ressources humaines et aux états de paie, et ne devait donc pas</w:t>
      </w:r>
      <w:r w:rsidR="00F76952" w:rsidRPr="007E4A0F">
        <w:t xml:space="preserve"> faire part</w:t>
      </w:r>
      <w:r w:rsidR="001358D0" w:rsidRPr="007E4A0F">
        <w:t>ie des suppléments à ce contrat;</w:t>
      </w:r>
    </w:p>
    <w:p w:rsidR="00947AF6" w:rsidRPr="007E4A0F" w:rsidRDefault="001358D0" w:rsidP="00DC3997">
      <w:pPr>
        <w:pStyle w:val="Style1"/>
        <w:numPr>
          <w:ilvl w:val="1"/>
          <w:numId w:val="15"/>
        </w:numPr>
      </w:pPr>
      <w:r w:rsidRPr="007E4A0F">
        <w:t>s</w:t>
      </w:r>
      <w:r w:rsidR="00751AF4" w:rsidRPr="007E4A0F">
        <w:t>ur les sept</w:t>
      </w:r>
      <w:r w:rsidR="006C7CFD" w:rsidRPr="007E4A0F">
        <w:t> </w:t>
      </w:r>
      <w:r w:rsidR="00466F94" w:rsidRPr="007E4A0F">
        <w:t>livrables</w:t>
      </w:r>
      <w:r w:rsidR="0098395E" w:rsidRPr="007E4A0F">
        <w:t>/services</w:t>
      </w:r>
      <w:r w:rsidR="0012066D" w:rsidRPr="007E4A0F">
        <w:t xml:space="preserve"> </w:t>
      </w:r>
      <w:r w:rsidR="00751AF4" w:rsidRPr="007E4A0F">
        <w:t>définis dans le contrat,</w:t>
      </w:r>
      <w:r w:rsidR="00BC0F2C" w:rsidRPr="007E4A0F">
        <w:t xml:space="preserve"> deux</w:t>
      </w:r>
      <w:r w:rsidR="006C7CFD" w:rsidRPr="007E4A0F">
        <w:t> </w:t>
      </w:r>
      <w:r w:rsidR="00485736" w:rsidRPr="007E4A0F">
        <w:t>n</w:t>
      </w:r>
      <w:r w:rsidR="00B274E6" w:rsidRPr="007E4A0F">
        <w:t>’</w:t>
      </w:r>
      <w:r w:rsidR="00485736" w:rsidRPr="007E4A0F">
        <w:t xml:space="preserve">ont pas reçu </w:t>
      </w:r>
      <w:r w:rsidR="009A4FB4" w:rsidRPr="007E4A0F">
        <w:t>la</w:t>
      </w:r>
      <w:r w:rsidR="00485736" w:rsidRPr="007E4A0F">
        <w:t xml:space="preserve"> signature </w:t>
      </w:r>
      <w:r w:rsidR="006D04E1" w:rsidRPr="007E4A0F">
        <w:t>d</w:t>
      </w:r>
      <w:r w:rsidR="00B274E6" w:rsidRPr="007E4A0F">
        <w:t>’</w:t>
      </w:r>
      <w:r w:rsidR="00485736" w:rsidRPr="007E4A0F">
        <w:t xml:space="preserve">approbation, </w:t>
      </w:r>
      <w:r w:rsidR="00B274E6" w:rsidRPr="007E4A0F">
        <w:t>à savoir</w:t>
      </w:r>
      <w:r w:rsidR="00485736" w:rsidRPr="007E4A0F">
        <w:t xml:space="preserve"> </w:t>
      </w:r>
      <w:r w:rsidR="00524088" w:rsidRPr="007E4A0F">
        <w:t>“</w:t>
      </w:r>
      <w:r w:rsidR="006D04E1" w:rsidRPr="007E4A0F">
        <w:t>C</w:t>
      </w:r>
      <w:r w:rsidR="00C76546" w:rsidRPr="007E4A0F">
        <w:t>ontribution à l</w:t>
      </w:r>
      <w:r w:rsidR="00B274E6" w:rsidRPr="007E4A0F">
        <w:t>’</w:t>
      </w:r>
      <w:r w:rsidR="00C76546" w:rsidRPr="007E4A0F">
        <w:t>élaboration de matériel de formation</w:t>
      </w:r>
      <w:r w:rsidR="00524088" w:rsidRPr="007E4A0F">
        <w:t>”</w:t>
      </w:r>
      <w:r w:rsidR="0012066D" w:rsidRPr="007E4A0F">
        <w:t xml:space="preserve"> </w:t>
      </w:r>
      <w:r w:rsidR="00C76546" w:rsidRPr="007E4A0F">
        <w:t>et</w:t>
      </w:r>
      <w:r w:rsidR="0012066D" w:rsidRPr="007E4A0F">
        <w:t xml:space="preserve"> </w:t>
      </w:r>
      <w:r w:rsidR="00524088" w:rsidRPr="007E4A0F">
        <w:t>“</w:t>
      </w:r>
      <w:r w:rsidR="006D04E1" w:rsidRPr="007E4A0F">
        <w:t>A</w:t>
      </w:r>
      <w:r w:rsidR="00C76546" w:rsidRPr="007E4A0F">
        <w:t>ssistance aux essais d</w:t>
      </w:r>
      <w:r w:rsidR="00B274E6" w:rsidRPr="007E4A0F">
        <w:t>’</w:t>
      </w:r>
      <w:r w:rsidR="00C76546" w:rsidRPr="007E4A0F">
        <w:t>intégration</w:t>
      </w:r>
      <w:r w:rsidR="00524088" w:rsidRPr="007E4A0F">
        <w:t>”</w:t>
      </w:r>
      <w:r w:rsidR="00516073" w:rsidRPr="007E4A0F">
        <w:t>,</w:t>
      </w:r>
      <w:r w:rsidR="0012066D" w:rsidRPr="007E4A0F">
        <w:t xml:space="preserve"> </w:t>
      </w:r>
      <w:r w:rsidR="0033319E" w:rsidRPr="007E4A0F">
        <w:t>dans l</w:t>
      </w:r>
      <w:r w:rsidR="00B274E6" w:rsidRPr="007E4A0F">
        <w:t>’</w:t>
      </w:r>
      <w:r w:rsidR="0033319E" w:rsidRPr="007E4A0F">
        <w:t xml:space="preserve">étape </w:t>
      </w:r>
      <w:r w:rsidR="0012066D" w:rsidRPr="007E4A0F">
        <w:t xml:space="preserve">5 </w:t>
      </w:r>
      <w:r w:rsidR="00524088" w:rsidRPr="007E4A0F">
        <w:t>“</w:t>
      </w:r>
      <w:r w:rsidR="00AA235E" w:rsidRPr="007E4A0F">
        <w:t>Compilation</w:t>
      </w:r>
      <w:r w:rsidR="00C76546" w:rsidRPr="007E4A0F">
        <w:t xml:space="preserve"> et test unitaire</w:t>
      </w:r>
      <w:r w:rsidR="0012066D" w:rsidRPr="007E4A0F">
        <w:t xml:space="preserve"> (</w:t>
      </w:r>
      <w:r w:rsidR="00C76546" w:rsidRPr="007E4A0F">
        <w:t>2</w:t>
      </w:r>
      <w:r w:rsidR="00C76546" w:rsidRPr="007E4A0F">
        <w:rPr>
          <w:vertAlign w:val="superscript"/>
        </w:rPr>
        <w:t>e</w:t>
      </w:r>
      <w:r w:rsidR="00973988" w:rsidRPr="007E4A0F">
        <w:t> </w:t>
      </w:r>
      <w:r w:rsidR="00C76546" w:rsidRPr="007E4A0F">
        <w:t>partie</w:t>
      </w:r>
      <w:r w:rsidR="0012066D" w:rsidRPr="007E4A0F">
        <w:t>)</w:t>
      </w:r>
      <w:r w:rsidR="00524088" w:rsidRPr="007E4A0F">
        <w:t>”</w:t>
      </w:r>
      <w:r w:rsidR="0012066D" w:rsidRPr="007E4A0F">
        <w:t xml:space="preserve">. </w:t>
      </w:r>
      <w:r w:rsidR="0033319E" w:rsidRPr="007E4A0F">
        <w:t xml:space="preserve"> </w:t>
      </w:r>
      <w:r w:rsidR="000C0E03" w:rsidRPr="007E4A0F">
        <w:t>S</w:t>
      </w:r>
      <w:r w:rsidR="00B274E6" w:rsidRPr="007E4A0F">
        <w:t>’</w:t>
      </w:r>
      <w:r w:rsidR="000C0E03" w:rsidRPr="007E4A0F">
        <w:t>agissant de la</w:t>
      </w:r>
      <w:r w:rsidR="0012066D" w:rsidRPr="007E4A0F">
        <w:t xml:space="preserve"> </w:t>
      </w:r>
      <w:r w:rsidR="00524088" w:rsidRPr="007E4A0F">
        <w:t>“</w:t>
      </w:r>
      <w:r w:rsidR="000C0E03" w:rsidRPr="007E4A0F">
        <w:t>contribution à l</w:t>
      </w:r>
      <w:r w:rsidR="00B274E6" w:rsidRPr="007E4A0F">
        <w:t>’</w:t>
      </w:r>
      <w:r w:rsidR="000C0E03" w:rsidRPr="007E4A0F">
        <w:t>élaboration de matériel de formation</w:t>
      </w:r>
      <w:r w:rsidR="00524088" w:rsidRPr="007E4A0F">
        <w:t>”</w:t>
      </w:r>
      <w:r w:rsidR="0012066D" w:rsidRPr="007E4A0F">
        <w:t xml:space="preserve">, </w:t>
      </w:r>
      <w:r w:rsidR="006C5FC3" w:rsidRPr="007E4A0F">
        <w:t>l</w:t>
      </w:r>
      <w:r w:rsidR="00B274E6" w:rsidRPr="007E4A0F">
        <w:t>’</w:t>
      </w:r>
      <w:r w:rsidR="006C5FC3" w:rsidRPr="007E4A0F">
        <w:t>OMPI</w:t>
      </w:r>
      <w:r w:rsidR="008F4F07" w:rsidRPr="007E4A0F">
        <w:t xml:space="preserve"> a expliqué avoir été </w:t>
      </w:r>
      <w:r w:rsidR="006D04E1" w:rsidRPr="007E4A0F">
        <w:t>dans l</w:t>
      </w:r>
      <w:r w:rsidR="00B274E6" w:rsidRPr="007E4A0F">
        <w:t>’</w:t>
      </w:r>
      <w:r w:rsidR="006D04E1" w:rsidRPr="007E4A0F">
        <w:t>impossibilité de</w:t>
      </w:r>
      <w:r w:rsidR="005756EF" w:rsidRPr="007E4A0F">
        <w:t xml:space="preserve"> fournir</w:t>
      </w:r>
      <w:r w:rsidR="008F4F07" w:rsidRPr="007E4A0F">
        <w:t xml:space="preserve"> le matériel </w:t>
      </w:r>
      <w:r w:rsidR="005756EF" w:rsidRPr="007E4A0F">
        <w:t xml:space="preserve">de formation en raison de limitations de ressources internes, de sorte que le fournisseur </w:t>
      </w:r>
      <w:r w:rsidR="00466F94" w:rsidRPr="007E4A0F">
        <w:t>ne p</w:t>
      </w:r>
      <w:r w:rsidR="00D5292B" w:rsidRPr="007E4A0F">
        <w:t>ouvai</w:t>
      </w:r>
      <w:r w:rsidR="00466F94" w:rsidRPr="007E4A0F">
        <w:t xml:space="preserve">t pas faire son travail de développement.  </w:t>
      </w:r>
      <w:r w:rsidR="00DE1B6F" w:rsidRPr="007E4A0F">
        <w:t>Une tâche distincte d</w:t>
      </w:r>
      <w:r w:rsidR="00B274E6" w:rsidRPr="007E4A0F">
        <w:t>’</w:t>
      </w:r>
      <w:r w:rsidR="00DE1B6F" w:rsidRPr="007E4A0F">
        <w:t xml:space="preserve">élaboration de matériel de formation </w:t>
      </w:r>
      <w:r w:rsidR="00C238A5" w:rsidRPr="007E4A0F">
        <w:t>d</w:t>
      </w:r>
      <w:r w:rsidR="00B274E6" w:rsidRPr="007E4A0F">
        <w:t>’</w:t>
      </w:r>
      <w:r w:rsidR="00C238A5" w:rsidRPr="007E4A0F">
        <w:t>une valeur de 66 100</w:t>
      </w:r>
      <w:r w:rsidR="006C7CFD" w:rsidRPr="007E4A0F">
        <w:t> </w:t>
      </w:r>
      <w:r w:rsidR="00C238A5" w:rsidRPr="007E4A0F">
        <w:t xml:space="preserve">francs suisses </w:t>
      </w:r>
      <w:r w:rsidR="00DE1B6F" w:rsidRPr="007E4A0F">
        <w:t>a donc été créée</w:t>
      </w:r>
      <w:r w:rsidR="00C238A5" w:rsidRPr="007E4A0F">
        <w:t>.  L</w:t>
      </w:r>
      <w:r w:rsidR="00B274E6" w:rsidRPr="007E4A0F">
        <w:t>’</w:t>
      </w:r>
      <w:r w:rsidR="00C238A5" w:rsidRPr="007E4A0F">
        <w:t>OMPI a confirmé que cette tâche a</w:t>
      </w:r>
      <w:r w:rsidR="00D5292B" w:rsidRPr="007E4A0F">
        <w:t>vait</w:t>
      </w:r>
      <w:r w:rsidR="00C238A5" w:rsidRPr="007E4A0F">
        <w:t xml:space="preserve"> été réalisée à un coût réel de 52 500</w:t>
      </w:r>
      <w:r w:rsidR="006C7CFD" w:rsidRPr="007E4A0F">
        <w:t> </w:t>
      </w:r>
      <w:r w:rsidR="00C238A5" w:rsidRPr="007E4A0F">
        <w:t xml:space="preserve">francs suisses.  </w:t>
      </w:r>
      <w:r w:rsidR="00D728E6" w:rsidRPr="007E4A0F">
        <w:t xml:space="preserve">En ce qui concerne le livrable </w:t>
      </w:r>
      <w:r w:rsidR="00524088" w:rsidRPr="007E4A0F">
        <w:t>“</w:t>
      </w:r>
      <w:r w:rsidR="00D728E6" w:rsidRPr="007E4A0F">
        <w:t>Assistance aux essais d</w:t>
      </w:r>
      <w:r w:rsidR="00B274E6" w:rsidRPr="007E4A0F">
        <w:t>’</w:t>
      </w:r>
      <w:r w:rsidR="00D728E6" w:rsidRPr="007E4A0F">
        <w:t>intégration</w:t>
      </w:r>
      <w:r w:rsidR="00524088" w:rsidRPr="007E4A0F">
        <w:t>”</w:t>
      </w:r>
      <w:r w:rsidR="0012066D" w:rsidRPr="007E4A0F">
        <w:t xml:space="preserve">, </w:t>
      </w:r>
      <w:r w:rsidR="00D728E6" w:rsidRPr="007E4A0F">
        <w:t>il n</w:t>
      </w:r>
      <w:r w:rsidR="00B274E6" w:rsidRPr="007E4A0F">
        <w:t>’</w:t>
      </w:r>
      <w:r w:rsidR="00D728E6" w:rsidRPr="007E4A0F">
        <w:t>aurait pas dû faire partie de l</w:t>
      </w:r>
      <w:r w:rsidR="00B274E6" w:rsidRPr="007E4A0F">
        <w:t>’</w:t>
      </w:r>
      <w:r w:rsidR="00D728E6" w:rsidRPr="007E4A0F">
        <w:t>étape </w:t>
      </w:r>
      <w:r w:rsidR="0012066D" w:rsidRPr="007E4A0F">
        <w:t xml:space="preserve">5, </w:t>
      </w:r>
      <w:r w:rsidR="00D728E6" w:rsidRPr="007E4A0F">
        <w:t xml:space="preserve">puisque cette dernière se rapportait </w:t>
      </w:r>
      <w:r w:rsidR="00AA235E" w:rsidRPr="007E4A0F">
        <w:t>à la compilation et au</w:t>
      </w:r>
      <w:r w:rsidR="00D728E6" w:rsidRPr="007E4A0F">
        <w:t xml:space="preserve"> test unitaire, et non aux essais d</w:t>
      </w:r>
      <w:r w:rsidR="00B274E6" w:rsidRPr="007E4A0F">
        <w:t>’</w:t>
      </w:r>
      <w:r w:rsidR="00D728E6" w:rsidRPr="007E4A0F">
        <w:t xml:space="preserve">intégration.  </w:t>
      </w:r>
      <w:r w:rsidR="00D5292B" w:rsidRPr="007E4A0F">
        <w:t>Elle a été ajoutée par la suite aux livrables de l</w:t>
      </w:r>
      <w:r w:rsidR="00B274E6" w:rsidRPr="007E4A0F">
        <w:t>’</w:t>
      </w:r>
      <w:r w:rsidR="00D5292B" w:rsidRPr="007E4A0F">
        <w:t>étape 6</w:t>
      </w:r>
      <w:r w:rsidR="004A3D36" w:rsidRPr="007E4A0F">
        <w:t>;</w:t>
      </w:r>
    </w:p>
    <w:p w:rsidR="00947AF6" w:rsidRPr="007E4A0F" w:rsidRDefault="004A3D36" w:rsidP="00DC3997">
      <w:pPr>
        <w:pStyle w:val="Style1"/>
        <w:numPr>
          <w:ilvl w:val="1"/>
          <w:numId w:val="15"/>
        </w:numPr>
      </w:pPr>
      <w:r w:rsidRPr="007E4A0F">
        <w:t>s</w:t>
      </w:r>
      <w:r w:rsidR="00D5292B" w:rsidRPr="007E4A0F">
        <w:t>ur les cinq</w:t>
      </w:r>
      <w:r w:rsidR="006C7CFD" w:rsidRPr="007E4A0F">
        <w:t> </w:t>
      </w:r>
      <w:r w:rsidR="00466F94" w:rsidRPr="007E4A0F">
        <w:t>livrables</w:t>
      </w:r>
      <w:r w:rsidR="0098395E" w:rsidRPr="007E4A0F">
        <w:t>/services</w:t>
      </w:r>
      <w:r w:rsidR="0012066D" w:rsidRPr="007E4A0F">
        <w:t xml:space="preserve"> </w:t>
      </w:r>
      <w:r w:rsidR="00D5292B" w:rsidRPr="007E4A0F">
        <w:t>qui ont reçu la signature d</w:t>
      </w:r>
      <w:r w:rsidR="00B274E6" w:rsidRPr="007E4A0F">
        <w:t>’</w:t>
      </w:r>
      <w:r w:rsidR="00D5292B" w:rsidRPr="007E4A0F">
        <w:t>approbation au titre de l</w:t>
      </w:r>
      <w:r w:rsidR="00B274E6" w:rsidRPr="007E4A0F">
        <w:t>’</w:t>
      </w:r>
      <w:r w:rsidR="00D5292B" w:rsidRPr="007E4A0F">
        <w:t xml:space="preserve">étape 5, un était </w:t>
      </w:r>
      <w:r w:rsidR="00AB7521" w:rsidRPr="007E4A0F">
        <w:t xml:space="preserve">achevé, et les autres ont été approuvés </w:t>
      </w:r>
      <w:r w:rsidR="002A2255" w:rsidRPr="007E4A0F">
        <w:t>d</w:t>
      </w:r>
      <w:r w:rsidR="00B274E6" w:rsidRPr="007E4A0F">
        <w:t>’</w:t>
      </w:r>
      <w:r w:rsidR="002A2255" w:rsidRPr="007E4A0F">
        <w:t xml:space="preserve">avance, en </w:t>
      </w:r>
      <w:r w:rsidR="00BC5547" w:rsidRPr="007E4A0F">
        <w:t>prévision de l</w:t>
      </w:r>
      <w:r w:rsidR="00B274E6" w:rsidRPr="007E4A0F">
        <w:t>’</w:t>
      </w:r>
      <w:r w:rsidR="00BC5547" w:rsidRPr="007E4A0F">
        <w:t xml:space="preserve">achèvement du travail par le </w:t>
      </w:r>
      <w:r w:rsidR="002A2255" w:rsidRPr="007E4A0F">
        <w:t>fournisseur</w:t>
      </w:r>
      <w:r w:rsidRPr="007E4A0F">
        <w:t>;</w:t>
      </w:r>
    </w:p>
    <w:p w:rsidR="00947AF6" w:rsidRPr="007E4A0F" w:rsidRDefault="004A3D36" w:rsidP="00DC3997">
      <w:pPr>
        <w:pStyle w:val="Style1"/>
        <w:numPr>
          <w:ilvl w:val="1"/>
          <w:numId w:val="15"/>
        </w:numPr>
      </w:pPr>
      <w:r w:rsidRPr="007E4A0F">
        <w:t>l</w:t>
      </w:r>
      <w:r w:rsidR="00B274E6" w:rsidRPr="007E4A0F">
        <w:t>’</w:t>
      </w:r>
      <w:r w:rsidR="00A00683" w:rsidRPr="007E4A0F">
        <w:t xml:space="preserve">OMPI a </w:t>
      </w:r>
      <w:r w:rsidR="00BC5547" w:rsidRPr="007E4A0F">
        <w:t xml:space="preserve">créé </w:t>
      </w:r>
      <w:r w:rsidR="00D6431C" w:rsidRPr="007E4A0F">
        <w:t>dans l</w:t>
      </w:r>
      <w:r w:rsidR="00B274E6" w:rsidRPr="007E4A0F">
        <w:t>’</w:t>
      </w:r>
      <w:r w:rsidR="00D6431C" w:rsidRPr="007E4A0F">
        <w:t xml:space="preserve">étape 7 </w:t>
      </w:r>
      <w:r w:rsidR="00BC5547" w:rsidRPr="007E4A0F">
        <w:t>une tâche distincte</w:t>
      </w:r>
      <w:r w:rsidR="00D6431C" w:rsidRPr="007E4A0F">
        <w:t xml:space="preserve"> intitulée </w:t>
      </w:r>
      <w:r w:rsidR="00524088" w:rsidRPr="007E4A0F">
        <w:t>“</w:t>
      </w:r>
      <w:r w:rsidR="003A6D56" w:rsidRPr="007E4A0F">
        <w:t>Compilation sécurité, t</w:t>
      </w:r>
      <w:r w:rsidR="00D6431C" w:rsidRPr="007E4A0F">
        <w:t>est unitaire et assistance</w:t>
      </w:r>
      <w:r w:rsidR="00524088" w:rsidRPr="007E4A0F">
        <w:t>”</w:t>
      </w:r>
      <w:r w:rsidR="00D6431C" w:rsidRPr="007E4A0F">
        <w:t xml:space="preserve"> </w:t>
      </w:r>
      <w:r w:rsidR="00B274E6" w:rsidRPr="007E4A0F">
        <w:t>à l’égard</w:t>
      </w:r>
      <w:r w:rsidR="003A6D56" w:rsidRPr="007E4A0F">
        <w:t xml:space="preserve"> de laquelle elle a </w:t>
      </w:r>
      <w:r w:rsidR="00FA6F69" w:rsidRPr="007E4A0F">
        <w:t>versé un montant</w:t>
      </w:r>
      <w:r w:rsidR="003A6D56" w:rsidRPr="007E4A0F">
        <w:t xml:space="preserve"> de 16 100</w:t>
      </w:r>
      <w:r w:rsidR="006C7CFD" w:rsidRPr="007E4A0F">
        <w:t> </w:t>
      </w:r>
      <w:r w:rsidR="003A6D56" w:rsidRPr="007E4A0F">
        <w:t>francs suisses au fournisseur</w:t>
      </w:r>
      <w:r w:rsidR="00E31F98" w:rsidRPr="007E4A0F">
        <w:t>;</w:t>
      </w:r>
    </w:p>
    <w:p w:rsidR="00947AF6" w:rsidRPr="007E4A0F" w:rsidRDefault="00E31F98" w:rsidP="00DC3997">
      <w:pPr>
        <w:pStyle w:val="Style1"/>
        <w:numPr>
          <w:ilvl w:val="0"/>
          <w:numId w:val="0"/>
        </w:numPr>
        <w:ind w:left="567"/>
      </w:pPr>
      <w:proofErr w:type="gramStart"/>
      <w:r w:rsidRPr="007E4A0F">
        <w:t>l</w:t>
      </w:r>
      <w:r w:rsidR="00B274E6" w:rsidRPr="007E4A0F">
        <w:t>’</w:t>
      </w:r>
      <w:r w:rsidR="00AA235E" w:rsidRPr="007E4A0F">
        <w:t>OMPI</w:t>
      </w:r>
      <w:proofErr w:type="gramEnd"/>
      <w:r w:rsidR="00AA235E" w:rsidRPr="007E4A0F">
        <w:t xml:space="preserve"> </w:t>
      </w:r>
      <w:r w:rsidR="00FA6F69" w:rsidRPr="007E4A0F">
        <w:t>a répondu qu</w:t>
      </w:r>
      <w:r w:rsidR="00B274E6" w:rsidRPr="007E4A0F">
        <w:t>’</w:t>
      </w:r>
      <w:r w:rsidR="00FA6F69" w:rsidRPr="007E4A0F">
        <w:t>aux termes du contrat à prix fixe, la conception fonctionnelle et technique de la sécurité</w:t>
      </w:r>
      <w:r w:rsidR="00A1243B" w:rsidRPr="007E4A0F">
        <w:t xml:space="preserve"> (étape 3) devait être assurée par le fournisseur, ce qui avait été fait.  L</w:t>
      </w:r>
      <w:r w:rsidR="00B274E6" w:rsidRPr="007E4A0F">
        <w:t>’</w:t>
      </w:r>
      <w:r w:rsidR="00A1243B" w:rsidRPr="007E4A0F">
        <w:t>OMPI était ensuite responsable de la compilation, du test unitaire et de l</w:t>
      </w:r>
      <w:r w:rsidR="00B274E6" w:rsidRPr="007E4A0F">
        <w:t>’</w:t>
      </w:r>
      <w:r w:rsidR="00A1243B" w:rsidRPr="007E4A0F">
        <w:t>assistance en ce qui concerne la sécurité.  N</w:t>
      </w:r>
      <w:r w:rsidR="00B274E6" w:rsidRPr="007E4A0F">
        <w:t>’</w:t>
      </w:r>
      <w:r w:rsidR="00A1243B" w:rsidRPr="007E4A0F">
        <w:t>étant pas en mesure de s</w:t>
      </w:r>
      <w:r w:rsidR="00B274E6" w:rsidRPr="007E4A0F">
        <w:t>’</w:t>
      </w:r>
      <w:r w:rsidR="00A1243B" w:rsidRPr="007E4A0F">
        <w:t>acquitter de cette obligation, l</w:t>
      </w:r>
      <w:r w:rsidR="00B274E6" w:rsidRPr="007E4A0F">
        <w:t>’</w:t>
      </w:r>
      <w:r w:rsidR="00A1243B" w:rsidRPr="007E4A0F">
        <w:t xml:space="preserve">OMPI </w:t>
      </w:r>
      <w:r w:rsidR="008E1A92" w:rsidRPr="007E4A0F">
        <w:t>l</w:t>
      </w:r>
      <w:r w:rsidR="00B274E6" w:rsidRPr="007E4A0F">
        <w:t>’</w:t>
      </w:r>
      <w:r w:rsidR="008E1A92" w:rsidRPr="007E4A0F">
        <w:t>avait confiée au fournisseur</w:t>
      </w:r>
      <w:r w:rsidR="007F1DDA" w:rsidRPr="007E4A0F">
        <w:t>,</w:t>
      </w:r>
      <w:r w:rsidR="008E1A92" w:rsidRPr="007E4A0F">
        <w:t xml:space="preserve"> en vertu d</w:t>
      </w:r>
      <w:r w:rsidR="00B274E6" w:rsidRPr="007E4A0F">
        <w:t>’</w:t>
      </w:r>
      <w:r w:rsidR="008E1A92" w:rsidRPr="007E4A0F">
        <w:t>un cahier des charges distinct</w:t>
      </w:r>
      <w:r w:rsidR="007F1DDA" w:rsidRPr="007E4A0F">
        <w:t>,</w:t>
      </w:r>
      <w:r w:rsidR="00467387" w:rsidRPr="007E4A0F">
        <w:t xml:space="preserve"> dans le cadre de l</w:t>
      </w:r>
      <w:r w:rsidR="00B274E6" w:rsidRPr="007E4A0F">
        <w:t>’</w:t>
      </w:r>
      <w:r w:rsidR="004A3D36" w:rsidRPr="007E4A0F">
        <w:t>étape</w:t>
      </w:r>
      <w:r w:rsidR="00973988" w:rsidRPr="007E4A0F">
        <w:t> </w:t>
      </w:r>
      <w:r w:rsidR="004A3D36" w:rsidRPr="007E4A0F">
        <w:t>7;</w:t>
      </w:r>
    </w:p>
    <w:p w:rsidR="00947AF6" w:rsidRPr="007E4A0F" w:rsidRDefault="004A3D36" w:rsidP="00DC3997">
      <w:pPr>
        <w:pStyle w:val="Style1"/>
        <w:numPr>
          <w:ilvl w:val="1"/>
          <w:numId w:val="15"/>
        </w:numPr>
      </w:pPr>
      <w:r w:rsidRPr="007E4A0F">
        <w:t>l</w:t>
      </w:r>
      <w:r w:rsidR="00B274E6" w:rsidRPr="007E4A0F">
        <w:t>’</w:t>
      </w:r>
      <w:r w:rsidR="002A6AAB" w:rsidRPr="007E4A0F">
        <w:t>OMPI a versé un montant de 157 155</w:t>
      </w:r>
      <w:r w:rsidR="006C7CFD" w:rsidRPr="007E4A0F">
        <w:t> </w:t>
      </w:r>
      <w:r w:rsidR="002A6AAB" w:rsidRPr="007E4A0F">
        <w:t>francs suisses au fournisseur</w:t>
      </w:r>
      <w:r w:rsidR="004B3D4B" w:rsidRPr="007E4A0F">
        <w:t xml:space="preserve"> en raison du changement </w:t>
      </w:r>
      <w:r w:rsidR="00EB6A8C" w:rsidRPr="007E4A0F">
        <w:t>d</w:t>
      </w:r>
      <w:r w:rsidR="00B274E6" w:rsidRPr="007E4A0F">
        <w:t>’</w:t>
      </w:r>
      <w:r w:rsidR="00EB6A8C" w:rsidRPr="007E4A0F">
        <w:t>étendue des étapes 6 et 7.  Selon les termes du contrat,</w:t>
      </w:r>
      <w:r w:rsidR="0049093C" w:rsidRPr="007E4A0F">
        <w:t xml:space="preserve"> les responsabilités du fournisseur comprenaient l</w:t>
      </w:r>
      <w:r w:rsidR="00B274E6" w:rsidRPr="007E4A0F">
        <w:t>’</w:t>
      </w:r>
      <w:r w:rsidR="0049093C" w:rsidRPr="007E4A0F">
        <w:t>analyse d</w:t>
      </w:r>
      <w:r w:rsidR="00B274E6" w:rsidRPr="007E4A0F">
        <w:t>’</w:t>
      </w:r>
      <w:r w:rsidR="0049093C" w:rsidRPr="007E4A0F">
        <w:t>adéquation, la confirmation des études à réaliser, l</w:t>
      </w:r>
      <w:r w:rsidR="00B274E6" w:rsidRPr="007E4A0F">
        <w:t>’</w:t>
      </w:r>
      <w:r w:rsidR="0049093C" w:rsidRPr="007E4A0F">
        <w:t>appréciation des besoins opérationnels, la définition de la conversion des données et la définition de l</w:t>
      </w:r>
      <w:r w:rsidR="00B274E6" w:rsidRPr="007E4A0F">
        <w:t>’</w:t>
      </w:r>
      <w:r w:rsidR="0049093C" w:rsidRPr="007E4A0F">
        <w:t>interface du module RH avec le système.</w:t>
      </w:r>
      <w:r w:rsidR="00DC19D3" w:rsidRPr="007E4A0F">
        <w:t xml:space="preserve">  Nous avons remarqué que l</w:t>
      </w:r>
      <w:r w:rsidR="00B274E6" w:rsidRPr="007E4A0F">
        <w:t>’</w:t>
      </w:r>
      <w:r w:rsidR="00DC19D3" w:rsidRPr="007E4A0F">
        <w:t xml:space="preserve">émission de la facture relative à la première demande de modification </w:t>
      </w:r>
      <w:r w:rsidR="000806BF" w:rsidRPr="007E4A0F">
        <w:t>datait du</w:t>
      </w:r>
      <w:r w:rsidR="00B74ED6" w:rsidRPr="007E4A0F">
        <w:t xml:space="preserve"> jour même de la signature de l</w:t>
      </w:r>
      <w:r w:rsidR="00B274E6" w:rsidRPr="007E4A0F">
        <w:t>’</w:t>
      </w:r>
      <w:r w:rsidR="00B74ED6" w:rsidRPr="007E4A0F">
        <w:t>approbation de la conception technique (étape</w:t>
      </w:r>
      <w:r w:rsidR="00973988" w:rsidRPr="007E4A0F">
        <w:t> </w:t>
      </w:r>
      <w:r w:rsidR="00B74ED6" w:rsidRPr="007E4A0F">
        <w:t xml:space="preserve">3).  </w:t>
      </w:r>
      <w:r w:rsidR="000806BF" w:rsidRPr="007E4A0F">
        <w:t xml:space="preserve">Cela indique </w:t>
      </w:r>
      <w:r w:rsidR="000806BF" w:rsidRPr="007E4A0F">
        <w:lastRenderedPageBreak/>
        <w:t>que tous les besoins opérationnels n</w:t>
      </w:r>
      <w:r w:rsidR="00B274E6" w:rsidRPr="007E4A0F">
        <w:t>’</w:t>
      </w:r>
      <w:r w:rsidR="000806BF" w:rsidRPr="007E4A0F">
        <w:t xml:space="preserve">avaient pas été </w:t>
      </w:r>
      <w:r w:rsidR="002676A1" w:rsidRPr="007E4A0F">
        <w:t>reconnu</w:t>
      </w:r>
      <w:r w:rsidR="000806BF" w:rsidRPr="007E4A0F">
        <w:t>s au cours de l</w:t>
      </w:r>
      <w:r w:rsidR="00B274E6" w:rsidRPr="007E4A0F">
        <w:t>’</w:t>
      </w:r>
      <w:r w:rsidR="000806BF" w:rsidRPr="007E4A0F">
        <w:t>analyse d</w:t>
      </w:r>
      <w:r w:rsidR="00B274E6" w:rsidRPr="007E4A0F">
        <w:t>’</w:t>
      </w:r>
      <w:r w:rsidR="000806BF" w:rsidRPr="007E4A0F">
        <w:t>adéquation, de sorte qu</w:t>
      </w:r>
      <w:r w:rsidR="00B274E6" w:rsidRPr="007E4A0F">
        <w:t>’</w:t>
      </w:r>
      <w:r w:rsidR="000806BF" w:rsidRPr="007E4A0F">
        <w:t>ils ont fait l</w:t>
      </w:r>
      <w:r w:rsidR="00B274E6" w:rsidRPr="007E4A0F">
        <w:t>’</w:t>
      </w:r>
      <w:r w:rsidR="000806BF" w:rsidRPr="007E4A0F">
        <w:t>objet par la suite de demandes de modification pour lesquelles l</w:t>
      </w:r>
      <w:r w:rsidR="00B274E6" w:rsidRPr="007E4A0F">
        <w:t>’</w:t>
      </w:r>
      <w:r w:rsidR="000806BF" w:rsidRPr="007E4A0F">
        <w:t>OMPI a déboursé un total de 90 165</w:t>
      </w:r>
      <w:r w:rsidR="006C7CFD" w:rsidRPr="007E4A0F">
        <w:t> </w:t>
      </w:r>
      <w:r w:rsidR="000806BF" w:rsidRPr="007E4A0F">
        <w:t>francs suisses</w:t>
      </w:r>
      <w:r w:rsidRPr="007E4A0F">
        <w:t>;</w:t>
      </w:r>
    </w:p>
    <w:p w:rsidR="00947AF6" w:rsidRPr="007E4A0F" w:rsidRDefault="00E31F98" w:rsidP="00DC3997">
      <w:pPr>
        <w:pStyle w:val="Style1"/>
        <w:numPr>
          <w:ilvl w:val="0"/>
          <w:numId w:val="0"/>
        </w:numPr>
        <w:ind w:left="567"/>
      </w:pPr>
      <w:proofErr w:type="gramStart"/>
      <w:r w:rsidRPr="007E4A0F">
        <w:t>l</w:t>
      </w:r>
      <w:r w:rsidR="00B274E6" w:rsidRPr="007E4A0F">
        <w:t>’</w:t>
      </w:r>
      <w:r w:rsidR="00C87C66" w:rsidRPr="007E4A0F">
        <w:t>OMPI</w:t>
      </w:r>
      <w:proofErr w:type="gramEnd"/>
      <w:r w:rsidR="00C87C66" w:rsidRPr="007E4A0F">
        <w:t xml:space="preserve"> a répondu que le recensement des besoins et l</w:t>
      </w:r>
      <w:r w:rsidR="00B274E6" w:rsidRPr="007E4A0F">
        <w:t>’</w:t>
      </w:r>
      <w:r w:rsidR="00C87C66" w:rsidRPr="007E4A0F">
        <w:t>analyse d</w:t>
      </w:r>
      <w:r w:rsidR="00B274E6" w:rsidRPr="007E4A0F">
        <w:t>’</w:t>
      </w:r>
      <w:r w:rsidR="00C87C66" w:rsidRPr="007E4A0F">
        <w:t>adéquation avaient fait ressortir un certain nombre de besoins qui n</w:t>
      </w:r>
      <w:r w:rsidR="00B274E6" w:rsidRPr="007E4A0F">
        <w:t>’</w:t>
      </w:r>
      <w:r w:rsidR="00C87C66" w:rsidRPr="007E4A0F">
        <w:t xml:space="preserve">étaient pas couverts dans le prix fixe original. </w:t>
      </w:r>
      <w:r w:rsidR="00012418" w:rsidRPr="007E4A0F">
        <w:t xml:space="preserve"> Ces besoins supplémentaires ont été examinés et ajoutés dans l</w:t>
      </w:r>
      <w:r w:rsidR="00B274E6" w:rsidRPr="007E4A0F">
        <w:t>’</w:t>
      </w:r>
      <w:r w:rsidR="00012418" w:rsidRPr="007E4A0F">
        <w:t>étape de conception technique.  L</w:t>
      </w:r>
      <w:r w:rsidR="00B274E6" w:rsidRPr="007E4A0F">
        <w:t>’</w:t>
      </w:r>
      <w:r w:rsidR="00012418" w:rsidRPr="007E4A0F">
        <w:t>émission de la facture relative</w:t>
      </w:r>
      <w:r w:rsidR="002676A1" w:rsidRPr="007E4A0F">
        <w:t xml:space="preserve"> à la demande de modification a été lancée une fois la conception technique confirmée par l</w:t>
      </w:r>
      <w:r w:rsidR="00B274E6" w:rsidRPr="007E4A0F">
        <w:t>’</w:t>
      </w:r>
      <w:r w:rsidR="002676A1" w:rsidRPr="007E4A0F">
        <w:t>OMPI.  Par conséquent, la date de la facture relative à la demande de modification est la même que celle de l</w:t>
      </w:r>
      <w:r w:rsidR="00B274E6" w:rsidRPr="007E4A0F">
        <w:t>’</w:t>
      </w:r>
      <w:r w:rsidR="002676A1" w:rsidRPr="007E4A0F">
        <w:t>approbation de l</w:t>
      </w:r>
      <w:r w:rsidR="00B274E6" w:rsidRPr="007E4A0F">
        <w:t>’</w:t>
      </w:r>
      <w:r w:rsidR="002676A1" w:rsidRPr="007E4A0F">
        <w:t>étape de conception technique parce que les deux</w:t>
      </w:r>
      <w:r w:rsidR="00973988" w:rsidRPr="007E4A0F">
        <w:t xml:space="preserve"> </w:t>
      </w:r>
      <w:r w:rsidR="002676A1" w:rsidRPr="007E4A0F">
        <w:t>sont intervenues simultanément, et non parce que les besoins n</w:t>
      </w:r>
      <w:r w:rsidR="00B274E6" w:rsidRPr="007E4A0F">
        <w:t>’</w:t>
      </w:r>
      <w:r w:rsidR="002676A1" w:rsidRPr="007E4A0F">
        <w:t xml:space="preserve">avaient pas </w:t>
      </w:r>
      <w:r w:rsidR="00010FE6" w:rsidRPr="007E4A0F">
        <w:t xml:space="preserve">tous </w:t>
      </w:r>
      <w:r w:rsidR="002676A1" w:rsidRPr="007E4A0F">
        <w:t>été</w:t>
      </w:r>
      <w:r w:rsidR="00010FE6" w:rsidRPr="007E4A0F">
        <w:t xml:space="preserve"> reconnus</w:t>
      </w:r>
      <w:r w:rsidR="004A3D36" w:rsidRPr="007E4A0F">
        <w:t>;</w:t>
      </w:r>
    </w:p>
    <w:p w:rsidR="00947AF6" w:rsidRPr="007E4A0F" w:rsidRDefault="00775173" w:rsidP="00DC3997">
      <w:pPr>
        <w:pStyle w:val="Style1"/>
        <w:numPr>
          <w:ilvl w:val="1"/>
          <w:numId w:val="15"/>
        </w:numPr>
      </w:pPr>
      <w:r w:rsidRPr="007E4A0F">
        <w:t xml:space="preserve">dans </w:t>
      </w:r>
      <w:r w:rsidR="00FF679F" w:rsidRPr="007E4A0F">
        <w:t>le mécanisme de suivi</w:t>
      </w:r>
      <w:r w:rsidRPr="007E4A0F">
        <w:t xml:space="preserve">, les </w:t>
      </w:r>
      <w:r w:rsidR="000F41CE" w:rsidRPr="007E4A0F">
        <w:t>rapports hebdomadaires sur l</w:t>
      </w:r>
      <w:r w:rsidR="00B274E6" w:rsidRPr="007E4A0F">
        <w:t>’</w:t>
      </w:r>
      <w:r w:rsidR="000F41CE" w:rsidRPr="007E4A0F">
        <w:t>état d</w:t>
      </w:r>
      <w:r w:rsidR="00B274E6" w:rsidRPr="007E4A0F">
        <w:t>’</w:t>
      </w:r>
      <w:r w:rsidR="000F41CE" w:rsidRPr="007E4A0F">
        <w:t xml:space="preserve">avancement des projets ne contenaient pas suffisamment de détails pour suivre les progrès réalisés concernant les </w:t>
      </w:r>
      <w:r w:rsidR="00B02593" w:rsidRPr="007E4A0F">
        <w:t>questions en suspens</w:t>
      </w:r>
      <w:r w:rsidR="000F41CE" w:rsidRPr="007E4A0F">
        <w:t>, les livrables/services, les obligations contractuelles et l</w:t>
      </w:r>
      <w:r w:rsidR="00B274E6" w:rsidRPr="007E4A0F">
        <w:t>’</w:t>
      </w:r>
      <w:r w:rsidR="000F41CE" w:rsidRPr="007E4A0F">
        <w:t>exécution du contrat.</w:t>
      </w:r>
    </w:p>
    <w:p w:rsidR="00947AF6" w:rsidRPr="007E4A0F" w:rsidRDefault="00775173" w:rsidP="00E26B4E">
      <w:pPr>
        <w:pStyle w:val="Style1"/>
      </w:pPr>
      <w:r w:rsidRPr="007E4A0F">
        <w:t>L</w:t>
      </w:r>
      <w:r w:rsidR="00B274E6" w:rsidRPr="007E4A0F">
        <w:t>’</w:t>
      </w:r>
      <w:r w:rsidRPr="007E4A0F">
        <w:t>OMPI a répondu que</w:t>
      </w:r>
      <w:r w:rsidR="00B02593" w:rsidRPr="007E4A0F">
        <w:t xml:space="preserve"> </w:t>
      </w:r>
      <w:r w:rsidR="00E66404" w:rsidRPr="007E4A0F">
        <w:t>si d</w:t>
      </w:r>
      <w:r w:rsidR="00B02593" w:rsidRPr="007E4A0F">
        <w:t>es approbations a</w:t>
      </w:r>
      <w:r w:rsidR="00EE17EF" w:rsidRPr="007E4A0F">
        <w:t>vaient</w:t>
      </w:r>
      <w:r w:rsidR="00B02593" w:rsidRPr="007E4A0F">
        <w:t xml:space="preserve"> été données alors que des questions restaient en suspens, </w:t>
      </w:r>
      <w:r w:rsidR="00E66404" w:rsidRPr="007E4A0F">
        <w:t>c</w:t>
      </w:r>
      <w:r w:rsidR="00B274E6" w:rsidRPr="007E4A0F">
        <w:t>’</w:t>
      </w:r>
      <w:r w:rsidR="00E66404" w:rsidRPr="007E4A0F">
        <w:t xml:space="preserve">était </w:t>
      </w:r>
      <w:r w:rsidR="00B02593" w:rsidRPr="007E4A0F">
        <w:t>parce qu</w:t>
      </w:r>
      <w:r w:rsidR="00B274E6" w:rsidRPr="007E4A0F">
        <w:t>’</w:t>
      </w:r>
      <w:r w:rsidR="00E66404" w:rsidRPr="007E4A0F">
        <w:t>il arrivait très rarement, dans les projets importants, que l</w:t>
      </w:r>
      <w:r w:rsidR="00B274E6" w:rsidRPr="007E4A0F">
        <w:t>’</w:t>
      </w:r>
      <w:r w:rsidR="00E66404" w:rsidRPr="007E4A0F">
        <w:t>on puisse tout régler avant de passer au stade suivant.  L</w:t>
      </w:r>
      <w:r w:rsidR="00B274E6" w:rsidRPr="007E4A0F">
        <w:t>’</w:t>
      </w:r>
      <w:r w:rsidR="00E66404" w:rsidRPr="007E4A0F">
        <w:t>évolution de telles questions était suivie</w:t>
      </w:r>
      <w:r w:rsidR="00FE7D68" w:rsidRPr="007E4A0F">
        <w:t xml:space="preserve"> avec attention, afin de s</w:t>
      </w:r>
      <w:r w:rsidR="00B274E6" w:rsidRPr="007E4A0F">
        <w:t>’</w:t>
      </w:r>
      <w:r w:rsidR="00FE7D68" w:rsidRPr="007E4A0F">
        <w:t>assurer qu</w:t>
      </w:r>
      <w:r w:rsidR="00B274E6" w:rsidRPr="007E4A0F">
        <w:t>’</w:t>
      </w:r>
      <w:r w:rsidR="00FE7D68" w:rsidRPr="007E4A0F">
        <w:t xml:space="preserve">elles soient réglées au cours des étapes </w:t>
      </w:r>
      <w:r w:rsidR="00EE17EF" w:rsidRPr="007E4A0F">
        <w:t>ultérieures</w:t>
      </w:r>
      <w:r w:rsidR="00FE7D68" w:rsidRPr="007E4A0F">
        <w:t>.  L</w:t>
      </w:r>
      <w:r w:rsidR="00B274E6" w:rsidRPr="007E4A0F">
        <w:t>’</w:t>
      </w:r>
      <w:r w:rsidR="00FE7D68" w:rsidRPr="007E4A0F">
        <w:t>OMPI</w:t>
      </w:r>
      <w:r w:rsidR="00451AB4" w:rsidRPr="007E4A0F">
        <w:t xml:space="preserve"> a fait part de son intention d</w:t>
      </w:r>
      <w:r w:rsidR="00B274E6" w:rsidRPr="007E4A0F">
        <w:t>’</w:t>
      </w:r>
      <w:r w:rsidR="00451AB4" w:rsidRPr="007E4A0F">
        <w:t>étudier les moyens d</w:t>
      </w:r>
      <w:r w:rsidR="00B274E6" w:rsidRPr="007E4A0F">
        <w:t>’</w:t>
      </w:r>
      <w:r w:rsidR="00451AB4" w:rsidRPr="007E4A0F">
        <w:t>améliorer</w:t>
      </w:r>
      <w:r w:rsidR="00333108" w:rsidRPr="007E4A0F">
        <w:t xml:space="preserve"> le mécanisme de suivi des livrables,</w:t>
      </w:r>
      <w:r w:rsidR="00451AB4" w:rsidRPr="007E4A0F">
        <w:t xml:space="preserve"> tout en reconnaissant </w:t>
      </w:r>
      <w:r w:rsidR="00FE7D68" w:rsidRPr="007E4A0F">
        <w:t>qu</w:t>
      </w:r>
      <w:r w:rsidR="00B274E6" w:rsidRPr="007E4A0F">
        <w:t>’</w:t>
      </w:r>
      <w:r w:rsidR="00451AB4" w:rsidRPr="007E4A0F">
        <w:t>une documentation</w:t>
      </w:r>
      <w:r w:rsidR="00FE7D68" w:rsidRPr="007E4A0F">
        <w:t xml:space="preserve"> en bonne et due forme</w:t>
      </w:r>
      <w:r w:rsidR="00451AB4" w:rsidRPr="007E4A0F">
        <w:t xml:space="preserve"> concernant les modifications</w:t>
      </w:r>
      <w:r w:rsidR="00333108" w:rsidRPr="007E4A0F">
        <w:t xml:space="preserve"> contractuelles </w:t>
      </w:r>
      <w:r w:rsidR="00451AB4" w:rsidRPr="007E4A0F">
        <w:t>constituerait un progrès.</w:t>
      </w:r>
      <w:r w:rsidR="00333108" w:rsidRPr="007E4A0F">
        <w:t xml:space="preserve">  Elle a ajouté que</w:t>
      </w:r>
      <w:r w:rsidR="00E37C44" w:rsidRPr="007E4A0F">
        <w:t xml:space="preserve"> dans le cas particulier du module de base relatif aux ressources humaines et aux états de paie de l</w:t>
      </w:r>
      <w:r w:rsidR="00B274E6" w:rsidRPr="007E4A0F">
        <w:t>’</w:t>
      </w:r>
      <w:r w:rsidR="00E37C44" w:rsidRPr="007E4A0F">
        <w:t>étape</w:t>
      </w:r>
      <w:r w:rsidR="00973988" w:rsidRPr="007E4A0F">
        <w:t> </w:t>
      </w:r>
      <w:r w:rsidR="00E37C44" w:rsidRPr="007E4A0F">
        <w:t xml:space="preserve">5, le problème était dû à une erreur dans le contrat initial, </w:t>
      </w:r>
      <w:r w:rsidR="00B274E6" w:rsidRPr="007E4A0F">
        <w:t>à savoir</w:t>
      </w:r>
      <w:r w:rsidR="00E37C44" w:rsidRPr="007E4A0F">
        <w:t xml:space="preserve"> que les essais d</w:t>
      </w:r>
      <w:r w:rsidR="00B274E6" w:rsidRPr="007E4A0F">
        <w:t>’</w:t>
      </w:r>
      <w:r w:rsidR="00E37C44" w:rsidRPr="007E4A0F">
        <w:t xml:space="preserve">intégration </w:t>
      </w:r>
      <w:r w:rsidR="00B3330E" w:rsidRPr="007E4A0F">
        <w:t xml:space="preserve">auraient dû être reliés à </w:t>
      </w:r>
      <w:proofErr w:type="gramStart"/>
      <w:r w:rsidR="00EE17EF" w:rsidRPr="007E4A0F">
        <w:t>l</w:t>
      </w:r>
      <w:r w:rsidR="00B274E6" w:rsidRPr="007E4A0F">
        <w:t>’</w:t>
      </w:r>
      <w:r w:rsidR="00EE17EF" w:rsidRPr="007E4A0F">
        <w:t>étape</w:t>
      </w:r>
      <w:proofErr w:type="gramEnd"/>
      <w:r w:rsidR="00973988" w:rsidRPr="007E4A0F">
        <w:t> </w:t>
      </w:r>
      <w:r w:rsidR="00B3330E" w:rsidRPr="007E4A0F">
        <w:t>6</w:t>
      </w:r>
      <w:r w:rsidR="00BA39E8" w:rsidRPr="007E4A0F">
        <w:t>, et non à</w:t>
      </w:r>
      <w:r w:rsidR="00B3330E" w:rsidRPr="007E4A0F">
        <w:t xml:space="preserve"> l</w:t>
      </w:r>
      <w:r w:rsidR="00B274E6" w:rsidRPr="007E4A0F">
        <w:t>’</w:t>
      </w:r>
      <w:r w:rsidR="00973988" w:rsidRPr="007E4A0F">
        <w:t>étape </w:t>
      </w:r>
      <w:r w:rsidR="00B3330E" w:rsidRPr="007E4A0F">
        <w:t xml:space="preserve">5.  </w:t>
      </w:r>
      <w:r w:rsidR="00BA39E8" w:rsidRPr="007E4A0F">
        <w:t>En cours d</w:t>
      </w:r>
      <w:r w:rsidR="00B274E6" w:rsidRPr="007E4A0F">
        <w:t>’</w:t>
      </w:r>
      <w:r w:rsidR="00BA39E8" w:rsidRPr="007E4A0F">
        <w:t xml:space="preserve">exécution, </w:t>
      </w:r>
      <w:r w:rsidR="00FE18D8" w:rsidRPr="007E4A0F">
        <w:t>il était possible de le constater et de s</w:t>
      </w:r>
      <w:r w:rsidR="00B274E6" w:rsidRPr="007E4A0F">
        <w:t>’</w:t>
      </w:r>
      <w:r w:rsidR="00FE18D8" w:rsidRPr="007E4A0F">
        <w:t>assurer que le suivi, la livraison et le paiement soient bien attribués à la bonne étape, mais le contrat aurait dû être modifié en conséquence.  L</w:t>
      </w:r>
      <w:r w:rsidR="00B274E6" w:rsidRPr="007E4A0F">
        <w:t>’</w:t>
      </w:r>
      <w:r w:rsidR="00FE18D8" w:rsidRPr="007E4A0F">
        <w:t xml:space="preserve">OMPI a </w:t>
      </w:r>
      <w:r w:rsidR="00333FB1" w:rsidRPr="007E4A0F">
        <w:t>soutenu</w:t>
      </w:r>
      <w:r w:rsidR="00FE18D8" w:rsidRPr="007E4A0F">
        <w:t xml:space="preserve"> que la gestion des livrables était assurée par </w:t>
      </w:r>
      <w:r w:rsidR="00693A94" w:rsidRPr="007E4A0F">
        <w:t>les</w:t>
      </w:r>
      <w:r w:rsidR="004D4273" w:rsidRPr="007E4A0F">
        <w:t xml:space="preserve"> gestionnaires </w:t>
      </w:r>
      <w:r w:rsidR="00693A94" w:rsidRPr="007E4A0F">
        <w:t>de projet</w:t>
      </w:r>
      <w:r w:rsidR="00333FB1" w:rsidRPr="007E4A0F">
        <w:t xml:space="preserve"> pour</w:t>
      </w:r>
      <w:r w:rsidR="00693A94" w:rsidRPr="007E4A0F">
        <w:t xml:space="preserve"> que le suivi et la fourniture des livrables s</w:t>
      </w:r>
      <w:r w:rsidR="00B274E6" w:rsidRPr="007E4A0F">
        <w:t>’</w:t>
      </w:r>
      <w:r w:rsidR="00693A94" w:rsidRPr="007E4A0F">
        <w:t>effectuent conformément aux plans</w:t>
      </w:r>
      <w:r w:rsidR="00C64A17" w:rsidRPr="007E4A0F">
        <w:t xml:space="preserve"> ou aux obligations contractuelles, et que les fournisseurs ne soient réglés qu</w:t>
      </w:r>
      <w:r w:rsidR="00B274E6" w:rsidRPr="007E4A0F">
        <w:t>’</w:t>
      </w:r>
      <w:r w:rsidR="00C64A17" w:rsidRPr="007E4A0F">
        <w:t>après s</w:t>
      </w:r>
      <w:r w:rsidR="00B274E6" w:rsidRPr="007E4A0F">
        <w:t>’</w:t>
      </w:r>
      <w:r w:rsidR="00C64A17" w:rsidRPr="007E4A0F">
        <w:t>être acquittés de leurs obligations contractuelles.</w:t>
      </w:r>
    </w:p>
    <w:p w:rsidR="00947AF6" w:rsidRPr="007E4A0F" w:rsidRDefault="000A6F80" w:rsidP="00A537E0">
      <w:pPr>
        <w:pStyle w:val="Heading4"/>
        <w:rPr>
          <w:lang w:val="fr-FR"/>
        </w:rPr>
      </w:pPr>
      <w:r w:rsidRPr="007E4A0F">
        <w:rPr>
          <w:lang w:val="fr-FR"/>
        </w:rPr>
        <w:lastRenderedPageBreak/>
        <w:t>Recommandation n° 9</w:t>
      </w:r>
    </w:p>
    <w:p w:rsidR="00947AF6" w:rsidRPr="007E4A0F" w:rsidRDefault="00F0694F" w:rsidP="00DC3997">
      <w:pPr>
        <w:pStyle w:val="Heading4"/>
        <w:rPr>
          <w:lang w:val="fr-FR"/>
        </w:rPr>
      </w:pPr>
      <w:r w:rsidRPr="007E4A0F">
        <w:rPr>
          <w:lang w:val="fr-FR"/>
        </w:rPr>
        <w:t>L</w:t>
      </w:r>
      <w:r w:rsidR="00B274E6" w:rsidRPr="007E4A0F">
        <w:rPr>
          <w:lang w:val="fr-FR"/>
        </w:rPr>
        <w:t>’</w:t>
      </w:r>
      <w:r w:rsidRPr="007E4A0F">
        <w:rPr>
          <w:lang w:val="fr-FR"/>
        </w:rPr>
        <w:t>OMPI pourrait renforcer son mécanisme de gestion et de suivi de contrats, de manière à assurer la bonne réalisation, dans les délais voulus, des livrables/services définis pour chaque étape, et documenter plus en détail les modifications contractuelles.</w:t>
      </w:r>
    </w:p>
    <w:p w:rsidR="00947AF6" w:rsidRPr="007E4A0F" w:rsidRDefault="00F24382" w:rsidP="00E26B4E">
      <w:pPr>
        <w:pStyle w:val="Style1"/>
      </w:pPr>
      <w:r w:rsidRPr="007E4A0F">
        <w:t>L</w:t>
      </w:r>
      <w:r w:rsidR="00B274E6" w:rsidRPr="007E4A0F">
        <w:t>’</w:t>
      </w:r>
      <w:r w:rsidRPr="007E4A0F">
        <w:t>OMPI a accepté la recommandation, en indiquant qu</w:t>
      </w:r>
      <w:r w:rsidR="00B274E6" w:rsidRPr="007E4A0F">
        <w:t>’</w:t>
      </w:r>
      <w:r w:rsidRPr="007E4A0F">
        <w:t>elle veillerait à l</w:t>
      </w:r>
      <w:r w:rsidR="00B274E6" w:rsidRPr="007E4A0F">
        <w:t>’</w:t>
      </w:r>
      <w:r w:rsidRPr="007E4A0F">
        <w:t>avenir à ce que toute modification des livrables/étapes</w:t>
      </w:r>
      <w:r w:rsidR="001E7C53" w:rsidRPr="007E4A0F">
        <w:t xml:space="preserve"> figurant au contrat et se rapportant à des étapes déterminées soit documentée et consignée dans un contrat révisé avec le fournisseur.</w:t>
      </w:r>
    </w:p>
    <w:p w:rsidR="00947AF6" w:rsidRPr="007E4A0F" w:rsidRDefault="00FE62C7" w:rsidP="00DC3997">
      <w:pPr>
        <w:pStyle w:val="Heading4"/>
        <w:rPr>
          <w:lang w:val="fr-FR"/>
        </w:rPr>
      </w:pPr>
      <w:r w:rsidRPr="007E4A0F">
        <w:rPr>
          <w:lang w:val="fr-FR"/>
        </w:rPr>
        <w:t>Méthode</w:t>
      </w:r>
      <w:r w:rsidR="001663DE" w:rsidRPr="007E4A0F">
        <w:rPr>
          <w:lang w:val="fr-FR"/>
        </w:rPr>
        <w:t xml:space="preserve"> de gestion de projet </w:t>
      </w:r>
      <w:r w:rsidR="0012066D" w:rsidRPr="007E4A0F">
        <w:rPr>
          <w:lang w:val="fr-FR"/>
        </w:rPr>
        <w:t>PRINCE2</w:t>
      </w:r>
    </w:p>
    <w:p w:rsidR="00B274E6" w:rsidRPr="007E4A0F" w:rsidRDefault="009B2DB9" w:rsidP="00E26B4E">
      <w:pPr>
        <w:pStyle w:val="Style1"/>
      </w:pPr>
      <w:r w:rsidRPr="007E4A0F">
        <w:t>L</w:t>
      </w:r>
      <w:r w:rsidR="00B274E6" w:rsidRPr="007E4A0F">
        <w:t>’</w:t>
      </w:r>
      <w:r w:rsidRPr="007E4A0F">
        <w:t>OMPI a utilisé pour la mise en œuvre du système ERP la méthode de gestion de projet PRINCE2, laquelle définit</w:t>
      </w:r>
      <w:r w:rsidR="00D9225B" w:rsidRPr="007E4A0F">
        <w:t xml:space="preserve"> la planification </w:t>
      </w:r>
      <w:r w:rsidR="00101EE5" w:rsidRPr="007E4A0F">
        <w:t>des étapes comme une composante essentielle</w:t>
      </w:r>
      <w:r w:rsidR="001C3F07" w:rsidRPr="007E4A0F">
        <w:t xml:space="preserve"> du projet</w:t>
      </w:r>
      <w:r w:rsidR="00101EE5" w:rsidRPr="007E4A0F">
        <w:t xml:space="preserve">. </w:t>
      </w:r>
      <w:r w:rsidR="001C3F07" w:rsidRPr="007E4A0F">
        <w:t xml:space="preserve"> </w:t>
      </w:r>
      <w:r w:rsidR="00101EE5" w:rsidRPr="007E4A0F">
        <w:t>C</w:t>
      </w:r>
      <w:r w:rsidR="00B274E6" w:rsidRPr="007E4A0F">
        <w:t>’</w:t>
      </w:r>
      <w:r w:rsidR="00101EE5" w:rsidRPr="007E4A0F">
        <w:t xml:space="preserve">est sur cette méthode que sera fondé le contrôle </w:t>
      </w:r>
      <w:r w:rsidR="0069741F" w:rsidRPr="007E4A0F">
        <w:t>au quotidien</w:t>
      </w:r>
      <w:r w:rsidR="00101EE5" w:rsidRPr="007E4A0F">
        <w:t xml:space="preserve"> du </w:t>
      </w:r>
      <w:r w:rsidR="004D4273" w:rsidRPr="007E4A0F">
        <w:t>gestionnaire de projet</w:t>
      </w:r>
      <w:r w:rsidR="00D9225B" w:rsidRPr="007E4A0F">
        <w:t>.  Le comité chargé du projet (dans le cas de l</w:t>
      </w:r>
      <w:r w:rsidR="00B274E6" w:rsidRPr="007E4A0F">
        <w:t>’</w:t>
      </w:r>
      <w:r w:rsidR="00D9225B" w:rsidRPr="007E4A0F">
        <w:t>OMPI, le comité chargé du portefeuille ERP)</w:t>
      </w:r>
      <w:r w:rsidR="001C3F07" w:rsidRPr="007E4A0F">
        <w:t xml:space="preserve"> est responsable de l</w:t>
      </w:r>
      <w:r w:rsidR="00B274E6" w:rsidRPr="007E4A0F">
        <w:t>’</w:t>
      </w:r>
      <w:r w:rsidR="001C3F07" w:rsidRPr="007E4A0F">
        <w:t>examen et de l</w:t>
      </w:r>
      <w:r w:rsidR="00B274E6" w:rsidRPr="007E4A0F">
        <w:t>’</w:t>
      </w:r>
      <w:r w:rsidR="001C3F07" w:rsidRPr="007E4A0F">
        <w:t>approbation des plans d</w:t>
      </w:r>
      <w:r w:rsidR="00B274E6" w:rsidRPr="007E4A0F">
        <w:t>’</w:t>
      </w:r>
      <w:r w:rsidR="001C3F07" w:rsidRPr="007E4A0F">
        <w:t>étape.  Tout plan majeur</w:t>
      </w:r>
      <w:r w:rsidR="00AC3806" w:rsidRPr="007E4A0F">
        <w:t xml:space="preserve"> et toute dérogation majeure à un plan d</w:t>
      </w:r>
      <w:r w:rsidR="00B274E6" w:rsidRPr="007E4A0F">
        <w:t>’</w:t>
      </w:r>
      <w:r w:rsidR="00AC3806" w:rsidRPr="007E4A0F">
        <w:t>étape accepté nécessite l</w:t>
      </w:r>
      <w:r w:rsidR="00B274E6" w:rsidRPr="007E4A0F">
        <w:t>’</w:t>
      </w:r>
      <w:r w:rsidR="00AC3806" w:rsidRPr="007E4A0F">
        <w:t xml:space="preserve">autorisation du comité chargé du projet.  Ce dernier </w:t>
      </w:r>
      <w:r w:rsidR="00471A87" w:rsidRPr="007E4A0F">
        <w:t>a compétence pour confirmer par sa signature l</w:t>
      </w:r>
      <w:r w:rsidR="00B274E6" w:rsidRPr="007E4A0F">
        <w:t>’</w:t>
      </w:r>
      <w:r w:rsidR="00471A87" w:rsidRPr="007E4A0F">
        <w:t xml:space="preserve">achèvement de chaque étape ainsi que pour autoriser le </w:t>
      </w:r>
      <w:r w:rsidR="00D10DA9" w:rsidRPr="007E4A0F">
        <w:t>la</w:t>
      </w:r>
      <w:r w:rsidR="00471A87" w:rsidRPr="007E4A0F">
        <w:t>ncement de l</w:t>
      </w:r>
      <w:r w:rsidR="00B274E6" w:rsidRPr="007E4A0F">
        <w:t>’</w:t>
      </w:r>
      <w:r w:rsidR="00471A87" w:rsidRPr="007E4A0F">
        <w:t>étape suivante</w:t>
      </w:r>
      <w:r w:rsidR="0012066D" w:rsidRPr="007E4A0F">
        <w:t>.</w:t>
      </w:r>
    </w:p>
    <w:p w:rsidR="00947AF6" w:rsidRPr="007E4A0F" w:rsidRDefault="002D344D" w:rsidP="0069741F">
      <w:pPr>
        <w:pStyle w:val="Style1"/>
      </w:pPr>
      <w:r w:rsidRPr="007E4A0F">
        <w:t xml:space="preserve">Nous avons examiné les documents relatifs au lancement des projets </w:t>
      </w:r>
      <w:r w:rsidR="0069741F" w:rsidRPr="007E4A0F">
        <w:t>O</w:t>
      </w:r>
      <w:r w:rsidRPr="007E4A0F">
        <w:t>rientation, RH Phase</w:t>
      </w:r>
      <w:r w:rsidR="00F9045F" w:rsidRPr="007E4A0F">
        <w:t> </w:t>
      </w:r>
      <w:r w:rsidRPr="007E4A0F">
        <w:t xml:space="preserve">I, </w:t>
      </w:r>
      <w:r w:rsidR="0069741F" w:rsidRPr="007E4A0F">
        <w:t>A</w:t>
      </w:r>
      <w:r w:rsidRPr="007E4A0F">
        <w:t xml:space="preserve">nalyse de données décisionnelles pour la direction, </w:t>
      </w:r>
      <w:r w:rsidR="0069741F" w:rsidRPr="007E4A0F">
        <w:t>Gestion des risques de l</w:t>
      </w:r>
      <w:r w:rsidR="00B274E6" w:rsidRPr="007E4A0F">
        <w:t>’</w:t>
      </w:r>
      <w:r w:rsidR="0069741F" w:rsidRPr="007E4A0F">
        <w:t>Organisation, Gestion de la performance de l</w:t>
      </w:r>
      <w:r w:rsidR="00B274E6" w:rsidRPr="007E4A0F">
        <w:t>’</w:t>
      </w:r>
      <w:r w:rsidR="0069741F" w:rsidRPr="007E4A0F">
        <w:t>Organisation, Outil de réservation en ligne</w:t>
      </w:r>
      <w:r w:rsidRPr="007E4A0F">
        <w:t xml:space="preserve"> </w:t>
      </w:r>
      <w:r w:rsidR="0069741F" w:rsidRPr="007E4A0F">
        <w:t>et Mise à niveau PeopleSoft 9.1, et avons remarqué qu</w:t>
      </w:r>
      <w:r w:rsidR="00B274E6" w:rsidRPr="007E4A0F">
        <w:t>’</w:t>
      </w:r>
      <w:r w:rsidR="0069741F" w:rsidRPr="007E4A0F">
        <w:t>à l</w:t>
      </w:r>
      <w:r w:rsidR="00B274E6" w:rsidRPr="007E4A0F">
        <w:t>’</w:t>
      </w:r>
      <w:r w:rsidR="0069741F" w:rsidRPr="007E4A0F">
        <w:t>exception des projets Gestion de la performance de l</w:t>
      </w:r>
      <w:r w:rsidR="00B274E6" w:rsidRPr="007E4A0F">
        <w:t>’</w:t>
      </w:r>
      <w:r w:rsidR="0069741F" w:rsidRPr="007E4A0F">
        <w:t>Organisation et Analyse de données décisionnelles pour la direction, les étapes n</w:t>
      </w:r>
      <w:r w:rsidR="00B274E6" w:rsidRPr="007E4A0F">
        <w:t>’</w:t>
      </w:r>
      <w:r w:rsidR="0069741F" w:rsidRPr="007E4A0F">
        <w:t>étaient pas définies, ou encore étaient définies en une seule ligne,</w:t>
      </w:r>
      <w:r w:rsidR="0028654B" w:rsidRPr="007E4A0F">
        <w:t xml:space="preserve"> sans que soient fournis les détails nécessaires pour en assurer le suivi au quotidien.</w:t>
      </w:r>
    </w:p>
    <w:p w:rsidR="00947AF6" w:rsidRPr="007E4A0F" w:rsidRDefault="00FE6BD9" w:rsidP="00E26B4E">
      <w:pPr>
        <w:pStyle w:val="Style1"/>
      </w:pPr>
      <w:r w:rsidRPr="007E4A0F">
        <w:t>L</w:t>
      </w:r>
      <w:r w:rsidR="00B274E6" w:rsidRPr="007E4A0F">
        <w:t>’</w:t>
      </w:r>
      <w:r w:rsidRPr="007E4A0F">
        <w:t xml:space="preserve">OMPI a indiqué que la méthode </w:t>
      </w:r>
      <w:r w:rsidR="0012066D" w:rsidRPr="007E4A0F">
        <w:t xml:space="preserve">PRINCE2 </w:t>
      </w:r>
      <w:r w:rsidR="00CD2D35" w:rsidRPr="007E4A0F">
        <w:t>favoris</w:t>
      </w:r>
      <w:r w:rsidR="00FE5546" w:rsidRPr="007E4A0F">
        <w:t>ait l</w:t>
      </w:r>
      <w:r w:rsidR="00B274E6" w:rsidRPr="007E4A0F">
        <w:t>’</w:t>
      </w:r>
      <w:r w:rsidR="00FE5546" w:rsidRPr="007E4A0F">
        <w:t>adaptation et reconnaissait que la taille du projet pouvait rendre superflus</w:t>
      </w:r>
      <w:r w:rsidR="00CD2D35" w:rsidRPr="007E4A0F">
        <w:t xml:space="preserve"> l</w:t>
      </w:r>
      <w:r w:rsidR="00FE5546" w:rsidRPr="007E4A0F">
        <w:t xml:space="preserve">es </w:t>
      </w:r>
      <w:r w:rsidR="00524088" w:rsidRPr="007E4A0F">
        <w:t>“</w:t>
      </w:r>
      <w:r w:rsidR="00FE5546" w:rsidRPr="007E4A0F">
        <w:t>produits de gestion</w:t>
      </w:r>
      <w:r w:rsidR="00524088" w:rsidRPr="007E4A0F">
        <w:t>”</w:t>
      </w:r>
      <w:r w:rsidR="00FE5546" w:rsidRPr="007E4A0F">
        <w:t xml:space="preserve"> tels que les plans d</w:t>
      </w:r>
      <w:r w:rsidR="00B274E6" w:rsidRPr="007E4A0F">
        <w:t>’</w:t>
      </w:r>
      <w:r w:rsidR="00FE5546" w:rsidRPr="007E4A0F">
        <w:t>étape.</w:t>
      </w:r>
      <w:r w:rsidR="002B0976" w:rsidRPr="007E4A0F">
        <w:t xml:space="preserve">  En outre, étant donné que tous les plans de projet et d</w:t>
      </w:r>
      <w:r w:rsidR="00B274E6" w:rsidRPr="007E4A0F">
        <w:t>’</w:t>
      </w:r>
      <w:r w:rsidR="002B0976" w:rsidRPr="007E4A0F">
        <w:t xml:space="preserve">étape sont </w:t>
      </w:r>
      <w:r w:rsidR="00B91D5A" w:rsidRPr="007E4A0F">
        <w:t>approuvés</w:t>
      </w:r>
      <w:r w:rsidR="002B0976" w:rsidRPr="007E4A0F">
        <w:t xml:space="preserve"> par les conseils compétents de la structure de gouvernance,</w:t>
      </w:r>
      <w:r w:rsidR="009D2FDC" w:rsidRPr="007E4A0F">
        <w:t xml:space="preserve"> </w:t>
      </w:r>
      <w:r w:rsidR="00B66F82" w:rsidRPr="007E4A0F">
        <w:t>la documentation de ces décisions ne sera pas considérée comme une valeur ajoutée pour la gestion du portefeuille.</w:t>
      </w:r>
    </w:p>
    <w:p w:rsidR="00947AF6" w:rsidRPr="007E4A0F" w:rsidRDefault="002A26E0" w:rsidP="00E26B4E">
      <w:pPr>
        <w:pStyle w:val="Style1"/>
      </w:pPr>
      <w:r w:rsidRPr="007E4A0F">
        <w:t xml:space="preserve">Nous avons </w:t>
      </w:r>
      <w:r w:rsidR="00B91D5A" w:rsidRPr="007E4A0F">
        <w:t>observ</w:t>
      </w:r>
      <w:r w:rsidRPr="007E4A0F">
        <w:t>é que si la méthode PRINCE2 favorisait l</w:t>
      </w:r>
      <w:r w:rsidR="00B274E6" w:rsidRPr="007E4A0F">
        <w:t>’</w:t>
      </w:r>
      <w:r w:rsidRPr="007E4A0F">
        <w:t>adaptation,</w:t>
      </w:r>
      <w:r w:rsidR="00B91D5A" w:rsidRPr="007E4A0F">
        <w:t xml:space="preserve"> </w:t>
      </w:r>
      <w:r w:rsidR="001B7EDD" w:rsidRPr="007E4A0F">
        <w:t>elle indiquait également qu</w:t>
      </w:r>
      <w:r w:rsidR="00B274E6" w:rsidRPr="007E4A0F">
        <w:t>’</w:t>
      </w:r>
      <w:r w:rsidR="001B7EDD" w:rsidRPr="007E4A0F">
        <w:t>un plan d</w:t>
      </w:r>
      <w:r w:rsidR="00B274E6" w:rsidRPr="007E4A0F">
        <w:t>’</w:t>
      </w:r>
      <w:r w:rsidR="001B7EDD" w:rsidRPr="007E4A0F">
        <w:t>étape n</w:t>
      </w:r>
      <w:r w:rsidR="00B274E6" w:rsidRPr="007E4A0F">
        <w:t>’</w:t>
      </w:r>
      <w:r w:rsidR="001B7EDD" w:rsidRPr="007E4A0F">
        <w:t>était peut</w:t>
      </w:r>
      <w:r w:rsidR="00CB1BDA" w:rsidRPr="007E4A0F">
        <w:noBreakHyphen/>
      </w:r>
      <w:r w:rsidR="001B7EDD" w:rsidRPr="007E4A0F">
        <w:t>être pas indispensable si la livraison du projet comportait une seule étape.  Par ailleurs, nous estimons que le processus d</w:t>
      </w:r>
      <w:r w:rsidR="00B274E6" w:rsidRPr="007E4A0F">
        <w:t>’</w:t>
      </w:r>
      <w:r w:rsidR="001B7EDD" w:rsidRPr="007E4A0F">
        <w:t>adaptation</w:t>
      </w:r>
      <w:r w:rsidR="00A74BEA" w:rsidRPr="007E4A0F">
        <w:t xml:space="preserve"> pour un projet spécifique devrait être documenté.</w:t>
      </w:r>
    </w:p>
    <w:p w:rsidR="00947AF6" w:rsidRPr="007E4A0F" w:rsidRDefault="000A6F80" w:rsidP="00A537E0">
      <w:pPr>
        <w:pStyle w:val="Heading4"/>
        <w:rPr>
          <w:lang w:val="fr-FR"/>
        </w:rPr>
      </w:pPr>
      <w:r w:rsidRPr="007E4A0F">
        <w:rPr>
          <w:lang w:val="fr-FR"/>
        </w:rPr>
        <w:lastRenderedPageBreak/>
        <w:t>Recommandation n° 1</w:t>
      </w:r>
      <w:r w:rsidR="00A537E0" w:rsidRPr="007E4A0F">
        <w:rPr>
          <w:lang w:val="fr-FR"/>
        </w:rPr>
        <w:t>0</w:t>
      </w:r>
    </w:p>
    <w:p w:rsidR="00947AF6" w:rsidRPr="007E4A0F" w:rsidRDefault="00385567" w:rsidP="00DC3997">
      <w:pPr>
        <w:pStyle w:val="Heading4"/>
        <w:rPr>
          <w:lang w:val="fr-FR"/>
        </w:rPr>
      </w:pPr>
      <w:r w:rsidRPr="007E4A0F">
        <w:rPr>
          <w:lang w:val="fr-FR"/>
        </w:rPr>
        <w:t>L</w:t>
      </w:r>
      <w:r w:rsidR="00B274E6" w:rsidRPr="007E4A0F">
        <w:rPr>
          <w:lang w:val="fr-FR"/>
        </w:rPr>
        <w:t>’</w:t>
      </w:r>
      <w:r w:rsidRPr="007E4A0F">
        <w:rPr>
          <w:lang w:val="fr-FR"/>
        </w:rPr>
        <w:t>OMPI pourrait envisager de documenter à l</w:t>
      </w:r>
      <w:r w:rsidR="00B274E6" w:rsidRPr="007E4A0F">
        <w:rPr>
          <w:lang w:val="fr-FR"/>
        </w:rPr>
        <w:t>’</w:t>
      </w:r>
      <w:r w:rsidRPr="007E4A0F">
        <w:rPr>
          <w:lang w:val="fr-FR"/>
        </w:rPr>
        <w:t>avenir la justification</w:t>
      </w:r>
      <w:r w:rsidR="00646335" w:rsidRPr="007E4A0F">
        <w:rPr>
          <w:lang w:val="fr-FR"/>
        </w:rPr>
        <w:t xml:space="preserve"> de toute décision de ne pas élaborer</w:t>
      </w:r>
      <w:r w:rsidR="000B0F75" w:rsidRPr="007E4A0F">
        <w:rPr>
          <w:lang w:val="fr-FR"/>
        </w:rPr>
        <w:t xml:space="preserve"> de plan d</w:t>
      </w:r>
      <w:r w:rsidR="00B274E6" w:rsidRPr="007E4A0F">
        <w:rPr>
          <w:lang w:val="fr-FR"/>
        </w:rPr>
        <w:t>’</w:t>
      </w:r>
      <w:r w:rsidR="000B0F75" w:rsidRPr="007E4A0F">
        <w:rPr>
          <w:lang w:val="fr-FR"/>
        </w:rPr>
        <w:t>étape.</w:t>
      </w:r>
    </w:p>
    <w:p w:rsidR="00947AF6" w:rsidRPr="007E4A0F" w:rsidRDefault="0099464B" w:rsidP="00E26B4E">
      <w:pPr>
        <w:pStyle w:val="Style1"/>
      </w:pPr>
      <w:r w:rsidRPr="007E4A0F">
        <w:t>L</w:t>
      </w:r>
      <w:r w:rsidR="00B274E6" w:rsidRPr="007E4A0F">
        <w:t>’</w:t>
      </w:r>
      <w:r w:rsidRPr="007E4A0F">
        <w:t xml:space="preserve">OMPI a accepté la recommandation et indiqué que les documents relatifs au lancement de projets du système ERP </w:t>
      </w:r>
      <w:r w:rsidR="00EF344C" w:rsidRPr="007E4A0F">
        <w:t>rendraient compte</w:t>
      </w:r>
      <w:r w:rsidRPr="007E4A0F">
        <w:t xml:space="preserve"> à l</w:t>
      </w:r>
      <w:r w:rsidR="00B274E6" w:rsidRPr="007E4A0F">
        <w:t>’</w:t>
      </w:r>
      <w:r w:rsidRPr="007E4A0F">
        <w:t xml:space="preserve">avenir </w:t>
      </w:r>
      <w:r w:rsidR="00EF344C" w:rsidRPr="007E4A0F">
        <w:t xml:space="preserve">de </w:t>
      </w:r>
      <w:r w:rsidRPr="007E4A0F">
        <w:t>toute adaptation –</w:t>
      </w:r>
      <w:r w:rsidR="003933EC" w:rsidRPr="007E4A0F">
        <w:t xml:space="preserve"> par exemple l</w:t>
      </w:r>
      <w:r w:rsidR="00B274E6" w:rsidRPr="007E4A0F">
        <w:t>’</w:t>
      </w:r>
      <w:r w:rsidRPr="007E4A0F">
        <w:t>absence de plan d</w:t>
      </w:r>
      <w:r w:rsidR="00B274E6" w:rsidRPr="007E4A0F">
        <w:t>’</w:t>
      </w:r>
      <w:r w:rsidRPr="007E4A0F">
        <w:t>étape – apportée au projet.</w:t>
      </w:r>
    </w:p>
    <w:p w:rsidR="00947AF6" w:rsidRPr="007E4A0F" w:rsidRDefault="00CE2F6D" w:rsidP="00ED4876">
      <w:pPr>
        <w:pStyle w:val="Heading4"/>
        <w:rPr>
          <w:lang w:val="fr-FR"/>
        </w:rPr>
      </w:pPr>
      <w:r w:rsidRPr="007E4A0F">
        <w:rPr>
          <w:lang w:val="fr-FR"/>
        </w:rPr>
        <w:t>Tolérances et rapports d</w:t>
      </w:r>
      <w:r w:rsidR="00B274E6" w:rsidRPr="007E4A0F">
        <w:rPr>
          <w:lang w:val="fr-FR"/>
        </w:rPr>
        <w:t>’</w:t>
      </w:r>
      <w:r w:rsidRPr="007E4A0F">
        <w:rPr>
          <w:lang w:val="fr-FR"/>
        </w:rPr>
        <w:t>exception</w:t>
      </w:r>
    </w:p>
    <w:p w:rsidR="00947AF6" w:rsidRPr="007E4A0F" w:rsidRDefault="00CE2F6D" w:rsidP="00E26B4E">
      <w:pPr>
        <w:pStyle w:val="Style1"/>
      </w:pPr>
      <w:r w:rsidRPr="007E4A0F">
        <w:t xml:space="preserve">La méthode de gestion de projet </w:t>
      </w:r>
      <w:r w:rsidR="0012066D" w:rsidRPr="007E4A0F">
        <w:t>PRINCE2</w:t>
      </w:r>
      <w:r w:rsidRPr="007E4A0F">
        <w:t xml:space="preserve"> décrit le rapport d</w:t>
      </w:r>
      <w:r w:rsidR="00B274E6" w:rsidRPr="007E4A0F">
        <w:t>’</w:t>
      </w:r>
      <w:r w:rsidRPr="007E4A0F">
        <w:t>exception comme un outil essentiel pour mettre en évidence une déviation</w:t>
      </w:r>
      <w:r w:rsidR="008772D8" w:rsidRPr="007E4A0F">
        <w:t xml:space="preserve"> dans la gestion d</w:t>
      </w:r>
      <w:r w:rsidR="00B274E6" w:rsidRPr="007E4A0F">
        <w:t>’</w:t>
      </w:r>
      <w:r w:rsidR="008772D8" w:rsidRPr="007E4A0F">
        <w:t>un projet.  Un rapport d</w:t>
      </w:r>
      <w:r w:rsidR="00B274E6" w:rsidRPr="007E4A0F">
        <w:t>’</w:t>
      </w:r>
      <w:r w:rsidR="008772D8" w:rsidRPr="007E4A0F">
        <w:t xml:space="preserve">exception identifie une déviation anticipée, </w:t>
      </w:r>
      <w:r w:rsidR="00393154" w:rsidRPr="007E4A0F">
        <w:t xml:space="preserve">présente une </w:t>
      </w:r>
      <w:r w:rsidR="001C475B" w:rsidRPr="007E4A0F">
        <w:t>analyse</w:t>
      </w:r>
      <w:r w:rsidR="008772D8" w:rsidRPr="007E4A0F">
        <w:t xml:space="preserve"> </w:t>
      </w:r>
      <w:r w:rsidR="00393154" w:rsidRPr="007E4A0F">
        <w:t>de</w:t>
      </w:r>
      <w:r w:rsidR="008772D8" w:rsidRPr="007E4A0F">
        <w:t xml:space="preserve"> l</w:t>
      </w:r>
      <w:r w:rsidR="00B274E6" w:rsidRPr="007E4A0F">
        <w:t>’</w:t>
      </w:r>
      <w:r w:rsidR="008772D8" w:rsidRPr="007E4A0F">
        <w:t xml:space="preserve">exception et </w:t>
      </w:r>
      <w:r w:rsidR="00393154" w:rsidRPr="007E4A0F">
        <w:t>des options possibles pour la suite du projet</w:t>
      </w:r>
      <w:r w:rsidR="00EF344C" w:rsidRPr="007E4A0F">
        <w:t>,</w:t>
      </w:r>
      <w:r w:rsidR="00393154" w:rsidRPr="007E4A0F">
        <w:t xml:space="preserve"> et </w:t>
      </w:r>
      <w:r w:rsidR="00EC00C8" w:rsidRPr="007E4A0F">
        <w:t>désigne l</w:t>
      </w:r>
      <w:r w:rsidR="00B274E6" w:rsidRPr="007E4A0F">
        <w:t>’</w:t>
      </w:r>
      <w:r w:rsidR="00EC00C8" w:rsidRPr="007E4A0F">
        <w:t>option recommandée.</w:t>
      </w:r>
    </w:p>
    <w:p w:rsidR="00947AF6" w:rsidRPr="007E4A0F" w:rsidRDefault="00AB780C" w:rsidP="00E26B4E">
      <w:pPr>
        <w:pStyle w:val="Style1"/>
      </w:pPr>
      <w:r w:rsidRPr="007E4A0F">
        <w:t>Nous avons examiné les documents relatifs au lancement des projets Orientation, RH Phase I, Analyse de données décisionnelles pour la direction, Gestion des risques de l</w:t>
      </w:r>
      <w:r w:rsidR="00B274E6" w:rsidRPr="007E4A0F">
        <w:t>’</w:t>
      </w:r>
      <w:r w:rsidRPr="007E4A0F">
        <w:t>Organisation, Gestion de la performance de l</w:t>
      </w:r>
      <w:r w:rsidR="00B274E6" w:rsidRPr="007E4A0F">
        <w:t>’</w:t>
      </w:r>
      <w:r w:rsidRPr="007E4A0F">
        <w:t>Organisation, Outil de réservation en ligne et Mise à niveau PeopleSoft 9.1, et avons remarqué qu</w:t>
      </w:r>
      <w:r w:rsidR="00B274E6" w:rsidRPr="007E4A0F">
        <w:t>’</w:t>
      </w:r>
      <w:r w:rsidRPr="007E4A0F">
        <w:t>à l</w:t>
      </w:r>
      <w:r w:rsidR="00B274E6" w:rsidRPr="007E4A0F">
        <w:t>’</w:t>
      </w:r>
      <w:r w:rsidRPr="007E4A0F">
        <w:t>exception de la mise à niveau PeopleSoft 9.1 et de l</w:t>
      </w:r>
      <w:r w:rsidR="00B274E6" w:rsidRPr="007E4A0F">
        <w:t>’</w:t>
      </w:r>
      <w:r w:rsidRPr="007E4A0F">
        <w:t>outil de réservation en ligne</w:t>
      </w:r>
      <w:r w:rsidR="00EF344C" w:rsidRPr="007E4A0F">
        <w:t>,</w:t>
      </w:r>
      <w:r w:rsidRPr="007E4A0F">
        <w:t xml:space="preserve"> aucune tolérance n</w:t>
      </w:r>
      <w:r w:rsidR="00B274E6" w:rsidRPr="007E4A0F">
        <w:t>’</w:t>
      </w:r>
      <w:r w:rsidRPr="007E4A0F">
        <w:t>avait été définie.  Qui plus est, aucun rapport d</w:t>
      </w:r>
      <w:r w:rsidR="00B274E6" w:rsidRPr="007E4A0F">
        <w:t>’</w:t>
      </w:r>
      <w:r w:rsidRPr="007E4A0F">
        <w:t>exception n</w:t>
      </w:r>
      <w:r w:rsidR="00B274E6" w:rsidRPr="007E4A0F">
        <w:t>’</w:t>
      </w:r>
      <w:r w:rsidRPr="007E4A0F">
        <w:t>avait été soumis au comité chargé du projet ni au comité chargé du portefeuille, sauf dans le cas de l</w:t>
      </w:r>
      <w:r w:rsidR="00B274E6" w:rsidRPr="007E4A0F">
        <w:t>’</w:t>
      </w:r>
      <w:r w:rsidRPr="007E4A0F">
        <w:t>analyse de données décisionnelles pour la direction.</w:t>
      </w:r>
    </w:p>
    <w:p w:rsidR="00947AF6" w:rsidRPr="007E4A0F" w:rsidRDefault="00554F83" w:rsidP="00E26B4E">
      <w:pPr>
        <w:pStyle w:val="Style1"/>
      </w:pPr>
      <w:r w:rsidRPr="007E4A0F">
        <w:t>L</w:t>
      </w:r>
      <w:r w:rsidR="00B274E6" w:rsidRPr="007E4A0F">
        <w:t>’</w:t>
      </w:r>
      <w:r w:rsidRPr="007E4A0F">
        <w:t>OMPI a déclaré que chaque projet était évalué au cas par cas par le comité chargé de la mise en œuvre du portefeuille AIMS afin de décider</w:t>
      </w:r>
      <w:r w:rsidR="00AD7709" w:rsidRPr="007E4A0F">
        <w:t xml:space="preserve"> si des tolérances </w:t>
      </w:r>
      <w:r w:rsidR="00D14F11" w:rsidRPr="007E4A0F">
        <w:t>étaient</w:t>
      </w:r>
      <w:r w:rsidR="00AD7709" w:rsidRPr="007E4A0F">
        <w:t xml:space="preserve"> applicables et, dans l</w:t>
      </w:r>
      <w:r w:rsidR="00B274E6" w:rsidRPr="007E4A0F">
        <w:t>’</w:t>
      </w:r>
      <w:r w:rsidR="00AD7709" w:rsidRPr="007E4A0F">
        <w:t>affirmative, jusqu</w:t>
      </w:r>
      <w:r w:rsidR="00B274E6" w:rsidRPr="007E4A0F">
        <w:t>’</w:t>
      </w:r>
      <w:r w:rsidR="00AD7709" w:rsidRPr="007E4A0F">
        <w:t>à quel niveau</w:t>
      </w:r>
      <w:r w:rsidR="00EF344C" w:rsidRPr="007E4A0F">
        <w:t xml:space="preserve"> –</w:t>
      </w:r>
      <w:r w:rsidR="00AD7709" w:rsidRPr="007E4A0F">
        <w:t xml:space="preserve"> l</w:t>
      </w:r>
      <w:r w:rsidR="00B274E6" w:rsidRPr="007E4A0F">
        <w:t>’</w:t>
      </w:r>
      <w:r w:rsidR="00AD7709" w:rsidRPr="007E4A0F">
        <w:t>absence de tolérances signifia</w:t>
      </w:r>
      <w:r w:rsidR="00D14F11" w:rsidRPr="007E4A0F">
        <w:t>n</w:t>
      </w:r>
      <w:r w:rsidR="00AD7709" w:rsidRPr="007E4A0F">
        <w:t xml:space="preserve">t en fait que le projet </w:t>
      </w:r>
      <w:r w:rsidR="00B82381" w:rsidRPr="007E4A0F">
        <w:t>ne prévoyait aucune marge de manœuvre, de sorte que toute menace devait donner lieu à un rapport d</w:t>
      </w:r>
      <w:r w:rsidR="00B274E6" w:rsidRPr="007E4A0F">
        <w:t>’</w:t>
      </w:r>
      <w:r w:rsidR="00B82381" w:rsidRPr="007E4A0F">
        <w:t>exception.</w:t>
      </w:r>
      <w:r w:rsidR="0012066D" w:rsidRPr="007E4A0F">
        <w:t xml:space="preserve">  </w:t>
      </w:r>
      <w:r w:rsidR="006A458B" w:rsidRPr="007E4A0F">
        <w:t>Utiliser les mêmes limites de tolérance pour tous les projets, quels que soient leur taille, leur complexité, leur degré de risque, etc</w:t>
      </w:r>
      <w:r w:rsidR="006C7CFD" w:rsidRPr="007E4A0F">
        <w:t>.,</w:t>
      </w:r>
      <w:r w:rsidR="006A458B" w:rsidRPr="007E4A0F">
        <w:t xml:space="preserve"> n</w:t>
      </w:r>
      <w:r w:rsidR="00B274E6" w:rsidRPr="007E4A0F">
        <w:t>’</w:t>
      </w:r>
      <w:r w:rsidR="006A458B" w:rsidRPr="007E4A0F">
        <w:t>est ni approprié ni pragmatique.</w:t>
      </w:r>
      <w:r w:rsidR="007D1B9F" w:rsidRPr="007E4A0F">
        <w:t xml:space="preserve">  Si </w:t>
      </w:r>
      <w:r w:rsidR="00EF344C" w:rsidRPr="007E4A0F">
        <w:t xml:space="preserve">un </w:t>
      </w:r>
      <w:r w:rsidR="007D1B9F" w:rsidRPr="007E4A0F">
        <w:t>indicateur d</w:t>
      </w:r>
      <w:r w:rsidR="00B274E6" w:rsidRPr="007E4A0F">
        <w:t>’</w:t>
      </w:r>
      <w:r w:rsidR="007D1B9F" w:rsidRPr="007E4A0F">
        <w:t>exécution ne mentionne aucune tolérance, cela signifie clairement qu</w:t>
      </w:r>
      <w:r w:rsidR="00B274E6" w:rsidRPr="007E4A0F">
        <w:t>’</w:t>
      </w:r>
      <w:r w:rsidR="007D1B9F" w:rsidRPr="007E4A0F">
        <w:t xml:space="preserve">aucune </w:t>
      </w:r>
      <w:r w:rsidR="00972432" w:rsidRPr="007E4A0F">
        <w:t>tolérance n</w:t>
      </w:r>
      <w:r w:rsidR="00B274E6" w:rsidRPr="007E4A0F">
        <w:t>’</w:t>
      </w:r>
      <w:r w:rsidR="00972432" w:rsidRPr="007E4A0F">
        <w:t>a</w:t>
      </w:r>
      <w:r w:rsidR="007D1B9F" w:rsidRPr="007E4A0F">
        <w:t xml:space="preserve"> été approuvée pour le projet et que ce dernier doit être livré conformément aux critères de portée,</w:t>
      </w:r>
      <w:r w:rsidR="00BF53E8" w:rsidRPr="007E4A0F">
        <w:t xml:space="preserve"> de délai, de coût, de qualité, etc</w:t>
      </w:r>
      <w:r w:rsidR="006C7CFD" w:rsidRPr="007E4A0F">
        <w:t>.,</w:t>
      </w:r>
      <w:r w:rsidR="00BF53E8" w:rsidRPr="007E4A0F">
        <w:t xml:space="preserve"> définis dans l</w:t>
      </w:r>
      <w:r w:rsidR="00B274E6" w:rsidRPr="007E4A0F">
        <w:t>’</w:t>
      </w:r>
      <w:r w:rsidR="00BF53E8" w:rsidRPr="007E4A0F">
        <w:t>indicateur d</w:t>
      </w:r>
      <w:r w:rsidR="00B274E6" w:rsidRPr="007E4A0F">
        <w:t>’</w:t>
      </w:r>
      <w:r w:rsidR="00BF53E8" w:rsidRPr="007E4A0F">
        <w:t xml:space="preserve">exécution approuvé.  De plus, </w:t>
      </w:r>
      <w:r w:rsidR="00393E98" w:rsidRPr="007E4A0F">
        <w:t>des tolérances définies, approuvées par le comité chargé de la mise en œuvre du portefeuille AIMS, s</w:t>
      </w:r>
      <w:r w:rsidR="00B274E6" w:rsidRPr="007E4A0F">
        <w:t>’</w:t>
      </w:r>
      <w:r w:rsidR="00393E98" w:rsidRPr="007E4A0F">
        <w:t xml:space="preserve">appliquent à </w:t>
      </w:r>
      <w:r w:rsidR="00BF53E8" w:rsidRPr="007E4A0F">
        <w:t>tous les projets engagés depuis la mise en place de la nouvelle structure de gouvernance, au début de l</w:t>
      </w:r>
      <w:r w:rsidR="00B274E6" w:rsidRPr="007E4A0F">
        <w:t>’</w:t>
      </w:r>
      <w:r w:rsidR="00BF53E8" w:rsidRPr="007E4A0F">
        <w:t>année 2014.</w:t>
      </w:r>
    </w:p>
    <w:p w:rsidR="00B274E6" w:rsidRPr="007E4A0F" w:rsidRDefault="006D3B73" w:rsidP="00E26B4E">
      <w:pPr>
        <w:pStyle w:val="Style1"/>
      </w:pPr>
      <w:r w:rsidRPr="007E4A0F">
        <w:t>Nous sommes d</w:t>
      </w:r>
      <w:r w:rsidR="00B274E6" w:rsidRPr="007E4A0F">
        <w:t>’</w:t>
      </w:r>
      <w:r w:rsidRPr="007E4A0F">
        <w:t>avis que</w:t>
      </w:r>
      <w:r w:rsidR="00FE4F71" w:rsidRPr="007E4A0F">
        <w:t>,</w:t>
      </w:r>
      <w:r w:rsidRPr="007E4A0F">
        <w:t xml:space="preserve"> si l</w:t>
      </w:r>
      <w:r w:rsidR="00B274E6" w:rsidRPr="007E4A0F">
        <w:t>’</w:t>
      </w:r>
      <w:r w:rsidRPr="007E4A0F">
        <w:t>OMPI envisage d</w:t>
      </w:r>
      <w:r w:rsidR="00B274E6" w:rsidRPr="007E4A0F">
        <w:t>’</w:t>
      </w:r>
      <w:r w:rsidRPr="007E4A0F">
        <w:t>adopter un niveau de tolérance nul pour un projet, l</w:t>
      </w:r>
      <w:r w:rsidR="00B274E6" w:rsidRPr="007E4A0F">
        <w:t>’</w:t>
      </w:r>
      <w:r w:rsidRPr="007E4A0F">
        <w:t>indicateur d</w:t>
      </w:r>
      <w:r w:rsidR="00B274E6" w:rsidRPr="007E4A0F">
        <w:t>’</w:t>
      </w:r>
      <w:r w:rsidRPr="007E4A0F">
        <w:t>exécution devrait l</w:t>
      </w:r>
      <w:r w:rsidR="00B274E6" w:rsidRPr="007E4A0F">
        <w:t>’</w:t>
      </w:r>
      <w:r w:rsidRPr="007E4A0F">
        <w:t xml:space="preserve">indiquer </w:t>
      </w:r>
      <w:r w:rsidR="00C55AA7" w:rsidRPr="007E4A0F">
        <w:t>sans équivoque, de manière à éviter toute ambiguïté à ce sujet.</w:t>
      </w:r>
    </w:p>
    <w:p w:rsidR="00947AF6" w:rsidRPr="007E4A0F" w:rsidRDefault="000A6F80" w:rsidP="00A537E0">
      <w:pPr>
        <w:pStyle w:val="Heading4"/>
        <w:rPr>
          <w:lang w:val="fr-FR"/>
        </w:rPr>
      </w:pPr>
      <w:r w:rsidRPr="007E4A0F">
        <w:rPr>
          <w:lang w:val="fr-FR"/>
        </w:rPr>
        <w:lastRenderedPageBreak/>
        <w:t>Recommandation n° 1</w:t>
      </w:r>
      <w:r w:rsidR="00A537E0" w:rsidRPr="007E4A0F">
        <w:rPr>
          <w:lang w:val="fr-FR"/>
        </w:rPr>
        <w:t>1</w:t>
      </w:r>
    </w:p>
    <w:p w:rsidR="00947AF6" w:rsidRPr="007E4A0F" w:rsidRDefault="00F755F0" w:rsidP="00ED4876">
      <w:pPr>
        <w:pStyle w:val="Heading4"/>
        <w:rPr>
          <w:lang w:val="fr-FR"/>
        </w:rPr>
      </w:pPr>
      <w:r w:rsidRPr="007E4A0F">
        <w:rPr>
          <w:lang w:val="fr-FR"/>
        </w:rPr>
        <w:t>L</w:t>
      </w:r>
      <w:r w:rsidR="00B274E6" w:rsidRPr="007E4A0F">
        <w:rPr>
          <w:lang w:val="fr-FR"/>
        </w:rPr>
        <w:t>’</w:t>
      </w:r>
      <w:r w:rsidRPr="007E4A0F">
        <w:rPr>
          <w:lang w:val="fr-FR"/>
        </w:rPr>
        <w:t>OMPI pourrait envisager de définir à l</w:t>
      </w:r>
      <w:r w:rsidR="00B274E6" w:rsidRPr="007E4A0F">
        <w:rPr>
          <w:lang w:val="fr-FR"/>
        </w:rPr>
        <w:t>’</w:t>
      </w:r>
      <w:r w:rsidRPr="007E4A0F">
        <w:rPr>
          <w:lang w:val="fr-FR"/>
        </w:rPr>
        <w:t>avenir de manière explicite les tolérances s</w:t>
      </w:r>
      <w:r w:rsidR="00B274E6" w:rsidRPr="007E4A0F">
        <w:rPr>
          <w:lang w:val="fr-FR"/>
        </w:rPr>
        <w:t>’</w:t>
      </w:r>
      <w:r w:rsidRPr="007E4A0F">
        <w:rPr>
          <w:lang w:val="fr-FR"/>
        </w:rPr>
        <w:t>appliquant aux projets ainsi qu</w:t>
      </w:r>
      <w:r w:rsidR="00B274E6" w:rsidRPr="007E4A0F">
        <w:rPr>
          <w:lang w:val="fr-FR"/>
        </w:rPr>
        <w:t>’</w:t>
      </w:r>
      <w:r w:rsidRPr="007E4A0F">
        <w:rPr>
          <w:lang w:val="fr-FR"/>
        </w:rPr>
        <w:t>aux divers plans d</w:t>
      </w:r>
      <w:r w:rsidR="00B274E6" w:rsidRPr="007E4A0F">
        <w:rPr>
          <w:lang w:val="fr-FR"/>
        </w:rPr>
        <w:t>’</w:t>
      </w:r>
      <w:r w:rsidRPr="007E4A0F">
        <w:rPr>
          <w:lang w:val="fr-FR"/>
        </w:rPr>
        <w:t>étape</w:t>
      </w:r>
      <w:r w:rsidR="00D2222A" w:rsidRPr="007E4A0F">
        <w:rPr>
          <w:lang w:val="fr-FR"/>
        </w:rPr>
        <w:t>.</w:t>
      </w:r>
    </w:p>
    <w:p w:rsidR="00947AF6" w:rsidRPr="007E4A0F" w:rsidRDefault="00F755F0" w:rsidP="00E26B4E">
      <w:pPr>
        <w:pStyle w:val="Style1"/>
      </w:pPr>
      <w:r w:rsidRPr="007E4A0F">
        <w:t>L</w:t>
      </w:r>
      <w:r w:rsidR="00B274E6" w:rsidRPr="007E4A0F">
        <w:t>’</w:t>
      </w:r>
      <w:r w:rsidRPr="007E4A0F">
        <w:t xml:space="preserve">OMPI a accepté la recommandation et indiqué que toutes les tolérances </w:t>
      </w:r>
      <w:r w:rsidR="0005617A" w:rsidRPr="007E4A0F">
        <w:t>figureraient dans les documents relatifs au lancement des futurs projets</w:t>
      </w:r>
      <w:r w:rsidR="00DD79FD" w:rsidRPr="007E4A0F">
        <w:t xml:space="preserve"> ERP</w:t>
      </w:r>
      <w:r w:rsidR="0005617A" w:rsidRPr="007E4A0F">
        <w:t>.</w:t>
      </w:r>
    </w:p>
    <w:p w:rsidR="00947AF6" w:rsidRPr="007E4A0F" w:rsidRDefault="00117B1D" w:rsidP="00ED4876">
      <w:pPr>
        <w:pStyle w:val="Heading4"/>
        <w:rPr>
          <w:lang w:val="fr-FR"/>
        </w:rPr>
      </w:pPr>
      <w:r w:rsidRPr="007E4A0F">
        <w:rPr>
          <w:lang w:val="fr-FR"/>
        </w:rPr>
        <w:t xml:space="preserve">Analyse de sensibilité des </w:t>
      </w:r>
      <w:r w:rsidR="009E1A87" w:rsidRPr="007E4A0F">
        <w:rPr>
          <w:lang w:val="fr-FR"/>
        </w:rPr>
        <w:t>questions relatives à l</w:t>
      </w:r>
      <w:r w:rsidR="00B274E6" w:rsidRPr="007E4A0F">
        <w:rPr>
          <w:lang w:val="fr-FR"/>
        </w:rPr>
        <w:t>’</w:t>
      </w:r>
      <w:r w:rsidR="009E1A87" w:rsidRPr="007E4A0F">
        <w:rPr>
          <w:lang w:val="fr-FR"/>
        </w:rPr>
        <w:t>exécution du projet</w:t>
      </w:r>
    </w:p>
    <w:p w:rsidR="00947AF6" w:rsidRPr="007E4A0F" w:rsidRDefault="008A7589" w:rsidP="00E26B4E">
      <w:pPr>
        <w:pStyle w:val="Style1"/>
      </w:pPr>
      <w:r w:rsidRPr="007E4A0F">
        <w:t xml:space="preserve">Le Bureau de gestion du projet ERP </w:t>
      </w:r>
      <w:r w:rsidR="008631C4" w:rsidRPr="007E4A0F">
        <w:t>assure une surveillance permanente de</w:t>
      </w:r>
      <w:r w:rsidR="00E519FC" w:rsidRPr="007E4A0F">
        <w:t xml:space="preserve"> la progression du projet</w:t>
      </w:r>
      <w:r w:rsidRPr="007E4A0F">
        <w:t xml:space="preserve"> </w:t>
      </w:r>
      <w:r w:rsidR="008631C4" w:rsidRPr="007E4A0F">
        <w:t>grâce à</w:t>
      </w:r>
      <w:r w:rsidR="00D961A5" w:rsidRPr="007E4A0F">
        <w:t xml:space="preserve"> une r</w:t>
      </w:r>
      <w:r w:rsidR="00BB6E69" w:rsidRPr="007E4A0F">
        <w:t>éunion</w:t>
      </w:r>
      <w:r w:rsidR="00414B4E" w:rsidRPr="007E4A0F">
        <w:t xml:space="preserve"> </w:t>
      </w:r>
      <w:r w:rsidRPr="007E4A0F">
        <w:t>hebdomadaire</w:t>
      </w:r>
      <w:r w:rsidR="00414B4E" w:rsidRPr="007E4A0F">
        <w:t xml:space="preserve"> </w:t>
      </w:r>
      <w:r w:rsidR="00D961A5" w:rsidRPr="007E4A0F">
        <w:t xml:space="preserve">avec </w:t>
      </w:r>
      <w:r w:rsidRPr="007E4A0F">
        <w:t xml:space="preserve">les </w:t>
      </w:r>
      <w:r w:rsidR="00D961A5" w:rsidRPr="007E4A0F">
        <w:t xml:space="preserve">équipes concernées. </w:t>
      </w:r>
      <w:r w:rsidR="007A0974" w:rsidRPr="007E4A0F">
        <w:t xml:space="preserve"> Un compte rendu de chacune de </w:t>
      </w:r>
      <w:r w:rsidR="00910D73" w:rsidRPr="007E4A0F">
        <w:t>ces réunions est déposé sur le w</w:t>
      </w:r>
      <w:r w:rsidR="007A0974" w:rsidRPr="007E4A0F">
        <w:t>iki sous le nom de Rapport hebdomadaire sur l</w:t>
      </w:r>
      <w:r w:rsidR="00B274E6" w:rsidRPr="007E4A0F">
        <w:t>’</w:t>
      </w:r>
      <w:r w:rsidR="007A0974" w:rsidRPr="007E4A0F">
        <w:t xml:space="preserve">avancement du projet. </w:t>
      </w:r>
      <w:r w:rsidR="00D961A5" w:rsidRPr="007E4A0F">
        <w:t xml:space="preserve"> </w:t>
      </w:r>
      <w:r w:rsidR="00787E1E" w:rsidRPr="007E4A0F">
        <w:t>Il est divisé en cinq</w:t>
      </w:r>
      <w:r w:rsidR="006C7CFD" w:rsidRPr="007E4A0F">
        <w:t> </w:t>
      </w:r>
      <w:r w:rsidR="00787E1E" w:rsidRPr="007E4A0F">
        <w:t>rubriques intitulées</w:t>
      </w:r>
      <w:r w:rsidR="006C7CFD" w:rsidRPr="007E4A0F">
        <w:t> </w:t>
      </w:r>
      <w:r w:rsidR="00787E1E" w:rsidRPr="007E4A0F">
        <w:t>: Activités achevées – période précédente, État d</w:t>
      </w:r>
      <w:r w:rsidR="00B274E6" w:rsidRPr="007E4A0F">
        <w:t>’</w:t>
      </w:r>
      <w:r w:rsidR="00787E1E" w:rsidRPr="007E4A0F">
        <w:t>avancement des activités non conforme aux prévisions, Activités prévues/en cours – période suivante, Questions, problèmes</w:t>
      </w:r>
      <w:r w:rsidR="00A20101" w:rsidRPr="007E4A0F">
        <w:t xml:space="preserve"> </w:t>
      </w:r>
      <w:r w:rsidR="00787E1E" w:rsidRPr="007E4A0F">
        <w:t>ou préoccupations et Mesures requises de la part de la direction.</w:t>
      </w:r>
    </w:p>
    <w:p w:rsidR="00947AF6" w:rsidRPr="007E4A0F" w:rsidRDefault="008A7589" w:rsidP="00E26B4E">
      <w:pPr>
        <w:pStyle w:val="Style1"/>
      </w:pPr>
      <w:r w:rsidRPr="007E4A0F">
        <w:t>Nous avons procédé à titre d</w:t>
      </w:r>
      <w:r w:rsidR="00B274E6" w:rsidRPr="007E4A0F">
        <w:t>’</w:t>
      </w:r>
      <w:r w:rsidRPr="007E4A0F">
        <w:t>essai à une vérification des rapports hebdomadaires sur l</w:t>
      </w:r>
      <w:r w:rsidR="00B274E6" w:rsidRPr="007E4A0F">
        <w:t>’</w:t>
      </w:r>
      <w:r w:rsidRPr="007E4A0F">
        <w:t>état d</w:t>
      </w:r>
      <w:r w:rsidR="00B274E6" w:rsidRPr="007E4A0F">
        <w:t>’</w:t>
      </w:r>
      <w:r w:rsidRPr="007E4A0F">
        <w:t xml:space="preserve">avancement du </w:t>
      </w:r>
      <w:r w:rsidR="00F76166" w:rsidRPr="007E4A0F">
        <w:t>module</w:t>
      </w:r>
      <w:r w:rsidRPr="007E4A0F">
        <w:t xml:space="preserve"> du système ERP relatif aux ressources humaines – Phase</w:t>
      </w:r>
      <w:r w:rsidR="00F9045F" w:rsidRPr="007E4A0F">
        <w:t> </w:t>
      </w:r>
      <w:r w:rsidRPr="007E4A0F">
        <w:t>I – et avons constaté que plusieurs questions restaient non résolues pendant des périodes im</w:t>
      </w:r>
      <w:r w:rsidR="00F9045F" w:rsidRPr="007E4A0F">
        <w:t>portantes, pouvant atteindre 83 </w:t>
      </w:r>
      <w:r w:rsidRPr="007E4A0F">
        <w:t>semaines.  Qui plus est, les équipes du Bureau de gestion du projet ERP n</w:t>
      </w:r>
      <w:r w:rsidR="00B274E6" w:rsidRPr="007E4A0F">
        <w:t>’</w:t>
      </w:r>
      <w:r w:rsidRPr="007E4A0F">
        <w:t xml:space="preserve">effectuaient aucune analyse de sensibilité de ces questions </w:t>
      </w:r>
      <w:r w:rsidR="009A34FF" w:rsidRPr="007E4A0F">
        <w:t xml:space="preserve">pour </w:t>
      </w:r>
      <w:r w:rsidRPr="007E4A0F">
        <w:t>comprendre leur importance dans la gouvernance globale du projet et établir des priorités concernant leur atténuation lorsqu</w:t>
      </w:r>
      <w:r w:rsidR="00B274E6" w:rsidRPr="007E4A0F">
        <w:t>’</w:t>
      </w:r>
      <w:r w:rsidRPr="007E4A0F">
        <w:t>un certain nombre de questions étaient soulevées.</w:t>
      </w:r>
    </w:p>
    <w:p w:rsidR="00947AF6" w:rsidRPr="007E4A0F" w:rsidRDefault="00534FBA" w:rsidP="00E26B4E">
      <w:pPr>
        <w:pStyle w:val="Style1"/>
      </w:pPr>
      <w:r w:rsidRPr="007E4A0F">
        <w:t>L</w:t>
      </w:r>
      <w:r w:rsidR="00B274E6" w:rsidRPr="007E4A0F">
        <w:t>’</w:t>
      </w:r>
      <w:r w:rsidRPr="007E4A0F">
        <w:t xml:space="preserve">OMPI </w:t>
      </w:r>
      <w:r w:rsidR="00EB5259" w:rsidRPr="007E4A0F">
        <w:t>a dit vouloir étudier la possibilité</w:t>
      </w:r>
      <w:r w:rsidR="00746D4B" w:rsidRPr="007E4A0F">
        <w:t xml:space="preserve"> d</w:t>
      </w:r>
      <w:r w:rsidR="00B274E6" w:rsidRPr="007E4A0F">
        <w:t>’</w:t>
      </w:r>
      <w:r w:rsidR="00746D4B" w:rsidRPr="007E4A0F">
        <w:t>appliquer à chaque question une simple cote de sensibilité</w:t>
      </w:r>
      <w:r w:rsidR="000E22D2" w:rsidRPr="007E4A0F">
        <w:t xml:space="preserve"> qui aiderait à </w:t>
      </w:r>
      <w:r w:rsidR="00012457" w:rsidRPr="007E4A0F">
        <w:t>en déterminer le degré de priorité, à décider s</w:t>
      </w:r>
      <w:r w:rsidR="00B274E6" w:rsidRPr="007E4A0F">
        <w:t>’</w:t>
      </w:r>
      <w:r w:rsidR="00012457" w:rsidRPr="007E4A0F">
        <w:t>il conv</w:t>
      </w:r>
      <w:r w:rsidR="00C8690B" w:rsidRPr="007E4A0F">
        <w:t>enait</w:t>
      </w:r>
      <w:r w:rsidR="00012457" w:rsidRPr="007E4A0F">
        <w:t xml:space="preserve"> ou non de la faire remonter au niveau supérieur ou à la résoudre.</w:t>
      </w:r>
    </w:p>
    <w:p w:rsidR="00947AF6" w:rsidRPr="007E4A0F" w:rsidRDefault="000A6F80" w:rsidP="00A537E0">
      <w:pPr>
        <w:pStyle w:val="Heading4"/>
        <w:rPr>
          <w:lang w:val="fr-FR"/>
        </w:rPr>
      </w:pPr>
      <w:r w:rsidRPr="007E4A0F">
        <w:rPr>
          <w:lang w:val="fr-FR"/>
        </w:rPr>
        <w:t>Recommandation n° 1</w:t>
      </w:r>
      <w:r w:rsidR="00A537E0" w:rsidRPr="007E4A0F">
        <w:rPr>
          <w:lang w:val="fr-FR"/>
        </w:rPr>
        <w:t>2</w:t>
      </w:r>
    </w:p>
    <w:p w:rsidR="00947AF6" w:rsidRPr="007E4A0F" w:rsidRDefault="00986588" w:rsidP="00ED4876">
      <w:pPr>
        <w:pStyle w:val="Heading4"/>
        <w:rPr>
          <w:lang w:val="fr-FR"/>
        </w:rPr>
      </w:pPr>
      <w:r w:rsidRPr="007E4A0F">
        <w:rPr>
          <w:lang w:val="fr-FR"/>
        </w:rPr>
        <w:t>L</w:t>
      </w:r>
      <w:r w:rsidR="00B274E6" w:rsidRPr="007E4A0F">
        <w:rPr>
          <w:lang w:val="fr-FR"/>
        </w:rPr>
        <w:t>’</w:t>
      </w:r>
      <w:r w:rsidRPr="007E4A0F">
        <w:rPr>
          <w:lang w:val="fr-FR"/>
        </w:rPr>
        <w:t>OMPI pourrait envisager d</w:t>
      </w:r>
      <w:r w:rsidR="00B274E6" w:rsidRPr="007E4A0F">
        <w:rPr>
          <w:lang w:val="fr-FR"/>
        </w:rPr>
        <w:t>’</w:t>
      </w:r>
      <w:r w:rsidR="00D2222A" w:rsidRPr="007E4A0F">
        <w:rPr>
          <w:lang w:val="fr-FR"/>
        </w:rPr>
        <w:t>effectuer</w:t>
      </w:r>
      <w:r w:rsidRPr="007E4A0F">
        <w:rPr>
          <w:lang w:val="fr-FR"/>
        </w:rPr>
        <w:t xml:space="preserve"> une analyse de sensibilité des questions soulevées au cours des réunions du Bureau de gestion du projet ERP et des comités directeurs, en se fondant </w:t>
      </w:r>
      <w:r w:rsidR="00C0296D" w:rsidRPr="007E4A0F">
        <w:rPr>
          <w:lang w:val="fr-FR"/>
        </w:rPr>
        <w:t>sur leur degré d</w:t>
      </w:r>
      <w:r w:rsidR="00B274E6" w:rsidRPr="007E4A0F">
        <w:rPr>
          <w:lang w:val="fr-FR"/>
        </w:rPr>
        <w:t>’</w:t>
      </w:r>
      <w:r w:rsidR="00C0296D" w:rsidRPr="007E4A0F">
        <w:rPr>
          <w:lang w:val="fr-FR"/>
        </w:rPr>
        <w:t>importance</w:t>
      </w:r>
      <w:r w:rsidRPr="007E4A0F">
        <w:rPr>
          <w:lang w:val="fr-FR"/>
        </w:rPr>
        <w:t>.</w:t>
      </w:r>
    </w:p>
    <w:p w:rsidR="00947AF6" w:rsidRPr="007E4A0F" w:rsidRDefault="00986588" w:rsidP="00E26B4E">
      <w:pPr>
        <w:pStyle w:val="Style1"/>
      </w:pPr>
      <w:r w:rsidRPr="007E4A0F">
        <w:t>OMPI a accepté la recommandation.  À l</w:t>
      </w:r>
      <w:r w:rsidR="00B274E6" w:rsidRPr="007E4A0F">
        <w:t>’</w:t>
      </w:r>
      <w:r w:rsidRPr="007E4A0F">
        <w:t>avenir, les questions soulevées dans le rapport mensuel sur l</w:t>
      </w:r>
      <w:r w:rsidR="00B274E6" w:rsidRPr="007E4A0F">
        <w:t>’</w:t>
      </w:r>
      <w:r w:rsidRPr="007E4A0F">
        <w:t>état d</w:t>
      </w:r>
      <w:r w:rsidR="00B274E6" w:rsidRPr="007E4A0F">
        <w:t>’</w:t>
      </w:r>
      <w:r w:rsidRPr="007E4A0F">
        <w:t>avancement du portefeuille seront codées par couleur</w:t>
      </w:r>
      <w:r w:rsidR="00034536" w:rsidRPr="007E4A0F">
        <w:t xml:space="preserve"> à partir des résultats d</w:t>
      </w:r>
      <w:r w:rsidR="00B274E6" w:rsidRPr="007E4A0F">
        <w:t>’</w:t>
      </w:r>
      <w:r w:rsidR="00034536" w:rsidRPr="007E4A0F">
        <w:t>une analyse de sensibilité, afin d</w:t>
      </w:r>
      <w:r w:rsidR="00B274E6" w:rsidRPr="007E4A0F">
        <w:t>’</w:t>
      </w:r>
      <w:r w:rsidR="00034536" w:rsidRPr="007E4A0F">
        <w:t>aider le comité chargé du portefeuille ainsi que les autres utilisateurs du document</w:t>
      </w:r>
      <w:r w:rsidR="00647C0D" w:rsidRPr="007E4A0F">
        <w:t xml:space="preserve"> à </w:t>
      </w:r>
      <w:r w:rsidR="00A92B06" w:rsidRPr="007E4A0F">
        <w:t xml:space="preserve">leur </w:t>
      </w:r>
      <w:r w:rsidR="00647C0D" w:rsidRPr="007E4A0F">
        <w:t>attribuer des priorités claires</w:t>
      </w:r>
      <w:r w:rsidR="00A92B06" w:rsidRPr="007E4A0F">
        <w:t>.  Une fois ce mécanisme bien établi, l</w:t>
      </w:r>
      <w:r w:rsidR="00B274E6" w:rsidRPr="007E4A0F">
        <w:t>’</w:t>
      </w:r>
      <w:r w:rsidR="00A92B06" w:rsidRPr="007E4A0F">
        <w:t xml:space="preserve">OMPI </w:t>
      </w:r>
      <w:r w:rsidR="00C60C0A" w:rsidRPr="007E4A0F">
        <w:t>encouragera les projets individuels à effectuer de la même manière une analyse de sensibilité et à rendre compte des questions les concernant plus particulièrement.</w:t>
      </w:r>
    </w:p>
    <w:p w:rsidR="00947AF6" w:rsidRPr="007E4A0F" w:rsidRDefault="00AC3533" w:rsidP="00ED4876">
      <w:pPr>
        <w:pStyle w:val="Heading4"/>
        <w:rPr>
          <w:lang w:val="fr-FR"/>
        </w:rPr>
      </w:pPr>
      <w:r w:rsidRPr="007E4A0F">
        <w:rPr>
          <w:lang w:val="fr-FR"/>
        </w:rPr>
        <w:lastRenderedPageBreak/>
        <w:t>Système de gestion électronique des documents</w:t>
      </w:r>
    </w:p>
    <w:p w:rsidR="00947AF6" w:rsidRPr="007E4A0F" w:rsidRDefault="00E04CCF" w:rsidP="00257CFE">
      <w:pPr>
        <w:pStyle w:val="Style1"/>
      </w:pPr>
      <w:r w:rsidRPr="007E4A0F">
        <w:t>L</w:t>
      </w:r>
      <w:r w:rsidR="00B274E6" w:rsidRPr="007E4A0F">
        <w:t>’</w:t>
      </w:r>
      <w:r w:rsidRPr="007E4A0F">
        <w:t>OMPI a proposé la mise en place d</w:t>
      </w:r>
      <w:r w:rsidR="00B274E6" w:rsidRPr="007E4A0F">
        <w:t>’</w:t>
      </w:r>
      <w:r w:rsidRPr="007E4A0F">
        <w:t xml:space="preserve">un système de gestion électronique de documents </w:t>
      </w:r>
      <w:r w:rsidR="00B414B5" w:rsidRPr="007E4A0F">
        <w:t>pour le</w:t>
      </w:r>
      <w:r w:rsidRPr="007E4A0F">
        <w:t xml:space="preserve"> système ERP en</w:t>
      </w:r>
      <w:r w:rsidR="006C7CFD" w:rsidRPr="007E4A0F">
        <w:t> </w:t>
      </w:r>
      <w:r w:rsidRPr="007E4A0F">
        <w:t xml:space="preserve">2011.  </w:t>
      </w:r>
      <w:r w:rsidR="000A2A28" w:rsidRPr="007E4A0F">
        <w:t>L</w:t>
      </w:r>
      <w:r w:rsidR="00B274E6" w:rsidRPr="007E4A0F">
        <w:t>’</w:t>
      </w:r>
      <w:r w:rsidR="000A2A28" w:rsidRPr="007E4A0F">
        <w:t>importance d</w:t>
      </w:r>
      <w:r w:rsidR="00B274E6" w:rsidRPr="007E4A0F">
        <w:t>’</w:t>
      </w:r>
      <w:r w:rsidR="000A2A28" w:rsidRPr="007E4A0F">
        <w:t xml:space="preserve">un tel système avait été expliquée </w:t>
      </w:r>
      <w:r w:rsidR="00500CEC" w:rsidRPr="007E4A0F">
        <w:t xml:space="preserve">de la manière suivante </w:t>
      </w:r>
      <w:r w:rsidR="000A2A28" w:rsidRPr="007E4A0F">
        <w:t xml:space="preserve">dans </w:t>
      </w:r>
      <w:r w:rsidR="00500CEC" w:rsidRPr="007E4A0F">
        <w:t>les hypothèses de calcul des coûts</w:t>
      </w:r>
      <w:r w:rsidR="006C7CFD" w:rsidRPr="007E4A0F">
        <w:t> </w:t>
      </w:r>
      <w:r w:rsidR="00500CEC" w:rsidRPr="007E4A0F">
        <w:t xml:space="preserve">: </w:t>
      </w:r>
      <w:r w:rsidR="00524088" w:rsidRPr="007E4A0F">
        <w:t>“</w:t>
      </w:r>
      <w:r w:rsidR="00117B1D" w:rsidRPr="007E4A0F">
        <w:t>un système stratégique de gestion électronique des documents sera approuvé et les parties prenant en charge le système ERP seront mises en œuvre au cours de</w:t>
      </w:r>
      <w:r w:rsidR="006C7CFD" w:rsidRPr="007E4A0F">
        <w:t> </w:t>
      </w:r>
      <w:r w:rsidR="00117B1D" w:rsidRPr="007E4A0F">
        <w:t>2011 au titre d</w:t>
      </w:r>
      <w:r w:rsidR="00B274E6" w:rsidRPr="007E4A0F">
        <w:t>’</w:t>
      </w:r>
      <w:r w:rsidR="00117B1D" w:rsidRPr="007E4A0F">
        <w:t>un projet inclus dans le portefeuille de projets.</w:t>
      </w:r>
      <w:r w:rsidR="0022274D" w:rsidRPr="007E4A0F">
        <w:t xml:space="preserve">  Cela permettra de trouver une solution à la question des documents sur papier relatifs au système ERP, notamment en ce qui concerne leur traitement, leur ordonnancement et leur stockage en dehors du système ERP au moyen du dispositif spécialisé de gestion </w:t>
      </w:r>
      <w:r w:rsidR="00B22211" w:rsidRPr="007E4A0F">
        <w:t>des documents de l</w:t>
      </w:r>
      <w:r w:rsidR="00B274E6" w:rsidRPr="007E4A0F">
        <w:t>’</w:t>
      </w:r>
      <w:r w:rsidR="00B22211" w:rsidRPr="007E4A0F">
        <w:t>Organisation</w:t>
      </w:r>
      <w:r w:rsidR="00524088" w:rsidRPr="007E4A0F">
        <w:t>”</w:t>
      </w:r>
      <w:r w:rsidR="00B22211" w:rsidRPr="007E4A0F">
        <w:t>.</w:t>
      </w:r>
      <w:r w:rsidR="0012066D" w:rsidRPr="007E4A0F">
        <w:t xml:space="preserve"> </w:t>
      </w:r>
      <w:r w:rsidR="00B22211" w:rsidRPr="007E4A0F">
        <w:t xml:space="preserve"> </w:t>
      </w:r>
      <w:r w:rsidR="008F6229" w:rsidRPr="007E4A0F">
        <w:t>Le système de gestion électronique de documents figurait au budget en tant que dépense au titre du perfectionnement du système AIMS.</w:t>
      </w:r>
      <w:r w:rsidR="00956AF7" w:rsidRPr="007E4A0F">
        <w:t xml:space="preserve">  Le rapport d</w:t>
      </w:r>
      <w:r w:rsidR="00B274E6" w:rsidRPr="007E4A0F">
        <w:t>’</w:t>
      </w:r>
      <w:r w:rsidR="00956AF7" w:rsidRPr="007E4A0F">
        <w:t>avancement de</w:t>
      </w:r>
      <w:r w:rsidR="006C7CFD" w:rsidRPr="007E4A0F">
        <w:t> </w:t>
      </w:r>
      <w:r w:rsidR="00956AF7" w:rsidRPr="007E4A0F">
        <w:t xml:space="preserve">2014 (WO/PBC/22/15) a indiqué par la suite </w:t>
      </w:r>
      <w:r w:rsidR="00AA66FD" w:rsidRPr="007E4A0F">
        <w:t xml:space="preserve">que sa mise en œuvre </w:t>
      </w:r>
      <w:r w:rsidR="00956AF7" w:rsidRPr="007E4A0F">
        <w:t>serait effectuée au titre d</w:t>
      </w:r>
      <w:r w:rsidR="00B274E6" w:rsidRPr="007E4A0F">
        <w:t>’</w:t>
      </w:r>
      <w:r w:rsidR="00956AF7" w:rsidRPr="007E4A0F">
        <w:t xml:space="preserve">un </w:t>
      </w:r>
      <w:r w:rsidR="00161ECE" w:rsidRPr="007E4A0F">
        <w:t>plan-cadre</w:t>
      </w:r>
      <w:r w:rsidR="00956AF7" w:rsidRPr="007E4A0F">
        <w:t xml:space="preserve"> d</w:t>
      </w:r>
      <w:r w:rsidR="00B274E6" w:rsidRPr="007E4A0F">
        <w:t>’</w:t>
      </w:r>
      <w:r w:rsidR="00956AF7" w:rsidRPr="007E4A0F">
        <w:t>équipement mené par le Département des technologies de l</w:t>
      </w:r>
      <w:r w:rsidR="00B274E6" w:rsidRPr="007E4A0F">
        <w:t>’</w:t>
      </w:r>
      <w:r w:rsidR="00956AF7" w:rsidRPr="007E4A0F">
        <w:t>information et de la communication.</w:t>
      </w:r>
    </w:p>
    <w:p w:rsidR="00B274E6" w:rsidRPr="007E4A0F" w:rsidRDefault="00BA5182" w:rsidP="00E26B4E">
      <w:pPr>
        <w:pStyle w:val="Style1"/>
      </w:pPr>
      <w:r w:rsidRPr="007E4A0F">
        <w:t>Les modifications apportées aux différentes étapes ont été mentionnées dans les différents rapports d</w:t>
      </w:r>
      <w:r w:rsidR="00B274E6" w:rsidRPr="007E4A0F">
        <w:t>’</w:t>
      </w:r>
      <w:r w:rsidRPr="007E4A0F">
        <w:t xml:space="preserve">avancement présentés </w:t>
      </w:r>
      <w:r w:rsidR="006251BD" w:rsidRPr="007E4A0F">
        <w:t xml:space="preserve">au fil des ans </w:t>
      </w:r>
      <w:r w:rsidRPr="007E4A0F">
        <w:t>aux assemblées des États membres par le Comité du programme et budget</w:t>
      </w:r>
      <w:r w:rsidR="006251BD" w:rsidRPr="007E4A0F">
        <w:t>, mais leurs incidences et les nouvelles dimensions qu</w:t>
      </w:r>
      <w:r w:rsidR="00421F81" w:rsidRPr="007E4A0F">
        <w:t>i s</w:t>
      </w:r>
      <w:r w:rsidR="00B274E6" w:rsidRPr="007E4A0F">
        <w:t>’</w:t>
      </w:r>
      <w:r w:rsidR="00421F81" w:rsidRPr="007E4A0F">
        <w:t>y rattach</w:t>
      </w:r>
      <w:r w:rsidR="006251BD" w:rsidRPr="007E4A0F">
        <w:t>ent</w:t>
      </w:r>
      <w:r w:rsidR="00421F81" w:rsidRPr="007E4A0F">
        <w:t xml:space="preserve"> n</w:t>
      </w:r>
      <w:r w:rsidR="00B274E6" w:rsidRPr="007E4A0F">
        <w:t>’</w:t>
      </w:r>
      <w:r w:rsidR="00421F81" w:rsidRPr="007E4A0F">
        <w:t xml:space="preserve">ont pas été présentées dans le </w:t>
      </w:r>
      <w:r w:rsidR="00587B2D" w:rsidRPr="007E4A0F">
        <w:t>rapport de synthèse aux assemblées des États membres</w:t>
      </w:r>
      <w:r w:rsidR="0012066D" w:rsidRPr="007E4A0F">
        <w:t xml:space="preserve">. </w:t>
      </w:r>
      <w:r w:rsidR="00F24CBC" w:rsidRPr="007E4A0F">
        <w:t xml:space="preserve"> </w:t>
      </w:r>
      <w:r w:rsidR="00571D89" w:rsidRPr="007E4A0F">
        <w:t>Il n</w:t>
      </w:r>
      <w:r w:rsidR="00B274E6" w:rsidRPr="007E4A0F">
        <w:t>’</w:t>
      </w:r>
      <w:r w:rsidR="00571D89" w:rsidRPr="007E4A0F">
        <w:t>était pas fait état, p</w:t>
      </w:r>
      <w:r w:rsidR="00F24CBC" w:rsidRPr="007E4A0F">
        <w:t xml:space="preserve">ar exemple, </w:t>
      </w:r>
      <w:r w:rsidR="00571D89" w:rsidRPr="007E4A0F">
        <w:t>d</w:t>
      </w:r>
      <w:r w:rsidR="00F24CBC" w:rsidRPr="007E4A0F">
        <w:t>es incidences d</w:t>
      </w:r>
      <w:r w:rsidR="00B274E6" w:rsidRPr="007E4A0F">
        <w:t>’</w:t>
      </w:r>
      <w:r w:rsidR="00F24CBC" w:rsidRPr="007E4A0F">
        <w:t>un retard dans la mise en œuvre du système de gestion électronique des documents du portefeuille</w:t>
      </w:r>
      <w:r w:rsidR="00571D89" w:rsidRPr="007E4A0F">
        <w:t xml:space="preserve"> ERP.</w:t>
      </w:r>
    </w:p>
    <w:p w:rsidR="00947AF6" w:rsidRPr="007E4A0F" w:rsidRDefault="00B414B5" w:rsidP="00E26B4E">
      <w:pPr>
        <w:pStyle w:val="Style1"/>
      </w:pPr>
      <w:r w:rsidRPr="007E4A0F">
        <w:t>L</w:t>
      </w:r>
      <w:r w:rsidR="00B274E6" w:rsidRPr="007E4A0F">
        <w:t>’</w:t>
      </w:r>
      <w:r w:rsidRPr="007E4A0F">
        <w:t xml:space="preserve">OMPI a </w:t>
      </w:r>
      <w:r w:rsidR="0051594A" w:rsidRPr="007E4A0F">
        <w:t>déclar</w:t>
      </w:r>
      <w:r w:rsidRPr="007E4A0F">
        <w:t>é que le portefeuille</w:t>
      </w:r>
      <w:r w:rsidR="0051594A" w:rsidRPr="007E4A0F">
        <w:t xml:space="preserve"> ERP</w:t>
      </w:r>
      <w:r w:rsidR="00A8161A" w:rsidRPr="007E4A0F">
        <w:t xml:space="preserve"> était considéré comme l</w:t>
      </w:r>
      <w:r w:rsidR="00B274E6" w:rsidRPr="007E4A0F">
        <w:t>’</w:t>
      </w:r>
      <w:r w:rsidR="00A8161A" w:rsidRPr="007E4A0F">
        <w:t xml:space="preserve">un de ses projets les </w:t>
      </w:r>
      <w:r w:rsidR="007B2BEB" w:rsidRPr="007E4A0F">
        <w:t xml:space="preserve">plus </w:t>
      </w:r>
      <w:r w:rsidR="00472C94" w:rsidRPr="007E4A0F">
        <w:t xml:space="preserve">mentionnés </w:t>
      </w:r>
      <w:r w:rsidR="007B2BEB" w:rsidRPr="007E4A0F">
        <w:t xml:space="preserve">et les </w:t>
      </w:r>
      <w:r w:rsidR="00A8161A" w:rsidRPr="007E4A0F">
        <w:t>plus transparents</w:t>
      </w:r>
      <w:r w:rsidR="00C8690B" w:rsidRPr="007E4A0F">
        <w:t xml:space="preserve"> de l</w:t>
      </w:r>
      <w:r w:rsidR="00B274E6" w:rsidRPr="007E4A0F">
        <w:t>’</w:t>
      </w:r>
      <w:r w:rsidR="00C8690B" w:rsidRPr="007E4A0F">
        <w:t>OMPI</w:t>
      </w:r>
      <w:r w:rsidR="000C34B1" w:rsidRPr="007E4A0F">
        <w:t xml:space="preserve">.  </w:t>
      </w:r>
      <w:r w:rsidR="00D359A8" w:rsidRPr="007E4A0F">
        <w:t>En règle générale, les systèmes de gestion électronique de documents ne sont pas mis en œuvre en même temps que les systèmes de planification de ressources d</w:t>
      </w:r>
      <w:r w:rsidR="00B274E6" w:rsidRPr="007E4A0F">
        <w:t>’</w:t>
      </w:r>
      <w:r w:rsidR="00D359A8" w:rsidRPr="007E4A0F">
        <w:t xml:space="preserve">entreprise.  La plupart des organisations les mettent en œuvre </w:t>
      </w:r>
      <w:r w:rsidR="0069682A" w:rsidRPr="007E4A0F">
        <w:t>l</w:t>
      </w:r>
      <w:r w:rsidR="00B274E6" w:rsidRPr="007E4A0F">
        <w:t>’</w:t>
      </w:r>
      <w:r w:rsidR="0069682A" w:rsidRPr="007E4A0F">
        <w:t>un après l</w:t>
      </w:r>
      <w:r w:rsidR="00B274E6" w:rsidRPr="007E4A0F">
        <w:t>’</w:t>
      </w:r>
      <w:r w:rsidR="0069682A" w:rsidRPr="007E4A0F">
        <w:t>autre, et les intègrent par la suite ou pas du tout, car ils peuvent très souvent coexister</w:t>
      </w:r>
      <w:r w:rsidR="00896635" w:rsidRPr="007E4A0F">
        <w:t xml:space="preserve"> sans qu</w:t>
      </w:r>
      <w:r w:rsidR="00B274E6" w:rsidRPr="007E4A0F">
        <w:t>’</w:t>
      </w:r>
      <w:r w:rsidR="00896635" w:rsidRPr="007E4A0F">
        <w:t>il soit nécessaire de procéder à une intégration technique particulière.</w:t>
      </w:r>
    </w:p>
    <w:p w:rsidR="00947AF6" w:rsidRPr="007E4A0F" w:rsidRDefault="006535C3" w:rsidP="00ED4876">
      <w:pPr>
        <w:pStyle w:val="Heading4"/>
        <w:rPr>
          <w:lang w:val="fr-FR"/>
        </w:rPr>
      </w:pPr>
      <w:r w:rsidRPr="007E4A0F">
        <w:rPr>
          <w:lang w:val="fr-FR"/>
        </w:rPr>
        <w:t>Établissement de r</w:t>
      </w:r>
      <w:r w:rsidR="00D810AC" w:rsidRPr="007E4A0F">
        <w:rPr>
          <w:lang w:val="fr-FR"/>
        </w:rPr>
        <w:t>apports d</w:t>
      </w:r>
      <w:r w:rsidR="00B274E6" w:rsidRPr="007E4A0F">
        <w:rPr>
          <w:lang w:val="fr-FR"/>
        </w:rPr>
        <w:t>’</w:t>
      </w:r>
      <w:r w:rsidR="00D810AC" w:rsidRPr="007E4A0F">
        <w:rPr>
          <w:lang w:val="fr-FR"/>
        </w:rPr>
        <w:t xml:space="preserve">évaluation de </w:t>
      </w:r>
      <w:r w:rsidR="00826443" w:rsidRPr="007E4A0F">
        <w:rPr>
          <w:lang w:val="fr-FR"/>
        </w:rPr>
        <w:t xml:space="preserve">la </w:t>
      </w:r>
      <w:r w:rsidR="00D810AC" w:rsidRPr="007E4A0F">
        <w:rPr>
          <w:lang w:val="fr-FR"/>
        </w:rPr>
        <w:t>performance des partenaires d</w:t>
      </w:r>
      <w:r w:rsidR="00B274E6" w:rsidRPr="007E4A0F">
        <w:rPr>
          <w:lang w:val="fr-FR"/>
        </w:rPr>
        <w:t>’</w:t>
      </w:r>
      <w:r w:rsidR="00D810AC" w:rsidRPr="007E4A0F">
        <w:rPr>
          <w:lang w:val="fr-FR"/>
        </w:rPr>
        <w:t>exécution externes</w:t>
      </w:r>
    </w:p>
    <w:p w:rsidR="00B274E6" w:rsidRPr="007E4A0F" w:rsidRDefault="00C50E9E" w:rsidP="00E26B4E">
      <w:pPr>
        <w:pStyle w:val="Style1"/>
      </w:pPr>
      <w:r w:rsidRPr="007E4A0F">
        <w:t>Le rapport sur l</w:t>
      </w:r>
      <w:r w:rsidR="00B274E6" w:rsidRPr="007E4A0F">
        <w:t>’</w:t>
      </w:r>
      <w:r w:rsidRPr="007E4A0F">
        <w:t>état d</w:t>
      </w:r>
      <w:r w:rsidR="00B274E6" w:rsidRPr="007E4A0F">
        <w:t>’</w:t>
      </w:r>
      <w:r w:rsidRPr="007E4A0F">
        <w:t>avancement du projet ERP présenté chaque année</w:t>
      </w:r>
      <w:r w:rsidR="00B274E6" w:rsidRPr="007E4A0F">
        <w:t xml:space="preserve"> au PBC</w:t>
      </w:r>
      <w:r w:rsidRPr="007E4A0F">
        <w:t xml:space="preserve"> indique le total des dépenses effectuées </w:t>
      </w:r>
      <w:r w:rsidR="00B274E6" w:rsidRPr="007E4A0F">
        <w:t>à l’égard</w:t>
      </w:r>
      <w:r w:rsidRPr="007E4A0F">
        <w:t xml:space="preserve"> des partenaires d</w:t>
      </w:r>
      <w:r w:rsidR="00B274E6" w:rsidRPr="007E4A0F">
        <w:t>’</w:t>
      </w:r>
      <w:r w:rsidRPr="007E4A0F">
        <w:t>exécution externes.  Nous avons remarqué qu</w:t>
      </w:r>
      <w:r w:rsidR="00B274E6" w:rsidRPr="007E4A0F">
        <w:t>’</w:t>
      </w:r>
      <w:r w:rsidRPr="007E4A0F">
        <w:t>aucun détail n</w:t>
      </w:r>
      <w:r w:rsidR="00B274E6" w:rsidRPr="007E4A0F">
        <w:t>’</w:t>
      </w:r>
      <w:r w:rsidRPr="007E4A0F">
        <w:t>était fourni en ce qui concerne l</w:t>
      </w:r>
      <w:r w:rsidR="00B274E6" w:rsidRPr="007E4A0F">
        <w:t>’</w:t>
      </w:r>
      <w:r w:rsidRPr="007E4A0F">
        <w:t>évaluation de leur performance.</w:t>
      </w:r>
    </w:p>
    <w:p w:rsidR="00947AF6" w:rsidRPr="007E4A0F" w:rsidRDefault="000A6F80" w:rsidP="00A35CE1">
      <w:pPr>
        <w:pStyle w:val="Heading4"/>
        <w:rPr>
          <w:lang w:val="fr-FR"/>
        </w:rPr>
      </w:pPr>
      <w:r w:rsidRPr="007E4A0F">
        <w:rPr>
          <w:lang w:val="fr-FR"/>
        </w:rPr>
        <w:lastRenderedPageBreak/>
        <w:t>Recommandation n° 1</w:t>
      </w:r>
      <w:r w:rsidR="00A35CE1" w:rsidRPr="007E4A0F">
        <w:rPr>
          <w:lang w:val="fr-FR"/>
        </w:rPr>
        <w:t>3</w:t>
      </w:r>
    </w:p>
    <w:p w:rsidR="00947AF6" w:rsidRPr="007E4A0F" w:rsidRDefault="00C50E9E" w:rsidP="00ED4876">
      <w:pPr>
        <w:pStyle w:val="Heading4"/>
        <w:rPr>
          <w:lang w:val="fr-FR"/>
        </w:rPr>
      </w:pPr>
      <w:r w:rsidRPr="007E4A0F">
        <w:rPr>
          <w:lang w:val="fr-FR"/>
        </w:rPr>
        <w:t>L</w:t>
      </w:r>
      <w:r w:rsidR="00B274E6" w:rsidRPr="007E4A0F">
        <w:rPr>
          <w:lang w:val="fr-FR"/>
        </w:rPr>
        <w:t>’</w:t>
      </w:r>
      <w:r w:rsidRPr="007E4A0F">
        <w:rPr>
          <w:lang w:val="fr-FR"/>
        </w:rPr>
        <w:t>OMPI pourrait envisager d</w:t>
      </w:r>
      <w:r w:rsidR="00B274E6" w:rsidRPr="007E4A0F">
        <w:rPr>
          <w:lang w:val="fr-FR"/>
        </w:rPr>
        <w:t>’</w:t>
      </w:r>
      <w:r w:rsidRPr="007E4A0F">
        <w:rPr>
          <w:lang w:val="fr-FR"/>
        </w:rPr>
        <w:t>inclure une évaluation de la performance des partenaires d</w:t>
      </w:r>
      <w:r w:rsidR="00B274E6" w:rsidRPr="007E4A0F">
        <w:rPr>
          <w:lang w:val="fr-FR"/>
        </w:rPr>
        <w:t>’</w:t>
      </w:r>
      <w:r w:rsidRPr="007E4A0F">
        <w:rPr>
          <w:lang w:val="fr-FR"/>
        </w:rPr>
        <w:t>exécution externes dans son rapport aux assemblées des États membres sur l</w:t>
      </w:r>
      <w:r w:rsidR="00B274E6" w:rsidRPr="007E4A0F">
        <w:rPr>
          <w:lang w:val="fr-FR"/>
        </w:rPr>
        <w:t>’</w:t>
      </w:r>
      <w:r w:rsidRPr="007E4A0F">
        <w:rPr>
          <w:lang w:val="fr-FR"/>
        </w:rPr>
        <w:t>état d</w:t>
      </w:r>
      <w:r w:rsidR="00B274E6" w:rsidRPr="007E4A0F">
        <w:rPr>
          <w:lang w:val="fr-FR"/>
        </w:rPr>
        <w:t>’</w:t>
      </w:r>
      <w:r w:rsidRPr="007E4A0F">
        <w:rPr>
          <w:lang w:val="fr-FR"/>
        </w:rPr>
        <w:t>avancement de la mise en œuvre du système global de planification des ressources.</w:t>
      </w:r>
    </w:p>
    <w:p w:rsidR="00947AF6" w:rsidRPr="007E4A0F" w:rsidRDefault="00DC7EA1" w:rsidP="00E26B4E">
      <w:pPr>
        <w:pStyle w:val="Style1"/>
      </w:pPr>
      <w:r w:rsidRPr="007E4A0F">
        <w:t>L</w:t>
      </w:r>
      <w:r w:rsidR="00B274E6" w:rsidRPr="007E4A0F">
        <w:t>’</w:t>
      </w:r>
      <w:r w:rsidRPr="007E4A0F">
        <w:t>OMPI a accepté la recommandation et promis d</w:t>
      </w:r>
      <w:r w:rsidR="00B274E6" w:rsidRPr="007E4A0F">
        <w:t>’</w:t>
      </w:r>
      <w:r w:rsidRPr="007E4A0F">
        <w:t>inclure</w:t>
      </w:r>
      <w:r w:rsidR="0095258E" w:rsidRPr="007E4A0F">
        <w:t xml:space="preserve"> la performance des principaux partenaires d</w:t>
      </w:r>
      <w:r w:rsidR="00B274E6" w:rsidRPr="007E4A0F">
        <w:t>’</w:t>
      </w:r>
      <w:r w:rsidR="0095258E" w:rsidRPr="007E4A0F">
        <w:t>exécution externe</w:t>
      </w:r>
      <w:r w:rsidRPr="007E4A0F">
        <w:t xml:space="preserve"> dans le rapport 2015 sur l</w:t>
      </w:r>
      <w:r w:rsidR="00B274E6" w:rsidRPr="007E4A0F">
        <w:t>’</w:t>
      </w:r>
      <w:r w:rsidRPr="007E4A0F">
        <w:t>état d</w:t>
      </w:r>
      <w:r w:rsidR="00B274E6" w:rsidRPr="007E4A0F">
        <w:t>’</w:t>
      </w:r>
      <w:r w:rsidRPr="007E4A0F">
        <w:t>avancement du système</w:t>
      </w:r>
      <w:r w:rsidR="00F304FA" w:rsidRPr="007E4A0F">
        <w:t xml:space="preserve"> ERP</w:t>
      </w:r>
      <w:r w:rsidRPr="007E4A0F">
        <w:t>.</w:t>
      </w:r>
    </w:p>
    <w:p w:rsidR="00947AF6" w:rsidRPr="007E4A0F" w:rsidRDefault="008A2489" w:rsidP="00ED4876">
      <w:pPr>
        <w:pStyle w:val="Heading3"/>
        <w:rPr>
          <w:lang w:val="fr-FR"/>
        </w:rPr>
      </w:pPr>
      <w:r w:rsidRPr="007E4A0F">
        <w:rPr>
          <w:lang w:val="fr-FR"/>
        </w:rPr>
        <w:t>Département de la gestion des ressources humaines</w:t>
      </w:r>
    </w:p>
    <w:p w:rsidR="00947AF6" w:rsidRPr="007E4A0F" w:rsidRDefault="00D93753" w:rsidP="00ED4876">
      <w:pPr>
        <w:pStyle w:val="Heading4"/>
        <w:rPr>
          <w:lang w:val="fr-FR"/>
        </w:rPr>
      </w:pPr>
      <w:r w:rsidRPr="007E4A0F">
        <w:rPr>
          <w:lang w:val="fr-FR"/>
        </w:rPr>
        <w:t>Rappel</w:t>
      </w:r>
    </w:p>
    <w:p w:rsidR="00947AF6" w:rsidRPr="007E4A0F" w:rsidRDefault="00D93753" w:rsidP="00E26B4E">
      <w:pPr>
        <w:pStyle w:val="Style1"/>
      </w:pPr>
      <w:r w:rsidRPr="007E4A0F">
        <w:t>Le Département de la gestion des ressources humaines est chargé de veiller à ce que l</w:t>
      </w:r>
      <w:r w:rsidR="00B274E6" w:rsidRPr="007E4A0F">
        <w:t>’</w:t>
      </w:r>
      <w:r w:rsidRPr="007E4A0F">
        <w:t>OMPI dispose des ressources humaines nécessaires afin de s</w:t>
      </w:r>
      <w:r w:rsidR="00B274E6" w:rsidRPr="007E4A0F">
        <w:t>’</w:t>
      </w:r>
      <w:r w:rsidRPr="007E4A0F">
        <w:t>acquitter pleinement de son mandat, en recrutant des talents à l</w:t>
      </w:r>
      <w:r w:rsidR="00B274E6" w:rsidRPr="007E4A0F">
        <w:t>’</w:t>
      </w:r>
      <w:r w:rsidRPr="007E4A0F">
        <w:t xml:space="preserve">échelle mondiale; </w:t>
      </w:r>
      <w:r w:rsidR="006C7CFD" w:rsidRPr="007E4A0F">
        <w:t xml:space="preserve"> </w:t>
      </w:r>
      <w:r w:rsidRPr="007E4A0F">
        <w:t>en fournissant des services efficaces et axés sur les besoins des clients en matière de ressources humaines, en établissant des partenariats stratégiques et opérationnels au sein de l</w:t>
      </w:r>
      <w:r w:rsidR="00B274E6" w:rsidRPr="007E4A0F">
        <w:t>’</w:t>
      </w:r>
      <w:r w:rsidRPr="007E4A0F">
        <w:t xml:space="preserve">Organisation; </w:t>
      </w:r>
      <w:r w:rsidR="006C7CFD" w:rsidRPr="007E4A0F">
        <w:t xml:space="preserve"> </w:t>
      </w:r>
      <w:r w:rsidRPr="007E4A0F">
        <w:t>et en offrant un environnement de travail propice ainsi que les meilleures pratiques en matière d</w:t>
      </w:r>
      <w:r w:rsidR="00B274E6" w:rsidRPr="007E4A0F">
        <w:t>’</w:t>
      </w:r>
      <w:r w:rsidRPr="007E4A0F">
        <w:t xml:space="preserve">emploi.  </w:t>
      </w:r>
      <w:r w:rsidR="00041FE7" w:rsidRPr="007E4A0F">
        <w:t>L</w:t>
      </w:r>
      <w:r w:rsidR="00B274E6" w:rsidRPr="007E4A0F">
        <w:t>’</w:t>
      </w:r>
      <w:r w:rsidR="00041FE7" w:rsidRPr="007E4A0F">
        <w:t>OMPI étant une organisation fondée sur le savoir, les ressources humaines sont pour elle d</w:t>
      </w:r>
      <w:r w:rsidR="00B274E6" w:rsidRPr="007E4A0F">
        <w:t>’</w:t>
      </w:r>
      <w:r w:rsidR="00041FE7" w:rsidRPr="007E4A0F">
        <w:t xml:space="preserve">une importance capitale.  </w:t>
      </w:r>
      <w:r w:rsidR="0099586B" w:rsidRPr="007E4A0F">
        <w:t>Le Département de la gestion des ressources humaines, qui fait l</w:t>
      </w:r>
      <w:r w:rsidR="00B274E6" w:rsidRPr="007E4A0F">
        <w:t>’</w:t>
      </w:r>
      <w:r w:rsidR="00F9045F" w:rsidRPr="007E4A0F">
        <w:t>objet du programme </w:t>
      </w:r>
      <w:r w:rsidR="0099586B" w:rsidRPr="007E4A0F">
        <w:t xml:space="preserve">23 du </w:t>
      </w:r>
      <w:r w:rsidR="00A67331" w:rsidRPr="007E4A0F">
        <w:t>p</w:t>
      </w:r>
      <w:r w:rsidR="002D0348" w:rsidRPr="007E4A0F">
        <w:t>rogramme et budget pour l</w:t>
      </w:r>
      <w:r w:rsidR="00B274E6" w:rsidRPr="007E4A0F">
        <w:t>’</w:t>
      </w:r>
      <w:r w:rsidR="002D0348" w:rsidRPr="007E4A0F">
        <w:t>exercice biennal</w:t>
      </w:r>
      <w:r w:rsidR="006C7CFD" w:rsidRPr="007E4A0F">
        <w:t> </w:t>
      </w:r>
      <w:r w:rsidR="002D0348" w:rsidRPr="007E4A0F">
        <w:t>2014</w:t>
      </w:r>
      <w:r w:rsidR="00CB1BDA" w:rsidRPr="007E4A0F">
        <w:noBreakHyphen/>
      </w:r>
      <w:r w:rsidR="0099586B" w:rsidRPr="007E4A0F">
        <w:t>20</w:t>
      </w:r>
      <w:r w:rsidR="002D0348" w:rsidRPr="007E4A0F">
        <w:t xml:space="preserve">15, </w:t>
      </w:r>
      <w:r w:rsidR="00BF0C16" w:rsidRPr="007E4A0F">
        <w:t>contribue à la réalisation de l</w:t>
      </w:r>
      <w:r w:rsidR="00B274E6" w:rsidRPr="007E4A0F">
        <w:t>’</w:t>
      </w:r>
      <w:r w:rsidR="00BF0C16" w:rsidRPr="007E4A0F">
        <w:t>objectif stratégique</w:t>
      </w:r>
      <w:r w:rsidR="00F9045F" w:rsidRPr="007E4A0F">
        <w:t> </w:t>
      </w:r>
      <w:r w:rsidR="00BF0C16" w:rsidRPr="007E4A0F">
        <w:t>IX de l</w:t>
      </w:r>
      <w:r w:rsidR="00B274E6" w:rsidRPr="007E4A0F">
        <w:t>’</w:t>
      </w:r>
      <w:r w:rsidR="00BF0C16" w:rsidRPr="007E4A0F">
        <w:t>OMPI : une structure d</w:t>
      </w:r>
      <w:r w:rsidR="00B274E6" w:rsidRPr="007E4A0F">
        <w:t>’</w:t>
      </w:r>
      <w:r w:rsidR="00BF0C16" w:rsidRPr="007E4A0F">
        <w:t>appui administratif et financier efficace permettant à l</w:t>
      </w:r>
      <w:r w:rsidR="00B274E6" w:rsidRPr="007E4A0F">
        <w:t>’</w:t>
      </w:r>
      <w:r w:rsidR="00BF0C16" w:rsidRPr="007E4A0F">
        <w:t>OMPI d</w:t>
      </w:r>
      <w:r w:rsidR="00B274E6" w:rsidRPr="007E4A0F">
        <w:t>’</w:t>
      </w:r>
      <w:r w:rsidR="00BF0C16" w:rsidRPr="007E4A0F">
        <w:t>exécuter ses programmes</w:t>
      </w:r>
      <w:r w:rsidR="002E584E" w:rsidRPr="007E4A0F">
        <w:t>.</w:t>
      </w:r>
    </w:p>
    <w:p w:rsidR="00947AF6" w:rsidRPr="007E4A0F" w:rsidRDefault="00A67331" w:rsidP="00E26B4E">
      <w:pPr>
        <w:pStyle w:val="Style1"/>
      </w:pPr>
      <w:r w:rsidRPr="007E4A0F">
        <w:t xml:space="preserve">La </w:t>
      </w:r>
      <w:r w:rsidR="0039174C" w:rsidRPr="007E4A0F">
        <w:t>S</w:t>
      </w:r>
      <w:r w:rsidRPr="007E4A0F">
        <w:t>ection de la planification des ressources humaines</w:t>
      </w:r>
      <w:r w:rsidR="000278F4" w:rsidRPr="007E4A0F">
        <w:t xml:space="preserve"> est chargée du recrutement, de la classification des postes et des descriptions de poste</w:t>
      </w:r>
      <w:r w:rsidR="00153A19" w:rsidRPr="007E4A0F">
        <w:t>s</w:t>
      </w:r>
      <w:r w:rsidR="000278F4" w:rsidRPr="007E4A0F">
        <w:t xml:space="preserve">.  </w:t>
      </w:r>
      <w:r w:rsidR="008E2EF9" w:rsidRPr="007E4A0F">
        <w:t xml:space="preserve">Les activités du </w:t>
      </w:r>
      <w:r w:rsidR="0039174C" w:rsidRPr="007E4A0F">
        <w:t>S</w:t>
      </w:r>
      <w:r w:rsidR="008E2EF9" w:rsidRPr="007E4A0F">
        <w:t>ervice des opérations relatives aux ressources humaines</w:t>
      </w:r>
      <w:r w:rsidR="0012066D" w:rsidRPr="007E4A0F">
        <w:t xml:space="preserve"> </w:t>
      </w:r>
      <w:r w:rsidR="008E2EF9" w:rsidRPr="007E4A0F">
        <w:t>concernent les questions de prestations et avantages, retraite, assurance et assistance médico</w:t>
      </w:r>
      <w:r w:rsidR="00CB1BDA" w:rsidRPr="007E4A0F">
        <w:noBreakHyphen/>
      </w:r>
      <w:r w:rsidR="008E2EF9" w:rsidRPr="007E4A0F">
        <w:t>sociale</w:t>
      </w:r>
      <w:r w:rsidR="00F07C42" w:rsidRPr="007E4A0F">
        <w:t xml:space="preserve">.  La </w:t>
      </w:r>
      <w:r w:rsidR="0039174C" w:rsidRPr="007E4A0F">
        <w:t>S</w:t>
      </w:r>
      <w:r w:rsidR="00F07C42" w:rsidRPr="007E4A0F">
        <w:t xml:space="preserve">ection des performances et du développement </w:t>
      </w:r>
      <w:r w:rsidR="0039174C" w:rsidRPr="007E4A0F">
        <w:t>s</w:t>
      </w:r>
      <w:r w:rsidR="00B274E6" w:rsidRPr="007E4A0F">
        <w:t>’</w:t>
      </w:r>
      <w:r w:rsidR="0039174C" w:rsidRPr="007E4A0F">
        <w:t xml:space="preserve">occupe de la gestion des performances et de la formation.  Les activités de la Section des politiques et du droit </w:t>
      </w:r>
      <w:r w:rsidR="00DA3B56" w:rsidRPr="007E4A0F">
        <w:t>comprennent l</w:t>
      </w:r>
      <w:r w:rsidR="00B274E6" w:rsidRPr="007E4A0F">
        <w:t>’</w:t>
      </w:r>
      <w:r w:rsidR="00DA3B56" w:rsidRPr="007E4A0F">
        <w:t>administration de la justice interne et l</w:t>
      </w:r>
      <w:r w:rsidR="00B274E6" w:rsidRPr="007E4A0F">
        <w:t>’</w:t>
      </w:r>
      <w:r w:rsidR="00DA3B56" w:rsidRPr="007E4A0F">
        <w:t xml:space="preserve">élaboration des politiques en matière de ressources humaines.  </w:t>
      </w:r>
      <w:r w:rsidR="00D32784" w:rsidRPr="007E4A0F">
        <w:t>L</w:t>
      </w:r>
      <w:r w:rsidR="00B274E6" w:rsidRPr="007E4A0F">
        <w:t>’</w:t>
      </w:r>
      <w:r w:rsidR="00D32784" w:rsidRPr="007E4A0F">
        <w:t xml:space="preserve">OMPI applique le régime commun des </w:t>
      </w:r>
      <w:r w:rsidR="00B274E6" w:rsidRPr="007E4A0F">
        <w:t>Nations Unies</w:t>
      </w:r>
      <w:r w:rsidR="00D32784" w:rsidRPr="007E4A0F">
        <w:t xml:space="preserve"> en matière de traitements, indemnités et </w:t>
      </w:r>
      <w:r w:rsidR="00331CFC" w:rsidRPr="007E4A0F">
        <w:t xml:space="preserve">autres </w:t>
      </w:r>
      <w:r w:rsidR="00D32784" w:rsidRPr="007E4A0F">
        <w:t>prestations</w:t>
      </w:r>
      <w:r w:rsidR="00D96A93" w:rsidRPr="007E4A0F">
        <w:t>, tel que défini par la Commission de la fonction publique internationale.</w:t>
      </w:r>
    </w:p>
    <w:p w:rsidR="009212AC" w:rsidRDefault="009212AC">
      <w:pPr>
        <w:rPr>
          <w:rFonts w:eastAsia="Calibri" w:cs="Times New Roman"/>
          <w:szCs w:val="24"/>
          <w:lang w:val="fr-FR" w:eastAsia="en-IN" w:bidi="hi-IN"/>
        </w:rPr>
      </w:pPr>
      <w:r>
        <w:br w:type="page"/>
      </w:r>
    </w:p>
    <w:p w:rsidR="00947AF6" w:rsidRPr="007E4A0F" w:rsidRDefault="007C2688" w:rsidP="00E26B4E">
      <w:pPr>
        <w:pStyle w:val="Style1"/>
      </w:pPr>
      <w:r w:rsidRPr="007E4A0F">
        <w:lastRenderedPageBreak/>
        <w:t xml:space="preserve">Répartition </w:t>
      </w:r>
      <w:r w:rsidR="00F60979" w:rsidRPr="007E4A0F">
        <w:t>du personnel de l</w:t>
      </w:r>
      <w:r w:rsidR="00B274E6" w:rsidRPr="007E4A0F">
        <w:t>’</w:t>
      </w:r>
      <w:r w:rsidR="00F60979" w:rsidRPr="007E4A0F">
        <w:t>OMPI par catégorie et par année</w:t>
      </w:r>
      <w:r w:rsidR="006C7CFD" w:rsidRPr="007E4A0F">
        <w:t> </w:t>
      </w:r>
      <w:r w:rsidR="0012066D" w:rsidRPr="007E4A0F">
        <w:t>:</w:t>
      </w:r>
    </w:p>
    <w:p w:rsidR="00ED4876" w:rsidRPr="007E4A0F" w:rsidRDefault="00ED4876" w:rsidP="00ED4876">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661"/>
        <w:gridCol w:w="661"/>
        <w:gridCol w:w="661"/>
      </w:tblGrid>
      <w:tr w:rsidR="007E4A0F" w:rsidRPr="007E4A0F" w:rsidTr="004E0CF6">
        <w:tc>
          <w:tcPr>
            <w:tcW w:w="0" w:type="auto"/>
          </w:tcPr>
          <w:p w:rsidR="0012066D" w:rsidRPr="007E4A0F" w:rsidRDefault="00F60979" w:rsidP="00ED4876">
            <w:pPr>
              <w:rPr>
                <w:b/>
                <w:sz w:val="20"/>
                <w:lang w:val="fr-FR"/>
              </w:rPr>
            </w:pPr>
            <w:r w:rsidRPr="007E4A0F">
              <w:rPr>
                <w:b/>
                <w:sz w:val="20"/>
                <w:lang w:val="fr-FR"/>
              </w:rPr>
              <w:t>Personnel en poste</w:t>
            </w:r>
          </w:p>
        </w:tc>
        <w:tc>
          <w:tcPr>
            <w:tcW w:w="0" w:type="auto"/>
          </w:tcPr>
          <w:p w:rsidR="0012066D" w:rsidRPr="007E4A0F" w:rsidRDefault="0012066D" w:rsidP="00547025">
            <w:pPr>
              <w:jc w:val="center"/>
              <w:rPr>
                <w:b/>
                <w:sz w:val="20"/>
                <w:lang w:val="fr-FR"/>
              </w:rPr>
            </w:pPr>
            <w:r w:rsidRPr="007E4A0F">
              <w:rPr>
                <w:b/>
                <w:sz w:val="20"/>
                <w:lang w:val="fr-FR"/>
              </w:rPr>
              <w:t>2012</w:t>
            </w:r>
          </w:p>
        </w:tc>
        <w:tc>
          <w:tcPr>
            <w:tcW w:w="0" w:type="auto"/>
          </w:tcPr>
          <w:p w:rsidR="0012066D" w:rsidRPr="007E4A0F" w:rsidRDefault="0012066D" w:rsidP="00547025">
            <w:pPr>
              <w:jc w:val="center"/>
              <w:rPr>
                <w:b/>
                <w:sz w:val="20"/>
                <w:lang w:val="fr-FR"/>
              </w:rPr>
            </w:pPr>
            <w:r w:rsidRPr="007E4A0F">
              <w:rPr>
                <w:b/>
                <w:sz w:val="20"/>
                <w:lang w:val="fr-FR"/>
              </w:rPr>
              <w:t>2013</w:t>
            </w:r>
          </w:p>
        </w:tc>
        <w:tc>
          <w:tcPr>
            <w:tcW w:w="0" w:type="auto"/>
          </w:tcPr>
          <w:p w:rsidR="0012066D" w:rsidRPr="007E4A0F" w:rsidRDefault="0012066D" w:rsidP="00547025">
            <w:pPr>
              <w:jc w:val="center"/>
              <w:rPr>
                <w:b/>
                <w:sz w:val="20"/>
                <w:lang w:val="fr-FR"/>
              </w:rPr>
            </w:pPr>
            <w:r w:rsidRPr="007E4A0F">
              <w:rPr>
                <w:b/>
                <w:sz w:val="20"/>
                <w:lang w:val="fr-FR"/>
              </w:rPr>
              <w:t>2014</w:t>
            </w:r>
          </w:p>
        </w:tc>
      </w:tr>
      <w:tr w:rsidR="007E4A0F" w:rsidRPr="007E4A0F" w:rsidTr="004E0CF6">
        <w:tc>
          <w:tcPr>
            <w:tcW w:w="0" w:type="auto"/>
          </w:tcPr>
          <w:p w:rsidR="0012066D" w:rsidRPr="007E4A0F" w:rsidRDefault="00A41A94" w:rsidP="00ED4876">
            <w:pPr>
              <w:rPr>
                <w:sz w:val="20"/>
                <w:lang w:val="fr-FR"/>
              </w:rPr>
            </w:pPr>
            <w:r w:rsidRPr="007E4A0F">
              <w:rPr>
                <w:sz w:val="20"/>
                <w:lang w:val="fr-FR"/>
              </w:rPr>
              <w:t>Catégorie spéciale et catégories supérieures</w:t>
            </w:r>
          </w:p>
        </w:tc>
        <w:tc>
          <w:tcPr>
            <w:tcW w:w="0" w:type="auto"/>
          </w:tcPr>
          <w:p w:rsidR="0012066D" w:rsidRPr="007E4A0F" w:rsidRDefault="0012066D" w:rsidP="00547025">
            <w:pPr>
              <w:jc w:val="right"/>
              <w:rPr>
                <w:sz w:val="20"/>
                <w:lang w:val="fr-FR"/>
              </w:rPr>
            </w:pPr>
            <w:r w:rsidRPr="007E4A0F">
              <w:rPr>
                <w:sz w:val="20"/>
                <w:lang w:val="fr-FR"/>
              </w:rPr>
              <w:t>63</w:t>
            </w:r>
          </w:p>
        </w:tc>
        <w:tc>
          <w:tcPr>
            <w:tcW w:w="0" w:type="auto"/>
          </w:tcPr>
          <w:p w:rsidR="0012066D" w:rsidRPr="007E4A0F" w:rsidRDefault="0012066D" w:rsidP="00547025">
            <w:pPr>
              <w:jc w:val="right"/>
              <w:rPr>
                <w:sz w:val="20"/>
                <w:lang w:val="fr-FR"/>
              </w:rPr>
            </w:pPr>
            <w:r w:rsidRPr="007E4A0F">
              <w:rPr>
                <w:sz w:val="20"/>
                <w:lang w:val="fr-FR"/>
              </w:rPr>
              <w:t>61</w:t>
            </w:r>
          </w:p>
        </w:tc>
        <w:tc>
          <w:tcPr>
            <w:tcW w:w="0" w:type="auto"/>
          </w:tcPr>
          <w:p w:rsidR="0012066D" w:rsidRPr="007E4A0F" w:rsidRDefault="0012066D" w:rsidP="00547025">
            <w:pPr>
              <w:jc w:val="right"/>
              <w:rPr>
                <w:sz w:val="20"/>
                <w:lang w:val="fr-FR"/>
              </w:rPr>
            </w:pPr>
            <w:r w:rsidRPr="007E4A0F">
              <w:rPr>
                <w:sz w:val="20"/>
                <w:lang w:val="fr-FR"/>
              </w:rPr>
              <w:t>64</w:t>
            </w:r>
          </w:p>
        </w:tc>
      </w:tr>
      <w:tr w:rsidR="007E4A0F" w:rsidRPr="007E4A0F" w:rsidTr="004E0CF6">
        <w:tc>
          <w:tcPr>
            <w:tcW w:w="0" w:type="auto"/>
          </w:tcPr>
          <w:p w:rsidR="0012066D" w:rsidRPr="007E4A0F" w:rsidRDefault="00AB3642" w:rsidP="00ED4876">
            <w:pPr>
              <w:rPr>
                <w:sz w:val="20"/>
                <w:lang w:val="fr-FR"/>
              </w:rPr>
            </w:pPr>
            <w:r w:rsidRPr="007E4A0F">
              <w:rPr>
                <w:sz w:val="20"/>
                <w:lang w:val="fr-FR"/>
              </w:rPr>
              <w:t>Administrateurs</w:t>
            </w:r>
          </w:p>
        </w:tc>
        <w:tc>
          <w:tcPr>
            <w:tcW w:w="0" w:type="auto"/>
          </w:tcPr>
          <w:p w:rsidR="0012066D" w:rsidRPr="007E4A0F" w:rsidRDefault="0012066D" w:rsidP="00547025">
            <w:pPr>
              <w:jc w:val="right"/>
              <w:rPr>
                <w:sz w:val="20"/>
                <w:lang w:val="fr-FR"/>
              </w:rPr>
            </w:pPr>
            <w:r w:rsidRPr="007E4A0F">
              <w:rPr>
                <w:sz w:val="20"/>
                <w:lang w:val="fr-FR"/>
              </w:rPr>
              <w:t>434</w:t>
            </w:r>
          </w:p>
        </w:tc>
        <w:tc>
          <w:tcPr>
            <w:tcW w:w="0" w:type="auto"/>
          </w:tcPr>
          <w:p w:rsidR="0012066D" w:rsidRPr="007E4A0F" w:rsidRDefault="0012066D" w:rsidP="00547025">
            <w:pPr>
              <w:jc w:val="right"/>
              <w:rPr>
                <w:sz w:val="20"/>
                <w:lang w:val="fr-FR"/>
              </w:rPr>
            </w:pPr>
            <w:r w:rsidRPr="007E4A0F">
              <w:rPr>
                <w:sz w:val="20"/>
                <w:lang w:val="fr-FR"/>
              </w:rPr>
              <w:t>429</w:t>
            </w:r>
          </w:p>
        </w:tc>
        <w:tc>
          <w:tcPr>
            <w:tcW w:w="0" w:type="auto"/>
          </w:tcPr>
          <w:p w:rsidR="0012066D" w:rsidRPr="007E4A0F" w:rsidRDefault="0012066D" w:rsidP="00547025">
            <w:pPr>
              <w:jc w:val="right"/>
              <w:rPr>
                <w:sz w:val="20"/>
                <w:lang w:val="fr-FR"/>
              </w:rPr>
            </w:pPr>
            <w:r w:rsidRPr="007E4A0F">
              <w:rPr>
                <w:sz w:val="20"/>
                <w:lang w:val="fr-FR"/>
              </w:rPr>
              <w:t>460</w:t>
            </w:r>
          </w:p>
        </w:tc>
      </w:tr>
      <w:tr w:rsidR="007E4A0F" w:rsidRPr="007E4A0F" w:rsidTr="004E0CF6">
        <w:tc>
          <w:tcPr>
            <w:tcW w:w="0" w:type="auto"/>
          </w:tcPr>
          <w:p w:rsidR="0012066D" w:rsidRPr="007E4A0F" w:rsidRDefault="0012066D" w:rsidP="00ED4876">
            <w:pPr>
              <w:rPr>
                <w:sz w:val="20"/>
                <w:lang w:val="fr-FR"/>
              </w:rPr>
            </w:pPr>
            <w:r w:rsidRPr="007E4A0F">
              <w:rPr>
                <w:sz w:val="20"/>
                <w:lang w:val="fr-FR"/>
              </w:rPr>
              <w:t>Service</w:t>
            </w:r>
            <w:r w:rsidR="0050682B" w:rsidRPr="007E4A0F">
              <w:rPr>
                <w:sz w:val="20"/>
                <w:lang w:val="fr-FR"/>
              </w:rPr>
              <w:t>s généraux</w:t>
            </w:r>
          </w:p>
        </w:tc>
        <w:tc>
          <w:tcPr>
            <w:tcW w:w="0" w:type="auto"/>
          </w:tcPr>
          <w:p w:rsidR="0012066D" w:rsidRPr="007E4A0F" w:rsidRDefault="0012066D" w:rsidP="00547025">
            <w:pPr>
              <w:jc w:val="right"/>
              <w:rPr>
                <w:sz w:val="20"/>
                <w:lang w:val="fr-FR"/>
              </w:rPr>
            </w:pPr>
            <w:r w:rsidRPr="007E4A0F">
              <w:rPr>
                <w:sz w:val="20"/>
                <w:lang w:val="fr-FR"/>
              </w:rPr>
              <w:t>497</w:t>
            </w:r>
          </w:p>
        </w:tc>
        <w:tc>
          <w:tcPr>
            <w:tcW w:w="0" w:type="auto"/>
          </w:tcPr>
          <w:p w:rsidR="0012066D" w:rsidRPr="007E4A0F" w:rsidRDefault="0012066D" w:rsidP="00547025">
            <w:pPr>
              <w:jc w:val="right"/>
              <w:rPr>
                <w:sz w:val="20"/>
                <w:lang w:val="fr-FR"/>
              </w:rPr>
            </w:pPr>
            <w:r w:rsidRPr="007E4A0F">
              <w:rPr>
                <w:sz w:val="20"/>
                <w:lang w:val="fr-FR"/>
              </w:rPr>
              <w:t>520</w:t>
            </w:r>
          </w:p>
        </w:tc>
        <w:tc>
          <w:tcPr>
            <w:tcW w:w="0" w:type="auto"/>
          </w:tcPr>
          <w:p w:rsidR="0012066D" w:rsidRPr="007E4A0F" w:rsidRDefault="0012066D" w:rsidP="00547025">
            <w:pPr>
              <w:jc w:val="right"/>
              <w:rPr>
                <w:sz w:val="20"/>
                <w:lang w:val="fr-FR"/>
              </w:rPr>
            </w:pPr>
            <w:r w:rsidRPr="007E4A0F">
              <w:rPr>
                <w:sz w:val="20"/>
                <w:lang w:val="fr-FR"/>
              </w:rPr>
              <w:t>531</w:t>
            </w:r>
          </w:p>
        </w:tc>
      </w:tr>
      <w:tr w:rsidR="007E4A0F" w:rsidRPr="007E4A0F" w:rsidTr="004E0CF6">
        <w:tc>
          <w:tcPr>
            <w:tcW w:w="0" w:type="auto"/>
          </w:tcPr>
          <w:p w:rsidR="0012066D" w:rsidRPr="007E4A0F" w:rsidRDefault="005E520C" w:rsidP="005E520C">
            <w:pPr>
              <w:rPr>
                <w:b/>
                <w:sz w:val="20"/>
                <w:lang w:val="fr-FR"/>
              </w:rPr>
            </w:pPr>
            <w:r w:rsidRPr="007E4A0F">
              <w:rPr>
                <w:b/>
                <w:sz w:val="20"/>
                <w:lang w:val="fr-FR"/>
              </w:rPr>
              <w:t>Total partiel du nombre de fonctionnaires occupant un poste inscrit au budget ordinaire</w:t>
            </w:r>
          </w:p>
        </w:tc>
        <w:tc>
          <w:tcPr>
            <w:tcW w:w="0" w:type="auto"/>
          </w:tcPr>
          <w:p w:rsidR="0012066D" w:rsidRPr="007E4A0F" w:rsidRDefault="0012066D" w:rsidP="00547025">
            <w:pPr>
              <w:jc w:val="right"/>
              <w:rPr>
                <w:b/>
                <w:sz w:val="20"/>
                <w:lang w:val="fr-FR"/>
              </w:rPr>
            </w:pPr>
            <w:r w:rsidRPr="007E4A0F">
              <w:rPr>
                <w:b/>
                <w:sz w:val="20"/>
                <w:lang w:val="fr-FR"/>
              </w:rPr>
              <w:t>994</w:t>
            </w:r>
          </w:p>
        </w:tc>
        <w:tc>
          <w:tcPr>
            <w:tcW w:w="0" w:type="auto"/>
          </w:tcPr>
          <w:p w:rsidR="0012066D" w:rsidRPr="007E4A0F" w:rsidRDefault="0012066D" w:rsidP="00547025">
            <w:pPr>
              <w:jc w:val="right"/>
              <w:rPr>
                <w:b/>
                <w:sz w:val="20"/>
                <w:lang w:val="fr-FR"/>
              </w:rPr>
            </w:pPr>
            <w:r w:rsidRPr="007E4A0F">
              <w:rPr>
                <w:b/>
                <w:sz w:val="20"/>
                <w:lang w:val="fr-FR"/>
              </w:rPr>
              <w:t>1010</w:t>
            </w:r>
          </w:p>
        </w:tc>
        <w:tc>
          <w:tcPr>
            <w:tcW w:w="0" w:type="auto"/>
          </w:tcPr>
          <w:p w:rsidR="0012066D" w:rsidRPr="007E4A0F" w:rsidRDefault="0012066D" w:rsidP="00547025">
            <w:pPr>
              <w:jc w:val="right"/>
              <w:rPr>
                <w:b/>
                <w:sz w:val="20"/>
                <w:lang w:val="fr-FR"/>
              </w:rPr>
            </w:pPr>
            <w:r w:rsidRPr="007E4A0F">
              <w:rPr>
                <w:b/>
                <w:sz w:val="20"/>
                <w:lang w:val="fr-FR"/>
              </w:rPr>
              <w:t>1055</w:t>
            </w:r>
          </w:p>
        </w:tc>
      </w:tr>
      <w:tr w:rsidR="007E4A0F" w:rsidRPr="007E4A0F" w:rsidTr="004E0CF6">
        <w:tc>
          <w:tcPr>
            <w:tcW w:w="0" w:type="auto"/>
          </w:tcPr>
          <w:p w:rsidR="0012066D" w:rsidRPr="007E4A0F" w:rsidRDefault="005E520C" w:rsidP="00851768">
            <w:pPr>
              <w:rPr>
                <w:b/>
                <w:sz w:val="20"/>
                <w:lang w:val="fr-FR"/>
              </w:rPr>
            </w:pPr>
            <w:r w:rsidRPr="007E4A0F">
              <w:rPr>
                <w:b/>
                <w:sz w:val="20"/>
                <w:lang w:val="fr-FR"/>
              </w:rPr>
              <w:t>Personnel financé sur les réserves ou des fonds fiduciaires</w:t>
            </w:r>
          </w:p>
        </w:tc>
        <w:tc>
          <w:tcPr>
            <w:tcW w:w="0" w:type="auto"/>
          </w:tcPr>
          <w:p w:rsidR="0012066D" w:rsidRPr="007E4A0F" w:rsidRDefault="0012066D" w:rsidP="00547025">
            <w:pPr>
              <w:jc w:val="right"/>
              <w:rPr>
                <w:b/>
                <w:sz w:val="20"/>
                <w:lang w:val="fr-FR"/>
              </w:rPr>
            </w:pPr>
            <w:r w:rsidRPr="007E4A0F">
              <w:rPr>
                <w:b/>
                <w:sz w:val="20"/>
                <w:lang w:val="fr-FR"/>
              </w:rPr>
              <w:t>18</w:t>
            </w:r>
          </w:p>
        </w:tc>
        <w:tc>
          <w:tcPr>
            <w:tcW w:w="0" w:type="auto"/>
          </w:tcPr>
          <w:p w:rsidR="0012066D" w:rsidRPr="007E4A0F" w:rsidRDefault="0012066D" w:rsidP="00547025">
            <w:pPr>
              <w:jc w:val="right"/>
              <w:rPr>
                <w:b/>
                <w:sz w:val="20"/>
                <w:lang w:val="fr-FR"/>
              </w:rPr>
            </w:pPr>
            <w:r w:rsidRPr="007E4A0F">
              <w:rPr>
                <w:b/>
                <w:sz w:val="20"/>
                <w:lang w:val="fr-FR"/>
              </w:rPr>
              <w:t>15</w:t>
            </w:r>
          </w:p>
        </w:tc>
        <w:tc>
          <w:tcPr>
            <w:tcW w:w="0" w:type="auto"/>
          </w:tcPr>
          <w:p w:rsidR="0012066D" w:rsidRPr="007E4A0F" w:rsidRDefault="0012066D" w:rsidP="00547025">
            <w:pPr>
              <w:jc w:val="right"/>
              <w:rPr>
                <w:b/>
                <w:sz w:val="20"/>
                <w:lang w:val="fr-FR"/>
              </w:rPr>
            </w:pPr>
            <w:r w:rsidRPr="007E4A0F">
              <w:rPr>
                <w:b/>
                <w:sz w:val="20"/>
                <w:lang w:val="fr-FR"/>
              </w:rPr>
              <w:t>16</w:t>
            </w:r>
          </w:p>
        </w:tc>
      </w:tr>
      <w:tr w:rsidR="007E4A0F" w:rsidRPr="007E4A0F" w:rsidTr="004E0CF6">
        <w:tc>
          <w:tcPr>
            <w:tcW w:w="0" w:type="auto"/>
          </w:tcPr>
          <w:p w:rsidR="0012066D" w:rsidRPr="007E4A0F" w:rsidRDefault="00A41A94" w:rsidP="00ED4876">
            <w:pPr>
              <w:rPr>
                <w:b/>
                <w:sz w:val="20"/>
                <w:lang w:val="fr-FR"/>
              </w:rPr>
            </w:pPr>
            <w:r w:rsidRPr="007E4A0F">
              <w:rPr>
                <w:b/>
                <w:sz w:val="20"/>
                <w:lang w:val="fr-FR"/>
              </w:rPr>
              <w:t>Nombre total de fonctionnaires en activité</w:t>
            </w:r>
          </w:p>
        </w:tc>
        <w:tc>
          <w:tcPr>
            <w:tcW w:w="0" w:type="auto"/>
          </w:tcPr>
          <w:p w:rsidR="0012066D" w:rsidRPr="007E4A0F" w:rsidRDefault="0012066D" w:rsidP="00547025">
            <w:pPr>
              <w:jc w:val="right"/>
              <w:rPr>
                <w:b/>
                <w:sz w:val="20"/>
                <w:lang w:val="fr-FR"/>
              </w:rPr>
            </w:pPr>
            <w:r w:rsidRPr="007E4A0F">
              <w:rPr>
                <w:b/>
                <w:sz w:val="20"/>
                <w:lang w:val="fr-FR"/>
              </w:rPr>
              <w:t>1012</w:t>
            </w:r>
          </w:p>
        </w:tc>
        <w:tc>
          <w:tcPr>
            <w:tcW w:w="0" w:type="auto"/>
          </w:tcPr>
          <w:p w:rsidR="0012066D" w:rsidRPr="007E4A0F" w:rsidRDefault="0012066D" w:rsidP="00547025">
            <w:pPr>
              <w:jc w:val="right"/>
              <w:rPr>
                <w:b/>
                <w:sz w:val="20"/>
                <w:lang w:val="fr-FR"/>
              </w:rPr>
            </w:pPr>
            <w:r w:rsidRPr="007E4A0F">
              <w:rPr>
                <w:b/>
                <w:sz w:val="20"/>
                <w:lang w:val="fr-FR"/>
              </w:rPr>
              <w:t>1025</w:t>
            </w:r>
          </w:p>
        </w:tc>
        <w:tc>
          <w:tcPr>
            <w:tcW w:w="0" w:type="auto"/>
          </w:tcPr>
          <w:p w:rsidR="0012066D" w:rsidRPr="007E4A0F" w:rsidRDefault="0012066D" w:rsidP="00547025">
            <w:pPr>
              <w:jc w:val="right"/>
              <w:rPr>
                <w:b/>
                <w:sz w:val="20"/>
                <w:lang w:val="fr-FR"/>
              </w:rPr>
            </w:pPr>
            <w:r w:rsidRPr="007E4A0F">
              <w:rPr>
                <w:b/>
                <w:sz w:val="20"/>
                <w:lang w:val="fr-FR"/>
              </w:rPr>
              <w:t>1071</w:t>
            </w:r>
          </w:p>
        </w:tc>
      </w:tr>
      <w:tr w:rsidR="007E4A0F" w:rsidRPr="007E4A0F" w:rsidTr="004E0CF6">
        <w:tc>
          <w:tcPr>
            <w:tcW w:w="0" w:type="auto"/>
            <w:gridSpan w:val="4"/>
          </w:tcPr>
          <w:p w:rsidR="0012066D" w:rsidRPr="007E4A0F" w:rsidRDefault="007C2688" w:rsidP="007C2688">
            <w:pPr>
              <w:rPr>
                <w:b/>
                <w:sz w:val="20"/>
                <w:lang w:val="fr-FR"/>
              </w:rPr>
            </w:pPr>
            <w:r w:rsidRPr="007E4A0F">
              <w:rPr>
                <w:b/>
                <w:sz w:val="20"/>
                <w:lang w:val="fr-FR"/>
              </w:rPr>
              <w:t>Fonctionnaires temporaires</w:t>
            </w:r>
          </w:p>
        </w:tc>
      </w:tr>
      <w:tr w:rsidR="007E4A0F" w:rsidRPr="007E4A0F" w:rsidTr="004E0CF6">
        <w:tc>
          <w:tcPr>
            <w:tcW w:w="0" w:type="auto"/>
          </w:tcPr>
          <w:p w:rsidR="0012066D" w:rsidRPr="007E4A0F" w:rsidRDefault="00851768" w:rsidP="00851768">
            <w:pPr>
              <w:rPr>
                <w:sz w:val="20"/>
                <w:lang w:val="fr-FR"/>
              </w:rPr>
            </w:pPr>
            <w:r w:rsidRPr="007E4A0F">
              <w:rPr>
                <w:sz w:val="20"/>
                <w:lang w:val="fr-FR"/>
              </w:rPr>
              <w:t>Fonctionnaires temporaires de la catégorie des administrateurs</w:t>
            </w:r>
          </w:p>
        </w:tc>
        <w:tc>
          <w:tcPr>
            <w:tcW w:w="0" w:type="auto"/>
          </w:tcPr>
          <w:p w:rsidR="0012066D" w:rsidRPr="007E4A0F" w:rsidRDefault="00547025" w:rsidP="00547025">
            <w:pPr>
              <w:jc w:val="right"/>
              <w:rPr>
                <w:sz w:val="20"/>
                <w:lang w:val="fr-FR"/>
              </w:rPr>
            </w:pPr>
            <w:proofErr w:type="spellStart"/>
            <w:r w:rsidRPr="007E4A0F">
              <w:rPr>
                <w:sz w:val="20"/>
                <w:lang w:val="fr-FR"/>
              </w:rPr>
              <w:t>n.d</w:t>
            </w:r>
            <w:proofErr w:type="spellEnd"/>
            <w:r w:rsidRPr="007E4A0F">
              <w:rPr>
                <w:sz w:val="20"/>
                <w:lang w:val="fr-FR"/>
              </w:rPr>
              <w:t>.</w:t>
            </w:r>
          </w:p>
        </w:tc>
        <w:tc>
          <w:tcPr>
            <w:tcW w:w="0" w:type="auto"/>
          </w:tcPr>
          <w:p w:rsidR="0012066D" w:rsidRPr="007E4A0F" w:rsidRDefault="0012066D" w:rsidP="00547025">
            <w:pPr>
              <w:jc w:val="right"/>
              <w:rPr>
                <w:sz w:val="20"/>
                <w:lang w:val="fr-FR"/>
              </w:rPr>
            </w:pPr>
            <w:r w:rsidRPr="007E4A0F">
              <w:rPr>
                <w:sz w:val="20"/>
                <w:lang w:val="fr-FR"/>
              </w:rPr>
              <w:t>94</w:t>
            </w:r>
          </w:p>
        </w:tc>
        <w:tc>
          <w:tcPr>
            <w:tcW w:w="0" w:type="auto"/>
          </w:tcPr>
          <w:p w:rsidR="0012066D" w:rsidRPr="007E4A0F" w:rsidRDefault="0012066D" w:rsidP="00547025">
            <w:pPr>
              <w:jc w:val="right"/>
              <w:rPr>
                <w:sz w:val="20"/>
                <w:lang w:val="fr-FR"/>
              </w:rPr>
            </w:pPr>
            <w:r w:rsidRPr="007E4A0F">
              <w:rPr>
                <w:sz w:val="20"/>
                <w:lang w:val="fr-FR"/>
              </w:rPr>
              <w:t>85</w:t>
            </w:r>
          </w:p>
        </w:tc>
      </w:tr>
      <w:tr w:rsidR="007E4A0F" w:rsidRPr="007E4A0F" w:rsidTr="004E0CF6">
        <w:tc>
          <w:tcPr>
            <w:tcW w:w="0" w:type="auto"/>
          </w:tcPr>
          <w:p w:rsidR="0012066D" w:rsidRPr="007E4A0F" w:rsidRDefault="00851768" w:rsidP="00851768">
            <w:pPr>
              <w:rPr>
                <w:sz w:val="20"/>
                <w:lang w:val="fr-FR"/>
              </w:rPr>
            </w:pPr>
            <w:r w:rsidRPr="007E4A0F">
              <w:rPr>
                <w:sz w:val="20"/>
                <w:lang w:val="fr-FR"/>
              </w:rPr>
              <w:t>Fonctionnaires temporaires de la catégorie des services généraux</w:t>
            </w:r>
          </w:p>
        </w:tc>
        <w:tc>
          <w:tcPr>
            <w:tcW w:w="0" w:type="auto"/>
          </w:tcPr>
          <w:p w:rsidR="0012066D" w:rsidRPr="007E4A0F" w:rsidRDefault="00547025" w:rsidP="00547025">
            <w:pPr>
              <w:jc w:val="right"/>
              <w:rPr>
                <w:sz w:val="20"/>
                <w:lang w:val="fr-FR"/>
              </w:rPr>
            </w:pPr>
            <w:proofErr w:type="spellStart"/>
            <w:r w:rsidRPr="007E4A0F">
              <w:rPr>
                <w:sz w:val="20"/>
                <w:lang w:val="fr-FR"/>
              </w:rPr>
              <w:t>n.d</w:t>
            </w:r>
            <w:proofErr w:type="spellEnd"/>
            <w:r w:rsidRPr="007E4A0F">
              <w:rPr>
                <w:sz w:val="20"/>
                <w:lang w:val="fr-FR"/>
              </w:rPr>
              <w:t>.</w:t>
            </w:r>
          </w:p>
        </w:tc>
        <w:tc>
          <w:tcPr>
            <w:tcW w:w="0" w:type="auto"/>
          </w:tcPr>
          <w:p w:rsidR="0012066D" w:rsidRPr="007E4A0F" w:rsidRDefault="0012066D" w:rsidP="00547025">
            <w:pPr>
              <w:jc w:val="right"/>
              <w:rPr>
                <w:sz w:val="20"/>
                <w:lang w:val="fr-FR"/>
              </w:rPr>
            </w:pPr>
            <w:r w:rsidRPr="007E4A0F">
              <w:rPr>
                <w:sz w:val="20"/>
                <w:lang w:val="fr-FR"/>
              </w:rPr>
              <w:t>100</w:t>
            </w:r>
          </w:p>
        </w:tc>
        <w:tc>
          <w:tcPr>
            <w:tcW w:w="0" w:type="auto"/>
          </w:tcPr>
          <w:p w:rsidR="0012066D" w:rsidRPr="007E4A0F" w:rsidRDefault="0012066D" w:rsidP="00547025">
            <w:pPr>
              <w:jc w:val="right"/>
              <w:rPr>
                <w:sz w:val="20"/>
                <w:lang w:val="fr-FR"/>
              </w:rPr>
            </w:pPr>
            <w:r w:rsidRPr="007E4A0F">
              <w:rPr>
                <w:sz w:val="20"/>
                <w:lang w:val="fr-FR"/>
              </w:rPr>
              <w:t>64</w:t>
            </w:r>
          </w:p>
        </w:tc>
      </w:tr>
      <w:tr w:rsidR="007E4A0F" w:rsidRPr="007E4A0F" w:rsidTr="004E0CF6">
        <w:tc>
          <w:tcPr>
            <w:tcW w:w="0" w:type="auto"/>
          </w:tcPr>
          <w:p w:rsidR="0012066D" w:rsidRPr="007E4A0F" w:rsidRDefault="00851768" w:rsidP="00851768">
            <w:pPr>
              <w:rPr>
                <w:b/>
                <w:sz w:val="20"/>
                <w:lang w:val="fr-FR"/>
              </w:rPr>
            </w:pPr>
            <w:r w:rsidRPr="007E4A0F">
              <w:rPr>
                <w:b/>
                <w:sz w:val="20"/>
                <w:lang w:val="fr-FR"/>
              </w:rPr>
              <w:t>Total partiel du nombre de fonctionnaires temporaires</w:t>
            </w:r>
          </w:p>
        </w:tc>
        <w:tc>
          <w:tcPr>
            <w:tcW w:w="0" w:type="auto"/>
          </w:tcPr>
          <w:p w:rsidR="0012066D" w:rsidRPr="007E4A0F" w:rsidRDefault="00547025" w:rsidP="00547025">
            <w:pPr>
              <w:jc w:val="right"/>
              <w:rPr>
                <w:b/>
                <w:sz w:val="20"/>
                <w:lang w:val="fr-FR"/>
              </w:rPr>
            </w:pPr>
            <w:proofErr w:type="spellStart"/>
            <w:r w:rsidRPr="007E4A0F">
              <w:rPr>
                <w:b/>
                <w:sz w:val="20"/>
                <w:lang w:val="fr-FR"/>
              </w:rPr>
              <w:t>n.d</w:t>
            </w:r>
            <w:proofErr w:type="spellEnd"/>
            <w:r w:rsidRPr="007E4A0F">
              <w:rPr>
                <w:b/>
                <w:sz w:val="20"/>
                <w:lang w:val="fr-FR"/>
              </w:rPr>
              <w:t>.</w:t>
            </w:r>
          </w:p>
        </w:tc>
        <w:tc>
          <w:tcPr>
            <w:tcW w:w="0" w:type="auto"/>
          </w:tcPr>
          <w:p w:rsidR="0012066D" w:rsidRPr="007E4A0F" w:rsidRDefault="0012066D" w:rsidP="00547025">
            <w:pPr>
              <w:jc w:val="right"/>
              <w:rPr>
                <w:b/>
                <w:sz w:val="20"/>
                <w:lang w:val="fr-FR"/>
              </w:rPr>
            </w:pPr>
            <w:r w:rsidRPr="007E4A0F">
              <w:rPr>
                <w:b/>
                <w:sz w:val="20"/>
                <w:lang w:val="fr-FR"/>
              </w:rPr>
              <w:t>194</w:t>
            </w:r>
          </w:p>
        </w:tc>
        <w:tc>
          <w:tcPr>
            <w:tcW w:w="0" w:type="auto"/>
          </w:tcPr>
          <w:p w:rsidR="0012066D" w:rsidRPr="007E4A0F" w:rsidRDefault="0012066D" w:rsidP="00547025">
            <w:pPr>
              <w:jc w:val="right"/>
              <w:rPr>
                <w:b/>
                <w:sz w:val="20"/>
                <w:lang w:val="fr-FR"/>
              </w:rPr>
            </w:pPr>
            <w:r w:rsidRPr="007E4A0F">
              <w:rPr>
                <w:b/>
                <w:sz w:val="20"/>
                <w:lang w:val="fr-FR"/>
              </w:rPr>
              <w:t>149</w:t>
            </w:r>
          </w:p>
        </w:tc>
      </w:tr>
      <w:tr w:rsidR="007E4A0F" w:rsidRPr="007E4A0F" w:rsidTr="004E0CF6">
        <w:tc>
          <w:tcPr>
            <w:tcW w:w="0" w:type="auto"/>
          </w:tcPr>
          <w:p w:rsidR="0012066D" w:rsidRPr="007E4A0F" w:rsidRDefault="00851768" w:rsidP="00ED4876">
            <w:pPr>
              <w:rPr>
                <w:b/>
                <w:sz w:val="20"/>
                <w:lang w:val="fr-FR"/>
              </w:rPr>
            </w:pPr>
            <w:r w:rsidRPr="007E4A0F">
              <w:rPr>
                <w:b/>
                <w:sz w:val="20"/>
                <w:lang w:val="fr-FR"/>
              </w:rPr>
              <w:t>Nombre total de fonctionnaires</w:t>
            </w:r>
          </w:p>
        </w:tc>
        <w:tc>
          <w:tcPr>
            <w:tcW w:w="0" w:type="auto"/>
          </w:tcPr>
          <w:p w:rsidR="0012066D" w:rsidRPr="007E4A0F" w:rsidRDefault="0012066D" w:rsidP="00547025">
            <w:pPr>
              <w:jc w:val="right"/>
              <w:rPr>
                <w:b/>
                <w:sz w:val="20"/>
                <w:lang w:val="fr-FR"/>
              </w:rPr>
            </w:pPr>
            <w:r w:rsidRPr="007E4A0F">
              <w:rPr>
                <w:b/>
                <w:sz w:val="20"/>
                <w:lang w:val="fr-FR"/>
              </w:rPr>
              <w:t>1012</w:t>
            </w:r>
          </w:p>
        </w:tc>
        <w:tc>
          <w:tcPr>
            <w:tcW w:w="0" w:type="auto"/>
          </w:tcPr>
          <w:p w:rsidR="0012066D" w:rsidRPr="007E4A0F" w:rsidRDefault="0012066D" w:rsidP="00547025">
            <w:pPr>
              <w:jc w:val="right"/>
              <w:rPr>
                <w:b/>
                <w:sz w:val="20"/>
                <w:lang w:val="fr-FR"/>
              </w:rPr>
            </w:pPr>
            <w:r w:rsidRPr="007E4A0F">
              <w:rPr>
                <w:b/>
                <w:sz w:val="20"/>
                <w:lang w:val="fr-FR"/>
              </w:rPr>
              <w:t>1219</w:t>
            </w:r>
          </w:p>
        </w:tc>
        <w:tc>
          <w:tcPr>
            <w:tcW w:w="0" w:type="auto"/>
          </w:tcPr>
          <w:p w:rsidR="0012066D" w:rsidRPr="007E4A0F" w:rsidRDefault="0012066D" w:rsidP="00547025">
            <w:pPr>
              <w:jc w:val="right"/>
              <w:rPr>
                <w:b/>
                <w:sz w:val="20"/>
                <w:lang w:val="fr-FR"/>
              </w:rPr>
            </w:pPr>
            <w:r w:rsidRPr="007E4A0F">
              <w:rPr>
                <w:b/>
                <w:sz w:val="20"/>
                <w:lang w:val="fr-FR"/>
              </w:rPr>
              <w:t>1220</w:t>
            </w:r>
          </w:p>
        </w:tc>
      </w:tr>
      <w:tr w:rsidR="007E4A0F" w:rsidRPr="007E4A0F" w:rsidTr="004E0CF6">
        <w:tc>
          <w:tcPr>
            <w:tcW w:w="0" w:type="auto"/>
            <w:gridSpan w:val="4"/>
          </w:tcPr>
          <w:p w:rsidR="0012066D" w:rsidRPr="007E4A0F" w:rsidRDefault="00851768" w:rsidP="00161ECE">
            <w:pPr>
              <w:rPr>
                <w:b/>
                <w:sz w:val="20"/>
                <w:lang w:val="fr-FR"/>
              </w:rPr>
            </w:pPr>
            <w:r w:rsidRPr="007E4A0F">
              <w:rPr>
                <w:b/>
                <w:sz w:val="20"/>
                <w:lang w:val="fr-FR"/>
              </w:rPr>
              <w:t>Personnel non</w:t>
            </w:r>
            <w:r w:rsidR="00161ECE" w:rsidRPr="007E4A0F">
              <w:rPr>
                <w:b/>
                <w:sz w:val="20"/>
                <w:lang w:val="fr-FR"/>
              </w:rPr>
              <w:noBreakHyphen/>
            </w:r>
            <w:r w:rsidRPr="007E4A0F">
              <w:rPr>
                <w:b/>
                <w:sz w:val="20"/>
                <w:lang w:val="fr-FR"/>
              </w:rPr>
              <w:t>foncti</w:t>
            </w:r>
            <w:r w:rsidR="004209E6" w:rsidRPr="007E4A0F">
              <w:rPr>
                <w:b/>
                <w:sz w:val="20"/>
                <w:lang w:val="fr-FR"/>
              </w:rPr>
              <w:t>o</w:t>
            </w:r>
            <w:r w:rsidRPr="007E4A0F">
              <w:rPr>
                <w:b/>
                <w:sz w:val="20"/>
                <w:lang w:val="fr-FR"/>
              </w:rPr>
              <w:t>nnaire</w:t>
            </w:r>
          </w:p>
        </w:tc>
      </w:tr>
      <w:tr w:rsidR="007E4A0F" w:rsidRPr="007E4A0F" w:rsidTr="004E0CF6">
        <w:tc>
          <w:tcPr>
            <w:tcW w:w="0" w:type="auto"/>
          </w:tcPr>
          <w:p w:rsidR="0012066D" w:rsidRPr="007E4A0F" w:rsidRDefault="004209E6" w:rsidP="00B07777">
            <w:pPr>
              <w:rPr>
                <w:sz w:val="20"/>
                <w:lang w:val="fr-FR"/>
              </w:rPr>
            </w:pPr>
            <w:r w:rsidRPr="007E4A0F">
              <w:rPr>
                <w:sz w:val="20"/>
                <w:lang w:val="fr-FR"/>
              </w:rPr>
              <w:t>Stagiaires</w:t>
            </w:r>
            <w:r w:rsidR="0012066D" w:rsidRPr="007E4A0F">
              <w:rPr>
                <w:sz w:val="20"/>
                <w:lang w:val="fr-FR"/>
              </w:rPr>
              <w:t xml:space="preserve">, </w:t>
            </w:r>
            <w:r w:rsidRPr="007E4A0F">
              <w:rPr>
                <w:sz w:val="20"/>
                <w:lang w:val="fr-FR"/>
              </w:rPr>
              <w:t>boursiers</w:t>
            </w:r>
            <w:r w:rsidR="0012066D" w:rsidRPr="007E4A0F">
              <w:rPr>
                <w:sz w:val="20"/>
                <w:lang w:val="fr-FR"/>
              </w:rPr>
              <w:t xml:space="preserve">, </w:t>
            </w:r>
            <w:r w:rsidR="00B07777" w:rsidRPr="007E4A0F">
              <w:rPr>
                <w:sz w:val="20"/>
                <w:lang w:val="fr-FR"/>
              </w:rPr>
              <w:t>traducteurs/réviseurs temporaires</w:t>
            </w:r>
          </w:p>
        </w:tc>
        <w:tc>
          <w:tcPr>
            <w:tcW w:w="0" w:type="auto"/>
          </w:tcPr>
          <w:p w:rsidR="0012066D" w:rsidRPr="007E4A0F" w:rsidRDefault="0012066D" w:rsidP="00547025">
            <w:pPr>
              <w:jc w:val="right"/>
              <w:rPr>
                <w:sz w:val="20"/>
                <w:lang w:val="fr-FR"/>
              </w:rPr>
            </w:pPr>
            <w:r w:rsidRPr="007E4A0F">
              <w:rPr>
                <w:sz w:val="20"/>
                <w:lang w:val="fr-FR"/>
              </w:rPr>
              <w:t>230</w:t>
            </w:r>
          </w:p>
        </w:tc>
        <w:tc>
          <w:tcPr>
            <w:tcW w:w="0" w:type="auto"/>
          </w:tcPr>
          <w:p w:rsidR="0012066D" w:rsidRPr="007E4A0F" w:rsidRDefault="0012066D" w:rsidP="00547025">
            <w:pPr>
              <w:jc w:val="right"/>
              <w:rPr>
                <w:sz w:val="20"/>
                <w:lang w:val="fr-FR"/>
              </w:rPr>
            </w:pPr>
            <w:r w:rsidRPr="007E4A0F">
              <w:rPr>
                <w:sz w:val="20"/>
                <w:lang w:val="fr-FR"/>
              </w:rPr>
              <w:t>66</w:t>
            </w:r>
          </w:p>
        </w:tc>
        <w:tc>
          <w:tcPr>
            <w:tcW w:w="0" w:type="auto"/>
          </w:tcPr>
          <w:p w:rsidR="0012066D" w:rsidRPr="007E4A0F" w:rsidRDefault="0012066D" w:rsidP="00547025">
            <w:pPr>
              <w:jc w:val="right"/>
              <w:rPr>
                <w:sz w:val="20"/>
                <w:lang w:val="fr-FR"/>
              </w:rPr>
            </w:pPr>
            <w:r w:rsidRPr="007E4A0F">
              <w:rPr>
                <w:sz w:val="20"/>
                <w:lang w:val="fr-FR"/>
              </w:rPr>
              <w:t>64</w:t>
            </w:r>
          </w:p>
        </w:tc>
      </w:tr>
      <w:tr w:rsidR="007E4A0F" w:rsidRPr="007E4A0F" w:rsidTr="004E0CF6">
        <w:tc>
          <w:tcPr>
            <w:tcW w:w="0" w:type="auto"/>
          </w:tcPr>
          <w:p w:rsidR="0012066D" w:rsidRPr="007E4A0F" w:rsidRDefault="003A2B4E" w:rsidP="003A2B4E">
            <w:pPr>
              <w:rPr>
                <w:sz w:val="20"/>
                <w:lang w:val="fr-FR"/>
              </w:rPr>
            </w:pPr>
            <w:r w:rsidRPr="007E4A0F">
              <w:rPr>
                <w:sz w:val="20"/>
                <w:lang w:val="fr-FR"/>
              </w:rPr>
              <w:t>Services contractuels individuels</w:t>
            </w:r>
            <w:r w:rsidR="0012066D" w:rsidRPr="007E4A0F">
              <w:rPr>
                <w:sz w:val="20"/>
                <w:lang w:val="fr-FR"/>
              </w:rPr>
              <w:t xml:space="preserve">, </w:t>
            </w:r>
            <w:r w:rsidRPr="007E4A0F">
              <w:rPr>
                <w:sz w:val="20"/>
                <w:lang w:val="fr-FR"/>
              </w:rPr>
              <w:t>personnel d</w:t>
            </w:r>
            <w:r w:rsidR="00B274E6" w:rsidRPr="007E4A0F">
              <w:rPr>
                <w:sz w:val="20"/>
                <w:lang w:val="fr-FR"/>
              </w:rPr>
              <w:t>’</w:t>
            </w:r>
            <w:r w:rsidRPr="007E4A0F">
              <w:rPr>
                <w:sz w:val="20"/>
                <w:lang w:val="fr-FR"/>
              </w:rPr>
              <w:t>agences de travail temporaire</w:t>
            </w:r>
          </w:p>
        </w:tc>
        <w:tc>
          <w:tcPr>
            <w:tcW w:w="0" w:type="auto"/>
          </w:tcPr>
          <w:p w:rsidR="0012066D" w:rsidRPr="007E4A0F" w:rsidRDefault="00547025" w:rsidP="00547025">
            <w:pPr>
              <w:jc w:val="right"/>
              <w:rPr>
                <w:sz w:val="20"/>
                <w:lang w:val="fr-FR"/>
              </w:rPr>
            </w:pPr>
            <w:proofErr w:type="spellStart"/>
            <w:r w:rsidRPr="007E4A0F">
              <w:rPr>
                <w:sz w:val="20"/>
                <w:lang w:val="fr-FR"/>
              </w:rPr>
              <w:t>n.d</w:t>
            </w:r>
            <w:proofErr w:type="spellEnd"/>
            <w:r w:rsidRPr="007E4A0F">
              <w:rPr>
                <w:sz w:val="20"/>
                <w:lang w:val="fr-FR"/>
              </w:rPr>
              <w:t>.</w:t>
            </w:r>
          </w:p>
        </w:tc>
        <w:tc>
          <w:tcPr>
            <w:tcW w:w="0" w:type="auto"/>
          </w:tcPr>
          <w:p w:rsidR="0012066D" w:rsidRPr="007E4A0F" w:rsidRDefault="0012066D" w:rsidP="00547025">
            <w:pPr>
              <w:jc w:val="right"/>
              <w:rPr>
                <w:sz w:val="20"/>
                <w:lang w:val="fr-FR"/>
              </w:rPr>
            </w:pPr>
            <w:r w:rsidRPr="007E4A0F">
              <w:rPr>
                <w:sz w:val="20"/>
                <w:lang w:val="fr-FR"/>
              </w:rPr>
              <w:t>11</w:t>
            </w:r>
          </w:p>
        </w:tc>
        <w:tc>
          <w:tcPr>
            <w:tcW w:w="0" w:type="auto"/>
          </w:tcPr>
          <w:p w:rsidR="0012066D" w:rsidRPr="007E4A0F" w:rsidRDefault="0012066D" w:rsidP="00547025">
            <w:pPr>
              <w:jc w:val="right"/>
              <w:rPr>
                <w:sz w:val="20"/>
                <w:lang w:val="fr-FR"/>
              </w:rPr>
            </w:pPr>
            <w:r w:rsidRPr="007E4A0F">
              <w:rPr>
                <w:sz w:val="20"/>
                <w:lang w:val="fr-FR"/>
              </w:rPr>
              <w:t>15</w:t>
            </w:r>
          </w:p>
        </w:tc>
      </w:tr>
      <w:tr w:rsidR="007E4A0F" w:rsidRPr="007E4A0F" w:rsidTr="004E0CF6">
        <w:tc>
          <w:tcPr>
            <w:tcW w:w="0" w:type="auto"/>
          </w:tcPr>
          <w:p w:rsidR="0012066D" w:rsidRPr="007E4A0F" w:rsidRDefault="00851768" w:rsidP="00161ECE">
            <w:pPr>
              <w:rPr>
                <w:b/>
                <w:sz w:val="20"/>
                <w:lang w:val="fr-FR"/>
              </w:rPr>
            </w:pPr>
            <w:r w:rsidRPr="007E4A0F">
              <w:rPr>
                <w:b/>
                <w:sz w:val="20"/>
                <w:lang w:val="fr-FR"/>
              </w:rPr>
              <w:t>Total partiel personnel non</w:t>
            </w:r>
            <w:r w:rsidR="00161ECE" w:rsidRPr="007E4A0F">
              <w:rPr>
                <w:b/>
                <w:sz w:val="20"/>
                <w:lang w:val="fr-FR"/>
              </w:rPr>
              <w:noBreakHyphen/>
            </w:r>
            <w:r w:rsidRPr="007E4A0F">
              <w:rPr>
                <w:b/>
                <w:sz w:val="20"/>
                <w:lang w:val="fr-FR"/>
              </w:rPr>
              <w:t>fonctionnaire</w:t>
            </w:r>
            <w:r w:rsidR="0012066D" w:rsidRPr="007E4A0F">
              <w:rPr>
                <w:b/>
                <w:sz w:val="20"/>
                <w:lang w:val="fr-FR"/>
              </w:rPr>
              <w:t xml:space="preserve"> </w:t>
            </w:r>
          </w:p>
        </w:tc>
        <w:tc>
          <w:tcPr>
            <w:tcW w:w="0" w:type="auto"/>
          </w:tcPr>
          <w:p w:rsidR="0012066D" w:rsidRPr="007E4A0F" w:rsidRDefault="0012066D" w:rsidP="00547025">
            <w:pPr>
              <w:jc w:val="right"/>
              <w:rPr>
                <w:b/>
                <w:sz w:val="20"/>
                <w:lang w:val="fr-FR"/>
              </w:rPr>
            </w:pPr>
            <w:r w:rsidRPr="007E4A0F">
              <w:rPr>
                <w:b/>
                <w:sz w:val="20"/>
                <w:lang w:val="fr-FR"/>
              </w:rPr>
              <w:t>230</w:t>
            </w:r>
          </w:p>
        </w:tc>
        <w:tc>
          <w:tcPr>
            <w:tcW w:w="0" w:type="auto"/>
          </w:tcPr>
          <w:p w:rsidR="0012066D" w:rsidRPr="007E4A0F" w:rsidRDefault="0012066D" w:rsidP="00547025">
            <w:pPr>
              <w:jc w:val="right"/>
              <w:rPr>
                <w:b/>
                <w:sz w:val="20"/>
                <w:lang w:val="fr-FR"/>
              </w:rPr>
            </w:pPr>
            <w:r w:rsidRPr="007E4A0F">
              <w:rPr>
                <w:b/>
                <w:sz w:val="20"/>
                <w:lang w:val="fr-FR"/>
              </w:rPr>
              <w:t>77</w:t>
            </w:r>
          </w:p>
        </w:tc>
        <w:tc>
          <w:tcPr>
            <w:tcW w:w="0" w:type="auto"/>
          </w:tcPr>
          <w:p w:rsidR="0012066D" w:rsidRPr="007E4A0F" w:rsidRDefault="0012066D" w:rsidP="00547025">
            <w:pPr>
              <w:jc w:val="right"/>
              <w:rPr>
                <w:b/>
                <w:sz w:val="20"/>
                <w:lang w:val="fr-FR"/>
              </w:rPr>
            </w:pPr>
            <w:r w:rsidRPr="007E4A0F">
              <w:rPr>
                <w:b/>
                <w:sz w:val="20"/>
                <w:lang w:val="fr-FR"/>
              </w:rPr>
              <w:t>79</w:t>
            </w:r>
          </w:p>
        </w:tc>
      </w:tr>
      <w:tr w:rsidR="0012066D" w:rsidRPr="007E4A0F" w:rsidTr="004E0CF6">
        <w:tc>
          <w:tcPr>
            <w:tcW w:w="0" w:type="auto"/>
          </w:tcPr>
          <w:p w:rsidR="0012066D" w:rsidRPr="007E4A0F" w:rsidRDefault="0012066D" w:rsidP="003A2B4E">
            <w:pPr>
              <w:rPr>
                <w:b/>
                <w:sz w:val="20"/>
                <w:lang w:val="fr-FR"/>
              </w:rPr>
            </w:pPr>
            <w:r w:rsidRPr="007E4A0F">
              <w:rPr>
                <w:b/>
                <w:sz w:val="20"/>
                <w:lang w:val="fr-FR"/>
              </w:rPr>
              <w:t xml:space="preserve">Total </w:t>
            </w:r>
            <w:r w:rsidR="003A2B4E" w:rsidRPr="007E4A0F">
              <w:rPr>
                <w:b/>
                <w:sz w:val="20"/>
                <w:lang w:val="fr-FR"/>
              </w:rPr>
              <w:t>du personnel de l</w:t>
            </w:r>
            <w:r w:rsidR="00B274E6" w:rsidRPr="007E4A0F">
              <w:rPr>
                <w:b/>
                <w:sz w:val="20"/>
                <w:lang w:val="fr-FR"/>
              </w:rPr>
              <w:t>’</w:t>
            </w:r>
            <w:r w:rsidR="003A2B4E" w:rsidRPr="007E4A0F">
              <w:rPr>
                <w:b/>
                <w:sz w:val="20"/>
                <w:lang w:val="fr-FR"/>
              </w:rPr>
              <w:t>OMPI</w:t>
            </w:r>
          </w:p>
        </w:tc>
        <w:tc>
          <w:tcPr>
            <w:tcW w:w="0" w:type="auto"/>
          </w:tcPr>
          <w:p w:rsidR="0012066D" w:rsidRPr="007E4A0F" w:rsidRDefault="0012066D" w:rsidP="00547025">
            <w:pPr>
              <w:jc w:val="right"/>
              <w:rPr>
                <w:b/>
                <w:sz w:val="20"/>
                <w:lang w:val="fr-FR"/>
              </w:rPr>
            </w:pPr>
            <w:r w:rsidRPr="007E4A0F">
              <w:rPr>
                <w:b/>
                <w:sz w:val="20"/>
                <w:lang w:val="fr-FR"/>
              </w:rPr>
              <w:t>1242</w:t>
            </w:r>
          </w:p>
        </w:tc>
        <w:tc>
          <w:tcPr>
            <w:tcW w:w="0" w:type="auto"/>
          </w:tcPr>
          <w:p w:rsidR="0012066D" w:rsidRPr="007E4A0F" w:rsidRDefault="0012066D" w:rsidP="00547025">
            <w:pPr>
              <w:jc w:val="right"/>
              <w:rPr>
                <w:b/>
                <w:sz w:val="20"/>
                <w:lang w:val="fr-FR"/>
              </w:rPr>
            </w:pPr>
            <w:r w:rsidRPr="007E4A0F">
              <w:rPr>
                <w:b/>
                <w:sz w:val="20"/>
                <w:lang w:val="fr-FR"/>
              </w:rPr>
              <w:t>1296</w:t>
            </w:r>
          </w:p>
        </w:tc>
        <w:tc>
          <w:tcPr>
            <w:tcW w:w="0" w:type="auto"/>
          </w:tcPr>
          <w:p w:rsidR="0012066D" w:rsidRPr="007E4A0F" w:rsidRDefault="0012066D" w:rsidP="00547025">
            <w:pPr>
              <w:jc w:val="right"/>
              <w:rPr>
                <w:b/>
                <w:sz w:val="20"/>
                <w:lang w:val="fr-FR"/>
              </w:rPr>
            </w:pPr>
            <w:r w:rsidRPr="007E4A0F">
              <w:rPr>
                <w:b/>
                <w:sz w:val="20"/>
                <w:lang w:val="fr-FR"/>
              </w:rPr>
              <w:t>1299</w:t>
            </w:r>
          </w:p>
        </w:tc>
      </w:tr>
    </w:tbl>
    <w:p w:rsidR="00947AF6" w:rsidRPr="007E4A0F" w:rsidRDefault="00947AF6" w:rsidP="00ED4876">
      <w:pPr>
        <w:rPr>
          <w:lang w:val="fr-FR"/>
        </w:rPr>
      </w:pPr>
    </w:p>
    <w:p w:rsidR="00947AF6" w:rsidRPr="007E4A0F" w:rsidRDefault="00F60979" w:rsidP="00E26B4E">
      <w:pPr>
        <w:pStyle w:val="Style1"/>
      </w:pPr>
      <w:r w:rsidRPr="007E4A0F">
        <w:t>Répartition des recrutements par catégorie et par année :</w:t>
      </w:r>
    </w:p>
    <w:p w:rsidR="00ED4876" w:rsidRPr="007E4A0F" w:rsidRDefault="00ED4876" w:rsidP="00ED4876">
      <w:pPr>
        <w:rPr>
          <w:lang w:val="fr-FR"/>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1984"/>
        <w:gridCol w:w="2097"/>
      </w:tblGrid>
      <w:tr w:rsidR="007E4A0F" w:rsidRPr="007E4A0F" w:rsidTr="0012066D">
        <w:trPr>
          <w:trHeight w:val="397"/>
        </w:trPr>
        <w:tc>
          <w:tcPr>
            <w:tcW w:w="2977" w:type="dxa"/>
          </w:tcPr>
          <w:p w:rsidR="0012066D" w:rsidRPr="007E4A0F" w:rsidRDefault="003B7201" w:rsidP="00ED4876">
            <w:pPr>
              <w:rPr>
                <w:b/>
                <w:sz w:val="20"/>
                <w:lang w:val="fr-FR"/>
              </w:rPr>
            </w:pPr>
            <w:r w:rsidRPr="007E4A0F">
              <w:rPr>
                <w:b/>
                <w:sz w:val="20"/>
                <w:lang w:val="fr-FR"/>
              </w:rPr>
              <w:t>Catégorie</w:t>
            </w:r>
          </w:p>
        </w:tc>
        <w:tc>
          <w:tcPr>
            <w:tcW w:w="2410" w:type="dxa"/>
          </w:tcPr>
          <w:p w:rsidR="0012066D" w:rsidRPr="007E4A0F" w:rsidRDefault="0012066D" w:rsidP="00ED4876">
            <w:pPr>
              <w:jc w:val="center"/>
              <w:rPr>
                <w:b/>
                <w:sz w:val="20"/>
                <w:lang w:val="fr-FR"/>
              </w:rPr>
            </w:pPr>
            <w:r w:rsidRPr="007E4A0F">
              <w:rPr>
                <w:b/>
                <w:sz w:val="20"/>
                <w:lang w:val="fr-FR"/>
              </w:rPr>
              <w:t>2012</w:t>
            </w:r>
          </w:p>
        </w:tc>
        <w:tc>
          <w:tcPr>
            <w:tcW w:w="1984" w:type="dxa"/>
          </w:tcPr>
          <w:p w:rsidR="0012066D" w:rsidRPr="007E4A0F" w:rsidRDefault="0012066D" w:rsidP="00ED4876">
            <w:pPr>
              <w:jc w:val="center"/>
              <w:rPr>
                <w:b/>
                <w:sz w:val="20"/>
                <w:lang w:val="fr-FR"/>
              </w:rPr>
            </w:pPr>
            <w:r w:rsidRPr="007E4A0F">
              <w:rPr>
                <w:b/>
                <w:sz w:val="20"/>
                <w:lang w:val="fr-FR"/>
              </w:rPr>
              <w:t>2013</w:t>
            </w:r>
          </w:p>
        </w:tc>
        <w:tc>
          <w:tcPr>
            <w:tcW w:w="2097" w:type="dxa"/>
          </w:tcPr>
          <w:p w:rsidR="0012066D" w:rsidRPr="007E4A0F" w:rsidRDefault="0012066D" w:rsidP="00ED4876">
            <w:pPr>
              <w:jc w:val="center"/>
              <w:rPr>
                <w:b/>
                <w:sz w:val="20"/>
                <w:lang w:val="fr-FR"/>
              </w:rPr>
            </w:pPr>
            <w:r w:rsidRPr="007E4A0F">
              <w:rPr>
                <w:b/>
                <w:sz w:val="20"/>
                <w:lang w:val="fr-FR"/>
              </w:rPr>
              <w:t>2014</w:t>
            </w:r>
          </w:p>
        </w:tc>
      </w:tr>
      <w:tr w:rsidR="007E4A0F" w:rsidRPr="007E4A0F" w:rsidTr="0012066D">
        <w:tc>
          <w:tcPr>
            <w:tcW w:w="9468" w:type="dxa"/>
            <w:gridSpan w:val="4"/>
          </w:tcPr>
          <w:p w:rsidR="0012066D" w:rsidRPr="007E4A0F" w:rsidRDefault="000B52FF" w:rsidP="000B52FF">
            <w:pPr>
              <w:rPr>
                <w:b/>
                <w:sz w:val="20"/>
                <w:lang w:val="fr-FR"/>
              </w:rPr>
            </w:pPr>
            <w:r w:rsidRPr="007E4A0F">
              <w:rPr>
                <w:b/>
                <w:sz w:val="20"/>
                <w:lang w:val="fr-FR"/>
              </w:rPr>
              <w:t>Postes de durée déterminée</w:t>
            </w:r>
          </w:p>
        </w:tc>
      </w:tr>
      <w:tr w:rsidR="007E4A0F" w:rsidRPr="007E4A0F" w:rsidTr="0012066D">
        <w:tc>
          <w:tcPr>
            <w:tcW w:w="2977" w:type="dxa"/>
          </w:tcPr>
          <w:p w:rsidR="0012066D" w:rsidRPr="007E4A0F" w:rsidRDefault="00A41A94" w:rsidP="007C2688">
            <w:pPr>
              <w:rPr>
                <w:sz w:val="20"/>
                <w:lang w:val="fr-FR"/>
              </w:rPr>
            </w:pPr>
            <w:r w:rsidRPr="007E4A0F">
              <w:rPr>
                <w:sz w:val="20"/>
                <w:lang w:val="fr-FR"/>
              </w:rPr>
              <w:t>Administrateur</w:t>
            </w:r>
            <w:r w:rsidR="007C2688" w:rsidRPr="007E4A0F">
              <w:rPr>
                <w:sz w:val="20"/>
                <w:lang w:val="fr-FR"/>
              </w:rPr>
              <w:t xml:space="preserve">s et </w:t>
            </w:r>
            <w:r w:rsidRPr="007E4A0F">
              <w:rPr>
                <w:sz w:val="20"/>
                <w:lang w:val="fr-FR"/>
              </w:rPr>
              <w:t xml:space="preserve">catégories </w:t>
            </w:r>
            <w:r w:rsidR="007C2688" w:rsidRPr="007E4A0F">
              <w:rPr>
                <w:sz w:val="20"/>
                <w:lang w:val="fr-FR"/>
              </w:rPr>
              <w:t>supérieures</w:t>
            </w:r>
          </w:p>
        </w:tc>
        <w:tc>
          <w:tcPr>
            <w:tcW w:w="2410" w:type="dxa"/>
          </w:tcPr>
          <w:p w:rsidR="0012066D" w:rsidRPr="007E4A0F" w:rsidRDefault="0012066D" w:rsidP="00ED4876">
            <w:pPr>
              <w:jc w:val="center"/>
              <w:rPr>
                <w:sz w:val="20"/>
                <w:lang w:val="fr-FR"/>
              </w:rPr>
            </w:pPr>
            <w:r w:rsidRPr="007E4A0F">
              <w:rPr>
                <w:sz w:val="20"/>
                <w:lang w:val="fr-FR"/>
              </w:rPr>
              <w:t>36</w:t>
            </w:r>
          </w:p>
        </w:tc>
        <w:tc>
          <w:tcPr>
            <w:tcW w:w="1984" w:type="dxa"/>
          </w:tcPr>
          <w:p w:rsidR="0012066D" w:rsidRPr="007E4A0F" w:rsidRDefault="0012066D" w:rsidP="00ED4876">
            <w:pPr>
              <w:jc w:val="center"/>
              <w:rPr>
                <w:sz w:val="20"/>
                <w:lang w:val="fr-FR"/>
              </w:rPr>
            </w:pPr>
            <w:r w:rsidRPr="007E4A0F">
              <w:rPr>
                <w:sz w:val="20"/>
                <w:lang w:val="fr-FR"/>
              </w:rPr>
              <w:t>44</w:t>
            </w:r>
          </w:p>
        </w:tc>
        <w:tc>
          <w:tcPr>
            <w:tcW w:w="2097" w:type="dxa"/>
          </w:tcPr>
          <w:p w:rsidR="0012066D" w:rsidRPr="007E4A0F" w:rsidRDefault="0012066D" w:rsidP="00ED4876">
            <w:pPr>
              <w:jc w:val="center"/>
              <w:rPr>
                <w:sz w:val="20"/>
                <w:lang w:val="fr-FR"/>
              </w:rPr>
            </w:pPr>
            <w:r w:rsidRPr="007E4A0F">
              <w:rPr>
                <w:sz w:val="20"/>
                <w:lang w:val="fr-FR"/>
              </w:rPr>
              <w:t>58</w:t>
            </w:r>
          </w:p>
        </w:tc>
      </w:tr>
      <w:tr w:rsidR="007E4A0F" w:rsidRPr="007E4A0F" w:rsidTr="0012066D">
        <w:tc>
          <w:tcPr>
            <w:tcW w:w="2977" w:type="dxa"/>
          </w:tcPr>
          <w:p w:rsidR="0012066D" w:rsidRPr="007E4A0F" w:rsidRDefault="007C2688" w:rsidP="00ED4876">
            <w:pPr>
              <w:rPr>
                <w:sz w:val="20"/>
                <w:lang w:val="fr-FR"/>
              </w:rPr>
            </w:pPr>
            <w:r w:rsidRPr="007E4A0F">
              <w:rPr>
                <w:sz w:val="20"/>
                <w:lang w:val="fr-FR"/>
              </w:rPr>
              <w:t>Services généraux</w:t>
            </w:r>
            <w:r w:rsidR="0012066D" w:rsidRPr="007E4A0F">
              <w:rPr>
                <w:sz w:val="20"/>
                <w:lang w:val="fr-FR"/>
              </w:rPr>
              <w:t xml:space="preserve"> </w:t>
            </w:r>
          </w:p>
        </w:tc>
        <w:tc>
          <w:tcPr>
            <w:tcW w:w="2410" w:type="dxa"/>
          </w:tcPr>
          <w:p w:rsidR="0012066D" w:rsidRPr="007E4A0F" w:rsidRDefault="0012066D" w:rsidP="00ED4876">
            <w:pPr>
              <w:jc w:val="center"/>
              <w:rPr>
                <w:sz w:val="20"/>
                <w:lang w:val="fr-FR"/>
              </w:rPr>
            </w:pPr>
            <w:r w:rsidRPr="007E4A0F">
              <w:rPr>
                <w:sz w:val="20"/>
                <w:lang w:val="fr-FR"/>
              </w:rPr>
              <w:t>41</w:t>
            </w:r>
          </w:p>
        </w:tc>
        <w:tc>
          <w:tcPr>
            <w:tcW w:w="1984" w:type="dxa"/>
          </w:tcPr>
          <w:p w:rsidR="0012066D" w:rsidRPr="007E4A0F" w:rsidRDefault="0012066D" w:rsidP="00ED4876">
            <w:pPr>
              <w:jc w:val="center"/>
              <w:rPr>
                <w:sz w:val="20"/>
                <w:lang w:val="fr-FR"/>
              </w:rPr>
            </w:pPr>
            <w:r w:rsidRPr="007E4A0F">
              <w:rPr>
                <w:sz w:val="20"/>
                <w:lang w:val="fr-FR"/>
              </w:rPr>
              <w:t>21</w:t>
            </w:r>
          </w:p>
        </w:tc>
        <w:tc>
          <w:tcPr>
            <w:tcW w:w="2097" w:type="dxa"/>
          </w:tcPr>
          <w:p w:rsidR="0012066D" w:rsidRPr="007E4A0F" w:rsidRDefault="0012066D" w:rsidP="00ED4876">
            <w:pPr>
              <w:jc w:val="center"/>
              <w:rPr>
                <w:sz w:val="20"/>
                <w:lang w:val="fr-FR"/>
              </w:rPr>
            </w:pPr>
            <w:r w:rsidRPr="007E4A0F">
              <w:rPr>
                <w:sz w:val="20"/>
                <w:lang w:val="fr-FR"/>
              </w:rPr>
              <w:t>38</w:t>
            </w:r>
          </w:p>
        </w:tc>
      </w:tr>
      <w:tr w:rsidR="007E4A0F" w:rsidRPr="007E4A0F" w:rsidTr="0012066D">
        <w:tc>
          <w:tcPr>
            <w:tcW w:w="2977" w:type="dxa"/>
          </w:tcPr>
          <w:p w:rsidR="0012066D" w:rsidRPr="007E4A0F" w:rsidRDefault="0012066D" w:rsidP="000B52FF">
            <w:pPr>
              <w:rPr>
                <w:b/>
                <w:sz w:val="20"/>
                <w:lang w:val="fr-FR"/>
              </w:rPr>
            </w:pPr>
            <w:r w:rsidRPr="007E4A0F">
              <w:rPr>
                <w:b/>
                <w:sz w:val="20"/>
                <w:lang w:val="fr-FR"/>
              </w:rPr>
              <w:t xml:space="preserve">Total </w:t>
            </w:r>
            <w:r w:rsidR="000B52FF" w:rsidRPr="007E4A0F">
              <w:rPr>
                <w:b/>
                <w:sz w:val="20"/>
                <w:lang w:val="fr-FR"/>
              </w:rPr>
              <w:t>postes de durée déterminée</w:t>
            </w:r>
          </w:p>
        </w:tc>
        <w:tc>
          <w:tcPr>
            <w:tcW w:w="2410" w:type="dxa"/>
          </w:tcPr>
          <w:p w:rsidR="0012066D" w:rsidRPr="007E4A0F" w:rsidRDefault="0012066D" w:rsidP="00ED4876">
            <w:pPr>
              <w:jc w:val="center"/>
              <w:rPr>
                <w:b/>
                <w:sz w:val="20"/>
                <w:lang w:val="fr-FR"/>
              </w:rPr>
            </w:pPr>
            <w:r w:rsidRPr="007E4A0F">
              <w:rPr>
                <w:b/>
                <w:sz w:val="20"/>
                <w:lang w:val="fr-FR"/>
              </w:rPr>
              <w:t>77</w:t>
            </w:r>
          </w:p>
        </w:tc>
        <w:tc>
          <w:tcPr>
            <w:tcW w:w="1984" w:type="dxa"/>
          </w:tcPr>
          <w:p w:rsidR="0012066D" w:rsidRPr="007E4A0F" w:rsidRDefault="0012066D" w:rsidP="00ED4876">
            <w:pPr>
              <w:jc w:val="center"/>
              <w:rPr>
                <w:b/>
                <w:sz w:val="20"/>
                <w:lang w:val="fr-FR"/>
              </w:rPr>
            </w:pPr>
            <w:r w:rsidRPr="007E4A0F">
              <w:rPr>
                <w:b/>
                <w:sz w:val="20"/>
                <w:lang w:val="fr-FR"/>
              </w:rPr>
              <w:t>65</w:t>
            </w:r>
          </w:p>
        </w:tc>
        <w:tc>
          <w:tcPr>
            <w:tcW w:w="2097" w:type="dxa"/>
          </w:tcPr>
          <w:p w:rsidR="0012066D" w:rsidRPr="007E4A0F" w:rsidRDefault="0012066D" w:rsidP="00ED4876">
            <w:pPr>
              <w:jc w:val="center"/>
              <w:rPr>
                <w:b/>
                <w:sz w:val="20"/>
                <w:lang w:val="fr-FR"/>
              </w:rPr>
            </w:pPr>
            <w:r w:rsidRPr="007E4A0F">
              <w:rPr>
                <w:b/>
                <w:sz w:val="20"/>
                <w:lang w:val="fr-FR"/>
              </w:rPr>
              <w:t>96</w:t>
            </w:r>
          </w:p>
        </w:tc>
      </w:tr>
      <w:tr w:rsidR="0012066D" w:rsidRPr="007E4A0F" w:rsidTr="0012066D">
        <w:tc>
          <w:tcPr>
            <w:tcW w:w="2977" w:type="dxa"/>
          </w:tcPr>
          <w:p w:rsidR="0012066D" w:rsidRPr="007E4A0F" w:rsidRDefault="0012066D" w:rsidP="00ED4876">
            <w:pPr>
              <w:rPr>
                <w:b/>
                <w:sz w:val="20"/>
                <w:lang w:val="fr-FR"/>
              </w:rPr>
            </w:pPr>
            <w:r w:rsidRPr="007E4A0F">
              <w:rPr>
                <w:b/>
                <w:sz w:val="20"/>
                <w:lang w:val="fr-FR"/>
              </w:rPr>
              <w:t>Post</w:t>
            </w:r>
            <w:r w:rsidR="000B52FF" w:rsidRPr="007E4A0F">
              <w:rPr>
                <w:b/>
                <w:sz w:val="20"/>
                <w:lang w:val="fr-FR"/>
              </w:rPr>
              <w:t>e</w:t>
            </w:r>
            <w:r w:rsidRPr="007E4A0F">
              <w:rPr>
                <w:b/>
                <w:sz w:val="20"/>
                <w:lang w:val="fr-FR"/>
              </w:rPr>
              <w:t>s</w:t>
            </w:r>
            <w:r w:rsidR="000B52FF" w:rsidRPr="007E4A0F">
              <w:rPr>
                <w:b/>
                <w:sz w:val="20"/>
                <w:lang w:val="fr-FR"/>
              </w:rPr>
              <w:t xml:space="preserve"> temporaires</w:t>
            </w:r>
          </w:p>
        </w:tc>
        <w:tc>
          <w:tcPr>
            <w:tcW w:w="2410" w:type="dxa"/>
          </w:tcPr>
          <w:p w:rsidR="0012066D" w:rsidRPr="007E4A0F" w:rsidRDefault="0012066D" w:rsidP="00ED4876">
            <w:pPr>
              <w:jc w:val="center"/>
              <w:rPr>
                <w:b/>
                <w:sz w:val="20"/>
                <w:lang w:val="fr-FR"/>
              </w:rPr>
            </w:pPr>
            <w:r w:rsidRPr="007E4A0F">
              <w:rPr>
                <w:b/>
                <w:sz w:val="20"/>
                <w:lang w:val="fr-FR"/>
              </w:rPr>
              <w:t>21</w:t>
            </w:r>
          </w:p>
        </w:tc>
        <w:tc>
          <w:tcPr>
            <w:tcW w:w="1984" w:type="dxa"/>
          </w:tcPr>
          <w:p w:rsidR="0012066D" w:rsidRPr="007E4A0F" w:rsidRDefault="0012066D" w:rsidP="00ED4876">
            <w:pPr>
              <w:jc w:val="center"/>
              <w:rPr>
                <w:b/>
                <w:sz w:val="20"/>
                <w:lang w:val="fr-FR"/>
              </w:rPr>
            </w:pPr>
            <w:r w:rsidRPr="007E4A0F">
              <w:rPr>
                <w:b/>
                <w:sz w:val="20"/>
                <w:lang w:val="fr-FR"/>
              </w:rPr>
              <w:t>41</w:t>
            </w:r>
          </w:p>
        </w:tc>
        <w:tc>
          <w:tcPr>
            <w:tcW w:w="2097" w:type="dxa"/>
          </w:tcPr>
          <w:p w:rsidR="0012066D" w:rsidRPr="007E4A0F" w:rsidRDefault="0012066D" w:rsidP="00ED4876">
            <w:pPr>
              <w:jc w:val="center"/>
              <w:rPr>
                <w:b/>
                <w:sz w:val="20"/>
                <w:lang w:val="fr-FR"/>
              </w:rPr>
            </w:pPr>
            <w:r w:rsidRPr="007E4A0F">
              <w:rPr>
                <w:b/>
                <w:sz w:val="20"/>
                <w:lang w:val="fr-FR"/>
              </w:rPr>
              <w:t>37</w:t>
            </w:r>
          </w:p>
        </w:tc>
      </w:tr>
    </w:tbl>
    <w:p w:rsidR="00947AF6" w:rsidRPr="007E4A0F" w:rsidRDefault="00947AF6" w:rsidP="00ED4876">
      <w:pPr>
        <w:rPr>
          <w:lang w:val="fr-FR"/>
        </w:rPr>
      </w:pPr>
    </w:p>
    <w:p w:rsidR="00947AF6" w:rsidRPr="007E4A0F" w:rsidRDefault="006C706D" w:rsidP="00E26B4E">
      <w:pPr>
        <w:pStyle w:val="Style1"/>
      </w:pPr>
      <w:r w:rsidRPr="007E4A0F">
        <w:t>L</w:t>
      </w:r>
      <w:r w:rsidR="00B274E6" w:rsidRPr="007E4A0F">
        <w:t>’</w:t>
      </w:r>
      <w:r w:rsidRPr="007E4A0F">
        <w:t>activité de recrutement a connu une augmentation notable en</w:t>
      </w:r>
      <w:r w:rsidR="006C7CFD" w:rsidRPr="007E4A0F">
        <w:t> </w:t>
      </w:r>
      <w:r w:rsidRPr="007E4A0F">
        <w:t>2014 par rapport à 2013, avec</w:t>
      </w:r>
      <w:r w:rsidR="00E23AFF" w:rsidRPr="007E4A0F">
        <w:t xml:space="preserve"> 96 </w:t>
      </w:r>
      <w:r w:rsidR="00B66D93" w:rsidRPr="007E4A0F">
        <w:t xml:space="preserve">mises au concours pour des postes inscrits au budget ordinaire et 37 </w:t>
      </w:r>
      <w:r w:rsidR="00FD4B35" w:rsidRPr="007E4A0F">
        <w:t>pour des engagements à titre temporaire, soit une augmentation de 48% pour</w:t>
      </w:r>
      <w:r w:rsidR="007478EC" w:rsidRPr="007E4A0F">
        <w:t xml:space="preserve"> les postes inscrits au budget ordinaire et une baisse de 10% pour les engagements à titre temporaire.  </w:t>
      </w:r>
      <w:r w:rsidR="00E23AFF" w:rsidRPr="007E4A0F">
        <w:t>Sur les 96 </w:t>
      </w:r>
      <w:r w:rsidR="002A2D43" w:rsidRPr="007E4A0F">
        <w:t>postes inscrits au budget ordinaire, 58 étaient des postes d</w:t>
      </w:r>
      <w:r w:rsidR="00B274E6" w:rsidRPr="007E4A0F">
        <w:t>’</w:t>
      </w:r>
      <w:r w:rsidR="002A2D43" w:rsidRPr="007E4A0F">
        <w:t xml:space="preserve">administrateurs et des catégories supérieures, ce qui représentait une augmentation de 32% par rapport à 2013.  Les postes de la catégorie des services généraux étaient au nombre de </w:t>
      </w:r>
      <w:r w:rsidR="0012066D" w:rsidRPr="007E4A0F">
        <w:t>38</w:t>
      </w:r>
      <w:r w:rsidR="002A2D43" w:rsidRPr="007E4A0F">
        <w:t xml:space="preserve">, ce qui représentait une augmentation de 81% par rapport à 2013, contre une baisse de 49% </w:t>
      </w:r>
      <w:r w:rsidR="00C6454F" w:rsidRPr="007E4A0F">
        <w:t>en</w:t>
      </w:r>
      <w:r w:rsidR="006C7CFD" w:rsidRPr="007E4A0F">
        <w:t> </w:t>
      </w:r>
      <w:r w:rsidR="00C6454F" w:rsidRPr="007E4A0F">
        <w:t>2013.</w:t>
      </w:r>
    </w:p>
    <w:p w:rsidR="00947AF6" w:rsidRPr="007E4A0F" w:rsidRDefault="0012066D" w:rsidP="00ED4876">
      <w:pPr>
        <w:pStyle w:val="Heading4"/>
        <w:rPr>
          <w:lang w:val="fr-FR"/>
        </w:rPr>
      </w:pPr>
      <w:r w:rsidRPr="007E4A0F">
        <w:rPr>
          <w:lang w:val="fr-FR"/>
        </w:rPr>
        <w:t>S</w:t>
      </w:r>
      <w:r w:rsidR="009D6AFB" w:rsidRPr="007E4A0F">
        <w:rPr>
          <w:lang w:val="fr-FR"/>
        </w:rPr>
        <w:t>écurité sociale</w:t>
      </w:r>
    </w:p>
    <w:p w:rsidR="00947AF6" w:rsidRPr="007E4A0F" w:rsidRDefault="00BF742C" w:rsidP="00E26B4E">
      <w:pPr>
        <w:pStyle w:val="Style1"/>
      </w:pPr>
      <w:r w:rsidRPr="007E4A0F">
        <w:t xml:space="preserve">Le Régime commun des </w:t>
      </w:r>
      <w:r w:rsidR="00B274E6" w:rsidRPr="007E4A0F">
        <w:t>Nations Unies</w:t>
      </w:r>
      <w:r w:rsidRPr="007E4A0F">
        <w:t xml:space="preserve"> en matière de traitements, indemnités et autres prestations, </w:t>
      </w:r>
      <w:r w:rsidR="009D6AFB" w:rsidRPr="007E4A0F">
        <w:t xml:space="preserve">diffusé en </w:t>
      </w:r>
      <w:r w:rsidR="00B274E6" w:rsidRPr="007E4A0F">
        <w:t>août 20</w:t>
      </w:r>
      <w:r w:rsidR="009D6AFB" w:rsidRPr="007E4A0F">
        <w:t xml:space="preserve">12 </w:t>
      </w:r>
      <w:r w:rsidRPr="007E4A0F">
        <w:t>par</w:t>
      </w:r>
      <w:r w:rsidR="00B274E6" w:rsidRPr="007E4A0F">
        <w:t xml:space="preserve"> la CFP</w:t>
      </w:r>
      <w:r w:rsidRPr="007E4A0F">
        <w:t>I,</w:t>
      </w:r>
      <w:r w:rsidR="00CF27A0" w:rsidRPr="007E4A0F">
        <w:t xml:space="preserve"> </w:t>
      </w:r>
      <w:r w:rsidR="006039D5" w:rsidRPr="007E4A0F">
        <w:t>constitue une source de référence générale pour les organisations.  Il contient une section consacrée à la sécurité sociale, dans laquelle il prévoit</w:t>
      </w:r>
      <w:r w:rsidR="00B06439" w:rsidRPr="007E4A0F">
        <w:t xml:space="preserve"> une </w:t>
      </w:r>
      <w:r w:rsidRPr="007E4A0F">
        <w:t>indemni</w:t>
      </w:r>
      <w:r w:rsidR="00B06439" w:rsidRPr="007E4A0F">
        <w:t>sation en cas de maladie, d</w:t>
      </w:r>
      <w:r w:rsidR="00B274E6" w:rsidRPr="007E4A0F">
        <w:t>’</w:t>
      </w:r>
      <w:r w:rsidR="00B06439" w:rsidRPr="007E4A0F">
        <w:t>accident ou de décès dans l</w:t>
      </w:r>
      <w:r w:rsidR="00B274E6" w:rsidRPr="007E4A0F">
        <w:t>’</w:t>
      </w:r>
      <w:r w:rsidR="00B06439" w:rsidRPr="007E4A0F">
        <w:t xml:space="preserve">exercice de fonctions </w:t>
      </w:r>
      <w:r w:rsidR="00B06439" w:rsidRPr="007E4A0F">
        <w:lastRenderedPageBreak/>
        <w:t xml:space="preserve">officielles. </w:t>
      </w:r>
      <w:r w:rsidR="005A65EA" w:rsidRPr="007E4A0F">
        <w:t xml:space="preserve"> Il dispose également que le coût des plans d</w:t>
      </w:r>
      <w:r w:rsidR="00B274E6" w:rsidRPr="007E4A0F">
        <w:t>’</w:t>
      </w:r>
      <w:r w:rsidR="005A65EA" w:rsidRPr="007E4A0F">
        <w:t>assurance</w:t>
      </w:r>
      <w:r w:rsidR="00161ECE" w:rsidRPr="007E4A0F">
        <w:t xml:space="preserve"> </w:t>
      </w:r>
      <w:r w:rsidR="005A65EA" w:rsidRPr="007E4A0F">
        <w:t xml:space="preserve">groupe accident est entièrement à la charge du fonctionnaire.  </w:t>
      </w:r>
      <w:r w:rsidR="00126AC9" w:rsidRPr="007E4A0F">
        <w:t>L</w:t>
      </w:r>
      <w:r w:rsidR="00B274E6" w:rsidRPr="007E4A0F">
        <w:t>’</w:t>
      </w:r>
      <w:r w:rsidR="00126AC9" w:rsidRPr="007E4A0F">
        <w:t>article</w:t>
      </w:r>
      <w:r w:rsidR="006C7CFD" w:rsidRPr="007E4A0F">
        <w:t> </w:t>
      </w:r>
      <w:r w:rsidR="00126AC9" w:rsidRPr="007E4A0F">
        <w:t>6.2 du Statut et Règlement du personnel de l</w:t>
      </w:r>
      <w:r w:rsidR="00B274E6" w:rsidRPr="007E4A0F">
        <w:t>’</w:t>
      </w:r>
      <w:r w:rsidR="00126AC9" w:rsidRPr="007E4A0F">
        <w:t xml:space="preserve">OMPI prévoit </w:t>
      </w:r>
      <w:r w:rsidRPr="007E4A0F">
        <w:t>pour sa part</w:t>
      </w:r>
      <w:r w:rsidR="00126AC9" w:rsidRPr="007E4A0F">
        <w:t xml:space="preserve"> la protection de la santé</w:t>
      </w:r>
      <w:r w:rsidR="00AA2F8C" w:rsidRPr="007E4A0F">
        <w:t xml:space="preserve"> ainsi que de justes indemnités en cas de maladie, d</w:t>
      </w:r>
      <w:r w:rsidR="00B274E6" w:rsidRPr="007E4A0F">
        <w:t>’</w:t>
      </w:r>
      <w:r w:rsidR="00AA2F8C" w:rsidRPr="007E4A0F">
        <w:t>accident ou de décès imputables à l</w:t>
      </w:r>
      <w:r w:rsidR="00B274E6" w:rsidRPr="007E4A0F">
        <w:t>’</w:t>
      </w:r>
      <w:r w:rsidR="00AA2F8C" w:rsidRPr="007E4A0F">
        <w:t>exercice de fonctions officielles.</w:t>
      </w:r>
    </w:p>
    <w:p w:rsidR="00B274E6" w:rsidRPr="007E4A0F" w:rsidRDefault="00A66BEA" w:rsidP="00E26B4E">
      <w:pPr>
        <w:pStyle w:val="Style1"/>
      </w:pPr>
      <w:r w:rsidRPr="007E4A0F">
        <w:t>Nous avons constaté que l</w:t>
      </w:r>
      <w:r w:rsidR="00B274E6" w:rsidRPr="007E4A0F">
        <w:t>’</w:t>
      </w:r>
      <w:r w:rsidRPr="007E4A0F">
        <w:t>OMPI subventionnait les primes d</w:t>
      </w:r>
      <w:r w:rsidR="00B274E6" w:rsidRPr="007E4A0F">
        <w:t>’</w:t>
      </w:r>
      <w:r w:rsidRPr="007E4A0F">
        <w:t xml:space="preserve">assurance relatives à la couverture des accidents non imputables au service.  </w:t>
      </w:r>
      <w:r w:rsidR="00003045" w:rsidRPr="007E4A0F">
        <w:t xml:space="preserve">Les sommes versées </w:t>
      </w:r>
      <w:r w:rsidR="006934C6" w:rsidRPr="007E4A0F">
        <w:t xml:space="preserve">à ce titre </w:t>
      </w:r>
      <w:r w:rsidR="00003045" w:rsidRPr="007E4A0F">
        <w:t xml:space="preserve">au cours de la période auditée se sont élevées à </w:t>
      </w:r>
      <w:r w:rsidR="0012066D" w:rsidRPr="007E4A0F">
        <w:t>79</w:t>
      </w:r>
      <w:r w:rsidR="00003045" w:rsidRPr="007E4A0F">
        <w:t> </w:t>
      </w:r>
      <w:r w:rsidR="0012066D" w:rsidRPr="007E4A0F">
        <w:t>686</w:t>
      </w:r>
      <w:r w:rsidR="006C7CFD" w:rsidRPr="007E4A0F">
        <w:t> </w:t>
      </w:r>
      <w:r w:rsidR="00003045" w:rsidRPr="007E4A0F">
        <w:t>francs suisses</w:t>
      </w:r>
      <w:r w:rsidR="0012066D" w:rsidRPr="007E4A0F">
        <w:t xml:space="preserve"> </w:t>
      </w:r>
      <w:r w:rsidR="00003045" w:rsidRPr="007E4A0F">
        <w:t>e</w:t>
      </w:r>
      <w:r w:rsidR="0012066D" w:rsidRPr="007E4A0F">
        <w:t>n</w:t>
      </w:r>
      <w:r w:rsidR="006C7CFD" w:rsidRPr="007E4A0F">
        <w:t> </w:t>
      </w:r>
      <w:r w:rsidR="0012066D" w:rsidRPr="007E4A0F">
        <w:t>2012, 81</w:t>
      </w:r>
      <w:r w:rsidR="00D112BB" w:rsidRPr="007E4A0F">
        <w:t> </w:t>
      </w:r>
      <w:r w:rsidR="0012066D" w:rsidRPr="007E4A0F">
        <w:t>167</w:t>
      </w:r>
      <w:r w:rsidR="006C7CFD" w:rsidRPr="007E4A0F">
        <w:t> </w:t>
      </w:r>
      <w:r w:rsidR="00D112BB" w:rsidRPr="007E4A0F">
        <w:t>francs suisses en</w:t>
      </w:r>
      <w:r w:rsidR="006C7CFD" w:rsidRPr="007E4A0F">
        <w:t> </w:t>
      </w:r>
      <w:r w:rsidR="0012066D" w:rsidRPr="007E4A0F">
        <w:t xml:space="preserve">2013 </w:t>
      </w:r>
      <w:r w:rsidR="00D112BB" w:rsidRPr="007E4A0F">
        <w:t>et</w:t>
      </w:r>
      <w:r w:rsidR="0012066D" w:rsidRPr="007E4A0F">
        <w:t xml:space="preserve"> 81</w:t>
      </w:r>
      <w:r w:rsidR="00D112BB" w:rsidRPr="007E4A0F">
        <w:t> </w:t>
      </w:r>
      <w:r w:rsidR="0012066D" w:rsidRPr="007E4A0F">
        <w:t>889</w:t>
      </w:r>
      <w:r w:rsidR="006C7CFD" w:rsidRPr="007E4A0F">
        <w:t> </w:t>
      </w:r>
      <w:r w:rsidR="00D112BB" w:rsidRPr="007E4A0F">
        <w:t>francs suisses en</w:t>
      </w:r>
      <w:r w:rsidR="006C7CFD" w:rsidRPr="007E4A0F">
        <w:t> </w:t>
      </w:r>
      <w:r w:rsidR="0012066D" w:rsidRPr="007E4A0F">
        <w:t xml:space="preserve">2014. </w:t>
      </w:r>
      <w:r w:rsidR="00D112BB" w:rsidRPr="007E4A0F">
        <w:t xml:space="preserve"> </w:t>
      </w:r>
      <w:r w:rsidRPr="007E4A0F">
        <w:t>Si nous comprenons qu</w:t>
      </w:r>
      <w:r w:rsidR="00B274E6" w:rsidRPr="007E4A0F">
        <w:t>’</w:t>
      </w:r>
      <w:r w:rsidRPr="007E4A0F">
        <w:t>il s</w:t>
      </w:r>
      <w:r w:rsidR="00B274E6" w:rsidRPr="007E4A0F">
        <w:t>’</w:t>
      </w:r>
      <w:r w:rsidRPr="007E4A0F">
        <w:t>agit là d</w:t>
      </w:r>
      <w:r w:rsidR="00B274E6" w:rsidRPr="007E4A0F">
        <w:t>’</w:t>
      </w:r>
      <w:r w:rsidRPr="007E4A0F">
        <w:t xml:space="preserve">une mesure </w:t>
      </w:r>
      <w:r w:rsidR="00A41C35" w:rsidRPr="007E4A0F">
        <w:t>de sécurité sociale en faveur du personnel,</w:t>
      </w:r>
      <w:r w:rsidRPr="007E4A0F">
        <w:t xml:space="preserve"> nous estimons que ces versements ne sont justifiés par aucune disposition expresse du règlement.</w:t>
      </w:r>
    </w:p>
    <w:p w:rsidR="00947AF6" w:rsidRPr="007E4A0F" w:rsidRDefault="00003045" w:rsidP="00E26B4E">
      <w:pPr>
        <w:pStyle w:val="Style1"/>
      </w:pPr>
      <w:r w:rsidRPr="007E4A0F">
        <w:t>L</w:t>
      </w:r>
      <w:r w:rsidR="00B274E6" w:rsidRPr="007E4A0F">
        <w:t>’</w:t>
      </w:r>
      <w:r w:rsidRPr="007E4A0F">
        <w:t>OMPI a reconnu que</w:t>
      </w:r>
      <w:r w:rsidR="006F5178" w:rsidRPr="007E4A0F">
        <w:t xml:space="preserve"> le subventionnement </w:t>
      </w:r>
      <w:r w:rsidR="00452DC7" w:rsidRPr="007E4A0F">
        <w:t>des primes d</w:t>
      </w:r>
      <w:r w:rsidR="00B274E6" w:rsidRPr="007E4A0F">
        <w:t>’</w:t>
      </w:r>
      <w:r w:rsidR="00452DC7" w:rsidRPr="007E4A0F">
        <w:t xml:space="preserve">assurance relatives à la couverture des fonctionnaires, </w:t>
      </w:r>
      <w:r w:rsidR="00631B03" w:rsidRPr="007E4A0F">
        <w:t>fonctionnaires retraités et membres de leurs familles contre les accidents non imputables au service ne faisait pas partie des indemnisations prévues par</w:t>
      </w:r>
      <w:r w:rsidR="00B274E6" w:rsidRPr="007E4A0F">
        <w:t xml:space="preserve"> la CFP</w:t>
      </w:r>
      <w:r w:rsidR="00631B03" w:rsidRPr="007E4A0F">
        <w:t>I.</w:t>
      </w:r>
    </w:p>
    <w:p w:rsidR="00947AF6" w:rsidRPr="007E4A0F" w:rsidRDefault="000A6F80" w:rsidP="00030F2E">
      <w:pPr>
        <w:pStyle w:val="Heading4"/>
        <w:rPr>
          <w:lang w:val="fr-FR"/>
        </w:rPr>
      </w:pPr>
      <w:r w:rsidRPr="007E4A0F">
        <w:rPr>
          <w:lang w:val="fr-FR"/>
        </w:rPr>
        <w:t>Recommandation n° 1</w:t>
      </w:r>
      <w:r w:rsidR="00030F2E" w:rsidRPr="007E4A0F">
        <w:rPr>
          <w:lang w:val="fr-FR"/>
        </w:rPr>
        <w:t>4</w:t>
      </w:r>
    </w:p>
    <w:p w:rsidR="00947AF6" w:rsidRPr="007E4A0F" w:rsidRDefault="00173515" w:rsidP="00ED4876">
      <w:pPr>
        <w:pStyle w:val="Heading4"/>
        <w:rPr>
          <w:lang w:val="fr-FR"/>
        </w:rPr>
      </w:pPr>
      <w:r w:rsidRPr="007E4A0F">
        <w:rPr>
          <w:lang w:val="fr-FR"/>
        </w:rPr>
        <w:t>L</w:t>
      </w:r>
      <w:r w:rsidR="00B274E6" w:rsidRPr="007E4A0F">
        <w:rPr>
          <w:lang w:val="fr-FR"/>
        </w:rPr>
        <w:t>’</w:t>
      </w:r>
      <w:r w:rsidRPr="007E4A0F">
        <w:rPr>
          <w:lang w:val="fr-FR"/>
        </w:rPr>
        <w:t>OMPI pourrait cesser de subventionner les primes d</w:t>
      </w:r>
      <w:r w:rsidR="00B274E6" w:rsidRPr="007E4A0F">
        <w:rPr>
          <w:lang w:val="fr-FR"/>
        </w:rPr>
        <w:t>’</w:t>
      </w:r>
      <w:r w:rsidRPr="007E4A0F">
        <w:rPr>
          <w:lang w:val="fr-FR"/>
        </w:rPr>
        <w:t>assurance relatives aux accidents non imputables au service.</w:t>
      </w:r>
    </w:p>
    <w:p w:rsidR="00947AF6" w:rsidRPr="007E4A0F" w:rsidRDefault="006667D0" w:rsidP="00E26B4E">
      <w:pPr>
        <w:pStyle w:val="Style1"/>
      </w:pPr>
      <w:r w:rsidRPr="007E4A0F">
        <w:t>L</w:t>
      </w:r>
      <w:r w:rsidR="00B274E6" w:rsidRPr="007E4A0F">
        <w:t>’</w:t>
      </w:r>
      <w:r w:rsidRPr="007E4A0F">
        <w:t>OMPI</w:t>
      </w:r>
      <w:r w:rsidR="0012066D" w:rsidRPr="007E4A0F">
        <w:t xml:space="preserve"> </w:t>
      </w:r>
      <w:r w:rsidR="001C6B9C" w:rsidRPr="007E4A0F">
        <w:t>s</w:t>
      </w:r>
      <w:r w:rsidR="00B274E6" w:rsidRPr="007E4A0F">
        <w:t>’</w:t>
      </w:r>
      <w:r w:rsidR="001C6B9C" w:rsidRPr="007E4A0F">
        <w:t>est engagée à mettre fin au subventionnement des primes d</w:t>
      </w:r>
      <w:r w:rsidR="00B274E6" w:rsidRPr="007E4A0F">
        <w:t>’</w:t>
      </w:r>
      <w:r w:rsidR="001C6B9C" w:rsidRPr="007E4A0F">
        <w:t xml:space="preserve">assurance relatives à la couverture des accidents non imputables au service, et ce à compter du </w:t>
      </w:r>
      <w:r w:rsidR="00B274E6" w:rsidRPr="007E4A0F">
        <w:t>1</w:t>
      </w:r>
      <w:r w:rsidR="00B274E6" w:rsidRPr="007E4A0F">
        <w:rPr>
          <w:vertAlign w:val="superscript"/>
        </w:rPr>
        <w:t>er</w:t>
      </w:r>
      <w:r w:rsidR="00B274E6" w:rsidRPr="007E4A0F">
        <w:t> janvier 20</w:t>
      </w:r>
      <w:r w:rsidR="001C6B9C" w:rsidRPr="007E4A0F">
        <w:t>16.</w:t>
      </w:r>
    </w:p>
    <w:p w:rsidR="00947AF6" w:rsidRPr="007E4A0F" w:rsidRDefault="00030F2E" w:rsidP="00030F2E">
      <w:pPr>
        <w:pStyle w:val="Heading4"/>
        <w:rPr>
          <w:lang w:val="fr-FR"/>
        </w:rPr>
      </w:pPr>
      <w:r w:rsidRPr="007E4A0F">
        <w:rPr>
          <w:lang w:val="fr-FR"/>
        </w:rPr>
        <w:t>Congé dans les foyers</w:t>
      </w:r>
    </w:p>
    <w:p w:rsidR="00947AF6" w:rsidRPr="007E4A0F" w:rsidRDefault="00404A24" w:rsidP="00E26B4E">
      <w:pPr>
        <w:pStyle w:val="Style1"/>
      </w:pPr>
      <w:r w:rsidRPr="007E4A0F">
        <w:t>L</w:t>
      </w:r>
      <w:r w:rsidR="00B274E6" w:rsidRPr="007E4A0F">
        <w:t>’</w:t>
      </w:r>
      <w:r w:rsidRPr="007E4A0F">
        <w:t>article</w:t>
      </w:r>
      <w:r w:rsidR="006C7CFD" w:rsidRPr="007E4A0F">
        <w:t> </w:t>
      </w:r>
      <w:r w:rsidRPr="007E4A0F">
        <w:t>5.3 du Statut et Règlement du personnel prévoit que les fonctionnaires qui exercent leurs fonctions hors du pays où ils ont leurs foyers</w:t>
      </w:r>
      <w:r w:rsidR="00C37C59" w:rsidRPr="007E4A0F">
        <w:t xml:space="preserve"> ont droit, une fois tous les deux</w:t>
      </w:r>
      <w:r w:rsidR="006C7CFD" w:rsidRPr="007E4A0F">
        <w:t> </w:t>
      </w:r>
      <w:r w:rsidR="00C37C59" w:rsidRPr="007E4A0F">
        <w:t>ans, à prendre, aux frais de l</w:t>
      </w:r>
      <w:r w:rsidR="00B274E6" w:rsidRPr="007E4A0F">
        <w:t>’</w:t>
      </w:r>
      <w:r w:rsidR="00C37C59" w:rsidRPr="007E4A0F">
        <w:t>OMPI, un congé dans les foyers en utilisant leur congé annuel accumulé.  Les fonctionnaires sont également autorisés à reporter leur congé dans les foyers sous certaines conditions.</w:t>
      </w:r>
    </w:p>
    <w:p w:rsidR="00947AF6" w:rsidRPr="007E4A0F" w:rsidRDefault="00212348" w:rsidP="00E26B4E">
      <w:pPr>
        <w:pStyle w:val="Style1"/>
      </w:pPr>
      <w:r w:rsidRPr="007E4A0F">
        <w:t>Nous avons remarqué, selon les informations disponibles dans le système de gestion de l</w:t>
      </w:r>
      <w:r w:rsidR="00B274E6" w:rsidRPr="007E4A0F">
        <w:t>’</w:t>
      </w:r>
      <w:r w:rsidRPr="007E4A0F">
        <w:t xml:space="preserve">information, </w:t>
      </w:r>
      <w:r w:rsidR="00405A31" w:rsidRPr="007E4A0F">
        <w:t>que le report du congé dans les foyers n</w:t>
      </w:r>
      <w:r w:rsidR="00B274E6" w:rsidRPr="007E4A0F">
        <w:t>’</w:t>
      </w:r>
      <w:r w:rsidR="00405A31" w:rsidRPr="007E4A0F">
        <w:t xml:space="preserve">était soumis à aucune </w:t>
      </w:r>
      <w:r w:rsidR="003908C2" w:rsidRPr="007E4A0F">
        <w:t xml:space="preserve">limite de </w:t>
      </w:r>
      <w:r w:rsidR="00405A31" w:rsidRPr="007E4A0F">
        <w:t>durée</w:t>
      </w:r>
      <w:r w:rsidR="004461B4" w:rsidRPr="007E4A0F">
        <w:t xml:space="preserve">.  </w:t>
      </w:r>
      <w:r w:rsidR="009441CA" w:rsidRPr="007E4A0F">
        <w:t xml:space="preserve">Notre analyse (effectuée en </w:t>
      </w:r>
      <w:r w:rsidR="00B274E6" w:rsidRPr="007E4A0F">
        <w:t>mars 20</w:t>
      </w:r>
      <w:r w:rsidR="00E23AFF" w:rsidRPr="007E4A0F">
        <w:t>15) a révélé 37 </w:t>
      </w:r>
      <w:r w:rsidR="009441CA" w:rsidRPr="007E4A0F">
        <w:t>cas de congés dans les foyers non pris alors qu</w:t>
      </w:r>
      <w:r w:rsidR="00B274E6" w:rsidRPr="007E4A0F">
        <w:t>’</w:t>
      </w:r>
      <w:r w:rsidR="009441CA" w:rsidRPr="007E4A0F">
        <w:t>ils auraient dû l</w:t>
      </w:r>
      <w:r w:rsidR="00B274E6" w:rsidRPr="007E4A0F">
        <w:t>’</w:t>
      </w:r>
      <w:r w:rsidR="009441CA" w:rsidRPr="007E4A0F">
        <w:t>être en</w:t>
      </w:r>
      <w:r w:rsidR="006C7CFD" w:rsidRPr="007E4A0F">
        <w:t> </w:t>
      </w:r>
      <w:r w:rsidR="009441CA" w:rsidRPr="007E4A0F">
        <w:t>2001.</w:t>
      </w:r>
    </w:p>
    <w:p w:rsidR="00947AF6" w:rsidRPr="007E4A0F" w:rsidRDefault="00995E73" w:rsidP="00E26B4E">
      <w:pPr>
        <w:pStyle w:val="Style1"/>
      </w:pPr>
      <w:r w:rsidRPr="007E4A0F">
        <w:t>L</w:t>
      </w:r>
      <w:r w:rsidR="00B274E6" w:rsidRPr="007E4A0F">
        <w:t>’</w:t>
      </w:r>
      <w:r w:rsidRPr="007E4A0F">
        <w:t xml:space="preserve">OMPI a déclaré que la formulation actuelle du Statut et Règlement du personnel </w:t>
      </w:r>
      <w:r w:rsidR="007F6EAA" w:rsidRPr="007E4A0F">
        <w:t>établissait de manière suffisante un fonctionnaire qui reporte un congé dans les foyers et finit par ne pas le prendre avant d</w:t>
      </w:r>
      <w:r w:rsidR="00B274E6" w:rsidRPr="007E4A0F">
        <w:t>’</w:t>
      </w:r>
      <w:r w:rsidR="007F6EAA" w:rsidRPr="007E4A0F">
        <w:t>avoir droit au suivant</w:t>
      </w:r>
      <w:r w:rsidR="00E426C2" w:rsidRPr="007E4A0F">
        <w:t xml:space="preserve"> perd le bénéfice du premier congé dans les foyers.</w:t>
      </w:r>
    </w:p>
    <w:p w:rsidR="00947AF6" w:rsidRPr="007E4A0F" w:rsidRDefault="000A6F80" w:rsidP="00030F2E">
      <w:pPr>
        <w:pStyle w:val="Heading4"/>
        <w:rPr>
          <w:lang w:val="fr-FR"/>
        </w:rPr>
      </w:pPr>
      <w:r w:rsidRPr="007E4A0F">
        <w:rPr>
          <w:lang w:val="fr-FR"/>
        </w:rPr>
        <w:lastRenderedPageBreak/>
        <w:t>Recommandation n° 1</w:t>
      </w:r>
      <w:r w:rsidR="00030F2E" w:rsidRPr="007E4A0F">
        <w:rPr>
          <w:lang w:val="fr-FR"/>
        </w:rPr>
        <w:t>5</w:t>
      </w:r>
    </w:p>
    <w:p w:rsidR="00947AF6" w:rsidRPr="007E4A0F" w:rsidRDefault="00C30A48" w:rsidP="00ED4876">
      <w:pPr>
        <w:pStyle w:val="Heading4"/>
        <w:rPr>
          <w:lang w:val="fr-FR"/>
        </w:rPr>
      </w:pPr>
      <w:r w:rsidRPr="007E4A0F">
        <w:rPr>
          <w:lang w:val="fr-FR"/>
        </w:rPr>
        <w:t>L</w:t>
      </w:r>
      <w:r w:rsidR="00B274E6" w:rsidRPr="007E4A0F">
        <w:rPr>
          <w:lang w:val="fr-FR"/>
        </w:rPr>
        <w:t>’</w:t>
      </w:r>
      <w:r w:rsidRPr="007E4A0F">
        <w:rPr>
          <w:lang w:val="fr-FR"/>
        </w:rPr>
        <w:t>OMPI pourrait accélérer le processus d</w:t>
      </w:r>
      <w:r w:rsidR="00B274E6" w:rsidRPr="007E4A0F">
        <w:rPr>
          <w:lang w:val="fr-FR"/>
        </w:rPr>
        <w:t>’</w:t>
      </w:r>
      <w:r w:rsidRPr="007E4A0F">
        <w:rPr>
          <w:lang w:val="fr-FR"/>
        </w:rPr>
        <w:t>actualisation du système informatique</w:t>
      </w:r>
      <w:r w:rsidR="00466376" w:rsidRPr="007E4A0F">
        <w:rPr>
          <w:lang w:val="fr-FR"/>
        </w:rPr>
        <w:t xml:space="preserve"> afin de se conformer </w:t>
      </w:r>
      <w:r w:rsidRPr="007E4A0F">
        <w:rPr>
          <w:lang w:val="fr-FR"/>
        </w:rPr>
        <w:t>au règlement</w:t>
      </w:r>
      <w:r w:rsidR="0012066D" w:rsidRPr="007E4A0F">
        <w:rPr>
          <w:lang w:val="fr-FR"/>
        </w:rPr>
        <w:t>.</w:t>
      </w:r>
    </w:p>
    <w:p w:rsidR="00947AF6" w:rsidRPr="007E4A0F" w:rsidRDefault="00466376" w:rsidP="00E26B4E">
      <w:pPr>
        <w:pStyle w:val="Style1"/>
      </w:pPr>
      <w:r w:rsidRPr="007E4A0F">
        <w:t>L</w:t>
      </w:r>
      <w:r w:rsidR="00B274E6" w:rsidRPr="007E4A0F">
        <w:t>’</w:t>
      </w:r>
      <w:r w:rsidRPr="007E4A0F">
        <w:t>OMPI a accepté la recommandation.  Elle a ajouté que le système ERP serait configuré de telle manière que tout congé dans les foyers non pris serait automatiquement perdu,</w:t>
      </w:r>
      <w:r w:rsidR="00AC7D55" w:rsidRPr="007E4A0F">
        <w:t xml:space="preserve"> à moins qu</w:t>
      </w:r>
      <w:r w:rsidR="00B274E6" w:rsidRPr="007E4A0F">
        <w:t>’</w:t>
      </w:r>
      <w:r w:rsidR="006667D0" w:rsidRPr="007E4A0F">
        <w:t>une prolongation de son</w:t>
      </w:r>
      <w:r w:rsidR="00AC7D55" w:rsidRPr="007E4A0F">
        <w:t xml:space="preserve"> report ne soit justifiée de manière claire et étayée.</w:t>
      </w:r>
    </w:p>
    <w:p w:rsidR="00947AF6" w:rsidRPr="007E4A0F" w:rsidRDefault="00F21060" w:rsidP="00ED4876">
      <w:pPr>
        <w:pStyle w:val="Heading4"/>
        <w:rPr>
          <w:lang w:val="fr-FR"/>
        </w:rPr>
      </w:pPr>
      <w:r w:rsidRPr="007E4A0F">
        <w:rPr>
          <w:lang w:val="fr-FR"/>
        </w:rPr>
        <w:t>Engagements</w:t>
      </w:r>
    </w:p>
    <w:p w:rsidR="00947AF6" w:rsidRPr="007E4A0F" w:rsidRDefault="000B0657" w:rsidP="00E26B4E">
      <w:pPr>
        <w:pStyle w:val="Style1"/>
      </w:pPr>
      <w:r w:rsidRPr="007E4A0F">
        <w:t>En vertu de l</w:t>
      </w:r>
      <w:r w:rsidR="00B274E6" w:rsidRPr="007E4A0F">
        <w:t>’</w:t>
      </w:r>
      <w:r w:rsidRPr="007E4A0F">
        <w:t>article</w:t>
      </w:r>
      <w:r w:rsidR="006C7CFD" w:rsidRPr="007E4A0F">
        <w:t> </w:t>
      </w:r>
      <w:r w:rsidRPr="007E4A0F">
        <w:t>5 de l</w:t>
      </w:r>
      <w:r w:rsidR="00B274E6" w:rsidRPr="007E4A0F">
        <w:t>’</w:t>
      </w:r>
      <w:r w:rsidRPr="007E4A0F">
        <w:t>annexe</w:t>
      </w:r>
      <w:r w:rsidR="006C7CFD" w:rsidRPr="007E4A0F">
        <w:t> </w:t>
      </w:r>
      <w:r w:rsidR="0012066D" w:rsidRPr="007E4A0F">
        <w:t>III</w:t>
      </w:r>
      <w:r w:rsidRPr="007E4A0F">
        <w:t xml:space="preserve"> du Statut et Règlement du personnel ainsi que de l</w:t>
      </w:r>
      <w:r w:rsidR="00B274E6" w:rsidRPr="007E4A0F">
        <w:t>’</w:t>
      </w:r>
      <w:r w:rsidR="00F21060" w:rsidRPr="007E4A0F">
        <w:t>ordre de service n°</w:t>
      </w:r>
      <w:r w:rsidR="006C7CFD" w:rsidRPr="007E4A0F">
        <w:t> </w:t>
      </w:r>
      <w:r w:rsidR="0012066D" w:rsidRPr="007E4A0F">
        <w:t xml:space="preserve">11/2013 </w:t>
      </w:r>
      <w:r w:rsidR="00F21060" w:rsidRPr="007E4A0F">
        <w:t>sur les procédures de sélection relative aux engagements temporaires,</w:t>
      </w:r>
      <w:r w:rsidRPr="007E4A0F">
        <w:t xml:space="preserve"> les engagements temporaires d</w:t>
      </w:r>
      <w:r w:rsidR="00B274E6" w:rsidRPr="007E4A0F">
        <w:t>’</w:t>
      </w:r>
      <w:r w:rsidRPr="007E4A0F">
        <w:t>une durée prévue supérieure à six</w:t>
      </w:r>
      <w:r w:rsidR="006C7CFD" w:rsidRPr="007E4A0F">
        <w:t> </w:t>
      </w:r>
      <w:r w:rsidRPr="007E4A0F">
        <w:t xml:space="preserve">mois sont pourvus par voie de concours </w:t>
      </w:r>
      <w:r w:rsidR="00043DF4" w:rsidRPr="007E4A0F">
        <w:t>ou par la publication d</w:t>
      </w:r>
      <w:r w:rsidR="00B274E6" w:rsidRPr="007E4A0F">
        <w:t>’</w:t>
      </w:r>
      <w:r w:rsidR="00043DF4" w:rsidRPr="007E4A0F">
        <w:t>un avis de mise au concours concernant un poste spécifique, ou par une combinaison des deux.  Le Directeur général peut toutefois autoriser une exception à la procédure de sélection par voie de concours pour les engagements temporaires de plus de six</w:t>
      </w:r>
      <w:r w:rsidR="006C7CFD" w:rsidRPr="007E4A0F">
        <w:t> </w:t>
      </w:r>
      <w:r w:rsidR="00043DF4" w:rsidRPr="007E4A0F">
        <w:t>mois s</w:t>
      </w:r>
      <w:r w:rsidR="00B274E6" w:rsidRPr="007E4A0F">
        <w:t>’</w:t>
      </w:r>
      <w:r w:rsidR="00043DF4" w:rsidRPr="007E4A0F">
        <w:t>il estime que cela est dans l</w:t>
      </w:r>
      <w:r w:rsidR="00B274E6" w:rsidRPr="007E4A0F">
        <w:t>’</w:t>
      </w:r>
      <w:r w:rsidR="00043DF4" w:rsidRPr="007E4A0F">
        <w:t>intérêt de l</w:t>
      </w:r>
      <w:r w:rsidR="00B274E6" w:rsidRPr="007E4A0F">
        <w:t>’</w:t>
      </w:r>
      <w:r w:rsidR="00043DF4" w:rsidRPr="007E4A0F">
        <w:t>Organisation.</w:t>
      </w:r>
    </w:p>
    <w:p w:rsidR="00947AF6" w:rsidRPr="007E4A0F" w:rsidRDefault="00806C76" w:rsidP="00E26B4E">
      <w:pPr>
        <w:pStyle w:val="Style1"/>
      </w:pPr>
      <w:r w:rsidRPr="007E4A0F">
        <w:t>L</w:t>
      </w:r>
      <w:r w:rsidR="00B274E6" w:rsidRPr="007E4A0F">
        <w:t>’</w:t>
      </w:r>
      <w:r w:rsidRPr="007E4A0F">
        <w:t>examen de six</w:t>
      </w:r>
      <w:r w:rsidR="006C7CFD" w:rsidRPr="007E4A0F">
        <w:t> </w:t>
      </w:r>
      <w:r w:rsidRPr="007E4A0F">
        <w:t>cas d</w:t>
      </w:r>
      <w:r w:rsidR="00B274E6" w:rsidRPr="007E4A0F">
        <w:t>’</w:t>
      </w:r>
      <w:r w:rsidR="000D597E" w:rsidRPr="007E4A0F">
        <w:t>engagements directs effectué</w:t>
      </w:r>
      <w:r w:rsidRPr="007E4A0F">
        <w:t>s en</w:t>
      </w:r>
      <w:r w:rsidR="006C7CFD" w:rsidRPr="007E4A0F">
        <w:t> </w:t>
      </w:r>
      <w:r w:rsidRPr="007E4A0F">
        <w:t>2012</w:t>
      </w:r>
      <w:r w:rsidR="00CB1BDA" w:rsidRPr="007E4A0F">
        <w:noBreakHyphen/>
      </w:r>
      <w:r w:rsidRPr="007E4A0F">
        <w:t>2014 en vertu du pouvoir d</w:t>
      </w:r>
      <w:r w:rsidR="00ED1B68" w:rsidRPr="007E4A0F">
        <w:t>e déroga</w:t>
      </w:r>
      <w:r w:rsidRPr="007E4A0F">
        <w:t>tion du Directeur général mentionné ci</w:t>
      </w:r>
      <w:r w:rsidR="00CB1BDA" w:rsidRPr="007E4A0F">
        <w:noBreakHyphen/>
      </w:r>
      <w:r w:rsidRPr="007E4A0F">
        <w:t>dessus a soulevé les questions qui suivent.</w:t>
      </w:r>
    </w:p>
    <w:p w:rsidR="00947AF6" w:rsidRPr="007E4A0F" w:rsidRDefault="00806C76" w:rsidP="00E26B4E">
      <w:pPr>
        <w:pStyle w:val="Style1"/>
      </w:pPr>
      <w:r w:rsidRPr="007E4A0F">
        <w:t xml:space="preserve">Un fonctionnaire a été </w:t>
      </w:r>
      <w:r w:rsidR="000D597E" w:rsidRPr="007E4A0F">
        <w:t>engagé</w:t>
      </w:r>
      <w:r w:rsidRPr="007E4A0F">
        <w:t xml:space="preserve"> à un poste de </w:t>
      </w:r>
      <w:r w:rsidR="00AC69A6" w:rsidRPr="007E4A0F">
        <w:t>grade</w:t>
      </w:r>
      <w:r w:rsidR="00E23AFF" w:rsidRPr="007E4A0F">
        <w:t> </w:t>
      </w:r>
      <w:r w:rsidR="00AC69A6" w:rsidRPr="007E4A0F">
        <w:t>P3 pour une période de six</w:t>
      </w:r>
      <w:r w:rsidR="006C7CFD" w:rsidRPr="007E4A0F">
        <w:t> </w:t>
      </w:r>
      <w:r w:rsidR="00AC69A6" w:rsidRPr="007E4A0F">
        <w:t>mois,</w:t>
      </w:r>
      <w:r w:rsidR="000D597E" w:rsidRPr="007E4A0F">
        <w:t xml:space="preserve"> s</w:t>
      </w:r>
      <w:r w:rsidR="00AC69A6" w:rsidRPr="007E4A0F">
        <w:t>ur la base d</w:t>
      </w:r>
      <w:r w:rsidR="00B274E6" w:rsidRPr="007E4A0F">
        <w:t>’</w:t>
      </w:r>
      <w:r w:rsidR="00AC69A6" w:rsidRPr="007E4A0F">
        <w:t xml:space="preserve">une sélection directe.  </w:t>
      </w:r>
      <w:r w:rsidR="000D597E" w:rsidRPr="007E4A0F">
        <w:t>Cet engagement a ensuite été prolongé pour une période de six</w:t>
      </w:r>
      <w:r w:rsidR="006C7CFD" w:rsidRPr="007E4A0F">
        <w:t> </w:t>
      </w:r>
      <w:r w:rsidR="000D597E" w:rsidRPr="007E4A0F">
        <w:t xml:space="preserve">mois </w:t>
      </w:r>
      <w:r w:rsidR="00ED1B68" w:rsidRPr="007E4A0F">
        <w:t xml:space="preserve">finale, </w:t>
      </w:r>
      <w:r w:rsidR="009D670C" w:rsidRPr="007E4A0F">
        <w:t xml:space="preserve">sur autorisation exceptionnelle du Directeur général et sans être mis au concours, </w:t>
      </w:r>
      <w:r w:rsidR="00EA4DAF" w:rsidRPr="007E4A0F">
        <w:t>avec pour justification le souci de ne pas perturber la bonne marche des opérations et</w:t>
      </w:r>
      <w:r w:rsidR="00C14420" w:rsidRPr="007E4A0F">
        <w:t xml:space="preserve"> pour condition</w:t>
      </w:r>
      <w:r w:rsidR="0057659A" w:rsidRPr="007E4A0F">
        <w:t xml:space="preserve"> la remise d</w:t>
      </w:r>
      <w:r w:rsidR="00B274E6" w:rsidRPr="007E4A0F">
        <w:t>’</w:t>
      </w:r>
      <w:r w:rsidR="0057659A" w:rsidRPr="007E4A0F">
        <w:t>un préavis suffisant à un fonctionnaire ayant été au service de l</w:t>
      </w:r>
      <w:r w:rsidR="00B274E6" w:rsidRPr="007E4A0F">
        <w:t>’</w:t>
      </w:r>
      <w:r w:rsidR="0057659A" w:rsidRPr="007E4A0F">
        <w:t>Organisation pendant plus de sept</w:t>
      </w:r>
      <w:r w:rsidR="006C7CFD" w:rsidRPr="007E4A0F">
        <w:t> </w:t>
      </w:r>
      <w:r w:rsidR="0057659A" w:rsidRPr="007E4A0F">
        <w:t>ans.  Nous avons constaté que la description du poste manquait de clarté, c</w:t>
      </w:r>
      <w:r w:rsidR="00166E03" w:rsidRPr="007E4A0F">
        <w:t>hos</w:t>
      </w:r>
      <w:r w:rsidR="0057659A" w:rsidRPr="007E4A0F">
        <w:t>e qui avait conduit dans un premier temps à la suspension du processus de concours</w:t>
      </w:r>
      <w:r w:rsidR="004A63E0" w:rsidRPr="007E4A0F">
        <w:t>, puis à son annulation et, conséque</w:t>
      </w:r>
      <w:r w:rsidR="00ED1B68" w:rsidRPr="007E4A0F">
        <w:t>mment</w:t>
      </w:r>
      <w:r w:rsidR="004A63E0" w:rsidRPr="007E4A0F">
        <w:t xml:space="preserve">, à la nécessité de procéder </w:t>
      </w:r>
      <w:r w:rsidR="00D16627" w:rsidRPr="007E4A0F">
        <w:t>par voie d</w:t>
      </w:r>
      <w:r w:rsidR="00B274E6" w:rsidRPr="007E4A0F">
        <w:t>’</w:t>
      </w:r>
      <w:r w:rsidR="004A63E0" w:rsidRPr="007E4A0F">
        <w:t>engagement temporaire.</w:t>
      </w:r>
    </w:p>
    <w:p w:rsidR="00947AF6" w:rsidRPr="007E4A0F" w:rsidRDefault="001E1DD6" w:rsidP="00E26B4E">
      <w:pPr>
        <w:pStyle w:val="Style1"/>
      </w:pPr>
      <w:r w:rsidRPr="007E4A0F">
        <w:t>Dans un autre cas,</w:t>
      </w:r>
      <w:r w:rsidR="00F73068" w:rsidRPr="007E4A0F">
        <w:t xml:space="preserve"> </w:t>
      </w:r>
      <w:r w:rsidR="00A73A28" w:rsidRPr="007E4A0F">
        <w:t>trois</w:t>
      </w:r>
      <w:r w:rsidR="006C7CFD" w:rsidRPr="007E4A0F">
        <w:t> </w:t>
      </w:r>
      <w:r w:rsidR="00A73A28" w:rsidRPr="007E4A0F">
        <w:t xml:space="preserve">employés ont été engagés directement en </w:t>
      </w:r>
      <w:r w:rsidR="00B274E6" w:rsidRPr="007E4A0F">
        <w:t>janvier 20</w:t>
      </w:r>
      <w:r w:rsidR="00A73A28" w:rsidRPr="007E4A0F">
        <w:t xml:space="preserve">14 à des postes temporaires nouvellement alloués.  Par la suite, </w:t>
      </w:r>
      <w:r w:rsidR="000A2FAA" w:rsidRPr="007E4A0F">
        <w:t>deux</w:t>
      </w:r>
      <w:r w:rsidR="006C7CFD" w:rsidRPr="007E4A0F">
        <w:t> </w:t>
      </w:r>
      <w:r w:rsidR="000A2FAA" w:rsidRPr="007E4A0F">
        <w:t>postes fixes ont été alloués en convertissant les postes temporaires précités, et un avis de vacance a été publié.</w:t>
      </w:r>
      <w:r w:rsidR="002123DC" w:rsidRPr="007E4A0F">
        <w:t xml:space="preserve">  Il avait été décidé que les prolongations de contrat seraient liées au processus de sélection, et que les contrats des personnes non sélectionnées ne seraient plus prolongés.</w:t>
      </w:r>
      <w:r w:rsidR="002179A1" w:rsidRPr="007E4A0F">
        <w:t xml:space="preserve"> </w:t>
      </w:r>
      <w:r w:rsidR="006C7CFD" w:rsidRPr="007E4A0F">
        <w:t xml:space="preserve"> </w:t>
      </w:r>
      <w:r w:rsidR="002179A1" w:rsidRPr="007E4A0F">
        <w:t>Le concours avait permis de sélectionner et d</w:t>
      </w:r>
      <w:r w:rsidR="00B274E6" w:rsidRPr="007E4A0F">
        <w:t>’</w:t>
      </w:r>
      <w:r w:rsidR="002179A1" w:rsidRPr="007E4A0F">
        <w:t>engager une personne.  Les deux</w:t>
      </w:r>
      <w:r w:rsidR="006C7CFD" w:rsidRPr="007E4A0F">
        <w:t> </w:t>
      </w:r>
      <w:r w:rsidR="002179A1" w:rsidRPr="007E4A0F">
        <w:t>autres fonctionnaires,</w:t>
      </w:r>
      <w:r w:rsidR="00C35A16" w:rsidRPr="007E4A0F">
        <w:t xml:space="preserve"> </w:t>
      </w:r>
      <w:r w:rsidR="00401977" w:rsidRPr="007E4A0F">
        <w:t>bien que malheureux au concours, ont continué à voir</w:t>
      </w:r>
      <w:r w:rsidR="009A46C2" w:rsidRPr="007E4A0F">
        <w:t xml:space="preserve"> </w:t>
      </w:r>
      <w:r w:rsidR="00401977" w:rsidRPr="007E4A0F">
        <w:t>la durée de leur engagement régulièrement prolongé</w:t>
      </w:r>
      <w:r w:rsidR="009A46C2" w:rsidRPr="007E4A0F">
        <w:t>e.  Entre</w:t>
      </w:r>
      <w:r w:rsidR="00CB1BDA" w:rsidRPr="007E4A0F">
        <w:noBreakHyphen/>
      </w:r>
      <w:r w:rsidR="009A46C2" w:rsidRPr="007E4A0F">
        <w:t xml:space="preserve">temps, le profil du poste </w:t>
      </w:r>
      <w:r w:rsidR="00B838DD" w:rsidRPr="007E4A0F">
        <w:t>avait été révisé, et sa description avait été modifiée en conséquence</w:t>
      </w:r>
      <w:r w:rsidR="00B64CBE" w:rsidRPr="007E4A0F">
        <w:t>.</w:t>
      </w:r>
    </w:p>
    <w:p w:rsidR="00B274E6" w:rsidRPr="007E4A0F" w:rsidRDefault="00161ECE" w:rsidP="00ED4876">
      <w:pPr>
        <w:pStyle w:val="Style1"/>
        <w:keepNext/>
      </w:pPr>
      <w:r w:rsidRPr="007E4A0F">
        <w:lastRenderedPageBreak/>
        <w:t>L’</w:t>
      </w:r>
      <w:r w:rsidR="00B838DD" w:rsidRPr="007E4A0F">
        <w:t>OMPI a répondu que</w:t>
      </w:r>
      <w:r w:rsidR="006C7CFD" w:rsidRPr="007E4A0F">
        <w:t> </w:t>
      </w:r>
      <w:r w:rsidR="00B838DD" w:rsidRPr="007E4A0F">
        <w:t>:</w:t>
      </w:r>
    </w:p>
    <w:p w:rsidR="00947AF6" w:rsidRPr="007E4A0F" w:rsidRDefault="00B838DD" w:rsidP="00ED4876">
      <w:pPr>
        <w:pStyle w:val="Style1"/>
        <w:numPr>
          <w:ilvl w:val="1"/>
          <w:numId w:val="16"/>
        </w:numPr>
        <w:ind w:left="567" w:hanging="567"/>
      </w:pPr>
      <w:r w:rsidRPr="007E4A0F">
        <w:t>les quatre</w:t>
      </w:r>
      <w:r w:rsidR="006C7CFD" w:rsidRPr="007E4A0F">
        <w:t> </w:t>
      </w:r>
      <w:r w:rsidR="00AD1310" w:rsidRPr="007E4A0F">
        <w:t>fonctionnaires</w:t>
      </w:r>
      <w:r w:rsidRPr="007E4A0F">
        <w:t xml:space="preserve"> temporaires mentionnés dans l</w:t>
      </w:r>
      <w:r w:rsidR="00B274E6" w:rsidRPr="007E4A0F">
        <w:t>’</w:t>
      </w:r>
      <w:r w:rsidRPr="007E4A0F">
        <w:t>observation d</w:t>
      </w:r>
      <w:r w:rsidR="00B274E6" w:rsidRPr="007E4A0F">
        <w:t>’</w:t>
      </w:r>
      <w:r w:rsidRPr="007E4A0F">
        <w:t>audit tombent sous le coup des</w:t>
      </w:r>
      <w:r w:rsidR="00F07DC9" w:rsidRPr="007E4A0F">
        <w:t xml:space="preserve"> mesures transitoires exposées dans le Statut et Règlement du personnel, et de ce fait, leur service n</w:t>
      </w:r>
      <w:r w:rsidR="00B274E6" w:rsidRPr="007E4A0F">
        <w:t>’</w:t>
      </w:r>
      <w:r w:rsidR="00F07DC9" w:rsidRPr="007E4A0F">
        <w:t>était pas soumis à la limite de durée de deux</w:t>
      </w:r>
      <w:r w:rsidR="006C7CFD" w:rsidRPr="007E4A0F">
        <w:t> </w:t>
      </w:r>
      <w:r w:rsidR="00F07DC9" w:rsidRPr="007E4A0F">
        <w:t>ans, mais à une limite de cinq</w:t>
      </w:r>
      <w:r w:rsidR="006C7CFD" w:rsidRPr="007E4A0F">
        <w:t> </w:t>
      </w:r>
      <w:r w:rsidR="00F07DC9" w:rsidRPr="007E4A0F">
        <w:t xml:space="preserve">ans comptés à partir du </w:t>
      </w:r>
      <w:r w:rsidR="00B274E6" w:rsidRPr="007E4A0F">
        <w:t>1</w:t>
      </w:r>
      <w:r w:rsidR="00B274E6" w:rsidRPr="007E4A0F">
        <w:rPr>
          <w:vertAlign w:val="superscript"/>
        </w:rPr>
        <w:t>er</w:t>
      </w:r>
      <w:r w:rsidR="00B274E6" w:rsidRPr="007E4A0F">
        <w:t> janvier 20</w:t>
      </w:r>
      <w:r w:rsidR="00F07DC9" w:rsidRPr="007E4A0F">
        <w:t>13;</w:t>
      </w:r>
    </w:p>
    <w:p w:rsidR="00947AF6" w:rsidRPr="007E4A0F" w:rsidRDefault="00F07DC9" w:rsidP="00ED4876">
      <w:pPr>
        <w:pStyle w:val="Style1"/>
        <w:numPr>
          <w:ilvl w:val="1"/>
          <w:numId w:val="16"/>
        </w:numPr>
        <w:ind w:left="567" w:hanging="567"/>
      </w:pPr>
      <w:r w:rsidRPr="007E4A0F">
        <w:t>dans les quatre</w:t>
      </w:r>
      <w:r w:rsidR="006C7CFD" w:rsidRPr="007E4A0F">
        <w:t> </w:t>
      </w:r>
      <w:r w:rsidRPr="007E4A0F">
        <w:t xml:space="preserve">cas, </w:t>
      </w:r>
      <w:r w:rsidR="00DC250A" w:rsidRPr="007E4A0F">
        <w:t>la régularisation par le Directeur général d</w:t>
      </w:r>
      <w:r w:rsidRPr="007E4A0F">
        <w:t xml:space="preserve">es fonctions </w:t>
      </w:r>
      <w:r w:rsidR="000E5A25" w:rsidRPr="007E4A0F">
        <w:t xml:space="preserve">alors </w:t>
      </w:r>
      <w:r w:rsidRPr="007E4A0F">
        <w:t>exercées</w:t>
      </w:r>
      <w:r w:rsidR="00DC250A" w:rsidRPr="007E4A0F">
        <w:t xml:space="preserve"> (ou qui le sont encore) avait été acceptée</w:t>
      </w:r>
      <w:r w:rsidR="000F68F9" w:rsidRPr="007E4A0F">
        <w:t xml:space="preserve"> suite à l</w:t>
      </w:r>
      <w:r w:rsidR="00B274E6" w:rsidRPr="007E4A0F">
        <w:t>’</w:t>
      </w:r>
      <w:r w:rsidR="000F68F9" w:rsidRPr="007E4A0F">
        <w:t>approbation par les États mem</w:t>
      </w:r>
      <w:r w:rsidR="00E23AFF" w:rsidRPr="007E4A0F">
        <w:t>bres de la régularisation de 66 </w:t>
      </w:r>
      <w:r w:rsidR="000F68F9" w:rsidRPr="007E4A0F">
        <w:t>agents temporaires de l</w:t>
      </w:r>
      <w:r w:rsidR="00B274E6" w:rsidRPr="007E4A0F">
        <w:t>’</w:t>
      </w:r>
      <w:r w:rsidR="000F68F9" w:rsidRPr="007E4A0F">
        <w:t xml:space="preserve">Organisation, considérés comme exerçant des fonctions continues. </w:t>
      </w:r>
      <w:r w:rsidR="006C7CFD" w:rsidRPr="007E4A0F">
        <w:t xml:space="preserve"> </w:t>
      </w:r>
      <w:r w:rsidR="000F68F9" w:rsidRPr="007E4A0F">
        <w:t>Cette régularisation de 66 agents temporaires approuvée par les États membres</w:t>
      </w:r>
      <w:r w:rsidR="008F097A" w:rsidRPr="007E4A0F">
        <w:t xml:space="preserve"> avait considérablement alourdi la charge de travail de planification des ressources humaines (une augmentation de 33% par rapport à 2013).  </w:t>
      </w:r>
      <w:r w:rsidR="00E14D79" w:rsidRPr="007E4A0F">
        <w:t xml:space="preserve">Bien que tout ait été fait pour </w:t>
      </w:r>
      <w:r w:rsidR="005645D0" w:rsidRPr="007E4A0F">
        <w:t>établir les priorités à respecter dans le processus de sélection de ce groupe afin d</w:t>
      </w:r>
      <w:r w:rsidR="00B274E6" w:rsidRPr="007E4A0F">
        <w:t>’</w:t>
      </w:r>
      <w:r w:rsidR="005645D0" w:rsidRPr="007E4A0F">
        <w:t>éviter</w:t>
      </w:r>
      <w:r w:rsidR="00B07477" w:rsidRPr="007E4A0F">
        <w:t xml:space="preserve"> d</w:t>
      </w:r>
      <w:r w:rsidR="00B274E6" w:rsidRPr="007E4A0F">
        <w:t>’</w:t>
      </w:r>
      <w:r w:rsidR="00DF6C71" w:rsidRPr="007E4A0F">
        <w:t>accord</w:t>
      </w:r>
      <w:r w:rsidR="00B07477" w:rsidRPr="007E4A0F">
        <w:t>er inutilement</w:t>
      </w:r>
      <w:r w:rsidR="00DF6C71" w:rsidRPr="007E4A0F">
        <w:t xml:space="preserve"> des prolongations </w:t>
      </w:r>
      <w:r w:rsidR="00297F7A" w:rsidRPr="007E4A0F">
        <w:t xml:space="preserve">exceptionnelles </w:t>
      </w:r>
      <w:r w:rsidR="00DF6C71" w:rsidRPr="007E4A0F">
        <w:t>de contrat</w:t>
      </w:r>
      <w:r w:rsidR="00B07477" w:rsidRPr="007E4A0F">
        <w:t>s, cela n</w:t>
      </w:r>
      <w:r w:rsidR="00B274E6" w:rsidRPr="007E4A0F">
        <w:t>’</w:t>
      </w:r>
      <w:r w:rsidR="00B07477" w:rsidRPr="007E4A0F">
        <w:t xml:space="preserve">a pas toujours été possible en raison du nombre élevé de </w:t>
      </w:r>
      <w:r w:rsidR="00297F7A" w:rsidRPr="007E4A0F">
        <w:t>ca</w:t>
      </w:r>
      <w:r w:rsidR="00B07477" w:rsidRPr="007E4A0F">
        <w:t>s.  L</w:t>
      </w:r>
      <w:r w:rsidR="0075601B" w:rsidRPr="007E4A0F">
        <w:t>e</w:t>
      </w:r>
      <w:r w:rsidR="00B07477" w:rsidRPr="007E4A0F">
        <w:t xml:space="preserve"> Directeur général</w:t>
      </w:r>
      <w:r w:rsidR="0075601B" w:rsidRPr="007E4A0F">
        <w:t xml:space="preserve"> a également le souci, lorsqu</w:t>
      </w:r>
      <w:r w:rsidR="00B274E6" w:rsidRPr="007E4A0F">
        <w:t>’</w:t>
      </w:r>
      <w:r w:rsidR="0075601B" w:rsidRPr="007E4A0F">
        <w:t>il approuve de telles prolongations exceptionnelles, d</w:t>
      </w:r>
      <w:r w:rsidR="00B274E6" w:rsidRPr="007E4A0F">
        <w:t>’</w:t>
      </w:r>
      <w:r w:rsidR="0075601B" w:rsidRPr="007E4A0F">
        <w:t>assurer la continuité des fonctions concernées en attendant qu</w:t>
      </w:r>
      <w:r w:rsidR="00B274E6" w:rsidRPr="007E4A0F">
        <w:t>’</w:t>
      </w:r>
      <w:r w:rsidR="0075601B" w:rsidRPr="007E4A0F">
        <w:t>elles soient régularisées</w:t>
      </w:r>
      <w:r w:rsidR="004D7B79" w:rsidRPr="007E4A0F">
        <w:t>;</w:t>
      </w:r>
    </w:p>
    <w:p w:rsidR="00B274E6" w:rsidRPr="007E4A0F" w:rsidRDefault="004D7B79" w:rsidP="00ED4876">
      <w:pPr>
        <w:pStyle w:val="Style1"/>
        <w:numPr>
          <w:ilvl w:val="1"/>
          <w:numId w:val="16"/>
        </w:numPr>
        <w:ind w:left="567" w:hanging="567"/>
      </w:pPr>
      <w:r w:rsidRPr="007E4A0F">
        <w:t>s</w:t>
      </w:r>
      <w:r w:rsidR="00B274E6" w:rsidRPr="007E4A0F">
        <w:t>’</w:t>
      </w:r>
      <w:r w:rsidRPr="007E4A0F">
        <w:t xml:space="preserve">agissant du deuxième cas </w:t>
      </w:r>
      <w:r w:rsidR="00254725" w:rsidRPr="007E4A0F">
        <w:t>mentionné au paragraphe</w:t>
      </w:r>
      <w:r w:rsidR="006C7CFD" w:rsidRPr="007E4A0F">
        <w:t> </w:t>
      </w:r>
      <w:r w:rsidR="00254725" w:rsidRPr="007E4A0F">
        <w:t xml:space="preserve">115, </w:t>
      </w:r>
      <w:r w:rsidR="004643EF" w:rsidRPr="007E4A0F">
        <w:t xml:space="preserve">des changements intervenus entre la première et la deuxième annonce dans les compétences linguistiques au sein de la Division avaient nécessité la révision de la description de poste. </w:t>
      </w:r>
      <w:r w:rsidR="00AC3D6F" w:rsidRPr="007E4A0F">
        <w:t xml:space="preserve"> </w:t>
      </w:r>
      <w:r w:rsidR="00456016" w:rsidRPr="007E4A0F">
        <w:t>Il n</w:t>
      </w:r>
      <w:r w:rsidR="00B274E6" w:rsidRPr="007E4A0F">
        <w:t>’</w:t>
      </w:r>
      <w:r w:rsidR="00456016" w:rsidRPr="007E4A0F">
        <w:t>y avait donc pas de problème d</w:t>
      </w:r>
      <w:r w:rsidR="00B274E6" w:rsidRPr="007E4A0F">
        <w:t>’</w:t>
      </w:r>
      <w:r w:rsidR="00456016" w:rsidRPr="007E4A0F">
        <w:t>exactitude dans la description de poste initiale.  En ce qui concerne le premier cas mentionné au paragraphe</w:t>
      </w:r>
      <w:r w:rsidR="006C7CFD" w:rsidRPr="007E4A0F">
        <w:t> </w:t>
      </w:r>
      <w:r w:rsidR="00456016" w:rsidRPr="007E4A0F">
        <w:t>114,</w:t>
      </w:r>
      <w:r w:rsidR="00B919C3" w:rsidRPr="007E4A0F">
        <w:t xml:space="preserve"> </w:t>
      </w:r>
      <w:r w:rsidR="00A9382C" w:rsidRPr="007E4A0F">
        <w:t>la première description avait subi les effets de l</w:t>
      </w:r>
      <w:r w:rsidR="00B274E6" w:rsidRPr="007E4A0F">
        <w:t>’</w:t>
      </w:r>
      <w:r w:rsidR="00A9382C" w:rsidRPr="007E4A0F">
        <w:t>introduction d</w:t>
      </w:r>
      <w:r w:rsidR="00B274E6" w:rsidRPr="007E4A0F">
        <w:t>’</w:t>
      </w:r>
      <w:r w:rsidR="00A9382C" w:rsidRPr="007E4A0F">
        <w:t>une nouvelle politique.</w:t>
      </w:r>
    </w:p>
    <w:p w:rsidR="00947AF6" w:rsidRPr="007E4A0F" w:rsidRDefault="00B0162A" w:rsidP="00E26B4E">
      <w:pPr>
        <w:pStyle w:val="Style1"/>
      </w:pPr>
      <w:r w:rsidRPr="007E4A0F">
        <w:t xml:space="preserve">Nous estimons que le maintien en fonctions </w:t>
      </w:r>
      <w:r w:rsidR="00877EE6" w:rsidRPr="007E4A0F">
        <w:t>de personnes n</w:t>
      </w:r>
      <w:r w:rsidR="00B274E6" w:rsidRPr="007E4A0F">
        <w:t>’</w:t>
      </w:r>
      <w:r w:rsidR="00877EE6" w:rsidRPr="007E4A0F">
        <w:t xml:space="preserve">ayant </w:t>
      </w:r>
      <w:r w:rsidR="00067E6D" w:rsidRPr="007E4A0F">
        <w:t xml:space="preserve">pas </w:t>
      </w:r>
      <w:r w:rsidR="00877EE6" w:rsidRPr="007E4A0F">
        <w:t>réussi le concours est contraire à la condition fixée par l</w:t>
      </w:r>
      <w:r w:rsidR="00B274E6" w:rsidRPr="007E4A0F">
        <w:t>’</w:t>
      </w:r>
      <w:r w:rsidR="00877EE6" w:rsidRPr="007E4A0F">
        <w:t>OMPI elle</w:t>
      </w:r>
      <w:r w:rsidR="00CB1BDA" w:rsidRPr="007E4A0F">
        <w:noBreakHyphen/>
      </w:r>
      <w:r w:rsidR="00877EE6" w:rsidRPr="007E4A0F">
        <w:t xml:space="preserve">même selon laquelle </w:t>
      </w:r>
      <w:r w:rsidR="00524088" w:rsidRPr="007E4A0F">
        <w:t>“</w:t>
      </w:r>
      <w:r w:rsidR="0012066D" w:rsidRPr="007E4A0F">
        <w:t xml:space="preserve"> </w:t>
      </w:r>
      <w:r w:rsidR="006C7CFD" w:rsidRPr="007E4A0F">
        <w:t xml:space="preserve">… </w:t>
      </w:r>
      <w:r w:rsidR="0012066D" w:rsidRPr="007E4A0F">
        <w:t xml:space="preserve"> </w:t>
      </w:r>
      <w:r w:rsidR="00877EE6" w:rsidRPr="007E4A0F">
        <w:t>les prolongations de contrat seraient liées au processus de sélection, et les contrats des personnes non sélectionnées ne seraient plus prolongés</w:t>
      </w:r>
      <w:r w:rsidR="00524088" w:rsidRPr="007E4A0F">
        <w:t>”</w:t>
      </w:r>
      <w:r w:rsidR="0012066D" w:rsidRPr="007E4A0F">
        <w:t xml:space="preserve">. </w:t>
      </w:r>
      <w:r w:rsidR="00877EE6" w:rsidRPr="007E4A0F">
        <w:t xml:space="preserve"> </w:t>
      </w:r>
      <w:r w:rsidR="00B711E0" w:rsidRPr="007E4A0F">
        <w:t>La limite de cinq</w:t>
      </w:r>
      <w:r w:rsidR="006C7CFD" w:rsidRPr="007E4A0F">
        <w:t> </w:t>
      </w:r>
      <w:r w:rsidR="00B711E0" w:rsidRPr="007E4A0F">
        <w:t>ans ne s</w:t>
      </w:r>
      <w:r w:rsidR="00B274E6" w:rsidRPr="007E4A0F">
        <w:t>’</w:t>
      </w:r>
      <w:r w:rsidR="00B711E0" w:rsidRPr="007E4A0F">
        <w:t>appliquerait pas à ces cas, puisqu</w:t>
      </w:r>
      <w:r w:rsidR="00B274E6" w:rsidRPr="007E4A0F">
        <w:t>’</w:t>
      </w:r>
      <w:r w:rsidR="00B711E0" w:rsidRPr="007E4A0F">
        <w:t>il s</w:t>
      </w:r>
      <w:r w:rsidR="00B274E6" w:rsidRPr="007E4A0F">
        <w:t>’</w:t>
      </w:r>
      <w:r w:rsidR="00B711E0" w:rsidRPr="007E4A0F">
        <w:t xml:space="preserve">agit de prolongations accordées à des fonctionnaires non retenus </w:t>
      </w:r>
      <w:r w:rsidR="00AC2E67" w:rsidRPr="007E4A0F">
        <w:t>à l</w:t>
      </w:r>
      <w:r w:rsidR="00B274E6" w:rsidRPr="007E4A0F">
        <w:t>’</w:t>
      </w:r>
      <w:r w:rsidR="00AC2E67" w:rsidRPr="007E4A0F">
        <w:t>issue de la procédure de sélection par voie de concours.</w:t>
      </w:r>
    </w:p>
    <w:p w:rsidR="00947AF6" w:rsidRPr="007E4A0F" w:rsidRDefault="000A6F80" w:rsidP="00030F2E">
      <w:pPr>
        <w:pStyle w:val="Heading4"/>
        <w:rPr>
          <w:lang w:val="fr-FR"/>
        </w:rPr>
      </w:pPr>
      <w:r w:rsidRPr="007E4A0F">
        <w:rPr>
          <w:lang w:val="fr-FR"/>
        </w:rPr>
        <w:lastRenderedPageBreak/>
        <w:t>Recommandation n° 1</w:t>
      </w:r>
      <w:r w:rsidR="00030F2E" w:rsidRPr="007E4A0F">
        <w:rPr>
          <w:lang w:val="fr-FR"/>
        </w:rPr>
        <w:t>6</w:t>
      </w:r>
    </w:p>
    <w:p w:rsidR="00947AF6" w:rsidRPr="007E4A0F" w:rsidRDefault="00A217EE" w:rsidP="00ED4876">
      <w:pPr>
        <w:pStyle w:val="Heading4"/>
        <w:rPr>
          <w:lang w:val="fr-FR"/>
        </w:rPr>
      </w:pPr>
      <w:r w:rsidRPr="007E4A0F">
        <w:rPr>
          <w:lang w:val="fr-FR"/>
        </w:rPr>
        <w:t xml:space="preserve">Nous recommandons que, dans les cas où des engagements temporaires sont prolongés sans mise au concours </w:t>
      </w:r>
      <w:r w:rsidR="000A7DD3" w:rsidRPr="007E4A0F">
        <w:rPr>
          <w:lang w:val="fr-FR"/>
        </w:rPr>
        <w:t>en attendant l</w:t>
      </w:r>
      <w:r w:rsidR="00B274E6" w:rsidRPr="007E4A0F">
        <w:rPr>
          <w:lang w:val="fr-FR"/>
        </w:rPr>
        <w:t>’</w:t>
      </w:r>
      <w:r w:rsidR="000A7DD3" w:rsidRPr="007E4A0F">
        <w:rPr>
          <w:lang w:val="fr-FR"/>
        </w:rPr>
        <w:t>issue d</w:t>
      </w:r>
      <w:r w:rsidR="00B274E6" w:rsidRPr="007E4A0F">
        <w:rPr>
          <w:lang w:val="fr-FR"/>
        </w:rPr>
        <w:t>’</w:t>
      </w:r>
      <w:r w:rsidR="000A7DD3" w:rsidRPr="007E4A0F">
        <w:rPr>
          <w:lang w:val="fr-FR"/>
        </w:rPr>
        <w:t>une compétition pour un engagement de durée déterminée, la procédure de sélection puisse être clôturée de manière anticipée et que la description de poste soit dûment adaptée afin d</w:t>
      </w:r>
      <w:r w:rsidR="00B274E6" w:rsidRPr="007E4A0F">
        <w:rPr>
          <w:lang w:val="fr-FR"/>
        </w:rPr>
        <w:t>’</w:t>
      </w:r>
      <w:r w:rsidR="000A7DD3" w:rsidRPr="007E4A0F">
        <w:rPr>
          <w:lang w:val="fr-FR"/>
        </w:rPr>
        <w:t>éviter tout retard.</w:t>
      </w:r>
    </w:p>
    <w:p w:rsidR="00B274E6" w:rsidRPr="007E4A0F" w:rsidRDefault="00EE0CD9" w:rsidP="00E26B4E">
      <w:pPr>
        <w:pStyle w:val="Style1"/>
      </w:pPr>
      <w:r w:rsidRPr="007E4A0F">
        <w:t>L</w:t>
      </w:r>
      <w:r w:rsidR="00B274E6" w:rsidRPr="007E4A0F">
        <w:t>’</w:t>
      </w:r>
      <w:r w:rsidRPr="007E4A0F">
        <w:t>OMPI a répondu que le Département de la gestion des ressources humaines procédait actuellement à</w:t>
      </w:r>
      <w:r w:rsidR="00631581" w:rsidRPr="007E4A0F">
        <w:t xml:space="preserve"> l</w:t>
      </w:r>
      <w:r w:rsidR="00B274E6" w:rsidRPr="007E4A0F">
        <w:t>’</w:t>
      </w:r>
      <w:r w:rsidR="00631581" w:rsidRPr="007E4A0F">
        <w:t>examen de l</w:t>
      </w:r>
      <w:r w:rsidR="00B274E6" w:rsidRPr="007E4A0F">
        <w:t>’</w:t>
      </w:r>
      <w:r w:rsidR="00631581" w:rsidRPr="007E4A0F">
        <w:t xml:space="preserve">ensemble des </w:t>
      </w:r>
      <w:r w:rsidRPr="007E4A0F">
        <w:t>descriptions de postes de l</w:t>
      </w:r>
      <w:r w:rsidR="00B274E6" w:rsidRPr="007E4A0F">
        <w:t>’</w:t>
      </w:r>
      <w:r w:rsidRPr="007E4A0F">
        <w:t>Organisation</w:t>
      </w:r>
      <w:r w:rsidR="00631581" w:rsidRPr="007E4A0F">
        <w:t xml:space="preserve">, afin de vérifier que les fonctions et responsabilités de tous les postes soient bien à jour </w:t>
      </w:r>
      <w:r w:rsidR="00451052" w:rsidRPr="007E4A0F">
        <w:t>et qu</w:t>
      </w:r>
      <w:r w:rsidR="00B274E6" w:rsidRPr="007E4A0F">
        <w:t>’</w:t>
      </w:r>
      <w:r w:rsidR="00451052" w:rsidRPr="007E4A0F">
        <w:t>elles rendent compte avec exactitude</w:t>
      </w:r>
      <w:r w:rsidR="00966ABD" w:rsidRPr="007E4A0F">
        <w:t xml:space="preserve"> des conditions à remplir pour pouvoir les exercer.  L</w:t>
      </w:r>
      <w:r w:rsidR="00B274E6" w:rsidRPr="007E4A0F">
        <w:t>’</w:t>
      </w:r>
      <w:r w:rsidR="00966ABD" w:rsidRPr="007E4A0F">
        <w:t>OMPI a indiqué qu</w:t>
      </w:r>
      <w:r w:rsidR="00560435" w:rsidRPr="007E4A0F">
        <w:t xml:space="preserve">e </w:t>
      </w:r>
      <w:r w:rsidR="00966ABD" w:rsidRPr="007E4A0F">
        <w:t xml:space="preserve">la pratique </w:t>
      </w:r>
      <w:r w:rsidR="00560435" w:rsidRPr="007E4A0F">
        <w:t xml:space="preserve">de </w:t>
      </w:r>
      <w:r w:rsidR="00966ABD" w:rsidRPr="007E4A0F">
        <w:t>prolong</w:t>
      </w:r>
      <w:r w:rsidR="00560435" w:rsidRPr="007E4A0F">
        <w:t>ation d</w:t>
      </w:r>
      <w:r w:rsidR="00966ABD" w:rsidRPr="007E4A0F">
        <w:t>es engagements temporaires</w:t>
      </w:r>
      <w:r w:rsidR="00560435" w:rsidRPr="007E4A0F">
        <w:t xml:space="preserve"> cesserait dès la fin de la période de transition, et que</w:t>
      </w:r>
      <w:r w:rsidR="00387ED0" w:rsidRPr="007E4A0F">
        <w:t xml:space="preserve"> la durée de service des fonctionnaires temporaires se</w:t>
      </w:r>
      <w:r w:rsidR="00F75A55" w:rsidRPr="007E4A0F">
        <w:t>r</w:t>
      </w:r>
      <w:r w:rsidR="00387ED0" w:rsidRPr="007E4A0F">
        <w:t xml:space="preserve">ait </w:t>
      </w:r>
      <w:r w:rsidR="00F75A55" w:rsidRPr="007E4A0F">
        <w:t>inférieure à</w:t>
      </w:r>
      <w:r w:rsidR="00387ED0" w:rsidRPr="007E4A0F">
        <w:t xml:space="preserve"> la limite de deux</w:t>
      </w:r>
      <w:r w:rsidR="006C7CFD" w:rsidRPr="007E4A0F">
        <w:t> </w:t>
      </w:r>
      <w:r w:rsidR="00387ED0" w:rsidRPr="007E4A0F">
        <w:t>ans à compter du 3</w:t>
      </w:r>
      <w:r w:rsidR="00B274E6" w:rsidRPr="007E4A0F">
        <w:t>1 décembre 20</w:t>
      </w:r>
      <w:r w:rsidR="00387ED0" w:rsidRPr="007E4A0F">
        <w:t>17.</w:t>
      </w:r>
    </w:p>
    <w:p w:rsidR="00947AF6" w:rsidRPr="007E4A0F" w:rsidRDefault="00E34E24" w:rsidP="00ED4876">
      <w:pPr>
        <w:pStyle w:val="Heading4"/>
        <w:rPr>
          <w:lang w:val="fr-FR"/>
        </w:rPr>
      </w:pPr>
      <w:r w:rsidRPr="007E4A0F">
        <w:rPr>
          <w:lang w:val="fr-FR"/>
        </w:rPr>
        <w:t>Allocation</w:t>
      </w:r>
      <w:r w:rsidR="00A339E0" w:rsidRPr="007E4A0F">
        <w:rPr>
          <w:lang w:val="fr-FR"/>
        </w:rPr>
        <w:t>s</w:t>
      </w:r>
      <w:r w:rsidRPr="007E4A0F">
        <w:rPr>
          <w:lang w:val="fr-FR"/>
        </w:rPr>
        <w:t xml:space="preserve"> familiale</w:t>
      </w:r>
      <w:r w:rsidR="00A339E0" w:rsidRPr="007E4A0F">
        <w:rPr>
          <w:lang w:val="fr-FR"/>
        </w:rPr>
        <w:t>s</w:t>
      </w:r>
    </w:p>
    <w:p w:rsidR="00947AF6" w:rsidRPr="007E4A0F" w:rsidRDefault="00756D49" w:rsidP="00030F2E">
      <w:pPr>
        <w:pStyle w:val="Style1"/>
      </w:pPr>
      <w:r w:rsidRPr="007E4A0F">
        <w:t>L</w:t>
      </w:r>
      <w:r w:rsidR="00B274E6" w:rsidRPr="007E4A0F">
        <w:t>’</w:t>
      </w:r>
      <w:r w:rsidRPr="007E4A0F">
        <w:t>article</w:t>
      </w:r>
      <w:r w:rsidR="006C7CFD" w:rsidRPr="007E4A0F">
        <w:t> </w:t>
      </w:r>
      <w:r w:rsidRPr="007E4A0F">
        <w:t xml:space="preserve">3.2 prévoit </w:t>
      </w:r>
      <w:r w:rsidR="000D596D" w:rsidRPr="007E4A0F">
        <w:t>que le fonctionnaire est en droit de recevoir un traitement au taux avec charges de famille s</w:t>
      </w:r>
      <w:r w:rsidR="00B274E6" w:rsidRPr="007E4A0F">
        <w:t>’</w:t>
      </w:r>
      <w:r w:rsidR="000D596D" w:rsidRPr="007E4A0F">
        <w:t xml:space="preserve">il a un conjoint à charge ou au moins un enfant à charge.  </w:t>
      </w:r>
      <w:r w:rsidR="00030F2E" w:rsidRPr="007E4A0F">
        <w:t xml:space="preserve">On entend par </w:t>
      </w:r>
      <w:r w:rsidR="00524088" w:rsidRPr="007E4A0F">
        <w:t>“</w:t>
      </w:r>
      <w:r w:rsidR="00030F2E" w:rsidRPr="007E4A0F">
        <w:t>conjoint à charge</w:t>
      </w:r>
      <w:r w:rsidR="00524088" w:rsidRPr="007E4A0F">
        <w:t>”</w:t>
      </w:r>
      <w:r w:rsidR="00030F2E" w:rsidRPr="007E4A0F">
        <w:t xml:space="preserve"> un conjoint dont le revenu professionnel annuel brut éventuel est inférieur ou égal au traitement annuel brut correspondant au premier échelon du grade G1 de la catégorie des services généraux qui est applicable au lieu de travail du conjoint, et qui est en vigueur au 1</w:t>
      </w:r>
      <w:r w:rsidR="00030F2E" w:rsidRPr="007E4A0F">
        <w:rPr>
          <w:vertAlign w:val="superscript"/>
        </w:rPr>
        <w:t>er</w:t>
      </w:r>
      <w:r w:rsidR="00030F2E" w:rsidRPr="007E4A0F">
        <w:t> janvier de l</w:t>
      </w:r>
      <w:r w:rsidR="00B274E6" w:rsidRPr="007E4A0F">
        <w:t>’</w:t>
      </w:r>
      <w:r w:rsidR="00030F2E" w:rsidRPr="007E4A0F">
        <w:t>année considérée.  Dans le cas des administrateurs et des fonctionnaires de rang supérieur, le revenu professionnel annuel brut ne doit, en aucun lieu de travail, être supérieur à l</w:t>
      </w:r>
      <w:r w:rsidR="00B274E6" w:rsidRPr="007E4A0F">
        <w:t>’</w:t>
      </w:r>
      <w:r w:rsidR="00030F2E" w:rsidRPr="007E4A0F">
        <w:t xml:space="preserve">équivalent du traitement annuel brut correspondant au premier échelon du grade G2 de la catégorie des services généraux en vigueur au </w:t>
      </w:r>
      <w:r w:rsidR="00B274E6" w:rsidRPr="007E4A0F">
        <w:t>1</w:t>
      </w:r>
      <w:r w:rsidR="00B274E6" w:rsidRPr="007E4A0F">
        <w:rPr>
          <w:vertAlign w:val="superscript"/>
        </w:rPr>
        <w:t>er</w:t>
      </w:r>
      <w:r w:rsidR="00B274E6" w:rsidRPr="007E4A0F">
        <w:t> </w:t>
      </w:r>
      <w:r w:rsidR="00030F2E" w:rsidRPr="007E4A0F">
        <w:t>janvier de l</w:t>
      </w:r>
      <w:r w:rsidR="00B274E6" w:rsidRPr="007E4A0F">
        <w:t>’</w:t>
      </w:r>
      <w:r w:rsidR="00030F2E" w:rsidRPr="007E4A0F">
        <w:t>année considérée à New York</w:t>
      </w:r>
      <w:r w:rsidR="0012066D" w:rsidRPr="007E4A0F">
        <w:t>.</w:t>
      </w:r>
    </w:p>
    <w:p w:rsidR="00947AF6" w:rsidRPr="007E4A0F" w:rsidRDefault="004B0B2A" w:rsidP="00E26B4E">
      <w:pPr>
        <w:pStyle w:val="Style1"/>
      </w:pPr>
      <w:r w:rsidRPr="007E4A0F">
        <w:t>L</w:t>
      </w:r>
      <w:r w:rsidR="00B274E6" w:rsidRPr="007E4A0F">
        <w:t>’</w:t>
      </w:r>
      <w:r w:rsidRPr="007E4A0F">
        <w:t>OMPI publie chaque année un ordre de service fixant l</w:t>
      </w:r>
      <w:r w:rsidR="00794BDA" w:rsidRPr="007E4A0F">
        <w:t>e plafond</w:t>
      </w:r>
      <w:r w:rsidRPr="007E4A0F">
        <w:t xml:space="preserve"> de revenu professionnel brut </w:t>
      </w:r>
      <w:r w:rsidR="00A143E2" w:rsidRPr="007E4A0F">
        <w:t>en deçà d</w:t>
      </w:r>
      <w:r w:rsidR="00794BDA" w:rsidRPr="007E4A0F">
        <w:t>uquel</w:t>
      </w:r>
      <w:r w:rsidR="00A143E2" w:rsidRPr="007E4A0F">
        <w:t xml:space="preserve"> le conjoint d</w:t>
      </w:r>
      <w:r w:rsidR="00B274E6" w:rsidRPr="007E4A0F">
        <w:t>’</w:t>
      </w:r>
      <w:r w:rsidR="00A143E2" w:rsidRPr="007E4A0F">
        <w:t>un fonctionnaire est considéré comme étant à charge;</w:t>
      </w:r>
      <w:r w:rsidRPr="007E4A0F">
        <w:t xml:space="preserve"> </w:t>
      </w:r>
      <w:r w:rsidR="006C7CFD" w:rsidRPr="007E4A0F">
        <w:t xml:space="preserve"> </w:t>
      </w:r>
      <w:r w:rsidR="00A143E2" w:rsidRPr="007E4A0F">
        <w:t>pour les années</w:t>
      </w:r>
      <w:r w:rsidR="006C7CFD" w:rsidRPr="007E4A0F">
        <w:t> </w:t>
      </w:r>
      <w:r w:rsidR="00A143E2" w:rsidRPr="007E4A0F">
        <w:t>2012,</w:t>
      </w:r>
      <w:r w:rsidR="00A339E0" w:rsidRPr="007E4A0F">
        <w:t xml:space="preserve"> 2013 et 2014, cette limite était de 69 067</w:t>
      </w:r>
      <w:r w:rsidR="006C7CFD" w:rsidRPr="007E4A0F">
        <w:t> </w:t>
      </w:r>
      <w:r w:rsidR="00A339E0" w:rsidRPr="007E4A0F">
        <w:t>francs suisses.</w:t>
      </w:r>
    </w:p>
    <w:p w:rsidR="00B274E6" w:rsidRPr="007E4A0F" w:rsidRDefault="005C360D" w:rsidP="00E26B4E">
      <w:pPr>
        <w:pStyle w:val="Style1"/>
      </w:pPr>
      <w:r w:rsidRPr="007E4A0F">
        <w:t>Nous avons examiné 10 </w:t>
      </w:r>
      <w:r w:rsidR="00A339E0" w:rsidRPr="007E4A0F">
        <w:t>cas pris au hasard et constaté que dans deux</w:t>
      </w:r>
      <w:r w:rsidR="006C7CFD" w:rsidRPr="007E4A0F">
        <w:t> </w:t>
      </w:r>
      <w:r w:rsidR="00A339E0" w:rsidRPr="007E4A0F">
        <w:t>de ces cas,</w:t>
      </w:r>
      <w:r w:rsidR="001302E0" w:rsidRPr="007E4A0F">
        <w:t xml:space="preserve"> le droit à cette allocation avait été déterminé sur la base de l</w:t>
      </w:r>
      <w:r w:rsidR="00B274E6" w:rsidRPr="007E4A0F">
        <w:t>’</w:t>
      </w:r>
      <w:r w:rsidR="001302E0" w:rsidRPr="007E4A0F">
        <w:t>échelle de salaires applicable à Genève</w:t>
      </w:r>
      <w:r w:rsidR="0086703D" w:rsidRPr="007E4A0F">
        <w:t>,</w:t>
      </w:r>
      <w:r w:rsidR="001302E0" w:rsidRPr="007E4A0F">
        <w:t xml:space="preserve"> sans tenir compte du lieu de travail du conjoint qui, en l</w:t>
      </w:r>
      <w:r w:rsidR="00B274E6" w:rsidRPr="007E4A0F">
        <w:t>’</w:t>
      </w:r>
      <w:r w:rsidR="001302E0" w:rsidRPr="007E4A0F">
        <w:t>occurrence, travaillait en dehors de Genève.</w:t>
      </w:r>
    </w:p>
    <w:p w:rsidR="00947AF6" w:rsidRPr="007E4A0F" w:rsidRDefault="000A6F80" w:rsidP="00030F2E">
      <w:pPr>
        <w:pStyle w:val="Heading4"/>
        <w:rPr>
          <w:lang w:val="fr-FR"/>
        </w:rPr>
      </w:pPr>
      <w:r w:rsidRPr="007E4A0F">
        <w:rPr>
          <w:lang w:val="fr-FR"/>
        </w:rPr>
        <w:lastRenderedPageBreak/>
        <w:t>Recommandation n° 1</w:t>
      </w:r>
      <w:r w:rsidR="00030F2E" w:rsidRPr="007E4A0F">
        <w:rPr>
          <w:lang w:val="fr-FR"/>
        </w:rPr>
        <w:t>7</w:t>
      </w:r>
    </w:p>
    <w:p w:rsidR="00B274E6" w:rsidRPr="007E4A0F" w:rsidRDefault="00794BDA" w:rsidP="00794BDA">
      <w:pPr>
        <w:pStyle w:val="Heading4"/>
        <w:rPr>
          <w:lang w:val="fr-FR"/>
        </w:rPr>
      </w:pPr>
      <w:r w:rsidRPr="007E4A0F">
        <w:rPr>
          <w:lang w:val="fr-FR"/>
        </w:rPr>
        <w:t>Le mode de détermination du plafond de revenu professionnel brut à prendre en compte</w:t>
      </w:r>
      <w:r w:rsidR="00295CCB" w:rsidRPr="007E4A0F">
        <w:rPr>
          <w:lang w:val="fr-FR"/>
        </w:rPr>
        <w:t xml:space="preserve"> aux fins de l</w:t>
      </w:r>
      <w:r w:rsidR="00B274E6" w:rsidRPr="007E4A0F">
        <w:rPr>
          <w:lang w:val="fr-FR"/>
        </w:rPr>
        <w:t>’</w:t>
      </w:r>
      <w:r w:rsidR="00295CCB" w:rsidRPr="007E4A0F">
        <w:rPr>
          <w:lang w:val="fr-FR"/>
        </w:rPr>
        <w:t>allocation de conjoint à charge doit être revu de manière à respecter les dispositions du Statut et Règlement du personnel.</w:t>
      </w:r>
    </w:p>
    <w:p w:rsidR="00947AF6" w:rsidRPr="007E4A0F" w:rsidRDefault="00295CCB" w:rsidP="00E26B4E">
      <w:pPr>
        <w:pStyle w:val="Style1"/>
      </w:pPr>
      <w:r w:rsidRPr="007E4A0F">
        <w:t>L</w:t>
      </w:r>
      <w:r w:rsidR="00B274E6" w:rsidRPr="007E4A0F">
        <w:t>’</w:t>
      </w:r>
      <w:r w:rsidRPr="007E4A0F">
        <w:t>OMPI a accepté la recommandation.  L</w:t>
      </w:r>
      <w:r w:rsidR="00B274E6" w:rsidRPr="007E4A0F">
        <w:t>’</w:t>
      </w:r>
      <w:r w:rsidRPr="007E4A0F">
        <w:t xml:space="preserve">Organisation a indiqué que la pratique actuelle, qui est établie depuis longtemps, </w:t>
      </w:r>
      <w:r w:rsidR="00685A76" w:rsidRPr="007E4A0F">
        <w:t xml:space="preserve">sera abandonnée le </w:t>
      </w:r>
      <w:r w:rsidR="00B274E6" w:rsidRPr="007E4A0F">
        <w:t>1</w:t>
      </w:r>
      <w:r w:rsidR="00B274E6" w:rsidRPr="007E4A0F">
        <w:rPr>
          <w:vertAlign w:val="superscript"/>
        </w:rPr>
        <w:t>er</w:t>
      </w:r>
      <w:r w:rsidR="00B274E6" w:rsidRPr="007E4A0F">
        <w:t> janvier 20</w:t>
      </w:r>
      <w:r w:rsidR="00685A76" w:rsidRPr="007E4A0F">
        <w:t>16.  La détermination du droit à l</w:t>
      </w:r>
      <w:r w:rsidR="00B274E6" w:rsidRPr="007E4A0F">
        <w:t>’</w:t>
      </w:r>
      <w:r w:rsidR="00685A76" w:rsidRPr="007E4A0F">
        <w:t>allocation de conjoint à charge sera faite sur la base du lieu de travail du conjoint, et non de celui du fonctionnaire, conformément au Statut et Règlement du personnel.</w:t>
      </w:r>
    </w:p>
    <w:p w:rsidR="00947AF6" w:rsidRPr="007E4A0F" w:rsidRDefault="00280E0A" w:rsidP="00ED4876">
      <w:pPr>
        <w:pStyle w:val="Heading4"/>
        <w:rPr>
          <w:lang w:val="fr-FR"/>
        </w:rPr>
      </w:pPr>
      <w:r w:rsidRPr="007E4A0F">
        <w:rPr>
          <w:lang w:val="fr-FR"/>
        </w:rPr>
        <w:t>Allocation</w:t>
      </w:r>
      <w:r w:rsidR="00CB1BDA" w:rsidRPr="007E4A0F">
        <w:rPr>
          <w:lang w:val="fr-FR"/>
        </w:rPr>
        <w:noBreakHyphen/>
      </w:r>
      <w:r w:rsidRPr="007E4A0F">
        <w:rPr>
          <w:lang w:val="fr-FR"/>
        </w:rPr>
        <w:t>logement</w:t>
      </w:r>
    </w:p>
    <w:p w:rsidR="00B274E6" w:rsidRPr="007E4A0F" w:rsidRDefault="00280E0A" w:rsidP="00E26B4E">
      <w:pPr>
        <w:pStyle w:val="Style1"/>
      </w:pPr>
      <w:r w:rsidRPr="007E4A0F">
        <w:t>L</w:t>
      </w:r>
      <w:r w:rsidR="00B274E6" w:rsidRPr="007E4A0F">
        <w:t>’</w:t>
      </w:r>
      <w:r w:rsidRPr="007E4A0F">
        <w:t xml:space="preserve">ordre de service </w:t>
      </w:r>
      <w:r w:rsidR="0012066D" w:rsidRPr="007E4A0F">
        <w:t xml:space="preserve">6/2013 </w:t>
      </w:r>
      <w:r w:rsidRPr="007E4A0F">
        <w:t>prévoit que l</w:t>
      </w:r>
      <w:r w:rsidR="00B274E6" w:rsidRPr="007E4A0F">
        <w:t>’</w:t>
      </w:r>
      <w:r w:rsidRPr="007E4A0F">
        <w:t>allocation</w:t>
      </w:r>
      <w:r w:rsidR="00CB1BDA" w:rsidRPr="007E4A0F">
        <w:noBreakHyphen/>
      </w:r>
      <w:r w:rsidRPr="007E4A0F">
        <w:t xml:space="preserve">logement </w:t>
      </w:r>
      <w:r w:rsidR="0074662B" w:rsidRPr="007E4A0F">
        <w:t>est</w:t>
      </w:r>
      <w:r w:rsidRPr="007E4A0F">
        <w:t xml:space="preserve"> due à compter de la date d</w:t>
      </w:r>
      <w:r w:rsidR="00B274E6" w:rsidRPr="007E4A0F">
        <w:t>’</w:t>
      </w:r>
      <w:r w:rsidRPr="007E4A0F">
        <w:t>entrée en vigueur du bail ou à compter du premier jour suivant l</w:t>
      </w:r>
      <w:r w:rsidR="00B274E6" w:rsidRPr="007E4A0F">
        <w:t>’</w:t>
      </w:r>
      <w:r w:rsidRPr="007E4A0F">
        <w:t>expirati</w:t>
      </w:r>
      <w:r w:rsidR="005C360D" w:rsidRPr="007E4A0F">
        <w:t>on de la période de 30 </w:t>
      </w:r>
      <w:r w:rsidRPr="007E4A0F">
        <w:t>jours couverte par la prime d</w:t>
      </w:r>
      <w:r w:rsidR="00B274E6" w:rsidRPr="007E4A0F">
        <w:t>’</w:t>
      </w:r>
      <w:r w:rsidRPr="007E4A0F">
        <w:t>affectation due, la plus tardive de ces deux</w:t>
      </w:r>
      <w:r w:rsidR="006C7CFD" w:rsidRPr="007E4A0F">
        <w:t> </w:t>
      </w:r>
      <w:r w:rsidRPr="007E4A0F">
        <w:t xml:space="preserve">dates étant retenue.  </w:t>
      </w:r>
      <w:r w:rsidR="00074446" w:rsidRPr="007E4A0F">
        <w:t>L</w:t>
      </w:r>
      <w:r w:rsidR="00B274E6" w:rsidRPr="007E4A0F">
        <w:t>’</w:t>
      </w:r>
      <w:r w:rsidR="00074446" w:rsidRPr="007E4A0F">
        <w:t>allocation</w:t>
      </w:r>
      <w:r w:rsidR="00CB1BDA" w:rsidRPr="007E4A0F">
        <w:noBreakHyphen/>
      </w:r>
      <w:r w:rsidR="00074446" w:rsidRPr="007E4A0F">
        <w:t>logement est accordé</w:t>
      </w:r>
      <w:r w:rsidR="005C360D" w:rsidRPr="007E4A0F">
        <w:t>e pour une durée maximale de 12 </w:t>
      </w:r>
      <w:r w:rsidR="00074446" w:rsidRPr="007E4A0F">
        <w:t>mois</w:t>
      </w:r>
      <w:r w:rsidR="0012066D" w:rsidRPr="007E4A0F">
        <w:t xml:space="preserve">. </w:t>
      </w:r>
      <w:r w:rsidR="00074446" w:rsidRPr="007E4A0F">
        <w:t xml:space="preserve"> Une demande de renouvellement doit être présentée chaque année, et les fonctionnaires doivent indiquer tout changement intervenu dans les clauses du bail ou certifier que les renseignements fournis précédemment demeurent valables.</w:t>
      </w:r>
    </w:p>
    <w:p w:rsidR="00947AF6" w:rsidRPr="007E4A0F" w:rsidRDefault="004A6E7F" w:rsidP="00E26B4E">
      <w:pPr>
        <w:pStyle w:val="Style1"/>
      </w:pPr>
      <w:r w:rsidRPr="007E4A0F">
        <w:t>Sur</w:t>
      </w:r>
      <w:r w:rsidR="00683660" w:rsidRPr="007E4A0F">
        <w:t xml:space="preserve"> les </w:t>
      </w:r>
      <w:r w:rsidR="00A339E0" w:rsidRPr="007E4A0F">
        <w:t>10</w:t>
      </w:r>
      <w:r w:rsidRPr="007E4A0F">
        <w:t xml:space="preserve"> cas que nous avons examinés, n</w:t>
      </w:r>
      <w:r w:rsidR="004F4FFB" w:rsidRPr="007E4A0F">
        <w:t xml:space="preserve">ous avons constaté </w:t>
      </w:r>
      <w:r w:rsidRPr="007E4A0F">
        <w:t>les inobservations suivantes des dispositions de l</w:t>
      </w:r>
      <w:r w:rsidR="00B274E6" w:rsidRPr="007E4A0F">
        <w:t>’</w:t>
      </w:r>
      <w:r w:rsidRPr="007E4A0F">
        <w:t>ordre de service :</w:t>
      </w:r>
    </w:p>
    <w:p w:rsidR="00947AF6" w:rsidRPr="007E4A0F" w:rsidRDefault="004A6E7F" w:rsidP="00ED4876">
      <w:pPr>
        <w:pStyle w:val="Style1"/>
        <w:numPr>
          <w:ilvl w:val="0"/>
          <w:numId w:val="19"/>
        </w:numPr>
        <w:ind w:left="567" w:hanging="567"/>
      </w:pPr>
      <w:r w:rsidRPr="007E4A0F">
        <w:t>dans huit</w:t>
      </w:r>
      <w:r w:rsidR="006C7CFD" w:rsidRPr="007E4A0F">
        <w:t> </w:t>
      </w:r>
      <w:r w:rsidRPr="007E4A0F">
        <w:t xml:space="preserve">cas, </w:t>
      </w:r>
      <w:r w:rsidR="0074662B" w:rsidRPr="007E4A0F">
        <w:t>les demandes de renouvellement pour</w:t>
      </w:r>
      <w:r w:rsidR="006C7CFD" w:rsidRPr="007E4A0F">
        <w:t> </w:t>
      </w:r>
      <w:r w:rsidR="0074662B" w:rsidRPr="007E4A0F">
        <w:t>2012 et 2013 n</w:t>
      </w:r>
      <w:r w:rsidR="00B274E6" w:rsidRPr="007E4A0F">
        <w:t>’</w:t>
      </w:r>
      <w:r w:rsidR="0074662B" w:rsidRPr="007E4A0F">
        <w:t xml:space="preserve">avaient pas été présentées dans les délais, et les fonctionnaires </w:t>
      </w:r>
      <w:r w:rsidR="000E673E" w:rsidRPr="007E4A0F">
        <w:t>n</w:t>
      </w:r>
      <w:r w:rsidR="00B274E6" w:rsidRPr="007E4A0F">
        <w:t>’</w:t>
      </w:r>
      <w:r w:rsidR="000E673E" w:rsidRPr="007E4A0F">
        <w:t>avaient pas certifié que les renseignements fournis précédemment demeuraient valables;</w:t>
      </w:r>
    </w:p>
    <w:p w:rsidR="00947AF6" w:rsidRPr="007E4A0F" w:rsidRDefault="000E673E" w:rsidP="00ED4876">
      <w:pPr>
        <w:pStyle w:val="Style1"/>
        <w:numPr>
          <w:ilvl w:val="0"/>
          <w:numId w:val="19"/>
        </w:numPr>
        <w:ind w:left="567" w:hanging="567"/>
      </w:pPr>
      <w:r w:rsidRPr="007E4A0F">
        <w:t>dans un cas, l</w:t>
      </w:r>
      <w:r w:rsidR="00B274E6" w:rsidRPr="007E4A0F">
        <w:t>’</w:t>
      </w:r>
      <w:r w:rsidRPr="007E4A0F">
        <w:t>allocation</w:t>
      </w:r>
      <w:r w:rsidR="00CB1BDA" w:rsidRPr="007E4A0F">
        <w:noBreakHyphen/>
      </w:r>
      <w:r w:rsidRPr="007E4A0F">
        <w:t>logement avait été versée</w:t>
      </w:r>
      <w:r w:rsidR="00DD48F8" w:rsidRPr="007E4A0F">
        <w:t xml:space="preserve"> pour la période séparant la fin d</w:t>
      </w:r>
      <w:r w:rsidR="00B274E6" w:rsidRPr="007E4A0F">
        <w:t>’</w:t>
      </w:r>
      <w:r w:rsidR="00DD48F8" w:rsidRPr="007E4A0F">
        <w:t xml:space="preserve">un </w:t>
      </w:r>
      <w:r w:rsidR="00B22D56" w:rsidRPr="007E4A0F">
        <w:t xml:space="preserve">ancien </w:t>
      </w:r>
      <w:r w:rsidR="00DD48F8" w:rsidRPr="007E4A0F">
        <w:t xml:space="preserve">bail du </w:t>
      </w:r>
      <w:r w:rsidR="00B22D56" w:rsidRPr="007E4A0F">
        <w:t>débu</w:t>
      </w:r>
      <w:r w:rsidR="00DD48F8" w:rsidRPr="007E4A0F">
        <w:t>t d</w:t>
      </w:r>
      <w:r w:rsidR="00B274E6" w:rsidRPr="007E4A0F">
        <w:t>’</w:t>
      </w:r>
      <w:r w:rsidR="00DD48F8" w:rsidRPr="007E4A0F">
        <w:t xml:space="preserve">un nouveau bail, alors </w:t>
      </w:r>
      <w:r w:rsidR="00514C42" w:rsidRPr="007E4A0F">
        <w:t>qu</w:t>
      </w:r>
      <w:r w:rsidR="00B274E6" w:rsidRPr="007E4A0F">
        <w:t>’</w:t>
      </w:r>
      <w:r w:rsidR="00C80D2C" w:rsidRPr="007E4A0F">
        <w:t>il n</w:t>
      </w:r>
      <w:r w:rsidR="00B274E6" w:rsidRPr="007E4A0F">
        <w:t>’</w:t>
      </w:r>
      <w:r w:rsidR="00C80D2C" w:rsidRPr="007E4A0F">
        <w:t xml:space="preserve">y avait </w:t>
      </w:r>
      <w:r w:rsidR="00514C42" w:rsidRPr="007E4A0F">
        <w:t>aucun bail pour cet</w:t>
      </w:r>
      <w:r w:rsidR="00B22D56" w:rsidRPr="007E4A0F">
        <w:t xml:space="preserve"> intervalle</w:t>
      </w:r>
      <w:r w:rsidR="00514C42" w:rsidRPr="007E4A0F">
        <w:t>;</w:t>
      </w:r>
    </w:p>
    <w:p w:rsidR="00947AF6" w:rsidRPr="007E4A0F" w:rsidRDefault="00C80D2C" w:rsidP="00ED4876">
      <w:pPr>
        <w:pStyle w:val="Style1"/>
        <w:numPr>
          <w:ilvl w:val="0"/>
          <w:numId w:val="19"/>
        </w:numPr>
        <w:ind w:left="567" w:hanging="567"/>
      </w:pPr>
      <w:r w:rsidRPr="007E4A0F">
        <w:t>dans deux</w:t>
      </w:r>
      <w:r w:rsidR="006C7CFD" w:rsidRPr="007E4A0F">
        <w:t> </w:t>
      </w:r>
      <w:r w:rsidRPr="007E4A0F">
        <w:t xml:space="preserve">cas, le dossier ne contenait pas </w:t>
      </w:r>
      <w:r w:rsidR="00B116DF" w:rsidRPr="007E4A0F">
        <w:t>d</w:t>
      </w:r>
      <w:r w:rsidR="00B274E6" w:rsidRPr="007E4A0F">
        <w:t>’</w:t>
      </w:r>
      <w:r w:rsidR="00B116DF" w:rsidRPr="007E4A0F">
        <w:t>éléments</w:t>
      </w:r>
      <w:r w:rsidR="00E52004" w:rsidRPr="007E4A0F">
        <w:t xml:space="preserve"> justificatifs concernant la prolongation du bail original</w:t>
      </w:r>
      <w:r w:rsidR="00683660" w:rsidRPr="007E4A0F">
        <w:t xml:space="preserve"> ou du </w:t>
      </w:r>
      <w:r w:rsidR="00915194" w:rsidRPr="007E4A0F">
        <w:t>bail suivant.</w:t>
      </w:r>
    </w:p>
    <w:p w:rsidR="00947AF6" w:rsidRPr="007E4A0F" w:rsidRDefault="00915194" w:rsidP="00E26B4E">
      <w:pPr>
        <w:pStyle w:val="Style1"/>
      </w:pPr>
      <w:r w:rsidRPr="007E4A0F">
        <w:t>L</w:t>
      </w:r>
      <w:r w:rsidR="00B274E6" w:rsidRPr="007E4A0F">
        <w:t>’</w:t>
      </w:r>
      <w:r w:rsidRPr="007E4A0F">
        <w:t xml:space="preserve">OMPI a déclaré </w:t>
      </w:r>
      <w:r w:rsidR="00683660" w:rsidRPr="007E4A0F">
        <w:t>qu</w:t>
      </w:r>
      <w:r w:rsidR="00B274E6" w:rsidRPr="007E4A0F">
        <w:t>’</w:t>
      </w:r>
      <w:r w:rsidRPr="007E4A0F">
        <w:t>un examen approfondi de tous les dossiers d</w:t>
      </w:r>
      <w:r w:rsidR="00B274E6" w:rsidRPr="007E4A0F">
        <w:t>’</w:t>
      </w:r>
      <w:r w:rsidRPr="007E4A0F">
        <w:t>allocation</w:t>
      </w:r>
      <w:r w:rsidR="00CB1BDA" w:rsidRPr="007E4A0F">
        <w:noBreakHyphen/>
      </w:r>
      <w:r w:rsidRPr="007E4A0F">
        <w:t xml:space="preserve">logement avait été effectué en </w:t>
      </w:r>
      <w:r w:rsidR="00B274E6" w:rsidRPr="007E4A0F">
        <w:t>juin 20</w:t>
      </w:r>
      <w:r w:rsidRPr="007E4A0F">
        <w:t xml:space="preserve">14 </w:t>
      </w:r>
      <w:r w:rsidR="00210945" w:rsidRPr="007E4A0F">
        <w:t>pour corriger le fait qu</w:t>
      </w:r>
      <w:r w:rsidR="00B274E6" w:rsidRPr="007E4A0F">
        <w:t>’</w:t>
      </w:r>
      <w:r w:rsidR="00210945" w:rsidRPr="007E4A0F">
        <w:t>aucun examen n</w:t>
      </w:r>
      <w:r w:rsidR="00B274E6" w:rsidRPr="007E4A0F">
        <w:t>’</w:t>
      </w:r>
      <w:r w:rsidR="00210945" w:rsidRPr="007E4A0F">
        <w:t>avait été réalisé en</w:t>
      </w:r>
      <w:r w:rsidR="006C7CFD" w:rsidRPr="007E4A0F">
        <w:t> </w:t>
      </w:r>
      <w:r w:rsidR="00210945" w:rsidRPr="007E4A0F">
        <w:t xml:space="preserve">2012 et 2013.  En </w:t>
      </w:r>
      <w:r w:rsidR="00B274E6" w:rsidRPr="007E4A0F">
        <w:t>mars 20</w:t>
      </w:r>
      <w:r w:rsidR="00210945" w:rsidRPr="007E4A0F">
        <w:t>15, toutes les demandes annuelles de renouvellement d</w:t>
      </w:r>
      <w:r w:rsidR="00B274E6" w:rsidRPr="007E4A0F">
        <w:t>’</w:t>
      </w:r>
      <w:r w:rsidR="00210945" w:rsidRPr="007E4A0F">
        <w:t>allocation</w:t>
      </w:r>
      <w:r w:rsidR="00CB1BDA" w:rsidRPr="007E4A0F">
        <w:noBreakHyphen/>
      </w:r>
      <w:r w:rsidR="00210945" w:rsidRPr="007E4A0F">
        <w:t>logement</w:t>
      </w:r>
      <w:r w:rsidR="002D0F84" w:rsidRPr="007E4A0F">
        <w:t xml:space="preserve"> avaient été faites conformément au Statut et Règlement du personnel.  En vertu du code suisse des obligations, </w:t>
      </w:r>
      <w:r w:rsidR="00A64F0B" w:rsidRPr="007E4A0F">
        <w:t xml:space="preserve">les baux sont reconduits tacitement chaque année, sauf </w:t>
      </w:r>
      <w:r w:rsidR="006E74A3" w:rsidRPr="007E4A0F">
        <w:t>si l</w:t>
      </w:r>
      <w:r w:rsidR="00B274E6" w:rsidRPr="007E4A0F">
        <w:t>’</w:t>
      </w:r>
      <w:r w:rsidR="006E74A3" w:rsidRPr="007E4A0F">
        <w:t>une des parties donne préavis de son intention de le dénoncer, trois</w:t>
      </w:r>
      <w:r w:rsidR="006C7CFD" w:rsidRPr="007E4A0F">
        <w:t> </w:t>
      </w:r>
      <w:r w:rsidR="006E74A3" w:rsidRPr="007E4A0F">
        <w:t>mois avant la date anniversaire du bail.</w:t>
      </w:r>
    </w:p>
    <w:p w:rsidR="00947AF6" w:rsidRPr="007E4A0F" w:rsidRDefault="006E74A3" w:rsidP="00E26B4E">
      <w:pPr>
        <w:pStyle w:val="Style1"/>
      </w:pPr>
      <w:r w:rsidRPr="007E4A0F">
        <w:lastRenderedPageBreak/>
        <w:t>Nous nous félicitons de ce qu</w:t>
      </w:r>
      <w:r w:rsidR="00B274E6" w:rsidRPr="007E4A0F">
        <w:t>’</w:t>
      </w:r>
      <w:r w:rsidRPr="007E4A0F">
        <w:t>un examen approfondi de tous les dossiers d</w:t>
      </w:r>
      <w:r w:rsidR="00B274E6" w:rsidRPr="007E4A0F">
        <w:t>’</w:t>
      </w:r>
      <w:r w:rsidRPr="007E4A0F">
        <w:t>allocation</w:t>
      </w:r>
      <w:r w:rsidR="00CB1BDA" w:rsidRPr="007E4A0F">
        <w:noBreakHyphen/>
      </w:r>
      <w:r w:rsidRPr="007E4A0F">
        <w:t xml:space="preserve"> logement ait été effectué en </w:t>
      </w:r>
      <w:r w:rsidR="00B274E6" w:rsidRPr="007E4A0F">
        <w:t>juin 20</w:t>
      </w:r>
      <w:r w:rsidRPr="007E4A0F">
        <w:t>14 et recommandons à l</w:t>
      </w:r>
      <w:r w:rsidR="00B274E6" w:rsidRPr="007E4A0F">
        <w:t>’</w:t>
      </w:r>
      <w:r w:rsidRPr="007E4A0F">
        <w:t xml:space="preserve">OMPI </w:t>
      </w:r>
      <w:r w:rsidR="004F627B" w:rsidRPr="007E4A0F">
        <w:t>de continuer à le faire régulièrement.</w:t>
      </w:r>
    </w:p>
    <w:p w:rsidR="00947AF6" w:rsidRPr="007E4A0F" w:rsidRDefault="000A6F80" w:rsidP="00030F2E">
      <w:pPr>
        <w:pStyle w:val="Heading4"/>
        <w:rPr>
          <w:lang w:val="fr-FR"/>
        </w:rPr>
      </w:pPr>
      <w:r w:rsidRPr="007E4A0F">
        <w:rPr>
          <w:lang w:val="fr-FR"/>
        </w:rPr>
        <w:t>Recommandation n° 1</w:t>
      </w:r>
      <w:r w:rsidR="00030F2E" w:rsidRPr="007E4A0F">
        <w:rPr>
          <w:lang w:val="fr-FR"/>
        </w:rPr>
        <w:t>8</w:t>
      </w:r>
    </w:p>
    <w:p w:rsidR="00947AF6" w:rsidRPr="007E4A0F" w:rsidRDefault="004F627B" w:rsidP="00ED4876">
      <w:pPr>
        <w:pStyle w:val="Heading4"/>
        <w:rPr>
          <w:lang w:val="fr-FR"/>
        </w:rPr>
      </w:pPr>
      <w:r w:rsidRPr="007E4A0F">
        <w:rPr>
          <w:lang w:val="fr-FR"/>
        </w:rPr>
        <w:t>Les dispositions des ordres de service relatifs à l</w:t>
      </w:r>
      <w:r w:rsidR="00B274E6" w:rsidRPr="007E4A0F">
        <w:rPr>
          <w:lang w:val="fr-FR"/>
        </w:rPr>
        <w:t>’</w:t>
      </w:r>
      <w:r w:rsidRPr="007E4A0F">
        <w:rPr>
          <w:lang w:val="fr-FR"/>
        </w:rPr>
        <w:t>allocation</w:t>
      </w:r>
      <w:r w:rsidR="00CB1BDA" w:rsidRPr="007E4A0F">
        <w:rPr>
          <w:lang w:val="fr-FR"/>
        </w:rPr>
        <w:noBreakHyphen/>
      </w:r>
      <w:r w:rsidRPr="007E4A0F">
        <w:rPr>
          <w:lang w:val="fr-FR"/>
        </w:rPr>
        <w:t>logement pourrai</w:t>
      </w:r>
      <w:r w:rsidR="00652499" w:rsidRPr="007E4A0F">
        <w:rPr>
          <w:lang w:val="fr-FR"/>
        </w:rPr>
        <w:t>en</w:t>
      </w:r>
      <w:r w:rsidRPr="007E4A0F">
        <w:rPr>
          <w:lang w:val="fr-FR"/>
        </w:rPr>
        <w:t xml:space="preserve">t être observées </w:t>
      </w:r>
      <w:r w:rsidR="00C85FA2" w:rsidRPr="007E4A0F">
        <w:rPr>
          <w:lang w:val="fr-FR"/>
        </w:rPr>
        <w:t>dans les délais prescrits</w:t>
      </w:r>
      <w:r w:rsidR="00652499" w:rsidRPr="007E4A0F">
        <w:rPr>
          <w:lang w:val="fr-FR"/>
        </w:rPr>
        <w:t>.</w:t>
      </w:r>
    </w:p>
    <w:p w:rsidR="00947AF6" w:rsidRPr="007E4A0F" w:rsidRDefault="00652499" w:rsidP="00E26B4E">
      <w:pPr>
        <w:pStyle w:val="Style1"/>
      </w:pPr>
      <w:r w:rsidRPr="007E4A0F">
        <w:t>L</w:t>
      </w:r>
      <w:r w:rsidR="00B274E6" w:rsidRPr="007E4A0F">
        <w:t>’</w:t>
      </w:r>
      <w:r w:rsidRPr="007E4A0F">
        <w:t>OMPI s</w:t>
      </w:r>
      <w:r w:rsidR="00B274E6" w:rsidRPr="007E4A0F">
        <w:t>’</w:t>
      </w:r>
      <w:r w:rsidRPr="007E4A0F">
        <w:t>est dite d</w:t>
      </w:r>
      <w:r w:rsidR="00B274E6" w:rsidRPr="007E4A0F">
        <w:t>’</w:t>
      </w:r>
      <w:r w:rsidRPr="007E4A0F">
        <w:t xml:space="preserve">accord avec la recommandation, et a déclaré que le système ERP allait être configuré </w:t>
      </w:r>
      <w:r w:rsidR="005D10CD" w:rsidRPr="007E4A0F">
        <w:t>de manière à ce que le versement de l</w:t>
      </w:r>
      <w:r w:rsidR="00B274E6" w:rsidRPr="007E4A0F">
        <w:t>’</w:t>
      </w:r>
      <w:r w:rsidR="005D10CD" w:rsidRPr="007E4A0F">
        <w:t>allocation</w:t>
      </w:r>
      <w:r w:rsidR="00CB1BDA" w:rsidRPr="007E4A0F">
        <w:noBreakHyphen/>
      </w:r>
      <w:r w:rsidR="005D10CD" w:rsidRPr="007E4A0F">
        <w:t>logement prenne fin automatiquement après un an et ne puisse reprendre que sur présentation d</w:t>
      </w:r>
      <w:r w:rsidR="00B274E6" w:rsidRPr="007E4A0F">
        <w:t>’</w:t>
      </w:r>
      <w:r w:rsidR="005D10CD" w:rsidRPr="007E4A0F">
        <w:t>une demande dûment justifiée.</w:t>
      </w:r>
    </w:p>
    <w:p w:rsidR="00947AF6" w:rsidRPr="007E4A0F" w:rsidRDefault="00030F2E" w:rsidP="00030F2E">
      <w:pPr>
        <w:pStyle w:val="Heading4"/>
        <w:rPr>
          <w:lang w:val="fr-FR"/>
        </w:rPr>
      </w:pPr>
      <w:r w:rsidRPr="007E4A0F">
        <w:rPr>
          <w:lang w:val="fr-FR"/>
        </w:rPr>
        <w:t>Prime pour connaissances linguistiques</w:t>
      </w:r>
    </w:p>
    <w:p w:rsidR="00947AF6" w:rsidRPr="007E4A0F" w:rsidRDefault="000B3EE8" w:rsidP="000B3EE8">
      <w:pPr>
        <w:pStyle w:val="Style1"/>
      </w:pPr>
      <w:r w:rsidRPr="007E4A0F">
        <w:t>En vertu de l</w:t>
      </w:r>
      <w:r w:rsidR="00B274E6" w:rsidRPr="007E4A0F">
        <w:t>’</w:t>
      </w:r>
      <w:r w:rsidRPr="007E4A0F">
        <w:t>article</w:t>
      </w:r>
      <w:r w:rsidR="006C7CFD" w:rsidRPr="007E4A0F">
        <w:t> </w:t>
      </w:r>
      <w:r w:rsidR="005C360D" w:rsidRPr="007E4A0F">
        <w:t>3.</w:t>
      </w:r>
      <w:r w:rsidR="0012066D" w:rsidRPr="007E4A0F">
        <w:t xml:space="preserve">10.1, </w:t>
      </w:r>
      <w:r w:rsidRPr="007E4A0F">
        <w:t xml:space="preserve">une prime pour connaissances linguistiques, considérée aux fins de la pension, est versée aux fonctionnaires de la catégorie des services généraux </w:t>
      </w:r>
      <w:r w:rsidR="00C82F48" w:rsidRPr="007E4A0F">
        <w:t>qui</w:t>
      </w:r>
      <w:r w:rsidRPr="007E4A0F">
        <w:t xml:space="preserve"> passent avec succès un examen démontrant une bonne connaissance d</w:t>
      </w:r>
      <w:r w:rsidR="00B274E6" w:rsidRPr="007E4A0F">
        <w:t>’</w:t>
      </w:r>
      <w:r w:rsidRPr="007E4A0F">
        <w:t>une ou de deux</w:t>
      </w:r>
      <w:r w:rsidR="006C7CFD" w:rsidRPr="007E4A0F">
        <w:t> </w:t>
      </w:r>
      <w:r w:rsidR="00C82F48" w:rsidRPr="007E4A0F">
        <w:t xml:space="preserve">des </w:t>
      </w:r>
      <w:r w:rsidRPr="007E4A0F">
        <w:t xml:space="preserve">langues </w:t>
      </w:r>
      <w:r w:rsidR="00C82F48" w:rsidRPr="007E4A0F">
        <w:t xml:space="preserve">énumérées dans cet article.  La connaissance de la langue maternelle du fonctionnaire ou de toute autre langue </w:t>
      </w:r>
      <w:r w:rsidR="002033E1" w:rsidRPr="007E4A0F">
        <w:t xml:space="preserve">indispensable selon les termes de son engagement </w:t>
      </w:r>
      <w:r w:rsidR="0068650B" w:rsidRPr="007E4A0F">
        <w:t xml:space="preserve">ne donne pas droit au versement de la prime pour connaissances linguistiques.  </w:t>
      </w:r>
      <w:r w:rsidR="00030F2E" w:rsidRPr="007E4A0F">
        <w:t>Les bénéficiaires de la prime pour connaissances linguistiques peuvent être requis, à intervalles d</w:t>
      </w:r>
      <w:r w:rsidR="00B274E6" w:rsidRPr="007E4A0F">
        <w:t>’</w:t>
      </w:r>
      <w:r w:rsidR="00030F2E" w:rsidRPr="007E4A0F">
        <w:t>au moins cinq</w:t>
      </w:r>
      <w:r w:rsidR="006C7CFD" w:rsidRPr="007E4A0F">
        <w:t> </w:t>
      </w:r>
      <w:r w:rsidR="00030F2E" w:rsidRPr="007E4A0F">
        <w:t>ans, de subir un nouvel examen destiné à montrer qu</w:t>
      </w:r>
      <w:r w:rsidR="00B274E6" w:rsidRPr="007E4A0F">
        <w:t>’</w:t>
      </w:r>
      <w:r w:rsidR="00030F2E" w:rsidRPr="007E4A0F">
        <w:t>ils ont une connaissance suffisante des langues pour lesquelles ils reçoivent une prime.</w:t>
      </w:r>
    </w:p>
    <w:p w:rsidR="00947AF6" w:rsidRPr="007E4A0F" w:rsidRDefault="00F831C6" w:rsidP="00E26B4E">
      <w:pPr>
        <w:pStyle w:val="Style1"/>
      </w:pPr>
      <w:r w:rsidRPr="007E4A0F">
        <w:t>Nous avons examiné</w:t>
      </w:r>
      <w:r w:rsidR="00DF34A9" w:rsidRPr="007E4A0F">
        <w:t xml:space="preserve"> les cas de huit</w:t>
      </w:r>
      <w:r w:rsidR="006C7CFD" w:rsidRPr="007E4A0F">
        <w:t> </w:t>
      </w:r>
      <w:r w:rsidR="00DF34A9" w:rsidRPr="007E4A0F">
        <w:t xml:space="preserve">fonctionnaires bénéficiant de la prime pour connaissances linguistiques, </w:t>
      </w:r>
      <w:r w:rsidR="00B415CD" w:rsidRPr="007E4A0F">
        <w:t>afin de vérifier s</w:t>
      </w:r>
      <w:r w:rsidR="00B274E6" w:rsidRPr="007E4A0F">
        <w:t>’</w:t>
      </w:r>
      <w:r w:rsidR="00B415CD" w:rsidRPr="007E4A0F">
        <w:t>ils avaient subi un nouvel examen démontrant qu</w:t>
      </w:r>
      <w:r w:rsidR="00B274E6" w:rsidRPr="007E4A0F">
        <w:t>’</w:t>
      </w:r>
      <w:r w:rsidR="00B415CD" w:rsidRPr="007E4A0F">
        <w:t xml:space="preserve">ils avaient conservé une connaissance suffisante de la langue pour laquelle ils recevaient cette prime.  </w:t>
      </w:r>
      <w:r w:rsidR="00A55AE0" w:rsidRPr="007E4A0F">
        <w:t>Nous avons en outre étudié d</w:t>
      </w:r>
      <w:r w:rsidR="00B274E6" w:rsidRPr="007E4A0F">
        <w:t>’</w:t>
      </w:r>
      <w:r w:rsidR="00A55AE0" w:rsidRPr="007E4A0F">
        <w:t>une manière plus détaillée les cas de fonctionnaires ayant subi un tel examen et ayant été mutés ou nommés à un nouveau poste pour lequel une excellente connaissance de la langue concernée était exigée.</w:t>
      </w:r>
    </w:p>
    <w:p w:rsidR="00B274E6" w:rsidRPr="007E4A0F" w:rsidRDefault="00583C54" w:rsidP="00E26B4E">
      <w:pPr>
        <w:pStyle w:val="Style1"/>
      </w:pPr>
      <w:r w:rsidRPr="007E4A0F">
        <w:t>L</w:t>
      </w:r>
      <w:r w:rsidR="00B274E6" w:rsidRPr="007E4A0F">
        <w:t>’</w:t>
      </w:r>
      <w:r w:rsidR="00662780" w:rsidRPr="007E4A0F">
        <w:t>OMPI a dit ne pas insister, à l</w:t>
      </w:r>
      <w:r w:rsidR="00B274E6" w:rsidRPr="007E4A0F">
        <w:t>’</w:t>
      </w:r>
      <w:r w:rsidR="00662780" w:rsidRPr="007E4A0F">
        <w:t>heure actuelle, sur</w:t>
      </w:r>
      <w:r w:rsidR="004C5994" w:rsidRPr="007E4A0F">
        <w:t xml:space="preserve"> la nécessité de faire subir un nouvel examen destiné à démontrer le maintien d</w:t>
      </w:r>
      <w:r w:rsidR="00B274E6" w:rsidRPr="007E4A0F">
        <w:t>’</w:t>
      </w:r>
      <w:r w:rsidR="004C5994" w:rsidRPr="007E4A0F">
        <w:t>une connaissance suffisante des langues pour lesquelles les fonctionnaires reçoivent une prime</w:t>
      </w:r>
      <w:r w:rsidRPr="007E4A0F">
        <w:t xml:space="preserve"> pour connaissances linguistiques</w:t>
      </w:r>
      <w:r w:rsidR="004C5994" w:rsidRPr="007E4A0F">
        <w:t>, parce que l</w:t>
      </w:r>
      <w:r w:rsidR="00B274E6" w:rsidRPr="007E4A0F">
        <w:t>’</w:t>
      </w:r>
      <w:r w:rsidR="004C5994" w:rsidRPr="007E4A0F">
        <w:t xml:space="preserve">expression </w:t>
      </w:r>
      <w:r w:rsidR="00524088" w:rsidRPr="007E4A0F">
        <w:t>“</w:t>
      </w:r>
      <w:r w:rsidRPr="007E4A0F">
        <w:t>peuvent être requis</w:t>
      </w:r>
      <w:r w:rsidR="00524088" w:rsidRPr="007E4A0F">
        <w:t>”</w:t>
      </w:r>
      <w:r w:rsidRPr="007E4A0F">
        <w:t xml:space="preserve"> utilisée dans l</w:t>
      </w:r>
      <w:r w:rsidR="00B274E6" w:rsidRPr="007E4A0F">
        <w:t>’</w:t>
      </w:r>
      <w:r w:rsidRPr="007E4A0F">
        <w:t>article en question signifiait qu</w:t>
      </w:r>
      <w:r w:rsidR="00B274E6" w:rsidRPr="007E4A0F">
        <w:t>’</w:t>
      </w:r>
      <w:r w:rsidRPr="007E4A0F">
        <w:t>il ne s</w:t>
      </w:r>
      <w:r w:rsidR="00B274E6" w:rsidRPr="007E4A0F">
        <w:t>’</w:t>
      </w:r>
      <w:r w:rsidRPr="007E4A0F">
        <w:t>agissait pas d</w:t>
      </w:r>
      <w:r w:rsidR="00B274E6" w:rsidRPr="007E4A0F">
        <w:t>’</w:t>
      </w:r>
      <w:r w:rsidRPr="007E4A0F">
        <w:t xml:space="preserve">une obligation.  </w:t>
      </w:r>
      <w:r w:rsidR="00166C05" w:rsidRPr="007E4A0F">
        <w:t>Elle reconnaissait</w:t>
      </w:r>
      <w:r w:rsidR="005062A0" w:rsidRPr="007E4A0F">
        <w:t xml:space="preserve"> qu</w:t>
      </w:r>
      <w:r w:rsidR="00B274E6" w:rsidRPr="007E4A0F">
        <w:t>’</w:t>
      </w:r>
      <w:r w:rsidR="005062A0" w:rsidRPr="007E4A0F">
        <w:t>aucune vérification n</w:t>
      </w:r>
      <w:r w:rsidR="00B274E6" w:rsidRPr="007E4A0F">
        <w:t>’</w:t>
      </w:r>
      <w:r w:rsidR="005062A0" w:rsidRPr="007E4A0F">
        <w:t>était entreprise lorsqu</w:t>
      </w:r>
      <w:r w:rsidR="00B274E6" w:rsidRPr="007E4A0F">
        <w:t>’</w:t>
      </w:r>
      <w:r w:rsidR="005062A0" w:rsidRPr="007E4A0F">
        <w:t>un fonctionnaire était transféré</w:t>
      </w:r>
      <w:r w:rsidRPr="007E4A0F">
        <w:t xml:space="preserve"> </w:t>
      </w:r>
      <w:r w:rsidR="005062A0" w:rsidRPr="007E4A0F">
        <w:t>ou nommé à un nouveau poste pour lequel il devait avoir une connaissance approfondie d</w:t>
      </w:r>
      <w:r w:rsidR="00B274E6" w:rsidRPr="007E4A0F">
        <w:t>’</w:t>
      </w:r>
      <w:r w:rsidR="005062A0" w:rsidRPr="007E4A0F">
        <w:t>une certaine langue selon les termes de son engagement,</w:t>
      </w:r>
      <w:r w:rsidRPr="007E4A0F">
        <w:t xml:space="preserve"> </w:t>
      </w:r>
      <w:r w:rsidR="005062A0" w:rsidRPr="007E4A0F">
        <w:t>et que ce fonctionnaire continuait à recevoir la prime pour connaissances linguistiques.</w:t>
      </w:r>
    </w:p>
    <w:p w:rsidR="00947AF6" w:rsidRPr="007E4A0F" w:rsidRDefault="00703462" w:rsidP="00E26B4E">
      <w:pPr>
        <w:pStyle w:val="Style1"/>
      </w:pPr>
      <w:r w:rsidRPr="007E4A0F">
        <w:lastRenderedPageBreak/>
        <w:t>Nous sommes d</w:t>
      </w:r>
      <w:r w:rsidR="00B274E6" w:rsidRPr="007E4A0F">
        <w:t>’</w:t>
      </w:r>
      <w:r w:rsidRPr="007E4A0F">
        <w:t xml:space="preserve">avis que la présence du mot </w:t>
      </w:r>
      <w:r w:rsidR="00524088" w:rsidRPr="007E4A0F">
        <w:t>“</w:t>
      </w:r>
      <w:r w:rsidRPr="007E4A0F">
        <w:t>peuvent</w:t>
      </w:r>
      <w:r w:rsidR="00524088" w:rsidRPr="007E4A0F">
        <w:t>”</w:t>
      </w:r>
      <w:r w:rsidRPr="007E4A0F">
        <w:t xml:space="preserve"> dans le libellé de l</w:t>
      </w:r>
      <w:r w:rsidR="00B274E6" w:rsidRPr="007E4A0F">
        <w:t>’</w:t>
      </w:r>
      <w:r w:rsidRPr="007E4A0F">
        <w:t>article n</w:t>
      </w:r>
      <w:r w:rsidR="00B274E6" w:rsidRPr="007E4A0F">
        <w:t>’</w:t>
      </w:r>
      <w:r w:rsidR="00AA0B34" w:rsidRPr="007E4A0F">
        <w:t>est pas de nature à</w:t>
      </w:r>
      <w:r w:rsidRPr="007E4A0F">
        <w:t xml:space="preserve"> conférer à son contenu un caractère facultatif.</w:t>
      </w:r>
    </w:p>
    <w:p w:rsidR="00947AF6" w:rsidRPr="007E4A0F" w:rsidRDefault="000A6F80" w:rsidP="00030F2E">
      <w:pPr>
        <w:pStyle w:val="Heading4"/>
        <w:rPr>
          <w:lang w:val="fr-FR"/>
        </w:rPr>
      </w:pPr>
      <w:r w:rsidRPr="007E4A0F">
        <w:rPr>
          <w:lang w:val="fr-FR"/>
        </w:rPr>
        <w:t>Recommandation n° 1</w:t>
      </w:r>
      <w:r w:rsidR="00030F2E" w:rsidRPr="007E4A0F">
        <w:rPr>
          <w:lang w:val="fr-FR"/>
        </w:rPr>
        <w:t>9</w:t>
      </w:r>
    </w:p>
    <w:p w:rsidR="00B274E6" w:rsidRPr="007E4A0F" w:rsidRDefault="00703462" w:rsidP="00ED4876">
      <w:pPr>
        <w:pStyle w:val="Heading4"/>
        <w:rPr>
          <w:lang w:val="fr-FR"/>
        </w:rPr>
      </w:pPr>
      <w:r w:rsidRPr="007E4A0F">
        <w:rPr>
          <w:lang w:val="fr-FR"/>
        </w:rPr>
        <w:t>Nous recommandons</w:t>
      </w:r>
      <w:r w:rsidR="006C7CFD" w:rsidRPr="007E4A0F">
        <w:rPr>
          <w:lang w:val="fr-FR"/>
        </w:rPr>
        <w:t> </w:t>
      </w:r>
      <w:r w:rsidRPr="007E4A0F">
        <w:rPr>
          <w:lang w:val="fr-FR"/>
        </w:rPr>
        <w:t>:</w:t>
      </w:r>
    </w:p>
    <w:p w:rsidR="00B274E6" w:rsidRPr="007E4A0F" w:rsidRDefault="0012066D" w:rsidP="00ED4876">
      <w:pPr>
        <w:pStyle w:val="Heading4"/>
        <w:rPr>
          <w:lang w:val="fr-FR"/>
        </w:rPr>
      </w:pPr>
      <w:r w:rsidRPr="007E4A0F">
        <w:rPr>
          <w:lang w:val="fr-FR"/>
        </w:rPr>
        <w:t>a)</w:t>
      </w:r>
      <w:r w:rsidR="00ED4876" w:rsidRPr="007E4A0F">
        <w:rPr>
          <w:lang w:val="fr-FR"/>
        </w:rPr>
        <w:tab/>
      </w:r>
      <w:r w:rsidR="004752BB" w:rsidRPr="007E4A0F">
        <w:rPr>
          <w:lang w:val="fr-FR"/>
        </w:rPr>
        <w:t>que les fonctionnaires recevant une prime pour connaissances linguistiques soient soumis à un nouvel examen afin de démontrer le maintien de ces connaissances</w:t>
      </w:r>
      <w:r w:rsidRPr="007E4A0F">
        <w:rPr>
          <w:lang w:val="fr-FR"/>
        </w:rPr>
        <w:t xml:space="preserve">; </w:t>
      </w:r>
      <w:r w:rsidR="006C7CFD" w:rsidRPr="007E4A0F">
        <w:rPr>
          <w:lang w:val="fr-FR"/>
        </w:rPr>
        <w:t xml:space="preserve"> </w:t>
      </w:r>
      <w:r w:rsidR="004752BB" w:rsidRPr="007E4A0F">
        <w:rPr>
          <w:lang w:val="fr-FR"/>
        </w:rPr>
        <w:t>et</w:t>
      </w:r>
    </w:p>
    <w:p w:rsidR="00947AF6" w:rsidRPr="007E4A0F" w:rsidRDefault="0012066D" w:rsidP="00ED4876">
      <w:pPr>
        <w:pStyle w:val="Heading4"/>
        <w:rPr>
          <w:lang w:val="fr-FR"/>
        </w:rPr>
      </w:pPr>
      <w:r w:rsidRPr="007E4A0F">
        <w:rPr>
          <w:lang w:val="fr-FR"/>
        </w:rPr>
        <w:t>b)</w:t>
      </w:r>
      <w:r w:rsidR="00ED4876" w:rsidRPr="007E4A0F">
        <w:rPr>
          <w:lang w:val="fr-FR"/>
        </w:rPr>
        <w:tab/>
      </w:r>
      <w:r w:rsidR="004752BB" w:rsidRPr="007E4A0F">
        <w:rPr>
          <w:lang w:val="fr-FR"/>
        </w:rPr>
        <w:t>qu</w:t>
      </w:r>
      <w:r w:rsidR="00B274E6" w:rsidRPr="007E4A0F">
        <w:rPr>
          <w:lang w:val="fr-FR"/>
        </w:rPr>
        <w:t>’</w:t>
      </w:r>
      <w:r w:rsidR="004752BB" w:rsidRPr="007E4A0F">
        <w:rPr>
          <w:lang w:val="fr-FR"/>
        </w:rPr>
        <w:t>une vérification</w:t>
      </w:r>
      <w:r w:rsidR="003A6E95" w:rsidRPr="007E4A0F">
        <w:rPr>
          <w:lang w:val="fr-FR"/>
        </w:rPr>
        <w:t xml:space="preserve"> soit entreprise</w:t>
      </w:r>
      <w:r w:rsidR="008A12DE" w:rsidRPr="007E4A0F">
        <w:rPr>
          <w:lang w:val="fr-FR"/>
        </w:rPr>
        <w:t>, s</w:t>
      </w:r>
      <w:r w:rsidR="00B274E6" w:rsidRPr="007E4A0F">
        <w:rPr>
          <w:lang w:val="fr-FR"/>
        </w:rPr>
        <w:t>’</w:t>
      </w:r>
      <w:r w:rsidR="008A12DE" w:rsidRPr="007E4A0F">
        <w:rPr>
          <w:lang w:val="fr-FR"/>
        </w:rPr>
        <w:t>agissant du</w:t>
      </w:r>
      <w:r w:rsidR="003A6E95" w:rsidRPr="007E4A0F">
        <w:rPr>
          <w:lang w:val="fr-FR"/>
        </w:rPr>
        <w:t xml:space="preserve"> maintien du versement</w:t>
      </w:r>
      <w:r w:rsidR="009B2020" w:rsidRPr="007E4A0F">
        <w:rPr>
          <w:lang w:val="fr-FR"/>
        </w:rPr>
        <w:t xml:space="preserve"> de la prime pour connaissances linguistiques,</w:t>
      </w:r>
      <w:r w:rsidR="003A6E95" w:rsidRPr="007E4A0F">
        <w:rPr>
          <w:lang w:val="fr-FR"/>
        </w:rPr>
        <w:t xml:space="preserve"> lorsqu</w:t>
      </w:r>
      <w:r w:rsidR="00B274E6" w:rsidRPr="007E4A0F">
        <w:rPr>
          <w:lang w:val="fr-FR"/>
        </w:rPr>
        <w:t>’</w:t>
      </w:r>
      <w:r w:rsidR="003A6E95" w:rsidRPr="007E4A0F">
        <w:rPr>
          <w:lang w:val="fr-FR"/>
        </w:rPr>
        <w:t>un fonctionnaire est transféré ou nommé un nouveau poste pour lequel il ou elle doit avoir une connaissance approfondie</w:t>
      </w:r>
      <w:r w:rsidR="009B2020" w:rsidRPr="007E4A0F">
        <w:rPr>
          <w:lang w:val="fr-FR"/>
        </w:rPr>
        <w:t xml:space="preserve"> de la langue concernée </w:t>
      </w:r>
      <w:r w:rsidR="003A6E95" w:rsidRPr="007E4A0F">
        <w:rPr>
          <w:lang w:val="fr-FR"/>
        </w:rPr>
        <w:t>selon les termes de son engagement</w:t>
      </w:r>
      <w:r w:rsidR="009B2020" w:rsidRPr="007E4A0F">
        <w:rPr>
          <w:lang w:val="fr-FR"/>
        </w:rPr>
        <w:t>.</w:t>
      </w:r>
    </w:p>
    <w:p w:rsidR="00947AF6" w:rsidRPr="007E4A0F" w:rsidRDefault="00CA1C1E" w:rsidP="00E26B4E">
      <w:pPr>
        <w:pStyle w:val="Style1"/>
      </w:pPr>
      <w:r w:rsidRPr="007E4A0F">
        <w:t>L</w:t>
      </w:r>
      <w:r w:rsidR="00B274E6" w:rsidRPr="007E4A0F">
        <w:t>’</w:t>
      </w:r>
      <w:r w:rsidRPr="007E4A0F">
        <w:t>OMPI a répondu que la mobilité interne par transfert latéral était encouragée au sein de l</w:t>
      </w:r>
      <w:r w:rsidR="00B274E6" w:rsidRPr="007E4A0F">
        <w:t>’</w:t>
      </w:r>
      <w:r w:rsidRPr="007E4A0F">
        <w:t xml:space="preserve">Organisation, </w:t>
      </w:r>
      <w:r w:rsidR="00EB4FAF" w:rsidRPr="007E4A0F">
        <w:t>et que</w:t>
      </w:r>
      <w:r w:rsidR="00C401B3" w:rsidRPr="007E4A0F">
        <w:t xml:space="preserve"> le fait de supprimer la prime pour connaissances linguistiques dans un tel cas aurait pour effet de dissuader les membres du personnel de rechercher des possibilités de transfert latéral</w:t>
      </w:r>
      <w:r w:rsidR="00166968" w:rsidRPr="007E4A0F">
        <w:t xml:space="preserve">, </w:t>
      </w:r>
      <w:r w:rsidR="006A6E9E" w:rsidRPr="007E4A0F">
        <w:t>ajoutant qu</w:t>
      </w:r>
      <w:r w:rsidR="00B274E6" w:rsidRPr="007E4A0F">
        <w:t>’</w:t>
      </w:r>
      <w:r w:rsidR="006A6E9E" w:rsidRPr="007E4A0F">
        <w:t>il serait coûteux et administrativement lourd</w:t>
      </w:r>
      <w:r w:rsidR="00E75405" w:rsidRPr="007E4A0F">
        <w:t xml:space="preserve"> </w:t>
      </w:r>
      <w:r w:rsidR="006A6E9E" w:rsidRPr="007E4A0F">
        <w:t>d</w:t>
      </w:r>
      <w:r w:rsidR="00B274E6" w:rsidRPr="007E4A0F">
        <w:t>’</w:t>
      </w:r>
      <w:r w:rsidR="006A6E9E" w:rsidRPr="007E4A0F">
        <w:t>imposer le réexamen des connaissances linguistiques.  L</w:t>
      </w:r>
      <w:r w:rsidR="00B274E6" w:rsidRPr="007E4A0F">
        <w:t>’</w:t>
      </w:r>
      <w:r w:rsidR="006A6E9E" w:rsidRPr="007E4A0F">
        <w:t xml:space="preserve">OMPI a confirmé son intention de modifier ses règles et pratiques en matière </w:t>
      </w:r>
      <w:r w:rsidR="001F7C25" w:rsidRPr="007E4A0F">
        <w:t>de prime pour connaissances linguistiques conformément aux résultats de l</w:t>
      </w:r>
      <w:r w:rsidR="00B274E6" w:rsidRPr="007E4A0F">
        <w:t>’</w:t>
      </w:r>
      <w:r w:rsidR="001F7C25" w:rsidRPr="007E4A0F">
        <w:t>examen de l</w:t>
      </w:r>
      <w:r w:rsidR="00B274E6" w:rsidRPr="007E4A0F">
        <w:t>’</w:t>
      </w:r>
      <w:r w:rsidR="001F7C25" w:rsidRPr="007E4A0F">
        <w:t xml:space="preserve">ensemble des prestations offertes par les organisations du système des </w:t>
      </w:r>
      <w:r w:rsidR="00B274E6" w:rsidRPr="007E4A0F">
        <w:t>Nations Unies</w:t>
      </w:r>
      <w:r w:rsidR="001F7C25" w:rsidRPr="007E4A0F">
        <w:t>, lesquels pourront donner lieu à une modification du Statut et Règlement du personnel.</w:t>
      </w:r>
    </w:p>
    <w:p w:rsidR="00947AF6" w:rsidRPr="007E4A0F" w:rsidRDefault="00030F2E" w:rsidP="00030F2E">
      <w:pPr>
        <w:pStyle w:val="Heading4"/>
        <w:rPr>
          <w:lang w:val="fr-FR"/>
        </w:rPr>
      </w:pPr>
      <w:r w:rsidRPr="007E4A0F">
        <w:rPr>
          <w:lang w:val="fr-FR"/>
        </w:rPr>
        <w:t>Heures supplémentaires</w:t>
      </w:r>
    </w:p>
    <w:p w:rsidR="00947AF6" w:rsidRPr="007E4A0F" w:rsidRDefault="00D45F7F" w:rsidP="00D45F7F">
      <w:pPr>
        <w:pStyle w:val="Style1"/>
      </w:pPr>
      <w:r w:rsidRPr="007E4A0F">
        <w:t>Les fonctionnaires de la catégorie des services généraux qui sont appelés à faire un nombre d</w:t>
      </w:r>
      <w:r w:rsidR="00B274E6" w:rsidRPr="007E4A0F">
        <w:t>’</w:t>
      </w:r>
      <w:r w:rsidRPr="007E4A0F">
        <w:t xml:space="preserve">heures de travail supérieur à la durée normale de la semaine de travail ont droit à un congé de compensation ou </w:t>
      </w:r>
      <w:r w:rsidR="00413DD2" w:rsidRPr="007E4A0F">
        <w:t>à</w:t>
      </w:r>
      <w:r w:rsidRPr="007E4A0F">
        <w:t xml:space="preserve"> une rémunération supplémentaire</w:t>
      </w:r>
      <w:r w:rsidR="00413DD2" w:rsidRPr="007E4A0F">
        <w:t xml:space="preserve">.  </w:t>
      </w:r>
      <w:r w:rsidR="00AC0510" w:rsidRPr="007E4A0F">
        <w:t>Selon les dispositions de l</w:t>
      </w:r>
      <w:r w:rsidR="00B274E6" w:rsidRPr="007E4A0F">
        <w:t>’</w:t>
      </w:r>
      <w:r w:rsidR="00AC0510" w:rsidRPr="007E4A0F">
        <w:t>article</w:t>
      </w:r>
      <w:r w:rsidR="006C7CFD" w:rsidRPr="007E4A0F">
        <w:t> </w:t>
      </w:r>
      <w:r w:rsidR="0012066D" w:rsidRPr="007E4A0F">
        <w:t>3.12.3</w:t>
      </w:r>
      <w:r w:rsidR="00AC0510" w:rsidRPr="007E4A0F">
        <w:t>, un congé est accordé aussi promptement que les exigences du service le permettent, et au plus tard, dans les six</w:t>
      </w:r>
      <w:r w:rsidR="006C7CFD" w:rsidRPr="007E4A0F">
        <w:t> </w:t>
      </w:r>
      <w:r w:rsidR="00AC0510" w:rsidRPr="007E4A0F">
        <w:t>mois qui suivent l</w:t>
      </w:r>
      <w:r w:rsidR="00B274E6" w:rsidRPr="007E4A0F">
        <w:t>’</w:t>
      </w:r>
      <w:r w:rsidR="00AC0510" w:rsidRPr="007E4A0F">
        <w:t xml:space="preserve">accomplissement des heures supplémentaires.  </w:t>
      </w:r>
      <w:r w:rsidR="00030F2E" w:rsidRPr="007E4A0F">
        <w:t>Si le supérieur hiérarchique du fonctionnaire intéressé certifie que les besoins du service ne permettent pas d</w:t>
      </w:r>
      <w:r w:rsidR="00B274E6" w:rsidRPr="007E4A0F">
        <w:t>’</w:t>
      </w:r>
      <w:r w:rsidR="00030F2E" w:rsidRPr="007E4A0F">
        <w:t>accorder le congé de compensation à ce fonctionnaire dans le délai de six</w:t>
      </w:r>
      <w:r w:rsidR="006C7CFD" w:rsidRPr="007E4A0F">
        <w:t> </w:t>
      </w:r>
      <w:r w:rsidR="00030F2E" w:rsidRPr="007E4A0F">
        <w:t>mois, les heures supplémentaires sont compensées en espèces.</w:t>
      </w:r>
      <w:r w:rsidR="0012066D" w:rsidRPr="007E4A0F">
        <w:t xml:space="preserve"> </w:t>
      </w:r>
      <w:r w:rsidR="00AC0510" w:rsidRPr="007E4A0F">
        <w:t xml:space="preserve"> </w:t>
      </w:r>
      <w:r w:rsidR="00BA1C3A" w:rsidRPr="007E4A0F">
        <w:t>L</w:t>
      </w:r>
      <w:r w:rsidR="00B274E6" w:rsidRPr="007E4A0F">
        <w:t>’</w:t>
      </w:r>
      <w:r w:rsidR="00BA1C3A" w:rsidRPr="007E4A0F">
        <w:t>ordre de service n°</w:t>
      </w:r>
      <w:r w:rsidR="006C7CFD" w:rsidRPr="007E4A0F">
        <w:t> </w:t>
      </w:r>
      <w:r w:rsidR="0012066D" w:rsidRPr="007E4A0F">
        <w:t xml:space="preserve">75/2012 </w:t>
      </w:r>
      <w:r w:rsidR="00067E6D" w:rsidRPr="007E4A0F">
        <w:t>prévoi</w:t>
      </w:r>
      <w:r w:rsidR="008616F9" w:rsidRPr="007E4A0F">
        <w:t>t que les supérieurs hiérarchiques doivent veiller à ce que les demandes d</w:t>
      </w:r>
      <w:r w:rsidR="00B274E6" w:rsidRPr="007E4A0F">
        <w:t>’</w:t>
      </w:r>
      <w:r w:rsidR="008616F9" w:rsidRPr="007E4A0F">
        <w:t>heures supplémentaires pour une semaine déterminée parviennent au Département de la gestion des ressources humaines au plus tard à 18</w:t>
      </w:r>
      <w:r w:rsidR="005C360D" w:rsidRPr="007E4A0F">
        <w:t> </w:t>
      </w:r>
      <w:r w:rsidR="008616F9" w:rsidRPr="007E4A0F">
        <w:t xml:space="preserve">heures le vendredi de la semaine en </w:t>
      </w:r>
      <w:r w:rsidR="007C133D" w:rsidRPr="007E4A0F">
        <w:t>question</w:t>
      </w:r>
      <w:r w:rsidR="008616F9" w:rsidRPr="007E4A0F">
        <w:t>.</w:t>
      </w:r>
    </w:p>
    <w:p w:rsidR="00947AF6" w:rsidRPr="007E4A0F" w:rsidRDefault="001B4EAC" w:rsidP="00E26B4E">
      <w:pPr>
        <w:pStyle w:val="Style1"/>
      </w:pPr>
      <w:r w:rsidRPr="007E4A0F">
        <w:lastRenderedPageBreak/>
        <w:t>E</w:t>
      </w:r>
      <w:r w:rsidR="0012066D" w:rsidRPr="007E4A0F">
        <w:t>n</w:t>
      </w:r>
      <w:r w:rsidR="006C7CFD" w:rsidRPr="007E4A0F">
        <w:t> </w:t>
      </w:r>
      <w:r w:rsidR="0012066D" w:rsidRPr="007E4A0F">
        <w:t xml:space="preserve">2012, 2013 </w:t>
      </w:r>
      <w:r w:rsidRPr="007E4A0F">
        <w:t>et</w:t>
      </w:r>
      <w:r w:rsidR="0012066D" w:rsidRPr="007E4A0F">
        <w:t xml:space="preserve"> 2014, </w:t>
      </w:r>
      <w:r w:rsidRPr="007E4A0F">
        <w:t xml:space="preserve">environ 74%, 55% et 33% respectivement des fonctionnaires de la catégorie des services généraux ont fait des heures supplémentaires.  </w:t>
      </w:r>
      <w:r w:rsidR="00415A47" w:rsidRPr="007E4A0F">
        <w:t>Sur les 10</w:t>
      </w:r>
      <w:r w:rsidR="00AF77AA" w:rsidRPr="007E4A0F">
        <w:t> </w:t>
      </w:r>
      <w:r w:rsidR="00415A47" w:rsidRPr="007E4A0F">
        <w:t>cas que nous avons examinés pour cette période,</w:t>
      </w:r>
      <w:r w:rsidR="00D941C0" w:rsidRPr="007E4A0F">
        <w:t xml:space="preserve"> nous avons relevé les manquements suivants aux dispositions de l</w:t>
      </w:r>
      <w:r w:rsidR="00B274E6" w:rsidRPr="007E4A0F">
        <w:t>’</w:t>
      </w:r>
      <w:r w:rsidR="00D941C0" w:rsidRPr="007E4A0F">
        <w:t>ordre de service :</w:t>
      </w:r>
    </w:p>
    <w:p w:rsidR="00947AF6" w:rsidRPr="007E4A0F" w:rsidRDefault="00D941C0" w:rsidP="00ED4876">
      <w:pPr>
        <w:pStyle w:val="Style1"/>
        <w:numPr>
          <w:ilvl w:val="0"/>
          <w:numId w:val="21"/>
        </w:numPr>
        <w:ind w:left="567" w:hanging="567"/>
      </w:pPr>
      <w:r w:rsidRPr="007E4A0F">
        <w:t>dans cinq</w:t>
      </w:r>
      <w:r w:rsidR="006C7CFD" w:rsidRPr="007E4A0F">
        <w:t> </w:t>
      </w:r>
      <w:r w:rsidRPr="007E4A0F">
        <w:t>cas, la demande d</w:t>
      </w:r>
      <w:r w:rsidR="00B274E6" w:rsidRPr="007E4A0F">
        <w:t>’</w:t>
      </w:r>
      <w:r w:rsidRPr="007E4A0F">
        <w:t>heures supplémentaires a été acceptée après le délai prescrit dans l</w:t>
      </w:r>
      <w:r w:rsidR="00B274E6" w:rsidRPr="007E4A0F">
        <w:t>’</w:t>
      </w:r>
      <w:r w:rsidRPr="007E4A0F">
        <w:t>ordre de service.  Dans deux</w:t>
      </w:r>
      <w:r w:rsidR="006C7CFD" w:rsidRPr="007E4A0F">
        <w:t> </w:t>
      </w:r>
      <w:r w:rsidRPr="007E4A0F">
        <w:t>cas, la demande a été acceptée avant le début de la semaine sur laquelle portaient les heures supplémentaires demandées;</w:t>
      </w:r>
    </w:p>
    <w:p w:rsidR="00947AF6" w:rsidRPr="007E4A0F" w:rsidRDefault="008624F5" w:rsidP="00ED4876">
      <w:pPr>
        <w:pStyle w:val="Style1"/>
        <w:numPr>
          <w:ilvl w:val="0"/>
          <w:numId w:val="21"/>
        </w:numPr>
        <w:ind w:left="567" w:hanging="567"/>
      </w:pPr>
      <w:r w:rsidRPr="007E4A0F">
        <w:t>dans huit</w:t>
      </w:r>
      <w:r w:rsidR="006C7CFD" w:rsidRPr="007E4A0F">
        <w:t> </w:t>
      </w:r>
      <w:r w:rsidRPr="007E4A0F">
        <w:t>cas, un paiement compensatoire a été accordé au lieu d</w:t>
      </w:r>
      <w:r w:rsidR="00B274E6" w:rsidRPr="007E4A0F">
        <w:t>’</w:t>
      </w:r>
      <w:r w:rsidRPr="007E4A0F">
        <w:t>un congé de compensation.</w:t>
      </w:r>
      <w:r w:rsidR="00F12D0A" w:rsidRPr="007E4A0F">
        <w:t xml:space="preserve">  </w:t>
      </w:r>
      <w:r w:rsidR="00E5445E" w:rsidRPr="007E4A0F">
        <w:t>Aucune date ne figurait sur la demande pour indiquer à quel moment le supérieur hiérarchique avait certifié que les besoins du service ne permettaient pas d</w:t>
      </w:r>
      <w:r w:rsidR="00B274E6" w:rsidRPr="007E4A0F">
        <w:t>’</w:t>
      </w:r>
      <w:r w:rsidR="00E5445E" w:rsidRPr="007E4A0F">
        <w:t>accorder un congé de compensation.</w:t>
      </w:r>
    </w:p>
    <w:p w:rsidR="00B274E6" w:rsidRPr="007E4A0F" w:rsidRDefault="00E5445E" w:rsidP="00E26B4E">
      <w:pPr>
        <w:pStyle w:val="Style1"/>
      </w:pPr>
      <w:r w:rsidRPr="007E4A0F">
        <w:t>L</w:t>
      </w:r>
      <w:r w:rsidR="00B274E6" w:rsidRPr="007E4A0F">
        <w:t>’</w:t>
      </w:r>
      <w:r w:rsidRPr="007E4A0F">
        <w:t xml:space="preserve">OMPI </w:t>
      </w:r>
      <w:r w:rsidR="001E5623" w:rsidRPr="007E4A0F">
        <w:t>a mentionné que ses efforts avaient permis de réduire considérablement le coût des heures supplémentaires en</w:t>
      </w:r>
      <w:r w:rsidR="006C7CFD" w:rsidRPr="007E4A0F">
        <w:t> </w:t>
      </w:r>
      <w:r w:rsidR="001E5623" w:rsidRPr="007E4A0F">
        <w:t>2014.  Elle a expliqué par l</w:t>
      </w:r>
      <w:r w:rsidR="00B274E6" w:rsidRPr="007E4A0F">
        <w:t>’</w:t>
      </w:r>
      <w:r w:rsidR="001E5623" w:rsidRPr="007E4A0F">
        <w:t>importance de la charge de travail de certaines divisions et départements le fait que</w:t>
      </w:r>
      <w:r w:rsidR="00882F92" w:rsidRPr="007E4A0F">
        <w:t xml:space="preserve"> la formule du congé de compensation n</w:t>
      </w:r>
      <w:r w:rsidR="00B274E6" w:rsidRPr="007E4A0F">
        <w:t>’</w:t>
      </w:r>
      <w:r w:rsidR="00882F92" w:rsidRPr="007E4A0F">
        <w:t>ait pas été choisie.</w:t>
      </w:r>
    </w:p>
    <w:p w:rsidR="00947AF6" w:rsidRPr="007E4A0F" w:rsidRDefault="000A6F80" w:rsidP="00030F2E">
      <w:pPr>
        <w:pStyle w:val="Heading4"/>
        <w:rPr>
          <w:lang w:val="fr-FR"/>
        </w:rPr>
      </w:pPr>
      <w:r w:rsidRPr="007E4A0F">
        <w:rPr>
          <w:lang w:val="fr-FR"/>
        </w:rPr>
        <w:t>Recommandation n° 2</w:t>
      </w:r>
      <w:r w:rsidR="00030F2E" w:rsidRPr="007E4A0F">
        <w:rPr>
          <w:lang w:val="fr-FR"/>
        </w:rPr>
        <w:t>0</w:t>
      </w:r>
    </w:p>
    <w:p w:rsidR="00B274E6" w:rsidRPr="007E4A0F" w:rsidRDefault="00A8081E" w:rsidP="00A66643">
      <w:pPr>
        <w:pStyle w:val="Heading4"/>
        <w:rPr>
          <w:lang w:val="fr-FR"/>
        </w:rPr>
      </w:pPr>
      <w:r w:rsidRPr="007E4A0F">
        <w:rPr>
          <w:lang w:val="fr-FR"/>
        </w:rPr>
        <w:t>Nous recommandons</w:t>
      </w:r>
      <w:r w:rsidR="00517A30" w:rsidRPr="007E4A0F">
        <w:rPr>
          <w:lang w:val="fr-FR"/>
        </w:rPr>
        <w:t xml:space="preserve"> que les contrôles internes soient renforcés</w:t>
      </w:r>
      <w:r w:rsidRPr="007E4A0F">
        <w:rPr>
          <w:lang w:val="fr-FR"/>
        </w:rPr>
        <w:t xml:space="preserve"> </w:t>
      </w:r>
      <w:r w:rsidR="002E6D9D" w:rsidRPr="007E4A0F">
        <w:rPr>
          <w:lang w:val="fr-FR"/>
        </w:rPr>
        <w:t>de manière à assurer le plein respect des dispositions de l</w:t>
      </w:r>
      <w:r w:rsidR="00B274E6" w:rsidRPr="007E4A0F">
        <w:rPr>
          <w:lang w:val="fr-FR"/>
        </w:rPr>
        <w:t>’</w:t>
      </w:r>
      <w:r w:rsidR="002E6D9D" w:rsidRPr="007E4A0F">
        <w:rPr>
          <w:lang w:val="fr-FR"/>
        </w:rPr>
        <w:t>ordre de service relatif aux heures supplémentaires.</w:t>
      </w:r>
    </w:p>
    <w:p w:rsidR="00947AF6" w:rsidRPr="007E4A0F" w:rsidRDefault="00932CA8" w:rsidP="00E26B4E">
      <w:pPr>
        <w:pStyle w:val="Style1"/>
      </w:pPr>
      <w:r w:rsidRPr="007E4A0F">
        <w:t>L</w:t>
      </w:r>
      <w:r w:rsidR="00B274E6" w:rsidRPr="007E4A0F">
        <w:t>’</w:t>
      </w:r>
      <w:r w:rsidRPr="007E4A0F">
        <w:t>OMPI a accepté la recommandation et indiqué que</w:t>
      </w:r>
      <w:r w:rsidR="00D37B19" w:rsidRPr="007E4A0F">
        <w:t xml:space="preserve"> des critères spécifiques s</w:t>
      </w:r>
      <w:r w:rsidR="00B274E6" w:rsidRPr="007E4A0F">
        <w:t>’</w:t>
      </w:r>
      <w:r w:rsidR="00D37B19" w:rsidRPr="007E4A0F">
        <w:t>appliquaient aux heures supplémentaires, notamment en matière de supervision et d</w:t>
      </w:r>
      <w:r w:rsidR="00B274E6" w:rsidRPr="007E4A0F">
        <w:t>’</w:t>
      </w:r>
      <w:r w:rsidR="00D37B19" w:rsidRPr="007E4A0F">
        <w:t>approbation préalable.</w:t>
      </w:r>
    </w:p>
    <w:p w:rsidR="00947AF6" w:rsidRPr="007E4A0F" w:rsidRDefault="00D37B19" w:rsidP="00A66643">
      <w:pPr>
        <w:pStyle w:val="Heading4"/>
        <w:rPr>
          <w:lang w:val="fr-FR"/>
        </w:rPr>
      </w:pPr>
      <w:r w:rsidRPr="007E4A0F">
        <w:rPr>
          <w:lang w:val="fr-FR"/>
        </w:rPr>
        <w:t>Indemnité spéciale de fonctions</w:t>
      </w:r>
    </w:p>
    <w:p w:rsidR="00947AF6" w:rsidRPr="007E4A0F" w:rsidRDefault="006508D0" w:rsidP="00877953">
      <w:pPr>
        <w:pStyle w:val="Style1"/>
      </w:pPr>
      <w:r w:rsidRPr="007E4A0F">
        <w:t>Selon l</w:t>
      </w:r>
      <w:r w:rsidR="00B274E6" w:rsidRPr="007E4A0F">
        <w:t>’</w:t>
      </w:r>
      <w:r w:rsidRPr="007E4A0F">
        <w:t>article</w:t>
      </w:r>
      <w:r w:rsidR="006C7CFD" w:rsidRPr="007E4A0F">
        <w:t> </w:t>
      </w:r>
      <w:r w:rsidR="0012066D" w:rsidRPr="007E4A0F">
        <w:t xml:space="preserve">3.11, </w:t>
      </w:r>
      <w:r w:rsidR="00F44FDB" w:rsidRPr="007E4A0F">
        <w:t>u</w:t>
      </w:r>
      <w:r w:rsidRPr="007E4A0F">
        <w:t>ne indemnité spéciale de fonctions, non soumise à retenue pour pension, est versée à tout fonctionnaire bénéficiant d</w:t>
      </w:r>
      <w:r w:rsidR="00B274E6" w:rsidRPr="007E4A0F">
        <w:t>’</w:t>
      </w:r>
      <w:r w:rsidRPr="007E4A0F">
        <w:t>un engagement de durée déterminée, d</w:t>
      </w:r>
      <w:r w:rsidR="00B274E6" w:rsidRPr="007E4A0F">
        <w:t>’</w:t>
      </w:r>
      <w:r w:rsidRPr="007E4A0F">
        <w:t>un engagement permanent ou d</w:t>
      </w:r>
      <w:r w:rsidR="00B274E6" w:rsidRPr="007E4A0F">
        <w:t>’</w:t>
      </w:r>
      <w:r w:rsidRPr="007E4A0F">
        <w:t>un engagement continu appelé temporairement à assumer les responsabilités et attributions attachées à un poste vacant d</w:t>
      </w:r>
      <w:r w:rsidR="00B274E6" w:rsidRPr="007E4A0F">
        <w:t>’</w:t>
      </w:r>
      <w:r w:rsidRPr="007E4A0F">
        <w:t>un grade supérieur à celui du poste qu</w:t>
      </w:r>
      <w:r w:rsidR="00B274E6" w:rsidRPr="007E4A0F">
        <w:t>’</w:t>
      </w:r>
      <w:r w:rsidRPr="007E4A0F">
        <w:t>il occupe.  Cette indemnité est due à partir du moment où le fonctionnaire intéressé a rempli pendant six</w:t>
      </w:r>
      <w:r w:rsidR="006C7CFD" w:rsidRPr="007E4A0F">
        <w:t> </w:t>
      </w:r>
      <w:r w:rsidRPr="007E4A0F">
        <w:t>mois consécutifs toutes les fonctions de l</w:t>
      </w:r>
      <w:r w:rsidR="00B274E6" w:rsidRPr="007E4A0F">
        <w:t>’</w:t>
      </w:r>
      <w:r w:rsidRPr="007E4A0F">
        <w:t>emploi de grade supérieur qui lui ont été confiées.</w:t>
      </w:r>
      <w:r w:rsidR="0012066D" w:rsidRPr="007E4A0F">
        <w:t xml:space="preserve"> </w:t>
      </w:r>
      <w:r w:rsidR="00CF21F2" w:rsidRPr="007E4A0F">
        <w:t xml:space="preserve"> </w:t>
      </w:r>
      <w:r w:rsidR="00877953" w:rsidRPr="007E4A0F">
        <w:t>Toute prolongation du versement de l</w:t>
      </w:r>
      <w:r w:rsidR="00B274E6" w:rsidRPr="007E4A0F">
        <w:t>’</w:t>
      </w:r>
      <w:r w:rsidR="00877953" w:rsidRPr="007E4A0F">
        <w:t>indemnité spéciale de fonctions au</w:t>
      </w:r>
      <w:r w:rsidR="00CB1BDA" w:rsidRPr="007E4A0F">
        <w:noBreakHyphen/>
      </w:r>
      <w:r w:rsidR="00877953" w:rsidRPr="007E4A0F">
        <w:t>delà de 12</w:t>
      </w:r>
      <w:r w:rsidR="00AF77AA" w:rsidRPr="007E4A0F">
        <w:t> </w:t>
      </w:r>
      <w:r w:rsidR="00877953" w:rsidRPr="007E4A0F">
        <w:t>mois n</w:t>
      </w:r>
      <w:r w:rsidR="00B274E6" w:rsidRPr="007E4A0F">
        <w:t>’</w:t>
      </w:r>
      <w:r w:rsidR="00877953" w:rsidRPr="007E4A0F">
        <w:t>est autorisée que dans des circonstances exceptionnelles.  Une telle prolongation n</w:t>
      </w:r>
      <w:r w:rsidR="00B274E6" w:rsidRPr="007E4A0F">
        <w:t>’</w:t>
      </w:r>
      <w:r w:rsidR="00AF77AA" w:rsidRPr="007E4A0F">
        <w:t>excède en aucun cas 12 </w:t>
      </w:r>
      <w:r w:rsidR="00877953" w:rsidRPr="007E4A0F">
        <w:t>mois.</w:t>
      </w:r>
    </w:p>
    <w:p w:rsidR="00947AF6" w:rsidRPr="007E4A0F" w:rsidRDefault="001E6248" w:rsidP="00E26B4E">
      <w:pPr>
        <w:pStyle w:val="Style1"/>
      </w:pPr>
      <w:r w:rsidRPr="007E4A0F">
        <w:lastRenderedPageBreak/>
        <w:t>L</w:t>
      </w:r>
      <w:r w:rsidR="00B274E6" w:rsidRPr="007E4A0F">
        <w:t>’</w:t>
      </w:r>
      <w:r w:rsidRPr="007E4A0F">
        <w:t>article</w:t>
      </w:r>
      <w:r w:rsidR="006C7CFD" w:rsidRPr="007E4A0F">
        <w:t> </w:t>
      </w:r>
      <w:r w:rsidRPr="007E4A0F">
        <w:t>3.22 prévoit que sauf disposition contraire, tout droit à indemnité, prime, allocation ou autre paiement résultant du Statut ou du Règlement du personnel se prescrit par deux</w:t>
      </w:r>
      <w:r w:rsidR="006C7CFD" w:rsidRPr="007E4A0F">
        <w:t> </w:t>
      </w:r>
      <w:r w:rsidRPr="007E4A0F">
        <w:t>ans à partir de la date à laquelle le fonctionnaire pouvait prétendre au paiement.</w:t>
      </w:r>
    </w:p>
    <w:p w:rsidR="00947AF6" w:rsidRPr="007E4A0F" w:rsidRDefault="00FA1073" w:rsidP="00E26B4E">
      <w:pPr>
        <w:pStyle w:val="Style1"/>
      </w:pPr>
      <w:r w:rsidRPr="007E4A0F">
        <w:t>L</w:t>
      </w:r>
      <w:r w:rsidR="00B274E6" w:rsidRPr="007E4A0F">
        <w:t>’</w:t>
      </w:r>
      <w:r w:rsidRPr="007E4A0F">
        <w:t>examen de cinq</w:t>
      </w:r>
      <w:r w:rsidR="006C7CFD" w:rsidRPr="007E4A0F">
        <w:t> </w:t>
      </w:r>
      <w:r w:rsidRPr="007E4A0F">
        <w:t>cas relatifs à des indemnités spéciales de fonctions au cours de l</w:t>
      </w:r>
      <w:r w:rsidR="00B274E6" w:rsidRPr="007E4A0F">
        <w:t>’</w:t>
      </w:r>
      <w:r w:rsidRPr="007E4A0F">
        <w:t>exercice 2012</w:t>
      </w:r>
      <w:r w:rsidR="00CB1BDA" w:rsidRPr="007E4A0F">
        <w:noBreakHyphen/>
      </w:r>
      <w:r w:rsidRPr="007E4A0F">
        <w:t>2014 à faire ressortir les problèmes suivants</w:t>
      </w:r>
      <w:r w:rsidR="006C7CFD" w:rsidRPr="007E4A0F">
        <w:t> </w:t>
      </w:r>
      <w:r w:rsidRPr="007E4A0F">
        <w:t>:</w:t>
      </w:r>
    </w:p>
    <w:p w:rsidR="00947AF6" w:rsidRPr="007E4A0F" w:rsidRDefault="00FA1073" w:rsidP="00A66643">
      <w:pPr>
        <w:pStyle w:val="Style1"/>
        <w:numPr>
          <w:ilvl w:val="0"/>
          <w:numId w:val="24"/>
        </w:numPr>
        <w:ind w:left="567" w:hanging="567"/>
      </w:pPr>
      <w:r w:rsidRPr="007E4A0F">
        <w:t>un fonctionnaire avait été maintenu dans l</w:t>
      </w:r>
      <w:r w:rsidR="00B274E6" w:rsidRPr="007E4A0F">
        <w:t>’</w:t>
      </w:r>
      <w:r w:rsidRPr="007E4A0F">
        <w:t>exercice des fonctions de l</w:t>
      </w:r>
      <w:r w:rsidR="00B274E6" w:rsidRPr="007E4A0F">
        <w:t>’</w:t>
      </w:r>
      <w:r w:rsidRPr="007E4A0F">
        <w:t xml:space="preserve">emploi de grade supérieur depuis </w:t>
      </w:r>
      <w:r w:rsidR="00B274E6" w:rsidRPr="007E4A0F">
        <w:t>janvier 20</w:t>
      </w:r>
      <w:r w:rsidRPr="007E4A0F">
        <w:t>13 et recevait l</w:t>
      </w:r>
      <w:r w:rsidR="00B274E6" w:rsidRPr="007E4A0F">
        <w:t>’</w:t>
      </w:r>
      <w:r w:rsidRPr="007E4A0F">
        <w:t xml:space="preserve">indemnité spéciale de fonctions depuis </w:t>
      </w:r>
      <w:r w:rsidR="00B274E6" w:rsidRPr="007E4A0F">
        <w:t>juillet 20</w:t>
      </w:r>
      <w:r w:rsidRPr="007E4A0F">
        <w:t>13.  Le Département de la gestion des ressources humaines a indiqué que</w:t>
      </w:r>
      <w:r w:rsidR="0049123C" w:rsidRPr="007E4A0F">
        <w:t xml:space="preserve"> l</w:t>
      </w:r>
      <w:r w:rsidR="00B274E6" w:rsidRPr="007E4A0F">
        <w:t>’</w:t>
      </w:r>
      <w:r w:rsidR="0049123C" w:rsidRPr="007E4A0F">
        <w:t>étendue exacte du service n</w:t>
      </w:r>
      <w:r w:rsidR="00B274E6" w:rsidRPr="007E4A0F">
        <w:t>’</w:t>
      </w:r>
      <w:r w:rsidR="0049123C" w:rsidRPr="007E4A0F">
        <w:t>était pas encore entièrement définie et qu</w:t>
      </w:r>
      <w:r w:rsidR="00B274E6" w:rsidRPr="007E4A0F">
        <w:t>’</w:t>
      </w:r>
      <w:r w:rsidR="0049123C" w:rsidRPr="007E4A0F">
        <w:t>il n</w:t>
      </w:r>
      <w:r w:rsidR="00B274E6" w:rsidRPr="007E4A0F">
        <w:t>’</w:t>
      </w:r>
      <w:r w:rsidR="0049123C" w:rsidRPr="007E4A0F">
        <w:t>était pas prêt à lancer le processus de recrutement pour un poste de durée déterminée;</w:t>
      </w:r>
    </w:p>
    <w:p w:rsidR="00947AF6" w:rsidRPr="007E4A0F" w:rsidRDefault="0049123C" w:rsidP="00A66643">
      <w:pPr>
        <w:pStyle w:val="Style1"/>
        <w:numPr>
          <w:ilvl w:val="0"/>
          <w:numId w:val="24"/>
        </w:numPr>
        <w:ind w:left="567" w:hanging="567"/>
      </w:pPr>
      <w:r w:rsidRPr="007E4A0F">
        <w:t>dans un autre cas,</w:t>
      </w:r>
      <w:r w:rsidR="00F11C03" w:rsidRPr="007E4A0F">
        <w:t xml:space="preserve"> le maintien du droit</w:t>
      </w:r>
      <w:r w:rsidR="003F2986" w:rsidRPr="007E4A0F">
        <w:t xml:space="preserve"> d</w:t>
      </w:r>
      <w:r w:rsidR="00B274E6" w:rsidRPr="007E4A0F">
        <w:t>’</w:t>
      </w:r>
      <w:r w:rsidR="003F2986" w:rsidRPr="007E4A0F">
        <w:t>un fonctionnaire</w:t>
      </w:r>
      <w:r w:rsidR="00F11C03" w:rsidRPr="007E4A0F">
        <w:t xml:space="preserve"> à l</w:t>
      </w:r>
      <w:r w:rsidR="00B274E6" w:rsidRPr="007E4A0F">
        <w:t>’</w:t>
      </w:r>
      <w:r w:rsidR="00F11C03" w:rsidRPr="007E4A0F">
        <w:t>indemnité spéciale de fonctions</w:t>
      </w:r>
      <w:r w:rsidR="003F2986" w:rsidRPr="007E4A0F">
        <w:t xml:space="preserve"> pendant la période allant de </w:t>
      </w:r>
      <w:r w:rsidR="00B274E6" w:rsidRPr="007E4A0F">
        <w:t>mai 20</w:t>
      </w:r>
      <w:r w:rsidR="003F2986" w:rsidRPr="007E4A0F">
        <w:t>12</w:t>
      </w:r>
      <w:r w:rsidR="00795176" w:rsidRPr="007E4A0F">
        <w:t xml:space="preserve"> à</w:t>
      </w:r>
      <w:r w:rsidR="003F2986" w:rsidRPr="007E4A0F">
        <w:t xml:space="preserve"> </w:t>
      </w:r>
      <w:r w:rsidR="00B274E6" w:rsidRPr="007E4A0F">
        <w:t>novembre 20</w:t>
      </w:r>
      <w:r w:rsidR="003F2986" w:rsidRPr="007E4A0F">
        <w:t>12 ne respectait pas le délai de prescription spécifié à l</w:t>
      </w:r>
      <w:r w:rsidR="00B274E6" w:rsidRPr="007E4A0F">
        <w:t>’</w:t>
      </w:r>
      <w:r w:rsidR="003F2986" w:rsidRPr="007E4A0F">
        <w:t>article</w:t>
      </w:r>
      <w:r w:rsidR="006C7CFD" w:rsidRPr="007E4A0F">
        <w:t> </w:t>
      </w:r>
      <w:r w:rsidR="003F2986" w:rsidRPr="007E4A0F">
        <w:t>3.22.</w:t>
      </w:r>
    </w:p>
    <w:p w:rsidR="00947AF6" w:rsidRPr="007E4A0F" w:rsidRDefault="00F40554" w:rsidP="00E26B4E">
      <w:pPr>
        <w:pStyle w:val="Style1"/>
      </w:pPr>
      <w:r w:rsidRPr="007E4A0F">
        <w:t>OMPI a déclaré que</w:t>
      </w:r>
      <w:r w:rsidR="000434D1" w:rsidRPr="007E4A0F">
        <w:t xml:space="preserve"> lorsque le recrutement est demandé par la direction, </w:t>
      </w:r>
      <w:r w:rsidR="00421BE6" w:rsidRPr="007E4A0F">
        <w:t>le Département de la gestion des ressources humaines</w:t>
      </w:r>
      <w:r w:rsidR="002F52D5" w:rsidRPr="007E4A0F">
        <w:t xml:space="preserve"> donne la priorité au processus de sélection</w:t>
      </w:r>
      <w:r w:rsidR="00BB3838" w:rsidRPr="007E4A0F">
        <w:t>, mais que l</w:t>
      </w:r>
      <w:r w:rsidR="00B274E6" w:rsidRPr="007E4A0F">
        <w:t>’</w:t>
      </w:r>
      <w:r w:rsidR="00BB3838" w:rsidRPr="007E4A0F">
        <w:t>origine du problème n</w:t>
      </w:r>
      <w:r w:rsidR="00B274E6" w:rsidRPr="007E4A0F">
        <w:t>’</w:t>
      </w:r>
      <w:r w:rsidR="00BB3838" w:rsidRPr="007E4A0F">
        <w:t>est pas le temps nécessaire au recrutement, mais le temps nécessaire au déclenchement du recrutement.  Il ne serait pas logique d</w:t>
      </w:r>
      <w:r w:rsidR="00B274E6" w:rsidRPr="007E4A0F">
        <w:t>’</w:t>
      </w:r>
      <w:r w:rsidR="00BB3838" w:rsidRPr="007E4A0F">
        <w:t>engager l</w:t>
      </w:r>
      <w:r w:rsidR="00B274E6" w:rsidRPr="007E4A0F">
        <w:t>’</w:t>
      </w:r>
      <w:r w:rsidR="00BB3838" w:rsidRPr="007E4A0F">
        <w:t xml:space="preserve">Organisation </w:t>
      </w:r>
      <w:r w:rsidR="002A717E" w:rsidRPr="007E4A0F">
        <w:t>en publiant un avis de vacance de poste sans avoir la certitude qu</w:t>
      </w:r>
      <w:r w:rsidR="00B274E6" w:rsidRPr="007E4A0F">
        <w:t>’</w:t>
      </w:r>
      <w:r w:rsidR="002A717E" w:rsidRPr="007E4A0F">
        <w:t>un poste est réellement nécessaire</w:t>
      </w:r>
      <w:r w:rsidR="002F52D5" w:rsidRPr="007E4A0F">
        <w:t xml:space="preserve"> </w:t>
      </w:r>
      <w:r w:rsidR="002A717E" w:rsidRPr="007E4A0F">
        <w:t>ou qu</w:t>
      </w:r>
      <w:r w:rsidR="00B274E6" w:rsidRPr="007E4A0F">
        <w:t>’</w:t>
      </w:r>
      <w:r w:rsidR="002A717E" w:rsidRPr="007E4A0F">
        <w:t>il est nécessaire avec un profil de qualification particulier.</w:t>
      </w:r>
      <w:r w:rsidR="0028787D" w:rsidRPr="007E4A0F">
        <w:t xml:space="preserve">  Dans un contexte d</w:t>
      </w:r>
      <w:r w:rsidR="00B274E6" w:rsidRPr="007E4A0F">
        <w:t>’</w:t>
      </w:r>
      <w:r w:rsidR="0028787D" w:rsidRPr="007E4A0F">
        <w:t>examen des effectifs,</w:t>
      </w:r>
      <w:r w:rsidR="0038186F" w:rsidRPr="007E4A0F">
        <w:t xml:space="preserve"> l</w:t>
      </w:r>
      <w:r w:rsidR="00B274E6" w:rsidRPr="007E4A0F">
        <w:t>’</w:t>
      </w:r>
      <w:r w:rsidR="0038186F" w:rsidRPr="007E4A0F">
        <w:t>OMPI privilégie la souplesse en matière de ressources humaines et</w:t>
      </w:r>
      <w:r w:rsidR="008939E8" w:rsidRPr="007E4A0F">
        <w:t xml:space="preserve"> ne</w:t>
      </w:r>
      <w:r w:rsidR="00B678B9" w:rsidRPr="007E4A0F">
        <w:t xml:space="preserve"> procède à un recrutement </w:t>
      </w:r>
      <w:r w:rsidR="008939E8" w:rsidRPr="007E4A0F">
        <w:t xml:space="preserve">que </w:t>
      </w:r>
      <w:r w:rsidR="00B678B9" w:rsidRPr="007E4A0F">
        <w:t>s</w:t>
      </w:r>
      <w:r w:rsidR="00B274E6" w:rsidRPr="007E4A0F">
        <w:t>’</w:t>
      </w:r>
      <w:r w:rsidR="00B678B9" w:rsidRPr="007E4A0F">
        <w:t>il est clairement établi que ce dernier répond à un besoin durable.</w:t>
      </w:r>
    </w:p>
    <w:p w:rsidR="00947AF6" w:rsidRPr="007E4A0F" w:rsidRDefault="000A6F80" w:rsidP="00030F2E">
      <w:pPr>
        <w:pStyle w:val="Heading4"/>
        <w:rPr>
          <w:lang w:val="fr-FR"/>
        </w:rPr>
      </w:pPr>
      <w:r w:rsidRPr="007E4A0F">
        <w:rPr>
          <w:lang w:val="fr-FR"/>
        </w:rPr>
        <w:t>Recommandation n° 2</w:t>
      </w:r>
      <w:r w:rsidR="00030F2E" w:rsidRPr="007E4A0F">
        <w:rPr>
          <w:lang w:val="fr-FR"/>
        </w:rPr>
        <w:t>1</w:t>
      </w:r>
    </w:p>
    <w:p w:rsidR="00B274E6" w:rsidRPr="007E4A0F" w:rsidRDefault="0085197F" w:rsidP="00A66643">
      <w:pPr>
        <w:pStyle w:val="Heading4"/>
        <w:rPr>
          <w:lang w:val="fr-FR"/>
        </w:rPr>
      </w:pPr>
      <w:r w:rsidRPr="007E4A0F">
        <w:rPr>
          <w:lang w:val="fr-FR"/>
        </w:rPr>
        <w:t>L</w:t>
      </w:r>
      <w:r w:rsidR="00B274E6" w:rsidRPr="007E4A0F">
        <w:rPr>
          <w:lang w:val="fr-FR"/>
        </w:rPr>
        <w:t>’</w:t>
      </w:r>
      <w:r w:rsidRPr="007E4A0F">
        <w:rPr>
          <w:lang w:val="fr-FR"/>
        </w:rPr>
        <w:t>OMPI devrait respecter scrupuleusement les dispositions des articles</w:t>
      </w:r>
      <w:r w:rsidR="006C7CFD" w:rsidRPr="007E4A0F">
        <w:rPr>
          <w:lang w:val="fr-FR"/>
        </w:rPr>
        <w:t> </w:t>
      </w:r>
      <w:r w:rsidR="0012066D" w:rsidRPr="007E4A0F">
        <w:rPr>
          <w:lang w:val="fr-FR"/>
        </w:rPr>
        <w:t xml:space="preserve">3.11 </w:t>
      </w:r>
      <w:r w:rsidRPr="007E4A0F">
        <w:rPr>
          <w:lang w:val="fr-FR"/>
        </w:rPr>
        <w:t>et</w:t>
      </w:r>
      <w:r w:rsidR="0012066D" w:rsidRPr="007E4A0F">
        <w:rPr>
          <w:lang w:val="fr-FR"/>
        </w:rPr>
        <w:t xml:space="preserve"> 3.22, </w:t>
      </w:r>
      <w:r w:rsidR="001A7CD2" w:rsidRPr="007E4A0F">
        <w:rPr>
          <w:lang w:val="fr-FR"/>
        </w:rPr>
        <w:t>tout en autorisant la prolongation du versement de l</w:t>
      </w:r>
      <w:r w:rsidR="00B274E6" w:rsidRPr="007E4A0F">
        <w:rPr>
          <w:lang w:val="fr-FR"/>
        </w:rPr>
        <w:t>’</w:t>
      </w:r>
      <w:r w:rsidR="001A7CD2" w:rsidRPr="007E4A0F">
        <w:rPr>
          <w:lang w:val="fr-FR"/>
        </w:rPr>
        <w:t>indemnité spéciale de fonctions au</w:t>
      </w:r>
      <w:r w:rsidR="00CB1BDA" w:rsidRPr="007E4A0F">
        <w:rPr>
          <w:lang w:val="fr-FR"/>
        </w:rPr>
        <w:noBreakHyphen/>
      </w:r>
      <w:r w:rsidR="001A7CD2" w:rsidRPr="007E4A0F">
        <w:rPr>
          <w:lang w:val="fr-FR"/>
        </w:rPr>
        <w:t>delà de 12 mois dans des circonstances exceptionnelles.</w:t>
      </w:r>
    </w:p>
    <w:p w:rsidR="00947AF6" w:rsidRPr="007E4A0F" w:rsidRDefault="001A7CD2" w:rsidP="00E26B4E">
      <w:pPr>
        <w:pStyle w:val="Style1"/>
        <w:rPr>
          <w:b/>
        </w:rPr>
      </w:pPr>
      <w:r w:rsidRPr="007E4A0F">
        <w:t>L</w:t>
      </w:r>
      <w:r w:rsidR="00B274E6" w:rsidRPr="007E4A0F">
        <w:t>’</w:t>
      </w:r>
      <w:r w:rsidRPr="007E4A0F">
        <w:t>OMPI a accepté la recommandation.  Elle partage la préoccupation soulevée par l</w:t>
      </w:r>
      <w:r w:rsidR="00B274E6" w:rsidRPr="007E4A0F">
        <w:t>’</w:t>
      </w:r>
      <w:r w:rsidRPr="007E4A0F">
        <w:t>audit en ce qui concerne</w:t>
      </w:r>
      <w:r w:rsidR="00F450CD" w:rsidRPr="007E4A0F">
        <w:t xml:space="preserve"> la poursuite du versement de l</w:t>
      </w:r>
      <w:r w:rsidR="00B274E6" w:rsidRPr="007E4A0F">
        <w:t>’</w:t>
      </w:r>
      <w:r w:rsidR="00F450CD" w:rsidRPr="007E4A0F">
        <w:t>indemnité spéciale de fonctions pendant une longue période, et c</w:t>
      </w:r>
      <w:r w:rsidR="00B274E6" w:rsidRPr="007E4A0F">
        <w:t>’</w:t>
      </w:r>
      <w:r w:rsidR="00F450CD" w:rsidRPr="007E4A0F">
        <w:t>était précisément la raison pour laquelle le Statut et Règlement du personnel</w:t>
      </w:r>
      <w:r w:rsidR="000A73CF" w:rsidRPr="007E4A0F">
        <w:t xml:space="preserve"> devait faire l</w:t>
      </w:r>
      <w:r w:rsidR="00B274E6" w:rsidRPr="007E4A0F">
        <w:t>’</w:t>
      </w:r>
      <w:r w:rsidR="000A73CF" w:rsidRPr="007E4A0F">
        <w:t>objet d</w:t>
      </w:r>
      <w:r w:rsidR="00B274E6" w:rsidRPr="007E4A0F">
        <w:t>’</w:t>
      </w:r>
      <w:r w:rsidR="000A73CF" w:rsidRPr="007E4A0F">
        <w:t>une révision afin d</w:t>
      </w:r>
      <w:r w:rsidR="00B274E6" w:rsidRPr="007E4A0F">
        <w:t>’</w:t>
      </w:r>
      <w:r w:rsidR="000A73CF" w:rsidRPr="007E4A0F">
        <w:t>y introduire une limite de temps.</w:t>
      </w:r>
    </w:p>
    <w:p w:rsidR="00947AF6" w:rsidRPr="007E4A0F" w:rsidRDefault="0012066D" w:rsidP="00A66643">
      <w:pPr>
        <w:pStyle w:val="Heading4"/>
        <w:rPr>
          <w:lang w:val="fr-FR"/>
        </w:rPr>
      </w:pPr>
      <w:r w:rsidRPr="007E4A0F">
        <w:rPr>
          <w:lang w:val="fr-FR"/>
        </w:rPr>
        <w:t>Cas</w:t>
      </w:r>
      <w:r w:rsidR="000A73CF" w:rsidRPr="007E4A0F">
        <w:rPr>
          <w:lang w:val="fr-FR"/>
        </w:rPr>
        <w:t xml:space="preserve"> de fraude et présomption de fraude</w:t>
      </w:r>
    </w:p>
    <w:p w:rsidR="00947AF6" w:rsidRPr="007E4A0F" w:rsidRDefault="00124C8D" w:rsidP="00E26B4E">
      <w:pPr>
        <w:pStyle w:val="Style1"/>
      </w:pPr>
      <w:r w:rsidRPr="007E4A0F">
        <w:t>Selon l</w:t>
      </w:r>
      <w:r w:rsidR="00B274E6" w:rsidRPr="007E4A0F">
        <w:t>’</w:t>
      </w:r>
      <w:r w:rsidR="000A73CF" w:rsidRPr="007E4A0F">
        <w:t>analyse des données</w:t>
      </w:r>
      <w:r w:rsidR="009175EF" w:rsidRPr="007E4A0F">
        <w:t xml:space="preserve"> </w:t>
      </w:r>
      <w:r w:rsidRPr="007E4A0F">
        <w:t>en matière de fraude et présomption de fraude fournies par le bureau du directeur de la Division de l</w:t>
      </w:r>
      <w:r w:rsidR="00B274E6" w:rsidRPr="007E4A0F">
        <w:t>’</w:t>
      </w:r>
      <w:r w:rsidRPr="007E4A0F">
        <w:t>audit et de la supervision internes, trois</w:t>
      </w:r>
      <w:r w:rsidR="006C7CFD" w:rsidRPr="007E4A0F">
        <w:t> </w:t>
      </w:r>
      <w:r w:rsidRPr="007E4A0F">
        <w:t>nouvelles affaires de fraude ou présomption de fraude ont été enregistrées en</w:t>
      </w:r>
      <w:r w:rsidR="006C7CFD" w:rsidRPr="007E4A0F">
        <w:t> </w:t>
      </w:r>
      <w:r w:rsidRPr="007E4A0F">
        <w:t>2014, et deux</w:t>
      </w:r>
      <w:r w:rsidR="006C7CFD" w:rsidRPr="007E4A0F">
        <w:t> </w:t>
      </w:r>
      <w:r w:rsidR="002B2BBF" w:rsidRPr="007E4A0F">
        <w:t xml:space="preserve">ont été </w:t>
      </w:r>
      <w:r w:rsidR="002B2BBF" w:rsidRPr="007E4A0F">
        <w:lastRenderedPageBreak/>
        <w:t>classées sans suite</w:t>
      </w:r>
      <w:r w:rsidR="00E17E1F" w:rsidRPr="007E4A0F">
        <w:t>, les allégations s</w:t>
      </w:r>
      <w:r w:rsidR="00B274E6" w:rsidRPr="007E4A0F">
        <w:t>’</w:t>
      </w:r>
      <w:r w:rsidR="00E17E1F" w:rsidRPr="007E4A0F">
        <w:t>étant avérées infondées.  En date du 3</w:t>
      </w:r>
      <w:r w:rsidR="00B274E6" w:rsidRPr="007E4A0F">
        <w:t>1 décembre 20</w:t>
      </w:r>
      <w:r w:rsidR="00E17E1F" w:rsidRPr="007E4A0F">
        <w:t>14, les affaires de fraude ou de présomption de fraude en cours étaient au nombre de quatre.</w:t>
      </w:r>
    </w:p>
    <w:p w:rsidR="00947AF6" w:rsidRPr="007E4A0F" w:rsidRDefault="00030F2E" w:rsidP="00030F2E">
      <w:pPr>
        <w:pStyle w:val="Heading4"/>
        <w:rPr>
          <w:lang w:val="fr-FR"/>
        </w:rPr>
      </w:pPr>
      <w:r w:rsidRPr="007E4A0F">
        <w:rPr>
          <w:lang w:val="fr-FR"/>
        </w:rPr>
        <w:t>Examen des mesures prises par la direction en réponse aux recommandations antérieures</w:t>
      </w:r>
    </w:p>
    <w:p w:rsidR="00947AF6" w:rsidRPr="007E4A0F" w:rsidRDefault="0010683E" w:rsidP="00E26B4E">
      <w:pPr>
        <w:pStyle w:val="Style1"/>
      </w:pPr>
      <w:r w:rsidRPr="007E4A0F">
        <w:t>L</w:t>
      </w:r>
      <w:r w:rsidR="00B274E6" w:rsidRPr="007E4A0F">
        <w:t>’</w:t>
      </w:r>
      <w:r w:rsidRPr="007E4A0F">
        <w:t>é</w:t>
      </w:r>
      <w:r w:rsidR="00A141B3" w:rsidRPr="007E4A0F">
        <w:t>tat d</w:t>
      </w:r>
      <w:r w:rsidR="00B274E6" w:rsidRPr="007E4A0F">
        <w:t>’</w:t>
      </w:r>
      <w:r w:rsidR="00A141B3" w:rsidRPr="007E4A0F">
        <w:t>avancement de la mise en œuvre par l</w:t>
      </w:r>
      <w:r w:rsidR="00B274E6" w:rsidRPr="007E4A0F">
        <w:t>’</w:t>
      </w:r>
      <w:r w:rsidR="00A141B3" w:rsidRPr="007E4A0F">
        <w:t>OMPI des recommandations de l</w:t>
      </w:r>
      <w:r w:rsidR="00B274E6" w:rsidRPr="007E4A0F">
        <w:t>’</w:t>
      </w:r>
      <w:r w:rsidR="00A141B3" w:rsidRPr="007E4A0F">
        <w:t xml:space="preserve">audit externe (audit financier) est joint en </w:t>
      </w:r>
      <w:r w:rsidR="00A141B3" w:rsidRPr="007E4A0F">
        <w:rPr>
          <w:b/>
          <w:i/>
        </w:rPr>
        <w:t>a</w:t>
      </w:r>
      <w:r w:rsidR="00AA47FA" w:rsidRPr="007E4A0F">
        <w:rPr>
          <w:b/>
          <w:i/>
        </w:rPr>
        <w:t>nnexe</w:t>
      </w:r>
      <w:r w:rsidR="006C7CFD" w:rsidRPr="007E4A0F">
        <w:rPr>
          <w:b/>
          <w:i/>
        </w:rPr>
        <w:t> </w:t>
      </w:r>
      <w:r w:rsidR="0012066D" w:rsidRPr="007E4A0F">
        <w:rPr>
          <w:b/>
          <w:i/>
        </w:rPr>
        <w:t>II</w:t>
      </w:r>
      <w:r w:rsidR="00A141B3" w:rsidRPr="007E4A0F">
        <w:t xml:space="preserve"> au présent rapport.</w:t>
      </w:r>
    </w:p>
    <w:p w:rsidR="00947AF6" w:rsidRPr="007E4A0F" w:rsidRDefault="00030F2E" w:rsidP="00030F2E">
      <w:pPr>
        <w:pStyle w:val="Heading4"/>
        <w:rPr>
          <w:lang w:val="fr-FR"/>
        </w:rPr>
      </w:pPr>
      <w:r w:rsidRPr="007E4A0F">
        <w:rPr>
          <w:lang w:val="fr-FR"/>
        </w:rPr>
        <w:t>Déclarations de la direction – inscription de pertes de trésorerie, créances clients et éléments d</w:t>
      </w:r>
      <w:r w:rsidR="00B274E6" w:rsidRPr="007E4A0F">
        <w:rPr>
          <w:lang w:val="fr-FR"/>
        </w:rPr>
        <w:t>’</w:t>
      </w:r>
      <w:r w:rsidRPr="007E4A0F">
        <w:rPr>
          <w:lang w:val="fr-FR"/>
        </w:rPr>
        <w:t>actif</w:t>
      </w:r>
    </w:p>
    <w:p w:rsidR="00947AF6" w:rsidRPr="007E4A0F" w:rsidRDefault="00030F2E" w:rsidP="00030F2E">
      <w:pPr>
        <w:pStyle w:val="Style1"/>
      </w:pPr>
      <w:r w:rsidRPr="007E4A0F">
        <w:t>La direction a indiqué que l</w:t>
      </w:r>
      <w:r w:rsidR="00B274E6" w:rsidRPr="007E4A0F">
        <w:t>’</w:t>
      </w:r>
      <w:r w:rsidRPr="007E4A0F">
        <w:t>Organisation avait inscrit, conformément à l</w:t>
      </w:r>
      <w:r w:rsidR="00B274E6" w:rsidRPr="007E4A0F">
        <w:t>’</w:t>
      </w:r>
      <w:r w:rsidRPr="007E4A0F">
        <w:t>article</w:t>
      </w:r>
      <w:r w:rsidR="006C7CFD" w:rsidRPr="007E4A0F">
        <w:t> </w:t>
      </w:r>
      <w:r w:rsidRPr="007E4A0F">
        <w:t>6.4 du Règlement financier et de la règle</w:t>
      </w:r>
      <w:r w:rsidR="006C7CFD" w:rsidRPr="007E4A0F">
        <w:t> </w:t>
      </w:r>
      <w:r w:rsidRPr="007E4A0F">
        <w:t>106.8 du règlement d</w:t>
      </w:r>
      <w:r w:rsidR="00B274E6" w:rsidRPr="007E4A0F">
        <w:t>’</w:t>
      </w:r>
      <w:r w:rsidRPr="007E4A0F">
        <w:t>exécution du Règlement financier de l</w:t>
      </w:r>
      <w:r w:rsidR="00B274E6" w:rsidRPr="007E4A0F">
        <w:t>’</w:t>
      </w:r>
      <w:r w:rsidRPr="007E4A0F">
        <w:t>OMPI, les pertes suivantes pour l</w:t>
      </w:r>
      <w:r w:rsidR="00B274E6" w:rsidRPr="007E4A0F">
        <w:t>’</w:t>
      </w:r>
      <w:r w:rsidRPr="007E4A0F">
        <w:t>exercice se terminant au 3</w:t>
      </w:r>
      <w:r w:rsidR="00B274E6" w:rsidRPr="007E4A0F">
        <w:t>1 décembre 20</w:t>
      </w:r>
      <w:r w:rsidRPr="007E4A0F">
        <w:t>14 :</w:t>
      </w:r>
    </w:p>
    <w:p w:rsidR="00947AF6" w:rsidRPr="007E4A0F" w:rsidRDefault="00030F2E" w:rsidP="00030F2E">
      <w:pPr>
        <w:pStyle w:val="Style1"/>
        <w:numPr>
          <w:ilvl w:val="0"/>
          <w:numId w:val="12"/>
        </w:numPr>
        <w:ind w:left="1134" w:hanging="567"/>
      </w:pPr>
      <w:r w:rsidRPr="007E4A0F">
        <w:t>une perte sur créances clients de</w:t>
      </w:r>
      <w:r w:rsidR="006C7CFD" w:rsidRPr="007E4A0F">
        <w:t> </w:t>
      </w:r>
      <w:r w:rsidRPr="007E4A0F">
        <w:t>3258,50</w:t>
      </w:r>
      <w:r w:rsidR="006C7CFD" w:rsidRPr="007E4A0F">
        <w:t> </w:t>
      </w:r>
      <w:r w:rsidRPr="007E4A0F">
        <w:t>francs suisses a été inscrite pour</w:t>
      </w:r>
      <w:r w:rsidR="006C7CFD" w:rsidRPr="007E4A0F">
        <w:t> </w:t>
      </w:r>
      <w:r w:rsidRPr="007E4A0F">
        <w:t>2014.</w:t>
      </w:r>
      <w:r w:rsidR="0012066D" w:rsidRPr="007E4A0F">
        <w:t xml:space="preserve"> </w:t>
      </w:r>
      <w:r w:rsidR="006C7CFD" w:rsidRPr="007E4A0F">
        <w:t xml:space="preserve"> </w:t>
      </w:r>
      <w:r w:rsidRPr="007E4A0F">
        <w:t>Cette perte concernait 20 factures impayées de</w:t>
      </w:r>
      <w:r w:rsidR="006C7CFD" w:rsidRPr="007E4A0F">
        <w:t> </w:t>
      </w:r>
      <w:r w:rsidRPr="007E4A0F">
        <w:t>2013 se rapportant à des activités en matière de marques, dessins et modèles industriels et publications;</w:t>
      </w:r>
    </w:p>
    <w:p w:rsidR="00947AF6" w:rsidRPr="007E4A0F" w:rsidRDefault="00030F2E" w:rsidP="00030F2E">
      <w:pPr>
        <w:pStyle w:val="Style1"/>
        <w:numPr>
          <w:ilvl w:val="0"/>
          <w:numId w:val="12"/>
        </w:numPr>
        <w:ind w:left="1134" w:hanging="567"/>
      </w:pPr>
      <w:r w:rsidRPr="007E4A0F">
        <w:t>d</w:t>
      </w:r>
      <w:r w:rsidR="00B274E6" w:rsidRPr="007E4A0F">
        <w:t>’</w:t>
      </w:r>
      <w:r w:rsidRPr="007E4A0F">
        <w:t>autres pertes de faibles montants ont été subies au cours de l</w:t>
      </w:r>
      <w:r w:rsidR="00B274E6" w:rsidRPr="007E4A0F">
        <w:t>’</w:t>
      </w:r>
      <w:r w:rsidRPr="007E4A0F">
        <w:t>année, principalement sur des règlements de créances clients, pour un total de 20 759,41 francs suisses;</w:t>
      </w:r>
    </w:p>
    <w:p w:rsidR="00947AF6" w:rsidRPr="007E4A0F" w:rsidRDefault="00030F2E" w:rsidP="00030F2E">
      <w:pPr>
        <w:pStyle w:val="Style1"/>
        <w:numPr>
          <w:ilvl w:val="0"/>
          <w:numId w:val="12"/>
        </w:numPr>
        <w:ind w:left="1134" w:hanging="567"/>
      </w:pPr>
      <w:r w:rsidRPr="007E4A0F">
        <w:t>des charges à l</w:t>
      </w:r>
      <w:r w:rsidR="00B274E6" w:rsidRPr="007E4A0F">
        <w:t>’</w:t>
      </w:r>
      <w:r w:rsidRPr="007E4A0F">
        <w:t>Organisation relatives aux opérations effectuées sur les comptes spéciaux de contributions volontaires au cours de l</w:t>
      </w:r>
      <w:r w:rsidR="00B274E6" w:rsidRPr="007E4A0F">
        <w:t>’</w:t>
      </w:r>
      <w:r w:rsidRPr="007E4A0F">
        <w:t>année 2014, pour un montant total de 20 935,90</w:t>
      </w:r>
      <w:r w:rsidR="006C7CFD" w:rsidRPr="007E4A0F">
        <w:t> </w:t>
      </w:r>
      <w:r w:rsidRPr="007E4A0F">
        <w:t>francs suisses.</w:t>
      </w:r>
    </w:p>
    <w:p w:rsidR="00947AF6" w:rsidRPr="007E4A0F" w:rsidRDefault="00947AF6" w:rsidP="00A66643">
      <w:pPr>
        <w:rPr>
          <w:lang w:val="fr-FR"/>
        </w:rPr>
      </w:pPr>
    </w:p>
    <w:p w:rsidR="00947AF6" w:rsidRPr="007E4A0F" w:rsidRDefault="00A66643" w:rsidP="00A66643">
      <w:pPr>
        <w:spacing w:line="360" w:lineRule="auto"/>
        <w:ind w:left="567" w:right="567"/>
        <w:jc w:val="right"/>
        <w:rPr>
          <w:rFonts w:eastAsia="Times New Roman"/>
          <w:szCs w:val="22"/>
          <w:lang w:val="fr-FR" w:eastAsia="en-US"/>
        </w:rPr>
      </w:pPr>
      <w:r w:rsidRPr="007E4A0F">
        <w:rPr>
          <w:rFonts w:eastAsia="Times New Roman"/>
          <w:szCs w:val="22"/>
          <w:lang w:val="fr-FR" w:eastAsia="en-US"/>
        </w:rPr>
        <w:t>[Signé]</w:t>
      </w:r>
    </w:p>
    <w:p w:rsidR="00947AF6" w:rsidRPr="007E4A0F" w:rsidRDefault="00A66643" w:rsidP="00A66643">
      <w:pPr>
        <w:shd w:val="clear" w:color="auto" w:fill="FFFFFF"/>
        <w:tabs>
          <w:tab w:val="left" w:pos="709"/>
        </w:tabs>
        <w:spacing w:line="360" w:lineRule="auto"/>
        <w:ind w:left="567" w:right="567"/>
        <w:jc w:val="right"/>
        <w:rPr>
          <w:b/>
          <w:szCs w:val="22"/>
          <w:lang w:val="fr-FR" w:eastAsia="en-US"/>
        </w:rPr>
      </w:pPr>
      <w:r w:rsidRPr="007E4A0F">
        <w:rPr>
          <w:b/>
          <w:szCs w:val="22"/>
          <w:lang w:val="fr-FR" w:eastAsia="en-US"/>
        </w:rPr>
        <w:t>Shashi Kant Sharma</w:t>
      </w:r>
    </w:p>
    <w:p w:rsidR="00947AF6" w:rsidRPr="007E4A0F" w:rsidRDefault="00A66643" w:rsidP="00A66643">
      <w:pPr>
        <w:spacing w:line="360" w:lineRule="auto"/>
        <w:ind w:left="567" w:right="567"/>
        <w:jc w:val="right"/>
        <w:rPr>
          <w:b/>
          <w:szCs w:val="22"/>
          <w:lang w:val="fr-FR" w:eastAsia="en-US"/>
        </w:rPr>
      </w:pPr>
      <w:r w:rsidRPr="007E4A0F">
        <w:rPr>
          <w:b/>
          <w:szCs w:val="22"/>
          <w:lang w:val="fr-FR" w:eastAsia="en-US"/>
        </w:rPr>
        <w:t>Contrôleur et vérificateur général des comptes de l</w:t>
      </w:r>
      <w:r w:rsidR="00B274E6" w:rsidRPr="007E4A0F">
        <w:rPr>
          <w:b/>
          <w:szCs w:val="22"/>
          <w:lang w:val="fr-FR" w:eastAsia="en-US"/>
        </w:rPr>
        <w:t>’</w:t>
      </w:r>
      <w:r w:rsidRPr="007E4A0F">
        <w:rPr>
          <w:b/>
          <w:szCs w:val="22"/>
          <w:lang w:val="fr-FR" w:eastAsia="en-US"/>
        </w:rPr>
        <w:t>Inde</w:t>
      </w:r>
    </w:p>
    <w:p w:rsidR="00947AF6" w:rsidRPr="007E4A0F" w:rsidRDefault="00A66643" w:rsidP="00A66643">
      <w:pPr>
        <w:spacing w:line="360" w:lineRule="auto"/>
        <w:ind w:left="567" w:right="567"/>
        <w:jc w:val="right"/>
        <w:rPr>
          <w:b/>
          <w:szCs w:val="22"/>
          <w:lang w:val="fr-FR" w:eastAsia="en-US"/>
        </w:rPr>
      </w:pPr>
      <w:r w:rsidRPr="007E4A0F">
        <w:rPr>
          <w:b/>
          <w:szCs w:val="22"/>
          <w:lang w:val="fr-FR" w:eastAsia="en-US"/>
        </w:rPr>
        <w:t>Vérificateur externe des comptes</w:t>
      </w:r>
    </w:p>
    <w:p w:rsidR="00947AF6" w:rsidRPr="007E4A0F" w:rsidRDefault="00947AF6" w:rsidP="00A66643">
      <w:pPr>
        <w:spacing w:line="360" w:lineRule="auto"/>
        <w:ind w:left="567" w:right="567"/>
        <w:jc w:val="right"/>
        <w:rPr>
          <w:b/>
          <w:szCs w:val="22"/>
          <w:lang w:val="fr-FR" w:eastAsia="en-US"/>
        </w:rPr>
      </w:pPr>
    </w:p>
    <w:p w:rsidR="00947AF6" w:rsidRPr="007E4A0F" w:rsidRDefault="00A66643" w:rsidP="00A66643">
      <w:pPr>
        <w:spacing w:line="360" w:lineRule="auto"/>
        <w:ind w:left="567" w:right="567"/>
        <w:jc w:val="right"/>
        <w:rPr>
          <w:szCs w:val="22"/>
          <w:lang w:val="fr-FR" w:eastAsia="en-US"/>
        </w:rPr>
      </w:pPr>
      <w:r w:rsidRPr="007E4A0F">
        <w:rPr>
          <w:b/>
          <w:bCs/>
          <w:szCs w:val="22"/>
          <w:lang w:val="fr-FR" w:eastAsia="en-US"/>
        </w:rPr>
        <w:t>New Delhi (Inde)</w:t>
      </w:r>
    </w:p>
    <w:p w:rsidR="00947AF6" w:rsidRPr="007E4A0F" w:rsidRDefault="00B274E6" w:rsidP="00A66643">
      <w:pPr>
        <w:spacing w:line="360" w:lineRule="auto"/>
        <w:ind w:left="567" w:right="567"/>
        <w:jc w:val="right"/>
        <w:rPr>
          <w:b/>
          <w:szCs w:val="22"/>
          <w:lang w:val="fr-FR" w:eastAsia="en-US"/>
        </w:rPr>
      </w:pPr>
      <w:r w:rsidRPr="007E4A0F">
        <w:rPr>
          <w:b/>
          <w:szCs w:val="22"/>
          <w:lang w:val="fr-FR" w:eastAsia="en-US"/>
        </w:rPr>
        <w:t>7 juillet 20</w:t>
      </w:r>
      <w:r w:rsidR="00A66643" w:rsidRPr="007E4A0F">
        <w:rPr>
          <w:b/>
          <w:szCs w:val="22"/>
          <w:lang w:val="fr-FR" w:eastAsia="en-US"/>
        </w:rPr>
        <w:t>15</w:t>
      </w:r>
    </w:p>
    <w:p w:rsidR="00947AF6" w:rsidRPr="007E4A0F" w:rsidRDefault="00947AF6" w:rsidP="00A66643">
      <w:pPr>
        <w:rPr>
          <w:lang w:val="fr-FR" w:eastAsia="en-US"/>
        </w:rPr>
      </w:pPr>
    </w:p>
    <w:p w:rsidR="00A66643" w:rsidRPr="007E4A0F" w:rsidRDefault="00A66643" w:rsidP="00A66643">
      <w:pPr>
        <w:rPr>
          <w:lang w:val="fr-FR"/>
        </w:rPr>
        <w:sectPr w:rsidR="00A66643" w:rsidRPr="007E4A0F" w:rsidSect="00DE4235">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rsidR="00947AF6" w:rsidRPr="007E4A0F" w:rsidRDefault="0012066D" w:rsidP="00A66643">
      <w:pPr>
        <w:jc w:val="center"/>
        <w:rPr>
          <w:b/>
          <w:lang w:val="fr-FR"/>
        </w:rPr>
      </w:pPr>
      <w:r w:rsidRPr="007E4A0F">
        <w:rPr>
          <w:b/>
          <w:lang w:val="fr-FR"/>
        </w:rPr>
        <w:lastRenderedPageBreak/>
        <w:t>Annexe</w:t>
      </w:r>
      <w:r w:rsidR="006C7CFD" w:rsidRPr="007E4A0F">
        <w:rPr>
          <w:b/>
          <w:lang w:val="fr-FR"/>
        </w:rPr>
        <w:t> </w:t>
      </w:r>
      <w:r w:rsidRPr="007E4A0F">
        <w:rPr>
          <w:b/>
          <w:lang w:val="fr-FR"/>
        </w:rPr>
        <w:t xml:space="preserve">I </w:t>
      </w:r>
      <w:r w:rsidR="003F1152" w:rsidRPr="007E4A0F">
        <w:rPr>
          <w:b/>
          <w:lang w:val="fr-FR"/>
        </w:rPr>
        <w:t>–</w:t>
      </w:r>
      <w:r w:rsidRPr="007E4A0F">
        <w:rPr>
          <w:b/>
          <w:lang w:val="fr-FR"/>
        </w:rPr>
        <w:t xml:space="preserve"> </w:t>
      </w:r>
      <w:r w:rsidR="003F1152" w:rsidRPr="007E4A0F">
        <w:rPr>
          <w:b/>
          <w:lang w:val="fr-FR"/>
        </w:rPr>
        <w:t>Calendrier révisé</w:t>
      </w:r>
    </w:p>
    <w:p w:rsidR="00947AF6" w:rsidRPr="007E4A0F" w:rsidRDefault="00947AF6" w:rsidP="00A66643">
      <w:pPr>
        <w:jc w:val="center"/>
        <w:rPr>
          <w:b/>
          <w:lang w:val="fr-FR"/>
        </w:rPr>
      </w:pPr>
    </w:p>
    <w:p w:rsidR="00947AF6" w:rsidRPr="007E4A0F" w:rsidRDefault="004C6D1C" w:rsidP="00A66643">
      <w:pPr>
        <w:jc w:val="center"/>
        <w:rPr>
          <w:b/>
          <w:lang w:val="fr-FR"/>
        </w:rPr>
      </w:pPr>
      <w:r w:rsidRPr="007E4A0F">
        <w:rPr>
          <w:noProof/>
          <w:lang w:val="en-US" w:eastAsia="en-US"/>
        </w:rPr>
        <w:drawing>
          <wp:inline distT="0" distB="0" distL="0" distR="0" wp14:anchorId="40C8DABC" wp14:editId="747C385C">
            <wp:extent cx="9418045" cy="5349922"/>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32706" cy="5358250"/>
                    </a:xfrm>
                    <a:prstGeom prst="rect">
                      <a:avLst/>
                    </a:prstGeom>
                    <a:noFill/>
                    <a:ln>
                      <a:noFill/>
                    </a:ln>
                  </pic:spPr>
                </pic:pic>
              </a:graphicData>
            </a:graphic>
          </wp:inline>
        </w:drawing>
      </w:r>
    </w:p>
    <w:p w:rsidR="00947AF6" w:rsidRPr="007E4A0F" w:rsidRDefault="00947AF6" w:rsidP="0012066D">
      <w:pPr>
        <w:jc w:val="center"/>
        <w:rPr>
          <w:rFonts w:ascii="Times New Roman" w:hAnsi="Times New Roman"/>
          <w:noProof/>
          <w:sz w:val="24"/>
          <w:szCs w:val="24"/>
          <w:lang w:val="fr-FR" w:eastAsia="en-IN"/>
        </w:rPr>
      </w:pPr>
    </w:p>
    <w:p w:rsidR="00A66643" w:rsidRPr="007E4A0F" w:rsidRDefault="00A66643" w:rsidP="0012066D">
      <w:pPr>
        <w:jc w:val="center"/>
        <w:rPr>
          <w:rFonts w:ascii="Times New Roman" w:hAnsi="Times New Roman" w:cs="Times New Roman"/>
          <w:b/>
          <w:sz w:val="24"/>
          <w:szCs w:val="24"/>
          <w:lang w:val="fr-FR"/>
        </w:rPr>
        <w:sectPr w:rsidR="00A66643" w:rsidRPr="007E4A0F" w:rsidSect="00A66643">
          <w:footerReference w:type="first" r:id="rId21"/>
          <w:endnotePr>
            <w:numFmt w:val="decimal"/>
          </w:endnotePr>
          <w:pgSz w:w="16840" w:h="11907" w:orient="landscape" w:code="9"/>
          <w:pgMar w:top="1418" w:right="567" w:bottom="1134" w:left="1418" w:header="510" w:footer="1021" w:gutter="0"/>
          <w:cols w:space="720"/>
          <w:titlePg/>
          <w:docGrid w:linePitch="299"/>
        </w:sectPr>
      </w:pPr>
    </w:p>
    <w:p w:rsidR="00947AF6" w:rsidRPr="007E4A0F" w:rsidRDefault="00AA47FA" w:rsidP="004C6D1C">
      <w:pPr>
        <w:jc w:val="center"/>
        <w:rPr>
          <w:b/>
          <w:lang w:val="fr-FR"/>
        </w:rPr>
      </w:pPr>
      <w:r w:rsidRPr="007E4A0F">
        <w:rPr>
          <w:b/>
          <w:lang w:val="fr-FR"/>
        </w:rPr>
        <w:lastRenderedPageBreak/>
        <w:t>Annexe</w:t>
      </w:r>
      <w:r w:rsidR="006C7CFD" w:rsidRPr="007E4A0F">
        <w:rPr>
          <w:b/>
          <w:lang w:val="fr-FR"/>
        </w:rPr>
        <w:t> </w:t>
      </w:r>
      <w:r w:rsidR="0012066D" w:rsidRPr="007E4A0F">
        <w:rPr>
          <w:b/>
          <w:lang w:val="fr-FR"/>
        </w:rPr>
        <w:t>II</w:t>
      </w:r>
    </w:p>
    <w:p w:rsidR="00947AF6" w:rsidRPr="007E4A0F" w:rsidRDefault="00030F2E" w:rsidP="00030F2E">
      <w:pPr>
        <w:jc w:val="center"/>
        <w:rPr>
          <w:b/>
          <w:lang w:val="fr-FR"/>
        </w:rPr>
      </w:pPr>
      <w:r w:rsidRPr="007E4A0F">
        <w:rPr>
          <w:b/>
          <w:lang w:val="fr-FR"/>
        </w:rPr>
        <w:t>État d</w:t>
      </w:r>
      <w:r w:rsidR="00B274E6" w:rsidRPr="007E4A0F">
        <w:rPr>
          <w:b/>
          <w:lang w:val="fr-FR"/>
        </w:rPr>
        <w:t>’</w:t>
      </w:r>
      <w:r w:rsidRPr="007E4A0F">
        <w:rPr>
          <w:b/>
          <w:lang w:val="fr-FR"/>
        </w:rPr>
        <w:t>avancement de la mise en œuvre par l</w:t>
      </w:r>
      <w:r w:rsidR="00B274E6" w:rsidRPr="007E4A0F">
        <w:rPr>
          <w:b/>
          <w:lang w:val="fr-FR"/>
        </w:rPr>
        <w:t>’</w:t>
      </w:r>
      <w:r w:rsidRPr="007E4A0F">
        <w:rPr>
          <w:b/>
          <w:lang w:val="fr-FR"/>
        </w:rPr>
        <w:t>OMPI des recommandations</w:t>
      </w:r>
      <w:r w:rsidR="00AF77AA" w:rsidRPr="007E4A0F">
        <w:rPr>
          <w:b/>
          <w:lang w:val="fr-FR"/>
        </w:rPr>
        <w:br/>
      </w:r>
      <w:r w:rsidRPr="007E4A0F">
        <w:rPr>
          <w:b/>
          <w:lang w:val="fr-FR"/>
        </w:rPr>
        <w:t>de l</w:t>
      </w:r>
      <w:r w:rsidR="00B274E6" w:rsidRPr="007E4A0F">
        <w:rPr>
          <w:b/>
          <w:lang w:val="fr-FR"/>
        </w:rPr>
        <w:t>’</w:t>
      </w:r>
      <w:r w:rsidRPr="007E4A0F">
        <w:rPr>
          <w:b/>
          <w:lang w:val="fr-FR"/>
        </w:rPr>
        <w:t>audit externe</w:t>
      </w:r>
    </w:p>
    <w:p w:rsidR="004C6D1C" w:rsidRPr="007E4A0F" w:rsidRDefault="004C6D1C" w:rsidP="004C6D1C">
      <w:pPr>
        <w:jc w:val="center"/>
        <w:rPr>
          <w:b/>
          <w:lang w:val="fr-FR"/>
        </w:rPr>
      </w:pPr>
    </w:p>
    <w:tbl>
      <w:tblPr>
        <w:tblW w:w="4811"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17"/>
        <w:gridCol w:w="7"/>
        <w:gridCol w:w="2078"/>
        <w:gridCol w:w="3647"/>
        <w:gridCol w:w="35"/>
        <w:gridCol w:w="2079"/>
        <w:gridCol w:w="46"/>
      </w:tblGrid>
      <w:tr w:rsidR="007E4A0F" w:rsidRPr="007E4A0F" w:rsidTr="00AF77AA">
        <w:trPr>
          <w:gridAfter w:val="1"/>
          <w:wAfter w:w="25" w:type="pct"/>
          <w:trHeight w:val="273"/>
        </w:trPr>
        <w:tc>
          <w:tcPr>
            <w:tcW w:w="715" w:type="pct"/>
            <w:shd w:val="clear" w:color="auto" w:fill="auto"/>
            <w:hideMark/>
          </w:tcPr>
          <w:p w:rsidR="0012066D" w:rsidRPr="007E4A0F" w:rsidRDefault="00030F2E" w:rsidP="00030F2E">
            <w:pPr>
              <w:rPr>
                <w:b/>
                <w:bCs/>
                <w:szCs w:val="22"/>
                <w:lang w:val="fr-FR"/>
              </w:rPr>
            </w:pPr>
            <w:r w:rsidRPr="007E4A0F">
              <w:rPr>
                <w:b/>
                <w:bCs/>
                <w:szCs w:val="22"/>
                <w:lang w:val="fr-FR"/>
              </w:rPr>
              <w:t>Audit</w:t>
            </w:r>
          </w:p>
        </w:tc>
        <w:tc>
          <w:tcPr>
            <w:tcW w:w="1132" w:type="pct"/>
            <w:gridSpan w:val="2"/>
            <w:shd w:val="clear" w:color="auto" w:fill="auto"/>
            <w:hideMark/>
          </w:tcPr>
          <w:p w:rsidR="0012066D" w:rsidRPr="007E4A0F" w:rsidRDefault="00030F2E" w:rsidP="00030F2E">
            <w:pPr>
              <w:rPr>
                <w:b/>
                <w:bCs/>
                <w:szCs w:val="22"/>
                <w:lang w:val="fr-FR"/>
              </w:rPr>
            </w:pPr>
            <w:r w:rsidRPr="007E4A0F">
              <w:rPr>
                <w:b/>
                <w:bCs/>
                <w:szCs w:val="22"/>
                <w:lang w:val="fr-FR"/>
              </w:rPr>
              <w:t xml:space="preserve">Recommandation </w:t>
            </w:r>
          </w:p>
        </w:tc>
        <w:tc>
          <w:tcPr>
            <w:tcW w:w="1980" w:type="pct"/>
            <w:shd w:val="clear" w:color="auto" w:fill="auto"/>
            <w:hideMark/>
          </w:tcPr>
          <w:p w:rsidR="0012066D" w:rsidRPr="007E4A0F" w:rsidRDefault="00030F2E" w:rsidP="00030F2E">
            <w:pPr>
              <w:rPr>
                <w:b/>
                <w:bCs/>
                <w:szCs w:val="22"/>
                <w:lang w:val="fr-FR"/>
              </w:rPr>
            </w:pPr>
            <w:r w:rsidRPr="007E4A0F">
              <w:rPr>
                <w:b/>
                <w:bCs/>
                <w:szCs w:val="22"/>
                <w:lang w:val="fr-FR"/>
              </w:rPr>
              <w:t>Réponse de la direction</w:t>
            </w:r>
          </w:p>
        </w:tc>
        <w:tc>
          <w:tcPr>
            <w:tcW w:w="1148" w:type="pct"/>
            <w:gridSpan w:val="2"/>
            <w:shd w:val="clear" w:color="auto" w:fill="auto"/>
            <w:hideMark/>
          </w:tcPr>
          <w:p w:rsidR="0012066D" w:rsidRPr="007E4A0F" w:rsidRDefault="00030F2E" w:rsidP="00030F2E">
            <w:pPr>
              <w:rPr>
                <w:b/>
                <w:bCs/>
                <w:szCs w:val="22"/>
                <w:lang w:val="fr-FR"/>
              </w:rPr>
            </w:pPr>
            <w:r w:rsidRPr="007E4A0F">
              <w:rPr>
                <w:b/>
                <w:bCs/>
                <w:szCs w:val="22"/>
                <w:lang w:val="fr-FR"/>
              </w:rPr>
              <w:t>Observations</w:t>
            </w:r>
          </w:p>
        </w:tc>
      </w:tr>
      <w:tr w:rsidR="007E4A0F" w:rsidRPr="007E4A0F" w:rsidTr="00AF77AA">
        <w:trPr>
          <w:gridAfter w:val="1"/>
          <w:wAfter w:w="25" w:type="pct"/>
          <w:trHeight w:val="1828"/>
        </w:trPr>
        <w:tc>
          <w:tcPr>
            <w:tcW w:w="715" w:type="pct"/>
            <w:shd w:val="clear" w:color="auto" w:fill="auto"/>
            <w:hideMark/>
          </w:tcPr>
          <w:p w:rsidR="00947AF6" w:rsidRPr="007E4A0F" w:rsidRDefault="00E22982" w:rsidP="00E22982">
            <w:pPr>
              <w:rPr>
                <w:szCs w:val="22"/>
                <w:lang w:val="fr-FR"/>
              </w:rPr>
            </w:pPr>
            <w:r w:rsidRPr="007E4A0F">
              <w:rPr>
                <w:szCs w:val="22"/>
                <w:lang w:val="fr-FR"/>
              </w:rPr>
              <w:t>Audit financier</w:t>
            </w: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12066D" w:rsidRPr="007E4A0F" w:rsidRDefault="0012066D" w:rsidP="0012066D">
            <w:pPr>
              <w:rPr>
                <w:szCs w:val="22"/>
                <w:lang w:val="fr-FR"/>
              </w:rPr>
            </w:pP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La direction pourrait envisager dans l</w:t>
            </w:r>
            <w:r w:rsidR="00B274E6" w:rsidRPr="007E4A0F">
              <w:rPr>
                <w:szCs w:val="22"/>
                <w:lang w:val="fr-FR"/>
              </w:rPr>
              <w:t>’</w:t>
            </w:r>
            <w:r w:rsidRPr="007E4A0F">
              <w:rPr>
                <w:szCs w:val="22"/>
                <w:lang w:val="fr-FR"/>
              </w:rPr>
              <w:t>optique d</w:t>
            </w:r>
            <w:r w:rsidR="00B274E6" w:rsidRPr="007E4A0F">
              <w:rPr>
                <w:szCs w:val="22"/>
                <w:lang w:val="fr-FR"/>
              </w:rPr>
              <w:t>’</w:t>
            </w:r>
            <w:r w:rsidRPr="007E4A0F">
              <w:rPr>
                <w:szCs w:val="22"/>
                <w:lang w:val="fr-FR"/>
              </w:rPr>
              <w:t>améliorer la gestion financière d</w:t>
            </w:r>
            <w:r w:rsidR="00B274E6" w:rsidRPr="007E4A0F">
              <w:rPr>
                <w:szCs w:val="22"/>
                <w:lang w:val="fr-FR"/>
              </w:rPr>
              <w:t>’</w:t>
            </w:r>
            <w:r w:rsidRPr="007E4A0F">
              <w:rPr>
                <w:szCs w:val="22"/>
                <w:lang w:val="fr-FR"/>
              </w:rPr>
              <w:t>établir et de mettre en œuvre une politique de trésorerie et de gestion de trésorerie adéquate qui s</w:t>
            </w:r>
            <w:r w:rsidR="00B274E6" w:rsidRPr="007E4A0F">
              <w:rPr>
                <w:szCs w:val="22"/>
                <w:lang w:val="fr-FR"/>
              </w:rPr>
              <w:t>’</w:t>
            </w:r>
            <w:r w:rsidRPr="007E4A0F">
              <w:rPr>
                <w:szCs w:val="22"/>
                <w:lang w:val="fr-FR"/>
              </w:rPr>
              <w:t>étende également aux emprunts.</w:t>
            </w:r>
          </w:p>
        </w:tc>
        <w:tc>
          <w:tcPr>
            <w:tcW w:w="1980" w:type="pct"/>
            <w:shd w:val="clear" w:color="auto" w:fill="auto"/>
            <w:hideMark/>
          </w:tcPr>
          <w:p w:rsidR="0012066D" w:rsidRPr="007E4A0F" w:rsidRDefault="00E2246E" w:rsidP="00AF77AA">
            <w:pPr>
              <w:rPr>
                <w:szCs w:val="22"/>
                <w:lang w:val="fr-FR"/>
              </w:rPr>
            </w:pPr>
            <w:r w:rsidRPr="007E4A0F">
              <w:rPr>
                <w:szCs w:val="22"/>
                <w:lang w:val="fr-FR"/>
              </w:rPr>
              <w:t>Une politique de trésorerie et de gestion de trésorerie a été élaborée par d</w:t>
            </w:r>
            <w:r w:rsidR="00D64C0D" w:rsidRPr="007E4A0F">
              <w:rPr>
                <w:szCs w:val="22"/>
                <w:lang w:val="fr-FR"/>
              </w:rPr>
              <w:t>es spécialistes externes au début de</w:t>
            </w:r>
            <w:r w:rsidR="006C7CFD" w:rsidRPr="007E4A0F">
              <w:rPr>
                <w:szCs w:val="22"/>
                <w:lang w:val="fr-FR"/>
              </w:rPr>
              <w:t> </w:t>
            </w:r>
            <w:r w:rsidR="00D64C0D" w:rsidRPr="007E4A0F">
              <w:rPr>
                <w:szCs w:val="22"/>
                <w:lang w:val="fr-FR"/>
              </w:rPr>
              <w:t>2014 et soumise à l</w:t>
            </w:r>
            <w:r w:rsidR="00B274E6" w:rsidRPr="007E4A0F">
              <w:rPr>
                <w:szCs w:val="22"/>
                <w:lang w:val="fr-FR"/>
              </w:rPr>
              <w:t>’</w:t>
            </w:r>
            <w:r w:rsidR="00D64C0D" w:rsidRPr="007E4A0F">
              <w:rPr>
                <w:szCs w:val="22"/>
                <w:lang w:val="fr-FR"/>
              </w:rPr>
              <w:t xml:space="preserve">OMPI.  Quelques semaines plus tard, </w:t>
            </w:r>
            <w:r w:rsidR="005E132A" w:rsidRPr="007E4A0F">
              <w:rPr>
                <w:szCs w:val="22"/>
                <w:lang w:val="fr-FR"/>
              </w:rPr>
              <w:t>les autorités suisses ont informé l</w:t>
            </w:r>
            <w:r w:rsidR="00B274E6" w:rsidRPr="007E4A0F">
              <w:rPr>
                <w:szCs w:val="22"/>
                <w:lang w:val="fr-FR"/>
              </w:rPr>
              <w:t>’</w:t>
            </w:r>
            <w:r w:rsidR="005E132A" w:rsidRPr="007E4A0F">
              <w:rPr>
                <w:szCs w:val="22"/>
                <w:lang w:val="fr-FR"/>
              </w:rPr>
              <w:t>OMPI qu</w:t>
            </w:r>
            <w:r w:rsidR="00B274E6" w:rsidRPr="007E4A0F">
              <w:rPr>
                <w:szCs w:val="22"/>
                <w:lang w:val="fr-FR"/>
              </w:rPr>
              <w:t>’</w:t>
            </w:r>
            <w:r w:rsidR="005E132A" w:rsidRPr="007E4A0F">
              <w:rPr>
                <w:szCs w:val="22"/>
                <w:lang w:val="fr-FR"/>
              </w:rPr>
              <w:t xml:space="preserve">elle ne serait plus autorisée à </w:t>
            </w:r>
            <w:r w:rsidR="00671A86" w:rsidRPr="007E4A0F">
              <w:rPr>
                <w:szCs w:val="22"/>
                <w:lang w:val="fr-FR"/>
              </w:rPr>
              <w:t xml:space="preserve">placer des fonds en </w:t>
            </w:r>
            <w:r w:rsidR="005E132A" w:rsidRPr="007E4A0F">
              <w:rPr>
                <w:szCs w:val="22"/>
                <w:lang w:val="fr-FR"/>
              </w:rPr>
              <w:t xml:space="preserve">dépôt auprès </w:t>
            </w:r>
            <w:r w:rsidR="00671A86" w:rsidRPr="007E4A0F">
              <w:rPr>
                <w:szCs w:val="22"/>
                <w:lang w:val="fr-FR"/>
              </w:rPr>
              <w:t>d</w:t>
            </w:r>
            <w:r w:rsidR="00B274E6" w:rsidRPr="007E4A0F">
              <w:rPr>
                <w:szCs w:val="22"/>
                <w:lang w:val="fr-FR"/>
              </w:rPr>
              <w:t>’</w:t>
            </w:r>
            <w:r w:rsidR="00671A86" w:rsidRPr="007E4A0F">
              <w:rPr>
                <w:szCs w:val="22"/>
                <w:lang w:val="fr-FR"/>
              </w:rPr>
              <w:t xml:space="preserve">elles, et </w:t>
            </w:r>
            <w:r w:rsidR="00D8436A" w:rsidRPr="007E4A0F">
              <w:rPr>
                <w:szCs w:val="22"/>
                <w:lang w:val="fr-FR"/>
              </w:rPr>
              <w:t>avait jusqu</w:t>
            </w:r>
            <w:r w:rsidR="00B274E6" w:rsidRPr="007E4A0F">
              <w:rPr>
                <w:szCs w:val="22"/>
                <w:lang w:val="fr-FR"/>
              </w:rPr>
              <w:t>’</w:t>
            </w:r>
            <w:r w:rsidR="00D8436A" w:rsidRPr="007E4A0F">
              <w:rPr>
                <w:szCs w:val="22"/>
                <w:lang w:val="fr-FR"/>
              </w:rPr>
              <w:t xml:space="preserve">à </w:t>
            </w:r>
            <w:r w:rsidR="00B274E6" w:rsidRPr="007E4A0F">
              <w:rPr>
                <w:szCs w:val="22"/>
                <w:lang w:val="fr-FR"/>
              </w:rPr>
              <w:t>décembre 20</w:t>
            </w:r>
            <w:r w:rsidR="00D8436A" w:rsidRPr="007E4A0F">
              <w:rPr>
                <w:szCs w:val="22"/>
                <w:lang w:val="fr-FR"/>
              </w:rPr>
              <w:t xml:space="preserve">15 pour retirer ces fonds.  </w:t>
            </w:r>
            <w:r w:rsidR="002B7233" w:rsidRPr="007E4A0F">
              <w:rPr>
                <w:szCs w:val="22"/>
                <w:lang w:val="fr-FR"/>
              </w:rPr>
              <w:t>Ce</w:t>
            </w:r>
            <w:r w:rsidR="00571AB9" w:rsidRPr="007E4A0F">
              <w:rPr>
                <w:szCs w:val="22"/>
                <w:lang w:val="fr-FR"/>
              </w:rPr>
              <w:t>tte décision oblige l</w:t>
            </w:r>
            <w:r w:rsidR="00B274E6" w:rsidRPr="007E4A0F">
              <w:rPr>
                <w:szCs w:val="22"/>
                <w:lang w:val="fr-FR"/>
              </w:rPr>
              <w:t>’</w:t>
            </w:r>
            <w:r w:rsidR="00571AB9" w:rsidRPr="007E4A0F">
              <w:rPr>
                <w:szCs w:val="22"/>
                <w:lang w:val="fr-FR"/>
              </w:rPr>
              <w:t>Organisation à apporter des</w:t>
            </w:r>
            <w:r w:rsidR="002B7233" w:rsidRPr="007E4A0F">
              <w:rPr>
                <w:szCs w:val="22"/>
                <w:lang w:val="fr-FR"/>
              </w:rPr>
              <w:t xml:space="preserve"> changement</w:t>
            </w:r>
            <w:r w:rsidR="00571AB9" w:rsidRPr="007E4A0F">
              <w:rPr>
                <w:szCs w:val="22"/>
                <w:lang w:val="fr-FR"/>
              </w:rPr>
              <w:t>s importants à sa politique en matière de placements et peut</w:t>
            </w:r>
            <w:r w:rsidR="00CB1BDA" w:rsidRPr="007E4A0F">
              <w:rPr>
                <w:szCs w:val="22"/>
                <w:lang w:val="fr-FR"/>
              </w:rPr>
              <w:noBreakHyphen/>
            </w:r>
            <w:r w:rsidR="00571AB9" w:rsidRPr="007E4A0F">
              <w:rPr>
                <w:szCs w:val="22"/>
                <w:lang w:val="fr-FR"/>
              </w:rPr>
              <w:t>être aussi à sa politique de gestion des risques liés aux partenaires financiers</w:t>
            </w:r>
            <w:r w:rsidR="005F008B" w:rsidRPr="007E4A0F">
              <w:rPr>
                <w:szCs w:val="22"/>
                <w:lang w:val="fr-FR"/>
              </w:rPr>
              <w:t xml:space="preserve">, </w:t>
            </w:r>
            <w:r w:rsidR="001147C7" w:rsidRPr="007E4A0F">
              <w:rPr>
                <w:szCs w:val="22"/>
                <w:lang w:val="fr-FR"/>
              </w:rPr>
              <w:t xml:space="preserve">laquelle fait partie, </w:t>
            </w:r>
            <w:r w:rsidR="005F008B" w:rsidRPr="007E4A0F">
              <w:rPr>
                <w:szCs w:val="22"/>
                <w:lang w:val="fr-FR"/>
              </w:rPr>
              <w:t>au même titre que</w:t>
            </w:r>
            <w:r w:rsidR="001147C7" w:rsidRPr="007E4A0F">
              <w:rPr>
                <w:szCs w:val="22"/>
                <w:lang w:val="fr-FR"/>
              </w:rPr>
              <w:t xml:space="preserve"> la précédente, de sa politique de trésorerie et de gestion de trésorerie.</w:t>
            </w:r>
            <w:r w:rsidR="00213EA4" w:rsidRPr="007E4A0F">
              <w:rPr>
                <w:szCs w:val="22"/>
                <w:lang w:val="fr-FR"/>
              </w:rPr>
              <w:t xml:space="preserve"> </w:t>
            </w:r>
            <w:r w:rsidR="006C7CFD" w:rsidRPr="007E4A0F">
              <w:rPr>
                <w:szCs w:val="22"/>
                <w:lang w:val="fr-FR"/>
              </w:rPr>
              <w:t xml:space="preserve"> </w:t>
            </w:r>
            <w:r w:rsidR="00213EA4" w:rsidRPr="007E4A0F">
              <w:rPr>
                <w:szCs w:val="22"/>
                <w:lang w:val="fr-FR"/>
              </w:rPr>
              <w:t>Cela a conduit à la présentation</w:t>
            </w:r>
            <w:r w:rsidR="00B274E6" w:rsidRPr="007E4A0F">
              <w:rPr>
                <w:szCs w:val="22"/>
                <w:lang w:val="fr-FR"/>
              </w:rPr>
              <w:t xml:space="preserve"> au PBC</w:t>
            </w:r>
            <w:r w:rsidR="00213EA4" w:rsidRPr="007E4A0F">
              <w:rPr>
                <w:szCs w:val="22"/>
                <w:lang w:val="fr-FR"/>
              </w:rPr>
              <w:t xml:space="preserve">, en </w:t>
            </w:r>
            <w:r w:rsidR="00B274E6" w:rsidRPr="007E4A0F">
              <w:rPr>
                <w:szCs w:val="22"/>
                <w:lang w:val="fr-FR"/>
              </w:rPr>
              <w:t>septembre 20</w:t>
            </w:r>
            <w:r w:rsidR="00213EA4" w:rsidRPr="007E4A0F">
              <w:rPr>
                <w:szCs w:val="22"/>
                <w:lang w:val="fr-FR"/>
              </w:rPr>
              <w:t>14, du document WO/PBC/22/19</w:t>
            </w:r>
            <w:r w:rsidR="00271E80" w:rsidRPr="007E4A0F">
              <w:rPr>
                <w:szCs w:val="22"/>
                <w:lang w:val="fr-FR"/>
              </w:rPr>
              <w:t>, visant à obtenir un avis sur la marche à suivre</w:t>
            </w:r>
            <w:r w:rsidR="007E3647" w:rsidRPr="007E4A0F">
              <w:rPr>
                <w:szCs w:val="22"/>
                <w:lang w:val="fr-FR"/>
              </w:rPr>
              <w:t xml:space="preserve"> concernant la modification de la politique en matière de placements.  La décision</w:t>
            </w:r>
            <w:r w:rsidR="00B274E6" w:rsidRPr="007E4A0F">
              <w:rPr>
                <w:szCs w:val="22"/>
                <w:lang w:val="fr-FR"/>
              </w:rPr>
              <w:t xml:space="preserve"> du PBC</w:t>
            </w:r>
            <w:r w:rsidR="007E3647" w:rsidRPr="007E4A0F">
              <w:rPr>
                <w:szCs w:val="22"/>
                <w:lang w:val="fr-FR"/>
              </w:rPr>
              <w:t xml:space="preserve"> fut de demander au Secrétariat </w:t>
            </w:r>
            <w:r w:rsidR="00524088" w:rsidRPr="007E4A0F">
              <w:rPr>
                <w:szCs w:val="22"/>
                <w:lang w:val="fr-FR"/>
              </w:rPr>
              <w:t>“</w:t>
            </w:r>
            <w:r w:rsidR="007E3647" w:rsidRPr="007E4A0F">
              <w:rPr>
                <w:szCs w:val="22"/>
                <w:lang w:val="fr-FR"/>
              </w:rPr>
              <w:t xml:space="preserve">de présenter une proposition détaillée concernant une version révisée de la politique, à sa prochaine session, après examen et approbation du Comité consultatif des investissements et de mener une étude de la gestion </w:t>
            </w:r>
            <w:r w:rsidR="0051400B" w:rsidRPr="007E4A0F">
              <w:rPr>
                <w:szCs w:val="22"/>
                <w:lang w:val="fr-FR"/>
              </w:rPr>
              <w:t>acti</w:t>
            </w:r>
            <w:r w:rsidR="005F008B" w:rsidRPr="007E4A0F">
              <w:rPr>
                <w:szCs w:val="22"/>
                <w:lang w:val="fr-FR"/>
              </w:rPr>
              <w:t>f</w:t>
            </w:r>
            <w:r w:rsidR="00CB1BDA" w:rsidRPr="007E4A0F">
              <w:rPr>
                <w:szCs w:val="22"/>
                <w:lang w:val="fr-FR"/>
              </w:rPr>
              <w:noBreakHyphen/>
            </w:r>
            <w:r w:rsidR="0051400B" w:rsidRPr="007E4A0F">
              <w:rPr>
                <w:szCs w:val="22"/>
                <w:lang w:val="fr-FR"/>
              </w:rPr>
              <w:t>passif et présenter une politique en matière de placements spécialement destinée au financement de l</w:t>
            </w:r>
            <w:r w:rsidR="00B274E6" w:rsidRPr="007E4A0F">
              <w:rPr>
                <w:szCs w:val="22"/>
                <w:lang w:val="fr-FR"/>
              </w:rPr>
              <w:t>’</w:t>
            </w:r>
            <w:r w:rsidR="0051400B" w:rsidRPr="007E4A0F">
              <w:rPr>
                <w:szCs w:val="22"/>
                <w:lang w:val="fr-FR"/>
              </w:rPr>
              <w:t>AMCS, après examen et approbation du Comité consultatif des investissements</w:t>
            </w:r>
            <w:r w:rsidR="00524088" w:rsidRPr="007E4A0F">
              <w:rPr>
                <w:szCs w:val="22"/>
                <w:lang w:val="fr-FR"/>
              </w:rPr>
              <w:t>”</w:t>
            </w:r>
            <w:r w:rsidR="0051400B" w:rsidRPr="007E4A0F">
              <w:rPr>
                <w:szCs w:val="22"/>
                <w:lang w:val="fr-FR"/>
              </w:rPr>
              <w:t xml:space="preserve">. </w:t>
            </w:r>
            <w:r w:rsidR="00B21528" w:rsidRPr="007E4A0F">
              <w:rPr>
                <w:szCs w:val="22"/>
                <w:lang w:val="fr-FR"/>
              </w:rPr>
              <w:t xml:space="preserve"> Des travaux sont en cours concernant</w:t>
            </w:r>
            <w:r w:rsidR="009B3D9D" w:rsidRPr="007E4A0F">
              <w:rPr>
                <w:szCs w:val="22"/>
                <w:lang w:val="fr-FR"/>
              </w:rPr>
              <w:t xml:space="preserve"> la révision de la politique en matière de placements et l</w:t>
            </w:r>
            <w:r w:rsidR="00B274E6" w:rsidRPr="007E4A0F">
              <w:rPr>
                <w:szCs w:val="22"/>
                <w:lang w:val="fr-FR"/>
              </w:rPr>
              <w:t>’</w:t>
            </w:r>
            <w:r w:rsidR="009B3D9D" w:rsidRPr="007E4A0F">
              <w:rPr>
                <w:szCs w:val="22"/>
                <w:lang w:val="fr-FR"/>
              </w:rPr>
              <w:t>élaboration d</w:t>
            </w:r>
            <w:r w:rsidR="00B274E6" w:rsidRPr="007E4A0F">
              <w:rPr>
                <w:szCs w:val="22"/>
                <w:lang w:val="fr-FR"/>
              </w:rPr>
              <w:t>’</w:t>
            </w:r>
            <w:r w:rsidR="009B3D9D" w:rsidRPr="007E4A0F">
              <w:rPr>
                <w:szCs w:val="22"/>
                <w:lang w:val="fr-FR"/>
              </w:rPr>
              <w:t>une politique en matière de placements spécialement destinée au financement de l</w:t>
            </w:r>
            <w:r w:rsidR="00B274E6" w:rsidRPr="007E4A0F">
              <w:rPr>
                <w:szCs w:val="22"/>
                <w:lang w:val="fr-FR"/>
              </w:rPr>
              <w:t>’</w:t>
            </w:r>
            <w:r w:rsidR="009B3D9D" w:rsidRPr="007E4A0F">
              <w:rPr>
                <w:szCs w:val="22"/>
                <w:lang w:val="fr-FR"/>
              </w:rPr>
              <w:t xml:space="preserve">AMCS.  Le Comité consultatif des </w:t>
            </w:r>
            <w:r w:rsidR="009B3D9D" w:rsidRPr="007E4A0F">
              <w:rPr>
                <w:szCs w:val="22"/>
                <w:lang w:val="fr-FR"/>
              </w:rPr>
              <w:lastRenderedPageBreak/>
              <w:t>investissements travail</w:t>
            </w:r>
            <w:r w:rsidR="00366388" w:rsidRPr="007E4A0F">
              <w:rPr>
                <w:szCs w:val="22"/>
                <w:lang w:val="fr-FR"/>
              </w:rPr>
              <w:t>le</w:t>
            </w:r>
            <w:r w:rsidR="009B3D9D" w:rsidRPr="007E4A0F">
              <w:rPr>
                <w:szCs w:val="22"/>
                <w:lang w:val="fr-FR"/>
              </w:rPr>
              <w:t xml:space="preserve"> à l</w:t>
            </w:r>
            <w:r w:rsidR="00B274E6" w:rsidRPr="007E4A0F">
              <w:rPr>
                <w:szCs w:val="22"/>
                <w:lang w:val="fr-FR"/>
              </w:rPr>
              <w:t>’</w:t>
            </w:r>
            <w:r w:rsidR="009B3D9D" w:rsidRPr="007E4A0F">
              <w:rPr>
                <w:szCs w:val="22"/>
                <w:lang w:val="fr-FR"/>
              </w:rPr>
              <w:t>organisation d</w:t>
            </w:r>
            <w:r w:rsidR="00B274E6" w:rsidRPr="007E4A0F">
              <w:rPr>
                <w:szCs w:val="22"/>
                <w:lang w:val="fr-FR"/>
              </w:rPr>
              <w:t>’</w:t>
            </w:r>
            <w:r w:rsidR="009B3D9D" w:rsidRPr="007E4A0F">
              <w:rPr>
                <w:szCs w:val="22"/>
                <w:lang w:val="fr-FR"/>
              </w:rPr>
              <w:t>une ou plusieurs réunions avec un ou plusieurs experts externes.</w:t>
            </w:r>
          </w:p>
        </w:tc>
        <w:tc>
          <w:tcPr>
            <w:tcW w:w="1148" w:type="pct"/>
            <w:gridSpan w:val="2"/>
            <w:shd w:val="clear" w:color="auto" w:fill="auto"/>
            <w:hideMark/>
          </w:tcPr>
          <w:p w:rsidR="0012066D" w:rsidRPr="007E4A0F" w:rsidRDefault="00E22982" w:rsidP="00E22982">
            <w:pPr>
              <w:rPr>
                <w:b/>
                <w:bCs/>
                <w:iCs/>
                <w:szCs w:val="22"/>
                <w:lang w:val="fr-FR"/>
              </w:rPr>
            </w:pPr>
            <w:r w:rsidRPr="007E4A0F">
              <w:rPr>
                <w:b/>
                <w:bCs/>
                <w:iCs/>
                <w:szCs w:val="22"/>
                <w:lang w:val="fr-FR"/>
              </w:rPr>
              <w:lastRenderedPageBreak/>
              <w:t>En cours</w:t>
            </w:r>
          </w:p>
        </w:tc>
      </w:tr>
      <w:tr w:rsidR="007E4A0F" w:rsidRPr="007E4A0F" w:rsidTr="00AF77AA">
        <w:trPr>
          <w:gridAfter w:val="1"/>
          <w:wAfter w:w="25" w:type="pct"/>
          <w:trHeight w:val="65"/>
        </w:trPr>
        <w:tc>
          <w:tcPr>
            <w:tcW w:w="715" w:type="pct"/>
            <w:shd w:val="clear" w:color="auto" w:fill="auto"/>
            <w:hideMark/>
          </w:tcPr>
          <w:p w:rsidR="0012066D" w:rsidRPr="007E4A0F" w:rsidRDefault="00E22982" w:rsidP="00E22982">
            <w:pPr>
              <w:rPr>
                <w:szCs w:val="22"/>
                <w:lang w:val="fr-FR"/>
              </w:rPr>
            </w:pPr>
            <w:r w:rsidRPr="007E4A0F">
              <w:rPr>
                <w:szCs w:val="22"/>
                <w:lang w:val="fr-FR"/>
              </w:rPr>
              <w:lastRenderedPageBreak/>
              <w:t>Audit financier</w:t>
            </w: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envisager de procéder chaque année à un inventaire des actifs de valeur élevée.</w:t>
            </w:r>
          </w:p>
        </w:tc>
        <w:tc>
          <w:tcPr>
            <w:tcW w:w="1980" w:type="pct"/>
            <w:shd w:val="clear" w:color="auto" w:fill="auto"/>
            <w:hideMark/>
          </w:tcPr>
          <w:p w:rsidR="0012066D" w:rsidRPr="007E4A0F" w:rsidRDefault="000F1010" w:rsidP="00AF77AA">
            <w:pPr>
              <w:rPr>
                <w:szCs w:val="22"/>
                <w:lang w:val="fr-FR"/>
              </w:rPr>
            </w:pPr>
            <w:r w:rsidRPr="007E4A0F">
              <w:rPr>
                <w:szCs w:val="22"/>
                <w:lang w:val="fr-FR"/>
              </w:rPr>
              <w:t xml:space="preserve">Un inventaire annuel des actifs de valeur élevée constituant la mise en œuvre de cette recommandation a été </w:t>
            </w:r>
            <w:proofErr w:type="gramStart"/>
            <w:r w:rsidRPr="007E4A0F">
              <w:rPr>
                <w:szCs w:val="22"/>
                <w:lang w:val="fr-FR"/>
              </w:rPr>
              <w:t>effectué</w:t>
            </w:r>
            <w:proofErr w:type="gramEnd"/>
            <w:r w:rsidRPr="007E4A0F">
              <w:rPr>
                <w:szCs w:val="22"/>
                <w:lang w:val="fr-FR"/>
              </w:rPr>
              <w:t xml:space="preserve"> en interne en </w:t>
            </w:r>
            <w:r w:rsidR="00B274E6" w:rsidRPr="007E4A0F">
              <w:rPr>
                <w:szCs w:val="22"/>
                <w:lang w:val="fr-FR"/>
              </w:rPr>
              <w:t>mai 20</w:t>
            </w:r>
            <w:r w:rsidRPr="007E4A0F">
              <w:rPr>
                <w:szCs w:val="22"/>
                <w:lang w:val="fr-FR"/>
              </w:rPr>
              <w:t>14.</w:t>
            </w:r>
          </w:p>
        </w:tc>
        <w:tc>
          <w:tcPr>
            <w:tcW w:w="1148" w:type="pct"/>
            <w:gridSpan w:val="2"/>
            <w:shd w:val="clear" w:color="auto" w:fill="auto"/>
            <w:hideMark/>
          </w:tcPr>
          <w:p w:rsidR="0012066D" w:rsidRPr="007E4A0F" w:rsidRDefault="00E22982" w:rsidP="00AF77AA">
            <w:pPr>
              <w:rPr>
                <w:b/>
                <w:bCs/>
                <w:iCs/>
                <w:szCs w:val="22"/>
                <w:lang w:val="fr-FR"/>
              </w:rPr>
            </w:pPr>
            <w:r w:rsidRPr="007E4A0F">
              <w:rPr>
                <w:b/>
                <w:bCs/>
                <w:iCs/>
                <w:szCs w:val="22"/>
                <w:lang w:val="fr-FR"/>
              </w:rPr>
              <w:t xml:space="preserve">La recommandation peut être considérée comme </w:t>
            </w:r>
            <w:r w:rsidR="00524088" w:rsidRPr="007E4A0F">
              <w:rPr>
                <w:b/>
                <w:bCs/>
                <w:iCs/>
                <w:szCs w:val="22"/>
                <w:lang w:val="fr-FR"/>
              </w:rPr>
              <w:t>“</w:t>
            </w:r>
            <w:r w:rsidRPr="007E4A0F">
              <w:rPr>
                <w:b/>
                <w:bCs/>
                <w:iCs/>
                <w:szCs w:val="22"/>
                <w:lang w:val="fr-FR"/>
              </w:rPr>
              <w:t>mise en œuvre</w:t>
            </w:r>
            <w:r w:rsidR="00524088" w:rsidRPr="007E4A0F">
              <w:rPr>
                <w:b/>
                <w:bCs/>
                <w:iCs/>
                <w:szCs w:val="22"/>
                <w:lang w:val="fr-FR"/>
              </w:rPr>
              <w:t>”</w:t>
            </w:r>
            <w:r w:rsidRPr="007E4A0F">
              <w:rPr>
                <w:b/>
                <w:bCs/>
                <w:iCs/>
                <w:szCs w:val="22"/>
                <w:lang w:val="fr-FR"/>
              </w:rPr>
              <w:t>.</w:t>
            </w:r>
          </w:p>
        </w:tc>
      </w:tr>
      <w:tr w:rsidR="007E4A0F" w:rsidRPr="007E4A0F" w:rsidTr="00AF77AA">
        <w:trPr>
          <w:gridAfter w:val="1"/>
          <w:wAfter w:w="25" w:type="pct"/>
          <w:trHeight w:val="5081"/>
        </w:trPr>
        <w:tc>
          <w:tcPr>
            <w:tcW w:w="715" w:type="pct"/>
            <w:shd w:val="clear" w:color="auto" w:fill="auto"/>
            <w:hideMark/>
          </w:tcPr>
          <w:p w:rsidR="0012066D" w:rsidRPr="007E4A0F" w:rsidRDefault="00E22982" w:rsidP="00E22982">
            <w:pPr>
              <w:rPr>
                <w:szCs w:val="22"/>
                <w:lang w:val="fr-FR"/>
              </w:rPr>
            </w:pPr>
            <w:r w:rsidRPr="007E4A0F">
              <w:rPr>
                <w:szCs w:val="22"/>
                <w:lang w:val="fr-FR"/>
              </w:rPr>
              <w:t>Audit financier</w:t>
            </w: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Les services financiers devraient revoir et actualiser le cadre existant en matière de gestion des risques, afin d</w:t>
            </w:r>
            <w:r w:rsidR="00B274E6" w:rsidRPr="007E4A0F">
              <w:rPr>
                <w:szCs w:val="22"/>
                <w:lang w:val="fr-FR"/>
              </w:rPr>
              <w:t>’</w:t>
            </w:r>
            <w:r w:rsidRPr="007E4A0F">
              <w:rPr>
                <w:szCs w:val="22"/>
                <w:lang w:val="fr-FR"/>
              </w:rPr>
              <w:t>établir des registres de risques et des contrôles internes appropriés dans les unités opérationnelles où ces derniers sont inexistants ou n</w:t>
            </w:r>
            <w:r w:rsidR="00B274E6" w:rsidRPr="007E4A0F">
              <w:rPr>
                <w:szCs w:val="22"/>
                <w:lang w:val="fr-FR"/>
              </w:rPr>
              <w:t>’</w:t>
            </w:r>
            <w:r w:rsidRPr="007E4A0F">
              <w:rPr>
                <w:szCs w:val="22"/>
                <w:lang w:val="fr-FR"/>
              </w:rPr>
              <w:t>existent qu</w:t>
            </w:r>
            <w:r w:rsidR="00B274E6" w:rsidRPr="007E4A0F">
              <w:rPr>
                <w:szCs w:val="22"/>
                <w:lang w:val="fr-FR"/>
              </w:rPr>
              <w:t>’</w:t>
            </w:r>
            <w:r w:rsidRPr="007E4A0F">
              <w:rPr>
                <w:szCs w:val="22"/>
                <w:lang w:val="fr-FR"/>
              </w:rPr>
              <w:t>en partie.</w:t>
            </w:r>
          </w:p>
        </w:tc>
        <w:tc>
          <w:tcPr>
            <w:tcW w:w="1980" w:type="pct"/>
            <w:shd w:val="clear" w:color="auto" w:fill="auto"/>
            <w:hideMark/>
          </w:tcPr>
          <w:p w:rsidR="00B274E6" w:rsidRPr="007E4A0F" w:rsidRDefault="00A344DD" w:rsidP="00AF77AA">
            <w:pPr>
              <w:rPr>
                <w:szCs w:val="22"/>
                <w:lang w:val="fr-FR"/>
              </w:rPr>
            </w:pPr>
            <w:r w:rsidRPr="007E4A0F">
              <w:rPr>
                <w:szCs w:val="22"/>
                <w:lang w:val="fr-FR"/>
              </w:rPr>
              <w:t xml:space="preserve">La structure globale/suivi était en place </w:t>
            </w:r>
            <w:r w:rsidR="00E17B7E" w:rsidRPr="007E4A0F">
              <w:rPr>
                <w:szCs w:val="22"/>
                <w:lang w:val="fr-FR"/>
              </w:rPr>
              <w:t>et les taux d</w:t>
            </w:r>
            <w:r w:rsidR="00B274E6" w:rsidRPr="007E4A0F">
              <w:rPr>
                <w:szCs w:val="22"/>
                <w:lang w:val="fr-FR"/>
              </w:rPr>
              <w:t>’</w:t>
            </w:r>
            <w:r w:rsidR="00E17B7E" w:rsidRPr="007E4A0F">
              <w:rPr>
                <w:szCs w:val="22"/>
                <w:lang w:val="fr-FR"/>
              </w:rPr>
              <w:t>achèvement relevés étaient les suivants :</w:t>
            </w:r>
          </w:p>
          <w:p w:rsidR="00947AF6" w:rsidRPr="007E4A0F" w:rsidRDefault="00E17B7E" w:rsidP="00AF77AA">
            <w:pPr>
              <w:numPr>
                <w:ilvl w:val="0"/>
                <w:numId w:val="6"/>
              </w:numPr>
              <w:ind w:left="357" w:hanging="357"/>
              <w:rPr>
                <w:szCs w:val="22"/>
                <w:lang w:val="fr-FR"/>
              </w:rPr>
            </w:pPr>
            <w:r w:rsidRPr="007E4A0F">
              <w:rPr>
                <w:szCs w:val="22"/>
                <w:lang w:val="fr-FR"/>
              </w:rPr>
              <w:t>recettes : 80%</w:t>
            </w:r>
          </w:p>
          <w:p w:rsidR="00B274E6" w:rsidRPr="007E4A0F" w:rsidRDefault="00E17B7E" w:rsidP="00AF77AA">
            <w:pPr>
              <w:numPr>
                <w:ilvl w:val="0"/>
                <w:numId w:val="6"/>
              </w:numPr>
              <w:ind w:left="357" w:hanging="357"/>
              <w:rPr>
                <w:szCs w:val="22"/>
                <w:lang w:val="fr-FR"/>
              </w:rPr>
            </w:pPr>
            <w:proofErr w:type="gramStart"/>
            <w:r w:rsidRPr="007E4A0F">
              <w:rPr>
                <w:szCs w:val="22"/>
                <w:lang w:val="fr-FR"/>
              </w:rPr>
              <w:t>dépenses</w:t>
            </w:r>
            <w:proofErr w:type="gramEnd"/>
            <w:r w:rsidRPr="007E4A0F">
              <w:rPr>
                <w:szCs w:val="22"/>
                <w:lang w:val="fr-FR"/>
              </w:rPr>
              <w:t> :</w:t>
            </w:r>
          </w:p>
          <w:p w:rsidR="00E36790" w:rsidRPr="007E4A0F" w:rsidRDefault="00E36790" w:rsidP="00AF77AA">
            <w:pPr>
              <w:rPr>
                <w:szCs w:val="22"/>
                <w:lang w:val="fr-FR"/>
              </w:rPr>
            </w:pPr>
            <w:r w:rsidRPr="007E4A0F">
              <w:rPr>
                <w:szCs w:val="22"/>
                <w:lang w:val="fr-FR"/>
              </w:rPr>
              <w:tab/>
            </w:r>
            <w:r w:rsidR="00CB1BDA" w:rsidRPr="007E4A0F">
              <w:rPr>
                <w:szCs w:val="22"/>
                <w:lang w:val="fr-FR"/>
              </w:rPr>
              <w:noBreakHyphen/>
            </w:r>
            <w:r w:rsidRPr="007E4A0F">
              <w:rPr>
                <w:szCs w:val="22"/>
                <w:lang w:val="fr-FR"/>
              </w:rPr>
              <w:t xml:space="preserve"> autres que de paie : 100%</w:t>
            </w:r>
          </w:p>
          <w:p w:rsidR="00947AF6" w:rsidRPr="007E4A0F" w:rsidRDefault="00E36790" w:rsidP="00AF77AA">
            <w:pPr>
              <w:rPr>
                <w:szCs w:val="22"/>
                <w:lang w:val="fr-FR"/>
              </w:rPr>
            </w:pPr>
            <w:r w:rsidRPr="007E4A0F">
              <w:rPr>
                <w:szCs w:val="22"/>
                <w:lang w:val="fr-FR"/>
              </w:rPr>
              <w:tab/>
            </w:r>
            <w:r w:rsidR="00CB1BDA" w:rsidRPr="007E4A0F">
              <w:rPr>
                <w:szCs w:val="22"/>
                <w:lang w:val="fr-FR"/>
              </w:rPr>
              <w:noBreakHyphen/>
            </w:r>
            <w:r w:rsidRPr="007E4A0F">
              <w:rPr>
                <w:szCs w:val="22"/>
                <w:lang w:val="fr-FR"/>
              </w:rPr>
              <w:t xml:space="preserve"> paie : </w:t>
            </w:r>
            <w:r w:rsidR="0012066D" w:rsidRPr="007E4A0F">
              <w:rPr>
                <w:szCs w:val="22"/>
                <w:lang w:val="fr-FR"/>
              </w:rPr>
              <w:t>50</w:t>
            </w:r>
            <w:r w:rsidRPr="007E4A0F">
              <w:rPr>
                <w:szCs w:val="22"/>
                <w:lang w:val="fr-FR"/>
              </w:rPr>
              <w:t xml:space="preserve">% (compte tenu des nouvelles procédures </w:t>
            </w:r>
            <w:r w:rsidR="00CC3476" w:rsidRPr="007E4A0F">
              <w:rPr>
                <w:szCs w:val="22"/>
                <w:lang w:val="fr-FR"/>
              </w:rPr>
              <w:t>relatives au module RH</w:t>
            </w:r>
            <w:r w:rsidR="0012066D" w:rsidRPr="007E4A0F">
              <w:rPr>
                <w:szCs w:val="22"/>
                <w:lang w:val="fr-FR"/>
              </w:rPr>
              <w:t>)</w:t>
            </w:r>
          </w:p>
          <w:p w:rsidR="00947AF6" w:rsidRPr="007E4A0F" w:rsidRDefault="00CC3476" w:rsidP="00AF77AA">
            <w:pPr>
              <w:numPr>
                <w:ilvl w:val="0"/>
                <w:numId w:val="6"/>
              </w:numPr>
              <w:ind w:left="357" w:hanging="357"/>
              <w:rPr>
                <w:szCs w:val="22"/>
                <w:lang w:val="fr-FR"/>
              </w:rPr>
            </w:pPr>
            <w:r w:rsidRPr="007E4A0F">
              <w:rPr>
                <w:szCs w:val="22"/>
                <w:lang w:val="fr-FR"/>
              </w:rPr>
              <w:t>trésorerie</w:t>
            </w:r>
            <w:r w:rsidR="006C7CFD" w:rsidRPr="007E4A0F">
              <w:rPr>
                <w:szCs w:val="22"/>
                <w:lang w:val="fr-FR"/>
              </w:rPr>
              <w:t> </w:t>
            </w:r>
            <w:r w:rsidRPr="007E4A0F">
              <w:rPr>
                <w:szCs w:val="22"/>
                <w:lang w:val="fr-FR"/>
              </w:rPr>
              <w:t>: 100%</w:t>
            </w:r>
          </w:p>
          <w:p w:rsidR="00947AF6" w:rsidRPr="007E4A0F" w:rsidRDefault="00CC3476" w:rsidP="00AF77AA">
            <w:pPr>
              <w:numPr>
                <w:ilvl w:val="0"/>
                <w:numId w:val="6"/>
              </w:numPr>
              <w:ind w:left="357" w:hanging="357"/>
              <w:rPr>
                <w:szCs w:val="22"/>
                <w:lang w:val="fr-FR"/>
              </w:rPr>
            </w:pPr>
            <w:r w:rsidRPr="007E4A0F">
              <w:rPr>
                <w:szCs w:val="22"/>
                <w:lang w:val="fr-FR"/>
              </w:rPr>
              <w:t>autre processus financiers (clôture, etc.)</w:t>
            </w:r>
            <w:r w:rsidR="006C7CFD" w:rsidRPr="007E4A0F">
              <w:rPr>
                <w:szCs w:val="22"/>
                <w:lang w:val="fr-FR"/>
              </w:rPr>
              <w:t> </w:t>
            </w:r>
            <w:r w:rsidRPr="007E4A0F">
              <w:rPr>
                <w:szCs w:val="22"/>
                <w:lang w:val="fr-FR"/>
              </w:rPr>
              <w:t>: 60%</w:t>
            </w:r>
          </w:p>
          <w:p w:rsidR="0012066D" w:rsidRPr="007E4A0F" w:rsidRDefault="00CC3476" w:rsidP="00AF77AA">
            <w:pPr>
              <w:numPr>
                <w:ilvl w:val="0"/>
                <w:numId w:val="6"/>
              </w:numPr>
              <w:ind w:left="357" w:hanging="357"/>
              <w:rPr>
                <w:szCs w:val="22"/>
                <w:lang w:val="fr-FR"/>
              </w:rPr>
            </w:pPr>
            <w:r w:rsidRPr="007E4A0F">
              <w:rPr>
                <w:szCs w:val="22"/>
                <w:lang w:val="fr-FR"/>
              </w:rPr>
              <w:t>taux d</w:t>
            </w:r>
            <w:r w:rsidR="00B274E6" w:rsidRPr="007E4A0F">
              <w:rPr>
                <w:szCs w:val="22"/>
                <w:lang w:val="fr-FR"/>
              </w:rPr>
              <w:t>’</w:t>
            </w:r>
            <w:r w:rsidRPr="007E4A0F">
              <w:rPr>
                <w:szCs w:val="22"/>
                <w:lang w:val="fr-FR"/>
              </w:rPr>
              <w:t>achèvement global</w:t>
            </w:r>
            <w:r w:rsidR="006C7CFD" w:rsidRPr="007E4A0F">
              <w:rPr>
                <w:szCs w:val="22"/>
                <w:lang w:val="fr-FR"/>
              </w:rPr>
              <w:t> </w:t>
            </w:r>
            <w:r w:rsidRPr="007E4A0F">
              <w:rPr>
                <w:szCs w:val="22"/>
                <w:lang w:val="fr-FR"/>
              </w:rPr>
              <w:t>: 81%</w:t>
            </w:r>
            <w:r w:rsidR="0012066D" w:rsidRPr="007E4A0F">
              <w:rPr>
                <w:i/>
                <w:szCs w:val="22"/>
                <w:lang w:val="fr-FR"/>
              </w:rPr>
              <w:t>.</w:t>
            </w:r>
          </w:p>
        </w:tc>
        <w:tc>
          <w:tcPr>
            <w:tcW w:w="1148" w:type="pct"/>
            <w:gridSpan w:val="2"/>
            <w:shd w:val="clear" w:color="auto" w:fill="auto"/>
            <w:hideMark/>
          </w:tcPr>
          <w:p w:rsidR="00947AF6" w:rsidRPr="007E4A0F" w:rsidRDefault="00E17B7E" w:rsidP="00AF77AA">
            <w:pPr>
              <w:rPr>
                <w:szCs w:val="22"/>
                <w:lang w:val="fr-FR"/>
              </w:rPr>
            </w:pPr>
            <w:r w:rsidRPr="007E4A0F">
              <w:rPr>
                <w:szCs w:val="22"/>
                <w:lang w:val="fr-FR"/>
              </w:rPr>
              <w:t>La structure globale/suivi était achevée à 81%</w:t>
            </w:r>
            <w:r w:rsidR="0012066D" w:rsidRPr="007E4A0F">
              <w:rPr>
                <w:szCs w:val="22"/>
                <w:lang w:val="fr-FR"/>
              </w:rPr>
              <w:t>.</w:t>
            </w:r>
          </w:p>
          <w:p w:rsidR="0012066D" w:rsidRPr="007E4A0F" w:rsidRDefault="00E22982" w:rsidP="00AF77AA">
            <w:pPr>
              <w:rPr>
                <w:b/>
                <w:bCs/>
                <w:iCs/>
                <w:szCs w:val="22"/>
                <w:lang w:val="fr-FR"/>
              </w:rPr>
            </w:pPr>
            <w:r w:rsidRPr="007E4A0F">
              <w:rPr>
                <w:b/>
                <w:bCs/>
                <w:iCs/>
                <w:szCs w:val="22"/>
                <w:lang w:val="fr-FR"/>
              </w:rPr>
              <w:t>En cours</w:t>
            </w:r>
          </w:p>
        </w:tc>
      </w:tr>
      <w:tr w:rsidR="007E4A0F" w:rsidRPr="007E4A0F" w:rsidTr="00AF77AA">
        <w:trPr>
          <w:gridAfter w:val="1"/>
          <w:wAfter w:w="25" w:type="pct"/>
          <w:trHeight w:val="978"/>
        </w:trPr>
        <w:tc>
          <w:tcPr>
            <w:tcW w:w="715" w:type="pct"/>
            <w:shd w:val="clear" w:color="auto" w:fill="auto"/>
            <w:hideMark/>
          </w:tcPr>
          <w:p w:rsidR="0012066D" w:rsidRPr="007E4A0F" w:rsidRDefault="00E22982" w:rsidP="00E22982">
            <w:pPr>
              <w:rPr>
                <w:szCs w:val="22"/>
                <w:lang w:val="fr-FR"/>
              </w:rPr>
            </w:pPr>
            <w:r w:rsidRPr="007E4A0F">
              <w:rPr>
                <w:szCs w:val="22"/>
                <w:lang w:val="fr-FR"/>
              </w:rPr>
              <w:t>Audit financier</w:t>
            </w: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La direction devrait revoir l</w:t>
            </w:r>
            <w:r w:rsidR="00B274E6" w:rsidRPr="007E4A0F">
              <w:rPr>
                <w:szCs w:val="22"/>
                <w:lang w:val="fr-FR"/>
              </w:rPr>
              <w:t>’</w:t>
            </w:r>
            <w:r w:rsidRPr="007E4A0F">
              <w:rPr>
                <w:szCs w:val="22"/>
                <w:lang w:val="fr-FR"/>
              </w:rPr>
              <w:t>intégration des divers modules du système AIMS et procéder au reclassement des actifs requis en accord avec les politiques comptables déclarées.</w:t>
            </w:r>
            <w:r w:rsidR="0012066D" w:rsidRPr="007E4A0F">
              <w:rPr>
                <w:lang w:val="fr-FR"/>
              </w:rPr>
              <w:t xml:space="preserve"> </w:t>
            </w:r>
            <w:r w:rsidR="006C7CFD" w:rsidRPr="007E4A0F">
              <w:rPr>
                <w:szCs w:val="22"/>
                <w:lang w:val="fr-FR"/>
              </w:rPr>
              <w:t xml:space="preserve"> </w:t>
            </w:r>
          </w:p>
        </w:tc>
        <w:tc>
          <w:tcPr>
            <w:tcW w:w="1980" w:type="pct"/>
            <w:shd w:val="clear" w:color="auto" w:fill="auto"/>
            <w:hideMark/>
          </w:tcPr>
          <w:p w:rsidR="0012066D" w:rsidRPr="007E4A0F" w:rsidRDefault="005249D4" w:rsidP="00AF77AA">
            <w:pPr>
              <w:rPr>
                <w:szCs w:val="22"/>
                <w:lang w:val="fr-FR"/>
              </w:rPr>
            </w:pPr>
            <w:r w:rsidRPr="007E4A0F">
              <w:rPr>
                <w:szCs w:val="22"/>
                <w:lang w:val="fr-FR"/>
              </w:rPr>
              <w:t xml:space="preserve">Aucun des </w:t>
            </w:r>
            <w:r w:rsidR="00524088" w:rsidRPr="007E4A0F">
              <w:rPr>
                <w:szCs w:val="22"/>
                <w:lang w:val="fr-FR"/>
              </w:rPr>
              <w:t>“</w:t>
            </w:r>
            <w:r w:rsidRPr="007E4A0F">
              <w:rPr>
                <w:szCs w:val="22"/>
                <w:lang w:val="fr-FR"/>
              </w:rPr>
              <w:t>problèmes</w:t>
            </w:r>
            <w:r w:rsidR="00524088" w:rsidRPr="007E4A0F">
              <w:rPr>
                <w:szCs w:val="22"/>
                <w:lang w:val="fr-FR"/>
              </w:rPr>
              <w:t>”</w:t>
            </w:r>
            <w:r w:rsidRPr="007E4A0F">
              <w:rPr>
                <w:szCs w:val="22"/>
                <w:lang w:val="fr-FR"/>
              </w:rPr>
              <w:t xml:space="preserve"> mis en évidence au cours de l</w:t>
            </w:r>
            <w:r w:rsidR="00B274E6" w:rsidRPr="007E4A0F">
              <w:rPr>
                <w:szCs w:val="22"/>
                <w:lang w:val="fr-FR"/>
              </w:rPr>
              <w:t>’</w:t>
            </w:r>
            <w:r w:rsidRPr="007E4A0F">
              <w:rPr>
                <w:szCs w:val="22"/>
                <w:lang w:val="fr-FR"/>
              </w:rPr>
              <w:t>audit n</w:t>
            </w:r>
            <w:r w:rsidR="00B274E6" w:rsidRPr="007E4A0F">
              <w:rPr>
                <w:szCs w:val="22"/>
                <w:lang w:val="fr-FR"/>
              </w:rPr>
              <w:t>’</w:t>
            </w:r>
            <w:r w:rsidRPr="007E4A0F">
              <w:rPr>
                <w:szCs w:val="22"/>
                <w:lang w:val="fr-FR"/>
              </w:rPr>
              <w:t>a eu d</w:t>
            </w:r>
            <w:r w:rsidR="00B274E6" w:rsidRPr="007E4A0F">
              <w:rPr>
                <w:szCs w:val="22"/>
                <w:lang w:val="fr-FR"/>
              </w:rPr>
              <w:t>’</w:t>
            </w:r>
            <w:r w:rsidRPr="007E4A0F">
              <w:rPr>
                <w:szCs w:val="22"/>
                <w:lang w:val="fr-FR"/>
              </w:rPr>
              <w:t xml:space="preserve">incidence sur les états financiers.  </w:t>
            </w:r>
            <w:r w:rsidR="00B87CB1" w:rsidRPr="007E4A0F">
              <w:rPr>
                <w:szCs w:val="22"/>
                <w:lang w:val="fr-FR"/>
              </w:rPr>
              <w:t xml:space="preserve">Le module AM présentait encore des </w:t>
            </w:r>
            <w:r w:rsidR="0097684E" w:rsidRPr="007E4A0F">
              <w:rPr>
                <w:szCs w:val="22"/>
                <w:lang w:val="fr-FR"/>
              </w:rPr>
              <w:t>dysfonctionnements</w:t>
            </w:r>
            <w:r w:rsidR="00B87CB1" w:rsidRPr="007E4A0F">
              <w:rPr>
                <w:szCs w:val="22"/>
                <w:lang w:val="fr-FR"/>
              </w:rPr>
              <w:t>, mais ils étaient</w:t>
            </w:r>
            <w:r w:rsidR="0097684E" w:rsidRPr="007E4A0F">
              <w:rPr>
                <w:szCs w:val="22"/>
                <w:lang w:val="fr-FR"/>
              </w:rPr>
              <w:t xml:space="preserve"> dus à des bogues</w:t>
            </w:r>
            <w:r w:rsidR="00B87CB1" w:rsidRPr="007E4A0F">
              <w:rPr>
                <w:szCs w:val="22"/>
                <w:lang w:val="fr-FR"/>
              </w:rPr>
              <w:t xml:space="preserve"> </w:t>
            </w:r>
            <w:r w:rsidR="00FE7697" w:rsidRPr="007E4A0F">
              <w:rPr>
                <w:szCs w:val="22"/>
                <w:lang w:val="fr-FR"/>
              </w:rPr>
              <w:t>sans gravité.  Des palliatifs avaient été mis au point</w:t>
            </w:r>
            <w:r w:rsidR="0097684E" w:rsidRPr="007E4A0F">
              <w:rPr>
                <w:szCs w:val="22"/>
                <w:lang w:val="fr-FR"/>
              </w:rPr>
              <w:t>, et les bogues concernés avaient été signalés à l</w:t>
            </w:r>
            <w:r w:rsidR="00B274E6" w:rsidRPr="007E4A0F">
              <w:rPr>
                <w:szCs w:val="22"/>
                <w:lang w:val="fr-FR"/>
              </w:rPr>
              <w:t>’</w:t>
            </w:r>
            <w:r w:rsidR="0097684E" w:rsidRPr="007E4A0F">
              <w:rPr>
                <w:szCs w:val="22"/>
                <w:lang w:val="fr-FR"/>
              </w:rPr>
              <w:t xml:space="preserve">équipe </w:t>
            </w:r>
            <w:r w:rsidR="00E22097" w:rsidRPr="007E4A0F">
              <w:rPr>
                <w:szCs w:val="22"/>
                <w:lang w:val="fr-FR"/>
              </w:rPr>
              <w:t>d</w:t>
            </w:r>
            <w:r w:rsidR="00B274E6" w:rsidRPr="007E4A0F">
              <w:rPr>
                <w:szCs w:val="22"/>
                <w:lang w:val="fr-FR"/>
              </w:rPr>
              <w:t>’</w:t>
            </w:r>
            <w:r w:rsidR="00E22097" w:rsidRPr="007E4A0F">
              <w:rPr>
                <w:szCs w:val="22"/>
                <w:lang w:val="fr-FR"/>
              </w:rPr>
              <w:t>assistance</w:t>
            </w:r>
            <w:r w:rsidR="0097684E" w:rsidRPr="007E4A0F">
              <w:rPr>
                <w:szCs w:val="22"/>
                <w:lang w:val="fr-FR"/>
              </w:rPr>
              <w:t xml:space="preserve"> du système AIMS</w:t>
            </w:r>
            <w:r w:rsidR="00E22097" w:rsidRPr="007E4A0F">
              <w:rPr>
                <w:szCs w:val="22"/>
                <w:lang w:val="fr-FR"/>
              </w:rPr>
              <w:t>.  L</w:t>
            </w:r>
            <w:r w:rsidR="00B274E6" w:rsidRPr="007E4A0F">
              <w:rPr>
                <w:szCs w:val="22"/>
                <w:lang w:val="fr-FR"/>
              </w:rPr>
              <w:t>’</w:t>
            </w:r>
            <w:r w:rsidR="00E22097" w:rsidRPr="007E4A0F">
              <w:rPr>
                <w:szCs w:val="22"/>
                <w:lang w:val="fr-FR"/>
              </w:rPr>
              <w:t>OMPI a pu effectuer le rapprochement du module AM avec le grand livre.</w:t>
            </w:r>
          </w:p>
        </w:tc>
        <w:tc>
          <w:tcPr>
            <w:tcW w:w="1148" w:type="pct"/>
            <w:gridSpan w:val="2"/>
            <w:shd w:val="clear" w:color="auto" w:fill="auto"/>
            <w:hideMark/>
          </w:tcPr>
          <w:p w:rsidR="0012066D" w:rsidRPr="007E4A0F" w:rsidRDefault="00E22982" w:rsidP="00E22982">
            <w:pPr>
              <w:rPr>
                <w:b/>
                <w:bCs/>
                <w:i/>
                <w:iCs/>
                <w:szCs w:val="22"/>
                <w:lang w:val="fr-FR"/>
              </w:rPr>
            </w:pPr>
            <w:r w:rsidRPr="007E4A0F">
              <w:rPr>
                <w:b/>
                <w:bCs/>
                <w:iCs/>
                <w:szCs w:val="22"/>
                <w:lang w:val="fr-FR"/>
              </w:rPr>
              <w:t xml:space="preserve">La recommandation peut être considérée comme </w:t>
            </w:r>
            <w:r w:rsidR="00524088" w:rsidRPr="007E4A0F">
              <w:rPr>
                <w:b/>
                <w:bCs/>
                <w:iCs/>
                <w:szCs w:val="22"/>
                <w:lang w:val="fr-FR"/>
              </w:rPr>
              <w:t>“</w:t>
            </w:r>
            <w:r w:rsidRPr="007E4A0F">
              <w:rPr>
                <w:b/>
                <w:bCs/>
                <w:iCs/>
                <w:szCs w:val="22"/>
                <w:lang w:val="fr-FR"/>
              </w:rPr>
              <w:t>mise en œuvre</w:t>
            </w:r>
            <w:r w:rsidR="00524088" w:rsidRPr="007E4A0F">
              <w:rPr>
                <w:b/>
                <w:bCs/>
                <w:iCs/>
                <w:szCs w:val="22"/>
                <w:lang w:val="fr-FR"/>
              </w:rPr>
              <w:t>”</w:t>
            </w:r>
            <w:r w:rsidRPr="007E4A0F">
              <w:rPr>
                <w:b/>
                <w:bCs/>
                <w:iCs/>
                <w:szCs w:val="22"/>
                <w:lang w:val="fr-FR"/>
              </w:rPr>
              <w:t>.</w:t>
            </w:r>
          </w:p>
        </w:tc>
      </w:tr>
      <w:tr w:rsidR="007E4A0F" w:rsidRPr="007E4A0F" w:rsidTr="00AF77AA">
        <w:trPr>
          <w:gridAfter w:val="1"/>
          <w:wAfter w:w="25" w:type="pct"/>
          <w:trHeight w:val="552"/>
        </w:trPr>
        <w:tc>
          <w:tcPr>
            <w:tcW w:w="715" w:type="pct"/>
            <w:shd w:val="clear" w:color="auto" w:fill="auto"/>
          </w:tcPr>
          <w:p w:rsidR="0012066D" w:rsidRPr="007E4A0F" w:rsidRDefault="00E22982" w:rsidP="00E22982">
            <w:pPr>
              <w:rPr>
                <w:szCs w:val="22"/>
                <w:lang w:val="fr-FR"/>
              </w:rPr>
            </w:pPr>
            <w:r w:rsidRPr="007E4A0F">
              <w:rPr>
                <w:szCs w:val="22"/>
                <w:lang w:val="fr-FR"/>
              </w:rPr>
              <w:t>Audit financier</w:t>
            </w:r>
          </w:p>
        </w:tc>
        <w:tc>
          <w:tcPr>
            <w:tcW w:w="1132" w:type="pct"/>
            <w:gridSpan w:val="2"/>
            <w:shd w:val="clear" w:color="auto" w:fill="auto"/>
          </w:tcPr>
          <w:p w:rsidR="0012066D" w:rsidRPr="007E4A0F" w:rsidDel="00003739"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veiller à la création d</w:t>
            </w:r>
            <w:r w:rsidR="00B274E6" w:rsidRPr="007E4A0F">
              <w:rPr>
                <w:szCs w:val="22"/>
                <w:lang w:val="fr-FR"/>
              </w:rPr>
              <w:t>’</w:t>
            </w:r>
            <w:r w:rsidRPr="007E4A0F">
              <w:rPr>
                <w:szCs w:val="22"/>
                <w:lang w:val="fr-FR"/>
              </w:rPr>
              <w:t>une réserve distincte destinée au financement des projets et faire apparaître celle</w:t>
            </w:r>
            <w:r w:rsidR="00CB1BDA" w:rsidRPr="007E4A0F">
              <w:rPr>
                <w:szCs w:val="22"/>
                <w:lang w:val="fr-FR"/>
              </w:rPr>
              <w:noBreakHyphen/>
            </w:r>
            <w:r w:rsidRPr="007E4A0F">
              <w:rPr>
                <w:szCs w:val="22"/>
                <w:lang w:val="fr-FR"/>
              </w:rPr>
              <w:t xml:space="preserve">ci séparément dans </w:t>
            </w:r>
            <w:r w:rsidRPr="007E4A0F">
              <w:rPr>
                <w:szCs w:val="22"/>
                <w:lang w:val="fr-FR"/>
              </w:rPr>
              <w:lastRenderedPageBreak/>
              <w:t>les états financiers afin de clarifier les opérations liées à l</w:t>
            </w:r>
            <w:r w:rsidR="00B274E6" w:rsidRPr="007E4A0F">
              <w:rPr>
                <w:szCs w:val="22"/>
                <w:lang w:val="fr-FR"/>
              </w:rPr>
              <w:t>’</w:t>
            </w:r>
            <w:r w:rsidRPr="007E4A0F">
              <w:rPr>
                <w:szCs w:val="22"/>
                <w:lang w:val="fr-FR"/>
              </w:rPr>
              <w:t>utilisation du cumul des excédents/des réserves.</w:t>
            </w:r>
          </w:p>
        </w:tc>
        <w:tc>
          <w:tcPr>
            <w:tcW w:w="1980" w:type="pct"/>
            <w:shd w:val="clear" w:color="auto" w:fill="auto"/>
          </w:tcPr>
          <w:p w:rsidR="00B274E6" w:rsidRPr="007E4A0F" w:rsidRDefault="00C91743" w:rsidP="00AF77AA">
            <w:pPr>
              <w:rPr>
                <w:szCs w:val="22"/>
                <w:lang w:val="fr-FR"/>
              </w:rPr>
            </w:pPr>
            <w:r w:rsidRPr="007E4A0F">
              <w:rPr>
                <w:szCs w:val="22"/>
                <w:lang w:val="fr-FR"/>
              </w:rPr>
              <w:lastRenderedPageBreak/>
              <w:t>La question de la création d</w:t>
            </w:r>
            <w:r w:rsidR="00B274E6" w:rsidRPr="007E4A0F">
              <w:rPr>
                <w:szCs w:val="22"/>
                <w:lang w:val="fr-FR"/>
              </w:rPr>
              <w:t>’</w:t>
            </w:r>
            <w:r w:rsidRPr="007E4A0F">
              <w:rPr>
                <w:szCs w:val="22"/>
                <w:lang w:val="fr-FR"/>
              </w:rPr>
              <w:t xml:space="preserve">une réserve spéciale a été soumise au Comité du programme et budget en septembre.  </w:t>
            </w:r>
            <w:r w:rsidR="00072674" w:rsidRPr="007E4A0F">
              <w:rPr>
                <w:szCs w:val="22"/>
                <w:lang w:val="fr-FR"/>
              </w:rPr>
              <w:t>À sa 22</w:t>
            </w:r>
            <w:r w:rsidR="00072674" w:rsidRPr="007E4A0F">
              <w:rPr>
                <w:szCs w:val="22"/>
                <w:vertAlign w:val="superscript"/>
                <w:lang w:val="fr-FR"/>
              </w:rPr>
              <w:t>e</w:t>
            </w:r>
            <w:r w:rsidR="00072674" w:rsidRPr="007E4A0F">
              <w:rPr>
                <w:szCs w:val="22"/>
                <w:lang w:val="fr-FR"/>
              </w:rPr>
              <w:t xml:space="preserve"> session,</w:t>
            </w:r>
            <w:r w:rsidR="00B274E6" w:rsidRPr="007E4A0F">
              <w:rPr>
                <w:szCs w:val="22"/>
                <w:lang w:val="fr-FR"/>
              </w:rPr>
              <w:t xml:space="preserve"> le PBC</w:t>
            </w:r>
            <w:r w:rsidR="006C7CFD" w:rsidRPr="007E4A0F">
              <w:rPr>
                <w:szCs w:val="22"/>
                <w:lang w:val="fr-FR"/>
              </w:rPr>
              <w:t> </w:t>
            </w:r>
            <w:r w:rsidR="0012066D" w:rsidRPr="007E4A0F">
              <w:rPr>
                <w:szCs w:val="22"/>
                <w:lang w:val="fr-FR"/>
              </w:rPr>
              <w:t>:</w:t>
            </w:r>
          </w:p>
          <w:p w:rsidR="00947AF6" w:rsidRPr="007E4A0F" w:rsidRDefault="00E22982" w:rsidP="00AF77AA">
            <w:pPr>
              <w:rPr>
                <w:szCs w:val="22"/>
                <w:lang w:val="fr-FR"/>
              </w:rPr>
            </w:pPr>
            <w:r w:rsidRPr="007E4A0F">
              <w:rPr>
                <w:szCs w:val="22"/>
                <w:lang w:val="fr-FR"/>
              </w:rPr>
              <w:t>i)</w:t>
            </w:r>
            <w:r w:rsidRPr="007E4A0F">
              <w:rPr>
                <w:szCs w:val="22"/>
                <w:lang w:val="fr-FR"/>
              </w:rPr>
              <w:tab/>
              <w:t xml:space="preserve">a reconnu la nécessité de procéder à un examen des politiques relatives aux fonds de </w:t>
            </w:r>
            <w:r w:rsidRPr="007E4A0F">
              <w:rPr>
                <w:szCs w:val="22"/>
                <w:lang w:val="fr-FR"/>
              </w:rPr>
              <w:lastRenderedPageBreak/>
              <w:t>réserve et de roulement;  et</w:t>
            </w:r>
          </w:p>
          <w:p w:rsidR="00947AF6" w:rsidRPr="007E4A0F" w:rsidRDefault="00E22982" w:rsidP="00AF77AA">
            <w:pPr>
              <w:rPr>
                <w:szCs w:val="22"/>
                <w:lang w:val="fr-FR"/>
              </w:rPr>
            </w:pPr>
            <w:r w:rsidRPr="007E4A0F">
              <w:rPr>
                <w:szCs w:val="22"/>
                <w:lang w:val="fr-FR"/>
              </w:rPr>
              <w:t>ii)</w:t>
            </w:r>
            <w:r w:rsidRPr="007E4A0F">
              <w:rPr>
                <w:szCs w:val="22"/>
                <w:lang w:val="fr-FR"/>
              </w:rPr>
              <w:tab/>
              <w:t>a demandé au Secrétariat de lui soumettre une proposition de politique complète portant notamment sur les montants recommandés pour les actifs nets, les questions liées aux liquidités, la gestion et l</w:t>
            </w:r>
            <w:r w:rsidR="00B274E6" w:rsidRPr="007E4A0F">
              <w:rPr>
                <w:szCs w:val="22"/>
                <w:lang w:val="fr-FR"/>
              </w:rPr>
              <w:t>’</w:t>
            </w:r>
            <w:r w:rsidRPr="007E4A0F">
              <w:rPr>
                <w:szCs w:val="22"/>
                <w:lang w:val="fr-FR"/>
              </w:rPr>
              <w:t>utilisation des excédents disponibles au</w:t>
            </w:r>
            <w:r w:rsidR="00CB1BDA" w:rsidRPr="007E4A0F">
              <w:rPr>
                <w:szCs w:val="22"/>
                <w:lang w:val="fr-FR"/>
              </w:rPr>
              <w:noBreakHyphen/>
            </w:r>
            <w:r w:rsidRPr="007E4A0F">
              <w:rPr>
                <w:szCs w:val="22"/>
                <w:lang w:val="fr-FR"/>
              </w:rPr>
              <w:t>delà de l</w:t>
            </w:r>
            <w:r w:rsidR="00B274E6" w:rsidRPr="007E4A0F">
              <w:rPr>
                <w:szCs w:val="22"/>
                <w:lang w:val="fr-FR"/>
              </w:rPr>
              <w:t>’</w:t>
            </w:r>
            <w:r w:rsidRPr="007E4A0F">
              <w:rPr>
                <w:szCs w:val="22"/>
                <w:lang w:val="fr-FR"/>
              </w:rPr>
              <w:t>objectif fixé et l</w:t>
            </w:r>
            <w:r w:rsidR="00B274E6" w:rsidRPr="007E4A0F">
              <w:rPr>
                <w:szCs w:val="22"/>
                <w:lang w:val="fr-FR"/>
              </w:rPr>
              <w:t>’</w:t>
            </w:r>
            <w:r w:rsidRPr="007E4A0F">
              <w:rPr>
                <w:szCs w:val="22"/>
                <w:lang w:val="fr-FR"/>
              </w:rPr>
              <w:t>établissement de rapports sur ces excédents, en prenant en considération les observations et les indications des États membres ainsi que les recommandations des organes d</w:t>
            </w:r>
            <w:r w:rsidR="00B274E6" w:rsidRPr="007E4A0F">
              <w:rPr>
                <w:szCs w:val="22"/>
                <w:lang w:val="fr-FR"/>
              </w:rPr>
              <w:t>’</w:t>
            </w:r>
            <w:r w:rsidRPr="007E4A0F">
              <w:rPr>
                <w:szCs w:val="22"/>
                <w:lang w:val="fr-FR"/>
              </w:rPr>
              <w:t>audit et de supervision à cet égard.</w:t>
            </w:r>
          </w:p>
          <w:p w:rsidR="0012066D" w:rsidRPr="007E4A0F" w:rsidRDefault="00A4613A" w:rsidP="00AF77AA">
            <w:pPr>
              <w:rPr>
                <w:szCs w:val="22"/>
                <w:lang w:val="fr-FR"/>
              </w:rPr>
            </w:pPr>
            <w:r w:rsidRPr="007E4A0F">
              <w:rPr>
                <w:szCs w:val="22"/>
                <w:lang w:val="fr-FR"/>
              </w:rPr>
              <w:t>En conséquence de cette décision, un document traitant les divers aspects de l</w:t>
            </w:r>
            <w:r w:rsidR="00B274E6" w:rsidRPr="007E4A0F">
              <w:rPr>
                <w:szCs w:val="22"/>
                <w:lang w:val="fr-FR"/>
              </w:rPr>
              <w:t>’</w:t>
            </w:r>
            <w:r w:rsidRPr="007E4A0F">
              <w:rPr>
                <w:szCs w:val="22"/>
                <w:lang w:val="fr-FR"/>
              </w:rPr>
              <w:t>utilisation des réserves doit donc être présenté aux États membres en</w:t>
            </w:r>
            <w:r w:rsidR="006C7CFD" w:rsidRPr="007E4A0F">
              <w:rPr>
                <w:szCs w:val="22"/>
                <w:lang w:val="fr-FR"/>
              </w:rPr>
              <w:t> </w:t>
            </w:r>
            <w:r w:rsidRPr="007E4A0F">
              <w:rPr>
                <w:szCs w:val="22"/>
                <w:lang w:val="fr-FR"/>
              </w:rPr>
              <w:t>2015.</w:t>
            </w:r>
          </w:p>
        </w:tc>
        <w:tc>
          <w:tcPr>
            <w:tcW w:w="1148" w:type="pct"/>
            <w:gridSpan w:val="2"/>
            <w:shd w:val="clear" w:color="auto" w:fill="auto"/>
          </w:tcPr>
          <w:p w:rsidR="0012066D" w:rsidRPr="007E4A0F" w:rsidRDefault="00E22982" w:rsidP="00E22982">
            <w:pPr>
              <w:rPr>
                <w:b/>
                <w:szCs w:val="22"/>
                <w:lang w:val="fr-FR"/>
              </w:rPr>
            </w:pPr>
            <w:r w:rsidRPr="007E4A0F">
              <w:rPr>
                <w:b/>
                <w:szCs w:val="22"/>
                <w:lang w:val="fr-FR"/>
              </w:rPr>
              <w:lastRenderedPageBreak/>
              <w:t>En cours</w:t>
            </w:r>
          </w:p>
        </w:tc>
      </w:tr>
      <w:tr w:rsidR="007E4A0F" w:rsidRPr="007E4A0F" w:rsidTr="00AF77AA">
        <w:trPr>
          <w:trHeight w:val="552"/>
        </w:trPr>
        <w:tc>
          <w:tcPr>
            <w:tcW w:w="719" w:type="pct"/>
            <w:gridSpan w:val="2"/>
            <w:shd w:val="clear" w:color="auto" w:fill="auto"/>
          </w:tcPr>
          <w:p w:rsidR="0012066D" w:rsidRPr="007E4A0F" w:rsidRDefault="00E22982" w:rsidP="00E22982">
            <w:pPr>
              <w:rPr>
                <w:szCs w:val="22"/>
                <w:lang w:val="fr-FR"/>
              </w:rPr>
            </w:pPr>
            <w:r w:rsidRPr="007E4A0F">
              <w:rPr>
                <w:szCs w:val="22"/>
                <w:lang w:val="fr-FR"/>
              </w:rPr>
              <w:lastRenderedPageBreak/>
              <w:t>Audit financier</w:t>
            </w:r>
          </w:p>
        </w:tc>
        <w:tc>
          <w:tcPr>
            <w:tcW w:w="1128" w:type="pct"/>
            <w:shd w:val="clear" w:color="auto" w:fill="auto"/>
          </w:tcPr>
          <w:p w:rsidR="0012066D" w:rsidRPr="007E4A0F"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revoir le statut des demandes impayées des offices récepteurs et procéder à l</w:t>
            </w:r>
            <w:r w:rsidR="00B274E6" w:rsidRPr="007E4A0F">
              <w:rPr>
                <w:szCs w:val="22"/>
                <w:lang w:val="fr-FR"/>
              </w:rPr>
              <w:t>’</w:t>
            </w:r>
            <w:r w:rsidRPr="007E4A0F">
              <w:rPr>
                <w:szCs w:val="22"/>
                <w:lang w:val="fr-FR"/>
              </w:rPr>
              <w:t>ajustement voulu entre les taxes pour les demandes déjà introduites se trouvant sur les comptes courants</w:t>
            </w:r>
            <w:r w:rsidR="00B274E6" w:rsidRPr="007E4A0F">
              <w:rPr>
                <w:szCs w:val="22"/>
                <w:lang w:val="fr-FR"/>
              </w:rPr>
              <w:t xml:space="preserve"> du PCT</w:t>
            </w:r>
            <w:r w:rsidRPr="007E4A0F">
              <w:rPr>
                <w:szCs w:val="22"/>
                <w:lang w:val="fr-FR"/>
              </w:rPr>
              <w:t xml:space="preserve"> et les soldes des débiteurs PCT, afin de faire ressortir les véritables montants dus pour les demandes selon</w:t>
            </w:r>
            <w:r w:rsidR="00B274E6" w:rsidRPr="007E4A0F">
              <w:rPr>
                <w:szCs w:val="22"/>
                <w:lang w:val="fr-FR"/>
              </w:rPr>
              <w:t xml:space="preserve"> le PCT</w:t>
            </w:r>
            <w:r w:rsidRPr="007E4A0F">
              <w:rPr>
                <w:szCs w:val="22"/>
                <w:lang w:val="fr-FR"/>
              </w:rPr>
              <w:t>.</w:t>
            </w:r>
          </w:p>
        </w:tc>
        <w:tc>
          <w:tcPr>
            <w:tcW w:w="1999" w:type="pct"/>
            <w:gridSpan w:val="2"/>
            <w:shd w:val="clear" w:color="auto" w:fill="auto"/>
          </w:tcPr>
          <w:p w:rsidR="0012066D" w:rsidRPr="007E4A0F" w:rsidRDefault="00A4613A" w:rsidP="00AF77AA">
            <w:pPr>
              <w:rPr>
                <w:szCs w:val="22"/>
                <w:lang w:val="fr-FR"/>
              </w:rPr>
            </w:pPr>
            <w:r w:rsidRPr="007E4A0F">
              <w:rPr>
                <w:szCs w:val="22"/>
                <w:lang w:val="fr-FR"/>
              </w:rPr>
              <w:t>L</w:t>
            </w:r>
            <w:r w:rsidR="00B274E6" w:rsidRPr="007E4A0F">
              <w:rPr>
                <w:szCs w:val="22"/>
                <w:lang w:val="fr-FR"/>
              </w:rPr>
              <w:t>’</w:t>
            </w:r>
            <w:r w:rsidRPr="007E4A0F">
              <w:rPr>
                <w:szCs w:val="22"/>
                <w:lang w:val="fr-FR"/>
              </w:rPr>
              <w:t>OMPI a analysé les comptes courants</w:t>
            </w:r>
            <w:r w:rsidR="00B274E6" w:rsidRPr="007E4A0F">
              <w:rPr>
                <w:szCs w:val="22"/>
                <w:lang w:val="fr-FR"/>
              </w:rPr>
              <w:t xml:space="preserve"> du PCT</w:t>
            </w:r>
            <w:r w:rsidR="002B7213" w:rsidRPr="007E4A0F">
              <w:rPr>
                <w:szCs w:val="22"/>
                <w:lang w:val="fr-FR"/>
              </w:rPr>
              <w:t xml:space="preserve"> et élaboré une procédure</w:t>
            </w:r>
            <w:r w:rsidR="005D1BCA" w:rsidRPr="007E4A0F">
              <w:rPr>
                <w:szCs w:val="22"/>
                <w:lang w:val="fr-FR"/>
              </w:rPr>
              <w:t xml:space="preserve"> pour la réalisation des écritures comptables appropriées afin de réduire les soldes des débiteurs PCT.  Cette procédure a été utilisée</w:t>
            </w:r>
            <w:r w:rsidR="0015092C" w:rsidRPr="007E4A0F">
              <w:rPr>
                <w:szCs w:val="22"/>
                <w:lang w:val="fr-FR"/>
              </w:rPr>
              <w:t xml:space="preserve"> pour la préparation des états financiers provisoires de</w:t>
            </w:r>
            <w:r w:rsidR="006C7CFD" w:rsidRPr="007E4A0F">
              <w:rPr>
                <w:szCs w:val="22"/>
                <w:lang w:val="fr-FR"/>
              </w:rPr>
              <w:t> </w:t>
            </w:r>
            <w:r w:rsidR="0015092C" w:rsidRPr="007E4A0F">
              <w:rPr>
                <w:szCs w:val="22"/>
                <w:lang w:val="fr-FR"/>
              </w:rPr>
              <w:t>2014, et le sera également pour établir les états financiers à la fin de l</w:t>
            </w:r>
            <w:r w:rsidR="00B274E6" w:rsidRPr="007E4A0F">
              <w:rPr>
                <w:szCs w:val="22"/>
                <w:lang w:val="fr-FR"/>
              </w:rPr>
              <w:t>’</w:t>
            </w:r>
            <w:r w:rsidR="0015092C" w:rsidRPr="007E4A0F">
              <w:rPr>
                <w:szCs w:val="22"/>
                <w:lang w:val="fr-FR"/>
              </w:rPr>
              <w:t>exercice 2014.</w:t>
            </w:r>
          </w:p>
        </w:tc>
        <w:tc>
          <w:tcPr>
            <w:tcW w:w="1154" w:type="pct"/>
            <w:gridSpan w:val="2"/>
            <w:shd w:val="clear" w:color="auto" w:fill="auto"/>
          </w:tcPr>
          <w:p w:rsidR="00947AF6" w:rsidRPr="007E4A0F" w:rsidRDefault="0015092C" w:rsidP="00AF77AA">
            <w:pPr>
              <w:rPr>
                <w:szCs w:val="22"/>
                <w:lang w:val="fr-FR"/>
              </w:rPr>
            </w:pPr>
            <w:r w:rsidRPr="007E4A0F">
              <w:rPr>
                <w:szCs w:val="22"/>
                <w:lang w:val="fr-FR"/>
              </w:rPr>
              <w:t>Nous avons vérifié la procédure et l</w:t>
            </w:r>
            <w:r w:rsidR="00B274E6" w:rsidRPr="007E4A0F">
              <w:rPr>
                <w:szCs w:val="22"/>
                <w:lang w:val="fr-FR"/>
              </w:rPr>
              <w:t>’</w:t>
            </w:r>
            <w:r w:rsidRPr="007E4A0F">
              <w:rPr>
                <w:szCs w:val="22"/>
                <w:lang w:val="fr-FR"/>
              </w:rPr>
              <w:t>avons jugée adéquate.</w:t>
            </w:r>
          </w:p>
          <w:p w:rsidR="0012066D" w:rsidRPr="007E4A0F" w:rsidRDefault="00E22982" w:rsidP="00AF77AA">
            <w:pPr>
              <w:rPr>
                <w:szCs w:val="22"/>
                <w:lang w:val="fr-FR"/>
              </w:rPr>
            </w:pPr>
            <w:r w:rsidRPr="007E4A0F">
              <w:rPr>
                <w:b/>
                <w:szCs w:val="22"/>
                <w:lang w:val="fr-FR"/>
              </w:rPr>
              <w:t xml:space="preserve">La recommandation peut être considérée comme </w:t>
            </w:r>
            <w:r w:rsidR="00524088" w:rsidRPr="007E4A0F">
              <w:rPr>
                <w:b/>
                <w:szCs w:val="22"/>
                <w:lang w:val="fr-FR"/>
              </w:rPr>
              <w:t>“</w:t>
            </w:r>
            <w:r w:rsidRPr="007E4A0F">
              <w:rPr>
                <w:b/>
                <w:szCs w:val="22"/>
                <w:lang w:val="fr-FR"/>
              </w:rPr>
              <w:t>mise en œuvre</w:t>
            </w:r>
            <w:r w:rsidR="00524088" w:rsidRPr="007E4A0F">
              <w:rPr>
                <w:b/>
                <w:szCs w:val="22"/>
                <w:lang w:val="fr-FR"/>
              </w:rPr>
              <w:t>”</w:t>
            </w:r>
            <w:r w:rsidRPr="007E4A0F">
              <w:rPr>
                <w:b/>
                <w:szCs w:val="22"/>
                <w:lang w:val="fr-FR"/>
              </w:rPr>
              <w:t>.</w:t>
            </w:r>
          </w:p>
        </w:tc>
      </w:tr>
      <w:tr w:rsidR="007E4A0F" w:rsidRPr="007E4A0F" w:rsidTr="00AF77AA">
        <w:trPr>
          <w:trHeight w:val="552"/>
        </w:trPr>
        <w:tc>
          <w:tcPr>
            <w:tcW w:w="719" w:type="pct"/>
            <w:gridSpan w:val="2"/>
            <w:shd w:val="clear" w:color="auto" w:fill="auto"/>
          </w:tcPr>
          <w:p w:rsidR="0012066D" w:rsidRPr="007E4A0F" w:rsidRDefault="00E22982" w:rsidP="00E22982">
            <w:pPr>
              <w:rPr>
                <w:szCs w:val="22"/>
                <w:lang w:val="fr-FR"/>
              </w:rPr>
            </w:pPr>
            <w:r w:rsidRPr="007E4A0F">
              <w:rPr>
                <w:szCs w:val="22"/>
                <w:lang w:val="fr-FR"/>
              </w:rPr>
              <w:t>Audit financier</w:t>
            </w:r>
          </w:p>
        </w:tc>
        <w:tc>
          <w:tcPr>
            <w:tcW w:w="1128" w:type="pct"/>
            <w:shd w:val="clear" w:color="auto" w:fill="auto"/>
          </w:tcPr>
          <w:p w:rsidR="0012066D" w:rsidRPr="007E4A0F"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envisager de conserver les données comptables relatives aux taxes perçues et à percevoir concernant les demandes selon</w:t>
            </w:r>
            <w:r w:rsidR="00B274E6" w:rsidRPr="007E4A0F">
              <w:rPr>
                <w:szCs w:val="22"/>
                <w:lang w:val="fr-FR"/>
              </w:rPr>
              <w:t xml:space="preserve"> le PCT</w:t>
            </w:r>
            <w:r w:rsidRPr="007E4A0F">
              <w:rPr>
                <w:szCs w:val="22"/>
                <w:lang w:val="fr-FR"/>
              </w:rPr>
              <w:t xml:space="preserve"> dans les </w:t>
            </w:r>
            <w:r w:rsidRPr="007E4A0F">
              <w:rPr>
                <w:szCs w:val="22"/>
                <w:lang w:val="fr-FR"/>
              </w:rPr>
              <w:lastRenderedPageBreak/>
              <w:t>monnaies en question pour chaque demande/office récepteur.</w:t>
            </w:r>
          </w:p>
        </w:tc>
        <w:tc>
          <w:tcPr>
            <w:tcW w:w="1999" w:type="pct"/>
            <w:gridSpan w:val="2"/>
            <w:shd w:val="clear" w:color="auto" w:fill="auto"/>
          </w:tcPr>
          <w:p w:rsidR="0012066D" w:rsidRPr="007E4A0F" w:rsidRDefault="00881A72" w:rsidP="00AF77AA">
            <w:pPr>
              <w:rPr>
                <w:szCs w:val="22"/>
                <w:lang w:val="fr-FR"/>
              </w:rPr>
            </w:pPr>
            <w:r w:rsidRPr="007E4A0F">
              <w:rPr>
                <w:szCs w:val="22"/>
                <w:lang w:val="fr-FR"/>
              </w:rPr>
              <w:lastRenderedPageBreak/>
              <w:t>L</w:t>
            </w:r>
            <w:r w:rsidR="00B274E6" w:rsidRPr="007E4A0F">
              <w:rPr>
                <w:szCs w:val="22"/>
                <w:lang w:val="fr-FR"/>
              </w:rPr>
              <w:t>’</w:t>
            </w:r>
            <w:r w:rsidRPr="007E4A0F">
              <w:rPr>
                <w:szCs w:val="22"/>
                <w:lang w:val="fr-FR"/>
              </w:rPr>
              <w:t xml:space="preserve">OMPI </w:t>
            </w:r>
            <w:r w:rsidR="00876043" w:rsidRPr="007E4A0F">
              <w:rPr>
                <w:szCs w:val="22"/>
                <w:lang w:val="fr-FR"/>
              </w:rPr>
              <w:t>a élaboré une méthode de calcul des profits et pertes non réalisés sur les débiteurs</w:t>
            </w:r>
            <w:r w:rsidR="00B274E6" w:rsidRPr="007E4A0F">
              <w:rPr>
                <w:szCs w:val="22"/>
                <w:lang w:val="fr-FR"/>
              </w:rPr>
              <w:t xml:space="preserve"> du PCT</w:t>
            </w:r>
            <w:r w:rsidR="00876043" w:rsidRPr="007E4A0F">
              <w:rPr>
                <w:szCs w:val="22"/>
                <w:lang w:val="fr-FR"/>
              </w:rPr>
              <w:t xml:space="preserve"> dans des monnaies autres que le franc suisse. </w:t>
            </w:r>
            <w:r w:rsidR="006C7CFD" w:rsidRPr="007E4A0F">
              <w:rPr>
                <w:szCs w:val="22"/>
                <w:lang w:val="fr-FR"/>
              </w:rPr>
              <w:t xml:space="preserve"> </w:t>
            </w:r>
            <w:r w:rsidR="00876043" w:rsidRPr="007E4A0F">
              <w:rPr>
                <w:szCs w:val="22"/>
                <w:lang w:val="fr-FR"/>
              </w:rPr>
              <w:t xml:space="preserve">Un calcul a été préparé </w:t>
            </w:r>
            <w:r w:rsidR="008D38E2" w:rsidRPr="007E4A0F">
              <w:rPr>
                <w:szCs w:val="22"/>
                <w:lang w:val="fr-FR"/>
              </w:rPr>
              <w:t>afin d</w:t>
            </w:r>
            <w:r w:rsidR="00B274E6" w:rsidRPr="007E4A0F">
              <w:rPr>
                <w:szCs w:val="22"/>
                <w:lang w:val="fr-FR"/>
              </w:rPr>
              <w:t>’</w:t>
            </w:r>
            <w:r w:rsidR="008D38E2" w:rsidRPr="007E4A0F">
              <w:rPr>
                <w:szCs w:val="22"/>
                <w:lang w:val="fr-FR"/>
              </w:rPr>
              <w:t>être inclus dans les états financiers de la fin de l</w:t>
            </w:r>
            <w:r w:rsidR="00B274E6" w:rsidRPr="007E4A0F">
              <w:rPr>
                <w:szCs w:val="22"/>
                <w:lang w:val="fr-FR"/>
              </w:rPr>
              <w:t>’</w:t>
            </w:r>
            <w:r w:rsidR="008D38E2" w:rsidRPr="007E4A0F">
              <w:rPr>
                <w:szCs w:val="22"/>
                <w:lang w:val="fr-FR"/>
              </w:rPr>
              <w:t>exercice 2014.</w:t>
            </w:r>
          </w:p>
        </w:tc>
        <w:tc>
          <w:tcPr>
            <w:tcW w:w="1154" w:type="pct"/>
            <w:gridSpan w:val="2"/>
            <w:shd w:val="clear" w:color="auto" w:fill="auto"/>
          </w:tcPr>
          <w:p w:rsidR="00947AF6" w:rsidRPr="007E4A0F" w:rsidRDefault="008D38E2" w:rsidP="00AF77AA">
            <w:pPr>
              <w:rPr>
                <w:szCs w:val="22"/>
                <w:lang w:val="fr-FR"/>
              </w:rPr>
            </w:pPr>
            <w:r w:rsidRPr="007E4A0F">
              <w:rPr>
                <w:szCs w:val="22"/>
                <w:lang w:val="fr-FR"/>
              </w:rPr>
              <w:t>Les profits et pertes non réalisés ont été calculés et comptabilisés dans les états financiers de</w:t>
            </w:r>
            <w:r w:rsidR="006C7CFD" w:rsidRPr="007E4A0F">
              <w:rPr>
                <w:szCs w:val="22"/>
                <w:lang w:val="fr-FR"/>
              </w:rPr>
              <w:t> </w:t>
            </w:r>
            <w:r w:rsidRPr="007E4A0F">
              <w:rPr>
                <w:szCs w:val="22"/>
                <w:lang w:val="fr-FR"/>
              </w:rPr>
              <w:t>2014.</w:t>
            </w:r>
          </w:p>
          <w:p w:rsidR="0012066D" w:rsidRPr="007E4A0F" w:rsidRDefault="00E22982" w:rsidP="00AF77AA">
            <w:pPr>
              <w:rPr>
                <w:szCs w:val="22"/>
                <w:lang w:val="fr-FR"/>
              </w:rPr>
            </w:pPr>
            <w:r w:rsidRPr="007E4A0F">
              <w:rPr>
                <w:b/>
                <w:szCs w:val="22"/>
                <w:lang w:val="fr-FR"/>
              </w:rPr>
              <w:t xml:space="preserve">La recommandation peut être considérée comme </w:t>
            </w:r>
            <w:r w:rsidR="00524088" w:rsidRPr="007E4A0F">
              <w:rPr>
                <w:b/>
                <w:szCs w:val="22"/>
                <w:lang w:val="fr-FR"/>
              </w:rPr>
              <w:t>“</w:t>
            </w:r>
            <w:r w:rsidRPr="007E4A0F">
              <w:rPr>
                <w:b/>
                <w:szCs w:val="22"/>
                <w:lang w:val="fr-FR"/>
              </w:rPr>
              <w:t xml:space="preserve">mise en </w:t>
            </w:r>
            <w:r w:rsidRPr="007E4A0F">
              <w:rPr>
                <w:b/>
                <w:szCs w:val="22"/>
                <w:lang w:val="fr-FR"/>
              </w:rPr>
              <w:lastRenderedPageBreak/>
              <w:t>œuvre</w:t>
            </w:r>
            <w:r w:rsidR="00524088" w:rsidRPr="007E4A0F">
              <w:rPr>
                <w:b/>
                <w:szCs w:val="22"/>
                <w:lang w:val="fr-FR"/>
              </w:rPr>
              <w:t>”</w:t>
            </w:r>
            <w:r w:rsidRPr="007E4A0F">
              <w:rPr>
                <w:b/>
                <w:szCs w:val="22"/>
                <w:lang w:val="fr-FR"/>
              </w:rPr>
              <w:t>.</w:t>
            </w:r>
          </w:p>
        </w:tc>
      </w:tr>
      <w:tr w:rsidR="0012066D" w:rsidRPr="007E4A0F" w:rsidTr="00AF77AA">
        <w:trPr>
          <w:trHeight w:val="552"/>
        </w:trPr>
        <w:tc>
          <w:tcPr>
            <w:tcW w:w="719" w:type="pct"/>
            <w:gridSpan w:val="2"/>
            <w:shd w:val="clear" w:color="auto" w:fill="auto"/>
          </w:tcPr>
          <w:p w:rsidR="0012066D" w:rsidRPr="007E4A0F" w:rsidRDefault="00E22982" w:rsidP="00E22982">
            <w:pPr>
              <w:rPr>
                <w:szCs w:val="22"/>
                <w:lang w:val="fr-FR"/>
              </w:rPr>
            </w:pPr>
            <w:r w:rsidRPr="007E4A0F">
              <w:rPr>
                <w:szCs w:val="22"/>
                <w:lang w:val="fr-FR"/>
              </w:rPr>
              <w:lastRenderedPageBreak/>
              <w:t>Audit financier</w:t>
            </w:r>
          </w:p>
        </w:tc>
        <w:tc>
          <w:tcPr>
            <w:tcW w:w="1128" w:type="pct"/>
            <w:shd w:val="clear" w:color="auto" w:fill="auto"/>
          </w:tcPr>
          <w:p w:rsidR="0012066D" w:rsidRPr="007E4A0F" w:rsidRDefault="008D38E2" w:rsidP="004C7690">
            <w:pPr>
              <w:jc w:val="both"/>
              <w:rPr>
                <w:szCs w:val="22"/>
                <w:lang w:val="fr-FR"/>
              </w:rPr>
            </w:pPr>
            <w:r w:rsidRPr="007E4A0F">
              <w:rPr>
                <w:szCs w:val="22"/>
                <w:lang w:val="fr-FR"/>
              </w:rPr>
              <w:t>L</w:t>
            </w:r>
            <w:r w:rsidR="00B274E6" w:rsidRPr="007E4A0F">
              <w:rPr>
                <w:szCs w:val="22"/>
                <w:lang w:val="fr-FR"/>
              </w:rPr>
              <w:t>’</w:t>
            </w:r>
            <w:r w:rsidRPr="007E4A0F">
              <w:rPr>
                <w:szCs w:val="22"/>
                <w:lang w:val="fr-FR"/>
              </w:rPr>
              <w:t>OMPI pourrait envisager de revoir et d</w:t>
            </w:r>
            <w:r w:rsidR="00B274E6" w:rsidRPr="007E4A0F">
              <w:rPr>
                <w:szCs w:val="22"/>
                <w:lang w:val="fr-FR"/>
              </w:rPr>
              <w:t>’</w:t>
            </w:r>
            <w:r w:rsidRPr="007E4A0F">
              <w:rPr>
                <w:szCs w:val="22"/>
                <w:lang w:val="fr-FR"/>
              </w:rPr>
              <w:t>actualiser les hypothèses démographiques concernant les départs à la retraite et la rotation du personnel qui se servent pour l</w:t>
            </w:r>
            <w:r w:rsidR="00B274E6" w:rsidRPr="007E4A0F">
              <w:rPr>
                <w:szCs w:val="22"/>
                <w:lang w:val="fr-FR"/>
              </w:rPr>
              <w:t>’</w:t>
            </w:r>
            <w:r w:rsidRPr="007E4A0F">
              <w:rPr>
                <w:szCs w:val="22"/>
                <w:lang w:val="fr-FR"/>
              </w:rPr>
              <w:t>évaluation actuarielle des prestations après la cessation de service.</w:t>
            </w:r>
          </w:p>
        </w:tc>
        <w:tc>
          <w:tcPr>
            <w:tcW w:w="1999" w:type="pct"/>
            <w:gridSpan w:val="2"/>
            <w:shd w:val="clear" w:color="auto" w:fill="auto"/>
          </w:tcPr>
          <w:p w:rsidR="0012066D" w:rsidRPr="007E4A0F" w:rsidRDefault="004C7690" w:rsidP="00C91341">
            <w:pPr>
              <w:jc w:val="both"/>
              <w:rPr>
                <w:szCs w:val="22"/>
                <w:lang w:val="fr-FR"/>
              </w:rPr>
            </w:pPr>
            <w:r w:rsidRPr="007E4A0F">
              <w:rPr>
                <w:szCs w:val="22"/>
                <w:lang w:val="fr-FR"/>
              </w:rPr>
              <w:t xml:space="preserve">Les hypothèses démographiques concernant les départs à la retraite et la rotation du personnel ont été actualisées </w:t>
            </w:r>
            <w:r w:rsidR="00C91341" w:rsidRPr="007E4A0F">
              <w:rPr>
                <w:szCs w:val="22"/>
                <w:lang w:val="fr-FR"/>
              </w:rPr>
              <w:t>et intégrées à l</w:t>
            </w:r>
            <w:r w:rsidR="00B274E6" w:rsidRPr="007E4A0F">
              <w:rPr>
                <w:szCs w:val="22"/>
                <w:lang w:val="fr-FR"/>
              </w:rPr>
              <w:t>’</w:t>
            </w:r>
            <w:r w:rsidR="00C91341" w:rsidRPr="007E4A0F">
              <w:rPr>
                <w:szCs w:val="22"/>
                <w:lang w:val="fr-FR"/>
              </w:rPr>
              <w:t>évaluation actuarielle de</w:t>
            </w:r>
            <w:r w:rsidR="006C7CFD" w:rsidRPr="007E4A0F">
              <w:rPr>
                <w:szCs w:val="22"/>
                <w:lang w:val="fr-FR"/>
              </w:rPr>
              <w:t> </w:t>
            </w:r>
            <w:r w:rsidR="00C91341" w:rsidRPr="007E4A0F">
              <w:rPr>
                <w:szCs w:val="22"/>
                <w:lang w:val="fr-FR"/>
              </w:rPr>
              <w:t>2014 aux fins de l</w:t>
            </w:r>
            <w:r w:rsidR="00B274E6" w:rsidRPr="007E4A0F">
              <w:rPr>
                <w:szCs w:val="22"/>
                <w:lang w:val="fr-FR"/>
              </w:rPr>
              <w:t>’</w:t>
            </w:r>
            <w:r w:rsidR="00C91341" w:rsidRPr="007E4A0F">
              <w:rPr>
                <w:szCs w:val="22"/>
                <w:lang w:val="fr-FR"/>
              </w:rPr>
              <w:t>assurance maladie après la cessation de service et des primes de rapatriement.</w:t>
            </w:r>
          </w:p>
        </w:tc>
        <w:tc>
          <w:tcPr>
            <w:tcW w:w="1154" w:type="pct"/>
            <w:gridSpan w:val="2"/>
            <w:shd w:val="clear" w:color="auto" w:fill="auto"/>
          </w:tcPr>
          <w:p w:rsidR="00947AF6" w:rsidRPr="007E4A0F" w:rsidRDefault="00C91341" w:rsidP="0012066D">
            <w:pPr>
              <w:jc w:val="both"/>
              <w:rPr>
                <w:szCs w:val="22"/>
                <w:lang w:val="fr-FR"/>
              </w:rPr>
            </w:pPr>
            <w:r w:rsidRPr="007E4A0F">
              <w:rPr>
                <w:szCs w:val="22"/>
                <w:lang w:val="fr-FR"/>
              </w:rPr>
              <w:t>Les hypothèses démographiques ont été actualisées.</w:t>
            </w:r>
          </w:p>
          <w:p w:rsidR="0012066D" w:rsidRPr="007E4A0F" w:rsidRDefault="00E22982" w:rsidP="00E22982">
            <w:pPr>
              <w:rPr>
                <w:szCs w:val="22"/>
                <w:lang w:val="fr-FR"/>
              </w:rPr>
            </w:pPr>
            <w:r w:rsidRPr="007E4A0F">
              <w:rPr>
                <w:b/>
                <w:szCs w:val="22"/>
                <w:lang w:val="fr-FR"/>
              </w:rPr>
              <w:t xml:space="preserve">La recommandation peut être considérée comme </w:t>
            </w:r>
            <w:r w:rsidR="00524088" w:rsidRPr="007E4A0F">
              <w:rPr>
                <w:b/>
                <w:szCs w:val="22"/>
                <w:lang w:val="fr-FR"/>
              </w:rPr>
              <w:t>“</w:t>
            </w:r>
            <w:r w:rsidRPr="007E4A0F">
              <w:rPr>
                <w:b/>
                <w:szCs w:val="22"/>
                <w:lang w:val="fr-FR"/>
              </w:rPr>
              <w:t>mise en œuvre</w:t>
            </w:r>
            <w:r w:rsidR="00524088" w:rsidRPr="007E4A0F">
              <w:rPr>
                <w:b/>
                <w:szCs w:val="22"/>
                <w:lang w:val="fr-FR"/>
              </w:rPr>
              <w:t>”</w:t>
            </w:r>
            <w:r w:rsidRPr="007E4A0F">
              <w:rPr>
                <w:b/>
                <w:szCs w:val="22"/>
                <w:lang w:val="fr-FR"/>
              </w:rPr>
              <w:t>.</w:t>
            </w:r>
          </w:p>
        </w:tc>
      </w:tr>
    </w:tbl>
    <w:p w:rsidR="00947AF6" w:rsidRPr="007E4A0F" w:rsidRDefault="00947AF6" w:rsidP="0012066D">
      <w:pPr>
        <w:jc w:val="center"/>
        <w:rPr>
          <w:rFonts w:ascii="Times New Roman" w:hAnsi="Times New Roman" w:cs="Times New Roman"/>
          <w:sz w:val="24"/>
          <w:szCs w:val="24"/>
          <w:lang w:val="fr-FR"/>
        </w:rPr>
      </w:pPr>
    </w:p>
    <w:p w:rsidR="00947AF6" w:rsidRPr="007E4A0F" w:rsidRDefault="0012066D" w:rsidP="00E22982">
      <w:pPr>
        <w:jc w:val="center"/>
        <w:rPr>
          <w:rFonts w:eastAsia="Times New Roman"/>
          <w:b/>
          <w:szCs w:val="22"/>
          <w:lang w:val="fr-FR"/>
        </w:rPr>
      </w:pPr>
      <w:r w:rsidRPr="007E4A0F">
        <w:rPr>
          <w:rFonts w:ascii="Times New Roman" w:hAnsi="Times New Roman" w:cs="Times New Roman"/>
          <w:sz w:val="24"/>
          <w:szCs w:val="24"/>
          <w:lang w:val="fr-FR"/>
        </w:rPr>
        <w:br w:type="page"/>
      </w:r>
      <w:r w:rsidR="00E22982" w:rsidRPr="007E4A0F">
        <w:rPr>
          <w:b/>
          <w:szCs w:val="22"/>
          <w:lang w:val="fr-FR"/>
        </w:rPr>
        <w:lastRenderedPageBreak/>
        <w:t>RÉPONSES DE LA DIRECTION AU</w:t>
      </w:r>
      <w:r w:rsidR="00AF77AA" w:rsidRPr="007E4A0F">
        <w:rPr>
          <w:b/>
          <w:szCs w:val="22"/>
          <w:lang w:val="fr-FR"/>
        </w:rPr>
        <w:t>X RECOMMANDATIONS FAITES PAR LE </w:t>
      </w:r>
      <w:r w:rsidR="00E22982" w:rsidRPr="007E4A0F">
        <w:rPr>
          <w:b/>
          <w:szCs w:val="22"/>
          <w:lang w:val="fr-FR"/>
        </w:rPr>
        <w:t>VÉRIFICATEUR EXTERNE</w:t>
      </w:r>
    </w:p>
    <w:p w:rsidR="00947AF6" w:rsidRPr="007E4A0F" w:rsidRDefault="00947AF6" w:rsidP="0012066D">
      <w:pPr>
        <w:jc w:val="center"/>
        <w:rPr>
          <w:rFonts w:eastAsia="Times New Roman"/>
          <w:b/>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p>
    <w:p w:rsidR="00947AF6" w:rsidRPr="007E4A0F" w:rsidRDefault="00947AF6" w:rsidP="0012066D">
      <w:pPr>
        <w:rPr>
          <w:rFonts w:eastAsia="Times New Roman"/>
          <w:szCs w:val="22"/>
          <w:lang w:val="fr-FR"/>
        </w:rPr>
      </w:pPr>
    </w:p>
    <w:p w:rsidR="00947AF6" w:rsidRPr="007E4A0F" w:rsidRDefault="004E55BC"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accélérer le processus de rapprochement des montants en suspens avec les autorités fiscales des États</w:t>
      </w:r>
      <w:r w:rsidR="00CB1BDA" w:rsidRPr="007E4A0F">
        <w:rPr>
          <w:rFonts w:eastAsia="Times New Roman"/>
          <w:i/>
          <w:szCs w:val="22"/>
          <w:lang w:val="fr-FR"/>
        </w:rPr>
        <w:noBreakHyphen/>
      </w:r>
      <w:r w:rsidRPr="007E4A0F">
        <w:rPr>
          <w:rFonts w:eastAsia="Times New Roman"/>
          <w:i/>
          <w:szCs w:val="22"/>
          <w:lang w:val="fr-FR"/>
        </w:rPr>
        <w:t>Unis d</w:t>
      </w:r>
      <w:r w:rsidR="00B274E6" w:rsidRPr="007E4A0F">
        <w:rPr>
          <w:rFonts w:eastAsia="Times New Roman"/>
          <w:i/>
          <w:szCs w:val="22"/>
          <w:lang w:val="fr-FR"/>
        </w:rPr>
        <w:t>’</w:t>
      </w:r>
      <w:r w:rsidRPr="007E4A0F">
        <w:rPr>
          <w:rFonts w:eastAsia="Times New Roman"/>
          <w:i/>
          <w:szCs w:val="22"/>
          <w:lang w:val="fr-FR"/>
        </w:rPr>
        <w:t>Amérique</w:t>
      </w:r>
      <w:r w:rsidR="00CB5608"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12066D">
      <w:pPr>
        <w:jc w:val="both"/>
        <w:rPr>
          <w:rFonts w:eastAsia="Times New Roman"/>
          <w:b/>
          <w:szCs w:val="22"/>
          <w:lang w:val="fr-FR"/>
        </w:rPr>
      </w:pPr>
      <w:r w:rsidRPr="007E4A0F">
        <w:rPr>
          <w:rFonts w:eastAsia="Times New Roman"/>
          <w:b/>
          <w:szCs w:val="22"/>
          <w:lang w:val="fr-FR"/>
        </w:rPr>
        <w:t>Réponse</w:t>
      </w:r>
    </w:p>
    <w:p w:rsidR="00947AF6" w:rsidRPr="007E4A0F" w:rsidRDefault="00947AF6" w:rsidP="0012066D">
      <w:pPr>
        <w:jc w:val="both"/>
        <w:rPr>
          <w:rFonts w:eastAsia="Times New Roman"/>
          <w:szCs w:val="22"/>
          <w:lang w:val="fr-FR"/>
        </w:rPr>
      </w:pPr>
    </w:p>
    <w:p w:rsidR="00947AF6" w:rsidRPr="007E4A0F" w:rsidRDefault="00632BA6" w:rsidP="0012066D">
      <w:pPr>
        <w:jc w:val="both"/>
        <w:rPr>
          <w:rFonts w:eastAsia="Times New Roman"/>
          <w:szCs w:val="22"/>
          <w:lang w:val="fr-FR"/>
        </w:rPr>
      </w:pPr>
      <w:r w:rsidRPr="007E4A0F">
        <w:rPr>
          <w:rFonts w:eastAsia="Times New Roman"/>
          <w:szCs w:val="22"/>
          <w:lang w:val="fr-FR"/>
        </w:rPr>
        <w:t>Il est pris bonne note de la recommandation</w:t>
      </w:r>
      <w:r w:rsidR="0012066D" w:rsidRPr="007E4A0F">
        <w:rPr>
          <w:rFonts w:eastAsia="Times New Roman"/>
          <w:szCs w:val="22"/>
          <w:lang w:val="fr-FR"/>
        </w:rPr>
        <w:t>,</w:t>
      </w:r>
      <w:r w:rsidRPr="007E4A0F">
        <w:rPr>
          <w:rFonts w:eastAsia="Times New Roman"/>
          <w:szCs w:val="22"/>
          <w:lang w:val="fr-FR"/>
        </w:rPr>
        <w:t xml:space="preserve"> mais la direction rappelle que</w:t>
      </w:r>
      <w:r w:rsidR="00B71681" w:rsidRPr="007E4A0F">
        <w:rPr>
          <w:rFonts w:eastAsia="Times New Roman"/>
          <w:szCs w:val="22"/>
          <w:lang w:val="fr-FR"/>
        </w:rPr>
        <w:t xml:space="preserve"> </w:t>
      </w:r>
      <w:r w:rsidR="00B71681" w:rsidRPr="007E4A0F">
        <w:rPr>
          <w:lang w:val="fr-FR"/>
        </w:rPr>
        <w:t>le processus de rapprochement ne peut être mené à bien que si les autorités fiscales des États</w:t>
      </w:r>
      <w:r w:rsidR="00CB1BDA" w:rsidRPr="007E4A0F">
        <w:rPr>
          <w:lang w:val="fr-FR"/>
        </w:rPr>
        <w:noBreakHyphen/>
      </w:r>
      <w:r w:rsidR="00B71681" w:rsidRPr="007E4A0F">
        <w:rPr>
          <w:lang w:val="fr-FR"/>
        </w:rPr>
        <w:t>Unis d</w:t>
      </w:r>
      <w:r w:rsidR="00B274E6" w:rsidRPr="007E4A0F">
        <w:rPr>
          <w:lang w:val="fr-FR"/>
        </w:rPr>
        <w:t>’</w:t>
      </w:r>
      <w:r w:rsidR="00B71681" w:rsidRPr="007E4A0F">
        <w:rPr>
          <w:lang w:val="fr-FR"/>
        </w:rPr>
        <w:t>Amérique sont en mesure de fournir suffisamment de détails sur les sommes déjà remboursées à l</w:t>
      </w:r>
      <w:r w:rsidR="00B274E6" w:rsidRPr="007E4A0F">
        <w:rPr>
          <w:lang w:val="fr-FR"/>
        </w:rPr>
        <w:t>’</w:t>
      </w:r>
      <w:r w:rsidR="00B71681" w:rsidRPr="007E4A0F">
        <w:rPr>
          <w:lang w:val="fr-FR"/>
        </w:rPr>
        <w:t>Organisation.</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2</w:t>
      </w:r>
    </w:p>
    <w:p w:rsidR="00947AF6" w:rsidRPr="007E4A0F" w:rsidRDefault="00947AF6" w:rsidP="0012066D">
      <w:pPr>
        <w:rPr>
          <w:rFonts w:eastAsia="Times New Roman"/>
          <w:szCs w:val="22"/>
          <w:lang w:val="fr-FR"/>
        </w:rPr>
      </w:pPr>
    </w:p>
    <w:p w:rsidR="00947AF6" w:rsidRPr="007E4A0F" w:rsidRDefault="00365491"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 xml:space="preserve">OMPI pourrait fournir dans les notes relatives aux états financiers les détails concernant ses actifs patrimoniaux, </w:t>
      </w:r>
      <w:r w:rsidR="00B274E6" w:rsidRPr="007E4A0F">
        <w:rPr>
          <w:rFonts w:eastAsia="Times New Roman"/>
          <w:i/>
          <w:szCs w:val="22"/>
          <w:lang w:val="fr-FR"/>
        </w:rPr>
        <w:t>y compris</w:t>
      </w:r>
      <w:r w:rsidRPr="007E4A0F">
        <w:rPr>
          <w:rFonts w:eastAsia="Times New Roman"/>
          <w:i/>
          <w:szCs w:val="22"/>
          <w:lang w:val="fr-FR"/>
        </w:rPr>
        <w:t xml:space="preserve"> les œuvres d</w:t>
      </w:r>
      <w:r w:rsidR="00B274E6" w:rsidRPr="007E4A0F">
        <w:rPr>
          <w:rFonts w:eastAsia="Times New Roman"/>
          <w:i/>
          <w:szCs w:val="22"/>
          <w:lang w:val="fr-FR"/>
        </w:rPr>
        <w:t>’</w:t>
      </w:r>
      <w:r w:rsidRPr="007E4A0F">
        <w:rPr>
          <w:rFonts w:eastAsia="Times New Roman"/>
          <w:i/>
          <w:szCs w:val="22"/>
          <w:lang w:val="fr-FR"/>
        </w:rPr>
        <w:t>art, et prendre des mesures pour renforcer les systèmes de sécurité afin d</w:t>
      </w:r>
      <w:r w:rsidR="00B274E6" w:rsidRPr="007E4A0F">
        <w:rPr>
          <w:rFonts w:eastAsia="Times New Roman"/>
          <w:i/>
          <w:szCs w:val="22"/>
          <w:lang w:val="fr-FR"/>
        </w:rPr>
        <w:t>’</w:t>
      </w:r>
      <w:r w:rsidRPr="007E4A0F">
        <w:rPr>
          <w:rFonts w:eastAsia="Times New Roman"/>
          <w:i/>
          <w:szCs w:val="22"/>
          <w:lang w:val="fr-FR"/>
        </w:rPr>
        <w:t>empêcher à l</w:t>
      </w:r>
      <w:r w:rsidR="00B274E6" w:rsidRPr="007E4A0F">
        <w:rPr>
          <w:rFonts w:eastAsia="Times New Roman"/>
          <w:i/>
          <w:szCs w:val="22"/>
          <w:lang w:val="fr-FR"/>
        </w:rPr>
        <w:t>’</w:t>
      </w:r>
      <w:r w:rsidRPr="007E4A0F">
        <w:rPr>
          <w:rFonts w:eastAsia="Times New Roman"/>
          <w:i/>
          <w:szCs w:val="22"/>
          <w:lang w:val="fr-FR"/>
        </w:rPr>
        <w:t>avenir la perte de ce type d</w:t>
      </w:r>
      <w:r w:rsidR="00B274E6" w:rsidRPr="007E4A0F">
        <w:rPr>
          <w:rFonts w:eastAsia="Times New Roman"/>
          <w:i/>
          <w:szCs w:val="22"/>
          <w:lang w:val="fr-FR"/>
        </w:rPr>
        <w:t>’</w:t>
      </w:r>
      <w:r w:rsidRPr="007E4A0F">
        <w:rPr>
          <w:rFonts w:eastAsia="Times New Roman"/>
          <w:i/>
          <w:szCs w:val="22"/>
          <w:lang w:val="fr-FR"/>
        </w:rPr>
        <w:t>actifs.</w:t>
      </w:r>
    </w:p>
    <w:p w:rsidR="00947AF6" w:rsidRPr="007E4A0F" w:rsidRDefault="00947AF6" w:rsidP="0012066D">
      <w:pPr>
        <w:rPr>
          <w:rFonts w:eastAsia="Times New Roman"/>
          <w:szCs w:val="22"/>
          <w:lang w:val="fr-FR"/>
        </w:rPr>
      </w:pPr>
    </w:p>
    <w:p w:rsidR="00947AF6" w:rsidRPr="007E4A0F" w:rsidRDefault="00A470CE" w:rsidP="0012066D">
      <w:pPr>
        <w:jc w:val="both"/>
        <w:rPr>
          <w:rFonts w:eastAsia="Times New Roman"/>
          <w:b/>
          <w:szCs w:val="22"/>
          <w:lang w:val="fr-FR"/>
        </w:rPr>
      </w:pPr>
      <w:r w:rsidRPr="007E4A0F">
        <w:rPr>
          <w:rFonts w:eastAsia="Times New Roman"/>
          <w:b/>
          <w:szCs w:val="22"/>
          <w:lang w:val="fr-FR"/>
        </w:rPr>
        <w:t>Réponse</w:t>
      </w:r>
    </w:p>
    <w:p w:rsidR="00947AF6" w:rsidRPr="007E4A0F" w:rsidRDefault="00947AF6" w:rsidP="0012066D">
      <w:pPr>
        <w:jc w:val="both"/>
        <w:rPr>
          <w:rFonts w:eastAsia="Times New Roman"/>
          <w:szCs w:val="22"/>
          <w:lang w:val="fr-FR"/>
        </w:rPr>
      </w:pPr>
    </w:p>
    <w:p w:rsidR="00947AF6" w:rsidRPr="007E4A0F" w:rsidRDefault="00DC36D0" w:rsidP="0012066D">
      <w:pPr>
        <w:jc w:val="both"/>
        <w:rPr>
          <w:rFonts w:eastAsia="Times New Roman"/>
          <w:szCs w:val="22"/>
          <w:lang w:val="fr-FR"/>
        </w:rPr>
      </w:pPr>
      <w:r w:rsidRPr="007E4A0F">
        <w:rPr>
          <w:rFonts w:eastAsia="Times New Roman"/>
          <w:szCs w:val="22"/>
          <w:lang w:val="fr-FR"/>
        </w:rPr>
        <w:t>S</w:t>
      </w:r>
      <w:r w:rsidR="00B274E6" w:rsidRPr="007E4A0F">
        <w:rPr>
          <w:rFonts w:eastAsia="Times New Roman"/>
          <w:szCs w:val="22"/>
          <w:lang w:val="fr-FR"/>
        </w:rPr>
        <w:t>’</w:t>
      </w:r>
      <w:r w:rsidRPr="007E4A0F">
        <w:rPr>
          <w:rFonts w:eastAsia="Times New Roman"/>
          <w:szCs w:val="22"/>
          <w:lang w:val="fr-FR"/>
        </w:rPr>
        <w:t>agissant en particulier d</w:t>
      </w:r>
      <w:r w:rsidR="00B274E6" w:rsidRPr="007E4A0F">
        <w:rPr>
          <w:rFonts w:eastAsia="Times New Roman"/>
          <w:szCs w:val="22"/>
          <w:lang w:val="fr-FR"/>
        </w:rPr>
        <w:t>’</w:t>
      </w:r>
      <w:r w:rsidRPr="007E4A0F">
        <w:rPr>
          <w:rFonts w:eastAsia="Times New Roman"/>
          <w:szCs w:val="22"/>
          <w:lang w:val="fr-FR"/>
        </w:rPr>
        <w:t>actifs patrimoniaux ou d</w:t>
      </w:r>
      <w:r w:rsidR="00B274E6" w:rsidRPr="007E4A0F">
        <w:rPr>
          <w:rFonts w:eastAsia="Times New Roman"/>
          <w:szCs w:val="22"/>
          <w:lang w:val="fr-FR"/>
        </w:rPr>
        <w:t>’</w:t>
      </w:r>
      <w:r w:rsidRPr="007E4A0F">
        <w:rPr>
          <w:rFonts w:eastAsia="Times New Roman"/>
          <w:szCs w:val="22"/>
          <w:lang w:val="fr-FR"/>
        </w:rPr>
        <w:t>œuvres d</w:t>
      </w:r>
      <w:r w:rsidR="00B274E6" w:rsidRPr="007E4A0F">
        <w:rPr>
          <w:rFonts w:eastAsia="Times New Roman"/>
          <w:szCs w:val="22"/>
          <w:lang w:val="fr-FR"/>
        </w:rPr>
        <w:t>’</w:t>
      </w:r>
      <w:r w:rsidRPr="007E4A0F">
        <w:rPr>
          <w:rFonts w:eastAsia="Times New Roman"/>
          <w:szCs w:val="22"/>
          <w:lang w:val="fr-FR"/>
        </w:rPr>
        <w:t>art, les normes</w:t>
      </w:r>
      <w:r w:rsidR="006C7CFD" w:rsidRPr="007E4A0F">
        <w:rPr>
          <w:rFonts w:eastAsia="Times New Roman"/>
          <w:szCs w:val="22"/>
          <w:lang w:val="fr-FR"/>
        </w:rPr>
        <w:t> </w:t>
      </w:r>
      <w:r w:rsidRPr="007E4A0F">
        <w:rPr>
          <w:rFonts w:eastAsia="Times New Roman"/>
          <w:szCs w:val="22"/>
          <w:lang w:val="fr-FR"/>
        </w:rPr>
        <w:t>IPSAS mentionnent expressément que leur comptabilisation n</w:t>
      </w:r>
      <w:r w:rsidR="00B274E6" w:rsidRPr="007E4A0F">
        <w:rPr>
          <w:rFonts w:eastAsia="Times New Roman"/>
          <w:szCs w:val="22"/>
          <w:lang w:val="fr-FR"/>
        </w:rPr>
        <w:t>’</w:t>
      </w:r>
      <w:r w:rsidRPr="007E4A0F">
        <w:rPr>
          <w:rFonts w:eastAsia="Times New Roman"/>
          <w:szCs w:val="22"/>
          <w:lang w:val="fr-FR"/>
        </w:rPr>
        <w:t>est pas nécessaire.  Les normes</w:t>
      </w:r>
      <w:r w:rsidR="006C7CFD" w:rsidRPr="007E4A0F">
        <w:rPr>
          <w:rFonts w:eastAsia="Times New Roman"/>
          <w:szCs w:val="22"/>
          <w:lang w:val="fr-FR"/>
        </w:rPr>
        <w:t> </w:t>
      </w:r>
      <w:r w:rsidRPr="007E4A0F">
        <w:rPr>
          <w:rFonts w:eastAsia="Times New Roman"/>
          <w:szCs w:val="22"/>
          <w:lang w:val="fr-FR"/>
        </w:rPr>
        <w:t>IPSAS n</w:t>
      </w:r>
      <w:r w:rsidR="00B274E6" w:rsidRPr="007E4A0F">
        <w:rPr>
          <w:rFonts w:eastAsia="Times New Roman"/>
          <w:szCs w:val="22"/>
          <w:lang w:val="fr-FR"/>
        </w:rPr>
        <w:t>’</w:t>
      </w:r>
      <w:r w:rsidRPr="007E4A0F">
        <w:rPr>
          <w:rFonts w:eastAsia="Times New Roman"/>
          <w:szCs w:val="22"/>
          <w:lang w:val="fr-FR"/>
        </w:rPr>
        <w:t>imposent pas la divulgation d</w:t>
      </w:r>
      <w:r w:rsidR="00B274E6" w:rsidRPr="007E4A0F">
        <w:rPr>
          <w:rFonts w:eastAsia="Times New Roman"/>
          <w:szCs w:val="22"/>
          <w:lang w:val="fr-FR"/>
        </w:rPr>
        <w:t>’</w:t>
      </w:r>
      <w:r w:rsidRPr="007E4A0F">
        <w:rPr>
          <w:rFonts w:eastAsia="Times New Roman"/>
          <w:szCs w:val="22"/>
          <w:lang w:val="fr-FR"/>
        </w:rPr>
        <w:t>actifs patrimoniaux non comptabilisés dans les états financiers.  En outre, l</w:t>
      </w:r>
      <w:r w:rsidR="00B274E6" w:rsidRPr="007E4A0F">
        <w:rPr>
          <w:rFonts w:eastAsia="Times New Roman"/>
          <w:szCs w:val="22"/>
          <w:lang w:val="fr-FR"/>
        </w:rPr>
        <w:t>’</w:t>
      </w:r>
      <w:r w:rsidRPr="007E4A0F">
        <w:rPr>
          <w:rFonts w:eastAsia="Times New Roman"/>
          <w:szCs w:val="22"/>
          <w:lang w:val="fr-FR"/>
        </w:rPr>
        <w:t>orientation actuellement fournie par l</w:t>
      </w:r>
      <w:r w:rsidR="00B274E6" w:rsidRPr="007E4A0F">
        <w:rPr>
          <w:rFonts w:eastAsia="Times New Roman"/>
          <w:szCs w:val="22"/>
          <w:lang w:val="fr-FR"/>
        </w:rPr>
        <w:t>’</w:t>
      </w:r>
      <w:r w:rsidRPr="007E4A0F">
        <w:rPr>
          <w:rFonts w:eastAsia="Times New Roman"/>
          <w:szCs w:val="22"/>
          <w:lang w:val="fr-FR"/>
        </w:rPr>
        <w:t>équipe d</w:t>
      </w:r>
      <w:r w:rsidR="00B274E6" w:rsidRPr="007E4A0F">
        <w:rPr>
          <w:rFonts w:eastAsia="Times New Roman"/>
          <w:szCs w:val="22"/>
          <w:lang w:val="fr-FR"/>
        </w:rPr>
        <w:t>’</w:t>
      </w:r>
      <w:r w:rsidRPr="007E4A0F">
        <w:rPr>
          <w:rFonts w:eastAsia="Times New Roman"/>
          <w:szCs w:val="22"/>
          <w:lang w:val="fr-FR"/>
        </w:rPr>
        <w:t>experts de l</w:t>
      </w:r>
      <w:r w:rsidR="00B274E6" w:rsidRPr="007E4A0F">
        <w:rPr>
          <w:rFonts w:eastAsia="Times New Roman"/>
          <w:szCs w:val="22"/>
          <w:lang w:val="fr-FR"/>
        </w:rPr>
        <w:t>’</w:t>
      </w:r>
      <w:r w:rsidRPr="007E4A0F">
        <w:rPr>
          <w:rFonts w:eastAsia="Times New Roman"/>
          <w:szCs w:val="22"/>
          <w:lang w:val="fr-FR"/>
        </w:rPr>
        <w:t>ONU est de ne pas comptabiliser les actifs patrimoniaux dans les états financiers.  L</w:t>
      </w:r>
      <w:r w:rsidR="00B274E6" w:rsidRPr="007E4A0F">
        <w:rPr>
          <w:rFonts w:eastAsia="Times New Roman"/>
          <w:szCs w:val="22"/>
          <w:lang w:val="fr-FR"/>
        </w:rPr>
        <w:t>’</w:t>
      </w:r>
      <w:r w:rsidRPr="007E4A0F">
        <w:rPr>
          <w:rFonts w:eastAsia="Times New Roman"/>
          <w:szCs w:val="22"/>
          <w:lang w:val="fr-FR"/>
        </w:rPr>
        <w:t>OMPI prend note de la recommandation et propose que la question des actifs patrimoniaux soit examinée à la prochaine réunion de l</w:t>
      </w:r>
      <w:r w:rsidR="00B274E6" w:rsidRPr="007E4A0F">
        <w:rPr>
          <w:rFonts w:eastAsia="Times New Roman"/>
          <w:szCs w:val="22"/>
          <w:lang w:val="fr-FR"/>
        </w:rPr>
        <w:t>’</w:t>
      </w:r>
      <w:r w:rsidRPr="007E4A0F">
        <w:rPr>
          <w:rFonts w:eastAsia="Times New Roman"/>
          <w:szCs w:val="22"/>
          <w:lang w:val="fr-FR"/>
        </w:rPr>
        <w:t>équipe d</w:t>
      </w:r>
      <w:r w:rsidR="00B274E6" w:rsidRPr="007E4A0F">
        <w:rPr>
          <w:rFonts w:eastAsia="Times New Roman"/>
          <w:szCs w:val="22"/>
          <w:lang w:val="fr-FR"/>
        </w:rPr>
        <w:t>’</w:t>
      </w:r>
      <w:r w:rsidRPr="007E4A0F">
        <w:rPr>
          <w:rFonts w:eastAsia="Times New Roman"/>
          <w:szCs w:val="22"/>
          <w:lang w:val="fr-FR"/>
        </w:rPr>
        <w:t>experts de l</w:t>
      </w:r>
      <w:r w:rsidR="00B274E6" w:rsidRPr="007E4A0F">
        <w:rPr>
          <w:rFonts w:eastAsia="Times New Roman"/>
          <w:szCs w:val="22"/>
          <w:lang w:val="fr-FR"/>
        </w:rPr>
        <w:t>’</w:t>
      </w:r>
      <w:r w:rsidRPr="007E4A0F">
        <w:rPr>
          <w:rFonts w:eastAsia="Times New Roman"/>
          <w:szCs w:val="22"/>
          <w:lang w:val="fr-FR"/>
        </w:rPr>
        <w:t xml:space="preserve">ONU, en </w:t>
      </w:r>
      <w:r w:rsidR="00B274E6" w:rsidRPr="007E4A0F">
        <w:rPr>
          <w:rFonts w:eastAsia="Times New Roman"/>
          <w:szCs w:val="22"/>
          <w:lang w:val="fr-FR"/>
        </w:rPr>
        <w:t>octobre 20</w:t>
      </w:r>
      <w:r w:rsidRPr="007E4A0F">
        <w:rPr>
          <w:rFonts w:eastAsia="Times New Roman"/>
          <w:szCs w:val="22"/>
          <w:lang w:val="fr-FR"/>
        </w:rPr>
        <w:t xml:space="preserve">15.  </w:t>
      </w:r>
      <w:r w:rsidR="00817717" w:rsidRPr="007E4A0F">
        <w:rPr>
          <w:rFonts w:eastAsia="Times New Roman"/>
          <w:szCs w:val="22"/>
          <w:lang w:val="fr-FR"/>
        </w:rPr>
        <w:t>La possibilité d</w:t>
      </w:r>
      <w:r w:rsidR="00B274E6" w:rsidRPr="007E4A0F">
        <w:rPr>
          <w:rFonts w:eastAsia="Times New Roman"/>
          <w:szCs w:val="22"/>
          <w:lang w:val="fr-FR"/>
        </w:rPr>
        <w:t>’</w:t>
      </w:r>
      <w:r w:rsidR="00817717" w:rsidRPr="007E4A0F">
        <w:rPr>
          <w:rFonts w:eastAsia="Times New Roman"/>
          <w:szCs w:val="22"/>
          <w:lang w:val="fr-FR"/>
        </w:rPr>
        <w:t>une divulgation plus détaillée dans les états financiers de</w:t>
      </w:r>
      <w:r w:rsidR="006C7CFD" w:rsidRPr="007E4A0F">
        <w:rPr>
          <w:rFonts w:eastAsia="Times New Roman"/>
          <w:szCs w:val="22"/>
          <w:lang w:val="fr-FR"/>
        </w:rPr>
        <w:t> </w:t>
      </w:r>
      <w:r w:rsidR="00817717" w:rsidRPr="007E4A0F">
        <w:rPr>
          <w:rFonts w:eastAsia="Times New Roman"/>
          <w:szCs w:val="22"/>
          <w:lang w:val="fr-FR"/>
        </w:rPr>
        <w:t>2015 sera ensuite envisagée.</w:t>
      </w:r>
    </w:p>
    <w:p w:rsidR="00947AF6" w:rsidRPr="007E4A0F" w:rsidRDefault="00947AF6" w:rsidP="0012066D">
      <w:pPr>
        <w:jc w:val="both"/>
        <w:rPr>
          <w:rFonts w:eastAsia="Times New Roman"/>
          <w:szCs w:val="22"/>
          <w:lang w:val="fr-FR"/>
        </w:rPr>
      </w:pPr>
    </w:p>
    <w:p w:rsidR="00947AF6" w:rsidRPr="007E4A0F" w:rsidRDefault="003644C1" w:rsidP="0012066D">
      <w:pPr>
        <w:rPr>
          <w:rFonts w:eastAsia="Times New Roman"/>
          <w:szCs w:val="22"/>
          <w:lang w:val="fr-FR"/>
        </w:rPr>
      </w:pPr>
      <w:r w:rsidRPr="007E4A0F">
        <w:rPr>
          <w:rFonts w:eastAsia="Times New Roman"/>
          <w:szCs w:val="22"/>
          <w:lang w:val="fr-FR"/>
        </w:rPr>
        <w:t>Suite à la publication d</w:t>
      </w:r>
      <w:r w:rsidR="00B274E6" w:rsidRPr="007E4A0F">
        <w:rPr>
          <w:rFonts w:eastAsia="Times New Roman"/>
          <w:szCs w:val="22"/>
          <w:lang w:val="fr-FR"/>
        </w:rPr>
        <w:t>’</w:t>
      </w:r>
      <w:r w:rsidRPr="007E4A0F">
        <w:rPr>
          <w:rFonts w:eastAsia="Times New Roman"/>
          <w:szCs w:val="22"/>
          <w:lang w:val="fr-FR"/>
        </w:rPr>
        <w:t>un nouvel ordre de service relatif à la gestion des actifs, la responsabilité de la collection d</w:t>
      </w:r>
      <w:r w:rsidR="00B274E6" w:rsidRPr="007E4A0F">
        <w:rPr>
          <w:rFonts w:eastAsia="Times New Roman"/>
          <w:szCs w:val="22"/>
          <w:lang w:val="fr-FR"/>
        </w:rPr>
        <w:t>’</w:t>
      </w:r>
      <w:r w:rsidRPr="007E4A0F">
        <w:rPr>
          <w:rFonts w:eastAsia="Times New Roman"/>
          <w:szCs w:val="22"/>
          <w:lang w:val="fr-FR"/>
        </w:rPr>
        <w:t>œuvres d</w:t>
      </w:r>
      <w:r w:rsidR="00B274E6" w:rsidRPr="007E4A0F">
        <w:rPr>
          <w:rFonts w:eastAsia="Times New Roman"/>
          <w:szCs w:val="22"/>
          <w:lang w:val="fr-FR"/>
        </w:rPr>
        <w:t>’</w:t>
      </w:r>
      <w:r w:rsidRPr="007E4A0F">
        <w:rPr>
          <w:rFonts w:eastAsia="Times New Roman"/>
          <w:szCs w:val="22"/>
          <w:lang w:val="fr-FR"/>
        </w:rPr>
        <w:t>art incombera à</w:t>
      </w:r>
      <w:r w:rsidR="0012066D" w:rsidRPr="007E4A0F">
        <w:rPr>
          <w:rFonts w:eastAsia="Times New Roman"/>
          <w:szCs w:val="22"/>
          <w:lang w:val="fr-FR"/>
        </w:rPr>
        <w:t xml:space="preserve"> </w:t>
      </w:r>
      <w:r w:rsidRPr="007E4A0F">
        <w:rPr>
          <w:rFonts w:eastAsia="Times New Roman"/>
          <w:szCs w:val="22"/>
          <w:lang w:val="fr-FR"/>
        </w:rPr>
        <w:t>la Division de l</w:t>
      </w:r>
      <w:r w:rsidR="00B274E6" w:rsidRPr="007E4A0F">
        <w:rPr>
          <w:rFonts w:eastAsia="Times New Roman"/>
          <w:szCs w:val="22"/>
          <w:lang w:val="fr-FR"/>
        </w:rPr>
        <w:t>’</w:t>
      </w:r>
      <w:r w:rsidRPr="007E4A0F">
        <w:rPr>
          <w:rFonts w:eastAsia="Times New Roman"/>
          <w:szCs w:val="22"/>
          <w:lang w:val="fr-FR"/>
        </w:rPr>
        <w:t>infrastructure des locaux</w:t>
      </w:r>
      <w:r w:rsidR="0012066D" w:rsidRPr="007E4A0F">
        <w:rPr>
          <w:rFonts w:eastAsia="Times New Roman"/>
          <w:szCs w:val="22"/>
          <w:lang w:val="fr-FR"/>
        </w:rPr>
        <w:t xml:space="preserve">, </w:t>
      </w:r>
      <w:r w:rsidRPr="007E4A0F">
        <w:rPr>
          <w:rFonts w:eastAsia="Times New Roman"/>
          <w:szCs w:val="22"/>
          <w:lang w:val="fr-FR"/>
        </w:rPr>
        <w:t>et diverses mesures seront mises en œuvre, dont notamment le renforcement des systèmes de sécurité.</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3</w:t>
      </w:r>
    </w:p>
    <w:p w:rsidR="00947AF6" w:rsidRPr="007E4A0F" w:rsidRDefault="00947AF6" w:rsidP="0012066D">
      <w:pPr>
        <w:rPr>
          <w:rFonts w:eastAsia="Times New Roman"/>
          <w:szCs w:val="22"/>
          <w:lang w:val="fr-FR"/>
        </w:rPr>
      </w:pPr>
    </w:p>
    <w:p w:rsidR="00947AF6" w:rsidRPr="007E4A0F" w:rsidRDefault="001725B0"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w:t>
      </w:r>
      <w:r w:rsidR="00B274E6" w:rsidRPr="007E4A0F">
        <w:rPr>
          <w:rFonts w:eastAsia="Times New Roman"/>
          <w:i/>
          <w:szCs w:val="22"/>
          <w:lang w:val="fr-FR"/>
        </w:rPr>
        <w:t>’</w:t>
      </w:r>
      <w:r w:rsidRPr="007E4A0F">
        <w:rPr>
          <w:rFonts w:eastAsia="Times New Roman"/>
          <w:i/>
          <w:szCs w:val="22"/>
          <w:lang w:val="fr-FR"/>
        </w:rPr>
        <w:t>établir le rapport sur l</w:t>
      </w:r>
      <w:r w:rsidR="00B274E6" w:rsidRPr="007E4A0F">
        <w:rPr>
          <w:rFonts w:eastAsia="Times New Roman"/>
          <w:i/>
          <w:szCs w:val="22"/>
          <w:lang w:val="fr-FR"/>
        </w:rPr>
        <w:t>’</w:t>
      </w:r>
      <w:r w:rsidRPr="007E4A0F">
        <w:rPr>
          <w:rFonts w:eastAsia="Times New Roman"/>
          <w:i/>
          <w:szCs w:val="22"/>
          <w:lang w:val="fr-FR"/>
        </w:rPr>
        <w:t>exécution du programme avant la fin de l</w:t>
      </w:r>
      <w:r w:rsidR="00B274E6" w:rsidRPr="007E4A0F">
        <w:rPr>
          <w:rFonts w:eastAsia="Times New Roman"/>
          <w:i/>
          <w:szCs w:val="22"/>
          <w:lang w:val="fr-FR"/>
        </w:rPr>
        <w:t>’</w:t>
      </w:r>
      <w:r w:rsidRPr="007E4A0F">
        <w:rPr>
          <w:rFonts w:eastAsia="Times New Roman"/>
          <w:i/>
          <w:szCs w:val="22"/>
          <w:lang w:val="fr-FR"/>
        </w:rPr>
        <w:t>audit financier ou de présenter une explication des écarts entre les montants inscrits au budget et les montants réels dans les états financiers, conformément à la norme</w:t>
      </w:r>
      <w:r w:rsidR="006C7CFD" w:rsidRPr="007E4A0F">
        <w:rPr>
          <w:rFonts w:eastAsia="Times New Roman"/>
          <w:i/>
          <w:szCs w:val="22"/>
          <w:lang w:val="fr-FR"/>
        </w:rPr>
        <w:t> </w:t>
      </w:r>
      <w:r w:rsidRPr="007E4A0F">
        <w:rPr>
          <w:rFonts w:eastAsia="Times New Roman"/>
          <w:i/>
          <w:szCs w:val="22"/>
          <w:lang w:val="fr-FR"/>
        </w:rPr>
        <w:t>IPSAS 24.</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3644C1" w:rsidP="0012066D">
      <w:pPr>
        <w:rPr>
          <w:rFonts w:eastAsia="Times New Roman"/>
          <w:szCs w:val="22"/>
          <w:lang w:val="fr-FR"/>
        </w:rPr>
      </w:pPr>
      <w:r w:rsidRPr="007E4A0F">
        <w:rPr>
          <w:rFonts w:eastAsia="Times New Roman"/>
          <w:szCs w:val="22"/>
          <w:lang w:val="fr-FR"/>
        </w:rPr>
        <w:t>Un projet d</w:t>
      </w:r>
      <w:r w:rsidR="00B274E6" w:rsidRPr="007E4A0F">
        <w:rPr>
          <w:rFonts w:eastAsia="Times New Roman"/>
          <w:szCs w:val="22"/>
          <w:lang w:val="fr-FR"/>
        </w:rPr>
        <w:t>’</w:t>
      </w:r>
      <w:r w:rsidRPr="007E4A0F">
        <w:rPr>
          <w:rFonts w:eastAsia="Times New Roman"/>
          <w:szCs w:val="22"/>
          <w:lang w:val="fr-FR"/>
        </w:rPr>
        <w:t>explication des ressources établi pour le rapport sur l</w:t>
      </w:r>
      <w:r w:rsidR="00B274E6" w:rsidRPr="007E4A0F">
        <w:rPr>
          <w:rFonts w:eastAsia="Times New Roman"/>
          <w:szCs w:val="22"/>
          <w:lang w:val="fr-FR"/>
        </w:rPr>
        <w:t>’</w:t>
      </w:r>
      <w:r w:rsidRPr="007E4A0F">
        <w:rPr>
          <w:rFonts w:eastAsia="Times New Roman"/>
          <w:szCs w:val="22"/>
          <w:lang w:val="fr-FR"/>
        </w:rPr>
        <w:t>exécution du programme sera communiqué au cours de l</w:t>
      </w:r>
      <w:r w:rsidR="00B274E6" w:rsidRPr="007E4A0F">
        <w:rPr>
          <w:rFonts w:eastAsia="Times New Roman"/>
          <w:szCs w:val="22"/>
          <w:lang w:val="fr-FR"/>
        </w:rPr>
        <w:t>’</w:t>
      </w:r>
      <w:r w:rsidRPr="007E4A0F">
        <w:rPr>
          <w:rFonts w:eastAsia="Times New Roman"/>
          <w:szCs w:val="22"/>
          <w:lang w:val="fr-FR"/>
        </w:rPr>
        <w:t>audit.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4</w:t>
      </w:r>
    </w:p>
    <w:p w:rsidR="00947AF6" w:rsidRPr="007E4A0F" w:rsidRDefault="00947AF6" w:rsidP="0012066D">
      <w:pPr>
        <w:rPr>
          <w:rFonts w:eastAsia="Times New Roman"/>
          <w:szCs w:val="22"/>
          <w:lang w:val="fr-FR"/>
        </w:rPr>
      </w:pPr>
    </w:p>
    <w:p w:rsidR="00B274E6" w:rsidRPr="007E4A0F" w:rsidRDefault="009045CE" w:rsidP="0012066D">
      <w:pPr>
        <w:rPr>
          <w:rFonts w:eastAsia="Times New Roman"/>
          <w:i/>
          <w:szCs w:val="22"/>
          <w:lang w:val="fr-FR"/>
        </w:rPr>
      </w:pPr>
      <w:r w:rsidRPr="007E4A0F">
        <w:rPr>
          <w:rFonts w:eastAsia="Times New Roman"/>
          <w:i/>
          <w:szCs w:val="22"/>
          <w:lang w:val="fr-FR"/>
        </w:rPr>
        <w:t>Le Bureau international pourrait envisager d</w:t>
      </w:r>
      <w:r w:rsidR="00B274E6" w:rsidRPr="007E4A0F">
        <w:rPr>
          <w:rFonts w:eastAsia="Times New Roman"/>
          <w:i/>
          <w:szCs w:val="22"/>
          <w:lang w:val="fr-FR"/>
        </w:rPr>
        <w:t>’</w:t>
      </w:r>
      <w:r w:rsidRPr="007E4A0F">
        <w:rPr>
          <w:rFonts w:eastAsia="Times New Roman"/>
          <w:i/>
          <w:szCs w:val="22"/>
          <w:lang w:val="fr-FR"/>
        </w:rPr>
        <w:t xml:space="preserve">accroître ses efforts pour que les taxes des offices de propriété intellectuelle lui parviennent </w:t>
      </w:r>
      <w:r w:rsidR="00992D6E" w:rsidRPr="007E4A0F">
        <w:rPr>
          <w:rFonts w:eastAsia="Times New Roman"/>
          <w:i/>
          <w:szCs w:val="22"/>
          <w:lang w:val="fr-FR"/>
        </w:rPr>
        <w:t>sans retard</w:t>
      </w:r>
      <w:r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AF77AA">
      <w:pPr>
        <w:keepNext/>
        <w:keepLines/>
        <w:rPr>
          <w:rFonts w:eastAsia="Times New Roman"/>
          <w:b/>
          <w:szCs w:val="22"/>
          <w:lang w:val="fr-FR"/>
        </w:rPr>
      </w:pPr>
      <w:r w:rsidRPr="007E4A0F">
        <w:rPr>
          <w:rFonts w:eastAsia="Times New Roman"/>
          <w:b/>
          <w:szCs w:val="22"/>
          <w:lang w:val="fr-FR"/>
        </w:rPr>
        <w:lastRenderedPageBreak/>
        <w:t>Réponse</w:t>
      </w:r>
    </w:p>
    <w:p w:rsidR="00947AF6" w:rsidRPr="007E4A0F" w:rsidRDefault="00947AF6" w:rsidP="00AF77AA">
      <w:pPr>
        <w:keepNext/>
        <w:rPr>
          <w:rFonts w:eastAsia="Times New Roman"/>
          <w:szCs w:val="22"/>
          <w:lang w:val="fr-FR"/>
        </w:rPr>
      </w:pPr>
    </w:p>
    <w:p w:rsidR="00947AF6" w:rsidRPr="007E4A0F" w:rsidRDefault="00113BA6" w:rsidP="0012066D">
      <w:pPr>
        <w:jc w:val="both"/>
        <w:rPr>
          <w:rFonts w:eastAsia="Times New Roman"/>
          <w:szCs w:val="22"/>
          <w:lang w:val="fr-FR"/>
        </w:rPr>
      </w:pPr>
      <w:r w:rsidRPr="007E4A0F">
        <w:rPr>
          <w:lang w:val="fr-FR"/>
        </w:rPr>
        <w:t>Le Bureau international a régulièrement des contacts avec</w:t>
      </w:r>
      <w:r w:rsidR="00B274E6" w:rsidRPr="007E4A0F">
        <w:rPr>
          <w:lang w:val="fr-FR"/>
        </w:rPr>
        <w:t xml:space="preserve"> le SIP</w:t>
      </w:r>
      <w:r w:rsidRPr="007E4A0F">
        <w:rPr>
          <w:lang w:val="fr-FR"/>
        </w:rPr>
        <w:t xml:space="preserve">O depuis un certain temps déjà au sujet du respect des délais de transmission des demandes internationales et de la taxe internationale de dépôt. </w:t>
      </w:r>
      <w:r w:rsidR="00B274E6" w:rsidRPr="007E4A0F">
        <w:rPr>
          <w:lang w:val="fr-FR"/>
        </w:rPr>
        <w:t xml:space="preserve"> Le SIP</w:t>
      </w:r>
      <w:r w:rsidR="00992D6E" w:rsidRPr="007E4A0F">
        <w:rPr>
          <w:lang w:val="fr-FR"/>
        </w:rPr>
        <w:t xml:space="preserve">O </w:t>
      </w:r>
      <w:r w:rsidRPr="007E4A0F">
        <w:rPr>
          <w:lang w:val="fr-FR"/>
        </w:rPr>
        <w:t>es</w:t>
      </w:r>
      <w:r w:rsidR="00992D6E" w:rsidRPr="007E4A0F">
        <w:rPr>
          <w:lang w:val="fr-FR"/>
        </w:rPr>
        <w:t>t en progrès constant à cet égard</w:t>
      </w:r>
      <w:r w:rsidR="009501A5" w:rsidRPr="007E4A0F">
        <w:rPr>
          <w:lang w:val="fr-FR"/>
        </w:rPr>
        <w:t>,</w:t>
      </w:r>
      <w:r w:rsidR="00992D6E" w:rsidRPr="007E4A0F">
        <w:rPr>
          <w:lang w:val="fr-FR"/>
        </w:rPr>
        <w:t xml:space="preserve"> et </w:t>
      </w:r>
      <w:r w:rsidR="009501A5" w:rsidRPr="007E4A0F">
        <w:rPr>
          <w:lang w:val="fr-FR"/>
        </w:rPr>
        <w:t>en particulier,</w:t>
      </w:r>
      <w:r w:rsidR="00992D6E" w:rsidRPr="007E4A0F">
        <w:rPr>
          <w:lang w:val="fr-FR"/>
        </w:rPr>
        <w:t xml:space="preserve"> le délai moyen de transmission s</w:t>
      </w:r>
      <w:r w:rsidR="00B274E6" w:rsidRPr="007E4A0F">
        <w:rPr>
          <w:lang w:val="fr-FR"/>
        </w:rPr>
        <w:t>’</w:t>
      </w:r>
      <w:r w:rsidR="009501A5" w:rsidRPr="007E4A0F">
        <w:rPr>
          <w:lang w:val="fr-FR"/>
        </w:rPr>
        <w:t>es</w:t>
      </w:r>
      <w:r w:rsidR="00992D6E" w:rsidRPr="007E4A0F">
        <w:rPr>
          <w:lang w:val="fr-FR"/>
        </w:rPr>
        <w:t xml:space="preserve">t réduit </w:t>
      </w:r>
      <w:r w:rsidR="009501A5" w:rsidRPr="007E4A0F">
        <w:rPr>
          <w:lang w:val="fr-FR"/>
        </w:rPr>
        <w:t>à trois</w:t>
      </w:r>
      <w:r w:rsidR="006C7CFD" w:rsidRPr="007E4A0F">
        <w:rPr>
          <w:lang w:val="fr-FR"/>
        </w:rPr>
        <w:t> </w:t>
      </w:r>
      <w:r w:rsidR="009501A5" w:rsidRPr="007E4A0F">
        <w:rPr>
          <w:lang w:val="fr-FR"/>
        </w:rPr>
        <w:t xml:space="preserve">mois </w:t>
      </w:r>
      <w:r w:rsidR="00992D6E" w:rsidRPr="007E4A0F">
        <w:rPr>
          <w:lang w:val="fr-FR"/>
        </w:rPr>
        <w:t>depuis le début de</w:t>
      </w:r>
      <w:r w:rsidR="006C7CFD" w:rsidRPr="007E4A0F">
        <w:rPr>
          <w:lang w:val="fr-FR"/>
        </w:rPr>
        <w:t> </w:t>
      </w:r>
      <w:r w:rsidR="00992D6E" w:rsidRPr="007E4A0F">
        <w:rPr>
          <w:lang w:val="fr-FR"/>
        </w:rPr>
        <w:t>2015, ce qui constitu</w:t>
      </w:r>
      <w:r w:rsidR="009501A5" w:rsidRPr="007E4A0F">
        <w:rPr>
          <w:lang w:val="fr-FR"/>
        </w:rPr>
        <w:t>e</w:t>
      </w:r>
      <w:r w:rsidR="00992D6E" w:rsidRPr="007E4A0F">
        <w:rPr>
          <w:lang w:val="fr-FR"/>
        </w:rPr>
        <w:t xml:space="preserve"> une amélioration remarquable par rapport à la même période en</w:t>
      </w:r>
      <w:r w:rsidR="006C7CFD" w:rsidRPr="007E4A0F">
        <w:rPr>
          <w:lang w:val="fr-FR"/>
        </w:rPr>
        <w:t> </w:t>
      </w:r>
      <w:r w:rsidR="00992D6E" w:rsidRPr="007E4A0F">
        <w:rPr>
          <w:lang w:val="fr-FR"/>
        </w:rPr>
        <w:t xml:space="preserve">2014.  Le Bureau international </w:t>
      </w:r>
      <w:r w:rsidR="009501A5" w:rsidRPr="007E4A0F">
        <w:rPr>
          <w:lang w:val="fr-FR"/>
        </w:rPr>
        <w:t>es</w:t>
      </w:r>
      <w:r w:rsidR="00992D6E" w:rsidRPr="007E4A0F">
        <w:rPr>
          <w:lang w:val="fr-FR"/>
        </w:rPr>
        <w:t>t déterminé à continuer à travailler sur cette question avec</w:t>
      </w:r>
      <w:r w:rsidR="00B274E6" w:rsidRPr="007E4A0F">
        <w:rPr>
          <w:lang w:val="fr-FR"/>
        </w:rPr>
        <w:t xml:space="preserve"> le SIP</w:t>
      </w:r>
      <w:r w:rsidR="00992D6E" w:rsidRPr="007E4A0F">
        <w:rPr>
          <w:lang w:val="fr-FR"/>
        </w:rPr>
        <w:t xml:space="preserve">O et </w:t>
      </w:r>
      <w:r w:rsidR="009501A5" w:rsidRPr="007E4A0F">
        <w:rPr>
          <w:lang w:val="fr-FR"/>
        </w:rPr>
        <w:t>on peut</w:t>
      </w:r>
      <w:r w:rsidR="00992D6E" w:rsidRPr="007E4A0F">
        <w:rPr>
          <w:lang w:val="fr-FR"/>
        </w:rPr>
        <w:t xml:space="preserve"> s</w:t>
      </w:r>
      <w:r w:rsidR="00B274E6" w:rsidRPr="007E4A0F">
        <w:rPr>
          <w:lang w:val="fr-FR"/>
        </w:rPr>
        <w:t>’</w:t>
      </w:r>
      <w:r w:rsidR="00992D6E" w:rsidRPr="007E4A0F">
        <w:rPr>
          <w:lang w:val="fr-FR"/>
        </w:rPr>
        <w:t>attendre à ce que la situation s</w:t>
      </w:r>
      <w:r w:rsidR="00B274E6" w:rsidRPr="007E4A0F">
        <w:rPr>
          <w:lang w:val="fr-FR"/>
        </w:rPr>
        <w:t>’</w:t>
      </w:r>
      <w:r w:rsidR="00992D6E" w:rsidRPr="007E4A0F">
        <w:rPr>
          <w:lang w:val="fr-FR"/>
        </w:rPr>
        <w:t>améliore encore dans un proche avenir</w:t>
      </w:r>
      <w:r w:rsidR="009501A5"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5</w:t>
      </w:r>
    </w:p>
    <w:p w:rsidR="00947AF6" w:rsidRPr="007E4A0F" w:rsidRDefault="00947AF6" w:rsidP="0012066D">
      <w:pPr>
        <w:rPr>
          <w:rFonts w:eastAsia="Times New Roman"/>
          <w:i/>
          <w:szCs w:val="22"/>
          <w:lang w:val="fr-FR"/>
        </w:rPr>
      </w:pPr>
    </w:p>
    <w:p w:rsidR="00947AF6" w:rsidRPr="007E4A0F" w:rsidRDefault="00152FE6"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continuer à rechercher des moyens de réduire les délais, tant au niveau des projets qu</w:t>
      </w:r>
      <w:r w:rsidR="00B274E6" w:rsidRPr="007E4A0F">
        <w:rPr>
          <w:rFonts w:eastAsia="Times New Roman"/>
          <w:i/>
          <w:szCs w:val="22"/>
          <w:lang w:val="fr-FR"/>
        </w:rPr>
        <w:t>’</w:t>
      </w:r>
      <w:r w:rsidRPr="007E4A0F">
        <w:rPr>
          <w:rFonts w:eastAsia="Times New Roman"/>
          <w:i/>
          <w:szCs w:val="22"/>
          <w:lang w:val="fr-FR"/>
        </w:rPr>
        <w:t xml:space="preserve">à celui du portefeuille, qui retardent la mise en œuvre du système intégré de planification des ressources, de manière à ce que cette dernière soit terminée conformément au calendrier révisé qui sera présenté aux États membres en </w:t>
      </w:r>
      <w:r w:rsidR="00B274E6" w:rsidRPr="007E4A0F">
        <w:rPr>
          <w:rFonts w:eastAsia="Times New Roman"/>
          <w:i/>
          <w:szCs w:val="22"/>
          <w:lang w:val="fr-FR"/>
        </w:rPr>
        <w:t>septembre 20</w:t>
      </w:r>
      <w:r w:rsidRPr="007E4A0F">
        <w:rPr>
          <w:rFonts w:eastAsia="Times New Roman"/>
          <w:i/>
          <w:szCs w:val="22"/>
          <w:lang w:val="fr-FR"/>
        </w:rPr>
        <w:t>15.</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303EDF"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continuera à tout mettre en œuvre pour réduire les délais, tant au niveau des projets qu</w:t>
      </w:r>
      <w:r w:rsidR="00B274E6" w:rsidRPr="007E4A0F">
        <w:rPr>
          <w:rFonts w:eastAsia="Times New Roman"/>
          <w:szCs w:val="22"/>
          <w:lang w:val="fr-FR"/>
        </w:rPr>
        <w:t>’</w:t>
      </w:r>
      <w:r w:rsidRPr="007E4A0F">
        <w:rPr>
          <w:rFonts w:eastAsia="Times New Roman"/>
          <w:szCs w:val="22"/>
          <w:lang w:val="fr-FR"/>
        </w:rPr>
        <w:t>à celui du portefeuille, qui retardent la mise en œuvre du système intégré de planification des ressources et s</w:t>
      </w:r>
      <w:r w:rsidR="00B274E6" w:rsidRPr="007E4A0F">
        <w:rPr>
          <w:rFonts w:eastAsia="Times New Roman"/>
          <w:szCs w:val="22"/>
          <w:lang w:val="fr-FR"/>
        </w:rPr>
        <w:t>’</w:t>
      </w:r>
      <w:r w:rsidRPr="007E4A0F">
        <w:rPr>
          <w:rFonts w:eastAsia="Times New Roman"/>
          <w:szCs w:val="22"/>
          <w:lang w:val="fr-FR"/>
        </w:rPr>
        <w:t xml:space="preserve">efforcera de mettre en œuvre les projets restants conformément au calendrier révisé.  </w:t>
      </w:r>
      <w:r w:rsidR="0094277D" w:rsidRPr="007E4A0F">
        <w:rPr>
          <w:rFonts w:eastAsia="Times New Roman"/>
          <w:szCs w:val="22"/>
          <w:lang w:val="fr-FR"/>
        </w:rPr>
        <w:t>L</w:t>
      </w:r>
      <w:r w:rsidR="00B274E6" w:rsidRPr="007E4A0F">
        <w:rPr>
          <w:rFonts w:eastAsia="Times New Roman"/>
          <w:szCs w:val="22"/>
          <w:lang w:val="fr-FR"/>
        </w:rPr>
        <w:t>’</w:t>
      </w:r>
      <w:r w:rsidR="0094277D" w:rsidRPr="007E4A0F">
        <w:rPr>
          <w:rFonts w:eastAsia="Times New Roman"/>
          <w:szCs w:val="22"/>
          <w:lang w:val="fr-FR"/>
        </w:rPr>
        <w:t xml:space="preserve">OMPI continuera cependant à faire passer le coût et la qualité avant les délais, </w:t>
      </w:r>
      <w:r w:rsidR="005E03DB" w:rsidRPr="007E4A0F">
        <w:rPr>
          <w:rFonts w:eastAsia="Times New Roman"/>
          <w:szCs w:val="22"/>
          <w:lang w:val="fr-FR"/>
        </w:rPr>
        <w:t>compte tenu de l</w:t>
      </w:r>
      <w:r w:rsidR="00B274E6" w:rsidRPr="007E4A0F">
        <w:rPr>
          <w:rFonts w:eastAsia="Times New Roman"/>
          <w:szCs w:val="22"/>
          <w:lang w:val="fr-FR"/>
        </w:rPr>
        <w:t>’</w:t>
      </w:r>
      <w:r w:rsidR="005E03DB" w:rsidRPr="007E4A0F">
        <w:rPr>
          <w:rFonts w:eastAsia="Times New Roman"/>
          <w:szCs w:val="22"/>
          <w:lang w:val="fr-FR"/>
        </w:rPr>
        <w:t xml:space="preserve">important travail de gestion du changement qui est nécessaire </w:t>
      </w:r>
      <w:r w:rsidR="0079187F" w:rsidRPr="007E4A0F">
        <w:rPr>
          <w:rFonts w:eastAsia="Times New Roman"/>
          <w:szCs w:val="22"/>
          <w:lang w:val="fr-FR"/>
        </w:rPr>
        <w:t>à l</w:t>
      </w:r>
      <w:r w:rsidR="00B274E6" w:rsidRPr="007E4A0F">
        <w:rPr>
          <w:rFonts w:eastAsia="Times New Roman"/>
          <w:szCs w:val="22"/>
          <w:lang w:val="fr-FR"/>
        </w:rPr>
        <w:t>’</w:t>
      </w:r>
      <w:r w:rsidR="0079187F" w:rsidRPr="007E4A0F">
        <w:rPr>
          <w:rFonts w:eastAsia="Times New Roman"/>
          <w:szCs w:val="22"/>
          <w:lang w:val="fr-FR"/>
        </w:rPr>
        <w:t>implantation des systèmes ERP.</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6</w:t>
      </w:r>
    </w:p>
    <w:p w:rsidR="00947AF6" w:rsidRPr="007E4A0F" w:rsidRDefault="00947AF6" w:rsidP="0012066D">
      <w:pPr>
        <w:rPr>
          <w:rFonts w:eastAsia="Times New Roman"/>
          <w:szCs w:val="22"/>
          <w:lang w:val="fr-FR"/>
        </w:rPr>
      </w:pPr>
    </w:p>
    <w:p w:rsidR="00947AF6" w:rsidRPr="007E4A0F" w:rsidRDefault="00152FE6"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 xml:space="preserve">OMPI pourrait renforcer son système de gestion des documents, de manière à ce que tous les documents relatifs aux projets soient réunis </w:t>
      </w:r>
      <w:r w:rsidR="0033117B" w:rsidRPr="007E4A0F">
        <w:rPr>
          <w:rFonts w:eastAsia="Times New Roman"/>
          <w:i/>
          <w:szCs w:val="22"/>
          <w:lang w:val="fr-FR"/>
        </w:rPr>
        <w:t>au même endroit</w:t>
      </w:r>
      <w:r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EC02AE"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continuera à utiliser le système et les outils actuels de documentation, qui ont répondu aux besoins jusqu</w:t>
      </w:r>
      <w:r w:rsidR="00B274E6" w:rsidRPr="007E4A0F">
        <w:rPr>
          <w:rFonts w:eastAsia="Times New Roman"/>
          <w:szCs w:val="22"/>
          <w:lang w:val="fr-FR"/>
        </w:rPr>
        <w:t>’</w:t>
      </w:r>
      <w:r w:rsidRPr="007E4A0F">
        <w:rPr>
          <w:rFonts w:eastAsia="Times New Roman"/>
          <w:szCs w:val="22"/>
          <w:lang w:val="fr-FR"/>
        </w:rPr>
        <w:t xml:space="preserve">à présent. </w:t>
      </w:r>
      <w:r w:rsidR="0012066D" w:rsidRPr="007E4A0F">
        <w:rPr>
          <w:rFonts w:eastAsia="Times New Roman"/>
          <w:szCs w:val="22"/>
          <w:lang w:val="fr-FR"/>
        </w:rPr>
        <w:t xml:space="preserve"> </w:t>
      </w:r>
      <w:r w:rsidR="004272BD" w:rsidRPr="007E4A0F">
        <w:rPr>
          <w:rFonts w:eastAsia="Times New Roman"/>
          <w:szCs w:val="22"/>
          <w:lang w:val="fr-FR"/>
        </w:rPr>
        <w:t>Une fois que le système de gestion des contenus de l</w:t>
      </w:r>
      <w:r w:rsidR="00B274E6" w:rsidRPr="007E4A0F">
        <w:rPr>
          <w:rFonts w:eastAsia="Times New Roman"/>
          <w:szCs w:val="22"/>
          <w:lang w:val="fr-FR"/>
        </w:rPr>
        <w:t>’</w:t>
      </w:r>
      <w:r w:rsidR="004272BD" w:rsidRPr="007E4A0F">
        <w:rPr>
          <w:rFonts w:eastAsia="Times New Roman"/>
          <w:szCs w:val="22"/>
          <w:lang w:val="fr-FR"/>
        </w:rPr>
        <w:t xml:space="preserve">Organisation aura été mis en place </w:t>
      </w:r>
      <w:r w:rsidR="007D7779" w:rsidRPr="007E4A0F">
        <w:rPr>
          <w:rFonts w:eastAsia="Times New Roman"/>
          <w:szCs w:val="22"/>
          <w:lang w:val="fr-FR"/>
        </w:rPr>
        <w:t>par une initiative du plan</w:t>
      </w:r>
      <w:r w:rsidR="00CB1BDA" w:rsidRPr="007E4A0F">
        <w:rPr>
          <w:rFonts w:eastAsia="Times New Roman"/>
          <w:szCs w:val="22"/>
          <w:lang w:val="fr-FR"/>
        </w:rPr>
        <w:noBreakHyphen/>
      </w:r>
      <w:r w:rsidR="007D7779" w:rsidRPr="007E4A0F">
        <w:rPr>
          <w:rFonts w:eastAsia="Times New Roman"/>
          <w:szCs w:val="22"/>
          <w:lang w:val="fr-FR"/>
        </w:rPr>
        <w:t>cadre d</w:t>
      </w:r>
      <w:r w:rsidR="00B274E6" w:rsidRPr="007E4A0F">
        <w:rPr>
          <w:rFonts w:eastAsia="Times New Roman"/>
          <w:szCs w:val="22"/>
          <w:lang w:val="fr-FR"/>
        </w:rPr>
        <w:t>’</w:t>
      </w:r>
      <w:r w:rsidR="007D7779" w:rsidRPr="007E4A0F">
        <w:rPr>
          <w:rFonts w:eastAsia="Times New Roman"/>
          <w:szCs w:val="22"/>
          <w:lang w:val="fr-FR"/>
        </w:rPr>
        <w:t>équipement du Département des techniques de l</w:t>
      </w:r>
      <w:r w:rsidR="00B274E6" w:rsidRPr="007E4A0F">
        <w:rPr>
          <w:rFonts w:eastAsia="Times New Roman"/>
          <w:szCs w:val="22"/>
          <w:lang w:val="fr-FR"/>
        </w:rPr>
        <w:t>’</w:t>
      </w:r>
      <w:r w:rsidR="007D7779" w:rsidRPr="007E4A0F">
        <w:rPr>
          <w:rFonts w:eastAsia="Times New Roman"/>
          <w:szCs w:val="22"/>
          <w:lang w:val="fr-FR"/>
        </w:rPr>
        <w:t xml:space="preserve">information et de la communication, le portefeuille ERP pourra être considéré </w:t>
      </w:r>
      <w:r w:rsidR="008662D1" w:rsidRPr="007E4A0F">
        <w:rPr>
          <w:rFonts w:eastAsia="Times New Roman"/>
          <w:szCs w:val="22"/>
          <w:lang w:val="fr-FR"/>
        </w:rPr>
        <w:t>pour être l</w:t>
      </w:r>
      <w:r w:rsidR="00B274E6" w:rsidRPr="007E4A0F">
        <w:rPr>
          <w:rFonts w:eastAsia="Times New Roman"/>
          <w:szCs w:val="22"/>
          <w:lang w:val="fr-FR"/>
        </w:rPr>
        <w:t>’</w:t>
      </w:r>
      <w:r w:rsidR="008662D1" w:rsidRPr="007E4A0F">
        <w:rPr>
          <w:rFonts w:eastAsia="Times New Roman"/>
          <w:szCs w:val="22"/>
          <w:lang w:val="fr-FR"/>
        </w:rPr>
        <w:t>un des premiers à l</w:t>
      </w:r>
      <w:r w:rsidR="00B274E6" w:rsidRPr="007E4A0F">
        <w:rPr>
          <w:rFonts w:eastAsia="Times New Roman"/>
          <w:szCs w:val="22"/>
          <w:lang w:val="fr-FR"/>
        </w:rPr>
        <w:t>’</w:t>
      </w:r>
      <w:r w:rsidR="008662D1" w:rsidRPr="007E4A0F">
        <w:rPr>
          <w:rFonts w:eastAsia="Times New Roman"/>
          <w:szCs w:val="22"/>
          <w:lang w:val="fr-FR"/>
        </w:rPr>
        <w:t>adopter.</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7</w:t>
      </w:r>
    </w:p>
    <w:p w:rsidR="00947AF6" w:rsidRPr="007E4A0F" w:rsidRDefault="00947AF6" w:rsidP="0012066D">
      <w:pPr>
        <w:rPr>
          <w:rFonts w:eastAsia="Times New Roman"/>
          <w:szCs w:val="22"/>
          <w:lang w:val="fr-FR"/>
        </w:rPr>
      </w:pPr>
    </w:p>
    <w:p w:rsidR="00947AF6" w:rsidRPr="007E4A0F" w:rsidRDefault="00D84BB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prendre des mesures pour renforcer encore sa méthode de calcul des coûts, de manière à éviter que le coût budgétaire et le coût réel des différents éléments du portefeuille ne présentent des écarts importants.</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A35621"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 xml:space="preserve">OMPI continuera à veiller </w:t>
      </w:r>
      <w:r w:rsidR="00906390" w:rsidRPr="007E4A0F">
        <w:rPr>
          <w:rFonts w:eastAsia="Times New Roman"/>
          <w:szCs w:val="22"/>
          <w:lang w:val="fr-FR"/>
        </w:rPr>
        <w:t>à ce qu</w:t>
      </w:r>
      <w:r w:rsidR="00B274E6" w:rsidRPr="007E4A0F">
        <w:rPr>
          <w:rFonts w:eastAsia="Times New Roman"/>
          <w:szCs w:val="22"/>
          <w:lang w:val="fr-FR"/>
        </w:rPr>
        <w:t>’</w:t>
      </w:r>
      <w:r w:rsidR="00906390" w:rsidRPr="007E4A0F">
        <w:rPr>
          <w:rFonts w:eastAsia="Times New Roman"/>
          <w:szCs w:val="22"/>
          <w:lang w:val="fr-FR"/>
        </w:rPr>
        <w:t>il n</w:t>
      </w:r>
      <w:r w:rsidR="00B274E6" w:rsidRPr="007E4A0F">
        <w:rPr>
          <w:rFonts w:eastAsia="Times New Roman"/>
          <w:szCs w:val="22"/>
          <w:lang w:val="fr-FR"/>
        </w:rPr>
        <w:t>’</w:t>
      </w:r>
      <w:r w:rsidR="00906390" w:rsidRPr="007E4A0F">
        <w:rPr>
          <w:rFonts w:eastAsia="Times New Roman"/>
          <w:szCs w:val="22"/>
          <w:lang w:val="fr-FR"/>
        </w:rPr>
        <w:t>y ait pas d</w:t>
      </w:r>
      <w:r w:rsidR="00B274E6" w:rsidRPr="007E4A0F">
        <w:rPr>
          <w:rFonts w:eastAsia="Times New Roman"/>
          <w:szCs w:val="22"/>
          <w:lang w:val="fr-FR"/>
        </w:rPr>
        <w:t>’</w:t>
      </w:r>
      <w:r w:rsidR="00906390" w:rsidRPr="007E4A0F">
        <w:rPr>
          <w:rFonts w:eastAsia="Times New Roman"/>
          <w:szCs w:val="22"/>
          <w:lang w:val="fr-FR"/>
        </w:rPr>
        <w:t>écarts importants entre les coûts</w:t>
      </w:r>
      <w:r w:rsidR="00DA0CD8" w:rsidRPr="007E4A0F">
        <w:rPr>
          <w:rFonts w:eastAsia="Times New Roman"/>
          <w:szCs w:val="22"/>
          <w:lang w:val="fr-FR"/>
        </w:rPr>
        <w:t xml:space="preserve"> budgétaires </w:t>
      </w:r>
      <w:r w:rsidR="00906390" w:rsidRPr="007E4A0F">
        <w:rPr>
          <w:rFonts w:eastAsia="Times New Roman"/>
          <w:szCs w:val="22"/>
          <w:lang w:val="fr-FR"/>
        </w:rPr>
        <w:t>et les coûts réels des différents éléments.  Il faut toutefois reconnaître qu</w:t>
      </w:r>
      <w:r w:rsidR="00B274E6" w:rsidRPr="007E4A0F">
        <w:rPr>
          <w:rFonts w:eastAsia="Times New Roman"/>
          <w:szCs w:val="22"/>
          <w:lang w:val="fr-FR"/>
        </w:rPr>
        <w:t>’</w:t>
      </w:r>
      <w:r w:rsidR="00906390" w:rsidRPr="007E4A0F">
        <w:rPr>
          <w:rFonts w:eastAsia="Times New Roman"/>
          <w:szCs w:val="22"/>
          <w:lang w:val="fr-FR"/>
        </w:rPr>
        <w:t>il existera toujours des différences de ce type dans les projets étalés sur plusieurs années, en raison de changements dans les hypothèses de planification</w:t>
      </w:r>
      <w:r w:rsidR="00DA0CD8" w:rsidRPr="007E4A0F">
        <w:rPr>
          <w:rFonts w:eastAsia="Times New Roman"/>
          <w:szCs w:val="22"/>
          <w:lang w:val="fr-FR"/>
        </w:rPr>
        <w:t xml:space="preserve"> et les stratégies de mise en œuvre.  L</w:t>
      </w:r>
      <w:r w:rsidR="00B274E6" w:rsidRPr="007E4A0F">
        <w:rPr>
          <w:rFonts w:eastAsia="Times New Roman"/>
          <w:szCs w:val="22"/>
          <w:lang w:val="fr-FR"/>
        </w:rPr>
        <w:t>’</w:t>
      </w:r>
      <w:r w:rsidR="00DA0CD8" w:rsidRPr="007E4A0F">
        <w:rPr>
          <w:rFonts w:eastAsia="Times New Roman"/>
          <w:szCs w:val="22"/>
          <w:lang w:val="fr-FR"/>
        </w:rPr>
        <w:t>OMPI présentera, dans le rapport aux États membres de</w:t>
      </w:r>
      <w:r w:rsidR="006C7CFD" w:rsidRPr="007E4A0F">
        <w:rPr>
          <w:rFonts w:eastAsia="Times New Roman"/>
          <w:szCs w:val="22"/>
          <w:lang w:val="fr-FR"/>
        </w:rPr>
        <w:t> </w:t>
      </w:r>
      <w:r w:rsidR="00DA0CD8" w:rsidRPr="007E4A0F">
        <w:rPr>
          <w:rFonts w:eastAsia="Times New Roman"/>
          <w:szCs w:val="22"/>
          <w:lang w:val="fr-FR"/>
        </w:rPr>
        <w:t>2015 sur l</w:t>
      </w:r>
      <w:r w:rsidR="00B274E6" w:rsidRPr="007E4A0F">
        <w:rPr>
          <w:rFonts w:eastAsia="Times New Roman"/>
          <w:szCs w:val="22"/>
          <w:lang w:val="fr-FR"/>
        </w:rPr>
        <w:t>’</w:t>
      </w:r>
      <w:r w:rsidR="00DA0CD8" w:rsidRPr="007E4A0F">
        <w:rPr>
          <w:rFonts w:eastAsia="Times New Roman"/>
          <w:szCs w:val="22"/>
          <w:lang w:val="fr-FR"/>
        </w:rPr>
        <w:t>état d</w:t>
      </w:r>
      <w:r w:rsidR="00B274E6" w:rsidRPr="007E4A0F">
        <w:rPr>
          <w:rFonts w:eastAsia="Times New Roman"/>
          <w:szCs w:val="22"/>
          <w:lang w:val="fr-FR"/>
        </w:rPr>
        <w:t>’</w:t>
      </w:r>
      <w:r w:rsidR="00DA0CD8" w:rsidRPr="007E4A0F">
        <w:rPr>
          <w:rFonts w:eastAsia="Times New Roman"/>
          <w:szCs w:val="22"/>
          <w:lang w:val="fr-FR"/>
        </w:rPr>
        <w:t>avancement du système ERP, un budget actualisé</w:t>
      </w:r>
      <w:r w:rsidR="00DA114E" w:rsidRPr="007E4A0F">
        <w:rPr>
          <w:rFonts w:eastAsia="Times New Roman"/>
          <w:szCs w:val="22"/>
          <w:lang w:val="fr-FR"/>
        </w:rPr>
        <w:t xml:space="preserve"> en ce qui concerne l</w:t>
      </w:r>
      <w:r w:rsidR="00B274E6" w:rsidRPr="007E4A0F">
        <w:rPr>
          <w:rFonts w:eastAsia="Times New Roman"/>
          <w:szCs w:val="22"/>
          <w:lang w:val="fr-FR"/>
        </w:rPr>
        <w:t>’</w:t>
      </w:r>
      <w:r w:rsidR="00DA114E" w:rsidRPr="007E4A0F">
        <w:rPr>
          <w:rFonts w:eastAsia="Times New Roman"/>
          <w:szCs w:val="22"/>
          <w:lang w:val="fr-FR"/>
        </w:rPr>
        <w:t xml:space="preserve">achèvement des projets restants, de manière à montrer </w:t>
      </w:r>
      <w:r w:rsidR="00DA114E" w:rsidRPr="007E4A0F">
        <w:rPr>
          <w:rFonts w:eastAsia="Times New Roman"/>
          <w:szCs w:val="22"/>
          <w:lang w:val="fr-FR"/>
        </w:rPr>
        <w:lastRenderedPageBreak/>
        <w:t>l</w:t>
      </w:r>
      <w:r w:rsidR="00B274E6" w:rsidRPr="007E4A0F">
        <w:rPr>
          <w:rFonts w:eastAsia="Times New Roman"/>
          <w:szCs w:val="22"/>
          <w:lang w:val="fr-FR"/>
        </w:rPr>
        <w:t>’</w:t>
      </w:r>
      <w:r w:rsidR="00DA114E" w:rsidRPr="007E4A0F">
        <w:rPr>
          <w:rFonts w:eastAsia="Times New Roman"/>
          <w:szCs w:val="22"/>
          <w:lang w:val="fr-FR"/>
        </w:rPr>
        <w:t>incidence sur les diverses catégories de dépenses et séries de projets, sur la base des progrès accomplis et du calendrier révisé.</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8</w:t>
      </w:r>
    </w:p>
    <w:p w:rsidR="00947AF6" w:rsidRPr="007E4A0F" w:rsidRDefault="00947AF6" w:rsidP="0012066D">
      <w:pPr>
        <w:rPr>
          <w:rFonts w:eastAsia="Times New Roman"/>
          <w:szCs w:val="22"/>
          <w:lang w:val="fr-FR"/>
        </w:rPr>
      </w:pPr>
    </w:p>
    <w:p w:rsidR="00947AF6" w:rsidRPr="007E4A0F" w:rsidRDefault="00CB3ED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poursuivre ses échanges avec diverses parties prenantes et établir un plan d</w:t>
      </w:r>
      <w:r w:rsidR="00B274E6" w:rsidRPr="007E4A0F">
        <w:rPr>
          <w:rFonts w:eastAsia="Times New Roman"/>
          <w:i/>
          <w:szCs w:val="22"/>
          <w:lang w:val="fr-FR"/>
        </w:rPr>
        <w:t>’</w:t>
      </w:r>
      <w:r w:rsidRPr="007E4A0F">
        <w:rPr>
          <w:rFonts w:eastAsia="Times New Roman"/>
          <w:i/>
          <w:szCs w:val="22"/>
          <w:lang w:val="fr-FR"/>
        </w:rPr>
        <w:t>action limité dans le temps pour la production de rapports d</w:t>
      </w:r>
      <w:r w:rsidR="00B274E6" w:rsidRPr="007E4A0F">
        <w:rPr>
          <w:rFonts w:eastAsia="Times New Roman"/>
          <w:i/>
          <w:szCs w:val="22"/>
          <w:lang w:val="fr-FR"/>
        </w:rPr>
        <w:t>’</w:t>
      </w:r>
      <w:r w:rsidRPr="007E4A0F">
        <w:rPr>
          <w:rFonts w:eastAsia="Times New Roman"/>
          <w:i/>
          <w:szCs w:val="22"/>
          <w:lang w:val="fr-FR"/>
        </w:rPr>
        <w:t>anomalies personnalisés.</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i/>
          <w:szCs w:val="22"/>
          <w:lang w:val="fr-FR"/>
        </w:rPr>
      </w:pPr>
    </w:p>
    <w:p w:rsidR="00947AF6" w:rsidRPr="007E4A0F" w:rsidRDefault="00C03C8A"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continuera à travailler en étroite collaboration avec toutes les parties prenantes.  À cet effet, des réunions seront tenues chaque mois pour recenser, relever et classer par ordre de priorité les besoins en matière d</w:t>
      </w:r>
      <w:r w:rsidR="00B274E6" w:rsidRPr="007E4A0F">
        <w:rPr>
          <w:rFonts w:eastAsia="Times New Roman"/>
          <w:szCs w:val="22"/>
          <w:lang w:val="fr-FR"/>
        </w:rPr>
        <w:t>’</w:t>
      </w:r>
      <w:r w:rsidRPr="007E4A0F">
        <w:rPr>
          <w:rFonts w:eastAsia="Times New Roman"/>
          <w:szCs w:val="22"/>
          <w:lang w:val="fr-FR"/>
        </w:rPr>
        <w:t>établissement de rapports.</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9</w:t>
      </w:r>
    </w:p>
    <w:p w:rsidR="00947AF6" w:rsidRPr="007E4A0F" w:rsidRDefault="00947AF6" w:rsidP="0012066D">
      <w:pPr>
        <w:rPr>
          <w:rFonts w:eastAsia="Times New Roman"/>
          <w:szCs w:val="22"/>
          <w:lang w:val="fr-FR"/>
        </w:rPr>
      </w:pPr>
    </w:p>
    <w:p w:rsidR="00947AF6" w:rsidRPr="007E4A0F" w:rsidRDefault="008C31D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renforcer son mécanisme de gestion et de suivi de contrats, de manière à assurer la bonne réalisation, dans les délais voulus, des livrables/services définis pour chaque étape, et documenter plus en détail les modifications contractuelles.</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355CE6"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veillera à ce que toute modification des livrables/services figurant au contrat et se rapportant à des étapes déterminées soit documentée et consignée dans un contrat révisé avec le fournisseur.</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0</w:t>
      </w:r>
    </w:p>
    <w:p w:rsidR="00947AF6" w:rsidRPr="007E4A0F" w:rsidRDefault="00947AF6" w:rsidP="0012066D">
      <w:pPr>
        <w:rPr>
          <w:rFonts w:eastAsia="Times New Roman"/>
          <w:szCs w:val="22"/>
          <w:lang w:val="fr-FR"/>
        </w:rPr>
      </w:pPr>
    </w:p>
    <w:p w:rsidR="00947AF6" w:rsidRPr="007E4A0F" w:rsidRDefault="008C31D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de documenter à l</w:t>
      </w:r>
      <w:r w:rsidR="00B274E6" w:rsidRPr="007E4A0F">
        <w:rPr>
          <w:rFonts w:eastAsia="Times New Roman"/>
          <w:i/>
          <w:szCs w:val="22"/>
          <w:lang w:val="fr-FR"/>
        </w:rPr>
        <w:t>’</w:t>
      </w:r>
      <w:r w:rsidRPr="007E4A0F">
        <w:rPr>
          <w:rFonts w:eastAsia="Times New Roman"/>
          <w:i/>
          <w:szCs w:val="22"/>
          <w:lang w:val="fr-FR"/>
        </w:rPr>
        <w:t>avenir la justification de toute décision de ne pas élaborer de plan d</w:t>
      </w:r>
      <w:r w:rsidR="00B274E6" w:rsidRPr="007E4A0F">
        <w:rPr>
          <w:rFonts w:eastAsia="Times New Roman"/>
          <w:i/>
          <w:szCs w:val="22"/>
          <w:lang w:val="fr-FR"/>
        </w:rPr>
        <w:t>’</w:t>
      </w:r>
      <w:r w:rsidRPr="007E4A0F">
        <w:rPr>
          <w:rFonts w:eastAsia="Times New Roman"/>
          <w:i/>
          <w:szCs w:val="22"/>
          <w:lang w:val="fr-FR"/>
        </w:rPr>
        <w:t>étape.</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E24DA7"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documentera toute adaptation de la méthode PRINCE2 – par exemple l</w:t>
      </w:r>
      <w:r w:rsidR="00B274E6" w:rsidRPr="007E4A0F">
        <w:rPr>
          <w:rFonts w:eastAsia="Times New Roman"/>
          <w:szCs w:val="22"/>
          <w:lang w:val="fr-FR"/>
        </w:rPr>
        <w:t>’</w:t>
      </w:r>
      <w:r w:rsidRPr="007E4A0F">
        <w:rPr>
          <w:rFonts w:eastAsia="Times New Roman"/>
          <w:szCs w:val="22"/>
          <w:lang w:val="fr-FR"/>
        </w:rPr>
        <w:t>absence de plan d</w:t>
      </w:r>
      <w:r w:rsidR="00B274E6" w:rsidRPr="007E4A0F">
        <w:rPr>
          <w:rFonts w:eastAsia="Times New Roman"/>
          <w:szCs w:val="22"/>
          <w:lang w:val="fr-FR"/>
        </w:rPr>
        <w:t>’</w:t>
      </w:r>
      <w:r w:rsidRPr="007E4A0F">
        <w:rPr>
          <w:rFonts w:eastAsia="Times New Roman"/>
          <w:szCs w:val="22"/>
          <w:lang w:val="fr-FR"/>
        </w:rPr>
        <w:t xml:space="preserve">étape – </w:t>
      </w:r>
      <w:r w:rsidR="001C475B" w:rsidRPr="007E4A0F">
        <w:rPr>
          <w:rFonts w:eastAsia="Times New Roman"/>
          <w:szCs w:val="22"/>
          <w:lang w:val="fr-FR"/>
        </w:rPr>
        <w:t xml:space="preserve">apportée </w:t>
      </w:r>
      <w:r w:rsidR="00DD79FD" w:rsidRPr="007E4A0F">
        <w:rPr>
          <w:rFonts w:eastAsia="Times New Roman"/>
          <w:szCs w:val="22"/>
          <w:lang w:val="fr-FR"/>
        </w:rPr>
        <w:t>dans le cadre de documents relatifs au lancement de futurs projets ERP.</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1</w:t>
      </w:r>
    </w:p>
    <w:p w:rsidR="00947AF6" w:rsidRPr="007E4A0F" w:rsidRDefault="00947AF6" w:rsidP="0012066D">
      <w:pPr>
        <w:rPr>
          <w:rFonts w:eastAsia="Times New Roman"/>
          <w:szCs w:val="22"/>
          <w:lang w:val="fr-FR"/>
        </w:rPr>
      </w:pPr>
    </w:p>
    <w:p w:rsidR="00947AF6" w:rsidRPr="007E4A0F" w:rsidRDefault="00D2222A"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de définir à l</w:t>
      </w:r>
      <w:r w:rsidR="00B274E6" w:rsidRPr="007E4A0F">
        <w:rPr>
          <w:rFonts w:eastAsia="Times New Roman"/>
          <w:i/>
          <w:szCs w:val="22"/>
          <w:lang w:val="fr-FR"/>
        </w:rPr>
        <w:t>’</w:t>
      </w:r>
      <w:r w:rsidRPr="007E4A0F">
        <w:rPr>
          <w:rFonts w:eastAsia="Times New Roman"/>
          <w:i/>
          <w:szCs w:val="22"/>
          <w:lang w:val="fr-FR"/>
        </w:rPr>
        <w:t>avenir de manière explicite les tolérances s</w:t>
      </w:r>
      <w:r w:rsidR="00B274E6" w:rsidRPr="007E4A0F">
        <w:rPr>
          <w:rFonts w:eastAsia="Times New Roman"/>
          <w:i/>
          <w:szCs w:val="22"/>
          <w:lang w:val="fr-FR"/>
        </w:rPr>
        <w:t>’</w:t>
      </w:r>
      <w:r w:rsidRPr="007E4A0F">
        <w:rPr>
          <w:rFonts w:eastAsia="Times New Roman"/>
          <w:i/>
          <w:szCs w:val="22"/>
          <w:lang w:val="fr-FR"/>
        </w:rPr>
        <w:t>appliquant aux projets ainsi qu</w:t>
      </w:r>
      <w:r w:rsidR="00B274E6" w:rsidRPr="007E4A0F">
        <w:rPr>
          <w:rFonts w:eastAsia="Times New Roman"/>
          <w:i/>
          <w:szCs w:val="22"/>
          <w:lang w:val="fr-FR"/>
        </w:rPr>
        <w:t>’</w:t>
      </w:r>
      <w:r w:rsidRPr="007E4A0F">
        <w:rPr>
          <w:rFonts w:eastAsia="Times New Roman"/>
          <w:i/>
          <w:szCs w:val="22"/>
          <w:lang w:val="fr-FR"/>
        </w:rPr>
        <w:t>aux divers plans d</w:t>
      </w:r>
      <w:r w:rsidR="00B274E6" w:rsidRPr="007E4A0F">
        <w:rPr>
          <w:rFonts w:eastAsia="Times New Roman"/>
          <w:i/>
          <w:szCs w:val="22"/>
          <w:lang w:val="fr-FR"/>
        </w:rPr>
        <w:t>’</w:t>
      </w:r>
      <w:r w:rsidRPr="007E4A0F">
        <w:rPr>
          <w:rFonts w:eastAsia="Times New Roman"/>
          <w:i/>
          <w:szCs w:val="22"/>
          <w:lang w:val="fr-FR"/>
        </w:rPr>
        <w:t>étape.</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B274E6" w:rsidRPr="007E4A0F" w:rsidRDefault="00935C71"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documentera toutes les tolérances, même si elles sont implicites, dans le cadre des documents relatifs au lancement des futurs projets ERP.</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2</w:t>
      </w:r>
    </w:p>
    <w:p w:rsidR="00947AF6" w:rsidRPr="007E4A0F" w:rsidRDefault="00947AF6" w:rsidP="0012066D">
      <w:pPr>
        <w:rPr>
          <w:rFonts w:eastAsia="Times New Roman"/>
          <w:szCs w:val="22"/>
          <w:lang w:val="fr-FR"/>
        </w:rPr>
      </w:pPr>
    </w:p>
    <w:p w:rsidR="00947AF6" w:rsidRPr="007E4A0F" w:rsidRDefault="00D2222A"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w:t>
      </w:r>
      <w:r w:rsidR="00B274E6" w:rsidRPr="007E4A0F">
        <w:rPr>
          <w:rFonts w:eastAsia="Times New Roman"/>
          <w:i/>
          <w:szCs w:val="22"/>
          <w:lang w:val="fr-FR"/>
        </w:rPr>
        <w:t>’</w:t>
      </w:r>
      <w:r w:rsidRPr="007E4A0F">
        <w:rPr>
          <w:rFonts w:eastAsia="Times New Roman"/>
          <w:i/>
          <w:szCs w:val="22"/>
          <w:lang w:val="fr-FR"/>
        </w:rPr>
        <w:t xml:space="preserve">effectuer une analyse de sensibilité des questions soulevées au cours des réunions du Bureau de gestion du projet ERP et des comités directeurs, en se fondant </w:t>
      </w:r>
      <w:r w:rsidR="00C0296D" w:rsidRPr="007E4A0F">
        <w:rPr>
          <w:rFonts w:eastAsia="Times New Roman"/>
          <w:i/>
          <w:szCs w:val="22"/>
          <w:lang w:val="fr-FR"/>
        </w:rPr>
        <w:t>sur leur degré d</w:t>
      </w:r>
      <w:r w:rsidR="00B274E6" w:rsidRPr="007E4A0F">
        <w:rPr>
          <w:rFonts w:eastAsia="Times New Roman"/>
          <w:i/>
          <w:szCs w:val="22"/>
          <w:lang w:val="fr-FR"/>
        </w:rPr>
        <w:t>’</w:t>
      </w:r>
      <w:r w:rsidR="00C0296D" w:rsidRPr="007E4A0F">
        <w:rPr>
          <w:rFonts w:eastAsia="Times New Roman"/>
          <w:i/>
          <w:szCs w:val="22"/>
          <w:lang w:val="fr-FR"/>
        </w:rPr>
        <w:t>importance</w:t>
      </w:r>
      <w:r w:rsidRPr="007E4A0F">
        <w:rPr>
          <w:rFonts w:eastAsia="Times New Roman"/>
          <w:i/>
          <w:szCs w:val="22"/>
          <w:lang w:val="fr-FR"/>
        </w:rPr>
        <w:t>.</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A85A44" w:rsidP="0012066D">
      <w:pPr>
        <w:rPr>
          <w:rFonts w:eastAsia="Times New Roman"/>
          <w:szCs w:val="22"/>
          <w:lang w:val="fr-FR"/>
        </w:rPr>
      </w:pPr>
      <w:r w:rsidRPr="007E4A0F">
        <w:rPr>
          <w:rFonts w:eastAsia="Times New Roman"/>
          <w:szCs w:val="22"/>
          <w:lang w:val="fr-FR"/>
        </w:rPr>
        <w:lastRenderedPageBreak/>
        <w:t>L</w:t>
      </w:r>
      <w:r w:rsidR="00B274E6" w:rsidRPr="007E4A0F">
        <w:rPr>
          <w:rFonts w:eastAsia="Times New Roman"/>
          <w:szCs w:val="22"/>
          <w:lang w:val="fr-FR"/>
        </w:rPr>
        <w:t>’</w:t>
      </w:r>
      <w:r w:rsidRPr="007E4A0F">
        <w:rPr>
          <w:rFonts w:eastAsia="Times New Roman"/>
          <w:szCs w:val="22"/>
          <w:lang w:val="fr-FR"/>
        </w:rPr>
        <w:t>OMPI a déjà mis en place une analyse de sensibilité codée par couleur dans le rapport mensuel sur l</w:t>
      </w:r>
      <w:r w:rsidR="00B274E6" w:rsidRPr="007E4A0F">
        <w:rPr>
          <w:rFonts w:eastAsia="Times New Roman"/>
          <w:szCs w:val="22"/>
          <w:lang w:val="fr-FR"/>
        </w:rPr>
        <w:t>’</w:t>
      </w:r>
      <w:r w:rsidRPr="007E4A0F">
        <w:rPr>
          <w:rFonts w:eastAsia="Times New Roman"/>
          <w:szCs w:val="22"/>
          <w:lang w:val="fr-FR"/>
        </w:rPr>
        <w:t>état d</w:t>
      </w:r>
      <w:r w:rsidR="00B274E6" w:rsidRPr="007E4A0F">
        <w:rPr>
          <w:rFonts w:eastAsia="Times New Roman"/>
          <w:szCs w:val="22"/>
          <w:lang w:val="fr-FR"/>
        </w:rPr>
        <w:t>’</w:t>
      </w:r>
      <w:r w:rsidRPr="007E4A0F">
        <w:rPr>
          <w:rFonts w:eastAsia="Times New Roman"/>
          <w:szCs w:val="22"/>
          <w:lang w:val="fr-FR"/>
        </w:rPr>
        <w:t>avancement du portefeuille, afin d</w:t>
      </w:r>
      <w:r w:rsidR="00B274E6" w:rsidRPr="007E4A0F">
        <w:rPr>
          <w:rFonts w:eastAsia="Times New Roman"/>
          <w:szCs w:val="22"/>
          <w:lang w:val="fr-FR"/>
        </w:rPr>
        <w:t>’</w:t>
      </w:r>
      <w:r w:rsidRPr="007E4A0F">
        <w:rPr>
          <w:rFonts w:eastAsia="Times New Roman"/>
          <w:szCs w:val="22"/>
          <w:lang w:val="fr-FR"/>
        </w:rPr>
        <w:t>aider le comité chargé du portefeuille ainsi que les autres utilisateurs du document à attribuer des priorités claires</w:t>
      </w:r>
      <w:r w:rsidR="000C05C7" w:rsidRPr="007E4A0F">
        <w:rPr>
          <w:rFonts w:eastAsia="Times New Roman"/>
          <w:szCs w:val="22"/>
          <w:lang w:val="fr-FR"/>
        </w:rPr>
        <w:t xml:space="preserve"> aux questions qui ont besoin d</w:t>
      </w:r>
      <w:r w:rsidR="00B274E6" w:rsidRPr="007E4A0F">
        <w:rPr>
          <w:rFonts w:eastAsia="Times New Roman"/>
          <w:szCs w:val="22"/>
          <w:lang w:val="fr-FR"/>
        </w:rPr>
        <w:t>’</w:t>
      </w:r>
      <w:r w:rsidR="000C05C7" w:rsidRPr="007E4A0F">
        <w:rPr>
          <w:rFonts w:eastAsia="Times New Roman"/>
          <w:szCs w:val="22"/>
          <w:lang w:val="fr-FR"/>
        </w:rPr>
        <w:t>être traitées.  L</w:t>
      </w:r>
      <w:r w:rsidR="00B274E6" w:rsidRPr="007E4A0F">
        <w:rPr>
          <w:rFonts w:eastAsia="Times New Roman"/>
          <w:szCs w:val="22"/>
          <w:lang w:val="fr-FR"/>
        </w:rPr>
        <w:t>’</w:t>
      </w:r>
      <w:r w:rsidR="000C05C7" w:rsidRPr="007E4A0F">
        <w:rPr>
          <w:rFonts w:eastAsia="Times New Roman"/>
          <w:szCs w:val="22"/>
          <w:lang w:val="fr-FR"/>
        </w:rPr>
        <w:t>OMPI encouragera les projets individuels à effectuer de la même manière une analyse de sensibilité et à rendre compte des questions les concernant plus particulièrement.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3</w:t>
      </w:r>
    </w:p>
    <w:p w:rsidR="00947AF6" w:rsidRPr="007E4A0F" w:rsidRDefault="00947AF6" w:rsidP="0012066D">
      <w:pPr>
        <w:rPr>
          <w:rFonts w:eastAsia="Times New Roman"/>
          <w:szCs w:val="22"/>
          <w:lang w:val="fr-FR"/>
        </w:rPr>
      </w:pPr>
    </w:p>
    <w:p w:rsidR="00947AF6" w:rsidRPr="007E4A0F" w:rsidRDefault="004B4555"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w:t>
      </w:r>
      <w:r w:rsidR="00B274E6" w:rsidRPr="007E4A0F">
        <w:rPr>
          <w:rFonts w:eastAsia="Times New Roman"/>
          <w:i/>
          <w:szCs w:val="22"/>
          <w:lang w:val="fr-FR"/>
        </w:rPr>
        <w:t>’</w:t>
      </w:r>
      <w:r w:rsidRPr="007E4A0F">
        <w:rPr>
          <w:rFonts w:eastAsia="Times New Roman"/>
          <w:i/>
          <w:szCs w:val="22"/>
          <w:lang w:val="fr-FR"/>
        </w:rPr>
        <w:t>inclure une évaluation de la performance des partenaires d</w:t>
      </w:r>
      <w:r w:rsidR="00B274E6" w:rsidRPr="007E4A0F">
        <w:rPr>
          <w:rFonts w:eastAsia="Times New Roman"/>
          <w:i/>
          <w:szCs w:val="22"/>
          <w:lang w:val="fr-FR"/>
        </w:rPr>
        <w:t>’</w:t>
      </w:r>
      <w:r w:rsidRPr="007E4A0F">
        <w:rPr>
          <w:rFonts w:eastAsia="Times New Roman"/>
          <w:i/>
          <w:szCs w:val="22"/>
          <w:lang w:val="fr-FR"/>
        </w:rPr>
        <w:t>exécution externes dans son rapport aux assemblées des États membres sur l</w:t>
      </w:r>
      <w:r w:rsidR="00B274E6" w:rsidRPr="007E4A0F">
        <w:rPr>
          <w:rFonts w:eastAsia="Times New Roman"/>
          <w:i/>
          <w:szCs w:val="22"/>
          <w:lang w:val="fr-FR"/>
        </w:rPr>
        <w:t>’</w:t>
      </w:r>
      <w:r w:rsidRPr="007E4A0F">
        <w:rPr>
          <w:rFonts w:eastAsia="Times New Roman"/>
          <w:i/>
          <w:szCs w:val="22"/>
          <w:lang w:val="fr-FR"/>
        </w:rPr>
        <w:t>état d</w:t>
      </w:r>
      <w:r w:rsidR="00B274E6" w:rsidRPr="007E4A0F">
        <w:rPr>
          <w:rFonts w:eastAsia="Times New Roman"/>
          <w:i/>
          <w:szCs w:val="22"/>
          <w:lang w:val="fr-FR"/>
        </w:rPr>
        <w:t>’</w:t>
      </w:r>
      <w:r w:rsidRPr="007E4A0F">
        <w:rPr>
          <w:rFonts w:eastAsia="Times New Roman"/>
          <w:i/>
          <w:szCs w:val="22"/>
          <w:lang w:val="fr-FR"/>
        </w:rPr>
        <w:t>avancement de la mise en œuvre du système global de planification des ressources.</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F304FA"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a inclus dans le rapport 2015 sur l</w:t>
      </w:r>
      <w:r w:rsidR="00B274E6" w:rsidRPr="007E4A0F">
        <w:rPr>
          <w:rFonts w:eastAsia="Times New Roman"/>
          <w:szCs w:val="22"/>
          <w:lang w:val="fr-FR"/>
        </w:rPr>
        <w:t>’</w:t>
      </w:r>
      <w:r w:rsidRPr="007E4A0F">
        <w:rPr>
          <w:rFonts w:eastAsia="Times New Roman"/>
          <w:szCs w:val="22"/>
          <w:lang w:val="fr-FR"/>
        </w:rPr>
        <w:t>état d</w:t>
      </w:r>
      <w:r w:rsidR="00B274E6" w:rsidRPr="007E4A0F">
        <w:rPr>
          <w:rFonts w:eastAsia="Times New Roman"/>
          <w:szCs w:val="22"/>
          <w:lang w:val="fr-FR"/>
        </w:rPr>
        <w:t>’</w:t>
      </w:r>
      <w:r w:rsidRPr="007E4A0F">
        <w:rPr>
          <w:rFonts w:eastAsia="Times New Roman"/>
          <w:szCs w:val="22"/>
          <w:lang w:val="fr-FR"/>
        </w:rPr>
        <w:t>avancement du système ERP une section consacrée à la performance des principaux partenaires d</w:t>
      </w:r>
      <w:r w:rsidR="00B274E6" w:rsidRPr="007E4A0F">
        <w:rPr>
          <w:rFonts w:eastAsia="Times New Roman"/>
          <w:szCs w:val="22"/>
          <w:lang w:val="fr-FR"/>
        </w:rPr>
        <w:t>’</w:t>
      </w:r>
      <w:r w:rsidRPr="007E4A0F">
        <w:rPr>
          <w:rFonts w:eastAsia="Times New Roman"/>
          <w:szCs w:val="22"/>
          <w:lang w:val="fr-FR"/>
        </w:rPr>
        <w:t>exécution externe.</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4</w:t>
      </w:r>
    </w:p>
    <w:p w:rsidR="00947AF6" w:rsidRPr="007E4A0F" w:rsidRDefault="00947AF6" w:rsidP="0012066D">
      <w:pPr>
        <w:rPr>
          <w:rFonts w:eastAsia="Times New Roman"/>
          <w:szCs w:val="22"/>
          <w:lang w:val="fr-FR"/>
        </w:rPr>
      </w:pPr>
    </w:p>
    <w:p w:rsidR="00947AF6" w:rsidRPr="007E4A0F" w:rsidRDefault="004B4555"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cesser de subventionner les primes d</w:t>
      </w:r>
      <w:r w:rsidR="00B274E6" w:rsidRPr="007E4A0F">
        <w:rPr>
          <w:rFonts w:eastAsia="Times New Roman"/>
          <w:i/>
          <w:szCs w:val="22"/>
          <w:lang w:val="fr-FR"/>
        </w:rPr>
        <w:t>’</w:t>
      </w:r>
      <w:r w:rsidRPr="007E4A0F">
        <w:rPr>
          <w:rFonts w:eastAsia="Times New Roman"/>
          <w:i/>
          <w:szCs w:val="22"/>
          <w:lang w:val="fr-FR"/>
        </w:rPr>
        <w:t>assurance relatives aux accidents non imputables au service.</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B274E6" w:rsidRPr="007E4A0F" w:rsidRDefault="00407B05" w:rsidP="0012066D">
      <w:pPr>
        <w:rPr>
          <w:rFonts w:eastAsia="Times New Roman"/>
          <w:szCs w:val="22"/>
          <w:lang w:val="fr-FR"/>
        </w:rPr>
      </w:pPr>
      <w:r w:rsidRPr="007E4A0F">
        <w:rPr>
          <w:rFonts w:eastAsia="Times New Roman"/>
          <w:szCs w:val="22"/>
          <w:lang w:val="fr-FR"/>
        </w:rPr>
        <w:t xml:space="preserve">Le subventionnement cessera le </w:t>
      </w:r>
      <w:r w:rsidR="00B274E6" w:rsidRPr="007E4A0F">
        <w:rPr>
          <w:rFonts w:eastAsia="Times New Roman"/>
          <w:szCs w:val="22"/>
          <w:lang w:val="fr-FR"/>
        </w:rPr>
        <w:t>1</w:t>
      </w:r>
      <w:r w:rsidR="00B274E6" w:rsidRPr="007E4A0F">
        <w:rPr>
          <w:rFonts w:eastAsia="Times New Roman"/>
          <w:szCs w:val="22"/>
          <w:vertAlign w:val="superscript"/>
          <w:lang w:val="fr-FR"/>
        </w:rPr>
        <w:t>er</w:t>
      </w:r>
      <w:r w:rsidR="00B274E6" w:rsidRPr="007E4A0F">
        <w:rPr>
          <w:rFonts w:eastAsia="Times New Roman"/>
          <w:szCs w:val="22"/>
          <w:lang w:val="fr-FR"/>
        </w:rPr>
        <w:t> janvier 20</w:t>
      </w:r>
      <w:r w:rsidRPr="007E4A0F">
        <w:rPr>
          <w:rFonts w:eastAsia="Times New Roman"/>
          <w:szCs w:val="22"/>
          <w:lang w:val="fr-FR"/>
        </w:rPr>
        <w:t>16.</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5</w:t>
      </w:r>
    </w:p>
    <w:p w:rsidR="00947AF6" w:rsidRPr="007E4A0F" w:rsidRDefault="00947AF6" w:rsidP="0012066D">
      <w:pPr>
        <w:rPr>
          <w:rFonts w:eastAsia="Times New Roman"/>
          <w:szCs w:val="22"/>
          <w:lang w:val="fr-FR"/>
        </w:rPr>
      </w:pPr>
    </w:p>
    <w:p w:rsidR="00947AF6" w:rsidRPr="007E4A0F" w:rsidRDefault="004B4555"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accélérer le processus d</w:t>
      </w:r>
      <w:r w:rsidR="00B274E6" w:rsidRPr="007E4A0F">
        <w:rPr>
          <w:rFonts w:eastAsia="Times New Roman"/>
          <w:i/>
          <w:szCs w:val="22"/>
          <w:lang w:val="fr-FR"/>
        </w:rPr>
        <w:t>’</w:t>
      </w:r>
      <w:r w:rsidRPr="007E4A0F">
        <w:rPr>
          <w:rFonts w:eastAsia="Times New Roman"/>
          <w:i/>
          <w:szCs w:val="22"/>
          <w:lang w:val="fr-FR"/>
        </w:rPr>
        <w:t>actualisation du système informatique afin de se conformer au règlement.</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407B05" w:rsidP="0012066D">
      <w:pPr>
        <w:rPr>
          <w:rFonts w:eastAsia="Times New Roman"/>
          <w:szCs w:val="22"/>
          <w:lang w:val="fr-FR"/>
        </w:rPr>
      </w:pPr>
      <w:r w:rsidRPr="007E4A0F">
        <w:rPr>
          <w:rFonts w:eastAsia="Times New Roman"/>
          <w:szCs w:val="22"/>
          <w:lang w:val="fr-FR"/>
        </w:rPr>
        <w:t>La mise en œuvre du système ERP est en cours.</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6</w:t>
      </w:r>
    </w:p>
    <w:p w:rsidR="00947AF6" w:rsidRPr="007E4A0F" w:rsidRDefault="00947AF6" w:rsidP="0012066D">
      <w:pPr>
        <w:rPr>
          <w:rFonts w:eastAsia="Times New Roman"/>
          <w:szCs w:val="22"/>
          <w:lang w:val="fr-FR"/>
        </w:rPr>
      </w:pPr>
    </w:p>
    <w:p w:rsidR="00947AF6" w:rsidRPr="007E4A0F" w:rsidRDefault="00154776" w:rsidP="0012066D">
      <w:pPr>
        <w:rPr>
          <w:rFonts w:eastAsia="Times New Roman"/>
          <w:i/>
          <w:szCs w:val="22"/>
          <w:lang w:val="fr-FR"/>
        </w:rPr>
      </w:pPr>
      <w:r w:rsidRPr="007E4A0F">
        <w:rPr>
          <w:rFonts w:eastAsia="Times New Roman"/>
          <w:i/>
          <w:szCs w:val="22"/>
          <w:lang w:val="fr-FR"/>
        </w:rPr>
        <w:t>Nous recommandons que, dans les cas où des engagements temporaires sont prolongés sans mise au concours en attendant l</w:t>
      </w:r>
      <w:r w:rsidR="00B274E6" w:rsidRPr="007E4A0F">
        <w:rPr>
          <w:rFonts w:eastAsia="Times New Roman"/>
          <w:i/>
          <w:szCs w:val="22"/>
          <w:lang w:val="fr-FR"/>
        </w:rPr>
        <w:t>’</w:t>
      </w:r>
      <w:r w:rsidRPr="007E4A0F">
        <w:rPr>
          <w:rFonts w:eastAsia="Times New Roman"/>
          <w:i/>
          <w:szCs w:val="22"/>
          <w:lang w:val="fr-FR"/>
        </w:rPr>
        <w:t>issue d</w:t>
      </w:r>
      <w:r w:rsidR="00B274E6" w:rsidRPr="007E4A0F">
        <w:rPr>
          <w:rFonts w:eastAsia="Times New Roman"/>
          <w:i/>
          <w:szCs w:val="22"/>
          <w:lang w:val="fr-FR"/>
        </w:rPr>
        <w:t>’</w:t>
      </w:r>
      <w:r w:rsidRPr="007E4A0F">
        <w:rPr>
          <w:rFonts w:eastAsia="Times New Roman"/>
          <w:i/>
          <w:szCs w:val="22"/>
          <w:lang w:val="fr-FR"/>
        </w:rPr>
        <w:t>une compétition pour un engagement de durée déterminée, la procédure de sélection puisse être clôturée de manière anticipée et que la description de poste soit dûment adaptée afin d</w:t>
      </w:r>
      <w:r w:rsidR="00B274E6" w:rsidRPr="007E4A0F">
        <w:rPr>
          <w:rFonts w:eastAsia="Times New Roman"/>
          <w:i/>
          <w:szCs w:val="22"/>
          <w:lang w:val="fr-FR"/>
        </w:rPr>
        <w:t>’</w:t>
      </w:r>
      <w:r w:rsidRPr="007E4A0F">
        <w:rPr>
          <w:rFonts w:eastAsia="Times New Roman"/>
          <w:i/>
          <w:szCs w:val="22"/>
          <w:lang w:val="fr-FR"/>
        </w:rPr>
        <w:t>éviter tout retard.</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b/>
          <w:szCs w:val="22"/>
          <w:lang w:val="fr-FR"/>
        </w:rPr>
      </w:pPr>
    </w:p>
    <w:p w:rsidR="00947AF6" w:rsidRPr="007E4A0F" w:rsidRDefault="00154776" w:rsidP="0012066D">
      <w:pPr>
        <w:rPr>
          <w:rFonts w:eastAsia="Times New Roman"/>
          <w:szCs w:val="22"/>
          <w:lang w:val="fr-FR"/>
        </w:rPr>
      </w:pPr>
      <w:r w:rsidRPr="007E4A0F">
        <w:rPr>
          <w:rFonts w:eastAsia="Times New Roman"/>
          <w:szCs w:val="22"/>
          <w:lang w:val="fr-FR"/>
        </w:rPr>
        <w:t>Cette recommandation sera mise en œuvre avec effet immédiat.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7</w:t>
      </w:r>
    </w:p>
    <w:p w:rsidR="00947AF6" w:rsidRPr="007E4A0F" w:rsidRDefault="00947AF6" w:rsidP="0012066D">
      <w:pPr>
        <w:rPr>
          <w:rFonts w:eastAsia="Times New Roman"/>
          <w:szCs w:val="22"/>
          <w:lang w:val="fr-FR"/>
        </w:rPr>
      </w:pPr>
    </w:p>
    <w:p w:rsidR="00947AF6" w:rsidRPr="007E4A0F" w:rsidRDefault="00985922" w:rsidP="0012066D">
      <w:pPr>
        <w:rPr>
          <w:rFonts w:eastAsia="Times New Roman"/>
          <w:i/>
          <w:szCs w:val="22"/>
          <w:lang w:val="fr-FR"/>
        </w:rPr>
      </w:pPr>
      <w:r w:rsidRPr="007E4A0F">
        <w:rPr>
          <w:rFonts w:eastAsia="Times New Roman"/>
          <w:i/>
          <w:szCs w:val="22"/>
          <w:lang w:val="fr-FR"/>
        </w:rPr>
        <w:t>Le mode de détermination du plafond de revenu professionnel brut à prendre en compte aux fins de l</w:t>
      </w:r>
      <w:r w:rsidR="00B274E6" w:rsidRPr="007E4A0F">
        <w:rPr>
          <w:rFonts w:eastAsia="Times New Roman"/>
          <w:i/>
          <w:szCs w:val="22"/>
          <w:lang w:val="fr-FR"/>
        </w:rPr>
        <w:t>’</w:t>
      </w:r>
      <w:r w:rsidRPr="007E4A0F">
        <w:rPr>
          <w:rFonts w:eastAsia="Times New Roman"/>
          <w:i/>
          <w:szCs w:val="22"/>
          <w:lang w:val="fr-FR"/>
        </w:rPr>
        <w:t>allocation de conjoint à charge doit être revu de manière à respecter les dispositions du Statut et Règlement du personnel.</w:t>
      </w:r>
    </w:p>
    <w:p w:rsidR="00947AF6" w:rsidRPr="007E4A0F" w:rsidRDefault="00947AF6" w:rsidP="0012066D">
      <w:pPr>
        <w:rPr>
          <w:rFonts w:eastAsia="Times New Roman"/>
          <w:szCs w:val="22"/>
          <w:lang w:val="fr-FR"/>
        </w:rPr>
      </w:pPr>
    </w:p>
    <w:p w:rsidR="00947AF6" w:rsidRPr="007E4A0F" w:rsidRDefault="00A470CE" w:rsidP="008C0101">
      <w:pPr>
        <w:keepNext/>
        <w:rPr>
          <w:rFonts w:eastAsia="Times New Roman"/>
          <w:b/>
          <w:szCs w:val="22"/>
          <w:lang w:val="fr-FR"/>
        </w:rPr>
      </w:pPr>
      <w:r w:rsidRPr="007E4A0F">
        <w:rPr>
          <w:rFonts w:eastAsia="Times New Roman"/>
          <w:b/>
          <w:szCs w:val="22"/>
          <w:lang w:val="fr-FR"/>
        </w:rPr>
        <w:lastRenderedPageBreak/>
        <w:t>Réponse</w:t>
      </w:r>
    </w:p>
    <w:p w:rsidR="00947AF6" w:rsidRPr="007E4A0F" w:rsidRDefault="00947AF6" w:rsidP="008C0101">
      <w:pPr>
        <w:keepNext/>
        <w:rPr>
          <w:rFonts w:eastAsia="Times New Roman"/>
          <w:szCs w:val="22"/>
          <w:lang w:val="fr-FR"/>
        </w:rPr>
      </w:pPr>
    </w:p>
    <w:p w:rsidR="00947AF6" w:rsidRPr="007E4A0F" w:rsidRDefault="00154776" w:rsidP="0012066D">
      <w:pPr>
        <w:rPr>
          <w:rFonts w:eastAsia="Times New Roman"/>
          <w:szCs w:val="22"/>
          <w:lang w:val="fr-FR"/>
        </w:rPr>
      </w:pPr>
      <w:r w:rsidRPr="007E4A0F">
        <w:rPr>
          <w:rFonts w:eastAsia="Times New Roman"/>
          <w:szCs w:val="22"/>
          <w:lang w:val="fr-FR"/>
        </w:rPr>
        <w:t xml:space="preserve">Cette recommandation sera mise en œuvre à compter du </w:t>
      </w:r>
      <w:r w:rsidR="00B274E6" w:rsidRPr="007E4A0F">
        <w:rPr>
          <w:rFonts w:eastAsia="Times New Roman"/>
          <w:szCs w:val="22"/>
          <w:lang w:val="fr-FR"/>
        </w:rPr>
        <w:t>1</w:t>
      </w:r>
      <w:r w:rsidR="00B274E6" w:rsidRPr="007E4A0F">
        <w:rPr>
          <w:rFonts w:eastAsia="Times New Roman"/>
          <w:szCs w:val="22"/>
          <w:vertAlign w:val="superscript"/>
          <w:lang w:val="fr-FR"/>
        </w:rPr>
        <w:t>er</w:t>
      </w:r>
      <w:r w:rsidR="00B274E6" w:rsidRPr="007E4A0F">
        <w:rPr>
          <w:rFonts w:eastAsia="Times New Roman"/>
          <w:szCs w:val="22"/>
          <w:lang w:val="fr-FR"/>
        </w:rPr>
        <w:t> janvier 20</w:t>
      </w:r>
      <w:r w:rsidRPr="007E4A0F">
        <w:rPr>
          <w:rFonts w:eastAsia="Times New Roman"/>
          <w:szCs w:val="22"/>
          <w:lang w:val="fr-FR"/>
        </w:rPr>
        <w:t xml:space="preserve">16.  </w:t>
      </w:r>
      <w:r w:rsidR="003000FA" w:rsidRPr="007E4A0F">
        <w:rPr>
          <w:rFonts w:eastAsia="Times New Roman"/>
          <w:szCs w:val="22"/>
          <w:lang w:val="fr-FR"/>
        </w:rPr>
        <w:t>Une communication a été faite au personnel.</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8</w:t>
      </w:r>
    </w:p>
    <w:p w:rsidR="00947AF6" w:rsidRPr="007E4A0F" w:rsidRDefault="00947AF6" w:rsidP="0012066D">
      <w:pPr>
        <w:rPr>
          <w:rFonts w:eastAsia="Times New Roman"/>
          <w:szCs w:val="22"/>
          <w:lang w:val="fr-FR"/>
        </w:rPr>
      </w:pPr>
    </w:p>
    <w:p w:rsidR="00947AF6" w:rsidRPr="007E4A0F" w:rsidRDefault="00AC6A02" w:rsidP="0012066D">
      <w:pPr>
        <w:rPr>
          <w:rFonts w:eastAsia="Times New Roman"/>
          <w:i/>
          <w:szCs w:val="22"/>
          <w:lang w:val="fr-FR"/>
        </w:rPr>
      </w:pPr>
      <w:r w:rsidRPr="007E4A0F">
        <w:rPr>
          <w:rFonts w:eastAsia="Times New Roman"/>
          <w:i/>
          <w:szCs w:val="22"/>
          <w:lang w:val="fr-FR"/>
        </w:rPr>
        <w:t>Les dispositions des ordres de service relatifs à l</w:t>
      </w:r>
      <w:r w:rsidR="00B274E6" w:rsidRPr="007E4A0F">
        <w:rPr>
          <w:rFonts w:eastAsia="Times New Roman"/>
          <w:i/>
          <w:szCs w:val="22"/>
          <w:lang w:val="fr-FR"/>
        </w:rPr>
        <w:t>’</w:t>
      </w:r>
      <w:r w:rsidRPr="007E4A0F">
        <w:rPr>
          <w:rFonts w:eastAsia="Times New Roman"/>
          <w:i/>
          <w:szCs w:val="22"/>
          <w:lang w:val="fr-FR"/>
        </w:rPr>
        <w:t>allocation</w:t>
      </w:r>
      <w:r w:rsidR="00CB1BDA" w:rsidRPr="007E4A0F">
        <w:rPr>
          <w:rFonts w:eastAsia="Times New Roman"/>
          <w:i/>
          <w:szCs w:val="22"/>
          <w:lang w:val="fr-FR"/>
        </w:rPr>
        <w:noBreakHyphen/>
      </w:r>
      <w:r w:rsidRPr="007E4A0F">
        <w:rPr>
          <w:rFonts w:eastAsia="Times New Roman"/>
          <w:i/>
          <w:szCs w:val="22"/>
          <w:lang w:val="fr-FR"/>
        </w:rPr>
        <w:t xml:space="preserve">logement pourraient être observées </w:t>
      </w:r>
      <w:r w:rsidR="00C85FA2" w:rsidRPr="007E4A0F">
        <w:rPr>
          <w:rFonts w:eastAsia="Times New Roman"/>
          <w:i/>
          <w:szCs w:val="22"/>
          <w:lang w:val="fr-FR"/>
        </w:rPr>
        <w:t>dans les délais prescrits</w:t>
      </w:r>
      <w:r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B274E6" w:rsidRPr="007E4A0F" w:rsidRDefault="00AC6A02" w:rsidP="0012066D">
      <w:pPr>
        <w:rPr>
          <w:rFonts w:eastAsia="Times New Roman"/>
          <w:szCs w:val="22"/>
          <w:lang w:val="fr-FR"/>
        </w:rPr>
      </w:pPr>
      <w:r w:rsidRPr="007E4A0F">
        <w:rPr>
          <w:rFonts w:eastAsia="Times New Roman"/>
          <w:szCs w:val="22"/>
          <w:lang w:val="fr-FR"/>
        </w:rPr>
        <w:t>Cette recommandation a été mise en œuvre.</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9</w:t>
      </w:r>
    </w:p>
    <w:p w:rsidR="00947AF6" w:rsidRPr="007E4A0F" w:rsidRDefault="00947AF6" w:rsidP="0012066D">
      <w:pPr>
        <w:rPr>
          <w:rFonts w:eastAsia="Times New Roman"/>
          <w:b/>
          <w:szCs w:val="22"/>
          <w:lang w:val="fr-FR"/>
        </w:rPr>
      </w:pPr>
    </w:p>
    <w:p w:rsidR="00FE582D" w:rsidRPr="007E4A0F" w:rsidRDefault="00FE582D" w:rsidP="00FE582D">
      <w:pPr>
        <w:rPr>
          <w:rFonts w:eastAsia="Times New Roman"/>
          <w:i/>
          <w:szCs w:val="22"/>
          <w:lang w:val="fr-FR"/>
        </w:rPr>
      </w:pPr>
      <w:r w:rsidRPr="007E4A0F">
        <w:rPr>
          <w:rFonts w:eastAsia="Times New Roman"/>
          <w:i/>
          <w:szCs w:val="22"/>
          <w:lang w:val="fr-FR"/>
        </w:rPr>
        <w:t>Nous recommandons</w:t>
      </w:r>
      <w:r w:rsidR="006C7CFD" w:rsidRPr="007E4A0F">
        <w:rPr>
          <w:rFonts w:eastAsia="Times New Roman"/>
          <w:i/>
          <w:szCs w:val="22"/>
          <w:lang w:val="fr-FR"/>
        </w:rPr>
        <w:t> </w:t>
      </w:r>
      <w:r w:rsidRPr="007E4A0F">
        <w:rPr>
          <w:rFonts w:eastAsia="Times New Roman"/>
          <w:i/>
          <w:szCs w:val="22"/>
          <w:lang w:val="fr-FR"/>
        </w:rPr>
        <w:t>:</w:t>
      </w:r>
    </w:p>
    <w:p w:rsidR="00B274E6" w:rsidRPr="007E4A0F" w:rsidRDefault="00B274E6" w:rsidP="00FE582D">
      <w:pPr>
        <w:rPr>
          <w:rFonts w:eastAsia="Times New Roman"/>
          <w:i/>
          <w:szCs w:val="22"/>
          <w:lang w:val="fr-FR"/>
        </w:rPr>
      </w:pPr>
    </w:p>
    <w:p w:rsidR="00B274E6" w:rsidRPr="007E4A0F" w:rsidRDefault="00FE582D" w:rsidP="00FE582D">
      <w:pPr>
        <w:rPr>
          <w:rFonts w:eastAsia="Times New Roman"/>
          <w:i/>
          <w:szCs w:val="22"/>
          <w:lang w:val="fr-FR"/>
        </w:rPr>
      </w:pPr>
      <w:r w:rsidRPr="007E4A0F">
        <w:rPr>
          <w:rFonts w:eastAsia="Times New Roman"/>
          <w:i/>
          <w:szCs w:val="22"/>
          <w:lang w:val="fr-FR"/>
        </w:rPr>
        <w:t>a)</w:t>
      </w:r>
      <w:r w:rsidRPr="007E4A0F">
        <w:rPr>
          <w:rFonts w:eastAsia="Times New Roman"/>
          <w:i/>
          <w:szCs w:val="22"/>
          <w:lang w:val="fr-FR"/>
        </w:rPr>
        <w:tab/>
        <w:t xml:space="preserve">que les fonctionnaires recevant une prime pour connaissances linguistiques soient soumis à un nouvel examen afin de démontrer le maintien de ces connaissances; </w:t>
      </w:r>
      <w:r w:rsidR="006C7CFD" w:rsidRPr="007E4A0F">
        <w:rPr>
          <w:rFonts w:eastAsia="Times New Roman"/>
          <w:i/>
          <w:szCs w:val="22"/>
          <w:lang w:val="fr-FR"/>
        </w:rPr>
        <w:t xml:space="preserve"> </w:t>
      </w:r>
      <w:r w:rsidRPr="007E4A0F">
        <w:rPr>
          <w:rFonts w:eastAsia="Times New Roman"/>
          <w:i/>
          <w:szCs w:val="22"/>
          <w:lang w:val="fr-FR"/>
        </w:rPr>
        <w:t>et</w:t>
      </w:r>
    </w:p>
    <w:p w:rsidR="00FE582D" w:rsidRPr="007E4A0F" w:rsidRDefault="00FE582D" w:rsidP="00FE582D">
      <w:pPr>
        <w:rPr>
          <w:rFonts w:eastAsia="Times New Roman"/>
          <w:i/>
          <w:szCs w:val="22"/>
          <w:lang w:val="fr-FR"/>
        </w:rPr>
      </w:pPr>
    </w:p>
    <w:p w:rsidR="00947AF6" w:rsidRPr="007E4A0F" w:rsidRDefault="00FE582D" w:rsidP="00FE582D">
      <w:pPr>
        <w:rPr>
          <w:rFonts w:eastAsia="Times New Roman"/>
          <w:i/>
          <w:szCs w:val="22"/>
          <w:lang w:val="fr-FR"/>
        </w:rPr>
      </w:pPr>
      <w:r w:rsidRPr="007E4A0F">
        <w:rPr>
          <w:rFonts w:eastAsia="Times New Roman"/>
          <w:i/>
          <w:szCs w:val="22"/>
          <w:lang w:val="fr-FR"/>
        </w:rPr>
        <w:t>b)</w:t>
      </w:r>
      <w:r w:rsidRPr="007E4A0F">
        <w:rPr>
          <w:rFonts w:eastAsia="Times New Roman"/>
          <w:i/>
          <w:szCs w:val="22"/>
          <w:lang w:val="fr-FR"/>
        </w:rPr>
        <w:tab/>
        <w:t>qu</w:t>
      </w:r>
      <w:r w:rsidR="00B274E6" w:rsidRPr="007E4A0F">
        <w:rPr>
          <w:rFonts w:eastAsia="Times New Roman"/>
          <w:i/>
          <w:szCs w:val="22"/>
          <w:lang w:val="fr-FR"/>
        </w:rPr>
        <w:t>’</w:t>
      </w:r>
      <w:r w:rsidRPr="007E4A0F">
        <w:rPr>
          <w:rFonts w:eastAsia="Times New Roman"/>
          <w:i/>
          <w:szCs w:val="22"/>
          <w:lang w:val="fr-FR"/>
        </w:rPr>
        <w:t>une vérification soit entreprise, s</w:t>
      </w:r>
      <w:r w:rsidR="00B274E6" w:rsidRPr="007E4A0F">
        <w:rPr>
          <w:rFonts w:eastAsia="Times New Roman"/>
          <w:i/>
          <w:szCs w:val="22"/>
          <w:lang w:val="fr-FR"/>
        </w:rPr>
        <w:t>’</w:t>
      </w:r>
      <w:r w:rsidRPr="007E4A0F">
        <w:rPr>
          <w:rFonts w:eastAsia="Times New Roman"/>
          <w:i/>
          <w:szCs w:val="22"/>
          <w:lang w:val="fr-FR"/>
        </w:rPr>
        <w:t>agissant du maintien du versement de la prime pour connaissances linguistiques, lorsqu</w:t>
      </w:r>
      <w:r w:rsidR="00B274E6" w:rsidRPr="007E4A0F">
        <w:rPr>
          <w:rFonts w:eastAsia="Times New Roman"/>
          <w:i/>
          <w:szCs w:val="22"/>
          <w:lang w:val="fr-FR"/>
        </w:rPr>
        <w:t>’</w:t>
      </w:r>
      <w:r w:rsidRPr="007E4A0F">
        <w:rPr>
          <w:rFonts w:eastAsia="Times New Roman"/>
          <w:i/>
          <w:szCs w:val="22"/>
          <w:lang w:val="fr-FR"/>
        </w:rPr>
        <w:t>un fonctionnaire est transféré ou nommé un nouveau poste pour lequel il ou elle doit avoir une connaissance approfondie de la langue concernée selon les termes de son engagement.</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12066D" w:rsidP="0012066D">
      <w:pPr>
        <w:rPr>
          <w:rFonts w:eastAsia="Times New Roman"/>
          <w:szCs w:val="22"/>
          <w:lang w:val="fr-FR"/>
        </w:rPr>
      </w:pPr>
      <w:r w:rsidRPr="007E4A0F">
        <w:rPr>
          <w:rFonts w:eastAsia="Times New Roman"/>
          <w:szCs w:val="22"/>
          <w:lang w:val="fr-FR"/>
        </w:rPr>
        <w:t>L</w:t>
      </w:r>
      <w:r w:rsidR="00EA2E02" w:rsidRPr="007E4A0F">
        <w:rPr>
          <w:rFonts w:eastAsia="Times New Roman"/>
          <w:szCs w:val="22"/>
          <w:lang w:val="fr-FR"/>
        </w:rPr>
        <w:t xml:space="preserve">a question de la prime pour connaissances linguistiques va </w:t>
      </w:r>
      <w:r w:rsidR="00252D8F" w:rsidRPr="007E4A0F">
        <w:rPr>
          <w:rFonts w:eastAsia="Times New Roman"/>
          <w:szCs w:val="22"/>
          <w:lang w:val="fr-FR"/>
        </w:rPr>
        <w:t>faire l</w:t>
      </w:r>
      <w:r w:rsidR="00B274E6" w:rsidRPr="007E4A0F">
        <w:rPr>
          <w:rFonts w:eastAsia="Times New Roman"/>
          <w:szCs w:val="22"/>
          <w:lang w:val="fr-FR"/>
        </w:rPr>
        <w:t>’</w:t>
      </w:r>
      <w:r w:rsidR="00252D8F" w:rsidRPr="007E4A0F">
        <w:rPr>
          <w:rFonts w:eastAsia="Times New Roman"/>
          <w:szCs w:val="22"/>
          <w:lang w:val="fr-FR"/>
        </w:rPr>
        <w:t>objet d</w:t>
      </w:r>
      <w:r w:rsidR="00B274E6" w:rsidRPr="007E4A0F">
        <w:rPr>
          <w:rFonts w:eastAsia="Times New Roman"/>
          <w:szCs w:val="22"/>
          <w:lang w:val="fr-FR"/>
        </w:rPr>
        <w:t>’</w:t>
      </w:r>
      <w:r w:rsidR="00252D8F" w:rsidRPr="007E4A0F">
        <w:rPr>
          <w:rFonts w:eastAsia="Times New Roman"/>
          <w:szCs w:val="22"/>
          <w:lang w:val="fr-FR"/>
        </w:rPr>
        <w:t>un examen approfondi</w:t>
      </w:r>
      <w:r w:rsidR="0057396B" w:rsidRPr="007E4A0F">
        <w:rPr>
          <w:rFonts w:eastAsia="Times New Roman"/>
          <w:szCs w:val="22"/>
          <w:lang w:val="fr-FR"/>
        </w:rPr>
        <w:t xml:space="preserve">, </w:t>
      </w:r>
      <w:r w:rsidR="00B274E6" w:rsidRPr="007E4A0F">
        <w:rPr>
          <w:rFonts w:eastAsia="Times New Roman"/>
          <w:szCs w:val="22"/>
          <w:lang w:val="fr-FR"/>
        </w:rPr>
        <w:t>y compris</w:t>
      </w:r>
      <w:r w:rsidR="00DF1915" w:rsidRPr="007E4A0F">
        <w:rPr>
          <w:rFonts w:eastAsia="Times New Roman"/>
          <w:szCs w:val="22"/>
          <w:lang w:val="fr-FR"/>
        </w:rPr>
        <w:t xml:space="preserve"> dans le contexte de la réforme du système de rémunération des </w:t>
      </w:r>
      <w:r w:rsidR="00B274E6" w:rsidRPr="007E4A0F">
        <w:rPr>
          <w:rFonts w:eastAsia="Times New Roman"/>
          <w:szCs w:val="22"/>
          <w:lang w:val="fr-FR"/>
        </w:rPr>
        <w:t>Nations Unies</w:t>
      </w:r>
      <w:r w:rsidR="00252D8F"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2</w:t>
      </w:r>
      <w:r w:rsidR="0012066D" w:rsidRPr="007E4A0F">
        <w:rPr>
          <w:rFonts w:eastAsia="Times New Roman"/>
          <w:b/>
          <w:szCs w:val="22"/>
          <w:lang w:val="fr-FR"/>
        </w:rPr>
        <w:t>0</w:t>
      </w:r>
    </w:p>
    <w:p w:rsidR="00947AF6" w:rsidRPr="007E4A0F" w:rsidRDefault="00947AF6" w:rsidP="0012066D">
      <w:pPr>
        <w:rPr>
          <w:rFonts w:eastAsia="Times New Roman"/>
          <w:szCs w:val="22"/>
          <w:lang w:val="fr-FR"/>
        </w:rPr>
      </w:pPr>
    </w:p>
    <w:p w:rsidR="00947AF6" w:rsidRPr="007E4A0F" w:rsidRDefault="00CF3F2F" w:rsidP="0012066D">
      <w:pPr>
        <w:rPr>
          <w:rFonts w:eastAsia="Times New Roman"/>
          <w:i/>
          <w:szCs w:val="22"/>
          <w:lang w:val="fr-FR"/>
        </w:rPr>
      </w:pPr>
      <w:r w:rsidRPr="007E4A0F">
        <w:rPr>
          <w:rFonts w:eastAsia="Times New Roman"/>
          <w:i/>
          <w:szCs w:val="22"/>
          <w:lang w:val="fr-FR"/>
        </w:rPr>
        <w:t>Nous recommandons que les contrôles internes soient renforcés de manière à assurer le plein respect des dispositions de l</w:t>
      </w:r>
      <w:r w:rsidR="00B274E6" w:rsidRPr="007E4A0F">
        <w:rPr>
          <w:rFonts w:eastAsia="Times New Roman"/>
          <w:i/>
          <w:szCs w:val="22"/>
          <w:lang w:val="fr-FR"/>
        </w:rPr>
        <w:t>’</w:t>
      </w:r>
      <w:r w:rsidRPr="007E4A0F">
        <w:rPr>
          <w:rFonts w:eastAsia="Times New Roman"/>
          <w:i/>
          <w:szCs w:val="22"/>
          <w:lang w:val="fr-FR"/>
        </w:rPr>
        <w:t>ordre de service relatif aux heures supplémentaires.</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i/>
          <w:szCs w:val="22"/>
          <w:lang w:val="fr-FR"/>
        </w:rPr>
      </w:pPr>
    </w:p>
    <w:p w:rsidR="00947AF6" w:rsidRPr="007E4A0F" w:rsidRDefault="00AC6A02" w:rsidP="0012066D">
      <w:pPr>
        <w:rPr>
          <w:rFonts w:eastAsia="Times New Roman"/>
          <w:szCs w:val="22"/>
          <w:lang w:val="fr-FR"/>
        </w:rPr>
      </w:pPr>
      <w:r w:rsidRPr="007E4A0F">
        <w:rPr>
          <w:rFonts w:eastAsia="Times New Roman"/>
          <w:szCs w:val="22"/>
          <w:lang w:val="fr-FR"/>
        </w:rPr>
        <w:t>Cette recommandation a été mise en œuvre.</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2</w:t>
      </w:r>
      <w:r w:rsidR="0012066D" w:rsidRPr="007E4A0F">
        <w:rPr>
          <w:rFonts w:eastAsia="Times New Roman"/>
          <w:b/>
          <w:szCs w:val="22"/>
          <w:lang w:val="fr-FR"/>
        </w:rPr>
        <w:t>1</w:t>
      </w:r>
    </w:p>
    <w:p w:rsidR="00947AF6" w:rsidRPr="007E4A0F" w:rsidRDefault="00947AF6" w:rsidP="0012066D">
      <w:pPr>
        <w:rPr>
          <w:rFonts w:eastAsia="Times New Roman"/>
          <w:szCs w:val="22"/>
          <w:lang w:val="fr-FR"/>
        </w:rPr>
      </w:pPr>
    </w:p>
    <w:p w:rsidR="00947AF6" w:rsidRPr="007E4A0F" w:rsidRDefault="00C50FCC"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devrait respecter scrupuleusement les dispositions des articles</w:t>
      </w:r>
      <w:r w:rsidR="006C7CFD" w:rsidRPr="007E4A0F">
        <w:rPr>
          <w:rFonts w:eastAsia="Times New Roman"/>
          <w:i/>
          <w:szCs w:val="22"/>
          <w:lang w:val="fr-FR"/>
        </w:rPr>
        <w:t> </w:t>
      </w:r>
      <w:r w:rsidRPr="007E4A0F">
        <w:rPr>
          <w:rFonts w:eastAsia="Times New Roman"/>
          <w:i/>
          <w:szCs w:val="22"/>
          <w:lang w:val="fr-FR"/>
        </w:rPr>
        <w:t>3.11 et 3.22, tout en autorisant la prolongation du versement de l</w:t>
      </w:r>
      <w:r w:rsidR="00B274E6" w:rsidRPr="007E4A0F">
        <w:rPr>
          <w:rFonts w:eastAsia="Times New Roman"/>
          <w:i/>
          <w:szCs w:val="22"/>
          <w:lang w:val="fr-FR"/>
        </w:rPr>
        <w:t>’</w:t>
      </w:r>
      <w:r w:rsidRPr="007E4A0F">
        <w:rPr>
          <w:rFonts w:eastAsia="Times New Roman"/>
          <w:i/>
          <w:szCs w:val="22"/>
          <w:lang w:val="fr-FR"/>
        </w:rPr>
        <w:t>indemnité spéciale de fonctions au</w:t>
      </w:r>
      <w:r w:rsidR="00CB1BDA" w:rsidRPr="007E4A0F">
        <w:rPr>
          <w:rFonts w:eastAsia="Times New Roman"/>
          <w:i/>
          <w:szCs w:val="22"/>
          <w:lang w:val="fr-FR"/>
        </w:rPr>
        <w:noBreakHyphen/>
      </w:r>
      <w:r w:rsidRPr="007E4A0F">
        <w:rPr>
          <w:rFonts w:eastAsia="Times New Roman"/>
          <w:i/>
          <w:szCs w:val="22"/>
          <w:lang w:val="fr-FR"/>
        </w:rPr>
        <w:t>delà de 12 mois dans des circonstances exceptionnelles.</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i/>
          <w:szCs w:val="22"/>
          <w:lang w:val="fr-FR"/>
        </w:rPr>
      </w:pPr>
    </w:p>
    <w:p w:rsidR="00947AF6" w:rsidRPr="007E4A0F" w:rsidRDefault="00C50FCC" w:rsidP="0012066D">
      <w:pPr>
        <w:rPr>
          <w:rFonts w:eastAsia="Times New Roman"/>
          <w:szCs w:val="22"/>
          <w:lang w:val="fr-FR"/>
        </w:rPr>
      </w:pPr>
      <w:r w:rsidRPr="007E4A0F">
        <w:rPr>
          <w:rFonts w:eastAsia="Times New Roman"/>
          <w:szCs w:val="22"/>
          <w:lang w:val="fr-FR"/>
        </w:rPr>
        <w:t>Cette recommandation est en cours de mise en œuvre.</w:t>
      </w:r>
    </w:p>
    <w:p w:rsidR="00947AF6" w:rsidRPr="007E4A0F" w:rsidRDefault="00947AF6" w:rsidP="0012066D">
      <w:pPr>
        <w:rPr>
          <w:rFonts w:eastAsia="Times New Roman"/>
          <w:i/>
          <w:szCs w:val="22"/>
          <w:lang w:val="fr-FR"/>
        </w:rPr>
      </w:pPr>
    </w:p>
    <w:p w:rsidR="00947AF6" w:rsidRPr="007E4A0F" w:rsidRDefault="00947AF6" w:rsidP="0012066D">
      <w:pPr>
        <w:jc w:val="center"/>
        <w:rPr>
          <w:rFonts w:eastAsia="Times New Roman"/>
          <w:i/>
          <w:szCs w:val="22"/>
          <w:lang w:val="fr-FR"/>
        </w:rPr>
      </w:pPr>
    </w:p>
    <w:p w:rsidR="00947AF6" w:rsidRPr="007E4A0F" w:rsidRDefault="0012066D" w:rsidP="00E22982">
      <w:pPr>
        <w:jc w:val="center"/>
        <w:rPr>
          <w:rFonts w:eastAsia="Times New Roman"/>
          <w:b/>
          <w:szCs w:val="22"/>
          <w:lang w:val="fr-FR"/>
        </w:rPr>
      </w:pPr>
      <w:r w:rsidRPr="007E4A0F">
        <w:rPr>
          <w:rFonts w:eastAsia="Times New Roman"/>
          <w:i/>
          <w:szCs w:val="22"/>
          <w:lang w:val="fr-FR"/>
        </w:rPr>
        <w:br w:type="page"/>
      </w:r>
      <w:r w:rsidR="00E22982" w:rsidRPr="007E4A0F">
        <w:rPr>
          <w:rFonts w:eastAsia="Times New Roman"/>
          <w:b/>
          <w:szCs w:val="22"/>
          <w:lang w:val="fr-FR"/>
        </w:rPr>
        <w:lastRenderedPageBreak/>
        <w:t>Déclaration sur le contrôle interne pour</w:t>
      </w:r>
      <w:r w:rsidR="006C7CFD" w:rsidRPr="007E4A0F">
        <w:rPr>
          <w:rFonts w:eastAsia="Times New Roman"/>
          <w:b/>
          <w:szCs w:val="22"/>
          <w:lang w:val="fr-FR"/>
        </w:rPr>
        <w:t> </w:t>
      </w:r>
      <w:r w:rsidR="00E22982" w:rsidRPr="007E4A0F">
        <w:rPr>
          <w:rFonts w:eastAsia="Times New Roman"/>
          <w:b/>
          <w:szCs w:val="22"/>
          <w:lang w:val="fr-FR"/>
        </w:rPr>
        <w:t>2014</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b/>
          <w:szCs w:val="22"/>
          <w:lang w:val="fr-FR"/>
        </w:rPr>
      </w:pPr>
      <w:r w:rsidRPr="007E4A0F">
        <w:rPr>
          <w:rFonts w:eastAsia="Times New Roman"/>
          <w:b/>
          <w:szCs w:val="22"/>
          <w:lang w:val="fr-FR"/>
        </w:rPr>
        <w:t>Étendue de la responsabilité</w:t>
      </w:r>
    </w:p>
    <w:p w:rsidR="00947AF6" w:rsidRPr="007E4A0F" w:rsidRDefault="00947AF6" w:rsidP="0012066D">
      <w:pPr>
        <w:rPr>
          <w:rFonts w:eastAsia="Times New Roman"/>
          <w:szCs w:val="22"/>
          <w:lang w:val="fr-FR"/>
        </w:rPr>
      </w:pPr>
    </w:p>
    <w:p w:rsidR="00947AF6" w:rsidRPr="007E4A0F" w:rsidRDefault="00E22982" w:rsidP="00E22982">
      <w:pPr>
        <w:ind w:right="-167"/>
        <w:rPr>
          <w:rFonts w:eastAsia="Times New Roman"/>
          <w:szCs w:val="22"/>
          <w:lang w:val="fr-FR"/>
        </w:rPr>
      </w:pPr>
      <w:r w:rsidRPr="007E4A0F">
        <w:rPr>
          <w:rFonts w:eastAsia="Times New Roman"/>
          <w:szCs w:val="22"/>
          <w:lang w:val="fr-FR"/>
        </w:rPr>
        <w:t>En ma qualité de Directeur général de l</w:t>
      </w:r>
      <w:r w:rsidR="00B274E6" w:rsidRPr="007E4A0F">
        <w:rPr>
          <w:rFonts w:eastAsia="Times New Roman"/>
          <w:szCs w:val="22"/>
          <w:lang w:val="fr-FR"/>
        </w:rPr>
        <w:t>’</w:t>
      </w:r>
      <w:r w:rsidRPr="007E4A0F">
        <w:rPr>
          <w:rFonts w:eastAsia="Times New Roman"/>
          <w:szCs w:val="22"/>
          <w:lang w:val="fr-FR"/>
        </w:rPr>
        <w:t>Organisation Mondiale de la Propriété Intellectuelle (OMPI), je dois répondre, conformément à la responsabilité qui m</w:t>
      </w:r>
      <w:r w:rsidR="00B274E6" w:rsidRPr="007E4A0F">
        <w:rPr>
          <w:rFonts w:eastAsia="Times New Roman"/>
          <w:szCs w:val="22"/>
          <w:lang w:val="fr-FR"/>
        </w:rPr>
        <w:t>’</w:t>
      </w:r>
      <w:r w:rsidRPr="007E4A0F">
        <w:rPr>
          <w:rFonts w:eastAsia="Times New Roman"/>
          <w:szCs w:val="22"/>
          <w:lang w:val="fr-FR"/>
        </w:rPr>
        <w:t>est confiée, en particulier par l</w:t>
      </w:r>
      <w:r w:rsidR="00B274E6" w:rsidRPr="007E4A0F">
        <w:rPr>
          <w:rFonts w:eastAsia="Times New Roman"/>
          <w:szCs w:val="22"/>
          <w:lang w:val="fr-FR"/>
        </w:rPr>
        <w:t>’</w:t>
      </w:r>
      <w:r w:rsidRPr="007E4A0F">
        <w:rPr>
          <w:rFonts w:eastAsia="Times New Roman"/>
          <w:szCs w:val="22"/>
          <w:lang w:val="fr-FR"/>
        </w:rPr>
        <w:t>article</w:t>
      </w:r>
      <w:r w:rsidR="006C7CFD" w:rsidRPr="007E4A0F">
        <w:rPr>
          <w:rFonts w:eastAsia="Times New Roman"/>
          <w:szCs w:val="22"/>
          <w:lang w:val="fr-FR"/>
        </w:rPr>
        <w:t> </w:t>
      </w:r>
      <w:r w:rsidRPr="007E4A0F">
        <w:rPr>
          <w:rFonts w:eastAsia="Times New Roman"/>
          <w:szCs w:val="22"/>
          <w:lang w:val="fr-FR"/>
        </w:rPr>
        <w:t>5.8.d) du Règlement financier, de l</w:t>
      </w:r>
      <w:r w:rsidR="00B274E6" w:rsidRPr="007E4A0F">
        <w:rPr>
          <w:rFonts w:eastAsia="Times New Roman"/>
          <w:szCs w:val="22"/>
          <w:lang w:val="fr-FR"/>
        </w:rPr>
        <w:t>’</w:t>
      </w:r>
      <w:r w:rsidRPr="007E4A0F">
        <w:rPr>
          <w:rFonts w:eastAsia="Times New Roman"/>
          <w:szCs w:val="22"/>
          <w:lang w:val="fr-FR"/>
        </w:rPr>
        <w:t>établissement d</w:t>
      </w:r>
      <w:r w:rsidR="00B274E6" w:rsidRPr="007E4A0F">
        <w:rPr>
          <w:rFonts w:eastAsia="Times New Roman"/>
          <w:szCs w:val="22"/>
          <w:lang w:val="fr-FR"/>
        </w:rPr>
        <w:t>’</w:t>
      </w:r>
      <w:r w:rsidRPr="007E4A0F">
        <w:rPr>
          <w:rFonts w:eastAsia="Times New Roman"/>
          <w:szCs w:val="22"/>
          <w:lang w:val="fr-FR"/>
        </w:rPr>
        <w:t>un système de contrôle financier interne assurant</w:t>
      </w:r>
      <w:r w:rsidR="006C7CFD" w:rsidRPr="007E4A0F">
        <w:rPr>
          <w:rFonts w:eastAsia="Times New Roman"/>
          <w:szCs w:val="22"/>
          <w:lang w:val="fr-FR"/>
        </w:rPr>
        <w:t> </w:t>
      </w:r>
      <w:r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E22982" w:rsidP="00E22982">
      <w:pPr>
        <w:numPr>
          <w:ilvl w:val="0"/>
          <w:numId w:val="8"/>
        </w:numPr>
        <w:rPr>
          <w:rFonts w:eastAsia="Times New Roman"/>
          <w:szCs w:val="22"/>
          <w:lang w:val="fr-FR"/>
        </w:rPr>
      </w:pPr>
      <w:r w:rsidRPr="007E4A0F">
        <w:rPr>
          <w:rFonts w:eastAsia="Times New Roman"/>
          <w:szCs w:val="22"/>
          <w:lang w:val="fr-FR"/>
        </w:rPr>
        <w:t>la régularité des opérations d</w:t>
      </w:r>
      <w:r w:rsidR="00B274E6" w:rsidRPr="007E4A0F">
        <w:rPr>
          <w:rFonts w:eastAsia="Times New Roman"/>
          <w:szCs w:val="22"/>
          <w:lang w:val="fr-FR"/>
        </w:rPr>
        <w:t>’</w:t>
      </w:r>
      <w:r w:rsidRPr="007E4A0F">
        <w:rPr>
          <w:rFonts w:eastAsia="Times New Roman"/>
          <w:szCs w:val="22"/>
          <w:lang w:val="fr-FR"/>
        </w:rPr>
        <w:t>encaissement, de dépôt et d</w:t>
      </w:r>
      <w:r w:rsidR="00B274E6" w:rsidRPr="007E4A0F">
        <w:rPr>
          <w:rFonts w:eastAsia="Times New Roman"/>
          <w:szCs w:val="22"/>
          <w:lang w:val="fr-FR"/>
        </w:rPr>
        <w:t>’</w:t>
      </w:r>
      <w:r w:rsidRPr="007E4A0F">
        <w:rPr>
          <w:rFonts w:eastAsia="Times New Roman"/>
          <w:szCs w:val="22"/>
          <w:lang w:val="fr-FR"/>
        </w:rPr>
        <w:t>emploi de tous les fonds et autres ressources financières de l</w:t>
      </w:r>
      <w:r w:rsidR="00B274E6" w:rsidRPr="007E4A0F">
        <w:rPr>
          <w:rFonts w:eastAsia="Times New Roman"/>
          <w:szCs w:val="22"/>
          <w:lang w:val="fr-FR"/>
        </w:rPr>
        <w:t>’</w:t>
      </w:r>
      <w:r w:rsidRPr="007E4A0F">
        <w:rPr>
          <w:rFonts w:eastAsia="Times New Roman"/>
          <w:szCs w:val="22"/>
          <w:lang w:val="fr-FR"/>
        </w:rPr>
        <w:t>Organisation;</w:t>
      </w:r>
    </w:p>
    <w:p w:rsidR="00947AF6" w:rsidRPr="007E4A0F" w:rsidRDefault="00E22982" w:rsidP="00E22982">
      <w:pPr>
        <w:numPr>
          <w:ilvl w:val="0"/>
          <w:numId w:val="8"/>
        </w:numPr>
        <w:rPr>
          <w:rFonts w:eastAsia="Times New Roman"/>
          <w:szCs w:val="22"/>
          <w:lang w:val="fr-FR"/>
        </w:rPr>
      </w:pPr>
      <w:r w:rsidRPr="007E4A0F">
        <w:rPr>
          <w:rFonts w:eastAsia="Times New Roman"/>
          <w:szCs w:val="22"/>
          <w:lang w:val="fr-FR"/>
        </w:rPr>
        <w:t>la conformité des engagements et dépenses soit avec les ouvertures de crédits ou autres dispositions financières approuvées par l</w:t>
      </w:r>
      <w:r w:rsidR="00B274E6" w:rsidRPr="007E4A0F">
        <w:rPr>
          <w:rFonts w:eastAsia="Times New Roman"/>
          <w:szCs w:val="22"/>
          <w:lang w:val="fr-FR"/>
        </w:rPr>
        <w:t>’</w:t>
      </w:r>
      <w:r w:rsidRPr="007E4A0F">
        <w:rPr>
          <w:rFonts w:eastAsia="Times New Roman"/>
          <w:szCs w:val="22"/>
          <w:lang w:val="fr-FR"/>
        </w:rPr>
        <w:t>Assemblée générale, soit avec l</w:t>
      </w:r>
      <w:r w:rsidR="00B274E6" w:rsidRPr="007E4A0F">
        <w:rPr>
          <w:rFonts w:eastAsia="Times New Roman"/>
          <w:szCs w:val="22"/>
          <w:lang w:val="fr-FR"/>
        </w:rPr>
        <w:t>’</w:t>
      </w:r>
      <w:r w:rsidRPr="007E4A0F">
        <w:rPr>
          <w:rFonts w:eastAsia="Times New Roman"/>
          <w:szCs w:val="22"/>
          <w:lang w:val="fr-FR"/>
        </w:rPr>
        <w:t>objet de fonds fiduciaires déterminés et avec les règles y relatives;</w:t>
      </w:r>
    </w:p>
    <w:p w:rsidR="00947AF6" w:rsidRPr="007E4A0F" w:rsidRDefault="00E22982" w:rsidP="00E22982">
      <w:pPr>
        <w:numPr>
          <w:ilvl w:val="0"/>
          <w:numId w:val="8"/>
        </w:num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utilisation efficace et économique des ressources de l</w:t>
      </w:r>
      <w:r w:rsidR="00B274E6" w:rsidRPr="007E4A0F">
        <w:rPr>
          <w:rFonts w:eastAsia="Times New Roman"/>
          <w:szCs w:val="22"/>
          <w:lang w:val="fr-FR"/>
        </w:rPr>
        <w:t>’</w:t>
      </w:r>
      <w:r w:rsidRPr="007E4A0F">
        <w:rPr>
          <w:rFonts w:eastAsia="Times New Roman"/>
          <w:szCs w:val="22"/>
          <w:lang w:val="fr-FR"/>
        </w:rPr>
        <w:t>Organisation.</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E22982" w:rsidP="00E22982">
      <w:pPr>
        <w:rPr>
          <w:rFonts w:eastAsia="Times New Roman"/>
          <w:b/>
          <w:szCs w:val="22"/>
          <w:lang w:val="fr-FR"/>
        </w:rPr>
      </w:pPr>
      <w:r w:rsidRPr="007E4A0F">
        <w:rPr>
          <w:rFonts w:eastAsia="Times New Roman"/>
          <w:b/>
          <w:szCs w:val="22"/>
          <w:lang w:val="fr-FR"/>
        </w:rPr>
        <w:t>Objet du système de contrôle interne</w:t>
      </w:r>
    </w:p>
    <w:p w:rsidR="00947AF6" w:rsidRPr="007E4A0F" w:rsidRDefault="00947AF6" w:rsidP="0012066D">
      <w:pPr>
        <w:rPr>
          <w:rFonts w:eastAsia="Times New Roman"/>
          <w:szCs w:val="22"/>
          <w:lang w:val="fr-FR"/>
        </w:rPr>
      </w:pPr>
    </w:p>
    <w:p w:rsidR="00B274E6" w:rsidRPr="007E4A0F" w:rsidRDefault="00E22982" w:rsidP="00E22982">
      <w:pPr>
        <w:rPr>
          <w:rFonts w:eastAsia="Times New Roman"/>
          <w:szCs w:val="22"/>
          <w:lang w:val="fr-FR"/>
        </w:rPr>
      </w:pPr>
      <w:r w:rsidRPr="007E4A0F">
        <w:rPr>
          <w:rFonts w:eastAsia="Times New Roman"/>
          <w:szCs w:val="22"/>
          <w:lang w:val="fr-FR"/>
        </w:rPr>
        <w:t>Le système de contrôle interne vise à réduire et à gérer plutôt qu</w:t>
      </w:r>
      <w:r w:rsidR="00B274E6" w:rsidRPr="007E4A0F">
        <w:rPr>
          <w:rFonts w:eastAsia="Times New Roman"/>
          <w:szCs w:val="22"/>
          <w:lang w:val="fr-FR"/>
        </w:rPr>
        <w:t>’</w:t>
      </w:r>
      <w:r w:rsidRPr="007E4A0F">
        <w:rPr>
          <w:rFonts w:eastAsia="Times New Roman"/>
          <w:szCs w:val="22"/>
          <w:lang w:val="fr-FR"/>
        </w:rPr>
        <w:t>éliminer le risque d</w:t>
      </w:r>
      <w:r w:rsidR="00B274E6" w:rsidRPr="007E4A0F">
        <w:rPr>
          <w:rFonts w:eastAsia="Times New Roman"/>
          <w:szCs w:val="22"/>
          <w:lang w:val="fr-FR"/>
        </w:rPr>
        <w:t>’</w:t>
      </w:r>
      <w:r w:rsidRPr="007E4A0F">
        <w:rPr>
          <w:rFonts w:eastAsia="Times New Roman"/>
          <w:szCs w:val="22"/>
          <w:lang w:val="fr-FR"/>
        </w:rPr>
        <w:t>échec dans la réalisation des buts et objectifs de l</w:t>
      </w:r>
      <w:r w:rsidR="00B274E6" w:rsidRPr="007E4A0F">
        <w:rPr>
          <w:rFonts w:eastAsia="Times New Roman"/>
          <w:szCs w:val="22"/>
          <w:lang w:val="fr-FR"/>
        </w:rPr>
        <w:t>’</w:t>
      </w:r>
      <w:r w:rsidRPr="007E4A0F">
        <w:rPr>
          <w:rFonts w:eastAsia="Times New Roman"/>
          <w:szCs w:val="22"/>
          <w:lang w:val="fr-FR"/>
        </w:rPr>
        <w:t>Organisation et la mise en œuvre des politiques connexes.</w:t>
      </w:r>
      <w:r w:rsidR="0012066D" w:rsidRPr="007E4A0F">
        <w:rPr>
          <w:lang w:val="fr-FR"/>
        </w:rPr>
        <w:t xml:space="preserve">  </w:t>
      </w:r>
      <w:r w:rsidRPr="007E4A0F">
        <w:rPr>
          <w:rFonts w:eastAsia="Times New Roman"/>
          <w:szCs w:val="22"/>
          <w:lang w:val="fr-FR"/>
        </w:rPr>
        <w:t>En conséquence, il ne peut fournir que des garanties d</w:t>
      </w:r>
      <w:r w:rsidR="00B274E6" w:rsidRPr="007E4A0F">
        <w:rPr>
          <w:rFonts w:eastAsia="Times New Roman"/>
          <w:szCs w:val="22"/>
          <w:lang w:val="fr-FR"/>
        </w:rPr>
        <w:t>’</w:t>
      </w:r>
      <w:r w:rsidRPr="007E4A0F">
        <w:rPr>
          <w:rFonts w:eastAsia="Times New Roman"/>
          <w:szCs w:val="22"/>
          <w:lang w:val="fr-FR"/>
        </w:rPr>
        <w:t>efficacité raisonnables et non absolues.</w:t>
      </w:r>
      <w:r w:rsidR="0012066D" w:rsidRPr="007E4A0F">
        <w:rPr>
          <w:lang w:val="fr-FR"/>
        </w:rPr>
        <w:t xml:space="preserve">  </w:t>
      </w:r>
      <w:r w:rsidRPr="007E4A0F">
        <w:rPr>
          <w:rFonts w:eastAsia="Times New Roman"/>
          <w:szCs w:val="22"/>
          <w:lang w:val="fr-FR"/>
        </w:rPr>
        <w:t>Il se fonde sur un processus permanent destiné à recenser les principaux risques, à en évaluer la nature et l</w:t>
      </w:r>
      <w:r w:rsidR="00B274E6" w:rsidRPr="007E4A0F">
        <w:rPr>
          <w:rFonts w:eastAsia="Times New Roman"/>
          <w:szCs w:val="22"/>
          <w:lang w:val="fr-FR"/>
        </w:rPr>
        <w:t>’</w:t>
      </w:r>
      <w:r w:rsidRPr="007E4A0F">
        <w:rPr>
          <w:rFonts w:eastAsia="Times New Roman"/>
          <w:szCs w:val="22"/>
          <w:lang w:val="fr-FR"/>
        </w:rPr>
        <w:t>étendue et à les gérer de manière efficace, rationnelle et économique.</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Le contrôle interne est un processus mis en œuvre par les organes directeurs, le Directeur général, la haute direction et d</w:t>
      </w:r>
      <w:r w:rsidR="00B274E6" w:rsidRPr="007E4A0F">
        <w:rPr>
          <w:rFonts w:eastAsia="Times New Roman"/>
          <w:szCs w:val="22"/>
          <w:lang w:val="fr-FR"/>
        </w:rPr>
        <w:t>’</w:t>
      </w:r>
      <w:r w:rsidRPr="007E4A0F">
        <w:rPr>
          <w:rFonts w:eastAsia="Times New Roman"/>
          <w:szCs w:val="22"/>
          <w:lang w:val="fr-FR"/>
        </w:rPr>
        <w:t>autres membres du personnel afin de fournir une assurance raisonnable quant à la réalisation des objectifs suivants</w:t>
      </w:r>
      <w:r w:rsidR="006C7CFD" w:rsidRPr="007E4A0F">
        <w:rPr>
          <w:rFonts w:eastAsia="Times New Roman"/>
          <w:szCs w:val="22"/>
          <w:lang w:val="fr-FR"/>
        </w:rPr>
        <w:t> </w:t>
      </w:r>
      <w:r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E22982" w:rsidP="00E22982">
      <w:pPr>
        <w:numPr>
          <w:ilvl w:val="0"/>
          <w:numId w:val="9"/>
        </w:numPr>
        <w:rPr>
          <w:rFonts w:eastAsia="Times New Roman"/>
          <w:szCs w:val="22"/>
          <w:lang w:val="fr-FR"/>
        </w:rPr>
      </w:pPr>
      <w:r w:rsidRPr="007E4A0F">
        <w:rPr>
          <w:rFonts w:eastAsia="Times New Roman"/>
          <w:szCs w:val="22"/>
          <w:lang w:val="fr-FR"/>
        </w:rPr>
        <w:t>efficacité et rationalité des opérations et préservation des actifs,</w:t>
      </w:r>
    </w:p>
    <w:p w:rsidR="00947AF6" w:rsidRPr="007E4A0F" w:rsidRDefault="00E22982" w:rsidP="00E22982">
      <w:pPr>
        <w:numPr>
          <w:ilvl w:val="0"/>
          <w:numId w:val="9"/>
        </w:numPr>
        <w:rPr>
          <w:rFonts w:eastAsia="Times New Roman"/>
          <w:szCs w:val="22"/>
          <w:lang w:val="fr-FR"/>
        </w:rPr>
      </w:pPr>
      <w:r w:rsidRPr="007E4A0F">
        <w:rPr>
          <w:rFonts w:eastAsia="Times New Roman"/>
          <w:szCs w:val="22"/>
          <w:lang w:val="fr-FR"/>
        </w:rPr>
        <w:t>fiabilité de l</w:t>
      </w:r>
      <w:r w:rsidR="00B274E6" w:rsidRPr="007E4A0F">
        <w:rPr>
          <w:rFonts w:eastAsia="Times New Roman"/>
          <w:szCs w:val="22"/>
          <w:lang w:val="fr-FR"/>
        </w:rPr>
        <w:t>’</w:t>
      </w:r>
      <w:r w:rsidRPr="007E4A0F">
        <w:rPr>
          <w:rFonts w:eastAsia="Times New Roman"/>
          <w:szCs w:val="22"/>
          <w:lang w:val="fr-FR"/>
        </w:rPr>
        <w:t>information financière et</w:t>
      </w:r>
    </w:p>
    <w:p w:rsidR="00947AF6" w:rsidRPr="007E4A0F" w:rsidRDefault="00E22982" w:rsidP="00E22982">
      <w:pPr>
        <w:numPr>
          <w:ilvl w:val="0"/>
          <w:numId w:val="9"/>
        </w:numPr>
        <w:rPr>
          <w:rFonts w:eastAsia="Times New Roman"/>
          <w:szCs w:val="22"/>
          <w:lang w:val="fr-FR"/>
        </w:rPr>
      </w:pPr>
      <w:r w:rsidRPr="007E4A0F">
        <w:rPr>
          <w:rFonts w:eastAsia="Times New Roman"/>
          <w:szCs w:val="22"/>
          <w:lang w:val="fr-FR"/>
        </w:rPr>
        <w:t>conformité avec les règlements applicables.</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B274E6" w:rsidRPr="007E4A0F" w:rsidRDefault="00E22982" w:rsidP="00E22982">
      <w:pPr>
        <w:rPr>
          <w:rFonts w:eastAsia="Times New Roman"/>
          <w:szCs w:val="22"/>
          <w:lang w:val="fr-FR"/>
        </w:rPr>
      </w:pPr>
      <w:r w:rsidRPr="007E4A0F">
        <w:rPr>
          <w:rFonts w:eastAsia="Times New Roman"/>
          <w:szCs w:val="22"/>
          <w:lang w:val="fr-FR"/>
        </w:rPr>
        <w:t>Ainsi, sur un plan opérationnel, le système de contrôle interne de l</w:t>
      </w:r>
      <w:r w:rsidR="00B274E6" w:rsidRPr="007E4A0F">
        <w:rPr>
          <w:rFonts w:eastAsia="Times New Roman"/>
          <w:szCs w:val="22"/>
          <w:lang w:val="fr-FR"/>
        </w:rPr>
        <w:t>’</w:t>
      </w:r>
      <w:r w:rsidRPr="007E4A0F">
        <w:rPr>
          <w:rFonts w:eastAsia="Times New Roman"/>
          <w:szCs w:val="22"/>
          <w:lang w:val="fr-FR"/>
        </w:rPr>
        <w:t>OMPI n</w:t>
      </w:r>
      <w:r w:rsidR="00B274E6" w:rsidRPr="007E4A0F">
        <w:rPr>
          <w:rFonts w:eastAsia="Times New Roman"/>
          <w:szCs w:val="22"/>
          <w:lang w:val="fr-FR"/>
        </w:rPr>
        <w:t>’</w:t>
      </w:r>
      <w:r w:rsidRPr="007E4A0F">
        <w:rPr>
          <w:rFonts w:eastAsia="Times New Roman"/>
          <w:szCs w:val="22"/>
          <w:lang w:val="fr-FR"/>
        </w:rPr>
        <w:t>est pas simplement une politique ou une procédure appliquée de manière ponctuelle mais plutôt un processus continu mis en œuvre à tous les niveaux de l</w:t>
      </w:r>
      <w:r w:rsidR="00B274E6" w:rsidRPr="007E4A0F">
        <w:rPr>
          <w:rFonts w:eastAsia="Times New Roman"/>
          <w:szCs w:val="22"/>
          <w:lang w:val="fr-FR"/>
        </w:rPr>
        <w:t>’</w:t>
      </w:r>
      <w:r w:rsidRPr="007E4A0F">
        <w:rPr>
          <w:rFonts w:eastAsia="Times New Roman"/>
          <w:szCs w:val="22"/>
          <w:lang w:val="fr-FR"/>
        </w:rPr>
        <w:t>Organisation au moyen de mécanismes de contrôle interne visant à atteindre les objectifs susmentionnés.</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Ma présente déclaration sur les processus de contrôle interne de l</w:t>
      </w:r>
      <w:r w:rsidR="00B274E6" w:rsidRPr="007E4A0F">
        <w:rPr>
          <w:rFonts w:eastAsia="Times New Roman"/>
          <w:szCs w:val="22"/>
          <w:lang w:val="fr-FR"/>
        </w:rPr>
        <w:t>’</w:t>
      </w:r>
      <w:r w:rsidRPr="007E4A0F">
        <w:rPr>
          <w:rFonts w:eastAsia="Times New Roman"/>
          <w:szCs w:val="22"/>
          <w:lang w:val="fr-FR"/>
        </w:rPr>
        <w:t>OMPI s</w:t>
      </w:r>
      <w:r w:rsidR="00B274E6" w:rsidRPr="007E4A0F">
        <w:rPr>
          <w:rFonts w:eastAsia="Times New Roman"/>
          <w:szCs w:val="22"/>
          <w:lang w:val="fr-FR"/>
        </w:rPr>
        <w:t>’</w:t>
      </w:r>
      <w:r w:rsidRPr="007E4A0F">
        <w:rPr>
          <w:rFonts w:eastAsia="Times New Roman"/>
          <w:szCs w:val="22"/>
          <w:lang w:val="fr-FR"/>
        </w:rPr>
        <w:t>applique à l</w:t>
      </w:r>
      <w:r w:rsidR="00B274E6" w:rsidRPr="007E4A0F">
        <w:rPr>
          <w:rFonts w:eastAsia="Times New Roman"/>
          <w:szCs w:val="22"/>
          <w:lang w:val="fr-FR"/>
        </w:rPr>
        <w:t>’</w:t>
      </w:r>
      <w:r w:rsidRPr="007E4A0F">
        <w:rPr>
          <w:rFonts w:eastAsia="Times New Roman"/>
          <w:szCs w:val="22"/>
          <w:lang w:val="fr-FR"/>
        </w:rPr>
        <w:t>exercice qui s</w:t>
      </w:r>
      <w:r w:rsidR="00B274E6" w:rsidRPr="007E4A0F">
        <w:rPr>
          <w:rFonts w:eastAsia="Times New Roman"/>
          <w:szCs w:val="22"/>
          <w:lang w:val="fr-FR"/>
        </w:rPr>
        <w:t>’</w:t>
      </w:r>
      <w:r w:rsidRPr="007E4A0F">
        <w:rPr>
          <w:rFonts w:eastAsia="Times New Roman"/>
          <w:szCs w:val="22"/>
          <w:lang w:val="fr-FR"/>
        </w:rPr>
        <w:t>achève le 3</w:t>
      </w:r>
      <w:r w:rsidR="00B274E6" w:rsidRPr="007E4A0F">
        <w:rPr>
          <w:rFonts w:eastAsia="Times New Roman"/>
          <w:szCs w:val="22"/>
          <w:lang w:val="fr-FR"/>
        </w:rPr>
        <w:t>1 décembre 20</w:t>
      </w:r>
      <w:r w:rsidRPr="007E4A0F">
        <w:rPr>
          <w:rFonts w:eastAsia="Times New Roman"/>
          <w:szCs w:val="22"/>
          <w:lang w:val="fr-FR"/>
        </w:rPr>
        <w:t>14 jusqu</w:t>
      </w:r>
      <w:r w:rsidR="00B274E6" w:rsidRPr="007E4A0F">
        <w:rPr>
          <w:rFonts w:eastAsia="Times New Roman"/>
          <w:szCs w:val="22"/>
          <w:lang w:val="fr-FR"/>
        </w:rPr>
        <w:t>’</w:t>
      </w:r>
      <w:r w:rsidRPr="007E4A0F">
        <w:rPr>
          <w:rFonts w:eastAsia="Times New Roman"/>
          <w:szCs w:val="22"/>
          <w:lang w:val="fr-FR"/>
        </w:rPr>
        <w:t>à la date d</w:t>
      </w:r>
      <w:r w:rsidR="00B274E6" w:rsidRPr="007E4A0F">
        <w:rPr>
          <w:rFonts w:eastAsia="Times New Roman"/>
          <w:szCs w:val="22"/>
          <w:lang w:val="fr-FR"/>
        </w:rPr>
        <w:t>’</w:t>
      </w:r>
      <w:r w:rsidRPr="007E4A0F">
        <w:rPr>
          <w:rFonts w:eastAsia="Times New Roman"/>
          <w:szCs w:val="22"/>
          <w:lang w:val="fr-FR"/>
        </w:rPr>
        <w:t>approbation des états financiers de l</w:t>
      </w:r>
      <w:r w:rsidR="00B274E6" w:rsidRPr="007E4A0F">
        <w:rPr>
          <w:rFonts w:eastAsia="Times New Roman"/>
          <w:szCs w:val="22"/>
          <w:lang w:val="fr-FR"/>
        </w:rPr>
        <w:t>’</w:t>
      </w:r>
      <w:r w:rsidRPr="007E4A0F">
        <w:rPr>
          <w:rFonts w:eastAsia="Times New Roman"/>
          <w:szCs w:val="22"/>
          <w:lang w:val="fr-FR"/>
        </w:rPr>
        <w:t>Organisation pour</w:t>
      </w:r>
      <w:r w:rsidR="006C7CFD" w:rsidRPr="007E4A0F">
        <w:rPr>
          <w:rFonts w:eastAsia="Times New Roman"/>
          <w:szCs w:val="22"/>
          <w:lang w:val="fr-FR"/>
        </w:rPr>
        <w:t> </w:t>
      </w:r>
      <w:r w:rsidRPr="007E4A0F">
        <w:rPr>
          <w:rFonts w:eastAsia="Times New Roman"/>
          <w:szCs w:val="22"/>
          <w:lang w:val="fr-FR"/>
        </w:rPr>
        <w:t>2014.</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b/>
          <w:szCs w:val="22"/>
          <w:lang w:val="fr-FR"/>
        </w:rPr>
      </w:pPr>
      <w:r w:rsidRPr="007E4A0F">
        <w:rPr>
          <w:rFonts w:eastAsia="Times New Roman"/>
          <w:b/>
          <w:szCs w:val="22"/>
          <w:lang w:val="fr-FR"/>
        </w:rPr>
        <w:t>Cadre de gestion et de maîtrise des risques</w:t>
      </w:r>
    </w:p>
    <w:p w:rsidR="00947AF6" w:rsidRPr="007E4A0F" w:rsidRDefault="00947AF6" w:rsidP="0012066D">
      <w:pPr>
        <w:rPr>
          <w:rFonts w:eastAsia="Times New Roman"/>
          <w:szCs w:val="22"/>
          <w:lang w:val="fr-FR"/>
        </w:rPr>
      </w:pPr>
    </w:p>
    <w:p w:rsidR="00947AF6" w:rsidRPr="007E4A0F" w:rsidRDefault="004429D9"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a établi ou présenté aux États membres, au cours de l</w:t>
      </w:r>
      <w:r w:rsidR="00B274E6" w:rsidRPr="007E4A0F">
        <w:rPr>
          <w:rFonts w:eastAsia="Times New Roman"/>
          <w:szCs w:val="22"/>
          <w:lang w:val="fr-FR"/>
        </w:rPr>
        <w:t>’</w:t>
      </w:r>
      <w:r w:rsidR="008C0101" w:rsidRPr="007E4A0F">
        <w:rPr>
          <w:rFonts w:eastAsia="Times New Roman"/>
          <w:szCs w:val="22"/>
          <w:lang w:val="fr-FR"/>
        </w:rPr>
        <w:t>année </w:t>
      </w:r>
      <w:r w:rsidRPr="007E4A0F">
        <w:rPr>
          <w:rFonts w:eastAsia="Times New Roman"/>
          <w:szCs w:val="22"/>
          <w:lang w:val="fr-FR"/>
        </w:rPr>
        <w:t>2014, u</w:t>
      </w:r>
      <w:r w:rsidR="004211F0" w:rsidRPr="007E4A0F">
        <w:rPr>
          <w:rFonts w:eastAsia="Times New Roman"/>
          <w:szCs w:val="22"/>
          <w:lang w:val="fr-FR"/>
        </w:rPr>
        <w:t>n certain nombre de documents</w:t>
      </w:r>
      <w:r w:rsidR="00A77C76" w:rsidRPr="007E4A0F">
        <w:rPr>
          <w:rFonts w:eastAsia="Times New Roman"/>
          <w:szCs w:val="22"/>
          <w:lang w:val="fr-FR"/>
        </w:rPr>
        <w:t xml:space="preserve"> qui définissent un cadre formalisé et cohérent </w:t>
      </w:r>
      <w:r w:rsidRPr="007E4A0F">
        <w:rPr>
          <w:rFonts w:eastAsia="Times New Roman"/>
          <w:szCs w:val="22"/>
          <w:lang w:val="fr-FR"/>
        </w:rPr>
        <w:t>de</w:t>
      </w:r>
      <w:r w:rsidR="00A77C76" w:rsidRPr="007E4A0F">
        <w:rPr>
          <w:rFonts w:eastAsia="Times New Roman"/>
          <w:szCs w:val="22"/>
          <w:lang w:val="fr-FR"/>
        </w:rPr>
        <w:t xml:space="preserve"> gestion des risques et </w:t>
      </w:r>
      <w:r w:rsidRPr="007E4A0F">
        <w:rPr>
          <w:rFonts w:eastAsia="Times New Roman"/>
          <w:szCs w:val="22"/>
          <w:lang w:val="fr-FR"/>
        </w:rPr>
        <w:t>d</w:t>
      </w:r>
      <w:r w:rsidR="00A77C76" w:rsidRPr="007E4A0F">
        <w:rPr>
          <w:rFonts w:eastAsia="Times New Roman"/>
          <w:szCs w:val="22"/>
          <w:lang w:val="fr-FR"/>
        </w:rPr>
        <w:t xml:space="preserve">e contrôle interne.  </w:t>
      </w:r>
      <w:r w:rsidRPr="007E4A0F">
        <w:rPr>
          <w:rFonts w:eastAsia="Times New Roman"/>
          <w:szCs w:val="22"/>
          <w:lang w:val="fr-FR"/>
        </w:rPr>
        <w:t>Il s</w:t>
      </w:r>
      <w:r w:rsidR="00B274E6" w:rsidRPr="007E4A0F">
        <w:rPr>
          <w:rFonts w:eastAsia="Times New Roman"/>
          <w:szCs w:val="22"/>
          <w:lang w:val="fr-FR"/>
        </w:rPr>
        <w:t>’</w:t>
      </w:r>
      <w:r w:rsidRPr="007E4A0F">
        <w:rPr>
          <w:rFonts w:eastAsia="Times New Roman"/>
          <w:szCs w:val="22"/>
          <w:lang w:val="fr-FR"/>
        </w:rPr>
        <w:t xml:space="preserve">agit notamment du </w:t>
      </w:r>
      <w:r w:rsidR="00F211B2" w:rsidRPr="007E4A0F">
        <w:rPr>
          <w:rFonts w:eastAsia="Times New Roman"/>
          <w:szCs w:val="22"/>
          <w:lang w:val="fr-FR"/>
        </w:rPr>
        <w:t>C</w:t>
      </w:r>
      <w:r w:rsidRPr="007E4A0F">
        <w:rPr>
          <w:rFonts w:eastAsia="Times New Roman"/>
          <w:szCs w:val="22"/>
          <w:lang w:val="fr-FR"/>
        </w:rPr>
        <w:t>adre de responsabilisation de l</w:t>
      </w:r>
      <w:r w:rsidR="00B274E6" w:rsidRPr="007E4A0F">
        <w:rPr>
          <w:rFonts w:eastAsia="Times New Roman"/>
          <w:szCs w:val="22"/>
          <w:lang w:val="fr-FR"/>
        </w:rPr>
        <w:t>’</w:t>
      </w:r>
      <w:r w:rsidRPr="007E4A0F">
        <w:rPr>
          <w:rFonts w:eastAsia="Times New Roman"/>
          <w:szCs w:val="22"/>
          <w:lang w:val="fr-FR"/>
        </w:rPr>
        <w:t xml:space="preserve">OMPI, de la </w:t>
      </w:r>
      <w:r w:rsidR="00F211B2" w:rsidRPr="007E4A0F">
        <w:rPr>
          <w:rFonts w:eastAsia="Times New Roman"/>
          <w:szCs w:val="22"/>
          <w:lang w:val="fr-FR"/>
        </w:rPr>
        <w:t>D</w:t>
      </w:r>
      <w:r w:rsidR="004211F0" w:rsidRPr="007E4A0F">
        <w:rPr>
          <w:rFonts w:eastAsia="Times New Roman"/>
          <w:szCs w:val="22"/>
          <w:lang w:val="fr-FR"/>
        </w:rPr>
        <w:t>éclaration relative à la tolérance au risque de l</w:t>
      </w:r>
      <w:r w:rsidR="00B274E6" w:rsidRPr="007E4A0F">
        <w:rPr>
          <w:rFonts w:eastAsia="Times New Roman"/>
          <w:szCs w:val="22"/>
          <w:lang w:val="fr-FR"/>
        </w:rPr>
        <w:t>’</w:t>
      </w:r>
      <w:r w:rsidR="004211F0" w:rsidRPr="007E4A0F">
        <w:rPr>
          <w:rFonts w:eastAsia="Times New Roman"/>
          <w:szCs w:val="22"/>
          <w:lang w:val="fr-FR"/>
        </w:rPr>
        <w:t>OMPI</w:t>
      </w:r>
      <w:r w:rsidR="0012066D" w:rsidRPr="007E4A0F">
        <w:rPr>
          <w:rFonts w:eastAsia="Times New Roman"/>
          <w:szCs w:val="22"/>
          <w:lang w:val="fr-FR"/>
        </w:rPr>
        <w:t xml:space="preserve">, </w:t>
      </w:r>
      <w:r w:rsidR="00A0616C" w:rsidRPr="007E4A0F">
        <w:rPr>
          <w:rFonts w:eastAsia="Times New Roman"/>
          <w:szCs w:val="22"/>
          <w:lang w:val="fr-FR"/>
        </w:rPr>
        <w:t>des ordres de service portant sur la création du Groupe de gestion des risques et sur la politique de l</w:t>
      </w:r>
      <w:r w:rsidR="00B274E6" w:rsidRPr="007E4A0F">
        <w:rPr>
          <w:rFonts w:eastAsia="Times New Roman"/>
          <w:szCs w:val="22"/>
          <w:lang w:val="fr-FR"/>
        </w:rPr>
        <w:t>’</w:t>
      </w:r>
      <w:r w:rsidR="00A0616C" w:rsidRPr="007E4A0F">
        <w:rPr>
          <w:rFonts w:eastAsia="Times New Roman"/>
          <w:szCs w:val="22"/>
          <w:lang w:val="fr-FR"/>
        </w:rPr>
        <w:t>OMPI en matière de gestion des risques et du Manuel de la gestion des risques et du contrôle interne.</w:t>
      </w:r>
    </w:p>
    <w:p w:rsidR="00947AF6" w:rsidRPr="007E4A0F" w:rsidRDefault="00947AF6" w:rsidP="0012066D">
      <w:pPr>
        <w:rPr>
          <w:rFonts w:eastAsia="Times New Roman"/>
          <w:szCs w:val="22"/>
          <w:lang w:val="fr-FR"/>
        </w:rPr>
      </w:pPr>
    </w:p>
    <w:p w:rsidR="00947AF6" w:rsidRPr="007E4A0F" w:rsidRDefault="0085354B" w:rsidP="0012066D">
      <w:pPr>
        <w:rPr>
          <w:rFonts w:eastAsia="Times New Roman"/>
          <w:szCs w:val="22"/>
          <w:lang w:val="fr-FR"/>
        </w:rPr>
      </w:pPr>
      <w:r w:rsidRPr="007E4A0F">
        <w:rPr>
          <w:rFonts w:eastAsia="Times New Roman"/>
          <w:szCs w:val="22"/>
          <w:lang w:val="fr-FR"/>
        </w:rPr>
        <w:lastRenderedPageBreak/>
        <w:t>Le Groupe de gestion des risques a examiné le premier rapport semestriel sur la gestion des risques à sa troisième</w:t>
      </w:r>
      <w:r w:rsidR="006C7CFD" w:rsidRPr="007E4A0F">
        <w:rPr>
          <w:rFonts w:eastAsia="Times New Roman"/>
          <w:szCs w:val="22"/>
          <w:lang w:val="fr-FR"/>
        </w:rPr>
        <w:t> </w:t>
      </w:r>
      <w:r w:rsidRPr="007E4A0F">
        <w:rPr>
          <w:rFonts w:eastAsia="Times New Roman"/>
          <w:szCs w:val="22"/>
          <w:lang w:val="fr-FR"/>
        </w:rPr>
        <w:t xml:space="preserve">session, tenue en </w:t>
      </w:r>
      <w:r w:rsidR="00B274E6" w:rsidRPr="007E4A0F">
        <w:rPr>
          <w:rFonts w:eastAsia="Times New Roman"/>
          <w:szCs w:val="22"/>
          <w:lang w:val="fr-FR"/>
        </w:rPr>
        <w:t>août 20</w:t>
      </w:r>
      <w:r w:rsidRPr="007E4A0F">
        <w:rPr>
          <w:rFonts w:eastAsia="Times New Roman"/>
          <w:szCs w:val="22"/>
          <w:lang w:val="fr-FR"/>
        </w:rPr>
        <w:t>14</w:t>
      </w:r>
      <w:r w:rsidR="001361C7" w:rsidRPr="007E4A0F">
        <w:rPr>
          <w:rFonts w:eastAsia="Times New Roman"/>
          <w:szCs w:val="22"/>
          <w:lang w:val="fr-FR"/>
        </w:rPr>
        <w:t xml:space="preserve">. </w:t>
      </w:r>
      <w:r w:rsidR="00BE75BD" w:rsidRPr="007E4A0F">
        <w:rPr>
          <w:rFonts w:eastAsia="Times New Roman"/>
          <w:szCs w:val="22"/>
          <w:lang w:val="fr-FR"/>
        </w:rPr>
        <w:t xml:space="preserve"> </w:t>
      </w:r>
      <w:r w:rsidR="009C205B" w:rsidRPr="007E4A0F">
        <w:rPr>
          <w:rFonts w:eastAsia="Times New Roman"/>
          <w:szCs w:val="22"/>
          <w:lang w:val="fr-FR"/>
        </w:rPr>
        <w:t>Les autres sessions du groupe, sur les six</w:t>
      </w:r>
      <w:r w:rsidR="006C7CFD" w:rsidRPr="007E4A0F">
        <w:rPr>
          <w:rFonts w:eastAsia="Times New Roman"/>
          <w:szCs w:val="22"/>
          <w:lang w:val="fr-FR"/>
        </w:rPr>
        <w:t> </w:t>
      </w:r>
      <w:r w:rsidR="009C205B" w:rsidRPr="007E4A0F">
        <w:rPr>
          <w:rFonts w:eastAsia="Times New Roman"/>
          <w:szCs w:val="22"/>
          <w:lang w:val="fr-FR"/>
        </w:rPr>
        <w:t>qu</w:t>
      </w:r>
      <w:r w:rsidR="00B274E6" w:rsidRPr="007E4A0F">
        <w:rPr>
          <w:rFonts w:eastAsia="Times New Roman"/>
          <w:szCs w:val="22"/>
          <w:lang w:val="fr-FR"/>
        </w:rPr>
        <w:t>’</w:t>
      </w:r>
      <w:r w:rsidR="009C205B" w:rsidRPr="007E4A0F">
        <w:rPr>
          <w:rFonts w:eastAsia="Times New Roman"/>
          <w:szCs w:val="22"/>
          <w:lang w:val="fr-FR"/>
        </w:rPr>
        <w:t>il a tenues en tout au cours de l</w:t>
      </w:r>
      <w:r w:rsidR="00B274E6" w:rsidRPr="007E4A0F">
        <w:rPr>
          <w:rFonts w:eastAsia="Times New Roman"/>
          <w:szCs w:val="22"/>
          <w:lang w:val="fr-FR"/>
        </w:rPr>
        <w:t>’</w:t>
      </w:r>
      <w:r w:rsidR="009C205B" w:rsidRPr="007E4A0F">
        <w:rPr>
          <w:rFonts w:eastAsia="Times New Roman"/>
          <w:szCs w:val="22"/>
          <w:lang w:val="fr-FR"/>
        </w:rPr>
        <w:t xml:space="preserve">année 2014, ont été </w:t>
      </w:r>
      <w:r w:rsidRPr="007E4A0F">
        <w:rPr>
          <w:rFonts w:eastAsia="Times New Roman"/>
          <w:szCs w:val="22"/>
          <w:lang w:val="fr-FR"/>
        </w:rPr>
        <w:t>consacrées</w:t>
      </w:r>
      <w:r w:rsidR="009C205B" w:rsidRPr="007E4A0F">
        <w:rPr>
          <w:rFonts w:eastAsia="Times New Roman"/>
          <w:szCs w:val="22"/>
          <w:lang w:val="fr-FR"/>
        </w:rPr>
        <w:t xml:space="preserve"> à l</w:t>
      </w:r>
      <w:r w:rsidR="00B274E6" w:rsidRPr="007E4A0F">
        <w:rPr>
          <w:rFonts w:eastAsia="Times New Roman"/>
          <w:szCs w:val="22"/>
          <w:lang w:val="fr-FR"/>
        </w:rPr>
        <w:t>’</w:t>
      </w:r>
      <w:r w:rsidR="009C205B" w:rsidRPr="007E4A0F">
        <w:rPr>
          <w:rFonts w:eastAsia="Times New Roman"/>
          <w:szCs w:val="22"/>
          <w:lang w:val="fr-FR"/>
        </w:rPr>
        <w:t>analyse et au suivi périodique de la situation financière de l</w:t>
      </w:r>
      <w:r w:rsidR="00B274E6" w:rsidRPr="007E4A0F">
        <w:rPr>
          <w:rFonts w:eastAsia="Times New Roman"/>
          <w:szCs w:val="22"/>
          <w:lang w:val="fr-FR"/>
        </w:rPr>
        <w:t>’</w:t>
      </w:r>
      <w:r w:rsidR="009C205B" w:rsidRPr="007E4A0F">
        <w:rPr>
          <w:rFonts w:eastAsia="Times New Roman"/>
          <w:szCs w:val="22"/>
          <w:lang w:val="fr-FR"/>
        </w:rPr>
        <w:t>OMPI et des principaux risques pouvant peser sur la réalisation des résultats escomptés à l</w:t>
      </w:r>
      <w:r w:rsidR="00B274E6" w:rsidRPr="007E4A0F">
        <w:rPr>
          <w:rFonts w:eastAsia="Times New Roman"/>
          <w:szCs w:val="22"/>
          <w:lang w:val="fr-FR"/>
        </w:rPr>
        <w:t>’</w:t>
      </w:r>
      <w:r w:rsidR="009C205B" w:rsidRPr="007E4A0F">
        <w:rPr>
          <w:rFonts w:eastAsia="Times New Roman"/>
          <w:szCs w:val="22"/>
          <w:lang w:val="fr-FR"/>
        </w:rPr>
        <w:t>échelle de l</w:t>
      </w:r>
      <w:r w:rsidR="00B274E6" w:rsidRPr="007E4A0F">
        <w:rPr>
          <w:rFonts w:eastAsia="Times New Roman"/>
          <w:szCs w:val="22"/>
          <w:lang w:val="fr-FR"/>
        </w:rPr>
        <w:t>’</w:t>
      </w:r>
      <w:r w:rsidR="009C205B" w:rsidRPr="007E4A0F">
        <w:rPr>
          <w:rFonts w:eastAsia="Times New Roman"/>
          <w:szCs w:val="22"/>
          <w:lang w:val="fr-FR"/>
        </w:rPr>
        <w:t xml:space="preserve">Organisation.  </w:t>
      </w:r>
      <w:r w:rsidR="00A07F3C" w:rsidRPr="007E4A0F">
        <w:rPr>
          <w:rFonts w:eastAsia="Times New Roman"/>
          <w:szCs w:val="22"/>
          <w:lang w:val="fr-FR"/>
        </w:rPr>
        <w:t>Le groupe a également étudié et approuvé tous les documents précités.</w:t>
      </w:r>
    </w:p>
    <w:p w:rsidR="00947AF6" w:rsidRPr="007E4A0F" w:rsidRDefault="00947AF6" w:rsidP="0012066D">
      <w:pPr>
        <w:rPr>
          <w:rFonts w:eastAsia="Times New Roman"/>
          <w:szCs w:val="22"/>
          <w:lang w:val="fr-FR"/>
        </w:rPr>
      </w:pPr>
    </w:p>
    <w:p w:rsidR="00947AF6" w:rsidRPr="007E4A0F" w:rsidRDefault="00936982" w:rsidP="0012066D">
      <w:pPr>
        <w:rPr>
          <w:rFonts w:eastAsia="Times New Roman"/>
          <w:szCs w:val="22"/>
          <w:lang w:val="fr-FR"/>
        </w:rPr>
      </w:pPr>
      <w:r w:rsidRPr="007E4A0F">
        <w:rPr>
          <w:rFonts w:eastAsia="Times New Roman"/>
          <w:szCs w:val="22"/>
          <w:lang w:val="fr-FR"/>
        </w:rPr>
        <w:t>La nomination, au début de l</w:t>
      </w:r>
      <w:r w:rsidR="00B274E6" w:rsidRPr="007E4A0F">
        <w:rPr>
          <w:rFonts w:eastAsia="Times New Roman"/>
          <w:szCs w:val="22"/>
          <w:lang w:val="fr-FR"/>
        </w:rPr>
        <w:t>’</w:t>
      </w:r>
      <w:r w:rsidRPr="007E4A0F">
        <w:rPr>
          <w:rFonts w:eastAsia="Times New Roman"/>
          <w:szCs w:val="22"/>
          <w:lang w:val="fr-FR"/>
        </w:rPr>
        <w:t>année 2014, du</w:t>
      </w:r>
      <w:r w:rsidR="00AA7713" w:rsidRPr="007E4A0F">
        <w:rPr>
          <w:rFonts w:eastAsia="Times New Roman"/>
          <w:szCs w:val="22"/>
          <w:lang w:val="fr-FR"/>
        </w:rPr>
        <w:t xml:space="preserve"> coordonnateur de la poursuite des opérations de l</w:t>
      </w:r>
      <w:r w:rsidR="00B274E6" w:rsidRPr="007E4A0F">
        <w:rPr>
          <w:rFonts w:eastAsia="Times New Roman"/>
          <w:szCs w:val="22"/>
          <w:lang w:val="fr-FR"/>
        </w:rPr>
        <w:t>’</w:t>
      </w:r>
      <w:r w:rsidR="00AA7713" w:rsidRPr="007E4A0F">
        <w:rPr>
          <w:rFonts w:eastAsia="Times New Roman"/>
          <w:szCs w:val="22"/>
          <w:lang w:val="fr-FR"/>
        </w:rPr>
        <w:t>OMPI</w:t>
      </w:r>
      <w:r w:rsidRPr="007E4A0F">
        <w:rPr>
          <w:rFonts w:eastAsia="Times New Roman"/>
          <w:szCs w:val="22"/>
          <w:lang w:val="fr-FR"/>
        </w:rPr>
        <w:t>, met en relief l</w:t>
      </w:r>
      <w:r w:rsidR="00B274E6" w:rsidRPr="007E4A0F">
        <w:rPr>
          <w:rFonts w:eastAsia="Times New Roman"/>
          <w:szCs w:val="22"/>
          <w:lang w:val="fr-FR"/>
        </w:rPr>
        <w:t>’</w:t>
      </w:r>
      <w:r w:rsidRPr="007E4A0F">
        <w:rPr>
          <w:rFonts w:eastAsia="Times New Roman"/>
          <w:szCs w:val="22"/>
          <w:lang w:val="fr-FR"/>
        </w:rPr>
        <w:t>importance</w:t>
      </w:r>
      <w:r w:rsidR="001C1D0B" w:rsidRPr="007E4A0F">
        <w:rPr>
          <w:rFonts w:eastAsia="Times New Roman"/>
          <w:szCs w:val="22"/>
          <w:lang w:val="fr-FR"/>
        </w:rPr>
        <w:t xml:space="preserve"> que revêt la résilience pour les opérations de l</w:t>
      </w:r>
      <w:r w:rsidR="00B274E6" w:rsidRPr="007E4A0F">
        <w:rPr>
          <w:rFonts w:eastAsia="Times New Roman"/>
          <w:szCs w:val="22"/>
          <w:lang w:val="fr-FR"/>
        </w:rPr>
        <w:t>’</w:t>
      </w:r>
      <w:r w:rsidR="001C1D0B" w:rsidRPr="007E4A0F">
        <w:rPr>
          <w:rFonts w:eastAsia="Times New Roman"/>
          <w:szCs w:val="22"/>
          <w:lang w:val="fr-FR"/>
        </w:rPr>
        <w:t>Organisation.</w:t>
      </w:r>
      <w:r w:rsidRPr="007E4A0F">
        <w:rPr>
          <w:rFonts w:eastAsia="Times New Roman"/>
          <w:szCs w:val="22"/>
          <w:lang w:val="fr-FR"/>
        </w:rPr>
        <w:t xml:space="preserve"> </w:t>
      </w:r>
      <w:r w:rsidR="001C1D0B" w:rsidRPr="007E4A0F">
        <w:rPr>
          <w:rFonts w:eastAsia="Times New Roman"/>
          <w:szCs w:val="22"/>
          <w:lang w:val="fr-FR"/>
        </w:rPr>
        <w:t xml:space="preserve"> </w:t>
      </w:r>
      <w:r w:rsidR="00F064B5" w:rsidRPr="007E4A0F">
        <w:rPr>
          <w:rFonts w:eastAsia="Times New Roman"/>
          <w:szCs w:val="22"/>
          <w:lang w:val="fr-FR"/>
        </w:rPr>
        <w:t xml:space="preserve">Des progrès considérables ont été accomplis dans ce domaine, et ont abouti à </w:t>
      </w:r>
      <w:r w:rsidR="00083BCA" w:rsidRPr="007E4A0F">
        <w:rPr>
          <w:rFonts w:eastAsia="Times New Roman"/>
          <w:szCs w:val="22"/>
          <w:lang w:val="fr-FR"/>
        </w:rPr>
        <w:t>la publication, au début de</w:t>
      </w:r>
      <w:r w:rsidR="006C7CFD" w:rsidRPr="007E4A0F">
        <w:rPr>
          <w:rFonts w:eastAsia="Times New Roman"/>
          <w:szCs w:val="22"/>
          <w:lang w:val="fr-FR"/>
        </w:rPr>
        <w:t> </w:t>
      </w:r>
      <w:r w:rsidR="00083BCA" w:rsidRPr="007E4A0F">
        <w:rPr>
          <w:rFonts w:eastAsia="Times New Roman"/>
          <w:szCs w:val="22"/>
          <w:lang w:val="fr-FR"/>
        </w:rPr>
        <w:t>2015, d</w:t>
      </w:r>
      <w:r w:rsidR="00B274E6" w:rsidRPr="007E4A0F">
        <w:rPr>
          <w:rFonts w:eastAsia="Times New Roman"/>
          <w:szCs w:val="22"/>
          <w:lang w:val="fr-FR"/>
        </w:rPr>
        <w:t>’</w:t>
      </w:r>
      <w:r w:rsidR="00083BCA" w:rsidRPr="007E4A0F">
        <w:rPr>
          <w:rFonts w:eastAsia="Times New Roman"/>
          <w:szCs w:val="22"/>
          <w:lang w:val="fr-FR"/>
        </w:rPr>
        <w:t>une politique et stratégie en matière de résilience.</w:t>
      </w:r>
    </w:p>
    <w:p w:rsidR="00947AF6" w:rsidRPr="007E4A0F" w:rsidRDefault="00947AF6" w:rsidP="0012066D">
      <w:pPr>
        <w:rPr>
          <w:rFonts w:eastAsia="Times New Roman"/>
          <w:szCs w:val="22"/>
          <w:lang w:val="fr-FR"/>
        </w:rPr>
      </w:pPr>
    </w:p>
    <w:p w:rsidR="00947AF6" w:rsidRPr="007E4A0F" w:rsidRDefault="00083BCA" w:rsidP="0012066D">
      <w:pPr>
        <w:rPr>
          <w:rFonts w:eastAsia="Times New Roman"/>
          <w:szCs w:val="22"/>
          <w:lang w:val="fr-FR"/>
        </w:rPr>
      </w:pPr>
      <w:r w:rsidRPr="007E4A0F">
        <w:rPr>
          <w:rFonts w:eastAsia="Times New Roman"/>
          <w:szCs w:val="22"/>
          <w:lang w:val="fr-FR"/>
        </w:rPr>
        <w:t xml:space="preserve">Une nouvelle application de gestion des risques a été lancée en </w:t>
      </w:r>
      <w:r w:rsidR="00B274E6" w:rsidRPr="007E4A0F">
        <w:rPr>
          <w:rFonts w:eastAsia="Times New Roman"/>
          <w:szCs w:val="22"/>
          <w:lang w:val="fr-FR"/>
        </w:rPr>
        <w:t>octobre 20</w:t>
      </w:r>
      <w:r w:rsidRPr="007E4A0F">
        <w:rPr>
          <w:rFonts w:eastAsia="Times New Roman"/>
          <w:szCs w:val="22"/>
          <w:lang w:val="fr-FR"/>
        </w:rPr>
        <w:t>14, intégrant tous les risques en matière de sécurité de l</w:t>
      </w:r>
      <w:r w:rsidR="00B274E6" w:rsidRPr="007E4A0F">
        <w:rPr>
          <w:rFonts w:eastAsia="Times New Roman"/>
          <w:szCs w:val="22"/>
          <w:lang w:val="fr-FR"/>
        </w:rPr>
        <w:t>’</w:t>
      </w:r>
      <w:r w:rsidRPr="007E4A0F">
        <w:rPr>
          <w:rFonts w:eastAsia="Times New Roman"/>
          <w:szCs w:val="22"/>
          <w:lang w:val="fr-FR"/>
        </w:rPr>
        <w:t xml:space="preserve">information </w:t>
      </w:r>
      <w:r w:rsidR="005326E7" w:rsidRPr="007E4A0F">
        <w:rPr>
          <w:rFonts w:eastAsia="Times New Roman"/>
          <w:szCs w:val="22"/>
          <w:lang w:val="fr-FR"/>
        </w:rPr>
        <w:t>ainsi que tous les risques encourus par les programmes et par l</w:t>
      </w:r>
      <w:r w:rsidR="00B274E6" w:rsidRPr="007E4A0F">
        <w:rPr>
          <w:rFonts w:eastAsia="Times New Roman"/>
          <w:szCs w:val="22"/>
          <w:lang w:val="fr-FR"/>
        </w:rPr>
        <w:t>’</w:t>
      </w:r>
      <w:r w:rsidR="005326E7" w:rsidRPr="007E4A0F">
        <w:rPr>
          <w:rFonts w:eastAsia="Times New Roman"/>
          <w:szCs w:val="22"/>
          <w:lang w:val="fr-FR"/>
        </w:rPr>
        <w:t xml:space="preserve">Organisation.  </w:t>
      </w:r>
      <w:r w:rsidR="002F7D56" w:rsidRPr="007E4A0F">
        <w:rPr>
          <w:rFonts w:eastAsia="Times New Roman"/>
          <w:szCs w:val="22"/>
          <w:lang w:val="fr-FR"/>
        </w:rPr>
        <w:t>Le système a été utilisé pour appuyer en</w:t>
      </w:r>
      <w:r w:rsidR="006C7CFD" w:rsidRPr="007E4A0F">
        <w:rPr>
          <w:rFonts w:eastAsia="Times New Roman"/>
          <w:szCs w:val="22"/>
          <w:lang w:val="fr-FR"/>
        </w:rPr>
        <w:t> </w:t>
      </w:r>
      <w:r w:rsidR="002F7D56" w:rsidRPr="007E4A0F">
        <w:rPr>
          <w:rFonts w:eastAsia="Times New Roman"/>
          <w:szCs w:val="22"/>
          <w:lang w:val="fr-FR"/>
        </w:rPr>
        <w:t>2014 le deuxième processus d</w:t>
      </w:r>
      <w:r w:rsidR="00B274E6" w:rsidRPr="007E4A0F">
        <w:rPr>
          <w:rFonts w:eastAsia="Times New Roman"/>
          <w:szCs w:val="22"/>
          <w:lang w:val="fr-FR"/>
        </w:rPr>
        <w:t>’</w:t>
      </w:r>
      <w:r w:rsidR="002F7D56" w:rsidRPr="007E4A0F">
        <w:rPr>
          <w:rFonts w:eastAsia="Times New Roman"/>
          <w:szCs w:val="22"/>
          <w:lang w:val="fr-FR"/>
        </w:rPr>
        <w:t xml:space="preserve">analyse des risques, qui faisait </w:t>
      </w:r>
      <w:r w:rsidR="00067E6D" w:rsidRPr="007E4A0F">
        <w:rPr>
          <w:rFonts w:eastAsia="Times New Roman"/>
          <w:szCs w:val="22"/>
          <w:lang w:val="fr-FR"/>
        </w:rPr>
        <w:t>partie intégrante</w:t>
      </w:r>
      <w:r w:rsidR="002F7D56" w:rsidRPr="007E4A0F">
        <w:rPr>
          <w:rFonts w:eastAsia="Times New Roman"/>
          <w:szCs w:val="22"/>
          <w:lang w:val="fr-FR"/>
        </w:rPr>
        <w:t xml:space="preserve"> du processus de planification des activités de</w:t>
      </w:r>
      <w:r w:rsidR="006C7CFD" w:rsidRPr="007E4A0F">
        <w:rPr>
          <w:rFonts w:eastAsia="Times New Roman"/>
          <w:szCs w:val="22"/>
          <w:lang w:val="fr-FR"/>
        </w:rPr>
        <w:t> </w:t>
      </w:r>
      <w:r w:rsidR="002F7D56" w:rsidRPr="007E4A0F">
        <w:rPr>
          <w:rFonts w:eastAsia="Times New Roman"/>
          <w:szCs w:val="22"/>
          <w:lang w:val="fr-FR"/>
        </w:rPr>
        <w:t>2015.</w:t>
      </w:r>
    </w:p>
    <w:p w:rsidR="00947AF6" w:rsidRPr="007E4A0F" w:rsidRDefault="00947AF6" w:rsidP="0012066D">
      <w:pPr>
        <w:rPr>
          <w:rFonts w:eastAsia="Times New Roman"/>
          <w:szCs w:val="22"/>
          <w:lang w:val="fr-FR"/>
        </w:rPr>
      </w:pPr>
    </w:p>
    <w:p w:rsidR="00947AF6" w:rsidRPr="007E4A0F" w:rsidRDefault="00E763CF" w:rsidP="00E22982">
      <w:pPr>
        <w:rPr>
          <w:rFonts w:eastAsia="Times New Roman"/>
          <w:szCs w:val="22"/>
          <w:lang w:val="fr-FR"/>
        </w:rPr>
      </w:pPr>
      <w:r w:rsidRPr="007E4A0F">
        <w:rPr>
          <w:lang w:val="fr-FR" w:eastAsia="en-US"/>
        </w:rPr>
        <w:t>La politique de l</w:t>
      </w:r>
      <w:r w:rsidR="00B274E6" w:rsidRPr="007E4A0F">
        <w:rPr>
          <w:lang w:val="fr-FR" w:eastAsia="en-US"/>
        </w:rPr>
        <w:t>’</w:t>
      </w:r>
      <w:r w:rsidRPr="007E4A0F">
        <w:rPr>
          <w:lang w:val="fr-FR" w:eastAsia="en-US"/>
        </w:rPr>
        <w:t>OMPI en matière de placements a été approuvée par les assemblées en 2011.</w:t>
      </w:r>
      <w:r w:rsidRPr="007E4A0F">
        <w:rPr>
          <w:lang w:val="fr-FR"/>
        </w:rPr>
        <w:t xml:space="preserve">  </w:t>
      </w:r>
      <w:r w:rsidRPr="007E4A0F">
        <w:rPr>
          <w:lang w:val="fr-FR" w:eastAsia="en-US"/>
        </w:rPr>
        <w:t>Conformément à cette politique, un Comité consultatif pour les placements (ACI) a été créé pour vérifier la conformité des investissements de l</w:t>
      </w:r>
      <w:r w:rsidR="00B274E6" w:rsidRPr="007E4A0F">
        <w:rPr>
          <w:lang w:val="fr-FR" w:eastAsia="en-US"/>
        </w:rPr>
        <w:t>’</w:t>
      </w:r>
      <w:r w:rsidRPr="007E4A0F">
        <w:rPr>
          <w:lang w:val="fr-FR" w:eastAsia="en-US"/>
        </w:rPr>
        <w:t>OMPI et me rendre compte de tout écart par rapport à la politique en matière de placements, en indiquant les raisons et les mesures pour y remédier.  La situation de trésorerie de l</w:t>
      </w:r>
      <w:r w:rsidR="00B274E6" w:rsidRPr="007E4A0F">
        <w:rPr>
          <w:lang w:val="fr-FR" w:eastAsia="en-US"/>
        </w:rPr>
        <w:t>’</w:t>
      </w:r>
      <w:r w:rsidRPr="007E4A0F">
        <w:rPr>
          <w:lang w:val="fr-FR" w:eastAsia="en-US"/>
        </w:rPr>
        <w:t>OMPI est restée saine tout au long de 2014.</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Le Comité d</w:t>
      </w:r>
      <w:r w:rsidR="00B274E6" w:rsidRPr="007E4A0F">
        <w:rPr>
          <w:rFonts w:eastAsia="Times New Roman"/>
          <w:szCs w:val="22"/>
          <w:lang w:val="fr-FR"/>
        </w:rPr>
        <w:t>’</w:t>
      </w:r>
      <w:r w:rsidRPr="007E4A0F">
        <w:rPr>
          <w:rFonts w:eastAsia="Times New Roman"/>
          <w:szCs w:val="22"/>
          <w:lang w:val="fr-FR"/>
        </w:rPr>
        <w:t xml:space="preserve">examen des contrats et le haut fonctionnaire chargé des achats continuent de suivre les opérations </w:t>
      </w:r>
      <w:proofErr w:type="gramStart"/>
      <w:r w:rsidRPr="007E4A0F">
        <w:rPr>
          <w:rFonts w:eastAsia="Times New Roman"/>
          <w:szCs w:val="22"/>
          <w:lang w:val="fr-FR"/>
        </w:rPr>
        <w:t>d</w:t>
      </w:r>
      <w:r w:rsidR="00B274E6" w:rsidRPr="007E4A0F">
        <w:rPr>
          <w:rFonts w:eastAsia="Times New Roman"/>
          <w:szCs w:val="22"/>
          <w:lang w:val="fr-FR"/>
        </w:rPr>
        <w:t>’</w:t>
      </w:r>
      <w:r w:rsidRPr="007E4A0F">
        <w:rPr>
          <w:rFonts w:eastAsia="Times New Roman"/>
          <w:szCs w:val="22"/>
          <w:lang w:val="fr-FR"/>
        </w:rPr>
        <w:t>achat pertinentes</w:t>
      </w:r>
      <w:proofErr w:type="gramEnd"/>
      <w:r w:rsidRPr="007E4A0F">
        <w:rPr>
          <w:rFonts w:eastAsia="Times New Roman"/>
          <w:szCs w:val="22"/>
          <w:lang w:val="fr-FR"/>
        </w:rPr>
        <w:t xml:space="preserve"> et de me conseiller sur les mesures à prendre dans ce domaine.</w:t>
      </w:r>
    </w:p>
    <w:p w:rsidR="00947AF6" w:rsidRPr="007E4A0F" w:rsidRDefault="00947AF6" w:rsidP="0012066D">
      <w:pPr>
        <w:rPr>
          <w:rFonts w:eastAsia="Times New Roman"/>
          <w:szCs w:val="22"/>
          <w:lang w:val="fr-FR"/>
        </w:rPr>
      </w:pPr>
    </w:p>
    <w:p w:rsidR="00B274E6" w:rsidRPr="007E4A0F" w:rsidRDefault="00E22982" w:rsidP="00E22982">
      <w:pPr>
        <w:rPr>
          <w:rFonts w:eastAsia="Times New Roman"/>
          <w:b/>
          <w:szCs w:val="22"/>
          <w:lang w:val="fr-FR"/>
        </w:rPr>
      </w:pPr>
      <w:r w:rsidRPr="007E4A0F">
        <w:rPr>
          <w:rFonts w:eastAsia="Times New Roman"/>
          <w:b/>
          <w:szCs w:val="22"/>
          <w:lang w:val="fr-FR"/>
        </w:rPr>
        <w:t>Évaluation de l</w:t>
      </w:r>
      <w:r w:rsidR="00B274E6" w:rsidRPr="007E4A0F">
        <w:rPr>
          <w:rFonts w:eastAsia="Times New Roman"/>
          <w:b/>
          <w:szCs w:val="22"/>
          <w:lang w:val="fr-FR"/>
        </w:rPr>
        <w:t>’</w:t>
      </w:r>
      <w:r w:rsidRPr="007E4A0F">
        <w:rPr>
          <w:rFonts w:eastAsia="Times New Roman"/>
          <w:b/>
          <w:szCs w:val="22"/>
          <w:lang w:val="fr-FR"/>
        </w:rPr>
        <w:t>efficacité</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Mon évaluation de l</w:t>
      </w:r>
      <w:r w:rsidR="00B274E6" w:rsidRPr="007E4A0F">
        <w:rPr>
          <w:rFonts w:eastAsia="Times New Roman"/>
          <w:szCs w:val="22"/>
          <w:lang w:val="fr-FR"/>
        </w:rPr>
        <w:t>’</w:t>
      </w:r>
      <w:r w:rsidRPr="007E4A0F">
        <w:rPr>
          <w:rFonts w:eastAsia="Times New Roman"/>
          <w:szCs w:val="22"/>
          <w:lang w:val="fr-FR"/>
        </w:rPr>
        <w:t>efficacité des mécanismes de contrôle interne repose essentiellement sur les sources d</w:t>
      </w:r>
      <w:r w:rsidR="00B274E6" w:rsidRPr="007E4A0F">
        <w:rPr>
          <w:rFonts w:eastAsia="Times New Roman"/>
          <w:szCs w:val="22"/>
          <w:lang w:val="fr-FR"/>
        </w:rPr>
        <w:t>’</w:t>
      </w:r>
      <w:r w:rsidRPr="007E4A0F">
        <w:rPr>
          <w:rFonts w:eastAsia="Times New Roman"/>
          <w:szCs w:val="22"/>
          <w:lang w:val="fr-FR"/>
        </w:rPr>
        <w:t>information suivantes</w:t>
      </w:r>
      <w:r w:rsidR="006C7CFD" w:rsidRPr="007E4A0F">
        <w:rPr>
          <w:rFonts w:eastAsia="Times New Roman"/>
          <w:szCs w:val="22"/>
          <w:lang w:val="fr-FR"/>
        </w:rPr>
        <w:t> </w:t>
      </w:r>
      <w:r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E22982" w:rsidP="00E22982">
      <w:pPr>
        <w:numPr>
          <w:ilvl w:val="0"/>
          <w:numId w:val="10"/>
        </w:numPr>
        <w:rPr>
          <w:rFonts w:eastAsia="Times New Roman"/>
          <w:szCs w:val="22"/>
          <w:lang w:val="fr-FR"/>
        </w:rPr>
      </w:pPr>
      <w:r w:rsidRPr="007E4A0F">
        <w:rPr>
          <w:rFonts w:eastAsia="Times New Roman"/>
          <w:szCs w:val="22"/>
          <w:lang w:val="fr-FR"/>
        </w:rPr>
        <w:t>Les membres de la haute direction, en particulier les vice</w:t>
      </w:r>
      <w:r w:rsidR="00CB1BDA" w:rsidRPr="007E4A0F">
        <w:rPr>
          <w:rFonts w:eastAsia="Times New Roman"/>
          <w:szCs w:val="22"/>
          <w:lang w:val="fr-FR"/>
        </w:rPr>
        <w:noBreakHyphen/>
      </w:r>
      <w:r w:rsidRPr="007E4A0F">
        <w:rPr>
          <w:rFonts w:eastAsia="Times New Roman"/>
          <w:szCs w:val="22"/>
          <w:lang w:val="fr-FR"/>
        </w:rPr>
        <w:t>directeurs généraux et les sous</w:t>
      </w:r>
      <w:r w:rsidR="00CB1BDA" w:rsidRPr="007E4A0F">
        <w:rPr>
          <w:rFonts w:eastAsia="Times New Roman"/>
          <w:szCs w:val="22"/>
          <w:lang w:val="fr-FR"/>
        </w:rPr>
        <w:noBreakHyphen/>
      </w:r>
      <w:r w:rsidRPr="007E4A0F">
        <w:rPr>
          <w:rFonts w:eastAsia="Times New Roman"/>
          <w:szCs w:val="22"/>
          <w:lang w:val="fr-FR"/>
        </w:rPr>
        <w:t>directeurs généraux qui ont un rôle important et qui répondent des résultats escomptés, des performances accomplies, des activités de leur division et des ressources qui leur sont confiées.</w:t>
      </w:r>
      <w:r w:rsidR="0012066D" w:rsidRPr="007E4A0F">
        <w:rPr>
          <w:lang w:val="fr-FR"/>
        </w:rPr>
        <w:t xml:space="preserve">  </w:t>
      </w:r>
      <w:r w:rsidRPr="007E4A0F">
        <w:rPr>
          <w:rFonts w:eastAsia="Times New Roman"/>
          <w:szCs w:val="22"/>
          <w:lang w:val="fr-FR"/>
        </w:rPr>
        <w:t>La communication de l</w:t>
      </w:r>
      <w:r w:rsidR="00B274E6" w:rsidRPr="007E4A0F">
        <w:rPr>
          <w:rFonts w:eastAsia="Times New Roman"/>
          <w:szCs w:val="22"/>
          <w:lang w:val="fr-FR"/>
        </w:rPr>
        <w:t>’</w:t>
      </w:r>
      <w:r w:rsidRPr="007E4A0F">
        <w:rPr>
          <w:rFonts w:eastAsia="Times New Roman"/>
          <w:szCs w:val="22"/>
          <w:lang w:val="fr-FR"/>
        </w:rPr>
        <w:t>information s</w:t>
      </w:r>
      <w:r w:rsidR="00B274E6" w:rsidRPr="007E4A0F">
        <w:rPr>
          <w:rFonts w:eastAsia="Times New Roman"/>
          <w:szCs w:val="22"/>
          <w:lang w:val="fr-FR"/>
        </w:rPr>
        <w:t>’</w:t>
      </w:r>
      <w:r w:rsidRPr="007E4A0F">
        <w:rPr>
          <w:rFonts w:eastAsia="Times New Roman"/>
          <w:szCs w:val="22"/>
          <w:lang w:val="fr-FR"/>
        </w:rPr>
        <w:t>effectue principalement dans le cadre des réunions périodiques de l</w:t>
      </w:r>
      <w:r w:rsidR="00B274E6" w:rsidRPr="007E4A0F">
        <w:rPr>
          <w:rFonts w:eastAsia="Times New Roman"/>
          <w:szCs w:val="22"/>
          <w:lang w:val="fr-FR"/>
        </w:rPr>
        <w:t>’</w:t>
      </w:r>
      <w:r w:rsidRPr="007E4A0F">
        <w:rPr>
          <w:rFonts w:eastAsia="Times New Roman"/>
          <w:szCs w:val="22"/>
          <w:lang w:val="fr-FR"/>
        </w:rPr>
        <w:t>Équipe de haute direction.</w:t>
      </w:r>
    </w:p>
    <w:p w:rsidR="00947AF6" w:rsidRPr="007E4A0F" w:rsidRDefault="00947AF6" w:rsidP="0012066D">
      <w:pPr>
        <w:ind w:left="360"/>
        <w:rPr>
          <w:rFonts w:eastAsia="Times New Roman"/>
          <w:szCs w:val="22"/>
          <w:lang w:val="fr-FR"/>
        </w:rPr>
      </w:pPr>
    </w:p>
    <w:p w:rsidR="00947AF6" w:rsidRPr="007E4A0F" w:rsidRDefault="00E22982" w:rsidP="00E22982">
      <w:pPr>
        <w:numPr>
          <w:ilvl w:val="0"/>
          <w:numId w:val="10"/>
        </w:numPr>
        <w:rPr>
          <w:rFonts w:eastAsia="Times New Roman"/>
          <w:szCs w:val="22"/>
          <w:lang w:val="fr-FR"/>
        </w:rPr>
      </w:pPr>
      <w:r w:rsidRPr="007E4A0F">
        <w:rPr>
          <w:rFonts w:eastAsia="Times New Roman"/>
          <w:szCs w:val="22"/>
          <w:lang w:val="fr-FR"/>
        </w:rPr>
        <w:t>Je m</w:t>
      </w:r>
      <w:r w:rsidR="00B274E6" w:rsidRPr="007E4A0F">
        <w:rPr>
          <w:rFonts w:eastAsia="Times New Roman"/>
          <w:szCs w:val="22"/>
          <w:lang w:val="fr-FR"/>
        </w:rPr>
        <w:t>’</w:t>
      </w:r>
      <w:r w:rsidRPr="007E4A0F">
        <w:rPr>
          <w:rFonts w:eastAsia="Times New Roman"/>
          <w:szCs w:val="22"/>
          <w:lang w:val="fr-FR"/>
        </w:rPr>
        <w:t>en remets aux lettres de déclaration de responsabilité signées par les plus hauts fonctionnaires de l</w:t>
      </w:r>
      <w:r w:rsidR="00B274E6" w:rsidRPr="007E4A0F">
        <w:rPr>
          <w:rFonts w:eastAsia="Times New Roman"/>
          <w:szCs w:val="22"/>
          <w:lang w:val="fr-FR"/>
        </w:rPr>
        <w:t>’</w:t>
      </w:r>
      <w:r w:rsidRPr="007E4A0F">
        <w:rPr>
          <w:rFonts w:eastAsia="Times New Roman"/>
          <w:szCs w:val="22"/>
          <w:lang w:val="fr-FR"/>
        </w:rPr>
        <w:t>OMPI, dans lesquelles ils reconnaissent qu</w:t>
      </w:r>
      <w:r w:rsidR="00B274E6" w:rsidRPr="007E4A0F">
        <w:rPr>
          <w:rFonts w:eastAsia="Times New Roman"/>
          <w:szCs w:val="22"/>
          <w:lang w:val="fr-FR"/>
        </w:rPr>
        <w:t>’</w:t>
      </w:r>
      <w:r w:rsidRPr="007E4A0F">
        <w:rPr>
          <w:rFonts w:eastAsia="Times New Roman"/>
          <w:szCs w:val="22"/>
          <w:lang w:val="fr-FR"/>
        </w:rPr>
        <w:t>il est de leur responsabilité d</w:t>
      </w:r>
      <w:r w:rsidR="00B274E6" w:rsidRPr="007E4A0F">
        <w:rPr>
          <w:rFonts w:eastAsia="Times New Roman"/>
          <w:szCs w:val="22"/>
          <w:lang w:val="fr-FR"/>
        </w:rPr>
        <w:t>’</w:t>
      </w:r>
      <w:r w:rsidRPr="007E4A0F">
        <w:rPr>
          <w:rFonts w:eastAsia="Times New Roman"/>
          <w:szCs w:val="22"/>
          <w:lang w:val="fr-FR"/>
        </w:rPr>
        <w:t>établir et de veiller au bon fonctionnement, au sein de leurs programmes, des systèmes et mécanismes de contrôle interne en vue de présenter ou de détecter les cas de fraude et les erreurs graves.</w:t>
      </w:r>
    </w:p>
    <w:p w:rsidR="00947AF6" w:rsidRPr="007E4A0F" w:rsidRDefault="00947AF6" w:rsidP="00E22982">
      <w:pPr>
        <w:ind w:left="720"/>
        <w:rPr>
          <w:rFonts w:eastAsia="Times New Roman"/>
          <w:szCs w:val="22"/>
          <w:lang w:val="fr-FR"/>
        </w:rPr>
      </w:pPr>
    </w:p>
    <w:p w:rsidR="00947AF6" w:rsidRPr="007E4A0F" w:rsidRDefault="00947AF6" w:rsidP="00947AF6">
      <w:pPr>
        <w:numPr>
          <w:ilvl w:val="0"/>
          <w:numId w:val="10"/>
        </w:numPr>
        <w:rPr>
          <w:rFonts w:eastAsia="Times New Roman"/>
          <w:szCs w:val="22"/>
          <w:lang w:val="fr-FR"/>
        </w:rPr>
      </w:pPr>
      <w:r w:rsidRPr="007E4A0F">
        <w:rPr>
          <w:rFonts w:eastAsia="Times New Roman"/>
          <w:szCs w:val="22"/>
          <w:lang w:val="fr-FR"/>
        </w:rPr>
        <w:t>Le chef du Bureau de la déontologie qui donne des avis et des conseils confidentiels à l</w:t>
      </w:r>
      <w:r w:rsidR="00B274E6" w:rsidRPr="007E4A0F">
        <w:rPr>
          <w:rFonts w:eastAsia="Times New Roman"/>
          <w:szCs w:val="22"/>
          <w:lang w:val="fr-FR"/>
        </w:rPr>
        <w:t>’</w:t>
      </w:r>
      <w:r w:rsidRPr="007E4A0F">
        <w:rPr>
          <w:rFonts w:eastAsia="Times New Roman"/>
          <w:szCs w:val="22"/>
          <w:lang w:val="fr-FR"/>
        </w:rPr>
        <w:t>Organisation et à son personnel sur l</w:t>
      </w:r>
      <w:r w:rsidR="00B274E6" w:rsidRPr="007E4A0F">
        <w:rPr>
          <w:rFonts w:eastAsia="Times New Roman"/>
          <w:szCs w:val="22"/>
          <w:lang w:val="fr-FR"/>
        </w:rPr>
        <w:t>’</w:t>
      </w:r>
      <w:r w:rsidRPr="007E4A0F">
        <w:rPr>
          <w:rFonts w:eastAsia="Times New Roman"/>
          <w:szCs w:val="22"/>
          <w:lang w:val="fr-FR"/>
        </w:rPr>
        <w:t>éthique et les normes de conduite et fait la promotion de la conscience éthique et des comportements responsables dans le traitement des questions relatives à des allégations de comportement contraire à l</w:t>
      </w:r>
      <w:r w:rsidR="00B274E6" w:rsidRPr="007E4A0F">
        <w:rPr>
          <w:rFonts w:eastAsia="Times New Roman"/>
          <w:szCs w:val="22"/>
          <w:lang w:val="fr-FR"/>
        </w:rPr>
        <w:t>’</w:t>
      </w:r>
      <w:r w:rsidRPr="007E4A0F">
        <w:rPr>
          <w:rFonts w:eastAsia="Times New Roman"/>
          <w:szCs w:val="22"/>
          <w:lang w:val="fr-FR"/>
        </w:rPr>
        <w:t xml:space="preserve">éthique, </w:t>
      </w:r>
      <w:r w:rsidR="00B274E6" w:rsidRPr="007E4A0F">
        <w:rPr>
          <w:rFonts w:eastAsia="Times New Roman"/>
          <w:szCs w:val="22"/>
          <w:lang w:val="fr-FR"/>
        </w:rPr>
        <w:t>y compris</w:t>
      </w:r>
      <w:r w:rsidRPr="007E4A0F">
        <w:rPr>
          <w:rFonts w:eastAsia="Times New Roman"/>
          <w:szCs w:val="22"/>
          <w:lang w:val="fr-FR"/>
        </w:rPr>
        <w:t xml:space="preserve"> les conflits d</w:t>
      </w:r>
      <w:r w:rsidR="00B274E6" w:rsidRPr="007E4A0F">
        <w:rPr>
          <w:rFonts w:eastAsia="Times New Roman"/>
          <w:szCs w:val="22"/>
          <w:lang w:val="fr-FR"/>
        </w:rPr>
        <w:t>’</w:t>
      </w:r>
      <w:r w:rsidRPr="007E4A0F">
        <w:rPr>
          <w:rFonts w:eastAsia="Times New Roman"/>
          <w:szCs w:val="22"/>
          <w:lang w:val="fr-FR"/>
        </w:rPr>
        <w:t>intérêts.</w:t>
      </w:r>
    </w:p>
    <w:p w:rsidR="00947AF6" w:rsidRPr="007E4A0F" w:rsidRDefault="00947AF6" w:rsidP="0012066D">
      <w:pPr>
        <w:rPr>
          <w:rFonts w:eastAsia="Times New Roman"/>
          <w:szCs w:val="22"/>
          <w:lang w:val="fr-FR"/>
        </w:rPr>
      </w:pPr>
    </w:p>
    <w:p w:rsidR="00947AF6" w:rsidRPr="007E4A0F" w:rsidRDefault="00E763CF" w:rsidP="00DC3997">
      <w:pPr>
        <w:numPr>
          <w:ilvl w:val="0"/>
          <w:numId w:val="10"/>
        </w:numPr>
        <w:rPr>
          <w:rFonts w:eastAsia="Times New Roman"/>
          <w:szCs w:val="22"/>
          <w:lang w:val="fr-FR"/>
        </w:rPr>
      </w:pPr>
      <w:r w:rsidRPr="007E4A0F">
        <w:rPr>
          <w:rFonts w:eastAsia="Times New Roman"/>
          <w:lang w:val="fr-FR"/>
        </w:rPr>
        <w:t>La Division de la supervision interne (DSI) sur laquelle je m</w:t>
      </w:r>
      <w:r w:rsidR="00B274E6" w:rsidRPr="007E4A0F">
        <w:rPr>
          <w:rFonts w:eastAsia="Times New Roman"/>
          <w:lang w:val="fr-FR"/>
        </w:rPr>
        <w:t>’</w:t>
      </w:r>
      <w:r w:rsidRPr="007E4A0F">
        <w:rPr>
          <w:rFonts w:eastAsia="Times New Roman"/>
          <w:lang w:val="fr-FR"/>
        </w:rPr>
        <w:t>appuie pour les services d</w:t>
      </w:r>
      <w:r w:rsidR="00B274E6" w:rsidRPr="007E4A0F">
        <w:rPr>
          <w:rFonts w:eastAsia="Times New Roman"/>
          <w:lang w:val="fr-FR"/>
        </w:rPr>
        <w:t>’</w:t>
      </w:r>
      <w:r w:rsidRPr="007E4A0F">
        <w:rPr>
          <w:rFonts w:eastAsia="Times New Roman"/>
          <w:lang w:val="fr-FR"/>
        </w:rPr>
        <w:t>audit interne, d</w:t>
      </w:r>
      <w:r w:rsidR="00B274E6" w:rsidRPr="007E4A0F">
        <w:rPr>
          <w:rFonts w:eastAsia="Times New Roman"/>
          <w:lang w:val="fr-FR"/>
        </w:rPr>
        <w:t>’</w:t>
      </w:r>
      <w:r w:rsidRPr="007E4A0F">
        <w:rPr>
          <w:rFonts w:eastAsia="Times New Roman"/>
          <w:lang w:val="fr-FR"/>
        </w:rPr>
        <w:t>évaluation et de consultation, communique également les rapports qu</w:t>
      </w:r>
      <w:r w:rsidR="00B274E6" w:rsidRPr="007E4A0F">
        <w:rPr>
          <w:rFonts w:eastAsia="Times New Roman"/>
          <w:lang w:val="fr-FR"/>
        </w:rPr>
        <w:t>’</w:t>
      </w:r>
      <w:r w:rsidRPr="007E4A0F">
        <w:rPr>
          <w:rFonts w:eastAsia="Times New Roman"/>
          <w:lang w:val="fr-FR"/>
        </w:rPr>
        <w:t>elle établit à l</w:t>
      </w:r>
      <w:r w:rsidR="00B274E6" w:rsidRPr="007E4A0F">
        <w:rPr>
          <w:rFonts w:eastAsia="Times New Roman"/>
          <w:lang w:val="fr-FR"/>
        </w:rPr>
        <w:t>’</w:t>
      </w:r>
      <w:r w:rsidRPr="007E4A0F">
        <w:rPr>
          <w:rFonts w:eastAsia="Times New Roman"/>
          <w:lang w:val="fr-FR"/>
        </w:rPr>
        <w:t>Organe consultatif indépendant de surveillance (OCIS).</w:t>
      </w:r>
      <w:r w:rsidRPr="007E4A0F">
        <w:rPr>
          <w:lang w:val="fr-FR"/>
        </w:rPr>
        <w:t xml:space="preserve">  </w:t>
      </w:r>
      <w:r w:rsidRPr="007E4A0F">
        <w:rPr>
          <w:rFonts w:eastAsia="Times New Roman"/>
          <w:lang w:val="fr-FR"/>
        </w:rPr>
        <w:t>Il s</w:t>
      </w:r>
      <w:r w:rsidR="00B274E6" w:rsidRPr="007E4A0F">
        <w:rPr>
          <w:rFonts w:eastAsia="Times New Roman"/>
          <w:lang w:val="fr-FR"/>
        </w:rPr>
        <w:t>’</w:t>
      </w:r>
      <w:r w:rsidRPr="007E4A0F">
        <w:rPr>
          <w:rFonts w:eastAsia="Times New Roman"/>
          <w:lang w:val="fr-FR"/>
        </w:rPr>
        <w:t>agit d</w:t>
      </w:r>
      <w:r w:rsidR="00B274E6" w:rsidRPr="007E4A0F">
        <w:rPr>
          <w:rFonts w:eastAsia="Times New Roman"/>
          <w:lang w:val="fr-FR"/>
        </w:rPr>
        <w:t>’</w:t>
      </w:r>
      <w:r w:rsidRPr="007E4A0F">
        <w:rPr>
          <w:rFonts w:eastAsia="Times New Roman"/>
          <w:lang w:val="fr-FR"/>
        </w:rPr>
        <w:t>informations indépendantes et objectives sur la pertinence et l</w:t>
      </w:r>
      <w:r w:rsidR="00B274E6" w:rsidRPr="007E4A0F">
        <w:rPr>
          <w:rFonts w:eastAsia="Times New Roman"/>
          <w:lang w:val="fr-FR"/>
        </w:rPr>
        <w:t>’</w:t>
      </w:r>
      <w:r w:rsidRPr="007E4A0F">
        <w:rPr>
          <w:rFonts w:eastAsia="Times New Roman"/>
          <w:lang w:val="fr-FR"/>
        </w:rPr>
        <w:t xml:space="preserve">efficacité des </w:t>
      </w:r>
      <w:r w:rsidRPr="007E4A0F">
        <w:rPr>
          <w:rFonts w:eastAsia="Times New Roman"/>
          <w:lang w:val="fr-FR"/>
        </w:rPr>
        <w:lastRenderedPageBreak/>
        <w:t>mécanismes de contrôle interne de l</w:t>
      </w:r>
      <w:r w:rsidR="00B274E6" w:rsidRPr="007E4A0F">
        <w:rPr>
          <w:rFonts w:eastAsia="Times New Roman"/>
          <w:lang w:val="fr-FR"/>
        </w:rPr>
        <w:t>’</w:t>
      </w:r>
      <w:r w:rsidRPr="007E4A0F">
        <w:rPr>
          <w:rFonts w:eastAsia="Times New Roman"/>
          <w:lang w:val="fr-FR"/>
        </w:rPr>
        <w:t>Organisation et des fonctions connexes de supervision.</w:t>
      </w:r>
    </w:p>
    <w:p w:rsidR="00947AF6" w:rsidRPr="007E4A0F" w:rsidRDefault="00947AF6" w:rsidP="0012066D">
      <w:pPr>
        <w:rPr>
          <w:rFonts w:eastAsia="Times New Roman"/>
          <w:szCs w:val="22"/>
          <w:lang w:val="fr-FR"/>
        </w:rPr>
      </w:pPr>
    </w:p>
    <w:p w:rsidR="00947AF6" w:rsidRPr="007E4A0F" w:rsidRDefault="00372459" w:rsidP="00372459">
      <w:pPr>
        <w:numPr>
          <w:ilvl w:val="0"/>
          <w:numId w:val="10"/>
        </w:numPr>
        <w:rPr>
          <w:rFonts w:eastAsia="Times New Roman"/>
          <w:szCs w:val="22"/>
          <w:lang w:val="fr-FR"/>
        </w:rPr>
      </w:pPr>
      <w:r w:rsidRPr="007E4A0F">
        <w:rPr>
          <w:rFonts w:eastAsia="Times New Roman"/>
          <w:szCs w:val="22"/>
          <w:lang w:val="fr-FR"/>
        </w:rPr>
        <w:t>Conformément à son mandat, l</w:t>
      </w:r>
      <w:r w:rsidR="00B274E6" w:rsidRPr="007E4A0F">
        <w:rPr>
          <w:rFonts w:eastAsia="Times New Roman"/>
          <w:szCs w:val="22"/>
          <w:lang w:val="fr-FR"/>
        </w:rPr>
        <w:t>’</w:t>
      </w:r>
      <w:r w:rsidRPr="007E4A0F">
        <w:rPr>
          <w:rFonts w:eastAsia="Times New Roman"/>
          <w:szCs w:val="22"/>
          <w:lang w:val="fr-FR"/>
        </w:rPr>
        <w:t>Organe consultatif indépendant de surveillance garantit aux États membres le bien</w:t>
      </w:r>
      <w:r w:rsidR="00CB1BDA" w:rsidRPr="007E4A0F">
        <w:rPr>
          <w:rFonts w:eastAsia="Times New Roman"/>
          <w:szCs w:val="22"/>
          <w:lang w:val="fr-FR"/>
        </w:rPr>
        <w:noBreakHyphen/>
      </w:r>
      <w:r w:rsidRPr="007E4A0F">
        <w:rPr>
          <w:rFonts w:eastAsia="Times New Roman"/>
          <w:szCs w:val="22"/>
          <w:lang w:val="fr-FR"/>
        </w:rPr>
        <w:t>fondé et l</w:t>
      </w:r>
      <w:r w:rsidR="00B274E6" w:rsidRPr="007E4A0F">
        <w:rPr>
          <w:rFonts w:eastAsia="Times New Roman"/>
          <w:szCs w:val="22"/>
          <w:lang w:val="fr-FR"/>
        </w:rPr>
        <w:t>’</w:t>
      </w:r>
      <w:r w:rsidRPr="007E4A0F">
        <w:rPr>
          <w:rFonts w:eastAsia="Times New Roman"/>
          <w:szCs w:val="22"/>
          <w:lang w:val="fr-FR"/>
        </w:rPr>
        <w:t>efficacité des contrôles internes à l</w:t>
      </w:r>
      <w:r w:rsidR="00B274E6" w:rsidRPr="007E4A0F">
        <w:rPr>
          <w:rFonts w:eastAsia="Times New Roman"/>
          <w:szCs w:val="22"/>
          <w:lang w:val="fr-FR"/>
        </w:rPr>
        <w:t>’</w:t>
      </w:r>
      <w:r w:rsidRPr="007E4A0F">
        <w:rPr>
          <w:rFonts w:eastAsia="Times New Roman"/>
          <w:szCs w:val="22"/>
          <w:lang w:val="fr-FR"/>
        </w:rPr>
        <w:t>OMPI.  Il supervise l</w:t>
      </w:r>
      <w:r w:rsidR="00B274E6" w:rsidRPr="007E4A0F">
        <w:rPr>
          <w:rFonts w:eastAsia="Times New Roman"/>
          <w:szCs w:val="22"/>
          <w:lang w:val="fr-FR"/>
        </w:rPr>
        <w:t>’</w:t>
      </w:r>
      <w:r w:rsidRPr="007E4A0F">
        <w:rPr>
          <w:rFonts w:eastAsia="Times New Roman"/>
          <w:szCs w:val="22"/>
          <w:lang w:val="fr-FR"/>
        </w:rPr>
        <w:t>audit en contrôlant la ponctualité, l</w:t>
      </w:r>
      <w:r w:rsidR="00B274E6" w:rsidRPr="007E4A0F">
        <w:rPr>
          <w:rFonts w:eastAsia="Times New Roman"/>
          <w:szCs w:val="22"/>
          <w:lang w:val="fr-FR"/>
        </w:rPr>
        <w:t>’</w:t>
      </w:r>
      <w:r w:rsidRPr="007E4A0F">
        <w:rPr>
          <w:rFonts w:eastAsia="Times New Roman"/>
          <w:szCs w:val="22"/>
          <w:lang w:val="fr-FR"/>
        </w:rPr>
        <w:t>efficacité et l</w:t>
      </w:r>
      <w:r w:rsidR="00B274E6" w:rsidRPr="007E4A0F">
        <w:rPr>
          <w:rFonts w:eastAsia="Times New Roman"/>
          <w:szCs w:val="22"/>
          <w:lang w:val="fr-FR"/>
        </w:rPr>
        <w:t>’</w:t>
      </w:r>
      <w:r w:rsidRPr="007E4A0F">
        <w:rPr>
          <w:rFonts w:eastAsia="Times New Roman"/>
          <w:szCs w:val="22"/>
          <w:lang w:val="fr-FR"/>
        </w:rPr>
        <w:t>adéquation des réponses de la direction aux recommandations d</w:t>
      </w:r>
      <w:r w:rsidR="00B274E6" w:rsidRPr="007E4A0F">
        <w:rPr>
          <w:rFonts w:eastAsia="Times New Roman"/>
          <w:szCs w:val="22"/>
          <w:lang w:val="fr-FR"/>
        </w:rPr>
        <w:t>’</w:t>
      </w:r>
      <w:r w:rsidRPr="007E4A0F">
        <w:rPr>
          <w:rFonts w:eastAsia="Times New Roman"/>
          <w:szCs w:val="22"/>
          <w:lang w:val="fr-FR"/>
        </w:rPr>
        <w:t>audit ainsi que la mise en œuvre de ces dernières.</w:t>
      </w:r>
      <w:r w:rsidR="0012066D" w:rsidRPr="007E4A0F">
        <w:rPr>
          <w:lang w:val="fr-FR"/>
        </w:rPr>
        <w:t xml:space="preserve">  </w:t>
      </w:r>
      <w:r w:rsidRPr="007E4A0F">
        <w:rPr>
          <w:rFonts w:eastAsia="Times New Roman"/>
          <w:szCs w:val="22"/>
          <w:lang w:val="fr-FR"/>
        </w:rPr>
        <w:t>Enfin, il tient les États membres régulièrement informés de ses travaux et soumet un rapport annuel au Comité du programme et budget ainsi qu</w:t>
      </w:r>
      <w:r w:rsidR="00B274E6" w:rsidRPr="007E4A0F">
        <w:rPr>
          <w:rFonts w:eastAsia="Times New Roman"/>
          <w:szCs w:val="22"/>
          <w:lang w:val="fr-FR"/>
        </w:rPr>
        <w:t>’</w:t>
      </w:r>
      <w:r w:rsidRPr="007E4A0F">
        <w:rPr>
          <w:rFonts w:eastAsia="Times New Roman"/>
          <w:szCs w:val="22"/>
          <w:lang w:val="fr-FR"/>
        </w:rPr>
        <w:t>à l</w:t>
      </w:r>
      <w:r w:rsidR="00B274E6" w:rsidRPr="007E4A0F">
        <w:rPr>
          <w:rFonts w:eastAsia="Times New Roman"/>
          <w:szCs w:val="22"/>
          <w:lang w:val="fr-FR"/>
        </w:rPr>
        <w:t>’</w:t>
      </w:r>
      <w:r w:rsidRPr="007E4A0F">
        <w:rPr>
          <w:rFonts w:eastAsia="Times New Roman"/>
          <w:szCs w:val="22"/>
          <w:lang w:val="fr-FR"/>
        </w:rPr>
        <w:t>Assemblée générale de l</w:t>
      </w:r>
      <w:r w:rsidR="00B274E6" w:rsidRPr="007E4A0F">
        <w:rPr>
          <w:rFonts w:eastAsia="Times New Roman"/>
          <w:szCs w:val="22"/>
          <w:lang w:val="fr-FR"/>
        </w:rPr>
        <w:t>’</w:t>
      </w:r>
      <w:r w:rsidRPr="007E4A0F">
        <w:rPr>
          <w:rFonts w:eastAsia="Times New Roman"/>
          <w:szCs w:val="22"/>
          <w:lang w:val="fr-FR"/>
        </w:rPr>
        <w:t>OMPI.</w:t>
      </w:r>
    </w:p>
    <w:p w:rsidR="00947AF6" w:rsidRPr="007E4A0F" w:rsidRDefault="00947AF6" w:rsidP="0012066D">
      <w:pPr>
        <w:ind w:left="360"/>
        <w:rPr>
          <w:rFonts w:eastAsia="Times New Roman"/>
          <w:szCs w:val="22"/>
          <w:lang w:val="fr-FR"/>
        </w:rPr>
      </w:pPr>
    </w:p>
    <w:p w:rsidR="00947AF6" w:rsidRPr="007E4A0F" w:rsidRDefault="000A6F80" w:rsidP="00DC3997">
      <w:pPr>
        <w:numPr>
          <w:ilvl w:val="0"/>
          <w:numId w:val="10"/>
        </w:numPr>
        <w:rPr>
          <w:rFonts w:eastAsia="Times New Roman"/>
          <w:szCs w:val="22"/>
          <w:lang w:val="fr-FR"/>
        </w:rPr>
      </w:pPr>
      <w:r w:rsidRPr="007E4A0F">
        <w:rPr>
          <w:rFonts w:eastAsia="Times New Roman"/>
          <w:lang w:val="fr-FR"/>
        </w:rPr>
        <w:t>Le Corps commun d</w:t>
      </w:r>
      <w:r w:rsidR="00B274E6" w:rsidRPr="007E4A0F">
        <w:rPr>
          <w:rFonts w:eastAsia="Times New Roman"/>
          <w:lang w:val="fr-FR"/>
        </w:rPr>
        <w:t>’</w:t>
      </w:r>
      <w:r w:rsidRPr="007E4A0F">
        <w:rPr>
          <w:rFonts w:eastAsia="Times New Roman"/>
          <w:lang w:val="fr-FR"/>
        </w:rPr>
        <w:t xml:space="preserve">inspection des </w:t>
      </w:r>
      <w:r w:rsidR="00B274E6" w:rsidRPr="007E4A0F">
        <w:rPr>
          <w:rFonts w:eastAsia="Times New Roman"/>
          <w:lang w:val="fr-FR"/>
        </w:rPr>
        <w:t>Nations Unies</w:t>
      </w:r>
      <w:r w:rsidRPr="007E4A0F">
        <w:rPr>
          <w:rFonts w:eastAsia="Times New Roman"/>
          <w:lang w:val="fr-FR"/>
        </w:rPr>
        <w:t>.</w:t>
      </w:r>
    </w:p>
    <w:p w:rsidR="00947AF6" w:rsidRPr="007E4A0F" w:rsidRDefault="00947AF6" w:rsidP="0012066D">
      <w:pPr>
        <w:rPr>
          <w:rFonts w:eastAsia="Times New Roman"/>
          <w:szCs w:val="22"/>
          <w:lang w:val="fr-FR"/>
        </w:rPr>
      </w:pPr>
    </w:p>
    <w:p w:rsidR="00947AF6" w:rsidRPr="007E4A0F" w:rsidRDefault="00372459" w:rsidP="00372459">
      <w:pPr>
        <w:numPr>
          <w:ilvl w:val="0"/>
          <w:numId w:val="10"/>
        </w:numPr>
        <w:rPr>
          <w:rFonts w:eastAsia="Times New Roman"/>
          <w:szCs w:val="22"/>
          <w:lang w:val="fr-FR"/>
        </w:rPr>
      </w:pPr>
      <w:r w:rsidRPr="007E4A0F">
        <w:rPr>
          <w:rFonts w:eastAsia="Times New Roman"/>
          <w:szCs w:val="22"/>
          <w:lang w:val="fr-FR"/>
        </w:rPr>
        <w:t>Le vérificateur externe des comptes, dont les commentaires sont soumis</w:t>
      </w:r>
      <w:r w:rsidR="00B274E6" w:rsidRPr="007E4A0F">
        <w:rPr>
          <w:rFonts w:eastAsia="Times New Roman"/>
          <w:szCs w:val="22"/>
          <w:lang w:val="fr-FR"/>
        </w:rPr>
        <w:t xml:space="preserve"> au PBC</w:t>
      </w:r>
      <w:r w:rsidRPr="007E4A0F">
        <w:rPr>
          <w:rFonts w:eastAsia="Times New Roman"/>
          <w:szCs w:val="22"/>
          <w:lang w:val="fr-FR"/>
        </w:rPr>
        <w:t xml:space="preserve"> et aux assemblées.</w:t>
      </w:r>
    </w:p>
    <w:p w:rsidR="00947AF6" w:rsidRPr="007E4A0F" w:rsidRDefault="00947AF6" w:rsidP="0012066D">
      <w:pPr>
        <w:rPr>
          <w:rFonts w:eastAsia="Times New Roman"/>
          <w:szCs w:val="22"/>
          <w:lang w:val="fr-FR"/>
        </w:rPr>
      </w:pPr>
    </w:p>
    <w:p w:rsidR="00947AF6" w:rsidRPr="007E4A0F" w:rsidRDefault="00372459" w:rsidP="00372459">
      <w:pPr>
        <w:numPr>
          <w:ilvl w:val="0"/>
          <w:numId w:val="10"/>
        </w:numPr>
        <w:rPr>
          <w:rFonts w:eastAsia="Times New Roman"/>
          <w:szCs w:val="22"/>
          <w:lang w:val="fr-FR"/>
        </w:rPr>
      </w:pPr>
      <w:r w:rsidRPr="007E4A0F">
        <w:rPr>
          <w:rFonts w:eastAsia="Times New Roman"/>
          <w:szCs w:val="22"/>
          <w:lang w:val="fr-FR"/>
        </w:rPr>
        <w:t>Les observations des organes directeurs.</w:t>
      </w:r>
    </w:p>
    <w:p w:rsidR="00947AF6" w:rsidRPr="007E4A0F" w:rsidRDefault="00947AF6" w:rsidP="0012066D">
      <w:pPr>
        <w:rPr>
          <w:rFonts w:eastAsia="Times New Roman"/>
          <w:szCs w:val="22"/>
          <w:lang w:val="fr-FR"/>
        </w:rPr>
      </w:pPr>
    </w:p>
    <w:p w:rsidR="00947AF6" w:rsidRPr="007E4A0F" w:rsidRDefault="00372459" w:rsidP="00372459">
      <w:pPr>
        <w:rPr>
          <w:rFonts w:eastAsia="Times New Roman"/>
          <w:b/>
          <w:szCs w:val="22"/>
          <w:lang w:val="fr-FR"/>
        </w:rPr>
      </w:pPr>
      <w:r w:rsidRPr="007E4A0F">
        <w:rPr>
          <w:rFonts w:eastAsia="Times New Roman"/>
          <w:b/>
          <w:szCs w:val="22"/>
          <w:lang w:val="fr-FR"/>
        </w:rPr>
        <w:t>Conclusion</w:t>
      </w:r>
    </w:p>
    <w:p w:rsidR="00947AF6" w:rsidRPr="007E4A0F" w:rsidRDefault="00947AF6" w:rsidP="0012066D">
      <w:pPr>
        <w:rPr>
          <w:rFonts w:eastAsia="Times New Roman"/>
          <w:szCs w:val="22"/>
          <w:lang w:val="fr-FR"/>
        </w:rPr>
      </w:pPr>
    </w:p>
    <w:p w:rsidR="00B274E6" w:rsidRPr="007E4A0F" w:rsidRDefault="00372459" w:rsidP="00372459">
      <w:pPr>
        <w:rPr>
          <w:rFonts w:eastAsia="Times New Roman"/>
          <w:szCs w:val="22"/>
          <w:lang w:val="fr-FR"/>
        </w:rPr>
      </w:pPr>
      <w:r w:rsidRPr="007E4A0F">
        <w:rPr>
          <w:rFonts w:eastAsia="Times New Roman"/>
          <w:szCs w:val="22"/>
          <w:lang w:val="fr-FR"/>
        </w:rPr>
        <w:t>Tout système de contrôle interne efficace, aussi bien conçu soit</w:t>
      </w:r>
      <w:r w:rsidR="00CB1BDA" w:rsidRPr="007E4A0F">
        <w:rPr>
          <w:rFonts w:eastAsia="Times New Roman"/>
          <w:szCs w:val="22"/>
          <w:lang w:val="fr-FR"/>
        </w:rPr>
        <w:noBreakHyphen/>
      </w:r>
      <w:r w:rsidRPr="007E4A0F">
        <w:rPr>
          <w:rFonts w:eastAsia="Times New Roman"/>
          <w:szCs w:val="22"/>
          <w:lang w:val="fr-FR"/>
        </w:rPr>
        <w:t xml:space="preserve">il, souffre de limitations inhérentes – </w:t>
      </w:r>
      <w:r w:rsidR="00B274E6" w:rsidRPr="007E4A0F">
        <w:rPr>
          <w:rFonts w:eastAsia="Times New Roman"/>
          <w:szCs w:val="22"/>
          <w:lang w:val="fr-FR"/>
        </w:rPr>
        <w:t>y compris</w:t>
      </w:r>
      <w:r w:rsidRPr="007E4A0F">
        <w:rPr>
          <w:rFonts w:eastAsia="Times New Roman"/>
          <w:szCs w:val="22"/>
          <w:lang w:val="fr-FR"/>
        </w:rPr>
        <w:t xml:space="preserve"> des possibilités de contournement – et ne peut donc fournir qu</w:t>
      </w:r>
      <w:r w:rsidR="00B274E6" w:rsidRPr="007E4A0F">
        <w:rPr>
          <w:rFonts w:eastAsia="Times New Roman"/>
          <w:szCs w:val="22"/>
          <w:lang w:val="fr-FR"/>
        </w:rPr>
        <w:t>’</w:t>
      </w:r>
      <w:r w:rsidRPr="007E4A0F">
        <w:rPr>
          <w:rFonts w:eastAsia="Times New Roman"/>
          <w:szCs w:val="22"/>
          <w:lang w:val="fr-FR"/>
        </w:rPr>
        <w:t>une assurance raisonnable.</w:t>
      </w:r>
      <w:r w:rsidR="0012066D" w:rsidRPr="007E4A0F">
        <w:rPr>
          <w:lang w:val="fr-FR"/>
        </w:rPr>
        <w:t xml:space="preserve">  </w:t>
      </w:r>
      <w:r w:rsidRPr="007E4A0F">
        <w:rPr>
          <w:rFonts w:eastAsia="Times New Roman"/>
          <w:szCs w:val="22"/>
          <w:lang w:val="fr-FR"/>
        </w:rPr>
        <w:t>Par ailleurs, compte tenu de l</w:t>
      </w:r>
      <w:r w:rsidR="00B274E6" w:rsidRPr="007E4A0F">
        <w:rPr>
          <w:rFonts w:eastAsia="Times New Roman"/>
          <w:szCs w:val="22"/>
          <w:lang w:val="fr-FR"/>
        </w:rPr>
        <w:t>’</w:t>
      </w:r>
      <w:r w:rsidRPr="007E4A0F">
        <w:rPr>
          <w:rFonts w:eastAsia="Times New Roman"/>
          <w:szCs w:val="22"/>
          <w:lang w:val="fr-FR"/>
        </w:rPr>
        <w:t>évolution des conditions, l</w:t>
      </w:r>
      <w:r w:rsidR="00B274E6" w:rsidRPr="007E4A0F">
        <w:rPr>
          <w:rFonts w:eastAsia="Times New Roman"/>
          <w:szCs w:val="22"/>
          <w:lang w:val="fr-FR"/>
        </w:rPr>
        <w:t>’</w:t>
      </w:r>
      <w:r w:rsidRPr="007E4A0F">
        <w:rPr>
          <w:rFonts w:eastAsia="Times New Roman"/>
          <w:szCs w:val="22"/>
          <w:lang w:val="fr-FR"/>
        </w:rPr>
        <w:t>efficacité du contrôle interne peut varier avec le temps.</w:t>
      </w:r>
    </w:p>
    <w:p w:rsidR="00947AF6" w:rsidRPr="007E4A0F" w:rsidRDefault="00947AF6" w:rsidP="0012066D">
      <w:pPr>
        <w:rPr>
          <w:rFonts w:eastAsia="Times New Roman"/>
          <w:szCs w:val="22"/>
          <w:lang w:val="fr-FR"/>
        </w:rPr>
      </w:pPr>
    </w:p>
    <w:p w:rsidR="00947AF6" w:rsidRPr="007E4A0F" w:rsidRDefault="00372459" w:rsidP="00372459">
      <w:pPr>
        <w:rPr>
          <w:rFonts w:eastAsia="Times New Roman"/>
          <w:szCs w:val="22"/>
          <w:lang w:val="fr-FR"/>
        </w:rPr>
      </w:pPr>
      <w:r w:rsidRPr="007E4A0F">
        <w:rPr>
          <w:rFonts w:eastAsia="Times New Roman"/>
          <w:szCs w:val="22"/>
          <w:lang w:val="fr-FR"/>
        </w:rPr>
        <w:t xml:space="preserve">En ma qualité de Directeur général, je dois veiller à ce que le message relatif aux </w:t>
      </w:r>
      <w:r w:rsidR="00524088" w:rsidRPr="007E4A0F">
        <w:rPr>
          <w:rFonts w:eastAsia="Times New Roman"/>
          <w:szCs w:val="22"/>
          <w:lang w:val="fr-FR"/>
        </w:rPr>
        <w:t>“</w:t>
      </w:r>
      <w:r w:rsidRPr="007E4A0F">
        <w:rPr>
          <w:rFonts w:eastAsia="Times New Roman"/>
          <w:szCs w:val="22"/>
          <w:lang w:val="fr-FR"/>
        </w:rPr>
        <w:t>orientations claires au plus haut niveau</w:t>
      </w:r>
      <w:r w:rsidR="00524088" w:rsidRPr="007E4A0F">
        <w:rPr>
          <w:rFonts w:eastAsia="Times New Roman"/>
          <w:szCs w:val="22"/>
          <w:lang w:val="fr-FR"/>
        </w:rPr>
        <w:t>”</w:t>
      </w:r>
      <w:r w:rsidRPr="007E4A0F">
        <w:rPr>
          <w:rFonts w:eastAsia="Times New Roman"/>
          <w:szCs w:val="22"/>
          <w:lang w:val="fr-FR"/>
        </w:rPr>
        <w:t xml:space="preserve"> ne laisse aucun doute quant à l</w:t>
      </w:r>
      <w:r w:rsidR="00B274E6" w:rsidRPr="007E4A0F">
        <w:rPr>
          <w:rFonts w:eastAsia="Times New Roman"/>
          <w:szCs w:val="22"/>
          <w:lang w:val="fr-FR"/>
        </w:rPr>
        <w:t>’</w:t>
      </w:r>
      <w:r w:rsidRPr="007E4A0F">
        <w:rPr>
          <w:rFonts w:eastAsia="Times New Roman"/>
          <w:szCs w:val="22"/>
          <w:lang w:val="fr-FR"/>
        </w:rPr>
        <w:t>importance capitale que revêt pour l</w:t>
      </w:r>
      <w:r w:rsidR="00B274E6" w:rsidRPr="007E4A0F">
        <w:rPr>
          <w:rFonts w:eastAsia="Times New Roman"/>
          <w:szCs w:val="22"/>
          <w:lang w:val="fr-FR"/>
        </w:rPr>
        <w:t>’</w:t>
      </w:r>
      <w:r w:rsidRPr="007E4A0F">
        <w:rPr>
          <w:rFonts w:eastAsia="Times New Roman"/>
          <w:szCs w:val="22"/>
          <w:lang w:val="fr-FR"/>
        </w:rPr>
        <w:t>Organisation la rigueur des contrôles internes, et je suis résolu à remédier à toute déficience relevée dans le système de contrôle interne pendant l</w:t>
      </w:r>
      <w:r w:rsidR="00B274E6" w:rsidRPr="007E4A0F">
        <w:rPr>
          <w:rFonts w:eastAsia="Times New Roman"/>
          <w:szCs w:val="22"/>
          <w:lang w:val="fr-FR"/>
        </w:rPr>
        <w:t>’</w:t>
      </w:r>
      <w:r w:rsidRPr="007E4A0F">
        <w:rPr>
          <w:rFonts w:eastAsia="Times New Roman"/>
          <w:szCs w:val="22"/>
          <w:lang w:val="fr-FR"/>
        </w:rPr>
        <w:t>année écoulée et à veiller à l</w:t>
      </w:r>
      <w:r w:rsidR="00B274E6" w:rsidRPr="007E4A0F">
        <w:rPr>
          <w:rFonts w:eastAsia="Times New Roman"/>
          <w:szCs w:val="22"/>
          <w:lang w:val="fr-FR"/>
        </w:rPr>
        <w:t>’</w:t>
      </w:r>
      <w:r w:rsidRPr="007E4A0F">
        <w:rPr>
          <w:rFonts w:eastAsia="Times New Roman"/>
          <w:szCs w:val="22"/>
          <w:lang w:val="fr-FR"/>
        </w:rPr>
        <w:t>amélioration continue de ce système.</w:t>
      </w:r>
    </w:p>
    <w:p w:rsidR="00947AF6" w:rsidRPr="007E4A0F" w:rsidRDefault="00947AF6" w:rsidP="0012066D">
      <w:pPr>
        <w:rPr>
          <w:rFonts w:eastAsia="Times New Roman"/>
          <w:szCs w:val="22"/>
          <w:lang w:val="fr-FR"/>
        </w:rPr>
      </w:pPr>
    </w:p>
    <w:p w:rsidR="00947AF6" w:rsidRPr="007E4A0F" w:rsidRDefault="00372459" w:rsidP="00372459">
      <w:pPr>
        <w:rPr>
          <w:rFonts w:eastAsia="Times New Roman"/>
          <w:szCs w:val="22"/>
          <w:lang w:val="fr-FR"/>
        </w:rPr>
      </w:pPr>
      <w:r w:rsidRPr="007E4A0F">
        <w:rPr>
          <w:rFonts w:eastAsia="Times New Roman"/>
          <w:szCs w:val="22"/>
          <w:lang w:val="fr-FR"/>
        </w:rPr>
        <w:t>Compte tenu de ce qui précède, je conclus que, en l</w:t>
      </w:r>
      <w:r w:rsidR="00B274E6" w:rsidRPr="007E4A0F">
        <w:rPr>
          <w:rFonts w:eastAsia="Times New Roman"/>
          <w:szCs w:val="22"/>
          <w:lang w:val="fr-FR"/>
        </w:rPr>
        <w:t>’</w:t>
      </w:r>
      <w:r w:rsidRPr="007E4A0F">
        <w:rPr>
          <w:rFonts w:eastAsia="Times New Roman"/>
          <w:szCs w:val="22"/>
          <w:lang w:val="fr-FR"/>
        </w:rPr>
        <w:t>état actuel de mes connaissances et des informations dont je dispose, il n</w:t>
      </w:r>
      <w:r w:rsidR="00B274E6" w:rsidRPr="007E4A0F">
        <w:rPr>
          <w:rFonts w:eastAsia="Times New Roman"/>
          <w:szCs w:val="22"/>
          <w:lang w:val="fr-FR"/>
        </w:rPr>
        <w:t>’</w:t>
      </w:r>
      <w:r w:rsidRPr="007E4A0F">
        <w:rPr>
          <w:rFonts w:eastAsia="Times New Roman"/>
          <w:szCs w:val="22"/>
          <w:lang w:val="fr-FR"/>
        </w:rPr>
        <w:t>existe pas de carence de nature à empêcher le vérificateur externe des comptes de rendre une opinion sans réserve sur les états financiers de l</w:t>
      </w:r>
      <w:r w:rsidR="00B274E6" w:rsidRPr="007E4A0F">
        <w:rPr>
          <w:rFonts w:eastAsia="Times New Roman"/>
          <w:szCs w:val="22"/>
          <w:lang w:val="fr-FR"/>
        </w:rPr>
        <w:t>’</w:t>
      </w:r>
      <w:r w:rsidRPr="007E4A0F">
        <w:rPr>
          <w:rFonts w:eastAsia="Times New Roman"/>
          <w:szCs w:val="22"/>
          <w:lang w:val="fr-FR"/>
        </w:rPr>
        <w:t>Organisation ni de problème majeur qu</w:t>
      </w:r>
      <w:r w:rsidR="00B274E6" w:rsidRPr="007E4A0F">
        <w:rPr>
          <w:rFonts w:eastAsia="Times New Roman"/>
          <w:szCs w:val="22"/>
          <w:lang w:val="fr-FR"/>
        </w:rPr>
        <w:t>’</w:t>
      </w:r>
      <w:r w:rsidRPr="007E4A0F">
        <w:rPr>
          <w:rFonts w:eastAsia="Times New Roman"/>
          <w:szCs w:val="22"/>
          <w:lang w:val="fr-FR"/>
        </w:rPr>
        <w:t>il conviendrait d</w:t>
      </w:r>
      <w:r w:rsidR="00B274E6" w:rsidRPr="007E4A0F">
        <w:rPr>
          <w:rFonts w:eastAsia="Times New Roman"/>
          <w:szCs w:val="22"/>
          <w:lang w:val="fr-FR"/>
        </w:rPr>
        <w:t>’</w:t>
      </w:r>
      <w:r w:rsidRPr="007E4A0F">
        <w:rPr>
          <w:rFonts w:eastAsia="Times New Roman"/>
          <w:szCs w:val="22"/>
          <w:lang w:val="fr-FR"/>
        </w:rPr>
        <w:t>évoquer dans le présent document pour l</w:t>
      </w:r>
      <w:r w:rsidR="00B274E6" w:rsidRPr="007E4A0F">
        <w:rPr>
          <w:rFonts w:eastAsia="Times New Roman"/>
          <w:szCs w:val="22"/>
          <w:lang w:val="fr-FR"/>
        </w:rPr>
        <w:t>’</w:t>
      </w:r>
      <w:r w:rsidRPr="007E4A0F">
        <w:rPr>
          <w:rFonts w:eastAsia="Times New Roman"/>
          <w:szCs w:val="22"/>
          <w:lang w:val="fr-FR"/>
        </w:rPr>
        <w:t>exercice qui s</w:t>
      </w:r>
      <w:r w:rsidR="00B274E6" w:rsidRPr="007E4A0F">
        <w:rPr>
          <w:rFonts w:eastAsia="Times New Roman"/>
          <w:szCs w:val="22"/>
          <w:lang w:val="fr-FR"/>
        </w:rPr>
        <w:t>’</w:t>
      </w:r>
      <w:r w:rsidRPr="007E4A0F">
        <w:rPr>
          <w:rFonts w:eastAsia="Times New Roman"/>
          <w:szCs w:val="22"/>
          <w:lang w:val="fr-FR"/>
        </w:rPr>
        <w:t>est achevé le 3</w:t>
      </w:r>
      <w:r w:rsidR="00B274E6" w:rsidRPr="007E4A0F">
        <w:rPr>
          <w:rFonts w:eastAsia="Times New Roman"/>
          <w:szCs w:val="22"/>
          <w:lang w:val="fr-FR"/>
        </w:rPr>
        <w:t>1 décembre 20</w:t>
      </w:r>
      <w:r w:rsidRPr="007E4A0F">
        <w:rPr>
          <w:rFonts w:eastAsia="Times New Roman"/>
          <w:szCs w:val="22"/>
          <w:lang w:val="fr-FR"/>
        </w:rPr>
        <w:t>14.</w:t>
      </w:r>
    </w:p>
    <w:p w:rsidR="00947AF6" w:rsidRPr="007E4A0F" w:rsidRDefault="00947AF6" w:rsidP="0012066D">
      <w:pPr>
        <w:tabs>
          <w:tab w:val="left" w:pos="5534"/>
        </w:tabs>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0A6F80" w:rsidRPr="007E4A0F" w:rsidRDefault="000A6F80" w:rsidP="000A6F80">
      <w:pPr>
        <w:tabs>
          <w:tab w:val="left" w:pos="5528"/>
        </w:tabs>
        <w:rPr>
          <w:rFonts w:eastAsia="Times New Roman"/>
          <w:szCs w:val="22"/>
          <w:lang w:val="fr-FR"/>
        </w:rPr>
      </w:pPr>
      <w:r w:rsidRPr="007E4A0F">
        <w:rPr>
          <w:rFonts w:eastAsia="Times New Roman"/>
          <w:szCs w:val="22"/>
          <w:lang w:val="fr-FR"/>
        </w:rPr>
        <w:tab/>
        <w:t>Francis Gurry</w:t>
      </w:r>
    </w:p>
    <w:p w:rsidR="00947AF6" w:rsidRPr="007E4A0F" w:rsidRDefault="0012066D" w:rsidP="00372459">
      <w:pPr>
        <w:tabs>
          <w:tab w:val="left" w:pos="5528"/>
        </w:tabs>
        <w:rPr>
          <w:rFonts w:eastAsia="Times New Roman"/>
          <w:szCs w:val="22"/>
          <w:lang w:val="fr-FR"/>
        </w:rPr>
      </w:pPr>
      <w:r w:rsidRPr="007E4A0F">
        <w:rPr>
          <w:rFonts w:eastAsia="Times New Roman"/>
          <w:szCs w:val="22"/>
          <w:lang w:val="fr-FR"/>
        </w:rPr>
        <w:tab/>
      </w:r>
      <w:r w:rsidR="00372459" w:rsidRPr="007E4A0F">
        <w:rPr>
          <w:rFonts w:eastAsia="Times New Roman"/>
          <w:szCs w:val="22"/>
          <w:lang w:val="fr-FR"/>
        </w:rPr>
        <w:t>Directeur général</w:t>
      </w:r>
    </w:p>
    <w:p w:rsidR="00947AF6" w:rsidRPr="007E4A0F" w:rsidRDefault="00947AF6" w:rsidP="0012066D">
      <w:pPr>
        <w:rPr>
          <w:rFonts w:eastAsia="Times New Roman"/>
          <w:szCs w:val="22"/>
          <w:lang w:val="fr-FR"/>
        </w:rPr>
      </w:pPr>
    </w:p>
    <w:sectPr w:rsidR="00947AF6" w:rsidRPr="007E4A0F" w:rsidSect="00DE4235">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2AC" w:rsidRDefault="009212AC">
      <w:r>
        <w:separator/>
      </w:r>
    </w:p>
  </w:endnote>
  <w:endnote w:type="continuationSeparator" w:id="0">
    <w:p w:rsidR="009212AC" w:rsidRPr="009D30E6" w:rsidRDefault="009212AC" w:rsidP="00D45252">
      <w:pPr>
        <w:rPr>
          <w:sz w:val="17"/>
          <w:szCs w:val="17"/>
        </w:rPr>
      </w:pPr>
      <w:r w:rsidRPr="009D30E6">
        <w:rPr>
          <w:sz w:val="17"/>
          <w:szCs w:val="17"/>
        </w:rPr>
        <w:separator/>
      </w:r>
    </w:p>
    <w:p w:rsidR="009212AC" w:rsidRPr="009D30E6" w:rsidRDefault="009212AC" w:rsidP="00D45252">
      <w:pPr>
        <w:spacing w:after="60"/>
        <w:rPr>
          <w:sz w:val="17"/>
          <w:szCs w:val="17"/>
        </w:rPr>
      </w:pPr>
      <w:r w:rsidRPr="009D30E6">
        <w:rPr>
          <w:sz w:val="17"/>
          <w:szCs w:val="17"/>
        </w:rPr>
        <w:t>[Suite de la note de la page précédente]</w:t>
      </w:r>
    </w:p>
  </w:endnote>
  <w:endnote w:type="continuationNotice" w:id="1">
    <w:p w:rsidR="009212AC" w:rsidRPr="009D30E6" w:rsidRDefault="009212A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AC" w:rsidRPr="00EF46EC" w:rsidRDefault="009212AC" w:rsidP="00EF46EC">
    <w:pPr>
      <w:pStyle w:val="Footer"/>
      <w:tabs>
        <w:tab w:val="clear" w:pos="4320"/>
        <w:tab w:val="clear" w:pos="8640"/>
        <w:tab w:val="right" w:pos="9356"/>
      </w:tabs>
      <w:rPr>
        <w:b/>
        <w:i/>
        <w:sz w:val="18"/>
      </w:rPr>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652B97">
      <w:rPr>
        <w:b/>
        <w:i/>
        <w:noProof/>
        <w:sz w:val="18"/>
      </w:rPr>
      <w:t>60</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AC" w:rsidRDefault="009212AC" w:rsidP="000B058C">
    <w:pPr>
      <w:pStyle w:val="Footer"/>
      <w:tabs>
        <w:tab w:val="clear" w:pos="4320"/>
        <w:tab w:val="clear" w:pos="8640"/>
        <w:tab w:val="right" w:pos="9356"/>
      </w:tabs>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652B97">
      <w:rPr>
        <w:b/>
        <w:i/>
        <w:noProof/>
        <w:sz w:val="18"/>
      </w:rPr>
      <w:t>3</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AC" w:rsidRDefault="009212AC" w:rsidP="00A66643">
    <w:pPr>
      <w:pStyle w:val="Footer"/>
      <w:tabs>
        <w:tab w:val="clear" w:pos="4320"/>
        <w:tab w:val="clear" w:pos="8640"/>
        <w:tab w:val="right" w:pos="14884"/>
      </w:tabs>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652B97">
      <w:rPr>
        <w:b/>
        <w:i/>
        <w:noProof/>
        <w:sz w:val="18"/>
      </w:rPr>
      <w:t>48</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AC" w:rsidRDefault="009212AC" w:rsidP="000B058C">
    <w:pPr>
      <w:pStyle w:val="Footer"/>
      <w:tabs>
        <w:tab w:val="clear" w:pos="4320"/>
        <w:tab w:val="clear" w:pos="8640"/>
        <w:tab w:val="right" w:pos="9356"/>
      </w:tabs>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652B97">
      <w:rPr>
        <w:b/>
        <w:i/>
        <w:noProof/>
        <w:sz w:val="18"/>
      </w:rPr>
      <w:t>49</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2AC" w:rsidRDefault="009212AC">
      <w:r>
        <w:separator/>
      </w:r>
    </w:p>
  </w:footnote>
  <w:footnote w:type="continuationSeparator" w:id="0">
    <w:p w:rsidR="009212AC" w:rsidRDefault="009212AC" w:rsidP="007461F1">
      <w:r>
        <w:separator/>
      </w:r>
    </w:p>
    <w:p w:rsidR="009212AC" w:rsidRPr="009D30E6" w:rsidRDefault="009212AC" w:rsidP="007461F1">
      <w:pPr>
        <w:spacing w:after="60"/>
        <w:rPr>
          <w:sz w:val="17"/>
          <w:szCs w:val="17"/>
        </w:rPr>
      </w:pPr>
      <w:r w:rsidRPr="009D30E6">
        <w:rPr>
          <w:sz w:val="17"/>
          <w:szCs w:val="17"/>
        </w:rPr>
        <w:t>[Suite de la note de la page précédente]</w:t>
      </w:r>
    </w:p>
  </w:footnote>
  <w:footnote w:type="continuationNotice" w:id="1">
    <w:p w:rsidR="009212AC" w:rsidRPr="009D30E6" w:rsidRDefault="009212AC" w:rsidP="007461F1">
      <w:pPr>
        <w:spacing w:before="60"/>
        <w:jc w:val="right"/>
        <w:rPr>
          <w:sz w:val="17"/>
          <w:szCs w:val="17"/>
        </w:rPr>
      </w:pPr>
      <w:r w:rsidRPr="009D30E6">
        <w:rPr>
          <w:sz w:val="17"/>
          <w:szCs w:val="17"/>
        </w:rPr>
        <w:t>[Suite de la note page suivante]</w:t>
      </w:r>
    </w:p>
  </w:footnote>
  <w:footnote w:id="2">
    <w:p w:rsidR="009212AC" w:rsidRDefault="009212AC">
      <w:pPr>
        <w:pStyle w:val="FootnoteText"/>
      </w:pPr>
      <w:r>
        <w:rPr>
          <w:rStyle w:val="FootnoteReference"/>
        </w:rPr>
        <w:footnoteRef/>
      </w:r>
      <w:r>
        <w:t xml:space="preserve"> </w:t>
      </w:r>
      <w:r>
        <w:tab/>
      </w:r>
      <w:r w:rsidRPr="00C1051C">
        <w:t>L</w:t>
      </w:r>
      <w:r>
        <w:t>’</w:t>
      </w:r>
      <w:r w:rsidRPr="00C1051C">
        <w:t>information sectorielle est présentée dans un format qui représente les diverses unions en tant que segments composant l</w:t>
      </w:r>
      <w:r>
        <w:t>’OMPI</w:t>
      </w:r>
      <w:r w:rsidRPr="004E5982">
        <w:t>.</w:t>
      </w:r>
    </w:p>
  </w:footnote>
  <w:footnote w:id="3">
    <w:p w:rsidR="009212AC" w:rsidRDefault="009212AC" w:rsidP="003C66DF">
      <w:pPr>
        <w:pStyle w:val="FootnoteText"/>
        <w:spacing w:line="360" w:lineRule="auto"/>
      </w:pPr>
      <w:r>
        <w:rPr>
          <w:rStyle w:val="FootnoteReference"/>
        </w:rPr>
        <w:footnoteRef/>
      </w:r>
      <w:r>
        <w:t xml:space="preserve"> </w:t>
      </w:r>
      <w:r>
        <w:tab/>
        <w:t>Le terme</w:t>
      </w:r>
      <w:r w:rsidRPr="003C66DF">
        <w:t xml:space="preserve"> </w:t>
      </w:r>
      <w:r>
        <w:t>“achevé”</w:t>
      </w:r>
      <w:r w:rsidRPr="003C66DF">
        <w:t xml:space="preserve"> </w:t>
      </w:r>
      <w:r>
        <w:t>a été utilisé pour le document d’orientation parce que celui-ci n’a pas d’échéance de livraison dans le système;  à l’inverse, le terme “opérationnel”</w:t>
      </w:r>
      <w:r w:rsidRPr="003C66DF">
        <w:t xml:space="preserve"> </w:t>
      </w:r>
      <w:r>
        <w:t xml:space="preserve">a été utilisé pour décrire l’état d’avancement des projets soumis à une échéance de livraison dans le système.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AC" w:rsidRDefault="009212AC" w:rsidP="00477D6B">
    <w:pPr>
      <w:jc w:val="right"/>
    </w:pPr>
    <w:bookmarkStart w:id="4" w:name="Code2"/>
    <w:bookmarkEnd w:id="4"/>
    <w:r>
      <w:t>W</w:t>
    </w:r>
    <w:r w:rsidR="00652B97">
      <w:t>O/PBC/24</w:t>
    </w:r>
    <w:r>
      <w:t>/5</w:t>
    </w:r>
  </w:p>
  <w:p w:rsidR="009212AC" w:rsidRDefault="009212AC" w:rsidP="00477D6B">
    <w:pPr>
      <w:jc w:val="right"/>
    </w:pPr>
    <w:proofErr w:type="gramStart"/>
    <w:r>
      <w:t>page</w:t>
    </w:r>
    <w:proofErr w:type="gramEnd"/>
    <w:r>
      <w:t xml:space="preserve"> </w:t>
    </w:r>
    <w:r>
      <w:fldChar w:fldCharType="begin"/>
    </w:r>
    <w:r>
      <w:instrText xml:space="preserve"> PAGE  \* MERGEFORMAT </w:instrText>
    </w:r>
    <w:r>
      <w:fldChar w:fldCharType="separate"/>
    </w:r>
    <w:r w:rsidR="00652B97">
      <w:rPr>
        <w:noProof/>
      </w:rPr>
      <w:t>60</w:t>
    </w:r>
    <w:r>
      <w:rPr>
        <w:noProof/>
      </w:rPr>
      <w:fldChar w:fldCharType="end"/>
    </w:r>
  </w:p>
  <w:p w:rsidR="009212AC" w:rsidRDefault="009212A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AC" w:rsidRDefault="009212AC" w:rsidP="00B06B90">
    <w:pPr>
      <w:jc w:val="right"/>
    </w:pPr>
    <w:r>
      <w:t>W</w:t>
    </w:r>
    <w:r w:rsidR="00652B97">
      <w:t>O/PBC/24</w:t>
    </w:r>
    <w:r>
      <w:t>/5</w:t>
    </w:r>
  </w:p>
  <w:p w:rsidR="009212AC" w:rsidRDefault="009212AC" w:rsidP="00B06B90">
    <w:pPr>
      <w:jc w:val="right"/>
    </w:pPr>
    <w:proofErr w:type="gramStart"/>
    <w:r>
      <w:t>page</w:t>
    </w:r>
    <w:proofErr w:type="gramEnd"/>
    <w:r>
      <w:t xml:space="preserve"> </w:t>
    </w:r>
    <w:r>
      <w:fldChar w:fldCharType="begin"/>
    </w:r>
    <w:r>
      <w:instrText xml:space="preserve"> PAGE  \* MERGEFORMAT </w:instrText>
    </w:r>
    <w:r>
      <w:fldChar w:fldCharType="separate"/>
    </w:r>
    <w:r w:rsidR="00652B97">
      <w:rPr>
        <w:noProof/>
      </w:rPr>
      <w:t>49</w:t>
    </w:r>
    <w:r>
      <w:rPr>
        <w:noProof/>
      </w:rPr>
      <w:fldChar w:fldCharType="end"/>
    </w:r>
  </w:p>
  <w:p w:rsidR="009212AC" w:rsidRDefault="009212AC" w:rsidP="00B06B9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0AD6367"/>
    <w:multiLevelType w:val="hybridMultilevel"/>
    <w:tmpl w:val="E026B43A"/>
    <w:lvl w:ilvl="0" w:tplc="D21288A4">
      <w:start w:val="1"/>
      <w:numFmt w:val="decimal"/>
      <w:pStyle w:val="ListParagraph"/>
      <w:lvlText w:val="%1."/>
      <w:lvlJc w:val="left"/>
      <w:pPr>
        <w:tabs>
          <w:tab w:val="num" w:pos="567"/>
        </w:tabs>
        <w:ind w:left="567" w:hanging="567"/>
      </w:pPr>
      <w:rPr>
        <w:rFonts w:hint="default"/>
        <w:b/>
        <w:i w:val="0"/>
      </w:rPr>
    </w:lvl>
    <w:lvl w:ilvl="1" w:tplc="95BE0A78">
      <w:start w:val="71"/>
      <w:numFmt w:val="bullet"/>
      <w:lvlText w:val="•"/>
      <w:lvlJc w:val="left"/>
      <w:pPr>
        <w:ind w:left="2433" w:hanging="360"/>
      </w:pPr>
      <w:rPr>
        <w:rFonts w:ascii="Arial" w:eastAsia="SimSun" w:hAnsi="Arial" w:cs="Arial" w:hint="default"/>
      </w:r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2">
    <w:nsid w:val="18202999"/>
    <w:multiLevelType w:val="hybridMultilevel"/>
    <w:tmpl w:val="91447028"/>
    <w:lvl w:ilvl="0" w:tplc="089A615C">
      <w:start w:val="1"/>
      <w:numFmt w:val="lowerRoman"/>
      <w:pStyle w:val="Style2"/>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3F37B2"/>
    <w:multiLevelType w:val="hybridMultilevel"/>
    <w:tmpl w:val="2C46F1D6"/>
    <w:lvl w:ilvl="0" w:tplc="4C12DD82">
      <w:start w:val="1"/>
      <w:numFmt w:val="decimal"/>
      <w:pStyle w:val="Style1"/>
      <w:lvlText w:val="%1."/>
      <w:lvlJc w:val="left"/>
      <w:pPr>
        <w:ind w:left="0" w:firstLine="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2ED85D8E"/>
    <w:multiLevelType w:val="hybridMultilevel"/>
    <w:tmpl w:val="0736FD58"/>
    <w:lvl w:ilvl="0" w:tplc="AC745428">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4912CD"/>
    <w:multiLevelType w:val="hybridMultilevel"/>
    <w:tmpl w:val="D04A216C"/>
    <w:lvl w:ilvl="0" w:tplc="50789CB0">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9">
    <w:nsid w:val="449B3377"/>
    <w:multiLevelType w:val="hybridMultilevel"/>
    <w:tmpl w:val="BE9E37C4"/>
    <w:lvl w:ilvl="0" w:tplc="A4C6D07E">
      <w:start w:val="1"/>
      <w:numFmt w:val="lowerRoman"/>
      <w:lvlText w:val="%1."/>
      <w:lvlJc w:val="left"/>
      <w:pPr>
        <w:ind w:left="144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nsid w:val="44D846B0"/>
    <w:multiLevelType w:val="multilevel"/>
    <w:tmpl w:val="786C48DC"/>
    <w:lvl w:ilvl="0">
      <w:start w:val="1"/>
      <w:numFmt w:val="decimal"/>
      <w:lvlText w:val="%1)"/>
      <w:lvlJc w:val="left"/>
      <w:pPr>
        <w:ind w:left="360" w:hanging="360"/>
      </w:pPr>
      <w:rPr>
        <w:rFonts w:hint="default"/>
      </w:rPr>
    </w:lvl>
    <w:lvl w:ilvl="1">
      <w:start w:val="1"/>
      <w:numFmt w:val="lowerRoman"/>
      <w:lvlText w:val="%2."/>
      <w:lvlJc w:val="left"/>
      <w:pPr>
        <w:ind w:left="567" w:hanging="567"/>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AD08D1"/>
    <w:multiLevelType w:val="hybridMultilevel"/>
    <w:tmpl w:val="1EDA01BA"/>
    <w:lvl w:ilvl="0" w:tplc="4C12DD82">
      <w:start w:val="1"/>
      <w:numFmt w:val="decimal"/>
      <w:lvlText w:val="%1."/>
      <w:lvlJc w:val="left"/>
      <w:pPr>
        <w:ind w:left="0" w:firstLine="0"/>
      </w:pPr>
      <w:rPr>
        <w:rFonts w:hint="default"/>
        <w:b/>
        <w:color w:val="auto"/>
      </w:rPr>
    </w:lvl>
    <w:lvl w:ilvl="1" w:tplc="A4C6D07E">
      <w:start w:val="1"/>
      <w:numFmt w:val="lowerRoman"/>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B6E61EC"/>
    <w:multiLevelType w:val="hybridMultilevel"/>
    <w:tmpl w:val="3D2293D2"/>
    <w:lvl w:ilvl="0" w:tplc="A35C89E2">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F5127F"/>
    <w:multiLevelType w:val="hybridMultilevel"/>
    <w:tmpl w:val="765E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97A2C"/>
    <w:multiLevelType w:val="hybridMultilevel"/>
    <w:tmpl w:val="BE9E37C4"/>
    <w:lvl w:ilvl="0" w:tplc="A4C6D07E">
      <w:start w:val="1"/>
      <w:numFmt w:val="lowerRoman"/>
      <w:lvlText w:val="%1."/>
      <w:lvlJc w:val="left"/>
      <w:pPr>
        <w:ind w:left="144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880F34"/>
    <w:multiLevelType w:val="hybridMultilevel"/>
    <w:tmpl w:val="7D1AE5DC"/>
    <w:lvl w:ilvl="0" w:tplc="4C12DD82">
      <w:start w:val="1"/>
      <w:numFmt w:val="decimal"/>
      <w:lvlText w:val="%1."/>
      <w:lvlJc w:val="left"/>
      <w:pPr>
        <w:ind w:left="0" w:firstLine="0"/>
      </w:pPr>
      <w:rPr>
        <w:rFonts w:hint="default"/>
        <w:b/>
        <w:color w:val="auto"/>
      </w:rPr>
    </w:lvl>
    <w:lvl w:ilvl="1" w:tplc="3EE42E9C">
      <w:start w:val="1"/>
      <w:numFmt w:val="lowerRoman"/>
      <w:lvlText w:val="%2."/>
      <w:lvlJc w:val="left"/>
      <w:pPr>
        <w:tabs>
          <w:tab w:val="num" w:pos="567"/>
        </w:tabs>
        <w:ind w:left="567" w:hanging="567"/>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D7E0C02"/>
    <w:multiLevelType w:val="hybridMultilevel"/>
    <w:tmpl w:val="BE9E37C4"/>
    <w:lvl w:ilvl="0" w:tplc="A4C6D07E">
      <w:start w:val="1"/>
      <w:numFmt w:val="lowerRoman"/>
      <w:lvlText w:val="%1."/>
      <w:lvlJc w:val="left"/>
      <w:pPr>
        <w:ind w:left="144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nsid w:val="7DDE7807"/>
    <w:multiLevelType w:val="hybridMultilevel"/>
    <w:tmpl w:val="C960E3C2"/>
    <w:lvl w:ilvl="0" w:tplc="7038B0B2">
      <w:numFmt w:val="bullet"/>
      <w:lvlText w:val="•"/>
      <w:lvlJc w:val="left"/>
      <w:pPr>
        <w:ind w:left="0" w:firstLine="0"/>
      </w:pPr>
      <w:rPr>
        <w:rFonts w:ascii="Arial" w:eastAsia="Arial" w:hAnsi="Arial"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
  </w:num>
  <w:num w:numId="5">
    <w:abstractNumId w:val="4"/>
  </w:num>
  <w:num w:numId="6">
    <w:abstractNumId w:val="5"/>
  </w:num>
  <w:num w:numId="7">
    <w:abstractNumId w:val="17"/>
  </w:num>
  <w:num w:numId="8">
    <w:abstractNumId w:val="8"/>
  </w:num>
  <w:num w:numId="9">
    <w:abstractNumId w:val="14"/>
  </w:num>
  <w:num w:numId="10">
    <w:abstractNumId w:val="7"/>
  </w:num>
  <w:num w:numId="11">
    <w:abstractNumId w:val="4"/>
    <w:lvlOverride w:ilvl="0">
      <w:startOverride w:val="1"/>
    </w:lvlOverride>
  </w:num>
  <w:num w:numId="12">
    <w:abstractNumId w:val="20"/>
  </w:num>
  <w:num w:numId="13">
    <w:abstractNumId w:val="2"/>
  </w:num>
  <w:num w:numId="14">
    <w:abstractNumId w:val="10"/>
  </w:num>
  <w:num w:numId="15">
    <w:abstractNumId w:val="18"/>
  </w:num>
  <w:num w:numId="16">
    <w:abstractNumId w:val="12"/>
  </w:num>
  <w:num w:numId="17">
    <w:abstractNumId w:val="4"/>
  </w:num>
  <w:num w:numId="18">
    <w:abstractNumId w:val="4"/>
  </w:num>
  <w:num w:numId="19">
    <w:abstractNumId w:val="19"/>
  </w:num>
  <w:num w:numId="20">
    <w:abstractNumId w:val="4"/>
  </w:num>
  <w:num w:numId="21">
    <w:abstractNumId w:val="9"/>
  </w:num>
  <w:num w:numId="22">
    <w:abstractNumId w:val="4"/>
  </w:num>
  <w:num w:numId="23">
    <w:abstractNumId w:val="4"/>
  </w:num>
  <w:num w:numId="24">
    <w:abstractNumId w:val="16"/>
  </w:num>
  <w:num w:numId="25">
    <w:abstractNumId w:val="4"/>
  </w:num>
  <w:num w:numId="26">
    <w:abstractNumId w:val="4"/>
  </w:num>
  <w:num w:numId="27">
    <w:abstractNumId w:val="4"/>
  </w:num>
  <w:num w:numId="28">
    <w:abstractNumId w:val="4"/>
  </w:num>
  <w:num w:numId="29">
    <w:abstractNumId w:val="6"/>
  </w:num>
  <w:num w:numId="30">
    <w:abstractNumId w:val="13"/>
  </w:num>
  <w:num w:numId="31">
    <w:abstractNumId w:val="4"/>
  </w:num>
  <w:num w:numId="32">
    <w:abstractNumId w:val="4"/>
  </w:num>
  <w:num w:numId="33">
    <w:abstractNumId w:val="4"/>
  </w:num>
  <w:num w:numId="34">
    <w:abstractNumId w:val="1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Glossaries\EN-FR|TextBase TMs\Treaties\Model Laws|TextBase TMs\Treaties\Other Laws and Agreements|TextBase TMs\Treaties\WIPO-administered|TextBase TMs\Budget and Finance\Meetings|TextBase TMs\Budget and Finance\Other|TextBase TMs\Budget and Finance\Publications"/>
    <w:docVar w:name="TextBaseURL" w:val="empty"/>
    <w:docVar w:name="UILng" w:val="en"/>
  </w:docVars>
  <w:rsids>
    <w:rsidRoot w:val="00DE4235"/>
    <w:rsid w:val="00003045"/>
    <w:rsid w:val="00005984"/>
    <w:rsid w:val="00010FE6"/>
    <w:rsid w:val="00011B7D"/>
    <w:rsid w:val="00012418"/>
    <w:rsid w:val="00012457"/>
    <w:rsid w:val="0001299D"/>
    <w:rsid w:val="00013345"/>
    <w:rsid w:val="000177C9"/>
    <w:rsid w:val="0002106B"/>
    <w:rsid w:val="000278F4"/>
    <w:rsid w:val="00030F2E"/>
    <w:rsid w:val="000334D2"/>
    <w:rsid w:val="00034132"/>
    <w:rsid w:val="00034536"/>
    <w:rsid w:val="00041FE7"/>
    <w:rsid w:val="00042A8A"/>
    <w:rsid w:val="000434D1"/>
    <w:rsid w:val="00043DF4"/>
    <w:rsid w:val="00054D71"/>
    <w:rsid w:val="0005617A"/>
    <w:rsid w:val="000562A0"/>
    <w:rsid w:val="000563CC"/>
    <w:rsid w:val="00065228"/>
    <w:rsid w:val="00067E6D"/>
    <w:rsid w:val="00070496"/>
    <w:rsid w:val="00072674"/>
    <w:rsid w:val="00072DD9"/>
    <w:rsid w:val="00074446"/>
    <w:rsid w:val="00075432"/>
    <w:rsid w:val="0008025E"/>
    <w:rsid w:val="000806BF"/>
    <w:rsid w:val="00083BCA"/>
    <w:rsid w:val="00090BBA"/>
    <w:rsid w:val="0009698D"/>
    <w:rsid w:val="000A0722"/>
    <w:rsid w:val="000A0FB6"/>
    <w:rsid w:val="000A1A29"/>
    <w:rsid w:val="000A1B4D"/>
    <w:rsid w:val="000A2A28"/>
    <w:rsid w:val="000A2FAA"/>
    <w:rsid w:val="000A6F80"/>
    <w:rsid w:val="000A73CF"/>
    <w:rsid w:val="000A7DD3"/>
    <w:rsid w:val="000B058C"/>
    <w:rsid w:val="000B0657"/>
    <w:rsid w:val="000B0F75"/>
    <w:rsid w:val="000B140A"/>
    <w:rsid w:val="000B323D"/>
    <w:rsid w:val="000B3658"/>
    <w:rsid w:val="000B3EE8"/>
    <w:rsid w:val="000B47B3"/>
    <w:rsid w:val="000B52FF"/>
    <w:rsid w:val="000C05C7"/>
    <w:rsid w:val="000C0E03"/>
    <w:rsid w:val="000C34B1"/>
    <w:rsid w:val="000C5DE2"/>
    <w:rsid w:val="000C6B63"/>
    <w:rsid w:val="000D452F"/>
    <w:rsid w:val="000D596D"/>
    <w:rsid w:val="000D597E"/>
    <w:rsid w:val="000D5F28"/>
    <w:rsid w:val="000E22D2"/>
    <w:rsid w:val="000E2FE2"/>
    <w:rsid w:val="000E5A25"/>
    <w:rsid w:val="000E673E"/>
    <w:rsid w:val="000F1010"/>
    <w:rsid w:val="000F1BD8"/>
    <w:rsid w:val="000F2D41"/>
    <w:rsid w:val="000F3FDC"/>
    <w:rsid w:val="000F41CE"/>
    <w:rsid w:val="000F52B7"/>
    <w:rsid w:val="000F5E56"/>
    <w:rsid w:val="000F68F9"/>
    <w:rsid w:val="00101EE5"/>
    <w:rsid w:val="0010683E"/>
    <w:rsid w:val="001119D0"/>
    <w:rsid w:val="00113BA6"/>
    <w:rsid w:val="001147C7"/>
    <w:rsid w:val="0011619A"/>
    <w:rsid w:val="001163E0"/>
    <w:rsid w:val="00117387"/>
    <w:rsid w:val="00117B1D"/>
    <w:rsid w:val="0012066D"/>
    <w:rsid w:val="00123F4A"/>
    <w:rsid w:val="00124C8D"/>
    <w:rsid w:val="001254D1"/>
    <w:rsid w:val="001258F8"/>
    <w:rsid w:val="00126AC9"/>
    <w:rsid w:val="0012762F"/>
    <w:rsid w:val="001302E0"/>
    <w:rsid w:val="001313FC"/>
    <w:rsid w:val="00131FA2"/>
    <w:rsid w:val="001330E2"/>
    <w:rsid w:val="0013409E"/>
    <w:rsid w:val="001358D0"/>
    <w:rsid w:val="001361C7"/>
    <w:rsid w:val="001362EE"/>
    <w:rsid w:val="00137ACA"/>
    <w:rsid w:val="00140622"/>
    <w:rsid w:val="0015092C"/>
    <w:rsid w:val="00152FE6"/>
    <w:rsid w:val="00153A19"/>
    <w:rsid w:val="00154776"/>
    <w:rsid w:val="00156C9D"/>
    <w:rsid w:val="001576FE"/>
    <w:rsid w:val="001601E5"/>
    <w:rsid w:val="00161ECE"/>
    <w:rsid w:val="00163131"/>
    <w:rsid w:val="001663DE"/>
    <w:rsid w:val="00166968"/>
    <w:rsid w:val="00166C05"/>
    <w:rsid w:val="00166E03"/>
    <w:rsid w:val="001725B0"/>
    <w:rsid w:val="00173515"/>
    <w:rsid w:val="001770CC"/>
    <w:rsid w:val="00182DF7"/>
    <w:rsid w:val="001832A6"/>
    <w:rsid w:val="00184E62"/>
    <w:rsid w:val="00195C6E"/>
    <w:rsid w:val="001A0A9F"/>
    <w:rsid w:val="001A0D3B"/>
    <w:rsid w:val="001A4E95"/>
    <w:rsid w:val="001A7CD2"/>
    <w:rsid w:val="001B0808"/>
    <w:rsid w:val="001B0C60"/>
    <w:rsid w:val="001B19BB"/>
    <w:rsid w:val="001B266A"/>
    <w:rsid w:val="001B4EAC"/>
    <w:rsid w:val="001B5769"/>
    <w:rsid w:val="001B7EDD"/>
    <w:rsid w:val="001C1D0B"/>
    <w:rsid w:val="001C216F"/>
    <w:rsid w:val="001C2EE7"/>
    <w:rsid w:val="001C3F07"/>
    <w:rsid w:val="001C455E"/>
    <w:rsid w:val="001C475B"/>
    <w:rsid w:val="001C4CF4"/>
    <w:rsid w:val="001C6B9C"/>
    <w:rsid w:val="001D01FD"/>
    <w:rsid w:val="001D1089"/>
    <w:rsid w:val="001D3D56"/>
    <w:rsid w:val="001E0C73"/>
    <w:rsid w:val="001E1DD6"/>
    <w:rsid w:val="001E5623"/>
    <w:rsid w:val="001E6248"/>
    <w:rsid w:val="001E7C53"/>
    <w:rsid w:val="001F16EA"/>
    <w:rsid w:val="001F4847"/>
    <w:rsid w:val="001F7C25"/>
    <w:rsid w:val="00200682"/>
    <w:rsid w:val="002032BF"/>
    <w:rsid w:val="002033E1"/>
    <w:rsid w:val="00207FB7"/>
    <w:rsid w:val="0021059E"/>
    <w:rsid w:val="00210945"/>
    <w:rsid w:val="00210D2B"/>
    <w:rsid w:val="0021201D"/>
    <w:rsid w:val="00212186"/>
    <w:rsid w:val="00212348"/>
    <w:rsid w:val="002123DC"/>
    <w:rsid w:val="00213EA4"/>
    <w:rsid w:val="00213F6F"/>
    <w:rsid w:val="00214BB0"/>
    <w:rsid w:val="0021644D"/>
    <w:rsid w:val="002179A1"/>
    <w:rsid w:val="0022274D"/>
    <w:rsid w:val="00226094"/>
    <w:rsid w:val="00226514"/>
    <w:rsid w:val="00233803"/>
    <w:rsid w:val="002363A6"/>
    <w:rsid w:val="00240654"/>
    <w:rsid w:val="0025291F"/>
    <w:rsid w:val="00252D8F"/>
    <w:rsid w:val="00254725"/>
    <w:rsid w:val="00257CFE"/>
    <w:rsid w:val="0026174D"/>
    <w:rsid w:val="002634C4"/>
    <w:rsid w:val="00264458"/>
    <w:rsid w:val="002676A1"/>
    <w:rsid w:val="00271E80"/>
    <w:rsid w:val="00274369"/>
    <w:rsid w:val="00276959"/>
    <w:rsid w:val="0028025D"/>
    <w:rsid w:val="00280E0A"/>
    <w:rsid w:val="00281BEB"/>
    <w:rsid w:val="002833BD"/>
    <w:rsid w:val="0028654B"/>
    <w:rsid w:val="0028787D"/>
    <w:rsid w:val="00287A9E"/>
    <w:rsid w:val="00287DBA"/>
    <w:rsid w:val="002937C1"/>
    <w:rsid w:val="002951C0"/>
    <w:rsid w:val="00295CCB"/>
    <w:rsid w:val="00297F7A"/>
    <w:rsid w:val="002A223D"/>
    <w:rsid w:val="002A2255"/>
    <w:rsid w:val="002A26E0"/>
    <w:rsid w:val="002A2D43"/>
    <w:rsid w:val="002A3958"/>
    <w:rsid w:val="002A6AAB"/>
    <w:rsid w:val="002A717E"/>
    <w:rsid w:val="002A75E4"/>
    <w:rsid w:val="002B0976"/>
    <w:rsid w:val="002B2BBF"/>
    <w:rsid w:val="002B45FB"/>
    <w:rsid w:val="002B7213"/>
    <w:rsid w:val="002B7233"/>
    <w:rsid w:val="002C312C"/>
    <w:rsid w:val="002C40F6"/>
    <w:rsid w:val="002C459E"/>
    <w:rsid w:val="002C64BC"/>
    <w:rsid w:val="002D0348"/>
    <w:rsid w:val="002D0F84"/>
    <w:rsid w:val="002D15FE"/>
    <w:rsid w:val="002D333D"/>
    <w:rsid w:val="002D344D"/>
    <w:rsid w:val="002D45E2"/>
    <w:rsid w:val="002D5F87"/>
    <w:rsid w:val="002D6DDE"/>
    <w:rsid w:val="002E0122"/>
    <w:rsid w:val="002E1A85"/>
    <w:rsid w:val="002E1B2E"/>
    <w:rsid w:val="002E24ED"/>
    <w:rsid w:val="002E4927"/>
    <w:rsid w:val="002E4D1A"/>
    <w:rsid w:val="002E584E"/>
    <w:rsid w:val="002E6D9D"/>
    <w:rsid w:val="002F16BC"/>
    <w:rsid w:val="002F4E68"/>
    <w:rsid w:val="002F52D5"/>
    <w:rsid w:val="002F7D56"/>
    <w:rsid w:val="003000FA"/>
    <w:rsid w:val="003024A3"/>
    <w:rsid w:val="00303EDF"/>
    <w:rsid w:val="00304E0A"/>
    <w:rsid w:val="00312208"/>
    <w:rsid w:val="003138E6"/>
    <w:rsid w:val="0032635F"/>
    <w:rsid w:val="0033117B"/>
    <w:rsid w:val="00331CFC"/>
    <w:rsid w:val="003323B3"/>
    <w:rsid w:val="00333108"/>
    <w:rsid w:val="0033319E"/>
    <w:rsid w:val="00333FB1"/>
    <w:rsid w:val="003375A3"/>
    <w:rsid w:val="00340969"/>
    <w:rsid w:val="00343761"/>
    <w:rsid w:val="00345435"/>
    <w:rsid w:val="00345C02"/>
    <w:rsid w:val="00347935"/>
    <w:rsid w:val="00352C5D"/>
    <w:rsid w:val="003547C8"/>
    <w:rsid w:val="00355CE6"/>
    <w:rsid w:val="00360F8C"/>
    <w:rsid w:val="003625BF"/>
    <w:rsid w:val="003644C1"/>
    <w:rsid w:val="0036536E"/>
    <w:rsid w:val="00365491"/>
    <w:rsid w:val="00366388"/>
    <w:rsid w:val="0036656E"/>
    <w:rsid w:val="00372459"/>
    <w:rsid w:val="0037284B"/>
    <w:rsid w:val="00376774"/>
    <w:rsid w:val="0038186F"/>
    <w:rsid w:val="00381CE9"/>
    <w:rsid w:val="003845C1"/>
    <w:rsid w:val="00385567"/>
    <w:rsid w:val="00387ED0"/>
    <w:rsid w:val="003908C2"/>
    <w:rsid w:val="0039174C"/>
    <w:rsid w:val="00393154"/>
    <w:rsid w:val="003933EC"/>
    <w:rsid w:val="00393E98"/>
    <w:rsid w:val="003952DD"/>
    <w:rsid w:val="003A2B4E"/>
    <w:rsid w:val="003A2D0C"/>
    <w:rsid w:val="003A349E"/>
    <w:rsid w:val="003A6D56"/>
    <w:rsid w:val="003A6E95"/>
    <w:rsid w:val="003B36AE"/>
    <w:rsid w:val="003B47C3"/>
    <w:rsid w:val="003B49A9"/>
    <w:rsid w:val="003B7201"/>
    <w:rsid w:val="003C0DF1"/>
    <w:rsid w:val="003C637D"/>
    <w:rsid w:val="003C66DF"/>
    <w:rsid w:val="003D06C1"/>
    <w:rsid w:val="003D0DF2"/>
    <w:rsid w:val="003D1267"/>
    <w:rsid w:val="003D201C"/>
    <w:rsid w:val="003D2A1B"/>
    <w:rsid w:val="003D391D"/>
    <w:rsid w:val="003E2954"/>
    <w:rsid w:val="003E4D85"/>
    <w:rsid w:val="003F1152"/>
    <w:rsid w:val="003F2986"/>
    <w:rsid w:val="003F3D9D"/>
    <w:rsid w:val="003F483E"/>
    <w:rsid w:val="004008A2"/>
    <w:rsid w:val="00401977"/>
    <w:rsid w:val="0040257F"/>
    <w:rsid w:val="004025DF"/>
    <w:rsid w:val="004043EB"/>
    <w:rsid w:val="00404A24"/>
    <w:rsid w:val="00405205"/>
    <w:rsid w:val="00405A31"/>
    <w:rsid w:val="00407B05"/>
    <w:rsid w:val="00413DD2"/>
    <w:rsid w:val="00414B4E"/>
    <w:rsid w:val="00415A47"/>
    <w:rsid w:val="0042077E"/>
    <w:rsid w:val="004209E6"/>
    <w:rsid w:val="004211F0"/>
    <w:rsid w:val="00421BE6"/>
    <w:rsid w:val="00421F81"/>
    <w:rsid w:val="00422C8A"/>
    <w:rsid w:val="00423E3E"/>
    <w:rsid w:val="004272BD"/>
    <w:rsid w:val="00427AF4"/>
    <w:rsid w:val="004346EB"/>
    <w:rsid w:val="00436296"/>
    <w:rsid w:val="004372F8"/>
    <w:rsid w:val="00437E7A"/>
    <w:rsid w:val="004417D4"/>
    <w:rsid w:val="004429D9"/>
    <w:rsid w:val="00443903"/>
    <w:rsid w:val="00446074"/>
    <w:rsid w:val="004461B4"/>
    <w:rsid w:val="00446C0E"/>
    <w:rsid w:val="00451052"/>
    <w:rsid w:val="00451AB4"/>
    <w:rsid w:val="00452DC7"/>
    <w:rsid w:val="00456016"/>
    <w:rsid w:val="004643EF"/>
    <w:rsid w:val="004647DA"/>
    <w:rsid w:val="00465413"/>
    <w:rsid w:val="004660CB"/>
    <w:rsid w:val="00466376"/>
    <w:rsid w:val="00466F94"/>
    <w:rsid w:val="00467196"/>
    <w:rsid w:val="00467387"/>
    <w:rsid w:val="00471A87"/>
    <w:rsid w:val="004725D3"/>
    <w:rsid w:val="00472C94"/>
    <w:rsid w:val="004752BB"/>
    <w:rsid w:val="00477D6B"/>
    <w:rsid w:val="00485736"/>
    <w:rsid w:val="00486B08"/>
    <w:rsid w:val="0049093C"/>
    <w:rsid w:val="0049123C"/>
    <w:rsid w:val="00495222"/>
    <w:rsid w:val="004A3D36"/>
    <w:rsid w:val="004A5B51"/>
    <w:rsid w:val="004A5C2C"/>
    <w:rsid w:val="004A63E0"/>
    <w:rsid w:val="004A6E7F"/>
    <w:rsid w:val="004A7AB2"/>
    <w:rsid w:val="004B0B2A"/>
    <w:rsid w:val="004B3D4B"/>
    <w:rsid w:val="004B4555"/>
    <w:rsid w:val="004B5965"/>
    <w:rsid w:val="004C170B"/>
    <w:rsid w:val="004C4C2B"/>
    <w:rsid w:val="004C5994"/>
    <w:rsid w:val="004C6771"/>
    <w:rsid w:val="004C6D1C"/>
    <w:rsid w:val="004C7690"/>
    <w:rsid w:val="004D3AC6"/>
    <w:rsid w:val="004D4273"/>
    <w:rsid w:val="004D6471"/>
    <w:rsid w:val="004D7228"/>
    <w:rsid w:val="004D7B79"/>
    <w:rsid w:val="004E0CF6"/>
    <w:rsid w:val="004E1341"/>
    <w:rsid w:val="004E55BC"/>
    <w:rsid w:val="004E5982"/>
    <w:rsid w:val="004F4FFB"/>
    <w:rsid w:val="004F627B"/>
    <w:rsid w:val="005004DE"/>
    <w:rsid w:val="00500CEC"/>
    <w:rsid w:val="005062A0"/>
    <w:rsid w:val="0050682B"/>
    <w:rsid w:val="0051400B"/>
    <w:rsid w:val="005141E1"/>
    <w:rsid w:val="00514C42"/>
    <w:rsid w:val="0051594A"/>
    <w:rsid w:val="00516073"/>
    <w:rsid w:val="0051700F"/>
    <w:rsid w:val="00517A30"/>
    <w:rsid w:val="00523FE7"/>
    <w:rsid w:val="00524088"/>
    <w:rsid w:val="005249D4"/>
    <w:rsid w:val="00525B63"/>
    <w:rsid w:val="005326E7"/>
    <w:rsid w:val="00532AFF"/>
    <w:rsid w:val="00534FBA"/>
    <w:rsid w:val="00535D25"/>
    <w:rsid w:val="00536FBF"/>
    <w:rsid w:val="00542DC5"/>
    <w:rsid w:val="00543267"/>
    <w:rsid w:val="005439EA"/>
    <w:rsid w:val="00547025"/>
    <w:rsid w:val="0055435D"/>
    <w:rsid w:val="00554F83"/>
    <w:rsid w:val="00556EF5"/>
    <w:rsid w:val="00560435"/>
    <w:rsid w:val="00561290"/>
    <w:rsid w:val="005645D0"/>
    <w:rsid w:val="00567A4C"/>
    <w:rsid w:val="00571A80"/>
    <w:rsid w:val="00571AB9"/>
    <w:rsid w:val="00571D89"/>
    <w:rsid w:val="0057396B"/>
    <w:rsid w:val="00574BED"/>
    <w:rsid w:val="00575041"/>
    <w:rsid w:val="005756EF"/>
    <w:rsid w:val="0057659A"/>
    <w:rsid w:val="00577A60"/>
    <w:rsid w:val="00582089"/>
    <w:rsid w:val="0058306C"/>
    <w:rsid w:val="005832E3"/>
    <w:rsid w:val="00583C54"/>
    <w:rsid w:val="00584EDD"/>
    <w:rsid w:val="00587B2D"/>
    <w:rsid w:val="00590984"/>
    <w:rsid w:val="00592B36"/>
    <w:rsid w:val="00593536"/>
    <w:rsid w:val="00595F07"/>
    <w:rsid w:val="005A05B2"/>
    <w:rsid w:val="005A373D"/>
    <w:rsid w:val="005A4011"/>
    <w:rsid w:val="005A4DDD"/>
    <w:rsid w:val="005A64DF"/>
    <w:rsid w:val="005A65EA"/>
    <w:rsid w:val="005C16CB"/>
    <w:rsid w:val="005C1EF2"/>
    <w:rsid w:val="005C360D"/>
    <w:rsid w:val="005C4572"/>
    <w:rsid w:val="005C5A67"/>
    <w:rsid w:val="005C6255"/>
    <w:rsid w:val="005C79AE"/>
    <w:rsid w:val="005C7E5D"/>
    <w:rsid w:val="005D10CD"/>
    <w:rsid w:val="005D19E9"/>
    <w:rsid w:val="005D1BCA"/>
    <w:rsid w:val="005D498A"/>
    <w:rsid w:val="005D6A63"/>
    <w:rsid w:val="005D741D"/>
    <w:rsid w:val="005E03DB"/>
    <w:rsid w:val="005E132A"/>
    <w:rsid w:val="005E520C"/>
    <w:rsid w:val="005E6516"/>
    <w:rsid w:val="005F008B"/>
    <w:rsid w:val="005F1E9F"/>
    <w:rsid w:val="005F6DB3"/>
    <w:rsid w:val="006005B3"/>
    <w:rsid w:val="00601967"/>
    <w:rsid w:val="006039D5"/>
    <w:rsid w:val="00605827"/>
    <w:rsid w:val="00606B9D"/>
    <w:rsid w:val="00607C29"/>
    <w:rsid w:val="00612320"/>
    <w:rsid w:val="00612D47"/>
    <w:rsid w:val="00614FF1"/>
    <w:rsid w:val="00616A6E"/>
    <w:rsid w:val="0062421F"/>
    <w:rsid w:val="006251BD"/>
    <w:rsid w:val="00627FD0"/>
    <w:rsid w:val="00630632"/>
    <w:rsid w:val="00630AB1"/>
    <w:rsid w:val="00631581"/>
    <w:rsid w:val="00631695"/>
    <w:rsid w:val="00631B03"/>
    <w:rsid w:val="0063221F"/>
    <w:rsid w:val="00632BA6"/>
    <w:rsid w:val="00632EE3"/>
    <w:rsid w:val="00637462"/>
    <w:rsid w:val="00644B09"/>
    <w:rsid w:val="006450DB"/>
    <w:rsid w:val="00646335"/>
    <w:rsid w:val="00646DE5"/>
    <w:rsid w:val="00647C0D"/>
    <w:rsid w:val="006508D0"/>
    <w:rsid w:val="00652499"/>
    <w:rsid w:val="00652B97"/>
    <w:rsid w:val="006535C3"/>
    <w:rsid w:val="00657AA6"/>
    <w:rsid w:val="00662780"/>
    <w:rsid w:val="00663EED"/>
    <w:rsid w:val="00665013"/>
    <w:rsid w:val="006667D0"/>
    <w:rsid w:val="006711F0"/>
    <w:rsid w:val="00671A86"/>
    <w:rsid w:val="006779C8"/>
    <w:rsid w:val="00681D73"/>
    <w:rsid w:val="00683660"/>
    <w:rsid w:val="00685A76"/>
    <w:rsid w:val="0068650B"/>
    <w:rsid w:val="006934C6"/>
    <w:rsid w:val="00693A94"/>
    <w:rsid w:val="0069682A"/>
    <w:rsid w:val="0069741F"/>
    <w:rsid w:val="006A0AEE"/>
    <w:rsid w:val="006A1B26"/>
    <w:rsid w:val="006A1D13"/>
    <w:rsid w:val="006A458B"/>
    <w:rsid w:val="006A6E9E"/>
    <w:rsid w:val="006B0DB5"/>
    <w:rsid w:val="006B3CDE"/>
    <w:rsid w:val="006B51E0"/>
    <w:rsid w:val="006B7E46"/>
    <w:rsid w:val="006C3FE6"/>
    <w:rsid w:val="006C4CB8"/>
    <w:rsid w:val="006C5FC3"/>
    <w:rsid w:val="006C69F3"/>
    <w:rsid w:val="006C706D"/>
    <w:rsid w:val="006C780C"/>
    <w:rsid w:val="006C7CFD"/>
    <w:rsid w:val="006D04E1"/>
    <w:rsid w:val="006D3B73"/>
    <w:rsid w:val="006D5516"/>
    <w:rsid w:val="006D698D"/>
    <w:rsid w:val="006E6F53"/>
    <w:rsid w:val="006E74A3"/>
    <w:rsid w:val="006F0ED5"/>
    <w:rsid w:val="006F3093"/>
    <w:rsid w:val="006F5178"/>
    <w:rsid w:val="007000B7"/>
    <w:rsid w:val="00700FEC"/>
    <w:rsid w:val="007026B3"/>
    <w:rsid w:val="00703462"/>
    <w:rsid w:val="00704796"/>
    <w:rsid w:val="007060C3"/>
    <w:rsid w:val="00714CBF"/>
    <w:rsid w:val="007151BD"/>
    <w:rsid w:val="0071660D"/>
    <w:rsid w:val="00716AEC"/>
    <w:rsid w:val="00720109"/>
    <w:rsid w:val="0072215F"/>
    <w:rsid w:val="0072611F"/>
    <w:rsid w:val="007329EA"/>
    <w:rsid w:val="007344F9"/>
    <w:rsid w:val="00736D50"/>
    <w:rsid w:val="00737FA6"/>
    <w:rsid w:val="007402E7"/>
    <w:rsid w:val="00740C27"/>
    <w:rsid w:val="00741A75"/>
    <w:rsid w:val="00744BFF"/>
    <w:rsid w:val="007461F1"/>
    <w:rsid w:val="0074662B"/>
    <w:rsid w:val="00746B0E"/>
    <w:rsid w:val="00746D4B"/>
    <w:rsid w:val="007478EC"/>
    <w:rsid w:val="00751173"/>
    <w:rsid w:val="00751AF4"/>
    <w:rsid w:val="007557A3"/>
    <w:rsid w:val="0075601B"/>
    <w:rsid w:val="00756D49"/>
    <w:rsid w:val="00760F62"/>
    <w:rsid w:val="0076235B"/>
    <w:rsid w:val="00762DB6"/>
    <w:rsid w:val="00771B2E"/>
    <w:rsid w:val="00772EE9"/>
    <w:rsid w:val="0077316E"/>
    <w:rsid w:val="0077492B"/>
    <w:rsid w:val="00775173"/>
    <w:rsid w:val="0078248A"/>
    <w:rsid w:val="00783258"/>
    <w:rsid w:val="00784182"/>
    <w:rsid w:val="00787E1E"/>
    <w:rsid w:val="00790D1A"/>
    <w:rsid w:val="0079187F"/>
    <w:rsid w:val="00793B15"/>
    <w:rsid w:val="00794BDA"/>
    <w:rsid w:val="00795176"/>
    <w:rsid w:val="00795A66"/>
    <w:rsid w:val="00795B34"/>
    <w:rsid w:val="007A0085"/>
    <w:rsid w:val="007A0974"/>
    <w:rsid w:val="007A613C"/>
    <w:rsid w:val="007A7288"/>
    <w:rsid w:val="007B2BEB"/>
    <w:rsid w:val="007B35A5"/>
    <w:rsid w:val="007C133D"/>
    <w:rsid w:val="007C2688"/>
    <w:rsid w:val="007C4166"/>
    <w:rsid w:val="007C4E10"/>
    <w:rsid w:val="007C54D3"/>
    <w:rsid w:val="007C749C"/>
    <w:rsid w:val="007D19F1"/>
    <w:rsid w:val="007D1B9F"/>
    <w:rsid w:val="007D65D9"/>
    <w:rsid w:val="007D6636"/>
    <w:rsid w:val="007D6961"/>
    <w:rsid w:val="007D7779"/>
    <w:rsid w:val="007E1C08"/>
    <w:rsid w:val="007E29F0"/>
    <w:rsid w:val="007E2C03"/>
    <w:rsid w:val="007E3647"/>
    <w:rsid w:val="007E4A0F"/>
    <w:rsid w:val="007E631A"/>
    <w:rsid w:val="007E70C1"/>
    <w:rsid w:val="007F07CB"/>
    <w:rsid w:val="007F1DDA"/>
    <w:rsid w:val="007F4782"/>
    <w:rsid w:val="007F6D0A"/>
    <w:rsid w:val="007F6EAA"/>
    <w:rsid w:val="007F6EC4"/>
    <w:rsid w:val="0080303C"/>
    <w:rsid w:val="008037A6"/>
    <w:rsid w:val="008041EA"/>
    <w:rsid w:val="0080453E"/>
    <w:rsid w:val="00806C76"/>
    <w:rsid w:val="00807B28"/>
    <w:rsid w:val="00810CEF"/>
    <w:rsid w:val="0081208D"/>
    <w:rsid w:val="00812709"/>
    <w:rsid w:val="00817717"/>
    <w:rsid w:val="008201E2"/>
    <w:rsid w:val="00826443"/>
    <w:rsid w:val="00830105"/>
    <w:rsid w:val="00830D7A"/>
    <w:rsid w:val="008361E0"/>
    <w:rsid w:val="008400C4"/>
    <w:rsid w:val="00841175"/>
    <w:rsid w:val="008419E9"/>
    <w:rsid w:val="00843FD4"/>
    <w:rsid w:val="00847C91"/>
    <w:rsid w:val="008509A4"/>
    <w:rsid w:val="00851768"/>
    <w:rsid w:val="0085197F"/>
    <w:rsid w:val="0085354B"/>
    <w:rsid w:val="00855313"/>
    <w:rsid w:val="00857172"/>
    <w:rsid w:val="008616F9"/>
    <w:rsid w:val="008624F5"/>
    <w:rsid w:val="008631C4"/>
    <w:rsid w:val="008662D1"/>
    <w:rsid w:val="0086703D"/>
    <w:rsid w:val="00870270"/>
    <w:rsid w:val="00870D96"/>
    <w:rsid w:val="00873708"/>
    <w:rsid w:val="00875E41"/>
    <w:rsid w:val="00876043"/>
    <w:rsid w:val="008772D8"/>
    <w:rsid w:val="00877953"/>
    <w:rsid w:val="00877EE6"/>
    <w:rsid w:val="0088179A"/>
    <w:rsid w:val="00881A72"/>
    <w:rsid w:val="00881BE1"/>
    <w:rsid w:val="00882F92"/>
    <w:rsid w:val="00885F0B"/>
    <w:rsid w:val="00887EB3"/>
    <w:rsid w:val="008905B9"/>
    <w:rsid w:val="008939E8"/>
    <w:rsid w:val="008944CD"/>
    <w:rsid w:val="00894E0D"/>
    <w:rsid w:val="00894E85"/>
    <w:rsid w:val="008954AD"/>
    <w:rsid w:val="008963D9"/>
    <w:rsid w:val="00896635"/>
    <w:rsid w:val="00896C79"/>
    <w:rsid w:val="00896F78"/>
    <w:rsid w:val="008A0D94"/>
    <w:rsid w:val="008A12DE"/>
    <w:rsid w:val="008A2489"/>
    <w:rsid w:val="008A4206"/>
    <w:rsid w:val="008A60CF"/>
    <w:rsid w:val="008A7589"/>
    <w:rsid w:val="008B1056"/>
    <w:rsid w:val="008B2CC1"/>
    <w:rsid w:val="008B5FE2"/>
    <w:rsid w:val="008C0101"/>
    <w:rsid w:val="008C31DF"/>
    <w:rsid w:val="008C36F6"/>
    <w:rsid w:val="008C4993"/>
    <w:rsid w:val="008C7E04"/>
    <w:rsid w:val="008D38E2"/>
    <w:rsid w:val="008E1A92"/>
    <w:rsid w:val="008E2EF9"/>
    <w:rsid w:val="008E42C6"/>
    <w:rsid w:val="008E7635"/>
    <w:rsid w:val="008E7930"/>
    <w:rsid w:val="008F097A"/>
    <w:rsid w:val="008F30DA"/>
    <w:rsid w:val="008F3FB0"/>
    <w:rsid w:val="008F4F07"/>
    <w:rsid w:val="008F6229"/>
    <w:rsid w:val="0090009A"/>
    <w:rsid w:val="00901EAB"/>
    <w:rsid w:val="00902483"/>
    <w:rsid w:val="00903632"/>
    <w:rsid w:val="009045CE"/>
    <w:rsid w:val="00906390"/>
    <w:rsid w:val="0090731E"/>
    <w:rsid w:val="00910D73"/>
    <w:rsid w:val="009133D0"/>
    <w:rsid w:val="00915194"/>
    <w:rsid w:val="009175EF"/>
    <w:rsid w:val="009212AC"/>
    <w:rsid w:val="00922379"/>
    <w:rsid w:val="00926559"/>
    <w:rsid w:val="00932CA8"/>
    <w:rsid w:val="00935C71"/>
    <w:rsid w:val="009366DF"/>
    <w:rsid w:val="00936982"/>
    <w:rsid w:val="00937DC6"/>
    <w:rsid w:val="00940422"/>
    <w:rsid w:val="00941B0C"/>
    <w:rsid w:val="0094277D"/>
    <w:rsid w:val="009441CA"/>
    <w:rsid w:val="00944ED5"/>
    <w:rsid w:val="0094668B"/>
    <w:rsid w:val="00946A79"/>
    <w:rsid w:val="00947AF6"/>
    <w:rsid w:val="009501A5"/>
    <w:rsid w:val="00951ABA"/>
    <w:rsid w:val="0095258E"/>
    <w:rsid w:val="009530E6"/>
    <w:rsid w:val="0095473F"/>
    <w:rsid w:val="00956AF7"/>
    <w:rsid w:val="0095733E"/>
    <w:rsid w:val="00961808"/>
    <w:rsid w:val="00965780"/>
    <w:rsid w:val="00966A22"/>
    <w:rsid w:val="00966ABD"/>
    <w:rsid w:val="00971644"/>
    <w:rsid w:val="009720F5"/>
    <w:rsid w:val="00972432"/>
    <w:rsid w:val="00973988"/>
    <w:rsid w:val="00973CA7"/>
    <w:rsid w:val="00974CD6"/>
    <w:rsid w:val="0097684E"/>
    <w:rsid w:val="00983234"/>
    <w:rsid w:val="00983354"/>
    <w:rsid w:val="0098395E"/>
    <w:rsid w:val="00985922"/>
    <w:rsid w:val="00985A66"/>
    <w:rsid w:val="00985D31"/>
    <w:rsid w:val="00986588"/>
    <w:rsid w:val="00987C71"/>
    <w:rsid w:val="00990A88"/>
    <w:rsid w:val="00991413"/>
    <w:rsid w:val="00991D88"/>
    <w:rsid w:val="00992D6E"/>
    <w:rsid w:val="00992ECD"/>
    <w:rsid w:val="0099464B"/>
    <w:rsid w:val="0099586B"/>
    <w:rsid w:val="00995E73"/>
    <w:rsid w:val="00996F82"/>
    <w:rsid w:val="00997B09"/>
    <w:rsid w:val="009A28D0"/>
    <w:rsid w:val="009A34FF"/>
    <w:rsid w:val="009A3E3B"/>
    <w:rsid w:val="009A46C2"/>
    <w:rsid w:val="009A4FB4"/>
    <w:rsid w:val="009B2020"/>
    <w:rsid w:val="009B2CBD"/>
    <w:rsid w:val="009B2DB9"/>
    <w:rsid w:val="009B3D9D"/>
    <w:rsid w:val="009C1065"/>
    <w:rsid w:val="009C205B"/>
    <w:rsid w:val="009C3A63"/>
    <w:rsid w:val="009C5D34"/>
    <w:rsid w:val="009D14A1"/>
    <w:rsid w:val="009D2FDC"/>
    <w:rsid w:val="009D30E6"/>
    <w:rsid w:val="009D670C"/>
    <w:rsid w:val="009D6AFB"/>
    <w:rsid w:val="009E1A87"/>
    <w:rsid w:val="009E3F6F"/>
    <w:rsid w:val="009E41A6"/>
    <w:rsid w:val="009E5C20"/>
    <w:rsid w:val="009E5F11"/>
    <w:rsid w:val="009F1C82"/>
    <w:rsid w:val="009F1CF4"/>
    <w:rsid w:val="009F374F"/>
    <w:rsid w:val="009F499F"/>
    <w:rsid w:val="009F586C"/>
    <w:rsid w:val="009F5F97"/>
    <w:rsid w:val="009F65AD"/>
    <w:rsid w:val="00A00683"/>
    <w:rsid w:val="00A0616C"/>
    <w:rsid w:val="00A07F3C"/>
    <w:rsid w:val="00A1243B"/>
    <w:rsid w:val="00A141B3"/>
    <w:rsid w:val="00A143E2"/>
    <w:rsid w:val="00A20101"/>
    <w:rsid w:val="00A217EE"/>
    <w:rsid w:val="00A233BE"/>
    <w:rsid w:val="00A30107"/>
    <w:rsid w:val="00A339E0"/>
    <w:rsid w:val="00A344DD"/>
    <w:rsid w:val="00A35621"/>
    <w:rsid w:val="00A35CE1"/>
    <w:rsid w:val="00A35ECB"/>
    <w:rsid w:val="00A41A94"/>
    <w:rsid w:val="00A41C35"/>
    <w:rsid w:val="00A41FA4"/>
    <w:rsid w:val="00A42669"/>
    <w:rsid w:val="00A44F5B"/>
    <w:rsid w:val="00A45AC4"/>
    <w:rsid w:val="00A4606A"/>
    <w:rsid w:val="00A4613A"/>
    <w:rsid w:val="00A470CE"/>
    <w:rsid w:val="00A507B4"/>
    <w:rsid w:val="00A537E0"/>
    <w:rsid w:val="00A55277"/>
    <w:rsid w:val="00A55AE0"/>
    <w:rsid w:val="00A61BB9"/>
    <w:rsid w:val="00A64F0B"/>
    <w:rsid w:val="00A66643"/>
    <w:rsid w:val="00A66BEA"/>
    <w:rsid w:val="00A67331"/>
    <w:rsid w:val="00A70DF9"/>
    <w:rsid w:val="00A7231D"/>
    <w:rsid w:val="00A73A28"/>
    <w:rsid w:val="00A74BEA"/>
    <w:rsid w:val="00A754D7"/>
    <w:rsid w:val="00A77C76"/>
    <w:rsid w:val="00A8081E"/>
    <w:rsid w:val="00A8161A"/>
    <w:rsid w:val="00A83D8C"/>
    <w:rsid w:val="00A85A44"/>
    <w:rsid w:val="00A85D41"/>
    <w:rsid w:val="00A92B06"/>
    <w:rsid w:val="00A9382C"/>
    <w:rsid w:val="00A942A1"/>
    <w:rsid w:val="00A968B2"/>
    <w:rsid w:val="00AA0B34"/>
    <w:rsid w:val="00AA1039"/>
    <w:rsid w:val="00AA235E"/>
    <w:rsid w:val="00AA2F8C"/>
    <w:rsid w:val="00AA30B6"/>
    <w:rsid w:val="00AA47FA"/>
    <w:rsid w:val="00AA66FD"/>
    <w:rsid w:val="00AA7713"/>
    <w:rsid w:val="00AB0C89"/>
    <w:rsid w:val="00AB1228"/>
    <w:rsid w:val="00AB3642"/>
    <w:rsid w:val="00AB6876"/>
    <w:rsid w:val="00AB7521"/>
    <w:rsid w:val="00AB780C"/>
    <w:rsid w:val="00AC0510"/>
    <w:rsid w:val="00AC0864"/>
    <w:rsid w:val="00AC0AE4"/>
    <w:rsid w:val="00AC2062"/>
    <w:rsid w:val="00AC2E67"/>
    <w:rsid w:val="00AC3533"/>
    <w:rsid w:val="00AC3806"/>
    <w:rsid w:val="00AC3D6F"/>
    <w:rsid w:val="00AC69A6"/>
    <w:rsid w:val="00AC6A02"/>
    <w:rsid w:val="00AC7788"/>
    <w:rsid w:val="00AC7D55"/>
    <w:rsid w:val="00AC7DE3"/>
    <w:rsid w:val="00AD1310"/>
    <w:rsid w:val="00AD39C9"/>
    <w:rsid w:val="00AD61DB"/>
    <w:rsid w:val="00AD7709"/>
    <w:rsid w:val="00AE0BD7"/>
    <w:rsid w:val="00AE171A"/>
    <w:rsid w:val="00AE3CF5"/>
    <w:rsid w:val="00AE48E9"/>
    <w:rsid w:val="00AE62E8"/>
    <w:rsid w:val="00AE709D"/>
    <w:rsid w:val="00AF0170"/>
    <w:rsid w:val="00AF05C5"/>
    <w:rsid w:val="00AF30AE"/>
    <w:rsid w:val="00AF7405"/>
    <w:rsid w:val="00AF77AA"/>
    <w:rsid w:val="00B0162A"/>
    <w:rsid w:val="00B02593"/>
    <w:rsid w:val="00B04B9A"/>
    <w:rsid w:val="00B06439"/>
    <w:rsid w:val="00B06B90"/>
    <w:rsid w:val="00B07477"/>
    <w:rsid w:val="00B07777"/>
    <w:rsid w:val="00B07FE9"/>
    <w:rsid w:val="00B10B61"/>
    <w:rsid w:val="00B116DF"/>
    <w:rsid w:val="00B21528"/>
    <w:rsid w:val="00B22211"/>
    <w:rsid w:val="00B22D56"/>
    <w:rsid w:val="00B274E6"/>
    <w:rsid w:val="00B32F1D"/>
    <w:rsid w:val="00B3330E"/>
    <w:rsid w:val="00B40179"/>
    <w:rsid w:val="00B414B5"/>
    <w:rsid w:val="00B415CD"/>
    <w:rsid w:val="00B44FBB"/>
    <w:rsid w:val="00B4577A"/>
    <w:rsid w:val="00B45823"/>
    <w:rsid w:val="00B47D98"/>
    <w:rsid w:val="00B520B9"/>
    <w:rsid w:val="00B531DC"/>
    <w:rsid w:val="00B64CBE"/>
    <w:rsid w:val="00B66121"/>
    <w:rsid w:val="00B668B7"/>
    <w:rsid w:val="00B66D93"/>
    <w:rsid w:val="00B66F82"/>
    <w:rsid w:val="00B678B9"/>
    <w:rsid w:val="00B711E0"/>
    <w:rsid w:val="00B71681"/>
    <w:rsid w:val="00B74C64"/>
    <w:rsid w:val="00B74ED6"/>
    <w:rsid w:val="00B74F06"/>
    <w:rsid w:val="00B75FC4"/>
    <w:rsid w:val="00B82381"/>
    <w:rsid w:val="00B838DD"/>
    <w:rsid w:val="00B84098"/>
    <w:rsid w:val="00B87CB1"/>
    <w:rsid w:val="00B917A7"/>
    <w:rsid w:val="00B919C3"/>
    <w:rsid w:val="00B91D5A"/>
    <w:rsid w:val="00B95415"/>
    <w:rsid w:val="00B95DA0"/>
    <w:rsid w:val="00B95FBB"/>
    <w:rsid w:val="00B9676E"/>
    <w:rsid w:val="00B97775"/>
    <w:rsid w:val="00BA03C2"/>
    <w:rsid w:val="00BA1C3A"/>
    <w:rsid w:val="00BA2374"/>
    <w:rsid w:val="00BA39E8"/>
    <w:rsid w:val="00BA5182"/>
    <w:rsid w:val="00BA664A"/>
    <w:rsid w:val="00BB3838"/>
    <w:rsid w:val="00BB4C36"/>
    <w:rsid w:val="00BB5EAB"/>
    <w:rsid w:val="00BB6E69"/>
    <w:rsid w:val="00BC0F2C"/>
    <w:rsid w:val="00BC2FDD"/>
    <w:rsid w:val="00BC5547"/>
    <w:rsid w:val="00BC7B0B"/>
    <w:rsid w:val="00BD06E8"/>
    <w:rsid w:val="00BD1428"/>
    <w:rsid w:val="00BD42B2"/>
    <w:rsid w:val="00BD485F"/>
    <w:rsid w:val="00BE0EB3"/>
    <w:rsid w:val="00BE2B32"/>
    <w:rsid w:val="00BE4861"/>
    <w:rsid w:val="00BE75BD"/>
    <w:rsid w:val="00BF0C16"/>
    <w:rsid w:val="00BF2EDB"/>
    <w:rsid w:val="00BF53E8"/>
    <w:rsid w:val="00BF6A2E"/>
    <w:rsid w:val="00BF742C"/>
    <w:rsid w:val="00C0296D"/>
    <w:rsid w:val="00C03C8A"/>
    <w:rsid w:val="00C057D9"/>
    <w:rsid w:val="00C06558"/>
    <w:rsid w:val="00C1051C"/>
    <w:rsid w:val="00C14420"/>
    <w:rsid w:val="00C204B2"/>
    <w:rsid w:val="00C20924"/>
    <w:rsid w:val="00C20D5D"/>
    <w:rsid w:val="00C22174"/>
    <w:rsid w:val="00C224A2"/>
    <w:rsid w:val="00C229F1"/>
    <w:rsid w:val="00C238A5"/>
    <w:rsid w:val="00C24961"/>
    <w:rsid w:val="00C3056B"/>
    <w:rsid w:val="00C30A48"/>
    <w:rsid w:val="00C32571"/>
    <w:rsid w:val="00C35878"/>
    <w:rsid w:val="00C35A16"/>
    <w:rsid w:val="00C35D1D"/>
    <w:rsid w:val="00C36B02"/>
    <w:rsid w:val="00C36FB4"/>
    <w:rsid w:val="00C37434"/>
    <w:rsid w:val="00C37A65"/>
    <w:rsid w:val="00C37C59"/>
    <w:rsid w:val="00C401B3"/>
    <w:rsid w:val="00C43213"/>
    <w:rsid w:val="00C47ADA"/>
    <w:rsid w:val="00C50E9E"/>
    <w:rsid w:val="00C50FCC"/>
    <w:rsid w:val="00C54CEF"/>
    <w:rsid w:val="00C55AA7"/>
    <w:rsid w:val="00C60C0A"/>
    <w:rsid w:val="00C61B65"/>
    <w:rsid w:val="00C63B18"/>
    <w:rsid w:val="00C6454F"/>
    <w:rsid w:val="00C6457D"/>
    <w:rsid w:val="00C64A17"/>
    <w:rsid w:val="00C664C8"/>
    <w:rsid w:val="00C70BE6"/>
    <w:rsid w:val="00C76546"/>
    <w:rsid w:val="00C76B53"/>
    <w:rsid w:val="00C80D2C"/>
    <w:rsid w:val="00C82F48"/>
    <w:rsid w:val="00C8321C"/>
    <w:rsid w:val="00C83C30"/>
    <w:rsid w:val="00C85FA2"/>
    <w:rsid w:val="00C862BA"/>
    <w:rsid w:val="00C8690B"/>
    <w:rsid w:val="00C87C66"/>
    <w:rsid w:val="00C91341"/>
    <w:rsid w:val="00C91743"/>
    <w:rsid w:val="00C92F22"/>
    <w:rsid w:val="00C97B87"/>
    <w:rsid w:val="00CA0FBA"/>
    <w:rsid w:val="00CA104E"/>
    <w:rsid w:val="00CA1263"/>
    <w:rsid w:val="00CA1C1E"/>
    <w:rsid w:val="00CB05EB"/>
    <w:rsid w:val="00CB1BDA"/>
    <w:rsid w:val="00CB2CD2"/>
    <w:rsid w:val="00CB3EDF"/>
    <w:rsid w:val="00CB5608"/>
    <w:rsid w:val="00CB73CA"/>
    <w:rsid w:val="00CC1669"/>
    <w:rsid w:val="00CC26C2"/>
    <w:rsid w:val="00CC3476"/>
    <w:rsid w:val="00CC670C"/>
    <w:rsid w:val="00CD0CBC"/>
    <w:rsid w:val="00CD19B5"/>
    <w:rsid w:val="00CD1C82"/>
    <w:rsid w:val="00CD2D35"/>
    <w:rsid w:val="00CD40F1"/>
    <w:rsid w:val="00CD6C85"/>
    <w:rsid w:val="00CD6DD5"/>
    <w:rsid w:val="00CD7B4C"/>
    <w:rsid w:val="00CE2B20"/>
    <w:rsid w:val="00CE2CE8"/>
    <w:rsid w:val="00CE2F6D"/>
    <w:rsid w:val="00CE412D"/>
    <w:rsid w:val="00CE4589"/>
    <w:rsid w:val="00CE6A0E"/>
    <w:rsid w:val="00CF0460"/>
    <w:rsid w:val="00CF17D3"/>
    <w:rsid w:val="00CF21F2"/>
    <w:rsid w:val="00CF2754"/>
    <w:rsid w:val="00CF27A0"/>
    <w:rsid w:val="00CF3F2F"/>
    <w:rsid w:val="00CF45DD"/>
    <w:rsid w:val="00D02599"/>
    <w:rsid w:val="00D02791"/>
    <w:rsid w:val="00D103CE"/>
    <w:rsid w:val="00D10DA9"/>
    <w:rsid w:val="00D112BB"/>
    <w:rsid w:val="00D13B32"/>
    <w:rsid w:val="00D14F11"/>
    <w:rsid w:val="00D16627"/>
    <w:rsid w:val="00D17510"/>
    <w:rsid w:val="00D209C2"/>
    <w:rsid w:val="00D216D8"/>
    <w:rsid w:val="00D2222A"/>
    <w:rsid w:val="00D2688C"/>
    <w:rsid w:val="00D32784"/>
    <w:rsid w:val="00D352F7"/>
    <w:rsid w:val="00D359A8"/>
    <w:rsid w:val="00D379DD"/>
    <w:rsid w:val="00D37B19"/>
    <w:rsid w:val="00D43E0F"/>
    <w:rsid w:val="00D45252"/>
    <w:rsid w:val="00D45F7F"/>
    <w:rsid w:val="00D5292B"/>
    <w:rsid w:val="00D53716"/>
    <w:rsid w:val="00D54C62"/>
    <w:rsid w:val="00D620D5"/>
    <w:rsid w:val="00D6431C"/>
    <w:rsid w:val="00D64C0D"/>
    <w:rsid w:val="00D71B4D"/>
    <w:rsid w:val="00D728E6"/>
    <w:rsid w:val="00D72BF9"/>
    <w:rsid w:val="00D72FD8"/>
    <w:rsid w:val="00D75C1E"/>
    <w:rsid w:val="00D77434"/>
    <w:rsid w:val="00D777CC"/>
    <w:rsid w:val="00D810AC"/>
    <w:rsid w:val="00D8436A"/>
    <w:rsid w:val="00D84BBF"/>
    <w:rsid w:val="00D85178"/>
    <w:rsid w:val="00D90990"/>
    <w:rsid w:val="00D9175D"/>
    <w:rsid w:val="00D9225B"/>
    <w:rsid w:val="00D92B95"/>
    <w:rsid w:val="00D93753"/>
    <w:rsid w:val="00D93D55"/>
    <w:rsid w:val="00D941C0"/>
    <w:rsid w:val="00D95240"/>
    <w:rsid w:val="00D961A5"/>
    <w:rsid w:val="00D96A84"/>
    <w:rsid w:val="00D96A93"/>
    <w:rsid w:val="00D97A43"/>
    <w:rsid w:val="00DA0CD8"/>
    <w:rsid w:val="00DA114E"/>
    <w:rsid w:val="00DA3B56"/>
    <w:rsid w:val="00DA3E6F"/>
    <w:rsid w:val="00DA726A"/>
    <w:rsid w:val="00DB046F"/>
    <w:rsid w:val="00DB11E3"/>
    <w:rsid w:val="00DB4F09"/>
    <w:rsid w:val="00DB64FF"/>
    <w:rsid w:val="00DB6999"/>
    <w:rsid w:val="00DC19D3"/>
    <w:rsid w:val="00DC1F64"/>
    <w:rsid w:val="00DC250A"/>
    <w:rsid w:val="00DC319B"/>
    <w:rsid w:val="00DC36D0"/>
    <w:rsid w:val="00DC3997"/>
    <w:rsid w:val="00DC3B7D"/>
    <w:rsid w:val="00DC3F17"/>
    <w:rsid w:val="00DC7EA1"/>
    <w:rsid w:val="00DD3460"/>
    <w:rsid w:val="00DD48F8"/>
    <w:rsid w:val="00DD6A16"/>
    <w:rsid w:val="00DD6BE6"/>
    <w:rsid w:val="00DD79FD"/>
    <w:rsid w:val="00DE1B6F"/>
    <w:rsid w:val="00DE420D"/>
    <w:rsid w:val="00DE4235"/>
    <w:rsid w:val="00DF1915"/>
    <w:rsid w:val="00DF206B"/>
    <w:rsid w:val="00DF34A9"/>
    <w:rsid w:val="00DF5F8B"/>
    <w:rsid w:val="00DF6C71"/>
    <w:rsid w:val="00E0091A"/>
    <w:rsid w:val="00E04CCF"/>
    <w:rsid w:val="00E059CC"/>
    <w:rsid w:val="00E06E32"/>
    <w:rsid w:val="00E07414"/>
    <w:rsid w:val="00E14D79"/>
    <w:rsid w:val="00E17701"/>
    <w:rsid w:val="00E17B7E"/>
    <w:rsid w:val="00E17E1F"/>
    <w:rsid w:val="00E203AA"/>
    <w:rsid w:val="00E22097"/>
    <w:rsid w:val="00E2246E"/>
    <w:rsid w:val="00E22982"/>
    <w:rsid w:val="00E23AFF"/>
    <w:rsid w:val="00E24DA7"/>
    <w:rsid w:val="00E25040"/>
    <w:rsid w:val="00E26308"/>
    <w:rsid w:val="00E26B4E"/>
    <w:rsid w:val="00E2795E"/>
    <w:rsid w:val="00E31348"/>
    <w:rsid w:val="00E31F98"/>
    <w:rsid w:val="00E32C19"/>
    <w:rsid w:val="00E34972"/>
    <w:rsid w:val="00E34E24"/>
    <w:rsid w:val="00E36790"/>
    <w:rsid w:val="00E37C44"/>
    <w:rsid w:val="00E426C2"/>
    <w:rsid w:val="00E42BD8"/>
    <w:rsid w:val="00E433DB"/>
    <w:rsid w:val="00E44060"/>
    <w:rsid w:val="00E519FC"/>
    <w:rsid w:val="00E52004"/>
    <w:rsid w:val="00E527A5"/>
    <w:rsid w:val="00E5434C"/>
    <w:rsid w:val="00E5445E"/>
    <w:rsid w:val="00E5499E"/>
    <w:rsid w:val="00E663A3"/>
    <w:rsid w:val="00E66404"/>
    <w:rsid w:val="00E66CFC"/>
    <w:rsid w:val="00E7032A"/>
    <w:rsid w:val="00E706C9"/>
    <w:rsid w:val="00E74024"/>
    <w:rsid w:val="00E75405"/>
    <w:rsid w:val="00E763CF"/>
    <w:rsid w:val="00E76456"/>
    <w:rsid w:val="00E81E4B"/>
    <w:rsid w:val="00E87023"/>
    <w:rsid w:val="00E87A14"/>
    <w:rsid w:val="00E9080B"/>
    <w:rsid w:val="00E925FE"/>
    <w:rsid w:val="00E9310A"/>
    <w:rsid w:val="00E93BF0"/>
    <w:rsid w:val="00E9655A"/>
    <w:rsid w:val="00E97550"/>
    <w:rsid w:val="00EA2D75"/>
    <w:rsid w:val="00EA2E02"/>
    <w:rsid w:val="00EA42B2"/>
    <w:rsid w:val="00EA4DAF"/>
    <w:rsid w:val="00EA596F"/>
    <w:rsid w:val="00EB4FAF"/>
    <w:rsid w:val="00EB5259"/>
    <w:rsid w:val="00EB527C"/>
    <w:rsid w:val="00EB5615"/>
    <w:rsid w:val="00EB6A8C"/>
    <w:rsid w:val="00EB7CDC"/>
    <w:rsid w:val="00EC00C8"/>
    <w:rsid w:val="00EC02AE"/>
    <w:rsid w:val="00EC2755"/>
    <w:rsid w:val="00EC37BF"/>
    <w:rsid w:val="00EC7A5A"/>
    <w:rsid w:val="00ED1B68"/>
    <w:rsid w:val="00ED3E6A"/>
    <w:rsid w:val="00ED4876"/>
    <w:rsid w:val="00ED4AD5"/>
    <w:rsid w:val="00ED5FAA"/>
    <w:rsid w:val="00ED6305"/>
    <w:rsid w:val="00EE0CD9"/>
    <w:rsid w:val="00EE17EF"/>
    <w:rsid w:val="00EE503E"/>
    <w:rsid w:val="00EE54E3"/>
    <w:rsid w:val="00EE5A8A"/>
    <w:rsid w:val="00EE646E"/>
    <w:rsid w:val="00EE71CB"/>
    <w:rsid w:val="00EE7B47"/>
    <w:rsid w:val="00EF154D"/>
    <w:rsid w:val="00EF344C"/>
    <w:rsid w:val="00EF3A19"/>
    <w:rsid w:val="00EF46EC"/>
    <w:rsid w:val="00F00497"/>
    <w:rsid w:val="00F00BCB"/>
    <w:rsid w:val="00F017DE"/>
    <w:rsid w:val="00F02452"/>
    <w:rsid w:val="00F030CA"/>
    <w:rsid w:val="00F05B2B"/>
    <w:rsid w:val="00F064B5"/>
    <w:rsid w:val="00F0694F"/>
    <w:rsid w:val="00F07C42"/>
    <w:rsid w:val="00F07DC9"/>
    <w:rsid w:val="00F10DB6"/>
    <w:rsid w:val="00F11C03"/>
    <w:rsid w:val="00F12275"/>
    <w:rsid w:val="00F12D02"/>
    <w:rsid w:val="00F12D0A"/>
    <w:rsid w:val="00F137CC"/>
    <w:rsid w:val="00F16975"/>
    <w:rsid w:val="00F17F9C"/>
    <w:rsid w:val="00F21060"/>
    <w:rsid w:val="00F211B2"/>
    <w:rsid w:val="00F22CB6"/>
    <w:rsid w:val="00F2300F"/>
    <w:rsid w:val="00F23474"/>
    <w:rsid w:val="00F23D95"/>
    <w:rsid w:val="00F24382"/>
    <w:rsid w:val="00F24CBC"/>
    <w:rsid w:val="00F304FA"/>
    <w:rsid w:val="00F31834"/>
    <w:rsid w:val="00F32038"/>
    <w:rsid w:val="00F366EA"/>
    <w:rsid w:val="00F36A31"/>
    <w:rsid w:val="00F36D21"/>
    <w:rsid w:val="00F40554"/>
    <w:rsid w:val="00F427A1"/>
    <w:rsid w:val="00F42EAF"/>
    <w:rsid w:val="00F4404C"/>
    <w:rsid w:val="00F44FDB"/>
    <w:rsid w:val="00F450CD"/>
    <w:rsid w:val="00F45871"/>
    <w:rsid w:val="00F52717"/>
    <w:rsid w:val="00F5518C"/>
    <w:rsid w:val="00F60979"/>
    <w:rsid w:val="00F6208F"/>
    <w:rsid w:val="00F66152"/>
    <w:rsid w:val="00F67948"/>
    <w:rsid w:val="00F73068"/>
    <w:rsid w:val="00F74B34"/>
    <w:rsid w:val="00F74FE5"/>
    <w:rsid w:val="00F75245"/>
    <w:rsid w:val="00F755F0"/>
    <w:rsid w:val="00F75A55"/>
    <w:rsid w:val="00F76166"/>
    <w:rsid w:val="00F76952"/>
    <w:rsid w:val="00F77BDA"/>
    <w:rsid w:val="00F8008A"/>
    <w:rsid w:val="00F803CD"/>
    <w:rsid w:val="00F81C9E"/>
    <w:rsid w:val="00F83065"/>
    <w:rsid w:val="00F831C6"/>
    <w:rsid w:val="00F858F8"/>
    <w:rsid w:val="00F8599F"/>
    <w:rsid w:val="00F9045F"/>
    <w:rsid w:val="00F926EC"/>
    <w:rsid w:val="00F937A1"/>
    <w:rsid w:val="00F964BA"/>
    <w:rsid w:val="00F976A5"/>
    <w:rsid w:val="00FA1073"/>
    <w:rsid w:val="00FA6F69"/>
    <w:rsid w:val="00FB0089"/>
    <w:rsid w:val="00FB62BD"/>
    <w:rsid w:val="00FB79AC"/>
    <w:rsid w:val="00FC4FB1"/>
    <w:rsid w:val="00FD001D"/>
    <w:rsid w:val="00FD2A76"/>
    <w:rsid w:val="00FD4B35"/>
    <w:rsid w:val="00FD612F"/>
    <w:rsid w:val="00FE18D8"/>
    <w:rsid w:val="00FE2DFB"/>
    <w:rsid w:val="00FE4F71"/>
    <w:rsid w:val="00FE5546"/>
    <w:rsid w:val="00FE565C"/>
    <w:rsid w:val="00FE582D"/>
    <w:rsid w:val="00FE62C7"/>
    <w:rsid w:val="00FE6BD9"/>
    <w:rsid w:val="00FE7697"/>
    <w:rsid w:val="00FE7D68"/>
    <w:rsid w:val="00FF42F0"/>
    <w:rsid w:val="00FF4371"/>
    <w:rsid w:val="00FF679F"/>
    <w:rsid w:val="00FF6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annotation reference" w:uiPriority="99"/>
    <w:lsdException w:name="Title" w:qFormat="1"/>
    <w:lsdException w:name="Default Paragraph Font" w:uiPriority="1"/>
    <w:lsdException w:name="Subtitle" w:qFormat="1"/>
    <w:lsdException w:name="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025DF"/>
    <w:rPr>
      <w:rFonts w:ascii="Arial" w:eastAsia="SimSun" w:hAnsi="Arial" w:cs="Arial"/>
      <w:sz w:val="22"/>
      <w:lang w:val="fr-CH"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Heading1"/>
    <w:next w:val="Normal"/>
    <w:qFormat/>
    <w:rsid w:val="004E5982"/>
    <w:pPr>
      <w:spacing w:after="240"/>
      <w:outlineLvl w:val="1"/>
    </w:pPr>
    <w:rPr>
      <w:caps w:val="0"/>
      <w:sz w:val="28"/>
    </w:rPr>
  </w:style>
  <w:style w:type="paragraph" w:styleId="Heading3">
    <w:name w:val="heading 3"/>
    <w:basedOn w:val="Normal"/>
    <w:next w:val="Normal"/>
    <w:qFormat/>
    <w:rsid w:val="004E5982"/>
    <w:pPr>
      <w:spacing w:before="240" w:after="60"/>
      <w:outlineLvl w:val="2"/>
    </w:pPr>
    <w:rPr>
      <w:b/>
      <w:sz w:val="26"/>
    </w:rPr>
  </w:style>
  <w:style w:type="paragraph" w:styleId="Heading4">
    <w:name w:val="heading 4"/>
    <w:basedOn w:val="Normal"/>
    <w:next w:val="Normal"/>
    <w:link w:val="Heading4Char"/>
    <w:qFormat/>
    <w:rsid w:val="00EF46EC"/>
    <w:pPr>
      <w:keepNext/>
      <w:spacing w:before="240" w:after="60" w:line="360" w:lineRule="auto"/>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rsid w:val="004025DF"/>
    <w:rPr>
      <w:b/>
      <w:bCs/>
      <w:sz w:val="18"/>
    </w:rPr>
  </w:style>
  <w:style w:type="paragraph" w:styleId="CommentText">
    <w:name w:val="annotation text"/>
    <w:basedOn w:val="Normal"/>
    <w:link w:val="CommentTextChar"/>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aliases w:val="Footnote,Char"/>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uiPriority w:val="99"/>
    <w:rsid w:val="00E706C9"/>
    <w:rPr>
      <w:rFonts w:ascii="Tahoma" w:hAnsi="Tahoma" w:cs="Tahoma"/>
      <w:sz w:val="16"/>
      <w:szCs w:val="16"/>
    </w:rPr>
  </w:style>
  <w:style w:type="character" w:customStyle="1" w:styleId="BalloonTextChar">
    <w:name w:val="Balloon Text Char"/>
    <w:basedOn w:val="DefaultParagraphFont"/>
    <w:link w:val="BalloonText"/>
    <w:uiPriority w:val="99"/>
    <w:rsid w:val="00E706C9"/>
    <w:rPr>
      <w:rFonts w:ascii="Tahoma" w:eastAsia="SimSun" w:hAnsi="Tahoma" w:cs="Tahoma"/>
      <w:sz w:val="16"/>
      <w:szCs w:val="16"/>
      <w:lang w:val="fr-CH" w:eastAsia="zh-CN"/>
    </w:rPr>
  </w:style>
  <w:style w:type="paragraph" w:customStyle="1" w:styleId="Style1">
    <w:name w:val="Style1"/>
    <w:basedOn w:val="ListParagraph"/>
    <w:qFormat/>
    <w:rsid w:val="001A0A9F"/>
    <w:pPr>
      <w:numPr>
        <w:numId w:val="5"/>
      </w:numPr>
      <w:spacing w:before="120" w:after="120"/>
    </w:pPr>
    <w:rPr>
      <w:lang w:eastAsia="en-IN"/>
    </w:rPr>
  </w:style>
  <w:style w:type="character" w:styleId="Hyperlink">
    <w:name w:val="Hyperlink"/>
    <w:uiPriority w:val="99"/>
    <w:unhideWhenUsed/>
    <w:rsid w:val="000E2FE2"/>
    <w:rPr>
      <w:color w:val="0000FF"/>
      <w:u w:val="single"/>
    </w:rPr>
  </w:style>
  <w:style w:type="character" w:customStyle="1" w:styleId="Heading1Char">
    <w:name w:val="Heading 1 Char"/>
    <w:basedOn w:val="DefaultParagraphFont"/>
    <w:link w:val="Heading1"/>
    <w:uiPriority w:val="9"/>
    <w:rsid w:val="001A0A9F"/>
    <w:rPr>
      <w:rFonts w:ascii="Arial" w:eastAsia="SimSun" w:hAnsi="Arial" w:cs="Arial"/>
      <w:b/>
      <w:bCs/>
      <w:caps/>
      <w:kern w:val="32"/>
      <w:sz w:val="22"/>
      <w:szCs w:val="32"/>
      <w:lang w:val="fr-CH" w:eastAsia="zh-CN"/>
    </w:rPr>
  </w:style>
  <w:style w:type="paragraph" w:styleId="ListParagraph">
    <w:name w:val="List Paragraph"/>
    <w:basedOn w:val="Normal"/>
    <w:uiPriority w:val="34"/>
    <w:qFormat/>
    <w:rsid w:val="001A0A9F"/>
    <w:pPr>
      <w:numPr>
        <w:numId w:val="4"/>
      </w:numPr>
      <w:spacing w:line="360" w:lineRule="auto"/>
      <w:jc w:val="both"/>
    </w:pPr>
    <w:rPr>
      <w:rFonts w:eastAsia="Calibri" w:cs="Times New Roman"/>
      <w:szCs w:val="24"/>
      <w:lang w:val="fr-FR" w:eastAsia="en-US" w:bidi="hi-IN"/>
    </w:rPr>
  </w:style>
  <w:style w:type="character" w:customStyle="1" w:styleId="Heading4Char">
    <w:name w:val="Heading 4 Char"/>
    <w:basedOn w:val="DefaultParagraphFont"/>
    <w:link w:val="Heading4"/>
    <w:rsid w:val="00EF46EC"/>
    <w:rPr>
      <w:rFonts w:ascii="Arial" w:eastAsia="SimSun" w:hAnsi="Arial" w:cs="Arial"/>
      <w:b/>
      <w:bCs/>
      <w:sz w:val="22"/>
      <w:szCs w:val="28"/>
      <w:lang w:val="fr-CH" w:eastAsia="zh-CN"/>
    </w:rPr>
  </w:style>
  <w:style w:type="character" w:customStyle="1" w:styleId="HeaderChar">
    <w:name w:val="Header Char"/>
    <w:link w:val="Header"/>
    <w:uiPriority w:val="99"/>
    <w:rsid w:val="0012066D"/>
    <w:rPr>
      <w:rFonts w:ascii="Arial" w:eastAsia="SimSun" w:hAnsi="Arial" w:cs="Arial"/>
      <w:sz w:val="22"/>
      <w:lang w:val="fr-CH" w:eastAsia="zh-CN"/>
    </w:rPr>
  </w:style>
  <w:style w:type="character" w:customStyle="1" w:styleId="FooterChar">
    <w:name w:val="Footer Char"/>
    <w:link w:val="Footer"/>
    <w:uiPriority w:val="99"/>
    <w:rsid w:val="0012066D"/>
    <w:rPr>
      <w:rFonts w:ascii="Arial" w:eastAsia="SimSun" w:hAnsi="Arial" w:cs="Arial"/>
      <w:sz w:val="22"/>
      <w:lang w:val="fr-CH" w:eastAsia="zh-CN"/>
    </w:rPr>
  </w:style>
  <w:style w:type="paragraph" w:customStyle="1" w:styleId="Default">
    <w:name w:val="Default"/>
    <w:rsid w:val="0012066D"/>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12066D"/>
    <w:rPr>
      <w:rFonts w:ascii="Arial" w:eastAsia="SimSun" w:hAnsi="Arial" w:cs="Arial"/>
      <w:sz w:val="18"/>
      <w:lang w:val="fr-CH" w:eastAsia="zh-CN"/>
    </w:rPr>
  </w:style>
  <w:style w:type="character" w:styleId="FootnoteReference">
    <w:name w:val="footnote reference"/>
    <w:unhideWhenUsed/>
    <w:rsid w:val="0012066D"/>
    <w:rPr>
      <w:vertAlign w:val="superscript"/>
    </w:rPr>
  </w:style>
  <w:style w:type="paragraph" w:styleId="NoSpacing">
    <w:name w:val="No Spacing"/>
    <w:link w:val="NoSpacingChar"/>
    <w:uiPriority w:val="1"/>
    <w:qFormat/>
    <w:rsid w:val="0012066D"/>
    <w:rPr>
      <w:rFonts w:ascii="Calibri" w:hAnsi="Calibri"/>
      <w:sz w:val="21"/>
      <w:szCs w:val="21"/>
    </w:rPr>
  </w:style>
  <w:style w:type="character" w:customStyle="1" w:styleId="NoSpacingChar">
    <w:name w:val="No Spacing Char"/>
    <w:link w:val="NoSpacing"/>
    <w:uiPriority w:val="1"/>
    <w:locked/>
    <w:rsid w:val="0012066D"/>
    <w:rPr>
      <w:rFonts w:ascii="Calibri" w:hAnsi="Calibri"/>
      <w:sz w:val="21"/>
      <w:szCs w:val="21"/>
    </w:rPr>
  </w:style>
  <w:style w:type="character" w:styleId="CommentReference">
    <w:name w:val="annotation reference"/>
    <w:uiPriority w:val="99"/>
    <w:unhideWhenUsed/>
    <w:rsid w:val="0012066D"/>
    <w:rPr>
      <w:sz w:val="16"/>
      <w:szCs w:val="16"/>
    </w:rPr>
  </w:style>
  <w:style w:type="character" w:customStyle="1" w:styleId="CommentTextChar">
    <w:name w:val="Comment Text Char"/>
    <w:link w:val="CommentText"/>
    <w:uiPriority w:val="99"/>
    <w:semiHidden/>
    <w:rsid w:val="0012066D"/>
    <w:rPr>
      <w:rFonts w:ascii="Arial" w:eastAsia="SimSun" w:hAnsi="Arial" w:cs="Arial"/>
      <w:sz w:val="18"/>
      <w:lang w:val="fr-CH" w:eastAsia="zh-CN"/>
    </w:rPr>
  </w:style>
  <w:style w:type="paragraph" w:customStyle="1" w:styleId="ListparagraphII">
    <w:name w:val="List paragraph II"/>
    <w:basedOn w:val="Normal"/>
    <w:rsid w:val="0012066D"/>
    <w:pPr>
      <w:numPr>
        <w:numId w:val="7"/>
      </w:numPr>
      <w:spacing w:after="200" w:line="276" w:lineRule="auto"/>
    </w:pPr>
    <w:rPr>
      <w:rFonts w:ascii="Calibri" w:eastAsia="Calibri" w:hAnsi="Calibri" w:cs="Mangal"/>
      <w:szCs w:val="22"/>
      <w:lang w:val="en-US" w:eastAsia="en-US"/>
    </w:rPr>
  </w:style>
  <w:style w:type="character" w:styleId="PageNumber">
    <w:name w:val="page number"/>
    <w:rsid w:val="0012066D"/>
  </w:style>
  <w:style w:type="paragraph" w:customStyle="1" w:styleId="Style2">
    <w:name w:val="Style2"/>
    <w:basedOn w:val="Style1"/>
    <w:qFormat/>
    <w:rsid w:val="00E26B4E"/>
    <w:pPr>
      <w:numPr>
        <w:numId w:val="13"/>
      </w:numPr>
      <w:ind w:left="567" w:hanging="567"/>
    </w:pPr>
  </w:style>
  <w:style w:type="paragraph" w:styleId="CommentSubject">
    <w:name w:val="annotation subject"/>
    <w:basedOn w:val="CommentText"/>
    <w:next w:val="CommentText"/>
    <w:link w:val="CommentSubjectChar"/>
    <w:rsid w:val="00B75FC4"/>
    <w:rPr>
      <w:b/>
      <w:bCs/>
      <w:sz w:val="20"/>
    </w:rPr>
  </w:style>
  <w:style w:type="character" w:customStyle="1" w:styleId="CommentSubjectChar">
    <w:name w:val="Comment Subject Char"/>
    <w:basedOn w:val="CommentTextChar"/>
    <w:link w:val="CommentSubject"/>
    <w:rsid w:val="00B75FC4"/>
    <w:rPr>
      <w:rFonts w:ascii="Arial" w:eastAsia="SimSun" w:hAnsi="Arial" w:cs="Arial"/>
      <w:b/>
      <w:bCs/>
      <w:sz w:val="18"/>
      <w:lang w:val="fr-CH" w:eastAsia="zh-CN"/>
    </w:rPr>
  </w:style>
  <w:style w:type="paragraph" w:styleId="Revision">
    <w:name w:val="Revision"/>
    <w:hidden/>
    <w:uiPriority w:val="99"/>
    <w:semiHidden/>
    <w:rsid w:val="00D54C62"/>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annotation reference" w:uiPriority="99"/>
    <w:lsdException w:name="Title" w:qFormat="1"/>
    <w:lsdException w:name="Default Paragraph Font" w:uiPriority="1"/>
    <w:lsdException w:name="Subtitle" w:qFormat="1"/>
    <w:lsdException w:name="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025DF"/>
    <w:rPr>
      <w:rFonts w:ascii="Arial" w:eastAsia="SimSun" w:hAnsi="Arial" w:cs="Arial"/>
      <w:sz w:val="22"/>
      <w:lang w:val="fr-CH"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Heading1"/>
    <w:next w:val="Normal"/>
    <w:qFormat/>
    <w:rsid w:val="004E5982"/>
    <w:pPr>
      <w:spacing w:after="240"/>
      <w:outlineLvl w:val="1"/>
    </w:pPr>
    <w:rPr>
      <w:caps w:val="0"/>
      <w:sz w:val="28"/>
    </w:rPr>
  </w:style>
  <w:style w:type="paragraph" w:styleId="Heading3">
    <w:name w:val="heading 3"/>
    <w:basedOn w:val="Normal"/>
    <w:next w:val="Normal"/>
    <w:qFormat/>
    <w:rsid w:val="004E5982"/>
    <w:pPr>
      <w:spacing w:before="240" w:after="60"/>
      <w:outlineLvl w:val="2"/>
    </w:pPr>
    <w:rPr>
      <w:b/>
      <w:sz w:val="26"/>
    </w:rPr>
  </w:style>
  <w:style w:type="paragraph" w:styleId="Heading4">
    <w:name w:val="heading 4"/>
    <w:basedOn w:val="Normal"/>
    <w:next w:val="Normal"/>
    <w:link w:val="Heading4Char"/>
    <w:qFormat/>
    <w:rsid w:val="00EF46EC"/>
    <w:pPr>
      <w:keepNext/>
      <w:spacing w:before="240" w:after="60" w:line="360" w:lineRule="auto"/>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rsid w:val="004025DF"/>
    <w:rPr>
      <w:b/>
      <w:bCs/>
      <w:sz w:val="18"/>
    </w:rPr>
  </w:style>
  <w:style w:type="paragraph" w:styleId="CommentText">
    <w:name w:val="annotation text"/>
    <w:basedOn w:val="Normal"/>
    <w:link w:val="CommentTextChar"/>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aliases w:val="Footnote,Char"/>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uiPriority w:val="99"/>
    <w:rsid w:val="00E706C9"/>
    <w:rPr>
      <w:rFonts w:ascii="Tahoma" w:hAnsi="Tahoma" w:cs="Tahoma"/>
      <w:sz w:val="16"/>
      <w:szCs w:val="16"/>
    </w:rPr>
  </w:style>
  <w:style w:type="character" w:customStyle="1" w:styleId="BalloonTextChar">
    <w:name w:val="Balloon Text Char"/>
    <w:basedOn w:val="DefaultParagraphFont"/>
    <w:link w:val="BalloonText"/>
    <w:uiPriority w:val="99"/>
    <w:rsid w:val="00E706C9"/>
    <w:rPr>
      <w:rFonts w:ascii="Tahoma" w:eastAsia="SimSun" w:hAnsi="Tahoma" w:cs="Tahoma"/>
      <w:sz w:val="16"/>
      <w:szCs w:val="16"/>
      <w:lang w:val="fr-CH" w:eastAsia="zh-CN"/>
    </w:rPr>
  </w:style>
  <w:style w:type="paragraph" w:customStyle="1" w:styleId="Style1">
    <w:name w:val="Style1"/>
    <w:basedOn w:val="ListParagraph"/>
    <w:qFormat/>
    <w:rsid w:val="001A0A9F"/>
    <w:pPr>
      <w:numPr>
        <w:numId w:val="5"/>
      </w:numPr>
      <w:spacing w:before="120" w:after="120"/>
    </w:pPr>
    <w:rPr>
      <w:lang w:eastAsia="en-IN"/>
    </w:rPr>
  </w:style>
  <w:style w:type="character" w:styleId="Hyperlink">
    <w:name w:val="Hyperlink"/>
    <w:uiPriority w:val="99"/>
    <w:unhideWhenUsed/>
    <w:rsid w:val="000E2FE2"/>
    <w:rPr>
      <w:color w:val="0000FF"/>
      <w:u w:val="single"/>
    </w:rPr>
  </w:style>
  <w:style w:type="character" w:customStyle="1" w:styleId="Heading1Char">
    <w:name w:val="Heading 1 Char"/>
    <w:basedOn w:val="DefaultParagraphFont"/>
    <w:link w:val="Heading1"/>
    <w:uiPriority w:val="9"/>
    <w:rsid w:val="001A0A9F"/>
    <w:rPr>
      <w:rFonts w:ascii="Arial" w:eastAsia="SimSun" w:hAnsi="Arial" w:cs="Arial"/>
      <w:b/>
      <w:bCs/>
      <w:caps/>
      <w:kern w:val="32"/>
      <w:sz w:val="22"/>
      <w:szCs w:val="32"/>
      <w:lang w:val="fr-CH" w:eastAsia="zh-CN"/>
    </w:rPr>
  </w:style>
  <w:style w:type="paragraph" w:styleId="ListParagraph">
    <w:name w:val="List Paragraph"/>
    <w:basedOn w:val="Normal"/>
    <w:uiPriority w:val="34"/>
    <w:qFormat/>
    <w:rsid w:val="001A0A9F"/>
    <w:pPr>
      <w:numPr>
        <w:numId w:val="4"/>
      </w:numPr>
      <w:spacing w:line="360" w:lineRule="auto"/>
      <w:jc w:val="both"/>
    </w:pPr>
    <w:rPr>
      <w:rFonts w:eastAsia="Calibri" w:cs="Times New Roman"/>
      <w:szCs w:val="24"/>
      <w:lang w:val="fr-FR" w:eastAsia="en-US" w:bidi="hi-IN"/>
    </w:rPr>
  </w:style>
  <w:style w:type="character" w:customStyle="1" w:styleId="Heading4Char">
    <w:name w:val="Heading 4 Char"/>
    <w:basedOn w:val="DefaultParagraphFont"/>
    <w:link w:val="Heading4"/>
    <w:rsid w:val="00EF46EC"/>
    <w:rPr>
      <w:rFonts w:ascii="Arial" w:eastAsia="SimSun" w:hAnsi="Arial" w:cs="Arial"/>
      <w:b/>
      <w:bCs/>
      <w:sz w:val="22"/>
      <w:szCs w:val="28"/>
      <w:lang w:val="fr-CH" w:eastAsia="zh-CN"/>
    </w:rPr>
  </w:style>
  <w:style w:type="character" w:customStyle="1" w:styleId="HeaderChar">
    <w:name w:val="Header Char"/>
    <w:link w:val="Header"/>
    <w:uiPriority w:val="99"/>
    <w:rsid w:val="0012066D"/>
    <w:rPr>
      <w:rFonts w:ascii="Arial" w:eastAsia="SimSun" w:hAnsi="Arial" w:cs="Arial"/>
      <w:sz w:val="22"/>
      <w:lang w:val="fr-CH" w:eastAsia="zh-CN"/>
    </w:rPr>
  </w:style>
  <w:style w:type="character" w:customStyle="1" w:styleId="FooterChar">
    <w:name w:val="Footer Char"/>
    <w:link w:val="Footer"/>
    <w:uiPriority w:val="99"/>
    <w:rsid w:val="0012066D"/>
    <w:rPr>
      <w:rFonts w:ascii="Arial" w:eastAsia="SimSun" w:hAnsi="Arial" w:cs="Arial"/>
      <w:sz w:val="22"/>
      <w:lang w:val="fr-CH" w:eastAsia="zh-CN"/>
    </w:rPr>
  </w:style>
  <w:style w:type="paragraph" w:customStyle="1" w:styleId="Default">
    <w:name w:val="Default"/>
    <w:rsid w:val="0012066D"/>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12066D"/>
    <w:rPr>
      <w:rFonts w:ascii="Arial" w:eastAsia="SimSun" w:hAnsi="Arial" w:cs="Arial"/>
      <w:sz w:val="18"/>
      <w:lang w:val="fr-CH" w:eastAsia="zh-CN"/>
    </w:rPr>
  </w:style>
  <w:style w:type="character" w:styleId="FootnoteReference">
    <w:name w:val="footnote reference"/>
    <w:unhideWhenUsed/>
    <w:rsid w:val="0012066D"/>
    <w:rPr>
      <w:vertAlign w:val="superscript"/>
    </w:rPr>
  </w:style>
  <w:style w:type="paragraph" w:styleId="NoSpacing">
    <w:name w:val="No Spacing"/>
    <w:link w:val="NoSpacingChar"/>
    <w:uiPriority w:val="1"/>
    <w:qFormat/>
    <w:rsid w:val="0012066D"/>
    <w:rPr>
      <w:rFonts w:ascii="Calibri" w:hAnsi="Calibri"/>
      <w:sz w:val="21"/>
      <w:szCs w:val="21"/>
    </w:rPr>
  </w:style>
  <w:style w:type="character" w:customStyle="1" w:styleId="NoSpacingChar">
    <w:name w:val="No Spacing Char"/>
    <w:link w:val="NoSpacing"/>
    <w:uiPriority w:val="1"/>
    <w:locked/>
    <w:rsid w:val="0012066D"/>
    <w:rPr>
      <w:rFonts w:ascii="Calibri" w:hAnsi="Calibri"/>
      <w:sz w:val="21"/>
      <w:szCs w:val="21"/>
    </w:rPr>
  </w:style>
  <w:style w:type="character" w:styleId="CommentReference">
    <w:name w:val="annotation reference"/>
    <w:uiPriority w:val="99"/>
    <w:unhideWhenUsed/>
    <w:rsid w:val="0012066D"/>
    <w:rPr>
      <w:sz w:val="16"/>
      <w:szCs w:val="16"/>
    </w:rPr>
  </w:style>
  <w:style w:type="character" w:customStyle="1" w:styleId="CommentTextChar">
    <w:name w:val="Comment Text Char"/>
    <w:link w:val="CommentText"/>
    <w:uiPriority w:val="99"/>
    <w:semiHidden/>
    <w:rsid w:val="0012066D"/>
    <w:rPr>
      <w:rFonts w:ascii="Arial" w:eastAsia="SimSun" w:hAnsi="Arial" w:cs="Arial"/>
      <w:sz w:val="18"/>
      <w:lang w:val="fr-CH" w:eastAsia="zh-CN"/>
    </w:rPr>
  </w:style>
  <w:style w:type="paragraph" w:customStyle="1" w:styleId="ListparagraphII">
    <w:name w:val="List paragraph II"/>
    <w:basedOn w:val="Normal"/>
    <w:rsid w:val="0012066D"/>
    <w:pPr>
      <w:numPr>
        <w:numId w:val="7"/>
      </w:numPr>
      <w:spacing w:after="200" w:line="276" w:lineRule="auto"/>
    </w:pPr>
    <w:rPr>
      <w:rFonts w:ascii="Calibri" w:eastAsia="Calibri" w:hAnsi="Calibri" w:cs="Mangal"/>
      <w:szCs w:val="22"/>
      <w:lang w:val="en-US" w:eastAsia="en-US"/>
    </w:rPr>
  </w:style>
  <w:style w:type="character" w:styleId="PageNumber">
    <w:name w:val="page number"/>
    <w:rsid w:val="0012066D"/>
  </w:style>
  <w:style w:type="paragraph" w:customStyle="1" w:styleId="Style2">
    <w:name w:val="Style2"/>
    <w:basedOn w:val="Style1"/>
    <w:qFormat/>
    <w:rsid w:val="00E26B4E"/>
    <w:pPr>
      <w:numPr>
        <w:numId w:val="13"/>
      </w:numPr>
      <w:ind w:left="567" w:hanging="567"/>
    </w:pPr>
  </w:style>
  <w:style w:type="paragraph" w:styleId="CommentSubject">
    <w:name w:val="annotation subject"/>
    <w:basedOn w:val="CommentText"/>
    <w:next w:val="CommentText"/>
    <w:link w:val="CommentSubjectChar"/>
    <w:rsid w:val="00B75FC4"/>
    <w:rPr>
      <w:b/>
      <w:bCs/>
      <w:sz w:val="20"/>
    </w:rPr>
  </w:style>
  <w:style w:type="character" w:customStyle="1" w:styleId="CommentSubjectChar">
    <w:name w:val="Comment Subject Char"/>
    <w:basedOn w:val="CommentTextChar"/>
    <w:link w:val="CommentSubject"/>
    <w:rsid w:val="00B75FC4"/>
    <w:rPr>
      <w:rFonts w:ascii="Arial" w:eastAsia="SimSun" w:hAnsi="Arial" w:cs="Arial"/>
      <w:b/>
      <w:bCs/>
      <w:sz w:val="18"/>
      <w:lang w:val="fr-CH" w:eastAsia="zh-CN"/>
    </w:rPr>
  </w:style>
  <w:style w:type="paragraph" w:styleId="Revision">
    <w:name w:val="Revision"/>
    <w:hidden/>
    <w:uiPriority w:val="99"/>
    <w:semiHidden/>
    <w:rsid w:val="00D54C62"/>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subramanianKS@cag.gov.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13F7D-EF81-44A5-9538-38A01DB3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19921</Words>
  <Characters>108179</Characters>
  <Application>Microsoft Office Word</Application>
  <DocSecurity>0</DocSecurity>
  <Lines>901</Lines>
  <Paragraphs>255</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127845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COUTURE Sébastien</dc:creator>
  <cp:lastModifiedBy>NETTER Iza</cp:lastModifiedBy>
  <cp:revision>5</cp:revision>
  <cp:lastPrinted>2015-08-18T14:07:00Z</cp:lastPrinted>
  <dcterms:created xsi:type="dcterms:W3CDTF">2015-08-18T09:23:00Z</dcterms:created>
  <dcterms:modified xsi:type="dcterms:W3CDTF">2015-08-18T14:09:00Z</dcterms:modified>
</cp:coreProperties>
</file>