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83"/>
      </w:tblGrid>
      <w:tr w:rsidR="008B0121" w:rsidRPr="007F3549" w:rsidTr="008C50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B0121" w:rsidRPr="00BD351E" w:rsidRDefault="008B0121" w:rsidP="008C502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0121" w:rsidRPr="007F3549" w:rsidRDefault="008B0121" w:rsidP="008C5022">
            <w:pPr>
              <w:rPr>
                <w:lang w:val="fr-FR"/>
              </w:rPr>
            </w:pPr>
            <w:r w:rsidRPr="007F3549">
              <w:rPr>
                <w:noProof/>
                <w:lang w:eastAsia="en-US"/>
              </w:rPr>
              <w:drawing>
                <wp:inline distT="0" distB="0" distL="0" distR="0" wp14:anchorId="75D994F0" wp14:editId="3733C40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B0121" w:rsidRPr="007F3549" w:rsidRDefault="008B0121" w:rsidP="008C5022">
            <w:pPr>
              <w:jc w:val="right"/>
              <w:rPr>
                <w:lang w:val="fr-FR"/>
              </w:rPr>
            </w:pPr>
            <w:r w:rsidRPr="007F354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0121" w:rsidRPr="007F3549" w:rsidTr="008C5022">
        <w:trPr>
          <w:trHeight w:hRule="exact" w:val="340"/>
        </w:trPr>
        <w:tc>
          <w:tcPr>
            <w:tcW w:w="9433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0121" w:rsidRPr="007F3549" w:rsidRDefault="008B0121" w:rsidP="008B012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3549">
              <w:rPr>
                <w:rFonts w:ascii="Arial Black" w:hAnsi="Arial Black"/>
                <w:caps/>
                <w:sz w:val="15"/>
                <w:lang w:val="fr-FR"/>
              </w:rPr>
              <w:t>wo/pbc/2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Pr="007F3549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fr-FR"/>
              </w:rPr>
              <w:t>15</w:t>
            </w:r>
          </w:p>
        </w:tc>
      </w:tr>
      <w:tr w:rsidR="008B0121" w:rsidRPr="007F3549" w:rsidTr="008C5022">
        <w:trPr>
          <w:trHeight w:hRule="exact" w:val="170"/>
        </w:trPr>
        <w:tc>
          <w:tcPr>
            <w:tcW w:w="9433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0121" w:rsidRPr="007F3549" w:rsidRDefault="008B0121" w:rsidP="008C50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  <w:r w:rsidRPr="007F3549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8B0121" w:rsidRPr="007F3549" w:rsidTr="008C5022">
        <w:trPr>
          <w:trHeight w:hRule="exact" w:val="198"/>
        </w:trPr>
        <w:tc>
          <w:tcPr>
            <w:tcW w:w="9433" w:type="dxa"/>
            <w:gridSpan w:val="3"/>
            <w:tcMar>
              <w:left w:w="0" w:type="dxa"/>
              <w:right w:w="0" w:type="dxa"/>
            </w:tcMar>
            <w:vAlign w:val="bottom"/>
          </w:tcPr>
          <w:p w:rsidR="008B0121" w:rsidRPr="007F3549" w:rsidRDefault="008B0121" w:rsidP="008B012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F3549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="004A1EFE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juillet</w:t>
            </w:r>
            <w:r w:rsidRPr="007F3549">
              <w:rPr>
                <w:rFonts w:ascii="Arial Black" w:hAnsi="Arial Black"/>
                <w:caps/>
                <w:sz w:val="15"/>
                <w:lang w:val="fr-FR"/>
              </w:rPr>
              <w:t> 2015</w:t>
            </w:r>
          </w:p>
        </w:tc>
      </w:tr>
    </w:tbl>
    <w:p w:rsidR="008B0121" w:rsidRPr="007F3549" w:rsidRDefault="008B0121" w:rsidP="008B0121">
      <w:pPr>
        <w:rPr>
          <w:lang w:val="fr-FR"/>
        </w:rPr>
      </w:pPr>
    </w:p>
    <w:p w:rsidR="008B0121" w:rsidRPr="007F3549" w:rsidRDefault="008B0121" w:rsidP="008B0121">
      <w:pPr>
        <w:rPr>
          <w:lang w:val="fr-FR"/>
        </w:rPr>
      </w:pPr>
    </w:p>
    <w:p w:rsidR="008B0121" w:rsidRPr="007F3549" w:rsidRDefault="008B0121" w:rsidP="008B0121">
      <w:pPr>
        <w:rPr>
          <w:lang w:val="fr-FR"/>
        </w:rPr>
      </w:pPr>
      <w:bookmarkStart w:id="3" w:name="_GoBack"/>
      <w:bookmarkEnd w:id="3"/>
    </w:p>
    <w:p w:rsidR="008B0121" w:rsidRPr="007F3549" w:rsidRDefault="008B0121" w:rsidP="008B0121">
      <w:pPr>
        <w:rPr>
          <w:lang w:val="fr-FR"/>
        </w:rPr>
      </w:pPr>
    </w:p>
    <w:p w:rsidR="008B0121" w:rsidRPr="007F3549" w:rsidRDefault="008B0121" w:rsidP="008B0121">
      <w:pPr>
        <w:rPr>
          <w:lang w:val="fr-FR"/>
        </w:rPr>
      </w:pPr>
    </w:p>
    <w:p w:rsidR="008B0121" w:rsidRPr="007F3549" w:rsidRDefault="008B0121" w:rsidP="008B0121">
      <w:pPr>
        <w:rPr>
          <w:b/>
          <w:sz w:val="28"/>
          <w:szCs w:val="28"/>
          <w:lang w:val="fr-FR"/>
        </w:rPr>
      </w:pPr>
      <w:r w:rsidRPr="007F3549">
        <w:rPr>
          <w:b/>
          <w:sz w:val="28"/>
          <w:szCs w:val="28"/>
          <w:lang w:val="fr-FR"/>
        </w:rPr>
        <w:t>Comit</w:t>
      </w:r>
      <w:r w:rsidRPr="007F3549">
        <w:rPr>
          <w:rFonts w:cs="Simplified Arabic"/>
          <w:b/>
          <w:sz w:val="28"/>
          <w:szCs w:val="28"/>
          <w:lang w:val="fr-FR"/>
        </w:rPr>
        <w:t>é</w:t>
      </w:r>
      <w:r w:rsidRPr="007F3549">
        <w:rPr>
          <w:b/>
          <w:sz w:val="28"/>
          <w:szCs w:val="28"/>
          <w:lang w:val="fr-FR"/>
        </w:rPr>
        <w:t xml:space="preserve"> du programme et budget</w:t>
      </w:r>
    </w:p>
    <w:p w:rsidR="008B0121" w:rsidRPr="007F3549" w:rsidRDefault="008B0121" w:rsidP="008B0121">
      <w:pPr>
        <w:rPr>
          <w:lang w:val="fr-FR"/>
        </w:rPr>
      </w:pPr>
    </w:p>
    <w:p w:rsidR="008B0121" w:rsidRPr="007F3549" w:rsidRDefault="008B0121" w:rsidP="008B0121">
      <w:pPr>
        <w:rPr>
          <w:lang w:val="fr-FR"/>
        </w:rPr>
      </w:pPr>
    </w:p>
    <w:p w:rsidR="008B0121" w:rsidRPr="007F3549" w:rsidRDefault="008B0121" w:rsidP="008B0121">
      <w:pPr>
        <w:rPr>
          <w:b/>
          <w:sz w:val="24"/>
          <w:szCs w:val="24"/>
          <w:lang w:val="fr-FR"/>
        </w:rPr>
      </w:pPr>
      <w:r w:rsidRPr="007F3549">
        <w:rPr>
          <w:b/>
          <w:bCs/>
          <w:sz w:val="24"/>
          <w:szCs w:val="24"/>
          <w:lang w:val="fr-FR"/>
        </w:rPr>
        <w:t>Vingt</w:t>
      </w:r>
      <w:r w:rsidR="00C370B2">
        <w:rPr>
          <w:b/>
          <w:bCs/>
          <w:sz w:val="24"/>
          <w:szCs w:val="24"/>
          <w:lang w:val="fr-FR"/>
        </w:rPr>
        <w:noBreakHyphen/>
      </w:r>
      <w:r>
        <w:rPr>
          <w:b/>
          <w:bCs/>
          <w:sz w:val="24"/>
          <w:szCs w:val="24"/>
          <w:lang w:val="fr-FR"/>
        </w:rPr>
        <w:t>quatri</w:t>
      </w:r>
      <w:r w:rsidRPr="007F3549">
        <w:rPr>
          <w:b/>
          <w:bCs/>
          <w:sz w:val="24"/>
          <w:szCs w:val="24"/>
          <w:lang w:val="fr-FR"/>
        </w:rPr>
        <w:t>ème se</w:t>
      </w:r>
      <w:r w:rsidRPr="007F3549">
        <w:rPr>
          <w:b/>
          <w:sz w:val="24"/>
          <w:szCs w:val="24"/>
          <w:lang w:val="fr-FR"/>
        </w:rPr>
        <w:t>ssion</w:t>
      </w:r>
    </w:p>
    <w:p w:rsidR="008B0121" w:rsidRPr="007F3549" w:rsidRDefault="008B0121" w:rsidP="008B0121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Genève, 14</w:t>
      </w:r>
      <w:r w:rsidRPr="007F3549">
        <w:rPr>
          <w:b/>
          <w:sz w:val="24"/>
          <w:szCs w:val="24"/>
          <w:lang w:val="fr-FR"/>
        </w:rPr>
        <w:t xml:space="preserve"> – 1</w:t>
      </w:r>
      <w:r>
        <w:rPr>
          <w:b/>
          <w:sz w:val="24"/>
          <w:szCs w:val="24"/>
          <w:lang w:val="fr-FR"/>
        </w:rPr>
        <w:t>8</w:t>
      </w:r>
      <w:r w:rsidRPr="007F3549">
        <w:rPr>
          <w:b/>
          <w:sz w:val="24"/>
          <w:szCs w:val="24"/>
          <w:lang w:val="fr-FR"/>
        </w:rPr>
        <w:t> </w:t>
      </w:r>
      <w:r w:rsidR="001C414D">
        <w:rPr>
          <w:b/>
          <w:sz w:val="24"/>
          <w:szCs w:val="24"/>
          <w:lang w:val="fr-FR"/>
        </w:rPr>
        <w:t>septembre</w:t>
      </w:r>
      <w:r w:rsidRPr="007F3549">
        <w:rPr>
          <w:b/>
          <w:sz w:val="24"/>
          <w:szCs w:val="24"/>
          <w:lang w:val="fr-FR"/>
        </w:rPr>
        <w:t> 2015</w:t>
      </w:r>
    </w:p>
    <w:p w:rsidR="008B0121" w:rsidRPr="007F3549" w:rsidRDefault="008B0121" w:rsidP="008B0121">
      <w:pPr>
        <w:rPr>
          <w:lang w:val="fr-FR"/>
        </w:rPr>
      </w:pPr>
    </w:p>
    <w:p w:rsidR="008B0121" w:rsidRPr="007F3549" w:rsidRDefault="008B0121" w:rsidP="008B0121">
      <w:pPr>
        <w:rPr>
          <w:lang w:val="fr-FR"/>
        </w:rPr>
      </w:pPr>
    </w:p>
    <w:p w:rsidR="008B0121" w:rsidRPr="007F3549" w:rsidRDefault="008B0121" w:rsidP="008B0121">
      <w:pPr>
        <w:rPr>
          <w:lang w:val="fr-FR"/>
        </w:rPr>
      </w:pPr>
    </w:p>
    <w:p w:rsidR="008E3893" w:rsidRPr="00F114CA" w:rsidRDefault="00E94B65" w:rsidP="00E94B65">
      <w:pPr>
        <w:rPr>
          <w:caps/>
          <w:sz w:val="24"/>
          <w:lang w:val="fr-FR"/>
        </w:rPr>
      </w:pPr>
      <w:r w:rsidRPr="00F114CA">
        <w:rPr>
          <w:caps/>
          <w:sz w:val="24"/>
          <w:lang w:val="fr-FR"/>
        </w:rPr>
        <w:t>RAPPORT final SUR L</w:t>
      </w:r>
      <w:r w:rsidR="008B0121">
        <w:rPr>
          <w:caps/>
          <w:sz w:val="24"/>
          <w:lang w:val="fr-FR"/>
        </w:rPr>
        <w:t>’</w:t>
      </w:r>
      <w:r w:rsidRPr="00F114CA">
        <w:rPr>
          <w:caps/>
          <w:sz w:val="24"/>
          <w:lang w:val="fr-FR"/>
        </w:rPr>
        <w:t>ÉTAT D</w:t>
      </w:r>
      <w:r w:rsidR="008B0121">
        <w:rPr>
          <w:caps/>
          <w:sz w:val="24"/>
          <w:lang w:val="fr-FR"/>
        </w:rPr>
        <w:t>’</w:t>
      </w:r>
      <w:r w:rsidRPr="00F114CA">
        <w:rPr>
          <w:caps/>
          <w:sz w:val="24"/>
          <w:lang w:val="fr-FR"/>
        </w:rPr>
        <w:t>AVANCEMENT DU PROJET D</w:t>
      </w:r>
      <w:r w:rsidR="008B0121">
        <w:rPr>
          <w:caps/>
          <w:sz w:val="24"/>
          <w:lang w:val="fr-FR"/>
        </w:rPr>
        <w:t>’</w:t>
      </w:r>
      <w:r w:rsidRPr="00F114CA">
        <w:rPr>
          <w:caps/>
          <w:sz w:val="24"/>
          <w:lang w:val="fr-FR"/>
        </w:rPr>
        <w:t>INVESTISSEMENT DANS LES TECHNOLOGIES DE L</w:t>
      </w:r>
      <w:r w:rsidR="008B0121">
        <w:rPr>
          <w:caps/>
          <w:sz w:val="24"/>
          <w:lang w:val="fr-FR"/>
        </w:rPr>
        <w:t>’</w:t>
      </w:r>
      <w:r w:rsidRPr="00F114CA">
        <w:rPr>
          <w:caps/>
          <w:sz w:val="24"/>
          <w:lang w:val="fr-FR"/>
        </w:rPr>
        <w:t>INFORMATION ET DE LA COMMUNICATION (TIC)</w:t>
      </w:r>
    </w:p>
    <w:p w:rsidR="008E3893" w:rsidRPr="00F114CA" w:rsidRDefault="008E3893" w:rsidP="001C2BCE">
      <w:pPr>
        <w:rPr>
          <w:lang w:val="fr-FR"/>
        </w:rPr>
      </w:pPr>
    </w:p>
    <w:p w:rsidR="008E3893" w:rsidRPr="00F114CA" w:rsidRDefault="00E94B65" w:rsidP="00E94B65">
      <w:pPr>
        <w:rPr>
          <w:i/>
          <w:lang w:val="fr-FR"/>
        </w:rPr>
      </w:pPr>
      <w:proofErr w:type="gramStart"/>
      <w:r w:rsidRPr="00F114CA">
        <w:rPr>
          <w:i/>
          <w:lang w:val="fr-FR"/>
        </w:rPr>
        <w:t>établi</w:t>
      </w:r>
      <w:proofErr w:type="gramEnd"/>
      <w:r w:rsidRPr="00F114CA">
        <w:rPr>
          <w:i/>
          <w:lang w:val="fr-FR"/>
        </w:rPr>
        <w:t xml:space="preserve"> par le Secrétariat</w:t>
      </w:r>
    </w:p>
    <w:p w:rsidR="008E3893" w:rsidRPr="00F114CA" w:rsidRDefault="008E3893" w:rsidP="001C2BCE">
      <w:pPr>
        <w:rPr>
          <w:i/>
          <w:lang w:val="fr-FR"/>
        </w:rPr>
      </w:pPr>
    </w:p>
    <w:p w:rsidR="008E3893" w:rsidRPr="00F114CA" w:rsidRDefault="008E3893" w:rsidP="001C2BCE">
      <w:pPr>
        <w:rPr>
          <w:i/>
          <w:lang w:val="fr-FR"/>
        </w:rPr>
      </w:pPr>
    </w:p>
    <w:p w:rsidR="008E3893" w:rsidRPr="00F114CA" w:rsidRDefault="008E3893" w:rsidP="001C2BCE">
      <w:pPr>
        <w:rPr>
          <w:i/>
          <w:lang w:val="fr-FR"/>
        </w:rPr>
      </w:pPr>
    </w:p>
    <w:p w:rsidR="008E3893" w:rsidRPr="00F114CA" w:rsidRDefault="008E3893" w:rsidP="001C2BCE">
      <w:pPr>
        <w:rPr>
          <w:i/>
          <w:lang w:val="fr-FR"/>
        </w:rPr>
      </w:pPr>
    </w:p>
    <w:p w:rsidR="008E3893" w:rsidRPr="00F114CA" w:rsidRDefault="00E94B65" w:rsidP="00E94B65">
      <w:pPr>
        <w:pStyle w:val="Heading1"/>
        <w:numPr>
          <w:ilvl w:val="0"/>
          <w:numId w:val="7"/>
        </w:numPr>
        <w:suppressAutoHyphens/>
        <w:spacing w:after="240"/>
        <w:ind w:left="431" w:hanging="431"/>
        <w:rPr>
          <w:szCs w:val="22"/>
          <w:lang w:val="fr-FR"/>
        </w:rPr>
      </w:pPr>
      <w:r w:rsidRPr="00F114CA">
        <w:rPr>
          <w:szCs w:val="22"/>
          <w:lang w:val="fr-FR"/>
        </w:rPr>
        <w:t>RAPPEL</w:t>
      </w:r>
    </w:p>
    <w:p w:rsidR="008E3893" w:rsidRPr="00F114CA" w:rsidRDefault="00E94B65" w:rsidP="00C370B2">
      <w:pPr>
        <w:pStyle w:val="ONUMFS"/>
        <w:rPr>
          <w:lang w:val="fr-FR"/>
        </w:rPr>
      </w:pPr>
      <w:r w:rsidRPr="00F114CA">
        <w:rPr>
          <w:lang w:val="fr-FR"/>
        </w:rPr>
        <w:t>À leur quarante</w:t>
      </w:r>
      <w:r w:rsidR="00C370B2">
        <w:rPr>
          <w:lang w:val="fr-FR"/>
        </w:rPr>
        <w:noBreakHyphen/>
      </w:r>
      <w:r w:rsidRPr="00F114CA">
        <w:rPr>
          <w:lang w:val="fr-FR"/>
        </w:rPr>
        <w:t>neuvième série de réunions (2</w:t>
      </w:r>
      <w:r w:rsidR="008B0121" w:rsidRPr="00F114CA">
        <w:rPr>
          <w:lang w:val="fr-FR"/>
        </w:rPr>
        <w:t>6</w:t>
      </w:r>
      <w:r w:rsidR="008B0121">
        <w:rPr>
          <w:lang w:val="fr-FR"/>
        </w:rPr>
        <w:t> </w:t>
      </w:r>
      <w:r w:rsidR="008B0121" w:rsidRPr="00F114CA">
        <w:rPr>
          <w:lang w:val="fr-FR"/>
        </w:rPr>
        <w:t>septembre</w:t>
      </w:r>
      <w:r w:rsidR="00C370B2">
        <w:rPr>
          <w:lang w:val="fr-FR"/>
        </w:rPr>
        <w:t xml:space="preserve"> – </w:t>
      </w:r>
      <w:r w:rsidR="008B0121" w:rsidRPr="00F114CA">
        <w:rPr>
          <w:lang w:val="fr-FR"/>
        </w:rPr>
        <w:t>5</w:t>
      </w:r>
      <w:r w:rsidR="008B0121">
        <w:rPr>
          <w:lang w:val="fr-FR"/>
        </w:rPr>
        <w:t> </w:t>
      </w:r>
      <w:r w:rsidR="008B0121" w:rsidRPr="00F114CA">
        <w:rPr>
          <w:lang w:val="fr-FR"/>
        </w:rPr>
        <w:t>octobre</w:t>
      </w:r>
      <w:r w:rsidR="008B0121">
        <w:rPr>
          <w:lang w:val="fr-FR"/>
        </w:rPr>
        <w:t> </w:t>
      </w:r>
      <w:r w:rsidR="008B0121" w:rsidRPr="00F114CA">
        <w:rPr>
          <w:lang w:val="fr-FR"/>
        </w:rPr>
        <w:t>20</w:t>
      </w:r>
      <w:r w:rsidRPr="00F114CA">
        <w:rPr>
          <w:lang w:val="fr-FR"/>
        </w:rPr>
        <w:t>11), les assemblées des États membres de l</w:t>
      </w:r>
      <w:r w:rsidR="008B0121">
        <w:rPr>
          <w:lang w:val="fr-FR"/>
        </w:rPr>
        <w:t>’</w:t>
      </w:r>
      <w:r w:rsidRPr="00F114CA">
        <w:rPr>
          <w:lang w:val="fr-FR"/>
        </w:rPr>
        <w:t>OMPI ont approuvé la proposition d</w:t>
      </w:r>
      <w:r w:rsidR="008B0121">
        <w:rPr>
          <w:lang w:val="fr-FR"/>
        </w:rPr>
        <w:t>’</w:t>
      </w:r>
      <w:r w:rsidRPr="00F114CA">
        <w:rPr>
          <w:lang w:val="fr-FR"/>
        </w:rPr>
        <w:t>investissement pour le financement de certaines activités dans le domaine des technologies de l</w:t>
      </w:r>
      <w:r w:rsidR="008B0121">
        <w:rPr>
          <w:lang w:val="fr-FR"/>
        </w:rPr>
        <w:t>’</w:t>
      </w:r>
      <w:r w:rsidRPr="00F114CA">
        <w:rPr>
          <w:lang w:val="fr-FR"/>
        </w:rPr>
        <w:t>information et de la communication (TIC) (document A/49/7).</w:t>
      </w:r>
    </w:p>
    <w:p w:rsidR="008E3893" w:rsidRPr="00F114CA" w:rsidRDefault="00E94B65" w:rsidP="00C370B2">
      <w:pPr>
        <w:pStyle w:val="ONUMFS"/>
        <w:rPr>
          <w:lang w:val="fr-FR"/>
        </w:rPr>
      </w:pPr>
      <w:r w:rsidRPr="00F114CA">
        <w:rPr>
          <w:lang w:val="fr-FR"/>
        </w:rPr>
        <w:t>Les activités visées sont les suivantes</w:t>
      </w:r>
      <w:r w:rsidR="00D15753">
        <w:rPr>
          <w:lang w:val="fr-FR"/>
        </w:rPr>
        <w:t> </w:t>
      </w:r>
      <w:r w:rsidRPr="00F114CA">
        <w:rPr>
          <w:lang w:val="fr-FR"/>
        </w:rPr>
        <w:t>:</w:t>
      </w:r>
    </w:p>
    <w:p w:rsidR="008E3893" w:rsidRPr="00F114CA" w:rsidRDefault="008E3893" w:rsidP="008E3893">
      <w:pPr>
        <w:numPr>
          <w:ilvl w:val="0"/>
          <w:numId w:val="8"/>
        </w:numPr>
        <w:spacing w:after="120"/>
        <w:ind w:left="1134" w:hanging="567"/>
        <w:rPr>
          <w:szCs w:val="22"/>
          <w:lang w:val="fr-FR" w:eastAsia="ar-SA"/>
        </w:rPr>
      </w:pPr>
      <w:r w:rsidRPr="00F114CA">
        <w:rPr>
          <w:szCs w:val="22"/>
          <w:lang w:val="fr-FR" w:eastAsia="ar-SA"/>
        </w:rPr>
        <w:t>installations dans le domaine</w:t>
      </w:r>
      <w:r w:rsidR="008B0121" w:rsidRPr="00F114CA">
        <w:rPr>
          <w:szCs w:val="22"/>
          <w:lang w:val="fr-FR" w:eastAsia="ar-SA"/>
        </w:rPr>
        <w:t xml:space="preserve"> des</w:t>
      </w:r>
      <w:r w:rsidR="008B0121">
        <w:rPr>
          <w:szCs w:val="22"/>
          <w:lang w:val="fr-FR" w:eastAsia="ar-SA"/>
        </w:rPr>
        <w:t> </w:t>
      </w:r>
      <w:r w:rsidR="008B0121" w:rsidRPr="00F114CA">
        <w:rPr>
          <w:szCs w:val="22"/>
          <w:lang w:val="fr-FR" w:eastAsia="ar-SA"/>
        </w:rPr>
        <w:t>TIC</w:t>
      </w:r>
      <w:r w:rsidRPr="00F114CA">
        <w:rPr>
          <w:szCs w:val="22"/>
          <w:lang w:val="fr-FR" w:eastAsia="ar-SA"/>
        </w:rPr>
        <w:t xml:space="preserve"> pour la nouvelle salle de conférence, les salles de réunion annexes et les autres salles de réunion situées dans les locaux de l</w:t>
      </w:r>
      <w:r w:rsidR="008B0121">
        <w:rPr>
          <w:szCs w:val="22"/>
          <w:lang w:val="fr-FR" w:eastAsia="ar-SA"/>
        </w:rPr>
        <w:t>’</w:t>
      </w:r>
      <w:r w:rsidRPr="00F114CA">
        <w:rPr>
          <w:szCs w:val="22"/>
          <w:lang w:val="fr-FR" w:eastAsia="ar-SA"/>
        </w:rPr>
        <w:t>OMPI;</w:t>
      </w:r>
    </w:p>
    <w:p w:rsidR="008E3893" w:rsidRPr="00F114CA" w:rsidRDefault="008E3893" w:rsidP="008E3893">
      <w:pPr>
        <w:numPr>
          <w:ilvl w:val="0"/>
          <w:numId w:val="8"/>
        </w:numPr>
        <w:spacing w:after="120"/>
        <w:ind w:left="1134" w:hanging="567"/>
        <w:rPr>
          <w:szCs w:val="22"/>
          <w:lang w:val="fr-FR" w:eastAsia="ar-SA"/>
        </w:rPr>
      </w:pPr>
      <w:r w:rsidRPr="00F114CA">
        <w:rPr>
          <w:szCs w:val="22"/>
          <w:lang w:val="fr-FR" w:eastAsia="ar-SA"/>
        </w:rPr>
        <w:t>remplacement de l</w:t>
      </w:r>
      <w:r w:rsidR="008B0121">
        <w:rPr>
          <w:szCs w:val="22"/>
          <w:lang w:val="fr-FR" w:eastAsia="ar-SA"/>
        </w:rPr>
        <w:t>’</w:t>
      </w:r>
      <w:r w:rsidRPr="00F114CA">
        <w:rPr>
          <w:szCs w:val="22"/>
          <w:lang w:val="fr-FR" w:eastAsia="ar-SA"/>
        </w:rPr>
        <w:t>ancien central téléphonique Nortel Meridian;  et</w:t>
      </w:r>
    </w:p>
    <w:p w:rsidR="008E3893" w:rsidRPr="00F114CA" w:rsidRDefault="008E3893" w:rsidP="008E3893">
      <w:pPr>
        <w:numPr>
          <w:ilvl w:val="0"/>
          <w:numId w:val="8"/>
        </w:numPr>
        <w:spacing w:after="220"/>
        <w:ind w:left="1134" w:hanging="567"/>
        <w:rPr>
          <w:szCs w:val="22"/>
          <w:lang w:val="fr-FR" w:eastAsia="ar-SA"/>
        </w:rPr>
      </w:pPr>
      <w:r w:rsidRPr="00F114CA">
        <w:rPr>
          <w:szCs w:val="22"/>
          <w:lang w:val="fr-FR" w:eastAsia="ar-SA"/>
        </w:rPr>
        <w:t>remplacement des ordinateurs de bureau.</w:t>
      </w:r>
    </w:p>
    <w:p w:rsidR="008E3893" w:rsidRPr="00F114CA" w:rsidRDefault="00C370B2" w:rsidP="00C370B2">
      <w:pPr>
        <w:pStyle w:val="ONUMFS"/>
        <w:rPr>
          <w:lang w:val="fr-FR" w:eastAsia="ar-SA"/>
        </w:rPr>
      </w:pPr>
      <w:r>
        <w:rPr>
          <w:lang w:val="fr-FR" w:eastAsia="ar-SA"/>
        </w:rPr>
        <w:t>À ses vingt </w:t>
      </w:r>
      <w:r w:rsidR="002E7F95" w:rsidRPr="00F114CA">
        <w:rPr>
          <w:lang w:val="fr-FR" w:eastAsia="ar-SA"/>
        </w:rPr>
        <w:t>et</w:t>
      </w:r>
      <w:r>
        <w:rPr>
          <w:lang w:val="fr-FR" w:eastAsia="ar-SA"/>
        </w:rPr>
        <w:t> </w:t>
      </w:r>
      <w:r w:rsidR="002E7F95" w:rsidRPr="00F114CA">
        <w:rPr>
          <w:lang w:val="fr-FR" w:eastAsia="ar-SA"/>
        </w:rPr>
        <w:t>unième (9</w:t>
      </w:r>
      <w:r w:rsidR="008B0121">
        <w:rPr>
          <w:lang w:val="fr-FR" w:eastAsia="ar-SA"/>
        </w:rPr>
        <w:t xml:space="preserve"> – </w:t>
      </w:r>
      <w:r w:rsidR="002E7F95" w:rsidRPr="00F114CA">
        <w:rPr>
          <w:lang w:val="fr-FR" w:eastAsia="ar-SA"/>
        </w:rPr>
        <w:t>1</w:t>
      </w:r>
      <w:r w:rsidR="008B0121" w:rsidRPr="00F114CA">
        <w:rPr>
          <w:lang w:val="fr-FR" w:eastAsia="ar-SA"/>
        </w:rPr>
        <w:t>3</w:t>
      </w:r>
      <w:r w:rsidR="008B0121">
        <w:rPr>
          <w:lang w:val="fr-FR" w:eastAsia="ar-SA"/>
        </w:rPr>
        <w:t> </w:t>
      </w:r>
      <w:r w:rsidR="008B0121" w:rsidRPr="00F114CA">
        <w:rPr>
          <w:lang w:val="fr-FR" w:eastAsia="ar-SA"/>
        </w:rPr>
        <w:t>septembre</w:t>
      </w:r>
      <w:r w:rsidR="008B0121">
        <w:rPr>
          <w:lang w:val="fr-FR" w:eastAsia="ar-SA"/>
        </w:rPr>
        <w:t> </w:t>
      </w:r>
      <w:r w:rsidR="008B0121" w:rsidRPr="00F114CA">
        <w:rPr>
          <w:lang w:val="fr-FR" w:eastAsia="ar-SA"/>
        </w:rPr>
        <w:t>20</w:t>
      </w:r>
      <w:r w:rsidR="002E7F95" w:rsidRPr="00F114CA">
        <w:rPr>
          <w:lang w:val="fr-FR" w:eastAsia="ar-SA"/>
        </w:rPr>
        <w:t>13) et vingt</w:t>
      </w:r>
      <w:r>
        <w:rPr>
          <w:lang w:val="fr-FR" w:eastAsia="ar-SA"/>
        </w:rPr>
        <w:noBreakHyphen/>
      </w:r>
      <w:r w:rsidR="002E7F95" w:rsidRPr="00F114CA">
        <w:rPr>
          <w:lang w:val="fr-FR" w:eastAsia="ar-SA"/>
        </w:rPr>
        <w:t xml:space="preserve">deuxième </w:t>
      </w:r>
      <w:r>
        <w:rPr>
          <w:lang w:val="fr-FR" w:eastAsia="ar-SA"/>
        </w:rPr>
        <w:br/>
      </w:r>
      <w:r w:rsidR="002E7F95" w:rsidRPr="00F114CA">
        <w:rPr>
          <w:lang w:val="fr-FR" w:eastAsia="ar-SA"/>
        </w:rPr>
        <w:t>(</w:t>
      </w:r>
      <w:r w:rsidR="008B0121" w:rsidRPr="00F114CA">
        <w:rPr>
          <w:lang w:val="fr-FR" w:eastAsia="ar-SA"/>
        </w:rPr>
        <w:t>1</w:t>
      </w:r>
      <w:r w:rsidR="008B0121" w:rsidRPr="00AE787D">
        <w:rPr>
          <w:vertAlign w:val="superscript"/>
          <w:lang w:val="fr-FR" w:eastAsia="ar-SA"/>
        </w:rPr>
        <w:t>er</w:t>
      </w:r>
      <w:r>
        <w:rPr>
          <w:vertAlign w:val="superscript"/>
          <w:lang w:val="fr-FR" w:eastAsia="ar-SA"/>
        </w:rPr>
        <w:t xml:space="preserve"> </w:t>
      </w:r>
      <w:r>
        <w:rPr>
          <w:lang w:val="fr-FR" w:eastAsia="ar-SA"/>
        </w:rPr>
        <w:t xml:space="preserve">– </w:t>
      </w:r>
      <w:r w:rsidR="008B0121" w:rsidRPr="00F114CA">
        <w:rPr>
          <w:lang w:val="fr-FR" w:eastAsia="ar-SA"/>
        </w:rPr>
        <w:t>5</w:t>
      </w:r>
      <w:r w:rsidR="008B0121">
        <w:rPr>
          <w:lang w:val="fr-FR" w:eastAsia="ar-SA"/>
        </w:rPr>
        <w:t> </w:t>
      </w:r>
      <w:r w:rsidR="008B0121" w:rsidRPr="00F114CA">
        <w:rPr>
          <w:lang w:val="fr-FR" w:eastAsia="ar-SA"/>
        </w:rPr>
        <w:t>septembre</w:t>
      </w:r>
      <w:r w:rsidR="008B0121">
        <w:rPr>
          <w:lang w:val="fr-FR" w:eastAsia="ar-SA"/>
        </w:rPr>
        <w:t> </w:t>
      </w:r>
      <w:r w:rsidR="008B0121" w:rsidRPr="00F114CA">
        <w:rPr>
          <w:lang w:val="fr-FR" w:eastAsia="ar-SA"/>
        </w:rPr>
        <w:t>20</w:t>
      </w:r>
      <w:r w:rsidR="002E7F95" w:rsidRPr="00F114CA">
        <w:rPr>
          <w:lang w:val="fr-FR" w:eastAsia="ar-SA"/>
        </w:rPr>
        <w:t>14) sessions, le Comité du programme et budget (PBC) a été tenu informé de l</w:t>
      </w:r>
      <w:r w:rsidR="008B0121">
        <w:rPr>
          <w:lang w:val="fr-FR" w:eastAsia="ar-SA"/>
        </w:rPr>
        <w:t>’</w:t>
      </w:r>
      <w:r w:rsidR="002E7F95" w:rsidRPr="00F114CA">
        <w:rPr>
          <w:lang w:val="fr-FR" w:eastAsia="ar-SA"/>
        </w:rPr>
        <w:t>état d</w:t>
      </w:r>
      <w:r w:rsidR="008B0121">
        <w:rPr>
          <w:lang w:val="fr-FR" w:eastAsia="ar-SA"/>
        </w:rPr>
        <w:t>’</w:t>
      </w:r>
      <w:r w:rsidR="002E7F95" w:rsidRPr="00F114CA">
        <w:rPr>
          <w:lang w:val="fr-FR" w:eastAsia="ar-SA"/>
        </w:rPr>
        <w:t>avancement de ce projet (documents WO/PBC/21/14 et WO/PBC/22/18).</w:t>
      </w:r>
      <w:r w:rsidR="001C2BCE" w:rsidRPr="00F114CA">
        <w:rPr>
          <w:lang w:val="fr-FR" w:eastAsia="ar-SA"/>
        </w:rPr>
        <w:t xml:space="preserve">  </w:t>
      </w:r>
      <w:r w:rsidR="002E7F95" w:rsidRPr="00F114CA">
        <w:rPr>
          <w:lang w:val="fr-FR" w:eastAsia="ar-SA"/>
        </w:rPr>
        <w:t>Il a été noté que le remplacement de l</w:t>
      </w:r>
      <w:r w:rsidR="008B0121">
        <w:rPr>
          <w:lang w:val="fr-FR" w:eastAsia="ar-SA"/>
        </w:rPr>
        <w:t>’</w:t>
      </w:r>
      <w:r w:rsidR="002E7F95" w:rsidRPr="00F114CA">
        <w:rPr>
          <w:lang w:val="fr-FR" w:eastAsia="ar-SA"/>
        </w:rPr>
        <w:t>ancien central téléphonique était achevé et que les principaux objectifs commerciaux définis avaient tous été atteints.</w:t>
      </w:r>
    </w:p>
    <w:p w:rsidR="008E3893" w:rsidRPr="00F114CA" w:rsidRDefault="002E7F95" w:rsidP="00C370B2">
      <w:pPr>
        <w:pStyle w:val="ONUMFS"/>
        <w:rPr>
          <w:lang w:val="fr-FR"/>
        </w:rPr>
      </w:pPr>
      <w:r w:rsidRPr="00F114CA">
        <w:rPr>
          <w:lang w:val="fr-FR" w:eastAsia="ar-SA"/>
        </w:rPr>
        <w:t>Le déploiement des installations dans le domaine</w:t>
      </w:r>
      <w:r w:rsidR="008B0121" w:rsidRPr="00F114CA">
        <w:rPr>
          <w:lang w:val="fr-FR" w:eastAsia="ar-SA"/>
        </w:rPr>
        <w:t xml:space="preserve"> des</w:t>
      </w:r>
      <w:r w:rsidR="008B0121">
        <w:rPr>
          <w:lang w:val="fr-FR" w:eastAsia="ar-SA"/>
        </w:rPr>
        <w:t> </w:t>
      </w:r>
      <w:r w:rsidR="008B0121" w:rsidRPr="00F114CA">
        <w:rPr>
          <w:lang w:val="fr-FR" w:eastAsia="ar-SA"/>
        </w:rPr>
        <w:t>TIC</w:t>
      </w:r>
      <w:r w:rsidRPr="00F114CA">
        <w:rPr>
          <w:lang w:val="fr-FR" w:eastAsia="ar-SA"/>
        </w:rPr>
        <w:t xml:space="preserve"> pour la nouvelle salle de conférence et les salles de réunion annexes a été achevé à temps pour l</w:t>
      </w:r>
      <w:r w:rsidR="008B0121">
        <w:rPr>
          <w:lang w:val="fr-FR" w:eastAsia="ar-SA"/>
        </w:rPr>
        <w:t>’</w:t>
      </w:r>
      <w:r w:rsidRPr="00F114CA">
        <w:rPr>
          <w:lang w:val="fr-FR" w:eastAsia="ar-SA"/>
        </w:rPr>
        <w:t xml:space="preserve">ouverture de la </w:t>
      </w:r>
      <w:r w:rsidRPr="00F114CA">
        <w:rPr>
          <w:lang w:val="fr-FR" w:eastAsia="ar-SA"/>
        </w:rPr>
        <w:lastRenderedPageBreak/>
        <w:t>nouvelle salle de conférence.</w:t>
      </w:r>
      <w:r w:rsidR="001C2BCE" w:rsidRPr="00F114CA">
        <w:rPr>
          <w:lang w:val="fr-FR" w:eastAsia="ar-SA"/>
        </w:rPr>
        <w:t xml:space="preserve">  </w:t>
      </w:r>
      <w:r w:rsidRPr="00F114CA">
        <w:rPr>
          <w:lang w:val="fr-FR" w:eastAsia="ar-SA"/>
        </w:rPr>
        <w:t xml:space="preserve">Les travaux supplémentaires visant à consolider le réseau </w:t>
      </w:r>
      <w:r w:rsidR="00EA3762">
        <w:rPr>
          <w:lang w:val="fr-FR" w:eastAsia="ar-SA"/>
        </w:rPr>
        <w:t>Wi</w:t>
      </w:r>
      <w:r w:rsidR="00EA3762">
        <w:rPr>
          <w:lang w:val="fr-FR" w:eastAsia="ar-SA"/>
        </w:rPr>
        <w:noBreakHyphen/>
      </w:r>
      <w:r w:rsidR="00EA3762" w:rsidRPr="00F114CA">
        <w:rPr>
          <w:lang w:val="fr-FR" w:eastAsia="ar-SA"/>
        </w:rPr>
        <w:t>Fi</w:t>
      </w:r>
      <w:r w:rsidRPr="00F114CA">
        <w:rPr>
          <w:lang w:val="fr-FR" w:eastAsia="ar-SA"/>
        </w:rPr>
        <w:t xml:space="preserve"> et les installations audiovisuelles dans les autres salles de réunion devraient être achevés d</w:t>
      </w:r>
      <w:r w:rsidR="008B0121">
        <w:rPr>
          <w:lang w:val="fr-FR" w:eastAsia="ar-SA"/>
        </w:rPr>
        <w:t>’</w:t>
      </w:r>
      <w:r w:rsidRPr="00F114CA">
        <w:rPr>
          <w:lang w:val="fr-FR" w:eastAsia="ar-SA"/>
        </w:rPr>
        <w:t>ici la fin de</w:t>
      </w:r>
      <w:r w:rsidR="00D15753">
        <w:rPr>
          <w:lang w:val="fr-FR" w:eastAsia="ar-SA"/>
        </w:rPr>
        <w:t> </w:t>
      </w:r>
      <w:r w:rsidRPr="00F114CA">
        <w:rPr>
          <w:lang w:val="fr-FR" w:eastAsia="ar-SA"/>
        </w:rPr>
        <w:t>2015.</w:t>
      </w:r>
    </w:p>
    <w:p w:rsidR="008B0121" w:rsidRDefault="002E7F95" w:rsidP="00C370B2">
      <w:pPr>
        <w:pStyle w:val="ONUMFS"/>
        <w:rPr>
          <w:lang w:val="fr-FR"/>
        </w:rPr>
      </w:pPr>
      <w:r w:rsidRPr="00F114CA">
        <w:rPr>
          <w:lang w:val="fr-FR"/>
        </w:rPr>
        <w:t>L</w:t>
      </w:r>
      <w:r w:rsidR="008B0121">
        <w:rPr>
          <w:lang w:val="fr-FR"/>
        </w:rPr>
        <w:t>’</w:t>
      </w:r>
      <w:r w:rsidRPr="00F114CA">
        <w:rPr>
          <w:lang w:val="fr-FR"/>
        </w:rPr>
        <w:t xml:space="preserve">activité de programme relative au remplacement des ordinateurs de bureau obsolètes, </w:t>
      </w:r>
      <w:r w:rsidR="008B0121">
        <w:rPr>
          <w:lang w:val="fr-FR"/>
        </w:rPr>
        <w:t>y compris</w:t>
      </w:r>
      <w:r w:rsidRPr="00F114CA">
        <w:rPr>
          <w:lang w:val="fr-FR"/>
        </w:rPr>
        <w:t xml:space="preserve"> les systèmes logiciels, a été achevée à la fin de</w:t>
      </w:r>
      <w:r w:rsidR="00D15753">
        <w:rPr>
          <w:lang w:val="fr-FR"/>
        </w:rPr>
        <w:t> </w:t>
      </w:r>
      <w:r w:rsidRPr="00F114CA">
        <w:rPr>
          <w:lang w:val="fr-FR"/>
        </w:rPr>
        <w:t>2013.</w:t>
      </w:r>
      <w:r w:rsidR="001C2BCE" w:rsidRPr="00F114CA">
        <w:rPr>
          <w:lang w:val="fr-FR"/>
        </w:rPr>
        <w:t xml:space="preserve">  </w:t>
      </w:r>
      <w:r w:rsidRPr="00F114CA">
        <w:rPr>
          <w:lang w:val="fr-FR"/>
        </w:rPr>
        <w:t xml:space="preserve">Le </w:t>
      </w:r>
      <w:r w:rsidR="00F114CA" w:rsidRPr="00F114CA">
        <w:rPr>
          <w:lang w:val="fr-FR"/>
        </w:rPr>
        <w:t>paiement</w:t>
      </w:r>
      <w:r w:rsidRPr="00F114CA">
        <w:rPr>
          <w:lang w:val="fr-FR"/>
        </w:rPr>
        <w:t xml:space="preserve"> de la dernière tranche de livraison étant prévu pour novembre 2015, cette activité sera pleinement achevée d</w:t>
      </w:r>
      <w:r w:rsidR="008B0121">
        <w:rPr>
          <w:lang w:val="fr-FR"/>
        </w:rPr>
        <w:t>’</w:t>
      </w:r>
      <w:r w:rsidRPr="00F114CA">
        <w:rPr>
          <w:lang w:val="fr-FR"/>
        </w:rPr>
        <w:t>ici la fin de</w:t>
      </w:r>
      <w:r w:rsidR="00D15753">
        <w:rPr>
          <w:lang w:val="fr-FR"/>
        </w:rPr>
        <w:t> </w:t>
      </w:r>
      <w:r w:rsidRPr="00F114CA">
        <w:rPr>
          <w:lang w:val="fr-FR"/>
        </w:rPr>
        <w:t>2015.</w:t>
      </w:r>
    </w:p>
    <w:p w:rsidR="008E3893" w:rsidRPr="00F114CA" w:rsidRDefault="002E7F95" w:rsidP="00C370B2">
      <w:pPr>
        <w:pStyle w:val="Heading1"/>
        <w:rPr>
          <w:lang w:val="fr-FR"/>
        </w:rPr>
      </w:pPr>
      <w:r w:rsidRPr="00F114CA">
        <w:rPr>
          <w:lang w:val="fr-FR"/>
        </w:rPr>
        <w:t>Résumé</w:t>
      </w:r>
    </w:p>
    <w:p w:rsidR="001C2BCE" w:rsidRPr="00F114CA" w:rsidRDefault="002E7F95" w:rsidP="00C370B2">
      <w:pPr>
        <w:pStyle w:val="ONUMFS"/>
        <w:rPr>
          <w:lang w:val="fr-FR"/>
        </w:rPr>
      </w:pPr>
      <w:r w:rsidRPr="00F114CA">
        <w:rPr>
          <w:lang w:val="fr-FR"/>
        </w:rPr>
        <w:t>Toutes les activités de projet devraient être complètement achevées d</w:t>
      </w:r>
      <w:r w:rsidR="008B0121">
        <w:rPr>
          <w:lang w:val="fr-FR"/>
        </w:rPr>
        <w:t>’</w:t>
      </w:r>
      <w:r w:rsidRPr="00F114CA">
        <w:rPr>
          <w:lang w:val="fr-FR"/>
        </w:rPr>
        <w:t>ici la fin de</w:t>
      </w:r>
      <w:r w:rsidR="00D15753">
        <w:rPr>
          <w:lang w:val="fr-FR"/>
        </w:rPr>
        <w:t> </w:t>
      </w:r>
      <w:r w:rsidRPr="00F114CA">
        <w:rPr>
          <w:lang w:val="fr-FR"/>
        </w:rPr>
        <w:t>2015.</w:t>
      </w:r>
      <w:r w:rsidR="00D15753">
        <w:rPr>
          <w:lang w:val="fr-FR"/>
        </w:rPr>
        <w:t xml:space="preserve"> </w:t>
      </w:r>
      <w:r w:rsidR="001C2BCE" w:rsidRPr="00F114CA">
        <w:rPr>
          <w:lang w:val="fr-FR"/>
        </w:rPr>
        <w:t xml:space="preserve"> </w:t>
      </w:r>
      <w:r w:rsidR="00313F62" w:rsidRPr="00F114CA">
        <w:rPr>
          <w:lang w:val="fr-FR"/>
        </w:rPr>
        <w:t>Le projet aura été exécuté conformément à la portée définie;  tous les objectifs commerciaux principaux ont été atteints comme prévu initialement.</w:t>
      </w:r>
      <w:r w:rsidR="001C2BCE" w:rsidRPr="00F114CA">
        <w:rPr>
          <w:lang w:val="fr-FR"/>
        </w:rPr>
        <w:t xml:space="preserve">  </w:t>
      </w:r>
      <w:r w:rsidR="00313F62" w:rsidRPr="00F114CA">
        <w:rPr>
          <w:lang w:val="fr-FR"/>
        </w:rPr>
        <w:t>En dépit de certaines variations entre les dépenses réelles et le budget approuvé selon les activités, l</w:t>
      </w:r>
      <w:r w:rsidR="008B0121">
        <w:rPr>
          <w:lang w:val="fr-FR"/>
        </w:rPr>
        <w:t>’</w:t>
      </w:r>
      <w:r w:rsidR="00313F62" w:rsidRPr="00F114CA">
        <w:rPr>
          <w:lang w:val="fr-FR"/>
        </w:rPr>
        <w:t>enveloppe budgétaire approuvée pour le projet dans son ensemble a été respectée.</w:t>
      </w:r>
      <w:r w:rsidR="001C2BCE" w:rsidRPr="00F114CA">
        <w:rPr>
          <w:lang w:val="fr-FR"/>
        </w:rPr>
        <w:t xml:space="preserve">  </w:t>
      </w:r>
      <w:r w:rsidR="00313F62" w:rsidRPr="00F114CA">
        <w:rPr>
          <w:lang w:val="fr-FR"/>
        </w:rPr>
        <w:t>Le tableau ci</w:t>
      </w:r>
      <w:r w:rsidR="00C370B2">
        <w:rPr>
          <w:lang w:val="fr-FR"/>
        </w:rPr>
        <w:noBreakHyphen/>
      </w:r>
      <w:r w:rsidR="00313F62" w:rsidRPr="00F114CA">
        <w:rPr>
          <w:lang w:val="fr-FR"/>
        </w:rPr>
        <w:t>dessous récapitule l</w:t>
      </w:r>
      <w:r w:rsidR="008B0121">
        <w:rPr>
          <w:lang w:val="fr-FR"/>
        </w:rPr>
        <w:t>’</w:t>
      </w:r>
      <w:r w:rsidR="00313F62" w:rsidRPr="00F114CA">
        <w:rPr>
          <w:lang w:val="fr-FR"/>
        </w:rPr>
        <w:t xml:space="preserve">utilisation du budget, </w:t>
      </w:r>
      <w:r w:rsidR="008B0121">
        <w:rPr>
          <w:lang w:val="fr-FR"/>
        </w:rPr>
        <w:t>y compris</w:t>
      </w:r>
      <w:r w:rsidR="00313F62" w:rsidRPr="00F114CA">
        <w:rPr>
          <w:lang w:val="fr-FR"/>
        </w:rPr>
        <w:t xml:space="preserve"> les engagements en cours en</w:t>
      </w:r>
      <w:r w:rsidR="00D15753">
        <w:rPr>
          <w:lang w:val="fr-FR"/>
        </w:rPr>
        <w:t> </w:t>
      </w:r>
      <w:r w:rsidR="00313F62" w:rsidRPr="00F114CA">
        <w:rPr>
          <w:lang w:val="fr-FR"/>
        </w:rPr>
        <w:t>2015.</w:t>
      </w:r>
      <w:r w:rsidR="00D15753">
        <w:rPr>
          <w:lang w:val="fr-FR"/>
        </w:rPr>
        <w:t xml:space="preserve"> </w:t>
      </w:r>
      <w:r w:rsidR="007935FC" w:rsidRPr="00F114CA">
        <w:rPr>
          <w:lang w:val="fr-FR"/>
        </w:rPr>
        <w:t xml:space="preserve"> </w:t>
      </w:r>
    </w:p>
    <w:tbl>
      <w:tblPr>
        <w:tblStyle w:val="TableGrid"/>
        <w:tblW w:w="10184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568"/>
        <w:gridCol w:w="3685"/>
        <w:gridCol w:w="1560"/>
        <w:gridCol w:w="1275"/>
        <w:gridCol w:w="1560"/>
        <w:gridCol w:w="1536"/>
      </w:tblGrid>
      <w:tr w:rsidR="00F114CA" w:rsidRPr="004A1EFE" w:rsidTr="00350663">
        <w:trPr>
          <w:trHeight w:val="817"/>
        </w:trPr>
        <w:tc>
          <w:tcPr>
            <w:tcW w:w="568" w:type="dxa"/>
            <w:tcMar>
              <w:top w:w="57" w:type="dxa"/>
              <w:bottom w:w="57" w:type="dxa"/>
            </w:tcMar>
            <w:vAlign w:val="center"/>
          </w:tcPr>
          <w:p w:rsidR="00D5745E" w:rsidRPr="00F114CA" w:rsidRDefault="00313F62" w:rsidP="00313F62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fr-FR"/>
              </w:rPr>
            </w:pPr>
            <w:r w:rsidRPr="00F114CA">
              <w:rPr>
                <w:b/>
                <w:sz w:val="18"/>
                <w:lang w:val="fr-FR"/>
              </w:rPr>
              <w:t>Réf.</w:t>
            </w: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 w:rsidR="00D5745E" w:rsidRPr="00F114CA" w:rsidRDefault="00313F62" w:rsidP="00313F62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fr-FR"/>
              </w:rPr>
            </w:pPr>
            <w:r w:rsidRPr="00F114CA">
              <w:rPr>
                <w:b/>
                <w:sz w:val="18"/>
                <w:lang w:val="fr-FR"/>
              </w:rPr>
              <w:t>Description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D5745E" w:rsidRPr="00F114CA" w:rsidRDefault="00313F62" w:rsidP="00313F62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lang w:val="fr-FR"/>
              </w:rPr>
            </w:pPr>
            <w:r w:rsidRPr="00F114CA">
              <w:rPr>
                <w:b/>
                <w:sz w:val="18"/>
                <w:lang w:val="fr-FR"/>
              </w:rPr>
              <w:t xml:space="preserve">Budget approuvé </w:t>
            </w:r>
            <w:r w:rsidRPr="00F114CA">
              <w:rPr>
                <w:b/>
                <w:sz w:val="18"/>
                <w:lang w:val="fr-FR"/>
              </w:rPr>
              <w:br/>
            </w:r>
            <w:r w:rsidRPr="001C414D">
              <w:rPr>
                <w:sz w:val="18"/>
                <w:lang w:val="fr-FR"/>
              </w:rPr>
              <w:t>(</w:t>
            </w:r>
            <w:r w:rsidRPr="00F114CA">
              <w:rPr>
                <w:sz w:val="18"/>
                <w:lang w:val="fr-FR"/>
              </w:rPr>
              <w:t>en francs suisses)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D5745E" w:rsidRPr="00F114CA" w:rsidRDefault="00313F62" w:rsidP="00313F62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fr-FR"/>
              </w:rPr>
            </w:pPr>
            <w:r w:rsidRPr="00F114CA">
              <w:rPr>
                <w:b/>
                <w:sz w:val="16"/>
                <w:lang w:val="fr-FR"/>
              </w:rPr>
              <w:t xml:space="preserve">Dépenses effectives </w:t>
            </w:r>
            <w:r w:rsidRPr="00F114CA">
              <w:rPr>
                <w:b/>
                <w:sz w:val="16"/>
                <w:lang w:val="fr-FR"/>
              </w:rPr>
              <w:br/>
            </w:r>
            <w:r w:rsidRPr="001C414D">
              <w:rPr>
                <w:sz w:val="16"/>
                <w:lang w:val="fr-FR"/>
              </w:rPr>
              <w:t>(</w:t>
            </w:r>
            <w:r w:rsidRPr="00F114CA">
              <w:rPr>
                <w:sz w:val="16"/>
                <w:lang w:val="fr-FR"/>
              </w:rPr>
              <w:t>en francs suisses)</w:t>
            </w:r>
            <w:r w:rsidR="00D5745E" w:rsidRPr="00F114CA">
              <w:rPr>
                <w:sz w:val="16"/>
                <w:lang w:val="fr-FR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5745E" w:rsidRPr="00F114CA" w:rsidRDefault="00313F62" w:rsidP="00313F62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fr-FR"/>
              </w:rPr>
            </w:pPr>
            <w:r w:rsidRPr="00F114CA">
              <w:rPr>
                <w:b/>
                <w:sz w:val="18"/>
                <w:lang w:val="fr-FR"/>
              </w:rPr>
              <w:t>Engagements restants</w:t>
            </w:r>
            <w:r w:rsidRPr="00F114CA">
              <w:rPr>
                <w:b/>
                <w:sz w:val="18"/>
                <w:lang w:val="fr-FR"/>
              </w:rPr>
              <w:br/>
            </w:r>
            <w:r w:rsidRPr="001C414D">
              <w:rPr>
                <w:sz w:val="18"/>
                <w:lang w:val="fr-FR"/>
              </w:rPr>
              <w:t>(</w:t>
            </w:r>
            <w:r w:rsidRPr="00F114CA">
              <w:rPr>
                <w:sz w:val="18"/>
                <w:lang w:val="fr-FR"/>
              </w:rPr>
              <w:t>en francs suisses)</w:t>
            </w:r>
          </w:p>
        </w:tc>
        <w:tc>
          <w:tcPr>
            <w:tcW w:w="1536" w:type="dxa"/>
            <w:vAlign w:val="center"/>
          </w:tcPr>
          <w:p w:rsidR="008E3893" w:rsidRPr="00F114CA" w:rsidRDefault="00313F62" w:rsidP="00313F62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lang w:val="fr-FR"/>
              </w:rPr>
            </w:pPr>
            <w:r w:rsidRPr="00F114CA">
              <w:rPr>
                <w:b/>
                <w:sz w:val="18"/>
                <w:lang w:val="fr-FR"/>
              </w:rPr>
              <w:t>Dépenses totales estimées</w:t>
            </w:r>
          </w:p>
          <w:p w:rsidR="00D5745E" w:rsidRPr="00AE787D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lang w:val="fr-FR"/>
              </w:rPr>
            </w:pPr>
            <w:r w:rsidRPr="00AE787D">
              <w:rPr>
                <w:sz w:val="18"/>
                <w:lang w:val="fr-FR"/>
              </w:rPr>
              <w:t>(en francs suisses)</w:t>
            </w:r>
          </w:p>
        </w:tc>
      </w:tr>
      <w:tr w:rsidR="00F114CA" w:rsidRPr="004A1EFE" w:rsidTr="00350663">
        <w:trPr>
          <w:trHeight w:val="824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1.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Installations dans le domaine</w:t>
            </w:r>
            <w:r w:rsidR="008B0121" w:rsidRPr="00F114CA">
              <w:rPr>
                <w:b/>
                <w:sz w:val="18"/>
                <w:szCs w:val="18"/>
                <w:lang w:val="fr-FR"/>
              </w:rPr>
              <w:t xml:space="preserve"> des</w:t>
            </w:r>
            <w:r w:rsidR="008B0121">
              <w:rPr>
                <w:b/>
                <w:sz w:val="18"/>
                <w:szCs w:val="18"/>
                <w:lang w:val="fr-FR"/>
              </w:rPr>
              <w:t> </w:t>
            </w:r>
            <w:r w:rsidR="008B0121" w:rsidRPr="00F114CA">
              <w:rPr>
                <w:b/>
                <w:sz w:val="18"/>
                <w:szCs w:val="18"/>
                <w:lang w:val="fr-FR"/>
              </w:rPr>
              <w:t>TIC</w:t>
            </w:r>
            <w:r w:rsidRPr="00F114CA">
              <w:rPr>
                <w:b/>
                <w:sz w:val="18"/>
                <w:szCs w:val="18"/>
                <w:lang w:val="fr-FR"/>
              </w:rPr>
              <w:t xml:space="preserve"> pour la nouvelle salle de conférence, les salles de réunion annexes et les autres salles de réunion situées dans les locaux de l</w:t>
            </w:r>
            <w:r w:rsidR="008B0121">
              <w:rPr>
                <w:b/>
                <w:sz w:val="18"/>
                <w:szCs w:val="18"/>
                <w:lang w:val="fr-FR"/>
              </w:rPr>
              <w:t>’</w:t>
            </w:r>
            <w:r w:rsidRPr="00F114CA">
              <w:rPr>
                <w:b/>
                <w:sz w:val="18"/>
                <w:szCs w:val="18"/>
                <w:lang w:val="fr-FR"/>
              </w:rPr>
              <w:t>OMPI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</w:p>
        </w:tc>
      </w:tr>
      <w:tr w:rsidR="00F114CA" w:rsidRPr="00F114CA" w:rsidTr="00350663">
        <w:trPr>
          <w:trHeight w:val="428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  <w:vAlign w:val="center"/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Commutateurs de réseau pour connecter plus de 900 places, points d</w:t>
            </w:r>
            <w:r w:rsidR="008B0121">
              <w:rPr>
                <w:sz w:val="18"/>
                <w:szCs w:val="18"/>
                <w:lang w:val="fr-FR"/>
              </w:rPr>
              <w:t>’</w:t>
            </w:r>
            <w:r w:rsidRPr="00F114CA">
              <w:rPr>
                <w:sz w:val="18"/>
                <w:szCs w:val="18"/>
                <w:lang w:val="fr-FR"/>
              </w:rPr>
              <w:t>accès Wi</w:t>
            </w:r>
            <w:r w:rsidR="00EA3762">
              <w:rPr>
                <w:sz w:val="18"/>
                <w:szCs w:val="18"/>
                <w:lang w:val="fr-FR"/>
              </w:rPr>
              <w:noBreakHyphen/>
            </w:r>
            <w:r w:rsidRPr="00F114CA">
              <w:rPr>
                <w:sz w:val="18"/>
                <w:szCs w:val="18"/>
                <w:lang w:val="fr-FR"/>
              </w:rPr>
              <w:t>Fi, couverture mobile UMTS, etc.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450 000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368 255</w:t>
            </w:r>
          </w:p>
        </w:tc>
        <w:tc>
          <w:tcPr>
            <w:tcW w:w="1560" w:type="dxa"/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80 000</w:t>
            </w:r>
          </w:p>
        </w:tc>
        <w:tc>
          <w:tcPr>
            <w:tcW w:w="1536" w:type="dxa"/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448 255</w:t>
            </w:r>
          </w:p>
        </w:tc>
      </w:tr>
      <w:tr w:rsidR="00F114CA" w:rsidRPr="00F114CA" w:rsidTr="00350663">
        <w:trPr>
          <w:trHeight w:val="267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Téléphones sur IP et infrastructure informatique connexe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30 000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33 450</w:t>
            </w:r>
          </w:p>
        </w:tc>
        <w:tc>
          <w:tcPr>
            <w:tcW w:w="1560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33 450</w:t>
            </w:r>
          </w:p>
        </w:tc>
      </w:tr>
      <w:tr w:rsidR="00F114CA" w:rsidRPr="00F114CA" w:rsidTr="00350663">
        <w:trPr>
          <w:trHeight w:val="842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Équipement de visioconférence pour les exposés à distance, diffusion sur le Web d</w:t>
            </w:r>
            <w:r w:rsidR="008B0121">
              <w:rPr>
                <w:sz w:val="18"/>
                <w:szCs w:val="18"/>
                <w:lang w:val="fr-FR"/>
              </w:rPr>
              <w:t>’</w:t>
            </w:r>
            <w:r w:rsidRPr="00F114CA">
              <w:rPr>
                <w:sz w:val="18"/>
                <w:szCs w:val="18"/>
                <w:lang w:val="fr-FR"/>
              </w:rPr>
              <w:t>enregistrements numériques, vidéo à la demande, sous</w:t>
            </w:r>
            <w:r w:rsidR="00C370B2">
              <w:rPr>
                <w:sz w:val="18"/>
                <w:szCs w:val="18"/>
                <w:lang w:val="fr-FR"/>
              </w:rPr>
              <w:noBreakHyphen/>
            </w:r>
            <w:r w:rsidRPr="00F114CA">
              <w:rPr>
                <w:sz w:val="18"/>
                <w:szCs w:val="18"/>
                <w:lang w:val="fr-FR"/>
              </w:rPr>
              <w:t>titrage, etc.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600 000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14274C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304 921</w:t>
            </w:r>
          </w:p>
        </w:tc>
        <w:tc>
          <w:tcPr>
            <w:tcW w:w="1560" w:type="dxa"/>
          </w:tcPr>
          <w:p w:rsidR="0014274C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327 169</w:t>
            </w:r>
          </w:p>
        </w:tc>
        <w:tc>
          <w:tcPr>
            <w:tcW w:w="1536" w:type="dxa"/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632 090</w:t>
            </w:r>
          </w:p>
        </w:tc>
      </w:tr>
      <w:tr w:rsidR="00F114CA" w:rsidRPr="00F114CA" w:rsidTr="00350663">
        <w:trPr>
          <w:trHeight w:val="239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14274C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Sous</w:t>
            </w:r>
            <w:r w:rsidR="00C370B2">
              <w:rPr>
                <w:b/>
                <w:sz w:val="18"/>
                <w:szCs w:val="18"/>
                <w:lang w:val="fr-FR"/>
              </w:rPr>
              <w:noBreakHyphen/>
            </w:r>
            <w:r w:rsidRPr="00F114CA">
              <w:rPr>
                <w:b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1 080 000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14274C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706 626</w:t>
            </w:r>
          </w:p>
        </w:tc>
        <w:tc>
          <w:tcPr>
            <w:tcW w:w="1560" w:type="dxa"/>
          </w:tcPr>
          <w:p w:rsidR="0014274C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407 169</w:t>
            </w:r>
          </w:p>
        </w:tc>
        <w:tc>
          <w:tcPr>
            <w:tcW w:w="1536" w:type="dxa"/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1 113 795</w:t>
            </w:r>
            <w:r w:rsidR="00FF6E67">
              <w:rPr>
                <w:rStyle w:val="FootnoteReference"/>
                <w:b/>
                <w:sz w:val="18"/>
                <w:szCs w:val="18"/>
                <w:lang w:val="fr-FR"/>
              </w:rPr>
              <w:footnoteReference w:id="2"/>
            </w:r>
          </w:p>
        </w:tc>
      </w:tr>
      <w:tr w:rsidR="00F114CA" w:rsidRPr="004A1EFE" w:rsidTr="00350663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2.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B36CCF" w:rsidP="00B36CCF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Remplacement de l</w:t>
            </w:r>
            <w:r w:rsidR="008B0121">
              <w:rPr>
                <w:b/>
                <w:sz w:val="18"/>
                <w:szCs w:val="18"/>
                <w:lang w:val="fr-FR"/>
              </w:rPr>
              <w:t>’</w:t>
            </w:r>
            <w:r w:rsidRPr="00F114CA">
              <w:rPr>
                <w:b/>
                <w:sz w:val="18"/>
                <w:szCs w:val="18"/>
                <w:lang w:val="fr-FR"/>
              </w:rPr>
              <w:t>ancien central téléphonique Nortel Meridian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F114CA" w:rsidRPr="00F114CA" w:rsidTr="00350663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Installation du matériel et des logiciels pour la téléphonie sur IP dans les bâtiments existants de l</w:t>
            </w:r>
            <w:r w:rsidR="008B0121">
              <w:rPr>
                <w:sz w:val="18"/>
                <w:szCs w:val="18"/>
                <w:lang w:val="fr-FR"/>
              </w:rPr>
              <w:t>’</w:t>
            </w:r>
            <w:r w:rsidRPr="00F114CA">
              <w:rPr>
                <w:sz w:val="18"/>
                <w:szCs w:val="18"/>
                <w:lang w:val="fr-FR"/>
              </w:rPr>
              <w:t>OMPI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850 000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778 574</w:t>
            </w:r>
          </w:p>
        </w:tc>
        <w:tc>
          <w:tcPr>
            <w:tcW w:w="1560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778 574</w:t>
            </w:r>
          </w:p>
        </w:tc>
      </w:tr>
      <w:tr w:rsidR="00F114CA" w:rsidRPr="00F114CA" w:rsidTr="00350663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Services d</w:t>
            </w:r>
            <w:r w:rsidR="008B0121">
              <w:rPr>
                <w:sz w:val="18"/>
                <w:szCs w:val="18"/>
                <w:lang w:val="fr-FR"/>
              </w:rPr>
              <w:t>’</w:t>
            </w:r>
            <w:r w:rsidRPr="00F114CA">
              <w:rPr>
                <w:sz w:val="18"/>
                <w:szCs w:val="18"/>
                <w:lang w:val="fr-FR"/>
              </w:rPr>
              <w:t>installation et de mise en œuvre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250 000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19 062</w:t>
            </w:r>
          </w:p>
        </w:tc>
        <w:tc>
          <w:tcPr>
            <w:tcW w:w="1560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19 062</w:t>
            </w:r>
          </w:p>
        </w:tc>
      </w:tr>
      <w:tr w:rsidR="00F114CA" w:rsidRPr="00F114CA" w:rsidTr="00350663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Sous</w:t>
            </w:r>
            <w:r w:rsidR="00C370B2">
              <w:rPr>
                <w:sz w:val="18"/>
                <w:szCs w:val="18"/>
                <w:lang w:val="fr-FR"/>
              </w:rPr>
              <w:noBreakHyphen/>
            </w:r>
            <w:r w:rsidRPr="00F114CA">
              <w:rPr>
                <w:sz w:val="18"/>
                <w:szCs w:val="18"/>
                <w:lang w:val="fr-FR"/>
              </w:rPr>
              <w:t>total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1 100 000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797 636</w:t>
            </w:r>
          </w:p>
        </w:tc>
        <w:tc>
          <w:tcPr>
            <w:tcW w:w="1560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797 636</w:t>
            </w:r>
            <w:r w:rsidR="00FF6E67">
              <w:rPr>
                <w:rStyle w:val="FootnoteReference"/>
                <w:b/>
                <w:sz w:val="18"/>
                <w:szCs w:val="18"/>
                <w:lang w:val="fr-FR"/>
              </w:rPr>
              <w:footnoteReference w:id="3"/>
            </w:r>
          </w:p>
        </w:tc>
      </w:tr>
      <w:tr w:rsidR="00F114CA" w:rsidRPr="004A1EFE" w:rsidTr="00350663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3.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Remplacement de la plate</w:t>
            </w:r>
            <w:r w:rsidR="00C370B2">
              <w:rPr>
                <w:b/>
                <w:sz w:val="18"/>
                <w:szCs w:val="18"/>
                <w:lang w:val="fr-FR"/>
              </w:rPr>
              <w:noBreakHyphen/>
            </w:r>
            <w:r w:rsidRPr="00F114CA">
              <w:rPr>
                <w:b/>
                <w:sz w:val="18"/>
                <w:szCs w:val="18"/>
                <w:lang w:val="fr-FR"/>
              </w:rPr>
              <w:t>forme pour les ordinateurs de bureau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60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F114CA" w:rsidRPr="00F114CA" w:rsidTr="00350663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Remplacement du matériel informatique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2 100 000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1 657 194</w:t>
            </w:r>
          </w:p>
        </w:tc>
        <w:tc>
          <w:tcPr>
            <w:tcW w:w="1560" w:type="dxa"/>
            <w:vAlign w:val="center"/>
          </w:tcPr>
          <w:p w:rsidR="00D5745E" w:rsidRPr="00F114CA" w:rsidRDefault="00D5745E" w:rsidP="0001676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1 657 194</w:t>
            </w:r>
          </w:p>
        </w:tc>
      </w:tr>
      <w:tr w:rsidR="00F114CA" w:rsidRPr="00F114CA" w:rsidTr="00350663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tabs>
                <w:tab w:val="left" w:pos="3270"/>
              </w:tabs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Mise à niveau des logiciels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450 000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777 136</w:t>
            </w:r>
          </w:p>
        </w:tc>
        <w:tc>
          <w:tcPr>
            <w:tcW w:w="1560" w:type="dxa"/>
            <w:vAlign w:val="center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396 197</w:t>
            </w:r>
          </w:p>
        </w:tc>
        <w:tc>
          <w:tcPr>
            <w:tcW w:w="1536" w:type="dxa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1 173 333</w:t>
            </w:r>
          </w:p>
        </w:tc>
      </w:tr>
      <w:tr w:rsidR="00F114CA" w:rsidRPr="00F114CA" w:rsidTr="00350663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Services d</w:t>
            </w:r>
            <w:r w:rsidR="008B0121">
              <w:rPr>
                <w:sz w:val="18"/>
                <w:szCs w:val="18"/>
                <w:lang w:val="fr-FR"/>
              </w:rPr>
              <w:t>’</w:t>
            </w:r>
            <w:r w:rsidRPr="00F114CA">
              <w:rPr>
                <w:sz w:val="18"/>
                <w:szCs w:val="18"/>
                <w:lang w:val="fr-FR"/>
              </w:rPr>
              <w:t>installation et de mise en œuvre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450 000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251 404</w:t>
            </w:r>
          </w:p>
        </w:tc>
        <w:tc>
          <w:tcPr>
            <w:tcW w:w="1560" w:type="dxa"/>
            <w:vAlign w:val="center"/>
          </w:tcPr>
          <w:p w:rsidR="00D5745E" w:rsidRPr="00F114CA" w:rsidRDefault="00D5745E" w:rsidP="0001676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536" w:type="dxa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  <w:r w:rsidRPr="00F114CA">
              <w:rPr>
                <w:sz w:val="18"/>
                <w:szCs w:val="18"/>
                <w:lang w:val="fr-FR"/>
              </w:rPr>
              <w:t>251 404</w:t>
            </w:r>
          </w:p>
        </w:tc>
      </w:tr>
      <w:tr w:rsidR="00F114CA" w:rsidRPr="00F114CA" w:rsidTr="00350663"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Sous</w:t>
            </w:r>
            <w:r w:rsidR="00C370B2">
              <w:rPr>
                <w:b/>
                <w:sz w:val="18"/>
                <w:szCs w:val="18"/>
                <w:lang w:val="fr-FR"/>
              </w:rPr>
              <w:noBreakHyphen/>
            </w:r>
            <w:r w:rsidRPr="00F114CA">
              <w:rPr>
                <w:b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  <w:vAlign w:val="center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3 000 000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2 685 734</w:t>
            </w:r>
          </w:p>
        </w:tc>
        <w:tc>
          <w:tcPr>
            <w:tcW w:w="1560" w:type="dxa"/>
            <w:vAlign w:val="center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396 197</w:t>
            </w:r>
          </w:p>
        </w:tc>
        <w:tc>
          <w:tcPr>
            <w:tcW w:w="1536" w:type="dxa"/>
            <w:vAlign w:val="center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3 081 931</w:t>
            </w:r>
            <w:r w:rsidR="00FF6E67">
              <w:rPr>
                <w:rStyle w:val="FootnoteReference"/>
                <w:b/>
                <w:sz w:val="18"/>
                <w:szCs w:val="18"/>
                <w:lang w:val="fr-FR"/>
              </w:rPr>
              <w:footnoteReference w:id="4"/>
            </w:r>
          </w:p>
        </w:tc>
      </w:tr>
      <w:tr w:rsidR="00F114CA" w:rsidRPr="00F114CA" w:rsidTr="00350663">
        <w:trPr>
          <w:trHeight w:val="490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D5745E" w:rsidRPr="00F114CA" w:rsidRDefault="00D5745E" w:rsidP="00FC385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  <w:vAlign w:val="center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  <w:vAlign w:val="center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5 180 000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14274C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4 189 996</w:t>
            </w:r>
          </w:p>
        </w:tc>
        <w:tc>
          <w:tcPr>
            <w:tcW w:w="1560" w:type="dxa"/>
            <w:vAlign w:val="center"/>
          </w:tcPr>
          <w:p w:rsidR="0014274C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803 366</w:t>
            </w:r>
          </w:p>
        </w:tc>
        <w:tc>
          <w:tcPr>
            <w:tcW w:w="1536" w:type="dxa"/>
            <w:vAlign w:val="center"/>
          </w:tcPr>
          <w:p w:rsidR="00D5745E" w:rsidRPr="00F114CA" w:rsidRDefault="00F114CA" w:rsidP="00F114CA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  <w:lang w:val="fr-FR"/>
              </w:rPr>
            </w:pPr>
            <w:r w:rsidRPr="00F114CA">
              <w:rPr>
                <w:b/>
                <w:sz w:val="18"/>
                <w:szCs w:val="18"/>
                <w:lang w:val="fr-FR"/>
              </w:rPr>
              <w:t>4 993 362</w:t>
            </w:r>
          </w:p>
        </w:tc>
      </w:tr>
    </w:tbl>
    <w:p w:rsidR="008E3893" w:rsidRPr="00F114CA" w:rsidRDefault="008E3893" w:rsidP="001C2BCE">
      <w:pPr>
        <w:pStyle w:val="ONUME"/>
        <w:numPr>
          <w:ilvl w:val="0"/>
          <w:numId w:val="0"/>
        </w:numPr>
        <w:rPr>
          <w:szCs w:val="22"/>
          <w:lang w:val="fr-FR"/>
        </w:rPr>
      </w:pPr>
    </w:p>
    <w:p w:rsidR="008E3893" w:rsidRPr="00F114CA" w:rsidRDefault="00F114CA" w:rsidP="00C370B2">
      <w:pPr>
        <w:pStyle w:val="ONUMFS"/>
        <w:rPr>
          <w:lang w:val="fr-FR"/>
        </w:rPr>
      </w:pPr>
      <w:r w:rsidRPr="00F114CA">
        <w:rPr>
          <w:lang w:val="fr-FR"/>
        </w:rPr>
        <w:t>Sous réserve de rapprochement final des états financiers, le solde non utilisé de quelque 186 638</w:t>
      </w:r>
      <w:r w:rsidR="00FF6E67">
        <w:rPr>
          <w:rStyle w:val="FootnoteReference"/>
          <w:lang w:val="fr-FR"/>
        </w:rPr>
        <w:footnoteReference w:id="5"/>
      </w:r>
      <w:r w:rsidRPr="00F114CA">
        <w:rPr>
          <w:lang w:val="fr-FR"/>
        </w:rPr>
        <w:t xml:space="preserve"> francs suisses sera reversé aux réserves.</w:t>
      </w:r>
    </w:p>
    <w:p w:rsidR="008E3893" w:rsidRPr="00F114CA" w:rsidRDefault="00F114CA" w:rsidP="00C370B2">
      <w:pPr>
        <w:pStyle w:val="ONUMFS"/>
        <w:rPr>
          <w:lang w:val="fr-FR"/>
        </w:rPr>
      </w:pPr>
      <w:r w:rsidRPr="00F114CA">
        <w:rPr>
          <w:lang w:val="fr-FR"/>
        </w:rPr>
        <w:t>Le paragraphe de décision ci</w:t>
      </w:r>
      <w:r w:rsidR="00C370B2">
        <w:rPr>
          <w:lang w:val="fr-FR"/>
        </w:rPr>
        <w:noBreakHyphen/>
      </w:r>
      <w:r w:rsidRPr="00F114CA">
        <w:rPr>
          <w:lang w:val="fr-FR"/>
        </w:rPr>
        <w:t>après est proposé.</w:t>
      </w:r>
    </w:p>
    <w:p w:rsidR="008E3893" w:rsidRPr="00F114CA" w:rsidRDefault="008E3893" w:rsidP="004820F0">
      <w:pPr>
        <w:ind w:left="5670"/>
        <w:rPr>
          <w:szCs w:val="22"/>
          <w:lang w:val="fr-FR"/>
        </w:rPr>
      </w:pPr>
    </w:p>
    <w:p w:rsidR="008B0121" w:rsidRDefault="00AE787D" w:rsidP="00AE787D">
      <w:pPr>
        <w:pStyle w:val="ONUME"/>
        <w:numPr>
          <w:ilvl w:val="0"/>
          <w:numId w:val="0"/>
        </w:numPr>
        <w:tabs>
          <w:tab w:val="left" w:pos="6237"/>
        </w:tabs>
        <w:ind w:left="5670"/>
        <w:rPr>
          <w:szCs w:val="22"/>
          <w:lang w:val="fr-FR"/>
        </w:rPr>
      </w:pPr>
      <w:r>
        <w:rPr>
          <w:i/>
          <w:szCs w:val="22"/>
          <w:lang w:val="fr-FR"/>
        </w:rPr>
        <w:t>9.</w:t>
      </w:r>
      <w:r>
        <w:rPr>
          <w:i/>
          <w:szCs w:val="22"/>
          <w:lang w:val="fr-FR"/>
        </w:rPr>
        <w:tab/>
      </w:r>
      <w:r w:rsidR="00F114CA" w:rsidRPr="00F114CA">
        <w:rPr>
          <w:i/>
          <w:szCs w:val="22"/>
          <w:lang w:val="fr-FR"/>
        </w:rPr>
        <w:t>Le Comité du Programme et Budget a recommandé aux assemblées des États membres de l</w:t>
      </w:r>
      <w:r w:rsidR="008B0121">
        <w:rPr>
          <w:i/>
          <w:szCs w:val="22"/>
          <w:lang w:val="fr-FR"/>
        </w:rPr>
        <w:t>’</w:t>
      </w:r>
      <w:r w:rsidR="00F114CA" w:rsidRPr="00F114CA">
        <w:rPr>
          <w:i/>
          <w:szCs w:val="22"/>
          <w:lang w:val="fr-FR"/>
        </w:rPr>
        <w:t>OMPI et des unions, chacune pour ce qui la concerne</w:t>
      </w:r>
    </w:p>
    <w:p w:rsidR="008E3893" w:rsidRPr="00F114CA" w:rsidRDefault="00F114CA" w:rsidP="00F114CA">
      <w:pPr>
        <w:pStyle w:val="ONUME"/>
        <w:numPr>
          <w:ilvl w:val="0"/>
          <w:numId w:val="0"/>
        </w:numPr>
        <w:tabs>
          <w:tab w:val="left" w:pos="6663"/>
        </w:tabs>
        <w:ind w:left="6096"/>
        <w:rPr>
          <w:i/>
          <w:szCs w:val="22"/>
          <w:lang w:val="fr-FR"/>
        </w:rPr>
      </w:pPr>
      <w:r w:rsidRPr="00F114CA">
        <w:rPr>
          <w:i/>
          <w:szCs w:val="22"/>
          <w:lang w:val="fr-FR"/>
        </w:rPr>
        <w:t>i)</w:t>
      </w:r>
      <w:r w:rsidRPr="00F114CA">
        <w:rPr>
          <w:i/>
          <w:szCs w:val="22"/>
          <w:lang w:val="fr-FR"/>
        </w:rPr>
        <w:tab/>
        <w:t>de prendre note du c</w:t>
      </w:r>
      <w:r w:rsidR="00C370B2">
        <w:rPr>
          <w:i/>
          <w:szCs w:val="22"/>
          <w:lang w:val="fr-FR"/>
        </w:rPr>
        <w:t>ontenu du document WO/PBC/24/15</w:t>
      </w:r>
      <w:r w:rsidRPr="00F114CA">
        <w:rPr>
          <w:i/>
          <w:szCs w:val="22"/>
          <w:lang w:val="fr-FR"/>
        </w:rPr>
        <w:t xml:space="preserve"> et</w:t>
      </w:r>
    </w:p>
    <w:p w:rsidR="008E3893" w:rsidRPr="00F114CA" w:rsidRDefault="00F114CA" w:rsidP="006E1DA3">
      <w:pPr>
        <w:pStyle w:val="ONUME"/>
        <w:numPr>
          <w:ilvl w:val="0"/>
          <w:numId w:val="0"/>
        </w:numPr>
        <w:tabs>
          <w:tab w:val="left" w:pos="6663"/>
        </w:tabs>
        <w:spacing w:after="0"/>
        <w:ind w:left="6096"/>
        <w:rPr>
          <w:i/>
          <w:lang w:val="fr-FR"/>
        </w:rPr>
      </w:pPr>
      <w:r w:rsidRPr="00F114CA">
        <w:rPr>
          <w:i/>
          <w:lang w:val="fr-FR"/>
        </w:rPr>
        <w:t>ii)</w:t>
      </w:r>
      <w:r w:rsidRPr="00F114CA">
        <w:rPr>
          <w:i/>
          <w:lang w:val="fr-FR"/>
        </w:rPr>
        <w:tab/>
        <w:t>d</w:t>
      </w:r>
      <w:r w:rsidR="008B0121">
        <w:rPr>
          <w:i/>
          <w:lang w:val="fr-FR"/>
        </w:rPr>
        <w:t>’</w:t>
      </w:r>
      <w:r w:rsidRPr="00F114CA">
        <w:rPr>
          <w:i/>
          <w:lang w:val="fr-FR"/>
        </w:rPr>
        <w:t>approuver la clôture du projet d</w:t>
      </w:r>
      <w:r w:rsidR="008B0121">
        <w:rPr>
          <w:i/>
          <w:lang w:val="fr-FR"/>
        </w:rPr>
        <w:t>’</w:t>
      </w:r>
      <w:r w:rsidRPr="00F114CA">
        <w:rPr>
          <w:i/>
          <w:lang w:val="fr-FR"/>
        </w:rPr>
        <w:t>investissement dans les technologies de l</w:t>
      </w:r>
      <w:r w:rsidR="008B0121">
        <w:rPr>
          <w:i/>
          <w:lang w:val="fr-FR"/>
        </w:rPr>
        <w:t>’</w:t>
      </w:r>
      <w:r w:rsidRPr="00F114CA">
        <w:rPr>
          <w:i/>
          <w:lang w:val="fr-FR"/>
        </w:rPr>
        <w:t>information et de la communication.</w:t>
      </w:r>
    </w:p>
    <w:p w:rsidR="008E3893" w:rsidRDefault="008E3893" w:rsidP="006E1DA3">
      <w:pPr>
        <w:pStyle w:val="ONUME"/>
        <w:numPr>
          <w:ilvl w:val="0"/>
          <w:numId w:val="0"/>
        </w:numPr>
        <w:tabs>
          <w:tab w:val="left" w:pos="6120"/>
        </w:tabs>
        <w:spacing w:after="0"/>
        <w:ind w:left="6120" w:hanging="450"/>
        <w:rPr>
          <w:lang w:val="fr-FR"/>
        </w:rPr>
      </w:pPr>
    </w:p>
    <w:p w:rsidR="006E1DA3" w:rsidRDefault="006E1DA3" w:rsidP="006E1DA3">
      <w:pPr>
        <w:pStyle w:val="ONUME"/>
        <w:numPr>
          <w:ilvl w:val="0"/>
          <w:numId w:val="0"/>
        </w:numPr>
        <w:tabs>
          <w:tab w:val="left" w:pos="6120"/>
        </w:tabs>
        <w:spacing w:after="0"/>
        <w:ind w:left="6120" w:hanging="450"/>
        <w:rPr>
          <w:lang w:val="fr-FR"/>
        </w:rPr>
      </w:pPr>
    </w:p>
    <w:p w:rsidR="006E1DA3" w:rsidRPr="00F114CA" w:rsidRDefault="006E1DA3" w:rsidP="006E1DA3">
      <w:pPr>
        <w:pStyle w:val="ONUME"/>
        <w:numPr>
          <w:ilvl w:val="0"/>
          <w:numId w:val="0"/>
        </w:numPr>
        <w:tabs>
          <w:tab w:val="left" w:pos="6120"/>
        </w:tabs>
        <w:spacing w:after="0"/>
        <w:ind w:left="6120" w:hanging="450"/>
        <w:rPr>
          <w:lang w:val="fr-FR"/>
        </w:rPr>
      </w:pPr>
    </w:p>
    <w:p w:rsidR="008E3893" w:rsidRPr="00F114CA" w:rsidRDefault="00F114CA" w:rsidP="006E1DA3">
      <w:pPr>
        <w:pStyle w:val="ONUME"/>
        <w:numPr>
          <w:ilvl w:val="0"/>
          <w:numId w:val="0"/>
        </w:numPr>
        <w:tabs>
          <w:tab w:val="left" w:pos="6120"/>
        </w:tabs>
        <w:spacing w:after="0"/>
        <w:ind w:left="6120" w:hanging="450"/>
        <w:rPr>
          <w:lang w:val="fr-FR"/>
        </w:rPr>
      </w:pPr>
      <w:r w:rsidRPr="00F114CA">
        <w:rPr>
          <w:lang w:val="fr-FR"/>
        </w:rPr>
        <w:t>[Fin du document]</w:t>
      </w:r>
    </w:p>
    <w:p w:rsidR="008E3893" w:rsidRPr="00F114CA" w:rsidRDefault="008E3893">
      <w:pPr>
        <w:rPr>
          <w:lang w:val="fr-FR"/>
        </w:rPr>
      </w:pPr>
      <w:bookmarkStart w:id="4" w:name="Prepared"/>
      <w:bookmarkEnd w:id="4"/>
    </w:p>
    <w:sectPr w:rsidR="008E3893" w:rsidRPr="00F114CA" w:rsidSect="00C370B2">
      <w:headerReference w:type="default" r:id="rId10"/>
      <w:endnotePr>
        <w:numFmt w:val="decimal"/>
      </w:endnotePr>
      <w:pgSz w:w="11907" w:h="16840" w:code="9"/>
      <w:pgMar w:top="567" w:right="1134" w:bottom="119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8B" w:rsidRDefault="00364F8B">
      <w:r>
        <w:separator/>
      </w:r>
    </w:p>
  </w:endnote>
  <w:endnote w:type="continuationSeparator" w:id="0">
    <w:p w:rsidR="00364F8B" w:rsidRDefault="00364F8B" w:rsidP="003B38C1">
      <w:r>
        <w:separator/>
      </w:r>
    </w:p>
    <w:p w:rsidR="00364F8B" w:rsidRPr="003B38C1" w:rsidRDefault="00364F8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4F8B" w:rsidRPr="003B38C1" w:rsidRDefault="00364F8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8B" w:rsidRDefault="00364F8B">
      <w:r>
        <w:separator/>
      </w:r>
    </w:p>
  </w:footnote>
  <w:footnote w:type="continuationSeparator" w:id="0">
    <w:p w:rsidR="00364F8B" w:rsidRDefault="00364F8B" w:rsidP="008B60B2">
      <w:r>
        <w:separator/>
      </w:r>
    </w:p>
    <w:p w:rsidR="00364F8B" w:rsidRPr="00ED77FB" w:rsidRDefault="00364F8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4F8B" w:rsidRPr="00ED77FB" w:rsidRDefault="00364F8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F6E67" w:rsidRPr="00FF6E67" w:rsidRDefault="00FF6E67">
      <w:pPr>
        <w:pStyle w:val="FootnoteText"/>
        <w:rPr>
          <w:b/>
          <w:lang w:val="fr-CH"/>
        </w:rPr>
      </w:pPr>
      <w:r>
        <w:rPr>
          <w:rStyle w:val="FootnoteReference"/>
        </w:rPr>
        <w:footnoteRef/>
      </w:r>
      <w:r w:rsidRPr="004A1EFE">
        <w:rPr>
          <w:lang w:val="fr-FR"/>
        </w:rPr>
        <w:t xml:space="preserve"> </w:t>
      </w:r>
      <w:r w:rsidR="007458D8" w:rsidRPr="004A1EFE">
        <w:rPr>
          <w:lang w:val="fr-FR"/>
        </w:rPr>
        <w:tab/>
      </w:r>
      <w:r w:rsidR="003D5FA7" w:rsidRPr="003D5FA7">
        <w:rPr>
          <w:color w:val="000000"/>
          <w:lang w:val="fr-FR"/>
        </w:rPr>
        <w:t>Le montant exact est sous réserve de rapprochement final des états financiers</w:t>
      </w:r>
      <w:r w:rsidR="003D5FA7" w:rsidRPr="003D5FA7">
        <w:rPr>
          <w:lang w:val="fr-FR"/>
        </w:rPr>
        <w:t xml:space="preserve"> lorsque toutes les factures auront été acquittées.</w:t>
      </w:r>
    </w:p>
  </w:footnote>
  <w:footnote w:id="3">
    <w:p w:rsidR="00FF6E67" w:rsidRPr="00FF6E67" w:rsidRDefault="00FF6E6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A1EFE">
        <w:rPr>
          <w:lang w:val="fr-FR"/>
        </w:rPr>
        <w:t xml:space="preserve"> </w:t>
      </w:r>
      <w:r w:rsidR="007458D8" w:rsidRPr="004A1EFE">
        <w:rPr>
          <w:lang w:val="fr-FR"/>
        </w:rPr>
        <w:tab/>
      </w:r>
      <w:r w:rsidR="003D5FA7" w:rsidRPr="003D5FA7">
        <w:rPr>
          <w:lang w:val="fr-FR"/>
        </w:rPr>
        <w:t>Ce montant est inférieur à celui indiqué précédemment, suite au rapprochement des états financiers à fin</w:t>
      </w:r>
      <w:r w:rsidR="001C414D">
        <w:rPr>
          <w:lang w:val="fr-FR"/>
        </w:rPr>
        <w:t> </w:t>
      </w:r>
      <w:r w:rsidRPr="003D5FA7">
        <w:rPr>
          <w:lang w:val="fr-FR"/>
        </w:rPr>
        <w:t>2014.</w:t>
      </w:r>
    </w:p>
  </w:footnote>
  <w:footnote w:id="4">
    <w:p w:rsidR="00FF6E67" w:rsidRPr="003D5FA7" w:rsidRDefault="00FF6E67">
      <w:pPr>
        <w:pStyle w:val="FootnoteText"/>
        <w:rPr>
          <w:lang w:val="fr-FR"/>
        </w:rPr>
      </w:pPr>
      <w:r w:rsidRPr="003D5FA7">
        <w:rPr>
          <w:rStyle w:val="FootnoteReference"/>
          <w:lang w:val="fr-FR"/>
        </w:rPr>
        <w:footnoteRef/>
      </w:r>
      <w:r w:rsidRPr="003D5FA7">
        <w:rPr>
          <w:lang w:val="fr-FR"/>
        </w:rPr>
        <w:t xml:space="preserve"> </w:t>
      </w:r>
      <w:r w:rsidRPr="003D5FA7">
        <w:rPr>
          <w:lang w:val="fr-FR"/>
        </w:rPr>
        <w:tab/>
      </w:r>
      <w:r w:rsidR="003D5FA7" w:rsidRPr="003D5FA7">
        <w:rPr>
          <w:color w:val="000000"/>
          <w:lang w:val="fr-FR"/>
        </w:rPr>
        <w:t>Le montant exact est sous réserve de rapprochement final des états financiers</w:t>
      </w:r>
      <w:r w:rsidR="003D5FA7" w:rsidRPr="003D5FA7">
        <w:rPr>
          <w:lang w:val="fr-FR"/>
        </w:rPr>
        <w:t xml:space="preserve"> lorsque toutes les factures auront été acquittées</w:t>
      </w:r>
      <w:r w:rsidRPr="003D5FA7">
        <w:rPr>
          <w:lang w:val="fr-FR"/>
        </w:rPr>
        <w:t>.</w:t>
      </w:r>
    </w:p>
  </w:footnote>
  <w:footnote w:id="5">
    <w:p w:rsidR="00FF6E67" w:rsidRPr="00FF6E67" w:rsidRDefault="00FF6E67" w:rsidP="00FF6E67">
      <w:pPr>
        <w:pStyle w:val="FootnoteText"/>
        <w:tabs>
          <w:tab w:val="left" w:pos="567"/>
        </w:tabs>
        <w:rPr>
          <w:lang w:val="fr-CH"/>
        </w:rPr>
      </w:pPr>
      <w:r>
        <w:rPr>
          <w:rStyle w:val="FootnoteReference"/>
        </w:rPr>
        <w:footnoteRef/>
      </w:r>
      <w:r w:rsidRPr="004A1EFE">
        <w:rPr>
          <w:lang w:val="fr-FR"/>
        </w:rPr>
        <w:t xml:space="preserve"> </w:t>
      </w:r>
      <w:r w:rsidRPr="004A1EFE">
        <w:rPr>
          <w:lang w:val="fr-FR"/>
        </w:rPr>
        <w:tab/>
      </w:r>
      <w:r w:rsidRPr="00EF2088">
        <w:rPr>
          <w:color w:val="000000"/>
          <w:lang w:val="fr-FR"/>
        </w:rPr>
        <w:t>Le montant exact est sous réserve de rapprochement final des états financiers</w:t>
      </w:r>
      <w:r>
        <w:rPr>
          <w:color w:val="000000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C2BCE" w:rsidP="00477D6B">
    <w:pPr>
      <w:jc w:val="right"/>
    </w:pPr>
    <w:bookmarkStart w:id="5" w:name="Code2"/>
    <w:bookmarkEnd w:id="5"/>
    <w:r>
      <w:t>WO/PBC/24/15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769D0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|FTS_Glossary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Treaties\Model Laws|TextBase TMs\Treaties\Other Laws and Agreements|TextBase TMs\Treaties\WIPO-administered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Copyright\Meetings|TextBase TMs\Copyright\Other|TextBase TMs\Copyright\Publications|Team Server TMs\Default"/>
    <w:docVar w:name="TextBaseURL" w:val="empty"/>
    <w:docVar w:name="UILng" w:val="en"/>
  </w:docVars>
  <w:rsids>
    <w:rsidRoot w:val="001C2BCE"/>
    <w:rsid w:val="000030B5"/>
    <w:rsid w:val="0001676A"/>
    <w:rsid w:val="00043CAA"/>
    <w:rsid w:val="00075432"/>
    <w:rsid w:val="00081996"/>
    <w:rsid w:val="000968ED"/>
    <w:rsid w:val="000B5A35"/>
    <w:rsid w:val="000F5E56"/>
    <w:rsid w:val="001362EE"/>
    <w:rsid w:val="0014274C"/>
    <w:rsid w:val="001832A6"/>
    <w:rsid w:val="001A7224"/>
    <w:rsid w:val="001C2BCE"/>
    <w:rsid w:val="001C414D"/>
    <w:rsid w:val="001F6A25"/>
    <w:rsid w:val="00200ACD"/>
    <w:rsid w:val="0023376E"/>
    <w:rsid w:val="002543CF"/>
    <w:rsid w:val="002634C4"/>
    <w:rsid w:val="002928D3"/>
    <w:rsid w:val="002A7C00"/>
    <w:rsid w:val="002E7F95"/>
    <w:rsid w:val="002F1FE6"/>
    <w:rsid w:val="002F4E68"/>
    <w:rsid w:val="00312F7F"/>
    <w:rsid w:val="00313F62"/>
    <w:rsid w:val="00350663"/>
    <w:rsid w:val="00361450"/>
    <w:rsid w:val="00364F8B"/>
    <w:rsid w:val="003673CF"/>
    <w:rsid w:val="003845C1"/>
    <w:rsid w:val="003A6F89"/>
    <w:rsid w:val="003B38C1"/>
    <w:rsid w:val="003D4F38"/>
    <w:rsid w:val="003D5FA7"/>
    <w:rsid w:val="0041232C"/>
    <w:rsid w:val="00422EA7"/>
    <w:rsid w:val="00423E3E"/>
    <w:rsid w:val="00427AF4"/>
    <w:rsid w:val="004647DA"/>
    <w:rsid w:val="00474062"/>
    <w:rsid w:val="00477D6B"/>
    <w:rsid w:val="004820F0"/>
    <w:rsid w:val="004A1EFE"/>
    <w:rsid w:val="005019FF"/>
    <w:rsid w:val="005179AE"/>
    <w:rsid w:val="0053057A"/>
    <w:rsid w:val="005609E2"/>
    <w:rsid w:val="00560A29"/>
    <w:rsid w:val="005725F2"/>
    <w:rsid w:val="005740CB"/>
    <w:rsid w:val="005769D0"/>
    <w:rsid w:val="005C45CD"/>
    <w:rsid w:val="005C6649"/>
    <w:rsid w:val="00605827"/>
    <w:rsid w:val="00646050"/>
    <w:rsid w:val="006713CA"/>
    <w:rsid w:val="00676C5C"/>
    <w:rsid w:val="006C0DB2"/>
    <w:rsid w:val="006E1DA3"/>
    <w:rsid w:val="006F4355"/>
    <w:rsid w:val="00710D82"/>
    <w:rsid w:val="007458D8"/>
    <w:rsid w:val="00754549"/>
    <w:rsid w:val="007569CF"/>
    <w:rsid w:val="007767EF"/>
    <w:rsid w:val="007935FC"/>
    <w:rsid w:val="007D1613"/>
    <w:rsid w:val="00806FF8"/>
    <w:rsid w:val="0089728D"/>
    <w:rsid w:val="008A2C22"/>
    <w:rsid w:val="008B0121"/>
    <w:rsid w:val="008B2CC1"/>
    <w:rsid w:val="008B45FD"/>
    <w:rsid w:val="008B60B2"/>
    <w:rsid w:val="008E3893"/>
    <w:rsid w:val="0090731E"/>
    <w:rsid w:val="00916EE2"/>
    <w:rsid w:val="00930FB0"/>
    <w:rsid w:val="00966A22"/>
    <w:rsid w:val="0096722F"/>
    <w:rsid w:val="00980843"/>
    <w:rsid w:val="009973E9"/>
    <w:rsid w:val="009E2791"/>
    <w:rsid w:val="009E3F6F"/>
    <w:rsid w:val="009F499F"/>
    <w:rsid w:val="00A42DAF"/>
    <w:rsid w:val="00A45BD8"/>
    <w:rsid w:val="00A77461"/>
    <w:rsid w:val="00A869B7"/>
    <w:rsid w:val="00AC205C"/>
    <w:rsid w:val="00AE787D"/>
    <w:rsid w:val="00AF0A6B"/>
    <w:rsid w:val="00B05A69"/>
    <w:rsid w:val="00B36CCF"/>
    <w:rsid w:val="00B9734B"/>
    <w:rsid w:val="00BF16E5"/>
    <w:rsid w:val="00BF3107"/>
    <w:rsid w:val="00C02C2D"/>
    <w:rsid w:val="00C11BFE"/>
    <w:rsid w:val="00C23898"/>
    <w:rsid w:val="00C370B2"/>
    <w:rsid w:val="00D15753"/>
    <w:rsid w:val="00D45252"/>
    <w:rsid w:val="00D5745E"/>
    <w:rsid w:val="00D63DCC"/>
    <w:rsid w:val="00D71B4D"/>
    <w:rsid w:val="00D93D55"/>
    <w:rsid w:val="00DE0C79"/>
    <w:rsid w:val="00E335FE"/>
    <w:rsid w:val="00E60D49"/>
    <w:rsid w:val="00E77136"/>
    <w:rsid w:val="00E94B65"/>
    <w:rsid w:val="00EA3762"/>
    <w:rsid w:val="00EC407F"/>
    <w:rsid w:val="00EC4E49"/>
    <w:rsid w:val="00ED77FB"/>
    <w:rsid w:val="00EE45FA"/>
    <w:rsid w:val="00EF2088"/>
    <w:rsid w:val="00F114CA"/>
    <w:rsid w:val="00F47887"/>
    <w:rsid w:val="00F66152"/>
    <w:rsid w:val="00FC3857"/>
    <w:rsid w:val="00FE35C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rsid w:val="001C2B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1C2B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B45FD"/>
    <w:rPr>
      <w:rFonts w:ascii="Arial" w:eastAsia="SimSun" w:hAnsi="Arial" w:cs="Arial"/>
      <w:sz w:val="18"/>
    </w:rPr>
  </w:style>
  <w:style w:type="character" w:styleId="CommentReference">
    <w:name w:val="annotation reference"/>
    <w:basedOn w:val="DefaultParagraphFont"/>
    <w:rsid w:val="006C0D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C0D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0DB2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6C0DB2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E35C2"/>
    <w:rPr>
      <w:rFonts w:ascii="Arial" w:eastAsia="SimSun" w:hAnsi="Arial" w:cs="Arial"/>
      <w:sz w:val="22"/>
    </w:rPr>
  </w:style>
  <w:style w:type="character" w:styleId="Hyperlink">
    <w:name w:val="Hyperlink"/>
    <w:basedOn w:val="DefaultParagraphFont"/>
    <w:rsid w:val="00C370B2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rsid w:val="006E1D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rsid w:val="001C2B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1C2B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B45FD"/>
    <w:rPr>
      <w:rFonts w:ascii="Arial" w:eastAsia="SimSun" w:hAnsi="Arial" w:cs="Arial"/>
      <w:sz w:val="18"/>
    </w:rPr>
  </w:style>
  <w:style w:type="character" w:styleId="CommentReference">
    <w:name w:val="annotation reference"/>
    <w:basedOn w:val="DefaultParagraphFont"/>
    <w:rsid w:val="006C0D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C0D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0DB2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6C0DB2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FE35C2"/>
    <w:rPr>
      <w:rFonts w:ascii="Arial" w:eastAsia="SimSun" w:hAnsi="Arial" w:cs="Arial"/>
      <w:sz w:val="22"/>
    </w:rPr>
  </w:style>
  <w:style w:type="character" w:styleId="Hyperlink">
    <w:name w:val="Hyperlink"/>
    <w:basedOn w:val="DefaultParagraphFont"/>
    <w:rsid w:val="00C370B2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rsid w:val="006E1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3BAE-8981-482E-AA53-1F40785B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734</Words>
  <Characters>3866</Characters>
  <Application>Microsoft Office Word</Application>
  <DocSecurity>0</DocSecurity>
  <Lines>203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WO/PBC/24/</vt:lpstr>
    </vt:vector>
  </TitlesOfParts>
  <Company>WIPO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</dc:title>
  <dc:creator>NETTER Iza</dc:creator>
  <cp:keywords>JCH/mhf</cp:keywords>
  <cp:lastModifiedBy>NETTER Iza</cp:lastModifiedBy>
  <cp:revision>17</cp:revision>
  <cp:lastPrinted>2015-07-06T09:59:00Z</cp:lastPrinted>
  <dcterms:created xsi:type="dcterms:W3CDTF">2015-06-25T09:35:00Z</dcterms:created>
  <dcterms:modified xsi:type="dcterms:W3CDTF">2015-07-10T11:44:00Z</dcterms:modified>
</cp:coreProperties>
</file>