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A35D8" w:rsidRPr="005A35D8" w:rsidTr="00295456">
        <w:tc>
          <w:tcPr>
            <w:tcW w:w="4513" w:type="dxa"/>
            <w:tcBorders>
              <w:bottom w:val="single" w:sz="4" w:space="0" w:color="auto"/>
            </w:tcBorders>
            <w:tcMar>
              <w:bottom w:w="170" w:type="dxa"/>
            </w:tcMar>
          </w:tcPr>
          <w:p w:rsidR="00B11E9D" w:rsidRPr="005A35D8" w:rsidRDefault="00B11E9D" w:rsidP="00B11E9D">
            <w:pPr>
              <w:rPr>
                <w:rStyle w:val="Strong"/>
              </w:rPr>
            </w:pPr>
          </w:p>
        </w:tc>
        <w:tc>
          <w:tcPr>
            <w:tcW w:w="4337" w:type="dxa"/>
            <w:tcBorders>
              <w:bottom w:val="single" w:sz="4" w:space="0" w:color="auto"/>
            </w:tcBorders>
            <w:tcMar>
              <w:left w:w="0" w:type="dxa"/>
              <w:right w:w="0" w:type="dxa"/>
            </w:tcMar>
          </w:tcPr>
          <w:p w:rsidR="00B11E9D" w:rsidRPr="005A35D8" w:rsidRDefault="00B11E9D" w:rsidP="00B11E9D">
            <w:r w:rsidRPr="005A35D8">
              <w:rPr>
                <w:noProof/>
                <w:lang w:val="en-US" w:eastAsia="en-US"/>
              </w:rPr>
              <w:drawing>
                <wp:inline distT="0" distB="0" distL="0" distR="0" wp14:anchorId="6A9059D8" wp14:editId="3ED3B0F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11E9D" w:rsidRPr="005A35D8" w:rsidRDefault="00B11E9D" w:rsidP="00B11E9D">
            <w:pPr>
              <w:jc w:val="right"/>
            </w:pPr>
            <w:r w:rsidRPr="005A35D8">
              <w:rPr>
                <w:b/>
                <w:sz w:val="40"/>
                <w:szCs w:val="40"/>
              </w:rPr>
              <w:t>F</w:t>
            </w:r>
          </w:p>
        </w:tc>
      </w:tr>
      <w:tr w:rsidR="005A35D8" w:rsidRPr="005A35D8" w:rsidTr="00B11E9D">
        <w:trPr>
          <w:trHeight w:hRule="exact" w:val="340"/>
        </w:trPr>
        <w:tc>
          <w:tcPr>
            <w:tcW w:w="9356" w:type="dxa"/>
            <w:gridSpan w:val="3"/>
            <w:tcBorders>
              <w:top w:val="single" w:sz="4" w:space="0" w:color="auto"/>
            </w:tcBorders>
            <w:tcMar>
              <w:top w:w="170" w:type="dxa"/>
              <w:left w:w="0" w:type="dxa"/>
              <w:right w:w="0" w:type="dxa"/>
            </w:tcMar>
            <w:vAlign w:val="bottom"/>
          </w:tcPr>
          <w:p w:rsidR="00B11E9D" w:rsidRPr="005A35D8" w:rsidRDefault="00B11E9D" w:rsidP="00B11E9D">
            <w:pPr>
              <w:jc w:val="right"/>
              <w:rPr>
                <w:rFonts w:ascii="Arial Black" w:hAnsi="Arial Black"/>
                <w:caps/>
                <w:sz w:val="15"/>
              </w:rPr>
            </w:pPr>
            <w:r w:rsidRPr="005A35D8">
              <w:rPr>
                <w:rFonts w:ascii="Arial Black" w:hAnsi="Arial Black"/>
                <w:caps/>
                <w:sz w:val="15"/>
              </w:rPr>
              <w:t>wo/pbc/24/10</w:t>
            </w:r>
          </w:p>
        </w:tc>
      </w:tr>
      <w:tr w:rsidR="005A35D8" w:rsidRPr="005A35D8" w:rsidTr="00B11E9D">
        <w:trPr>
          <w:trHeight w:hRule="exact" w:val="170"/>
        </w:trPr>
        <w:tc>
          <w:tcPr>
            <w:tcW w:w="9356" w:type="dxa"/>
            <w:gridSpan w:val="3"/>
            <w:noWrap/>
            <w:tcMar>
              <w:left w:w="0" w:type="dxa"/>
              <w:right w:w="0" w:type="dxa"/>
            </w:tcMar>
            <w:vAlign w:val="bottom"/>
          </w:tcPr>
          <w:p w:rsidR="00B11E9D" w:rsidRPr="005A35D8" w:rsidRDefault="00B11E9D" w:rsidP="00B11E9D">
            <w:pPr>
              <w:jc w:val="right"/>
              <w:rPr>
                <w:rFonts w:ascii="Arial Black" w:hAnsi="Arial Black"/>
                <w:caps/>
                <w:sz w:val="15"/>
              </w:rPr>
            </w:pPr>
            <w:r w:rsidRPr="005A35D8">
              <w:rPr>
                <w:rFonts w:ascii="Arial Black" w:hAnsi="Arial Black"/>
                <w:caps/>
                <w:sz w:val="15"/>
              </w:rPr>
              <w:t>ORIGINAL</w:t>
            </w:r>
            <w:r w:rsidR="00085D20" w:rsidRPr="005A35D8">
              <w:rPr>
                <w:rFonts w:ascii="Arial Black" w:hAnsi="Arial Black"/>
                <w:caps/>
                <w:sz w:val="15"/>
              </w:rPr>
              <w:t> </w:t>
            </w:r>
            <w:r w:rsidRPr="005A35D8">
              <w:rPr>
                <w:rFonts w:ascii="Arial Black" w:hAnsi="Arial Black"/>
                <w:caps/>
                <w:sz w:val="15"/>
              </w:rPr>
              <w:t xml:space="preserve">: </w:t>
            </w:r>
            <w:bookmarkStart w:id="0" w:name="Original"/>
            <w:bookmarkEnd w:id="0"/>
            <w:r w:rsidRPr="005A35D8">
              <w:rPr>
                <w:rFonts w:ascii="Arial Black" w:hAnsi="Arial Black"/>
                <w:caps/>
                <w:sz w:val="15"/>
              </w:rPr>
              <w:t>anglais</w:t>
            </w:r>
          </w:p>
        </w:tc>
      </w:tr>
      <w:tr w:rsidR="00B11E9D" w:rsidRPr="005A35D8" w:rsidTr="00B11E9D">
        <w:trPr>
          <w:trHeight w:hRule="exact" w:val="198"/>
        </w:trPr>
        <w:tc>
          <w:tcPr>
            <w:tcW w:w="9356" w:type="dxa"/>
            <w:gridSpan w:val="3"/>
            <w:tcMar>
              <w:left w:w="0" w:type="dxa"/>
              <w:right w:w="0" w:type="dxa"/>
            </w:tcMar>
            <w:vAlign w:val="bottom"/>
          </w:tcPr>
          <w:p w:rsidR="00B11E9D" w:rsidRPr="005A35D8" w:rsidRDefault="00B11E9D" w:rsidP="00B11E9D">
            <w:pPr>
              <w:jc w:val="right"/>
              <w:rPr>
                <w:rFonts w:ascii="Arial Black" w:hAnsi="Arial Black"/>
                <w:caps/>
                <w:sz w:val="15"/>
              </w:rPr>
            </w:pPr>
            <w:r w:rsidRPr="005A35D8">
              <w:rPr>
                <w:rFonts w:ascii="Arial Black" w:hAnsi="Arial Black"/>
                <w:caps/>
                <w:sz w:val="15"/>
              </w:rPr>
              <w:t>DATE</w:t>
            </w:r>
            <w:r w:rsidR="00085D20" w:rsidRPr="005A35D8">
              <w:rPr>
                <w:rFonts w:ascii="Arial Black" w:hAnsi="Arial Black"/>
                <w:caps/>
                <w:sz w:val="15"/>
              </w:rPr>
              <w:t> </w:t>
            </w:r>
            <w:r w:rsidRPr="005A35D8">
              <w:rPr>
                <w:rFonts w:ascii="Arial Black" w:hAnsi="Arial Black"/>
                <w:caps/>
                <w:sz w:val="15"/>
              </w:rPr>
              <w:t xml:space="preserve">: </w:t>
            </w:r>
            <w:bookmarkStart w:id="1" w:name="Date"/>
            <w:bookmarkEnd w:id="1"/>
            <w:r w:rsidRPr="005A35D8">
              <w:rPr>
                <w:rFonts w:ascii="Arial Black" w:hAnsi="Arial Black"/>
                <w:caps/>
                <w:sz w:val="15"/>
              </w:rPr>
              <w:t>3</w:t>
            </w:r>
            <w:r w:rsidR="00295456" w:rsidRPr="005A35D8">
              <w:rPr>
                <w:rFonts w:ascii="Arial Black" w:hAnsi="Arial Black"/>
                <w:caps/>
                <w:sz w:val="15"/>
              </w:rPr>
              <w:t>1 août 20</w:t>
            </w:r>
            <w:r w:rsidRPr="005A35D8">
              <w:rPr>
                <w:rFonts w:ascii="Arial Black" w:hAnsi="Arial Black"/>
                <w:caps/>
                <w:sz w:val="15"/>
              </w:rPr>
              <w:t>15</w:t>
            </w:r>
          </w:p>
        </w:tc>
      </w:tr>
    </w:tbl>
    <w:p w:rsidR="000243E3" w:rsidRPr="005A35D8" w:rsidRDefault="000243E3" w:rsidP="00B11E9D"/>
    <w:p w:rsidR="000243E3" w:rsidRPr="005A35D8" w:rsidRDefault="000243E3" w:rsidP="00B11E9D"/>
    <w:p w:rsidR="000243E3" w:rsidRPr="005A35D8" w:rsidRDefault="000243E3" w:rsidP="00B11E9D"/>
    <w:p w:rsidR="000243E3" w:rsidRPr="005A35D8" w:rsidRDefault="000243E3" w:rsidP="00B11E9D"/>
    <w:p w:rsidR="000243E3" w:rsidRPr="005A35D8" w:rsidRDefault="000243E3" w:rsidP="00B11E9D"/>
    <w:p w:rsidR="000243E3" w:rsidRPr="005A35D8" w:rsidRDefault="00B11E9D" w:rsidP="00B11E9D">
      <w:r w:rsidRPr="005A35D8">
        <w:rPr>
          <w:b/>
          <w:sz w:val="28"/>
          <w:szCs w:val="28"/>
        </w:rPr>
        <w:t>Comité du programme et budget</w:t>
      </w:r>
    </w:p>
    <w:p w:rsidR="000243E3" w:rsidRPr="005A35D8" w:rsidRDefault="000243E3" w:rsidP="00B11E9D"/>
    <w:p w:rsidR="000243E3" w:rsidRPr="005A35D8" w:rsidRDefault="000243E3" w:rsidP="00B11E9D"/>
    <w:p w:rsidR="000243E3" w:rsidRPr="005A35D8" w:rsidRDefault="00B11E9D" w:rsidP="00B11E9D">
      <w:pPr>
        <w:rPr>
          <w:b/>
          <w:sz w:val="24"/>
          <w:szCs w:val="24"/>
        </w:rPr>
      </w:pPr>
      <w:r w:rsidRPr="005A35D8">
        <w:rPr>
          <w:b/>
          <w:sz w:val="24"/>
          <w:szCs w:val="24"/>
        </w:rPr>
        <w:t>Vingt</w:t>
      </w:r>
      <w:r w:rsidR="00D14880" w:rsidRPr="005A35D8">
        <w:rPr>
          <w:b/>
          <w:sz w:val="24"/>
          <w:szCs w:val="24"/>
        </w:rPr>
        <w:noBreakHyphen/>
      </w:r>
      <w:r w:rsidRPr="005A35D8">
        <w:rPr>
          <w:b/>
          <w:sz w:val="24"/>
          <w:szCs w:val="24"/>
        </w:rPr>
        <w:t>quatrième</w:t>
      </w:r>
      <w:r w:rsidR="00085D20" w:rsidRPr="005A35D8">
        <w:rPr>
          <w:b/>
          <w:sz w:val="24"/>
          <w:szCs w:val="24"/>
        </w:rPr>
        <w:t> </w:t>
      </w:r>
      <w:r w:rsidRPr="005A35D8">
        <w:rPr>
          <w:b/>
          <w:sz w:val="24"/>
          <w:szCs w:val="24"/>
        </w:rPr>
        <w:t>session</w:t>
      </w:r>
    </w:p>
    <w:p w:rsidR="000243E3" w:rsidRPr="005A35D8" w:rsidRDefault="00B11E9D" w:rsidP="00B11E9D">
      <w:r w:rsidRPr="005A35D8">
        <w:rPr>
          <w:b/>
          <w:sz w:val="24"/>
          <w:szCs w:val="24"/>
        </w:rPr>
        <w:t>Genève, 14 – 1</w:t>
      </w:r>
      <w:r w:rsidR="00295456" w:rsidRPr="005A35D8">
        <w:rPr>
          <w:b/>
          <w:sz w:val="24"/>
          <w:szCs w:val="24"/>
        </w:rPr>
        <w:t>8 septembre 20</w:t>
      </w:r>
      <w:r w:rsidRPr="005A35D8">
        <w:rPr>
          <w:b/>
          <w:sz w:val="24"/>
          <w:szCs w:val="24"/>
        </w:rPr>
        <w:t>15</w:t>
      </w:r>
    </w:p>
    <w:p w:rsidR="000243E3" w:rsidRPr="005A35D8" w:rsidRDefault="000243E3" w:rsidP="00B11E9D"/>
    <w:p w:rsidR="000243E3" w:rsidRPr="005A35D8" w:rsidRDefault="000243E3" w:rsidP="00B11E9D"/>
    <w:p w:rsidR="000243E3" w:rsidRPr="005A35D8" w:rsidRDefault="00F46757" w:rsidP="00F46757">
      <w:pPr>
        <w:rPr>
          <w:caps/>
          <w:sz w:val="24"/>
        </w:rPr>
      </w:pPr>
      <w:r w:rsidRPr="005A35D8">
        <w:rPr>
          <w:caps/>
          <w:sz w:val="24"/>
        </w:rPr>
        <w:t>Politiqu</w:t>
      </w:r>
      <w:bookmarkStart w:id="2" w:name="_GoBack"/>
      <w:bookmarkEnd w:id="2"/>
      <w:r w:rsidRPr="005A35D8">
        <w:rPr>
          <w:caps/>
          <w:sz w:val="24"/>
        </w:rPr>
        <w:t>e révisée en matière de placements</w:t>
      </w:r>
    </w:p>
    <w:p w:rsidR="000243E3" w:rsidRPr="005A35D8" w:rsidRDefault="000243E3" w:rsidP="008B2CC1"/>
    <w:p w:rsidR="000243E3" w:rsidRPr="005A35D8" w:rsidRDefault="00F46757" w:rsidP="00F46757">
      <w:pPr>
        <w:rPr>
          <w:i/>
        </w:rPr>
      </w:pPr>
      <w:bookmarkStart w:id="3" w:name="Prepared"/>
      <w:bookmarkEnd w:id="3"/>
      <w:r w:rsidRPr="005A35D8">
        <w:rPr>
          <w:i/>
        </w:rPr>
        <w:t>Document établi par le Secrétariat</w:t>
      </w:r>
    </w:p>
    <w:p w:rsidR="000243E3" w:rsidRPr="005A35D8" w:rsidRDefault="000243E3"/>
    <w:p w:rsidR="000243E3" w:rsidRPr="005A35D8" w:rsidRDefault="000243E3"/>
    <w:p w:rsidR="000243E3" w:rsidRPr="005A35D8" w:rsidRDefault="000243E3"/>
    <w:p w:rsidR="000243E3" w:rsidRPr="005A35D8" w:rsidRDefault="00F46757" w:rsidP="00630448">
      <w:pPr>
        <w:pStyle w:val="Heading1"/>
      </w:pPr>
      <w:r w:rsidRPr="005A35D8">
        <w:t>Généralités</w:t>
      </w:r>
    </w:p>
    <w:p w:rsidR="000243E3" w:rsidRPr="005A35D8" w:rsidRDefault="000243E3" w:rsidP="00EB5DA5"/>
    <w:p w:rsidR="000243E3" w:rsidRPr="005A35D8" w:rsidRDefault="00B8454C" w:rsidP="00630448">
      <w:pPr>
        <w:pStyle w:val="ONUMFS"/>
        <w:rPr>
          <w:szCs w:val="22"/>
        </w:rPr>
      </w:pPr>
      <w:r w:rsidRPr="005A35D8">
        <w:rPr>
          <w:rStyle w:val="hps"/>
        </w:rPr>
        <w:t>Suite à la</w:t>
      </w:r>
      <w:r w:rsidRPr="005A35D8">
        <w:t xml:space="preserve"> </w:t>
      </w:r>
      <w:r w:rsidRPr="005A35D8">
        <w:rPr>
          <w:rStyle w:val="hps"/>
        </w:rPr>
        <w:t>discussion des</w:t>
      </w:r>
      <w:r w:rsidRPr="005A35D8">
        <w:t xml:space="preserve"> </w:t>
      </w:r>
      <w:r w:rsidRPr="005A35D8">
        <w:rPr>
          <w:rStyle w:val="hps"/>
        </w:rPr>
        <w:t>documents WO/PBC/23</w:t>
      </w:r>
      <w:r w:rsidRPr="005A35D8">
        <w:rPr>
          <w:rStyle w:val="atn"/>
        </w:rPr>
        <w:t>/</w:t>
      </w:r>
      <w:r w:rsidRPr="005A35D8">
        <w:t xml:space="preserve">6 et </w:t>
      </w:r>
      <w:r w:rsidRPr="005A35D8">
        <w:rPr>
          <w:rStyle w:val="hps"/>
        </w:rPr>
        <w:t>WO/PBC/23/7</w:t>
      </w:r>
      <w:r w:rsidRPr="005A35D8">
        <w:t xml:space="preserve"> </w:t>
      </w:r>
      <w:r w:rsidRPr="005A35D8">
        <w:rPr>
          <w:rStyle w:val="hps"/>
        </w:rPr>
        <w:t>à la session</w:t>
      </w:r>
      <w:r w:rsidRPr="005A35D8">
        <w:t xml:space="preserve"> tenue en j</w:t>
      </w:r>
      <w:r w:rsidRPr="005A35D8">
        <w:rPr>
          <w:rStyle w:val="hps"/>
        </w:rPr>
        <w:t>uillet</w:t>
      </w:r>
      <w:r w:rsidRPr="005A35D8">
        <w:t> </w:t>
      </w:r>
      <w:r w:rsidRPr="005A35D8">
        <w:rPr>
          <w:rStyle w:val="hps"/>
        </w:rPr>
        <w:t xml:space="preserve">2015 </w:t>
      </w:r>
      <w:r w:rsidRPr="005A35D8">
        <w:t xml:space="preserve">par le </w:t>
      </w:r>
      <w:r w:rsidRPr="005A35D8">
        <w:rPr>
          <w:rStyle w:val="hps"/>
        </w:rPr>
        <w:t>Comité du programme et</w:t>
      </w:r>
      <w:r w:rsidRPr="005A35D8">
        <w:t xml:space="preserve"> </w:t>
      </w:r>
      <w:r w:rsidRPr="005A35D8">
        <w:rPr>
          <w:rStyle w:val="hps"/>
        </w:rPr>
        <w:t>budget (PBC</w:t>
      </w:r>
      <w:r w:rsidR="00630448" w:rsidRPr="005A35D8">
        <w:t>), le c</w:t>
      </w:r>
      <w:r w:rsidRPr="005A35D8">
        <w:t xml:space="preserve">omité, </w:t>
      </w:r>
      <w:r w:rsidR="0065389E" w:rsidRPr="005A35D8">
        <w:t>conscient de</w:t>
      </w:r>
      <w:r w:rsidRPr="005A35D8">
        <w:t xml:space="preserve"> la</w:t>
      </w:r>
      <w:r w:rsidRPr="005A35D8">
        <w:rPr>
          <w:rStyle w:val="hps"/>
        </w:rPr>
        <w:t xml:space="preserve"> nécessité</w:t>
      </w:r>
      <w:r w:rsidRPr="005A35D8">
        <w:t xml:space="preserve"> </w:t>
      </w:r>
      <w:r w:rsidRPr="005A35D8">
        <w:rPr>
          <w:rStyle w:val="hps"/>
        </w:rPr>
        <w:t>de disposer de</w:t>
      </w:r>
      <w:r w:rsidRPr="005A35D8">
        <w:t xml:space="preserve"> deux </w:t>
      </w:r>
      <w:r w:rsidRPr="005A35D8">
        <w:rPr>
          <w:rStyle w:val="hps"/>
        </w:rPr>
        <w:t>politiques en matière de placements</w:t>
      </w:r>
      <w:r w:rsidRPr="005A35D8">
        <w:t xml:space="preserve"> </w:t>
      </w:r>
      <w:r w:rsidRPr="005A35D8">
        <w:rPr>
          <w:rStyle w:val="hps"/>
        </w:rPr>
        <w:t>(l</w:t>
      </w:r>
      <w:r w:rsidR="00295456" w:rsidRPr="005A35D8">
        <w:rPr>
          <w:rStyle w:val="hps"/>
        </w:rPr>
        <w:t>’</w:t>
      </w:r>
      <w:r w:rsidRPr="005A35D8">
        <w:rPr>
          <w:rStyle w:val="hps"/>
        </w:rPr>
        <w:t>une consacrée à la trésorerie d</w:t>
      </w:r>
      <w:r w:rsidR="00295456" w:rsidRPr="005A35D8">
        <w:rPr>
          <w:rStyle w:val="hps"/>
        </w:rPr>
        <w:t>’</w:t>
      </w:r>
      <w:r w:rsidRPr="005A35D8">
        <w:rPr>
          <w:rStyle w:val="hps"/>
        </w:rPr>
        <w:t>exploitation</w:t>
      </w:r>
      <w:r w:rsidR="00C35E4C" w:rsidRPr="005A35D8">
        <w:rPr>
          <w:rStyle w:val="hps"/>
        </w:rPr>
        <w:t xml:space="preserve"> et</w:t>
      </w:r>
      <w:r w:rsidRPr="005A35D8">
        <w:rPr>
          <w:rStyle w:val="hps"/>
        </w:rPr>
        <w:t xml:space="preserve"> aux fonds propres</w:t>
      </w:r>
      <w:r w:rsidR="00C35E4C" w:rsidRPr="005A35D8">
        <w:rPr>
          <w:rStyle w:val="hps"/>
        </w:rPr>
        <w:t>, l</w:t>
      </w:r>
      <w:r w:rsidR="00295456" w:rsidRPr="005A35D8">
        <w:rPr>
          <w:rStyle w:val="hps"/>
        </w:rPr>
        <w:t>’</w:t>
      </w:r>
      <w:r w:rsidR="00C35E4C" w:rsidRPr="005A35D8">
        <w:rPr>
          <w:rStyle w:val="hps"/>
        </w:rPr>
        <w:t>autre</w:t>
      </w:r>
      <w:r w:rsidRPr="005A35D8">
        <w:rPr>
          <w:rStyle w:val="hps"/>
        </w:rPr>
        <w:t xml:space="preserve"> à la trésorerie stratégique)</w:t>
      </w:r>
      <w:r w:rsidRPr="005A35D8">
        <w:t xml:space="preserve">, a recommandé que </w:t>
      </w:r>
      <w:r w:rsidR="00C35E4C" w:rsidRPr="005A35D8">
        <w:t xml:space="preserve">ces </w:t>
      </w:r>
      <w:r w:rsidRPr="005A35D8">
        <w:t>deux</w:t>
      </w:r>
      <w:r w:rsidR="00085D20" w:rsidRPr="005A35D8">
        <w:t> </w:t>
      </w:r>
      <w:r w:rsidRPr="005A35D8">
        <w:rPr>
          <w:rStyle w:val="hps"/>
        </w:rPr>
        <w:t>politiques</w:t>
      </w:r>
      <w:r w:rsidRPr="005A35D8">
        <w:t xml:space="preserve"> </w:t>
      </w:r>
      <w:r w:rsidRPr="005A35D8">
        <w:rPr>
          <w:rStyle w:val="hps"/>
        </w:rPr>
        <w:t>soient établies pour</w:t>
      </w:r>
      <w:r w:rsidRPr="005A35D8">
        <w:t xml:space="preserve"> </w:t>
      </w:r>
      <w:r w:rsidRPr="005A35D8">
        <w:rPr>
          <w:rStyle w:val="hps"/>
        </w:rPr>
        <w:t>approbation lors de sa</w:t>
      </w:r>
      <w:r w:rsidRPr="005A35D8">
        <w:t xml:space="preserve"> </w:t>
      </w:r>
      <w:r w:rsidRPr="005A35D8">
        <w:rPr>
          <w:rStyle w:val="hps"/>
        </w:rPr>
        <w:t>prochaine session et</w:t>
      </w:r>
      <w:r w:rsidRPr="005A35D8">
        <w:t xml:space="preserve"> </w:t>
      </w:r>
      <w:r w:rsidRPr="005A35D8">
        <w:rPr>
          <w:rStyle w:val="hps"/>
        </w:rPr>
        <w:t>que les deux</w:t>
      </w:r>
      <w:r w:rsidR="00085D20" w:rsidRPr="005A35D8">
        <w:rPr>
          <w:rStyle w:val="hps"/>
        </w:rPr>
        <w:t> </w:t>
      </w:r>
      <w:r w:rsidRPr="005A35D8">
        <w:rPr>
          <w:rStyle w:val="hps"/>
        </w:rPr>
        <w:t>politiques incluent les aspects suivants </w:t>
      </w:r>
      <w:r w:rsidR="00490611" w:rsidRPr="005A35D8">
        <w:rPr>
          <w:rStyle w:val="hps"/>
        </w:rPr>
        <w:t>:</w:t>
      </w:r>
    </w:p>
    <w:p w:rsidR="000243E3" w:rsidRPr="005A35D8" w:rsidRDefault="00F46757" w:rsidP="0044721B">
      <w:pPr>
        <w:pStyle w:val="Style2"/>
        <w:numPr>
          <w:ilvl w:val="0"/>
          <w:numId w:val="3"/>
        </w:numPr>
        <w:tabs>
          <w:tab w:val="left" w:pos="567"/>
          <w:tab w:val="left" w:pos="1134"/>
          <w:tab w:val="left" w:pos="6521"/>
        </w:tabs>
        <w:spacing w:after="220"/>
        <w:ind w:left="567" w:firstLine="0"/>
        <w:rPr>
          <w:szCs w:val="22"/>
        </w:rPr>
      </w:pPr>
      <w:r w:rsidRPr="005A35D8">
        <w:rPr>
          <w:szCs w:val="22"/>
        </w:rPr>
        <w:t>la définition des placements à court terme comme étant des placements arrivant à échéance au bout d</w:t>
      </w:r>
      <w:r w:rsidR="00295456" w:rsidRPr="005A35D8">
        <w:rPr>
          <w:szCs w:val="22"/>
        </w:rPr>
        <w:t>’</w:t>
      </w:r>
      <w:r w:rsidRPr="005A35D8">
        <w:rPr>
          <w:szCs w:val="22"/>
        </w:rPr>
        <w:t>un an maximum;</w:t>
      </w:r>
    </w:p>
    <w:p w:rsidR="000243E3" w:rsidRPr="005A35D8" w:rsidRDefault="00F46757" w:rsidP="0044721B">
      <w:pPr>
        <w:pStyle w:val="Style2"/>
        <w:numPr>
          <w:ilvl w:val="0"/>
          <w:numId w:val="3"/>
        </w:numPr>
        <w:tabs>
          <w:tab w:val="left" w:pos="567"/>
          <w:tab w:val="left" w:pos="1134"/>
          <w:tab w:val="left" w:pos="6521"/>
        </w:tabs>
        <w:spacing w:after="220"/>
        <w:ind w:left="567" w:firstLine="0"/>
        <w:rPr>
          <w:szCs w:val="22"/>
        </w:rPr>
      </w:pPr>
      <w:r w:rsidRPr="005A35D8">
        <w:rPr>
          <w:szCs w:val="22"/>
        </w:rPr>
        <w:t xml:space="preserve">des notations minimales en ce qui concerne les placements à court terme, </w:t>
      </w:r>
      <w:r w:rsidR="00295456" w:rsidRPr="005A35D8">
        <w:rPr>
          <w:szCs w:val="22"/>
        </w:rPr>
        <w:t>à savoir</w:t>
      </w:r>
      <w:r w:rsidRPr="005A35D8">
        <w:rPr>
          <w:szCs w:val="22"/>
        </w:rPr>
        <w:t xml:space="preserve"> A</w:t>
      </w:r>
      <w:r w:rsidR="00D14880" w:rsidRPr="005A35D8">
        <w:rPr>
          <w:szCs w:val="22"/>
        </w:rPr>
        <w:noBreakHyphen/>
      </w:r>
      <w:r w:rsidRPr="005A35D8">
        <w:rPr>
          <w:szCs w:val="22"/>
        </w:rPr>
        <w:t>2/P</w:t>
      </w:r>
      <w:r w:rsidR="00D14880" w:rsidRPr="005A35D8">
        <w:rPr>
          <w:szCs w:val="22"/>
        </w:rPr>
        <w:noBreakHyphen/>
      </w:r>
      <w:r w:rsidRPr="005A35D8">
        <w:rPr>
          <w:szCs w:val="22"/>
        </w:rPr>
        <w:t>2 pour les dépôts à terme auprès de banques et A3</w:t>
      </w:r>
      <w:r w:rsidR="00D14880" w:rsidRPr="005A35D8">
        <w:rPr>
          <w:szCs w:val="22"/>
        </w:rPr>
        <w:noBreakHyphen/>
      </w:r>
      <w:r w:rsidRPr="005A35D8">
        <w:rPr>
          <w:szCs w:val="22"/>
        </w:rPr>
        <w:t>P3 pour les obligations d</w:t>
      </w:r>
      <w:r w:rsidR="00295456" w:rsidRPr="005A35D8">
        <w:rPr>
          <w:szCs w:val="22"/>
        </w:rPr>
        <w:t>’</w:t>
      </w:r>
      <w:r w:rsidRPr="005A35D8">
        <w:rPr>
          <w:szCs w:val="22"/>
        </w:rPr>
        <w:t>État;</w:t>
      </w:r>
    </w:p>
    <w:p w:rsidR="000243E3" w:rsidRPr="005A35D8" w:rsidRDefault="00F46757" w:rsidP="0044721B">
      <w:pPr>
        <w:pStyle w:val="Style2"/>
        <w:numPr>
          <w:ilvl w:val="0"/>
          <w:numId w:val="3"/>
        </w:numPr>
        <w:tabs>
          <w:tab w:val="left" w:pos="567"/>
          <w:tab w:val="left" w:pos="1134"/>
          <w:tab w:val="left" w:pos="6521"/>
        </w:tabs>
        <w:spacing w:after="220"/>
        <w:ind w:left="567" w:firstLine="0"/>
        <w:rPr>
          <w:szCs w:val="22"/>
        </w:rPr>
      </w:pPr>
      <w:r w:rsidRPr="005A35D8">
        <w:rPr>
          <w:szCs w:val="22"/>
        </w:rPr>
        <w:t xml:space="preserve">des notations minimales révisées en ce qui concerne les placements à court terme et à long terme, </w:t>
      </w:r>
      <w:r w:rsidR="00295456" w:rsidRPr="005A35D8">
        <w:rPr>
          <w:szCs w:val="22"/>
        </w:rPr>
        <w:t>à savoir</w:t>
      </w:r>
      <w:r w:rsidRPr="005A35D8">
        <w:rPr>
          <w:szCs w:val="22"/>
        </w:rPr>
        <w:t xml:space="preserve"> A</w:t>
      </w:r>
      <w:r w:rsidR="00D14880" w:rsidRPr="005A35D8">
        <w:rPr>
          <w:szCs w:val="22"/>
        </w:rPr>
        <w:noBreakHyphen/>
      </w:r>
      <w:r w:rsidRPr="005A35D8">
        <w:rPr>
          <w:szCs w:val="22"/>
        </w:rPr>
        <w:t>/A3 pour les dépôts à terme auprès de banques et les obligations d</w:t>
      </w:r>
      <w:r w:rsidR="00295456" w:rsidRPr="005A35D8">
        <w:rPr>
          <w:szCs w:val="22"/>
        </w:rPr>
        <w:t>’</w:t>
      </w:r>
      <w:r w:rsidRPr="005A35D8">
        <w:rPr>
          <w:szCs w:val="22"/>
        </w:rPr>
        <w:t>État, BBB</w:t>
      </w:r>
      <w:r w:rsidR="00D14880" w:rsidRPr="005A35D8">
        <w:rPr>
          <w:szCs w:val="22"/>
        </w:rPr>
        <w:noBreakHyphen/>
      </w:r>
      <w:r w:rsidRPr="005A35D8">
        <w:rPr>
          <w:szCs w:val="22"/>
        </w:rPr>
        <w:t>/Baa3 pour les obligations d</w:t>
      </w:r>
      <w:r w:rsidR="00295456" w:rsidRPr="005A35D8">
        <w:rPr>
          <w:szCs w:val="22"/>
        </w:rPr>
        <w:t>’</w:t>
      </w:r>
      <w:r w:rsidRPr="005A35D8">
        <w:rPr>
          <w:szCs w:val="22"/>
        </w:rPr>
        <w:t>entreprises;</w:t>
      </w:r>
    </w:p>
    <w:p w:rsidR="000243E3" w:rsidRPr="005A35D8" w:rsidRDefault="00F46757" w:rsidP="0044721B">
      <w:pPr>
        <w:pStyle w:val="Style2"/>
        <w:numPr>
          <w:ilvl w:val="0"/>
          <w:numId w:val="3"/>
        </w:numPr>
        <w:tabs>
          <w:tab w:val="left" w:pos="567"/>
          <w:tab w:val="left" w:pos="1134"/>
          <w:tab w:val="left" w:pos="6521"/>
        </w:tabs>
        <w:spacing w:after="220"/>
        <w:ind w:left="567" w:firstLine="0"/>
        <w:rPr>
          <w:szCs w:val="22"/>
        </w:rPr>
      </w:pPr>
      <w:r w:rsidRPr="005A35D8">
        <w:rPr>
          <w:szCs w:val="22"/>
        </w:rPr>
        <w:t>une réduction du nombre minimal d</w:t>
      </w:r>
      <w:r w:rsidR="00295456" w:rsidRPr="005A35D8">
        <w:rPr>
          <w:szCs w:val="22"/>
        </w:rPr>
        <w:t>’</w:t>
      </w:r>
      <w:r w:rsidRPr="005A35D8">
        <w:rPr>
          <w:szCs w:val="22"/>
        </w:rPr>
        <w:t>institutions financières (parmi les 10 indiquées dans la politique actuelle en matière de placements) auprès desquelles il est possible de détenir la trésorerie d</w:t>
      </w:r>
      <w:r w:rsidR="00295456" w:rsidRPr="005A35D8">
        <w:rPr>
          <w:szCs w:val="22"/>
        </w:rPr>
        <w:t>’</w:t>
      </w:r>
      <w:r w:rsidRPr="005A35D8">
        <w:rPr>
          <w:szCs w:val="22"/>
        </w:rPr>
        <w:t>exploitation à quatre</w:t>
      </w:r>
      <w:r w:rsidR="00085D20" w:rsidRPr="005A35D8">
        <w:rPr>
          <w:szCs w:val="22"/>
        </w:rPr>
        <w:t> </w:t>
      </w:r>
      <w:r w:rsidRPr="005A35D8">
        <w:rPr>
          <w:szCs w:val="22"/>
        </w:rPr>
        <w:t>institutions, étant entendu qu</w:t>
      </w:r>
      <w:r w:rsidR="00295456" w:rsidRPr="005A35D8">
        <w:rPr>
          <w:szCs w:val="22"/>
        </w:rPr>
        <w:t>’</w:t>
      </w:r>
      <w:r w:rsidRPr="005A35D8">
        <w:rPr>
          <w:szCs w:val="22"/>
        </w:rPr>
        <w:t>une même institution ne doit pas détenir plus de 30% des fonds;</w:t>
      </w:r>
    </w:p>
    <w:p w:rsidR="000243E3" w:rsidRPr="005A35D8" w:rsidRDefault="00F46757" w:rsidP="0044721B">
      <w:pPr>
        <w:pStyle w:val="Style2"/>
        <w:numPr>
          <w:ilvl w:val="0"/>
          <w:numId w:val="3"/>
        </w:numPr>
        <w:tabs>
          <w:tab w:val="left" w:pos="567"/>
          <w:tab w:val="left" w:pos="1134"/>
          <w:tab w:val="left" w:pos="6521"/>
        </w:tabs>
        <w:spacing w:after="220"/>
        <w:ind w:left="567" w:firstLine="0"/>
        <w:rPr>
          <w:szCs w:val="22"/>
        </w:rPr>
      </w:pPr>
      <w:r w:rsidRPr="005A35D8">
        <w:rPr>
          <w:szCs w:val="22"/>
        </w:rPr>
        <w:t>le recours à des gestionnaires de fonds extérieurs pour la gestion des fonds propres et de la trésorerie stratégique;</w:t>
      </w:r>
    </w:p>
    <w:p w:rsidR="000243E3" w:rsidRPr="005A35D8" w:rsidRDefault="00F46757" w:rsidP="0044721B">
      <w:pPr>
        <w:pStyle w:val="Style2"/>
        <w:numPr>
          <w:ilvl w:val="0"/>
          <w:numId w:val="3"/>
        </w:numPr>
        <w:tabs>
          <w:tab w:val="left" w:pos="567"/>
          <w:tab w:val="left" w:pos="1134"/>
          <w:tab w:val="left" w:pos="6521"/>
        </w:tabs>
        <w:spacing w:after="220"/>
        <w:ind w:left="567" w:firstLine="0"/>
        <w:rPr>
          <w:szCs w:val="22"/>
        </w:rPr>
      </w:pPr>
      <w:r w:rsidRPr="005A35D8">
        <w:rPr>
          <w:szCs w:val="22"/>
        </w:rPr>
        <w:lastRenderedPageBreak/>
        <w:t>le remboursement des deux</w:t>
      </w:r>
      <w:r w:rsidR="00085D20" w:rsidRPr="005A35D8">
        <w:rPr>
          <w:szCs w:val="22"/>
        </w:rPr>
        <w:t> </w:t>
      </w:r>
      <w:r w:rsidRPr="005A35D8">
        <w:rPr>
          <w:szCs w:val="22"/>
        </w:rPr>
        <w:t>tranches de l</w:t>
      </w:r>
      <w:r w:rsidR="00295456" w:rsidRPr="005A35D8">
        <w:rPr>
          <w:szCs w:val="22"/>
        </w:rPr>
        <w:t>’</w:t>
      </w:r>
      <w:r w:rsidRPr="005A35D8">
        <w:rPr>
          <w:szCs w:val="22"/>
        </w:rPr>
        <w:t xml:space="preserve">emprunt pour le nouveau bâtiment, dont les échéances sont </w:t>
      </w:r>
      <w:r w:rsidR="00295456" w:rsidRPr="005A35D8">
        <w:rPr>
          <w:szCs w:val="22"/>
        </w:rPr>
        <w:t>novembre 20</w:t>
      </w:r>
      <w:r w:rsidRPr="005A35D8">
        <w:rPr>
          <w:szCs w:val="22"/>
        </w:rPr>
        <w:t xml:space="preserve">15 et </w:t>
      </w:r>
      <w:r w:rsidR="00295456" w:rsidRPr="005A35D8">
        <w:rPr>
          <w:szCs w:val="22"/>
        </w:rPr>
        <w:t>janvier 20</w:t>
      </w:r>
      <w:r w:rsidRPr="005A35D8">
        <w:rPr>
          <w:szCs w:val="22"/>
        </w:rPr>
        <w:t>16;</w:t>
      </w:r>
    </w:p>
    <w:p w:rsidR="000243E3" w:rsidRPr="005A35D8" w:rsidRDefault="00F46757" w:rsidP="0044721B">
      <w:pPr>
        <w:pStyle w:val="Style2"/>
        <w:numPr>
          <w:ilvl w:val="0"/>
          <w:numId w:val="3"/>
        </w:numPr>
        <w:tabs>
          <w:tab w:val="left" w:pos="567"/>
          <w:tab w:val="left" w:pos="1134"/>
          <w:tab w:val="left" w:pos="6521"/>
        </w:tabs>
        <w:spacing w:after="220"/>
        <w:ind w:left="567" w:firstLine="0"/>
        <w:rPr>
          <w:szCs w:val="22"/>
        </w:rPr>
      </w:pPr>
      <w:r w:rsidRPr="005A35D8">
        <w:rPr>
          <w:szCs w:val="22"/>
        </w:rPr>
        <w:t>une liste révisée des classes d</w:t>
      </w:r>
      <w:r w:rsidR="00295456" w:rsidRPr="005A35D8">
        <w:rPr>
          <w:szCs w:val="22"/>
        </w:rPr>
        <w:t>’</w:t>
      </w:r>
      <w:r w:rsidRPr="005A35D8">
        <w:rPr>
          <w:szCs w:val="22"/>
        </w:rPr>
        <w:t xml:space="preserve">actifs acceptables, </w:t>
      </w:r>
      <w:r w:rsidR="00295456" w:rsidRPr="005A35D8">
        <w:rPr>
          <w:szCs w:val="22"/>
        </w:rPr>
        <w:t>à savoir</w:t>
      </w:r>
      <w:r w:rsidR="00085D20" w:rsidRPr="005A35D8">
        <w:rPr>
          <w:szCs w:val="22"/>
        </w:rPr>
        <w:t> </w:t>
      </w:r>
      <w:r w:rsidRPr="005A35D8">
        <w:rPr>
          <w:szCs w:val="22"/>
        </w:rPr>
        <w:t>:</w:t>
      </w:r>
    </w:p>
    <w:p w:rsidR="000243E3" w:rsidRPr="005A35D8" w:rsidRDefault="00F46757" w:rsidP="0044721B">
      <w:pPr>
        <w:pStyle w:val="ONUMFS"/>
        <w:numPr>
          <w:ilvl w:val="2"/>
          <w:numId w:val="2"/>
        </w:numPr>
      </w:pPr>
      <w:r w:rsidRPr="005A35D8">
        <w:rPr>
          <w:u w:val="single"/>
        </w:rPr>
        <w:t>Dans le cadre de la politique en matière d</w:t>
      </w:r>
      <w:r w:rsidR="00295456" w:rsidRPr="005A35D8">
        <w:rPr>
          <w:u w:val="single"/>
        </w:rPr>
        <w:t>’</w:t>
      </w:r>
      <w:r w:rsidRPr="005A35D8">
        <w:rPr>
          <w:u w:val="single"/>
        </w:rPr>
        <w:t>investissements applicable à la trésorerie d</w:t>
      </w:r>
      <w:r w:rsidR="00295456" w:rsidRPr="005A35D8">
        <w:rPr>
          <w:u w:val="single"/>
        </w:rPr>
        <w:t>’</w:t>
      </w:r>
      <w:r w:rsidRPr="005A35D8">
        <w:rPr>
          <w:u w:val="single"/>
        </w:rPr>
        <w:t>exploitation et aux fonds propres</w:t>
      </w:r>
      <w:r w:rsidR="00085D20" w:rsidRPr="005A35D8">
        <w:t> </w:t>
      </w:r>
      <w:r w:rsidRPr="005A35D8">
        <w:t>:</w:t>
      </w:r>
    </w:p>
    <w:p w:rsidR="000243E3" w:rsidRPr="005A35D8" w:rsidRDefault="00F46757" w:rsidP="00630448">
      <w:pPr>
        <w:tabs>
          <w:tab w:val="left" w:pos="6946"/>
        </w:tabs>
        <w:spacing w:after="220"/>
        <w:ind w:left="2835" w:hanging="567"/>
        <w:rPr>
          <w:szCs w:val="22"/>
        </w:rPr>
      </w:pPr>
      <w:r w:rsidRPr="005A35D8">
        <w:rPr>
          <w:szCs w:val="22"/>
        </w:rPr>
        <w:t>I.</w:t>
      </w:r>
      <w:r w:rsidRPr="005A35D8">
        <w:rPr>
          <w:szCs w:val="22"/>
        </w:rPr>
        <w:tab/>
        <w:t>Trésorerie ou équivalent</w:t>
      </w:r>
      <w:r w:rsidR="00085D20" w:rsidRPr="005A35D8">
        <w:rPr>
          <w:szCs w:val="22"/>
        </w:rPr>
        <w:t> </w:t>
      </w:r>
      <w:r w:rsidRPr="005A35D8">
        <w:rPr>
          <w:szCs w:val="22"/>
        </w:rPr>
        <w:t>:</w:t>
      </w:r>
    </w:p>
    <w:p w:rsidR="000243E3" w:rsidRPr="005A35D8" w:rsidRDefault="00F46757" w:rsidP="00630448">
      <w:pPr>
        <w:spacing w:after="220"/>
        <w:ind w:left="3402" w:hanging="567"/>
        <w:rPr>
          <w:szCs w:val="22"/>
        </w:rPr>
      </w:pPr>
      <w:r w:rsidRPr="005A35D8">
        <w:rPr>
          <w:szCs w:val="22"/>
        </w:rPr>
        <w:t>a)</w:t>
      </w:r>
      <w:r w:rsidRPr="005A35D8">
        <w:rPr>
          <w:szCs w:val="22"/>
        </w:rPr>
        <w:tab/>
        <w:t>Dépôts à vue, comptes d</w:t>
      </w:r>
      <w:r w:rsidR="00295456" w:rsidRPr="005A35D8">
        <w:rPr>
          <w:szCs w:val="22"/>
        </w:rPr>
        <w:t>’</w:t>
      </w:r>
      <w:r w:rsidRPr="005A35D8">
        <w:rPr>
          <w:szCs w:val="22"/>
        </w:rPr>
        <w:t>épargne ou comptes de dépôt</w:t>
      </w:r>
      <w:r w:rsidR="009D1B63">
        <w:rPr>
          <w:szCs w:val="22"/>
        </w:rPr>
        <w:t>;</w:t>
      </w:r>
    </w:p>
    <w:p w:rsidR="000243E3" w:rsidRPr="005A35D8" w:rsidRDefault="00F46757" w:rsidP="00630448">
      <w:pPr>
        <w:spacing w:after="220"/>
        <w:ind w:left="3402" w:hanging="567"/>
        <w:rPr>
          <w:szCs w:val="22"/>
        </w:rPr>
      </w:pPr>
      <w:r w:rsidRPr="005A35D8">
        <w:rPr>
          <w:szCs w:val="22"/>
        </w:rPr>
        <w:t>b)</w:t>
      </w:r>
      <w:r w:rsidRPr="005A35D8">
        <w:rPr>
          <w:szCs w:val="22"/>
        </w:rPr>
        <w:tab/>
        <w:t>Certificats de dépôts/dépôts à terme</w:t>
      </w:r>
      <w:r w:rsidR="009D1B63">
        <w:rPr>
          <w:szCs w:val="22"/>
        </w:rPr>
        <w:t>;</w:t>
      </w:r>
    </w:p>
    <w:p w:rsidR="000243E3" w:rsidRPr="005A35D8" w:rsidRDefault="00F46757" w:rsidP="00630448">
      <w:pPr>
        <w:spacing w:after="220"/>
        <w:ind w:left="3402" w:hanging="567"/>
        <w:rPr>
          <w:szCs w:val="22"/>
        </w:rPr>
      </w:pPr>
      <w:r w:rsidRPr="005A35D8">
        <w:rPr>
          <w:szCs w:val="22"/>
        </w:rPr>
        <w:t>c)</w:t>
      </w:r>
      <w:r w:rsidRPr="005A35D8">
        <w:rPr>
          <w:szCs w:val="22"/>
        </w:rPr>
        <w:tab/>
        <w:t>Dépôts structurés</w:t>
      </w:r>
      <w:r w:rsidR="009D1B63">
        <w:rPr>
          <w:szCs w:val="22"/>
        </w:rPr>
        <w:t>;</w:t>
      </w:r>
    </w:p>
    <w:p w:rsidR="000243E3" w:rsidRPr="005A35D8" w:rsidRDefault="00F46757" w:rsidP="00630448">
      <w:pPr>
        <w:spacing w:after="220"/>
        <w:ind w:left="3402" w:hanging="567"/>
        <w:rPr>
          <w:szCs w:val="22"/>
        </w:rPr>
      </w:pPr>
      <w:r w:rsidRPr="005A35D8">
        <w:rPr>
          <w:szCs w:val="22"/>
        </w:rPr>
        <w:t>d)</w:t>
      </w:r>
      <w:r w:rsidRPr="005A35D8">
        <w:rPr>
          <w:szCs w:val="22"/>
        </w:rPr>
        <w:tab/>
        <w:t>Dépôts croisés dans deux</w:t>
      </w:r>
      <w:r w:rsidR="00085D20" w:rsidRPr="005A35D8">
        <w:rPr>
          <w:szCs w:val="22"/>
        </w:rPr>
        <w:t> </w:t>
      </w:r>
      <w:r w:rsidRPr="005A35D8">
        <w:rPr>
          <w:szCs w:val="22"/>
        </w:rPr>
        <w:t>devises</w:t>
      </w:r>
      <w:r w:rsidR="009D1B63">
        <w:rPr>
          <w:szCs w:val="22"/>
        </w:rPr>
        <w:t>;</w:t>
      </w:r>
    </w:p>
    <w:p w:rsidR="000243E3" w:rsidRPr="005A35D8" w:rsidRDefault="00F46757" w:rsidP="00630448">
      <w:pPr>
        <w:tabs>
          <w:tab w:val="left" w:pos="6946"/>
        </w:tabs>
        <w:spacing w:after="220"/>
        <w:ind w:left="2835" w:hanging="567"/>
        <w:rPr>
          <w:szCs w:val="22"/>
        </w:rPr>
      </w:pPr>
      <w:r w:rsidRPr="005A35D8">
        <w:rPr>
          <w:szCs w:val="22"/>
        </w:rPr>
        <w:t>II.</w:t>
      </w:r>
      <w:r w:rsidRPr="005A35D8">
        <w:rPr>
          <w:szCs w:val="22"/>
        </w:rPr>
        <w:tab/>
        <w:t>Investissements sur les marchés monétaires</w:t>
      </w:r>
      <w:r w:rsidR="00085D20" w:rsidRPr="005A35D8">
        <w:rPr>
          <w:szCs w:val="22"/>
        </w:rPr>
        <w:t> </w:t>
      </w:r>
      <w:r w:rsidRPr="005A35D8">
        <w:rPr>
          <w:szCs w:val="22"/>
        </w:rPr>
        <w:t>:</w:t>
      </w:r>
    </w:p>
    <w:p w:rsidR="000243E3" w:rsidRPr="005A35D8" w:rsidRDefault="00F46757" w:rsidP="00630448">
      <w:pPr>
        <w:spacing w:after="220"/>
        <w:ind w:left="3402" w:hanging="567"/>
        <w:rPr>
          <w:szCs w:val="22"/>
        </w:rPr>
      </w:pPr>
      <w:r w:rsidRPr="005A35D8">
        <w:rPr>
          <w:szCs w:val="22"/>
        </w:rPr>
        <w:t>a)</w:t>
      </w:r>
      <w:r w:rsidRPr="005A35D8">
        <w:rPr>
          <w:szCs w:val="22"/>
        </w:rPr>
        <w:tab/>
        <w:t>Billet de trésorerie</w:t>
      </w:r>
      <w:r w:rsidR="009D1B63">
        <w:rPr>
          <w:szCs w:val="22"/>
        </w:rPr>
        <w:t>;</w:t>
      </w:r>
    </w:p>
    <w:p w:rsidR="000243E3" w:rsidRPr="005A35D8" w:rsidRDefault="00F46757" w:rsidP="00630448">
      <w:pPr>
        <w:spacing w:after="220"/>
        <w:ind w:left="3402" w:hanging="567"/>
        <w:rPr>
          <w:szCs w:val="22"/>
        </w:rPr>
      </w:pPr>
      <w:r w:rsidRPr="005A35D8">
        <w:rPr>
          <w:szCs w:val="22"/>
        </w:rPr>
        <w:t>b)</w:t>
      </w:r>
      <w:r w:rsidRPr="005A35D8">
        <w:rPr>
          <w:szCs w:val="22"/>
        </w:rPr>
        <w:tab/>
        <w:t>Mise/prise en pension de titres</w:t>
      </w:r>
      <w:r w:rsidR="009D1B63">
        <w:rPr>
          <w:szCs w:val="22"/>
        </w:rPr>
        <w:t>;</w:t>
      </w:r>
    </w:p>
    <w:p w:rsidR="000243E3" w:rsidRPr="005A35D8" w:rsidRDefault="00F46757" w:rsidP="00630448">
      <w:pPr>
        <w:spacing w:after="220"/>
        <w:ind w:left="3402" w:hanging="567"/>
        <w:rPr>
          <w:szCs w:val="22"/>
        </w:rPr>
      </w:pPr>
      <w:r w:rsidRPr="005A35D8">
        <w:rPr>
          <w:szCs w:val="22"/>
        </w:rPr>
        <w:t>c)</w:t>
      </w:r>
      <w:r w:rsidRPr="005A35D8">
        <w:rPr>
          <w:szCs w:val="22"/>
        </w:rPr>
        <w:tab/>
        <w:t>Acceptation bancaire</w:t>
      </w:r>
      <w:r w:rsidR="009D1B63">
        <w:rPr>
          <w:szCs w:val="22"/>
        </w:rPr>
        <w:t>;</w:t>
      </w:r>
    </w:p>
    <w:p w:rsidR="000243E3" w:rsidRPr="005A35D8" w:rsidRDefault="00F46757" w:rsidP="00630448">
      <w:pPr>
        <w:tabs>
          <w:tab w:val="left" w:pos="6946"/>
        </w:tabs>
        <w:spacing w:after="220"/>
        <w:ind w:left="2835" w:hanging="567"/>
        <w:rPr>
          <w:szCs w:val="22"/>
        </w:rPr>
      </w:pPr>
      <w:r w:rsidRPr="005A35D8">
        <w:rPr>
          <w:szCs w:val="22"/>
        </w:rPr>
        <w:t>III.</w:t>
      </w:r>
      <w:r w:rsidRPr="005A35D8">
        <w:rPr>
          <w:szCs w:val="22"/>
        </w:rPr>
        <w:tab/>
        <w:t>Obligations, effets ou autres obligations (à court, moyen ou long terme) et autres produits à revenu fixe</w:t>
      </w:r>
      <w:r w:rsidR="00085D20" w:rsidRPr="005A35D8">
        <w:rPr>
          <w:szCs w:val="22"/>
        </w:rPr>
        <w:t> </w:t>
      </w:r>
      <w:r w:rsidRPr="005A35D8">
        <w:rPr>
          <w:szCs w:val="22"/>
        </w:rPr>
        <w:t>:</w:t>
      </w:r>
    </w:p>
    <w:p w:rsidR="000243E3" w:rsidRPr="005A35D8" w:rsidRDefault="00F46757" w:rsidP="00630448">
      <w:pPr>
        <w:spacing w:after="220"/>
        <w:ind w:left="3402" w:hanging="567"/>
        <w:rPr>
          <w:szCs w:val="22"/>
        </w:rPr>
      </w:pPr>
      <w:r w:rsidRPr="005A35D8">
        <w:rPr>
          <w:szCs w:val="22"/>
        </w:rPr>
        <w:t>a)</w:t>
      </w:r>
      <w:r w:rsidRPr="005A35D8">
        <w:rPr>
          <w:szCs w:val="22"/>
        </w:rPr>
        <w:tab/>
        <w:t>Obligations d</w:t>
      </w:r>
      <w:r w:rsidR="00295456" w:rsidRPr="005A35D8">
        <w:rPr>
          <w:szCs w:val="22"/>
        </w:rPr>
        <w:t>’</w:t>
      </w:r>
      <w:r w:rsidRPr="005A35D8">
        <w:rPr>
          <w:szCs w:val="22"/>
        </w:rPr>
        <w:t>État</w:t>
      </w:r>
      <w:r w:rsidR="009D1B63">
        <w:rPr>
          <w:szCs w:val="22"/>
        </w:rPr>
        <w:t>;</w:t>
      </w:r>
    </w:p>
    <w:p w:rsidR="000243E3" w:rsidRPr="005A35D8" w:rsidRDefault="00F46757" w:rsidP="00630448">
      <w:pPr>
        <w:spacing w:after="220"/>
        <w:ind w:left="3402" w:hanging="567"/>
        <w:rPr>
          <w:szCs w:val="22"/>
        </w:rPr>
      </w:pPr>
      <w:r w:rsidRPr="005A35D8">
        <w:rPr>
          <w:szCs w:val="22"/>
        </w:rPr>
        <w:t>b)</w:t>
      </w:r>
      <w:r w:rsidRPr="005A35D8">
        <w:rPr>
          <w:szCs w:val="22"/>
        </w:rPr>
        <w:tab/>
        <w:t>Obligations sous</w:t>
      </w:r>
      <w:r w:rsidR="00D14880" w:rsidRPr="005A35D8">
        <w:rPr>
          <w:szCs w:val="22"/>
        </w:rPr>
        <w:noBreakHyphen/>
      </w:r>
      <w:r w:rsidRPr="005A35D8">
        <w:rPr>
          <w:szCs w:val="22"/>
        </w:rPr>
        <w:t>souveraines – provinciales, municipales ou territoriales, par exemple</w:t>
      </w:r>
      <w:r w:rsidR="009D1B63">
        <w:rPr>
          <w:szCs w:val="22"/>
        </w:rPr>
        <w:t>;</w:t>
      </w:r>
    </w:p>
    <w:p w:rsidR="000243E3" w:rsidRPr="005A35D8" w:rsidRDefault="00F46757" w:rsidP="00630448">
      <w:pPr>
        <w:spacing w:after="220"/>
        <w:ind w:left="3402" w:hanging="567"/>
        <w:rPr>
          <w:szCs w:val="22"/>
        </w:rPr>
      </w:pPr>
      <w:r w:rsidRPr="005A35D8">
        <w:rPr>
          <w:szCs w:val="22"/>
        </w:rPr>
        <w:t>c)</w:t>
      </w:r>
      <w:r w:rsidRPr="005A35D8">
        <w:rPr>
          <w:szCs w:val="22"/>
        </w:rPr>
        <w:tab/>
        <w:t>Obligations supranationales</w:t>
      </w:r>
      <w:r w:rsidR="009D1B63">
        <w:rPr>
          <w:szCs w:val="22"/>
        </w:rPr>
        <w:t>;</w:t>
      </w:r>
    </w:p>
    <w:p w:rsidR="000243E3" w:rsidRPr="005A35D8" w:rsidRDefault="00F46757" w:rsidP="00630448">
      <w:pPr>
        <w:spacing w:after="220"/>
        <w:ind w:left="3402" w:hanging="567"/>
        <w:rPr>
          <w:szCs w:val="22"/>
        </w:rPr>
      </w:pPr>
      <w:r w:rsidRPr="005A35D8">
        <w:rPr>
          <w:szCs w:val="22"/>
        </w:rPr>
        <w:t>d)</w:t>
      </w:r>
      <w:r w:rsidRPr="005A35D8">
        <w:rPr>
          <w:szCs w:val="22"/>
        </w:rPr>
        <w:tab/>
        <w:t>Obligations d</w:t>
      </w:r>
      <w:r w:rsidR="00295456" w:rsidRPr="005A35D8">
        <w:rPr>
          <w:szCs w:val="22"/>
        </w:rPr>
        <w:t>’</w:t>
      </w:r>
      <w:r w:rsidRPr="005A35D8">
        <w:rPr>
          <w:szCs w:val="22"/>
        </w:rPr>
        <w:t>entreprises</w:t>
      </w:r>
      <w:r w:rsidR="009D1B63">
        <w:rPr>
          <w:szCs w:val="22"/>
        </w:rPr>
        <w:t>;</w:t>
      </w:r>
    </w:p>
    <w:p w:rsidR="000243E3" w:rsidRPr="005A35D8" w:rsidRDefault="00F46757" w:rsidP="00630448">
      <w:pPr>
        <w:spacing w:after="220"/>
        <w:ind w:left="3402" w:hanging="567"/>
        <w:rPr>
          <w:szCs w:val="22"/>
        </w:rPr>
      </w:pPr>
      <w:r w:rsidRPr="005A35D8">
        <w:rPr>
          <w:szCs w:val="22"/>
        </w:rPr>
        <w:t>e)</w:t>
      </w:r>
      <w:r w:rsidRPr="005A35D8">
        <w:rPr>
          <w:szCs w:val="22"/>
        </w:rPr>
        <w:tab/>
        <w:t>Placements privés</w:t>
      </w:r>
      <w:r w:rsidR="009D1B63">
        <w:rPr>
          <w:szCs w:val="22"/>
        </w:rPr>
        <w:t>;</w:t>
      </w:r>
    </w:p>
    <w:p w:rsidR="000243E3" w:rsidRPr="005A35D8" w:rsidRDefault="00F46757" w:rsidP="00630448">
      <w:pPr>
        <w:tabs>
          <w:tab w:val="left" w:pos="6946"/>
        </w:tabs>
        <w:spacing w:after="220"/>
        <w:ind w:left="2835" w:hanging="567"/>
        <w:rPr>
          <w:szCs w:val="22"/>
        </w:rPr>
      </w:pPr>
      <w:r w:rsidRPr="005A35D8">
        <w:rPr>
          <w:szCs w:val="22"/>
        </w:rPr>
        <w:t>IV.</w:t>
      </w:r>
      <w:r w:rsidRPr="005A35D8">
        <w:rPr>
          <w:szCs w:val="22"/>
        </w:rPr>
        <w:tab/>
        <w:t>Sociétés d</w:t>
      </w:r>
      <w:r w:rsidR="00295456" w:rsidRPr="005A35D8">
        <w:rPr>
          <w:szCs w:val="22"/>
        </w:rPr>
        <w:t>’</w:t>
      </w:r>
      <w:r w:rsidRPr="005A35D8">
        <w:rPr>
          <w:szCs w:val="22"/>
        </w:rPr>
        <w:t>investissement immobilier à patrimoine propre</w:t>
      </w:r>
      <w:r w:rsidR="009D1B63">
        <w:rPr>
          <w:szCs w:val="22"/>
        </w:rPr>
        <w:t>.</w:t>
      </w:r>
    </w:p>
    <w:p w:rsidR="000243E3" w:rsidRPr="005A35D8" w:rsidRDefault="00F46757" w:rsidP="0044721B">
      <w:pPr>
        <w:pStyle w:val="ONUMFS"/>
        <w:numPr>
          <w:ilvl w:val="2"/>
          <w:numId w:val="2"/>
        </w:numPr>
        <w:rPr>
          <w:szCs w:val="22"/>
          <w:u w:val="single"/>
        </w:rPr>
      </w:pPr>
      <w:r w:rsidRPr="005A35D8">
        <w:rPr>
          <w:szCs w:val="22"/>
          <w:u w:val="single"/>
        </w:rPr>
        <w:t>Dans le cadre de la politique en matière d</w:t>
      </w:r>
      <w:r w:rsidR="00295456" w:rsidRPr="005A35D8">
        <w:rPr>
          <w:szCs w:val="22"/>
          <w:u w:val="single"/>
        </w:rPr>
        <w:t>’</w:t>
      </w:r>
      <w:r w:rsidRPr="005A35D8">
        <w:rPr>
          <w:szCs w:val="22"/>
          <w:u w:val="single"/>
        </w:rPr>
        <w:t>investissements applicable à la trésorerie stratégique</w:t>
      </w:r>
      <w:r w:rsidR="00085D20" w:rsidRPr="005A35D8">
        <w:rPr>
          <w:szCs w:val="22"/>
        </w:rPr>
        <w:t> </w:t>
      </w:r>
      <w:r w:rsidRPr="005A35D8">
        <w:rPr>
          <w:szCs w:val="22"/>
        </w:rPr>
        <w:t>:</w:t>
      </w:r>
    </w:p>
    <w:p w:rsidR="000243E3" w:rsidRPr="005A35D8" w:rsidRDefault="00F46757" w:rsidP="00630448">
      <w:pPr>
        <w:spacing w:after="220"/>
        <w:ind w:left="3402" w:hanging="567"/>
        <w:rPr>
          <w:szCs w:val="22"/>
        </w:rPr>
      </w:pPr>
      <w:r w:rsidRPr="005A35D8">
        <w:rPr>
          <w:szCs w:val="22"/>
        </w:rPr>
        <w:t>a)</w:t>
      </w:r>
      <w:r w:rsidRPr="005A35D8">
        <w:rPr>
          <w:szCs w:val="22"/>
        </w:rPr>
        <w:tab/>
        <w:t>Toutes les classes d</w:t>
      </w:r>
      <w:r w:rsidR="00295456" w:rsidRPr="005A35D8">
        <w:rPr>
          <w:szCs w:val="22"/>
        </w:rPr>
        <w:t>’</w:t>
      </w:r>
      <w:r w:rsidRPr="005A35D8">
        <w:rPr>
          <w:szCs w:val="22"/>
        </w:rPr>
        <w:t>actifs applicables à la trésorerie d</w:t>
      </w:r>
      <w:r w:rsidR="00295456" w:rsidRPr="005A35D8">
        <w:rPr>
          <w:szCs w:val="22"/>
        </w:rPr>
        <w:t>’</w:t>
      </w:r>
      <w:r w:rsidRPr="005A35D8">
        <w:rPr>
          <w:szCs w:val="22"/>
        </w:rPr>
        <w:t>exploitation et aux fonds propres sont stipulées;</w:t>
      </w:r>
    </w:p>
    <w:p w:rsidR="000243E3" w:rsidRPr="005A35D8" w:rsidRDefault="00F46757" w:rsidP="00630448">
      <w:pPr>
        <w:tabs>
          <w:tab w:val="left" w:pos="4536"/>
          <w:tab w:val="left" w:pos="5103"/>
          <w:tab w:val="left" w:pos="6946"/>
        </w:tabs>
        <w:spacing w:after="220"/>
        <w:ind w:left="3402" w:hanging="567"/>
        <w:rPr>
          <w:szCs w:val="22"/>
        </w:rPr>
      </w:pPr>
      <w:r w:rsidRPr="005A35D8">
        <w:rPr>
          <w:szCs w:val="22"/>
        </w:rPr>
        <w:t>b)</w:t>
      </w:r>
      <w:r w:rsidRPr="005A35D8">
        <w:rPr>
          <w:szCs w:val="22"/>
        </w:rPr>
        <w:tab/>
        <w:t>Investissements directs dans des biens immobiliers;</w:t>
      </w:r>
    </w:p>
    <w:p w:rsidR="000243E3" w:rsidRPr="005A35D8" w:rsidRDefault="00F46757" w:rsidP="00630448">
      <w:pPr>
        <w:tabs>
          <w:tab w:val="left" w:pos="4536"/>
          <w:tab w:val="left" w:pos="5103"/>
          <w:tab w:val="left" w:pos="6946"/>
        </w:tabs>
        <w:spacing w:after="220"/>
        <w:ind w:left="3402" w:hanging="567"/>
        <w:rPr>
          <w:szCs w:val="22"/>
        </w:rPr>
      </w:pPr>
      <w:r w:rsidRPr="005A35D8">
        <w:rPr>
          <w:szCs w:val="22"/>
        </w:rPr>
        <w:t>c)</w:t>
      </w:r>
      <w:r w:rsidRPr="005A35D8">
        <w:rPr>
          <w:szCs w:val="22"/>
        </w:rPr>
        <w:tab/>
        <w:t>Actions et fonds communs de placement en actions;</w:t>
      </w:r>
    </w:p>
    <w:p w:rsidR="000243E3" w:rsidRPr="005A35D8" w:rsidRDefault="00816745" w:rsidP="00630448">
      <w:pPr>
        <w:tabs>
          <w:tab w:val="left" w:pos="4536"/>
          <w:tab w:val="left" w:pos="5103"/>
          <w:tab w:val="left" w:pos="6946"/>
        </w:tabs>
        <w:spacing w:after="220"/>
        <w:ind w:left="3402" w:hanging="567"/>
      </w:pPr>
      <w:r w:rsidRPr="005A35D8">
        <w:t>d)</w:t>
      </w:r>
      <w:r w:rsidRPr="005A35D8">
        <w:tab/>
        <w:t>Fonds spéculatifs.</w:t>
      </w:r>
    </w:p>
    <w:p w:rsidR="000243E3" w:rsidRPr="005A35D8" w:rsidRDefault="00601D49" w:rsidP="00630448">
      <w:pPr>
        <w:pStyle w:val="ONUMFS"/>
      </w:pPr>
      <w:r w:rsidRPr="005A35D8">
        <w:t xml:space="preserve">Les politiques en matière de placements </w:t>
      </w:r>
      <w:r w:rsidR="0065389E" w:rsidRPr="005A35D8">
        <w:t>établies</w:t>
      </w:r>
      <w:r w:rsidRPr="005A35D8">
        <w:t xml:space="preserve"> figurent dans l</w:t>
      </w:r>
      <w:r w:rsidR="00295456" w:rsidRPr="005A35D8">
        <w:t>’</w:t>
      </w:r>
      <w:r w:rsidRPr="005A35D8">
        <w:t>annexe I (trésorerie d</w:t>
      </w:r>
      <w:r w:rsidR="00295456" w:rsidRPr="005A35D8">
        <w:t>’</w:t>
      </w:r>
      <w:r w:rsidRPr="005A35D8">
        <w:t>exploitation et fonds propres) et l</w:t>
      </w:r>
      <w:r w:rsidR="00295456" w:rsidRPr="005A35D8">
        <w:t>’</w:t>
      </w:r>
      <w:r w:rsidRPr="005A35D8">
        <w:t>annexe</w:t>
      </w:r>
      <w:r w:rsidR="00085D20" w:rsidRPr="005A35D8">
        <w:t> </w:t>
      </w:r>
      <w:r w:rsidRPr="005A35D8">
        <w:t>II (trésorerie stratégique).  Les deux</w:t>
      </w:r>
      <w:r w:rsidR="00085D20" w:rsidRPr="005A35D8">
        <w:t> </w:t>
      </w:r>
      <w:r w:rsidRPr="005A35D8">
        <w:t>politiques, sous forme de projet, ont été examiné</w:t>
      </w:r>
      <w:r w:rsidR="00BC3432" w:rsidRPr="005A35D8">
        <w:t>e</w:t>
      </w:r>
      <w:r w:rsidRPr="005A35D8">
        <w:t xml:space="preserve">s par </w:t>
      </w:r>
      <w:proofErr w:type="spellStart"/>
      <w:r w:rsidR="00913631" w:rsidRPr="005A35D8">
        <w:t>Zanders</w:t>
      </w:r>
      <w:proofErr w:type="spellEnd"/>
      <w:r w:rsidR="00913631" w:rsidRPr="005A35D8">
        <w:t>, une société extérieure indépendante spécialisée dans le conseil en trésorerie,</w:t>
      </w:r>
      <w:r w:rsidRPr="005A35D8">
        <w:t xml:space="preserve"> avec </w:t>
      </w:r>
      <w:r w:rsidR="00913631" w:rsidRPr="005A35D8">
        <w:t>laquelle</w:t>
      </w:r>
      <w:r w:rsidRPr="005A35D8">
        <w:t xml:space="preserve"> l</w:t>
      </w:r>
      <w:r w:rsidR="00295456" w:rsidRPr="005A35D8">
        <w:t>’</w:t>
      </w:r>
      <w:r w:rsidRPr="005A35D8">
        <w:t xml:space="preserve">Organisation a </w:t>
      </w:r>
      <w:r w:rsidR="00913631" w:rsidRPr="005A35D8">
        <w:t xml:space="preserve">déjà </w:t>
      </w:r>
      <w:r w:rsidRPr="005A35D8">
        <w:t xml:space="preserve">travaillé </w:t>
      </w:r>
      <w:r w:rsidR="00913631" w:rsidRPr="005A35D8">
        <w:t xml:space="preserve">cette </w:t>
      </w:r>
      <w:r w:rsidRPr="005A35D8">
        <w:t xml:space="preserve">année </w:t>
      </w:r>
      <w:r w:rsidR="00913631" w:rsidRPr="005A35D8">
        <w:t>au moment</w:t>
      </w:r>
      <w:r w:rsidRPr="005A35D8">
        <w:t xml:space="preserve"> de </w:t>
      </w:r>
      <w:r w:rsidR="00913631" w:rsidRPr="005A35D8">
        <w:t>l</w:t>
      </w:r>
      <w:r w:rsidR="00295456" w:rsidRPr="005A35D8">
        <w:t>’</w:t>
      </w:r>
      <w:r w:rsidR="00913631" w:rsidRPr="005A35D8">
        <w:t>établissement</w:t>
      </w:r>
      <w:r w:rsidRPr="005A35D8">
        <w:t xml:space="preserve"> des propositions </w:t>
      </w:r>
      <w:r w:rsidR="00913631" w:rsidRPr="005A35D8">
        <w:t>figurant</w:t>
      </w:r>
      <w:r w:rsidR="00BC3432" w:rsidRPr="005A35D8">
        <w:t xml:space="preserve"> dans les documents </w:t>
      </w:r>
      <w:r w:rsidR="00BC3432" w:rsidRPr="005A35D8">
        <w:lastRenderedPageBreak/>
        <w:t>WO/PBC/23/6 et WO/PBC/</w:t>
      </w:r>
      <w:r w:rsidRPr="005A35D8">
        <w:t xml:space="preserve">23/7. </w:t>
      </w:r>
      <w:r w:rsidR="00913631" w:rsidRPr="005A35D8">
        <w:t xml:space="preserve"> </w:t>
      </w:r>
      <w:r w:rsidRPr="005A35D8">
        <w:t xml:space="preserve">Bon nombre des suggestions faites par </w:t>
      </w:r>
      <w:proofErr w:type="spellStart"/>
      <w:r w:rsidRPr="005A35D8">
        <w:t>Zanders</w:t>
      </w:r>
      <w:proofErr w:type="spellEnd"/>
      <w:r w:rsidRPr="005A35D8">
        <w:t xml:space="preserve"> ont été </w:t>
      </w:r>
      <w:r w:rsidR="00913631" w:rsidRPr="005A35D8">
        <w:t>intégrées</w:t>
      </w:r>
      <w:r w:rsidRPr="005A35D8">
        <w:t xml:space="preserve"> dans les deux</w:t>
      </w:r>
      <w:r w:rsidR="00085D20" w:rsidRPr="005A35D8">
        <w:t> </w:t>
      </w:r>
      <w:r w:rsidRPr="005A35D8">
        <w:t>politiques présentées</w:t>
      </w:r>
      <w:r w:rsidR="00913631" w:rsidRPr="005A35D8">
        <w:t>,</w:t>
      </w:r>
      <w:r w:rsidRPr="005A35D8">
        <w:t xml:space="preserve"> et plusieurs autres seront </w:t>
      </w:r>
      <w:r w:rsidR="00913631" w:rsidRPr="005A35D8">
        <w:t>adoptées</w:t>
      </w:r>
      <w:r w:rsidRPr="005A35D8">
        <w:t xml:space="preserve"> lorsque les directives de placement s</w:t>
      </w:r>
      <w:r w:rsidR="00913631" w:rsidRPr="005A35D8">
        <w:t>er</w:t>
      </w:r>
      <w:r w:rsidRPr="005A35D8">
        <w:t xml:space="preserve">ont </w:t>
      </w:r>
      <w:r w:rsidR="00913631" w:rsidRPr="005A35D8">
        <w:t>établies</w:t>
      </w:r>
      <w:r w:rsidRPr="005A35D8">
        <w:t xml:space="preserve"> par le Comité consultatif </w:t>
      </w:r>
      <w:r w:rsidR="00913631" w:rsidRPr="005A35D8">
        <w:t>des investissements</w:t>
      </w:r>
      <w:r w:rsidRPr="005A35D8">
        <w:t xml:space="preserve"> pour les différents gestionnaires de fonds </w:t>
      </w:r>
      <w:r w:rsidR="00913631" w:rsidRPr="005A35D8">
        <w:t>extérieurs</w:t>
      </w:r>
      <w:r w:rsidRPr="005A35D8">
        <w:t xml:space="preserve"> (les politiques </w:t>
      </w:r>
      <w:r w:rsidR="00913631" w:rsidRPr="005A35D8">
        <w:t>comprennent</w:t>
      </w:r>
      <w:r w:rsidRPr="005A35D8">
        <w:t xml:space="preserve"> des informations supplémentaires sur les </w:t>
      </w:r>
      <w:r w:rsidR="00913631" w:rsidRPr="005A35D8">
        <w:t>directives de placement</w:t>
      </w:r>
      <w:r w:rsidR="00490611" w:rsidRPr="005A35D8">
        <w:t>).</w:t>
      </w:r>
    </w:p>
    <w:p w:rsidR="000243E3" w:rsidRPr="005A35D8" w:rsidRDefault="00601D49" w:rsidP="00630448">
      <w:pPr>
        <w:pStyle w:val="ONUMFS"/>
      </w:pPr>
      <w:r w:rsidRPr="005A35D8">
        <w:t>Les deux</w:t>
      </w:r>
      <w:r w:rsidR="00085D20" w:rsidRPr="005A35D8">
        <w:t> </w:t>
      </w:r>
      <w:r w:rsidRPr="005A35D8">
        <w:t xml:space="preserve">politiques visent à suivre le modèle </w:t>
      </w:r>
      <w:r w:rsidR="00913631" w:rsidRPr="005A35D8">
        <w:t>indiqué</w:t>
      </w:r>
      <w:r w:rsidRPr="005A35D8">
        <w:t xml:space="preserve"> </w:t>
      </w:r>
      <w:r w:rsidR="00913631" w:rsidRPr="005A35D8">
        <w:t>dans</w:t>
      </w:r>
      <w:r w:rsidRPr="005A35D8">
        <w:t xml:space="preserve"> l</w:t>
      </w:r>
      <w:r w:rsidR="00295456" w:rsidRPr="005A35D8">
        <w:t>’</w:t>
      </w:r>
      <w:r w:rsidRPr="005A35D8">
        <w:t>annexe</w:t>
      </w:r>
      <w:r w:rsidR="00085D20" w:rsidRPr="005A35D8">
        <w:t> </w:t>
      </w:r>
      <w:r w:rsidRPr="005A35D8">
        <w:t>IV du document WO</w:t>
      </w:r>
      <w:r w:rsidR="00913631" w:rsidRPr="005A35D8">
        <w:t>/PBC/</w:t>
      </w:r>
      <w:r w:rsidR="00603EB2" w:rsidRPr="005A35D8">
        <w:t>23/7, qui est basé sur l</w:t>
      </w:r>
      <w:r w:rsidRPr="005A35D8">
        <w:t xml:space="preserve">es informations </w:t>
      </w:r>
      <w:r w:rsidR="003D7FC1" w:rsidRPr="005A35D8">
        <w:t xml:space="preserve">envoyées par </w:t>
      </w:r>
      <w:proofErr w:type="spellStart"/>
      <w:r w:rsidRPr="005A35D8">
        <w:t>Zanders</w:t>
      </w:r>
      <w:proofErr w:type="spellEnd"/>
      <w:r w:rsidRPr="005A35D8">
        <w:t>.</w:t>
      </w:r>
      <w:r w:rsidR="003D7FC1" w:rsidRPr="005A35D8">
        <w:t xml:space="preserve"> </w:t>
      </w:r>
      <w:r w:rsidRPr="005A35D8">
        <w:t xml:space="preserve"> </w:t>
      </w:r>
      <w:r w:rsidR="003D7FC1" w:rsidRPr="005A35D8">
        <w:t>Les d</w:t>
      </w:r>
      <w:r w:rsidRPr="005A35D8">
        <w:t xml:space="preserve">ocuments </w:t>
      </w:r>
      <w:r w:rsidR="003D7FC1" w:rsidRPr="005A35D8">
        <w:t>relatifs à la</w:t>
      </w:r>
      <w:r w:rsidRPr="005A35D8">
        <w:t xml:space="preserve"> politique </w:t>
      </w:r>
      <w:r w:rsidR="00603EB2" w:rsidRPr="005A35D8">
        <w:t>en matière de placements émanant</w:t>
      </w:r>
      <w:r w:rsidRPr="005A35D8">
        <w:t xml:space="preserve"> de plusieurs autres agences de l</w:t>
      </w:r>
      <w:r w:rsidR="00295456" w:rsidRPr="005A35D8">
        <w:t>’</w:t>
      </w:r>
      <w:r w:rsidRPr="005A35D8">
        <w:t>ONU ont également été examinés</w:t>
      </w:r>
      <w:r w:rsidR="00295456" w:rsidRPr="005A35D8">
        <w:t>;</w:t>
      </w:r>
      <w:r w:rsidR="00603EB2" w:rsidRPr="005A35D8">
        <w:t xml:space="preserve"> </w:t>
      </w:r>
      <w:r w:rsidR="00085D20" w:rsidRPr="005A35D8">
        <w:t xml:space="preserve"> </w:t>
      </w:r>
      <w:r w:rsidR="00603EB2" w:rsidRPr="005A35D8">
        <w:t>ils ont été</w:t>
      </w:r>
      <w:r w:rsidRPr="005A35D8">
        <w:t xml:space="preserve"> jugé</w:t>
      </w:r>
      <w:r w:rsidR="00603EB2" w:rsidRPr="005A35D8">
        <w:t>s</w:t>
      </w:r>
      <w:r w:rsidRPr="005A35D8">
        <w:t xml:space="preserve"> util</w:t>
      </w:r>
      <w:r w:rsidR="00603EB2" w:rsidRPr="005A35D8">
        <w:t>es</w:t>
      </w:r>
      <w:r w:rsidRPr="005A35D8">
        <w:t xml:space="preserve">, </w:t>
      </w:r>
      <w:r w:rsidR="00603EB2" w:rsidRPr="005A35D8">
        <w:t xml:space="preserve">et </w:t>
      </w:r>
      <w:r w:rsidRPr="005A35D8">
        <w:t xml:space="preserve">certains </w:t>
      </w:r>
      <w:r w:rsidR="00603EB2" w:rsidRPr="005A35D8">
        <w:t>éléments</w:t>
      </w:r>
      <w:r w:rsidRPr="005A35D8">
        <w:t xml:space="preserve"> de ces documents ont été </w:t>
      </w:r>
      <w:r w:rsidR="00603EB2" w:rsidRPr="005A35D8">
        <w:t>repris</w:t>
      </w:r>
      <w:r w:rsidRPr="005A35D8">
        <w:t xml:space="preserve"> dans les politiques de l</w:t>
      </w:r>
      <w:r w:rsidR="00295456" w:rsidRPr="005A35D8">
        <w:t>’</w:t>
      </w:r>
      <w:r w:rsidRPr="005A35D8">
        <w:t xml:space="preserve">Organisation. </w:t>
      </w:r>
      <w:r w:rsidR="003D7FC1" w:rsidRPr="005A35D8">
        <w:t xml:space="preserve"> </w:t>
      </w:r>
      <w:r w:rsidR="00603EB2" w:rsidRPr="005A35D8">
        <w:t>La conformité de l</w:t>
      </w:r>
      <w:r w:rsidR="00295456" w:rsidRPr="005A35D8">
        <w:t>’</w:t>
      </w:r>
      <w:r w:rsidRPr="005A35D8">
        <w:t xml:space="preserve">activité </w:t>
      </w:r>
      <w:r w:rsidR="003D7FC1" w:rsidRPr="005A35D8">
        <w:t>en matière de placements</w:t>
      </w:r>
      <w:r w:rsidR="00603EB2" w:rsidRPr="005A35D8">
        <w:t xml:space="preserve"> </w:t>
      </w:r>
      <w:r w:rsidR="005A35D8" w:rsidRPr="005A35D8">
        <w:t>avec les</w:t>
      </w:r>
      <w:r w:rsidRPr="005A35D8">
        <w:t xml:space="preserve"> politiques </w:t>
      </w:r>
      <w:r w:rsidR="005A35D8" w:rsidRPr="005A35D8">
        <w:t xml:space="preserve">à cet égard </w:t>
      </w:r>
      <w:r w:rsidRPr="005A35D8">
        <w:t xml:space="preserve">sera </w:t>
      </w:r>
      <w:r w:rsidR="003D7FC1" w:rsidRPr="005A35D8">
        <w:t>nécessairement</w:t>
      </w:r>
      <w:r w:rsidRPr="005A35D8">
        <w:t xml:space="preserve"> </w:t>
      </w:r>
      <w:r w:rsidR="00603EB2" w:rsidRPr="005A35D8">
        <w:t>contrôlée</w:t>
      </w:r>
      <w:r w:rsidR="00490611" w:rsidRPr="005A35D8">
        <w:t>.</w:t>
      </w:r>
    </w:p>
    <w:p w:rsidR="000243E3" w:rsidRPr="005A35D8" w:rsidRDefault="00601D49" w:rsidP="00630448">
      <w:pPr>
        <w:pStyle w:val="ONUMFS"/>
      </w:pPr>
      <w:r w:rsidRPr="005A35D8">
        <w:t xml:space="preserve">Au moment de </w:t>
      </w:r>
      <w:r w:rsidR="00603EB2" w:rsidRPr="005A35D8">
        <w:t>l</w:t>
      </w:r>
      <w:r w:rsidR="00295456" w:rsidRPr="005A35D8">
        <w:t>’</w:t>
      </w:r>
      <w:r w:rsidR="00603EB2" w:rsidRPr="005A35D8">
        <w:t>établissement du présent</w:t>
      </w:r>
      <w:r w:rsidRPr="005A35D8">
        <w:t xml:space="preserve"> document, l</w:t>
      </w:r>
      <w:r w:rsidR="00295456" w:rsidRPr="005A35D8">
        <w:t>’</w:t>
      </w:r>
      <w:r w:rsidRPr="005A35D8">
        <w:t xml:space="preserve">étude </w:t>
      </w:r>
      <w:r w:rsidR="00A575DC" w:rsidRPr="005A35D8">
        <w:t>de la gestion actif</w:t>
      </w:r>
      <w:r w:rsidR="00D14880" w:rsidRPr="005A35D8">
        <w:noBreakHyphen/>
      </w:r>
      <w:r w:rsidR="00A575DC" w:rsidRPr="005A35D8">
        <w:t>passif</w:t>
      </w:r>
      <w:r w:rsidRPr="005A35D8">
        <w:t xml:space="preserve"> </w:t>
      </w:r>
      <w:r w:rsidR="00A575DC" w:rsidRPr="005A35D8">
        <w:t>de</w:t>
      </w:r>
      <w:r w:rsidRPr="005A35D8">
        <w:t xml:space="preserve"> </w:t>
      </w:r>
      <w:r w:rsidR="00A575DC" w:rsidRPr="005A35D8">
        <w:t>la trésorerie</w:t>
      </w:r>
      <w:r w:rsidRPr="005A35D8">
        <w:t xml:space="preserve"> stratégique </w:t>
      </w:r>
      <w:r w:rsidR="00A575DC" w:rsidRPr="005A35D8">
        <w:t>n</w:t>
      </w:r>
      <w:r w:rsidR="00295456" w:rsidRPr="005A35D8">
        <w:t>’</w:t>
      </w:r>
      <w:r w:rsidR="00A575DC" w:rsidRPr="005A35D8">
        <w:t>était</w:t>
      </w:r>
      <w:r w:rsidRPr="005A35D8">
        <w:t xml:space="preserve"> pas encore </w:t>
      </w:r>
      <w:r w:rsidR="00B45B74" w:rsidRPr="005A35D8">
        <w:t>terminée</w:t>
      </w:r>
      <w:r w:rsidRPr="005A35D8">
        <w:t xml:space="preserve">. </w:t>
      </w:r>
      <w:r w:rsidR="00A575DC" w:rsidRPr="005A35D8">
        <w:t xml:space="preserve"> </w:t>
      </w:r>
      <w:r w:rsidRPr="005A35D8">
        <w:t xml:space="preserve">La politique </w:t>
      </w:r>
      <w:r w:rsidR="00A575DC" w:rsidRPr="005A35D8">
        <w:t>en matière de trésorerie stratégique</w:t>
      </w:r>
      <w:r w:rsidR="00B45B74" w:rsidRPr="005A35D8">
        <w:t xml:space="preserve"> (annexe </w:t>
      </w:r>
      <w:r w:rsidRPr="005A35D8">
        <w:t xml:space="preserve">II) </w:t>
      </w:r>
      <w:r w:rsidR="00B45B74" w:rsidRPr="005A35D8">
        <w:t>renvoie à cette étude à plusieurs reprises</w:t>
      </w:r>
      <w:r w:rsidRPr="005A35D8">
        <w:t xml:space="preserve"> et</w:t>
      </w:r>
      <w:r w:rsidR="00B45B74" w:rsidRPr="005A35D8">
        <w:t xml:space="preserve"> nécessitera donc</w:t>
      </w:r>
      <w:r w:rsidRPr="005A35D8">
        <w:t xml:space="preserve"> un certain </w:t>
      </w:r>
      <w:r w:rsidR="00B45B74" w:rsidRPr="005A35D8">
        <w:t xml:space="preserve">nombre </w:t>
      </w:r>
      <w:r w:rsidRPr="005A35D8">
        <w:t xml:space="preserve">de </w:t>
      </w:r>
      <w:r w:rsidR="00B45B74" w:rsidRPr="005A35D8">
        <w:t xml:space="preserve">mises </w:t>
      </w:r>
      <w:r w:rsidRPr="005A35D8">
        <w:t>à jour une fois que les résultats de l</w:t>
      </w:r>
      <w:r w:rsidR="00295456" w:rsidRPr="005A35D8">
        <w:t>’</w:t>
      </w:r>
      <w:r w:rsidRPr="005A35D8">
        <w:t xml:space="preserve">étude </w:t>
      </w:r>
      <w:r w:rsidR="00B45B74" w:rsidRPr="005A35D8">
        <w:t>seront</w:t>
      </w:r>
      <w:r w:rsidRPr="005A35D8">
        <w:t xml:space="preserve"> connus. </w:t>
      </w:r>
      <w:r w:rsidR="00A575DC" w:rsidRPr="005A35D8">
        <w:t xml:space="preserve"> </w:t>
      </w:r>
      <w:r w:rsidR="00B45B74" w:rsidRPr="005A35D8">
        <w:t>Il s</w:t>
      </w:r>
      <w:r w:rsidR="00295456" w:rsidRPr="005A35D8">
        <w:t>’</w:t>
      </w:r>
      <w:r w:rsidR="00B45B74" w:rsidRPr="005A35D8">
        <w:t>agira notamment d</w:t>
      </w:r>
      <w:r w:rsidR="00295456" w:rsidRPr="005A35D8">
        <w:t>’</w:t>
      </w:r>
      <w:r w:rsidR="00B45B74" w:rsidRPr="005A35D8">
        <w:t>établir l</w:t>
      </w:r>
      <w:r w:rsidR="00295456" w:rsidRPr="005A35D8">
        <w:t>’</w:t>
      </w:r>
      <w:r w:rsidR="00B45B74" w:rsidRPr="005A35D8">
        <w:t>annexe II, qui traitera des</w:t>
      </w:r>
      <w:r w:rsidRPr="005A35D8">
        <w:t xml:space="preserve"> limites </w:t>
      </w:r>
      <w:r w:rsidR="00B45B74" w:rsidRPr="005A35D8">
        <w:t>applicables aux</w:t>
      </w:r>
      <w:r w:rsidRPr="005A35D8">
        <w:t xml:space="preserve"> </w:t>
      </w:r>
      <w:r w:rsidR="00B45B74" w:rsidRPr="005A35D8">
        <w:t xml:space="preserve">classes </w:t>
      </w:r>
      <w:r w:rsidRPr="005A35D8">
        <w:t>d</w:t>
      </w:r>
      <w:r w:rsidR="00295456" w:rsidRPr="005A35D8">
        <w:t>’</w:t>
      </w:r>
      <w:r w:rsidRPr="005A35D8">
        <w:t>actifs</w:t>
      </w:r>
      <w:r w:rsidR="00B45B74" w:rsidRPr="005A35D8">
        <w:t xml:space="preserve"> pouvant être détenues</w:t>
      </w:r>
      <w:r w:rsidR="00490611" w:rsidRPr="005A35D8">
        <w:t>.</w:t>
      </w:r>
    </w:p>
    <w:p w:rsidR="000243E3" w:rsidRPr="005A35D8" w:rsidRDefault="00816745" w:rsidP="00630448">
      <w:pPr>
        <w:pStyle w:val="ONUMFS"/>
      </w:pPr>
      <w:r w:rsidRPr="005A35D8">
        <w:t>Le paragraphe de décision ci</w:t>
      </w:r>
      <w:r w:rsidR="00D14880" w:rsidRPr="005A35D8">
        <w:noBreakHyphen/>
      </w:r>
      <w:r w:rsidRPr="005A35D8">
        <w:t>après est proposé.</w:t>
      </w:r>
    </w:p>
    <w:p w:rsidR="000243E3" w:rsidRPr="005A35D8" w:rsidRDefault="00883FA0" w:rsidP="00630448">
      <w:pPr>
        <w:pStyle w:val="ONUMFS"/>
        <w:ind w:left="5533"/>
        <w:rPr>
          <w:i/>
          <w:lang w:bidi="hi-IN"/>
        </w:rPr>
      </w:pPr>
      <w:r w:rsidRPr="005A35D8">
        <w:rPr>
          <w:i/>
          <w:lang w:bidi="hi-IN"/>
        </w:rPr>
        <w:t>Le Comité du programme et budget</w:t>
      </w:r>
      <w:r w:rsidR="00490611" w:rsidRPr="005A35D8">
        <w:rPr>
          <w:i/>
          <w:lang w:bidi="hi-IN"/>
        </w:rPr>
        <w:t xml:space="preserve"> (PBC) </w:t>
      </w:r>
      <w:r w:rsidRPr="005A35D8">
        <w:rPr>
          <w:i/>
          <w:lang w:bidi="hi-IN"/>
        </w:rPr>
        <w:t>a recommandé aux assemblées des États membres de l</w:t>
      </w:r>
      <w:r w:rsidR="00295456" w:rsidRPr="005A35D8">
        <w:rPr>
          <w:i/>
          <w:lang w:bidi="hi-IN"/>
        </w:rPr>
        <w:t>’</w:t>
      </w:r>
      <w:r w:rsidRPr="005A35D8">
        <w:rPr>
          <w:i/>
          <w:lang w:bidi="hi-IN"/>
        </w:rPr>
        <w:t>OMPI et des unions administrées par l</w:t>
      </w:r>
      <w:r w:rsidR="00295456" w:rsidRPr="005A35D8">
        <w:rPr>
          <w:i/>
          <w:lang w:bidi="hi-IN"/>
        </w:rPr>
        <w:t>’</w:t>
      </w:r>
      <w:r w:rsidRPr="005A35D8">
        <w:rPr>
          <w:i/>
          <w:lang w:bidi="hi-IN"/>
        </w:rPr>
        <w:t>OMPI</w:t>
      </w:r>
      <w:r w:rsidR="00490611" w:rsidRPr="005A35D8">
        <w:rPr>
          <w:i/>
          <w:lang w:bidi="hi-IN"/>
        </w:rPr>
        <w:t xml:space="preserve">, </w:t>
      </w:r>
      <w:r w:rsidRPr="005A35D8">
        <w:rPr>
          <w:i/>
          <w:lang w:bidi="hi-IN"/>
        </w:rPr>
        <w:t>chacune pour ce qui la concerne</w:t>
      </w:r>
      <w:r w:rsidR="00490611" w:rsidRPr="005A35D8">
        <w:rPr>
          <w:i/>
          <w:lang w:bidi="hi-IN"/>
        </w:rPr>
        <w:t xml:space="preserve">, </w:t>
      </w:r>
      <w:r w:rsidRPr="005A35D8">
        <w:rPr>
          <w:i/>
          <w:lang w:bidi="hi-IN"/>
        </w:rPr>
        <w:t>d</w:t>
      </w:r>
      <w:r w:rsidR="00295456" w:rsidRPr="005A35D8">
        <w:rPr>
          <w:i/>
          <w:lang w:bidi="hi-IN"/>
        </w:rPr>
        <w:t>’</w:t>
      </w:r>
      <w:r w:rsidRPr="005A35D8">
        <w:rPr>
          <w:i/>
          <w:lang w:bidi="hi-IN"/>
        </w:rPr>
        <w:t>approuver les deux politiques en matière de placements</w:t>
      </w:r>
      <w:r w:rsidR="00490611" w:rsidRPr="005A35D8">
        <w:rPr>
          <w:i/>
          <w:lang w:bidi="hi-IN"/>
        </w:rPr>
        <w:t xml:space="preserve"> </w:t>
      </w:r>
      <w:r w:rsidR="009B626A" w:rsidRPr="005A35D8">
        <w:rPr>
          <w:i/>
          <w:lang w:bidi="hi-IN"/>
        </w:rPr>
        <w:t>(</w:t>
      </w:r>
      <w:r w:rsidRPr="005A35D8">
        <w:rPr>
          <w:i/>
          <w:lang w:bidi="hi-IN"/>
        </w:rPr>
        <w:t>l</w:t>
      </w:r>
      <w:r w:rsidR="00295456" w:rsidRPr="005A35D8">
        <w:rPr>
          <w:i/>
          <w:lang w:bidi="hi-IN"/>
        </w:rPr>
        <w:t>’</w:t>
      </w:r>
      <w:r w:rsidRPr="005A35D8">
        <w:rPr>
          <w:i/>
          <w:lang w:bidi="hi-IN"/>
        </w:rPr>
        <w:t>une consacrée à la trésorerie d</w:t>
      </w:r>
      <w:r w:rsidR="00295456" w:rsidRPr="005A35D8">
        <w:rPr>
          <w:i/>
          <w:lang w:bidi="hi-IN"/>
        </w:rPr>
        <w:t>’</w:t>
      </w:r>
      <w:r w:rsidRPr="005A35D8">
        <w:rPr>
          <w:i/>
          <w:lang w:bidi="hi-IN"/>
        </w:rPr>
        <w:t>exploitation et aux fonds propres et l</w:t>
      </w:r>
      <w:r w:rsidR="00295456" w:rsidRPr="005A35D8">
        <w:rPr>
          <w:i/>
          <w:lang w:bidi="hi-IN"/>
        </w:rPr>
        <w:t>’</w:t>
      </w:r>
      <w:r w:rsidRPr="005A35D8">
        <w:rPr>
          <w:i/>
          <w:lang w:bidi="hi-IN"/>
        </w:rPr>
        <w:t>autre à la trésorerie stratégique</w:t>
      </w:r>
      <w:r w:rsidR="009B626A" w:rsidRPr="005A35D8">
        <w:rPr>
          <w:i/>
          <w:lang w:bidi="hi-IN"/>
        </w:rPr>
        <w:t xml:space="preserve">) </w:t>
      </w:r>
      <w:r w:rsidRPr="005A35D8">
        <w:rPr>
          <w:i/>
          <w:lang w:bidi="hi-IN"/>
        </w:rPr>
        <w:t>(</w:t>
      </w:r>
      <w:r w:rsidR="00295456" w:rsidRPr="005A35D8">
        <w:rPr>
          <w:i/>
          <w:lang w:bidi="hi-IN"/>
        </w:rPr>
        <w:t>document WO</w:t>
      </w:r>
      <w:r w:rsidR="00490611" w:rsidRPr="005A35D8">
        <w:rPr>
          <w:i/>
          <w:lang w:bidi="hi-IN"/>
        </w:rPr>
        <w:t>/PBC/24/10).</w:t>
      </w:r>
    </w:p>
    <w:p w:rsidR="000243E3" w:rsidRPr="005A35D8" w:rsidRDefault="000243E3" w:rsidP="00630448">
      <w:pPr>
        <w:pStyle w:val="Endofdocument-Annex"/>
        <w:rPr>
          <w:lang w:eastAsia="en-US" w:bidi="hi-IN"/>
        </w:rPr>
      </w:pPr>
    </w:p>
    <w:p w:rsidR="000243E3" w:rsidRPr="005A35D8" w:rsidRDefault="000243E3" w:rsidP="00630448">
      <w:pPr>
        <w:pStyle w:val="Endofdocument-Annex"/>
        <w:rPr>
          <w:lang w:eastAsia="en-US" w:bidi="hi-IN"/>
        </w:rPr>
      </w:pPr>
    </w:p>
    <w:p w:rsidR="000243E3" w:rsidRPr="005A35D8" w:rsidRDefault="00816745" w:rsidP="00630448">
      <w:pPr>
        <w:pStyle w:val="Endofdocument-Annex"/>
      </w:pPr>
      <w:r w:rsidRPr="005A35D8">
        <w:t>[Les annexes suivent]</w:t>
      </w:r>
    </w:p>
    <w:p w:rsidR="000243E3" w:rsidRPr="005A35D8" w:rsidRDefault="000243E3" w:rsidP="00490611"/>
    <w:p w:rsidR="000243E3" w:rsidRPr="005A35D8" w:rsidRDefault="000243E3" w:rsidP="00490611"/>
    <w:p w:rsidR="00490611" w:rsidRPr="005A35D8" w:rsidRDefault="00490611" w:rsidP="00490611">
      <w:pPr>
        <w:sectPr w:rsidR="00490611" w:rsidRPr="005A35D8" w:rsidSect="0044721B">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0243E3" w:rsidRPr="005A35D8" w:rsidRDefault="00B64EAD" w:rsidP="00490611">
      <w:pPr>
        <w:rPr>
          <w:rFonts w:eastAsia="Times New Roman"/>
          <w:b/>
          <w:lang w:eastAsia="en-US"/>
        </w:rPr>
      </w:pPr>
      <w:r w:rsidRPr="005A35D8">
        <w:rPr>
          <w:rFonts w:eastAsia="Times New Roman"/>
          <w:b/>
          <w:lang w:eastAsia="en-US"/>
        </w:rPr>
        <w:lastRenderedPageBreak/>
        <w:t>POLITIQUE EN MATIÈRE DE PLACEMENTS – TRÉSORERIE D</w:t>
      </w:r>
      <w:r w:rsidR="00295456" w:rsidRPr="005A35D8">
        <w:rPr>
          <w:rFonts w:eastAsia="Times New Roman"/>
          <w:b/>
          <w:lang w:eastAsia="en-US"/>
        </w:rPr>
        <w:t>’</w:t>
      </w:r>
      <w:r w:rsidRPr="005A35D8">
        <w:rPr>
          <w:rFonts w:eastAsia="Times New Roman"/>
          <w:b/>
          <w:lang w:eastAsia="en-US"/>
        </w:rPr>
        <w:t>EXPLOITATION ET FONDS PROPRES</w:t>
      </w:r>
    </w:p>
    <w:p w:rsidR="000243E3" w:rsidRPr="005A35D8" w:rsidRDefault="000243E3" w:rsidP="00490611">
      <w:pPr>
        <w:rPr>
          <w:rFonts w:eastAsia="Times New Roman"/>
          <w:lang w:eastAsia="en-US"/>
        </w:rPr>
      </w:pPr>
    </w:p>
    <w:p w:rsidR="000243E3" w:rsidRPr="005A35D8" w:rsidRDefault="000243E3" w:rsidP="00490611">
      <w:pPr>
        <w:rPr>
          <w:rFonts w:eastAsia="Times New Roman"/>
          <w:lang w:eastAsia="en-US"/>
        </w:rPr>
      </w:pPr>
    </w:p>
    <w:p w:rsidR="000243E3" w:rsidRPr="005A35D8" w:rsidRDefault="004D0E0D" w:rsidP="00490611">
      <w:pPr>
        <w:rPr>
          <w:rFonts w:eastAsia="Times New Roman"/>
          <w:lang w:eastAsia="en-US"/>
        </w:rPr>
      </w:pPr>
      <w:r w:rsidRPr="005A35D8">
        <w:rPr>
          <w:rFonts w:eastAsia="Times New Roman"/>
          <w:lang w:eastAsia="en-US"/>
        </w:rPr>
        <w:t>A.</w:t>
      </w:r>
      <w:r w:rsidRPr="005A35D8">
        <w:rPr>
          <w:rFonts w:eastAsia="Times New Roman"/>
          <w:lang w:eastAsia="en-US"/>
        </w:rPr>
        <w:tab/>
      </w:r>
      <w:r w:rsidR="00AE6A14" w:rsidRPr="005A35D8">
        <w:rPr>
          <w:rFonts w:eastAsia="Times New Roman"/>
          <w:lang w:eastAsia="en-US"/>
        </w:rPr>
        <w:t>CHAMP D</w:t>
      </w:r>
      <w:r w:rsidR="00295456" w:rsidRPr="005A35D8">
        <w:rPr>
          <w:rFonts w:eastAsia="Times New Roman"/>
          <w:lang w:eastAsia="en-US"/>
        </w:rPr>
        <w:t>’</w:t>
      </w:r>
      <w:r w:rsidR="00AE6A14" w:rsidRPr="005A35D8">
        <w:rPr>
          <w:rFonts w:eastAsia="Times New Roman"/>
          <w:lang w:eastAsia="en-US"/>
        </w:rPr>
        <w:t>APPLICATION ET OBJET</w:t>
      </w:r>
    </w:p>
    <w:p w:rsidR="000243E3" w:rsidRPr="005A35D8" w:rsidRDefault="00490611" w:rsidP="00B00C2A">
      <w:pPr>
        <w:spacing w:before="120" w:after="120"/>
        <w:rPr>
          <w:rFonts w:eastAsia="Times New Roman"/>
          <w:u w:val="single"/>
          <w:lang w:eastAsia="en-US"/>
        </w:rPr>
      </w:pPr>
      <w:r w:rsidRPr="005A35D8">
        <w:rPr>
          <w:rFonts w:eastAsia="Times New Roman"/>
          <w:u w:val="single"/>
          <w:lang w:eastAsia="en-US"/>
        </w:rPr>
        <w:t xml:space="preserve">Description </w:t>
      </w:r>
      <w:r w:rsidR="00AE6A14" w:rsidRPr="005A35D8">
        <w:rPr>
          <w:rFonts w:eastAsia="Times New Roman"/>
          <w:u w:val="single"/>
          <w:lang w:eastAsia="en-US"/>
        </w:rPr>
        <w:t>de l</w:t>
      </w:r>
      <w:r w:rsidR="00295456" w:rsidRPr="005A35D8">
        <w:rPr>
          <w:rFonts w:eastAsia="Times New Roman"/>
          <w:u w:val="single"/>
          <w:lang w:eastAsia="en-US"/>
        </w:rPr>
        <w:t>’</w:t>
      </w:r>
      <w:r w:rsidR="00AE6A14" w:rsidRPr="005A35D8">
        <w:rPr>
          <w:rFonts w:eastAsia="Times New Roman"/>
          <w:u w:val="single"/>
          <w:lang w:eastAsia="en-US"/>
        </w:rPr>
        <w:t>investisseur</w:t>
      </w:r>
    </w:p>
    <w:p w:rsidR="000243E3" w:rsidRPr="005A35D8" w:rsidRDefault="00B64EAD" w:rsidP="0044721B">
      <w:pPr>
        <w:pStyle w:val="ONUMFS"/>
        <w:numPr>
          <w:ilvl w:val="0"/>
          <w:numId w:val="15"/>
        </w:numPr>
        <w:rPr>
          <w:rFonts w:eastAsia="Times New Roman"/>
          <w:lang w:eastAsia="en-US"/>
        </w:rPr>
      </w:pPr>
      <w:r w:rsidRPr="005A35D8">
        <w:rPr>
          <w:rStyle w:val="hps"/>
        </w:rPr>
        <w:t>L</w:t>
      </w:r>
      <w:r w:rsidR="00295456" w:rsidRPr="005A35D8">
        <w:rPr>
          <w:rStyle w:val="hps"/>
        </w:rPr>
        <w:t>’</w:t>
      </w:r>
      <w:r w:rsidRPr="005A35D8">
        <w:rPr>
          <w:rStyle w:val="hps"/>
        </w:rPr>
        <w:t>Organisation</w:t>
      </w:r>
      <w:r w:rsidRPr="005A35D8">
        <w:t xml:space="preserve"> </w:t>
      </w:r>
      <w:r w:rsidRPr="005A35D8">
        <w:rPr>
          <w:rStyle w:val="hps"/>
        </w:rPr>
        <w:t>Mondiale de la Propriété</w:t>
      </w:r>
      <w:r w:rsidRPr="005A35D8">
        <w:t xml:space="preserve"> </w:t>
      </w:r>
      <w:r w:rsidRPr="005A35D8">
        <w:rPr>
          <w:rStyle w:val="hps"/>
        </w:rPr>
        <w:t>Intellectuelle (OMPI</w:t>
      </w:r>
      <w:r w:rsidRPr="005A35D8">
        <w:t xml:space="preserve">) </w:t>
      </w:r>
      <w:r w:rsidRPr="005A35D8">
        <w:rPr>
          <w:rStyle w:val="hps"/>
        </w:rPr>
        <w:t xml:space="preserve">a été </w:t>
      </w:r>
      <w:r w:rsidR="00AE6A14" w:rsidRPr="005A35D8">
        <w:rPr>
          <w:rStyle w:val="hps"/>
        </w:rPr>
        <w:t>créée en 1970 après l</w:t>
      </w:r>
      <w:r w:rsidR="00295456" w:rsidRPr="005A35D8">
        <w:rPr>
          <w:rStyle w:val="hps"/>
        </w:rPr>
        <w:t>’</w:t>
      </w:r>
      <w:r w:rsidR="00AE6A14" w:rsidRPr="005A35D8">
        <w:rPr>
          <w:rStyle w:val="hps"/>
        </w:rPr>
        <w:t>entrée en vigueur de la</w:t>
      </w:r>
      <w:r w:rsidRPr="005A35D8">
        <w:rPr>
          <w:rStyle w:val="hps"/>
        </w:rPr>
        <w:t xml:space="preserve"> Convention</w:t>
      </w:r>
      <w:r w:rsidRPr="005A35D8">
        <w:t xml:space="preserve"> </w:t>
      </w:r>
      <w:r w:rsidRPr="005A35D8">
        <w:rPr>
          <w:rStyle w:val="hps"/>
        </w:rPr>
        <w:t>instituant l</w:t>
      </w:r>
      <w:r w:rsidR="00295456" w:rsidRPr="005A35D8">
        <w:rPr>
          <w:rStyle w:val="hps"/>
        </w:rPr>
        <w:t>’</w:t>
      </w:r>
      <w:r w:rsidRPr="005A35D8">
        <w:rPr>
          <w:rStyle w:val="hps"/>
        </w:rPr>
        <w:t xml:space="preserve">Organisation </w:t>
      </w:r>
      <w:r w:rsidR="00085D20" w:rsidRPr="005A35D8">
        <w:rPr>
          <w:rStyle w:val="hps"/>
        </w:rPr>
        <w:t>Mondiale</w:t>
      </w:r>
      <w:r w:rsidRPr="005A35D8">
        <w:rPr>
          <w:rStyle w:val="hps"/>
        </w:rPr>
        <w:t xml:space="preserve"> de la </w:t>
      </w:r>
      <w:r w:rsidR="00085D20" w:rsidRPr="005A35D8">
        <w:rPr>
          <w:rStyle w:val="hps"/>
        </w:rPr>
        <w:t>Propriété Intellectuelle</w:t>
      </w:r>
      <w:r w:rsidRPr="005A35D8">
        <w:t xml:space="preserve"> </w:t>
      </w:r>
      <w:r w:rsidRPr="005A35D8">
        <w:rPr>
          <w:rStyle w:val="hps"/>
        </w:rPr>
        <w:t>conclue</w:t>
      </w:r>
      <w:r w:rsidRPr="005A35D8">
        <w:t xml:space="preserve"> </w:t>
      </w:r>
      <w:r w:rsidRPr="005A35D8">
        <w:rPr>
          <w:rStyle w:val="hps"/>
        </w:rPr>
        <w:t>en 1967,</w:t>
      </w:r>
      <w:r w:rsidRPr="005A35D8">
        <w:t xml:space="preserve"> </w:t>
      </w:r>
      <w:r w:rsidRPr="005A35D8">
        <w:rPr>
          <w:rStyle w:val="hps"/>
        </w:rPr>
        <w:t xml:space="preserve">remplaçant les </w:t>
      </w:r>
      <w:r w:rsidR="00AE6A14" w:rsidRPr="005A35D8">
        <w:rPr>
          <w:rFonts w:eastAsia="Times New Roman"/>
          <w:lang w:eastAsia="en-US"/>
        </w:rPr>
        <w:t>Bureaux i</w:t>
      </w:r>
      <w:r w:rsidRPr="005A35D8">
        <w:rPr>
          <w:rFonts w:eastAsia="Times New Roman"/>
          <w:lang w:eastAsia="en-US"/>
        </w:rPr>
        <w:t xml:space="preserve">nternationaux </w:t>
      </w:r>
      <w:r w:rsidR="00AE6A14" w:rsidRPr="005A35D8">
        <w:rPr>
          <w:rFonts w:eastAsia="Times New Roman"/>
          <w:lang w:eastAsia="en-US"/>
        </w:rPr>
        <w:t>r</w:t>
      </w:r>
      <w:r w:rsidRPr="005A35D8">
        <w:rPr>
          <w:rFonts w:eastAsia="Times New Roman"/>
          <w:lang w:eastAsia="en-US"/>
        </w:rPr>
        <w:t xml:space="preserve">éunis pour la </w:t>
      </w:r>
      <w:r w:rsidR="00AE6A14" w:rsidRPr="005A35D8">
        <w:rPr>
          <w:rFonts w:eastAsia="Times New Roman"/>
          <w:lang w:eastAsia="en-US"/>
        </w:rPr>
        <w:t>p</w:t>
      </w:r>
      <w:r w:rsidRPr="005A35D8">
        <w:rPr>
          <w:rFonts w:eastAsia="Times New Roman"/>
          <w:lang w:eastAsia="en-US"/>
        </w:rPr>
        <w:t xml:space="preserve">rotection de la </w:t>
      </w:r>
      <w:r w:rsidR="00AE6A14" w:rsidRPr="005A35D8">
        <w:rPr>
          <w:rFonts w:eastAsia="Times New Roman"/>
          <w:lang w:eastAsia="en-US"/>
        </w:rPr>
        <w:t>p</w:t>
      </w:r>
      <w:r w:rsidRPr="005A35D8">
        <w:rPr>
          <w:rFonts w:eastAsia="Times New Roman"/>
          <w:lang w:eastAsia="en-US"/>
        </w:rPr>
        <w:t xml:space="preserve">ropriété </w:t>
      </w:r>
      <w:r w:rsidR="00AE6A14" w:rsidRPr="005A35D8">
        <w:rPr>
          <w:rFonts w:eastAsia="Times New Roman"/>
          <w:lang w:eastAsia="en-US"/>
        </w:rPr>
        <w:t>i</w:t>
      </w:r>
      <w:r w:rsidRPr="005A35D8">
        <w:rPr>
          <w:rFonts w:eastAsia="Times New Roman"/>
          <w:lang w:eastAsia="en-US"/>
        </w:rPr>
        <w:t>ntellectuelle</w:t>
      </w:r>
      <w:r w:rsidRPr="005A35D8">
        <w:t xml:space="preserve">, </w:t>
      </w:r>
      <w:r w:rsidRPr="005A35D8">
        <w:rPr>
          <w:rStyle w:val="hps"/>
        </w:rPr>
        <w:t xml:space="preserve">qui avaient été </w:t>
      </w:r>
      <w:r w:rsidR="00AE6A14" w:rsidRPr="005A35D8">
        <w:rPr>
          <w:rStyle w:val="hps"/>
        </w:rPr>
        <w:t>créés</w:t>
      </w:r>
      <w:r w:rsidRPr="005A35D8">
        <w:t xml:space="preserve"> </w:t>
      </w:r>
      <w:r w:rsidRPr="005A35D8">
        <w:rPr>
          <w:rStyle w:val="hps"/>
        </w:rPr>
        <w:t>en 1893</w:t>
      </w:r>
      <w:r w:rsidRPr="005A35D8">
        <w:t xml:space="preserve"> pour administrer </w:t>
      </w:r>
      <w:r w:rsidRPr="005A35D8">
        <w:rPr>
          <w:rStyle w:val="hps"/>
        </w:rPr>
        <w:t>la Convention de Paris</w:t>
      </w:r>
      <w:r w:rsidRPr="005A35D8">
        <w:t xml:space="preserve"> </w:t>
      </w:r>
      <w:r w:rsidRPr="005A35D8">
        <w:rPr>
          <w:rStyle w:val="hps"/>
        </w:rPr>
        <w:t>pour la protection</w:t>
      </w:r>
      <w:r w:rsidRPr="005A35D8">
        <w:t xml:space="preserve"> </w:t>
      </w:r>
      <w:r w:rsidRPr="005A35D8">
        <w:rPr>
          <w:rStyle w:val="hps"/>
        </w:rPr>
        <w:t>de la propriété industrielle</w:t>
      </w:r>
      <w:r w:rsidRPr="005A35D8">
        <w:t xml:space="preserve"> </w:t>
      </w:r>
      <w:r w:rsidRPr="005A35D8">
        <w:rPr>
          <w:rStyle w:val="hps"/>
        </w:rPr>
        <w:t>(1883</w:t>
      </w:r>
      <w:r w:rsidRPr="005A35D8">
        <w:t xml:space="preserve">) </w:t>
      </w:r>
      <w:r w:rsidRPr="005A35D8">
        <w:rPr>
          <w:rStyle w:val="hps"/>
        </w:rPr>
        <w:t>et la Convention</w:t>
      </w:r>
      <w:r w:rsidRPr="005A35D8">
        <w:t xml:space="preserve"> </w:t>
      </w:r>
      <w:r w:rsidRPr="005A35D8">
        <w:rPr>
          <w:rStyle w:val="hps"/>
        </w:rPr>
        <w:t>de Berne pour la</w:t>
      </w:r>
      <w:r w:rsidRPr="005A35D8">
        <w:t xml:space="preserve"> </w:t>
      </w:r>
      <w:r w:rsidRPr="005A35D8">
        <w:rPr>
          <w:rStyle w:val="hps"/>
        </w:rPr>
        <w:t>protection des œuvres</w:t>
      </w:r>
      <w:r w:rsidRPr="005A35D8">
        <w:t xml:space="preserve"> </w:t>
      </w:r>
      <w:r w:rsidRPr="005A35D8">
        <w:rPr>
          <w:rStyle w:val="hps"/>
        </w:rPr>
        <w:t>littéraires et artistiques</w:t>
      </w:r>
      <w:r w:rsidRPr="005A35D8">
        <w:t xml:space="preserve"> </w:t>
      </w:r>
      <w:r w:rsidRPr="005A35D8">
        <w:rPr>
          <w:rStyle w:val="hps"/>
        </w:rPr>
        <w:t>(1866</w:t>
      </w:r>
      <w:r w:rsidR="00490611" w:rsidRPr="005A35D8">
        <w:rPr>
          <w:rFonts w:eastAsia="Times New Roman"/>
          <w:lang w:eastAsia="en-US"/>
        </w:rPr>
        <w:t xml:space="preserve">).  </w:t>
      </w:r>
      <w:r w:rsidR="00816745" w:rsidRPr="005A35D8">
        <w:rPr>
          <w:rFonts w:eastAsia="Times New Roman"/>
          <w:lang w:eastAsia="en-US"/>
        </w:rPr>
        <w:t>L</w:t>
      </w:r>
      <w:r w:rsidR="00295456" w:rsidRPr="005A35D8">
        <w:rPr>
          <w:rFonts w:eastAsia="Times New Roman"/>
          <w:lang w:eastAsia="en-US"/>
        </w:rPr>
        <w:t>’</w:t>
      </w:r>
      <w:r w:rsidR="00816745" w:rsidRPr="005A35D8">
        <w:rPr>
          <w:rFonts w:eastAsia="Times New Roman"/>
          <w:lang w:eastAsia="en-US"/>
        </w:rPr>
        <w:t xml:space="preserve">OMPI a été reconnue institution spécialisée du système des </w:t>
      </w:r>
      <w:r w:rsidR="00295456" w:rsidRPr="005A35D8">
        <w:rPr>
          <w:rFonts w:eastAsia="Times New Roman"/>
          <w:lang w:eastAsia="en-US"/>
        </w:rPr>
        <w:t>Nations Unies</w:t>
      </w:r>
      <w:r w:rsidR="00816745" w:rsidRPr="005A35D8">
        <w:rPr>
          <w:rFonts w:eastAsia="Times New Roman"/>
          <w:lang w:eastAsia="en-US"/>
        </w:rPr>
        <w:t xml:space="preserve"> en</w:t>
      </w:r>
      <w:r w:rsidR="00085D20" w:rsidRPr="005A35D8">
        <w:rPr>
          <w:rFonts w:eastAsia="Times New Roman"/>
          <w:lang w:eastAsia="en-US"/>
        </w:rPr>
        <w:t> </w:t>
      </w:r>
      <w:r w:rsidR="00816745" w:rsidRPr="005A35D8">
        <w:rPr>
          <w:rFonts w:eastAsia="Times New Roman"/>
          <w:lang w:eastAsia="en-US"/>
        </w:rPr>
        <w:t>1974.</w:t>
      </w:r>
    </w:p>
    <w:p w:rsidR="000243E3" w:rsidRPr="005A35D8" w:rsidRDefault="00816745" w:rsidP="00630448">
      <w:pPr>
        <w:pStyle w:val="ONUMFS"/>
        <w:rPr>
          <w:rFonts w:eastAsia="Times New Roman"/>
          <w:lang w:eastAsia="en-US"/>
        </w:rPr>
      </w:pPr>
      <w:r w:rsidRPr="005A35D8">
        <w:rPr>
          <w:rFonts w:eastAsia="Times New Roman"/>
          <w:lang w:eastAsia="en-US"/>
        </w:rPr>
        <w:t>L</w:t>
      </w:r>
      <w:r w:rsidR="00295456" w:rsidRPr="005A35D8">
        <w:rPr>
          <w:rFonts w:eastAsia="Times New Roman"/>
          <w:lang w:eastAsia="en-US"/>
        </w:rPr>
        <w:t>’</w:t>
      </w:r>
      <w:r w:rsidRPr="005A35D8">
        <w:rPr>
          <w:rFonts w:eastAsia="Times New Roman"/>
          <w:lang w:eastAsia="en-US"/>
        </w:rPr>
        <w:t>OMPI exécute toute une variété de tâches dans le domaine de la protection des droits de propriété intellectuelle.  Elle a notamment pour fonctions d</w:t>
      </w:r>
      <w:r w:rsidR="00295456" w:rsidRPr="005A35D8">
        <w:rPr>
          <w:rFonts w:eastAsia="Times New Roman"/>
          <w:lang w:eastAsia="en-US"/>
        </w:rPr>
        <w:t>’</w:t>
      </w:r>
      <w:r w:rsidRPr="005A35D8">
        <w:rPr>
          <w:rFonts w:eastAsia="Times New Roman"/>
          <w:lang w:eastAsia="en-US"/>
        </w:rPr>
        <w:t>aider les gouvernements et les organisations à mettre en place les politiques, les structures et les compétences nécessaires pour exploiter le potentiel de la propriété intellectuelle au service du développement économique, de collaborer avec les États membres pour élaborer des lois internationales en matière de propriété intellectuelle, d</w:t>
      </w:r>
      <w:r w:rsidR="00295456" w:rsidRPr="005A35D8">
        <w:rPr>
          <w:rFonts w:eastAsia="Times New Roman"/>
          <w:lang w:eastAsia="en-US"/>
        </w:rPr>
        <w:t>’</w:t>
      </w:r>
      <w:r w:rsidRPr="005A35D8">
        <w:rPr>
          <w:rFonts w:eastAsia="Times New Roman"/>
          <w:lang w:eastAsia="en-US"/>
        </w:rPr>
        <w:t>administrer les traités, de gérer des systèmes mondiaux d</w:t>
      </w:r>
      <w:r w:rsidR="00295456" w:rsidRPr="005A35D8">
        <w:rPr>
          <w:rFonts w:eastAsia="Times New Roman"/>
          <w:lang w:eastAsia="en-US"/>
        </w:rPr>
        <w:t>’</w:t>
      </w:r>
      <w:r w:rsidRPr="005A35D8">
        <w:rPr>
          <w:rFonts w:eastAsia="Times New Roman"/>
          <w:lang w:eastAsia="en-US"/>
        </w:rPr>
        <w:t>enregistrement pour les marques, les dessins et modèles industriels et les appellations d</w:t>
      </w:r>
      <w:r w:rsidR="00295456" w:rsidRPr="005A35D8">
        <w:rPr>
          <w:rFonts w:eastAsia="Times New Roman"/>
          <w:lang w:eastAsia="en-US"/>
        </w:rPr>
        <w:t>’</w:t>
      </w:r>
      <w:r w:rsidRPr="005A35D8">
        <w:rPr>
          <w:rFonts w:eastAsia="Times New Roman"/>
          <w:lang w:eastAsia="en-US"/>
        </w:rPr>
        <w:t>origine ainsi qu</w:t>
      </w:r>
      <w:r w:rsidR="00295456" w:rsidRPr="005A35D8">
        <w:rPr>
          <w:rFonts w:eastAsia="Times New Roman"/>
          <w:lang w:eastAsia="en-US"/>
        </w:rPr>
        <w:t>’</w:t>
      </w:r>
      <w:r w:rsidRPr="005A35D8">
        <w:rPr>
          <w:rFonts w:eastAsia="Times New Roman"/>
          <w:lang w:eastAsia="en-US"/>
        </w:rPr>
        <w:t>un système de dépôt pour les brevets, de fournir des services de règlement des litiges et d</w:t>
      </w:r>
      <w:r w:rsidR="00295456" w:rsidRPr="005A35D8">
        <w:rPr>
          <w:rFonts w:eastAsia="Times New Roman"/>
          <w:lang w:eastAsia="en-US"/>
        </w:rPr>
        <w:t>’</w:t>
      </w:r>
      <w:r w:rsidRPr="005A35D8">
        <w:rPr>
          <w:rFonts w:eastAsia="Times New Roman"/>
          <w:lang w:eastAsia="en-US"/>
        </w:rPr>
        <w:t>offrir une tribune permettant d</w:t>
      </w:r>
      <w:r w:rsidR="00295456" w:rsidRPr="005A35D8">
        <w:rPr>
          <w:rFonts w:eastAsia="Times New Roman"/>
          <w:lang w:eastAsia="en-US"/>
        </w:rPr>
        <w:t>’</w:t>
      </w:r>
      <w:r w:rsidRPr="005A35D8">
        <w:rPr>
          <w:rFonts w:eastAsia="Times New Roman"/>
          <w:lang w:eastAsia="en-US"/>
        </w:rPr>
        <w:t>organiser des discussions en connaissance de cause et d</w:t>
      </w:r>
      <w:r w:rsidR="00295456" w:rsidRPr="005A35D8">
        <w:rPr>
          <w:rFonts w:eastAsia="Times New Roman"/>
          <w:lang w:eastAsia="en-US"/>
        </w:rPr>
        <w:t>’</w:t>
      </w:r>
      <w:r w:rsidRPr="005A35D8">
        <w:rPr>
          <w:rFonts w:eastAsia="Times New Roman"/>
          <w:lang w:eastAsia="en-US"/>
        </w:rPr>
        <w:t>échanger des connaissances spécialisées.</w:t>
      </w:r>
    </w:p>
    <w:p w:rsidR="00295456" w:rsidRPr="005A35D8" w:rsidRDefault="00816745" w:rsidP="00816745">
      <w:pPr>
        <w:spacing w:before="120" w:after="120"/>
        <w:rPr>
          <w:rFonts w:eastAsia="Times New Roman"/>
          <w:u w:val="single"/>
          <w:lang w:eastAsia="en-US"/>
        </w:rPr>
      </w:pPr>
      <w:r w:rsidRPr="005A35D8">
        <w:rPr>
          <w:rFonts w:eastAsia="Times New Roman"/>
          <w:u w:val="single"/>
          <w:lang w:eastAsia="en-US"/>
        </w:rPr>
        <w:t>Pouvoirs</w:t>
      </w:r>
    </w:p>
    <w:p w:rsidR="000243E3" w:rsidRPr="005A35D8" w:rsidRDefault="00816745" w:rsidP="00630448">
      <w:pPr>
        <w:pStyle w:val="ONUMFS"/>
        <w:rPr>
          <w:lang w:eastAsia="en-US"/>
        </w:rPr>
      </w:pPr>
      <w:r w:rsidRPr="005A35D8">
        <w:rPr>
          <w:lang w:eastAsia="en-US"/>
        </w:rPr>
        <w:t>La présente politique en matière de placements est établie conformément à deux</w:t>
      </w:r>
      <w:r w:rsidR="00085D20" w:rsidRPr="005A35D8">
        <w:rPr>
          <w:lang w:eastAsia="en-US"/>
        </w:rPr>
        <w:t> </w:t>
      </w:r>
      <w:r w:rsidRPr="005A35D8">
        <w:rPr>
          <w:lang w:eastAsia="en-US"/>
        </w:rPr>
        <w:t xml:space="preserve">articles du Règlement financier, </w:t>
      </w:r>
      <w:r w:rsidR="00295456" w:rsidRPr="005A35D8">
        <w:rPr>
          <w:lang w:eastAsia="en-US"/>
        </w:rPr>
        <w:t>à savoir</w:t>
      </w:r>
      <w:r w:rsidRPr="005A35D8">
        <w:rPr>
          <w:lang w:eastAsia="en-US"/>
        </w:rPr>
        <w:t xml:space="preserve"> l</w:t>
      </w:r>
      <w:r w:rsidR="00295456" w:rsidRPr="005A35D8">
        <w:rPr>
          <w:lang w:eastAsia="en-US"/>
        </w:rPr>
        <w:t>’</w:t>
      </w:r>
      <w:r w:rsidRPr="005A35D8">
        <w:rPr>
          <w:lang w:eastAsia="en-US"/>
        </w:rPr>
        <w:t>article</w:t>
      </w:r>
      <w:r w:rsidR="00085D20" w:rsidRPr="005A35D8">
        <w:rPr>
          <w:lang w:eastAsia="en-US"/>
        </w:rPr>
        <w:t> </w:t>
      </w:r>
      <w:r w:rsidRPr="005A35D8">
        <w:rPr>
          <w:lang w:eastAsia="en-US"/>
        </w:rPr>
        <w:t xml:space="preserve">4.10 qui donne au </w:t>
      </w:r>
      <w:r w:rsidR="00085D20" w:rsidRPr="005A35D8">
        <w:rPr>
          <w:lang w:eastAsia="en-US"/>
        </w:rPr>
        <w:t>Directeur</w:t>
      </w:r>
      <w:r w:rsidRPr="005A35D8">
        <w:rPr>
          <w:lang w:eastAsia="en-US"/>
        </w:rPr>
        <w:t xml:space="preserve"> général le pouvoir de placer à court terme les fonds qui ne sont pas nécessaires pour faire face à des besoins immédiats conformément à la politique de placement de l</w:t>
      </w:r>
      <w:r w:rsidR="00295456" w:rsidRPr="005A35D8">
        <w:rPr>
          <w:lang w:eastAsia="en-US"/>
        </w:rPr>
        <w:t>’</w:t>
      </w:r>
      <w:r w:rsidRPr="005A35D8">
        <w:rPr>
          <w:lang w:eastAsia="en-US"/>
        </w:rPr>
        <w:t>Organisation approuvée par les États membres, et l</w:t>
      </w:r>
      <w:r w:rsidR="00295456" w:rsidRPr="005A35D8">
        <w:rPr>
          <w:lang w:eastAsia="en-US"/>
        </w:rPr>
        <w:t>’</w:t>
      </w:r>
      <w:r w:rsidRPr="005A35D8">
        <w:rPr>
          <w:lang w:eastAsia="en-US"/>
        </w:rPr>
        <w:t>article</w:t>
      </w:r>
      <w:r w:rsidR="00085D20" w:rsidRPr="005A35D8">
        <w:rPr>
          <w:lang w:eastAsia="en-US"/>
        </w:rPr>
        <w:t> </w:t>
      </w:r>
      <w:r w:rsidRPr="005A35D8">
        <w:rPr>
          <w:lang w:eastAsia="en-US"/>
        </w:rPr>
        <w:t>4.11 qui lui donne le pouvoir de placer à long terme les sommes inscrites au crédit de l</w:t>
      </w:r>
      <w:r w:rsidR="00295456" w:rsidRPr="005A35D8">
        <w:rPr>
          <w:lang w:eastAsia="en-US"/>
        </w:rPr>
        <w:t>’</w:t>
      </w:r>
      <w:r w:rsidRPr="005A35D8">
        <w:rPr>
          <w:lang w:eastAsia="en-US"/>
        </w:rPr>
        <w:t>Organisation conformément à la politique de placement de l</w:t>
      </w:r>
      <w:r w:rsidR="00295456" w:rsidRPr="005A35D8">
        <w:rPr>
          <w:lang w:eastAsia="en-US"/>
        </w:rPr>
        <w:t>’</w:t>
      </w:r>
      <w:r w:rsidRPr="005A35D8">
        <w:rPr>
          <w:lang w:eastAsia="en-US"/>
        </w:rPr>
        <w:t>Organisation approuvée par les États membres.</w:t>
      </w:r>
      <w:r w:rsidR="00490611" w:rsidRPr="005A35D8">
        <w:t xml:space="preserve">  </w:t>
      </w:r>
      <w:r w:rsidR="00AE6A14" w:rsidRPr="005A35D8">
        <w:rPr>
          <w:rStyle w:val="hps"/>
        </w:rPr>
        <w:t xml:space="preserve">La </w:t>
      </w:r>
      <w:r w:rsidR="00CD41B9" w:rsidRPr="005A35D8">
        <w:rPr>
          <w:rStyle w:val="hps"/>
        </w:rPr>
        <w:t xml:space="preserve">présente </w:t>
      </w:r>
      <w:r w:rsidR="00AE6A14" w:rsidRPr="005A35D8">
        <w:rPr>
          <w:rStyle w:val="hps"/>
        </w:rPr>
        <w:t>politique</w:t>
      </w:r>
      <w:r w:rsidR="00AE6A14" w:rsidRPr="005A35D8">
        <w:t xml:space="preserve"> </w:t>
      </w:r>
      <w:r w:rsidR="00DA0E9F" w:rsidRPr="005A35D8">
        <w:rPr>
          <w:rStyle w:val="hps"/>
        </w:rPr>
        <w:t>s</w:t>
      </w:r>
      <w:r w:rsidR="00295456" w:rsidRPr="005A35D8">
        <w:rPr>
          <w:rStyle w:val="hps"/>
        </w:rPr>
        <w:t>’</w:t>
      </w:r>
      <w:r w:rsidR="00DA0E9F" w:rsidRPr="005A35D8">
        <w:rPr>
          <w:rStyle w:val="hps"/>
        </w:rPr>
        <w:t>applique</w:t>
      </w:r>
      <w:r w:rsidR="00AE6A14" w:rsidRPr="005A35D8">
        <w:t xml:space="preserve"> </w:t>
      </w:r>
      <w:r w:rsidR="00AE6A14" w:rsidRPr="005A35D8">
        <w:rPr>
          <w:rStyle w:val="hps"/>
        </w:rPr>
        <w:t xml:space="preserve">aux placements détenus </w:t>
      </w:r>
      <w:r w:rsidR="00F5654C" w:rsidRPr="005A35D8">
        <w:rPr>
          <w:rStyle w:val="hps"/>
        </w:rPr>
        <w:t>pour le compte de</w:t>
      </w:r>
      <w:r w:rsidR="00AE6A14" w:rsidRPr="005A35D8">
        <w:t xml:space="preserve"> </w:t>
      </w:r>
      <w:r w:rsidR="00AE6A14" w:rsidRPr="005A35D8">
        <w:rPr>
          <w:rStyle w:val="hps"/>
        </w:rPr>
        <w:t>l</w:t>
      </w:r>
      <w:r w:rsidR="00295456" w:rsidRPr="005A35D8">
        <w:rPr>
          <w:rStyle w:val="hps"/>
        </w:rPr>
        <w:t>’</w:t>
      </w:r>
      <w:r w:rsidR="00AE6A14" w:rsidRPr="005A35D8">
        <w:rPr>
          <w:rStyle w:val="hps"/>
        </w:rPr>
        <w:t>OMPI et</w:t>
      </w:r>
      <w:r w:rsidR="00AE6A14" w:rsidRPr="005A35D8">
        <w:t xml:space="preserve"> </w:t>
      </w:r>
      <w:r w:rsidR="00F5654C" w:rsidRPr="005A35D8">
        <w:rPr>
          <w:rStyle w:val="hps"/>
        </w:rPr>
        <w:t>de</w:t>
      </w:r>
      <w:r w:rsidR="00AE6A14" w:rsidRPr="005A35D8">
        <w:t xml:space="preserve"> </w:t>
      </w:r>
      <w:r w:rsidR="00AE6A14" w:rsidRPr="005A35D8">
        <w:rPr>
          <w:rStyle w:val="hps"/>
        </w:rPr>
        <w:t xml:space="preserve">fonds </w:t>
      </w:r>
      <w:r w:rsidR="00CD41B9" w:rsidRPr="005A35D8">
        <w:rPr>
          <w:rStyle w:val="hps"/>
        </w:rPr>
        <w:t>en dépôt</w:t>
      </w:r>
      <w:r w:rsidR="00AE6A14" w:rsidRPr="005A35D8">
        <w:t xml:space="preserve"> </w:t>
      </w:r>
      <w:r w:rsidR="00AE6A14" w:rsidRPr="005A35D8">
        <w:rPr>
          <w:rStyle w:val="hps"/>
        </w:rPr>
        <w:t>et couvre</w:t>
      </w:r>
      <w:r w:rsidR="00AE6A14" w:rsidRPr="005A35D8">
        <w:t xml:space="preserve"> </w:t>
      </w:r>
      <w:r w:rsidR="00F5654C" w:rsidRPr="005A35D8">
        <w:t>deux </w:t>
      </w:r>
      <w:r w:rsidR="00AE6A14" w:rsidRPr="005A35D8">
        <w:rPr>
          <w:rStyle w:val="hps"/>
        </w:rPr>
        <w:t>catégories de</w:t>
      </w:r>
      <w:r w:rsidR="00AE6A14" w:rsidRPr="005A35D8">
        <w:t xml:space="preserve"> </w:t>
      </w:r>
      <w:r w:rsidR="00AE6A14" w:rsidRPr="005A35D8">
        <w:rPr>
          <w:rStyle w:val="hps"/>
        </w:rPr>
        <w:t>trésorerie</w:t>
      </w:r>
      <w:r w:rsidR="00DA0E9F" w:rsidRPr="005A35D8">
        <w:rPr>
          <w:rStyle w:val="hps"/>
        </w:rPr>
        <w:t> </w:t>
      </w:r>
      <w:r w:rsidR="00AE6A14" w:rsidRPr="005A35D8">
        <w:rPr>
          <w:rStyle w:val="hps"/>
        </w:rPr>
        <w:t>:</w:t>
      </w:r>
      <w:r w:rsidR="00AE6A14" w:rsidRPr="005A35D8">
        <w:t xml:space="preserve"> </w:t>
      </w:r>
      <w:r w:rsidR="00DA0E9F" w:rsidRPr="005A35D8">
        <w:t>la trésorerie d</w:t>
      </w:r>
      <w:r w:rsidR="00295456" w:rsidRPr="005A35D8">
        <w:t>’</w:t>
      </w:r>
      <w:r w:rsidR="00AE6A14" w:rsidRPr="005A35D8">
        <w:rPr>
          <w:rStyle w:val="hps"/>
        </w:rPr>
        <w:t>exploitation</w:t>
      </w:r>
      <w:r w:rsidR="00AE6A14" w:rsidRPr="005A35D8">
        <w:t xml:space="preserve"> </w:t>
      </w:r>
      <w:r w:rsidR="00AE6A14" w:rsidRPr="005A35D8">
        <w:rPr>
          <w:rStyle w:val="hps"/>
        </w:rPr>
        <w:t>et</w:t>
      </w:r>
      <w:r w:rsidR="00DA0E9F" w:rsidRPr="005A35D8">
        <w:rPr>
          <w:rStyle w:val="hps"/>
        </w:rPr>
        <w:t xml:space="preserve"> les fonds propres</w:t>
      </w:r>
      <w:r w:rsidR="00AE6A14" w:rsidRPr="005A35D8">
        <w:t xml:space="preserve">. </w:t>
      </w:r>
      <w:r w:rsidR="00DA0E9F" w:rsidRPr="005A35D8">
        <w:t xml:space="preserve"> La trésorerie d</w:t>
      </w:r>
      <w:r w:rsidR="00295456" w:rsidRPr="005A35D8">
        <w:t>’</w:t>
      </w:r>
      <w:r w:rsidR="00DA0E9F" w:rsidRPr="005A35D8">
        <w:rPr>
          <w:rStyle w:val="hps"/>
        </w:rPr>
        <w:t>exploitation</w:t>
      </w:r>
      <w:r w:rsidR="00DA0E9F" w:rsidRPr="005A35D8">
        <w:t xml:space="preserve"> </w:t>
      </w:r>
      <w:r w:rsidR="00F5654C" w:rsidRPr="005A35D8">
        <w:rPr>
          <w:rStyle w:val="hps"/>
        </w:rPr>
        <w:t>correspond à la trésorerie</w:t>
      </w:r>
      <w:r w:rsidR="00AE6A14" w:rsidRPr="005A35D8">
        <w:t xml:space="preserve"> </w:t>
      </w:r>
      <w:r w:rsidR="00F5654C" w:rsidRPr="005A35D8">
        <w:t xml:space="preserve">dont </w:t>
      </w:r>
      <w:r w:rsidR="00AE6A14" w:rsidRPr="005A35D8">
        <w:rPr>
          <w:rStyle w:val="hps"/>
        </w:rPr>
        <w:t>l</w:t>
      </w:r>
      <w:r w:rsidR="00295456" w:rsidRPr="005A35D8">
        <w:rPr>
          <w:rStyle w:val="hps"/>
        </w:rPr>
        <w:t>’</w:t>
      </w:r>
      <w:r w:rsidR="00AE6A14" w:rsidRPr="005A35D8">
        <w:rPr>
          <w:rStyle w:val="hps"/>
        </w:rPr>
        <w:t>Organisation</w:t>
      </w:r>
      <w:r w:rsidR="00AE6A14" w:rsidRPr="005A35D8">
        <w:t xml:space="preserve"> </w:t>
      </w:r>
      <w:r w:rsidR="00F5654C" w:rsidRPr="005A35D8">
        <w:t xml:space="preserve">a besoin </w:t>
      </w:r>
      <w:r w:rsidR="00AE6A14" w:rsidRPr="005A35D8">
        <w:rPr>
          <w:rStyle w:val="hps"/>
        </w:rPr>
        <w:t xml:space="preserve">pour répondre </w:t>
      </w:r>
      <w:r w:rsidR="00F5654C" w:rsidRPr="005A35D8">
        <w:rPr>
          <w:rStyle w:val="hps"/>
        </w:rPr>
        <w:t>à ses</w:t>
      </w:r>
      <w:r w:rsidR="00AE6A14" w:rsidRPr="005A35D8">
        <w:rPr>
          <w:rStyle w:val="hps"/>
        </w:rPr>
        <w:t xml:space="preserve"> </w:t>
      </w:r>
      <w:r w:rsidR="00F5654C" w:rsidRPr="005A35D8">
        <w:rPr>
          <w:rStyle w:val="hps"/>
        </w:rPr>
        <w:t>besoins</w:t>
      </w:r>
      <w:r w:rsidR="00AE6A14" w:rsidRPr="005A35D8">
        <w:t xml:space="preserve"> </w:t>
      </w:r>
      <w:r w:rsidR="00AE6A14" w:rsidRPr="005A35D8">
        <w:rPr>
          <w:rStyle w:val="hps"/>
        </w:rPr>
        <w:t>de paiement</w:t>
      </w:r>
      <w:r w:rsidR="00F5654C" w:rsidRPr="005A35D8">
        <w:rPr>
          <w:rStyle w:val="hps"/>
        </w:rPr>
        <w:t>s</w:t>
      </w:r>
      <w:r w:rsidR="00AE6A14" w:rsidRPr="005A35D8">
        <w:t xml:space="preserve"> </w:t>
      </w:r>
      <w:r w:rsidR="00F5654C" w:rsidRPr="005A35D8">
        <w:rPr>
          <w:rStyle w:val="hps"/>
        </w:rPr>
        <w:t>courants</w:t>
      </w:r>
      <w:r w:rsidR="00AE6A14" w:rsidRPr="005A35D8">
        <w:t xml:space="preserve"> </w:t>
      </w:r>
      <w:r w:rsidR="00F5654C" w:rsidRPr="005A35D8">
        <w:rPr>
          <w:rStyle w:val="hps"/>
        </w:rPr>
        <w:t>et pour s</w:t>
      </w:r>
      <w:r w:rsidR="00295456" w:rsidRPr="005A35D8">
        <w:rPr>
          <w:rStyle w:val="hps"/>
        </w:rPr>
        <w:t>’</w:t>
      </w:r>
      <w:r w:rsidR="00F5654C" w:rsidRPr="005A35D8">
        <w:rPr>
          <w:rStyle w:val="hps"/>
        </w:rPr>
        <w:t>assurer</w:t>
      </w:r>
      <w:r w:rsidR="00AE6A14" w:rsidRPr="005A35D8">
        <w:t xml:space="preserve"> </w:t>
      </w:r>
      <w:r w:rsidR="00AE6A14" w:rsidRPr="005A35D8">
        <w:rPr>
          <w:rStyle w:val="hps"/>
        </w:rPr>
        <w:t>qu</w:t>
      </w:r>
      <w:r w:rsidR="00295456" w:rsidRPr="005A35D8">
        <w:rPr>
          <w:rStyle w:val="hps"/>
        </w:rPr>
        <w:t>’</w:t>
      </w:r>
      <w:r w:rsidR="00AE6A14" w:rsidRPr="005A35D8">
        <w:rPr>
          <w:rStyle w:val="hps"/>
        </w:rPr>
        <w:t>un montant équivalent</w:t>
      </w:r>
      <w:r w:rsidR="00AE6A14" w:rsidRPr="005A35D8">
        <w:t xml:space="preserve"> </w:t>
      </w:r>
      <w:r w:rsidR="00F5654C" w:rsidRPr="005A35D8">
        <w:rPr>
          <w:rStyle w:val="hps"/>
        </w:rPr>
        <w:t>aux réserves visées</w:t>
      </w:r>
      <w:r w:rsidR="00AE6A14" w:rsidRPr="005A35D8">
        <w:rPr>
          <w:rStyle w:val="hps"/>
        </w:rPr>
        <w:t xml:space="preserve"> est disponible</w:t>
      </w:r>
      <w:r w:rsidR="00AE6A14" w:rsidRPr="005A35D8">
        <w:t xml:space="preserve"> </w:t>
      </w:r>
      <w:r w:rsidR="00F5654C" w:rsidRPr="005A35D8">
        <w:rPr>
          <w:rStyle w:val="hps"/>
        </w:rPr>
        <w:t>sous forme de liquidités</w:t>
      </w:r>
      <w:r w:rsidR="00AE6A14" w:rsidRPr="005A35D8">
        <w:t>.</w:t>
      </w:r>
      <w:r w:rsidR="00DA0E9F" w:rsidRPr="005A35D8">
        <w:t xml:space="preserve"> </w:t>
      </w:r>
      <w:r w:rsidR="00AE6A14" w:rsidRPr="005A35D8">
        <w:t xml:space="preserve"> </w:t>
      </w:r>
      <w:r w:rsidR="00DA0E9F" w:rsidRPr="005A35D8">
        <w:t>L</w:t>
      </w:r>
      <w:r w:rsidR="00DA0E9F" w:rsidRPr="005A35D8">
        <w:rPr>
          <w:rStyle w:val="hps"/>
        </w:rPr>
        <w:t>es fonds propres correspondent au</w:t>
      </w:r>
      <w:r w:rsidR="00AE6A14" w:rsidRPr="005A35D8">
        <w:t xml:space="preserve"> </w:t>
      </w:r>
      <w:r w:rsidR="00AE6A14" w:rsidRPr="005A35D8">
        <w:rPr>
          <w:rStyle w:val="hps"/>
        </w:rPr>
        <w:t>solde de trésorerie</w:t>
      </w:r>
      <w:r w:rsidR="00AE6A14" w:rsidRPr="005A35D8">
        <w:t xml:space="preserve"> </w:t>
      </w:r>
      <w:r w:rsidR="00DA0E9F" w:rsidRPr="005A35D8">
        <w:t xml:space="preserve">restant </w:t>
      </w:r>
      <w:r w:rsidR="00DA0E9F" w:rsidRPr="005A35D8">
        <w:rPr>
          <w:rStyle w:val="hps"/>
        </w:rPr>
        <w:t xml:space="preserve">après déduction de </w:t>
      </w:r>
      <w:r w:rsidR="00DA0E9F" w:rsidRPr="005A35D8">
        <w:t>la trésorerie d</w:t>
      </w:r>
      <w:r w:rsidR="00295456" w:rsidRPr="005A35D8">
        <w:t>’</w:t>
      </w:r>
      <w:r w:rsidR="00DA0E9F" w:rsidRPr="005A35D8">
        <w:rPr>
          <w:rStyle w:val="hps"/>
        </w:rPr>
        <w:t>exploitation et de</w:t>
      </w:r>
      <w:r w:rsidR="00DA0E9F" w:rsidRPr="005A35D8">
        <w:t xml:space="preserve"> la </w:t>
      </w:r>
      <w:r w:rsidR="00AE6A14" w:rsidRPr="005A35D8">
        <w:rPr>
          <w:rStyle w:val="hps"/>
        </w:rPr>
        <w:t>trésorerie</w:t>
      </w:r>
      <w:r w:rsidR="00AE6A14" w:rsidRPr="005A35D8">
        <w:t xml:space="preserve"> </w:t>
      </w:r>
      <w:r w:rsidR="00AE6A14" w:rsidRPr="005A35D8">
        <w:rPr>
          <w:rStyle w:val="hps"/>
        </w:rPr>
        <w:t>stratégique</w:t>
      </w:r>
      <w:r w:rsidR="00AE6A14" w:rsidRPr="005A35D8">
        <w:t xml:space="preserve"> </w:t>
      </w:r>
      <w:r w:rsidR="00AE6A14" w:rsidRPr="005A35D8">
        <w:rPr>
          <w:rStyle w:val="hps"/>
        </w:rPr>
        <w:t>(</w:t>
      </w:r>
      <w:r w:rsidR="00923158" w:rsidRPr="005A35D8">
        <w:rPr>
          <w:rStyle w:val="hps"/>
        </w:rPr>
        <w:t>sachant que cette dernière est soumise</w:t>
      </w:r>
      <w:r w:rsidR="00F5654C" w:rsidRPr="005A35D8">
        <w:rPr>
          <w:rStyle w:val="hps"/>
        </w:rPr>
        <w:t xml:space="preserve"> à une autre</w:t>
      </w:r>
      <w:r w:rsidR="00AE6A14" w:rsidRPr="005A35D8">
        <w:rPr>
          <w:rStyle w:val="hps"/>
        </w:rPr>
        <w:t xml:space="preserve"> politique </w:t>
      </w:r>
      <w:r w:rsidR="00F5654C" w:rsidRPr="005A35D8">
        <w:rPr>
          <w:rStyle w:val="hps"/>
        </w:rPr>
        <w:t>en matière de placements</w:t>
      </w:r>
      <w:r w:rsidR="00AE6A14" w:rsidRPr="005A35D8">
        <w:t xml:space="preserve">).  </w:t>
      </w:r>
      <w:r w:rsidR="00AE6A14" w:rsidRPr="005A35D8">
        <w:rPr>
          <w:rStyle w:val="hps"/>
        </w:rPr>
        <w:t>Les fonds propres</w:t>
      </w:r>
      <w:r w:rsidR="00AE6A14" w:rsidRPr="005A35D8">
        <w:t xml:space="preserve"> </w:t>
      </w:r>
      <w:r w:rsidR="00AE6A14" w:rsidRPr="005A35D8">
        <w:rPr>
          <w:rStyle w:val="hps"/>
        </w:rPr>
        <w:t xml:space="preserve">ne </w:t>
      </w:r>
      <w:r w:rsidR="00DA0E9F" w:rsidRPr="005A35D8">
        <w:rPr>
          <w:rStyle w:val="hps"/>
        </w:rPr>
        <w:t>sont pas censés</w:t>
      </w:r>
      <w:r w:rsidR="00AE6A14" w:rsidRPr="005A35D8">
        <w:t xml:space="preserve"> </w:t>
      </w:r>
      <w:r w:rsidR="00AE6A14" w:rsidRPr="005A35D8">
        <w:rPr>
          <w:rStyle w:val="hps"/>
        </w:rPr>
        <w:t>être utilisés</w:t>
      </w:r>
      <w:r w:rsidR="00AE6A14" w:rsidRPr="005A35D8">
        <w:t xml:space="preserve"> </w:t>
      </w:r>
      <w:r w:rsidR="00DA0E9F" w:rsidRPr="005A35D8">
        <w:rPr>
          <w:rStyle w:val="hps"/>
        </w:rPr>
        <w:t>à court terme</w:t>
      </w:r>
      <w:r w:rsidR="00AE6A14" w:rsidRPr="005A35D8">
        <w:t xml:space="preserve"> </w:t>
      </w:r>
      <w:r w:rsidR="00AE6A14" w:rsidRPr="005A35D8">
        <w:rPr>
          <w:rStyle w:val="hps"/>
        </w:rPr>
        <w:t>(</w:t>
      </w:r>
      <w:r w:rsidR="00AE6A14" w:rsidRPr="005A35D8">
        <w:t xml:space="preserve">période de </w:t>
      </w:r>
      <w:r w:rsidR="00AE6A14" w:rsidRPr="005A35D8">
        <w:rPr>
          <w:rStyle w:val="hps"/>
        </w:rPr>
        <w:t>moins d</w:t>
      </w:r>
      <w:r w:rsidR="00295456" w:rsidRPr="005A35D8">
        <w:rPr>
          <w:rStyle w:val="hps"/>
        </w:rPr>
        <w:t>’</w:t>
      </w:r>
      <w:r w:rsidR="00AE6A14" w:rsidRPr="005A35D8">
        <w:rPr>
          <w:rStyle w:val="hps"/>
        </w:rPr>
        <w:t>un an</w:t>
      </w:r>
      <w:r w:rsidR="00490611" w:rsidRPr="005A35D8">
        <w:rPr>
          <w:lang w:eastAsia="en-US"/>
        </w:rPr>
        <w:t>).</w:t>
      </w:r>
    </w:p>
    <w:p w:rsidR="000243E3" w:rsidRPr="005A35D8" w:rsidRDefault="00DA0E9F" w:rsidP="00630448">
      <w:pPr>
        <w:pStyle w:val="ONUMFS"/>
        <w:rPr>
          <w:lang w:eastAsia="en-US"/>
        </w:rPr>
      </w:pPr>
      <w:r w:rsidRPr="005A35D8">
        <w:rPr>
          <w:rStyle w:val="hps"/>
        </w:rPr>
        <w:t>La présente</w:t>
      </w:r>
      <w:r w:rsidR="00AE6A14" w:rsidRPr="005A35D8">
        <w:rPr>
          <w:rStyle w:val="hps"/>
        </w:rPr>
        <w:t xml:space="preserve"> politique</w:t>
      </w:r>
      <w:r w:rsidR="00AE6A14" w:rsidRPr="005A35D8">
        <w:t xml:space="preserve"> </w:t>
      </w:r>
      <w:r w:rsidR="00AE6A14" w:rsidRPr="005A35D8">
        <w:rPr>
          <w:rStyle w:val="hps"/>
        </w:rPr>
        <w:t>fournit</w:t>
      </w:r>
      <w:r w:rsidR="00AE6A14" w:rsidRPr="005A35D8">
        <w:t xml:space="preserve"> </w:t>
      </w:r>
      <w:r w:rsidR="00AE6A14" w:rsidRPr="005A35D8">
        <w:rPr>
          <w:rStyle w:val="hps"/>
        </w:rPr>
        <w:t>les</w:t>
      </w:r>
      <w:r w:rsidR="00AE6A14" w:rsidRPr="005A35D8">
        <w:t xml:space="preserve"> </w:t>
      </w:r>
      <w:r w:rsidR="00AE6A14" w:rsidRPr="005A35D8">
        <w:rPr>
          <w:rStyle w:val="hps"/>
        </w:rPr>
        <w:t>principes généraux</w:t>
      </w:r>
      <w:r w:rsidR="00AE6A14" w:rsidRPr="005A35D8">
        <w:t xml:space="preserve"> </w:t>
      </w:r>
      <w:r w:rsidR="00923158" w:rsidRPr="005A35D8">
        <w:rPr>
          <w:rStyle w:val="hps"/>
        </w:rPr>
        <w:t>qui régissent les placements</w:t>
      </w:r>
      <w:r w:rsidR="00AE6A14" w:rsidRPr="005A35D8">
        <w:t xml:space="preserve"> </w:t>
      </w:r>
      <w:r w:rsidR="00AE6A14" w:rsidRPr="005A35D8">
        <w:rPr>
          <w:rStyle w:val="hps"/>
        </w:rPr>
        <w:t>de l</w:t>
      </w:r>
      <w:r w:rsidR="00295456" w:rsidRPr="005A35D8">
        <w:rPr>
          <w:rStyle w:val="hps"/>
        </w:rPr>
        <w:t>’</w:t>
      </w:r>
      <w:r w:rsidR="00AE6A14" w:rsidRPr="005A35D8">
        <w:rPr>
          <w:rStyle w:val="hps"/>
        </w:rPr>
        <w:t>Organisation</w:t>
      </w:r>
      <w:r w:rsidR="00AE6A14" w:rsidRPr="005A35D8">
        <w:t xml:space="preserve"> </w:t>
      </w:r>
      <w:r w:rsidR="00AE6A14" w:rsidRPr="005A35D8">
        <w:rPr>
          <w:rStyle w:val="hps"/>
        </w:rPr>
        <w:t xml:space="preserve">et </w:t>
      </w:r>
      <w:r w:rsidR="00923158" w:rsidRPr="005A35D8">
        <w:rPr>
          <w:rStyle w:val="hps"/>
        </w:rPr>
        <w:t>s</w:t>
      </w:r>
      <w:r w:rsidR="00295456" w:rsidRPr="005A35D8">
        <w:rPr>
          <w:rStyle w:val="hps"/>
        </w:rPr>
        <w:t>’</w:t>
      </w:r>
      <w:r w:rsidR="00AE6A14" w:rsidRPr="005A35D8">
        <w:rPr>
          <w:rStyle w:val="hps"/>
        </w:rPr>
        <w:t>applique</w:t>
      </w:r>
      <w:r w:rsidR="00AE6A14" w:rsidRPr="005A35D8">
        <w:t xml:space="preserve"> </w:t>
      </w:r>
      <w:r w:rsidR="00923158" w:rsidRPr="005A35D8">
        <w:t xml:space="preserve">donc aux </w:t>
      </w:r>
      <w:r w:rsidR="00AE6A14" w:rsidRPr="005A35D8">
        <w:rPr>
          <w:rStyle w:val="hps"/>
        </w:rPr>
        <w:t>directives</w:t>
      </w:r>
      <w:r w:rsidR="00AE6A14" w:rsidRPr="005A35D8">
        <w:t xml:space="preserve"> </w:t>
      </w:r>
      <w:r w:rsidR="00AE6A14" w:rsidRPr="005A35D8">
        <w:rPr>
          <w:rStyle w:val="hps"/>
        </w:rPr>
        <w:t xml:space="preserve">de placement </w:t>
      </w:r>
      <w:r w:rsidR="00923158" w:rsidRPr="005A35D8">
        <w:rPr>
          <w:rStyle w:val="hps"/>
        </w:rPr>
        <w:t>communiquées</w:t>
      </w:r>
      <w:r w:rsidR="00AE6A14" w:rsidRPr="005A35D8">
        <w:t xml:space="preserve"> </w:t>
      </w:r>
      <w:r w:rsidR="00AE6A14" w:rsidRPr="005A35D8">
        <w:rPr>
          <w:rStyle w:val="hps"/>
        </w:rPr>
        <w:t>aux gestionnaires de fonds</w:t>
      </w:r>
      <w:r w:rsidR="00AE6A14" w:rsidRPr="005A35D8">
        <w:t xml:space="preserve"> </w:t>
      </w:r>
      <w:r w:rsidR="00923158" w:rsidRPr="005A35D8">
        <w:rPr>
          <w:rStyle w:val="hps"/>
        </w:rPr>
        <w:t>extérieurs</w:t>
      </w:r>
      <w:r w:rsidR="00AE6A14" w:rsidRPr="005A35D8">
        <w:rPr>
          <w:rStyle w:val="hps"/>
        </w:rPr>
        <w:t xml:space="preserve"> (</w:t>
      </w:r>
      <w:r w:rsidR="00923158" w:rsidRPr="005A35D8">
        <w:t>défini</w:t>
      </w:r>
      <w:r w:rsidR="00AE6A14" w:rsidRPr="005A35D8">
        <w:t xml:space="preserve">s </w:t>
      </w:r>
      <w:r w:rsidRPr="005A35D8">
        <w:rPr>
          <w:rStyle w:val="hps"/>
        </w:rPr>
        <w:t>au</w:t>
      </w:r>
      <w:r w:rsidR="00AE6A14" w:rsidRPr="005A35D8">
        <w:rPr>
          <w:rStyle w:val="hps"/>
        </w:rPr>
        <w:t xml:space="preserve"> paragraphe</w:t>
      </w:r>
      <w:r w:rsidRPr="005A35D8">
        <w:t> </w:t>
      </w:r>
      <w:r w:rsidR="00AE6A14" w:rsidRPr="005A35D8">
        <w:rPr>
          <w:rStyle w:val="hps"/>
        </w:rPr>
        <w:t>16</w:t>
      </w:r>
      <w:r w:rsidR="00795641" w:rsidRPr="005A35D8">
        <w:rPr>
          <w:lang w:eastAsia="en-US"/>
        </w:rPr>
        <w:t>)</w:t>
      </w:r>
      <w:r w:rsidR="00490611" w:rsidRPr="005A35D8">
        <w:rPr>
          <w:lang w:eastAsia="en-US"/>
        </w:rPr>
        <w:t>.</w:t>
      </w:r>
    </w:p>
    <w:p w:rsidR="000243E3" w:rsidRPr="005A35D8" w:rsidRDefault="000243E3" w:rsidP="00490611">
      <w:pPr>
        <w:rPr>
          <w:rFonts w:eastAsia="Times New Roman"/>
          <w:lang w:eastAsia="en-US"/>
        </w:rPr>
      </w:pPr>
    </w:p>
    <w:p w:rsidR="000243E3" w:rsidRPr="005A35D8" w:rsidRDefault="00795641" w:rsidP="00490611">
      <w:pPr>
        <w:keepNext/>
        <w:outlineLvl w:val="0"/>
        <w:rPr>
          <w:bCs/>
          <w:caps/>
          <w:kern w:val="32"/>
          <w:szCs w:val="32"/>
          <w:lang w:eastAsia="en-US"/>
        </w:rPr>
      </w:pPr>
      <w:r w:rsidRPr="005A35D8">
        <w:rPr>
          <w:bCs/>
          <w:caps/>
          <w:kern w:val="32"/>
          <w:szCs w:val="32"/>
          <w:lang w:eastAsia="en-US"/>
        </w:rPr>
        <w:t>B</w:t>
      </w:r>
      <w:r w:rsidR="005B2D04" w:rsidRPr="005A35D8">
        <w:rPr>
          <w:bCs/>
          <w:caps/>
          <w:kern w:val="32"/>
          <w:szCs w:val="32"/>
          <w:lang w:eastAsia="en-US"/>
        </w:rPr>
        <w:t>.</w:t>
      </w:r>
      <w:r w:rsidR="005B2D04" w:rsidRPr="005A35D8">
        <w:rPr>
          <w:bCs/>
          <w:caps/>
          <w:kern w:val="32"/>
          <w:szCs w:val="32"/>
          <w:lang w:eastAsia="en-US"/>
        </w:rPr>
        <w:tab/>
      </w:r>
      <w:r w:rsidR="00C64D1B" w:rsidRPr="005A35D8">
        <w:rPr>
          <w:bCs/>
          <w:caps/>
          <w:kern w:val="32"/>
          <w:szCs w:val="32"/>
          <w:lang w:eastAsia="en-US"/>
        </w:rPr>
        <w:t>RÔLES</w:t>
      </w:r>
      <w:r w:rsidR="00AE6A14" w:rsidRPr="005A35D8">
        <w:rPr>
          <w:bCs/>
          <w:caps/>
          <w:kern w:val="32"/>
          <w:szCs w:val="32"/>
          <w:lang w:eastAsia="en-US"/>
        </w:rPr>
        <w:t xml:space="preserve"> et responsabilités</w:t>
      </w:r>
      <w:r w:rsidR="00295456" w:rsidRPr="005A35D8">
        <w:rPr>
          <w:bCs/>
          <w:caps/>
          <w:kern w:val="32"/>
          <w:szCs w:val="32"/>
          <w:lang w:eastAsia="en-US"/>
        </w:rPr>
        <w:t xml:space="preserve"> des PAR</w:t>
      </w:r>
      <w:r w:rsidR="00AE6A14" w:rsidRPr="005A35D8">
        <w:rPr>
          <w:bCs/>
          <w:caps/>
          <w:kern w:val="32"/>
          <w:szCs w:val="32"/>
          <w:lang w:eastAsia="en-US"/>
        </w:rPr>
        <w:t>TIES PRENANTES</w:t>
      </w:r>
    </w:p>
    <w:p w:rsidR="000243E3" w:rsidRPr="005A35D8" w:rsidRDefault="00816745" w:rsidP="00816745">
      <w:pPr>
        <w:spacing w:before="120" w:after="120"/>
        <w:rPr>
          <w:rFonts w:eastAsia="Times New Roman"/>
          <w:u w:val="single"/>
          <w:lang w:eastAsia="en-US"/>
        </w:rPr>
      </w:pPr>
      <w:r w:rsidRPr="005A35D8">
        <w:rPr>
          <w:rFonts w:eastAsia="Times New Roman"/>
          <w:u w:val="single"/>
          <w:lang w:eastAsia="en-US"/>
        </w:rPr>
        <w:t>Directeur général</w:t>
      </w:r>
    </w:p>
    <w:p w:rsidR="000243E3" w:rsidRPr="005A35D8" w:rsidRDefault="006F3CA0" w:rsidP="00630448">
      <w:pPr>
        <w:pStyle w:val="ONUMFS"/>
        <w:rPr>
          <w:rFonts w:eastAsia="Times New Roman"/>
          <w:lang w:eastAsia="en-US"/>
        </w:rPr>
      </w:pPr>
      <w:r w:rsidRPr="005A35D8">
        <w:rPr>
          <w:rStyle w:val="hps"/>
        </w:rPr>
        <w:t>Le Directeur général</w:t>
      </w:r>
      <w:r w:rsidRPr="005A35D8">
        <w:t xml:space="preserve"> </w:t>
      </w:r>
      <w:r w:rsidR="004F547E" w:rsidRPr="005A35D8">
        <w:rPr>
          <w:rStyle w:val="hps"/>
        </w:rPr>
        <w:t>examine</w:t>
      </w:r>
      <w:r w:rsidRPr="005A35D8">
        <w:rPr>
          <w:rStyle w:val="hps"/>
        </w:rPr>
        <w:t xml:space="preserve"> </w:t>
      </w:r>
      <w:r w:rsidR="00084D15" w:rsidRPr="005A35D8">
        <w:rPr>
          <w:rStyle w:val="hps"/>
        </w:rPr>
        <w:t>les</w:t>
      </w:r>
      <w:r w:rsidRPr="005A35D8">
        <w:rPr>
          <w:rStyle w:val="hps"/>
        </w:rPr>
        <w:t xml:space="preserve"> rapports,</w:t>
      </w:r>
      <w:r w:rsidRPr="005A35D8">
        <w:t xml:space="preserve"> </w:t>
      </w:r>
      <w:r w:rsidRPr="005A35D8">
        <w:rPr>
          <w:rStyle w:val="hps"/>
        </w:rPr>
        <w:t>propositions et</w:t>
      </w:r>
      <w:r w:rsidRPr="005A35D8">
        <w:t xml:space="preserve"> </w:t>
      </w:r>
      <w:r w:rsidR="00084D15" w:rsidRPr="005A35D8">
        <w:rPr>
          <w:rStyle w:val="hps"/>
        </w:rPr>
        <w:t>recommandations présenté</w:t>
      </w:r>
      <w:r w:rsidRPr="005A35D8">
        <w:rPr>
          <w:rStyle w:val="hps"/>
        </w:rPr>
        <w:t>s par le</w:t>
      </w:r>
      <w:r w:rsidRPr="005A35D8">
        <w:t xml:space="preserve"> </w:t>
      </w:r>
      <w:r w:rsidRPr="005A35D8">
        <w:rPr>
          <w:rStyle w:val="hps"/>
        </w:rPr>
        <w:t>Comité</w:t>
      </w:r>
      <w:r w:rsidRPr="005A35D8">
        <w:t xml:space="preserve"> </w:t>
      </w:r>
      <w:r w:rsidRPr="005A35D8">
        <w:rPr>
          <w:rStyle w:val="hps"/>
        </w:rPr>
        <w:t xml:space="preserve">consultatif </w:t>
      </w:r>
      <w:r w:rsidR="00084D15" w:rsidRPr="005A35D8">
        <w:rPr>
          <w:rStyle w:val="hps"/>
        </w:rPr>
        <w:t>des investissements</w:t>
      </w:r>
      <w:r w:rsidR="00084D15" w:rsidRPr="005A35D8">
        <w:t xml:space="preserve"> afin de donner </w:t>
      </w:r>
      <w:r w:rsidR="00084D15" w:rsidRPr="005A35D8">
        <w:rPr>
          <w:rStyle w:val="hps"/>
        </w:rPr>
        <w:t>son approbation finale en la matière</w:t>
      </w:r>
      <w:r w:rsidR="00490611" w:rsidRPr="005A35D8">
        <w:rPr>
          <w:rFonts w:eastAsia="Times New Roman"/>
          <w:lang w:eastAsia="en-US"/>
        </w:rPr>
        <w:t>.</w:t>
      </w:r>
    </w:p>
    <w:p w:rsidR="000243E3" w:rsidRPr="005A35D8" w:rsidRDefault="006F3CA0" w:rsidP="00630448">
      <w:pPr>
        <w:pStyle w:val="ONUMFS"/>
        <w:rPr>
          <w:rFonts w:eastAsia="Times New Roman"/>
          <w:lang w:eastAsia="en-US"/>
        </w:rPr>
      </w:pPr>
      <w:r w:rsidRPr="005A35D8">
        <w:rPr>
          <w:rStyle w:val="hps"/>
        </w:rPr>
        <w:lastRenderedPageBreak/>
        <w:t>Conformément</w:t>
      </w:r>
      <w:r w:rsidRPr="005A35D8">
        <w:t xml:space="preserve"> </w:t>
      </w:r>
      <w:r w:rsidR="00084D15" w:rsidRPr="005A35D8">
        <w:t>aux articles 4.10 et </w:t>
      </w:r>
      <w:r w:rsidRPr="005A35D8">
        <w:t>4.11 du</w:t>
      </w:r>
      <w:r w:rsidRPr="005A35D8">
        <w:rPr>
          <w:rStyle w:val="hps"/>
        </w:rPr>
        <w:t xml:space="preserve"> Règlement financier</w:t>
      </w:r>
      <w:r w:rsidRPr="005A35D8">
        <w:t xml:space="preserve">, </w:t>
      </w:r>
      <w:r w:rsidRPr="005A35D8">
        <w:rPr>
          <w:rStyle w:val="hps"/>
        </w:rPr>
        <w:t>le Directeur général informe régulièrement</w:t>
      </w:r>
      <w:r w:rsidRPr="005A35D8">
        <w:t xml:space="preserve"> le </w:t>
      </w:r>
      <w:r w:rsidRPr="005A35D8">
        <w:rPr>
          <w:rStyle w:val="hps"/>
        </w:rPr>
        <w:t>Comité du programme et</w:t>
      </w:r>
      <w:r w:rsidRPr="005A35D8">
        <w:t xml:space="preserve"> </w:t>
      </w:r>
      <w:r w:rsidRPr="005A35D8">
        <w:rPr>
          <w:rStyle w:val="hps"/>
        </w:rPr>
        <w:t>budget (PBC</w:t>
      </w:r>
      <w:r w:rsidRPr="005A35D8">
        <w:t xml:space="preserve">) des </w:t>
      </w:r>
      <w:r w:rsidRPr="005A35D8">
        <w:rPr>
          <w:rStyle w:val="hps"/>
        </w:rPr>
        <w:t>placements</w:t>
      </w:r>
      <w:r w:rsidRPr="005A35D8">
        <w:t xml:space="preserve"> </w:t>
      </w:r>
      <w:r w:rsidRPr="005A35D8">
        <w:rPr>
          <w:rStyle w:val="hps"/>
        </w:rPr>
        <w:t>à court terme</w:t>
      </w:r>
      <w:r w:rsidRPr="005A35D8">
        <w:t xml:space="preserve"> </w:t>
      </w:r>
      <w:r w:rsidRPr="005A35D8">
        <w:rPr>
          <w:rStyle w:val="hps"/>
        </w:rPr>
        <w:t>et à long terme</w:t>
      </w:r>
      <w:r w:rsidR="00490611" w:rsidRPr="005A35D8">
        <w:rPr>
          <w:rFonts w:eastAsia="Times New Roman"/>
          <w:lang w:eastAsia="en-US"/>
        </w:rPr>
        <w:t>.</w:t>
      </w:r>
    </w:p>
    <w:p w:rsidR="000243E3" w:rsidRPr="005A35D8" w:rsidRDefault="006F3CA0" w:rsidP="00490611">
      <w:pPr>
        <w:rPr>
          <w:rFonts w:eastAsia="Times New Roman"/>
          <w:u w:val="single"/>
          <w:lang w:eastAsia="en-US"/>
        </w:rPr>
      </w:pPr>
      <w:r w:rsidRPr="005A35D8">
        <w:rPr>
          <w:rFonts w:eastAsia="Times New Roman"/>
          <w:u w:val="single"/>
          <w:lang w:eastAsia="en-US"/>
        </w:rPr>
        <w:t>Comité consultatif des investissements</w:t>
      </w:r>
    </w:p>
    <w:p w:rsidR="000243E3" w:rsidRPr="005A35D8" w:rsidRDefault="000243E3" w:rsidP="00490611">
      <w:pPr>
        <w:rPr>
          <w:rFonts w:eastAsia="Times New Roman"/>
          <w:u w:val="single"/>
          <w:lang w:eastAsia="en-US"/>
        </w:rPr>
      </w:pPr>
    </w:p>
    <w:p w:rsidR="000243E3" w:rsidRPr="005A35D8" w:rsidRDefault="004F547E" w:rsidP="00630448">
      <w:pPr>
        <w:pStyle w:val="ONUMFS"/>
        <w:rPr>
          <w:rFonts w:eastAsia="Times New Roman"/>
          <w:lang w:eastAsia="en-US"/>
        </w:rPr>
      </w:pPr>
      <w:r w:rsidRPr="005A35D8">
        <w:rPr>
          <w:rStyle w:val="hps"/>
        </w:rPr>
        <w:t>L</w:t>
      </w:r>
      <w:r w:rsidR="006F3CA0" w:rsidRPr="005A35D8">
        <w:rPr>
          <w:rStyle w:val="hps"/>
        </w:rPr>
        <w:t>e</w:t>
      </w:r>
      <w:r w:rsidR="00D16D73" w:rsidRPr="005A35D8">
        <w:rPr>
          <w:rStyle w:val="hps"/>
        </w:rPr>
        <w:t>s membres du</w:t>
      </w:r>
      <w:r w:rsidR="006F3CA0" w:rsidRPr="005A35D8">
        <w:rPr>
          <w:rStyle w:val="hps"/>
        </w:rPr>
        <w:t xml:space="preserve"> Comité </w:t>
      </w:r>
      <w:r w:rsidRPr="005A35D8">
        <w:rPr>
          <w:rStyle w:val="hps"/>
        </w:rPr>
        <w:t xml:space="preserve">consultatif des investissements </w:t>
      </w:r>
      <w:r w:rsidR="00D16D73" w:rsidRPr="005A35D8">
        <w:rPr>
          <w:rStyle w:val="hps"/>
        </w:rPr>
        <w:t>sont</w:t>
      </w:r>
      <w:r w:rsidR="006F3CA0" w:rsidRPr="005A35D8">
        <w:rPr>
          <w:rStyle w:val="hps"/>
        </w:rPr>
        <w:t xml:space="preserve"> nommés</w:t>
      </w:r>
      <w:r w:rsidR="006F3CA0" w:rsidRPr="005A35D8">
        <w:t xml:space="preserve"> </w:t>
      </w:r>
      <w:r w:rsidR="006F3CA0" w:rsidRPr="005A35D8">
        <w:rPr>
          <w:rStyle w:val="hps"/>
        </w:rPr>
        <w:t>par le Directeur général</w:t>
      </w:r>
      <w:r w:rsidR="006F3CA0" w:rsidRPr="005A35D8">
        <w:t xml:space="preserve">. </w:t>
      </w:r>
      <w:r w:rsidR="00084D15" w:rsidRPr="005A35D8">
        <w:t xml:space="preserve"> </w:t>
      </w:r>
      <w:r w:rsidR="006F3CA0" w:rsidRPr="005A35D8">
        <w:rPr>
          <w:rStyle w:val="hps"/>
        </w:rPr>
        <w:t>Un</w:t>
      </w:r>
      <w:r w:rsidR="006F3CA0" w:rsidRPr="005A35D8">
        <w:t xml:space="preserve"> </w:t>
      </w:r>
      <w:r w:rsidR="006F3CA0" w:rsidRPr="005A35D8">
        <w:rPr>
          <w:rStyle w:val="hps"/>
        </w:rPr>
        <w:t>ordre de service</w:t>
      </w:r>
      <w:r w:rsidR="006F3CA0" w:rsidRPr="005A35D8">
        <w:t xml:space="preserve"> </w:t>
      </w:r>
      <w:r w:rsidR="006F3CA0" w:rsidRPr="005A35D8">
        <w:rPr>
          <w:rStyle w:val="hps"/>
        </w:rPr>
        <w:t>établissant le</w:t>
      </w:r>
      <w:r w:rsidR="006F3CA0" w:rsidRPr="005A35D8">
        <w:t xml:space="preserve"> </w:t>
      </w:r>
      <w:r w:rsidR="00630448" w:rsidRPr="005A35D8">
        <w:rPr>
          <w:rStyle w:val="hps"/>
        </w:rPr>
        <w:t>c</w:t>
      </w:r>
      <w:r w:rsidR="006F3CA0" w:rsidRPr="005A35D8">
        <w:rPr>
          <w:rStyle w:val="hps"/>
        </w:rPr>
        <w:t>omité</w:t>
      </w:r>
      <w:r w:rsidR="006F3CA0" w:rsidRPr="005A35D8">
        <w:t xml:space="preserve"> </w:t>
      </w:r>
      <w:r w:rsidRPr="005A35D8">
        <w:rPr>
          <w:rStyle w:val="hps"/>
        </w:rPr>
        <w:t>est</w:t>
      </w:r>
      <w:r w:rsidR="006F3CA0" w:rsidRPr="005A35D8">
        <w:rPr>
          <w:rStyle w:val="hps"/>
        </w:rPr>
        <w:t xml:space="preserve"> émis</w:t>
      </w:r>
      <w:r w:rsidR="006F3CA0" w:rsidRPr="005A35D8">
        <w:t xml:space="preserve"> </w:t>
      </w:r>
      <w:r w:rsidR="006F3CA0" w:rsidRPr="005A35D8">
        <w:rPr>
          <w:rStyle w:val="hps"/>
        </w:rPr>
        <w:t>par le Directeur général</w:t>
      </w:r>
      <w:r w:rsidR="003B0FBE" w:rsidRPr="005A35D8">
        <w:rPr>
          <w:rFonts w:eastAsia="Times New Roman"/>
          <w:lang w:eastAsia="en-US"/>
        </w:rPr>
        <w:t>.</w:t>
      </w:r>
    </w:p>
    <w:p w:rsidR="000243E3" w:rsidRPr="005A35D8" w:rsidRDefault="006F3CA0" w:rsidP="00630448">
      <w:pPr>
        <w:pStyle w:val="ONUMFS"/>
        <w:rPr>
          <w:rFonts w:eastAsia="Times New Roman"/>
          <w:lang w:eastAsia="en-US"/>
        </w:rPr>
      </w:pPr>
      <w:r w:rsidRPr="005A35D8">
        <w:rPr>
          <w:rStyle w:val="hps"/>
        </w:rPr>
        <w:t>Ce</w:t>
      </w:r>
      <w:r w:rsidRPr="005A35D8">
        <w:t xml:space="preserve"> </w:t>
      </w:r>
      <w:r w:rsidR="00630448" w:rsidRPr="005A35D8">
        <w:rPr>
          <w:rStyle w:val="hps"/>
        </w:rPr>
        <w:t>c</w:t>
      </w:r>
      <w:r w:rsidRPr="005A35D8">
        <w:rPr>
          <w:rStyle w:val="hps"/>
        </w:rPr>
        <w:t>omité</w:t>
      </w:r>
      <w:r w:rsidRPr="005A35D8">
        <w:t xml:space="preserve"> </w:t>
      </w:r>
      <w:r w:rsidR="00E05753" w:rsidRPr="005A35D8">
        <w:rPr>
          <w:rStyle w:val="hps"/>
        </w:rPr>
        <w:t>joue le rôle de conseil auprès du</w:t>
      </w:r>
      <w:r w:rsidRPr="005A35D8">
        <w:rPr>
          <w:rStyle w:val="hps"/>
        </w:rPr>
        <w:t xml:space="preserve"> Directeur général</w:t>
      </w:r>
      <w:r w:rsidRPr="005A35D8">
        <w:t xml:space="preserve"> </w:t>
      </w:r>
      <w:r w:rsidR="00E05753" w:rsidRPr="005A35D8">
        <w:rPr>
          <w:rStyle w:val="hps"/>
        </w:rPr>
        <w:t>en ce qui concerne</w:t>
      </w:r>
      <w:r w:rsidRPr="005A35D8">
        <w:rPr>
          <w:rStyle w:val="hps"/>
        </w:rPr>
        <w:t xml:space="preserve"> </w:t>
      </w:r>
      <w:r w:rsidR="00E05753" w:rsidRPr="005A35D8">
        <w:rPr>
          <w:rStyle w:val="hps"/>
        </w:rPr>
        <w:t xml:space="preserve">les placements </w:t>
      </w:r>
      <w:r w:rsidRPr="005A35D8">
        <w:rPr>
          <w:rStyle w:val="hps"/>
        </w:rPr>
        <w:t>de l</w:t>
      </w:r>
      <w:r w:rsidR="00295456" w:rsidRPr="005A35D8">
        <w:rPr>
          <w:rStyle w:val="hps"/>
        </w:rPr>
        <w:t>’</w:t>
      </w:r>
      <w:r w:rsidRPr="005A35D8">
        <w:rPr>
          <w:rStyle w:val="hps"/>
        </w:rPr>
        <w:t>Organisation</w:t>
      </w:r>
      <w:r w:rsidRPr="005A35D8">
        <w:t>, conformément au chapitre</w:t>
      </w:r>
      <w:r w:rsidR="00085D20" w:rsidRPr="005A35D8">
        <w:t> </w:t>
      </w:r>
      <w:r w:rsidRPr="005A35D8">
        <w:rPr>
          <w:rStyle w:val="hps"/>
        </w:rPr>
        <w:t>4, section</w:t>
      </w:r>
      <w:r w:rsidR="00085D20" w:rsidRPr="005A35D8">
        <w:rPr>
          <w:rStyle w:val="hps"/>
        </w:rPr>
        <w:t> </w:t>
      </w:r>
      <w:r w:rsidRPr="005A35D8">
        <w:rPr>
          <w:rStyle w:val="hps"/>
        </w:rPr>
        <w:t xml:space="preserve">C du Règlement </w:t>
      </w:r>
      <w:r w:rsidR="00E05753" w:rsidRPr="005A35D8">
        <w:rPr>
          <w:rStyle w:val="hps"/>
        </w:rPr>
        <w:t>financier</w:t>
      </w:r>
      <w:r w:rsidR="00E05753" w:rsidRPr="005A35D8">
        <w:t xml:space="preserve"> </w:t>
      </w:r>
      <w:r w:rsidRPr="005A35D8">
        <w:rPr>
          <w:rStyle w:val="hps"/>
        </w:rPr>
        <w:t>et</w:t>
      </w:r>
      <w:r w:rsidRPr="005A35D8">
        <w:t xml:space="preserve"> </w:t>
      </w:r>
      <w:r w:rsidR="00E05753" w:rsidRPr="005A35D8">
        <w:rPr>
          <w:rStyle w:val="hps"/>
        </w:rPr>
        <w:t>de son règlement d</w:t>
      </w:r>
      <w:r w:rsidR="00295456" w:rsidRPr="005A35D8">
        <w:rPr>
          <w:rStyle w:val="hps"/>
        </w:rPr>
        <w:t>’</w:t>
      </w:r>
      <w:r w:rsidR="00E05753" w:rsidRPr="005A35D8">
        <w:rPr>
          <w:rStyle w:val="hps"/>
        </w:rPr>
        <w:t>exécution</w:t>
      </w:r>
      <w:r w:rsidRPr="005A35D8">
        <w:t xml:space="preserve">. </w:t>
      </w:r>
      <w:r w:rsidR="00E05753" w:rsidRPr="005A35D8">
        <w:t xml:space="preserve"> </w:t>
      </w:r>
      <w:r w:rsidR="00B57181" w:rsidRPr="005A35D8">
        <w:rPr>
          <w:rStyle w:val="hps"/>
        </w:rPr>
        <w:t>Ainsi, il peut émettre des avis sur</w:t>
      </w:r>
      <w:r w:rsidRPr="005A35D8">
        <w:t xml:space="preserve"> </w:t>
      </w:r>
      <w:r w:rsidRPr="005A35D8">
        <w:rPr>
          <w:rStyle w:val="hps"/>
        </w:rPr>
        <w:t>le contenu</w:t>
      </w:r>
      <w:r w:rsidRPr="005A35D8">
        <w:t xml:space="preserve"> </w:t>
      </w:r>
      <w:r w:rsidRPr="005A35D8">
        <w:rPr>
          <w:rStyle w:val="hps"/>
        </w:rPr>
        <w:t>de</w:t>
      </w:r>
      <w:r w:rsidRPr="005A35D8">
        <w:t xml:space="preserve"> </w:t>
      </w:r>
      <w:r w:rsidRPr="005A35D8">
        <w:rPr>
          <w:rStyle w:val="hps"/>
        </w:rPr>
        <w:t xml:space="preserve">la politique </w:t>
      </w:r>
      <w:r w:rsidR="00E05753" w:rsidRPr="005A35D8">
        <w:rPr>
          <w:rStyle w:val="hps"/>
        </w:rPr>
        <w:t>en matière de placements</w:t>
      </w:r>
      <w:r w:rsidRPr="005A35D8">
        <w:t xml:space="preserve">, la stratégie, </w:t>
      </w:r>
      <w:r w:rsidR="00B57181" w:rsidRPr="005A35D8">
        <w:rPr>
          <w:rStyle w:val="hps"/>
        </w:rPr>
        <w:t>la répartition des a</w:t>
      </w:r>
      <w:r w:rsidRPr="005A35D8">
        <w:rPr>
          <w:rStyle w:val="hps"/>
        </w:rPr>
        <w:t>ctifs</w:t>
      </w:r>
      <w:r w:rsidR="00E05753" w:rsidRPr="005A35D8">
        <w:t>, l</w:t>
      </w:r>
      <w:r w:rsidRPr="005A35D8">
        <w:t xml:space="preserve">es critères </w:t>
      </w:r>
      <w:r w:rsidRPr="005A35D8">
        <w:rPr>
          <w:rStyle w:val="hps"/>
        </w:rPr>
        <w:t>de performance appropriés</w:t>
      </w:r>
      <w:r w:rsidRPr="005A35D8">
        <w:t xml:space="preserve"> </w:t>
      </w:r>
      <w:r w:rsidRPr="005A35D8">
        <w:rPr>
          <w:rStyle w:val="hps"/>
        </w:rPr>
        <w:t>et</w:t>
      </w:r>
      <w:r w:rsidRPr="005A35D8">
        <w:t xml:space="preserve"> </w:t>
      </w:r>
      <w:r w:rsidR="00B57181" w:rsidRPr="005A35D8">
        <w:rPr>
          <w:rStyle w:val="hps"/>
        </w:rPr>
        <w:t>l</w:t>
      </w:r>
      <w:r w:rsidRPr="005A35D8">
        <w:rPr>
          <w:rStyle w:val="hps"/>
        </w:rPr>
        <w:t>es directives de placement</w:t>
      </w:r>
      <w:r w:rsidRPr="005A35D8">
        <w:t xml:space="preserve">. </w:t>
      </w:r>
      <w:r w:rsidR="00E05753" w:rsidRPr="005A35D8">
        <w:t xml:space="preserve"> </w:t>
      </w:r>
      <w:r w:rsidR="00E05753" w:rsidRPr="005A35D8">
        <w:rPr>
          <w:rStyle w:val="hps"/>
        </w:rPr>
        <w:t>Ses r</w:t>
      </w:r>
      <w:r w:rsidRPr="005A35D8">
        <w:rPr>
          <w:rStyle w:val="hps"/>
        </w:rPr>
        <w:t>esponsabilités</w:t>
      </w:r>
      <w:r w:rsidRPr="005A35D8">
        <w:t xml:space="preserve"> </w:t>
      </w:r>
      <w:r w:rsidRPr="005A35D8">
        <w:rPr>
          <w:rStyle w:val="hps"/>
        </w:rPr>
        <w:t>sont les suivant</w:t>
      </w:r>
      <w:r w:rsidR="00E05753" w:rsidRPr="005A35D8">
        <w:rPr>
          <w:rStyle w:val="hps"/>
        </w:rPr>
        <w:t>e</w:t>
      </w:r>
      <w:r w:rsidRPr="005A35D8">
        <w:rPr>
          <w:rStyle w:val="hps"/>
        </w:rPr>
        <w:t>s </w:t>
      </w:r>
      <w:r w:rsidR="00490611" w:rsidRPr="005A35D8">
        <w:rPr>
          <w:rStyle w:val="hps"/>
        </w:rPr>
        <w:t>:</w:t>
      </w:r>
    </w:p>
    <w:p w:rsidR="000243E3" w:rsidRPr="005A35D8" w:rsidRDefault="00816745" w:rsidP="0044721B">
      <w:pPr>
        <w:pStyle w:val="ListParagraph"/>
        <w:numPr>
          <w:ilvl w:val="0"/>
          <w:numId w:val="7"/>
        </w:numPr>
        <w:spacing w:before="120" w:after="120"/>
        <w:ind w:left="1134" w:hanging="567"/>
        <w:rPr>
          <w:bCs/>
          <w:szCs w:val="28"/>
          <w:lang w:eastAsia="en-US"/>
        </w:rPr>
      </w:pPr>
      <w:r w:rsidRPr="005A35D8">
        <w:rPr>
          <w:bCs/>
          <w:szCs w:val="28"/>
          <w:u w:val="single"/>
          <w:lang w:eastAsia="en-US"/>
        </w:rPr>
        <w:t>Exécution et suivi de la politique en matière de placements</w:t>
      </w:r>
    </w:p>
    <w:p w:rsidR="000243E3" w:rsidRPr="005A35D8" w:rsidRDefault="00D317BC" w:rsidP="00630448">
      <w:pPr>
        <w:pStyle w:val="ONUME"/>
        <w:spacing w:after="240"/>
        <w:ind w:left="1134"/>
        <w:rPr>
          <w:rFonts w:eastAsia="Times New Roman"/>
          <w:lang w:eastAsia="en-US"/>
        </w:rPr>
      </w:pPr>
      <w:r w:rsidRPr="005A35D8">
        <w:t xml:space="preserve">Le </w:t>
      </w:r>
      <w:r w:rsidR="003A1871" w:rsidRPr="005A35D8">
        <w:rPr>
          <w:rStyle w:val="hps"/>
        </w:rPr>
        <w:t xml:space="preserve">Comité consultatif des investissements </w:t>
      </w:r>
      <w:r w:rsidR="003A1871" w:rsidRPr="005A35D8">
        <w:t>est</w:t>
      </w:r>
      <w:r w:rsidRPr="005A35D8">
        <w:t xml:space="preserve"> chargé de superviser la mise en </w:t>
      </w:r>
      <w:r w:rsidRPr="005A35D8">
        <w:rPr>
          <w:rStyle w:val="hps"/>
        </w:rPr>
        <w:t xml:space="preserve">œuvre </w:t>
      </w:r>
      <w:r w:rsidR="003A1871" w:rsidRPr="005A35D8">
        <w:rPr>
          <w:rStyle w:val="hps"/>
        </w:rPr>
        <w:t xml:space="preserve">de la politique en matière de placements </w:t>
      </w:r>
      <w:r w:rsidRPr="005A35D8">
        <w:rPr>
          <w:rStyle w:val="hps"/>
        </w:rPr>
        <w:t xml:space="preserve">et de </w:t>
      </w:r>
      <w:r w:rsidR="003A1871" w:rsidRPr="005A35D8">
        <w:rPr>
          <w:rStyle w:val="hps"/>
        </w:rPr>
        <w:t>suivre</w:t>
      </w:r>
      <w:r w:rsidRPr="005A35D8">
        <w:t xml:space="preserve"> tous les aspects </w:t>
      </w:r>
      <w:r w:rsidR="003A1871" w:rsidRPr="005A35D8">
        <w:t xml:space="preserve">relatifs à la politique </w:t>
      </w:r>
      <w:r w:rsidR="003A1871" w:rsidRPr="005A35D8">
        <w:rPr>
          <w:rStyle w:val="hps"/>
        </w:rPr>
        <w:t>en matière de placements</w:t>
      </w:r>
      <w:r w:rsidRPr="005A35D8">
        <w:t xml:space="preserve">. </w:t>
      </w:r>
      <w:r w:rsidR="003A1871" w:rsidRPr="005A35D8">
        <w:t xml:space="preserve"> Les travaux qu</w:t>
      </w:r>
      <w:r w:rsidR="00295456" w:rsidRPr="005A35D8">
        <w:t>’</w:t>
      </w:r>
      <w:r w:rsidR="003A1871" w:rsidRPr="005A35D8">
        <w:t>il entreprend reposent sur les propositions, l</w:t>
      </w:r>
      <w:r w:rsidRPr="005A35D8">
        <w:t xml:space="preserve">es rapports </w:t>
      </w:r>
      <w:r w:rsidR="003A1871" w:rsidRPr="005A35D8">
        <w:t>et les</w:t>
      </w:r>
      <w:r w:rsidRPr="005A35D8">
        <w:t xml:space="preserve"> recher</w:t>
      </w:r>
      <w:r w:rsidR="003A1871" w:rsidRPr="005A35D8">
        <w:t xml:space="preserve">ches du </w:t>
      </w:r>
      <w:r w:rsidR="003674E3" w:rsidRPr="005A35D8">
        <w:t>trésorier</w:t>
      </w:r>
      <w:r w:rsidRPr="005A35D8">
        <w:t xml:space="preserve"> et </w:t>
      </w:r>
      <w:r w:rsidR="003A1871" w:rsidRPr="005A35D8">
        <w:t>aboutissent à</w:t>
      </w:r>
      <w:r w:rsidRPr="005A35D8">
        <w:t xml:space="preserve"> des recommandat</w:t>
      </w:r>
      <w:r w:rsidR="003674E3" w:rsidRPr="005A35D8">
        <w:t>ions du Comité consultatif des i</w:t>
      </w:r>
      <w:r w:rsidRPr="005A35D8">
        <w:t>nvestissements au Directeur général</w:t>
      </w:r>
      <w:r w:rsidR="00490611" w:rsidRPr="005A35D8">
        <w:rPr>
          <w:rFonts w:eastAsia="Times New Roman"/>
          <w:lang w:eastAsia="en-US"/>
        </w:rPr>
        <w:t>.</w:t>
      </w:r>
    </w:p>
    <w:p w:rsidR="000243E3" w:rsidRPr="005A35D8" w:rsidRDefault="00D317BC" w:rsidP="0044721B">
      <w:pPr>
        <w:pStyle w:val="ListParagraph"/>
        <w:numPr>
          <w:ilvl w:val="0"/>
          <w:numId w:val="7"/>
        </w:numPr>
        <w:spacing w:before="120" w:after="120"/>
        <w:ind w:left="1134" w:hanging="567"/>
        <w:rPr>
          <w:bCs/>
          <w:szCs w:val="28"/>
          <w:u w:val="single"/>
          <w:lang w:eastAsia="en-US"/>
        </w:rPr>
      </w:pPr>
      <w:r w:rsidRPr="005A35D8">
        <w:rPr>
          <w:bCs/>
          <w:szCs w:val="28"/>
          <w:u w:val="single"/>
          <w:lang w:eastAsia="en-US"/>
        </w:rPr>
        <w:t xml:space="preserve">Examen et </w:t>
      </w:r>
      <w:r w:rsidR="003674E3" w:rsidRPr="005A35D8">
        <w:rPr>
          <w:bCs/>
          <w:szCs w:val="28"/>
          <w:u w:val="single"/>
          <w:lang w:eastAsia="en-US"/>
        </w:rPr>
        <w:t>mise à jour</w:t>
      </w:r>
      <w:r w:rsidRPr="005A35D8">
        <w:rPr>
          <w:bCs/>
          <w:szCs w:val="28"/>
          <w:u w:val="single"/>
          <w:lang w:eastAsia="en-US"/>
        </w:rPr>
        <w:t xml:space="preserve"> de la</w:t>
      </w:r>
      <w:r w:rsidR="00490611" w:rsidRPr="005A35D8">
        <w:rPr>
          <w:bCs/>
          <w:szCs w:val="28"/>
          <w:u w:val="single"/>
          <w:lang w:eastAsia="en-US"/>
        </w:rPr>
        <w:t xml:space="preserve"> </w:t>
      </w:r>
      <w:r w:rsidRPr="005A35D8">
        <w:rPr>
          <w:bCs/>
          <w:szCs w:val="28"/>
          <w:u w:val="single"/>
          <w:lang w:eastAsia="en-US"/>
        </w:rPr>
        <w:t>politique en matière de placements</w:t>
      </w:r>
    </w:p>
    <w:p w:rsidR="000243E3" w:rsidRPr="005A35D8" w:rsidRDefault="00D317BC" w:rsidP="00630448">
      <w:pPr>
        <w:pStyle w:val="ONUME"/>
        <w:tabs>
          <w:tab w:val="left" w:pos="1170"/>
        </w:tabs>
        <w:spacing w:after="240"/>
        <w:ind w:left="1134"/>
        <w:rPr>
          <w:rFonts w:eastAsia="Times New Roman"/>
          <w:szCs w:val="22"/>
          <w:lang w:eastAsia="en-US"/>
        </w:rPr>
      </w:pPr>
      <w:r w:rsidRPr="005A35D8">
        <w:rPr>
          <w:rFonts w:eastAsia="Times New Roman"/>
          <w:lang w:eastAsia="en-US"/>
        </w:rPr>
        <w:t>La</w:t>
      </w:r>
      <w:r w:rsidR="00490611" w:rsidRPr="005A35D8">
        <w:rPr>
          <w:rFonts w:eastAsia="Times New Roman"/>
          <w:lang w:eastAsia="en-US"/>
        </w:rPr>
        <w:t xml:space="preserve"> </w:t>
      </w:r>
      <w:r w:rsidRPr="005A35D8">
        <w:rPr>
          <w:rFonts w:eastAsia="Times New Roman"/>
          <w:szCs w:val="22"/>
          <w:lang w:eastAsia="en-US"/>
        </w:rPr>
        <w:t>politique en matière de placements</w:t>
      </w:r>
      <w:r w:rsidR="00490611" w:rsidRPr="005A35D8">
        <w:rPr>
          <w:rFonts w:eastAsia="Times New Roman"/>
          <w:szCs w:val="22"/>
          <w:lang w:eastAsia="en-US"/>
        </w:rPr>
        <w:t xml:space="preserve"> </w:t>
      </w:r>
      <w:r w:rsidRPr="005A35D8">
        <w:rPr>
          <w:szCs w:val="22"/>
        </w:rPr>
        <w:t>est examinée chaque année</w:t>
      </w:r>
      <w:r w:rsidR="003674E3" w:rsidRPr="005A35D8">
        <w:rPr>
          <w:szCs w:val="22"/>
        </w:rPr>
        <w:t xml:space="preserve"> par le Comité consultatif des i</w:t>
      </w:r>
      <w:r w:rsidRPr="005A35D8">
        <w:rPr>
          <w:szCs w:val="22"/>
        </w:rPr>
        <w:t xml:space="preserve">nvestissements sur la base des recommandations de modifications </w:t>
      </w:r>
      <w:r w:rsidR="003674E3" w:rsidRPr="005A35D8">
        <w:rPr>
          <w:szCs w:val="22"/>
        </w:rPr>
        <w:t>o</w:t>
      </w:r>
      <w:r w:rsidRPr="005A35D8">
        <w:rPr>
          <w:szCs w:val="22"/>
        </w:rPr>
        <w:t xml:space="preserve">u </w:t>
      </w:r>
      <w:r w:rsidR="003674E3" w:rsidRPr="005A35D8">
        <w:rPr>
          <w:szCs w:val="22"/>
        </w:rPr>
        <w:t xml:space="preserve">de </w:t>
      </w:r>
      <w:r w:rsidRPr="005A35D8">
        <w:rPr>
          <w:szCs w:val="22"/>
        </w:rPr>
        <w:t xml:space="preserve">mises à jour </w:t>
      </w:r>
      <w:r w:rsidR="003674E3" w:rsidRPr="005A35D8">
        <w:rPr>
          <w:szCs w:val="22"/>
        </w:rPr>
        <w:t>transmises par le</w:t>
      </w:r>
      <w:r w:rsidRPr="005A35D8">
        <w:rPr>
          <w:szCs w:val="22"/>
        </w:rPr>
        <w:t xml:space="preserve"> contrôleur. </w:t>
      </w:r>
      <w:r w:rsidR="003674E3" w:rsidRPr="005A35D8">
        <w:rPr>
          <w:szCs w:val="22"/>
        </w:rPr>
        <w:t xml:space="preserve"> À la suite de cet</w:t>
      </w:r>
      <w:r w:rsidRPr="005A35D8">
        <w:rPr>
          <w:szCs w:val="22"/>
        </w:rPr>
        <w:t xml:space="preserve"> examen, les recommandations du Comité consultatif des </w:t>
      </w:r>
      <w:r w:rsidR="003674E3" w:rsidRPr="005A35D8">
        <w:rPr>
          <w:szCs w:val="22"/>
        </w:rPr>
        <w:t>i</w:t>
      </w:r>
      <w:r w:rsidRPr="005A35D8">
        <w:rPr>
          <w:szCs w:val="22"/>
        </w:rPr>
        <w:t xml:space="preserve">nvestissements </w:t>
      </w:r>
      <w:r w:rsidR="003674E3" w:rsidRPr="005A35D8">
        <w:rPr>
          <w:szCs w:val="22"/>
        </w:rPr>
        <w:t>sont soumises à l</w:t>
      </w:r>
      <w:r w:rsidR="00295456" w:rsidRPr="005A35D8">
        <w:rPr>
          <w:szCs w:val="22"/>
        </w:rPr>
        <w:t>’</w:t>
      </w:r>
      <w:r w:rsidR="003674E3" w:rsidRPr="005A35D8">
        <w:rPr>
          <w:szCs w:val="22"/>
        </w:rPr>
        <w:t>approbation du</w:t>
      </w:r>
      <w:r w:rsidRPr="005A35D8">
        <w:rPr>
          <w:szCs w:val="22"/>
        </w:rPr>
        <w:t xml:space="preserve"> Directeur général </w:t>
      </w:r>
      <w:r w:rsidR="003674E3" w:rsidRPr="005A35D8">
        <w:rPr>
          <w:szCs w:val="22"/>
        </w:rPr>
        <w:t>puis</w:t>
      </w:r>
      <w:r w:rsidRPr="005A35D8">
        <w:rPr>
          <w:szCs w:val="22"/>
        </w:rPr>
        <w:t xml:space="preserve"> </w:t>
      </w:r>
      <w:r w:rsidR="003674E3" w:rsidRPr="005A35D8">
        <w:rPr>
          <w:szCs w:val="22"/>
        </w:rPr>
        <w:t xml:space="preserve">à celle </w:t>
      </w:r>
      <w:r w:rsidRPr="005A35D8">
        <w:rPr>
          <w:szCs w:val="22"/>
        </w:rPr>
        <w:t>des États membres.</w:t>
      </w:r>
      <w:r w:rsidR="003674E3" w:rsidRPr="005A35D8">
        <w:rPr>
          <w:szCs w:val="22"/>
        </w:rPr>
        <w:t xml:space="preserve"> </w:t>
      </w:r>
      <w:r w:rsidRPr="005A35D8">
        <w:rPr>
          <w:szCs w:val="22"/>
        </w:rPr>
        <w:t xml:space="preserve"> </w:t>
      </w:r>
      <w:r w:rsidR="003674E3" w:rsidRPr="005A35D8">
        <w:rPr>
          <w:rFonts w:eastAsia="Times New Roman"/>
          <w:szCs w:val="22"/>
          <w:lang w:eastAsia="en-US"/>
        </w:rPr>
        <w:t>La politique en matière de placements peut être soumise à des</w:t>
      </w:r>
      <w:r w:rsidR="003674E3" w:rsidRPr="005A35D8">
        <w:rPr>
          <w:szCs w:val="22"/>
        </w:rPr>
        <w:t xml:space="preserve"> examens spéciaux</w:t>
      </w:r>
      <w:r w:rsidRPr="005A35D8">
        <w:rPr>
          <w:szCs w:val="22"/>
        </w:rPr>
        <w:t xml:space="preserve"> </w:t>
      </w:r>
      <w:r w:rsidR="003674E3" w:rsidRPr="005A35D8">
        <w:rPr>
          <w:szCs w:val="22"/>
        </w:rPr>
        <w:t xml:space="preserve">en raison de </w:t>
      </w:r>
      <w:r w:rsidRPr="005A35D8">
        <w:rPr>
          <w:szCs w:val="22"/>
        </w:rPr>
        <w:t>certaines conditions de marché ou d</w:t>
      </w:r>
      <w:r w:rsidR="00295456" w:rsidRPr="005A35D8">
        <w:rPr>
          <w:szCs w:val="22"/>
        </w:rPr>
        <w:t>’</w:t>
      </w:r>
      <w:r w:rsidRPr="005A35D8">
        <w:rPr>
          <w:szCs w:val="22"/>
        </w:rPr>
        <w:t>autres facteurs</w:t>
      </w:r>
      <w:r w:rsidR="00490611" w:rsidRPr="005A35D8">
        <w:rPr>
          <w:rFonts w:eastAsia="Times New Roman"/>
          <w:szCs w:val="22"/>
          <w:lang w:eastAsia="en-US"/>
        </w:rPr>
        <w:t>.</w:t>
      </w:r>
    </w:p>
    <w:p w:rsidR="000243E3" w:rsidRPr="005A35D8" w:rsidRDefault="00D317BC" w:rsidP="0044721B">
      <w:pPr>
        <w:pStyle w:val="ListParagraph"/>
        <w:numPr>
          <w:ilvl w:val="0"/>
          <w:numId w:val="7"/>
        </w:numPr>
        <w:spacing w:before="120" w:after="120"/>
        <w:ind w:left="1134" w:hanging="567"/>
        <w:rPr>
          <w:bCs/>
          <w:szCs w:val="28"/>
          <w:u w:val="single"/>
          <w:lang w:eastAsia="en-US"/>
        </w:rPr>
      </w:pPr>
      <w:r w:rsidRPr="005A35D8">
        <w:rPr>
          <w:u w:val="single"/>
        </w:rPr>
        <w:t xml:space="preserve">Engagement et </w:t>
      </w:r>
      <w:r w:rsidR="002D520D" w:rsidRPr="005A35D8">
        <w:rPr>
          <w:u w:val="single"/>
        </w:rPr>
        <w:t>renvoi</w:t>
      </w:r>
      <w:r w:rsidRPr="005A35D8">
        <w:rPr>
          <w:u w:val="single"/>
        </w:rPr>
        <w:t xml:space="preserve"> des gestionnaires de fonds extérieurs et </w:t>
      </w:r>
      <w:r w:rsidR="002D520D" w:rsidRPr="005A35D8">
        <w:rPr>
          <w:u w:val="single"/>
        </w:rPr>
        <w:t>du</w:t>
      </w:r>
      <w:r w:rsidRPr="005A35D8">
        <w:rPr>
          <w:u w:val="single"/>
        </w:rPr>
        <w:t xml:space="preserve"> dépositaire</w:t>
      </w:r>
    </w:p>
    <w:p w:rsidR="000243E3" w:rsidRPr="005A35D8" w:rsidRDefault="004F547E" w:rsidP="00630448">
      <w:pPr>
        <w:pStyle w:val="ONUME"/>
        <w:spacing w:after="0"/>
        <w:ind w:left="1134"/>
        <w:rPr>
          <w:rFonts w:eastAsia="Times New Roman"/>
          <w:lang w:eastAsia="en-US"/>
        </w:rPr>
      </w:pPr>
      <w:r w:rsidRPr="005A35D8">
        <w:rPr>
          <w:rStyle w:val="hps"/>
        </w:rPr>
        <w:t>Le Comité consultatif des investissements</w:t>
      </w:r>
      <w:r w:rsidR="00490611" w:rsidRPr="005A35D8">
        <w:rPr>
          <w:rFonts w:eastAsia="Times New Roman"/>
          <w:lang w:eastAsia="en-US"/>
        </w:rPr>
        <w:t xml:space="preserve">, </w:t>
      </w:r>
      <w:r w:rsidR="002D520D" w:rsidRPr="005A35D8">
        <w:t>sur approbation du D</w:t>
      </w:r>
      <w:r w:rsidR="00D317BC" w:rsidRPr="005A35D8">
        <w:t>irecteur général, est responsable de l</w:t>
      </w:r>
      <w:r w:rsidR="00295456" w:rsidRPr="005A35D8">
        <w:t>’</w:t>
      </w:r>
      <w:r w:rsidR="00D317BC" w:rsidRPr="005A35D8">
        <w:t xml:space="preserve">engagement et </w:t>
      </w:r>
      <w:r w:rsidR="002D520D" w:rsidRPr="005A35D8">
        <w:t>du renvoi</w:t>
      </w:r>
      <w:r w:rsidR="00D317BC" w:rsidRPr="005A35D8">
        <w:t xml:space="preserve"> des gestionnaires de fonds </w:t>
      </w:r>
      <w:r w:rsidR="002D520D" w:rsidRPr="005A35D8">
        <w:t>extérieurs</w:t>
      </w:r>
      <w:r w:rsidR="00D317BC" w:rsidRPr="005A35D8">
        <w:t xml:space="preserve"> et </w:t>
      </w:r>
      <w:r w:rsidR="002D520D" w:rsidRPr="005A35D8">
        <w:t>du dépositaire (défini au paragraphe </w:t>
      </w:r>
      <w:r w:rsidR="00D317BC" w:rsidRPr="005A35D8">
        <w:t>17</w:t>
      </w:r>
      <w:r w:rsidR="00795641" w:rsidRPr="005A35D8">
        <w:rPr>
          <w:rFonts w:eastAsia="Times New Roman"/>
          <w:lang w:eastAsia="en-US"/>
        </w:rPr>
        <w:t>)</w:t>
      </w:r>
      <w:r w:rsidR="00490611" w:rsidRPr="005A35D8">
        <w:rPr>
          <w:rFonts w:eastAsia="Times New Roman"/>
          <w:lang w:eastAsia="en-US"/>
        </w:rPr>
        <w:t>.</w:t>
      </w:r>
    </w:p>
    <w:p w:rsidR="000243E3" w:rsidRPr="005A35D8" w:rsidRDefault="000243E3" w:rsidP="00630448">
      <w:pPr>
        <w:ind w:left="1134"/>
        <w:contextualSpacing/>
        <w:rPr>
          <w:rFonts w:eastAsia="Times New Roman"/>
          <w:szCs w:val="22"/>
          <w:lang w:eastAsia="en-US"/>
        </w:rPr>
      </w:pPr>
    </w:p>
    <w:p w:rsidR="000243E3" w:rsidRPr="005A35D8" w:rsidRDefault="00D317BC" w:rsidP="00630448">
      <w:pPr>
        <w:pStyle w:val="ONUME"/>
        <w:spacing w:after="0"/>
        <w:ind w:left="1134"/>
        <w:rPr>
          <w:rFonts w:eastAsia="Times New Roman"/>
          <w:szCs w:val="22"/>
          <w:lang w:eastAsia="en-US"/>
        </w:rPr>
      </w:pPr>
      <w:r w:rsidRPr="005A35D8">
        <w:rPr>
          <w:szCs w:val="22"/>
        </w:rPr>
        <w:t xml:space="preserve">Pour la sélection des gestionnaires de fonds </w:t>
      </w:r>
      <w:r w:rsidR="00BE721D" w:rsidRPr="005A35D8">
        <w:rPr>
          <w:szCs w:val="22"/>
        </w:rPr>
        <w:t xml:space="preserve">extérieurs </w:t>
      </w:r>
      <w:r w:rsidRPr="005A35D8">
        <w:rPr>
          <w:szCs w:val="22"/>
        </w:rPr>
        <w:t xml:space="preserve">et </w:t>
      </w:r>
      <w:r w:rsidR="00BE721D" w:rsidRPr="005A35D8">
        <w:rPr>
          <w:szCs w:val="22"/>
        </w:rPr>
        <w:t>du</w:t>
      </w:r>
      <w:r w:rsidRPr="005A35D8">
        <w:rPr>
          <w:szCs w:val="22"/>
        </w:rPr>
        <w:t xml:space="preserve"> dépositaire, </w:t>
      </w:r>
      <w:r w:rsidR="00BE721D" w:rsidRPr="005A35D8">
        <w:rPr>
          <w:szCs w:val="22"/>
        </w:rPr>
        <w:t>un appel à</w:t>
      </w:r>
      <w:r w:rsidRPr="005A35D8">
        <w:rPr>
          <w:szCs w:val="22"/>
        </w:rPr>
        <w:t xml:space="preserve"> propositions </w:t>
      </w:r>
      <w:r w:rsidR="00BE721D" w:rsidRPr="005A35D8">
        <w:rPr>
          <w:szCs w:val="22"/>
        </w:rPr>
        <w:t>a lieu</w:t>
      </w:r>
      <w:r w:rsidRPr="005A35D8">
        <w:rPr>
          <w:szCs w:val="22"/>
        </w:rPr>
        <w:t xml:space="preserve"> </w:t>
      </w:r>
      <w:r w:rsidR="00AF49F2" w:rsidRPr="005A35D8">
        <w:rPr>
          <w:szCs w:val="22"/>
        </w:rPr>
        <w:t>conformément au</w:t>
      </w:r>
      <w:r w:rsidRPr="005A35D8">
        <w:rPr>
          <w:szCs w:val="22"/>
        </w:rPr>
        <w:t xml:space="preserve"> cadre </w:t>
      </w:r>
      <w:r w:rsidR="00AF49F2" w:rsidRPr="005A35D8">
        <w:rPr>
          <w:szCs w:val="22"/>
        </w:rPr>
        <w:t>institutionnel applicable aux achats</w:t>
      </w:r>
      <w:r w:rsidRPr="005A35D8">
        <w:rPr>
          <w:szCs w:val="22"/>
        </w:rPr>
        <w:t xml:space="preserve">. </w:t>
      </w:r>
      <w:r w:rsidR="00BE721D" w:rsidRPr="005A35D8">
        <w:rPr>
          <w:szCs w:val="22"/>
        </w:rPr>
        <w:t xml:space="preserve"> </w:t>
      </w:r>
      <w:r w:rsidRPr="005A35D8">
        <w:rPr>
          <w:szCs w:val="22"/>
        </w:rPr>
        <w:t>L</w:t>
      </w:r>
      <w:r w:rsidR="00295456" w:rsidRPr="005A35D8">
        <w:rPr>
          <w:szCs w:val="22"/>
        </w:rPr>
        <w:t>’</w:t>
      </w:r>
      <w:r w:rsidRPr="005A35D8">
        <w:rPr>
          <w:szCs w:val="22"/>
        </w:rPr>
        <w:t xml:space="preserve">évaluation des </w:t>
      </w:r>
      <w:r w:rsidR="00DB4F1F" w:rsidRPr="005A35D8">
        <w:rPr>
          <w:szCs w:val="22"/>
        </w:rPr>
        <w:t>propositions reçues ainsi que l</w:t>
      </w:r>
      <w:r w:rsidRPr="005A35D8">
        <w:rPr>
          <w:szCs w:val="22"/>
        </w:rPr>
        <w:t xml:space="preserve">es recommandations </w:t>
      </w:r>
      <w:r w:rsidR="00DB4F1F" w:rsidRPr="005A35D8">
        <w:rPr>
          <w:szCs w:val="22"/>
        </w:rPr>
        <w:t>y afférentes</w:t>
      </w:r>
      <w:r w:rsidRPr="005A35D8">
        <w:rPr>
          <w:szCs w:val="22"/>
        </w:rPr>
        <w:t xml:space="preserve"> </w:t>
      </w:r>
      <w:r w:rsidR="00DB4F1F" w:rsidRPr="005A35D8">
        <w:rPr>
          <w:szCs w:val="22"/>
        </w:rPr>
        <w:t>sont</w:t>
      </w:r>
      <w:r w:rsidR="00BE721D" w:rsidRPr="005A35D8">
        <w:rPr>
          <w:szCs w:val="22"/>
        </w:rPr>
        <w:t xml:space="preserve"> soumis</w:t>
      </w:r>
      <w:r w:rsidR="00DB4F1F" w:rsidRPr="005A35D8">
        <w:rPr>
          <w:szCs w:val="22"/>
        </w:rPr>
        <w:t>es</w:t>
      </w:r>
      <w:r w:rsidR="00BE721D" w:rsidRPr="005A35D8">
        <w:rPr>
          <w:szCs w:val="22"/>
        </w:rPr>
        <w:t xml:space="preserve"> au Comité consultatif des investissements pour </w:t>
      </w:r>
      <w:r w:rsidRPr="005A35D8">
        <w:rPr>
          <w:szCs w:val="22"/>
        </w:rPr>
        <w:t>examen final</w:t>
      </w:r>
      <w:r w:rsidR="00490611" w:rsidRPr="005A35D8">
        <w:rPr>
          <w:rFonts w:eastAsia="Times New Roman"/>
          <w:szCs w:val="22"/>
          <w:lang w:eastAsia="en-US"/>
        </w:rPr>
        <w:t>.</w:t>
      </w:r>
    </w:p>
    <w:p w:rsidR="000243E3" w:rsidRPr="005A35D8" w:rsidRDefault="000243E3" w:rsidP="00630448">
      <w:pPr>
        <w:ind w:left="1134"/>
        <w:contextualSpacing/>
        <w:rPr>
          <w:rFonts w:eastAsia="Times New Roman"/>
          <w:szCs w:val="22"/>
          <w:lang w:eastAsia="en-US"/>
        </w:rPr>
      </w:pPr>
    </w:p>
    <w:p w:rsidR="000243E3" w:rsidRPr="005A35D8" w:rsidRDefault="00D317BC" w:rsidP="00630448">
      <w:pPr>
        <w:pStyle w:val="ONUME"/>
        <w:spacing w:after="0"/>
        <w:ind w:left="1134"/>
        <w:rPr>
          <w:rFonts w:eastAsia="Times New Roman"/>
          <w:szCs w:val="22"/>
          <w:lang w:eastAsia="en-US"/>
        </w:rPr>
      </w:pPr>
      <w:r w:rsidRPr="005A35D8">
        <w:rPr>
          <w:szCs w:val="22"/>
        </w:rPr>
        <w:t xml:space="preserve">Les gestionnaires de fonds extérieurs doivent remplir les conditions initiales suivantes </w:t>
      </w:r>
      <w:r w:rsidR="00DB4F1F" w:rsidRPr="005A35D8">
        <w:rPr>
          <w:szCs w:val="22"/>
        </w:rPr>
        <w:t>pour</w:t>
      </w:r>
      <w:r w:rsidR="00BE721D" w:rsidRPr="005A35D8">
        <w:rPr>
          <w:szCs w:val="22"/>
        </w:rPr>
        <w:t xml:space="preserve"> </w:t>
      </w:r>
      <w:r w:rsidR="00DB4F1F" w:rsidRPr="005A35D8">
        <w:rPr>
          <w:szCs w:val="22"/>
        </w:rPr>
        <w:t>accéder au</w:t>
      </w:r>
      <w:r w:rsidRPr="005A35D8">
        <w:rPr>
          <w:szCs w:val="22"/>
        </w:rPr>
        <w:t xml:space="preserve"> processus de sélection </w:t>
      </w:r>
      <w:r w:rsidR="00490611" w:rsidRPr="005A35D8">
        <w:rPr>
          <w:rFonts w:eastAsia="Times New Roman"/>
          <w:szCs w:val="22"/>
          <w:lang w:eastAsia="en-US"/>
        </w:rPr>
        <w:t>:</w:t>
      </w:r>
    </w:p>
    <w:p w:rsidR="000243E3" w:rsidRPr="005A35D8" w:rsidRDefault="000243E3" w:rsidP="00630448">
      <w:pPr>
        <w:ind w:left="1134"/>
        <w:rPr>
          <w:rFonts w:eastAsia="Times New Roman"/>
          <w:szCs w:val="22"/>
          <w:lang w:eastAsia="en-US"/>
        </w:rPr>
      </w:pPr>
    </w:p>
    <w:p w:rsidR="000243E3" w:rsidRPr="005A35D8" w:rsidRDefault="004223C1" w:rsidP="0044721B">
      <w:pPr>
        <w:pStyle w:val="ONUME"/>
        <w:numPr>
          <w:ilvl w:val="0"/>
          <w:numId w:val="4"/>
        </w:numPr>
        <w:tabs>
          <w:tab w:val="left" w:pos="1980"/>
        </w:tabs>
        <w:spacing w:after="0"/>
        <w:ind w:left="1710" w:hanging="540"/>
        <w:rPr>
          <w:rFonts w:eastAsia="Times New Roman"/>
          <w:szCs w:val="22"/>
          <w:lang w:eastAsia="en-US"/>
        </w:rPr>
      </w:pPr>
      <w:r w:rsidRPr="005A35D8">
        <w:rPr>
          <w:szCs w:val="22"/>
        </w:rPr>
        <w:t xml:space="preserve">Le gestionnaire doit se conformer à la législation et la réglementation </w:t>
      </w:r>
      <w:r w:rsidR="00B07510" w:rsidRPr="005A35D8">
        <w:rPr>
          <w:szCs w:val="22"/>
        </w:rPr>
        <w:t>en vigueur</w:t>
      </w:r>
      <w:r w:rsidRPr="005A35D8">
        <w:rPr>
          <w:szCs w:val="22"/>
        </w:rPr>
        <w:t xml:space="preserve"> dans le pays concerné en matière de services financiers, </w:t>
      </w:r>
      <w:r w:rsidR="00295456" w:rsidRPr="005A35D8">
        <w:rPr>
          <w:szCs w:val="22"/>
        </w:rPr>
        <w:t>y compris</w:t>
      </w:r>
      <w:r w:rsidRPr="005A35D8">
        <w:rPr>
          <w:szCs w:val="22"/>
        </w:rPr>
        <w:t xml:space="preserve"> </w:t>
      </w:r>
      <w:r w:rsidR="00B07510" w:rsidRPr="005A35D8">
        <w:rPr>
          <w:szCs w:val="22"/>
        </w:rPr>
        <w:t xml:space="preserve">à </w:t>
      </w:r>
      <w:r w:rsidRPr="005A35D8">
        <w:rPr>
          <w:szCs w:val="22"/>
        </w:rPr>
        <w:t>l</w:t>
      </w:r>
      <w:r w:rsidR="00295456" w:rsidRPr="005A35D8">
        <w:rPr>
          <w:szCs w:val="22"/>
        </w:rPr>
        <w:t>’</w:t>
      </w:r>
      <w:r w:rsidRPr="005A35D8">
        <w:rPr>
          <w:szCs w:val="22"/>
        </w:rPr>
        <w:t>autorité de l</w:t>
      </w:r>
      <w:r w:rsidR="00295456" w:rsidRPr="005A35D8">
        <w:rPr>
          <w:szCs w:val="22"/>
        </w:rPr>
        <w:t>’</w:t>
      </w:r>
      <w:r w:rsidRPr="005A35D8">
        <w:rPr>
          <w:szCs w:val="22"/>
        </w:rPr>
        <w:t>organisme de réglementation compétent</w:t>
      </w:r>
      <w:r w:rsidR="00490611" w:rsidRPr="005A35D8">
        <w:rPr>
          <w:rFonts w:eastAsia="Times New Roman"/>
          <w:szCs w:val="22"/>
          <w:lang w:eastAsia="en-US"/>
        </w:rPr>
        <w:t>;</w:t>
      </w:r>
    </w:p>
    <w:p w:rsidR="000243E3" w:rsidRPr="005A35D8" w:rsidRDefault="000243E3" w:rsidP="00A379C0">
      <w:pPr>
        <w:tabs>
          <w:tab w:val="left" w:pos="1980"/>
        </w:tabs>
        <w:ind w:left="1710" w:hanging="540"/>
        <w:rPr>
          <w:rFonts w:eastAsia="Times New Roman"/>
          <w:szCs w:val="22"/>
          <w:lang w:eastAsia="en-US"/>
        </w:rPr>
      </w:pPr>
    </w:p>
    <w:p w:rsidR="000243E3" w:rsidRPr="005A35D8" w:rsidRDefault="004223C1" w:rsidP="0044721B">
      <w:pPr>
        <w:pStyle w:val="ONUME"/>
        <w:numPr>
          <w:ilvl w:val="0"/>
          <w:numId w:val="4"/>
        </w:numPr>
        <w:tabs>
          <w:tab w:val="left" w:pos="1980"/>
        </w:tabs>
        <w:spacing w:after="0"/>
        <w:ind w:left="1710" w:hanging="540"/>
        <w:rPr>
          <w:rFonts w:eastAsia="Times New Roman"/>
          <w:szCs w:val="22"/>
          <w:lang w:eastAsia="en-US"/>
        </w:rPr>
      </w:pPr>
      <w:r w:rsidRPr="005A35D8">
        <w:rPr>
          <w:szCs w:val="22"/>
        </w:rPr>
        <w:lastRenderedPageBreak/>
        <w:t>Le gestionnaire doit s</w:t>
      </w:r>
      <w:r w:rsidR="00295456" w:rsidRPr="005A35D8">
        <w:rPr>
          <w:szCs w:val="22"/>
        </w:rPr>
        <w:t>’</w:t>
      </w:r>
      <w:r w:rsidRPr="005A35D8">
        <w:rPr>
          <w:szCs w:val="22"/>
        </w:rPr>
        <w:t xml:space="preserve">efforcer de se conformer aux </w:t>
      </w:r>
      <w:r w:rsidR="00B07510" w:rsidRPr="005A35D8">
        <w:rPr>
          <w:szCs w:val="22"/>
        </w:rPr>
        <w:t>normes</w:t>
      </w:r>
      <w:r w:rsidR="00085D20" w:rsidRPr="005A35D8">
        <w:rPr>
          <w:szCs w:val="22"/>
        </w:rPr>
        <w:t> </w:t>
      </w:r>
      <w:r w:rsidRPr="005A35D8">
        <w:rPr>
          <w:szCs w:val="22"/>
        </w:rPr>
        <w:t>GIPS</w:t>
      </w:r>
      <w:r w:rsidR="00B07510" w:rsidRPr="005A35D8">
        <w:rPr>
          <w:szCs w:val="22"/>
        </w:rPr>
        <w:t xml:space="preserve"> (ou Normes internationales de présentation des performances)</w:t>
      </w:r>
      <w:r w:rsidR="00490611" w:rsidRPr="005A35D8">
        <w:rPr>
          <w:rFonts w:eastAsia="Times New Roman"/>
          <w:szCs w:val="22"/>
          <w:vertAlign w:val="superscript"/>
          <w:lang w:eastAsia="en-US"/>
        </w:rPr>
        <w:footnoteReference w:id="2"/>
      </w:r>
      <w:r w:rsidR="00490611" w:rsidRPr="005A35D8">
        <w:rPr>
          <w:rFonts w:eastAsia="Times New Roman"/>
          <w:szCs w:val="22"/>
          <w:lang w:eastAsia="en-US"/>
        </w:rPr>
        <w:t xml:space="preserve"> </w:t>
      </w:r>
      <w:r w:rsidRPr="005A35D8">
        <w:rPr>
          <w:szCs w:val="22"/>
        </w:rPr>
        <w:t xml:space="preserve">et de fournir </w:t>
      </w:r>
      <w:r w:rsidR="00B07510" w:rsidRPr="005A35D8">
        <w:rPr>
          <w:szCs w:val="22"/>
        </w:rPr>
        <w:t xml:space="preserve">au minimum </w:t>
      </w:r>
      <w:r w:rsidRPr="005A35D8">
        <w:rPr>
          <w:szCs w:val="22"/>
        </w:rPr>
        <w:t xml:space="preserve">des </w:t>
      </w:r>
      <w:r w:rsidR="00C31461" w:rsidRPr="005A35D8">
        <w:rPr>
          <w:szCs w:val="22"/>
        </w:rPr>
        <w:t>historiques trimestriel</w:t>
      </w:r>
      <w:r w:rsidR="00B07510" w:rsidRPr="005A35D8">
        <w:rPr>
          <w:szCs w:val="22"/>
        </w:rPr>
        <w:t xml:space="preserve">s </w:t>
      </w:r>
      <w:r w:rsidR="00C31461" w:rsidRPr="005A35D8">
        <w:rPr>
          <w:szCs w:val="22"/>
        </w:rPr>
        <w:t>de</w:t>
      </w:r>
      <w:r w:rsidR="00B07510" w:rsidRPr="005A35D8">
        <w:rPr>
          <w:szCs w:val="22"/>
        </w:rPr>
        <w:t xml:space="preserve"> performances</w:t>
      </w:r>
      <w:r w:rsidRPr="005A35D8">
        <w:rPr>
          <w:szCs w:val="22"/>
        </w:rPr>
        <w:t xml:space="preserve">, </w:t>
      </w:r>
      <w:r w:rsidR="00C31461" w:rsidRPr="005A35D8">
        <w:rPr>
          <w:szCs w:val="22"/>
        </w:rPr>
        <w:t xml:space="preserve">lesquelles sont </w:t>
      </w:r>
      <w:r w:rsidR="00B07510" w:rsidRPr="005A35D8">
        <w:rPr>
          <w:szCs w:val="22"/>
        </w:rPr>
        <w:t xml:space="preserve">déclarées nettes et brutes </w:t>
      </w:r>
      <w:r w:rsidRPr="005A35D8">
        <w:rPr>
          <w:szCs w:val="22"/>
        </w:rPr>
        <w:t xml:space="preserve">des </w:t>
      </w:r>
      <w:r w:rsidR="00FA486D" w:rsidRPr="005A35D8">
        <w:rPr>
          <w:szCs w:val="22"/>
        </w:rPr>
        <w:t>honoraires</w:t>
      </w:r>
      <w:r w:rsidR="00490611" w:rsidRPr="005A35D8">
        <w:rPr>
          <w:rFonts w:eastAsia="Times New Roman"/>
          <w:szCs w:val="22"/>
          <w:lang w:eastAsia="en-US"/>
        </w:rPr>
        <w:t>;</w:t>
      </w:r>
    </w:p>
    <w:p w:rsidR="000243E3" w:rsidRPr="005A35D8" w:rsidRDefault="000243E3" w:rsidP="00A379C0">
      <w:pPr>
        <w:tabs>
          <w:tab w:val="left" w:pos="1980"/>
        </w:tabs>
        <w:ind w:left="1710" w:hanging="540"/>
        <w:contextualSpacing/>
        <w:rPr>
          <w:rFonts w:eastAsia="Times New Roman"/>
          <w:szCs w:val="22"/>
          <w:lang w:eastAsia="en-US"/>
        </w:rPr>
      </w:pPr>
    </w:p>
    <w:p w:rsidR="000243E3" w:rsidRPr="005A35D8" w:rsidRDefault="004223C1" w:rsidP="0044721B">
      <w:pPr>
        <w:pStyle w:val="ONUME"/>
        <w:numPr>
          <w:ilvl w:val="0"/>
          <w:numId w:val="4"/>
        </w:numPr>
        <w:tabs>
          <w:tab w:val="left" w:pos="1980"/>
        </w:tabs>
        <w:spacing w:after="0"/>
        <w:ind w:left="1710" w:hanging="540"/>
        <w:rPr>
          <w:rFonts w:eastAsia="Times New Roman"/>
          <w:szCs w:val="22"/>
          <w:lang w:eastAsia="en-US"/>
        </w:rPr>
      </w:pPr>
      <w:r w:rsidRPr="005A35D8">
        <w:rPr>
          <w:szCs w:val="22"/>
        </w:rPr>
        <w:t>Le gestionnaire doit fournir des informations détaillées su</w:t>
      </w:r>
      <w:r w:rsidR="00FA486D" w:rsidRPr="005A35D8">
        <w:rPr>
          <w:szCs w:val="22"/>
        </w:rPr>
        <w:t>r l</w:t>
      </w:r>
      <w:r w:rsidR="00295456" w:rsidRPr="005A35D8">
        <w:rPr>
          <w:szCs w:val="22"/>
        </w:rPr>
        <w:t>’</w:t>
      </w:r>
      <w:r w:rsidR="00FA486D" w:rsidRPr="005A35D8">
        <w:rPr>
          <w:szCs w:val="22"/>
        </w:rPr>
        <w:t>histoire de l</w:t>
      </w:r>
      <w:r w:rsidR="00295456" w:rsidRPr="005A35D8">
        <w:rPr>
          <w:szCs w:val="22"/>
        </w:rPr>
        <w:t>’</w:t>
      </w:r>
      <w:r w:rsidR="00FA486D" w:rsidRPr="005A35D8">
        <w:rPr>
          <w:szCs w:val="22"/>
        </w:rPr>
        <w:t>entreprise, ses principaux membres du</w:t>
      </w:r>
      <w:r w:rsidRPr="005A35D8">
        <w:rPr>
          <w:szCs w:val="22"/>
        </w:rPr>
        <w:t xml:space="preserve"> personnel, </w:t>
      </w:r>
      <w:r w:rsidR="00FA486D" w:rsidRPr="005A35D8">
        <w:rPr>
          <w:szCs w:val="22"/>
        </w:rPr>
        <w:t>s</w:t>
      </w:r>
      <w:r w:rsidRPr="005A35D8">
        <w:rPr>
          <w:szCs w:val="22"/>
        </w:rPr>
        <w:t xml:space="preserve">es </w:t>
      </w:r>
      <w:r w:rsidR="00FA486D" w:rsidRPr="005A35D8">
        <w:rPr>
          <w:szCs w:val="22"/>
        </w:rPr>
        <w:t xml:space="preserve">principaux </w:t>
      </w:r>
      <w:r w:rsidRPr="005A35D8">
        <w:rPr>
          <w:szCs w:val="22"/>
        </w:rPr>
        <w:t xml:space="preserve">clients, </w:t>
      </w:r>
      <w:r w:rsidR="00FA486D" w:rsidRPr="005A35D8">
        <w:rPr>
          <w:szCs w:val="22"/>
        </w:rPr>
        <w:t xml:space="preserve">son </w:t>
      </w:r>
      <w:r w:rsidRPr="005A35D8">
        <w:rPr>
          <w:szCs w:val="22"/>
        </w:rPr>
        <w:t xml:space="preserve">barème </w:t>
      </w:r>
      <w:r w:rsidR="00FA486D" w:rsidRPr="005A35D8">
        <w:rPr>
          <w:szCs w:val="22"/>
        </w:rPr>
        <w:t>d</w:t>
      </w:r>
      <w:r w:rsidR="00295456" w:rsidRPr="005A35D8">
        <w:rPr>
          <w:szCs w:val="22"/>
        </w:rPr>
        <w:t>’</w:t>
      </w:r>
      <w:r w:rsidR="00FA486D" w:rsidRPr="005A35D8">
        <w:rPr>
          <w:szCs w:val="22"/>
        </w:rPr>
        <w:t>honoraires</w:t>
      </w:r>
      <w:r w:rsidRPr="005A35D8">
        <w:rPr>
          <w:szCs w:val="22"/>
        </w:rPr>
        <w:t xml:space="preserve"> et </w:t>
      </w:r>
      <w:r w:rsidR="00FA486D" w:rsidRPr="005A35D8">
        <w:rPr>
          <w:szCs w:val="22"/>
        </w:rPr>
        <w:t>son</w:t>
      </w:r>
      <w:r w:rsidRPr="005A35D8">
        <w:rPr>
          <w:szCs w:val="22"/>
        </w:rPr>
        <w:t xml:space="preserve"> personnel de soutien</w:t>
      </w:r>
      <w:r w:rsidR="00490611" w:rsidRPr="005A35D8">
        <w:rPr>
          <w:rFonts w:eastAsia="Times New Roman"/>
          <w:szCs w:val="22"/>
          <w:lang w:eastAsia="en-US"/>
        </w:rPr>
        <w:t>;</w:t>
      </w:r>
    </w:p>
    <w:p w:rsidR="000243E3" w:rsidRPr="005A35D8" w:rsidRDefault="000243E3" w:rsidP="00A379C0">
      <w:pPr>
        <w:tabs>
          <w:tab w:val="left" w:pos="1980"/>
        </w:tabs>
        <w:ind w:left="1710" w:hanging="540"/>
        <w:contextualSpacing/>
        <w:rPr>
          <w:rFonts w:eastAsia="Times New Roman"/>
          <w:szCs w:val="22"/>
          <w:lang w:eastAsia="en-US"/>
        </w:rPr>
      </w:pPr>
    </w:p>
    <w:p w:rsidR="000243E3" w:rsidRPr="005A35D8" w:rsidRDefault="004223C1" w:rsidP="0044721B">
      <w:pPr>
        <w:pStyle w:val="ONUME"/>
        <w:numPr>
          <w:ilvl w:val="0"/>
          <w:numId w:val="4"/>
        </w:numPr>
        <w:tabs>
          <w:tab w:val="left" w:pos="1134"/>
          <w:tab w:val="left" w:pos="1980"/>
        </w:tabs>
        <w:spacing w:after="0"/>
        <w:ind w:left="1710" w:hanging="540"/>
        <w:rPr>
          <w:rFonts w:eastAsia="Times New Roman"/>
          <w:szCs w:val="22"/>
          <w:lang w:eastAsia="en-US"/>
        </w:rPr>
      </w:pPr>
      <w:r w:rsidRPr="005A35D8">
        <w:rPr>
          <w:szCs w:val="22"/>
        </w:rPr>
        <w:t xml:space="preserve">Le gestionnaire doit </w:t>
      </w:r>
      <w:r w:rsidR="00FA486D" w:rsidRPr="005A35D8">
        <w:rPr>
          <w:szCs w:val="22"/>
        </w:rPr>
        <w:t>expliciter</w:t>
      </w:r>
      <w:r w:rsidRPr="005A35D8">
        <w:rPr>
          <w:szCs w:val="22"/>
        </w:rPr>
        <w:t xml:space="preserve"> la stratégie qui sera </w:t>
      </w:r>
      <w:r w:rsidR="00FA486D" w:rsidRPr="005A35D8">
        <w:rPr>
          <w:szCs w:val="22"/>
        </w:rPr>
        <w:t>adoptée</w:t>
      </w:r>
      <w:r w:rsidRPr="005A35D8">
        <w:rPr>
          <w:szCs w:val="22"/>
        </w:rPr>
        <w:t xml:space="preserve"> </w:t>
      </w:r>
      <w:r w:rsidR="00FA486D" w:rsidRPr="005A35D8">
        <w:rPr>
          <w:szCs w:val="22"/>
        </w:rPr>
        <w:t xml:space="preserve">en matière de placements </w:t>
      </w:r>
      <w:r w:rsidRPr="005A35D8">
        <w:rPr>
          <w:szCs w:val="22"/>
        </w:rPr>
        <w:t xml:space="preserve">et </w:t>
      </w:r>
      <w:r w:rsidR="00FA486D" w:rsidRPr="005A35D8">
        <w:rPr>
          <w:szCs w:val="22"/>
        </w:rPr>
        <w:t>démontrer</w:t>
      </w:r>
      <w:r w:rsidRPr="005A35D8">
        <w:rPr>
          <w:szCs w:val="22"/>
        </w:rPr>
        <w:t xml:space="preserve"> que la stratégie </w:t>
      </w:r>
      <w:r w:rsidR="00FA486D" w:rsidRPr="005A35D8">
        <w:rPr>
          <w:szCs w:val="22"/>
        </w:rPr>
        <w:t xml:space="preserve">adoptée </w:t>
      </w:r>
      <w:r w:rsidRPr="005A35D8">
        <w:rPr>
          <w:szCs w:val="22"/>
        </w:rPr>
        <w:t>a été respectée au fil du temps</w:t>
      </w:r>
      <w:r w:rsidR="00490611" w:rsidRPr="005A35D8">
        <w:rPr>
          <w:rFonts w:eastAsia="Times New Roman"/>
          <w:szCs w:val="22"/>
          <w:lang w:eastAsia="en-US"/>
        </w:rPr>
        <w:t>.</w:t>
      </w:r>
    </w:p>
    <w:p w:rsidR="000243E3" w:rsidRPr="005A35D8" w:rsidRDefault="000243E3" w:rsidP="00630448">
      <w:pPr>
        <w:ind w:left="1134"/>
        <w:rPr>
          <w:rFonts w:eastAsia="Times New Roman"/>
          <w:szCs w:val="22"/>
          <w:lang w:eastAsia="en-US"/>
        </w:rPr>
      </w:pPr>
    </w:p>
    <w:p w:rsidR="000243E3" w:rsidRPr="005A35D8" w:rsidRDefault="004223C1" w:rsidP="00630448">
      <w:pPr>
        <w:pStyle w:val="ONUME"/>
        <w:spacing w:after="0"/>
        <w:ind w:left="1134"/>
        <w:rPr>
          <w:rFonts w:eastAsia="Times New Roman"/>
          <w:szCs w:val="22"/>
          <w:lang w:eastAsia="en-US"/>
        </w:rPr>
      </w:pPr>
      <w:r w:rsidRPr="005A35D8">
        <w:rPr>
          <w:szCs w:val="22"/>
        </w:rPr>
        <w:t xml:space="preserve">Les gestionnaires de fonds </w:t>
      </w:r>
      <w:r w:rsidR="00FA486D" w:rsidRPr="005A35D8">
        <w:rPr>
          <w:szCs w:val="22"/>
        </w:rPr>
        <w:t>extérieurs</w:t>
      </w:r>
      <w:r w:rsidRPr="005A35D8">
        <w:rPr>
          <w:szCs w:val="22"/>
        </w:rPr>
        <w:t xml:space="preserve"> sélectionnés sont </w:t>
      </w:r>
      <w:r w:rsidR="00FA486D" w:rsidRPr="005A35D8">
        <w:rPr>
          <w:szCs w:val="22"/>
        </w:rPr>
        <w:t>officiellement</w:t>
      </w:r>
      <w:r w:rsidRPr="005A35D8">
        <w:rPr>
          <w:szCs w:val="22"/>
        </w:rPr>
        <w:t xml:space="preserve"> engagés </w:t>
      </w:r>
      <w:r w:rsidR="00FA486D" w:rsidRPr="005A35D8">
        <w:rPr>
          <w:szCs w:val="22"/>
        </w:rPr>
        <w:t>à compter de</w:t>
      </w:r>
      <w:r w:rsidRPr="005A35D8">
        <w:rPr>
          <w:szCs w:val="22"/>
        </w:rPr>
        <w:t xml:space="preserve"> la signature de leurs contrats de gestion de placements.</w:t>
      </w:r>
      <w:r w:rsidR="00FA486D" w:rsidRPr="005A35D8">
        <w:rPr>
          <w:szCs w:val="22"/>
        </w:rPr>
        <w:t xml:space="preserve"> </w:t>
      </w:r>
      <w:r w:rsidRPr="005A35D8">
        <w:rPr>
          <w:szCs w:val="22"/>
        </w:rPr>
        <w:t xml:space="preserve"> </w:t>
      </w:r>
      <w:r w:rsidR="00413759" w:rsidRPr="005A35D8">
        <w:rPr>
          <w:szCs w:val="22"/>
        </w:rPr>
        <w:t>Ces</w:t>
      </w:r>
      <w:r w:rsidRPr="005A35D8">
        <w:rPr>
          <w:szCs w:val="22"/>
        </w:rPr>
        <w:t xml:space="preserve"> contrats décrivent en détail les responsabilités des gestionnaires de fonds</w:t>
      </w:r>
      <w:r w:rsidR="00490611" w:rsidRPr="005A35D8">
        <w:rPr>
          <w:rFonts w:eastAsia="Times New Roman"/>
          <w:szCs w:val="22"/>
          <w:vertAlign w:val="superscript"/>
          <w:lang w:eastAsia="en-US"/>
        </w:rPr>
        <w:footnoteReference w:id="3"/>
      </w:r>
      <w:r w:rsidR="00490611" w:rsidRPr="005A35D8">
        <w:rPr>
          <w:rFonts w:eastAsia="Times New Roman"/>
          <w:szCs w:val="22"/>
          <w:lang w:eastAsia="en-US"/>
        </w:rPr>
        <w:t xml:space="preserve">.  </w:t>
      </w:r>
      <w:r w:rsidR="00413759" w:rsidRPr="005A35D8">
        <w:rPr>
          <w:szCs w:val="22"/>
        </w:rPr>
        <w:t>Sur recommandation du Comité consultatif des investissements, lesdits</w:t>
      </w:r>
      <w:r w:rsidRPr="005A35D8">
        <w:rPr>
          <w:szCs w:val="22"/>
        </w:rPr>
        <w:t xml:space="preserve"> contrats </w:t>
      </w:r>
      <w:r w:rsidR="00413759" w:rsidRPr="005A35D8">
        <w:rPr>
          <w:szCs w:val="22"/>
        </w:rPr>
        <w:t xml:space="preserve">sont signés </w:t>
      </w:r>
      <w:r w:rsidRPr="005A35D8">
        <w:rPr>
          <w:szCs w:val="22"/>
        </w:rPr>
        <w:t>au nom de l</w:t>
      </w:r>
      <w:r w:rsidR="00295456" w:rsidRPr="005A35D8">
        <w:rPr>
          <w:szCs w:val="22"/>
        </w:rPr>
        <w:t>’</w:t>
      </w:r>
      <w:r w:rsidRPr="005A35D8">
        <w:rPr>
          <w:szCs w:val="22"/>
        </w:rPr>
        <w:t xml:space="preserve">OMPI conformément </w:t>
      </w:r>
      <w:r w:rsidR="00413759" w:rsidRPr="005A35D8">
        <w:rPr>
          <w:szCs w:val="22"/>
        </w:rPr>
        <w:t>au</w:t>
      </w:r>
      <w:r w:rsidRPr="005A35D8">
        <w:rPr>
          <w:szCs w:val="22"/>
        </w:rPr>
        <w:t xml:space="preserve"> </w:t>
      </w:r>
      <w:r w:rsidR="00413759" w:rsidRPr="005A35D8">
        <w:rPr>
          <w:szCs w:val="22"/>
        </w:rPr>
        <w:t>cadre institutionnel applicable aux achats</w:t>
      </w:r>
      <w:r w:rsidR="00490611" w:rsidRPr="005A35D8">
        <w:rPr>
          <w:rFonts w:eastAsia="Times New Roman"/>
          <w:szCs w:val="22"/>
          <w:lang w:eastAsia="en-US"/>
        </w:rPr>
        <w:t>.</w:t>
      </w:r>
    </w:p>
    <w:p w:rsidR="000243E3" w:rsidRPr="005A35D8" w:rsidRDefault="000243E3" w:rsidP="00630448">
      <w:pPr>
        <w:pStyle w:val="ONUME"/>
        <w:spacing w:after="0"/>
        <w:ind w:left="1134"/>
        <w:rPr>
          <w:rFonts w:eastAsia="Times New Roman"/>
          <w:szCs w:val="22"/>
          <w:lang w:eastAsia="en-US"/>
        </w:rPr>
      </w:pPr>
    </w:p>
    <w:p w:rsidR="000243E3" w:rsidRPr="005A35D8" w:rsidRDefault="004223C1" w:rsidP="0044721B">
      <w:pPr>
        <w:pStyle w:val="ONUME"/>
        <w:numPr>
          <w:ilvl w:val="0"/>
          <w:numId w:val="7"/>
        </w:numPr>
        <w:spacing w:after="0"/>
        <w:ind w:left="1134" w:hanging="567"/>
        <w:rPr>
          <w:bCs/>
          <w:szCs w:val="22"/>
          <w:u w:val="single"/>
          <w:lang w:eastAsia="en-US"/>
        </w:rPr>
      </w:pPr>
      <w:r w:rsidRPr="005A35D8">
        <w:rPr>
          <w:szCs w:val="22"/>
          <w:u w:val="single"/>
        </w:rPr>
        <w:t>Suivi des gestionnaires de fonds extérieurs et du dépositaire</w:t>
      </w:r>
    </w:p>
    <w:p w:rsidR="000243E3" w:rsidRPr="005A35D8" w:rsidRDefault="000243E3" w:rsidP="00630448">
      <w:pPr>
        <w:pStyle w:val="ONUME"/>
        <w:spacing w:after="0"/>
        <w:ind w:left="1134"/>
        <w:rPr>
          <w:rFonts w:eastAsia="Times New Roman"/>
          <w:szCs w:val="22"/>
          <w:lang w:eastAsia="en-US"/>
        </w:rPr>
      </w:pPr>
    </w:p>
    <w:p w:rsidR="000243E3" w:rsidRPr="005A35D8" w:rsidRDefault="00413759" w:rsidP="00630448">
      <w:pPr>
        <w:pStyle w:val="ONUME"/>
        <w:spacing w:after="0"/>
        <w:ind w:left="1134"/>
        <w:rPr>
          <w:rFonts w:eastAsia="Times New Roman"/>
          <w:szCs w:val="22"/>
          <w:lang w:eastAsia="en-US"/>
        </w:rPr>
      </w:pPr>
      <w:r w:rsidRPr="005A35D8">
        <w:rPr>
          <w:szCs w:val="22"/>
        </w:rPr>
        <w:t>Le Comité consultatif des investissements, qui relève du Directeur général, veille</w:t>
      </w:r>
      <w:r w:rsidR="004223C1" w:rsidRPr="005A35D8">
        <w:rPr>
          <w:szCs w:val="22"/>
        </w:rPr>
        <w:t xml:space="preserve"> à ce que les gestionnaires d</w:t>
      </w:r>
      <w:r w:rsidR="004D331E" w:rsidRPr="005A35D8">
        <w:rPr>
          <w:szCs w:val="22"/>
        </w:rPr>
        <w:t>e fonds nommés remplissent leur</w:t>
      </w:r>
      <w:r w:rsidR="004223C1" w:rsidRPr="005A35D8">
        <w:rPr>
          <w:szCs w:val="22"/>
        </w:rPr>
        <w:t xml:space="preserve"> mandat </w:t>
      </w:r>
      <w:r w:rsidR="004D331E" w:rsidRPr="005A35D8">
        <w:rPr>
          <w:szCs w:val="22"/>
        </w:rPr>
        <w:t>selon</w:t>
      </w:r>
      <w:r w:rsidR="004223C1" w:rsidRPr="005A35D8">
        <w:rPr>
          <w:szCs w:val="22"/>
        </w:rPr>
        <w:t xml:space="preserve"> les obligations contractuelles énoncées dans le contrat de gestion </w:t>
      </w:r>
      <w:r w:rsidR="004D331E" w:rsidRPr="005A35D8">
        <w:rPr>
          <w:szCs w:val="22"/>
        </w:rPr>
        <w:t>de placements</w:t>
      </w:r>
      <w:r w:rsidR="004223C1" w:rsidRPr="005A35D8">
        <w:rPr>
          <w:szCs w:val="22"/>
        </w:rPr>
        <w:t xml:space="preserve"> </w:t>
      </w:r>
      <w:r w:rsidR="004D331E" w:rsidRPr="005A35D8">
        <w:rPr>
          <w:szCs w:val="22"/>
        </w:rPr>
        <w:t>concerné</w:t>
      </w:r>
      <w:r w:rsidR="004223C1" w:rsidRPr="005A35D8">
        <w:rPr>
          <w:szCs w:val="22"/>
        </w:rPr>
        <w:t xml:space="preserve">, </w:t>
      </w:r>
      <w:r w:rsidR="00295456" w:rsidRPr="005A35D8">
        <w:rPr>
          <w:szCs w:val="22"/>
        </w:rPr>
        <w:t>y compris</w:t>
      </w:r>
      <w:r w:rsidR="004D331E" w:rsidRPr="005A35D8">
        <w:rPr>
          <w:szCs w:val="22"/>
        </w:rPr>
        <w:t xml:space="preserve"> dans </w:t>
      </w:r>
      <w:r w:rsidR="004223C1" w:rsidRPr="005A35D8">
        <w:rPr>
          <w:szCs w:val="22"/>
        </w:rPr>
        <w:t xml:space="preserve">les directives de placement </w:t>
      </w:r>
      <w:r w:rsidRPr="005A35D8">
        <w:rPr>
          <w:szCs w:val="22"/>
        </w:rPr>
        <w:t>figurant</w:t>
      </w:r>
      <w:r w:rsidR="004223C1" w:rsidRPr="005A35D8">
        <w:rPr>
          <w:szCs w:val="22"/>
        </w:rPr>
        <w:t xml:space="preserve"> dans chaque contrat. </w:t>
      </w:r>
      <w:r w:rsidRPr="005A35D8">
        <w:rPr>
          <w:szCs w:val="22"/>
        </w:rPr>
        <w:t xml:space="preserve"> </w:t>
      </w:r>
      <w:r w:rsidR="004223C1" w:rsidRPr="005A35D8">
        <w:rPr>
          <w:szCs w:val="22"/>
        </w:rPr>
        <w:t xml:space="preserve">Ce travail se fera sur la base des rapports trimestriels </w:t>
      </w:r>
      <w:r w:rsidRPr="005A35D8">
        <w:rPr>
          <w:szCs w:val="22"/>
        </w:rPr>
        <w:t xml:space="preserve">envoyés par le Trésorier concernant les performances </w:t>
      </w:r>
      <w:r w:rsidR="004223C1" w:rsidRPr="005A35D8">
        <w:rPr>
          <w:szCs w:val="22"/>
        </w:rPr>
        <w:t xml:space="preserve">des gestionnaires de fonds </w:t>
      </w:r>
      <w:r w:rsidRPr="005A35D8">
        <w:rPr>
          <w:szCs w:val="22"/>
        </w:rPr>
        <w:t xml:space="preserve">extérieurs </w:t>
      </w:r>
      <w:r w:rsidR="004223C1" w:rsidRPr="005A35D8">
        <w:rPr>
          <w:szCs w:val="22"/>
        </w:rPr>
        <w:t xml:space="preserve">par rapport aux </w:t>
      </w:r>
      <w:r w:rsidRPr="005A35D8">
        <w:rPr>
          <w:szCs w:val="22"/>
        </w:rPr>
        <w:t>critères de performance</w:t>
      </w:r>
      <w:r w:rsidR="004D331E" w:rsidRPr="005A35D8">
        <w:rPr>
          <w:szCs w:val="22"/>
        </w:rPr>
        <w:t xml:space="preserve"> et </w:t>
      </w:r>
      <w:r w:rsidR="004223C1" w:rsidRPr="005A35D8">
        <w:rPr>
          <w:szCs w:val="22"/>
        </w:rPr>
        <w:t xml:space="preserve">autres indicateurs de performance et </w:t>
      </w:r>
      <w:r w:rsidR="004D331E" w:rsidRPr="005A35D8">
        <w:rPr>
          <w:szCs w:val="22"/>
        </w:rPr>
        <w:t>sur la base des</w:t>
      </w:r>
      <w:r w:rsidR="004223C1" w:rsidRPr="005A35D8">
        <w:rPr>
          <w:szCs w:val="22"/>
        </w:rPr>
        <w:t xml:space="preserve"> statistiques de performance et de risque fournies par le dépositaire. </w:t>
      </w:r>
      <w:r w:rsidRPr="005A35D8">
        <w:rPr>
          <w:szCs w:val="22"/>
        </w:rPr>
        <w:t xml:space="preserve"> </w:t>
      </w:r>
      <w:r w:rsidR="004223C1" w:rsidRPr="005A35D8">
        <w:rPr>
          <w:szCs w:val="22"/>
        </w:rPr>
        <w:t>Le</w:t>
      </w:r>
      <w:r w:rsidRPr="005A35D8">
        <w:rPr>
          <w:szCs w:val="22"/>
        </w:rPr>
        <w:t xml:space="preserve"> Comité consultatif des investissements entreprend</w:t>
      </w:r>
      <w:r w:rsidR="004223C1" w:rsidRPr="005A35D8">
        <w:rPr>
          <w:szCs w:val="22"/>
        </w:rPr>
        <w:t xml:space="preserve"> un examen trimestriel </w:t>
      </w:r>
      <w:r w:rsidR="004D331E" w:rsidRPr="005A35D8">
        <w:rPr>
          <w:szCs w:val="22"/>
        </w:rPr>
        <w:t xml:space="preserve">(ou spécial, au besoin) </w:t>
      </w:r>
      <w:r w:rsidR="004223C1" w:rsidRPr="005A35D8">
        <w:rPr>
          <w:szCs w:val="22"/>
        </w:rPr>
        <w:t>de</w:t>
      </w:r>
      <w:r w:rsidRPr="005A35D8">
        <w:rPr>
          <w:szCs w:val="22"/>
        </w:rPr>
        <w:t>s</w:t>
      </w:r>
      <w:r w:rsidR="004223C1" w:rsidRPr="005A35D8">
        <w:rPr>
          <w:szCs w:val="22"/>
        </w:rPr>
        <w:t xml:space="preserve"> stratégies </w:t>
      </w:r>
      <w:r w:rsidRPr="005A35D8">
        <w:rPr>
          <w:szCs w:val="22"/>
        </w:rPr>
        <w:t>en matière de placements</w:t>
      </w:r>
      <w:r w:rsidR="004223C1" w:rsidRPr="005A35D8">
        <w:rPr>
          <w:szCs w:val="22"/>
        </w:rPr>
        <w:t xml:space="preserve"> </w:t>
      </w:r>
      <w:r w:rsidRPr="005A35D8">
        <w:rPr>
          <w:szCs w:val="22"/>
        </w:rPr>
        <w:t>et tient</w:t>
      </w:r>
      <w:r w:rsidR="004223C1" w:rsidRPr="005A35D8">
        <w:rPr>
          <w:szCs w:val="22"/>
        </w:rPr>
        <w:t xml:space="preserve"> </w:t>
      </w:r>
      <w:r w:rsidR="004D331E" w:rsidRPr="005A35D8">
        <w:rPr>
          <w:szCs w:val="22"/>
        </w:rPr>
        <w:t xml:space="preserve">régulièrement </w:t>
      </w:r>
      <w:r w:rsidR="004223C1" w:rsidRPr="005A35D8">
        <w:rPr>
          <w:szCs w:val="22"/>
        </w:rPr>
        <w:t>des réunions d</w:t>
      </w:r>
      <w:r w:rsidR="00295456" w:rsidRPr="005A35D8">
        <w:rPr>
          <w:szCs w:val="22"/>
        </w:rPr>
        <w:t>’</w:t>
      </w:r>
      <w:r w:rsidR="004223C1" w:rsidRPr="005A35D8">
        <w:rPr>
          <w:szCs w:val="22"/>
        </w:rPr>
        <w:t xml:space="preserve">examen avec les gestionnaires de fonds </w:t>
      </w:r>
      <w:r w:rsidRPr="005A35D8">
        <w:rPr>
          <w:szCs w:val="22"/>
        </w:rPr>
        <w:t>extérieurs</w:t>
      </w:r>
      <w:r w:rsidR="004223C1" w:rsidRPr="005A35D8">
        <w:rPr>
          <w:szCs w:val="22"/>
        </w:rPr>
        <w:t xml:space="preserve"> et d</w:t>
      </w:r>
      <w:r w:rsidR="00295456" w:rsidRPr="005A35D8">
        <w:rPr>
          <w:szCs w:val="22"/>
        </w:rPr>
        <w:t>’</w:t>
      </w:r>
      <w:r w:rsidR="004223C1" w:rsidRPr="005A35D8">
        <w:rPr>
          <w:szCs w:val="22"/>
        </w:rPr>
        <w:t xml:space="preserve">autres </w:t>
      </w:r>
      <w:r w:rsidRPr="005A35D8">
        <w:rPr>
          <w:szCs w:val="22"/>
        </w:rPr>
        <w:t>prestataires</w:t>
      </w:r>
      <w:r w:rsidR="004223C1" w:rsidRPr="005A35D8">
        <w:rPr>
          <w:szCs w:val="22"/>
        </w:rPr>
        <w:t xml:space="preserve"> de services</w:t>
      </w:r>
      <w:r w:rsidR="00490611" w:rsidRPr="005A35D8">
        <w:rPr>
          <w:rFonts w:eastAsia="Times New Roman"/>
          <w:szCs w:val="22"/>
          <w:lang w:eastAsia="en-US"/>
        </w:rPr>
        <w:t>.</w:t>
      </w:r>
    </w:p>
    <w:p w:rsidR="000243E3" w:rsidRPr="005A35D8" w:rsidRDefault="000243E3" w:rsidP="00630448">
      <w:pPr>
        <w:ind w:left="1134"/>
        <w:contextualSpacing/>
        <w:rPr>
          <w:rFonts w:eastAsia="Times New Roman"/>
          <w:szCs w:val="22"/>
          <w:lang w:eastAsia="en-US"/>
        </w:rPr>
      </w:pPr>
    </w:p>
    <w:p w:rsidR="000243E3" w:rsidRPr="005A35D8" w:rsidRDefault="00413759" w:rsidP="00630448">
      <w:pPr>
        <w:pStyle w:val="ONUME"/>
        <w:spacing w:after="0"/>
        <w:ind w:left="1134"/>
        <w:rPr>
          <w:rFonts w:eastAsia="Times New Roman"/>
          <w:szCs w:val="22"/>
          <w:lang w:eastAsia="en-US"/>
        </w:rPr>
      </w:pPr>
      <w:r w:rsidRPr="005A35D8">
        <w:rPr>
          <w:szCs w:val="22"/>
        </w:rPr>
        <w:t>S</w:t>
      </w:r>
      <w:r w:rsidR="00295456" w:rsidRPr="005A35D8">
        <w:rPr>
          <w:szCs w:val="22"/>
        </w:rPr>
        <w:t>’</w:t>
      </w:r>
      <w:r w:rsidRPr="005A35D8">
        <w:rPr>
          <w:szCs w:val="22"/>
        </w:rPr>
        <w:t>agissant au</w:t>
      </w:r>
      <w:r w:rsidR="004223C1" w:rsidRPr="005A35D8">
        <w:rPr>
          <w:szCs w:val="22"/>
        </w:rPr>
        <w:t xml:space="preserve"> déposita</w:t>
      </w:r>
      <w:r w:rsidRPr="005A35D8">
        <w:rPr>
          <w:szCs w:val="22"/>
        </w:rPr>
        <w:t>ire, le Comité consultatif des i</w:t>
      </w:r>
      <w:r w:rsidR="004223C1" w:rsidRPr="005A35D8">
        <w:rPr>
          <w:szCs w:val="22"/>
        </w:rPr>
        <w:t xml:space="preserve">nvestissements, sur la base des rapports </w:t>
      </w:r>
      <w:r w:rsidRPr="005A35D8">
        <w:rPr>
          <w:szCs w:val="22"/>
        </w:rPr>
        <w:t>envoyés par le Trésorier</w:t>
      </w:r>
      <w:r w:rsidR="004223C1" w:rsidRPr="005A35D8">
        <w:rPr>
          <w:szCs w:val="22"/>
        </w:rPr>
        <w:t xml:space="preserve"> et de</w:t>
      </w:r>
      <w:r w:rsidRPr="005A35D8">
        <w:rPr>
          <w:szCs w:val="22"/>
        </w:rPr>
        <w:t>s rapports au D</w:t>
      </w:r>
      <w:r w:rsidR="004223C1" w:rsidRPr="005A35D8">
        <w:rPr>
          <w:szCs w:val="22"/>
        </w:rPr>
        <w:t xml:space="preserve">irecteur général, </w:t>
      </w:r>
      <w:r w:rsidRPr="005A35D8">
        <w:rPr>
          <w:szCs w:val="22"/>
        </w:rPr>
        <w:t>se charge des aspects suivants</w:t>
      </w:r>
      <w:r w:rsidR="004223C1" w:rsidRPr="005A35D8">
        <w:rPr>
          <w:szCs w:val="22"/>
        </w:rPr>
        <w:t> </w:t>
      </w:r>
      <w:r w:rsidR="00490611" w:rsidRPr="005A35D8">
        <w:rPr>
          <w:rFonts w:eastAsia="Times New Roman"/>
          <w:szCs w:val="22"/>
          <w:lang w:eastAsia="en-US"/>
        </w:rPr>
        <w:t>:</w:t>
      </w:r>
    </w:p>
    <w:p w:rsidR="000243E3" w:rsidRPr="005A35D8" w:rsidRDefault="000243E3" w:rsidP="00630448">
      <w:pPr>
        <w:ind w:left="1134"/>
        <w:rPr>
          <w:rFonts w:eastAsia="Times New Roman"/>
          <w:szCs w:val="22"/>
          <w:lang w:eastAsia="en-US"/>
        </w:rPr>
      </w:pPr>
    </w:p>
    <w:p w:rsidR="000243E3" w:rsidRPr="005A35D8" w:rsidRDefault="004223C1" w:rsidP="0044721B">
      <w:pPr>
        <w:pStyle w:val="ONUME"/>
        <w:numPr>
          <w:ilvl w:val="0"/>
          <w:numId w:val="10"/>
        </w:numPr>
        <w:spacing w:after="0"/>
        <w:ind w:left="1710" w:hanging="540"/>
        <w:rPr>
          <w:rFonts w:eastAsia="Times New Roman"/>
          <w:szCs w:val="22"/>
          <w:lang w:eastAsia="en-US"/>
        </w:rPr>
      </w:pPr>
      <w:r w:rsidRPr="005A35D8">
        <w:rPr>
          <w:szCs w:val="22"/>
        </w:rPr>
        <w:t>adhésion à l</w:t>
      </w:r>
      <w:r w:rsidR="00295456" w:rsidRPr="005A35D8">
        <w:rPr>
          <w:szCs w:val="22"/>
        </w:rPr>
        <w:t>’</w:t>
      </w:r>
      <w:r w:rsidRPr="005A35D8">
        <w:rPr>
          <w:szCs w:val="22"/>
        </w:rPr>
        <w:t>accord</w:t>
      </w:r>
      <w:r w:rsidR="00D14880" w:rsidRPr="005A35D8">
        <w:rPr>
          <w:szCs w:val="22"/>
        </w:rPr>
        <w:noBreakHyphen/>
      </w:r>
      <w:r w:rsidRPr="005A35D8">
        <w:rPr>
          <w:szCs w:val="22"/>
        </w:rPr>
        <w:t>cadre de garde</w:t>
      </w:r>
      <w:r w:rsidR="008D3E23" w:rsidRPr="005A35D8">
        <w:rPr>
          <w:rStyle w:val="FootnoteReference"/>
          <w:rFonts w:eastAsia="Times New Roman"/>
          <w:szCs w:val="22"/>
          <w:lang w:eastAsia="en-US"/>
        </w:rPr>
        <w:footnoteReference w:id="4"/>
      </w:r>
      <w:r w:rsidR="00490611" w:rsidRPr="005A35D8">
        <w:rPr>
          <w:rFonts w:eastAsia="Times New Roman"/>
          <w:szCs w:val="22"/>
          <w:lang w:eastAsia="en-US"/>
        </w:rPr>
        <w:t>;</w:t>
      </w:r>
    </w:p>
    <w:p w:rsidR="000243E3" w:rsidRPr="005A35D8" w:rsidRDefault="000243E3" w:rsidP="00630448">
      <w:pPr>
        <w:ind w:left="1134"/>
        <w:rPr>
          <w:rFonts w:eastAsia="Times New Roman"/>
          <w:szCs w:val="22"/>
          <w:lang w:eastAsia="en-US"/>
        </w:rPr>
      </w:pPr>
    </w:p>
    <w:p w:rsidR="000243E3" w:rsidRPr="005A35D8" w:rsidRDefault="009F3597" w:rsidP="0044721B">
      <w:pPr>
        <w:pStyle w:val="ONUME"/>
        <w:numPr>
          <w:ilvl w:val="0"/>
          <w:numId w:val="10"/>
        </w:numPr>
        <w:spacing w:after="0"/>
        <w:ind w:left="1710" w:hanging="540"/>
        <w:rPr>
          <w:rFonts w:eastAsia="Times New Roman"/>
          <w:szCs w:val="22"/>
          <w:lang w:eastAsia="en-US"/>
        </w:rPr>
      </w:pPr>
      <w:r w:rsidRPr="005A35D8">
        <w:rPr>
          <w:szCs w:val="22"/>
        </w:rPr>
        <w:t>adhésion à</w:t>
      </w:r>
      <w:r w:rsidR="004223C1" w:rsidRPr="005A35D8">
        <w:rPr>
          <w:szCs w:val="22"/>
        </w:rPr>
        <w:t xml:space="preserve"> l</w:t>
      </w:r>
      <w:r w:rsidR="00295456" w:rsidRPr="005A35D8">
        <w:rPr>
          <w:szCs w:val="22"/>
        </w:rPr>
        <w:t>’</w:t>
      </w:r>
      <w:r w:rsidR="004223C1" w:rsidRPr="005A35D8">
        <w:rPr>
          <w:szCs w:val="22"/>
        </w:rPr>
        <w:t xml:space="preserve">accord </w:t>
      </w:r>
      <w:r w:rsidR="00914C0E" w:rsidRPr="005A35D8">
        <w:rPr>
          <w:szCs w:val="22"/>
        </w:rPr>
        <w:t>sur le</w:t>
      </w:r>
      <w:r w:rsidR="004223C1" w:rsidRPr="005A35D8">
        <w:rPr>
          <w:szCs w:val="22"/>
        </w:rPr>
        <w:t xml:space="preserve"> niveau de service</w:t>
      </w:r>
      <w:r w:rsidR="00914C0E" w:rsidRPr="005A35D8">
        <w:rPr>
          <w:szCs w:val="22"/>
        </w:rPr>
        <w:t>s</w:t>
      </w:r>
      <w:r w:rsidR="004223C1" w:rsidRPr="005A35D8">
        <w:rPr>
          <w:szCs w:val="22"/>
        </w:rPr>
        <w:t xml:space="preserve"> et </w:t>
      </w:r>
      <w:r w:rsidR="00914C0E" w:rsidRPr="005A35D8">
        <w:rPr>
          <w:szCs w:val="22"/>
        </w:rPr>
        <w:t>aux</w:t>
      </w:r>
      <w:r w:rsidR="004223C1" w:rsidRPr="005A35D8">
        <w:rPr>
          <w:szCs w:val="22"/>
        </w:rPr>
        <w:t xml:space="preserve"> </w:t>
      </w:r>
      <w:r w:rsidR="007A6D02" w:rsidRPr="005A35D8">
        <w:rPr>
          <w:szCs w:val="22"/>
        </w:rPr>
        <w:t>critères</w:t>
      </w:r>
      <w:r w:rsidR="004223C1" w:rsidRPr="005A35D8">
        <w:rPr>
          <w:szCs w:val="22"/>
        </w:rPr>
        <w:t xml:space="preserve"> de performance qui font partie de l</w:t>
      </w:r>
      <w:r w:rsidR="00295456" w:rsidRPr="005A35D8">
        <w:rPr>
          <w:szCs w:val="22"/>
        </w:rPr>
        <w:t>’</w:t>
      </w:r>
      <w:r w:rsidR="004223C1" w:rsidRPr="005A35D8">
        <w:rPr>
          <w:szCs w:val="22"/>
        </w:rPr>
        <w:t>accord</w:t>
      </w:r>
      <w:r w:rsidR="00D14880" w:rsidRPr="005A35D8">
        <w:rPr>
          <w:szCs w:val="22"/>
        </w:rPr>
        <w:noBreakHyphen/>
      </w:r>
      <w:r w:rsidR="004223C1" w:rsidRPr="005A35D8">
        <w:rPr>
          <w:szCs w:val="22"/>
        </w:rPr>
        <w:t>cadre de garde</w:t>
      </w:r>
      <w:r w:rsidR="004223C1" w:rsidRPr="005A35D8">
        <w:rPr>
          <w:rFonts w:eastAsia="Times New Roman"/>
          <w:szCs w:val="22"/>
          <w:lang w:eastAsia="en-US"/>
        </w:rPr>
        <w:t>;</w:t>
      </w:r>
    </w:p>
    <w:p w:rsidR="000243E3" w:rsidRPr="005A35D8" w:rsidRDefault="000243E3" w:rsidP="00CB3E90">
      <w:pPr>
        <w:ind w:left="1710" w:hanging="540"/>
        <w:contextualSpacing/>
        <w:rPr>
          <w:rFonts w:eastAsia="Times New Roman"/>
          <w:szCs w:val="22"/>
          <w:lang w:eastAsia="en-US"/>
        </w:rPr>
      </w:pPr>
    </w:p>
    <w:p w:rsidR="000243E3" w:rsidRPr="005A35D8" w:rsidRDefault="004223C1" w:rsidP="0044721B">
      <w:pPr>
        <w:pStyle w:val="ONUME"/>
        <w:numPr>
          <w:ilvl w:val="0"/>
          <w:numId w:val="10"/>
        </w:numPr>
        <w:spacing w:after="240"/>
        <w:ind w:left="1710" w:hanging="540"/>
        <w:rPr>
          <w:rFonts w:eastAsia="Times New Roman"/>
          <w:szCs w:val="22"/>
          <w:lang w:eastAsia="en-US"/>
        </w:rPr>
      </w:pPr>
      <w:r w:rsidRPr="005A35D8">
        <w:rPr>
          <w:szCs w:val="22"/>
        </w:rPr>
        <w:t>réunions d</w:t>
      </w:r>
      <w:r w:rsidR="00295456" w:rsidRPr="005A35D8">
        <w:rPr>
          <w:szCs w:val="22"/>
        </w:rPr>
        <w:t>’</w:t>
      </w:r>
      <w:r w:rsidRPr="005A35D8">
        <w:rPr>
          <w:szCs w:val="22"/>
        </w:rPr>
        <w:t>examen de service</w:t>
      </w:r>
      <w:r w:rsidR="009F3597" w:rsidRPr="005A35D8">
        <w:rPr>
          <w:szCs w:val="22"/>
        </w:rPr>
        <w:t xml:space="preserve"> régulières</w:t>
      </w:r>
      <w:r w:rsidR="00490611" w:rsidRPr="005A35D8">
        <w:rPr>
          <w:rFonts w:eastAsia="Times New Roman"/>
          <w:szCs w:val="22"/>
          <w:lang w:eastAsia="en-US"/>
        </w:rPr>
        <w:t>.</w:t>
      </w:r>
    </w:p>
    <w:p w:rsidR="000243E3" w:rsidRPr="005A35D8" w:rsidRDefault="00C86E32" w:rsidP="0044721B">
      <w:pPr>
        <w:pStyle w:val="ONUME"/>
        <w:numPr>
          <w:ilvl w:val="0"/>
          <w:numId w:val="7"/>
        </w:numPr>
        <w:spacing w:after="0"/>
        <w:ind w:left="1170" w:hanging="630"/>
        <w:rPr>
          <w:rFonts w:eastAsia="Times New Roman"/>
          <w:lang w:eastAsia="en-US"/>
        </w:rPr>
      </w:pPr>
      <w:r w:rsidRPr="005A35D8">
        <w:rPr>
          <w:bCs/>
          <w:szCs w:val="28"/>
          <w:u w:val="single"/>
          <w:lang w:eastAsia="en-US"/>
        </w:rPr>
        <w:lastRenderedPageBreak/>
        <w:t>Répartition des actifs</w:t>
      </w:r>
    </w:p>
    <w:p w:rsidR="000243E3" w:rsidRPr="005A35D8" w:rsidRDefault="000243E3" w:rsidP="00630448">
      <w:pPr>
        <w:pStyle w:val="ONUME"/>
        <w:spacing w:after="0"/>
        <w:ind w:left="1134"/>
        <w:rPr>
          <w:rFonts w:eastAsia="Times New Roman"/>
          <w:lang w:eastAsia="en-US"/>
        </w:rPr>
      </w:pPr>
    </w:p>
    <w:p w:rsidR="000243E3" w:rsidRPr="005A35D8" w:rsidRDefault="00914C0E" w:rsidP="00630448">
      <w:pPr>
        <w:pStyle w:val="ONUME"/>
        <w:spacing w:after="0"/>
        <w:ind w:left="1134"/>
        <w:rPr>
          <w:rFonts w:eastAsia="Times New Roman"/>
          <w:lang w:eastAsia="en-US"/>
        </w:rPr>
      </w:pPr>
      <w:r w:rsidRPr="005A35D8">
        <w:rPr>
          <w:rFonts w:eastAsia="Times New Roman"/>
          <w:lang w:eastAsia="en-US"/>
        </w:rPr>
        <w:t xml:space="preserve">Le </w:t>
      </w:r>
      <w:r w:rsidRPr="005A35D8">
        <w:rPr>
          <w:rStyle w:val="hps"/>
        </w:rPr>
        <w:t>Comité consultatif des investissements</w:t>
      </w:r>
      <w:r w:rsidRPr="005A35D8">
        <w:rPr>
          <w:rFonts w:eastAsia="Times New Roman"/>
          <w:lang w:eastAsia="en-US"/>
        </w:rPr>
        <w:t xml:space="preserve"> détermine la répartition </w:t>
      </w:r>
      <w:r w:rsidR="00C86E32" w:rsidRPr="005A35D8">
        <w:rPr>
          <w:rFonts w:eastAsia="Times New Roman"/>
          <w:lang w:eastAsia="en-US"/>
        </w:rPr>
        <w:t>des actifs en ce qui concerne la trésorerie d</w:t>
      </w:r>
      <w:r w:rsidR="00295456" w:rsidRPr="005A35D8">
        <w:rPr>
          <w:rFonts w:eastAsia="Times New Roman"/>
          <w:lang w:eastAsia="en-US"/>
        </w:rPr>
        <w:t>’</w:t>
      </w:r>
      <w:r w:rsidR="00C86E32" w:rsidRPr="005A35D8">
        <w:rPr>
          <w:rFonts w:eastAsia="Times New Roman"/>
          <w:lang w:eastAsia="en-US"/>
        </w:rPr>
        <w:t>exploitation et les fonds propres</w:t>
      </w:r>
      <w:r w:rsidR="00490611" w:rsidRPr="005A35D8">
        <w:rPr>
          <w:rFonts w:eastAsia="Times New Roman"/>
          <w:lang w:eastAsia="en-US"/>
        </w:rPr>
        <w:t xml:space="preserve">.  </w:t>
      </w:r>
      <w:r w:rsidR="004F547E" w:rsidRPr="005A35D8">
        <w:rPr>
          <w:rFonts w:eastAsia="Times New Roman"/>
          <w:lang w:eastAsia="en-US"/>
        </w:rPr>
        <w:t xml:space="preserve">Les </w:t>
      </w:r>
      <w:r w:rsidR="00EC1805" w:rsidRPr="005A35D8">
        <w:rPr>
          <w:rFonts w:eastAsia="Times New Roman"/>
          <w:lang w:eastAsia="en-US"/>
        </w:rPr>
        <w:t>recommandations</w:t>
      </w:r>
      <w:r w:rsidR="004F547E" w:rsidRPr="005A35D8">
        <w:rPr>
          <w:rFonts w:eastAsia="Times New Roman"/>
          <w:lang w:eastAsia="en-US"/>
        </w:rPr>
        <w:t xml:space="preserve"> du </w:t>
      </w:r>
      <w:r w:rsidR="004F547E" w:rsidRPr="005A35D8">
        <w:rPr>
          <w:rStyle w:val="hps"/>
        </w:rPr>
        <w:t>Comité consultatif des investissements</w:t>
      </w:r>
      <w:r w:rsidR="00490611" w:rsidRPr="005A35D8">
        <w:rPr>
          <w:rFonts w:eastAsia="Times New Roman"/>
          <w:lang w:eastAsia="en-US"/>
        </w:rPr>
        <w:t xml:space="preserve"> </w:t>
      </w:r>
      <w:r w:rsidR="00C86E32" w:rsidRPr="005A35D8">
        <w:rPr>
          <w:rFonts w:eastAsia="Times New Roman"/>
          <w:lang w:eastAsia="en-US"/>
        </w:rPr>
        <w:t>sont soumises à l</w:t>
      </w:r>
      <w:r w:rsidR="00295456" w:rsidRPr="005A35D8">
        <w:rPr>
          <w:rFonts w:eastAsia="Times New Roman"/>
          <w:lang w:eastAsia="en-US"/>
        </w:rPr>
        <w:t>’</w:t>
      </w:r>
      <w:r w:rsidR="00C86E32" w:rsidRPr="005A35D8">
        <w:rPr>
          <w:rFonts w:eastAsia="Times New Roman"/>
          <w:lang w:eastAsia="en-US"/>
        </w:rPr>
        <w:t>approbation du Directeur général</w:t>
      </w:r>
      <w:r w:rsidR="00490611" w:rsidRPr="005A35D8">
        <w:rPr>
          <w:rFonts w:eastAsia="Times New Roman"/>
          <w:lang w:eastAsia="en-US"/>
        </w:rPr>
        <w:t>.</w:t>
      </w:r>
    </w:p>
    <w:p w:rsidR="000243E3" w:rsidRPr="005A35D8" w:rsidRDefault="000243E3" w:rsidP="00490611">
      <w:pPr>
        <w:rPr>
          <w:rFonts w:eastAsia="Times New Roman"/>
          <w:lang w:eastAsia="en-US"/>
        </w:rPr>
      </w:pPr>
    </w:p>
    <w:p w:rsidR="000243E3" w:rsidRPr="005A35D8" w:rsidRDefault="00C86E32" w:rsidP="00630448">
      <w:pPr>
        <w:pStyle w:val="ONUMFS"/>
        <w:rPr>
          <w:rFonts w:eastAsia="Times New Roman"/>
          <w:lang w:eastAsia="en-US"/>
        </w:rPr>
      </w:pPr>
      <w:r w:rsidRPr="005A35D8">
        <w:rPr>
          <w:rStyle w:val="hps"/>
        </w:rPr>
        <w:t>Afin de</w:t>
      </w:r>
      <w:r w:rsidRPr="005A35D8">
        <w:t xml:space="preserve"> </w:t>
      </w:r>
      <w:r w:rsidR="00D25AC6" w:rsidRPr="005A35D8">
        <w:rPr>
          <w:rStyle w:val="hps"/>
        </w:rPr>
        <w:t>s</w:t>
      </w:r>
      <w:r w:rsidR="00295456" w:rsidRPr="005A35D8">
        <w:rPr>
          <w:rStyle w:val="hps"/>
        </w:rPr>
        <w:t>’</w:t>
      </w:r>
      <w:r w:rsidR="00D25AC6" w:rsidRPr="005A35D8">
        <w:rPr>
          <w:rStyle w:val="hps"/>
        </w:rPr>
        <w:t>acquitter des</w:t>
      </w:r>
      <w:r w:rsidRPr="005A35D8">
        <w:t xml:space="preserve"> </w:t>
      </w:r>
      <w:r w:rsidRPr="005A35D8">
        <w:rPr>
          <w:rStyle w:val="hps"/>
        </w:rPr>
        <w:t>responsabilités</w:t>
      </w:r>
      <w:r w:rsidRPr="005A35D8">
        <w:t xml:space="preserve"> </w:t>
      </w:r>
      <w:r w:rsidRPr="005A35D8">
        <w:rPr>
          <w:rStyle w:val="hps"/>
        </w:rPr>
        <w:t>décrites au paragraphe</w:t>
      </w:r>
      <w:r w:rsidR="00D25AC6" w:rsidRPr="005A35D8">
        <w:t> </w:t>
      </w:r>
      <w:r w:rsidRPr="005A35D8">
        <w:rPr>
          <w:rStyle w:val="hps"/>
        </w:rPr>
        <w:t>8</w:t>
      </w:r>
      <w:r w:rsidR="00630448" w:rsidRPr="005A35D8">
        <w:t>, le c</w:t>
      </w:r>
      <w:r w:rsidRPr="005A35D8">
        <w:t xml:space="preserve">omité peut </w:t>
      </w:r>
      <w:r w:rsidR="00D25AC6" w:rsidRPr="005A35D8">
        <w:rPr>
          <w:rStyle w:val="hps"/>
        </w:rPr>
        <w:t>s</w:t>
      </w:r>
      <w:r w:rsidR="00295456" w:rsidRPr="005A35D8">
        <w:rPr>
          <w:rStyle w:val="hps"/>
        </w:rPr>
        <w:t>’</w:t>
      </w:r>
      <w:r w:rsidR="00D25AC6" w:rsidRPr="005A35D8">
        <w:rPr>
          <w:rStyle w:val="hps"/>
        </w:rPr>
        <w:t>adjoindre</w:t>
      </w:r>
      <w:r w:rsidRPr="005A35D8">
        <w:rPr>
          <w:rStyle w:val="hps"/>
        </w:rPr>
        <w:t xml:space="preserve"> les services d</w:t>
      </w:r>
      <w:r w:rsidR="00295456" w:rsidRPr="005A35D8">
        <w:rPr>
          <w:rStyle w:val="hps"/>
        </w:rPr>
        <w:t>’</w:t>
      </w:r>
      <w:r w:rsidRPr="005A35D8">
        <w:t xml:space="preserve">experts </w:t>
      </w:r>
      <w:r w:rsidRPr="005A35D8">
        <w:rPr>
          <w:rStyle w:val="hps"/>
        </w:rPr>
        <w:t>extérieurs à l</w:t>
      </w:r>
      <w:r w:rsidR="00295456" w:rsidRPr="005A35D8">
        <w:rPr>
          <w:rStyle w:val="hps"/>
        </w:rPr>
        <w:t>’</w:t>
      </w:r>
      <w:r w:rsidRPr="005A35D8">
        <w:rPr>
          <w:rStyle w:val="hps"/>
        </w:rPr>
        <w:t>Organisation</w:t>
      </w:r>
      <w:r w:rsidRPr="005A35D8">
        <w:t xml:space="preserve"> </w:t>
      </w:r>
      <w:r w:rsidR="00913E2E" w:rsidRPr="005A35D8">
        <w:rPr>
          <w:rStyle w:val="hps"/>
        </w:rPr>
        <w:t>dotés d</w:t>
      </w:r>
      <w:r w:rsidR="00295456" w:rsidRPr="005A35D8">
        <w:rPr>
          <w:rStyle w:val="hps"/>
        </w:rPr>
        <w:t>’</w:t>
      </w:r>
      <w:r w:rsidRPr="005A35D8">
        <w:rPr>
          <w:rStyle w:val="hps"/>
        </w:rPr>
        <w:t xml:space="preserve">une </w:t>
      </w:r>
      <w:r w:rsidR="00913E2E" w:rsidRPr="005A35D8">
        <w:rPr>
          <w:rStyle w:val="hps"/>
        </w:rPr>
        <w:t xml:space="preserve">vaste </w:t>
      </w:r>
      <w:r w:rsidRPr="005A35D8">
        <w:rPr>
          <w:rStyle w:val="hps"/>
        </w:rPr>
        <w:t>expérience</w:t>
      </w:r>
      <w:r w:rsidRPr="005A35D8">
        <w:t xml:space="preserve"> </w:t>
      </w:r>
      <w:r w:rsidRPr="005A35D8">
        <w:rPr>
          <w:rStyle w:val="hps"/>
        </w:rPr>
        <w:t>dans le secteur financier</w:t>
      </w:r>
      <w:r w:rsidRPr="005A35D8">
        <w:t xml:space="preserve">.  </w:t>
      </w:r>
      <w:r w:rsidRPr="005A35D8">
        <w:rPr>
          <w:rStyle w:val="hps"/>
        </w:rPr>
        <w:t>Le</w:t>
      </w:r>
      <w:r w:rsidRPr="005A35D8">
        <w:t xml:space="preserve"> </w:t>
      </w:r>
      <w:r w:rsidRPr="005A35D8">
        <w:rPr>
          <w:rStyle w:val="hps"/>
        </w:rPr>
        <w:t>Comité consultatif</w:t>
      </w:r>
      <w:r w:rsidRPr="005A35D8">
        <w:t xml:space="preserve"> </w:t>
      </w:r>
      <w:r w:rsidRPr="005A35D8">
        <w:rPr>
          <w:rStyle w:val="hps"/>
        </w:rPr>
        <w:t>des investissements</w:t>
      </w:r>
      <w:r w:rsidRPr="005A35D8">
        <w:t xml:space="preserve"> </w:t>
      </w:r>
      <w:r w:rsidRPr="005A35D8">
        <w:rPr>
          <w:rStyle w:val="hps"/>
        </w:rPr>
        <w:t>se réunit au</w:t>
      </w:r>
      <w:r w:rsidRPr="005A35D8">
        <w:t xml:space="preserve"> </w:t>
      </w:r>
      <w:r w:rsidRPr="005A35D8">
        <w:rPr>
          <w:rStyle w:val="hps"/>
        </w:rPr>
        <w:t xml:space="preserve">moins </w:t>
      </w:r>
      <w:r w:rsidR="00913E2E" w:rsidRPr="005A35D8">
        <w:rPr>
          <w:rStyle w:val="hps"/>
        </w:rPr>
        <w:t>une fois par</w:t>
      </w:r>
      <w:r w:rsidR="00D25AC6" w:rsidRPr="005A35D8">
        <w:rPr>
          <w:rStyle w:val="hps"/>
        </w:rPr>
        <w:t xml:space="preserve"> trimestre</w:t>
      </w:r>
      <w:r w:rsidR="00490611" w:rsidRPr="005A35D8">
        <w:rPr>
          <w:rFonts w:eastAsia="Times New Roman"/>
          <w:lang w:eastAsia="en-US"/>
        </w:rPr>
        <w:t>.</w:t>
      </w:r>
    </w:p>
    <w:p w:rsidR="000243E3" w:rsidRPr="005A35D8" w:rsidRDefault="00C86E32" w:rsidP="0047106D">
      <w:pPr>
        <w:spacing w:before="120" w:after="120"/>
        <w:rPr>
          <w:rFonts w:eastAsia="Times New Roman"/>
          <w:u w:val="single"/>
          <w:lang w:eastAsia="en-US"/>
        </w:rPr>
      </w:pPr>
      <w:r w:rsidRPr="005A35D8">
        <w:rPr>
          <w:rFonts w:eastAsia="Times New Roman"/>
          <w:u w:val="single"/>
          <w:lang w:eastAsia="en-US"/>
        </w:rPr>
        <w:t>Contrôleur</w:t>
      </w:r>
    </w:p>
    <w:p w:rsidR="000243E3" w:rsidRPr="005A35D8" w:rsidRDefault="00C86E32" w:rsidP="00630448">
      <w:pPr>
        <w:pStyle w:val="ONUMFS"/>
        <w:rPr>
          <w:rFonts w:eastAsia="Times New Roman"/>
          <w:lang w:eastAsia="en-US"/>
        </w:rPr>
      </w:pPr>
      <w:r w:rsidRPr="005A35D8">
        <w:rPr>
          <w:rStyle w:val="hps"/>
        </w:rPr>
        <w:t xml:space="preserve">Conformément à </w:t>
      </w:r>
      <w:r w:rsidR="00913E2E" w:rsidRPr="005A35D8">
        <w:rPr>
          <w:rStyle w:val="hps"/>
        </w:rPr>
        <w:t>la règle</w:t>
      </w:r>
      <w:r w:rsidR="00913E2E" w:rsidRPr="005A35D8">
        <w:t> </w:t>
      </w:r>
      <w:r w:rsidRPr="005A35D8">
        <w:rPr>
          <w:rStyle w:val="hps"/>
        </w:rPr>
        <w:t>104.10</w:t>
      </w:r>
      <w:r w:rsidR="00913E2E" w:rsidRPr="005A35D8">
        <w:rPr>
          <w:rStyle w:val="hps"/>
        </w:rPr>
        <w:t>,</w:t>
      </w:r>
      <w:r w:rsidRPr="005A35D8">
        <w:t xml:space="preserve"> </w:t>
      </w:r>
      <w:r w:rsidR="00913E2E" w:rsidRPr="005A35D8">
        <w:rPr>
          <w:rStyle w:val="hps"/>
        </w:rPr>
        <w:t>le</w:t>
      </w:r>
      <w:r w:rsidRPr="005A35D8">
        <w:t xml:space="preserve"> </w:t>
      </w:r>
      <w:r w:rsidR="00913E2E" w:rsidRPr="005A35D8">
        <w:t>pouvoir d</w:t>
      </w:r>
      <w:r w:rsidR="00295456" w:rsidRPr="005A35D8">
        <w:t>’</w:t>
      </w:r>
      <w:r w:rsidR="00913E2E" w:rsidRPr="005A35D8">
        <w:t>effectuer et de gérer avec prudence des placements conformément à la politique de placement approuvée par les États membres selon les articles 4.10 et 4.11 est délégué au contrôleur</w:t>
      </w:r>
      <w:r w:rsidR="00490611" w:rsidRPr="005A35D8">
        <w:rPr>
          <w:rFonts w:eastAsia="Times New Roman"/>
          <w:lang w:eastAsia="en-US"/>
        </w:rPr>
        <w:t>.</w:t>
      </w:r>
    </w:p>
    <w:p w:rsidR="000243E3" w:rsidRPr="005A35D8" w:rsidRDefault="00C86E32" w:rsidP="00630448">
      <w:pPr>
        <w:pStyle w:val="ONUMFS"/>
        <w:rPr>
          <w:rFonts w:eastAsia="Times New Roman"/>
          <w:lang w:eastAsia="en-US"/>
        </w:rPr>
      </w:pPr>
      <w:r w:rsidRPr="005A35D8">
        <w:rPr>
          <w:rStyle w:val="hps"/>
        </w:rPr>
        <w:t>Le contrôleur</w:t>
      </w:r>
      <w:r w:rsidRPr="005A35D8">
        <w:t xml:space="preserve"> </w:t>
      </w:r>
      <w:r w:rsidR="00913E2E" w:rsidRPr="005A35D8">
        <w:rPr>
          <w:rStyle w:val="hps"/>
        </w:rPr>
        <w:t>veille</w:t>
      </w:r>
      <w:r w:rsidRPr="005A35D8">
        <w:t xml:space="preserve">, </w:t>
      </w:r>
      <w:r w:rsidR="00913E2E" w:rsidRPr="005A35D8">
        <w:rPr>
          <w:rStyle w:val="hps"/>
        </w:rPr>
        <w:t>en énonçant les directives</w:t>
      </w:r>
      <w:r w:rsidRPr="005A35D8">
        <w:rPr>
          <w:rStyle w:val="hps"/>
        </w:rPr>
        <w:t xml:space="preserve"> appropriées</w:t>
      </w:r>
      <w:r w:rsidR="00490611" w:rsidRPr="005A35D8">
        <w:rPr>
          <w:rFonts w:eastAsia="Times New Roman"/>
          <w:vertAlign w:val="superscript"/>
          <w:lang w:eastAsia="en-US"/>
        </w:rPr>
        <w:footnoteReference w:id="5"/>
      </w:r>
      <w:r w:rsidR="00490611" w:rsidRPr="005A35D8">
        <w:rPr>
          <w:rFonts w:eastAsia="Times New Roman"/>
          <w:lang w:eastAsia="en-US"/>
        </w:rPr>
        <w:t xml:space="preserve">, </w:t>
      </w:r>
      <w:r w:rsidR="00913E2E" w:rsidRPr="005A35D8">
        <w:rPr>
          <w:rFonts w:eastAsia="Times New Roman"/>
          <w:lang w:eastAsia="en-US"/>
        </w:rPr>
        <w:t xml:space="preserve">à </w:t>
      </w:r>
      <w:r w:rsidR="00913E2E" w:rsidRPr="005A35D8">
        <w:t>ce que les fonds soient détenus dans des monnaies et des classes d</w:t>
      </w:r>
      <w:r w:rsidR="00295456" w:rsidRPr="005A35D8">
        <w:t>’</w:t>
      </w:r>
      <w:r w:rsidR="00913E2E" w:rsidRPr="005A35D8">
        <w:t>actifs placés de façon à réduire</w:t>
      </w:r>
      <w:r w:rsidR="00CD72E6" w:rsidRPr="005A35D8">
        <w:t xml:space="preserve"> au maximum en priorité </w:t>
      </w:r>
      <w:r w:rsidR="00913E2E" w:rsidRPr="005A35D8">
        <w:t xml:space="preserve">les risques </w:t>
      </w:r>
      <w:r w:rsidR="00CD72E6" w:rsidRPr="005A35D8">
        <w:t xml:space="preserve">afférents aux principaux fonds </w:t>
      </w:r>
      <w:r w:rsidR="00913E2E" w:rsidRPr="005A35D8">
        <w:t>en conservant les liquidités nécessaires pour répondre aux besoins de trésorerie de l</w:t>
      </w:r>
      <w:r w:rsidR="00295456" w:rsidRPr="005A35D8">
        <w:t>’</w:t>
      </w:r>
      <w:r w:rsidR="00913E2E" w:rsidRPr="005A35D8">
        <w:t xml:space="preserve">Organisation.  </w:t>
      </w:r>
      <w:r w:rsidR="00CD72E6" w:rsidRPr="005A35D8">
        <w:t>En o</w:t>
      </w:r>
      <w:r w:rsidR="00913E2E" w:rsidRPr="005A35D8">
        <w:t xml:space="preserve">utre, les placements ainsi que les monnaies dans lesquelles ils sont libellés sont choisis par le contrôleur selon la </w:t>
      </w:r>
      <w:r w:rsidR="00CD72E6" w:rsidRPr="005A35D8">
        <w:t xml:space="preserve">présente </w:t>
      </w:r>
      <w:r w:rsidR="00913E2E" w:rsidRPr="005A35D8">
        <w:t xml:space="preserve">politique </w:t>
      </w:r>
      <w:r w:rsidR="00CD72E6" w:rsidRPr="005A35D8">
        <w:t xml:space="preserve">en matière </w:t>
      </w:r>
      <w:r w:rsidR="00913E2E" w:rsidRPr="005A35D8">
        <w:t>de placement</w:t>
      </w:r>
      <w:r w:rsidR="00CD72E6" w:rsidRPr="005A35D8">
        <w:t xml:space="preserve">s </w:t>
      </w:r>
      <w:r w:rsidRPr="005A35D8">
        <w:rPr>
          <w:rStyle w:val="hps"/>
          <w:szCs w:val="22"/>
        </w:rPr>
        <w:t>et sur la base</w:t>
      </w:r>
      <w:r w:rsidRPr="005A35D8">
        <w:t xml:space="preserve"> </w:t>
      </w:r>
      <w:r w:rsidRPr="005A35D8">
        <w:rPr>
          <w:rStyle w:val="hps"/>
          <w:szCs w:val="22"/>
        </w:rPr>
        <w:t>de</w:t>
      </w:r>
      <w:r w:rsidR="00CD72E6" w:rsidRPr="005A35D8">
        <w:rPr>
          <w:rStyle w:val="hps"/>
          <w:szCs w:val="22"/>
        </w:rPr>
        <w:t>s</w:t>
      </w:r>
      <w:r w:rsidRPr="005A35D8">
        <w:rPr>
          <w:rStyle w:val="hps"/>
          <w:szCs w:val="22"/>
        </w:rPr>
        <w:t xml:space="preserve"> rapports</w:t>
      </w:r>
      <w:r w:rsidRPr="005A35D8">
        <w:t xml:space="preserve">, </w:t>
      </w:r>
      <w:r w:rsidR="00CD72E6" w:rsidRPr="005A35D8">
        <w:t xml:space="preserve">recherches </w:t>
      </w:r>
      <w:r w:rsidRPr="005A35D8">
        <w:rPr>
          <w:rStyle w:val="hps"/>
          <w:szCs w:val="22"/>
        </w:rPr>
        <w:t>et propositions</w:t>
      </w:r>
      <w:r w:rsidRPr="005A35D8">
        <w:t xml:space="preserve"> </w:t>
      </w:r>
      <w:r w:rsidRPr="005A35D8">
        <w:rPr>
          <w:rStyle w:val="hps"/>
          <w:szCs w:val="22"/>
        </w:rPr>
        <w:t>du</w:t>
      </w:r>
      <w:r w:rsidRPr="005A35D8">
        <w:t xml:space="preserve"> </w:t>
      </w:r>
      <w:r w:rsidRPr="005A35D8">
        <w:rPr>
          <w:rStyle w:val="hps"/>
          <w:szCs w:val="22"/>
        </w:rPr>
        <w:t>trésorier et</w:t>
      </w:r>
      <w:r w:rsidRPr="005A35D8">
        <w:t xml:space="preserve"> </w:t>
      </w:r>
      <w:r w:rsidRPr="005A35D8">
        <w:rPr>
          <w:rStyle w:val="hps"/>
          <w:szCs w:val="22"/>
        </w:rPr>
        <w:t>des recommandations</w:t>
      </w:r>
      <w:r w:rsidRPr="005A35D8">
        <w:t xml:space="preserve"> </w:t>
      </w:r>
      <w:r w:rsidR="00CD72E6" w:rsidRPr="005A35D8">
        <w:rPr>
          <w:rStyle w:val="hps"/>
          <w:szCs w:val="22"/>
        </w:rPr>
        <w:t>du</w:t>
      </w:r>
      <w:r w:rsidRPr="005A35D8">
        <w:t xml:space="preserve"> </w:t>
      </w:r>
      <w:r w:rsidRPr="005A35D8">
        <w:rPr>
          <w:rStyle w:val="hps"/>
          <w:szCs w:val="22"/>
        </w:rPr>
        <w:t>Comité consultatif</w:t>
      </w:r>
      <w:r w:rsidRPr="005A35D8">
        <w:t xml:space="preserve"> </w:t>
      </w:r>
      <w:r w:rsidR="00CD72E6" w:rsidRPr="005A35D8">
        <w:rPr>
          <w:rStyle w:val="hps"/>
          <w:szCs w:val="22"/>
        </w:rPr>
        <w:t>des i</w:t>
      </w:r>
      <w:r w:rsidRPr="005A35D8">
        <w:rPr>
          <w:rStyle w:val="hps"/>
          <w:szCs w:val="22"/>
        </w:rPr>
        <w:t>nvestissements</w:t>
      </w:r>
      <w:r w:rsidR="00CD72E6" w:rsidRPr="005A35D8">
        <w:rPr>
          <w:rStyle w:val="hps"/>
          <w:szCs w:val="22"/>
        </w:rPr>
        <w:t xml:space="preserve"> en la matière</w:t>
      </w:r>
      <w:r w:rsidR="00490611" w:rsidRPr="005A35D8">
        <w:rPr>
          <w:rFonts w:eastAsia="Times New Roman"/>
          <w:lang w:eastAsia="en-US"/>
        </w:rPr>
        <w:t>.</w:t>
      </w:r>
    </w:p>
    <w:p w:rsidR="000243E3" w:rsidRPr="005A35D8" w:rsidRDefault="00C86E32" w:rsidP="0047106D">
      <w:pPr>
        <w:spacing w:before="120" w:after="120"/>
        <w:rPr>
          <w:rFonts w:eastAsia="Times New Roman"/>
          <w:u w:val="single"/>
          <w:lang w:eastAsia="en-US"/>
        </w:rPr>
      </w:pPr>
      <w:r w:rsidRPr="005A35D8">
        <w:rPr>
          <w:rFonts w:eastAsia="Times New Roman"/>
          <w:u w:val="single"/>
          <w:lang w:eastAsia="en-US"/>
        </w:rPr>
        <w:t>Trésorier</w:t>
      </w:r>
      <w:r w:rsidR="00490611" w:rsidRPr="005A35D8">
        <w:rPr>
          <w:rFonts w:eastAsia="Times New Roman"/>
          <w:u w:val="single"/>
          <w:lang w:eastAsia="en-US"/>
        </w:rPr>
        <w:t xml:space="preserve">, </w:t>
      </w:r>
      <w:r w:rsidR="00913E2E" w:rsidRPr="005A35D8">
        <w:rPr>
          <w:rFonts w:eastAsia="Times New Roman"/>
          <w:u w:val="single"/>
          <w:lang w:eastAsia="en-US"/>
        </w:rPr>
        <w:t>Division des finances</w:t>
      </w:r>
    </w:p>
    <w:p w:rsidR="000243E3" w:rsidRPr="005A35D8" w:rsidRDefault="00CD72E6" w:rsidP="00630448">
      <w:pPr>
        <w:pStyle w:val="ONUMFS"/>
        <w:rPr>
          <w:rFonts w:eastAsia="Times New Roman"/>
          <w:lang w:eastAsia="en-US"/>
        </w:rPr>
      </w:pPr>
      <w:r w:rsidRPr="005A35D8">
        <w:rPr>
          <w:rStyle w:val="hps"/>
        </w:rPr>
        <w:t>Le trésorier</w:t>
      </w:r>
      <w:r w:rsidR="00C86E32" w:rsidRPr="005A35D8">
        <w:t xml:space="preserve">, </w:t>
      </w:r>
      <w:r w:rsidR="00C86E32" w:rsidRPr="005A35D8">
        <w:rPr>
          <w:rStyle w:val="hps"/>
        </w:rPr>
        <w:t>qui relève du directeur</w:t>
      </w:r>
      <w:r w:rsidR="00C86E32" w:rsidRPr="005A35D8">
        <w:t xml:space="preserve"> </w:t>
      </w:r>
      <w:r w:rsidR="00A912A6" w:rsidRPr="005A35D8">
        <w:rPr>
          <w:rStyle w:val="hps"/>
        </w:rPr>
        <w:t>financier</w:t>
      </w:r>
      <w:r w:rsidR="00A912A6" w:rsidRPr="005A35D8">
        <w:t xml:space="preserve"> et </w:t>
      </w:r>
      <w:r w:rsidR="00C86E32" w:rsidRPr="005A35D8">
        <w:rPr>
          <w:rStyle w:val="hps"/>
        </w:rPr>
        <w:t>agit</w:t>
      </w:r>
      <w:r w:rsidR="00C86E32" w:rsidRPr="005A35D8">
        <w:t xml:space="preserve"> </w:t>
      </w:r>
      <w:r w:rsidR="00C86E32" w:rsidRPr="005A35D8">
        <w:rPr>
          <w:rStyle w:val="hps"/>
        </w:rPr>
        <w:t xml:space="preserve">également </w:t>
      </w:r>
      <w:r w:rsidR="00A912A6" w:rsidRPr="005A35D8">
        <w:rPr>
          <w:rStyle w:val="hps"/>
        </w:rPr>
        <w:t>en tant que</w:t>
      </w:r>
      <w:r w:rsidR="00C86E32" w:rsidRPr="005A35D8">
        <w:t xml:space="preserve"> </w:t>
      </w:r>
      <w:r w:rsidR="00C86E32" w:rsidRPr="005A35D8">
        <w:rPr>
          <w:rStyle w:val="hps"/>
        </w:rPr>
        <w:t>secrétaire du</w:t>
      </w:r>
      <w:r w:rsidR="00C86E32" w:rsidRPr="005A35D8">
        <w:t xml:space="preserve"> </w:t>
      </w:r>
      <w:r w:rsidR="00C86E32" w:rsidRPr="005A35D8">
        <w:rPr>
          <w:rStyle w:val="hps"/>
        </w:rPr>
        <w:t>Comité consultatif</w:t>
      </w:r>
      <w:r w:rsidR="00C86E32" w:rsidRPr="005A35D8">
        <w:t xml:space="preserve"> </w:t>
      </w:r>
      <w:r w:rsidR="00A912A6" w:rsidRPr="005A35D8">
        <w:rPr>
          <w:rStyle w:val="hps"/>
        </w:rPr>
        <w:t>des i</w:t>
      </w:r>
      <w:r w:rsidR="00C86E32" w:rsidRPr="005A35D8">
        <w:rPr>
          <w:rStyle w:val="hps"/>
        </w:rPr>
        <w:t>nvestissements</w:t>
      </w:r>
      <w:r w:rsidR="00C86E32" w:rsidRPr="005A35D8">
        <w:t xml:space="preserve">, </w:t>
      </w:r>
      <w:r w:rsidR="00C86E32" w:rsidRPr="005A35D8">
        <w:rPr>
          <w:rStyle w:val="hps"/>
        </w:rPr>
        <w:t>est</w:t>
      </w:r>
      <w:r w:rsidR="00C86E32" w:rsidRPr="005A35D8">
        <w:t xml:space="preserve"> </w:t>
      </w:r>
      <w:r w:rsidR="00C86E32" w:rsidRPr="005A35D8">
        <w:rPr>
          <w:rStyle w:val="hps"/>
        </w:rPr>
        <w:t>responsable de l</w:t>
      </w:r>
      <w:r w:rsidR="00295456" w:rsidRPr="005A35D8">
        <w:rPr>
          <w:rStyle w:val="hps"/>
        </w:rPr>
        <w:t>’</w:t>
      </w:r>
      <w:r w:rsidR="00C86E32" w:rsidRPr="005A35D8">
        <w:rPr>
          <w:rStyle w:val="hps"/>
        </w:rPr>
        <w:t>exécution</w:t>
      </w:r>
      <w:r w:rsidR="00C86E32" w:rsidRPr="005A35D8">
        <w:t xml:space="preserve"> </w:t>
      </w:r>
      <w:r w:rsidR="00C86E32" w:rsidRPr="005A35D8">
        <w:rPr>
          <w:rStyle w:val="hps"/>
        </w:rPr>
        <w:t xml:space="preserve">des activités </w:t>
      </w:r>
      <w:r w:rsidR="00A912A6" w:rsidRPr="005A35D8">
        <w:rPr>
          <w:rStyle w:val="hps"/>
        </w:rPr>
        <w:t xml:space="preserve">de placement </w:t>
      </w:r>
      <w:r w:rsidR="00C86E32" w:rsidRPr="005A35D8">
        <w:rPr>
          <w:rStyle w:val="hps"/>
        </w:rPr>
        <w:t xml:space="preserve">et </w:t>
      </w:r>
      <w:r w:rsidR="00A912A6" w:rsidRPr="005A35D8">
        <w:rPr>
          <w:rStyle w:val="hps"/>
        </w:rPr>
        <w:t>de l</w:t>
      </w:r>
      <w:r w:rsidR="00295456" w:rsidRPr="005A35D8">
        <w:rPr>
          <w:rStyle w:val="hps"/>
        </w:rPr>
        <w:t>’</w:t>
      </w:r>
      <w:r w:rsidR="00A912A6" w:rsidRPr="005A35D8">
        <w:rPr>
          <w:rStyle w:val="hps"/>
        </w:rPr>
        <w:t>établissement des</w:t>
      </w:r>
      <w:r w:rsidR="00C86E32" w:rsidRPr="005A35D8">
        <w:t xml:space="preserve"> </w:t>
      </w:r>
      <w:r w:rsidR="00C86E32" w:rsidRPr="005A35D8">
        <w:rPr>
          <w:rStyle w:val="hps"/>
        </w:rPr>
        <w:t>rapports</w:t>
      </w:r>
      <w:r w:rsidR="00C86E32" w:rsidRPr="005A35D8">
        <w:t xml:space="preserve"> </w:t>
      </w:r>
      <w:r w:rsidR="00A912A6" w:rsidRPr="005A35D8">
        <w:t xml:space="preserve">relatifs à </w:t>
      </w:r>
      <w:r w:rsidR="00C86E32" w:rsidRPr="005A35D8">
        <w:rPr>
          <w:rStyle w:val="hps"/>
        </w:rPr>
        <w:t>tous les</w:t>
      </w:r>
      <w:r w:rsidR="00C86E32" w:rsidRPr="005A35D8">
        <w:t xml:space="preserve"> </w:t>
      </w:r>
      <w:r w:rsidR="00A912A6" w:rsidRPr="005A35D8">
        <w:t xml:space="preserve">placements </w:t>
      </w:r>
      <w:r w:rsidR="00C86E32" w:rsidRPr="005A35D8">
        <w:rPr>
          <w:rStyle w:val="hps"/>
        </w:rPr>
        <w:t>réalisés</w:t>
      </w:r>
      <w:r w:rsidR="00C86E32" w:rsidRPr="005A35D8">
        <w:t xml:space="preserve">. </w:t>
      </w:r>
      <w:r w:rsidR="00A912A6" w:rsidRPr="005A35D8">
        <w:t xml:space="preserve"> </w:t>
      </w:r>
      <w:r w:rsidR="00C86E32" w:rsidRPr="005A35D8">
        <w:rPr>
          <w:rStyle w:val="hps"/>
        </w:rPr>
        <w:t>Le Trésorier</w:t>
      </w:r>
      <w:r w:rsidR="00C86E32" w:rsidRPr="005A35D8">
        <w:t xml:space="preserve"> </w:t>
      </w:r>
      <w:r w:rsidR="00C86E32" w:rsidRPr="005A35D8">
        <w:rPr>
          <w:rStyle w:val="hps"/>
        </w:rPr>
        <w:t>assure la liaison avec</w:t>
      </w:r>
      <w:r w:rsidR="00C86E32" w:rsidRPr="005A35D8">
        <w:t xml:space="preserve"> </w:t>
      </w:r>
      <w:r w:rsidR="00C86E32" w:rsidRPr="005A35D8">
        <w:rPr>
          <w:rStyle w:val="hps"/>
        </w:rPr>
        <w:t>les gestionnaires de fonds</w:t>
      </w:r>
      <w:r w:rsidR="00C86E32" w:rsidRPr="005A35D8">
        <w:t xml:space="preserve"> </w:t>
      </w:r>
      <w:r w:rsidR="00A912A6" w:rsidRPr="005A35D8">
        <w:rPr>
          <w:rStyle w:val="hps"/>
        </w:rPr>
        <w:t>extérieurs</w:t>
      </w:r>
      <w:r w:rsidR="00C86E32" w:rsidRPr="005A35D8">
        <w:t xml:space="preserve"> </w:t>
      </w:r>
      <w:r w:rsidR="00C86E32" w:rsidRPr="005A35D8">
        <w:rPr>
          <w:rStyle w:val="hps"/>
        </w:rPr>
        <w:t>et</w:t>
      </w:r>
      <w:r w:rsidR="00C86E32" w:rsidRPr="005A35D8">
        <w:t xml:space="preserve"> </w:t>
      </w:r>
      <w:r w:rsidR="00C86E32" w:rsidRPr="005A35D8">
        <w:rPr>
          <w:rStyle w:val="hps"/>
        </w:rPr>
        <w:t>le dépositaire et</w:t>
      </w:r>
      <w:r w:rsidR="00C86E32" w:rsidRPr="005A35D8">
        <w:t xml:space="preserve"> </w:t>
      </w:r>
      <w:r w:rsidR="00A912A6" w:rsidRPr="005A35D8">
        <w:rPr>
          <w:rStyle w:val="hps"/>
        </w:rPr>
        <w:t>établit</w:t>
      </w:r>
      <w:r w:rsidR="00C86E32" w:rsidRPr="005A35D8">
        <w:rPr>
          <w:rStyle w:val="hps"/>
        </w:rPr>
        <w:t xml:space="preserve"> des rapports</w:t>
      </w:r>
      <w:r w:rsidR="00C86E32" w:rsidRPr="005A35D8">
        <w:t xml:space="preserve"> </w:t>
      </w:r>
      <w:r w:rsidR="00C86E32" w:rsidRPr="005A35D8">
        <w:rPr>
          <w:rStyle w:val="hps"/>
        </w:rPr>
        <w:t>trimestriels</w:t>
      </w:r>
      <w:r w:rsidR="00C86E32" w:rsidRPr="005A35D8">
        <w:t xml:space="preserve"> </w:t>
      </w:r>
      <w:r w:rsidR="00C86E32" w:rsidRPr="005A35D8">
        <w:rPr>
          <w:rStyle w:val="hps"/>
        </w:rPr>
        <w:t>sur l</w:t>
      </w:r>
      <w:r w:rsidR="00295456" w:rsidRPr="005A35D8">
        <w:rPr>
          <w:rStyle w:val="hps"/>
        </w:rPr>
        <w:t>’</w:t>
      </w:r>
      <w:r w:rsidR="00C86E32" w:rsidRPr="005A35D8">
        <w:rPr>
          <w:rStyle w:val="hps"/>
        </w:rPr>
        <w:t>état actuel</w:t>
      </w:r>
      <w:r w:rsidR="00C86E32" w:rsidRPr="005A35D8">
        <w:t xml:space="preserve"> </w:t>
      </w:r>
      <w:r w:rsidR="00C86E32" w:rsidRPr="005A35D8">
        <w:rPr>
          <w:rStyle w:val="hps"/>
        </w:rPr>
        <w:t xml:space="preserve">des </w:t>
      </w:r>
      <w:r w:rsidR="00A912A6" w:rsidRPr="005A35D8">
        <w:rPr>
          <w:rStyle w:val="hps"/>
        </w:rPr>
        <w:t>placements</w:t>
      </w:r>
      <w:r w:rsidR="00C86E32" w:rsidRPr="005A35D8">
        <w:t xml:space="preserve"> </w:t>
      </w:r>
      <w:r w:rsidR="00A912A6" w:rsidRPr="005A35D8">
        <w:rPr>
          <w:rStyle w:val="hps"/>
        </w:rPr>
        <w:t>qui sont soumis</w:t>
      </w:r>
      <w:r w:rsidR="00C86E32" w:rsidRPr="005A35D8">
        <w:rPr>
          <w:rStyle w:val="hps"/>
        </w:rPr>
        <w:t xml:space="preserve"> au</w:t>
      </w:r>
      <w:r w:rsidR="00C86E32" w:rsidRPr="005A35D8">
        <w:t xml:space="preserve"> </w:t>
      </w:r>
      <w:r w:rsidR="00C86E32" w:rsidRPr="005A35D8">
        <w:rPr>
          <w:rStyle w:val="hps"/>
        </w:rPr>
        <w:t>Comité consultatif</w:t>
      </w:r>
      <w:r w:rsidR="00C86E32" w:rsidRPr="005A35D8">
        <w:t xml:space="preserve"> </w:t>
      </w:r>
      <w:r w:rsidR="00A912A6" w:rsidRPr="005A35D8">
        <w:rPr>
          <w:rStyle w:val="hps"/>
        </w:rPr>
        <w:t>des i</w:t>
      </w:r>
      <w:r w:rsidR="00C86E32" w:rsidRPr="005A35D8">
        <w:rPr>
          <w:rStyle w:val="hps"/>
        </w:rPr>
        <w:t>nvestissements</w:t>
      </w:r>
      <w:r w:rsidR="00A912A6" w:rsidRPr="005A35D8">
        <w:t xml:space="preserve"> par le biais du</w:t>
      </w:r>
      <w:r w:rsidR="00C86E32" w:rsidRPr="005A35D8">
        <w:t xml:space="preserve"> </w:t>
      </w:r>
      <w:r w:rsidR="00C86E32" w:rsidRPr="005A35D8">
        <w:rPr>
          <w:rStyle w:val="hps"/>
        </w:rPr>
        <w:t>contrôleur</w:t>
      </w:r>
      <w:r w:rsidR="00C86E32" w:rsidRPr="005A35D8">
        <w:t xml:space="preserve">. </w:t>
      </w:r>
      <w:r w:rsidR="00A912A6" w:rsidRPr="005A35D8">
        <w:t xml:space="preserve"> </w:t>
      </w:r>
      <w:r w:rsidR="00C86E32" w:rsidRPr="005A35D8">
        <w:rPr>
          <w:rStyle w:val="hps"/>
        </w:rPr>
        <w:t>Ces rapports</w:t>
      </w:r>
      <w:r w:rsidR="00C86E32" w:rsidRPr="005A35D8">
        <w:t xml:space="preserve"> </w:t>
      </w:r>
      <w:r w:rsidR="00A912A6" w:rsidRPr="005A35D8">
        <w:rPr>
          <w:rStyle w:val="hps"/>
        </w:rPr>
        <w:t>porte</w:t>
      </w:r>
      <w:r w:rsidR="00C86E32" w:rsidRPr="005A35D8">
        <w:rPr>
          <w:rStyle w:val="hps"/>
        </w:rPr>
        <w:t>nt sur</w:t>
      </w:r>
      <w:r w:rsidR="00C86E32" w:rsidRPr="005A35D8">
        <w:t xml:space="preserve"> </w:t>
      </w:r>
      <w:r w:rsidR="00A912A6" w:rsidRPr="005A35D8">
        <w:rPr>
          <w:rStyle w:val="hps"/>
        </w:rPr>
        <w:t>les</w:t>
      </w:r>
      <w:r w:rsidR="00C86E32" w:rsidRPr="005A35D8">
        <w:rPr>
          <w:rStyle w:val="hps"/>
        </w:rPr>
        <w:t xml:space="preserve"> performance</w:t>
      </w:r>
      <w:r w:rsidR="00A912A6" w:rsidRPr="005A35D8">
        <w:t xml:space="preserve">s réalisées </w:t>
      </w:r>
      <w:r w:rsidR="00C86E32" w:rsidRPr="005A35D8">
        <w:rPr>
          <w:rStyle w:val="hps"/>
        </w:rPr>
        <w:t>par rapport à</w:t>
      </w:r>
      <w:r w:rsidR="00C86E32" w:rsidRPr="005A35D8">
        <w:t xml:space="preserve"> </w:t>
      </w:r>
      <w:r w:rsidR="00C86E32" w:rsidRPr="005A35D8">
        <w:rPr>
          <w:rStyle w:val="hps"/>
        </w:rPr>
        <w:t xml:space="preserve">des </w:t>
      </w:r>
      <w:r w:rsidR="00A912A6" w:rsidRPr="005A35D8">
        <w:rPr>
          <w:rStyle w:val="hps"/>
        </w:rPr>
        <w:t>critères</w:t>
      </w:r>
      <w:r w:rsidR="00C86E32" w:rsidRPr="005A35D8">
        <w:t xml:space="preserve"> </w:t>
      </w:r>
      <w:r w:rsidR="00A912A6" w:rsidRPr="005A35D8">
        <w:t xml:space="preserve">de performance </w:t>
      </w:r>
      <w:r w:rsidR="00C86E32" w:rsidRPr="005A35D8">
        <w:rPr>
          <w:rStyle w:val="hps"/>
        </w:rPr>
        <w:t xml:space="preserve">et </w:t>
      </w:r>
      <w:r w:rsidR="00A912A6" w:rsidRPr="005A35D8">
        <w:rPr>
          <w:rStyle w:val="hps"/>
        </w:rPr>
        <w:t xml:space="preserve">à des </w:t>
      </w:r>
      <w:r w:rsidR="00C86E32" w:rsidRPr="005A35D8">
        <w:rPr>
          <w:rStyle w:val="hps"/>
        </w:rPr>
        <w:t>statistiques</w:t>
      </w:r>
      <w:r w:rsidR="00C86E32" w:rsidRPr="005A35D8">
        <w:t xml:space="preserve"> </w:t>
      </w:r>
      <w:r w:rsidR="00C86E32" w:rsidRPr="005A35D8">
        <w:rPr>
          <w:rStyle w:val="hps"/>
        </w:rPr>
        <w:t>de risque</w:t>
      </w:r>
      <w:r w:rsidR="00C86E32" w:rsidRPr="005A35D8">
        <w:t>.</w:t>
      </w:r>
      <w:r w:rsidR="00A912A6" w:rsidRPr="005A35D8">
        <w:t xml:space="preserve"> </w:t>
      </w:r>
      <w:r w:rsidR="00C86E32" w:rsidRPr="005A35D8">
        <w:t xml:space="preserve"> </w:t>
      </w:r>
      <w:r w:rsidR="00A912A6" w:rsidRPr="005A35D8">
        <w:rPr>
          <w:rStyle w:val="hps"/>
        </w:rPr>
        <w:t xml:space="preserve">Le rôle du trésorier consiste également à suivre </w:t>
      </w:r>
      <w:r w:rsidR="00C86E32" w:rsidRPr="005A35D8">
        <w:rPr>
          <w:rStyle w:val="hps"/>
        </w:rPr>
        <w:t>les critères</w:t>
      </w:r>
      <w:r w:rsidR="00C86E32" w:rsidRPr="005A35D8">
        <w:t xml:space="preserve"> </w:t>
      </w:r>
      <w:r w:rsidR="00C86E32" w:rsidRPr="005A35D8">
        <w:rPr>
          <w:rStyle w:val="hps"/>
        </w:rPr>
        <w:t xml:space="preserve">qui </w:t>
      </w:r>
      <w:r w:rsidR="00A912A6" w:rsidRPr="005A35D8">
        <w:rPr>
          <w:rStyle w:val="hps"/>
        </w:rPr>
        <w:t>aboutiraient</w:t>
      </w:r>
      <w:r w:rsidR="00C86E32" w:rsidRPr="005A35D8">
        <w:rPr>
          <w:rStyle w:val="hps"/>
        </w:rPr>
        <w:t xml:space="preserve"> à</w:t>
      </w:r>
      <w:r w:rsidR="00C86E32" w:rsidRPr="005A35D8">
        <w:t xml:space="preserve"> </w:t>
      </w:r>
      <w:r w:rsidR="00085D20" w:rsidRPr="005A35D8">
        <w:t>“</w:t>
      </w:r>
      <w:r w:rsidR="00C86E32" w:rsidRPr="005A35D8">
        <w:rPr>
          <w:rStyle w:val="hps"/>
        </w:rPr>
        <w:t>placer</w:t>
      </w:r>
      <w:r w:rsidR="00C86E32" w:rsidRPr="005A35D8">
        <w:t xml:space="preserve"> </w:t>
      </w:r>
      <w:r w:rsidR="00A912A6" w:rsidRPr="005A35D8">
        <w:t>sous surveillance</w:t>
      </w:r>
      <w:r w:rsidR="00085D20" w:rsidRPr="005A35D8">
        <w:t>”</w:t>
      </w:r>
      <w:r w:rsidR="00A912A6" w:rsidRPr="005A35D8">
        <w:t xml:space="preserve"> </w:t>
      </w:r>
      <w:r w:rsidR="00C86E32" w:rsidRPr="005A35D8">
        <w:rPr>
          <w:rStyle w:val="hps"/>
        </w:rPr>
        <w:t>un gestionnaire de fonds</w:t>
      </w:r>
      <w:r w:rsidR="00C86E32" w:rsidRPr="005A35D8">
        <w:t xml:space="preserve"> </w:t>
      </w:r>
      <w:r w:rsidR="00A912A6" w:rsidRPr="005A35D8">
        <w:rPr>
          <w:rStyle w:val="hps"/>
        </w:rPr>
        <w:t>extérieur</w:t>
      </w:r>
      <w:r w:rsidR="00C86E32" w:rsidRPr="005A35D8">
        <w:rPr>
          <w:rStyle w:val="hps"/>
        </w:rPr>
        <w:t xml:space="preserve"> </w:t>
      </w:r>
      <w:r w:rsidR="00A912A6" w:rsidRPr="005A35D8">
        <w:rPr>
          <w:rStyle w:val="hps"/>
        </w:rPr>
        <w:t>dont le remplacement est envisagé</w:t>
      </w:r>
      <w:r w:rsidR="00C86E32" w:rsidRPr="005A35D8">
        <w:t xml:space="preserve">. </w:t>
      </w:r>
      <w:r w:rsidR="00A912A6" w:rsidRPr="005A35D8">
        <w:t xml:space="preserve"> </w:t>
      </w:r>
      <w:r w:rsidR="00C86E32" w:rsidRPr="005A35D8">
        <w:rPr>
          <w:rStyle w:val="hps"/>
        </w:rPr>
        <w:t xml:space="preserve">Le rapport </w:t>
      </w:r>
      <w:r w:rsidR="00A912A6" w:rsidRPr="005A35D8">
        <w:rPr>
          <w:rStyle w:val="hps"/>
        </w:rPr>
        <w:t>qui en résulte est</w:t>
      </w:r>
      <w:r w:rsidR="00C86E32" w:rsidRPr="005A35D8">
        <w:t xml:space="preserve"> </w:t>
      </w:r>
      <w:r w:rsidR="00C86E32" w:rsidRPr="005A35D8">
        <w:rPr>
          <w:rStyle w:val="hps"/>
        </w:rPr>
        <w:t>soumis au</w:t>
      </w:r>
      <w:r w:rsidR="00C86E32" w:rsidRPr="005A35D8">
        <w:t xml:space="preserve"> </w:t>
      </w:r>
      <w:r w:rsidR="00C86E32" w:rsidRPr="005A35D8">
        <w:rPr>
          <w:rStyle w:val="hps"/>
        </w:rPr>
        <w:t>Comité consultatif</w:t>
      </w:r>
      <w:r w:rsidR="00C86E32" w:rsidRPr="005A35D8">
        <w:t xml:space="preserve"> </w:t>
      </w:r>
      <w:r w:rsidR="00846450" w:rsidRPr="005A35D8">
        <w:rPr>
          <w:rStyle w:val="hps"/>
        </w:rPr>
        <w:t>des i</w:t>
      </w:r>
      <w:r w:rsidR="00C86E32" w:rsidRPr="005A35D8">
        <w:rPr>
          <w:rStyle w:val="hps"/>
        </w:rPr>
        <w:t>nvestissements</w:t>
      </w:r>
      <w:r w:rsidR="00C86E32" w:rsidRPr="005A35D8">
        <w:t xml:space="preserve"> </w:t>
      </w:r>
      <w:r w:rsidR="00846450" w:rsidRPr="005A35D8">
        <w:rPr>
          <w:rStyle w:val="hps"/>
        </w:rPr>
        <w:t>par le biais du</w:t>
      </w:r>
      <w:r w:rsidR="00C86E32" w:rsidRPr="005A35D8">
        <w:t xml:space="preserve"> </w:t>
      </w:r>
      <w:r w:rsidR="00C86E32" w:rsidRPr="005A35D8">
        <w:rPr>
          <w:rStyle w:val="hps"/>
        </w:rPr>
        <w:t>contrôleur</w:t>
      </w:r>
      <w:r w:rsidR="00C86E32" w:rsidRPr="005A35D8">
        <w:t xml:space="preserve">. </w:t>
      </w:r>
      <w:r w:rsidR="00846450" w:rsidRPr="005A35D8">
        <w:t xml:space="preserve"> </w:t>
      </w:r>
      <w:r w:rsidR="00C86E32" w:rsidRPr="005A35D8">
        <w:rPr>
          <w:rStyle w:val="hps"/>
        </w:rPr>
        <w:t>Le trésorier</w:t>
      </w:r>
      <w:r w:rsidR="00C86E32" w:rsidRPr="005A35D8">
        <w:t xml:space="preserve"> </w:t>
      </w:r>
      <w:r w:rsidR="00846450" w:rsidRPr="005A35D8">
        <w:rPr>
          <w:rStyle w:val="hps"/>
        </w:rPr>
        <w:t>entreprend</w:t>
      </w:r>
      <w:r w:rsidR="00C86E32" w:rsidRPr="005A35D8">
        <w:t xml:space="preserve"> </w:t>
      </w:r>
      <w:r w:rsidR="00C86E32" w:rsidRPr="005A35D8">
        <w:rPr>
          <w:rStyle w:val="hps"/>
        </w:rPr>
        <w:t>également un examen</w:t>
      </w:r>
      <w:r w:rsidR="00C86E32" w:rsidRPr="005A35D8">
        <w:t xml:space="preserve"> </w:t>
      </w:r>
      <w:r w:rsidR="00C86E32" w:rsidRPr="005A35D8">
        <w:rPr>
          <w:rStyle w:val="hps"/>
        </w:rPr>
        <w:t>de fin de mois</w:t>
      </w:r>
      <w:r w:rsidR="00C86E32" w:rsidRPr="005A35D8">
        <w:t xml:space="preserve"> </w:t>
      </w:r>
      <w:r w:rsidR="00C86E32" w:rsidRPr="005A35D8">
        <w:rPr>
          <w:rStyle w:val="hps"/>
        </w:rPr>
        <w:t xml:space="preserve">des </w:t>
      </w:r>
      <w:r w:rsidR="00846450" w:rsidRPr="005A35D8">
        <w:rPr>
          <w:rStyle w:val="hps"/>
        </w:rPr>
        <w:t>exécutions d</w:t>
      </w:r>
      <w:r w:rsidR="00295456" w:rsidRPr="005A35D8">
        <w:rPr>
          <w:rStyle w:val="hps"/>
        </w:rPr>
        <w:t>’</w:t>
      </w:r>
      <w:r w:rsidR="00846450" w:rsidRPr="005A35D8">
        <w:rPr>
          <w:rStyle w:val="hps"/>
        </w:rPr>
        <w:t>ordres</w:t>
      </w:r>
      <w:r w:rsidR="00490611" w:rsidRPr="005A35D8">
        <w:rPr>
          <w:rFonts w:eastAsia="Times New Roman"/>
          <w:lang w:eastAsia="en-US"/>
        </w:rPr>
        <w:t>.</w:t>
      </w:r>
    </w:p>
    <w:p w:rsidR="000243E3" w:rsidRPr="005A35D8" w:rsidRDefault="00C86E32" w:rsidP="00630448">
      <w:pPr>
        <w:pStyle w:val="ONUMFS"/>
        <w:rPr>
          <w:rFonts w:eastAsia="Times New Roman"/>
          <w:lang w:eastAsia="en-US"/>
        </w:rPr>
      </w:pPr>
      <w:r w:rsidRPr="005A35D8">
        <w:rPr>
          <w:rStyle w:val="hps"/>
        </w:rPr>
        <w:t>Les projections</w:t>
      </w:r>
      <w:r w:rsidRPr="005A35D8">
        <w:t xml:space="preserve"> </w:t>
      </w:r>
      <w:r w:rsidRPr="005A35D8">
        <w:rPr>
          <w:rStyle w:val="hps"/>
        </w:rPr>
        <w:t>de mouvements de trésorerie</w:t>
      </w:r>
      <w:r w:rsidRPr="005A35D8">
        <w:t xml:space="preserve"> </w:t>
      </w:r>
      <w:r w:rsidRPr="005A35D8">
        <w:rPr>
          <w:rStyle w:val="hps"/>
        </w:rPr>
        <w:t>pour les deux</w:t>
      </w:r>
      <w:r w:rsidR="00846450" w:rsidRPr="005A35D8">
        <w:rPr>
          <w:rStyle w:val="hps"/>
        </w:rPr>
        <w:t> </w:t>
      </w:r>
      <w:r w:rsidRPr="005A35D8">
        <w:rPr>
          <w:rStyle w:val="hps"/>
        </w:rPr>
        <w:t xml:space="preserve">catégories </w:t>
      </w:r>
      <w:r w:rsidR="00846450" w:rsidRPr="005A35D8">
        <w:rPr>
          <w:rStyle w:val="hps"/>
        </w:rPr>
        <w:t>de placements</w:t>
      </w:r>
      <w:r w:rsidRPr="005A35D8">
        <w:t xml:space="preserve"> </w:t>
      </w:r>
      <w:r w:rsidR="00846450" w:rsidRPr="005A35D8">
        <w:rPr>
          <w:rStyle w:val="hps"/>
        </w:rPr>
        <w:t xml:space="preserve">sont mises </w:t>
      </w:r>
      <w:r w:rsidRPr="005A35D8">
        <w:rPr>
          <w:rStyle w:val="hps"/>
        </w:rPr>
        <w:t>à jour</w:t>
      </w:r>
      <w:r w:rsidRPr="005A35D8">
        <w:t xml:space="preserve"> </w:t>
      </w:r>
      <w:r w:rsidRPr="005A35D8">
        <w:rPr>
          <w:rStyle w:val="hps"/>
        </w:rPr>
        <w:t>sur une base mensuelle</w:t>
      </w:r>
      <w:r w:rsidRPr="005A35D8">
        <w:t xml:space="preserve"> </w:t>
      </w:r>
      <w:r w:rsidRPr="005A35D8">
        <w:rPr>
          <w:rStyle w:val="hps"/>
        </w:rPr>
        <w:t>par le trésorier</w:t>
      </w:r>
      <w:r w:rsidRPr="005A35D8">
        <w:t xml:space="preserve"> </w:t>
      </w:r>
      <w:r w:rsidRPr="005A35D8">
        <w:rPr>
          <w:rStyle w:val="hps"/>
        </w:rPr>
        <w:t>afin de garantir</w:t>
      </w:r>
      <w:r w:rsidRPr="005A35D8">
        <w:t xml:space="preserve"> </w:t>
      </w:r>
      <w:r w:rsidRPr="005A35D8">
        <w:rPr>
          <w:rStyle w:val="hps"/>
        </w:rPr>
        <w:t>que des fonds suffisants</w:t>
      </w:r>
      <w:r w:rsidRPr="005A35D8">
        <w:t xml:space="preserve"> </w:t>
      </w:r>
      <w:r w:rsidRPr="005A35D8">
        <w:rPr>
          <w:rStyle w:val="hps"/>
        </w:rPr>
        <w:t>sont disponibles</w:t>
      </w:r>
      <w:r w:rsidRPr="005A35D8">
        <w:t xml:space="preserve"> </w:t>
      </w:r>
      <w:r w:rsidR="00846450" w:rsidRPr="005A35D8">
        <w:rPr>
          <w:rStyle w:val="hps"/>
        </w:rPr>
        <w:t>dans les deux </w:t>
      </w:r>
      <w:r w:rsidRPr="005A35D8">
        <w:rPr>
          <w:rStyle w:val="hps"/>
        </w:rPr>
        <w:t>catégories</w:t>
      </w:r>
      <w:r w:rsidRPr="005A35D8">
        <w:t xml:space="preserve"> </w:t>
      </w:r>
      <w:r w:rsidRPr="005A35D8">
        <w:rPr>
          <w:rStyle w:val="hps"/>
        </w:rPr>
        <w:t xml:space="preserve">pour répondre aux </w:t>
      </w:r>
      <w:r w:rsidR="00846450" w:rsidRPr="005A35D8">
        <w:rPr>
          <w:rStyle w:val="hps"/>
        </w:rPr>
        <w:t>besoins</w:t>
      </w:r>
      <w:r w:rsidRPr="005A35D8">
        <w:t xml:space="preserve"> </w:t>
      </w:r>
      <w:r w:rsidRPr="005A35D8">
        <w:rPr>
          <w:rStyle w:val="hps"/>
        </w:rPr>
        <w:t>de liquidité</w:t>
      </w:r>
      <w:r w:rsidR="00846450" w:rsidRPr="005A35D8">
        <w:rPr>
          <w:rStyle w:val="hps"/>
        </w:rPr>
        <w:t>s</w:t>
      </w:r>
      <w:r w:rsidRPr="005A35D8">
        <w:t xml:space="preserve">. </w:t>
      </w:r>
      <w:r w:rsidR="00846450" w:rsidRPr="005A35D8">
        <w:t xml:space="preserve"> </w:t>
      </w:r>
      <w:r w:rsidRPr="005A35D8">
        <w:rPr>
          <w:rStyle w:val="hps"/>
        </w:rPr>
        <w:t>Le trésorier</w:t>
      </w:r>
      <w:r w:rsidRPr="005A35D8">
        <w:t xml:space="preserve"> </w:t>
      </w:r>
      <w:r w:rsidRPr="005A35D8">
        <w:rPr>
          <w:rStyle w:val="hps"/>
        </w:rPr>
        <w:t>est également responsable de</w:t>
      </w:r>
      <w:r w:rsidRPr="005A35D8">
        <w:t xml:space="preserve"> </w:t>
      </w:r>
      <w:r w:rsidRPr="005A35D8">
        <w:rPr>
          <w:rStyle w:val="hps"/>
        </w:rPr>
        <w:t>la gestion des relations</w:t>
      </w:r>
      <w:r w:rsidRPr="005A35D8">
        <w:t xml:space="preserve"> </w:t>
      </w:r>
      <w:r w:rsidRPr="005A35D8">
        <w:rPr>
          <w:rStyle w:val="hps"/>
        </w:rPr>
        <w:t>avec les banques et</w:t>
      </w:r>
      <w:r w:rsidRPr="005A35D8">
        <w:t xml:space="preserve"> </w:t>
      </w:r>
      <w:r w:rsidRPr="005A35D8">
        <w:rPr>
          <w:rStyle w:val="hps"/>
        </w:rPr>
        <w:t>toutes les autres</w:t>
      </w:r>
      <w:r w:rsidRPr="005A35D8">
        <w:t xml:space="preserve"> </w:t>
      </w:r>
      <w:r w:rsidRPr="005A35D8">
        <w:rPr>
          <w:rStyle w:val="hps"/>
        </w:rPr>
        <w:t>contreparties financières</w:t>
      </w:r>
      <w:r w:rsidR="00846450" w:rsidRPr="005A35D8">
        <w:t xml:space="preserve"> ainsi que</w:t>
      </w:r>
      <w:r w:rsidRPr="005A35D8">
        <w:rPr>
          <w:rStyle w:val="hps"/>
        </w:rPr>
        <w:t xml:space="preserve"> </w:t>
      </w:r>
      <w:r w:rsidR="00846450" w:rsidRPr="005A35D8">
        <w:rPr>
          <w:rStyle w:val="hps"/>
        </w:rPr>
        <w:t>du</w:t>
      </w:r>
      <w:r w:rsidRPr="005A35D8">
        <w:rPr>
          <w:rStyle w:val="hps"/>
        </w:rPr>
        <w:t xml:space="preserve"> suivi</w:t>
      </w:r>
      <w:r w:rsidRPr="005A35D8">
        <w:t xml:space="preserve"> </w:t>
      </w:r>
      <w:r w:rsidRPr="005A35D8">
        <w:rPr>
          <w:rStyle w:val="hps"/>
        </w:rPr>
        <w:t>trimestriel de</w:t>
      </w:r>
      <w:r w:rsidRPr="005A35D8">
        <w:t xml:space="preserve"> </w:t>
      </w:r>
      <w:r w:rsidRPr="005A35D8">
        <w:rPr>
          <w:rStyle w:val="hps"/>
        </w:rPr>
        <w:t>leurs</w:t>
      </w:r>
      <w:r w:rsidRPr="005A35D8">
        <w:t xml:space="preserve"> </w:t>
      </w:r>
      <w:r w:rsidR="00846450" w:rsidRPr="005A35D8">
        <w:rPr>
          <w:rStyle w:val="hps"/>
        </w:rPr>
        <w:t>notations</w:t>
      </w:r>
      <w:r w:rsidR="00490611" w:rsidRPr="005A35D8">
        <w:rPr>
          <w:rFonts w:eastAsia="Times New Roman"/>
          <w:lang w:eastAsia="en-US"/>
        </w:rPr>
        <w:t>.</w:t>
      </w:r>
    </w:p>
    <w:p w:rsidR="000243E3" w:rsidRPr="005A35D8" w:rsidRDefault="007200D1" w:rsidP="00630448">
      <w:pPr>
        <w:pStyle w:val="ONUMFS"/>
        <w:rPr>
          <w:rFonts w:eastAsia="Times New Roman"/>
          <w:lang w:eastAsia="en-US"/>
        </w:rPr>
      </w:pPr>
      <w:r w:rsidRPr="005A35D8">
        <w:t xml:space="preserve">La responsabilité </w:t>
      </w:r>
      <w:r w:rsidR="00846450" w:rsidRPr="005A35D8">
        <w:t xml:space="preserve">en matière de placements </w:t>
      </w:r>
      <w:r w:rsidRPr="005A35D8">
        <w:t>de la trésorerie d</w:t>
      </w:r>
      <w:r w:rsidR="00295456" w:rsidRPr="005A35D8">
        <w:t>’</w:t>
      </w:r>
      <w:r w:rsidRPr="005A35D8">
        <w:t xml:space="preserve">exploitation </w:t>
      </w:r>
      <w:r w:rsidR="00846450" w:rsidRPr="005A35D8">
        <w:t>incombe</w:t>
      </w:r>
      <w:r w:rsidRPr="005A35D8">
        <w:t xml:space="preserve"> au Trésorier. </w:t>
      </w:r>
      <w:r w:rsidR="00846450" w:rsidRPr="005A35D8">
        <w:t xml:space="preserve"> Elle</w:t>
      </w:r>
      <w:r w:rsidRPr="005A35D8">
        <w:t xml:space="preserve"> inclut, mais ne se limite pas à </w:t>
      </w:r>
      <w:r w:rsidR="00490611" w:rsidRPr="005A35D8">
        <w:rPr>
          <w:rFonts w:eastAsia="Times New Roman"/>
          <w:lang w:eastAsia="en-US"/>
        </w:rPr>
        <w:t>:</w:t>
      </w:r>
    </w:p>
    <w:p w:rsidR="000243E3" w:rsidRPr="005A35D8" w:rsidRDefault="007200D1" w:rsidP="0044721B">
      <w:pPr>
        <w:pStyle w:val="ONUMFS"/>
        <w:numPr>
          <w:ilvl w:val="1"/>
          <w:numId w:val="2"/>
        </w:numPr>
        <w:rPr>
          <w:lang w:eastAsia="en-US"/>
        </w:rPr>
      </w:pPr>
      <w:r w:rsidRPr="005A35D8">
        <w:t xml:space="preserve">la </w:t>
      </w:r>
      <w:r w:rsidR="00846450" w:rsidRPr="005A35D8">
        <w:t>création</w:t>
      </w:r>
      <w:r w:rsidRPr="005A35D8">
        <w:t xml:space="preserve"> d</w:t>
      </w:r>
      <w:r w:rsidR="00295456" w:rsidRPr="005A35D8">
        <w:t>’</w:t>
      </w:r>
      <w:r w:rsidRPr="005A35D8">
        <w:t>un portefeuille de placements qui répond aux besoins de liquidités de l</w:t>
      </w:r>
      <w:r w:rsidR="00295456" w:rsidRPr="005A35D8">
        <w:t>’</w:t>
      </w:r>
      <w:r w:rsidRPr="005A35D8">
        <w:t>Organisation</w:t>
      </w:r>
      <w:r w:rsidR="00490611" w:rsidRPr="005A35D8">
        <w:rPr>
          <w:lang w:eastAsia="en-US"/>
        </w:rPr>
        <w:t>;</w:t>
      </w:r>
    </w:p>
    <w:p w:rsidR="000243E3" w:rsidRPr="005A35D8" w:rsidRDefault="007200D1" w:rsidP="0044721B">
      <w:pPr>
        <w:pStyle w:val="ONUMFS"/>
        <w:numPr>
          <w:ilvl w:val="1"/>
          <w:numId w:val="2"/>
        </w:numPr>
        <w:rPr>
          <w:lang w:eastAsia="en-US"/>
        </w:rPr>
      </w:pPr>
      <w:r w:rsidRPr="005A35D8">
        <w:lastRenderedPageBreak/>
        <w:t>la négociation avec des contreparties de placement établi</w:t>
      </w:r>
      <w:r w:rsidR="00937F53" w:rsidRPr="005A35D8">
        <w:t xml:space="preserve">es et </w:t>
      </w:r>
      <w:r w:rsidRPr="005A35D8">
        <w:t xml:space="preserve">dans </w:t>
      </w:r>
      <w:r w:rsidR="00846450" w:rsidRPr="005A35D8">
        <w:t>des</w:t>
      </w:r>
      <w:r w:rsidRPr="005A35D8">
        <w:t xml:space="preserve"> classes d</w:t>
      </w:r>
      <w:r w:rsidR="00295456" w:rsidRPr="005A35D8">
        <w:t>’</w:t>
      </w:r>
      <w:r w:rsidRPr="005A35D8">
        <w:t xml:space="preserve">actifs </w:t>
      </w:r>
      <w:r w:rsidR="00846450" w:rsidRPr="005A35D8">
        <w:t>en adéqu</w:t>
      </w:r>
      <w:r w:rsidR="00937F53" w:rsidRPr="005A35D8">
        <w:t>a</w:t>
      </w:r>
      <w:r w:rsidR="00846450" w:rsidRPr="005A35D8">
        <w:t xml:space="preserve">tion avec les modalités </w:t>
      </w:r>
      <w:r w:rsidRPr="005A35D8">
        <w:t xml:space="preserve">de </w:t>
      </w:r>
      <w:r w:rsidR="00846450" w:rsidRPr="005A35D8">
        <w:t>la présente</w:t>
      </w:r>
      <w:r w:rsidRPr="005A35D8">
        <w:t xml:space="preserve"> politique en </w:t>
      </w:r>
      <w:r w:rsidR="00846450" w:rsidRPr="005A35D8">
        <w:t>m</w:t>
      </w:r>
      <w:r w:rsidRPr="005A35D8">
        <w:t>atière de placements</w:t>
      </w:r>
      <w:r w:rsidR="00490611" w:rsidRPr="005A35D8">
        <w:rPr>
          <w:lang w:eastAsia="en-US"/>
        </w:rPr>
        <w:t>;</w:t>
      </w:r>
    </w:p>
    <w:p w:rsidR="000243E3" w:rsidRPr="005A35D8" w:rsidRDefault="007200D1" w:rsidP="0044721B">
      <w:pPr>
        <w:pStyle w:val="ONUMFS"/>
        <w:numPr>
          <w:ilvl w:val="1"/>
          <w:numId w:val="2"/>
        </w:numPr>
        <w:rPr>
          <w:lang w:eastAsia="en-US"/>
        </w:rPr>
      </w:pPr>
      <w:r w:rsidRPr="005A35D8">
        <w:t>l</w:t>
      </w:r>
      <w:r w:rsidR="00295456" w:rsidRPr="005A35D8">
        <w:t>’</w:t>
      </w:r>
      <w:r w:rsidRPr="005A35D8">
        <w:t xml:space="preserve">évaluation </w:t>
      </w:r>
      <w:r w:rsidR="00937F53" w:rsidRPr="005A35D8">
        <w:t xml:space="preserve">des relations avec les contreparties de placement </w:t>
      </w:r>
      <w:r w:rsidRPr="005A35D8">
        <w:t xml:space="preserve">et le maintien de relations avec </w:t>
      </w:r>
      <w:r w:rsidR="00937F53" w:rsidRPr="005A35D8">
        <w:t>lesdites</w:t>
      </w:r>
      <w:r w:rsidRPr="005A35D8">
        <w:t xml:space="preserve"> contreparties, </w:t>
      </w:r>
      <w:r w:rsidR="00295456" w:rsidRPr="005A35D8">
        <w:t>y compris</w:t>
      </w:r>
      <w:r w:rsidRPr="005A35D8">
        <w:t xml:space="preserve"> la coordination de la documentation juridique</w:t>
      </w:r>
      <w:r w:rsidR="00490611" w:rsidRPr="005A35D8">
        <w:rPr>
          <w:lang w:eastAsia="en-US"/>
        </w:rPr>
        <w:t>;</w:t>
      </w:r>
    </w:p>
    <w:p w:rsidR="000243E3" w:rsidRPr="005A35D8" w:rsidRDefault="007200D1" w:rsidP="0044721B">
      <w:pPr>
        <w:pStyle w:val="ONUMFS"/>
        <w:numPr>
          <w:ilvl w:val="1"/>
          <w:numId w:val="2"/>
        </w:numPr>
        <w:rPr>
          <w:lang w:eastAsia="en-US"/>
        </w:rPr>
      </w:pPr>
      <w:r w:rsidRPr="005A35D8">
        <w:t>l</w:t>
      </w:r>
      <w:r w:rsidR="00295456" w:rsidRPr="005A35D8">
        <w:t>’</w:t>
      </w:r>
      <w:r w:rsidRPr="005A35D8">
        <w:t>analyse du risque de crédit des contreparties</w:t>
      </w:r>
      <w:r w:rsidR="00490611" w:rsidRPr="005A35D8">
        <w:rPr>
          <w:lang w:eastAsia="en-US"/>
        </w:rPr>
        <w:t>;</w:t>
      </w:r>
    </w:p>
    <w:p w:rsidR="000243E3" w:rsidRPr="005A35D8" w:rsidRDefault="007200D1" w:rsidP="0044721B">
      <w:pPr>
        <w:pStyle w:val="ONUMFS"/>
        <w:numPr>
          <w:ilvl w:val="1"/>
          <w:numId w:val="2"/>
        </w:numPr>
        <w:rPr>
          <w:lang w:eastAsia="en-US"/>
        </w:rPr>
      </w:pPr>
      <w:r w:rsidRPr="005A35D8">
        <w:t>l</w:t>
      </w:r>
      <w:r w:rsidR="00295456" w:rsidRPr="005A35D8">
        <w:t>’</w:t>
      </w:r>
      <w:r w:rsidRPr="005A35D8">
        <w:t>analyse du risque souverain</w:t>
      </w:r>
      <w:r w:rsidRPr="005A35D8">
        <w:rPr>
          <w:lang w:eastAsia="en-US"/>
        </w:rPr>
        <w:t>;</w:t>
      </w:r>
    </w:p>
    <w:p w:rsidR="000243E3" w:rsidRPr="005A35D8" w:rsidRDefault="007200D1" w:rsidP="0044721B">
      <w:pPr>
        <w:pStyle w:val="ONUMFS"/>
        <w:numPr>
          <w:ilvl w:val="1"/>
          <w:numId w:val="2"/>
        </w:numPr>
        <w:rPr>
          <w:lang w:eastAsia="en-US"/>
        </w:rPr>
      </w:pPr>
      <w:r w:rsidRPr="005A35D8">
        <w:rPr>
          <w:lang w:eastAsia="en-US"/>
        </w:rPr>
        <w:t xml:space="preserve">la </w:t>
      </w:r>
      <w:r w:rsidRPr="005A35D8">
        <w:t>surveillance des marchés financiers</w:t>
      </w:r>
      <w:r w:rsidR="00490611" w:rsidRPr="005A35D8">
        <w:rPr>
          <w:lang w:eastAsia="en-US"/>
        </w:rPr>
        <w:t>.</w:t>
      </w:r>
    </w:p>
    <w:p w:rsidR="000243E3" w:rsidRPr="005A35D8" w:rsidRDefault="00937F53" w:rsidP="00630448">
      <w:pPr>
        <w:pStyle w:val="ONUMFS"/>
        <w:rPr>
          <w:rFonts w:eastAsia="Times New Roman"/>
          <w:lang w:eastAsia="en-US"/>
        </w:rPr>
      </w:pPr>
      <w:r w:rsidRPr="005A35D8">
        <w:t>Chaque trimestre, d</w:t>
      </w:r>
      <w:r w:rsidR="007200D1" w:rsidRPr="005A35D8">
        <w:t xml:space="preserve">es rapports sur </w:t>
      </w:r>
      <w:r w:rsidRPr="005A35D8">
        <w:t>les performances en matière de</w:t>
      </w:r>
      <w:r w:rsidR="007200D1" w:rsidRPr="005A35D8">
        <w:t xml:space="preserve"> trésorerie d</w:t>
      </w:r>
      <w:r w:rsidR="00295456" w:rsidRPr="005A35D8">
        <w:t>’</w:t>
      </w:r>
      <w:r w:rsidR="007200D1" w:rsidRPr="005A35D8">
        <w:t>exploitation</w:t>
      </w:r>
      <w:r w:rsidRPr="005A35D8">
        <w:t xml:space="preserve"> sont présentés</w:t>
      </w:r>
      <w:r w:rsidR="007200D1" w:rsidRPr="005A35D8">
        <w:t xml:space="preserve"> par le trésorier </w:t>
      </w:r>
      <w:r w:rsidRPr="005A35D8">
        <w:t>au Comité consultatif des investissements par le biais du</w:t>
      </w:r>
      <w:r w:rsidR="007200D1" w:rsidRPr="005A35D8">
        <w:t xml:space="preserve"> contrôleur</w:t>
      </w:r>
      <w:r w:rsidR="00490611" w:rsidRPr="005A35D8">
        <w:rPr>
          <w:rFonts w:eastAsia="Times New Roman"/>
          <w:lang w:eastAsia="en-US"/>
        </w:rPr>
        <w:t>.</w:t>
      </w:r>
    </w:p>
    <w:p w:rsidR="000243E3" w:rsidRPr="005A35D8" w:rsidRDefault="00923158" w:rsidP="0047106D">
      <w:pPr>
        <w:spacing w:before="120" w:after="120"/>
        <w:rPr>
          <w:rFonts w:eastAsia="Times New Roman"/>
          <w:u w:val="single"/>
          <w:lang w:eastAsia="en-US"/>
        </w:rPr>
      </w:pPr>
      <w:r w:rsidRPr="005A35D8">
        <w:rPr>
          <w:rFonts w:eastAsia="Times New Roman"/>
          <w:u w:val="single"/>
          <w:lang w:eastAsia="en-US"/>
        </w:rPr>
        <w:t>Gestionnaires de fonds extérieurs</w:t>
      </w:r>
    </w:p>
    <w:p w:rsidR="000243E3" w:rsidRPr="005A35D8" w:rsidRDefault="00937F53" w:rsidP="00630448">
      <w:pPr>
        <w:pStyle w:val="ONUMFS"/>
        <w:rPr>
          <w:rFonts w:eastAsia="Times New Roman"/>
          <w:lang w:eastAsia="en-US"/>
        </w:rPr>
      </w:pPr>
      <w:r w:rsidRPr="005A35D8">
        <w:t>Il s</w:t>
      </w:r>
      <w:r w:rsidR="00295456" w:rsidRPr="005A35D8">
        <w:t>’</w:t>
      </w:r>
      <w:r w:rsidRPr="005A35D8">
        <w:t>agit des</w:t>
      </w:r>
      <w:r w:rsidR="007200D1" w:rsidRPr="005A35D8">
        <w:t xml:space="preserve"> </w:t>
      </w:r>
      <w:r w:rsidRPr="005A35D8">
        <w:t>personnes</w:t>
      </w:r>
      <w:r w:rsidR="007200D1" w:rsidRPr="005A35D8">
        <w:t xml:space="preserve"> et </w:t>
      </w:r>
      <w:r w:rsidRPr="005A35D8">
        <w:t>des</w:t>
      </w:r>
      <w:r w:rsidR="007200D1" w:rsidRPr="005A35D8">
        <w:t xml:space="preserve"> </w:t>
      </w:r>
      <w:r w:rsidRPr="005A35D8">
        <w:t>sociétés</w:t>
      </w:r>
      <w:r w:rsidR="007200D1" w:rsidRPr="005A35D8">
        <w:t xml:space="preserve"> qui fournissent des services de gestion </w:t>
      </w:r>
      <w:r w:rsidRPr="005A35D8">
        <w:t>de placements</w:t>
      </w:r>
      <w:r w:rsidR="007200D1" w:rsidRPr="005A35D8">
        <w:t xml:space="preserve"> </w:t>
      </w:r>
      <w:r w:rsidRPr="005A35D8">
        <w:t>où</w:t>
      </w:r>
      <w:r w:rsidR="007200D1" w:rsidRPr="005A35D8">
        <w:t xml:space="preserve"> les actifs tels que les actions, les obligations et </w:t>
      </w:r>
      <w:r w:rsidRPr="005A35D8">
        <w:t>les valeurs immobilières</w:t>
      </w:r>
      <w:r w:rsidR="007200D1" w:rsidRPr="005A35D8">
        <w:t xml:space="preserve"> sont gérés par des professionnels afin de répondre à des objectifs spécifiques </w:t>
      </w:r>
      <w:r w:rsidRPr="005A35D8">
        <w:t>de placement</w:t>
      </w:r>
      <w:r w:rsidR="007200D1" w:rsidRPr="005A35D8">
        <w:t xml:space="preserve"> pour le compte de l</w:t>
      </w:r>
      <w:r w:rsidR="00295456" w:rsidRPr="005A35D8">
        <w:t>’</w:t>
      </w:r>
      <w:r w:rsidR="007200D1" w:rsidRPr="005A35D8">
        <w:t>Organisation</w:t>
      </w:r>
      <w:r w:rsidR="00490611" w:rsidRPr="005A35D8">
        <w:rPr>
          <w:rFonts w:eastAsia="Times New Roman"/>
          <w:lang w:eastAsia="en-US"/>
        </w:rPr>
        <w:t>.</w:t>
      </w:r>
    </w:p>
    <w:p w:rsidR="000243E3" w:rsidRPr="005A35D8" w:rsidRDefault="007200D1" w:rsidP="0047106D">
      <w:pPr>
        <w:spacing w:before="120" w:after="120"/>
        <w:rPr>
          <w:rFonts w:eastAsia="Times New Roman"/>
          <w:u w:val="single"/>
          <w:lang w:eastAsia="en-US"/>
        </w:rPr>
      </w:pPr>
      <w:r w:rsidRPr="005A35D8">
        <w:rPr>
          <w:rFonts w:eastAsia="Times New Roman"/>
          <w:u w:val="single"/>
          <w:lang w:eastAsia="en-US"/>
        </w:rPr>
        <w:t>Dépositaire</w:t>
      </w:r>
    </w:p>
    <w:p w:rsidR="000243E3" w:rsidRPr="005A35D8" w:rsidRDefault="007200D1" w:rsidP="00630448">
      <w:pPr>
        <w:pStyle w:val="ONUMFS"/>
        <w:rPr>
          <w:rFonts w:eastAsia="Times New Roman"/>
          <w:lang w:eastAsia="en-US"/>
        </w:rPr>
      </w:pPr>
      <w:r w:rsidRPr="005A35D8">
        <w:t>Il s</w:t>
      </w:r>
      <w:r w:rsidR="00295456" w:rsidRPr="005A35D8">
        <w:t>’</w:t>
      </w:r>
      <w:r w:rsidRPr="005A35D8">
        <w:t>agit de l</w:t>
      </w:r>
      <w:r w:rsidR="00295456" w:rsidRPr="005A35D8">
        <w:t>’</w:t>
      </w:r>
      <w:r w:rsidRPr="005A35D8">
        <w:t>institution financière responsable de la sauvegarde des actifs financiers de l</w:t>
      </w:r>
      <w:r w:rsidR="00295456" w:rsidRPr="005A35D8">
        <w:t>’</w:t>
      </w:r>
      <w:r w:rsidRPr="005A35D8">
        <w:t>Organisation.</w:t>
      </w:r>
      <w:r w:rsidR="00937F53" w:rsidRPr="005A35D8">
        <w:t xml:space="preserve"> </w:t>
      </w:r>
      <w:r w:rsidRPr="005A35D8">
        <w:t xml:space="preserve"> Le dépositaire détient les actifs tels que les actions et les obligations et </w:t>
      </w:r>
      <w:r w:rsidR="00937F53" w:rsidRPr="005A35D8">
        <w:t>veille au</w:t>
      </w:r>
      <w:r w:rsidRPr="005A35D8">
        <w:t xml:space="preserve"> règlement </w:t>
      </w:r>
      <w:r w:rsidR="00937F53" w:rsidRPr="005A35D8">
        <w:t>de l</w:t>
      </w:r>
      <w:r w:rsidR="00295456" w:rsidRPr="005A35D8">
        <w:t>’</w:t>
      </w:r>
      <w:r w:rsidR="00937F53" w:rsidRPr="005A35D8">
        <w:t>achat</w:t>
      </w:r>
      <w:r w:rsidRPr="005A35D8">
        <w:t xml:space="preserve"> </w:t>
      </w:r>
      <w:r w:rsidR="00937F53" w:rsidRPr="005A35D8">
        <w:t xml:space="preserve">ou de la vente </w:t>
      </w:r>
      <w:r w:rsidRPr="005A35D8">
        <w:t>de ces actifs et</w:t>
      </w:r>
      <w:r w:rsidR="00937F53" w:rsidRPr="005A35D8">
        <w:t xml:space="preserve"> à</w:t>
      </w:r>
      <w:r w:rsidRPr="005A35D8">
        <w:t xml:space="preserve"> la collecte des </w:t>
      </w:r>
      <w:r w:rsidR="00937F53" w:rsidRPr="005A35D8">
        <w:t>recettes</w:t>
      </w:r>
      <w:r w:rsidRPr="005A35D8">
        <w:t>.</w:t>
      </w:r>
      <w:r w:rsidR="00937F53" w:rsidRPr="005A35D8">
        <w:t xml:space="preserve"> </w:t>
      </w:r>
      <w:r w:rsidRPr="005A35D8">
        <w:t xml:space="preserve"> Le dépositaire peut fournir d</w:t>
      </w:r>
      <w:r w:rsidR="00295456" w:rsidRPr="005A35D8">
        <w:t>’</w:t>
      </w:r>
      <w:r w:rsidRPr="005A35D8">
        <w:t>autres services tels que l</w:t>
      </w:r>
      <w:r w:rsidR="00295456" w:rsidRPr="005A35D8">
        <w:t>’</w:t>
      </w:r>
      <w:r w:rsidRPr="005A35D8">
        <w:t xml:space="preserve">analyse des risques, </w:t>
      </w:r>
      <w:r w:rsidR="00937F53" w:rsidRPr="005A35D8">
        <w:t>le suivi</w:t>
      </w:r>
      <w:r w:rsidRPr="005A35D8">
        <w:t xml:space="preserve"> de la performance des gestionnaires de fonds </w:t>
      </w:r>
      <w:r w:rsidR="00937F53" w:rsidRPr="005A35D8">
        <w:t>extérieurs</w:t>
      </w:r>
      <w:r w:rsidRPr="005A35D8">
        <w:t xml:space="preserve"> et </w:t>
      </w:r>
      <w:r w:rsidR="00D35087" w:rsidRPr="005A35D8">
        <w:t>l</w:t>
      </w:r>
      <w:r w:rsidR="00295456" w:rsidRPr="005A35D8">
        <w:t>’</w:t>
      </w:r>
      <w:r w:rsidR="00D35087" w:rsidRPr="005A35D8">
        <w:t>établissement de</w:t>
      </w:r>
      <w:r w:rsidRPr="005A35D8">
        <w:t xml:space="preserve"> rapports de conformité</w:t>
      </w:r>
      <w:r w:rsidR="00490611" w:rsidRPr="005A35D8">
        <w:rPr>
          <w:rFonts w:eastAsia="Times New Roman"/>
          <w:lang w:eastAsia="en-US"/>
        </w:rPr>
        <w:t>.</w:t>
      </w:r>
    </w:p>
    <w:p w:rsidR="000243E3" w:rsidRPr="005A35D8" w:rsidRDefault="000243E3" w:rsidP="00490611">
      <w:pPr>
        <w:rPr>
          <w:rFonts w:eastAsia="Times New Roman"/>
          <w:lang w:eastAsia="en-US"/>
        </w:rPr>
      </w:pPr>
    </w:p>
    <w:p w:rsidR="000243E3" w:rsidRPr="005A35D8" w:rsidRDefault="00795641" w:rsidP="00490611">
      <w:pPr>
        <w:keepNext/>
        <w:outlineLvl w:val="0"/>
        <w:rPr>
          <w:bCs/>
          <w:caps/>
          <w:kern w:val="32"/>
          <w:szCs w:val="32"/>
          <w:lang w:eastAsia="en-US"/>
        </w:rPr>
      </w:pPr>
      <w:r w:rsidRPr="005A35D8">
        <w:rPr>
          <w:bCs/>
          <w:caps/>
          <w:kern w:val="32"/>
          <w:szCs w:val="32"/>
          <w:lang w:eastAsia="en-US"/>
        </w:rPr>
        <w:t>C</w:t>
      </w:r>
      <w:r w:rsidR="004D0E0D" w:rsidRPr="005A35D8">
        <w:rPr>
          <w:bCs/>
          <w:caps/>
          <w:kern w:val="32"/>
          <w:szCs w:val="32"/>
          <w:lang w:eastAsia="en-US"/>
        </w:rPr>
        <w:t>.</w:t>
      </w:r>
      <w:r w:rsidR="004D0E0D" w:rsidRPr="005A35D8">
        <w:rPr>
          <w:bCs/>
          <w:caps/>
          <w:kern w:val="32"/>
          <w:szCs w:val="32"/>
          <w:lang w:eastAsia="en-US"/>
        </w:rPr>
        <w:tab/>
      </w:r>
      <w:r w:rsidR="00D35087" w:rsidRPr="005A35D8">
        <w:rPr>
          <w:rStyle w:val="hps"/>
        </w:rPr>
        <w:t>OBJECTIFS EN MATIÈRE DE PLACEMENTS</w:t>
      </w:r>
      <w:r w:rsidR="00D35087" w:rsidRPr="005A35D8">
        <w:t xml:space="preserve">, </w:t>
      </w:r>
      <w:r w:rsidR="00D35087" w:rsidRPr="005A35D8">
        <w:rPr>
          <w:rStyle w:val="hps"/>
        </w:rPr>
        <w:t xml:space="preserve">TOLÉRANCE AU RISQUE </w:t>
      </w:r>
      <w:r w:rsidR="007200D1" w:rsidRPr="005A35D8">
        <w:rPr>
          <w:rStyle w:val="hps"/>
        </w:rPr>
        <w:t>ET</w:t>
      </w:r>
      <w:r w:rsidR="007200D1" w:rsidRPr="005A35D8">
        <w:t xml:space="preserve"> </w:t>
      </w:r>
      <w:r w:rsidR="007200D1" w:rsidRPr="005A35D8">
        <w:rPr>
          <w:rStyle w:val="hps"/>
        </w:rPr>
        <w:t>CONTRAINTES</w:t>
      </w:r>
    </w:p>
    <w:p w:rsidR="000243E3" w:rsidRPr="005A35D8" w:rsidRDefault="00816745" w:rsidP="00816745">
      <w:pPr>
        <w:spacing w:before="120" w:after="120"/>
        <w:rPr>
          <w:rFonts w:eastAsia="Times New Roman"/>
          <w:u w:val="single"/>
          <w:lang w:eastAsia="en-US"/>
        </w:rPr>
      </w:pPr>
      <w:r w:rsidRPr="005A35D8">
        <w:rPr>
          <w:rFonts w:eastAsia="Times New Roman"/>
          <w:u w:val="single"/>
          <w:lang w:eastAsia="en-US"/>
        </w:rPr>
        <w:t>Objectifs</w:t>
      </w:r>
    </w:p>
    <w:p w:rsidR="000243E3" w:rsidRPr="005A35D8" w:rsidRDefault="00816745" w:rsidP="0044721B">
      <w:pPr>
        <w:pStyle w:val="ONUMFS"/>
        <w:rPr>
          <w:lang w:eastAsia="en-US"/>
        </w:rPr>
      </w:pPr>
      <w:r w:rsidRPr="005A35D8">
        <w:rPr>
          <w:lang w:eastAsia="en-US"/>
        </w:rPr>
        <w:t>Les objectifs de la politique en matière de placements sont fixés à la règle</w:t>
      </w:r>
      <w:r w:rsidR="00085D20" w:rsidRPr="005A35D8">
        <w:rPr>
          <w:lang w:eastAsia="en-US"/>
        </w:rPr>
        <w:t> </w:t>
      </w:r>
      <w:r w:rsidRPr="005A35D8">
        <w:rPr>
          <w:lang w:eastAsia="en-US"/>
        </w:rPr>
        <w:t>104.10.b) du règlement d</w:t>
      </w:r>
      <w:r w:rsidR="00295456" w:rsidRPr="005A35D8">
        <w:rPr>
          <w:lang w:eastAsia="en-US"/>
        </w:rPr>
        <w:t>’</w:t>
      </w:r>
      <w:r w:rsidRPr="005A35D8">
        <w:rPr>
          <w:lang w:eastAsia="en-US"/>
        </w:rPr>
        <w:t>exécution, qui dispose que le contrôleur “veille à ce que les fonds soient détenus dans des monnaies et placés de façon à réduire les risques au minimum en conservant les liquidités nécessaires pour répondre aux besoins de trésorerie de l</w:t>
      </w:r>
      <w:r w:rsidR="00295456" w:rsidRPr="005A35D8">
        <w:rPr>
          <w:lang w:eastAsia="en-US"/>
        </w:rPr>
        <w:t>’</w:t>
      </w:r>
      <w:r w:rsidRPr="005A35D8">
        <w:rPr>
          <w:lang w:eastAsia="en-US"/>
        </w:rPr>
        <w:t>Organisation”.</w:t>
      </w:r>
      <w:r w:rsidR="00490611" w:rsidRPr="005A35D8">
        <w:t xml:space="preserve">  </w:t>
      </w:r>
      <w:r w:rsidRPr="005A35D8">
        <w:rPr>
          <w:lang w:eastAsia="en-US"/>
        </w:rPr>
        <w:t>Par ordre d</w:t>
      </w:r>
      <w:r w:rsidR="00295456" w:rsidRPr="005A35D8">
        <w:rPr>
          <w:lang w:eastAsia="en-US"/>
        </w:rPr>
        <w:t>’</w:t>
      </w:r>
      <w:r w:rsidRPr="005A35D8">
        <w:rPr>
          <w:lang w:eastAsia="en-US"/>
        </w:rPr>
        <w:t>importance, les principaux objectifs de gestion en matière de placements de l</w:t>
      </w:r>
      <w:r w:rsidR="00295456" w:rsidRPr="005A35D8">
        <w:rPr>
          <w:lang w:eastAsia="en-US"/>
        </w:rPr>
        <w:t>’</w:t>
      </w:r>
      <w:r w:rsidRPr="005A35D8">
        <w:rPr>
          <w:lang w:eastAsia="en-US"/>
        </w:rPr>
        <w:t>Organisation sont i) la préservation du capital;  ii)</w:t>
      </w:r>
      <w:r w:rsidR="00085D20" w:rsidRPr="005A35D8">
        <w:rPr>
          <w:lang w:eastAsia="en-US"/>
        </w:rPr>
        <w:t> </w:t>
      </w:r>
      <w:r w:rsidRPr="005A35D8">
        <w:rPr>
          <w:lang w:eastAsia="en-US"/>
        </w:rPr>
        <w:t>la conservation de liquidités et iii)</w:t>
      </w:r>
      <w:r w:rsidR="00085D20" w:rsidRPr="005A35D8">
        <w:rPr>
          <w:lang w:eastAsia="en-US"/>
        </w:rPr>
        <w:t> </w:t>
      </w:r>
      <w:r w:rsidRPr="005A35D8">
        <w:rPr>
          <w:lang w:eastAsia="en-US"/>
        </w:rPr>
        <w:t>le taux de rendement compte tenu des contraintes découlant des points</w:t>
      </w:r>
      <w:r w:rsidR="00085D20" w:rsidRPr="005A35D8">
        <w:rPr>
          <w:lang w:eastAsia="en-US"/>
        </w:rPr>
        <w:t> </w:t>
      </w:r>
      <w:r w:rsidR="00D14880" w:rsidRPr="005A35D8">
        <w:rPr>
          <w:lang w:eastAsia="en-US"/>
        </w:rPr>
        <w:t>i) et </w:t>
      </w:r>
      <w:r w:rsidRPr="005A35D8">
        <w:rPr>
          <w:lang w:eastAsia="en-US"/>
        </w:rPr>
        <w:t>ii).</w:t>
      </w:r>
    </w:p>
    <w:p w:rsidR="000243E3" w:rsidRPr="005A35D8" w:rsidRDefault="007200D1" w:rsidP="0044721B">
      <w:pPr>
        <w:pStyle w:val="ONUMFS"/>
        <w:rPr>
          <w:rFonts w:eastAsia="Times New Roman"/>
          <w:lang w:eastAsia="en-US"/>
        </w:rPr>
      </w:pPr>
      <w:r w:rsidRPr="005A35D8">
        <w:rPr>
          <w:rStyle w:val="hps"/>
        </w:rPr>
        <w:t>L</w:t>
      </w:r>
      <w:r w:rsidR="00295456" w:rsidRPr="005A35D8">
        <w:rPr>
          <w:rStyle w:val="hps"/>
        </w:rPr>
        <w:t>’</w:t>
      </w:r>
      <w:r w:rsidRPr="005A35D8">
        <w:rPr>
          <w:rStyle w:val="hps"/>
        </w:rPr>
        <w:t>Organisation</w:t>
      </w:r>
      <w:r w:rsidRPr="005A35D8">
        <w:t xml:space="preserve"> </w:t>
      </w:r>
      <w:r w:rsidRPr="005A35D8">
        <w:rPr>
          <w:rStyle w:val="hps"/>
        </w:rPr>
        <w:t>vise à</w:t>
      </w:r>
      <w:r w:rsidRPr="005A35D8">
        <w:t xml:space="preserve"> </w:t>
      </w:r>
      <w:r w:rsidRPr="005A35D8">
        <w:rPr>
          <w:rStyle w:val="hps"/>
        </w:rPr>
        <w:t>atteindre un taux</w:t>
      </w:r>
      <w:r w:rsidRPr="005A35D8">
        <w:t xml:space="preserve"> </w:t>
      </w:r>
      <w:r w:rsidRPr="005A35D8">
        <w:rPr>
          <w:rStyle w:val="hps"/>
        </w:rPr>
        <w:t>de rendement du marché</w:t>
      </w:r>
      <w:r w:rsidRPr="005A35D8">
        <w:t xml:space="preserve"> </w:t>
      </w:r>
      <w:r w:rsidRPr="005A35D8">
        <w:rPr>
          <w:rStyle w:val="hps"/>
        </w:rPr>
        <w:t>chaque fois que</w:t>
      </w:r>
      <w:r w:rsidRPr="005A35D8">
        <w:t xml:space="preserve"> </w:t>
      </w:r>
      <w:r w:rsidRPr="005A35D8">
        <w:rPr>
          <w:rStyle w:val="hps"/>
        </w:rPr>
        <w:t>possible et approprié</w:t>
      </w:r>
      <w:r w:rsidRPr="005A35D8">
        <w:t xml:space="preserve"> </w:t>
      </w:r>
      <w:r w:rsidRPr="005A35D8">
        <w:rPr>
          <w:rStyle w:val="hps"/>
        </w:rPr>
        <w:t xml:space="preserve">à la fois </w:t>
      </w:r>
      <w:r w:rsidR="006B52DB" w:rsidRPr="005A35D8">
        <w:rPr>
          <w:rStyle w:val="hps"/>
        </w:rPr>
        <w:t>en ce qui concerne</w:t>
      </w:r>
      <w:r w:rsidRPr="005A35D8">
        <w:t xml:space="preserve"> </w:t>
      </w:r>
      <w:r w:rsidRPr="005A35D8">
        <w:rPr>
          <w:rStyle w:val="hps"/>
        </w:rPr>
        <w:t>la trésorerie</w:t>
      </w:r>
      <w:r w:rsidRPr="005A35D8">
        <w:t xml:space="preserve"> </w:t>
      </w:r>
      <w:r w:rsidRPr="005A35D8">
        <w:rPr>
          <w:rStyle w:val="hps"/>
        </w:rPr>
        <w:t>d</w:t>
      </w:r>
      <w:r w:rsidR="00295456" w:rsidRPr="005A35D8">
        <w:rPr>
          <w:rStyle w:val="hps"/>
        </w:rPr>
        <w:t>’</w:t>
      </w:r>
      <w:r w:rsidRPr="005A35D8">
        <w:rPr>
          <w:rStyle w:val="hps"/>
        </w:rPr>
        <w:t>exploitation</w:t>
      </w:r>
      <w:r w:rsidRPr="005A35D8">
        <w:t xml:space="preserve"> </w:t>
      </w:r>
      <w:r w:rsidRPr="005A35D8">
        <w:rPr>
          <w:rStyle w:val="hps"/>
        </w:rPr>
        <w:t xml:space="preserve">et </w:t>
      </w:r>
      <w:r w:rsidR="006B52DB" w:rsidRPr="005A35D8">
        <w:rPr>
          <w:rStyle w:val="hps"/>
        </w:rPr>
        <w:t>les fonds propres</w:t>
      </w:r>
      <w:r w:rsidRPr="005A35D8">
        <w:t xml:space="preserve">, </w:t>
      </w:r>
      <w:r w:rsidR="006B52DB" w:rsidRPr="005A35D8">
        <w:rPr>
          <w:rStyle w:val="hps"/>
        </w:rPr>
        <w:t>conformément</w:t>
      </w:r>
      <w:r w:rsidRPr="005A35D8">
        <w:t xml:space="preserve"> </w:t>
      </w:r>
      <w:r w:rsidR="006B52DB" w:rsidRPr="005A35D8">
        <w:rPr>
          <w:rStyle w:val="hps"/>
        </w:rPr>
        <w:t xml:space="preserve">aux </w:t>
      </w:r>
      <w:r w:rsidRPr="005A35D8">
        <w:rPr>
          <w:rStyle w:val="hps"/>
        </w:rPr>
        <w:t>critères</w:t>
      </w:r>
      <w:r w:rsidRPr="005A35D8">
        <w:t xml:space="preserve"> </w:t>
      </w:r>
      <w:r w:rsidRPr="005A35D8">
        <w:rPr>
          <w:rStyle w:val="hps"/>
        </w:rPr>
        <w:t>indiqués</w:t>
      </w:r>
      <w:r w:rsidRPr="005A35D8">
        <w:t xml:space="preserve"> </w:t>
      </w:r>
      <w:r w:rsidR="006B52DB" w:rsidRPr="005A35D8">
        <w:rPr>
          <w:rStyle w:val="hps"/>
        </w:rPr>
        <w:t>dans la section </w:t>
      </w:r>
      <w:r w:rsidRPr="005A35D8">
        <w:rPr>
          <w:rStyle w:val="hps"/>
        </w:rPr>
        <w:t>F</w:t>
      </w:r>
      <w:r w:rsidRPr="005A35D8">
        <w:t xml:space="preserve"> </w:t>
      </w:r>
      <w:r w:rsidRPr="005A35D8">
        <w:rPr>
          <w:rStyle w:val="hps"/>
        </w:rPr>
        <w:t>ou</w:t>
      </w:r>
      <w:r w:rsidRPr="005A35D8">
        <w:t xml:space="preserve"> </w:t>
      </w:r>
      <w:r w:rsidR="006B52DB" w:rsidRPr="005A35D8">
        <w:rPr>
          <w:rStyle w:val="hps"/>
        </w:rPr>
        <w:t>bien à</w:t>
      </w:r>
      <w:r w:rsidRPr="005A35D8">
        <w:rPr>
          <w:rStyle w:val="hps"/>
        </w:rPr>
        <w:t xml:space="preserve"> ceux définis</w:t>
      </w:r>
      <w:r w:rsidRPr="005A35D8">
        <w:t xml:space="preserve"> </w:t>
      </w:r>
      <w:r w:rsidRPr="005A35D8">
        <w:rPr>
          <w:rStyle w:val="hps"/>
        </w:rPr>
        <w:t>dans les</w:t>
      </w:r>
      <w:r w:rsidRPr="005A35D8">
        <w:t xml:space="preserve"> </w:t>
      </w:r>
      <w:r w:rsidRPr="005A35D8">
        <w:rPr>
          <w:rStyle w:val="hps"/>
        </w:rPr>
        <w:t>directives de placement</w:t>
      </w:r>
      <w:r w:rsidRPr="005A35D8">
        <w:t xml:space="preserve"> </w:t>
      </w:r>
      <w:r w:rsidR="006B52DB" w:rsidRPr="005A35D8">
        <w:rPr>
          <w:rStyle w:val="hps"/>
        </w:rPr>
        <w:t>respectives</w:t>
      </w:r>
      <w:r w:rsidRPr="005A35D8">
        <w:t xml:space="preserve">, </w:t>
      </w:r>
      <w:r w:rsidR="006B52DB" w:rsidRPr="005A35D8">
        <w:t>selon le cas</w:t>
      </w:r>
      <w:r w:rsidRPr="005A35D8">
        <w:t xml:space="preserve">. </w:t>
      </w:r>
      <w:r w:rsidR="006B52DB" w:rsidRPr="005A35D8">
        <w:t xml:space="preserve"> </w:t>
      </w:r>
      <w:r w:rsidRPr="005A35D8">
        <w:rPr>
          <w:rStyle w:val="hps"/>
        </w:rPr>
        <w:t>Lorsque, exceptionnellement</w:t>
      </w:r>
      <w:r w:rsidRPr="005A35D8">
        <w:t xml:space="preserve">, les taux </w:t>
      </w:r>
      <w:r w:rsidRPr="005A35D8">
        <w:rPr>
          <w:rStyle w:val="hps"/>
        </w:rPr>
        <w:t>d</w:t>
      </w:r>
      <w:r w:rsidR="00295456" w:rsidRPr="005A35D8">
        <w:rPr>
          <w:rStyle w:val="hps"/>
        </w:rPr>
        <w:t>’</w:t>
      </w:r>
      <w:r w:rsidRPr="005A35D8">
        <w:rPr>
          <w:rStyle w:val="hps"/>
        </w:rPr>
        <w:t>intérêt négatifs</w:t>
      </w:r>
      <w:r w:rsidRPr="005A35D8">
        <w:t xml:space="preserve"> </w:t>
      </w:r>
      <w:r w:rsidRPr="005A35D8">
        <w:rPr>
          <w:rStyle w:val="hps"/>
        </w:rPr>
        <w:t>l</w:t>
      </w:r>
      <w:r w:rsidR="00295456" w:rsidRPr="005A35D8">
        <w:rPr>
          <w:rStyle w:val="hps"/>
        </w:rPr>
        <w:t>’</w:t>
      </w:r>
      <w:r w:rsidRPr="005A35D8">
        <w:rPr>
          <w:rStyle w:val="hps"/>
        </w:rPr>
        <w:t>emportent</w:t>
      </w:r>
      <w:r w:rsidRPr="005A35D8">
        <w:t xml:space="preserve"> </w:t>
      </w:r>
      <w:r w:rsidR="006B52DB" w:rsidRPr="005A35D8">
        <w:rPr>
          <w:rStyle w:val="hps"/>
        </w:rPr>
        <w:t>sur</w:t>
      </w:r>
      <w:r w:rsidRPr="005A35D8">
        <w:t xml:space="preserve"> </w:t>
      </w:r>
      <w:r w:rsidR="006B52DB" w:rsidRPr="005A35D8">
        <w:rPr>
          <w:rStyle w:val="hps"/>
        </w:rPr>
        <w:t>sa</w:t>
      </w:r>
      <w:r w:rsidRPr="005A35D8">
        <w:rPr>
          <w:rStyle w:val="hps"/>
        </w:rPr>
        <w:t xml:space="preserve"> devise de référence</w:t>
      </w:r>
      <w:r w:rsidRPr="005A35D8">
        <w:t xml:space="preserve">, </w:t>
      </w:r>
      <w:r w:rsidRPr="005A35D8">
        <w:rPr>
          <w:rStyle w:val="hps"/>
        </w:rPr>
        <w:t>l</w:t>
      </w:r>
      <w:r w:rsidR="00295456" w:rsidRPr="005A35D8">
        <w:rPr>
          <w:rStyle w:val="hps"/>
        </w:rPr>
        <w:t>’</w:t>
      </w:r>
      <w:r w:rsidRPr="005A35D8">
        <w:rPr>
          <w:rStyle w:val="hps"/>
        </w:rPr>
        <w:t>Organisation</w:t>
      </w:r>
      <w:r w:rsidRPr="005A35D8">
        <w:t xml:space="preserve"> </w:t>
      </w:r>
      <w:r w:rsidRPr="005A35D8">
        <w:rPr>
          <w:rStyle w:val="hps"/>
        </w:rPr>
        <w:t xml:space="preserve">vise à </w:t>
      </w:r>
      <w:r w:rsidR="006B52DB" w:rsidRPr="005A35D8">
        <w:rPr>
          <w:rStyle w:val="hps"/>
        </w:rPr>
        <w:t>réduire autant que possible</w:t>
      </w:r>
      <w:r w:rsidR="006B52DB" w:rsidRPr="005A35D8">
        <w:t xml:space="preserve"> </w:t>
      </w:r>
      <w:r w:rsidRPr="005A35D8">
        <w:rPr>
          <w:rStyle w:val="hps"/>
        </w:rPr>
        <w:t>l</w:t>
      </w:r>
      <w:r w:rsidR="00295456" w:rsidRPr="005A35D8">
        <w:rPr>
          <w:rStyle w:val="hps"/>
        </w:rPr>
        <w:t>’</w:t>
      </w:r>
      <w:r w:rsidRPr="005A35D8">
        <w:rPr>
          <w:rStyle w:val="hps"/>
        </w:rPr>
        <w:t>impact de ces</w:t>
      </w:r>
      <w:r w:rsidRPr="005A35D8">
        <w:t xml:space="preserve"> </w:t>
      </w:r>
      <w:r w:rsidRPr="005A35D8">
        <w:rPr>
          <w:rStyle w:val="hps"/>
        </w:rPr>
        <w:t>taux</w:t>
      </w:r>
      <w:r w:rsidRPr="005A35D8">
        <w:t xml:space="preserve"> </w:t>
      </w:r>
      <w:r w:rsidRPr="005A35D8">
        <w:rPr>
          <w:rStyle w:val="hps"/>
        </w:rPr>
        <w:t xml:space="preserve">en </w:t>
      </w:r>
      <w:r w:rsidR="00EC1805" w:rsidRPr="005A35D8">
        <w:rPr>
          <w:rStyle w:val="hps"/>
        </w:rPr>
        <w:t>confiant</w:t>
      </w:r>
      <w:r w:rsidRPr="005A35D8">
        <w:rPr>
          <w:rStyle w:val="hps"/>
        </w:rPr>
        <w:t xml:space="preserve"> des placements</w:t>
      </w:r>
      <w:r w:rsidRPr="005A35D8">
        <w:t xml:space="preserve"> </w:t>
      </w:r>
      <w:r w:rsidR="00EC1805" w:rsidRPr="005A35D8">
        <w:t xml:space="preserve">à </w:t>
      </w:r>
      <w:r w:rsidR="006B52DB" w:rsidRPr="005A35D8">
        <w:rPr>
          <w:rStyle w:val="hps"/>
        </w:rPr>
        <w:t>de</w:t>
      </w:r>
      <w:r w:rsidR="00EC1805" w:rsidRPr="005A35D8">
        <w:rPr>
          <w:rStyle w:val="hps"/>
        </w:rPr>
        <w:t>s</w:t>
      </w:r>
      <w:r w:rsidRPr="005A35D8">
        <w:rPr>
          <w:rStyle w:val="hps"/>
        </w:rPr>
        <w:t xml:space="preserve"> contreparties</w:t>
      </w:r>
      <w:r w:rsidRPr="005A35D8">
        <w:t xml:space="preserve"> </w:t>
      </w:r>
      <w:r w:rsidR="006B52DB" w:rsidRPr="005A35D8">
        <w:rPr>
          <w:rStyle w:val="hps"/>
        </w:rPr>
        <w:t>ayant la notation requise</w:t>
      </w:r>
      <w:r w:rsidRPr="005A35D8">
        <w:t xml:space="preserve">, qui </w:t>
      </w:r>
      <w:r w:rsidR="006B52DB" w:rsidRPr="005A35D8">
        <w:t>proposent</w:t>
      </w:r>
      <w:r w:rsidRPr="005A35D8">
        <w:t xml:space="preserve"> </w:t>
      </w:r>
      <w:r w:rsidR="006B52DB" w:rsidRPr="005A35D8">
        <w:t>des taux positifs ou des taux zéro</w:t>
      </w:r>
      <w:r w:rsidR="00490611" w:rsidRPr="005A35D8">
        <w:rPr>
          <w:rFonts w:eastAsia="Times New Roman"/>
          <w:lang w:eastAsia="en-US"/>
        </w:rPr>
        <w:t>.</w:t>
      </w:r>
    </w:p>
    <w:p w:rsidR="000243E3" w:rsidRPr="005A35D8" w:rsidRDefault="00816745" w:rsidP="0044721B">
      <w:pPr>
        <w:pStyle w:val="ONUME"/>
        <w:keepNext/>
        <w:keepLines/>
        <w:spacing w:before="120" w:after="120"/>
        <w:rPr>
          <w:rFonts w:eastAsia="Times New Roman"/>
          <w:u w:val="single"/>
          <w:lang w:eastAsia="en-US"/>
        </w:rPr>
      </w:pPr>
      <w:r w:rsidRPr="005A35D8">
        <w:rPr>
          <w:rFonts w:eastAsia="Times New Roman"/>
          <w:u w:val="single"/>
          <w:lang w:eastAsia="en-US"/>
        </w:rPr>
        <w:lastRenderedPageBreak/>
        <w:t>Tolérance au risque</w:t>
      </w:r>
    </w:p>
    <w:p w:rsidR="000243E3" w:rsidRPr="005A35D8" w:rsidRDefault="007200D1" w:rsidP="0044721B">
      <w:pPr>
        <w:pStyle w:val="ONUMFS"/>
        <w:keepNext/>
        <w:keepLines/>
        <w:rPr>
          <w:rFonts w:eastAsia="Times New Roman"/>
          <w:lang w:eastAsia="en-US"/>
        </w:rPr>
      </w:pPr>
      <w:r w:rsidRPr="005A35D8">
        <w:t xml:space="preserve">Le niveau de risque pris </w:t>
      </w:r>
      <w:r w:rsidR="006B52DB" w:rsidRPr="005A35D8">
        <w:t>doit être</w:t>
      </w:r>
      <w:r w:rsidRPr="005A35D8">
        <w:t xml:space="preserve"> </w:t>
      </w:r>
      <w:r w:rsidR="006B52DB" w:rsidRPr="005A35D8">
        <w:t>compatible avec les</w:t>
      </w:r>
      <w:r w:rsidRPr="005A35D8">
        <w:t xml:space="preserve"> objectifs de placement </w:t>
      </w:r>
      <w:r w:rsidR="006B52DB" w:rsidRPr="005A35D8">
        <w:t>définis pour la trésorerie d</w:t>
      </w:r>
      <w:r w:rsidR="00295456" w:rsidRPr="005A35D8">
        <w:t>’</w:t>
      </w:r>
      <w:r w:rsidR="006B52DB" w:rsidRPr="005A35D8">
        <w:t>exploitation et les fonds propres</w:t>
      </w:r>
      <w:r w:rsidRPr="005A35D8">
        <w:t xml:space="preserve">. </w:t>
      </w:r>
      <w:r w:rsidR="006B52DB" w:rsidRPr="005A35D8">
        <w:t xml:space="preserve"> En ce qui concerne la</w:t>
      </w:r>
      <w:r w:rsidRPr="005A35D8">
        <w:t xml:space="preserve"> trésorerie d</w:t>
      </w:r>
      <w:r w:rsidR="00295456" w:rsidRPr="005A35D8">
        <w:t>’</w:t>
      </w:r>
      <w:r w:rsidRPr="005A35D8">
        <w:t xml:space="preserve">exploitation, la tolérance au risque est nulle.  </w:t>
      </w:r>
      <w:r w:rsidR="00D73EF8" w:rsidRPr="005A35D8">
        <w:t>S</w:t>
      </w:r>
      <w:r w:rsidR="00295456" w:rsidRPr="005A35D8">
        <w:t>’</w:t>
      </w:r>
      <w:r w:rsidR="00D73EF8" w:rsidRPr="005A35D8">
        <w:t>agissant des fonds propres</w:t>
      </w:r>
      <w:r w:rsidRPr="005A35D8">
        <w:t xml:space="preserve">, il est reconnu et admis que certains risques </w:t>
      </w:r>
      <w:r w:rsidR="00C64D1B" w:rsidRPr="005A35D8">
        <w:t>doivent</w:t>
      </w:r>
      <w:r w:rsidRPr="005A35D8">
        <w:t xml:space="preserve"> être </w:t>
      </w:r>
      <w:r w:rsidR="00D73EF8" w:rsidRPr="005A35D8">
        <w:t>pris</w:t>
      </w:r>
      <w:r w:rsidRPr="005A35D8">
        <w:t xml:space="preserve"> de manière à atteindre les objectifs de placement. </w:t>
      </w:r>
      <w:r w:rsidR="00D73EF8" w:rsidRPr="005A35D8">
        <w:t xml:space="preserve"> </w:t>
      </w:r>
      <w:r w:rsidRPr="005A35D8">
        <w:t>Compte tenu de l</w:t>
      </w:r>
      <w:r w:rsidR="00295456" w:rsidRPr="005A35D8">
        <w:t>’</w:t>
      </w:r>
      <w:r w:rsidRPr="005A35D8">
        <w:t xml:space="preserve">objectif de préservation du capital, </w:t>
      </w:r>
      <w:r w:rsidR="00D73EF8" w:rsidRPr="005A35D8">
        <w:t>une plus grande</w:t>
      </w:r>
      <w:r w:rsidRPr="005A35D8">
        <w:t xml:space="preserve"> tolérance au risque peut être </w:t>
      </w:r>
      <w:r w:rsidR="00D73EF8" w:rsidRPr="005A35D8">
        <w:t xml:space="preserve">admise </w:t>
      </w:r>
      <w:r w:rsidRPr="005A35D8">
        <w:t>lorsque certaines conditions du marché, comme les taux d</w:t>
      </w:r>
      <w:r w:rsidR="00295456" w:rsidRPr="005A35D8">
        <w:t>’</w:t>
      </w:r>
      <w:r w:rsidRPr="005A35D8">
        <w:t xml:space="preserve">intérêt négatifs, </w:t>
      </w:r>
      <w:r w:rsidR="00D73EF8" w:rsidRPr="005A35D8">
        <w:t>prévalent</w:t>
      </w:r>
      <w:r w:rsidRPr="005A35D8">
        <w:t>.</w:t>
      </w:r>
      <w:r w:rsidR="00D73EF8" w:rsidRPr="005A35D8">
        <w:t xml:space="preserve"> </w:t>
      </w:r>
      <w:r w:rsidRPr="005A35D8">
        <w:t xml:space="preserve"> Les niveaux de tolérance </w:t>
      </w:r>
      <w:r w:rsidR="00D73EF8" w:rsidRPr="005A35D8">
        <w:t xml:space="preserve">au risque </w:t>
      </w:r>
      <w:r w:rsidRPr="005A35D8">
        <w:t>sont déterminés et approu</w:t>
      </w:r>
      <w:r w:rsidR="00D73EF8" w:rsidRPr="005A35D8">
        <w:t>vés par le D</w:t>
      </w:r>
      <w:r w:rsidRPr="005A35D8">
        <w:t>irecteur général sur la base des recommandat</w:t>
      </w:r>
      <w:r w:rsidR="00D73EF8" w:rsidRPr="005A35D8">
        <w:t>ions du Comité consultatif des i</w:t>
      </w:r>
      <w:r w:rsidRPr="005A35D8">
        <w:t xml:space="preserve">nvestissements. </w:t>
      </w:r>
      <w:r w:rsidR="00D73EF8" w:rsidRPr="005A35D8">
        <w:t xml:space="preserve"> Le Comité consultatif des i</w:t>
      </w:r>
      <w:r w:rsidRPr="005A35D8">
        <w:t xml:space="preserve">nvestissements est responsable de </w:t>
      </w:r>
      <w:r w:rsidR="00D73EF8" w:rsidRPr="005A35D8">
        <w:t>l</w:t>
      </w:r>
      <w:r w:rsidR="00295456" w:rsidRPr="005A35D8">
        <w:t>’</w:t>
      </w:r>
      <w:r w:rsidR="00D73EF8" w:rsidRPr="005A35D8">
        <w:t>identification des</w:t>
      </w:r>
      <w:r w:rsidRPr="005A35D8">
        <w:t xml:space="preserve"> risques et </w:t>
      </w:r>
      <w:r w:rsidR="00D73EF8" w:rsidRPr="005A35D8">
        <w:t>de leur suivi permanent</w:t>
      </w:r>
      <w:r w:rsidR="00490611" w:rsidRPr="005A35D8">
        <w:rPr>
          <w:rFonts w:eastAsia="Times New Roman"/>
          <w:lang w:eastAsia="en-US"/>
        </w:rPr>
        <w:t>.</w:t>
      </w:r>
    </w:p>
    <w:p w:rsidR="000243E3" w:rsidRPr="005A35D8" w:rsidRDefault="007200D1" w:rsidP="00343D95">
      <w:pPr>
        <w:pStyle w:val="ONUME"/>
        <w:spacing w:before="120" w:after="120"/>
        <w:rPr>
          <w:rFonts w:eastAsia="Times New Roman"/>
          <w:u w:val="single"/>
          <w:lang w:eastAsia="en-US"/>
        </w:rPr>
      </w:pPr>
      <w:r w:rsidRPr="005A35D8">
        <w:rPr>
          <w:rFonts w:eastAsia="Times New Roman"/>
          <w:u w:val="single"/>
          <w:lang w:eastAsia="en-US"/>
        </w:rPr>
        <w:t>Contraintes</w:t>
      </w:r>
    </w:p>
    <w:p w:rsidR="000243E3" w:rsidRPr="005A35D8" w:rsidRDefault="007200D1" w:rsidP="0044721B">
      <w:pPr>
        <w:pStyle w:val="ONUMFS"/>
        <w:rPr>
          <w:szCs w:val="22"/>
        </w:rPr>
      </w:pPr>
      <w:r w:rsidRPr="005A35D8">
        <w:rPr>
          <w:rStyle w:val="hps"/>
        </w:rPr>
        <w:t>Liquidités :</w:t>
      </w:r>
      <w:r w:rsidRPr="005A35D8">
        <w:t xml:space="preserve"> </w:t>
      </w:r>
      <w:r w:rsidR="00D73EF8" w:rsidRPr="005A35D8">
        <w:t xml:space="preserve">les </w:t>
      </w:r>
      <w:r w:rsidRPr="005A35D8">
        <w:rPr>
          <w:rStyle w:val="hps"/>
        </w:rPr>
        <w:t>soldes de trésorerie</w:t>
      </w:r>
      <w:r w:rsidR="00D73EF8" w:rsidRPr="005A35D8">
        <w:rPr>
          <w:rStyle w:val="hps"/>
        </w:rPr>
        <w:t xml:space="preserve"> d</w:t>
      </w:r>
      <w:r w:rsidR="00295456" w:rsidRPr="005A35D8">
        <w:rPr>
          <w:rStyle w:val="hps"/>
        </w:rPr>
        <w:t>’</w:t>
      </w:r>
      <w:r w:rsidR="00D73EF8" w:rsidRPr="005A35D8">
        <w:rPr>
          <w:rStyle w:val="hps"/>
        </w:rPr>
        <w:t>exploitation</w:t>
      </w:r>
      <w:r w:rsidRPr="005A35D8">
        <w:t xml:space="preserve">, </w:t>
      </w:r>
      <w:r w:rsidRPr="005A35D8">
        <w:rPr>
          <w:rStyle w:val="hps"/>
        </w:rPr>
        <w:t>équivalents</w:t>
      </w:r>
      <w:r w:rsidRPr="005A35D8">
        <w:t xml:space="preserve"> </w:t>
      </w:r>
      <w:r w:rsidRPr="005A35D8">
        <w:rPr>
          <w:rStyle w:val="hps"/>
        </w:rPr>
        <w:t>au niveau</w:t>
      </w:r>
      <w:r w:rsidRPr="005A35D8">
        <w:t xml:space="preserve"> </w:t>
      </w:r>
      <w:r w:rsidRPr="005A35D8">
        <w:rPr>
          <w:rStyle w:val="hps"/>
        </w:rPr>
        <w:t>des</w:t>
      </w:r>
      <w:r w:rsidRPr="005A35D8">
        <w:t xml:space="preserve"> </w:t>
      </w:r>
      <w:r w:rsidRPr="005A35D8">
        <w:rPr>
          <w:rStyle w:val="hps"/>
        </w:rPr>
        <w:t xml:space="preserve">réserves </w:t>
      </w:r>
      <w:r w:rsidR="00D73EF8" w:rsidRPr="005A35D8">
        <w:rPr>
          <w:rStyle w:val="hps"/>
        </w:rPr>
        <w:t>visées</w:t>
      </w:r>
      <w:r w:rsidRPr="005A35D8">
        <w:t xml:space="preserve">, </w:t>
      </w:r>
      <w:r w:rsidR="00D73EF8" w:rsidRPr="005A35D8">
        <w:rPr>
          <w:rStyle w:val="hps"/>
        </w:rPr>
        <w:t>font l</w:t>
      </w:r>
      <w:r w:rsidR="00295456" w:rsidRPr="005A35D8">
        <w:rPr>
          <w:rStyle w:val="hps"/>
        </w:rPr>
        <w:t>’</w:t>
      </w:r>
      <w:r w:rsidR="00D73EF8" w:rsidRPr="005A35D8">
        <w:rPr>
          <w:rStyle w:val="hps"/>
        </w:rPr>
        <w:t>objet de placements à</w:t>
      </w:r>
      <w:r w:rsidRPr="005A35D8">
        <w:rPr>
          <w:rStyle w:val="hps"/>
        </w:rPr>
        <w:t xml:space="preserve"> court</w:t>
      </w:r>
      <w:r w:rsidRPr="005A35D8">
        <w:t xml:space="preserve"> </w:t>
      </w:r>
      <w:r w:rsidRPr="005A35D8">
        <w:rPr>
          <w:rStyle w:val="hps"/>
        </w:rPr>
        <w:t>terme</w:t>
      </w:r>
      <w:r w:rsidRPr="005A35D8">
        <w:t xml:space="preserve"> </w:t>
      </w:r>
      <w:r w:rsidRPr="005A35D8">
        <w:rPr>
          <w:rStyle w:val="hps"/>
        </w:rPr>
        <w:t>(</w:t>
      </w:r>
      <w:r w:rsidRPr="005A35D8">
        <w:t xml:space="preserve">périodes </w:t>
      </w:r>
      <w:r w:rsidR="00D73EF8" w:rsidRPr="005A35D8">
        <w:t xml:space="preserve">ayant une échéance de moins de </w:t>
      </w:r>
      <w:r w:rsidR="00085D20" w:rsidRPr="005A35D8">
        <w:t>12</w:t>
      </w:r>
      <w:r w:rsidR="00D73EF8" w:rsidRPr="005A35D8">
        <w:t> </w:t>
      </w:r>
      <w:r w:rsidRPr="005A35D8">
        <w:rPr>
          <w:rStyle w:val="hps"/>
        </w:rPr>
        <w:t>mois)</w:t>
      </w:r>
      <w:r w:rsidRPr="005A35D8">
        <w:t xml:space="preserve"> </w:t>
      </w:r>
      <w:r w:rsidRPr="005A35D8">
        <w:rPr>
          <w:rStyle w:val="hps"/>
        </w:rPr>
        <w:t xml:space="preserve">dans </w:t>
      </w:r>
      <w:r w:rsidR="00D73EF8" w:rsidRPr="005A35D8">
        <w:rPr>
          <w:rStyle w:val="hps"/>
        </w:rPr>
        <w:t>des</w:t>
      </w:r>
      <w:r w:rsidRPr="005A35D8">
        <w:rPr>
          <w:rStyle w:val="hps"/>
        </w:rPr>
        <w:t xml:space="preserve"> classes</w:t>
      </w:r>
      <w:r w:rsidRPr="005A35D8">
        <w:t xml:space="preserve"> </w:t>
      </w:r>
      <w:r w:rsidRPr="005A35D8">
        <w:rPr>
          <w:rStyle w:val="hps"/>
        </w:rPr>
        <w:t>d</w:t>
      </w:r>
      <w:r w:rsidR="00295456" w:rsidRPr="005A35D8">
        <w:rPr>
          <w:rStyle w:val="hps"/>
        </w:rPr>
        <w:t>’</w:t>
      </w:r>
      <w:r w:rsidRPr="005A35D8">
        <w:rPr>
          <w:rStyle w:val="hps"/>
        </w:rPr>
        <w:t>actifs</w:t>
      </w:r>
      <w:r w:rsidRPr="005A35D8">
        <w:t xml:space="preserve"> </w:t>
      </w:r>
      <w:r w:rsidRPr="005A35D8">
        <w:rPr>
          <w:rStyle w:val="hps"/>
        </w:rPr>
        <w:t>à faible risque</w:t>
      </w:r>
      <w:r w:rsidR="00D73EF8" w:rsidRPr="005A35D8">
        <w:rPr>
          <w:rStyle w:val="hps"/>
        </w:rPr>
        <w:t>, facilement convertibles en liquidités</w:t>
      </w:r>
      <w:r w:rsidRPr="005A35D8">
        <w:rPr>
          <w:rStyle w:val="hps"/>
        </w:rPr>
        <w:t xml:space="preserve"> à</w:t>
      </w:r>
      <w:r w:rsidRPr="005A35D8">
        <w:t xml:space="preserve"> </w:t>
      </w:r>
      <w:r w:rsidRPr="005A35D8">
        <w:rPr>
          <w:rStyle w:val="hps"/>
        </w:rPr>
        <w:t xml:space="preserve">coût faible </w:t>
      </w:r>
      <w:r w:rsidR="00D73EF8" w:rsidRPr="005A35D8">
        <w:rPr>
          <w:rStyle w:val="hps"/>
        </w:rPr>
        <w:t>voire</w:t>
      </w:r>
      <w:r w:rsidRPr="005A35D8">
        <w:rPr>
          <w:rStyle w:val="hps"/>
        </w:rPr>
        <w:t xml:space="preserve"> nul</w:t>
      </w:r>
      <w:r w:rsidRPr="005A35D8">
        <w:t xml:space="preserve">. </w:t>
      </w:r>
      <w:r w:rsidR="00D73EF8" w:rsidRPr="005A35D8">
        <w:t xml:space="preserve"> </w:t>
      </w:r>
      <w:r w:rsidRPr="005A35D8">
        <w:rPr>
          <w:rStyle w:val="hps"/>
        </w:rPr>
        <w:t>L</w:t>
      </w:r>
      <w:r w:rsidR="00295456" w:rsidRPr="005A35D8">
        <w:rPr>
          <w:rStyle w:val="hps"/>
        </w:rPr>
        <w:t>’</w:t>
      </w:r>
      <w:r w:rsidRPr="005A35D8">
        <w:rPr>
          <w:rStyle w:val="hps"/>
        </w:rPr>
        <w:t>objectif</w:t>
      </w:r>
      <w:r w:rsidRPr="005A35D8">
        <w:t xml:space="preserve"> </w:t>
      </w:r>
      <w:r w:rsidRPr="005A35D8">
        <w:rPr>
          <w:rStyle w:val="hps"/>
        </w:rPr>
        <w:t>est de répondre aux</w:t>
      </w:r>
      <w:r w:rsidRPr="005A35D8">
        <w:t xml:space="preserve"> </w:t>
      </w:r>
      <w:r w:rsidRPr="005A35D8">
        <w:rPr>
          <w:rStyle w:val="hps"/>
        </w:rPr>
        <w:t>besoins de liquidités</w:t>
      </w:r>
      <w:r w:rsidRPr="005A35D8">
        <w:t xml:space="preserve"> </w:t>
      </w:r>
      <w:r w:rsidRPr="005A35D8">
        <w:rPr>
          <w:rStyle w:val="hps"/>
        </w:rPr>
        <w:t>de l</w:t>
      </w:r>
      <w:r w:rsidR="00295456" w:rsidRPr="005A35D8">
        <w:rPr>
          <w:rStyle w:val="hps"/>
        </w:rPr>
        <w:t>’</w:t>
      </w:r>
      <w:r w:rsidRPr="005A35D8">
        <w:rPr>
          <w:rStyle w:val="hps"/>
        </w:rPr>
        <w:t>Organisation</w:t>
      </w:r>
      <w:r w:rsidRPr="005A35D8">
        <w:t xml:space="preserve">. </w:t>
      </w:r>
      <w:r w:rsidR="00D73EF8" w:rsidRPr="005A35D8">
        <w:t xml:space="preserve"> Les fonds propres font l</w:t>
      </w:r>
      <w:r w:rsidR="00295456" w:rsidRPr="005A35D8">
        <w:t>’</w:t>
      </w:r>
      <w:r w:rsidR="00D73EF8" w:rsidRPr="005A35D8">
        <w:t>objet de placements à moyen terme</w:t>
      </w:r>
      <w:r w:rsidRPr="005A35D8">
        <w:rPr>
          <w:rStyle w:val="hps"/>
        </w:rPr>
        <w:t xml:space="preserve"> (</w:t>
      </w:r>
      <w:r w:rsidRPr="005A35D8">
        <w:t xml:space="preserve">périodes </w:t>
      </w:r>
      <w:r w:rsidR="0003620E" w:rsidRPr="005A35D8">
        <w:t>de</w:t>
      </w:r>
      <w:r w:rsidRPr="005A35D8">
        <w:t xml:space="preserve"> </w:t>
      </w:r>
      <w:r w:rsidR="00085D20" w:rsidRPr="005A35D8">
        <w:t>12 </w:t>
      </w:r>
      <w:r w:rsidRPr="005A35D8">
        <w:rPr>
          <w:rStyle w:val="hps"/>
        </w:rPr>
        <w:t>mois</w:t>
      </w:r>
      <w:r w:rsidR="0003620E" w:rsidRPr="005A35D8">
        <w:rPr>
          <w:rStyle w:val="hps"/>
        </w:rPr>
        <w:t xml:space="preserve"> minimum</w:t>
      </w:r>
      <w:r w:rsidR="0003620E" w:rsidRPr="005A35D8">
        <w:t xml:space="preserve">), </w:t>
      </w:r>
      <w:r w:rsidRPr="005A35D8">
        <w:rPr>
          <w:rStyle w:val="hps"/>
        </w:rPr>
        <w:t>l</w:t>
      </w:r>
      <w:r w:rsidR="00295456" w:rsidRPr="005A35D8">
        <w:rPr>
          <w:rStyle w:val="hps"/>
        </w:rPr>
        <w:t>’</w:t>
      </w:r>
      <w:r w:rsidRPr="005A35D8">
        <w:rPr>
          <w:rStyle w:val="hps"/>
        </w:rPr>
        <w:t>objectif</w:t>
      </w:r>
      <w:r w:rsidRPr="005A35D8">
        <w:t xml:space="preserve"> </w:t>
      </w:r>
      <w:r w:rsidR="0003620E" w:rsidRPr="005A35D8">
        <w:t xml:space="preserve">étant </w:t>
      </w:r>
      <w:r w:rsidRPr="005A35D8">
        <w:rPr>
          <w:rStyle w:val="hps"/>
        </w:rPr>
        <w:t>de générer</w:t>
      </w:r>
      <w:r w:rsidRPr="005A35D8">
        <w:t xml:space="preserve"> </w:t>
      </w:r>
      <w:r w:rsidRPr="005A35D8">
        <w:rPr>
          <w:rStyle w:val="hps"/>
        </w:rPr>
        <w:t>un rendement positif</w:t>
      </w:r>
      <w:r w:rsidRPr="005A35D8">
        <w:t xml:space="preserve">, </w:t>
      </w:r>
      <w:r w:rsidRPr="005A35D8">
        <w:rPr>
          <w:rStyle w:val="hps"/>
        </w:rPr>
        <w:t>déduction faite des</w:t>
      </w:r>
      <w:r w:rsidRPr="005A35D8">
        <w:t xml:space="preserve"> </w:t>
      </w:r>
      <w:r w:rsidRPr="005A35D8">
        <w:rPr>
          <w:rStyle w:val="hps"/>
        </w:rPr>
        <w:t>frais de gestion</w:t>
      </w:r>
      <w:r w:rsidR="0003620E" w:rsidRPr="005A35D8">
        <w:t xml:space="preserve">, </w:t>
      </w:r>
      <w:r w:rsidR="0003620E" w:rsidRPr="005A35D8">
        <w:rPr>
          <w:rStyle w:val="hps"/>
        </w:rPr>
        <w:t>ainsi qu</w:t>
      </w:r>
      <w:r w:rsidR="00295456" w:rsidRPr="005A35D8">
        <w:rPr>
          <w:rStyle w:val="hps"/>
        </w:rPr>
        <w:t>’</w:t>
      </w:r>
      <w:r w:rsidRPr="005A35D8">
        <w:rPr>
          <w:rStyle w:val="hps"/>
        </w:rPr>
        <w:t>une faible volatilité</w:t>
      </w:r>
      <w:r w:rsidRPr="005A35D8">
        <w:t xml:space="preserve"> </w:t>
      </w:r>
      <w:r w:rsidRPr="005A35D8">
        <w:rPr>
          <w:rStyle w:val="hps"/>
        </w:rPr>
        <w:t>des valeurs des</w:t>
      </w:r>
      <w:r w:rsidRPr="005A35D8">
        <w:t xml:space="preserve"> </w:t>
      </w:r>
      <w:r w:rsidR="0003620E" w:rsidRPr="005A35D8">
        <w:rPr>
          <w:rStyle w:val="hps"/>
        </w:rPr>
        <w:t>placements</w:t>
      </w:r>
      <w:r w:rsidRPr="005A35D8">
        <w:rPr>
          <w:rStyle w:val="hps"/>
        </w:rPr>
        <w:t xml:space="preserve"> sous</w:t>
      </w:r>
      <w:r w:rsidR="00D14880" w:rsidRPr="005A35D8">
        <w:rPr>
          <w:rStyle w:val="hps"/>
        </w:rPr>
        <w:noBreakHyphen/>
      </w:r>
      <w:r w:rsidRPr="005A35D8">
        <w:rPr>
          <w:rStyle w:val="hps"/>
        </w:rPr>
        <w:t>jacents</w:t>
      </w:r>
      <w:r w:rsidRPr="005A35D8">
        <w:t xml:space="preserve">. </w:t>
      </w:r>
      <w:r w:rsidR="0003620E" w:rsidRPr="005A35D8">
        <w:t xml:space="preserve"> I</w:t>
      </w:r>
      <w:r w:rsidR="0003620E" w:rsidRPr="005A35D8">
        <w:rPr>
          <w:rStyle w:val="hps"/>
        </w:rPr>
        <w:t>déalement, les fonds propres sont placés</w:t>
      </w:r>
      <w:r w:rsidRPr="005A35D8">
        <w:t xml:space="preserve"> </w:t>
      </w:r>
      <w:r w:rsidR="0003620E" w:rsidRPr="005A35D8">
        <w:rPr>
          <w:rStyle w:val="hps"/>
        </w:rPr>
        <w:t>de</w:t>
      </w:r>
      <w:r w:rsidRPr="005A35D8">
        <w:rPr>
          <w:rStyle w:val="hps"/>
        </w:rPr>
        <w:t xml:space="preserve"> </w:t>
      </w:r>
      <w:r w:rsidR="0003620E" w:rsidRPr="005A35D8">
        <w:rPr>
          <w:szCs w:val="22"/>
        </w:rPr>
        <w:t>manière à ce qu</w:t>
      </w:r>
      <w:r w:rsidR="00295456" w:rsidRPr="005A35D8">
        <w:rPr>
          <w:szCs w:val="22"/>
        </w:rPr>
        <w:t>’</w:t>
      </w:r>
      <w:r w:rsidR="0003620E" w:rsidRPr="005A35D8">
        <w:rPr>
          <w:szCs w:val="22"/>
        </w:rPr>
        <w:t>une partie d</w:t>
      </w:r>
      <w:r w:rsidR="00295456" w:rsidRPr="005A35D8">
        <w:rPr>
          <w:szCs w:val="22"/>
        </w:rPr>
        <w:t>’</w:t>
      </w:r>
      <w:r w:rsidR="0003620E" w:rsidRPr="005A35D8">
        <w:rPr>
          <w:szCs w:val="22"/>
        </w:rPr>
        <w:t>entre eux soit accessible occasionnellement, ce qui permettrait à l</w:t>
      </w:r>
      <w:r w:rsidR="00295456" w:rsidRPr="005A35D8">
        <w:rPr>
          <w:szCs w:val="22"/>
        </w:rPr>
        <w:t>’</w:t>
      </w:r>
      <w:r w:rsidR="0003620E" w:rsidRPr="005A35D8">
        <w:rPr>
          <w:szCs w:val="22"/>
        </w:rPr>
        <w:t>avenir, par exemple, d</w:t>
      </w:r>
      <w:r w:rsidR="00295456" w:rsidRPr="005A35D8">
        <w:rPr>
          <w:szCs w:val="22"/>
        </w:rPr>
        <w:t>’</w:t>
      </w:r>
      <w:r w:rsidR="0003620E" w:rsidRPr="005A35D8">
        <w:rPr>
          <w:szCs w:val="22"/>
        </w:rPr>
        <w:t>échelonner les paiements importants tels que les remboursements de prêts à leur échéance</w:t>
      </w:r>
      <w:r w:rsidR="00490611" w:rsidRPr="005A35D8">
        <w:rPr>
          <w:rFonts w:eastAsia="Times New Roman"/>
          <w:lang w:eastAsia="en-US"/>
        </w:rPr>
        <w:t>.</w:t>
      </w:r>
    </w:p>
    <w:p w:rsidR="000243E3" w:rsidRPr="005A35D8" w:rsidRDefault="005427C6" w:rsidP="00343D95">
      <w:pPr>
        <w:pStyle w:val="ONUME"/>
        <w:spacing w:before="120" w:after="120"/>
        <w:rPr>
          <w:bCs/>
          <w:szCs w:val="26"/>
          <w:u w:val="single"/>
          <w:lang w:eastAsia="en-US"/>
        </w:rPr>
      </w:pPr>
      <w:r w:rsidRPr="005A35D8">
        <w:rPr>
          <w:u w:val="single"/>
        </w:rPr>
        <w:t>Diversification des contreparties </w:t>
      </w:r>
      <w:r w:rsidRPr="005A35D8">
        <w:rPr>
          <w:bCs/>
          <w:szCs w:val="26"/>
          <w:u w:val="single"/>
          <w:lang w:eastAsia="en-US"/>
        </w:rPr>
        <w:t>:</w:t>
      </w:r>
    </w:p>
    <w:p w:rsidR="000243E3" w:rsidRPr="005A35D8" w:rsidRDefault="005427C6" w:rsidP="0044721B">
      <w:pPr>
        <w:pStyle w:val="ONUMFS"/>
        <w:rPr>
          <w:bCs/>
          <w:szCs w:val="26"/>
          <w:lang w:eastAsia="en-US"/>
        </w:rPr>
      </w:pPr>
      <w:r w:rsidRPr="005A35D8">
        <w:t xml:space="preserve">Tous les placements de </w:t>
      </w:r>
      <w:r w:rsidR="006A582F" w:rsidRPr="005A35D8">
        <w:t>trésorerie d</w:t>
      </w:r>
      <w:r w:rsidR="00295456" w:rsidRPr="005A35D8">
        <w:t>’</w:t>
      </w:r>
      <w:r w:rsidR="006A582F" w:rsidRPr="005A35D8">
        <w:t xml:space="preserve">exploitation et de fonds propres de </w:t>
      </w:r>
      <w:r w:rsidRPr="005A35D8">
        <w:t>l</w:t>
      </w:r>
      <w:r w:rsidR="00295456" w:rsidRPr="005A35D8">
        <w:t>’</w:t>
      </w:r>
      <w:r w:rsidRPr="005A35D8">
        <w:t xml:space="preserve">Organisation </w:t>
      </w:r>
      <w:r w:rsidR="006A582F" w:rsidRPr="005A35D8">
        <w:t>peuvent</w:t>
      </w:r>
      <w:r w:rsidRPr="005A35D8">
        <w:t xml:space="preserve"> être </w:t>
      </w:r>
      <w:r w:rsidR="006A582F" w:rsidRPr="005A35D8">
        <w:t xml:space="preserve">confiés à </w:t>
      </w:r>
      <w:r w:rsidRPr="005A35D8">
        <w:t xml:space="preserve">une </w:t>
      </w:r>
      <w:r w:rsidR="006A582F" w:rsidRPr="005A35D8">
        <w:t>seule et même</w:t>
      </w:r>
      <w:r w:rsidRPr="005A35D8">
        <w:t xml:space="preserve"> institution </w:t>
      </w:r>
      <w:r w:rsidR="006A582F" w:rsidRPr="005A35D8">
        <w:t>à</w:t>
      </w:r>
      <w:r w:rsidRPr="005A35D8">
        <w:t xml:space="preserve"> risque souverain et </w:t>
      </w:r>
      <w:r w:rsidR="006A582F" w:rsidRPr="005A35D8">
        <w:t>à notation AAA</w:t>
      </w:r>
      <w:r w:rsidRPr="005A35D8">
        <w:t>/</w:t>
      </w:r>
      <w:proofErr w:type="spellStart"/>
      <w:r w:rsidRPr="005A35D8">
        <w:t>Aaa</w:t>
      </w:r>
      <w:proofErr w:type="spellEnd"/>
      <w:r w:rsidR="006A582F" w:rsidRPr="005A35D8">
        <w:t>,</w:t>
      </w:r>
      <w:r w:rsidRPr="005A35D8">
        <w:t xml:space="preserve"> à condition </w:t>
      </w:r>
      <w:r w:rsidR="006A582F" w:rsidRPr="005A35D8">
        <w:t>que l</w:t>
      </w:r>
      <w:r w:rsidR="00295456" w:rsidRPr="005A35D8">
        <w:t>’</w:t>
      </w:r>
      <w:r w:rsidRPr="005A35D8">
        <w:t xml:space="preserve">institution </w:t>
      </w:r>
      <w:r w:rsidR="006A582F" w:rsidRPr="005A35D8">
        <w:t xml:space="preserve">concernée puisse </w:t>
      </w:r>
      <w:r w:rsidRPr="005A35D8">
        <w:t xml:space="preserve">être </w:t>
      </w:r>
      <w:r w:rsidR="006A582F" w:rsidRPr="005A35D8">
        <w:t>identifiée et accepte</w:t>
      </w:r>
      <w:r w:rsidRPr="005A35D8">
        <w:t xml:space="preserve"> </w:t>
      </w:r>
      <w:r w:rsidR="006A582F" w:rsidRPr="005A35D8">
        <w:t>d</w:t>
      </w:r>
      <w:r w:rsidR="00295456" w:rsidRPr="005A35D8">
        <w:t>’</w:t>
      </w:r>
      <w:r w:rsidR="006A582F" w:rsidRPr="005A35D8">
        <w:t>effectuer les placements demandés</w:t>
      </w:r>
      <w:r w:rsidRPr="005A35D8">
        <w:t xml:space="preserve">. </w:t>
      </w:r>
      <w:r w:rsidR="006A582F" w:rsidRPr="005A35D8">
        <w:t xml:space="preserve"> </w:t>
      </w:r>
      <w:r w:rsidR="00A639FB" w:rsidRPr="005A35D8">
        <w:t>L</w:t>
      </w:r>
      <w:r w:rsidRPr="005A35D8">
        <w:t>a trésorerie d</w:t>
      </w:r>
      <w:r w:rsidR="00295456" w:rsidRPr="005A35D8">
        <w:t>’</w:t>
      </w:r>
      <w:r w:rsidRPr="005A35D8">
        <w:t xml:space="preserve">exploitation </w:t>
      </w:r>
      <w:r w:rsidR="00A639FB" w:rsidRPr="005A35D8">
        <w:t>peut aussi être</w:t>
      </w:r>
      <w:r w:rsidRPr="005A35D8">
        <w:t xml:space="preserve"> répartie </w:t>
      </w:r>
      <w:r w:rsidR="00A639FB" w:rsidRPr="005A35D8">
        <w:t>entre plusieurs institutions (</w:t>
      </w:r>
      <w:r w:rsidR="006A582F" w:rsidRPr="005A35D8">
        <w:t>quatre </w:t>
      </w:r>
      <w:r w:rsidR="00A639FB" w:rsidRPr="005A35D8">
        <w:t>minimum</w:t>
      </w:r>
      <w:r w:rsidRPr="005A35D8">
        <w:t>, s</w:t>
      </w:r>
      <w:r w:rsidR="006A582F" w:rsidRPr="005A35D8">
        <w:t>i possible</w:t>
      </w:r>
      <w:r w:rsidR="00A639FB" w:rsidRPr="005A35D8">
        <w:t>),</w:t>
      </w:r>
      <w:r w:rsidR="006A582F" w:rsidRPr="005A35D8">
        <w:t xml:space="preserve"> </w:t>
      </w:r>
      <w:r w:rsidR="00A639FB" w:rsidRPr="005A35D8">
        <w:t>dont aucune ne peut détenir à elle seule plus de </w:t>
      </w:r>
      <w:r w:rsidR="006A582F" w:rsidRPr="005A35D8">
        <w:t xml:space="preserve">30% de la </w:t>
      </w:r>
      <w:r w:rsidRPr="005A35D8">
        <w:t>trésorerie d</w:t>
      </w:r>
      <w:r w:rsidR="00295456" w:rsidRPr="005A35D8">
        <w:t>’</w:t>
      </w:r>
      <w:r w:rsidRPr="005A35D8">
        <w:t xml:space="preserve">exploitation. </w:t>
      </w:r>
      <w:r w:rsidR="006A582F" w:rsidRPr="005A35D8">
        <w:t xml:space="preserve"> Les fonds propres sont répartis </w:t>
      </w:r>
      <w:r w:rsidRPr="005A35D8">
        <w:t xml:space="preserve">entre </w:t>
      </w:r>
      <w:r w:rsidR="006A582F" w:rsidRPr="005A35D8">
        <w:t>deux </w:t>
      </w:r>
      <w:r w:rsidRPr="005A35D8">
        <w:t>gestionnaires de fonds</w:t>
      </w:r>
      <w:r w:rsidR="006A582F" w:rsidRPr="005A35D8">
        <w:t xml:space="preserve"> extérieurs</w:t>
      </w:r>
      <w:r w:rsidR="00A639FB" w:rsidRPr="005A35D8">
        <w:t xml:space="preserve"> au minimum</w:t>
      </w:r>
      <w:r w:rsidR="00490611" w:rsidRPr="005A35D8">
        <w:rPr>
          <w:rFonts w:eastAsia="Times New Roman"/>
          <w:lang w:eastAsia="en-US"/>
        </w:rPr>
        <w:t>.</w:t>
      </w:r>
    </w:p>
    <w:p w:rsidR="000243E3" w:rsidRPr="005A35D8" w:rsidRDefault="005427C6" w:rsidP="0044721B">
      <w:pPr>
        <w:pStyle w:val="ONUMFS"/>
        <w:rPr>
          <w:rFonts w:eastAsia="Times New Roman"/>
          <w:lang w:eastAsia="en-US"/>
        </w:rPr>
      </w:pPr>
      <w:r w:rsidRPr="005A35D8">
        <w:t xml:space="preserve">Les </w:t>
      </w:r>
      <w:r w:rsidR="00A41C6C" w:rsidRPr="005A35D8">
        <w:t>placements de trésorerie d</w:t>
      </w:r>
      <w:r w:rsidR="00295456" w:rsidRPr="005A35D8">
        <w:t>’</w:t>
      </w:r>
      <w:r w:rsidR="00A41C6C" w:rsidRPr="005A35D8">
        <w:t>exploitation et de fonds propres</w:t>
      </w:r>
      <w:r w:rsidRPr="005A35D8">
        <w:t xml:space="preserve"> ne peuvent être </w:t>
      </w:r>
      <w:r w:rsidR="00A61895" w:rsidRPr="005A35D8">
        <w:t>confiés qu</w:t>
      </w:r>
      <w:r w:rsidR="00295456" w:rsidRPr="005A35D8">
        <w:t>’</w:t>
      </w:r>
      <w:r w:rsidR="00A61895" w:rsidRPr="005A35D8">
        <w:t>à des</w:t>
      </w:r>
      <w:r w:rsidRPr="005A35D8">
        <w:t xml:space="preserve"> institutions ayant une </w:t>
      </w:r>
      <w:r w:rsidR="00A41C6C" w:rsidRPr="005A35D8">
        <w:t>notation à court terme de A</w:t>
      </w:r>
      <w:r w:rsidR="00D14880" w:rsidRPr="005A35D8">
        <w:noBreakHyphen/>
      </w:r>
      <w:r w:rsidR="00A41C6C" w:rsidRPr="005A35D8">
        <w:t>2/</w:t>
      </w:r>
      <w:r w:rsidRPr="005A35D8">
        <w:t>P</w:t>
      </w:r>
      <w:r w:rsidR="00D14880" w:rsidRPr="005A35D8">
        <w:noBreakHyphen/>
      </w:r>
      <w:r w:rsidRPr="005A35D8">
        <w:t>2 o</w:t>
      </w:r>
      <w:r w:rsidR="00A41C6C" w:rsidRPr="005A35D8">
        <w:t xml:space="preserve">u une notation à long terme </w:t>
      </w:r>
      <w:proofErr w:type="gramStart"/>
      <w:r w:rsidR="00A41C6C" w:rsidRPr="005A35D8">
        <w:t>de A</w:t>
      </w:r>
      <w:r w:rsidR="00D14880" w:rsidRPr="005A35D8">
        <w:noBreakHyphen/>
      </w:r>
      <w:r w:rsidR="00A41C6C" w:rsidRPr="005A35D8">
        <w:t>/</w:t>
      </w:r>
      <w:r w:rsidRPr="005A35D8">
        <w:t>A3</w:t>
      </w:r>
      <w:proofErr w:type="gramEnd"/>
      <w:r w:rsidR="00490611" w:rsidRPr="005A35D8">
        <w:rPr>
          <w:rFonts w:eastAsia="Times New Roman"/>
          <w:vertAlign w:val="superscript"/>
          <w:lang w:eastAsia="en-US"/>
        </w:rPr>
        <w:footnoteReference w:id="6"/>
      </w:r>
      <w:r w:rsidR="00490611" w:rsidRPr="005A35D8">
        <w:rPr>
          <w:rFonts w:eastAsia="Times New Roman"/>
          <w:lang w:eastAsia="en-US"/>
        </w:rPr>
        <w:t xml:space="preserve">.  </w:t>
      </w:r>
      <w:r w:rsidRPr="005A35D8">
        <w:t xml:space="preserve">La seule exception à cette </w:t>
      </w:r>
      <w:r w:rsidR="00A41C6C" w:rsidRPr="005A35D8">
        <w:t xml:space="preserve">règle </w:t>
      </w:r>
      <w:r w:rsidRPr="005A35D8">
        <w:t xml:space="preserve">concerne les émissions </w:t>
      </w:r>
      <w:r w:rsidR="00D03AB9" w:rsidRPr="005A35D8">
        <w:t>d</w:t>
      </w:r>
      <w:r w:rsidR="00295456" w:rsidRPr="005A35D8">
        <w:t>’</w:t>
      </w:r>
      <w:r w:rsidR="00D03AB9" w:rsidRPr="005A35D8">
        <w:t>entreprises</w:t>
      </w:r>
      <w:r w:rsidRPr="005A35D8">
        <w:t xml:space="preserve"> (obligations </w:t>
      </w:r>
      <w:r w:rsidR="00D03AB9" w:rsidRPr="005A35D8">
        <w:t>d</w:t>
      </w:r>
      <w:r w:rsidR="00295456" w:rsidRPr="005A35D8">
        <w:t>’</w:t>
      </w:r>
      <w:r w:rsidR="00D03AB9" w:rsidRPr="005A35D8">
        <w:t>entreprises</w:t>
      </w:r>
      <w:r w:rsidRPr="005A35D8">
        <w:t xml:space="preserve"> et </w:t>
      </w:r>
      <w:r w:rsidR="00D03AB9" w:rsidRPr="005A35D8">
        <w:t>billets de trésorerie</w:t>
      </w:r>
      <w:r w:rsidRPr="005A35D8">
        <w:t xml:space="preserve">) qui peuvent avoir une </w:t>
      </w:r>
      <w:r w:rsidR="00A41C6C" w:rsidRPr="005A35D8">
        <w:t xml:space="preserve">notation à court terme </w:t>
      </w:r>
      <w:proofErr w:type="gramStart"/>
      <w:r w:rsidR="00A41C6C" w:rsidRPr="005A35D8">
        <w:t>de A</w:t>
      </w:r>
      <w:r w:rsidR="00D14880" w:rsidRPr="005A35D8">
        <w:noBreakHyphen/>
      </w:r>
      <w:r w:rsidR="00A41C6C" w:rsidRPr="005A35D8">
        <w:t>3/</w:t>
      </w:r>
      <w:r w:rsidRPr="005A35D8">
        <w:t>P</w:t>
      </w:r>
      <w:r w:rsidR="00D14880" w:rsidRPr="005A35D8">
        <w:noBreakHyphen/>
      </w:r>
      <w:r w:rsidRPr="005A35D8">
        <w:t>3</w:t>
      </w:r>
      <w:proofErr w:type="gramEnd"/>
      <w:r w:rsidRPr="005A35D8">
        <w:t xml:space="preserve"> ou une notation à </w:t>
      </w:r>
      <w:r w:rsidR="00A41C6C" w:rsidRPr="005A35D8">
        <w:t>long terme de BBB</w:t>
      </w:r>
      <w:r w:rsidR="00D14880" w:rsidRPr="005A35D8">
        <w:noBreakHyphen/>
      </w:r>
      <w:r w:rsidR="00A41C6C" w:rsidRPr="005A35D8">
        <w:t>/</w:t>
      </w:r>
      <w:r w:rsidRPr="005A35D8">
        <w:t>Baa3.</w:t>
      </w:r>
      <w:r w:rsidR="00A41C6C" w:rsidRPr="005A35D8">
        <w:t xml:space="preserve"> </w:t>
      </w:r>
      <w:r w:rsidRPr="005A35D8">
        <w:t xml:space="preserve"> </w:t>
      </w:r>
      <w:r w:rsidR="00A41C6C" w:rsidRPr="005A35D8">
        <w:t xml:space="preserve">Les placements confiés </w:t>
      </w:r>
      <w:r w:rsidR="00D03AB9" w:rsidRPr="005A35D8">
        <w:t>à des</w:t>
      </w:r>
      <w:r w:rsidR="00A41C6C" w:rsidRPr="005A35D8">
        <w:t xml:space="preserve"> </w:t>
      </w:r>
      <w:r w:rsidRPr="005A35D8">
        <w:t xml:space="preserve">institutions </w:t>
      </w:r>
      <w:r w:rsidR="00D03AB9" w:rsidRPr="005A35D8">
        <w:t>qui ne remplissent plus</w:t>
      </w:r>
      <w:r w:rsidR="00A41C6C" w:rsidRPr="005A35D8">
        <w:t xml:space="preserve"> les</w:t>
      </w:r>
      <w:r w:rsidRPr="005A35D8">
        <w:t xml:space="preserve"> critères de notation</w:t>
      </w:r>
      <w:r w:rsidR="00A41C6C" w:rsidRPr="005A35D8">
        <w:t xml:space="preserve"> s</w:t>
      </w:r>
      <w:r w:rsidRPr="005A35D8">
        <w:t>ont liquidés</w:t>
      </w:r>
      <w:r w:rsidR="00A41C6C" w:rsidRPr="005A35D8">
        <w:t xml:space="preserve"> dès que possible</w:t>
      </w:r>
      <w:r w:rsidR="00490611" w:rsidRPr="005A35D8">
        <w:rPr>
          <w:rFonts w:eastAsia="Times New Roman"/>
          <w:lang w:eastAsia="en-US"/>
        </w:rPr>
        <w:t>.</w:t>
      </w:r>
    </w:p>
    <w:p w:rsidR="000243E3" w:rsidRPr="005A35D8" w:rsidRDefault="005427C6" w:rsidP="0044721B">
      <w:pPr>
        <w:pStyle w:val="ONUMFS"/>
        <w:rPr>
          <w:rFonts w:eastAsia="Times New Roman"/>
          <w:lang w:eastAsia="en-US"/>
        </w:rPr>
      </w:pPr>
      <w:r w:rsidRPr="005A35D8">
        <w:t xml:space="preserve">Les </w:t>
      </w:r>
      <w:r w:rsidR="00361B3F" w:rsidRPr="005A35D8">
        <w:t>placements</w:t>
      </w:r>
      <w:r w:rsidRPr="005A35D8">
        <w:t xml:space="preserve"> </w:t>
      </w:r>
      <w:r w:rsidR="00D03AB9" w:rsidRPr="005A35D8">
        <w:t>confiés à des</w:t>
      </w:r>
      <w:r w:rsidRPr="005A35D8">
        <w:t xml:space="preserve"> filiales ou </w:t>
      </w:r>
      <w:r w:rsidR="00D03AB9" w:rsidRPr="005A35D8">
        <w:t xml:space="preserve">des </w:t>
      </w:r>
      <w:r w:rsidRPr="005A35D8">
        <w:t>sociétés affiliées d</w:t>
      </w:r>
      <w:r w:rsidR="00295456" w:rsidRPr="005A35D8">
        <w:t>’</w:t>
      </w:r>
      <w:r w:rsidRPr="005A35D8">
        <w:t xml:space="preserve">une </w:t>
      </w:r>
      <w:r w:rsidR="00361B3F" w:rsidRPr="005A35D8">
        <w:t>institution doivent être agrégé</w:t>
      </w:r>
      <w:r w:rsidRPr="005A35D8">
        <w:t xml:space="preserve">s </w:t>
      </w:r>
      <w:r w:rsidR="00361B3F" w:rsidRPr="005A35D8">
        <w:t>lors de la détermination du</w:t>
      </w:r>
      <w:r w:rsidRPr="005A35D8">
        <w:t xml:space="preserve"> pourcentage de </w:t>
      </w:r>
      <w:r w:rsidR="00361B3F" w:rsidRPr="005A35D8">
        <w:t xml:space="preserve">sommes placées </w:t>
      </w:r>
      <w:r w:rsidRPr="005A35D8">
        <w:t xml:space="preserve">auprès de </w:t>
      </w:r>
      <w:r w:rsidR="00361B3F" w:rsidRPr="005A35D8">
        <w:t>l</w:t>
      </w:r>
      <w:r w:rsidR="00295456" w:rsidRPr="005A35D8">
        <w:t>’</w:t>
      </w:r>
      <w:r w:rsidR="00361B3F" w:rsidRPr="005A35D8">
        <w:t>institution</w:t>
      </w:r>
      <w:r w:rsidRPr="005A35D8">
        <w:t xml:space="preserve"> concerné</w:t>
      </w:r>
      <w:r w:rsidR="00361B3F" w:rsidRPr="005A35D8">
        <w:t>e</w:t>
      </w:r>
      <w:r w:rsidRPr="005A35D8">
        <w:t xml:space="preserve">. </w:t>
      </w:r>
      <w:r w:rsidR="00D03AB9" w:rsidRPr="005A35D8">
        <w:t xml:space="preserve"> Les l</w:t>
      </w:r>
      <w:r w:rsidRPr="005A35D8">
        <w:t xml:space="preserve">imites peuvent être dépassées temporairement en raison des fluctuations de change, </w:t>
      </w:r>
      <w:r w:rsidR="00361B3F" w:rsidRPr="005A35D8">
        <w:t>de l</w:t>
      </w:r>
      <w:r w:rsidR="00295456" w:rsidRPr="005A35D8">
        <w:t>’</w:t>
      </w:r>
      <w:r w:rsidR="00361B3F" w:rsidRPr="005A35D8">
        <w:t>échéance</w:t>
      </w:r>
      <w:r w:rsidRPr="005A35D8">
        <w:t xml:space="preserve"> de</w:t>
      </w:r>
      <w:r w:rsidR="00361B3F" w:rsidRPr="005A35D8">
        <w:t>s placements importants</w:t>
      </w:r>
      <w:r w:rsidRPr="005A35D8">
        <w:t xml:space="preserve">, </w:t>
      </w:r>
      <w:r w:rsidR="00361B3F" w:rsidRPr="005A35D8">
        <w:t>de l</w:t>
      </w:r>
      <w:r w:rsidR="00295456" w:rsidRPr="005A35D8">
        <w:t>’</w:t>
      </w:r>
      <w:r w:rsidR="00361B3F" w:rsidRPr="005A35D8">
        <w:t xml:space="preserve">évolution </w:t>
      </w:r>
      <w:r w:rsidR="00D03AB9" w:rsidRPr="005A35D8">
        <w:t>de</w:t>
      </w:r>
      <w:r w:rsidR="00361B3F" w:rsidRPr="005A35D8">
        <w:t>s flux de</w:t>
      </w:r>
      <w:r w:rsidRPr="005A35D8">
        <w:t xml:space="preserve"> trésorerie ou </w:t>
      </w:r>
      <w:r w:rsidR="00361B3F" w:rsidRPr="005A35D8">
        <w:t>du</w:t>
      </w:r>
      <w:r w:rsidRPr="005A35D8">
        <w:t xml:space="preserve"> déclassement des institutions. </w:t>
      </w:r>
      <w:r w:rsidR="00D03AB9" w:rsidRPr="005A35D8">
        <w:t xml:space="preserve"> </w:t>
      </w:r>
      <w:r w:rsidRPr="005A35D8">
        <w:t xml:space="preserve">En outre, </w:t>
      </w:r>
      <w:r w:rsidR="00D03AB9" w:rsidRPr="005A35D8">
        <w:t>en période</w:t>
      </w:r>
      <w:r w:rsidR="00361B3F" w:rsidRPr="005A35D8">
        <w:t>s</w:t>
      </w:r>
      <w:r w:rsidR="00D03AB9" w:rsidRPr="005A35D8">
        <w:t xml:space="preserve"> </w:t>
      </w:r>
      <w:r w:rsidRPr="005A35D8">
        <w:t>de taux d</w:t>
      </w:r>
      <w:r w:rsidR="00295456" w:rsidRPr="005A35D8">
        <w:t>’</w:t>
      </w:r>
      <w:r w:rsidRPr="005A35D8">
        <w:t xml:space="preserve">intérêt négatifs, en raison du nombre limité de contreparties disponibles, le niveau des placements de trésorerie </w:t>
      </w:r>
      <w:r w:rsidR="00361B3F" w:rsidRPr="005A35D8">
        <w:t>d</w:t>
      </w:r>
      <w:r w:rsidR="00295456" w:rsidRPr="005A35D8">
        <w:t>’</w:t>
      </w:r>
      <w:r w:rsidR="00361B3F" w:rsidRPr="005A35D8">
        <w:t>exploitation confiés à</w:t>
      </w:r>
      <w:r w:rsidRPr="005A35D8">
        <w:t xml:space="preserve"> des contreparties sélectionnées peut </w:t>
      </w:r>
      <w:r w:rsidR="00361B3F" w:rsidRPr="005A35D8">
        <w:t>dépasser les</w:t>
      </w:r>
      <w:r w:rsidRPr="005A35D8">
        <w:t xml:space="preserve"> niveaux de pourcentage prescrit</w:t>
      </w:r>
      <w:r w:rsidR="00D03AB9" w:rsidRPr="005A35D8">
        <w:t>s</w:t>
      </w:r>
      <w:r w:rsidRPr="005A35D8">
        <w:t xml:space="preserve">. </w:t>
      </w:r>
      <w:r w:rsidR="00D03AB9" w:rsidRPr="005A35D8">
        <w:t xml:space="preserve"> Lorsque</w:t>
      </w:r>
      <w:r w:rsidRPr="005A35D8">
        <w:t xml:space="preserve"> les niveaux </w:t>
      </w:r>
      <w:r w:rsidR="00361B3F" w:rsidRPr="005A35D8">
        <w:t>s</w:t>
      </w:r>
      <w:r w:rsidRPr="005A35D8">
        <w:t xml:space="preserve">ont dépassés, </w:t>
      </w:r>
      <w:r w:rsidR="00D03AB9" w:rsidRPr="005A35D8">
        <w:t>le</w:t>
      </w:r>
      <w:r w:rsidRPr="005A35D8">
        <w:t xml:space="preserve"> contrôleur </w:t>
      </w:r>
      <w:r w:rsidR="00D03AB9" w:rsidRPr="005A35D8">
        <w:t>est immédiatement averti, et le trésorier tente</w:t>
      </w:r>
      <w:r w:rsidRPr="005A35D8">
        <w:t xml:space="preserve"> de remédier à la situation dès que possible</w:t>
      </w:r>
      <w:r w:rsidR="00777825" w:rsidRPr="005A35D8">
        <w:t>,</w:t>
      </w:r>
      <w:r w:rsidRPr="005A35D8">
        <w:t xml:space="preserve"> sans pénalités. </w:t>
      </w:r>
      <w:r w:rsidR="00D03AB9" w:rsidRPr="005A35D8">
        <w:t xml:space="preserve"> </w:t>
      </w:r>
      <w:r w:rsidRPr="005A35D8">
        <w:t xml:space="preserve">Lorsque le niveau ne peut pas être facilement </w:t>
      </w:r>
      <w:r w:rsidR="00D03AB9" w:rsidRPr="005A35D8">
        <w:t>ajusté</w:t>
      </w:r>
      <w:r w:rsidRPr="005A35D8">
        <w:t xml:space="preserve"> (en raison des coûts associés), la situation </w:t>
      </w:r>
      <w:r w:rsidR="00D03AB9" w:rsidRPr="005A35D8">
        <w:t>doit recueillir l</w:t>
      </w:r>
      <w:r w:rsidR="00295456" w:rsidRPr="005A35D8">
        <w:t>’</w:t>
      </w:r>
      <w:r w:rsidR="00D03AB9" w:rsidRPr="005A35D8">
        <w:t>approbation du contrôleur</w:t>
      </w:r>
      <w:r w:rsidRPr="005A35D8">
        <w:t>.</w:t>
      </w:r>
      <w:r w:rsidR="00D03AB9" w:rsidRPr="005A35D8">
        <w:t xml:space="preserve"> </w:t>
      </w:r>
      <w:r w:rsidRPr="005A35D8">
        <w:t xml:space="preserve"> </w:t>
      </w:r>
      <w:r w:rsidR="00D03AB9" w:rsidRPr="005A35D8">
        <w:t>Lorsque des</w:t>
      </w:r>
      <w:r w:rsidRPr="005A35D8">
        <w:t xml:space="preserve"> taux d</w:t>
      </w:r>
      <w:r w:rsidR="00295456" w:rsidRPr="005A35D8">
        <w:t>’</w:t>
      </w:r>
      <w:r w:rsidRPr="005A35D8">
        <w:t xml:space="preserve">intérêt négatifs </w:t>
      </w:r>
      <w:r w:rsidR="00777825" w:rsidRPr="005A35D8">
        <w:t>doivent être assumés</w:t>
      </w:r>
      <w:r w:rsidRPr="005A35D8">
        <w:t xml:space="preserve">, </w:t>
      </w:r>
      <w:r w:rsidRPr="005A35D8">
        <w:lastRenderedPageBreak/>
        <w:t xml:space="preserve">les raisons </w:t>
      </w:r>
      <w:r w:rsidR="00777825" w:rsidRPr="005A35D8">
        <w:t xml:space="preserve">détaillées </w:t>
      </w:r>
      <w:r w:rsidRPr="005A35D8">
        <w:t>de ce</w:t>
      </w:r>
      <w:r w:rsidR="00D03AB9" w:rsidRPr="005A35D8">
        <w:t>s taux négatifs</w:t>
      </w:r>
      <w:r w:rsidR="00777825" w:rsidRPr="005A35D8">
        <w:t xml:space="preserve"> s</w:t>
      </w:r>
      <w:r w:rsidRPr="005A35D8">
        <w:t xml:space="preserve">ont </w:t>
      </w:r>
      <w:r w:rsidR="00777825" w:rsidRPr="005A35D8">
        <w:t>communiquées</w:t>
      </w:r>
      <w:r w:rsidRPr="005A35D8">
        <w:t xml:space="preserve"> par le trésorier</w:t>
      </w:r>
      <w:r w:rsidR="00777825" w:rsidRPr="005A35D8">
        <w:t xml:space="preserve"> au contrôleur pour approbation</w:t>
      </w:r>
      <w:r w:rsidRPr="005A35D8">
        <w:t xml:space="preserve"> par l</w:t>
      </w:r>
      <w:r w:rsidR="00295456" w:rsidRPr="005A35D8">
        <w:t>’</w:t>
      </w:r>
      <w:r w:rsidRPr="005A35D8">
        <w:t xml:space="preserve">intermédiaire du directeur </w:t>
      </w:r>
      <w:r w:rsidR="00D03AB9" w:rsidRPr="005A35D8">
        <w:t>financier</w:t>
      </w:r>
      <w:r w:rsidR="00490611" w:rsidRPr="005A35D8">
        <w:rPr>
          <w:rFonts w:eastAsia="Times New Roman"/>
          <w:lang w:eastAsia="en-US"/>
        </w:rPr>
        <w:t>.</w:t>
      </w:r>
    </w:p>
    <w:p w:rsidR="000243E3" w:rsidRPr="005A35D8" w:rsidRDefault="00816745" w:rsidP="00816745">
      <w:pPr>
        <w:pStyle w:val="ONUME"/>
        <w:spacing w:before="120" w:after="120"/>
        <w:rPr>
          <w:bCs/>
          <w:szCs w:val="26"/>
          <w:u w:val="single"/>
          <w:lang w:eastAsia="en-US"/>
        </w:rPr>
      </w:pPr>
      <w:r w:rsidRPr="005A35D8">
        <w:rPr>
          <w:bCs/>
          <w:szCs w:val="26"/>
          <w:u w:val="single"/>
          <w:lang w:eastAsia="en-US"/>
        </w:rPr>
        <w:t>Monnaie des placements</w:t>
      </w:r>
    </w:p>
    <w:p w:rsidR="000243E3" w:rsidRPr="005A35D8" w:rsidRDefault="0081144C" w:rsidP="0044721B">
      <w:pPr>
        <w:pStyle w:val="ONUMFS"/>
        <w:rPr>
          <w:rFonts w:eastAsia="Times New Roman"/>
          <w:lang w:eastAsia="en-US"/>
        </w:rPr>
      </w:pPr>
      <w:r w:rsidRPr="005A35D8">
        <w:rPr>
          <w:rStyle w:val="hps"/>
        </w:rPr>
        <w:t>S</w:t>
      </w:r>
      <w:r w:rsidR="00295456" w:rsidRPr="005A35D8">
        <w:rPr>
          <w:rStyle w:val="hps"/>
        </w:rPr>
        <w:t>’</w:t>
      </w:r>
      <w:r w:rsidRPr="005A35D8">
        <w:rPr>
          <w:rStyle w:val="hps"/>
        </w:rPr>
        <w:t>agissant des</w:t>
      </w:r>
      <w:r w:rsidR="00777825" w:rsidRPr="005A35D8">
        <w:rPr>
          <w:rStyle w:val="hps"/>
        </w:rPr>
        <w:t xml:space="preserve"> monnaies</w:t>
      </w:r>
      <w:r w:rsidR="00777825" w:rsidRPr="005A35D8">
        <w:t xml:space="preserve"> </w:t>
      </w:r>
      <w:r w:rsidR="00777825" w:rsidRPr="005A35D8">
        <w:rPr>
          <w:rStyle w:val="hps"/>
        </w:rPr>
        <w:t>dans lesquelles les placements</w:t>
      </w:r>
      <w:r w:rsidR="00777825" w:rsidRPr="005A35D8">
        <w:t xml:space="preserve"> </w:t>
      </w:r>
      <w:r w:rsidR="00777825" w:rsidRPr="005A35D8">
        <w:rPr>
          <w:rStyle w:val="hps"/>
        </w:rPr>
        <w:t>sont effectués</w:t>
      </w:r>
      <w:r w:rsidRPr="005A35D8">
        <w:rPr>
          <w:rStyle w:val="hps"/>
        </w:rPr>
        <w:t>, il convient de</w:t>
      </w:r>
      <w:r w:rsidR="00777825" w:rsidRPr="005A35D8">
        <w:t xml:space="preserve"> </w:t>
      </w:r>
      <w:r w:rsidR="00777825" w:rsidRPr="005A35D8">
        <w:rPr>
          <w:rStyle w:val="hps"/>
        </w:rPr>
        <w:t>prendre en considération</w:t>
      </w:r>
      <w:r w:rsidR="00777825" w:rsidRPr="005A35D8">
        <w:t xml:space="preserve"> </w:t>
      </w:r>
      <w:r w:rsidR="00777825" w:rsidRPr="005A35D8">
        <w:rPr>
          <w:rStyle w:val="hps"/>
        </w:rPr>
        <w:t>la monnaie dans laquelle</w:t>
      </w:r>
      <w:r w:rsidR="00777825" w:rsidRPr="005A35D8">
        <w:t xml:space="preserve"> </w:t>
      </w:r>
      <w:r w:rsidR="00777825" w:rsidRPr="005A35D8">
        <w:rPr>
          <w:rStyle w:val="hps"/>
        </w:rPr>
        <w:t>les</w:t>
      </w:r>
      <w:r w:rsidR="00777825" w:rsidRPr="005A35D8">
        <w:t xml:space="preserve"> </w:t>
      </w:r>
      <w:r w:rsidR="00777825" w:rsidRPr="005A35D8">
        <w:rPr>
          <w:rStyle w:val="hps"/>
        </w:rPr>
        <w:t>états financiers</w:t>
      </w:r>
      <w:r w:rsidR="00777825" w:rsidRPr="005A35D8">
        <w:t xml:space="preserve"> </w:t>
      </w:r>
      <w:r w:rsidR="00777825" w:rsidRPr="005A35D8">
        <w:rPr>
          <w:rStyle w:val="hps"/>
        </w:rPr>
        <w:t>sont tenus</w:t>
      </w:r>
      <w:r w:rsidR="00777825" w:rsidRPr="005A35D8">
        <w:t xml:space="preserve">, </w:t>
      </w:r>
      <w:r w:rsidR="00295456" w:rsidRPr="005A35D8">
        <w:t>à savoir</w:t>
      </w:r>
      <w:r w:rsidR="00777825" w:rsidRPr="005A35D8">
        <w:t xml:space="preserve"> </w:t>
      </w:r>
      <w:r w:rsidR="00777825" w:rsidRPr="005A35D8">
        <w:rPr>
          <w:rStyle w:val="hps"/>
        </w:rPr>
        <w:t>le</w:t>
      </w:r>
      <w:r w:rsidR="00777825" w:rsidRPr="005A35D8">
        <w:t xml:space="preserve"> </w:t>
      </w:r>
      <w:r w:rsidR="00777825" w:rsidRPr="005A35D8">
        <w:rPr>
          <w:rStyle w:val="hps"/>
        </w:rPr>
        <w:t>franc suisse</w:t>
      </w:r>
      <w:r w:rsidR="00490611" w:rsidRPr="005A35D8">
        <w:rPr>
          <w:rFonts w:eastAsia="Times New Roman"/>
          <w:lang w:eastAsia="en-US"/>
        </w:rPr>
        <w:t>.</w:t>
      </w:r>
    </w:p>
    <w:p w:rsidR="000243E3" w:rsidRPr="005A35D8" w:rsidRDefault="00777825" w:rsidP="0044721B">
      <w:pPr>
        <w:pStyle w:val="ONUMFS"/>
        <w:rPr>
          <w:rFonts w:eastAsia="Times New Roman"/>
          <w:lang w:eastAsia="en-US"/>
        </w:rPr>
      </w:pPr>
      <w:r w:rsidRPr="005A35D8">
        <w:rPr>
          <w:rStyle w:val="hps"/>
        </w:rPr>
        <w:t xml:space="preserve">Lorsque les </w:t>
      </w:r>
      <w:r w:rsidR="0081144C" w:rsidRPr="005A35D8">
        <w:rPr>
          <w:rStyle w:val="hps"/>
        </w:rPr>
        <w:t>placements</w:t>
      </w:r>
      <w:r w:rsidRPr="005A35D8">
        <w:rPr>
          <w:rStyle w:val="hps"/>
        </w:rPr>
        <w:t xml:space="preserve"> sont</w:t>
      </w:r>
      <w:r w:rsidRPr="005A35D8">
        <w:t xml:space="preserve"> </w:t>
      </w:r>
      <w:r w:rsidRPr="005A35D8">
        <w:rPr>
          <w:rStyle w:val="hps"/>
        </w:rPr>
        <w:t xml:space="preserve">libellés dans des </w:t>
      </w:r>
      <w:r w:rsidR="0081144C" w:rsidRPr="005A35D8">
        <w:rPr>
          <w:rStyle w:val="hps"/>
        </w:rPr>
        <w:t>monnaies</w:t>
      </w:r>
      <w:r w:rsidRPr="005A35D8">
        <w:t xml:space="preserve"> </w:t>
      </w:r>
      <w:r w:rsidRPr="005A35D8">
        <w:rPr>
          <w:rStyle w:val="hps"/>
        </w:rPr>
        <w:t>autres</w:t>
      </w:r>
      <w:r w:rsidRPr="005A35D8">
        <w:t xml:space="preserve"> </w:t>
      </w:r>
      <w:r w:rsidRPr="005A35D8">
        <w:rPr>
          <w:rStyle w:val="hps"/>
        </w:rPr>
        <w:t>que le franc suisse</w:t>
      </w:r>
      <w:r w:rsidRPr="005A35D8">
        <w:t xml:space="preserve">, </w:t>
      </w:r>
      <w:r w:rsidR="008B0F8F" w:rsidRPr="005A35D8">
        <w:rPr>
          <w:rStyle w:val="hps"/>
        </w:rPr>
        <w:t>le contrôleur peut autoriser,</w:t>
      </w:r>
      <w:r w:rsidR="008B0F8F" w:rsidRPr="005A35D8">
        <w:t xml:space="preserve"> </w:t>
      </w:r>
      <w:r w:rsidR="008B0F8F" w:rsidRPr="005A35D8">
        <w:rPr>
          <w:rStyle w:val="hps"/>
        </w:rPr>
        <w:t>après consultation du</w:t>
      </w:r>
      <w:r w:rsidR="008B0F8F" w:rsidRPr="005A35D8">
        <w:t xml:space="preserve"> </w:t>
      </w:r>
      <w:r w:rsidR="00630448" w:rsidRPr="005A35D8">
        <w:rPr>
          <w:rStyle w:val="hps"/>
        </w:rPr>
        <w:t>C</w:t>
      </w:r>
      <w:r w:rsidR="008B0F8F" w:rsidRPr="005A35D8">
        <w:rPr>
          <w:rStyle w:val="hps"/>
        </w:rPr>
        <w:t>omité consultatif</w:t>
      </w:r>
      <w:r w:rsidR="008B0F8F" w:rsidRPr="005A35D8">
        <w:t xml:space="preserve"> </w:t>
      </w:r>
      <w:r w:rsidR="008B0F8F" w:rsidRPr="005A35D8">
        <w:rPr>
          <w:rStyle w:val="hps"/>
        </w:rPr>
        <w:t>des investissements, le recours à</w:t>
      </w:r>
      <w:r w:rsidRPr="005A35D8">
        <w:t xml:space="preserve"> </w:t>
      </w:r>
      <w:r w:rsidRPr="005A35D8">
        <w:rPr>
          <w:rStyle w:val="hps"/>
        </w:rPr>
        <w:t xml:space="preserve">des instruments de </w:t>
      </w:r>
      <w:r w:rsidR="005D411F" w:rsidRPr="005A35D8">
        <w:rPr>
          <w:rStyle w:val="hps"/>
        </w:rPr>
        <w:t>couverture</w:t>
      </w:r>
      <w:r w:rsidRPr="005A35D8">
        <w:t xml:space="preserve"> </w:t>
      </w:r>
      <w:r w:rsidR="005D411F" w:rsidRPr="005A35D8">
        <w:rPr>
          <w:rStyle w:val="hps"/>
        </w:rPr>
        <w:t xml:space="preserve">permettant </w:t>
      </w:r>
      <w:r w:rsidRPr="005A35D8">
        <w:rPr>
          <w:rStyle w:val="hps"/>
        </w:rPr>
        <w:t xml:space="preserve">de </w:t>
      </w:r>
      <w:r w:rsidR="008B0F8F" w:rsidRPr="005A35D8">
        <w:rPr>
          <w:rStyle w:val="hps"/>
        </w:rPr>
        <w:t>ramener à un minimum</w:t>
      </w:r>
      <w:r w:rsidRPr="005A35D8">
        <w:t xml:space="preserve"> </w:t>
      </w:r>
      <w:r w:rsidRPr="005A35D8">
        <w:rPr>
          <w:rStyle w:val="hps"/>
        </w:rPr>
        <w:t>le risque découlant de</w:t>
      </w:r>
      <w:r w:rsidRPr="005A35D8">
        <w:t xml:space="preserve"> </w:t>
      </w:r>
      <w:r w:rsidRPr="005A35D8">
        <w:rPr>
          <w:rStyle w:val="hps"/>
        </w:rPr>
        <w:t>la fluctuation</w:t>
      </w:r>
      <w:r w:rsidRPr="005A35D8">
        <w:t xml:space="preserve"> </w:t>
      </w:r>
      <w:r w:rsidRPr="005A35D8">
        <w:rPr>
          <w:rStyle w:val="hps"/>
        </w:rPr>
        <w:t>de la monnaie</w:t>
      </w:r>
      <w:r w:rsidRPr="005A35D8">
        <w:t xml:space="preserve"> </w:t>
      </w:r>
      <w:r w:rsidRPr="005A35D8">
        <w:rPr>
          <w:rStyle w:val="hps"/>
        </w:rPr>
        <w:t>de</w:t>
      </w:r>
      <w:r w:rsidR="008B0F8F" w:rsidRPr="005A35D8">
        <w:rPr>
          <w:rStyle w:val="hps"/>
        </w:rPr>
        <w:t>s placements</w:t>
      </w:r>
      <w:r w:rsidRPr="005A35D8">
        <w:t xml:space="preserve"> </w:t>
      </w:r>
      <w:r w:rsidR="0081144C" w:rsidRPr="005A35D8">
        <w:rPr>
          <w:rStyle w:val="hps"/>
        </w:rPr>
        <w:t>par rapport au</w:t>
      </w:r>
      <w:r w:rsidRPr="005A35D8">
        <w:rPr>
          <w:rStyle w:val="hps"/>
        </w:rPr>
        <w:t xml:space="preserve"> franc suisse</w:t>
      </w:r>
      <w:r w:rsidRPr="005A35D8">
        <w:t xml:space="preserve"> </w:t>
      </w:r>
      <w:r w:rsidRPr="005A35D8">
        <w:rPr>
          <w:rStyle w:val="hps"/>
        </w:rPr>
        <w:t>et d</w:t>
      </w:r>
      <w:r w:rsidR="00295456" w:rsidRPr="005A35D8">
        <w:rPr>
          <w:rStyle w:val="hps"/>
        </w:rPr>
        <w:t>’</w:t>
      </w:r>
      <w:r w:rsidRPr="005A35D8">
        <w:rPr>
          <w:rStyle w:val="hps"/>
        </w:rPr>
        <w:t>éviter ainsi</w:t>
      </w:r>
      <w:r w:rsidRPr="005A35D8">
        <w:t xml:space="preserve"> </w:t>
      </w:r>
      <w:r w:rsidR="008B0F8F" w:rsidRPr="005A35D8">
        <w:rPr>
          <w:rStyle w:val="hps"/>
        </w:rPr>
        <w:t>des rendements globaux d</w:t>
      </w:r>
      <w:r w:rsidR="00295456" w:rsidRPr="005A35D8">
        <w:rPr>
          <w:rStyle w:val="hps"/>
        </w:rPr>
        <w:t>’</w:t>
      </w:r>
      <w:r w:rsidR="008B0F8F" w:rsidRPr="005A35D8">
        <w:rPr>
          <w:rStyle w:val="hps"/>
        </w:rPr>
        <w:t>investissement négatifs</w:t>
      </w:r>
      <w:r w:rsidRPr="005A35D8">
        <w:t xml:space="preserve">. </w:t>
      </w:r>
      <w:r w:rsidR="008B0F8F" w:rsidRPr="005A35D8">
        <w:t xml:space="preserve"> Les placements</w:t>
      </w:r>
      <w:r w:rsidRPr="005A35D8">
        <w:t xml:space="preserve"> </w:t>
      </w:r>
      <w:r w:rsidR="008B0F8F" w:rsidRPr="005A35D8">
        <w:rPr>
          <w:rStyle w:val="hps"/>
        </w:rPr>
        <w:t>sur</w:t>
      </w:r>
      <w:r w:rsidRPr="005A35D8">
        <w:rPr>
          <w:rStyle w:val="hps"/>
        </w:rPr>
        <w:t xml:space="preserve"> des </w:t>
      </w:r>
      <w:r w:rsidR="008B0F8F" w:rsidRPr="005A35D8">
        <w:rPr>
          <w:rStyle w:val="hps"/>
        </w:rPr>
        <w:t>produits</w:t>
      </w:r>
      <w:r w:rsidRPr="005A35D8">
        <w:rPr>
          <w:rStyle w:val="hps"/>
        </w:rPr>
        <w:t xml:space="preserve"> dérivés</w:t>
      </w:r>
      <w:r w:rsidRPr="005A35D8">
        <w:t xml:space="preserve"> </w:t>
      </w:r>
      <w:r w:rsidRPr="005A35D8">
        <w:rPr>
          <w:rStyle w:val="hps"/>
        </w:rPr>
        <w:t>à des fins spéculatives</w:t>
      </w:r>
      <w:r w:rsidRPr="005A35D8">
        <w:t xml:space="preserve"> </w:t>
      </w:r>
      <w:r w:rsidR="008B0F8F" w:rsidRPr="005A35D8">
        <w:t>ne sont</w:t>
      </w:r>
      <w:r w:rsidRPr="005A35D8">
        <w:rPr>
          <w:rStyle w:val="hps"/>
        </w:rPr>
        <w:t xml:space="preserve"> pas </w:t>
      </w:r>
      <w:r w:rsidR="008B0F8F" w:rsidRPr="005A35D8">
        <w:rPr>
          <w:rStyle w:val="hps"/>
        </w:rPr>
        <w:t>autorisés</w:t>
      </w:r>
      <w:r w:rsidR="0081144C" w:rsidRPr="005A35D8">
        <w:rPr>
          <w:rFonts w:eastAsia="Times New Roman"/>
          <w:lang w:eastAsia="en-US"/>
        </w:rPr>
        <w:t>.</w:t>
      </w:r>
    </w:p>
    <w:p w:rsidR="000243E3" w:rsidRPr="005A35D8" w:rsidRDefault="00777825" w:rsidP="00343D95">
      <w:pPr>
        <w:pStyle w:val="ONUME"/>
        <w:spacing w:before="120" w:after="120"/>
        <w:rPr>
          <w:bCs/>
          <w:szCs w:val="26"/>
          <w:u w:val="single"/>
          <w:lang w:eastAsia="en-US"/>
        </w:rPr>
      </w:pPr>
      <w:r w:rsidRPr="005A35D8">
        <w:rPr>
          <w:bCs/>
          <w:szCs w:val="26"/>
          <w:u w:val="single"/>
          <w:lang w:eastAsia="en-US"/>
        </w:rPr>
        <w:t>Limites de crédit</w:t>
      </w:r>
    </w:p>
    <w:p w:rsidR="000243E3" w:rsidRPr="005A35D8" w:rsidRDefault="00D538A7" w:rsidP="0044721B">
      <w:pPr>
        <w:pStyle w:val="ONUMFS"/>
        <w:rPr>
          <w:rFonts w:eastAsia="Times New Roman"/>
          <w:lang w:eastAsia="en-US"/>
        </w:rPr>
      </w:pPr>
      <w:r w:rsidRPr="005A35D8">
        <w:rPr>
          <w:rStyle w:val="hps"/>
        </w:rPr>
        <w:t>Le montant t</w:t>
      </w:r>
      <w:r w:rsidR="00777825" w:rsidRPr="005A35D8">
        <w:rPr>
          <w:rStyle w:val="hps"/>
        </w:rPr>
        <w:t>otal des placements</w:t>
      </w:r>
      <w:r w:rsidR="00777825" w:rsidRPr="005A35D8">
        <w:t xml:space="preserve"> </w:t>
      </w:r>
      <w:r w:rsidR="00777825" w:rsidRPr="005A35D8">
        <w:rPr>
          <w:rStyle w:val="hps"/>
        </w:rPr>
        <w:t>dans</w:t>
      </w:r>
      <w:r w:rsidR="00777825" w:rsidRPr="005A35D8">
        <w:t xml:space="preserve"> </w:t>
      </w:r>
      <w:r w:rsidR="00777825" w:rsidRPr="005A35D8">
        <w:rPr>
          <w:rStyle w:val="hps"/>
        </w:rPr>
        <w:t>une entité</w:t>
      </w:r>
      <w:r w:rsidR="00777825" w:rsidRPr="005A35D8">
        <w:t xml:space="preserve"> </w:t>
      </w:r>
      <w:r w:rsidR="00777825" w:rsidRPr="005A35D8">
        <w:rPr>
          <w:rStyle w:val="hps"/>
        </w:rPr>
        <w:t xml:space="preserve">donnée ne </w:t>
      </w:r>
      <w:r w:rsidR="004E361E" w:rsidRPr="005A35D8">
        <w:rPr>
          <w:rStyle w:val="hps"/>
        </w:rPr>
        <w:t>doit pas excéder </w:t>
      </w:r>
      <w:r w:rsidR="00777825" w:rsidRPr="005A35D8">
        <w:rPr>
          <w:rStyle w:val="hps"/>
        </w:rPr>
        <w:t>5</w:t>
      </w:r>
      <w:r w:rsidRPr="005A35D8">
        <w:rPr>
          <w:rStyle w:val="hps"/>
        </w:rPr>
        <w:t>%</w:t>
      </w:r>
      <w:r w:rsidR="004E361E" w:rsidRPr="005A35D8">
        <w:rPr>
          <w:rStyle w:val="hps"/>
        </w:rPr>
        <w:t xml:space="preserve"> </w:t>
      </w:r>
      <w:r w:rsidR="00777825" w:rsidRPr="005A35D8">
        <w:rPr>
          <w:rStyle w:val="hps"/>
        </w:rPr>
        <w:t>du capital</w:t>
      </w:r>
      <w:r w:rsidR="00777825" w:rsidRPr="005A35D8">
        <w:t xml:space="preserve"> </w:t>
      </w:r>
      <w:r w:rsidRPr="005A35D8">
        <w:rPr>
          <w:rStyle w:val="hps"/>
        </w:rPr>
        <w:t>social</w:t>
      </w:r>
      <w:r w:rsidR="00777825" w:rsidRPr="005A35D8">
        <w:t xml:space="preserve"> </w:t>
      </w:r>
      <w:r w:rsidR="00777825" w:rsidRPr="005A35D8">
        <w:rPr>
          <w:rStyle w:val="hps"/>
        </w:rPr>
        <w:t>de la banque</w:t>
      </w:r>
      <w:r w:rsidR="00777825" w:rsidRPr="005A35D8">
        <w:t xml:space="preserve"> </w:t>
      </w:r>
      <w:r w:rsidR="00777825" w:rsidRPr="005A35D8">
        <w:rPr>
          <w:rStyle w:val="hps"/>
        </w:rPr>
        <w:t>ou de la société</w:t>
      </w:r>
      <w:r w:rsidRPr="005A35D8">
        <w:rPr>
          <w:rStyle w:val="hps"/>
        </w:rPr>
        <w:t>,</w:t>
      </w:r>
      <w:r w:rsidR="00777825" w:rsidRPr="005A35D8">
        <w:t xml:space="preserve"> </w:t>
      </w:r>
      <w:r w:rsidRPr="005A35D8">
        <w:rPr>
          <w:rStyle w:val="hps"/>
        </w:rPr>
        <w:t>tel que mentionné</w:t>
      </w:r>
      <w:r w:rsidR="00777825" w:rsidRPr="005A35D8">
        <w:t xml:space="preserve"> </w:t>
      </w:r>
      <w:r w:rsidR="00777825" w:rsidRPr="005A35D8">
        <w:rPr>
          <w:rStyle w:val="hps"/>
        </w:rPr>
        <w:t>dans les états financiers</w:t>
      </w:r>
      <w:r w:rsidR="00777825" w:rsidRPr="005A35D8">
        <w:t xml:space="preserve"> </w:t>
      </w:r>
      <w:r w:rsidR="00777825" w:rsidRPr="005A35D8">
        <w:rPr>
          <w:rStyle w:val="hps"/>
        </w:rPr>
        <w:t>les plus</w:t>
      </w:r>
      <w:r w:rsidR="00777825" w:rsidRPr="005A35D8">
        <w:t xml:space="preserve"> </w:t>
      </w:r>
      <w:r w:rsidRPr="005A35D8">
        <w:rPr>
          <w:rStyle w:val="hps"/>
        </w:rPr>
        <w:t>récemment publié</w:t>
      </w:r>
      <w:r w:rsidR="00777825" w:rsidRPr="005A35D8">
        <w:rPr>
          <w:rStyle w:val="hps"/>
        </w:rPr>
        <w:t>s</w:t>
      </w:r>
      <w:r w:rsidR="00777825" w:rsidRPr="005A35D8">
        <w:t xml:space="preserve">. </w:t>
      </w:r>
      <w:r w:rsidRPr="005A35D8">
        <w:t xml:space="preserve"> </w:t>
      </w:r>
      <w:r w:rsidR="004E361E" w:rsidRPr="005A35D8">
        <w:rPr>
          <w:rStyle w:val="hps"/>
        </w:rPr>
        <w:t>S</w:t>
      </w:r>
      <w:r w:rsidR="00295456" w:rsidRPr="005A35D8">
        <w:rPr>
          <w:rStyle w:val="hps"/>
        </w:rPr>
        <w:t>’</w:t>
      </w:r>
      <w:r w:rsidR="004E361E" w:rsidRPr="005A35D8">
        <w:rPr>
          <w:rStyle w:val="hps"/>
        </w:rPr>
        <w:t>agissant des</w:t>
      </w:r>
      <w:r w:rsidR="00777825" w:rsidRPr="005A35D8">
        <w:rPr>
          <w:rStyle w:val="hps"/>
        </w:rPr>
        <w:t xml:space="preserve"> </w:t>
      </w:r>
      <w:r w:rsidR="004E361E" w:rsidRPr="005A35D8">
        <w:rPr>
          <w:rStyle w:val="hps"/>
        </w:rPr>
        <w:t>produits</w:t>
      </w:r>
      <w:r w:rsidR="00777825" w:rsidRPr="005A35D8">
        <w:t xml:space="preserve"> </w:t>
      </w:r>
      <w:r w:rsidR="00777825" w:rsidRPr="005A35D8">
        <w:rPr>
          <w:rStyle w:val="hps"/>
        </w:rPr>
        <w:t>à revenu fixe</w:t>
      </w:r>
      <w:r w:rsidR="00777825" w:rsidRPr="005A35D8">
        <w:t xml:space="preserve">, </w:t>
      </w:r>
      <w:r w:rsidR="00161F65" w:rsidRPr="005A35D8">
        <w:t xml:space="preserve">les placements peuvent représenter </w:t>
      </w:r>
      <w:r w:rsidR="00777825" w:rsidRPr="005A35D8">
        <w:rPr>
          <w:rStyle w:val="hps"/>
        </w:rPr>
        <w:t>5</w:t>
      </w:r>
      <w:r w:rsidRPr="005A35D8">
        <w:t>% maximum du montant</w:t>
      </w:r>
      <w:r w:rsidRPr="005A35D8">
        <w:rPr>
          <w:rStyle w:val="hps"/>
        </w:rPr>
        <w:t xml:space="preserve"> total </w:t>
      </w:r>
      <w:r w:rsidR="00777825" w:rsidRPr="005A35D8">
        <w:rPr>
          <w:rStyle w:val="hps"/>
        </w:rPr>
        <w:t xml:space="preserve">de </w:t>
      </w:r>
      <w:r w:rsidRPr="005A35D8">
        <w:rPr>
          <w:rStyle w:val="hps"/>
        </w:rPr>
        <w:t>l</w:t>
      </w:r>
      <w:r w:rsidR="00295456" w:rsidRPr="005A35D8">
        <w:rPr>
          <w:rStyle w:val="hps"/>
        </w:rPr>
        <w:t>’</w:t>
      </w:r>
      <w:r w:rsidRPr="005A35D8">
        <w:rPr>
          <w:rStyle w:val="hps"/>
        </w:rPr>
        <w:t>émission</w:t>
      </w:r>
      <w:r w:rsidR="00490611" w:rsidRPr="005A35D8">
        <w:rPr>
          <w:rFonts w:eastAsia="Times New Roman"/>
          <w:lang w:eastAsia="en-US"/>
        </w:rPr>
        <w:t>.</w:t>
      </w:r>
    </w:p>
    <w:p w:rsidR="000243E3" w:rsidRPr="005A35D8" w:rsidRDefault="00816745" w:rsidP="00816745">
      <w:pPr>
        <w:pStyle w:val="ONUME"/>
        <w:spacing w:before="120" w:after="120"/>
        <w:rPr>
          <w:bCs/>
          <w:szCs w:val="26"/>
          <w:u w:val="single"/>
          <w:lang w:eastAsia="en-US"/>
        </w:rPr>
      </w:pPr>
      <w:r w:rsidRPr="005A35D8">
        <w:rPr>
          <w:bCs/>
          <w:szCs w:val="26"/>
          <w:u w:val="single"/>
          <w:lang w:eastAsia="en-US"/>
        </w:rPr>
        <w:t>Considérations éthiques</w:t>
      </w:r>
    </w:p>
    <w:p w:rsidR="000243E3" w:rsidRPr="005A35D8" w:rsidRDefault="00161F65" w:rsidP="0044721B">
      <w:pPr>
        <w:pStyle w:val="ONUMFS"/>
        <w:rPr>
          <w:rFonts w:eastAsia="Times New Roman"/>
          <w:lang w:eastAsia="en-US"/>
        </w:rPr>
      </w:pPr>
      <w:r w:rsidRPr="005A35D8">
        <w:rPr>
          <w:rStyle w:val="hps"/>
        </w:rPr>
        <w:t>En matière de placements</w:t>
      </w:r>
      <w:r w:rsidRPr="005A35D8">
        <w:t>, il convient d</w:t>
      </w:r>
      <w:r w:rsidR="00295456" w:rsidRPr="005A35D8">
        <w:t>’</w:t>
      </w:r>
      <w:r w:rsidRPr="005A35D8">
        <w:t xml:space="preserve">examiner </w:t>
      </w:r>
      <w:r w:rsidRPr="005A35D8">
        <w:rPr>
          <w:rStyle w:val="hps"/>
        </w:rPr>
        <w:t>si l</w:t>
      </w:r>
      <w:r w:rsidR="00295456" w:rsidRPr="005A35D8">
        <w:rPr>
          <w:rStyle w:val="hps"/>
        </w:rPr>
        <w:t>’</w:t>
      </w:r>
      <w:r w:rsidRPr="005A35D8">
        <w:t xml:space="preserve">entité émettrice du placement </w:t>
      </w:r>
      <w:r w:rsidRPr="005A35D8">
        <w:rPr>
          <w:rStyle w:val="hps"/>
        </w:rPr>
        <w:t>a adopté</w:t>
      </w:r>
      <w:r w:rsidRPr="005A35D8">
        <w:t xml:space="preserve"> les </w:t>
      </w:r>
      <w:r w:rsidR="00085D20" w:rsidRPr="005A35D8">
        <w:t>10</w:t>
      </w:r>
      <w:r w:rsidRPr="005A35D8">
        <w:t> </w:t>
      </w:r>
      <w:r w:rsidRPr="005A35D8">
        <w:rPr>
          <w:rStyle w:val="hps"/>
        </w:rPr>
        <w:t>principes du Pacte</w:t>
      </w:r>
      <w:r w:rsidRPr="005A35D8">
        <w:t xml:space="preserve"> </w:t>
      </w:r>
      <w:r w:rsidRPr="005A35D8">
        <w:rPr>
          <w:rStyle w:val="hps"/>
        </w:rPr>
        <w:t xml:space="preserve">mondial des </w:t>
      </w:r>
      <w:r w:rsidR="00295456" w:rsidRPr="005A35D8">
        <w:rPr>
          <w:rStyle w:val="hps"/>
        </w:rPr>
        <w:t>Nations Unies</w:t>
      </w:r>
      <w:r w:rsidRPr="005A35D8">
        <w:rPr>
          <w:rStyle w:val="hps"/>
        </w:rPr>
        <w:t xml:space="preserve"> dans les domaines</w:t>
      </w:r>
      <w:r w:rsidRPr="005A35D8">
        <w:t xml:space="preserve"> </w:t>
      </w:r>
      <w:r w:rsidRPr="005A35D8">
        <w:rPr>
          <w:rStyle w:val="hps"/>
        </w:rPr>
        <w:t>des droits de l</w:t>
      </w:r>
      <w:r w:rsidR="00295456" w:rsidRPr="005A35D8">
        <w:rPr>
          <w:rStyle w:val="hps"/>
        </w:rPr>
        <w:t>’</w:t>
      </w:r>
      <w:r w:rsidRPr="005A35D8">
        <w:t xml:space="preserve">homme, des normes </w:t>
      </w:r>
      <w:r w:rsidRPr="005A35D8">
        <w:rPr>
          <w:rStyle w:val="hps"/>
        </w:rPr>
        <w:t>du travail</w:t>
      </w:r>
      <w:r w:rsidRPr="005A35D8">
        <w:t xml:space="preserve">, de </w:t>
      </w:r>
      <w:r w:rsidRPr="005A35D8">
        <w:rPr>
          <w:rStyle w:val="hps"/>
        </w:rPr>
        <w:t>l</w:t>
      </w:r>
      <w:r w:rsidR="00295456" w:rsidRPr="005A35D8">
        <w:rPr>
          <w:rStyle w:val="hps"/>
        </w:rPr>
        <w:t>’</w:t>
      </w:r>
      <w:r w:rsidRPr="005A35D8">
        <w:rPr>
          <w:rStyle w:val="hps"/>
        </w:rPr>
        <w:t>environnement et de la</w:t>
      </w:r>
      <w:r w:rsidRPr="005A35D8">
        <w:t xml:space="preserve"> </w:t>
      </w:r>
      <w:r w:rsidRPr="005A35D8">
        <w:rPr>
          <w:rStyle w:val="hps"/>
        </w:rPr>
        <w:t>lutte contre la corruption</w:t>
      </w:r>
      <w:r w:rsidRPr="005A35D8">
        <w:t xml:space="preserve"> </w:t>
      </w:r>
      <w:r w:rsidR="00490611" w:rsidRPr="005A35D8">
        <w:rPr>
          <w:rFonts w:eastAsia="Times New Roman"/>
          <w:lang w:eastAsia="en-US"/>
        </w:rPr>
        <w:t>(</w:t>
      </w:r>
      <w:hyperlink r:id="rId11" w:history="1">
        <w:r w:rsidR="00490611" w:rsidRPr="005A35D8">
          <w:rPr>
            <w:rFonts w:eastAsia="Times New Roman"/>
            <w:color w:val="0000FF"/>
            <w:u w:val="single"/>
            <w:lang w:eastAsia="en-US"/>
          </w:rPr>
          <w:t>www.unglobalcompact.org</w:t>
        </w:r>
      </w:hyperlink>
      <w:r w:rsidR="00490611" w:rsidRPr="005A35D8">
        <w:rPr>
          <w:rFonts w:eastAsia="Times New Roman"/>
          <w:lang w:eastAsia="en-US"/>
        </w:rPr>
        <w:t>).</w:t>
      </w:r>
      <w:r w:rsidR="00F10F13" w:rsidRPr="005A35D8">
        <w:rPr>
          <w:rFonts w:eastAsia="Times New Roman"/>
          <w:lang w:eastAsia="en-US"/>
        </w:rPr>
        <w:t xml:space="preserve">  </w:t>
      </w:r>
      <w:r w:rsidRPr="005A35D8">
        <w:rPr>
          <w:rStyle w:val="hps"/>
        </w:rPr>
        <w:t>Toutes les activités</w:t>
      </w:r>
      <w:r w:rsidRPr="005A35D8">
        <w:t xml:space="preserve"> </w:t>
      </w:r>
      <w:r w:rsidRPr="005A35D8">
        <w:rPr>
          <w:rStyle w:val="hps"/>
        </w:rPr>
        <w:t>de placement</w:t>
      </w:r>
      <w:r w:rsidRPr="005A35D8">
        <w:t xml:space="preserve"> </w:t>
      </w:r>
      <w:r w:rsidRPr="005A35D8">
        <w:rPr>
          <w:rStyle w:val="hps"/>
        </w:rPr>
        <w:t>sont conformes aux</w:t>
      </w:r>
      <w:r w:rsidRPr="005A35D8">
        <w:t xml:space="preserve"> </w:t>
      </w:r>
      <w:r w:rsidRPr="005A35D8">
        <w:rPr>
          <w:rStyle w:val="hps"/>
        </w:rPr>
        <w:t>principes énoncés</w:t>
      </w:r>
      <w:r w:rsidRPr="005A35D8">
        <w:t xml:space="preserve"> </w:t>
      </w:r>
      <w:r w:rsidRPr="005A35D8">
        <w:rPr>
          <w:rStyle w:val="hps"/>
        </w:rPr>
        <w:t>dans la politique de</w:t>
      </w:r>
      <w:r w:rsidRPr="005A35D8">
        <w:t xml:space="preserve"> </w:t>
      </w:r>
      <w:r w:rsidRPr="005A35D8">
        <w:rPr>
          <w:rStyle w:val="hps"/>
        </w:rPr>
        <w:t>l</w:t>
      </w:r>
      <w:r w:rsidR="00295456" w:rsidRPr="005A35D8">
        <w:rPr>
          <w:rStyle w:val="hps"/>
        </w:rPr>
        <w:t>’</w:t>
      </w:r>
      <w:r w:rsidRPr="005A35D8">
        <w:rPr>
          <w:rStyle w:val="hps"/>
        </w:rPr>
        <w:t>OMPI en matière de</w:t>
      </w:r>
      <w:r w:rsidRPr="005A35D8">
        <w:t xml:space="preserve"> </w:t>
      </w:r>
      <w:r w:rsidRPr="005A35D8">
        <w:rPr>
          <w:rStyle w:val="hps"/>
        </w:rPr>
        <w:t>prévention et de dissuasion</w:t>
      </w:r>
      <w:r w:rsidRPr="005A35D8">
        <w:t xml:space="preserve"> de la </w:t>
      </w:r>
      <w:r w:rsidRPr="005A35D8">
        <w:rPr>
          <w:rStyle w:val="hps"/>
        </w:rPr>
        <w:t>corruption, de la fraude</w:t>
      </w:r>
      <w:r w:rsidRPr="005A35D8">
        <w:t xml:space="preserve">, de la </w:t>
      </w:r>
      <w:r w:rsidRPr="005A35D8">
        <w:rPr>
          <w:rStyle w:val="hps"/>
        </w:rPr>
        <w:t>collusion, de la coercition</w:t>
      </w:r>
      <w:r w:rsidRPr="005A35D8">
        <w:t xml:space="preserve">, du </w:t>
      </w:r>
      <w:r w:rsidRPr="005A35D8">
        <w:rPr>
          <w:rStyle w:val="hps"/>
        </w:rPr>
        <w:t>blanchiment d</w:t>
      </w:r>
      <w:r w:rsidR="00295456" w:rsidRPr="005A35D8">
        <w:rPr>
          <w:rStyle w:val="hps"/>
        </w:rPr>
        <w:t>’</w:t>
      </w:r>
      <w:r w:rsidRPr="005A35D8">
        <w:rPr>
          <w:rStyle w:val="hps"/>
        </w:rPr>
        <w:t>argent et</w:t>
      </w:r>
      <w:r w:rsidRPr="005A35D8">
        <w:t xml:space="preserve"> </w:t>
      </w:r>
      <w:r w:rsidRPr="005A35D8">
        <w:rPr>
          <w:rStyle w:val="hps"/>
        </w:rPr>
        <w:t>du</w:t>
      </w:r>
      <w:r w:rsidRPr="005A35D8">
        <w:t xml:space="preserve"> </w:t>
      </w:r>
      <w:r w:rsidRPr="005A35D8">
        <w:rPr>
          <w:rStyle w:val="hps"/>
        </w:rPr>
        <w:t>financement du terrorisme</w:t>
      </w:r>
      <w:r w:rsidR="007743B5" w:rsidRPr="005A35D8">
        <w:rPr>
          <w:rFonts w:eastAsia="Times New Roman"/>
          <w:lang w:eastAsia="en-US"/>
        </w:rPr>
        <w:t>.</w:t>
      </w:r>
    </w:p>
    <w:p w:rsidR="000243E3" w:rsidRPr="005A35D8" w:rsidRDefault="00161F65" w:rsidP="00343D95">
      <w:pPr>
        <w:pStyle w:val="ONUME"/>
        <w:spacing w:before="120" w:after="120"/>
        <w:rPr>
          <w:bCs/>
          <w:szCs w:val="26"/>
          <w:u w:val="single"/>
          <w:lang w:eastAsia="en-US"/>
        </w:rPr>
      </w:pPr>
      <w:r w:rsidRPr="005A35D8">
        <w:rPr>
          <w:bCs/>
          <w:szCs w:val="26"/>
          <w:u w:val="single"/>
          <w:lang w:eastAsia="en-US"/>
        </w:rPr>
        <w:t>Emprunts</w:t>
      </w:r>
    </w:p>
    <w:p w:rsidR="000243E3" w:rsidRPr="005A35D8" w:rsidRDefault="00161F65" w:rsidP="0044721B">
      <w:pPr>
        <w:pStyle w:val="ONUMFS"/>
        <w:rPr>
          <w:rFonts w:eastAsia="Times New Roman"/>
          <w:lang w:eastAsia="en-US"/>
        </w:rPr>
      </w:pPr>
      <w:r w:rsidRPr="005A35D8">
        <w:rPr>
          <w:rStyle w:val="hps"/>
        </w:rPr>
        <w:t>L</w:t>
      </w:r>
      <w:r w:rsidR="00295456" w:rsidRPr="005A35D8">
        <w:rPr>
          <w:rStyle w:val="hps"/>
        </w:rPr>
        <w:t>’</w:t>
      </w:r>
      <w:r w:rsidRPr="005A35D8">
        <w:rPr>
          <w:rStyle w:val="hps"/>
        </w:rPr>
        <w:t>OMPI</w:t>
      </w:r>
      <w:r w:rsidRPr="005A35D8">
        <w:t xml:space="preserve"> </w:t>
      </w:r>
      <w:r w:rsidRPr="005A35D8">
        <w:rPr>
          <w:rStyle w:val="hps"/>
        </w:rPr>
        <w:t xml:space="preserve">ne </w:t>
      </w:r>
      <w:r w:rsidR="00C64D1B" w:rsidRPr="005A35D8">
        <w:rPr>
          <w:rStyle w:val="hps"/>
        </w:rPr>
        <w:t>peut</w:t>
      </w:r>
      <w:r w:rsidRPr="005A35D8">
        <w:rPr>
          <w:rStyle w:val="hps"/>
        </w:rPr>
        <w:t xml:space="preserve"> pas emprunter</w:t>
      </w:r>
      <w:r w:rsidRPr="005A35D8">
        <w:t xml:space="preserve"> </w:t>
      </w:r>
      <w:r w:rsidRPr="005A35D8">
        <w:rPr>
          <w:rStyle w:val="hps"/>
        </w:rPr>
        <w:t xml:space="preserve">des fonds </w:t>
      </w:r>
      <w:r w:rsidR="00304601" w:rsidRPr="005A35D8">
        <w:rPr>
          <w:rStyle w:val="hps"/>
        </w:rPr>
        <w:t>à</w:t>
      </w:r>
      <w:r w:rsidRPr="005A35D8">
        <w:t xml:space="preserve"> </w:t>
      </w:r>
      <w:r w:rsidRPr="005A35D8">
        <w:rPr>
          <w:rStyle w:val="hps"/>
        </w:rPr>
        <w:t>des</w:t>
      </w:r>
      <w:r w:rsidRPr="005A35D8">
        <w:t xml:space="preserve"> </w:t>
      </w:r>
      <w:r w:rsidRPr="005A35D8">
        <w:rPr>
          <w:rStyle w:val="hps"/>
        </w:rPr>
        <w:t xml:space="preserve">institutions afin </w:t>
      </w:r>
      <w:r w:rsidR="00304601" w:rsidRPr="005A35D8">
        <w:rPr>
          <w:rStyle w:val="hps"/>
        </w:rPr>
        <w:t>d</w:t>
      </w:r>
      <w:r w:rsidR="00295456" w:rsidRPr="005A35D8">
        <w:rPr>
          <w:rStyle w:val="hps"/>
        </w:rPr>
        <w:t>’</w:t>
      </w:r>
      <w:r w:rsidR="00304601" w:rsidRPr="005A35D8">
        <w:rPr>
          <w:rStyle w:val="hps"/>
        </w:rPr>
        <w:t>optimiser les</w:t>
      </w:r>
      <w:r w:rsidRPr="005A35D8">
        <w:rPr>
          <w:rStyle w:val="hps"/>
        </w:rPr>
        <w:t xml:space="preserve"> </w:t>
      </w:r>
      <w:r w:rsidR="00304601" w:rsidRPr="005A35D8">
        <w:rPr>
          <w:rStyle w:val="hps"/>
        </w:rPr>
        <w:t>placements</w:t>
      </w:r>
      <w:r w:rsidRPr="005A35D8">
        <w:t xml:space="preserve">.  </w:t>
      </w:r>
      <w:r w:rsidRPr="005A35D8">
        <w:rPr>
          <w:rStyle w:val="hps"/>
        </w:rPr>
        <w:t>Les gestionnaires de fonds</w:t>
      </w:r>
      <w:r w:rsidRPr="005A35D8">
        <w:t xml:space="preserve"> </w:t>
      </w:r>
      <w:r w:rsidRPr="005A35D8">
        <w:rPr>
          <w:rStyle w:val="hps"/>
        </w:rPr>
        <w:t>extérieurs</w:t>
      </w:r>
      <w:r w:rsidRPr="005A35D8">
        <w:t xml:space="preserve"> </w:t>
      </w:r>
      <w:r w:rsidRPr="005A35D8">
        <w:rPr>
          <w:rStyle w:val="hps"/>
        </w:rPr>
        <w:t>ne peuvent pas non plus emprunter</w:t>
      </w:r>
      <w:r w:rsidRPr="005A35D8">
        <w:t xml:space="preserve"> </w:t>
      </w:r>
      <w:r w:rsidRPr="005A35D8">
        <w:rPr>
          <w:rStyle w:val="hps"/>
        </w:rPr>
        <w:t>de</w:t>
      </w:r>
      <w:r w:rsidR="00304601" w:rsidRPr="005A35D8">
        <w:rPr>
          <w:rStyle w:val="hps"/>
        </w:rPr>
        <w:t>s</w:t>
      </w:r>
      <w:r w:rsidRPr="005A35D8">
        <w:rPr>
          <w:rStyle w:val="hps"/>
        </w:rPr>
        <w:t xml:space="preserve"> fonds </w:t>
      </w:r>
      <w:r w:rsidR="00304601" w:rsidRPr="005A35D8">
        <w:rPr>
          <w:rStyle w:val="hps"/>
        </w:rPr>
        <w:t>à</w:t>
      </w:r>
      <w:r w:rsidRPr="005A35D8">
        <w:t xml:space="preserve"> </w:t>
      </w:r>
      <w:r w:rsidRPr="005A35D8">
        <w:rPr>
          <w:rStyle w:val="hps"/>
        </w:rPr>
        <w:t>des</w:t>
      </w:r>
      <w:r w:rsidRPr="005A35D8">
        <w:t xml:space="preserve"> </w:t>
      </w:r>
      <w:r w:rsidRPr="005A35D8">
        <w:rPr>
          <w:rStyle w:val="hps"/>
        </w:rPr>
        <w:t xml:space="preserve">institutions afin </w:t>
      </w:r>
      <w:r w:rsidR="00304601" w:rsidRPr="005A35D8">
        <w:rPr>
          <w:rStyle w:val="hps"/>
        </w:rPr>
        <w:t>d</w:t>
      </w:r>
      <w:r w:rsidR="00295456" w:rsidRPr="005A35D8">
        <w:rPr>
          <w:rStyle w:val="hps"/>
        </w:rPr>
        <w:t>’</w:t>
      </w:r>
      <w:r w:rsidR="00304601" w:rsidRPr="005A35D8">
        <w:rPr>
          <w:rStyle w:val="hps"/>
        </w:rPr>
        <w:t>optimiser les</w:t>
      </w:r>
      <w:r w:rsidRPr="005A35D8">
        <w:rPr>
          <w:rStyle w:val="hps"/>
        </w:rPr>
        <w:t xml:space="preserve"> placements</w:t>
      </w:r>
      <w:r w:rsidR="00490611" w:rsidRPr="005A35D8">
        <w:rPr>
          <w:rFonts w:eastAsia="Times New Roman"/>
          <w:lang w:eastAsia="en-US"/>
        </w:rPr>
        <w:t>.</w:t>
      </w:r>
    </w:p>
    <w:p w:rsidR="000243E3" w:rsidRPr="005A35D8" w:rsidRDefault="000243E3" w:rsidP="00490611">
      <w:pPr>
        <w:rPr>
          <w:rFonts w:eastAsia="Times New Roman"/>
          <w:lang w:eastAsia="en-US"/>
        </w:rPr>
      </w:pPr>
    </w:p>
    <w:p w:rsidR="000243E3" w:rsidRPr="005A35D8" w:rsidRDefault="00795641" w:rsidP="00AA26AC">
      <w:pPr>
        <w:keepNext/>
        <w:spacing w:after="240"/>
        <w:outlineLvl w:val="0"/>
        <w:rPr>
          <w:bCs/>
          <w:caps/>
          <w:kern w:val="32"/>
          <w:szCs w:val="32"/>
          <w:lang w:eastAsia="en-US"/>
        </w:rPr>
      </w:pPr>
      <w:r w:rsidRPr="005A35D8">
        <w:rPr>
          <w:bCs/>
          <w:caps/>
          <w:kern w:val="32"/>
          <w:szCs w:val="32"/>
          <w:lang w:eastAsia="en-US"/>
        </w:rPr>
        <w:t>D</w:t>
      </w:r>
      <w:r w:rsidR="00873CAC" w:rsidRPr="005A35D8">
        <w:rPr>
          <w:bCs/>
          <w:caps/>
          <w:kern w:val="32"/>
          <w:szCs w:val="32"/>
          <w:lang w:eastAsia="en-US"/>
        </w:rPr>
        <w:t>.</w:t>
      </w:r>
      <w:r w:rsidR="00873CAC" w:rsidRPr="005A35D8">
        <w:rPr>
          <w:bCs/>
          <w:caps/>
          <w:kern w:val="32"/>
          <w:szCs w:val="32"/>
          <w:lang w:eastAsia="en-US"/>
        </w:rPr>
        <w:tab/>
      </w:r>
      <w:r w:rsidR="00161F65" w:rsidRPr="005A35D8">
        <w:rPr>
          <w:rStyle w:val="hps"/>
        </w:rPr>
        <w:t>CLASSES D</w:t>
      </w:r>
      <w:r w:rsidR="00295456" w:rsidRPr="005A35D8">
        <w:rPr>
          <w:rStyle w:val="hps"/>
        </w:rPr>
        <w:t>’</w:t>
      </w:r>
      <w:r w:rsidR="00161F65" w:rsidRPr="005A35D8">
        <w:rPr>
          <w:rStyle w:val="hps"/>
        </w:rPr>
        <w:t>ACTIFS ADMISSIBLES</w:t>
      </w:r>
    </w:p>
    <w:p w:rsidR="000243E3" w:rsidRPr="005A35D8" w:rsidRDefault="00161F65" w:rsidP="0044721B">
      <w:pPr>
        <w:pStyle w:val="ONUMFS"/>
        <w:rPr>
          <w:rFonts w:eastAsia="Times New Roman"/>
          <w:lang w:eastAsia="en-US"/>
        </w:rPr>
      </w:pPr>
      <w:r w:rsidRPr="005A35D8">
        <w:rPr>
          <w:rStyle w:val="hps"/>
        </w:rPr>
        <w:t>Les classes d</w:t>
      </w:r>
      <w:r w:rsidR="00295456" w:rsidRPr="005A35D8">
        <w:rPr>
          <w:rStyle w:val="hps"/>
        </w:rPr>
        <w:t>’</w:t>
      </w:r>
      <w:r w:rsidRPr="005A35D8">
        <w:rPr>
          <w:rStyle w:val="hps"/>
        </w:rPr>
        <w:t>actifs</w:t>
      </w:r>
      <w:r w:rsidRPr="005A35D8">
        <w:t xml:space="preserve"> </w:t>
      </w:r>
      <w:r w:rsidRPr="005A35D8">
        <w:rPr>
          <w:rStyle w:val="hps"/>
        </w:rPr>
        <w:t>admissibles et</w:t>
      </w:r>
      <w:r w:rsidRPr="005A35D8">
        <w:t xml:space="preserve"> </w:t>
      </w:r>
      <w:r w:rsidRPr="005A35D8">
        <w:rPr>
          <w:rStyle w:val="hps"/>
        </w:rPr>
        <w:t xml:space="preserve">leurs </w:t>
      </w:r>
      <w:r w:rsidR="00304601" w:rsidRPr="005A35D8">
        <w:rPr>
          <w:rStyle w:val="hps"/>
        </w:rPr>
        <w:t xml:space="preserve">notations </w:t>
      </w:r>
      <w:r w:rsidRPr="005A35D8">
        <w:rPr>
          <w:rStyle w:val="hps"/>
        </w:rPr>
        <w:t>minimales</w:t>
      </w:r>
      <w:r w:rsidRPr="005A35D8">
        <w:t xml:space="preserve"> </w:t>
      </w:r>
      <w:r w:rsidR="00304601" w:rsidRPr="005A35D8">
        <w:t xml:space="preserve">requises </w:t>
      </w:r>
      <w:r w:rsidRPr="005A35D8">
        <w:rPr>
          <w:rStyle w:val="hps"/>
        </w:rPr>
        <w:t>sont décrites</w:t>
      </w:r>
      <w:r w:rsidRPr="005A35D8">
        <w:t xml:space="preserve"> </w:t>
      </w:r>
      <w:r w:rsidRPr="005A35D8">
        <w:rPr>
          <w:rStyle w:val="hps"/>
        </w:rPr>
        <w:t xml:space="preserve">dans le tableau </w:t>
      </w:r>
      <w:r w:rsidR="00304601" w:rsidRPr="005A35D8">
        <w:rPr>
          <w:rStyle w:val="hps"/>
        </w:rPr>
        <w:t>ci</w:t>
      </w:r>
      <w:r w:rsidR="00D14880" w:rsidRPr="005A35D8">
        <w:rPr>
          <w:rStyle w:val="hps"/>
        </w:rPr>
        <w:noBreakHyphen/>
      </w:r>
      <w:r w:rsidR="00304601" w:rsidRPr="005A35D8">
        <w:rPr>
          <w:rStyle w:val="hps"/>
        </w:rPr>
        <w:t>dessous</w:t>
      </w:r>
      <w:r w:rsidRPr="005A35D8">
        <w:t xml:space="preserve">. </w:t>
      </w:r>
      <w:r w:rsidR="00304601" w:rsidRPr="005A35D8">
        <w:t xml:space="preserve"> </w:t>
      </w:r>
      <w:r w:rsidR="00304601" w:rsidRPr="005A35D8">
        <w:rPr>
          <w:rStyle w:val="hps"/>
        </w:rPr>
        <w:t>Les a</w:t>
      </w:r>
      <w:r w:rsidRPr="005A35D8">
        <w:rPr>
          <w:rStyle w:val="hps"/>
        </w:rPr>
        <w:t>ctifs</w:t>
      </w:r>
      <w:r w:rsidRPr="005A35D8">
        <w:t xml:space="preserve"> </w:t>
      </w:r>
      <w:r w:rsidR="00304601" w:rsidRPr="005A35D8">
        <w:rPr>
          <w:rStyle w:val="hps"/>
        </w:rPr>
        <w:t>de chacune de</w:t>
      </w:r>
      <w:r w:rsidRPr="005A35D8">
        <w:rPr>
          <w:rStyle w:val="hps"/>
        </w:rPr>
        <w:t xml:space="preserve"> ces</w:t>
      </w:r>
      <w:r w:rsidRPr="005A35D8">
        <w:t xml:space="preserve"> </w:t>
      </w:r>
      <w:r w:rsidRPr="005A35D8">
        <w:rPr>
          <w:rStyle w:val="hps"/>
        </w:rPr>
        <w:t>classes peuvent être</w:t>
      </w:r>
      <w:r w:rsidRPr="005A35D8">
        <w:t xml:space="preserve"> </w:t>
      </w:r>
      <w:r w:rsidR="00304601" w:rsidRPr="005A35D8">
        <w:rPr>
          <w:rStyle w:val="hps"/>
        </w:rPr>
        <w:t>détenus</w:t>
      </w:r>
      <w:r w:rsidRPr="005A35D8">
        <w:t xml:space="preserve"> </w:t>
      </w:r>
      <w:r w:rsidRPr="005A35D8">
        <w:rPr>
          <w:rStyle w:val="hps"/>
        </w:rPr>
        <w:t>dans des monnaies autres</w:t>
      </w:r>
      <w:r w:rsidRPr="005A35D8">
        <w:t xml:space="preserve"> </w:t>
      </w:r>
      <w:r w:rsidRPr="005A35D8">
        <w:rPr>
          <w:rStyle w:val="hps"/>
        </w:rPr>
        <w:t>que le franc suisse</w:t>
      </w:r>
      <w:r w:rsidR="00490611" w:rsidRPr="005A35D8">
        <w:rPr>
          <w:rFonts w:eastAsia="Times New Roman"/>
          <w:lang w:eastAsia="en-US"/>
        </w:rPr>
        <w:t>.</w:t>
      </w:r>
    </w:p>
    <w:tbl>
      <w:tblPr>
        <w:tblStyle w:val="TableGrid"/>
        <w:tblW w:w="0" w:type="auto"/>
        <w:tblLook w:val="04A0" w:firstRow="1" w:lastRow="0" w:firstColumn="1" w:lastColumn="0" w:noHBand="0" w:noVBand="1"/>
      </w:tblPr>
      <w:tblGrid>
        <w:gridCol w:w="3794"/>
        <w:gridCol w:w="2708"/>
        <w:gridCol w:w="2709"/>
      </w:tblGrid>
      <w:tr w:rsidR="005A35D8" w:rsidRPr="005A35D8" w:rsidTr="009B626A">
        <w:tc>
          <w:tcPr>
            <w:tcW w:w="3794" w:type="dxa"/>
            <w:tcBorders>
              <w:top w:val="nil"/>
              <w:left w:val="nil"/>
              <w:bottom w:val="nil"/>
              <w:right w:val="single" w:sz="4" w:space="0" w:color="auto"/>
            </w:tcBorders>
          </w:tcPr>
          <w:p w:rsidR="00136B66" w:rsidRPr="005A35D8" w:rsidRDefault="00136B66" w:rsidP="009B626A">
            <w:pPr>
              <w:keepNext/>
              <w:spacing w:before="120" w:after="120"/>
              <w:rPr>
                <w:b/>
                <w:sz w:val="18"/>
                <w:szCs w:val="18"/>
                <w:lang w:eastAsia="en-US"/>
              </w:rPr>
            </w:pPr>
          </w:p>
        </w:tc>
        <w:tc>
          <w:tcPr>
            <w:tcW w:w="5417" w:type="dxa"/>
            <w:gridSpan w:val="2"/>
            <w:tcBorders>
              <w:left w:val="single" w:sz="4" w:space="0" w:color="auto"/>
            </w:tcBorders>
          </w:tcPr>
          <w:p w:rsidR="00136B66" w:rsidRPr="005A35D8" w:rsidRDefault="00304601" w:rsidP="009B626A">
            <w:pPr>
              <w:keepNext/>
              <w:spacing w:before="120" w:after="120"/>
              <w:jc w:val="center"/>
              <w:rPr>
                <w:b/>
                <w:sz w:val="18"/>
                <w:szCs w:val="18"/>
                <w:lang w:eastAsia="en-US"/>
              </w:rPr>
            </w:pPr>
            <w:r w:rsidRPr="005A35D8">
              <w:rPr>
                <w:b/>
                <w:sz w:val="18"/>
                <w:szCs w:val="18"/>
                <w:lang w:eastAsia="en-US"/>
              </w:rPr>
              <w:t>Notations minimales</w:t>
            </w:r>
          </w:p>
        </w:tc>
      </w:tr>
      <w:tr w:rsidR="005A35D8" w:rsidRPr="005A35D8" w:rsidTr="009B626A">
        <w:tc>
          <w:tcPr>
            <w:tcW w:w="3794" w:type="dxa"/>
            <w:tcBorders>
              <w:top w:val="nil"/>
              <w:left w:val="nil"/>
              <w:bottom w:val="single" w:sz="4" w:space="0" w:color="auto"/>
              <w:right w:val="single" w:sz="4" w:space="0" w:color="auto"/>
            </w:tcBorders>
          </w:tcPr>
          <w:p w:rsidR="00136B66" w:rsidRPr="005A35D8" w:rsidRDefault="00136B66" w:rsidP="009B626A">
            <w:pPr>
              <w:keepNext/>
              <w:spacing w:before="120" w:after="120"/>
              <w:rPr>
                <w:sz w:val="18"/>
                <w:szCs w:val="18"/>
                <w:lang w:eastAsia="en-US"/>
              </w:rPr>
            </w:pPr>
          </w:p>
        </w:tc>
        <w:tc>
          <w:tcPr>
            <w:tcW w:w="2708" w:type="dxa"/>
            <w:vMerge w:val="restart"/>
            <w:tcBorders>
              <w:left w:val="single" w:sz="4" w:space="0" w:color="auto"/>
            </w:tcBorders>
            <w:vAlign w:val="center"/>
          </w:tcPr>
          <w:p w:rsidR="00136B66" w:rsidRPr="005A35D8" w:rsidRDefault="00304601" w:rsidP="00304601">
            <w:pPr>
              <w:keepNext/>
              <w:spacing w:before="120" w:after="120"/>
              <w:jc w:val="center"/>
              <w:rPr>
                <w:sz w:val="18"/>
                <w:szCs w:val="18"/>
                <w:lang w:eastAsia="en-US"/>
              </w:rPr>
            </w:pPr>
            <w:r w:rsidRPr="005A35D8">
              <w:rPr>
                <w:sz w:val="18"/>
                <w:szCs w:val="18"/>
                <w:lang w:eastAsia="en-US"/>
              </w:rPr>
              <w:t>à court terme</w:t>
            </w:r>
            <w:r w:rsidR="00136B66" w:rsidRPr="005A35D8">
              <w:rPr>
                <w:sz w:val="18"/>
                <w:szCs w:val="18"/>
                <w:lang w:eastAsia="en-US"/>
              </w:rPr>
              <w:t xml:space="preserve"> (</w:t>
            </w:r>
            <w:r w:rsidRPr="005A35D8">
              <w:rPr>
                <w:sz w:val="18"/>
                <w:szCs w:val="18"/>
                <w:lang w:eastAsia="en-US"/>
              </w:rPr>
              <w:t>12 mois maximum</w:t>
            </w:r>
            <w:r w:rsidR="00136B66" w:rsidRPr="005A35D8">
              <w:rPr>
                <w:sz w:val="18"/>
                <w:szCs w:val="18"/>
                <w:lang w:eastAsia="en-US"/>
              </w:rPr>
              <w:t>)</w:t>
            </w:r>
          </w:p>
        </w:tc>
        <w:tc>
          <w:tcPr>
            <w:tcW w:w="2709" w:type="dxa"/>
            <w:vMerge w:val="restart"/>
            <w:vAlign w:val="center"/>
          </w:tcPr>
          <w:p w:rsidR="00136B66" w:rsidRPr="005A35D8" w:rsidRDefault="00304601" w:rsidP="00304601">
            <w:pPr>
              <w:keepNext/>
              <w:spacing w:before="120" w:after="120"/>
              <w:jc w:val="center"/>
              <w:rPr>
                <w:sz w:val="18"/>
                <w:szCs w:val="18"/>
                <w:lang w:eastAsia="en-US"/>
              </w:rPr>
            </w:pPr>
            <w:r w:rsidRPr="005A35D8">
              <w:rPr>
                <w:sz w:val="18"/>
                <w:szCs w:val="18"/>
                <w:lang w:eastAsia="en-US"/>
              </w:rPr>
              <w:t>à long terme (plus de 12 mois</w:t>
            </w:r>
            <w:r w:rsidR="00136B66" w:rsidRPr="005A35D8">
              <w:rPr>
                <w:sz w:val="18"/>
                <w:szCs w:val="18"/>
                <w:lang w:eastAsia="en-US"/>
              </w:rPr>
              <w:t>)</w:t>
            </w:r>
          </w:p>
        </w:tc>
      </w:tr>
      <w:tr w:rsidR="005A35D8" w:rsidRPr="005A35D8" w:rsidTr="009B626A">
        <w:tc>
          <w:tcPr>
            <w:tcW w:w="3794" w:type="dxa"/>
            <w:tcBorders>
              <w:top w:val="single" w:sz="4" w:space="0" w:color="auto"/>
              <w:right w:val="single" w:sz="4" w:space="0" w:color="auto"/>
            </w:tcBorders>
          </w:tcPr>
          <w:p w:rsidR="00136B66" w:rsidRPr="005A35D8" w:rsidRDefault="00304601" w:rsidP="009B626A">
            <w:pPr>
              <w:keepNext/>
              <w:spacing w:before="120" w:after="120"/>
              <w:rPr>
                <w:b/>
                <w:sz w:val="18"/>
                <w:szCs w:val="18"/>
                <w:u w:val="single"/>
                <w:lang w:eastAsia="en-US"/>
              </w:rPr>
            </w:pPr>
            <w:r w:rsidRPr="005A35D8">
              <w:rPr>
                <w:b/>
                <w:sz w:val="18"/>
                <w:szCs w:val="18"/>
                <w:u w:val="single"/>
                <w:lang w:eastAsia="en-US"/>
              </w:rPr>
              <w:t>Trésorerie ou équivalent</w:t>
            </w:r>
          </w:p>
        </w:tc>
        <w:tc>
          <w:tcPr>
            <w:tcW w:w="2708" w:type="dxa"/>
            <w:vMerge/>
            <w:tcBorders>
              <w:left w:val="single" w:sz="4" w:space="0" w:color="auto"/>
            </w:tcBorders>
          </w:tcPr>
          <w:p w:rsidR="00136B66" w:rsidRPr="005A35D8" w:rsidRDefault="00136B66" w:rsidP="009B626A">
            <w:pPr>
              <w:keepNext/>
              <w:spacing w:before="120" w:after="120"/>
              <w:rPr>
                <w:sz w:val="18"/>
                <w:szCs w:val="18"/>
                <w:lang w:eastAsia="en-US"/>
              </w:rPr>
            </w:pPr>
          </w:p>
        </w:tc>
        <w:tc>
          <w:tcPr>
            <w:tcW w:w="2709" w:type="dxa"/>
            <w:vMerge/>
          </w:tcPr>
          <w:p w:rsidR="00136B66" w:rsidRPr="005A35D8" w:rsidRDefault="00136B66" w:rsidP="009B626A">
            <w:pPr>
              <w:keepNext/>
              <w:spacing w:before="120" w:after="120"/>
              <w:rPr>
                <w:sz w:val="18"/>
                <w:szCs w:val="18"/>
                <w:lang w:eastAsia="en-US"/>
              </w:rPr>
            </w:pPr>
          </w:p>
        </w:tc>
      </w:tr>
      <w:tr w:rsidR="005A35D8" w:rsidRPr="005A35D8" w:rsidTr="009B626A">
        <w:tc>
          <w:tcPr>
            <w:tcW w:w="3794" w:type="dxa"/>
          </w:tcPr>
          <w:p w:rsidR="00136B66" w:rsidRPr="005A35D8" w:rsidRDefault="00304601" w:rsidP="009B626A">
            <w:pPr>
              <w:keepNext/>
              <w:spacing w:before="120" w:after="120"/>
              <w:rPr>
                <w:sz w:val="18"/>
                <w:szCs w:val="18"/>
                <w:lang w:eastAsia="en-US"/>
              </w:rPr>
            </w:pPr>
            <w:r w:rsidRPr="005A35D8">
              <w:rPr>
                <w:sz w:val="18"/>
                <w:szCs w:val="18"/>
                <w:lang w:eastAsia="en-US"/>
              </w:rPr>
              <w:t>Dépôts à vue, comptes d</w:t>
            </w:r>
            <w:r w:rsidR="00295456" w:rsidRPr="005A35D8">
              <w:rPr>
                <w:sz w:val="18"/>
                <w:szCs w:val="18"/>
                <w:lang w:eastAsia="en-US"/>
              </w:rPr>
              <w:t>’</w:t>
            </w:r>
            <w:r w:rsidRPr="005A35D8">
              <w:rPr>
                <w:sz w:val="18"/>
                <w:szCs w:val="18"/>
                <w:lang w:eastAsia="en-US"/>
              </w:rPr>
              <w:t>épargne ou comptes de dépôt</w:t>
            </w:r>
          </w:p>
        </w:tc>
        <w:tc>
          <w:tcPr>
            <w:tcW w:w="2708" w:type="dxa"/>
            <w:vMerge w:val="restart"/>
            <w:vAlign w:val="center"/>
          </w:tcPr>
          <w:p w:rsidR="00136B66" w:rsidRPr="005A35D8" w:rsidRDefault="00136B66" w:rsidP="009B626A">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2/P</w:t>
            </w:r>
            <w:r w:rsidR="00D14880" w:rsidRPr="005A35D8">
              <w:rPr>
                <w:sz w:val="18"/>
                <w:szCs w:val="18"/>
                <w:lang w:eastAsia="en-US"/>
              </w:rPr>
              <w:noBreakHyphen/>
            </w:r>
            <w:r w:rsidRPr="005A35D8">
              <w:rPr>
                <w:sz w:val="18"/>
                <w:szCs w:val="18"/>
                <w:lang w:eastAsia="en-US"/>
              </w:rPr>
              <w:t>2</w:t>
            </w:r>
          </w:p>
        </w:tc>
        <w:tc>
          <w:tcPr>
            <w:tcW w:w="2709" w:type="dxa"/>
            <w:vMerge w:val="restart"/>
            <w:vAlign w:val="center"/>
          </w:tcPr>
          <w:p w:rsidR="00136B66" w:rsidRPr="005A35D8" w:rsidRDefault="00136B66" w:rsidP="009B626A">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/A3</w:t>
            </w:r>
          </w:p>
        </w:tc>
      </w:tr>
      <w:tr w:rsidR="005A35D8" w:rsidRPr="005A35D8" w:rsidTr="009B626A">
        <w:tc>
          <w:tcPr>
            <w:tcW w:w="3794" w:type="dxa"/>
          </w:tcPr>
          <w:p w:rsidR="00136B66" w:rsidRPr="005A35D8" w:rsidRDefault="00304601" w:rsidP="009B626A">
            <w:pPr>
              <w:keepNext/>
              <w:spacing w:before="120" w:after="120"/>
              <w:rPr>
                <w:sz w:val="18"/>
                <w:szCs w:val="18"/>
                <w:lang w:eastAsia="en-US"/>
              </w:rPr>
            </w:pPr>
            <w:r w:rsidRPr="005A35D8">
              <w:rPr>
                <w:sz w:val="18"/>
                <w:szCs w:val="18"/>
                <w:lang w:eastAsia="en-US"/>
              </w:rPr>
              <w:t>Certificats de dépôts/dépôts à terme</w:t>
            </w:r>
          </w:p>
        </w:tc>
        <w:tc>
          <w:tcPr>
            <w:tcW w:w="2708" w:type="dxa"/>
            <w:vMerge/>
          </w:tcPr>
          <w:p w:rsidR="00136B66" w:rsidRPr="005A35D8" w:rsidRDefault="00136B66" w:rsidP="009B626A">
            <w:pPr>
              <w:keepNext/>
              <w:spacing w:before="120" w:after="120"/>
              <w:rPr>
                <w:sz w:val="18"/>
                <w:szCs w:val="18"/>
                <w:lang w:eastAsia="en-US"/>
              </w:rPr>
            </w:pPr>
          </w:p>
        </w:tc>
        <w:tc>
          <w:tcPr>
            <w:tcW w:w="2709" w:type="dxa"/>
            <w:vMerge/>
          </w:tcPr>
          <w:p w:rsidR="00136B66" w:rsidRPr="005A35D8" w:rsidRDefault="00136B66" w:rsidP="009B626A">
            <w:pPr>
              <w:keepNext/>
              <w:spacing w:before="120" w:after="120"/>
              <w:rPr>
                <w:sz w:val="18"/>
                <w:szCs w:val="18"/>
                <w:lang w:eastAsia="en-US"/>
              </w:rPr>
            </w:pPr>
          </w:p>
        </w:tc>
      </w:tr>
      <w:tr w:rsidR="005A35D8" w:rsidRPr="005A35D8" w:rsidTr="009B626A">
        <w:tc>
          <w:tcPr>
            <w:tcW w:w="3794" w:type="dxa"/>
          </w:tcPr>
          <w:p w:rsidR="00136B66" w:rsidRPr="005A35D8" w:rsidRDefault="00304601" w:rsidP="009B626A">
            <w:pPr>
              <w:keepNext/>
              <w:spacing w:before="120" w:after="120"/>
              <w:rPr>
                <w:sz w:val="18"/>
                <w:szCs w:val="18"/>
                <w:lang w:eastAsia="en-US"/>
              </w:rPr>
            </w:pPr>
            <w:r w:rsidRPr="005A35D8">
              <w:rPr>
                <w:sz w:val="18"/>
                <w:szCs w:val="18"/>
                <w:lang w:eastAsia="en-US"/>
              </w:rPr>
              <w:t>Dépôts structurés</w:t>
            </w:r>
          </w:p>
        </w:tc>
        <w:tc>
          <w:tcPr>
            <w:tcW w:w="2708" w:type="dxa"/>
            <w:vMerge/>
          </w:tcPr>
          <w:p w:rsidR="00136B66" w:rsidRPr="005A35D8" w:rsidRDefault="00136B66" w:rsidP="009B626A">
            <w:pPr>
              <w:keepNext/>
              <w:spacing w:before="120" w:after="120"/>
              <w:rPr>
                <w:sz w:val="18"/>
                <w:szCs w:val="18"/>
                <w:lang w:eastAsia="en-US"/>
              </w:rPr>
            </w:pPr>
          </w:p>
        </w:tc>
        <w:tc>
          <w:tcPr>
            <w:tcW w:w="2709" w:type="dxa"/>
            <w:vMerge/>
          </w:tcPr>
          <w:p w:rsidR="00136B66" w:rsidRPr="005A35D8" w:rsidRDefault="00136B66" w:rsidP="009B626A">
            <w:pPr>
              <w:keepNext/>
              <w:spacing w:before="120" w:after="120"/>
              <w:rPr>
                <w:sz w:val="18"/>
                <w:szCs w:val="18"/>
                <w:lang w:eastAsia="en-US"/>
              </w:rPr>
            </w:pPr>
          </w:p>
        </w:tc>
      </w:tr>
      <w:tr w:rsidR="005A35D8" w:rsidRPr="005A35D8" w:rsidTr="009B626A">
        <w:tc>
          <w:tcPr>
            <w:tcW w:w="3794" w:type="dxa"/>
          </w:tcPr>
          <w:p w:rsidR="00136B66" w:rsidRPr="005A35D8" w:rsidRDefault="00304601" w:rsidP="009B626A">
            <w:pPr>
              <w:keepNext/>
              <w:spacing w:before="120" w:after="120"/>
              <w:rPr>
                <w:sz w:val="18"/>
                <w:szCs w:val="18"/>
                <w:lang w:eastAsia="en-US"/>
              </w:rPr>
            </w:pPr>
            <w:r w:rsidRPr="005A35D8">
              <w:rPr>
                <w:sz w:val="18"/>
                <w:szCs w:val="18"/>
                <w:lang w:eastAsia="en-US"/>
              </w:rPr>
              <w:t>Dépôts croisés dans deux</w:t>
            </w:r>
            <w:r w:rsidR="00085D20" w:rsidRPr="005A35D8">
              <w:rPr>
                <w:sz w:val="18"/>
                <w:szCs w:val="18"/>
                <w:lang w:eastAsia="en-US"/>
              </w:rPr>
              <w:t> </w:t>
            </w:r>
            <w:r w:rsidRPr="005A35D8">
              <w:rPr>
                <w:sz w:val="18"/>
                <w:szCs w:val="18"/>
                <w:lang w:eastAsia="en-US"/>
              </w:rPr>
              <w:t>devises</w:t>
            </w:r>
          </w:p>
        </w:tc>
        <w:tc>
          <w:tcPr>
            <w:tcW w:w="2708" w:type="dxa"/>
            <w:vMerge/>
            <w:tcBorders>
              <w:bottom w:val="single" w:sz="4" w:space="0" w:color="auto"/>
            </w:tcBorders>
          </w:tcPr>
          <w:p w:rsidR="00136B66" w:rsidRPr="005A35D8" w:rsidRDefault="00136B66" w:rsidP="009B626A">
            <w:pPr>
              <w:keepNext/>
              <w:spacing w:before="120" w:after="120"/>
              <w:rPr>
                <w:sz w:val="18"/>
                <w:szCs w:val="18"/>
                <w:lang w:eastAsia="en-US"/>
              </w:rPr>
            </w:pPr>
          </w:p>
        </w:tc>
        <w:tc>
          <w:tcPr>
            <w:tcW w:w="2709" w:type="dxa"/>
            <w:vMerge/>
            <w:tcBorders>
              <w:bottom w:val="single" w:sz="4" w:space="0" w:color="auto"/>
            </w:tcBorders>
          </w:tcPr>
          <w:p w:rsidR="00136B66" w:rsidRPr="005A35D8" w:rsidRDefault="00136B66" w:rsidP="009B626A">
            <w:pPr>
              <w:keepNext/>
              <w:spacing w:before="120" w:after="120"/>
              <w:rPr>
                <w:sz w:val="18"/>
                <w:szCs w:val="18"/>
                <w:lang w:eastAsia="en-US"/>
              </w:rPr>
            </w:pPr>
          </w:p>
        </w:tc>
      </w:tr>
      <w:tr w:rsidR="005A35D8" w:rsidRPr="005A35D8" w:rsidTr="009B626A">
        <w:tc>
          <w:tcPr>
            <w:tcW w:w="3794" w:type="dxa"/>
          </w:tcPr>
          <w:p w:rsidR="00136B66" w:rsidRPr="005A35D8" w:rsidRDefault="00304601" w:rsidP="009B626A">
            <w:pPr>
              <w:keepNext/>
              <w:spacing w:before="120" w:after="120"/>
              <w:rPr>
                <w:b/>
                <w:sz w:val="18"/>
                <w:szCs w:val="18"/>
                <w:u w:val="single"/>
                <w:lang w:eastAsia="en-US"/>
              </w:rPr>
            </w:pPr>
            <w:r w:rsidRPr="005A35D8">
              <w:rPr>
                <w:b/>
                <w:sz w:val="18"/>
                <w:szCs w:val="18"/>
                <w:u w:val="single"/>
                <w:lang w:eastAsia="en-US"/>
              </w:rPr>
              <w:t>Investissements sur les marchés monétaires</w:t>
            </w:r>
          </w:p>
        </w:tc>
        <w:tc>
          <w:tcPr>
            <w:tcW w:w="2708" w:type="dxa"/>
            <w:tcBorders>
              <w:right w:val="nil"/>
            </w:tcBorders>
          </w:tcPr>
          <w:p w:rsidR="00136B66" w:rsidRPr="005A35D8" w:rsidRDefault="00136B66" w:rsidP="009B626A">
            <w:pPr>
              <w:keepNext/>
              <w:spacing w:before="120" w:after="120"/>
              <w:rPr>
                <w:sz w:val="18"/>
                <w:szCs w:val="18"/>
                <w:lang w:eastAsia="en-US"/>
              </w:rPr>
            </w:pPr>
          </w:p>
        </w:tc>
        <w:tc>
          <w:tcPr>
            <w:tcW w:w="2709" w:type="dxa"/>
            <w:tcBorders>
              <w:left w:val="nil"/>
            </w:tcBorders>
          </w:tcPr>
          <w:p w:rsidR="00136B66" w:rsidRPr="005A35D8" w:rsidRDefault="00136B66" w:rsidP="009B626A">
            <w:pPr>
              <w:keepNext/>
              <w:spacing w:before="120" w:after="120"/>
              <w:rPr>
                <w:sz w:val="18"/>
                <w:szCs w:val="18"/>
                <w:lang w:eastAsia="en-US"/>
              </w:rPr>
            </w:pPr>
          </w:p>
        </w:tc>
      </w:tr>
      <w:tr w:rsidR="005A35D8" w:rsidRPr="005A35D8" w:rsidTr="009B626A">
        <w:tc>
          <w:tcPr>
            <w:tcW w:w="3794" w:type="dxa"/>
          </w:tcPr>
          <w:p w:rsidR="00136B66" w:rsidRPr="005A35D8" w:rsidRDefault="003F3782" w:rsidP="009B626A">
            <w:pPr>
              <w:keepNext/>
              <w:spacing w:before="120" w:after="120"/>
              <w:rPr>
                <w:sz w:val="18"/>
                <w:szCs w:val="18"/>
                <w:lang w:eastAsia="en-US"/>
              </w:rPr>
            </w:pPr>
            <w:r w:rsidRPr="005A35D8">
              <w:rPr>
                <w:sz w:val="18"/>
                <w:szCs w:val="18"/>
                <w:lang w:eastAsia="en-US"/>
              </w:rPr>
              <w:t>Billet de trésorerie</w:t>
            </w:r>
          </w:p>
        </w:tc>
        <w:tc>
          <w:tcPr>
            <w:tcW w:w="2708" w:type="dxa"/>
            <w:vAlign w:val="center"/>
          </w:tcPr>
          <w:p w:rsidR="00136B66" w:rsidRPr="005A35D8" w:rsidRDefault="00136B66" w:rsidP="009B626A">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3/P</w:t>
            </w:r>
            <w:r w:rsidR="00D14880" w:rsidRPr="005A35D8">
              <w:rPr>
                <w:sz w:val="18"/>
                <w:szCs w:val="18"/>
                <w:lang w:eastAsia="en-US"/>
              </w:rPr>
              <w:noBreakHyphen/>
            </w:r>
            <w:r w:rsidRPr="005A35D8">
              <w:rPr>
                <w:sz w:val="18"/>
                <w:szCs w:val="18"/>
                <w:lang w:eastAsia="en-US"/>
              </w:rPr>
              <w:t>3</w:t>
            </w:r>
          </w:p>
        </w:tc>
        <w:tc>
          <w:tcPr>
            <w:tcW w:w="2709" w:type="dxa"/>
            <w:vAlign w:val="center"/>
          </w:tcPr>
          <w:p w:rsidR="00136B66" w:rsidRPr="005A35D8" w:rsidRDefault="00136B66" w:rsidP="009B626A">
            <w:pPr>
              <w:keepNext/>
              <w:spacing w:before="120" w:after="120"/>
              <w:jc w:val="center"/>
              <w:rPr>
                <w:sz w:val="18"/>
                <w:szCs w:val="18"/>
                <w:lang w:eastAsia="en-US"/>
              </w:rPr>
            </w:pPr>
            <w:r w:rsidRPr="005A35D8">
              <w:rPr>
                <w:sz w:val="18"/>
                <w:szCs w:val="18"/>
                <w:lang w:eastAsia="en-US"/>
              </w:rPr>
              <w:t>BBB</w:t>
            </w:r>
            <w:r w:rsidR="00D14880" w:rsidRPr="005A35D8">
              <w:rPr>
                <w:sz w:val="18"/>
                <w:szCs w:val="18"/>
                <w:lang w:eastAsia="en-US"/>
              </w:rPr>
              <w:noBreakHyphen/>
            </w:r>
            <w:r w:rsidRPr="005A35D8">
              <w:rPr>
                <w:sz w:val="18"/>
                <w:szCs w:val="18"/>
                <w:lang w:eastAsia="en-US"/>
              </w:rPr>
              <w:t>/Baa3</w:t>
            </w:r>
          </w:p>
        </w:tc>
      </w:tr>
      <w:tr w:rsidR="005A35D8" w:rsidRPr="005A35D8" w:rsidTr="009B626A">
        <w:tc>
          <w:tcPr>
            <w:tcW w:w="3794" w:type="dxa"/>
          </w:tcPr>
          <w:p w:rsidR="00136B66" w:rsidRPr="005A35D8" w:rsidRDefault="003F3782" w:rsidP="009B626A">
            <w:pPr>
              <w:keepNext/>
              <w:spacing w:before="120" w:after="120"/>
              <w:rPr>
                <w:sz w:val="18"/>
                <w:szCs w:val="18"/>
                <w:lang w:eastAsia="en-US"/>
              </w:rPr>
            </w:pPr>
            <w:r w:rsidRPr="005A35D8">
              <w:rPr>
                <w:sz w:val="18"/>
                <w:szCs w:val="18"/>
                <w:lang w:eastAsia="en-US"/>
              </w:rPr>
              <w:t>Mise/prise en pension de titres</w:t>
            </w:r>
          </w:p>
        </w:tc>
        <w:tc>
          <w:tcPr>
            <w:tcW w:w="2708" w:type="dxa"/>
            <w:vMerge w:val="restart"/>
            <w:vAlign w:val="center"/>
          </w:tcPr>
          <w:p w:rsidR="00136B66" w:rsidRPr="005A35D8" w:rsidRDefault="00136B66" w:rsidP="009B626A">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2/P</w:t>
            </w:r>
            <w:r w:rsidR="00D14880" w:rsidRPr="005A35D8">
              <w:rPr>
                <w:sz w:val="18"/>
                <w:szCs w:val="18"/>
                <w:lang w:eastAsia="en-US"/>
              </w:rPr>
              <w:noBreakHyphen/>
            </w:r>
            <w:r w:rsidRPr="005A35D8">
              <w:rPr>
                <w:sz w:val="18"/>
                <w:szCs w:val="18"/>
                <w:lang w:eastAsia="en-US"/>
              </w:rPr>
              <w:t>2</w:t>
            </w:r>
          </w:p>
        </w:tc>
        <w:tc>
          <w:tcPr>
            <w:tcW w:w="2709" w:type="dxa"/>
            <w:vMerge w:val="restart"/>
            <w:vAlign w:val="center"/>
          </w:tcPr>
          <w:p w:rsidR="00136B66" w:rsidRPr="005A35D8" w:rsidRDefault="00136B66" w:rsidP="009B626A">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/A3</w:t>
            </w:r>
          </w:p>
        </w:tc>
      </w:tr>
      <w:tr w:rsidR="005A35D8" w:rsidRPr="005A35D8" w:rsidTr="009B626A">
        <w:tc>
          <w:tcPr>
            <w:tcW w:w="3794" w:type="dxa"/>
          </w:tcPr>
          <w:p w:rsidR="00136B66" w:rsidRPr="005A35D8" w:rsidRDefault="003F3782" w:rsidP="009B626A">
            <w:pPr>
              <w:keepNext/>
              <w:spacing w:before="120" w:after="120"/>
              <w:rPr>
                <w:sz w:val="18"/>
                <w:szCs w:val="18"/>
                <w:lang w:eastAsia="en-US"/>
              </w:rPr>
            </w:pPr>
            <w:r w:rsidRPr="005A35D8">
              <w:rPr>
                <w:sz w:val="18"/>
                <w:szCs w:val="18"/>
                <w:lang w:eastAsia="en-US"/>
              </w:rPr>
              <w:t>Acceptation bancaire</w:t>
            </w:r>
          </w:p>
        </w:tc>
        <w:tc>
          <w:tcPr>
            <w:tcW w:w="2708" w:type="dxa"/>
            <w:vMerge/>
            <w:tcBorders>
              <w:bottom w:val="single" w:sz="4" w:space="0" w:color="auto"/>
            </w:tcBorders>
          </w:tcPr>
          <w:p w:rsidR="00136B66" w:rsidRPr="005A35D8" w:rsidRDefault="00136B66" w:rsidP="009B626A">
            <w:pPr>
              <w:keepNext/>
              <w:spacing w:before="120" w:after="120"/>
              <w:rPr>
                <w:sz w:val="18"/>
                <w:szCs w:val="18"/>
                <w:lang w:eastAsia="en-US"/>
              </w:rPr>
            </w:pPr>
          </w:p>
        </w:tc>
        <w:tc>
          <w:tcPr>
            <w:tcW w:w="2709" w:type="dxa"/>
            <w:vMerge/>
            <w:tcBorders>
              <w:bottom w:val="single" w:sz="4" w:space="0" w:color="auto"/>
            </w:tcBorders>
          </w:tcPr>
          <w:p w:rsidR="00136B66" w:rsidRPr="005A35D8" w:rsidRDefault="00136B66" w:rsidP="009B626A">
            <w:pPr>
              <w:keepNext/>
              <w:spacing w:before="120" w:after="120"/>
              <w:rPr>
                <w:sz w:val="18"/>
                <w:szCs w:val="18"/>
                <w:lang w:eastAsia="en-US"/>
              </w:rPr>
            </w:pPr>
          </w:p>
        </w:tc>
      </w:tr>
      <w:tr w:rsidR="005A35D8" w:rsidRPr="005A35D8" w:rsidTr="009B626A">
        <w:tc>
          <w:tcPr>
            <w:tcW w:w="3794" w:type="dxa"/>
          </w:tcPr>
          <w:p w:rsidR="00136B66" w:rsidRPr="005A35D8" w:rsidRDefault="003F3782" w:rsidP="009B626A">
            <w:pPr>
              <w:keepNext/>
              <w:spacing w:before="120" w:after="120"/>
              <w:rPr>
                <w:b/>
                <w:sz w:val="18"/>
                <w:szCs w:val="18"/>
                <w:u w:val="single"/>
                <w:lang w:eastAsia="en-US"/>
              </w:rPr>
            </w:pPr>
            <w:r w:rsidRPr="005A35D8">
              <w:rPr>
                <w:b/>
                <w:sz w:val="18"/>
                <w:szCs w:val="18"/>
                <w:u w:val="single"/>
                <w:lang w:eastAsia="en-US"/>
              </w:rPr>
              <w:t>Obligations, effets ou autres obligations et autres produits à revenu fixe</w:t>
            </w:r>
          </w:p>
        </w:tc>
        <w:tc>
          <w:tcPr>
            <w:tcW w:w="2708" w:type="dxa"/>
            <w:tcBorders>
              <w:right w:val="nil"/>
            </w:tcBorders>
          </w:tcPr>
          <w:p w:rsidR="00136B66" w:rsidRPr="005A35D8" w:rsidRDefault="00136B66" w:rsidP="009B626A">
            <w:pPr>
              <w:keepNext/>
              <w:spacing w:before="120" w:after="120"/>
              <w:rPr>
                <w:sz w:val="18"/>
                <w:szCs w:val="18"/>
                <w:lang w:eastAsia="en-US"/>
              </w:rPr>
            </w:pPr>
          </w:p>
        </w:tc>
        <w:tc>
          <w:tcPr>
            <w:tcW w:w="2709" w:type="dxa"/>
            <w:tcBorders>
              <w:left w:val="nil"/>
            </w:tcBorders>
          </w:tcPr>
          <w:p w:rsidR="00136B66" w:rsidRPr="005A35D8" w:rsidRDefault="00136B66" w:rsidP="009B626A">
            <w:pPr>
              <w:keepNext/>
              <w:spacing w:before="120" w:after="120"/>
              <w:rPr>
                <w:sz w:val="18"/>
                <w:szCs w:val="18"/>
                <w:lang w:eastAsia="en-US"/>
              </w:rPr>
            </w:pPr>
          </w:p>
        </w:tc>
      </w:tr>
      <w:tr w:rsidR="005A35D8" w:rsidRPr="005A35D8" w:rsidTr="009B626A">
        <w:tc>
          <w:tcPr>
            <w:tcW w:w="3794" w:type="dxa"/>
          </w:tcPr>
          <w:p w:rsidR="00136B66" w:rsidRPr="005A35D8" w:rsidRDefault="003F3782" w:rsidP="009B626A">
            <w:pPr>
              <w:keepNext/>
              <w:spacing w:before="120" w:after="120"/>
              <w:rPr>
                <w:sz w:val="18"/>
                <w:szCs w:val="18"/>
                <w:lang w:eastAsia="en-US"/>
              </w:rPr>
            </w:pPr>
            <w:r w:rsidRPr="005A35D8">
              <w:rPr>
                <w:sz w:val="18"/>
                <w:szCs w:val="18"/>
                <w:lang w:eastAsia="en-US"/>
              </w:rPr>
              <w:t>Obligations d</w:t>
            </w:r>
            <w:r w:rsidR="00295456" w:rsidRPr="005A35D8">
              <w:rPr>
                <w:sz w:val="18"/>
                <w:szCs w:val="18"/>
                <w:lang w:eastAsia="en-US"/>
              </w:rPr>
              <w:t>’</w:t>
            </w:r>
            <w:r w:rsidRPr="005A35D8">
              <w:rPr>
                <w:sz w:val="18"/>
                <w:szCs w:val="18"/>
                <w:lang w:eastAsia="en-US"/>
              </w:rPr>
              <w:t>État</w:t>
            </w:r>
          </w:p>
        </w:tc>
        <w:tc>
          <w:tcPr>
            <w:tcW w:w="2708" w:type="dxa"/>
            <w:vMerge w:val="restart"/>
            <w:vAlign w:val="center"/>
          </w:tcPr>
          <w:p w:rsidR="00136B66" w:rsidRPr="005A35D8" w:rsidRDefault="00136B66" w:rsidP="009B626A">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2/P</w:t>
            </w:r>
            <w:r w:rsidR="00D14880" w:rsidRPr="005A35D8">
              <w:rPr>
                <w:sz w:val="18"/>
                <w:szCs w:val="18"/>
                <w:lang w:eastAsia="en-US"/>
              </w:rPr>
              <w:noBreakHyphen/>
            </w:r>
            <w:r w:rsidRPr="005A35D8">
              <w:rPr>
                <w:sz w:val="18"/>
                <w:szCs w:val="18"/>
                <w:lang w:eastAsia="en-US"/>
              </w:rPr>
              <w:t>2</w:t>
            </w:r>
          </w:p>
        </w:tc>
        <w:tc>
          <w:tcPr>
            <w:tcW w:w="2709" w:type="dxa"/>
            <w:vMerge w:val="restart"/>
            <w:vAlign w:val="center"/>
          </w:tcPr>
          <w:p w:rsidR="00136B66" w:rsidRPr="005A35D8" w:rsidRDefault="00136B66" w:rsidP="009B626A">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/A3</w:t>
            </w:r>
          </w:p>
        </w:tc>
      </w:tr>
      <w:tr w:rsidR="005A35D8" w:rsidRPr="005A35D8" w:rsidTr="009B626A">
        <w:tc>
          <w:tcPr>
            <w:tcW w:w="3794" w:type="dxa"/>
          </w:tcPr>
          <w:p w:rsidR="00136B66" w:rsidRPr="005A35D8" w:rsidRDefault="009C5A8B" w:rsidP="009C5A8B">
            <w:pPr>
              <w:keepNext/>
              <w:spacing w:before="120" w:after="120"/>
              <w:rPr>
                <w:sz w:val="18"/>
                <w:szCs w:val="18"/>
                <w:lang w:eastAsia="en-US"/>
              </w:rPr>
            </w:pPr>
            <w:r w:rsidRPr="005A35D8">
              <w:rPr>
                <w:sz w:val="18"/>
                <w:szCs w:val="18"/>
                <w:lang w:eastAsia="en-US"/>
              </w:rPr>
              <w:t>Obligations sous</w:t>
            </w:r>
            <w:r w:rsidR="00D14880" w:rsidRPr="005A35D8">
              <w:rPr>
                <w:sz w:val="18"/>
                <w:szCs w:val="18"/>
                <w:lang w:eastAsia="en-US"/>
              </w:rPr>
              <w:noBreakHyphen/>
            </w:r>
            <w:r w:rsidRPr="005A35D8">
              <w:rPr>
                <w:sz w:val="18"/>
                <w:szCs w:val="18"/>
                <w:lang w:eastAsia="en-US"/>
              </w:rPr>
              <w:t>souveraines (provinciales, municipales territoriales)</w:t>
            </w:r>
          </w:p>
        </w:tc>
        <w:tc>
          <w:tcPr>
            <w:tcW w:w="2708" w:type="dxa"/>
            <w:vMerge/>
            <w:vAlign w:val="center"/>
          </w:tcPr>
          <w:p w:rsidR="00136B66" w:rsidRPr="005A35D8" w:rsidRDefault="00136B66" w:rsidP="009B626A">
            <w:pPr>
              <w:keepNext/>
              <w:spacing w:before="120" w:after="120"/>
              <w:jc w:val="center"/>
              <w:rPr>
                <w:sz w:val="18"/>
                <w:szCs w:val="18"/>
                <w:lang w:eastAsia="en-US"/>
              </w:rPr>
            </w:pPr>
          </w:p>
        </w:tc>
        <w:tc>
          <w:tcPr>
            <w:tcW w:w="2709" w:type="dxa"/>
            <w:vMerge/>
            <w:vAlign w:val="center"/>
          </w:tcPr>
          <w:p w:rsidR="00136B66" w:rsidRPr="005A35D8" w:rsidRDefault="00136B66" w:rsidP="009B626A">
            <w:pPr>
              <w:keepNext/>
              <w:spacing w:before="120" w:after="120"/>
              <w:jc w:val="center"/>
              <w:rPr>
                <w:sz w:val="18"/>
                <w:szCs w:val="18"/>
                <w:lang w:eastAsia="en-US"/>
              </w:rPr>
            </w:pPr>
          </w:p>
        </w:tc>
      </w:tr>
      <w:tr w:rsidR="005A35D8" w:rsidRPr="005A35D8" w:rsidTr="009B626A">
        <w:tc>
          <w:tcPr>
            <w:tcW w:w="3794" w:type="dxa"/>
          </w:tcPr>
          <w:p w:rsidR="00136B66" w:rsidRPr="005A35D8" w:rsidRDefault="009C5A8B" w:rsidP="009B626A">
            <w:pPr>
              <w:keepNext/>
              <w:spacing w:before="120" w:after="120"/>
              <w:rPr>
                <w:sz w:val="18"/>
                <w:szCs w:val="18"/>
                <w:lang w:eastAsia="en-US"/>
              </w:rPr>
            </w:pPr>
            <w:r w:rsidRPr="005A35D8">
              <w:rPr>
                <w:sz w:val="18"/>
                <w:szCs w:val="18"/>
                <w:lang w:eastAsia="en-US"/>
              </w:rPr>
              <w:t>Obligations supranationales</w:t>
            </w:r>
          </w:p>
        </w:tc>
        <w:tc>
          <w:tcPr>
            <w:tcW w:w="2708" w:type="dxa"/>
            <w:vMerge/>
            <w:vAlign w:val="center"/>
          </w:tcPr>
          <w:p w:rsidR="00136B66" w:rsidRPr="005A35D8" w:rsidRDefault="00136B66" w:rsidP="009B626A">
            <w:pPr>
              <w:keepNext/>
              <w:spacing w:before="120" w:after="120"/>
              <w:jc w:val="center"/>
              <w:rPr>
                <w:sz w:val="18"/>
                <w:szCs w:val="18"/>
                <w:lang w:eastAsia="en-US"/>
              </w:rPr>
            </w:pPr>
          </w:p>
        </w:tc>
        <w:tc>
          <w:tcPr>
            <w:tcW w:w="2709" w:type="dxa"/>
            <w:vMerge/>
            <w:vAlign w:val="center"/>
          </w:tcPr>
          <w:p w:rsidR="00136B66" w:rsidRPr="005A35D8" w:rsidRDefault="00136B66" w:rsidP="009B626A">
            <w:pPr>
              <w:keepNext/>
              <w:spacing w:before="120" w:after="120"/>
              <w:jc w:val="center"/>
              <w:rPr>
                <w:sz w:val="18"/>
                <w:szCs w:val="18"/>
                <w:lang w:eastAsia="en-US"/>
              </w:rPr>
            </w:pPr>
          </w:p>
        </w:tc>
      </w:tr>
      <w:tr w:rsidR="005A35D8" w:rsidRPr="005A35D8" w:rsidTr="009B626A">
        <w:tc>
          <w:tcPr>
            <w:tcW w:w="3794" w:type="dxa"/>
          </w:tcPr>
          <w:p w:rsidR="00136B66" w:rsidRPr="005A35D8" w:rsidRDefault="009C5A8B" w:rsidP="009B626A">
            <w:pPr>
              <w:keepNext/>
              <w:spacing w:before="120" w:after="120"/>
              <w:rPr>
                <w:sz w:val="18"/>
                <w:szCs w:val="18"/>
                <w:lang w:eastAsia="en-US"/>
              </w:rPr>
            </w:pPr>
            <w:r w:rsidRPr="005A35D8">
              <w:rPr>
                <w:sz w:val="18"/>
                <w:szCs w:val="18"/>
                <w:lang w:eastAsia="en-US"/>
              </w:rPr>
              <w:t>Placements privés</w:t>
            </w:r>
          </w:p>
        </w:tc>
        <w:tc>
          <w:tcPr>
            <w:tcW w:w="2708" w:type="dxa"/>
            <w:vMerge/>
            <w:vAlign w:val="center"/>
          </w:tcPr>
          <w:p w:rsidR="00136B66" w:rsidRPr="005A35D8" w:rsidRDefault="00136B66" w:rsidP="009B626A">
            <w:pPr>
              <w:keepNext/>
              <w:spacing w:before="120" w:after="120"/>
              <w:jc w:val="center"/>
              <w:rPr>
                <w:sz w:val="18"/>
                <w:szCs w:val="18"/>
                <w:lang w:eastAsia="en-US"/>
              </w:rPr>
            </w:pPr>
          </w:p>
        </w:tc>
        <w:tc>
          <w:tcPr>
            <w:tcW w:w="2709" w:type="dxa"/>
            <w:vMerge/>
            <w:vAlign w:val="center"/>
          </w:tcPr>
          <w:p w:rsidR="00136B66" w:rsidRPr="005A35D8" w:rsidRDefault="00136B66" w:rsidP="009B626A">
            <w:pPr>
              <w:keepNext/>
              <w:spacing w:before="120" w:after="120"/>
              <w:jc w:val="center"/>
              <w:rPr>
                <w:sz w:val="18"/>
                <w:szCs w:val="18"/>
                <w:lang w:eastAsia="en-US"/>
              </w:rPr>
            </w:pPr>
          </w:p>
        </w:tc>
      </w:tr>
      <w:tr w:rsidR="005A35D8" w:rsidRPr="005A35D8" w:rsidTr="009B626A">
        <w:tc>
          <w:tcPr>
            <w:tcW w:w="3794" w:type="dxa"/>
          </w:tcPr>
          <w:p w:rsidR="00136B66" w:rsidRPr="005A35D8" w:rsidRDefault="009C5A8B" w:rsidP="009B626A">
            <w:pPr>
              <w:keepNext/>
              <w:spacing w:before="120" w:after="120"/>
              <w:rPr>
                <w:sz w:val="18"/>
                <w:szCs w:val="18"/>
                <w:lang w:eastAsia="en-US"/>
              </w:rPr>
            </w:pPr>
            <w:r w:rsidRPr="005A35D8">
              <w:rPr>
                <w:sz w:val="18"/>
                <w:szCs w:val="18"/>
                <w:lang w:eastAsia="en-US"/>
              </w:rPr>
              <w:t>Obligations d</w:t>
            </w:r>
            <w:r w:rsidR="00295456" w:rsidRPr="005A35D8">
              <w:rPr>
                <w:sz w:val="18"/>
                <w:szCs w:val="18"/>
                <w:lang w:eastAsia="en-US"/>
              </w:rPr>
              <w:t>’</w:t>
            </w:r>
            <w:r w:rsidRPr="005A35D8">
              <w:rPr>
                <w:sz w:val="18"/>
                <w:szCs w:val="18"/>
                <w:lang w:eastAsia="en-US"/>
              </w:rPr>
              <w:t>entreprises</w:t>
            </w:r>
          </w:p>
        </w:tc>
        <w:tc>
          <w:tcPr>
            <w:tcW w:w="2708" w:type="dxa"/>
            <w:tcBorders>
              <w:bottom w:val="single" w:sz="4" w:space="0" w:color="auto"/>
            </w:tcBorders>
            <w:vAlign w:val="center"/>
          </w:tcPr>
          <w:p w:rsidR="00136B66" w:rsidRPr="005A35D8" w:rsidRDefault="00136B66" w:rsidP="009B626A">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3/P</w:t>
            </w:r>
            <w:r w:rsidR="00D14880" w:rsidRPr="005A35D8">
              <w:rPr>
                <w:sz w:val="18"/>
                <w:szCs w:val="18"/>
                <w:lang w:eastAsia="en-US"/>
              </w:rPr>
              <w:noBreakHyphen/>
            </w:r>
            <w:r w:rsidRPr="005A35D8">
              <w:rPr>
                <w:sz w:val="18"/>
                <w:szCs w:val="18"/>
                <w:lang w:eastAsia="en-US"/>
              </w:rPr>
              <w:t>3</w:t>
            </w:r>
          </w:p>
        </w:tc>
        <w:tc>
          <w:tcPr>
            <w:tcW w:w="2709" w:type="dxa"/>
            <w:tcBorders>
              <w:bottom w:val="single" w:sz="4" w:space="0" w:color="auto"/>
            </w:tcBorders>
            <w:vAlign w:val="center"/>
          </w:tcPr>
          <w:p w:rsidR="00136B66" w:rsidRPr="005A35D8" w:rsidRDefault="00136B66" w:rsidP="009B626A">
            <w:pPr>
              <w:keepNext/>
              <w:spacing w:before="120" w:after="120"/>
              <w:jc w:val="center"/>
              <w:rPr>
                <w:sz w:val="18"/>
                <w:szCs w:val="18"/>
                <w:lang w:eastAsia="en-US"/>
              </w:rPr>
            </w:pPr>
            <w:r w:rsidRPr="005A35D8">
              <w:rPr>
                <w:sz w:val="18"/>
                <w:szCs w:val="18"/>
                <w:lang w:eastAsia="en-US"/>
              </w:rPr>
              <w:t>BBB</w:t>
            </w:r>
            <w:r w:rsidR="00D14880" w:rsidRPr="005A35D8">
              <w:rPr>
                <w:sz w:val="18"/>
                <w:szCs w:val="18"/>
                <w:lang w:eastAsia="en-US"/>
              </w:rPr>
              <w:noBreakHyphen/>
            </w:r>
            <w:r w:rsidRPr="005A35D8">
              <w:rPr>
                <w:sz w:val="18"/>
                <w:szCs w:val="18"/>
                <w:lang w:eastAsia="en-US"/>
              </w:rPr>
              <w:t>/Baa3</w:t>
            </w:r>
          </w:p>
        </w:tc>
      </w:tr>
      <w:tr w:rsidR="005A35D8" w:rsidRPr="005A35D8" w:rsidTr="009B626A">
        <w:tc>
          <w:tcPr>
            <w:tcW w:w="3794" w:type="dxa"/>
          </w:tcPr>
          <w:p w:rsidR="00136B66" w:rsidRPr="005A35D8" w:rsidRDefault="009C5A8B" w:rsidP="009B626A">
            <w:pPr>
              <w:keepNext/>
              <w:spacing w:before="120" w:after="120"/>
              <w:rPr>
                <w:b/>
                <w:sz w:val="18"/>
                <w:szCs w:val="18"/>
                <w:u w:val="single"/>
                <w:lang w:eastAsia="en-US"/>
              </w:rPr>
            </w:pPr>
            <w:r w:rsidRPr="005A35D8">
              <w:rPr>
                <w:b/>
                <w:sz w:val="18"/>
                <w:szCs w:val="18"/>
                <w:u w:val="single"/>
                <w:lang w:eastAsia="en-US"/>
              </w:rPr>
              <w:t>Immobilier</w:t>
            </w:r>
          </w:p>
        </w:tc>
        <w:tc>
          <w:tcPr>
            <w:tcW w:w="2708" w:type="dxa"/>
            <w:tcBorders>
              <w:right w:val="nil"/>
            </w:tcBorders>
          </w:tcPr>
          <w:p w:rsidR="00136B66" w:rsidRPr="005A35D8" w:rsidRDefault="00136B66" w:rsidP="009B626A">
            <w:pPr>
              <w:keepNext/>
              <w:spacing w:before="120" w:after="120"/>
              <w:rPr>
                <w:sz w:val="18"/>
                <w:szCs w:val="18"/>
                <w:lang w:eastAsia="en-US"/>
              </w:rPr>
            </w:pPr>
          </w:p>
        </w:tc>
        <w:tc>
          <w:tcPr>
            <w:tcW w:w="2709" w:type="dxa"/>
            <w:tcBorders>
              <w:left w:val="nil"/>
            </w:tcBorders>
          </w:tcPr>
          <w:p w:rsidR="00136B66" w:rsidRPr="005A35D8" w:rsidRDefault="00136B66" w:rsidP="009B626A">
            <w:pPr>
              <w:keepNext/>
              <w:spacing w:before="120" w:after="120"/>
              <w:rPr>
                <w:sz w:val="18"/>
                <w:szCs w:val="18"/>
                <w:lang w:eastAsia="en-US"/>
              </w:rPr>
            </w:pPr>
          </w:p>
        </w:tc>
      </w:tr>
      <w:tr w:rsidR="00136B66" w:rsidRPr="005A35D8" w:rsidTr="009B626A">
        <w:tc>
          <w:tcPr>
            <w:tcW w:w="3794" w:type="dxa"/>
          </w:tcPr>
          <w:p w:rsidR="00136B66" w:rsidRPr="005A35D8" w:rsidRDefault="009C5A8B" w:rsidP="009C5A8B">
            <w:pPr>
              <w:keepNext/>
              <w:spacing w:before="120" w:after="120"/>
              <w:rPr>
                <w:sz w:val="18"/>
                <w:szCs w:val="18"/>
                <w:lang w:eastAsia="en-US"/>
              </w:rPr>
            </w:pPr>
            <w:r w:rsidRPr="005A35D8">
              <w:rPr>
                <w:sz w:val="18"/>
                <w:szCs w:val="18"/>
                <w:lang w:eastAsia="en-US"/>
              </w:rPr>
              <w:t>Sociétés civiles de placement immobilier (SCPI)</w:t>
            </w:r>
          </w:p>
        </w:tc>
        <w:tc>
          <w:tcPr>
            <w:tcW w:w="2708" w:type="dxa"/>
            <w:vAlign w:val="center"/>
          </w:tcPr>
          <w:p w:rsidR="00136B66" w:rsidRPr="005A35D8" w:rsidRDefault="009C5A8B" w:rsidP="009B626A">
            <w:pPr>
              <w:keepNext/>
              <w:spacing w:before="120" w:after="120"/>
              <w:jc w:val="center"/>
              <w:rPr>
                <w:sz w:val="18"/>
                <w:szCs w:val="18"/>
                <w:lang w:eastAsia="en-US"/>
              </w:rPr>
            </w:pPr>
            <w:r w:rsidRPr="005A35D8">
              <w:rPr>
                <w:sz w:val="18"/>
                <w:szCs w:val="18"/>
                <w:lang w:eastAsia="en-US"/>
              </w:rPr>
              <w:t>sans objet</w:t>
            </w:r>
          </w:p>
        </w:tc>
        <w:tc>
          <w:tcPr>
            <w:tcW w:w="2709" w:type="dxa"/>
            <w:vAlign w:val="center"/>
          </w:tcPr>
          <w:p w:rsidR="00136B66" w:rsidRPr="005A35D8" w:rsidRDefault="009C5A8B" w:rsidP="009B626A">
            <w:pPr>
              <w:keepNext/>
              <w:spacing w:before="120" w:after="120"/>
              <w:jc w:val="center"/>
              <w:rPr>
                <w:sz w:val="18"/>
                <w:szCs w:val="18"/>
                <w:lang w:eastAsia="en-US"/>
              </w:rPr>
            </w:pPr>
            <w:r w:rsidRPr="005A35D8">
              <w:rPr>
                <w:sz w:val="18"/>
                <w:szCs w:val="18"/>
                <w:lang w:eastAsia="en-US"/>
              </w:rPr>
              <w:t>sans objet</w:t>
            </w:r>
          </w:p>
        </w:tc>
      </w:tr>
    </w:tbl>
    <w:p w:rsidR="000243E3" w:rsidRPr="005A35D8" w:rsidRDefault="000243E3" w:rsidP="00490611">
      <w:pPr>
        <w:rPr>
          <w:rFonts w:eastAsia="Times New Roman"/>
          <w:lang w:eastAsia="en-US"/>
        </w:rPr>
      </w:pPr>
    </w:p>
    <w:p w:rsidR="000243E3" w:rsidRPr="005A35D8" w:rsidRDefault="000243E3" w:rsidP="00490611">
      <w:pPr>
        <w:rPr>
          <w:rFonts w:eastAsia="Times New Roman"/>
          <w:lang w:eastAsia="en-US"/>
        </w:rPr>
      </w:pPr>
    </w:p>
    <w:p w:rsidR="000243E3" w:rsidRPr="005A35D8" w:rsidRDefault="006F20DA" w:rsidP="006F20DA">
      <w:pPr>
        <w:keepNext/>
        <w:keepLines/>
        <w:spacing w:after="240"/>
        <w:rPr>
          <w:bCs/>
          <w:szCs w:val="26"/>
          <w:u w:val="single"/>
          <w:lang w:eastAsia="en-US"/>
        </w:rPr>
      </w:pPr>
      <w:r w:rsidRPr="005A35D8">
        <w:rPr>
          <w:rFonts w:eastAsia="Times New Roman"/>
          <w:u w:val="single"/>
          <w:lang w:eastAsia="en-US"/>
        </w:rPr>
        <w:t>Directives</w:t>
      </w:r>
      <w:r w:rsidRPr="005A35D8">
        <w:rPr>
          <w:bCs/>
          <w:szCs w:val="26"/>
          <w:u w:val="single"/>
          <w:lang w:eastAsia="en-US"/>
        </w:rPr>
        <w:t xml:space="preserve"> de placement à l</w:t>
      </w:r>
      <w:r w:rsidR="00295456" w:rsidRPr="005A35D8">
        <w:rPr>
          <w:bCs/>
          <w:szCs w:val="26"/>
          <w:u w:val="single"/>
          <w:lang w:eastAsia="en-US"/>
        </w:rPr>
        <w:t>’</w:t>
      </w:r>
      <w:r w:rsidRPr="005A35D8">
        <w:rPr>
          <w:bCs/>
          <w:szCs w:val="26"/>
          <w:u w:val="single"/>
          <w:lang w:eastAsia="en-US"/>
        </w:rPr>
        <w:t>intention des gestionnaires de fonds extérieurs</w:t>
      </w:r>
    </w:p>
    <w:p w:rsidR="000243E3" w:rsidRPr="005A35D8" w:rsidRDefault="006F20DA" w:rsidP="0044721B">
      <w:pPr>
        <w:pStyle w:val="ONUMFS"/>
        <w:rPr>
          <w:rFonts w:eastAsia="Times New Roman"/>
          <w:lang w:eastAsia="en-US"/>
        </w:rPr>
      </w:pPr>
      <w:r w:rsidRPr="005A35D8">
        <w:t>Les gestionnaires de fonds extérieurs peuvent investir dans l</w:t>
      </w:r>
      <w:r w:rsidR="00295456" w:rsidRPr="005A35D8">
        <w:t>’</w:t>
      </w:r>
      <w:r w:rsidRPr="005A35D8">
        <w:t>une des classes d</w:t>
      </w:r>
      <w:r w:rsidR="00295456" w:rsidRPr="005A35D8">
        <w:t>’</w:t>
      </w:r>
      <w:r w:rsidRPr="005A35D8">
        <w:t>actifs ci</w:t>
      </w:r>
      <w:r w:rsidR="00D14880" w:rsidRPr="005A35D8">
        <w:noBreakHyphen/>
      </w:r>
      <w:r w:rsidRPr="005A35D8">
        <w:t xml:space="preserve">dessus, dans les limites de risque </w:t>
      </w:r>
      <w:r w:rsidR="00BA09E8" w:rsidRPr="005A35D8">
        <w:t>précisées</w:t>
      </w:r>
      <w:r w:rsidRPr="005A35D8">
        <w:t xml:space="preserve"> dans les directives de placement</w:t>
      </w:r>
      <w:r w:rsidR="00490611" w:rsidRPr="005A35D8">
        <w:rPr>
          <w:rFonts w:eastAsia="Times New Roman"/>
          <w:lang w:eastAsia="en-US"/>
        </w:rPr>
        <w:t>.</w:t>
      </w:r>
    </w:p>
    <w:p w:rsidR="000243E3" w:rsidRPr="005A35D8" w:rsidRDefault="006F20DA" w:rsidP="0044721B">
      <w:pPr>
        <w:pStyle w:val="ONUMFS"/>
        <w:rPr>
          <w:rFonts w:eastAsia="Times New Roman"/>
          <w:lang w:eastAsia="en-US"/>
        </w:rPr>
      </w:pPr>
      <w:r w:rsidRPr="005A35D8">
        <w:t>Les directives de placement, tel</w:t>
      </w:r>
      <w:r w:rsidR="00BA09E8" w:rsidRPr="005A35D8">
        <w:t xml:space="preserve">les que définies </w:t>
      </w:r>
      <w:r w:rsidRPr="005A35D8">
        <w:t>par le Comité consultatif des investissements et approuvé</w:t>
      </w:r>
      <w:r w:rsidR="00BA09E8" w:rsidRPr="005A35D8">
        <w:t>es par le Directeur général, figurent</w:t>
      </w:r>
      <w:r w:rsidRPr="005A35D8">
        <w:t xml:space="preserve"> dans chaque contrat de gestion des placements et </w:t>
      </w:r>
      <w:r w:rsidR="00BA09E8" w:rsidRPr="005A35D8">
        <w:t>comprennent</w:t>
      </w:r>
      <w:r w:rsidRPr="005A35D8">
        <w:t xml:space="preserve"> au moins les </w:t>
      </w:r>
      <w:r w:rsidR="00BA09E8" w:rsidRPr="005A35D8">
        <w:t>informations</w:t>
      </w:r>
      <w:r w:rsidRPr="005A35D8">
        <w:t xml:space="preserve"> suivant</w:t>
      </w:r>
      <w:r w:rsidR="00BA09E8" w:rsidRPr="005A35D8">
        <w:t>e</w:t>
      </w:r>
      <w:r w:rsidRPr="005A35D8">
        <w:t>s </w:t>
      </w:r>
      <w:r w:rsidR="00490611" w:rsidRPr="005A35D8">
        <w:rPr>
          <w:rFonts w:eastAsia="Times New Roman"/>
          <w:lang w:eastAsia="en-US"/>
        </w:rPr>
        <w:t>:</w:t>
      </w:r>
    </w:p>
    <w:p w:rsidR="000243E3" w:rsidRPr="005A35D8" w:rsidRDefault="006F20DA" w:rsidP="0044721B">
      <w:pPr>
        <w:pStyle w:val="ONUMFS"/>
        <w:numPr>
          <w:ilvl w:val="1"/>
          <w:numId w:val="2"/>
        </w:numPr>
        <w:rPr>
          <w:rFonts w:eastAsia="Times New Roman"/>
          <w:lang w:eastAsia="en-US"/>
        </w:rPr>
      </w:pPr>
      <w:r w:rsidRPr="005A35D8">
        <w:t xml:space="preserve">objectifs de placement, </w:t>
      </w:r>
      <w:r w:rsidR="00BA09E8" w:rsidRPr="005A35D8">
        <w:t>avec le</w:t>
      </w:r>
      <w:r w:rsidRPr="005A35D8">
        <w:t xml:space="preserve"> rendement et </w:t>
      </w:r>
      <w:r w:rsidR="00BA09E8" w:rsidRPr="005A35D8">
        <w:t xml:space="preserve">le </w:t>
      </w:r>
      <w:r w:rsidRPr="005A35D8">
        <w:t xml:space="preserve">risque </w:t>
      </w:r>
      <w:r w:rsidR="00BA09E8" w:rsidRPr="005A35D8">
        <w:t>escomptés</w:t>
      </w:r>
      <w:r w:rsidR="00490611" w:rsidRPr="005A35D8">
        <w:rPr>
          <w:rFonts w:eastAsia="Times New Roman"/>
          <w:lang w:eastAsia="en-US"/>
        </w:rPr>
        <w:t>;</w:t>
      </w:r>
    </w:p>
    <w:p w:rsidR="000243E3" w:rsidRPr="005A35D8" w:rsidRDefault="006F20DA" w:rsidP="0044721B">
      <w:pPr>
        <w:pStyle w:val="ONUMFS"/>
        <w:numPr>
          <w:ilvl w:val="1"/>
          <w:numId w:val="2"/>
        </w:numPr>
        <w:rPr>
          <w:rFonts w:eastAsia="Times New Roman"/>
          <w:lang w:eastAsia="en-US"/>
        </w:rPr>
      </w:pPr>
      <w:r w:rsidRPr="005A35D8">
        <w:t>style de gestion de portefeuille</w:t>
      </w:r>
      <w:r w:rsidR="00BA09E8" w:rsidRPr="005A35D8">
        <w:t xml:space="preserve"> (gestion </w:t>
      </w:r>
      <w:r w:rsidRPr="005A35D8">
        <w:t>active ou passive</w:t>
      </w:r>
      <w:r w:rsidR="00BA09E8" w:rsidRPr="005A35D8">
        <w:t>)</w:t>
      </w:r>
      <w:r w:rsidR="00490611" w:rsidRPr="005A35D8">
        <w:rPr>
          <w:rFonts w:eastAsia="Times New Roman"/>
          <w:lang w:eastAsia="en-US"/>
        </w:rPr>
        <w:t>;</w:t>
      </w:r>
    </w:p>
    <w:p w:rsidR="000243E3" w:rsidRPr="005A35D8" w:rsidRDefault="006F20DA" w:rsidP="0044721B">
      <w:pPr>
        <w:pStyle w:val="ONUMFS"/>
        <w:numPr>
          <w:ilvl w:val="1"/>
          <w:numId w:val="2"/>
        </w:numPr>
        <w:rPr>
          <w:rFonts w:eastAsia="Times New Roman"/>
          <w:lang w:eastAsia="en-US"/>
        </w:rPr>
      </w:pPr>
      <w:r w:rsidRPr="005A35D8">
        <w:t>devise de base</w:t>
      </w:r>
      <w:r w:rsidR="00490611" w:rsidRPr="005A35D8">
        <w:rPr>
          <w:rFonts w:eastAsia="Times New Roman"/>
          <w:lang w:eastAsia="en-US"/>
        </w:rPr>
        <w:t>;</w:t>
      </w:r>
    </w:p>
    <w:p w:rsidR="000243E3" w:rsidRPr="005A35D8" w:rsidRDefault="006F20DA" w:rsidP="0044721B">
      <w:pPr>
        <w:pStyle w:val="ONUMFS"/>
        <w:numPr>
          <w:ilvl w:val="1"/>
          <w:numId w:val="2"/>
        </w:numPr>
        <w:rPr>
          <w:rFonts w:eastAsia="Times New Roman"/>
          <w:lang w:eastAsia="en-US"/>
        </w:rPr>
      </w:pPr>
      <w:r w:rsidRPr="005A35D8">
        <w:t>critère de performance</w:t>
      </w:r>
      <w:r w:rsidR="00490611" w:rsidRPr="005A35D8">
        <w:rPr>
          <w:rFonts w:eastAsia="Times New Roman"/>
          <w:lang w:eastAsia="en-US"/>
        </w:rPr>
        <w:t>;</w:t>
      </w:r>
    </w:p>
    <w:p w:rsidR="000243E3" w:rsidRPr="005A35D8" w:rsidRDefault="006F20DA" w:rsidP="0044721B">
      <w:pPr>
        <w:pStyle w:val="ONUMFS"/>
        <w:numPr>
          <w:ilvl w:val="1"/>
          <w:numId w:val="2"/>
        </w:numPr>
        <w:rPr>
          <w:rFonts w:eastAsia="Times New Roman"/>
          <w:lang w:eastAsia="en-US"/>
        </w:rPr>
      </w:pPr>
      <w:r w:rsidRPr="005A35D8">
        <w:lastRenderedPageBreak/>
        <w:t>monnaies admissibles</w:t>
      </w:r>
      <w:r w:rsidR="00490611" w:rsidRPr="005A35D8">
        <w:rPr>
          <w:rFonts w:eastAsia="Times New Roman"/>
          <w:lang w:eastAsia="en-US"/>
        </w:rPr>
        <w:t>;</w:t>
      </w:r>
    </w:p>
    <w:p w:rsidR="000243E3" w:rsidRPr="005A35D8" w:rsidRDefault="006F20DA" w:rsidP="0044721B">
      <w:pPr>
        <w:pStyle w:val="ONUMFS"/>
        <w:numPr>
          <w:ilvl w:val="1"/>
          <w:numId w:val="2"/>
        </w:numPr>
        <w:rPr>
          <w:rFonts w:eastAsia="Times New Roman"/>
          <w:lang w:eastAsia="en-US"/>
        </w:rPr>
      </w:pPr>
      <w:r w:rsidRPr="005A35D8">
        <w:t>instruments admissibles</w:t>
      </w:r>
      <w:r w:rsidR="00490611" w:rsidRPr="005A35D8">
        <w:rPr>
          <w:rFonts w:eastAsia="Times New Roman"/>
          <w:lang w:eastAsia="en-US"/>
        </w:rPr>
        <w:t>;</w:t>
      </w:r>
    </w:p>
    <w:p w:rsidR="000243E3" w:rsidRPr="005A35D8" w:rsidRDefault="006F20DA" w:rsidP="0044721B">
      <w:pPr>
        <w:pStyle w:val="ONUMFS"/>
        <w:numPr>
          <w:ilvl w:val="1"/>
          <w:numId w:val="2"/>
        </w:numPr>
        <w:rPr>
          <w:rFonts w:eastAsia="Times New Roman"/>
          <w:lang w:eastAsia="en-US"/>
        </w:rPr>
      </w:pPr>
      <w:r w:rsidRPr="005A35D8">
        <w:t>durée minimale et maximale du portefeuille</w:t>
      </w:r>
      <w:r w:rsidR="00490611" w:rsidRPr="005A35D8">
        <w:rPr>
          <w:rFonts w:eastAsia="Times New Roman"/>
          <w:lang w:eastAsia="en-US"/>
        </w:rPr>
        <w:t>;</w:t>
      </w:r>
    </w:p>
    <w:p w:rsidR="000243E3" w:rsidRPr="005A35D8" w:rsidRDefault="006F20DA" w:rsidP="0044721B">
      <w:pPr>
        <w:pStyle w:val="ONUMFS"/>
        <w:numPr>
          <w:ilvl w:val="1"/>
          <w:numId w:val="2"/>
        </w:numPr>
        <w:rPr>
          <w:rFonts w:eastAsia="Times New Roman"/>
          <w:lang w:eastAsia="en-US"/>
        </w:rPr>
      </w:pPr>
      <w:r w:rsidRPr="005A35D8">
        <w:t>qualité des crédits</w:t>
      </w:r>
      <w:r w:rsidR="00490611" w:rsidRPr="005A35D8">
        <w:rPr>
          <w:rFonts w:eastAsia="Times New Roman"/>
          <w:lang w:eastAsia="en-US"/>
        </w:rPr>
        <w:t>;</w:t>
      </w:r>
    </w:p>
    <w:p w:rsidR="000243E3" w:rsidRPr="005A35D8" w:rsidRDefault="00BA09E8" w:rsidP="0044721B">
      <w:pPr>
        <w:pStyle w:val="ONUMFS"/>
        <w:numPr>
          <w:ilvl w:val="1"/>
          <w:numId w:val="2"/>
        </w:numPr>
        <w:rPr>
          <w:rFonts w:eastAsia="Times New Roman"/>
          <w:lang w:eastAsia="en-US"/>
        </w:rPr>
      </w:pPr>
      <w:r w:rsidRPr="005A35D8">
        <w:t>besoins</w:t>
      </w:r>
      <w:r w:rsidR="006F20DA" w:rsidRPr="005A35D8">
        <w:t xml:space="preserve"> de diversification</w:t>
      </w:r>
      <w:r w:rsidR="00490611" w:rsidRPr="005A35D8">
        <w:rPr>
          <w:rFonts w:eastAsia="Times New Roman"/>
          <w:lang w:eastAsia="en-US"/>
        </w:rPr>
        <w:t>.</w:t>
      </w:r>
    </w:p>
    <w:p w:rsidR="000243E3" w:rsidRPr="005A35D8" w:rsidRDefault="006F20DA" w:rsidP="0044721B">
      <w:pPr>
        <w:pStyle w:val="ONUMFS"/>
        <w:rPr>
          <w:rFonts w:eastAsia="Times New Roman"/>
          <w:lang w:eastAsia="en-US"/>
        </w:rPr>
      </w:pPr>
      <w:r w:rsidRPr="005A35D8">
        <w:t>D</w:t>
      </w:r>
      <w:r w:rsidR="00295456" w:rsidRPr="005A35D8">
        <w:t>’</w:t>
      </w:r>
      <w:r w:rsidRPr="005A35D8">
        <w:t>autres aspects, tels que la budg</w:t>
      </w:r>
      <w:r w:rsidR="00BA09E8" w:rsidRPr="005A35D8">
        <w:t>étisation des risques, s</w:t>
      </w:r>
      <w:r w:rsidRPr="005A35D8">
        <w:t>ont examinés dans le cadre du mandat spécifique de gestion</w:t>
      </w:r>
      <w:r w:rsidR="00BA09E8" w:rsidRPr="005A35D8">
        <w:t xml:space="preserve"> de placements extérieure</w:t>
      </w:r>
      <w:r w:rsidR="00490611" w:rsidRPr="005A35D8">
        <w:rPr>
          <w:rFonts w:eastAsia="Times New Roman"/>
          <w:lang w:eastAsia="en-US"/>
        </w:rPr>
        <w:t>.</w:t>
      </w:r>
    </w:p>
    <w:p w:rsidR="000243E3" w:rsidRPr="005A35D8" w:rsidRDefault="000243E3" w:rsidP="00490611">
      <w:pPr>
        <w:rPr>
          <w:rFonts w:eastAsia="Times New Roman"/>
          <w:lang w:eastAsia="en-US"/>
        </w:rPr>
      </w:pPr>
    </w:p>
    <w:p w:rsidR="000243E3" w:rsidRPr="005A35D8" w:rsidRDefault="00795641" w:rsidP="00490611">
      <w:pPr>
        <w:keepNext/>
        <w:outlineLvl w:val="0"/>
        <w:rPr>
          <w:bCs/>
          <w:caps/>
          <w:kern w:val="32"/>
          <w:szCs w:val="32"/>
          <w:lang w:eastAsia="en-US"/>
        </w:rPr>
      </w:pPr>
      <w:r w:rsidRPr="005A35D8">
        <w:rPr>
          <w:bCs/>
          <w:caps/>
          <w:kern w:val="32"/>
          <w:szCs w:val="32"/>
          <w:lang w:eastAsia="en-US"/>
        </w:rPr>
        <w:t>E</w:t>
      </w:r>
      <w:r w:rsidR="00873CAC" w:rsidRPr="005A35D8">
        <w:rPr>
          <w:bCs/>
          <w:caps/>
          <w:kern w:val="32"/>
          <w:szCs w:val="32"/>
          <w:lang w:eastAsia="en-US"/>
        </w:rPr>
        <w:t>.</w:t>
      </w:r>
      <w:r w:rsidR="00873CAC" w:rsidRPr="005A35D8">
        <w:rPr>
          <w:bCs/>
          <w:caps/>
          <w:kern w:val="32"/>
          <w:szCs w:val="32"/>
          <w:lang w:eastAsia="en-US"/>
        </w:rPr>
        <w:tab/>
      </w:r>
      <w:r w:rsidR="006F20DA" w:rsidRPr="005A35D8">
        <w:rPr>
          <w:bCs/>
          <w:caps/>
          <w:kern w:val="32"/>
          <w:szCs w:val="32"/>
          <w:lang w:eastAsia="en-US"/>
        </w:rPr>
        <w:t>privilè</w:t>
      </w:r>
      <w:r w:rsidR="00490611" w:rsidRPr="005A35D8">
        <w:rPr>
          <w:bCs/>
          <w:caps/>
          <w:kern w:val="32"/>
          <w:szCs w:val="32"/>
          <w:lang w:eastAsia="en-US"/>
        </w:rPr>
        <w:t xml:space="preserve">ges </w:t>
      </w:r>
      <w:r w:rsidR="006F20DA" w:rsidRPr="005A35D8">
        <w:rPr>
          <w:bCs/>
          <w:caps/>
          <w:kern w:val="32"/>
          <w:szCs w:val="32"/>
          <w:lang w:eastAsia="en-US"/>
        </w:rPr>
        <w:t>ET immunité</w:t>
      </w:r>
      <w:r w:rsidR="00490611" w:rsidRPr="005A35D8">
        <w:rPr>
          <w:bCs/>
          <w:caps/>
          <w:kern w:val="32"/>
          <w:szCs w:val="32"/>
          <w:lang w:eastAsia="en-US"/>
        </w:rPr>
        <w:t xml:space="preserve">s </w:t>
      </w:r>
      <w:r w:rsidR="006F20DA" w:rsidRPr="005A35D8">
        <w:rPr>
          <w:bCs/>
          <w:caps/>
          <w:kern w:val="32"/>
          <w:szCs w:val="32"/>
          <w:lang w:eastAsia="en-US"/>
        </w:rPr>
        <w:t>de l</w:t>
      </w:r>
      <w:r w:rsidR="00295456" w:rsidRPr="005A35D8">
        <w:rPr>
          <w:bCs/>
          <w:caps/>
          <w:kern w:val="32"/>
          <w:szCs w:val="32"/>
          <w:lang w:eastAsia="en-US"/>
        </w:rPr>
        <w:t>’</w:t>
      </w:r>
      <w:r w:rsidR="006F20DA" w:rsidRPr="005A35D8">
        <w:rPr>
          <w:bCs/>
          <w:caps/>
          <w:kern w:val="32"/>
          <w:szCs w:val="32"/>
          <w:lang w:eastAsia="en-US"/>
        </w:rPr>
        <w:t>organis</w:t>
      </w:r>
      <w:r w:rsidR="00490611" w:rsidRPr="005A35D8">
        <w:rPr>
          <w:bCs/>
          <w:caps/>
          <w:kern w:val="32"/>
          <w:szCs w:val="32"/>
          <w:lang w:eastAsia="en-US"/>
        </w:rPr>
        <w:t>ation</w:t>
      </w:r>
    </w:p>
    <w:p w:rsidR="000243E3" w:rsidRPr="005A35D8" w:rsidRDefault="000243E3" w:rsidP="00490611">
      <w:pPr>
        <w:rPr>
          <w:rFonts w:eastAsia="Times New Roman"/>
          <w:lang w:eastAsia="en-US"/>
        </w:rPr>
      </w:pPr>
    </w:p>
    <w:p w:rsidR="000243E3" w:rsidRPr="005A35D8" w:rsidRDefault="006664B1" w:rsidP="0044721B">
      <w:pPr>
        <w:pStyle w:val="ONUMFS"/>
        <w:rPr>
          <w:rFonts w:eastAsia="Times New Roman"/>
          <w:lang w:eastAsia="en-US"/>
        </w:rPr>
      </w:pPr>
      <w:r w:rsidRPr="005A35D8">
        <w:t>Lorsque</w:t>
      </w:r>
      <w:r w:rsidR="006F20DA" w:rsidRPr="005A35D8">
        <w:t xml:space="preserve"> de </w:t>
      </w:r>
      <w:r w:rsidR="00E476B7" w:rsidRPr="005A35D8">
        <w:t>nouveaux</w:t>
      </w:r>
      <w:r w:rsidR="00BA09E8" w:rsidRPr="005A35D8">
        <w:t xml:space="preserve"> placement</w:t>
      </w:r>
      <w:r w:rsidR="00E476B7" w:rsidRPr="005A35D8">
        <w:t>s sont confiés à</w:t>
      </w:r>
      <w:r w:rsidR="006F20DA" w:rsidRPr="005A35D8">
        <w:t xml:space="preserve"> une contrepartie, l</w:t>
      </w:r>
      <w:r w:rsidR="00295456" w:rsidRPr="005A35D8">
        <w:t>’</w:t>
      </w:r>
      <w:r w:rsidR="006F20DA" w:rsidRPr="005A35D8">
        <w:t xml:space="preserve">Organisation indique que </w:t>
      </w:r>
      <w:r w:rsidR="00E476B7" w:rsidRPr="005A35D8">
        <w:t>ces placements</w:t>
      </w:r>
      <w:r w:rsidR="006F20DA" w:rsidRPr="005A35D8">
        <w:t xml:space="preserve"> </w:t>
      </w:r>
      <w:r w:rsidR="00E476B7" w:rsidRPr="005A35D8">
        <w:t>lui sont confiés</w:t>
      </w:r>
      <w:r w:rsidR="006F20DA" w:rsidRPr="005A35D8">
        <w:t xml:space="preserve"> sous réserve de ses privilèges et immunités. </w:t>
      </w:r>
      <w:r w:rsidR="00BA09E8" w:rsidRPr="005A35D8">
        <w:t xml:space="preserve"> </w:t>
      </w:r>
      <w:r w:rsidR="006F20DA" w:rsidRPr="005A35D8">
        <w:t xml:space="preserve">Les contreparties </w:t>
      </w:r>
      <w:r w:rsidR="00E476B7" w:rsidRPr="005A35D8">
        <w:t>acceptent</w:t>
      </w:r>
      <w:r w:rsidR="006F20DA" w:rsidRPr="005A35D8">
        <w:t xml:space="preserve"> de ne pas retenir </w:t>
      </w:r>
      <w:r w:rsidR="00E476B7" w:rsidRPr="005A35D8">
        <w:t>d</w:t>
      </w:r>
      <w:r w:rsidR="00295456" w:rsidRPr="005A35D8">
        <w:t>’</w:t>
      </w:r>
      <w:r w:rsidR="006F20DA" w:rsidRPr="005A35D8">
        <w:t>impô</w:t>
      </w:r>
      <w:r w:rsidR="00E476B7" w:rsidRPr="005A35D8">
        <w:t>ts, ni de joindre les comptes/</w:t>
      </w:r>
      <w:r w:rsidR="006F20DA" w:rsidRPr="005A35D8">
        <w:t>actifs pour les réclamations juridiques</w:t>
      </w:r>
      <w:r w:rsidR="00490611" w:rsidRPr="005A35D8">
        <w:rPr>
          <w:rFonts w:eastAsia="Times New Roman"/>
          <w:lang w:eastAsia="en-US"/>
        </w:rPr>
        <w:t>.</w:t>
      </w:r>
    </w:p>
    <w:p w:rsidR="000243E3" w:rsidRPr="005A35D8" w:rsidRDefault="000243E3" w:rsidP="00490611">
      <w:pPr>
        <w:rPr>
          <w:rFonts w:eastAsia="Times New Roman"/>
          <w:lang w:eastAsia="en-US"/>
        </w:rPr>
      </w:pPr>
    </w:p>
    <w:p w:rsidR="000243E3" w:rsidRPr="005A35D8" w:rsidRDefault="00795641" w:rsidP="00AF4A90">
      <w:pPr>
        <w:keepNext/>
        <w:spacing w:after="240"/>
        <w:outlineLvl w:val="0"/>
        <w:rPr>
          <w:bCs/>
          <w:caps/>
          <w:kern w:val="32"/>
          <w:szCs w:val="32"/>
          <w:lang w:eastAsia="en-US"/>
        </w:rPr>
      </w:pPr>
      <w:r w:rsidRPr="005A35D8">
        <w:rPr>
          <w:bCs/>
          <w:caps/>
          <w:kern w:val="32"/>
          <w:szCs w:val="32"/>
          <w:lang w:eastAsia="en-US"/>
        </w:rPr>
        <w:t>F</w:t>
      </w:r>
      <w:r w:rsidR="00873CAC" w:rsidRPr="005A35D8">
        <w:rPr>
          <w:bCs/>
          <w:caps/>
          <w:kern w:val="32"/>
          <w:szCs w:val="32"/>
          <w:lang w:eastAsia="en-US"/>
        </w:rPr>
        <w:t>.</w:t>
      </w:r>
      <w:r w:rsidR="00873CAC" w:rsidRPr="005A35D8">
        <w:rPr>
          <w:bCs/>
          <w:caps/>
          <w:kern w:val="32"/>
          <w:szCs w:val="32"/>
          <w:lang w:eastAsia="en-US"/>
        </w:rPr>
        <w:tab/>
      </w:r>
      <w:r w:rsidR="006D5A82" w:rsidRPr="005A35D8">
        <w:rPr>
          <w:bCs/>
          <w:caps/>
          <w:kern w:val="32"/>
          <w:szCs w:val="32"/>
          <w:lang w:eastAsia="en-US"/>
        </w:rPr>
        <w:t>é</w:t>
      </w:r>
      <w:r w:rsidR="006F20DA" w:rsidRPr="005A35D8">
        <w:rPr>
          <w:bCs/>
          <w:caps/>
          <w:kern w:val="32"/>
          <w:szCs w:val="32"/>
          <w:lang w:eastAsia="en-US"/>
        </w:rPr>
        <w:t>valuation des performances</w:t>
      </w:r>
    </w:p>
    <w:p w:rsidR="000243E3" w:rsidRPr="005A35D8" w:rsidRDefault="006F20DA" w:rsidP="00AF4A90">
      <w:pPr>
        <w:spacing w:after="240"/>
        <w:rPr>
          <w:rFonts w:eastAsia="Times New Roman"/>
          <w:u w:val="single"/>
          <w:lang w:eastAsia="en-US"/>
        </w:rPr>
      </w:pPr>
      <w:r w:rsidRPr="005A35D8">
        <w:rPr>
          <w:rFonts w:eastAsia="Times New Roman"/>
          <w:u w:val="single"/>
          <w:lang w:eastAsia="en-US"/>
        </w:rPr>
        <w:t>Repères</w:t>
      </w:r>
    </w:p>
    <w:p w:rsidR="000243E3" w:rsidRPr="005A35D8" w:rsidRDefault="006D5A82" w:rsidP="0044721B">
      <w:pPr>
        <w:pStyle w:val="ONUMFS"/>
        <w:rPr>
          <w:rFonts w:eastAsia="Times New Roman"/>
          <w:lang w:eastAsia="en-US"/>
        </w:rPr>
      </w:pPr>
      <w:r w:rsidRPr="005A35D8">
        <w:t xml:space="preserve">La </w:t>
      </w:r>
      <w:r w:rsidR="006F20DA" w:rsidRPr="005A35D8">
        <w:t>trésorerie d</w:t>
      </w:r>
      <w:r w:rsidR="00295456" w:rsidRPr="005A35D8">
        <w:t>’</w:t>
      </w:r>
      <w:r w:rsidR="006F20DA" w:rsidRPr="005A35D8">
        <w:t xml:space="preserve">exploitation </w:t>
      </w:r>
      <w:r w:rsidRPr="005A35D8">
        <w:t xml:space="preserve">est gérée </w:t>
      </w:r>
      <w:r w:rsidR="006F20DA" w:rsidRPr="005A35D8">
        <w:t xml:space="preserve">en interne </w:t>
      </w:r>
      <w:r w:rsidR="00E476B7" w:rsidRPr="005A35D8">
        <w:t>en fonction du</w:t>
      </w:r>
      <w:r w:rsidR="006F20DA" w:rsidRPr="005A35D8">
        <w:t xml:space="preserve"> taux à </w:t>
      </w:r>
      <w:r w:rsidRPr="005A35D8">
        <w:t>trois </w:t>
      </w:r>
      <w:r w:rsidR="006F20DA" w:rsidRPr="005A35D8">
        <w:t xml:space="preserve">mois </w:t>
      </w:r>
      <w:proofErr w:type="spellStart"/>
      <w:r w:rsidR="006F20DA" w:rsidRPr="005A35D8">
        <w:t>Libor</w:t>
      </w:r>
      <w:proofErr w:type="spellEnd"/>
      <w:r w:rsidR="006F20DA" w:rsidRPr="005A35D8">
        <w:t xml:space="preserve"> </w:t>
      </w:r>
      <w:r w:rsidR="00E476B7" w:rsidRPr="005A35D8">
        <w:t>du franc suisse</w:t>
      </w:r>
      <w:r w:rsidR="006F20DA" w:rsidRPr="005A35D8">
        <w:t xml:space="preserve">, </w:t>
      </w:r>
      <w:r w:rsidR="00E476B7" w:rsidRPr="005A35D8">
        <w:t>du</w:t>
      </w:r>
      <w:r w:rsidR="006F20DA" w:rsidRPr="005A35D8">
        <w:t xml:space="preserve"> taux à </w:t>
      </w:r>
      <w:r w:rsidR="00E476B7" w:rsidRPr="005A35D8">
        <w:t>trois </w:t>
      </w:r>
      <w:r w:rsidR="006F20DA" w:rsidRPr="005A35D8">
        <w:t xml:space="preserve">mois Euribor </w:t>
      </w:r>
      <w:r w:rsidR="00E476B7" w:rsidRPr="005A35D8">
        <w:t>de</w:t>
      </w:r>
      <w:r w:rsidR="006F20DA" w:rsidRPr="005A35D8">
        <w:t xml:space="preserve"> l</w:t>
      </w:r>
      <w:r w:rsidR="00295456" w:rsidRPr="005A35D8">
        <w:t>’</w:t>
      </w:r>
      <w:r w:rsidR="006F20DA" w:rsidRPr="005A35D8">
        <w:t xml:space="preserve">euro et </w:t>
      </w:r>
      <w:r w:rsidR="00E476B7" w:rsidRPr="005A35D8">
        <w:t>du taux à trois mois des</w:t>
      </w:r>
      <w:r w:rsidR="006F20DA" w:rsidRPr="005A35D8">
        <w:t xml:space="preserve"> bons du Trésor </w:t>
      </w:r>
      <w:r w:rsidR="00E476B7" w:rsidRPr="005A35D8">
        <w:t>du</w:t>
      </w:r>
      <w:r w:rsidR="006F20DA" w:rsidRPr="005A35D8">
        <w:t xml:space="preserve"> dollar </w:t>
      </w:r>
      <w:r w:rsidR="00E476B7" w:rsidRPr="005A35D8">
        <w:t>américain</w:t>
      </w:r>
      <w:r w:rsidR="006F20DA" w:rsidRPr="005A35D8">
        <w:t xml:space="preserve"> ou </w:t>
      </w:r>
      <w:r w:rsidR="007A6D02" w:rsidRPr="005A35D8">
        <w:t xml:space="preserve">en fonction </w:t>
      </w:r>
      <w:r w:rsidR="00E476B7" w:rsidRPr="005A35D8">
        <w:t>de</w:t>
      </w:r>
      <w:r w:rsidR="006F20DA" w:rsidRPr="005A35D8">
        <w:t xml:space="preserve"> l</w:t>
      </w:r>
      <w:r w:rsidR="00295456" w:rsidRPr="005A35D8">
        <w:t>’</w:t>
      </w:r>
      <w:r w:rsidR="00143459" w:rsidRPr="005A35D8">
        <w:t>indicateur</w:t>
      </w:r>
      <w:r w:rsidR="006F20DA" w:rsidRPr="005A35D8">
        <w:t xml:space="preserve"> de référence </w:t>
      </w:r>
      <w:r w:rsidR="007A6D02" w:rsidRPr="005A35D8">
        <w:t>qui est</w:t>
      </w:r>
      <w:r w:rsidR="006F20DA" w:rsidRPr="005A35D8">
        <w:t xml:space="preserve"> le plus applicable à l</w:t>
      </w:r>
      <w:r w:rsidR="00295456" w:rsidRPr="005A35D8">
        <w:t>’</w:t>
      </w:r>
      <w:r w:rsidR="006F20DA" w:rsidRPr="005A35D8">
        <w:t xml:space="preserve">instrument </w:t>
      </w:r>
      <w:r w:rsidR="007A6D02" w:rsidRPr="005A35D8">
        <w:t xml:space="preserve">de placement </w:t>
      </w:r>
      <w:r w:rsidR="006F20DA" w:rsidRPr="005A35D8">
        <w:t xml:space="preserve">respectif </w:t>
      </w:r>
      <w:r w:rsidR="007A6D02" w:rsidRPr="005A35D8">
        <w:t>sur</w:t>
      </w:r>
      <w:r w:rsidR="006F20DA" w:rsidRPr="005A35D8">
        <w:t xml:space="preserve"> le marché</w:t>
      </w:r>
      <w:r w:rsidR="007A6D02" w:rsidRPr="005A35D8">
        <w:t xml:space="preserve"> considéré</w:t>
      </w:r>
      <w:r w:rsidR="00490611" w:rsidRPr="005A35D8">
        <w:rPr>
          <w:rFonts w:eastAsia="Times New Roman"/>
          <w:lang w:eastAsia="en-US"/>
        </w:rPr>
        <w:t>.</w:t>
      </w:r>
    </w:p>
    <w:p w:rsidR="000243E3" w:rsidRPr="005A35D8" w:rsidRDefault="007A6D02" w:rsidP="0044721B">
      <w:pPr>
        <w:pStyle w:val="ONUMFS"/>
        <w:rPr>
          <w:rFonts w:eastAsia="Times New Roman"/>
          <w:lang w:eastAsia="en-US"/>
        </w:rPr>
      </w:pPr>
      <w:r w:rsidRPr="005A35D8">
        <w:t xml:space="preserve">Les fonds propres sont gérés </w:t>
      </w:r>
      <w:r w:rsidR="006F20DA" w:rsidRPr="005A35D8">
        <w:t xml:space="preserve">par les gestionnaires de fonds extérieurs. </w:t>
      </w:r>
      <w:r w:rsidRPr="005A35D8">
        <w:t xml:space="preserve"> </w:t>
      </w:r>
      <w:r w:rsidR="006F20DA" w:rsidRPr="005A35D8">
        <w:t xml:space="preserve">Chaque portefeuille </w:t>
      </w:r>
      <w:r w:rsidRPr="005A35D8">
        <w:t>de placements</w:t>
      </w:r>
      <w:r w:rsidR="006F20DA" w:rsidRPr="005A35D8">
        <w:t xml:space="preserve"> </w:t>
      </w:r>
      <w:r w:rsidRPr="005A35D8">
        <w:t>a</w:t>
      </w:r>
      <w:r w:rsidR="006F20DA" w:rsidRPr="005A35D8">
        <w:t xml:space="preserve"> </w:t>
      </w:r>
      <w:r w:rsidRPr="005A35D8">
        <w:t>un indicateur de</w:t>
      </w:r>
      <w:r w:rsidR="006F20DA" w:rsidRPr="005A35D8">
        <w:t xml:space="preserve"> performance </w:t>
      </w:r>
      <w:r w:rsidRPr="005A35D8">
        <w:t>précisé</w:t>
      </w:r>
      <w:r w:rsidR="006F20DA" w:rsidRPr="005A35D8">
        <w:t xml:space="preserve"> </w:t>
      </w:r>
      <w:r w:rsidRPr="005A35D8">
        <w:t xml:space="preserve">dans </w:t>
      </w:r>
      <w:r w:rsidR="006F20DA" w:rsidRPr="005A35D8">
        <w:t xml:space="preserve">ses directives de placement. </w:t>
      </w:r>
      <w:r w:rsidRPr="005A35D8">
        <w:t xml:space="preserve"> L</w:t>
      </w:r>
      <w:r w:rsidR="006F20DA" w:rsidRPr="005A35D8">
        <w:t xml:space="preserve">es </w:t>
      </w:r>
      <w:r w:rsidRPr="005A35D8">
        <w:t>critères</w:t>
      </w:r>
      <w:r w:rsidR="006F20DA" w:rsidRPr="005A35D8">
        <w:t xml:space="preserve"> </w:t>
      </w:r>
      <w:r w:rsidRPr="005A35D8">
        <w:t xml:space="preserve">de performance </w:t>
      </w:r>
      <w:r w:rsidR="006F20DA" w:rsidRPr="005A35D8">
        <w:t xml:space="preserve">doivent </w:t>
      </w:r>
      <w:r w:rsidRPr="005A35D8">
        <w:t>être </w:t>
      </w:r>
      <w:r w:rsidR="0044721B" w:rsidRPr="005A35D8">
        <w:t>: i) </w:t>
      </w:r>
      <w:r w:rsidR="006F20DA" w:rsidRPr="005A35D8">
        <w:t xml:space="preserve">sans ambiguïté, transparentes et simples; </w:t>
      </w:r>
      <w:r w:rsidRPr="005A35D8">
        <w:t xml:space="preserve"> </w:t>
      </w:r>
      <w:r w:rsidR="0044721B" w:rsidRPr="005A35D8">
        <w:t>ii) </w:t>
      </w:r>
      <w:proofErr w:type="spellStart"/>
      <w:r w:rsidR="006F20DA" w:rsidRPr="005A35D8">
        <w:t>investissable</w:t>
      </w:r>
      <w:r w:rsidRPr="005A35D8">
        <w:t>s</w:t>
      </w:r>
      <w:proofErr w:type="spellEnd"/>
      <w:r w:rsidR="006F20DA" w:rsidRPr="005A35D8">
        <w:t xml:space="preserve"> et reproductible</w:t>
      </w:r>
      <w:r w:rsidRPr="005A35D8">
        <w:t>s</w:t>
      </w:r>
      <w:r w:rsidR="006F20DA" w:rsidRPr="005A35D8">
        <w:t>;</w:t>
      </w:r>
      <w:r w:rsidRPr="005A35D8">
        <w:t xml:space="preserve"> </w:t>
      </w:r>
      <w:r w:rsidR="0044721B" w:rsidRPr="005A35D8">
        <w:t xml:space="preserve"> iii) </w:t>
      </w:r>
      <w:r w:rsidR="006F20DA" w:rsidRPr="005A35D8">
        <w:t>mesurable</w:t>
      </w:r>
      <w:r w:rsidRPr="005A35D8">
        <w:t>s</w:t>
      </w:r>
      <w:r w:rsidR="006F20DA" w:rsidRPr="005A35D8">
        <w:t xml:space="preserve"> et stable</w:t>
      </w:r>
      <w:r w:rsidRPr="005A35D8">
        <w:t>s</w:t>
      </w:r>
      <w:r w:rsidR="006F20DA" w:rsidRPr="005A35D8">
        <w:t xml:space="preserve">; </w:t>
      </w:r>
      <w:r w:rsidRPr="005A35D8">
        <w:t xml:space="preserve"> </w:t>
      </w:r>
      <w:r w:rsidR="0044721B" w:rsidRPr="005A35D8">
        <w:t>iv) </w:t>
      </w:r>
      <w:r w:rsidR="006F20DA" w:rsidRPr="005A35D8">
        <w:t>adapté</w:t>
      </w:r>
      <w:r w:rsidRPr="005A35D8">
        <w:t>s</w:t>
      </w:r>
      <w:r w:rsidR="006F20DA" w:rsidRPr="005A35D8">
        <w:t xml:space="preserve"> à la finalité de l</w:t>
      </w:r>
      <w:r w:rsidR="00295456" w:rsidRPr="005A35D8">
        <w:t>’</w:t>
      </w:r>
      <w:r w:rsidR="006F20DA" w:rsidRPr="005A35D8">
        <w:t xml:space="preserve">investissement; </w:t>
      </w:r>
      <w:r w:rsidRPr="005A35D8">
        <w:t xml:space="preserve"> </w:t>
      </w:r>
      <w:r w:rsidR="006F20DA" w:rsidRPr="005A35D8">
        <w:t>v)</w:t>
      </w:r>
      <w:r w:rsidR="0044721B" w:rsidRPr="005A35D8">
        <w:t> </w:t>
      </w:r>
      <w:r w:rsidRPr="005A35D8">
        <w:t>l</w:t>
      </w:r>
      <w:r w:rsidR="00295456" w:rsidRPr="005A35D8">
        <w:t>’</w:t>
      </w:r>
      <w:r w:rsidRPr="005A35D8">
        <w:t xml:space="preserve">expression des </w:t>
      </w:r>
      <w:r w:rsidR="006F20DA" w:rsidRPr="005A35D8">
        <w:t>opinions actuel</w:t>
      </w:r>
      <w:r w:rsidRPr="005A35D8">
        <w:t>le</w:t>
      </w:r>
      <w:r w:rsidR="006F20DA" w:rsidRPr="005A35D8">
        <w:t xml:space="preserve">s </w:t>
      </w:r>
      <w:r w:rsidRPr="005A35D8">
        <w:t>en matière de placements</w:t>
      </w:r>
      <w:r w:rsidR="006F20DA" w:rsidRPr="005A35D8">
        <w:t>;</w:t>
      </w:r>
      <w:r w:rsidRPr="005A35D8">
        <w:t xml:space="preserve"> </w:t>
      </w:r>
      <w:r w:rsidR="0044721B" w:rsidRPr="005A35D8">
        <w:t xml:space="preserve"> et </w:t>
      </w:r>
      <w:r w:rsidR="006F20DA" w:rsidRPr="005A35D8">
        <w:t>vi)</w:t>
      </w:r>
      <w:r w:rsidR="0044721B" w:rsidRPr="005A35D8">
        <w:t> </w:t>
      </w:r>
      <w:r w:rsidR="00693AA7" w:rsidRPr="005A35D8">
        <w:t>précisés</w:t>
      </w:r>
      <w:r w:rsidR="006F20DA" w:rsidRPr="005A35D8">
        <w:t xml:space="preserve"> à l</w:t>
      </w:r>
      <w:r w:rsidR="00295456" w:rsidRPr="005A35D8">
        <w:t>’</w:t>
      </w:r>
      <w:r w:rsidR="006F20DA" w:rsidRPr="005A35D8">
        <w:t>avance</w:t>
      </w:r>
      <w:r w:rsidR="00490611" w:rsidRPr="005A35D8">
        <w:rPr>
          <w:rFonts w:eastAsia="Times New Roman"/>
          <w:lang w:eastAsia="en-US"/>
        </w:rPr>
        <w:t>.</w:t>
      </w:r>
    </w:p>
    <w:p w:rsidR="000243E3" w:rsidRPr="005A35D8" w:rsidRDefault="006F20DA" w:rsidP="00AF4A90">
      <w:pPr>
        <w:spacing w:after="240"/>
        <w:rPr>
          <w:rFonts w:eastAsia="Times New Roman"/>
          <w:u w:val="single"/>
          <w:lang w:eastAsia="en-US"/>
        </w:rPr>
      </w:pPr>
      <w:r w:rsidRPr="005A35D8">
        <w:rPr>
          <w:rFonts w:eastAsia="Times New Roman"/>
          <w:u w:val="single"/>
          <w:lang w:eastAsia="en-US"/>
        </w:rPr>
        <w:t xml:space="preserve">Évaluation des performances et </w:t>
      </w:r>
      <w:r w:rsidR="006D5A82" w:rsidRPr="005A35D8">
        <w:rPr>
          <w:rFonts w:eastAsia="Times New Roman"/>
          <w:u w:val="single"/>
          <w:lang w:eastAsia="en-US"/>
        </w:rPr>
        <w:t>rapports sur les performances</w:t>
      </w:r>
    </w:p>
    <w:p w:rsidR="00295456" w:rsidRPr="005A35D8" w:rsidRDefault="008C4FB1" w:rsidP="0044721B">
      <w:pPr>
        <w:pStyle w:val="ONUMFS"/>
        <w:rPr>
          <w:rFonts w:eastAsia="Times New Roman"/>
          <w:lang w:eastAsia="en-US"/>
        </w:rPr>
      </w:pPr>
      <w:r w:rsidRPr="005A35D8">
        <w:t>S</w:t>
      </w:r>
      <w:r w:rsidR="00295456" w:rsidRPr="005A35D8">
        <w:t>’</w:t>
      </w:r>
      <w:r w:rsidRPr="005A35D8">
        <w:t xml:space="preserve">agissant des </w:t>
      </w:r>
      <w:r w:rsidR="00EC1805" w:rsidRPr="005A35D8">
        <w:t>fonds</w:t>
      </w:r>
      <w:r w:rsidRPr="005A35D8">
        <w:t xml:space="preserve"> propres</w:t>
      </w:r>
      <w:r w:rsidR="006F20DA" w:rsidRPr="005A35D8">
        <w:t xml:space="preserve">, le dépositaire </w:t>
      </w:r>
      <w:r w:rsidR="00143459" w:rsidRPr="005A35D8">
        <w:t>fait rapport chaque mois</w:t>
      </w:r>
      <w:r w:rsidRPr="005A35D8">
        <w:t xml:space="preserve"> sur</w:t>
      </w:r>
      <w:r w:rsidR="006F20DA" w:rsidRPr="005A35D8">
        <w:t xml:space="preserve"> </w:t>
      </w:r>
      <w:r w:rsidR="00143459" w:rsidRPr="005A35D8">
        <w:t xml:space="preserve">les performances </w:t>
      </w:r>
      <w:r w:rsidR="006F20DA" w:rsidRPr="005A35D8">
        <w:t xml:space="preserve">des portefeuilles gérés à </w:t>
      </w:r>
      <w:r w:rsidRPr="005A35D8">
        <w:t>l</w:t>
      </w:r>
      <w:r w:rsidR="00295456" w:rsidRPr="005A35D8">
        <w:t>’</w:t>
      </w:r>
      <w:r w:rsidRPr="005A35D8">
        <w:t>extérieur</w:t>
      </w:r>
      <w:r w:rsidR="006F20DA" w:rsidRPr="005A35D8">
        <w:t xml:space="preserve"> et </w:t>
      </w:r>
      <w:r w:rsidRPr="005A35D8">
        <w:t xml:space="preserve">veille </w:t>
      </w:r>
      <w:r w:rsidR="006F20DA" w:rsidRPr="005A35D8">
        <w:t xml:space="preserve">à ce que les gestionnaires de fonds extérieurs </w:t>
      </w:r>
      <w:r w:rsidRPr="005A35D8">
        <w:t>aient</w:t>
      </w:r>
      <w:r w:rsidR="006F20DA" w:rsidRPr="005A35D8">
        <w:t xml:space="preserve"> adhéré à leurs directives de placement. </w:t>
      </w:r>
      <w:r w:rsidRPr="005A35D8">
        <w:t xml:space="preserve"> </w:t>
      </w:r>
      <w:r w:rsidR="00143459" w:rsidRPr="005A35D8">
        <w:t>Les p</w:t>
      </w:r>
      <w:r w:rsidR="006F20DA" w:rsidRPr="005A35D8">
        <w:t>erformance</w:t>
      </w:r>
      <w:r w:rsidR="00143459" w:rsidRPr="005A35D8">
        <w:t xml:space="preserve">s de la trésorerie gérée en </w:t>
      </w:r>
      <w:r w:rsidR="006F20DA" w:rsidRPr="005A35D8">
        <w:t xml:space="preserve">interne et </w:t>
      </w:r>
      <w:r w:rsidR="00143459" w:rsidRPr="005A35D8">
        <w:t>à l</w:t>
      </w:r>
      <w:r w:rsidR="00295456" w:rsidRPr="005A35D8">
        <w:t>’</w:t>
      </w:r>
      <w:r w:rsidR="00143459" w:rsidRPr="005A35D8">
        <w:t>extérieur</w:t>
      </w:r>
      <w:r w:rsidR="006F20DA" w:rsidRPr="005A35D8">
        <w:t xml:space="preserve"> </w:t>
      </w:r>
      <w:r w:rsidR="00143459" w:rsidRPr="005A35D8">
        <w:t xml:space="preserve">sont calculées </w:t>
      </w:r>
      <w:r w:rsidR="006F20DA" w:rsidRPr="005A35D8">
        <w:t>en francs suisses</w:t>
      </w:r>
      <w:r w:rsidR="00143459" w:rsidRPr="005A35D8">
        <w:t>,</w:t>
      </w:r>
      <w:r w:rsidR="006F20DA" w:rsidRPr="005A35D8">
        <w:t xml:space="preserve"> </w:t>
      </w:r>
      <w:r w:rsidR="00143459" w:rsidRPr="005A35D8">
        <w:t>hors fluctuation de change</w:t>
      </w:r>
      <w:r w:rsidR="006F20DA" w:rsidRPr="005A35D8">
        <w:t xml:space="preserve"> </w:t>
      </w:r>
      <w:r w:rsidR="00143459" w:rsidRPr="005A35D8">
        <w:t xml:space="preserve">des monnaies </w:t>
      </w:r>
      <w:r w:rsidR="006F20DA" w:rsidRPr="005A35D8">
        <w:t>dans lesquelles les fonds sont investis</w:t>
      </w:r>
      <w:r w:rsidR="00490611" w:rsidRPr="005A35D8">
        <w:rPr>
          <w:rFonts w:eastAsia="Times New Roman"/>
          <w:lang w:eastAsia="en-US"/>
        </w:rPr>
        <w:t>.</w:t>
      </w:r>
    </w:p>
    <w:p w:rsidR="00295456" w:rsidRPr="005A35D8" w:rsidRDefault="00143459" w:rsidP="0044721B">
      <w:pPr>
        <w:pStyle w:val="ONUMFS"/>
        <w:rPr>
          <w:rFonts w:eastAsia="Times New Roman"/>
          <w:lang w:eastAsia="en-US"/>
        </w:rPr>
      </w:pPr>
      <w:r w:rsidRPr="005A35D8">
        <w:t xml:space="preserve">Les performances </w:t>
      </w:r>
      <w:r w:rsidR="006F20DA" w:rsidRPr="005A35D8">
        <w:t>de la trésorerie d</w:t>
      </w:r>
      <w:r w:rsidR="00295456" w:rsidRPr="005A35D8">
        <w:t>’</w:t>
      </w:r>
      <w:r w:rsidR="006F20DA" w:rsidRPr="005A35D8">
        <w:t xml:space="preserve">exploitation </w:t>
      </w:r>
      <w:r w:rsidRPr="005A35D8">
        <w:t>sont comparées grâce aux</w:t>
      </w:r>
      <w:r w:rsidR="006F20DA" w:rsidRPr="005A35D8">
        <w:t xml:space="preserve"> </w:t>
      </w:r>
      <w:r w:rsidRPr="005A35D8">
        <w:t xml:space="preserve">indicateurs </w:t>
      </w:r>
      <w:r w:rsidR="006F20DA" w:rsidRPr="005A35D8">
        <w:t>appropriés.</w:t>
      </w:r>
      <w:r w:rsidRPr="005A35D8">
        <w:t xml:space="preserve"> </w:t>
      </w:r>
      <w:r w:rsidR="006F20DA" w:rsidRPr="005A35D8">
        <w:t xml:space="preserve"> L</w:t>
      </w:r>
      <w:r w:rsidRPr="005A35D8">
        <w:t>es</w:t>
      </w:r>
      <w:r w:rsidR="006F20DA" w:rsidRPr="005A35D8">
        <w:t xml:space="preserve"> perfo</w:t>
      </w:r>
      <w:r w:rsidRPr="005A35D8">
        <w:t xml:space="preserve">rmances </w:t>
      </w:r>
      <w:r w:rsidR="006F20DA" w:rsidRPr="005A35D8">
        <w:t xml:space="preserve">des gestionnaires de fonds extérieurs </w:t>
      </w:r>
      <w:r w:rsidRPr="005A35D8">
        <w:t>sont mesurées par rapport à l</w:t>
      </w:r>
      <w:r w:rsidR="00295456" w:rsidRPr="005A35D8">
        <w:t>’</w:t>
      </w:r>
      <w:r w:rsidRPr="005A35D8">
        <w:t>indicateur</w:t>
      </w:r>
      <w:r w:rsidR="006F20DA" w:rsidRPr="005A35D8">
        <w:t xml:space="preserve"> de référence et </w:t>
      </w:r>
      <w:r w:rsidRPr="005A35D8">
        <w:t>à d</w:t>
      </w:r>
      <w:r w:rsidR="00295456" w:rsidRPr="005A35D8">
        <w:t>’</w:t>
      </w:r>
      <w:r w:rsidRPr="005A35D8">
        <w:t>autres</w:t>
      </w:r>
      <w:r w:rsidR="006F20DA" w:rsidRPr="005A35D8">
        <w:t xml:space="preserve"> indicateurs, </w:t>
      </w:r>
      <w:r w:rsidRPr="005A35D8">
        <w:t>tel que précisé</w:t>
      </w:r>
      <w:r w:rsidR="006F20DA" w:rsidRPr="005A35D8">
        <w:t xml:space="preserve"> dans les directives de placement</w:t>
      </w:r>
      <w:r w:rsidR="00490611" w:rsidRPr="005A35D8">
        <w:rPr>
          <w:rFonts w:eastAsia="Times New Roman"/>
          <w:lang w:eastAsia="en-US"/>
        </w:rPr>
        <w:t>.</w:t>
      </w:r>
    </w:p>
    <w:p w:rsidR="000243E3" w:rsidRPr="005A35D8" w:rsidRDefault="006F20DA" w:rsidP="0044721B">
      <w:pPr>
        <w:pStyle w:val="ONUMFS"/>
        <w:rPr>
          <w:rFonts w:eastAsia="Times New Roman"/>
          <w:lang w:eastAsia="en-US"/>
        </w:rPr>
      </w:pPr>
      <w:r w:rsidRPr="005A35D8">
        <w:t>Le</w:t>
      </w:r>
      <w:r w:rsidR="00143459" w:rsidRPr="005A35D8">
        <w:t>s performances globales du</w:t>
      </w:r>
      <w:r w:rsidRPr="005A35D8">
        <w:t xml:space="preserve"> portefeuille </w:t>
      </w:r>
      <w:r w:rsidR="00143459" w:rsidRPr="005A35D8">
        <w:t>et les performances de rendement</w:t>
      </w:r>
      <w:r w:rsidRPr="005A35D8">
        <w:t xml:space="preserve"> en francs suisses </w:t>
      </w:r>
      <w:r w:rsidR="00143459" w:rsidRPr="005A35D8">
        <w:t>sont signalées chaque trimestre au</w:t>
      </w:r>
      <w:r w:rsidRPr="005A35D8">
        <w:t xml:space="preserve"> Comité consultatif des investissements.</w:t>
      </w:r>
      <w:r w:rsidR="00143459" w:rsidRPr="005A35D8">
        <w:t xml:space="preserve"> </w:t>
      </w:r>
      <w:r w:rsidRPr="005A35D8">
        <w:t xml:space="preserve"> </w:t>
      </w:r>
      <w:r w:rsidR="00143459" w:rsidRPr="005A35D8">
        <w:t>Le rapport inclut</w:t>
      </w:r>
      <w:r w:rsidRPr="005A35D8">
        <w:t xml:space="preserve"> les chiffres de performance comparatifs pour les trimestres précédents et l</w:t>
      </w:r>
      <w:r w:rsidR="00295456" w:rsidRPr="005A35D8">
        <w:t>’</w:t>
      </w:r>
      <w:r w:rsidRPr="005A35D8">
        <w:t xml:space="preserve">année précédente. </w:t>
      </w:r>
      <w:r w:rsidR="00143459" w:rsidRPr="005A35D8">
        <w:t xml:space="preserve"> Si </w:t>
      </w:r>
      <w:r w:rsidRPr="005A35D8">
        <w:t xml:space="preserve">un ou plusieurs gestionnaires de fonds extérieurs </w:t>
      </w:r>
      <w:r w:rsidR="00143459" w:rsidRPr="005A35D8">
        <w:t>affichent</w:t>
      </w:r>
      <w:r w:rsidRPr="005A35D8">
        <w:t xml:space="preserve"> </w:t>
      </w:r>
      <w:r w:rsidR="00143459" w:rsidRPr="005A35D8">
        <w:t>une</w:t>
      </w:r>
      <w:r w:rsidRPr="005A35D8">
        <w:t xml:space="preserve"> performance </w:t>
      </w:r>
      <w:r w:rsidR="00143459" w:rsidRPr="005A35D8">
        <w:t>particulièrement mauvaise pendant trois </w:t>
      </w:r>
      <w:r w:rsidRPr="005A35D8">
        <w:t xml:space="preserve">mois ou plus, ou si </w:t>
      </w:r>
      <w:r w:rsidR="00143459" w:rsidRPr="005A35D8">
        <w:t>une modification soudaine des</w:t>
      </w:r>
      <w:r w:rsidRPr="005A35D8">
        <w:t xml:space="preserve"> performance</w:t>
      </w:r>
      <w:r w:rsidR="00143459" w:rsidRPr="005A35D8">
        <w:t>s</w:t>
      </w:r>
      <w:r w:rsidRPr="005A35D8">
        <w:t xml:space="preserve"> d</w:t>
      </w:r>
      <w:r w:rsidR="00295456" w:rsidRPr="005A35D8">
        <w:t>’</w:t>
      </w:r>
      <w:r w:rsidRPr="005A35D8">
        <w:t xml:space="preserve">un gestionnaire de fonds </w:t>
      </w:r>
      <w:r w:rsidR="00143459" w:rsidRPr="005A35D8">
        <w:t>extérieur</w:t>
      </w:r>
      <w:r w:rsidRPr="005A35D8">
        <w:t xml:space="preserve"> </w:t>
      </w:r>
      <w:r w:rsidR="00143459" w:rsidRPr="005A35D8">
        <w:t>est</w:t>
      </w:r>
      <w:r w:rsidRPr="005A35D8">
        <w:t xml:space="preserve"> observé</w:t>
      </w:r>
      <w:r w:rsidR="00143459" w:rsidRPr="005A35D8">
        <w:t>e</w:t>
      </w:r>
      <w:r w:rsidRPr="005A35D8">
        <w:t xml:space="preserve"> </w:t>
      </w:r>
      <w:r w:rsidR="00143459" w:rsidRPr="005A35D8">
        <w:t>sur</w:t>
      </w:r>
      <w:r w:rsidRPr="005A35D8">
        <w:t xml:space="preserve"> un mois donné, le </w:t>
      </w:r>
      <w:r w:rsidRPr="005A35D8">
        <w:lastRenderedPageBreak/>
        <w:t xml:space="preserve">gestionnaire de fonds </w:t>
      </w:r>
      <w:r w:rsidR="00F01D65" w:rsidRPr="005A35D8">
        <w:t>extérieur</w:t>
      </w:r>
      <w:r w:rsidRPr="005A35D8">
        <w:t xml:space="preserve"> </w:t>
      </w:r>
      <w:r w:rsidR="00F01D65" w:rsidRPr="005A35D8">
        <w:t>est</w:t>
      </w:r>
      <w:r w:rsidRPr="005A35D8">
        <w:t xml:space="preserve"> con</w:t>
      </w:r>
      <w:r w:rsidR="00F01D65" w:rsidRPr="005A35D8">
        <w:t xml:space="preserve">tacté, </w:t>
      </w:r>
      <w:r w:rsidRPr="005A35D8">
        <w:t xml:space="preserve">et </w:t>
      </w:r>
      <w:r w:rsidR="00F01D65" w:rsidRPr="005A35D8">
        <w:t>il doit justifier par écrit la modification de ses performances</w:t>
      </w:r>
      <w:r w:rsidRPr="005A35D8">
        <w:t xml:space="preserve">. </w:t>
      </w:r>
      <w:r w:rsidR="00F01D65" w:rsidRPr="005A35D8">
        <w:t xml:space="preserve"> Si le gestionnaire de fonds extérieur continue d</w:t>
      </w:r>
      <w:r w:rsidR="00295456" w:rsidRPr="005A35D8">
        <w:t>’</w:t>
      </w:r>
      <w:r w:rsidR="00F01D65" w:rsidRPr="005A35D8">
        <w:t>être peu performant</w:t>
      </w:r>
      <w:r w:rsidRPr="005A35D8">
        <w:t>, le Comité consultatif des investissements</w:t>
      </w:r>
      <w:r w:rsidR="00F01D65" w:rsidRPr="005A35D8">
        <w:t xml:space="preserve"> prend</w:t>
      </w:r>
      <w:r w:rsidRPr="005A35D8">
        <w:t xml:space="preserve"> les mesures nécessaires pour veiller à ce </w:t>
      </w:r>
      <w:r w:rsidR="00F01D65" w:rsidRPr="005A35D8">
        <w:t>qu</w:t>
      </w:r>
      <w:r w:rsidR="00295456" w:rsidRPr="005A35D8">
        <w:t>’</w:t>
      </w:r>
      <w:r w:rsidR="00F01D65" w:rsidRPr="005A35D8">
        <w:t>une</w:t>
      </w:r>
      <w:r w:rsidRPr="005A35D8">
        <w:t xml:space="preserve"> stratégie et des mesures correctives </w:t>
      </w:r>
      <w:r w:rsidR="00F01D65" w:rsidRPr="005A35D8">
        <w:t>soient mises en place à son égard</w:t>
      </w:r>
      <w:r w:rsidR="00490611" w:rsidRPr="005A35D8">
        <w:rPr>
          <w:rFonts w:eastAsia="Times New Roman"/>
          <w:lang w:eastAsia="en-US"/>
        </w:rPr>
        <w:t>.</w:t>
      </w:r>
    </w:p>
    <w:p w:rsidR="000243E3" w:rsidRPr="005A35D8" w:rsidRDefault="00F01D65" w:rsidP="0044721B">
      <w:pPr>
        <w:pStyle w:val="ONUMFS"/>
        <w:rPr>
          <w:rFonts w:eastAsia="Times New Roman"/>
          <w:lang w:eastAsia="en-US"/>
        </w:rPr>
      </w:pPr>
      <w:r w:rsidRPr="005A35D8">
        <w:t xml:space="preserve">Les états financiers annuels </w:t>
      </w:r>
      <w:r w:rsidR="006E1C95" w:rsidRPr="005A35D8">
        <w:t>divulguent</w:t>
      </w:r>
      <w:r w:rsidR="006F20DA" w:rsidRPr="005A35D8">
        <w:t xml:space="preserve"> </w:t>
      </w:r>
      <w:r w:rsidR="006E1C95" w:rsidRPr="005A35D8">
        <w:t xml:space="preserve">toutes les informations relatives aux placements conformément aux </w:t>
      </w:r>
      <w:r w:rsidR="006F20DA" w:rsidRPr="005A35D8">
        <w:t>normes comptables internationales du secteur public (</w:t>
      </w:r>
      <w:r w:rsidR="006E1C95" w:rsidRPr="005A35D8">
        <w:t>normes </w:t>
      </w:r>
      <w:r w:rsidR="006F20DA" w:rsidRPr="005A35D8">
        <w:t>IPSAS)</w:t>
      </w:r>
      <w:r w:rsidR="006E1C95" w:rsidRPr="005A35D8">
        <w:t>,</w:t>
      </w:r>
      <w:r w:rsidR="006F20DA" w:rsidRPr="005A35D8">
        <w:t xml:space="preserve"> et les </w:t>
      </w:r>
      <w:r w:rsidR="006E1C95" w:rsidRPr="005A35D8">
        <w:t>placement</w:t>
      </w:r>
      <w:r w:rsidR="00BE4E6C" w:rsidRPr="005A35D8">
        <w:t>s s</w:t>
      </w:r>
      <w:r w:rsidR="006F20DA" w:rsidRPr="005A35D8">
        <w:t xml:space="preserve">ont soumis </w:t>
      </w:r>
      <w:r w:rsidR="00BE4E6C" w:rsidRPr="005A35D8">
        <w:t xml:space="preserve">de ce fait </w:t>
      </w:r>
      <w:r w:rsidR="006F20DA" w:rsidRPr="005A35D8">
        <w:t>à une vérification.</w:t>
      </w:r>
      <w:r w:rsidRPr="005A35D8">
        <w:t xml:space="preserve"> </w:t>
      </w:r>
      <w:r w:rsidR="006F20DA" w:rsidRPr="005A35D8">
        <w:t xml:space="preserve"> En outre, </w:t>
      </w:r>
      <w:r w:rsidR="00BE4E6C" w:rsidRPr="005A35D8">
        <w:t>l</w:t>
      </w:r>
      <w:r w:rsidR="00295456" w:rsidRPr="005A35D8">
        <w:t>’</w:t>
      </w:r>
      <w:r w:rsidR="00BE4E6C" w:rsidRPr="005A35D8">
        <w:t>article </w:t>
      </w:r>
      <w:r w:rsidR="006F20DA" w:rsidRPr="005A35D8">
        <w:t xml:space="preserve">6.6 du Règlement financier stipule que le rapport de gestion financière </w:t>
      </w:r>
      <w:r w:rsidR="00BE4E6C" w:rsidRPr="005A35D8">
        <w:t>établi</w:t>
      </w:r>
      <w:r w:rsidR="006F20DA" w:rsidRPr="005A35D8">
        <w:t xml:space="preserve"> pour chaque ex</w:t>
      </w:r>
      <w:r w:rsidR="00BE4E6C" w:rsidRPr="005A35D8">
        <w:t>ercice comprend</w:t>
      </w:r>
      <w:r w:rsidR="006F20DA" w:rsidRPr="005A35D8">
        <w:t xml:space="preserve"> un rapport sur les investissements</w:t>
      </w:r>
      <w:r w:rsidR="00490611" w:rsidRPr="005A35D8">
        <w:rPr>
          <w:rFonts w:eastAsia="Times New Roman"/>
          <w:lang w:eastAsia="en-US"/>
        </w:rPr>
        <w:t>.</w:t>
      </w:r>
    </w:p>
    <w:p w:rsidR="00490611" w:rsidRPr="005A35D8" w:rsidRDefault="00490611" w:rsidP="0044721B">
      <w:pPr>
        <w:pStyle w:val="ONUME"/>
        <w:numPr>
          <w:ilvl w:val="0"/>
          <w:numId w:val="5"/>
        </w:numPr>
        <w:spacing w:after="0"/>
        <w:ind w:left="0" w:firstLine="0"/>
        <w:rPr>
          <w:rFonts w:eastAsia="Times New Roman"/>
          <w:lang w:eastAsia="en-US"/>
        </w:rPr>
        <w:sectPr w:rsidR="00490611" w:rsidRPr="005A35D8" w:rsidSect="0044721B">
          <w:head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299"/>
        </w:sectPr>
      </w:pPr>
    </w:p>
    <w:p w:rsidR="000243E3" w:rsidRPr="005A35D8" w:rsidRDefault="006F20DA" w:rsidP="00490611">
      <w:pPr>
        <w:rPr>
          <w:rFonts w:eastAsia="Times New Roman"/>
          <w:b/>
          <w:sz w:val="21"/>
          <w:szCs w:val="21"/>
          <w:lang w:eastAsia="en-US"/>
        </w:rPr>
      </w:pPr>
      <w:r w:rsidRPr="005A35D8">
        <w:rPr>
          <w:rFonts w:eastAsia="Times New Roman"/>
          <w:b/>
          <w:sz w:val="21"/>
          <w:szCs w:val="21"/>
          <w:lang w:eastAsia="en-US"/>
        </w:rPr>
        <w:lastRenderedPageBreak/>
        <w:t>LIMITES DE CRÉDIT</w:t>
      </w:r>
    </w:p>
    <w:p w:rsidR="000243E3" w:rsidRPr="005A35D8" w:rsidRDefault="000243E3" w:rsidP="00490611">
      <w:pPr>
        <w:rPr>
          <w:rFonts w:eastAsia="Times New Roman"/>
          <w:sz w:val="14"/>
          <w:szCs w:val="18"/>
          <w:lang w:eastAsia="en-US"/>
        </w:rPr>
      </w:pPr>
    </w:p>
    <w:p w:rsidR="000243E3" w:rsidRPr="005A35D8" w:rsidRDefault="006F20DA" w:rsidP="00490611">
      <w:pPr>
        <w:rPr>
          <w:rFonts w:eastAsia="Times New Roman"/>
          <w:lang w:eastAsia="en-US"/>
        </w:rPr>
      </w:pPr>
      <w:r w:rsidRPr="005A35D8">
        <w:rPr>
          <w:rStyle w:val="hps"/>
        </w:rPr>
        <w:t>Pour assurer la qualité</w:t>
      </w:r>
      <w:r w:rsidRPr="005A35D8">
        <w:t xml:space="preserve"> </w:t>
      </w:r>
      <w:r w:rsidR="00BE4E6C" w:rsidRPr="005A35D8">
        <w:rPr>
          <w:rStyle w:val="hps"/>
        </w:rPr>
        <w:t>du</w:t>
      </w:r>
      <w:r w:rsidRPr="005A35D8">
        <w:rPr>
          <w:rStyle w:val="hps"/>
        </w:rPr>
        <w:t xml:space="preserve"> crédit</w:t>
      </w:r>
      <w:r w:rsidRPr="005A35D8">
        <w:t xml:space="preserve"> </w:t>
      </w:r>
      <w:r w:rsidRPr="005A35D8">
        <w:rPr>
          <w:rStyle w:val="hps"/>
        </w:rPr>
        <w:t>et la cohérence</w:t>
      </w:r>
      <w:r w:rsidRPr="005A35D8">
        <w:t xml:space="preserve"> </w:t>
      </w:r>
      <w:r w:rsidRPr="005A35D8">
        <w:rPr>
          <w:rStyle w:val="hps"/>
        </w:rPr>
        <w:t>de l</w:t>
      </w:r>
      <w:r w:rsidR="00295456" w:rsidRPr="005A35D8">
        <w:rPr>
          <w:rStyle w:val="hps"/>
        </w:rPr>
        <w:t>’</w:t>
      </w:r>
      <w:r w:rsidRPr="005A35D8">
        <w:rPr>
          <w:rStyle w:val="hps"/>
        </w:rPr>
        <w:t>évaluation</w:t>
      </w:r>
      <w:r w:rsidRPr="005A35D8">
        <w:t xml:space="preserve"> </w:t>
      </w:r>
      <w:r w:rsidRPr="005A35D8">
        <w:rPr>
          <w:rStyle w:val="hps"/>
        </w:rPr>
        <w:t>de</w:t>
      </w:r>
      <w:r w:rsidR="00BE4E6C" w:rsidRPr="005A35D8">
        <w:rPr>
          <w:rStyle w:val="hps"/>
        </w:rPr>
        <w:t>s</w:t>
      </w:r>
      <w:r w:rsidRPr="005A35D8">
        <w:rPr>
          <w:rStyle w:val="hps"/>
        </w:rPr>
        <w:t xml:space="preserve"> crédit</w:t>
      </w:r>
      <w:r w:rsidR="00BE4E6C" w:rsidRPr="005A35D8">
        <w:rPr>
          <w:rStyle w:val="hps"/>
        </w:rPr>
        <w:t>s</w:t>
      </w:r>
      <w:r w:rsidRPr="005A35D8">
        <w:t xml:space="preserve">, </w:t>
      </w:r>
      <w:r w:rsidRPr="005A35D8">
        <w:rPr>
          <w:rStyle w:val="hps"/>
        </w:rPr>
        <w:t>l</w:t>
      </w:r>
      <w:r w:rsidR="00295456" w:rsidRPr="005A35D8">
        <w:rPr>
          <w:rStyle w:val="hps"/>
        </w:rPr>
        <w:t>’</w:t>
      </w:r>
      <w:r w:rsidRPr="005A35D8">
        <w:rPr>
          <w:rStyle w:val="hps"/>
        </w:rPr>
        <w:t>Organisation</w:t>
      </w:r>
      <w:r w:rsidRPr="005A35D8">
        <w:t xml:space="preserve"> </w:t>
      </w:r>
      <w:r w:rsidR="00BE4E6C" w:rsidRPr="005A35D8">
        <w:rPr>
          <w:rStyle w:val="hps"/>
        </w:rPr>
        <w:t>s</w:t>
      </w:r>
      <w:r w:rsidR="00295456" w:rsidRPr="005A35D8">
        <w:rPr>
          <w:rStyle w:val="hps"/>
        </w:rPr>
        <w:t>’</w:t>
      </w:r>
      <w:r w:rsidR="00BE4E6C" w:rsidRPr="005A35D8">
        <w:rPr>
          <w:rStyle w:val="hps"/>
        </w:rPr>
        <w:t>appuie sur des</w:t>
      </w:r>
      <w:r w:rsidRPr="005A35D8">
        <w:rPr>
          <w:rStyle w:val="hps"/>
        </w:rPr>
        <w:t xml:space="preserve"> agences de notation</w:t>
      </w:r>
      <w:r w:rsidRPr="005A35D8">
        <w:t xml:space="preserve"> </w:t>
      </w:r>
      <w:r w:rsidR="00BE4E6C" w:rsidRPr="005A35D8">
        <w:rPr>
          <w:rStyle w:val="hps"/>
        </w:rPr>
        <w:t>agréées</w:t>
      </w:r>
      <w:r w:rsidR="00BE4E6C" w:rsidRPr="005A35D8">
        <w:t xml:space="preserve"> </w:t>
      </w:r>
      <w:r w:rsidRPr="005A35D8">
        <w:rPr>
          <w:rStyle w:val="hps"/>
        </w:rPr>
        <w:t>pour déterminer</w:t>
      </w:r>
      <w:r w:rsidRPr="005A35D8">
        <w:t xml:space="preserve"> </w:t>
      </w:r>
      <w:r w:rsidRPr="005A35D8">
        <w:rPr>
          <w:rStyle w:val="hps"/>
        </w:rPr>
        <w:t>la solvabilité</w:t>
      </w:r>
      <w:r w:rsidRPr="005A35D8">
        <w:t>.</w:t>
      </w:r>
      <w:r w:rsidR="00BE4E6C" w:rsidRPr="005A35D8">
        <w:t xml:space="preserve"> </w:t>
      </w:r>
      <w:r w:rsidRPr="005A35D8">
        <w:t xml:space="preserve"> </w:t>
      </w:r>
      <w:r w:rsidR="00BE4E6C" w:rsidRPr="005A35D8">
        <w:rPr>
          <w:rStyle w:val="hps"/>
        </w:rPr>
        <w:t>À partir de </w:t>
      </w:r>
      <w:r w:rsidRPr="005A35D8">
        <w:rPr>
          <w:rStyle w:val="hps"/>
        </w:rPr>
        <w:t>2015</w:t>
      </w:r>
      <w:r w:rsidRPr="005A35D8">
        <w:t xml:space="preserve">, </w:t>
      </w:r>
      <w:r w:rsidRPr="005A35D8">
        <w:rPr>
          <w:rStyle w:val="hps"/>
        </w:rPr>
        <w:t>les</w:t>
      </w:r>
      <w:r w:rsidRPr="005A35D8">
        <w:t xml:space="preserve"> </w:t>
      </w:r>
      <w:r w:rsidR="00BE4E6C" w:rsidRPr="005A35D8">
        <w:rPr>
          <w:rStyle w:val="hps"/>
        </w:rPr>
        <w:t>agences</w:t>
      </w:r>
      <w:r w:rsidRPr="005A35D8">
        <w:rPr>
          <w:rStyle w:val="hps"/>
        </w:rPr>
        <w:t xml:space="preserve"> agréé</w:t>
      </w:r>
      <w:r w:rsidR="00BE4E6C" w:rsidRPr="005A35D8">
        <w:rPr>
          <w:rStyle w:val="hps"/>
        </w:rPr>
        <w:t>e</w:t>
      </w:r>
      <w:r w:rsidRPr="005A35D8">
        <w:rPr>
          <w:rStyle w:val="hps"/>
        </w:rPr>
        <w:t>s</w:t>
      </w:r>
      <w:r w:rsidRPr="005A35D8">
        <w:t xml:space="preserve"> </w:t>
      </w:r>
      <w:r w:rsidRPr="005A35D8">
        <w:rPr>
          <w:rStyle w:val="hps"/>
        </w:rPr>
        <w:t>sont</w:t>
      </w:r>
      <w:r w:rsidRPr="005A35D8">
        <w:t xml:space="preserve"> </w:t>
      </w:r>
      <w:r w:rsidRPr="005A35D8">
        <w:rPr>
          <w:rStyle w:val="hps"/>
        </w:rPr>
        <w:t>Moody</w:t>
      </w:r>
      <w:r w:rsidR="00295456" w:rsidRPr="005A35D8">
        <w:rPr>
          <w:rStyle w:val="hps"/>
        </w:rPr>
        <w:t>’</w:t>
      </w:r>
      <w:r w:rsidR="00BE4E6C" w:rsidRPr="005A35D8">
        <w:rPr>
          <w:rStyle w:val="hps"/>
        </w:rPr>
        <w:t>s</w:t>
      </w:r>
      <w:r w:rsidRPr="005A35D8">
        <w:t xml:space="preserve">, </w:t>
      </w:r>
      <w:r w:rsidRPr="005A35D8">
        <w:rPr>
          <w:rStyle w:val="hps"/>
        </w:rPr>
        <w:t>Standard and</w:t>
      </w:r>
      <w:r w:rsidRPr="005A35D8">
        <w:t xml:space="preserve"> </w:t>
      </w:r>
      <w:proofErr w:type="spellStart"/>
      <w:r w:rsidRPr="005A35D8">
        <w:rPr>
          <w:rStyle w:val="hps"/>
        </w:rPr>
        <w:t>Poor</w:t>
      </w:r>
      <w:r w:rsidR="00295456" w:rsidRPr="005A35D8">
        <w:rPr>
          <w:rStyle w:val="hps"/>
        </w:rPr>
        <w:t>’</w:t>
      </w:r>
      <w:r w:rsidR="00BE4E6C" w:rsidRPr="005A35D8">
        <w:rPr>
          <w:rStyle w:val="hps"/>
        </w:rPr>
        <w:t>s</w:t>
      </w:r>
      <w:proofErr w:type="spellEnd"/>
      <w:r w:rsidRPr="005A35D8">
        <w:rPr>
          <w:rStyle w:val="hps"/>
        </w:rPr>
        <w:t xml:space="preserve"> et</w:t>
      </w:r>
      <w:r w:rsidRPr="005A35D8">
        <w:t xml:space="preserve"> </w:t>
      </w:r>
      <w:proofErr w:type="spellStart"/>
      <w:r w:rsidRPr="005A35D8">
        <w:rPr>
          <w:rStyle w:val="hps"/>
        </w:rPr>
        <w:t>Fitch</w:t>
      </w:r>
      <w:proofErr w:type="spellEnd"/>
      <w:r w:rsidRPr="005A35D8">
        <w:rPr>
          <w:rStyle w:val="hps"/>
        </w:rPr>
        <w:t xml:space="preserve"> IBCA</w:t>
      </w:r>
      <w:r w:rsidR="00490611" w:rsidRPr="005A35D8">
        <w:rPr>
          <w:rFonts w:eastAsia="Times New Roman"/>
          <w:lang w:eastAsia="en-US"/>
        </w:rPr>
        <w:t>.</w:t>
      </w:r>
    </w:p>
    <w:p w:rsidR="00490611" w:rsidRPr="005A35D8" w:rsidRDefault="00490611" w:rsidP="00490611">
      <w:pPr>
        <w:rPr>
          <w:rFonts w:eastAsia="Times New Roman"/>
          <w:sz w:val="14"/>
          <w:szCs w:val="18"/>
          <w:lang w:eastAsia="en-US"/>
        </w:rPr>
      </w:pPr>
    </w:p>
    <w:tbl>
      <w:tblPr>
        <w:tblW w:w="13352" w:type="dxa"/>
        <w:jc w:val="center"/>
        <w:tblCellSpacing w:w="15" w:type="dxa"/>
        <w:tblInd w:w="-446" w:type="dxa"/>
        <w:tblCellMar>
          <w:left w:w="0" w:type="dxa"/>
          <w:right w:w="0" w:type="dxa"/>
        </w:tblCellMar>
        <w:tblLook w:val="0000" w:firstRow="0" w:lastRow="0" w:firstColumn="0" w:lastColumn="0" w:noHBand="0" w:noVBand="0"/>
      </w:tblPr>
      <w:tblGrid>
        <w:gridCol w:w="1559"/>
        <w:gridCol w:w="1659"/>
        <w:gridCol w:w="1728"/>
        <w:gridCol w:w="1596"/>
        <w:gridCol w:w="1540"/>
        <w:gridCol w:w="1515"/>
        <w:gridCol w:w="3755"/>
      </w:tblGrid>
      <w:tr w:rsidR="005A35D8" w:rsidRPr="005A35D8" w:rsidTr="0016571D">
        <w:trPr>
          <w:tblCellSpacing w:w="15" w:type="dxa"/>
          <w:jc w:val="center"/>
        </w:trPr>
        <w:tc>
          <w:tcPr>
            <w:tcW w:w="3173" w:type="dxa"/>
            <w:gridSpan w:val="2"/>
            <w:shd w:val="clear" w:color="auto" w:fill="FF7C80"/>
            <w:tcMar>
              <w:top w:w="15" w:type="dxa"/>
              <w:left w:w="15" w:type="dxa"/>
              <w:bottom w:w="15" w:type="dxa"/>
              <w:right w:w="15" w:type="dxa"/>
            </w:tcMar>
            <w:vAlign w:val="center"/>
          </w:tcPr>
          <w:p w:rsidR="0016571D" w:rsidRPr="005A35D8" w:rsidRDefault="0016571D" w:rsidP="0016571D">
            <w:pPr>
              <w:jc w:val="center"/>
              <w:rPr>
                <w:b/>
                <w:bCs/>
              </w:rPr>
            </w:pPr>
            <w:r w:rsidRPr="005A35D8">
              <w:rPr>
                <w:b/>
                <w:bCs/>
              </w:rPr>
              <w:t>MOODY</w:t>
            </w:r>
            <w:r w:rsidR="00295456" w:rsidRPr="005A35D8">
              <w:rPr>
                <w:b/>
                <w:bCs/>
              </w:rPr>
              <w:t>’</w:t>
            </w:r>
            <w:r w:rsidRPr="005A35D8">
              <w:rPr>
                <w:b/>
                <w:bCs/>
              </w:rPr>
              <w:t>S</w:t>
            </w:r>
          </w:p>
        </w:tc>
        <w:tc>
          <w:tcPr>
            <w:tcW w:w="3294" w:type="dxa"/>
            <w:gridSpan w:val="2"/>
            <w:tcMar>
              <w:top w:w="15" w:type="dxa"/>
              <w:left w:w="15" w:type="dxa"/>
              <w:bottom w:w="15" w:type="dxa"/>
              <w:right w:w="15" w:type="dxa"/>
            </w:tcMar>
            <w:vAlign w:val="center"/>
          </w:tcPr>
          <w:p w:rsidR="0016571D" w:rsidRPr="005A35D8" w:rsidRDefault="0016571D" w:rsidP="0016571D">
            <w:pPr>
              <w:jc w:val="center"/>
              <w:rPr>
                <w:b/>
                <w:bCs/>
              </w:rPr>
            </w:pPr>
            <w:r w:rsidRPr="005A35D8">
              <w:rPr>
                <w:b/>
                <w:bCs/>
              </w:rPr>
              <w:t>STANDARD &amp; POOR</w:t>
            </w:r>
            <w:r w:rsidR="00295456" w:rsidRPr="005A35D8">
              <w:rPr>
                <w:b/>
                <w:bCs/>
              </w:rPr>
              <w:t>’</w:t>
            </w:r>
            <w:r w:rsidRPr="005A35D8">
              <w:rPr>
                <w:b/>
                <w:bCs/>
              </w:rPr>
              <w:t>S</w:t>
            </w:r>
          </w:p>
        </w:tc>
        <w:tc>
          <w:tcPr>
            <w:tcW w:w="3025" w:type="dxa"/>
            <w:gridSpan w:val="2"/>
            <w:shd w:val="clear" w:color="auto" w:fill="0099FF"/>
            <w:tcMar>
              <w:top w:w="15" w:type="dxa"/>
              <w:left w:w="15" w:type="dxa"/>
              <w:bottom w:w="15" w:type="dxa"/>
              <w:right w:w="15" w:type="dxa"/>
            </w:tcMar>
            <w:vAlign w:val="center"/>
          </w:tcPr>
          <w:p w:rsidR="0016571D" w:rsidRPr="005A35D8" w:rsidRDefault="0016571D" w:rsidP="0016571D">
            <w:pPr>
              <w:jc w:val="center"/>
              <w:rPr>
                <w:b/>
                <w:bCs/>
              </w:rPr>
            </w:pPr>
            <w:r w:rsidRPr="005A35D8">
              <w:rPr>
                <w:b/>
                <w:bCs/>
              </w:rPr>
              <w:t>FITCH</w:t>
            </w:r>
          </w:p>
        </w:tc>
        <w:tc>
          <w:tcPr>
            <w:tcW w:w="3710" w:type="dxa"/>
            <w:tcMar>
              <w:top w:w="15" w:type="dxa"/>
              <w:left w:w="15" w:type="dxa"/>
              <w:bottom w:w="15" w:type="dxa"/>
              <w:right w:w="15" w:type="dxa"/>
            </w:tcMar>
            <w:vAlign w:val="center"/>
          </w:tcPr>
          <w:p w:rsidR="0016571D" w:rsidRPr="005A35D8" w:rsidRDefault="0016571D" w:rsidP="0016571D">
            <w:pPr>
              <w:jc w:val="center"/>
              <w:rPr>
                <w:b/>
                <w:bCs/>
              </w:rPr>
            </w:pPr>
            <w:r w:rsidRPr="005A35D8">
              <w:rPr>
                <w:b/>
                <w:bCs/>
              </w:rPr>
              <w:t> </w:t>
            </w:r>
          </w:p>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rPr>
                <w:b/>
                <w:bCs/>
              </w:rPr>
            </w:pPr>
            <w:r w:rsidRPr="005A35D8">
              <w:rPr>
                <w:b/>
                <w:bCs/>
              </w:rPr>
              <w:t>Long terme</w:t>
            </w:r>
          </w:p>
        </w:tc>
        <w:tc>
          <w:tcPr>
            <w:tcW w:w="1629" w:type="dxa"/>
            <w:shd w:val="clear" w:color="auto" w:fill="FFC0CB"/>
            <w:tcMar>
              <w:top w:w="15" w:type="dxa"/>
              <w:left w:w="15" w:type="dxa"/>
              <w:bottom w:w="15" w:type="dxa"/>
              <w:right w:w="15" w:type="dxa"/>
            </w:tcMar>
            <w:vAlign w:val="center"/>
          </w:tcPr>
          <w:p w:rsidR="0016571D" w:rsidRPr="005A35D8" w:rsidRDefault="0016571D" w:rsidP="0016571D">
            <w:pPr>
              <w:jc w:val="center"/>
              <w:rPr>
                <w:b/>
                <w:bCs/>
              </w:rPr>
            </w:pPr>
            <w:r w:rsidRPr="005A35D8">
              <w:rPr>
                <w:b/>
                <w:bCs/>
              </w:rPr>
              <w:t>Court terme</w:t>
            </w:r>
          </w:p>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rPr>
                <w:b/>
                <w:bCs/>
              </w:rPr>
            </w:pPr>
            <w:r w:rsidRPr="005A35D8">
              <w:rPr>
                <w:b/>
                <w:bCs/>
              </w:rPr>
              <w:t>Long terme</w:t>
            </w:r>
          </w:p>
        </w:tc>
        <w:tc>
          <w:tcPr>
            <w:tcW w:w="1566" w:type="dxa"/>
            <w:shd w:val="clear" w:color="auto" w:fill="F0E68C"/>
            <w:tcMar>
              <w:top w:w="15" w:type="dxa"/>
              <w:left w:w="15" w:type="dxa"/>
              <w:bottom w:w="15" w:type="dxa"/>
              <w:right w:w="15" w:type="dxa"/>
            </w:tcMar>
            <w:vAlign w:val="center"/>
          </w:tcPr>
          <w:p w:rsidR="0016571D" w:rsidRPr="005A35D8" w:rsidRDefault="0016571D" w:rsidP="0016571D">
            <w:pPr>
              <w:jc w:val="center"/>
              <w:rPr>
                <w:b/>
                <w:bCs/>
              </w:rPr>
            </w:pPr>
            <w:r w:rsidRPr="005A35D8">
              <w:rPr>
                <w:b/>
                <w:bCs/>
              </w:rPr>
              <w:t>Court terme</w:t>
            </w:r>
          </w:p>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rPr>
                <w:b/>
                <w:bCs/>
              </w:rPr>
            </w:pPr>
            <w:r w:rsidRPr="005A35D8">
              <w:rPr>
                <w:b/>
                <w:bCs/>
              </w:rPr>
              <w:t>Long terme</w:t>
            </w:r>
          </w:p>
        </w:tc>
        <w:tc>
          <w:tcPr>
            <w:tcW w:w="1485" w:type="dxa"/>
            <w:shd w:val="clear" w:color="auto" w:fill="AFEEEE"/>
            <w:tcMar>
              <w:top w:w="15" w:type="dxa"/>
              <w:left w:w="15" w:type="dxa"/>
              <w:bottom w:w="15" w:type="dxa"/>
              <w:right w:w="15" w:type="dxa"/>
            </w:tcMar>
            <w:vAlign w:val="center"/>
          </w:tcPr>
          <w:p w:rsidR="0016571D" w:rsidRPr="005A35D8" w:rsidRDefault="0016571D" w:rsidP="0016571D">
            <w:pPr>
              <w:jc w:val="center"/>
              <w:rPr>
                <w:b/>
                <w:bCs/>
              </w:rPr>
            </w:pPr>
            <w:r w:rsidRPr="005A35D8">
              <w:rPr>
                <w:b/>
                <w:bCs/>
              </w:rPr>
              <w:t>Court terme</w:t>
            </w:r>
          </w:p>
        </w:tc>
        <w:tc>
          <w:tcPr>
            <w:tcW w:w="3710" w:type="dxa"/>
            <w:tcMar>
              <w:top w:w="15" w:type="dxa"/>
              <w:left w:w="15" w:type="dxa"/>
              <w:bottom w:w="15" w:type="dxa"/>
              <w:right w:w="15" w:type="dxa"/>
            </w:tcMar>
            <w:vAlign w:val="center"/>
          </w:tcPr>
          <w:p w:rsidR="0016571D" w:rsidRPr="005A35D8" w:rsidRDefault="0016571D" w:rsidP="0016571D">
            <w:pPr>
              <w:jc w:val="center"/>
              <w:rPr>
                <w:b/>
                <w:bCs/>
              </w:rPr>
            </w:pPr>
            <w:r w:rsidRPr="005A35D8">
              <w:rPr>
                <w:b/>
                <w:bCs/>
              </w:rPr>
              <w:t> </w:t>
            </w:r>
          </w:p>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proofErr w:type="spellStart"/>
            <w:r w:rsidRPr="005A35D8">
              <w:t>Aaa</w:t>
            </w:r>
            <w:proofErr w:type="spellEnd"/>
          </w:p>
        </w:tc>
        <w:tc>
          <w:tcPr>
            <w:tcW w:w="1629" w:type="dxa"/>
            <w:vMerge w:val="restart"/>
            <w:shd w:val="clear" w:color="auto" w:fill="FFC0CB"/>
            <w:tcMar>
              <w:top w:w="15" w:type="dxa"/>
              <w:left w:w="15" w:type="dxa"/>
              <w:bottom w:w="15" w:type="dxa"/>
              <w:right w:w="15" w:type="dxa"/>
            </w:tcMar>
            <w:vAlign w:val="center"/>
          </w:tcPr>
          <w:p w:rsidR="0016571D" w:rsidRPr="005A35D8" w:rsidRDefault="0016571D" w:rsidP="0016571D">
            <w:pPr>
              <w:jc w:val="center"/>
            </w:pPr>
            <w:r w:rsidRPr="005A35D8">
              <w:t>P</w:t>
            </w:r>
            <w:r w:rsidR="00D14880" w:rsidRPr="005A35D8">
              <w:noBreakHyphen/>
            </w:r>
            <w:r w:rsidRPr="005A35D8">
              <w:t>1</w:t>
            </w:r>
          </w:p>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AAA</w:t>
            </w:r>
          </w:p>
        </w:tc>
        <w:tc>
          <w:tcPr>
            <w:tcW w:w="1566" w:type="dxa"/>
            <w:vMerge w:val="restart"/>
            <w:shd w:val="clear" w:color="auto" w:fill="F0E68C"/>
            <w:tcMar>
              <w:top w:w="15" w:type="dxa"/>
              <w:left w:w="15" w:type="dxa"/>
              <w:bottom w:w="15" w:type="dxa"/>
              <w:right w:w="15" w:type="dxa"/>
            </w:tcMar>
            <w:vAlign w:val="center"/>
          </w:tcPr>
          <w:p w:rsidR="0016571D" w:rsidRPr="005A35D8" w:rsidRDefault="0016571D" w:rsidP="0016571D">
            <w:pPr>
              <w:jc w:val="center"/>
            </w:pPr>
            <w:r w:rsidRPr="005A35D8">
              <w:t>A</w:t>
            </w:r>
            <w:r w:rsidR="00D14880" w:rsidRPr="005A35D8">
              <w:noBreakHyphen/>
            </w:r>
            <w:r w:rsidRPr="005A35D8">
              <w:t>1+</w:t>
            </w:r>
          </w:p>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AAA</w:t>
            </w:r>
          </w:p>
        </w:tc>
        <w:tc>
          <w:tcPr>
            <w:tcW w:w="1485" w:type="dxa"/>
            <w:vMerge w:val="restart"/>
            <w:shd w:val="clear" w:color="auto" w:fill="AFEEEE"/>
            <w:tcMar>
              <w:top w:w="15" w:type="dxa"/>
              <w:left w:w="15" w:type="dxa"/>
              <w:bottom w:w="15" w:type="dxa"/>
              <w:right w:w="15" w:type="dxa"/>
            </w:tcMar>
            <w:vAlign w:val="center"/>
          </w:tcPr>
          <w:p w:rsidR="0016571D" w:rsidRPr="005A35D8" w:rsidRDefault="0016571D" w:rsidP="0016571D">
            <w:pPr>
              <w:jc w:val="center"/>
            </w:pPr>
            <w:r w:rsidRPr="005A35D8">
              <w:t>F1+</w:t>
            </w:r>
          </w:p>
        </w:tc>
        <w:tc>
          <w:tcPr>
            <w:tcW w:w="3710" w:type="dxa"/>
            <w:shd w:val="clear" w:color="auto" w:fill="D2B48C"/>
            <w:tcMar>
              <w:top w:w="15" w:type="dxa"/>
              <w:left w:w="15" w:type="dxa"/>
              <w:bottom w:w="15" w:type="dxa"/>
              <w:right w:w="15" w:type="dxa"/>
            </w:tcMar>
            <w:vAlign w:val="center"/>
          </w:tcPr>
          <w:p w:rsidR="0016571D" w:rsidRPr="005A35D8" w:rsidRDefault="0016571D" w:rsidP="0016571D">
            <w:pPr>
              <w:jc w:val="center"/>
            </w:pPr>
            <w:r w:rsidRPr="005A35D8">
              <w:t>Sécurité maximale</w:t>
            </w:r>
          </w:p>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Aa1</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AA+</w:t>
            </w:r>
          </w:p>
        </w:tc>
        <w:tc>
          <w:tcPr>
            <w:tcW w:w="1566" w:type="dxa"/>
            <w:vMerge/>
            <w:vAlign w:val="center"/>
          </w:tcPr>
          <w:p w:rsidR="0016571D" w:rsidRPr="005A35D8" w:rsidRDefault="0016571D" w:rsidP="0016571D"/>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AA+</w:t>
            </w:r>
          </w:p>
        </w:tc>
        <w:tc>
          <w:tcPr>
            <w:tcW w:w="1485" w:type="dxa"/>
            <w:vMerge/>
            <w:vAlign w:val="center"/>
          </w:tcPr>
          <w:p w:rsidR="0016571D" w:rsidRPr="005A35D8" w:rsidRDefault="0016571D" w:rsidP="0016571D"/>
        </w:tc>
        <w:tc>
          <w:tcPr>
            <w:tcW w:w="3710" w:type="dxa"/>
            <w:vMerge w:val="restart"/>
            <w:shd w:val="clear" w:color="auto" w:fill="D2B48C"/>
            <w:tcMar>
              <w:top w:w="15" w:type="dxa"/>
              <w:left w:w="15" w:type="dxa"/>
              <w:bottom w:w="15" w:type="dxa"/>
              <w:right w:w="15" w:type="dxa"/>
            </w:tcMar>
            <w:vAlign w:val="center"/>
          </w:tcPr>
          <w:p w:rsidR="0016571D" w:rsidRPr="005A35D8" w:rsidRDefault="0016571D" w:rsidP="0016571D">
            <w:pPr>
              <w:jc w:val="center"/>
            </w:pPr>
            <w:r w:rsidRPr="005A35D8">
              <w:t>Qualité haute ou bonne</w:t>
            </w:r>
          </w:p>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Aa2</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AA</w:t>
            </w:r>
          </w:p>
        </w:tc>
        <w:tc>
          <w:tcPr>
            <w:tcW w:w="1566" w:type="dxa"/>
            <w:vMerge/>
            <w:vAlign w:val="center"/>
          </w:tcPr>
          <w:p w:rsidR="0016571D" w:rsidRPr="005A35D8" w:rsidRDefault="0016571D" w:rsidP="0016571D"/>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AA</w:t>
            </w:r>
          </w:p>
        </w:tc>
        <w:tc>
          <w:tcPr>
            <w:tcW w:w="1485" w:type="dxa"/>
            <w:vMerge/>
            <w:vAlign w:val="center"/>
          </w:tcPr>
          <w:p w:rsidR="0016571D" w:rsidRPr="005A35D8" w:rsidRDefault="0016571D" w:rsidP="0016571D"/>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Aa3</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AA</w:t>
            </w:r>
            <w:r w:rsidR="00D14880" w:rsidRPr="005A35D8">
              <w:noBreakHyphen/>
            </w:r>
          </w:p>
        </w:tc>
        <w:tc>
          <w:tcPr>
            <w:tcW w:w="1566" w:type="dxa"/>
            <w:vMerge/>
            <w:vAlign w:val="center"/>
          </w:tcPr>
          <w:p w:rsidR="0016571D" w:rsidRPr="005A35D8" w:rsidRDefault="0016571D" w:rsidP="0016571D"/>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AA</w:t>
            </w:r>
            <w:r w:rsidR="00D14880" w:rsidRPr="005A35D8">
              <w:noBreakHyphen/>
            </w:r>
          </w:p>
        </w:tc>
        <w:tc>
          <w:tcPr>
            <w:tcW w:w="1485" w:type="dxa"/>
            <w:vMerge/>
            <w:vAlign w:val="center"/>
          </w:tcPr>
          <w:p w:rsidR="0016571D" w:rsidRPr="005A35D8" w:rsidRDefault="0016571D" w:rsidP="0016571D"/>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shd w:val="clear" w:color="auto" w:fill="F08080"/>
            <w:vAlign w:val="center"/>
          </w:tcPr>
          <w:p w:rsidR="0016571D" w:rsidRPr="005A35D8" w:rsidRDefault="0016571D" w:rsidP="0016571D">
            <w:pPr>
              <w:jc w:val="center"/>
            </w:pPr>
            <w:r w:rsidRPr="005A35D8">
              <w:t>A1</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A+</w:t>
            </w:r>
          </w:p>
        </w:tc>
        <w:tc>
          <w:tcPr>
            <w:tcW w:w="1566" w:type="dxa"/>
            <w:vMerge w:val="restart"/>
            <w:shd w:val="clear" w:color="auto" w:fill="F0E68C"/>
            <w:tcMar>
              <w:top w:w="15" w:type="dxa"/>
              <w:left w:w="15" w:type="dxa"/>
              <w:bottom w:w="15" w:type="dxa"/>
              <w:right w:w="15" w:type="dxa"/>
            </w:tcMar>
            <w:vAlign w:val="center"/>
          </w:tcPr>
          <w:p w:rsidR="0016571D" w:rsidRPr="005A35D8" w:rsidRDefault="0016571D" w:rsidP="0016571D">
            <w:pPr>
              <w:jc w:val="center"/>
            </w:pPr>
            <w:r w:rsidRPr="005A35D8">
              <w:t>A</w:t>
            </w:r>
            <w:r w:rsidR="00D14880" w:rsidRPr="005A35D8">
              <w:noBreakHyphen/>
            </w:r>
            <w:r w:rsidRPr="005A35D8">
              <w:t>1</w:t>
            </w:r>
          </w:p>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A+</w:t>
            </w:r>
          </w:p>
        </w:tc>
        <w:tc>
          <w:tcPr>
            <w:tcW w:w="1485" w:type="dxa"/>
            <w:vMerge w:val="restart"/>
            <w:shd w:val="clear" w:color="auto" w:fill="AFEEEE"/>
            <w:tcMar>
              <w:top w:w="15" w:type="dxa"/>
              <w:left w:w="15" w:type="dxa"/>
              <w:bottom w:w="15" w:type="dxa"/>
              <w:right w:w="15" w:type="dxa"/>
            </w:tcMar>
            <w:vAlign w:val="center"/>
          </w:tcPr>
          <w:p w:rsidR="0016571D" w:rsidRPr="005A35D8" w:rsidRDefault="0016571D" w:rsidP="0016571D">
            <w:pPr>
              <w:jc w:val="center"/>
            </w:pPr>
            <w:r w:rsidRPr="005A35D8">
              <w:t>F1</w:t>
            </w:r>
          </w:p>
        </w:tc>
        <w:tc>
          <w:tcPr>
            <w:tcW w:w="3710" w:type="dxa"/>
            <w:vMerge w:val="restart"/>
            <w:shd w:val="clear" w:color="auto" w:fill="D2B48C"/>
            <w:tcMar>
              <w:top w:w="15" w:type="dxa"/>
              <w:left w:w="15" w:type="dxa"/>
              <w:bottom w:w="15" w:type="dxa"/>
              <w:right w:w="15" w:type="dxa"/>
            </w:tcMar>
            <w:vAlign w:val="center"/>
          </w:tcPr>
          <w:p w:rsidR="0016571D" w:rsidRPr="005A35D8" w:rsidRDefault="0016571D" w:rsidP="0016571D">
            <w:pPr>
              <w:jc w:val="center"/>
            </w:pPr>
            <w:r w:rsidRPr="005A35D8">
              <w:t>Qualité moyenne supérieure</w:t>
            </w:r>
          </w:p>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A2</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A</w:t>
            </w:r>
          </w:p>
        </w:tc>
        <w:tc>
          <w:tcPr>
            <w:tcW w:w="1566" w:type="dxa"/>
            <w:vMerge/>
            <w:vAlign w:val="center"/>
          </w:tcPr>
          <w:p w:rsidR="0016571D" w:rsidRPr="005A35D8" w:rsidRDefault="0016571D" w:rsidP="0016571D"/>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A</w:t>
            </w:r>
          </w:p>
        </w:tc>
        <w:tc>
          <w:tcPr>
            <w:tcW w:w="1485" w:type="dxa"/>
            <w:vMerge/>
            <w:vAlign w:val="center"/>
          </w:tcPr>
          <w:p w:rsidR="0016571D" w:rsidRPr="005A35D8" w:rsidRDefault="0016571D" w:rsidP="0016571D"/>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A3</w:t>
            </w:r>
          </w:p>
        </w:tc>
        <w:tc>
          <w:tcPr>
            <w:tcW w:w="1629" w:type="dxa"/>
            <w:vMerge w:val="restart"/>
            <w:shd w:val="clear" w:color="auto" w:fill="FFC0CB"/>
            <w:tcMar>
              <w:top w:w="15" w:type="dxa"/>
              <w:left w:w="15" w:type="dxa"/>
              <w:bottom w:w="15" w:type="dxa"/>
              <w:right w:w="15" w:type="dxa"/>
            </w:tcMar>
            <w:vAlign w:val="center"/>
          </w:tcPr>
          <w:p w:rsidR="0016571D" w:rsidRPr="005A35D8" w:rsidRDefault="0016571D" w:rsidP="0016571D">
            <w:pPr>
              <w:jc w:val="center"/>
            </w:pPr>
            <w:r w:rsidRPr="005A35D8">
              <w:t>P</w:t>
            </w:r>
            <w:r w:rsidR="00D14880" w:rsidRPr="005A35D8">
              <w:noBreakHyphen/>
            </w:r>
            <w:r w:rsidRPr="005A35D8">
              <w:t>2</w:t>
            </w:r>
          </w:p>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A</w:t>
            </w:r>
            <w:r w:rsidR="00D14880" w:rsidRPr="005A35D8">
              <w:noBreakHyphen/>
            </w:r>
          </w:p>
        </w:tc>
        <w:tc>
          <w:tcPr>
            <w:tcW w:w="1566" w:type="dxa"/>
            <w:vMerge w:val="restart"/>
            <w:shd w:val="clear" w:color="auto" w:fill="F0E68C"/>
            <w:tcMar>
              <w:top w:w="15" w:type="dxa"/>
              <w:left w:w="15" w:type="dxa"/>
              <w:bottom w:w="15" w:type="dxa"/>
              <w:right w:w="15" w:type="dxa"/>
            </w:tcMar>
            <w:vAlign w:val="center"/>
          </w:tcPr>
          <w:p w:rsidR="0016571D" w:rsidRPr="005A35D8" w:rsidRDefault="0016571D" w:rsidP="0016571D">
            <w:pPr>
              <w:jc w:val="center"/>
            </w:pPr>
            <w:r w:rsidRPr="005A35D8">
              <w:t>A</w:t>
            </w:r>
            <w:r w:rsidR="00D14880" w:rsidRPr="005A35D8">
              <w:noBreakHyphen/>
            </w:r>
            <w:r w:rsidRPr="005A35D8">
              <w:t>2</w:t>
            </w:r>
          </w:p>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A</w:t>
            </w:r>
            <w:r w:rsidR="00D14880" w:rsidRPr="005A35D8">
              <w:noBreakHyphen/>
            </w:r>
          </w:p>
        </w:tc>
        <w:tc>
          <w:tcPr>
            <w:tcW w:w="1485" w:type="dxa"/>
            <w:vMerge w:val="restart"/>
            <w:shd w:val="clear" w:color="auto" w:fill="AFEEEE"/>
            <w:tcMar>
              <w:top w:w="15" w:type="dxa"/>
              <w:left w:w="15" w:type="dxa"/>
              <w:bottom w:w="15" w:type="dxa"/>
              <w:right w:w="15" w:type="dxa"/>
            </w:tcMar>
            <w:vAlign w:val="center"/>
          </w:tcPr>
          <w:p w:rsidR="0016571D" w:rsidRPr="005A35D8" w:rsidRDefault="0016571D" w:rsidP="0016571D">
            <w:pPr>
              <w:jc w:val="center"/>
            </w:pPr>
            <w:r w:rsidRPr="005A35D8">
              <w:t>F2</w:t>
            </w:r>
          </w:p>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Baa1</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BBB+</w:t>
            </w:r>
          </w:p>
        </w:tc>
        <w:tc>
          <w:tcPr>
            <w:tcW w:w="1566" w:type="dxa"/>
            <w:vMerge/>
            <w:vAlign w:val="center"/>
          </w:tcPr>
          <w:p w:rsidR="0016571D" w:rsidRPr="005A35D8" w:rsidRDefault="0016571D" w:rsidP="0016571D"/>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BBB+</w:t>
            </w:r>
          </w:p>
        </w:tc>
        <w:tc>
          <w:tcPr>
            <w:tcW w:w="1485" w:type="dxa"/>
            <w:vMerge/>
            <w:vAlign w:val="center"/>
          </w:tcPr>
          <w:p w:rsidR="0016571D" w:rsidRPr="005A35D8" w:rsidRDefault="0016571D" w:rsidP="0016571D"/>
        </w:tc>
        <w:tc>
          <w:tcPr>
            <w:tcW w:w="3710" w:type="dxa"/>
            <w:vMerge w:val="restart"/>
            <w:shd w:val="clear" w:color="auto" w:fill="D2B48C"/>
            <w:tcMar>
              <w:top w:w="15" w:type="dxa"/>
              <w:left w:w="15" w:type="dxa"/>
              <w:bottom w:w="15" w:type="dxa"/>
              <w:right w:w="15" w:type="dxa"/>
            </w:tcMar>
            <w:vAlign w:val="center"/>
          </w:tcPr>
          <w:p w:rsidR="0016571D" w:rsidRPr="005A35D8" w:rsidRDefault="0016571D" w:rsidP="0016571D">
            <w:pPr>
              <w:jc w:val="center"/>
            </w:pPr>
            <w:r w:rsidRPr="005A35D8">
              <w:t>Qualité moyenne inférieure</w:t>
            </w:r>
          </w:p>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Baa2</w:t>
            </w:r>
          </w:p>
        </w:tc>
        <w:tc>
          <w:tcPr>
            <w:tcW w:w="1629" w:type="dxa"/>
            <w:vMerge w:val="restart"/>
            <w:shd w:val="clear" w:color="auto" w:fill="FFC0CB"/>
            <w:tcMar>
              <w:top w:w="15" w:type="dxa"/>
              <w:left w:w="15" w:type="dxa"/>
              <w:bottom w:w="15" w:type="dxa"/>
              <w:right w:w="15" w:type="dxa"/>
            </w:tcMar>
            <w:vAlign w:val="center"/>
          </w:tcPr>
          <w:p w:rsidR="0016571D" w:rsidRPr="005A35D8" w:rsidRDefault="0016571D" w:rsidP="0016571D">
            <w:pPr>
              <w:jc w:val="center"/>
            </w:pPr>
            <w:r w:rsidRPr="005A35D8">
              <w:t>P</w:t>
            </w:r>
            <w:r w:rsidR="00D14880" w:rsidRPr="005A35D8">
              <w:noBreakHyphen/>
            </w:r>
            <w:r w:rsidRPr="005A35D8">
              <w:t>3</w:t>
            </w:r>
          </w:p>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BBB</w:t>
            </w:r>
          </w:p>
        </w:tc>
        <w:tc>
          <w:tcPr>
            <w:tcW w:w="1566" w:type="dxa"/>
            <w:vMerge w:val="restart"/>
            <w:shd w:val="clear" w:color="auto" w:fill="F0E68C"/>
            <w:tcMar>
              <w:top w:w="15" w:type="dxa"/>
              <w:left w:w="15" w:type="dxa"/>
              <w:bottom w:w="15" w:type="dxa"/>
              <w:right w:w="15" w:type="dxa"/>
            </w:tcMar>
            <w:vAlign w:val="center"/>
          </w:tcPr>
          <w:p w:rsidR="0016571D" w:rsidRPr="005A35D8" w:rsidRDefault="0016571D" w:rsidP="0016571D">
            <w:pPr>
              <w:jc w:val="center"/>
            </w:pPr>
            <w:r w:rsidRPr="005A35D8">
              <w:t>A</w:t>
            </w:r>
            <w:r w:rsidR="00D14880" w:rsidRPr="005A35D8">
              <w:noBreakHyphen/>
            </w:r>
            <w:r w:rsidRPr="005A35D8">
              <w:t>3</w:t>
            </w:r>
          </w:p>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BBB</w:t>
            </w:r>
          </w:p>
        </w:tc>
        <w:tc>
          <w:tcPr>
            <w:tcW w:w="1485" w:type="dxa"/>
            <w:vMerge w:val="restart"/>
            <w:shd w:val="clear" w:color="auto" w:fill="AFEEEE"/>
            <w:tcMar>
              <w:top w:w="15" w:type="dxa"/>
              <w:left w:w="15" w:type="dxa"/>
              <w:bottom w:w="15" w:type="dxa"/>
              <w:right w:w="15" w:type="dxa"/>
            </w:tcMar>
            <w:vAlign w:val="center"/>
          </w:tcPr>
          <w:p w:rsidR="0016571D" w:rsidRPr="005A35D8" w:rsidRDefault="0016571D" w:rsidP="0016571D">
            <w:pPr>
              <w:jc w:val="center"/>
            </w:pPr>
            <w:r w:rsidRPr="005A35D8">
              <w:t>F3</w:t>
            </w:r>
          </w:p>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Baa3</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BBB</w:t>
            </w:r>
            <w:r w:rsidR="00D14880" w:rsidRPr="005A35D8">
              <w:noBreakHyphen/>
            </w:r>
          </w:p>
        </w:tc>
        <w:tc>
          <w:tcPr>
            <w:tcW w:w="1566" w:type="dxa"/>
            <w:vMerge/>
            <w:vAlign w:val="center"/>
          </w:tcPr>
          <w:p w:rsidR="0016571D" w:rsidRPr="005A35D8" w:rsidRDefault="0016571D" w:rsidP="0016571D"/>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BBB</w:t>
            </w:r>
            <w:r w:rsidR="00D14880" w:rsidRPr="005A35D8">
              <w:noBreakHyphen/>
            </w:r>
          </w:p>
        </w:tc>
        <w:tc>
          <w:tcPr>
            <w:tcW w:w="1485" w:type="dxa"/>
            <w:vMerge/>
            <w:vAlign w:val="center"/>
          </w:tcPr>
          <w:p w:rsidR="0016571D" w:rsidRPr="005A35D8" w:rsidRDefault="0016571D" w:rsidP="0016571D"/>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Ba1</w:t>
            </w:r>
          </w:p>
        </w:tc>
        <w:tc>
          <w:tcPr>
            <w:tcW w:w="1629" w:type="dxa"/>
            <w:vMerge w:val="restart"/>
            <w:shd w:val="clear" w:color="auto" w:fill="FFC0CB"/>
            <w:tcMar>
              <w:top w:w="15" w:type="dxa"/>
              <w:left w:w="15" w:type="dxa"/>
              <w:bottom w:w="15" w:type="dxa"/>
              <w:right w:w="15" w:type="dxa"/>
            </w:tcMar>
            <w:vAlign w:val="center"/>
          </w:tcPr>
          <w:p w:rsidR="0016571D" w:rsidRPr="005A35D8" w:rsidRDefault="0016571D" w:rsidP="0016571D">
            <w:pPr>
              <w:jc w:val="center"/>
            </w:pPr>
            <w:r w:rsidRPr="005A35D8">
              <w:t>Pas de premier ordre</w:t>
            </w:r>
          </w:p>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BB+</w:t>
            </w:r>
          </w:p>
        </w:tc>
        <w:tc>
          <w:tcPr>
            <w:tcW w:w="1566" w:type="dxa"/>
            <w:vMerge w:val="restart"/>
            <w:shd w:val="clear" w:color="auto" w:fill="F0E68C"/>
            <w:tcMar>
              <w:top w:w="15" w:type="dxa"/>
              <w:left w:w="15" w:type="dxa"/>
              <w:bottom w:w="15" w:type="dxa"/>
              <w:right w:w="15" w:type="dxa"/>
            </w:tcMar>
            <w:vAlign w:val="center"/>
          </w:tcPr>
          <w:p w:rsidR="0016571D" w:rsidRPr="005A35D8" w:rsidRDefault="0016571D" w:rsidP="0016571D">
            <w:pPr>
              <w:jc w:val="center"/>
            </w:pPr>
            <w:r w:rsidRPr="005A35D8">
              <w:t>B</w:t>
            </w:r>
          </w:p>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BB+</w:t>
            </w:r>
          </w:p>
        </w:tc>
        <w:tc>
          <w:tcPr>
            <w:tcW w:w="1485" w:type="dxa"/>
            <w:vMerge w:val="restart"/>
            <w:shd w:val="clear" w:color="auto" w:fill="AFEEEE"/>
            <w:tcMar>
              <w:top w:w="15" w:type="dxa"/>
              <w:left w:w="15" w:type="dxa"/>
              <w:bottom w:w="15" w:type="dxa"/>
              <w:right w:w="15" w:type="dxa"/>
            </w:tcMar>
            <w:vAlign w:val="center"/>
          </w:tcPr>
          <w:p w:rsidR="0016571D" w:rsidRPr="005A35D8" w:rsidRDefault="0016571D" w:rsidP="0016571D">
            <w:pPr>
              <w:jc w:val="center"/>
            </w:pPr>
            <w:r w:rsidRPr="005A35D8">
              <w:t>B</w:t>
            </w:r>
          </w:p>
        </w:tc>
        <w:tc>
          <w:tcPr>
            <w:tcW w:w="3710" w:type="dxa"/>
            <w:vMerge w:val="restart"/>
            <w:shd w:val="clear" w:color="auto" w:fill="D2B48C"/>
            <w:tcMar>
              <w:top w:w="15" w:type="dxa"/>
              <w:left w:w="15" w:type="dxa"/>
              <w:bottom w:w="15" w:type="dxa"/>
              <w:right w:w="15" w:type="dxa"/>
            </w:tcMar>
            <w:vAlign w:val="center"/>
          </w:tcPr>
          <w:p w:rsidR="0016571D" w:rsidRPr="005A35D8" w:rsidRDefault="0016571D" w:rsidP="0016571D">
            <w:pPr>
              <w:jc w:val="center"/>
            </w:pPr>
            <w:r w:rsidRPr="005A35D8">
              <w:t>Pas dans la catégorie Investissement spéculatif</w:t>
            </w:r>
          </w:p>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Ba2</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BB</w:t>
            </w:r>
          </w:p>
        </w:tc>
        <w:tc>
          <w:tcPr>
            <w:tcW w:w="1566" w:type="dxa"/>
            <w:vMerge/>
            <w:vAlign w:val="center"/>
          </w:tcPr>
          <w:p w:rsidR="0016571D" w:rsidRPr="005A35D8" w:rsidRDefault="0016571D" w:rsidP="0016571D"/>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BB</w:t>
            </w:r>
          </w:p>
        </w:tc>
        <w:tc>
          <w:tcPr>
            <w:tcW w:w="1485" w:type="dxa"/>
            <w:vMerge/>
            <w:vAlign w:val="center"/>
          </w:tcPr>
          <w:p w:rsidR="0016571D" w:rsidRPr="005A35D8" w:rsidRDefault="0016571D" w:rsidP="0016571D"/>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Ba3</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BB</w:t>
            </w:r>
            <w:r w:rsidR="00D14880" w:rsidRPr="005A35D8">
              <w:noBreakHyphen/>
            </w:r>
          </w:p>
        </w:tc>
        <w:tc>
          <w:tcPr>
            <w:tcW w:w="1566" w:type="dxa"/>
            <w:vMerge/>
            <w:vAlign w:val="center"/>
          </w:tcPr>
          <w:p w:rsidR="0016571D" w:rsidRPr="005A35D8" w:rsidRDefault="0016571D" w:rsidP="0016571D"/>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BB</w:t>
            </w:r>
            <w:r w:rsidR="00D14880" w:rsidRPr="005A35D8">
              <w:noBreakHyphen/>
            </w:r>
          </w:p>
        </w:tc>
        <w:tc>
          <w:tcPr>
            <w:tcW w:w="1485" w:type="dxa"/>
            <w:vMerge/>
            <w:vAlign w:val="center"/>
          </w:tcPr>
          <w:p w:rsidR="0016571D" w:rsidRPr="005A35D8" w:rsidRDefault="0016571D" w:rsidP="0016571D"/>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B1</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B+</w:t>
            </w:r>
          </w:p>
        </w:tc>
        <w:tc>
          <w:tcPr>
            <w:tcW w:w="1566" w:type="dxa"/>
            <w:vMerge/>
            <w:vAlign w:val="center"/>
          </w:tcPr>
          <w:p w:rsidR="0016571D" w:rsidRPr="005A35D8" w:rsidRDefault="0016571D" w:rsidP="0016571D"/>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B+</w:t>
            </w:r>
          </w:p>
        </w:tc>
        <w:tc>
          <w:tcPr>
            <w:tcW w:w="1485" w:type="dxa"/>
            <w:vMerge/>
            <w:vAlign w:val="center"/>
          </w:tcPr>
          <w:p w:rsidR="0016571D" w:rsidRPr="005A35D8" w:rsidRDefault="0016571D" w:rsidP="0016571D"/>
        </w:tc>
        <w:tc>
          <w:tcPr>
            <w:tcW w:w="3710" w:type="dxa"/>
            <w:vMerge w:val="restart"/>
            <w:shd w:val="clear" w:color="auto" w:fill="D2B48C"/>
            <w:tcMar>
              <w:top w:w="15" w:type="dxa"/>
              <w:left w:w="15" w:type="dxa"/>
              <w:bottom w:w="15" w:type="dxa"/>
              <w:right w:w="15" w:type="dxa"/>
            </w:tcMar>
            <w:vAlign w:val="center"/>
          </w:tcPr>
          <w:p w:rsidR="0016571D" w:rsidRPr="005A35D8" w:rsidRDefault="0016571D" w:rsidP="0016571D">
            <w:pPr>
              <w:jc w:val="center"/>
            </w:pPr>
            <w:r w:rsidRPr="005A35D8">
              <w:t>Hautement spéculatif</w:t>
            </w:r>
          </w:p>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B2</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B</w:t>
            </w:r>
          </w:p>
        </w:tc>
        <w:tc>
          <w:tcPr>
            <w:tcW w:w="1566" w:type="dxa"/>
            <w:vMerge/>
            <w:vAlign w:val="center"/>
          </w:tcPr>
          <w:p w:rsidR="0016571D" w:rsidRPr="005A35D8" w:rsidRDefault="0016571D" w:rsidP="0016571D"/>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B</w:t>
            </w:r>
          </w:p>
        </w:tc>
        <w:tc>
          <w:tcPr>
            <w:tcW w:w="1485" w:type="dxa"/>
            <w:vMerge/>
            <w:vAlign w:val="center"/>
          </w:tcPr>
          <w:p w:rsidR="0016571D" w:rsidRPr="005A35D8" w:rsidRDefault="0016571D" w:rsidP="0016571D"/>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B3</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B</w:t>
            </w:r>
            <w:r w:rsidR="00D14880" w:rsidRPr="005A35D8">
              <w:noBreakHyphen/>
            </w:r>
          </w:p>
        </w:tc>
        <w:tc>
          <w:tcPr>
            <w:tcW w:w="1566" w:type="dxa"/>
            <w:vMerge/>
            <w:vAlign w:val="center"/>
          </w:tcPr>
          <w:p w:rsidR="0016571D" w:rsidRPr="005A35D8" w:rsidRDefault="0016571D" w:rsidP="0016571D"/>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B</w:t>
            </w:r>
            <w:r w:rsidR="00D14880" w:rsidRPr="005A35D8">
              <w:noBreakHyphen/>
            </w:r>
          </w:p>
        </w:tc>
        <w:tc>
          <w:tcPr>
            <w:tcW w:w="1485" w:type="dxa"/>
            <w:vMerge/>
            <w:vAlign w:val="center"/>
          </w:tcPr>
          <w:p w:rsidR="0016571D" w:rsidRPr="005A35D8" w:rsidRDefault="0016571D" w:rsidP="0016571D"/>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shd w:val="clear" w:color="auto" w:fill="F08080"/>
            <w:vAlign w:val="center"/>
          </w:tcPr>
          <w:p w:rsidR="0016571D" w:rsidRPr="005A35D8" w:rsidRDefault="0016571D" w:rsidP="0016571D">
            <w:pPr>
              <w:jc w:val="center"/>
            </w:pPr>
            <w:r w:rsidRPr="005A35D8">
              <w:t>Caa1</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CCC+</w:t>
            </w:r>
          </w:p>
        </w:tc>
        <w:tc>
          <w:tcPr>
            <w:tcW w:w="1566" w:type="dxa"/>
            <w:vMerge w:val="restart"/>
            <w:shd w:val="clear" w:color="auto" w:fill="F0E68C"/>
            <w:tcMar>
              <w:top w:w="15" w:type="dxa"/>
              <w:left w:w="15" w:type="dxa"/>
              <w:bottom w:w="15" w:type="dxa"/>
              <w:right w:w="15" w:type="dxa"/>
            </w:tcMar>
            <w:vAlign w:val="center"/>
          </w:tcPr>
          <w:p w:rsidR="0016571D" w:rsidRPr="005A35D8" w:rsidRDefault="0016571D" w:rsidP="0016571D">
            <w:pPr>
              <w:jc w:val="center"/>
            </w:pPr>
            <w:r w:rsidRPr="005A35D8">
              <w:t>C</w:t>
            </w:r>
          </w:p>
        </w:tc>
        <w:tc>
          <w:tcPr>
            <w:tcW w:w="1510" w:type="dxa"/>
            <w:vMerge w:val="restart"/>
            <w:shd w:val="clear" w:color="auto" w:fill="1E90FF"/>
            <w:tcMar>
              <w:top w:w="15" w:type="dxa"/>
              <w:left w:w="15" w:type="dxa"/>
              <w:bottom w:w="15" w:type="dxa"/>
              <w:right w:w="15" w:type="dxa"/>
            </w:tcMar>
            <w:vAlign w:val="center"/>
          </w:tcPr>
          <w:p w:rsidR="0016571D" w:rsidRPr="005A35D8" w:rsidRDefault="0016571D" w:rsidP="0016571D">
            <w:pPr>
              <w:jc w:val="center"/>
            </w:pPr>
            <w:r w:rsidRPr="005A35D8">
              <w:t>CCC</w:t>
            </w:r>
          </w:p>
        </w:tc>
        <w:tc>
          <w:tcPr>
            <w:tcW w:w="1485" w:type="dxa"/>
            <w:vMerge w:val="restart"/>
            <w:shd w:val="clear" w:color="auto" w:fill="AFEEEE"/>
            <w:tcMar>
              <w:top w:w="15" w:type="dxa"/>
              <w:left w:w="15" w:type="dxa"/>
              <w:bottom w:w="15" w:type="dxa"/>
              <w:right w:w="15" w:type="dxa"/>
            </w:tcMar>
            <w:vAlign w:val="center"/>
          </w:tcPr>
          <w:p w:rsidR="0016571D" w:rsidRPr="005A35D8" w:rsidRDefault="0016571D" w:rsidP="0016571D">
            <w:pPr>
              <w:jc w:val="center"/>
            </w:pPr>
            <w:r w:rsidRPr="005A35D8">
              <w:t>C</w:t>
            </w:r>
          </w:p>
        </w:tc>
        <w:tc>
          <w:tcPr>
            <w:tcW w:w="3710" w:type="dxa"/>
            <w:shd w:val="clear" w:color="auto" w:fill="D2B48C"/>
            <w:tcMar>
              <w:top w:w="15" w:type="dxa"/>
              <w:left w:w="15" w:type="dxa"/>
              <w:bottom w:w="15" w:type="dxa"/>
              <w:right w:w="15" w:type="dxa"/>
            </w:tcMar>
            <w:vAlign w:val="center"/>
          </w:tcPr>
          <w:p w:rsidR="0016571D" w:rsidRPr="005A35D8" w:rsidRDefault="0016571D" w:rsidP="0016571D">
            <w:pPr>
              <w:jc w:val="center"/>
            </w:pPr>
            <w:r w:rsidRPr="005A35D8">
              <w:t>Risque substantiel</w:t>
            </w:r>
          </w:p>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Caa2</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CCC</w:t>
            </w:r>
          </w:p>
        </w:tc>
        <w:tc>
          <w:tcPr>
            <w:tcW w:w="1566" w:type="dxa"/>
            <w:vMerge/>
            <w:vAlign w:val="center"/>
          </w:tcPr>
          <w:p w:rsidR="0016571D" w:rsidRPr="005A35D8" w:rsidRDefault="0016571D" w:rsidP="0016571D"/>
        </w:tc>
        <w:tc>
          <w:tcPr>
            <w:tcW w:w="1510" w:type="dxa"/>
            <w:vMerge/>
            <w:vAlign w:val="center"/>
          </w:tcPr>
          <w:p w:rsidR="0016571D" w:rsidRPr="005A35D8" w:rsidRDefault="0016571D" w:rsidP="0016571D"/>
        </w:tc>
        <w:tc>
          <w:tcPr>
            <w:tcW w:w="1485" w:type="dxa"/>
            <w:vMerge/>
            <w:vAlign w:val="center"/>
          </w:tcPr>
          <w:p w:rsidR="0016571D" w:rsidRPr="005A35D8" w:rsidRDefault="0016571D" w:rsidP="0016571D"/>
        </w:tc>
        <w:tc>
          <w:tcPr>
            <w:tcW w:w="3710" w:type="dxa"/>
            <w:shd w:val="clear" w:color="auto" w:fill="D2B48C"/>
            <w:tcMar>
              <w:top w:w="15" w:type="dxa"/>
              <w:left w:w="15" w:type="dxa"/>
              <w:bottom w:w="15" w:type="dxa"/>
              <w:right w:w="15" w:type="dxa"/>
            </w:tcMar>
            <w:vAlign w:val="center"/>
          </w:tcPr>
          <w:p w:rsidR="0016571D" w:rsidRPr="005A35D8" w:rsidRDefault="0016571D" w:rsidP="0016571D">
            <w:pPr>
              <w:jc w:val="center"/>
            </w:pPr>
            <w:r w:rsidRPr="005A35D8">
              <w:t>Extrêmement spéculatif</w:t>
            </w:r>
          </w:p>
        </w:tc>
      </w:tr>
      <w:tr w:rsidR="005A35D8" w:rsidRPr="005A35D8" w:rsidTr="0016571D">
        <w:trPr>
          <w:tblCellSpacing w:w="15" w:type="dxa"/>
          <w:jc w:val="center"/>
        </w:trPr>
        <w:tc>
          <w:tcPr>
            <w:tcW w:w="1514" w:type="dxa"/>
            <w:shd w:val="clear" w:color="auto" w:fill="F08080"/>
            <w:tcMar>
              <w:top w:w="15" w:type="dxa"/>
              <w:left w:w="15" w:type="dxa"/>
              <w:bottom w:w="15" w:type="dxa"/>
              <w:right w:w="15" w:type="dxa"/>
            </w:tcMar>
            <w:vAlign w:val="center"/>
          </w:tcPr>
          <w:p w:rsidR="0016571D" w:rsidRPr="005A35D8" w:rsidRDefault="0016571D" w:rsidP="0016571D">
            <w:pPr>
              <w:jc w:val="center"/>
            </w:pPr>
            <w:r w:rsidRPr="005A35D8">
              <w:t>Caa3</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CCC</w:t>
            </w:r>
            <w:r w:rsidR="00D14880" w:rsidRPr="005A35D8">
              <w:noBreakHyphen/>
            </w:r>
          </w:p>
        </w:tc>
        <w:tc>
          <w:tcPr>
            <w:tcW w:w="1566" w:type="dxa"/>
            <w:vMerge/>
            <w:vAlign w:val="center"/>
          </w:tcPr>
          <w:p w:rsidR="0016571D" w:rsidRPr="005A35D8" w:rsidRDefault="0016571D" w:rsidP="0016571D"/>
        </w:tc>
        <w:tc>
          <w:tcPr>
            <w:tcW w:w="1510" w:type="dxa"/>
            <w:vMerge/>
            <w:vAlign w:val="center"/>
          </w:tcPr>
          <w:p w:rsidR="0016571D" w:rsidRPr="005A35D8" w:rsidRDefault="0016571D" w:rsidP="0016571D"/>
        </w:tc>
        <w:tc>
          <w:tcPr>
            <w:tcW w:w="1485" w:type="dxa"/>
            <w:vMerge/>
            <w:vAlign w:val="center"/>
          </w:tcPr>
          <w:p w:rsidR="0016571D" w:rsidRPr="005A35D8" w:rsidRDefault="0016571D" w:rsidP="0016571D"/>
        </w:tc>
        <w:tc>
          <w:tcPr>
            <w:tcW w:w="3710" w:type="dxa"/>
            <w:vMerge w:val="restart"/>
            <w:shd w:val="clear" w:color="auto" w:fill="D2B48C"/>
            <w:tcMar>
              <w:top w:w="15" w:type="dxa"/>
              <w:left w:w="15" w:type="dxa"/>
              <w:bottom w:w="15" w:type="dxa"/>
              <w:right w:w="15" w:type="dxa"/>
            </w:tcMar>
            <w:vAlign w:val="center"/>
          </w:tcPr>
          <w:p w:rsidR="0016571D" w:rsidRPr="005A35D8" w:rsidRDefault="0016571D" w:rsidP="0016571D">
            <w:pPr>
              <w:jc w:val="center"/>
            </w:pPr>
            <w:r w:rsidRPr="005A35D8">
              <w:t>En défaut avec faibles possibilités de recouvrement</w:t>
            </w:r>
          </w:p>
        </w:tc>
      </w:tr>
      <w:tr w:rsidR="005A35D8" w:rsidRPr="005A35D8" w:rsidTr="0016571D">
        <w:trPr>
          <w:tblCellSpacing w:w="15" w:type="dxa"/>
          <w:jc w:val="center"/>
        </w:trPr>
        <w:tc>
          <w:tcPr>
            <w:tcW w:w="1514" w:type="dxa"/>
            <w:vMerge w:val="restart"/>
            <w:shd w:val="clear" w:color="auto" w:fill="F08080"/>
            <w:tcMar>
              <w:top w:w="15" w:type="dxa"/>
              <w:left w:w="15" w:type="dxa"/>
              <w:bottom w:w="15" w:type="dxa"/>
              <w:right w:w="15" w:type="dxa"/>
            </w:tcMar>
            <w:vAlign w:val="center"/>
          </w:tcPr>
          <w:p w:rsidR="0016571D" w:rsidRPr="005A35D8" w:rsidRDefault="0016571D" w:rsidP="0016571D">
            <w:pPr>
              <w:jc w:val="center"/>
            </w:pPr>
            <w:r w:rsidRPr="005A35D8">
              <w:t>Ca</w:t>
            </w:r>
          </w:p>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CC</w:t>
            </w:r>
          </w:p>
        </w:tc>
        <w:tc>
          <w:tcPr>
            <w:tcW w:w="1566" w:type="dxa"/>
            <w:vMerge/>
            <w:vAlign w:val="center"/>
          </w:tcPr>
          <w:p w:rsidR="0016571D" w:rsidRPr="005A35D8" w:rsidRDefault="0016571D" w:rsidP="0016571D"/>
        </w:tc>
        <w:tc>
          <w:tcPr>
            <w:tcW w:w="1510" w:type="dxa"/>
            <w:vMerge/>
            <w:vAlign w:val="center"/>
          </w:tcPr>
          <w:p w:rsidR="0016571D" w:rsidRPr="005A35D8" w:rsidRDefault="0016571D" w:rsidP="0016571D"/>
        </w:tc>
        <w:tc>
          <w:tcPr>
            <w:tcW w:w="1485" w:type="dxa"/>
            <w:vMerge/>
            <w:vAlign w:val="center"/>
          </w:tcPr>
          <w:p w:rsidR="0016571D" w:rsidRPr="005A35D8" w:rsidRDefault="0016571D" w:rsidP="0016571D"/>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vMerge/>
            <w:vAlign w:val="center"/>
          </w:tcPr>
          <w:p w:rsidR="0016571D" w:rsidRPr="005A35D8" w:rsidRDefault="0016571D" w:rsidP="0016571D"/>
        </w:tc>
        <w:tc>
          <w:tcPr>
            <w:tcW w:w="1629" w:type="dxa"/>
            <w:vMerge/>
            <w:vAlign w:val="center"/>
          </w:tcPr>
          <w:p w:rsidR="0016571D" w:rsidRPr="005A35D8" w:rsidRDefault="0016571D" w:rsidP="0016571D"/>
        </w:tc>
        <w:tc>
          <w:tcPr>
            <w:tcW w:w="1698" w:type="dxa"/>
            <w:shd w:val="clear" w:color="auto" w:fill="FFFF00"/>
            <w:tcMar>
              <w:top w:w="15" w:type="dxa"/>
              <w:left w:w="15" w:type="dxa"/>
              <w:bottom w:w="15" w:type="dxa"/>
              <w:right w:w="15" w:type="dxa"/>
            </w:tcMar>
            <w:vAlign w:val="center"/>
          </w:tcPr>
          <w:p w:rsidR="0016571D" w:rsidRPr="005A35D8" w:rsidRDefault="0016571D" w:rsidP="0016571D">
            <w:pPr>
              <w:jc w:val="center"/>
            </w:pPr>
            <w:r w:rsidRPr="005A35D8">
              <w:t>C</w:t>
            </w:r>
          </w:p>
        </w:tc>
        <w:tc>
          <w:tcPr>
            <w:tcW w:w="1566" w:type="dxa"/>
            <w:vMerge/>
            <w:vAlign w:val="center"/>
          </w:tcPr>
          <w:p w:rsidR="0016571D" w:rsidRPr="005A35D8" w:rsidRDefault="0016571D" w:rsidP="0016571D"/>
        </w:tc>
        <w:tc>
          <w:tcPr>
            <w:tcW w:w="1510" w:type="dxa"/>
            <w:vMerge/>
            <w:vAlign w:val="center"/>
          </w:tcPr>
          <w:p w:rsidR="0016571D" w:rsidRPr="005A35D8" w:rsidRDefault="0016571D" w:rsidP="0016571D"/>
        </w:tc>
        <w:tc>
          <w:tcPr>
            <w:tcW w:w="1485" w:type="dxa"/>
            <w:vMerge/>
            <w:vAlign w:val="center"/>
          </w:tcPr>
          <w:p w:rsidR="0016571D" w:rsidRPr="005A35D8" w:rsidRDefault="0016571D" w:rsidP="0016571D"/>
        </w:tc>
        <w:tc>
          <w:tcPr>
            <w:tcW w:w="3710" w:type="dxa"/>
            <w:vMerge/>
            <w:vAlign w:val="center"/>
          </w:tcPr>
          <w:p w:rsidR="0016571D" w:rsidRPr="005A35D8" w:rsidRDefault="0016571D" w:rsidP="0016571D"/>
        </w:tc>
      </w:tr>
      <w:tr w:rsidR="005A35D8" w:rsidRPr="005A35D8" w:rsidTr="0016571D">
        <w:trPr>
          <w:tblCellSpacing w:w="15" w:type="dxa"/>
          <w:jc w:val="center"/>
        </w:trPr>
        <w:tc>
          <w:tcPr>
            <w:tcW w:w="1514" w:type="dxa"/>
            <w:shd w:val="clear" w:color="auto" w:fill="F08080"/>
            <w:vAlign w:val="center"/>
          </w:tcPr>
          <w:p w:rsidR="0016571D" w:rsidRPr="005A35D8" w:rsidRDefault="0016571D" w:rsidP="0016571D">
            <w:pPr>
              <w:jc w:val="center"/>
            </w:pPr>
            <w:r w:rsidRPr="005A35D8">
              <w:t>C</w:t>
            </w:r>
          </w:p>
        </w:tc>
        <w:tc>
          <w:tcPr>
            <w:tcW w:w="1629" w:type="dxa"/>
            <w:vMerge/>
            <w:vAlign w:val="center"/>
          </w:tcPr>
          <w:p w:rsidR="0016571D" w:rsidRPr="005A35D8" w:rsidRDefault="0016571D" w:rsidP="0016571D"/>
        </w:tc>
        <w:tc>
          <w:tcPr>
            <w:tcW w:w="1698" w:type="dxa"/>
            <w:vMerge w:val="restart"/>
            <w:shd w:val="clear" w:color="auto" w:fill="FFFF00"/>
            <w:tcMar>
              <w:top w:w="15" w:type="dxa"/>
              <w:left w:w="15" w:type="dxa"/>
              <w:bottom w:w="15" w:type="dxa"/>
              <w:right w:w="15" w:type="dxa"/>
            </w:tcMar>
            <w:vAlign w:val="center"/>
          </w:tcPr>
          <w:p w:rsidR="0016571D" w:rsidRPr="005A35D8" w:rsidRDefault="0016571D" w:rsidP="0016571D">
            <w:pPr>
              <w:jc w:val="center"/>
            </w:pPr>
            <w:r w:rsidRPr="005A35D8">
              <w:t>D</w:t>
            </w:r>
          </w:p>
        </w:tc>
        <w:tc>
          <w:tcPr>
            <w:tcW w:w="1566" w:type="dxa"/>
            <w:vMerge w:val="restart"/>
            <w:shd w:val="clear" w:color="auto" w:fill="F0E68C"/>
            <w:tcMar>
              <w:top w:w="15" w:type="dxa"/>
              <w:left w:w="15" w:type="dxa"/>
              <w:bottom w:w="15" w:type="dxa"/>
              <w:right w:w="15" w:type="dxa"/>
            </w:tcMar>
            <w:vAlign w:val="center"/>
          </w:tcPr>
          <w:p w:rsidR="0016571D" w:rsidRPr="005A35D8" w:rsidRDefault="0016571D" w:rsidP="0016571D">
            <w:pPr>
              <w:jc w:val="center"/>
            </w:pPr>
            <w:r w:rsidRPr="005A35D8">
              <w:t>/</w:t>
            </w:r>
          </w:p>
        </w:tc>
        <w:tc>
          <w:tcPr>
            <w:tcW w:w="1510" w:type="dxa"/>
            <w:shd w:val="clear" w:color="auto" w:fill="1E90FF"/>
            <w:tcMar>
              <w:top w:w="15" w:type="dxa"/>
              <w:left w:w="15" w:type="dxa"/>
              <w:bottom w:w="15" w:type="dxa"/>
              <w:right w:w="15" w:type="dxa"/>
            </w:tcMar>
            <w:vAlign w:val="center"/>
          </w:tcPr>
          <w:p w:rsidR="0016571D" w:rsidRPr="005A35D8" w:rsidRDefault="0016571D" w:rsidP="0016571D">
            <w:pPr>
              <w:jc w:val="center"/>
            </w:pPr>
            <w:r w:rsidRPr="005A35D8">
              <w:t>DDD</w:t>
            </w:r>
          </w:p>
        </w:tc>
        <w:tc>
          <w:tcPr>
            <w:tcW w:w="1485" w:type="dxa"/>
            <w:vMerge w:val="restart"/>
            <w:shd w:val="clear" w:color="auto" w:fill="AFEEEE"/>
            <w:tcMar>
              <w:top w:w="15" w:type="dxa"/>
              <w:left w:w="15" w:type="dxa"/>
              <w:bottom w:w="15" w:type="dxa"/>
              <w:right w:w="15" w:type="dxa"/>
            </w:tcMar>
            <w:vAlign w:val="center"/>
          </w:tcPr>
          <w:p w:rsidR="0016571D" w:rsidRPr="005A35D8" w:rsidRDefault="0016571D" w:rsidP="0016571D">
            <w:pPr>
              <w:jc w:val="center"/>
            </w:pPr>
            <w:r w:rsidRPr="005A35D8">
              <w:t>/</w:t>
            </w:r>
          </w:p>
        </w:tc>
        <w:tc>
          <w:tcPr>
            <w:tcW w:w="3710" w:type="dxa"/>
            <w:vMerge w:val="restart"/>
            <w:shd w:val="clear" w:color="auto" w:fill="D2B48C"/>
            <w:tcMar>
              <w:top w:w="15" w:type="dxa"/>
              <w:left w:w="15" w:type="dxa"/>
              <w:bottom w:w="15" w:type="dxa"/>
              <w:right w:w="15" w:type="dxa"/>
            </w:tcMar>
            <w:vAlign w:val="center"/>
          </w:tcPr>
          <w:p w:rsidR="0016571D" w:rsidRPr="005A35D8" w:rsidRDefault="0016571D" w:rsidP="0016571D">
            <w:pPr>
              <w:jc w:val="center"/>
            </w:pPr>
            <w:r w:rsidRPr="005A35D8">
              <w:t>En défaut</w:t>
            </w:r>
          </w:p>
        </w:tc>
      </w:tr>
      <w:tr w:rsidR="005A35D8" w:rsidRPr="005A35D8" w:rsidTr="0016571D">
        <w:trPr>
          <w:tblCellSpacing w:w="15" w:type="dxa"/>
          <w:jc w:val="center"/>
        </w:trPr>
        <w:tc>
          <w:tcPr>
            <w:tcW w:w="1514" w:type="dxa"/>
            <w:shd w:val="clear" w:color="auto" w:fill="FF7C80"/>
            <w:tcMar>
              <w:top w:w="15" w:type="dxa"/>
              <w:left w:w="15" w:type="dxa"/>
              <w:bottom w:w="15" w:type="dxa"/>
              <w:right w:w="15" w:type="dxa"/>
            </w:tcMar>
            <w:vAlign w:val="center"/>
          </w:tcPr>
          <w:p w:rsidR="0016571D" w:rsidRPr="005A35D8" w:rsidRDefault="0016571D" w:rsidP="0016571D">
            <w:pPr>
              <w:jc w:val="center"/>
            </w:pPr>
          </w:p>
        </w:tc>
        <w:tc>
          <w:tcPr>
            <w:tcW w:w="1629" w:type="dxa"/>
            <w:vMerge/>
            <w:vAlign w:val="center"/>
          </w:tcPr>
          <w:p w:rsidR="0016571D" w:rsidRPr="005A35D8" w:rsidRDefault="0016571D" w:rsidP="0016571D"/>
        </w:tc>
        <w:tc>
          <w:tcPr>
            <w:tcW w:w="1698" w:type="dxa"/>
            <w:vMerge/>
            <w:vAlign w:val="center"/>
          </w:tcPr>
          <w:p w:rsidR="0016571D" w:rsidRPr="005A35D8" w:rsidRDefault="0016571D" w:rsidP="0016571D"/>
        </w:tc>
        <w:tc>
          <w:tcPr>
            <w:tcW w:w="1566" w:type="dxa"/>
            <w:vMerge/>
            <w:vAlign w:val="center"/>
          </w:tcPr>
          <w:p w:rsidR="0016571D" w:rsidRPr="005A35D8" w:rsidRDefault="0016571D" w:rsidP="0016571D"/>
        </w:tc>
        <w:tc>
          <w:tcPr>
            <w:tcW w:w="1510" w:type="dxa"/>
            <w:shd w:val="clear" w:color="auto" w:fill="3399FF"/>
            <w:tcMar>
              <w:top w:w="15" w:type="dxa"/>
              <w:left w:w="15" w:type="dxa"/>
              <w:bottom w:w="15" w:type="dxa"/>
              <w:right w:w="15" w:type="dxa"/>
            </w:tcMar>
            <w:vAlign w:val="center"/>
          </w:tcPr>
          <w:p w:rsidR="0016571D" w:rsidRPr="005A35D8" w:rsidRDefault="0016571D" w:rsidP="0016571D"/>
        </w:tc>
        <w:tc>
          <w:tcPr>
            <w:tcW w:w="1485" w:type="dxa"/>
            <w:vMerge/>
            <w:vAlign w:val="center"/>
          </w:tcPr>
          <w:p w:rsidR="0016571D" w:rsidRPr="005A35D8" w:rsidRDefault="0016571D" w:rsidP="0016571D"/>
        </w:tc>
        <w:tc>
          <w:tcPr>
            <w:tcW w:w="3710" w:type="dxa"/>
            <w:vMerge/>
            <w:vAlign w:val="center"/>
          </w:tcPr>
          <w:p w:rsidR="0016571D" w:rsidRPr="005A35D8" w:rsidRDefault="0016571D" w:rsidP="0016571D"/>
        </w:tc>
      </w:tr>
    </w:tbl>
    <w:p w:rsidR="000243E3" w:rsidRPr="005A35D8" w:rsidRDefault="000243E3" w:rsidP="00490611">
      <w:pPr>
        <w:rPr>
          <w:rFonts w:eastAsia="Times New Roman"/>
          <w:sz w:val="18"/>
          <w:szCs w:val="18"/>
          <w:lang w:eastAsia="en-US"/>
        </w:rPr>
      </w:pPr>
    </w:p>
    <w:p w:rsidR="000243E3" w:rsidRPr="005A35D8" w:rsidRDefault="006F20DA" w:rsidP="00C11A99">
      <w:pPr>
        <w:tabs>
          <w:tab w:val="left" w:pos="9630"/>
        </w:tabs>
      </w:pPr>
      <w:r w:rsidRPr="005A35D8">
        <w:rPr>
          <w:rStyle w:val="hps"/>
        </w:rPr>
        <w:t>À titre exceptionnel</w:t>
      </w:r>
      <w:r w:rsidRPr="005A35D8">
        <w:t xml:space="preserve">, </w:t>
      </w:r>
      <w:r w:rsidRPr="005A35D8">
        <w:rPr>
          <w:rStyle w:val="hps"/>
        </w:rPr>
        <w:t>des agences indépendantes</w:t>
      </w:r>
      <w:r w:rsidRPr="005A35D8">
        <w:t xml:space="preserve"> </w:t>
      </w:r>
      <w:r w:rsidRPr="005A35D8">
        <w:rPr>
          <w:rStyle w:val="hps"/>
        </w:rPr>
        <w:t>équivalentes peuvent</w:t>
      </w:r>
      <w:r w:rsidRPr="005A35D8">
        <w:t xml:space="preserve"> </w:t>
      </w:r>
      <w:r w:rsidRPr="005A35D8">
        <w:rPr>
          <w:rStyle w:val="hps"/>
        </w:rPr>
        <w:t>fournir des</w:t>
      </w:r>
      <w:r w:rsidRPr="005A35D8">
        <w:t xml:space="preserve"> </w:t>
      </w:r>
      <w:r w:rsidR="00BE4E6C" w:rsidRPr="005A35D8">
        <w:rPr>
          <w:rStyle w:val="hps"/>
        </w:rPr>
        <w:t>notations</w:t>
      </w:r>
      <w:r w:rsidRPr="005A35D8">
        <w:t xml:space="preserve"> </w:t>
      </w:r>
      <w:r w:rsidRPr="005A35D8">
        <w:rPr>
          <w:rStyle w:val="hps"/>
        </w:rPr>
        <w:t>pour les titres</w:t>
      </w:r>
      <w:r w:rsidRPr="005A35D8">
        <w:t xml:space="preserve"> </w:t>
      </w:r>
      <w:r w:rsidRPr="005A35D8">
        <w:rPr>
          <w:rStyle w:val="hps"/>
        </w:rPr>
        <w:t>qui ne sont notés</w:t>
      </w:r>
      <w:r w:rsidRPr="005A35D8">
        <w:t xml:space="preserve"> </w:t>
      </w:r>
      <w:r w:rsidRPr="005A35D8">
        <w:rPr>
          <w:rStyle w:val="hps"/>
        </w:rPr>
        <w:t>par aucune des</w:t>
      </w:r>
      <w:r w:rsidRPr="005A35D8">
        <w:t xml:space="preserve"> trois</w:t>
      </w:r>
      <w:r w:rsidR="00BE4E6C" w:rsidRPr="005A35D8">
        <w:t> </w:t>
      </w:r>
      <w:r w:rsidRPr="005A35D8">
        <w:rPr>
          <w:rStyle w:val="hps"/>
        </w:rPr>
        <w:t>agences agréées</w:t>
      </w:r>
      <w:r w:rsidRPr="005A35D8">
        <w:t>.</w:t>
      </w:r>
      <w:r w:rsidR="00BE4E6C" w:rsidRPr="005A35D8">
        <w:t xml:space="preserve"> </w:t>
      </w:r>
      <w:r w:rsidR="00085D20" w:rsidRPr="005A35D8">
        <w:t xml:space="preserve"> </w:t>
      </w:r>
      <w:r w:rsidR="00BE4E6C" w:rsidRPr="005A35D8">
        <w:rPr>
          <w:rStyle w:val="hps"/>
        </w:rPr>
        <w:t>Le recours à d</w:t>
      </w:r>
      <w:r w:rsidR="00295456" w:rsidRPr="005A35D8">
        <w:rPr>
          <w:rStyle w:val="hps"/>
        </w:rPr>
        <w:t>’</w:t>
      </w:r>
      <w:r w:rsidR="00BE4E6C" w:rsidRPr="005A35D8">
        <w:rPr>
          <w:rStyle w:val="hps"/>
        </w:rPr>
        <w:t>autres services</w:t>
      </w:r>
      <w:r w:rsidRPr="005A35D8">
        <w:rPr>
          <w:rStyle w:val="hps"/>
        </w:rPr>
        <w:t xml:space="preserve"> de</w:t>
      </w:r>
      <w:r w:rsidRPr="005A35D8">
        <w:t xml:space="preserve"> </w:t>
      </w:r>
      <w:r w:rsidRPr="005A35D8">
        <w:rPr>
          <w:rStyle w:val="hps"/>
        </w:rPr>
        <w:t>notation</w:t>
      </w:r>
      <w:r w:rsidRPr="005A35D8">
        <w:t xml:space="preserve"> </w:t>
      </w:r>
      <w:r w:rsidR="00BE4E6C" w:rsidRPr="005A35D8">
        <w:t>que ceux des</w:t>
      </w:r>
      <w:r w:rsidRPr="005A35D8">
        <w:t xml:space="preserve"> trois</w:t>
      </w:r>
      <w:r w:rsidR="00BE4E6C" w:rsidRPr="005A35D8">
        <w:t xml:space="preserve"> agences </w:t>
      </w:r>
      <w:r w:rsidRPr="005A35D8">
        <w:rPr>
          <w:rStyle w:val="hps"/>
        </w:rPr>
        <w:t>agréé</w:t>
      </w:r>
      <w:r w:rsidR="00BE4E6C" w:rsidRPr="005A35D8">
        <w:rPr>
          <w:rStyle w:val="hps"/>
        </w:rPr>
        <w:t>e</w:t>
      </w:r>
      <w:r w:rsidRPr="005A35D8">
        <w:rPr>
          <w:rStyle w:val="hps"/>
        </w:rPr>
        <w:t>s</w:t>
      </w:r>
      <w:r w:rsidRPr="005A35D8">
        <w:t xml:space="preserve"> </w:t>
      </w:r>
      <w:r w:rsidR="00BE4E6C" w:rsidRPr="005A35D8">
        <w:rPr>
          <w:rStyle w:val="hps"/>
        </w:rPr>
        <w:t>n</w:t>
      </w:r>
      <w:r w:rsidR="00295456" w:rsidRPr="005A35D8">
        <w:rPr>
          <w:rStyle w:val="hps"/>
        </w:rPr>
        <w:t>’</w:t>
      </w:r>
      <w:r w:rsidR="00BE4E6C" w:rsidRPr="005A35D8">
        <w:rPr>
          <w:rStyle w:val="hps"/>
        </w:rPr>
        <w:t xml:space="preserve">est autorisé </w:t>
      </w:r>
      <w:r w:rsidRPr="005A35D8">
        <w:rPr>
          <w:rStyle w:val="hps"/>
        </w:rPr>
        <w:t>que</w:t>
      </w:r>
      <w:r w:rsidRPr="005A35D8">
        <w:t xml:space="preserve"> </w:t>
      </w:r>
      <w:r w:rsidRPr="005A35D8">
        <w:rPr>
          <w:rStyle w:val="hps"/>
        </w:rPr>
        <w:t>dans la mesure où</w:t>
      </w:r>
      <w:r w:rsidRPr="005A35D8">
        <w:t xml:space="preserve"> </w:t>
      </w:r>
      <w:r w:rsidRPr="005A35D8">
        <w:rPr>
          <w:rStyle w:val="hps"/>
        </w:rPr>
        <w:t>le service</w:t>
      </w:r>
      <w:r w:rsidRPr="005A35D8">
        <w:t xml:space="preserve"> </w:t>
      </w:r>
      <w:r w:rsidRPr="005A35D8">
        <w:rPr>
          <w:rStyle w:val="hps"/>
        </w:rPr>
        <w:t>de notation</w:t>
      </w:r>
      <w:r w:rsidRPr="005A35D8">
        <w:t xml:space="preserve"> </w:t>
      </w:r>
      <w:r w:rsidR="00BE4E6C" w:rsidRPr="005A35D8">
        <w:rPr>
          <w:rStyle w:val="hps"/>
        </w:rPr>
        <w:t>de remplacement</w:t>
      </w:r>
      <w:r w:rsidRPr="005A35D8">
        <w:t xml:space="preserve"> </w:t>
      </w:r>
      <w:r w:rsidRPr="005A35D8">
        <w:rPr>
          <w:rStyle w:val="hps"/>
        </w:rPr>
        <w:t>semble être</w:t>
      </w:r>
      <w:r w:rsidRPr="005A35D8">
        <w:t xml:space="preserve"> </w:t>
      </w:r>
      <w:r w:rsidRPr="005A35D8">
        <w:rPr>
          <w:rStyle w:val="hps"/>
        </w:rPr>
        <w:t>objectif et indépendant</w:t>
      </w:r>
      <w:r w:rsidRPr="005A35D8">
        <w:t xml:space="preserve"> </w:t>
      </w:r>
      <w:r w:rsidRPr="005A35D8">
        <w:rPr>
          <w:rStyle w:val="hps"/>
        </w:rPr>
        <w:t>dans son analyse</w:t>
      </w:r>
      <w:r w:rsidR="00490611" w:rsidRPr="005A35D8">
        <w:rPr>
          <w:rFonts w:eastAsia="Times New Roman"/>
          <w:lang w:eastAsia="en-US"/>
        </w:rPr>
        <w:t>.</w:t>
      </w:r>
      <w:r w:rsidR="00085D20" w:rsidRPr="005A35D8">
        <w:rPr>
          <w:rFonts w:eastAsia="Times New Roman"/>
          <w:lang w:eastAsia="en-US"/>
        </w:rPr>
        <w:t xml:space="preserve"> </w:t>
      </w:r>
      <w:r w:rsidR="0044721B" w:rsidRPr="005A35D8">
        <w:t xml:space="preserve"> </w:t>
      </w:r>
    </w:p>
    <w:p w:rsidR="000243E3" w:rsidRPr="005A35D8" w:rsidRDefault="00C11A99" w:rsidP="000243E3">
      <w:pPr>
        <w:tabs>
          <w:tab w:val="left" w:pos="9630"/>
        </w:tabs>
        <w:rPr>
          <w:rFonts w:eastAsia="Times New Roman"/>
          <w:lang w:eastAsia="en-US"/>
        </w:rPr>
      </w:pPr>
      <w:r w:rsidRPr="005A35D8">
        <w:tab/>
      </w:r>
      <w:r w:rsidR="000243E3" w:rsidRPr="005A35D8">
        <w:t>[L</w:t>
      </w:r>
      <w:r w:rsidR="00295456" w:rsidRPr="005A35D8">
        <w:t>’</w:t>
      </w:r>
      <w:r w:rsidR="000243E3" w:rsidRPr="005A35D8">
        <w:t>annexe</w:t>
      </w:r>
      <w:r w:rsidR="00085D20" w:rsidRPr="005A35D8">
        <w:t> </w:t>
      </w:r>
      <w:r w:rsidR="000243E3" w:rsidRPr="005A35D8">
        <w:t>II suit]</w:t>
      </w:r>
    </w:p>
    <w:p w:rsidR="00C11A99" w:rsidRPr="005A35D8" w:rsidRDefault="00C11A99" w:rsidP="00490611">
      <w:pPr>
        <w:rPr>
          <w:rFonts w:eastAsia="Times New Roman"/>
          <w:lang w:eastAsia="en-US"/>
        </w:rPr>
        <w:sectPr w:rsidR="00C11A99" w:rsidRPr="005A35D8" w:rsidSect="00295456">
          <w:headerReference w:type="default" r:id="rId15"/>
          <w:headerReference w:type="first" r:id="rId16"/>
          <w:footerReference w:type="first" r:id="rId17"/>
          <w:pgSz w:w="16840" w:h="11907" w:orient="landscape" w:code="9"/>
          <w:pgMar w:top="180" w:right="1411" w:bottom="180" w:left="792" w:header="706" w:footer="43" w:gutter="0"/>
          <w:pgNumType w:start="10"/>
          <w:cols w:space="720"/>
          <w:titlePg/>
          <w:docGrid w:linePitch="299"/>
        </w:sectPr>
      </w:pPr>
    </w:p>
    <w:p w:rsidR="000243E3" w:rsidRPr="005A35D8" w:rsidRDefault="00B17240" w:rsidP="00490611">
      <w:pPr>
        <w:rPr>
          <w:rFonts w:eastAsia="Times New Roman"/>
          <w:b/>
          <w:lang w:eastAsia="en-US"/>
        </w:rPr>
      </w:pPr>
      <w:r w:rsidRPr="005A35D8">
        <w:rPr>
          <w:rFonts w:eastAsia="Times New Roman"/>
          <w:b/>
          <w:lang w:eastAsia="en-US"/>
        </w:rPr>
        <w:lastRenderedPageBreak/>
        <w:t xml:space="preserve">POLITIQUE EN MATIÈRE DE PLACEMENTS – TRÉSORERIE </w:t>
      </w:r>
      <w:r w:rsidR="00485AD9" w:rsidRPr="005A35D8">
        <w:rPr>
          <w:rFonts w:eastAsia="Times New Roman"/>
          <w:b/>
          <w:lang w:eastAsia="en-US"/>
        </w:rPr>
        <w:t>STRATÉGIQUE</w:t>
      </w:r>
    </w:p>
    <w:p w:rsidR="000243E3" w:rsidRPr="005A35D8" w:rsidRDefault="000243E3" w:rsidP="00490611">
      <w:pPr>
        <w:rPr>
          <w:rFonts w:eastAsia="Times New Roman"/>
          <w:lang w:eastAsia="en-US"/>
        </w:rPr>
      </w:pPr>
    </w:p>
    <w:p w:rsidR="000243E3" w:rsidRPr="005A35D8" w:rsidRDefault="000243E3" w:rsidP="00490611">
      <w:pPr>
        <w:rPr>
          <w:rFonts w:eastAsia="Times New Roman"/>
          <w:lang w:eastAsia="en-US"/>
        </w:rPr>
      </w:pPr>
    </w:p>
    <w:p w:rsidR="000243E3" w:rsidRPr="005A35D8" w:rsidRDefault="00873CAC" w:rsidP="00AF4A90">
      <w:pPr>
        <w:spacing w:after="240"/>
        <w:rPr>
          <w:rFonts w:eastAsia="Times New Roman"/>
          <w:lang w:eastAsia="en-US"/>
        </w:rPr>
      </w:pPr>
      <w:r w:rsidRPr="005A35D8">
        <w:rPr>
          <w:rFonts w:eastAsia="Times New Roman"/>
          <w:lang w:eastAsia="en-US"/>
        </w:rPr>
        <w:t>A.</w:t>
      </w:r>
      <w:r w:rsidRPr="005A35D8">
        <w:rPr>
          <w:rFonts w:eastAsia="Times New Roman"/>
          <w:lang w:eastAsia="en-US"/>
        </w:rPr>
        <w:tab/>
      </w:r>
      <w:r w:rsidR="00B17240" w:rsidRPr="005A35D8">
        <w:rPr>
          <w:rFonts w:eastAsia="Times New Roman"/>
          <w:lang w:eastAsia="en-US"/>
        </w:rPr>
        <w:t>CHAMP D</w:t>
      </w:r>
      <w:r w:rsidR="00295456" w:rsidRPr="005A35D8">
        <w:rPr>
          <w:rFonts w:eastAsia="Times New Roman"/>
          <w:lang w:eastAsia="en-US"/>
        </w:rPr>
        <w:t>’</w:t>
      </w:r>
      <w:r w:rsidR="00B17240" w:rsidRPr="005A35D8">
        <w:rPr>
          <w:rFonts w:eastAsia="Times New Roman"/>
          <w:lang w:eastAsia="en-US"/>
        </w:rPr>
        <w:t>APPLICATION ET OBJET</w:t>
      </w:r>
    </w:p>
    <w:p w:rsidR="000243E3" w:rsidRPr="005A35D8" w:rsidRDefault="00B17240" w:rsidP="00905E6A">
      <w:pPr>
        <w:spacing w:before="120" w:after="120"/>
        <w:rPr>
          <w:rFonts w:eastAsia="Times New Roman"/>
          <w:u w:val="single"/>
          <w:lang w:eastAsia="en-US"/>
        </w:rPr>
      </w:pPr>
      <w:r w:rsidRPr="005A35D8">
        <w:rPr>
          <w:rFonts w:eastAsia="Times New Roman"/>
          <w:u w:val="single"/>
          <w:lang w:eastAsia="en-US"/>
        </w:rPr>
        <w:t>Description de l</w:t>
      </w:r>
      <w:r w:rsidR="00295456" w:rsidRPr="005A35D8">
        <w:rPr>
          <w:rFonts w:eastAsia="Times New Roman"/>
          <w:u w:val="single"/>
          <w:lang w:eastAsia="en-US"/>
        </w:rPr>
        <w:t>’</w:t>
      </w:r>
      <w:r w:rsidRPr="005A35D8">
        <w:rPr>
          <w:rFonts w:eastAsia="Times New Roman"/>
          <w:u w:val="single"/>
          <w:lang w:eastAsia="en-US"/>
        </w:rPr>
        <w:t>investisseur</w:t>
      </w:r>
    </w:p>
    <w:p w:rsidR="000243E3" w:rsidRPr="005A35D8" w:rsidRDefault="00B17240" w:rsidP="0044721B">
      <w:pPr>
        <w:pStyle w:val="ONUMFS"/>
        <w:numPr>
          <w:ilvl w:val="0"/>
          <w:numId w:val="16"/>
        </w:numPr>
        <w:rPr>
          <w:rFonts w:eastAsia="Times New Roman"/>
          <w:lang w:eastAsia="en-US"/>
        </w:rPr>
      </w:pPr>
      <w:r w:rsidRPr="005A35D8">
        <w:rPr>
          <w:rStyle w:val="hps"/>
        </w:rPr>
        <w:t>L</w:t>
      </w:r>
      <w:r w:rsidR="00295456" w:rsidRPr="005A35D8">
        <w:rPr>
          <w:rStyle w:val="hps"/>
        </w:rPr>
        <w:t>’</w:t>
      </w:r>
      <w:r w:rsidRPr="005A35D8">
        <w:rPr>
          <w:rStyle w:val="hps"/>
        </w:rPr>
        <w:t>Organisation</w:t>
      </w:r>
      <w:r w:rsidRPr="005A35D8">
        <w:t xml:space="preserve"> </w:t>
      </w:r>
      <w:r w:rsidRPr="005A35D8">
        <w:rPr>
          <w:rStyle w:val="hps"/>
        </w:rPr>
        <w:t>Mondiale de la Propriété</w:t>
      </w:r>
      <w:r w:rsidRPr="005A35D8">
        <w:t xml:space="preserve"> </w:t>
      </w:r>
      <w:r w:rsidRPr="005A35D8">
        <w:rPr>
          <w:rStyle w:val="hps"/>
        </w:rPr>
        <w:t>Intellectuelle (OMPI</w:t>
      </w:r>
      <w:r w:rsidRPr="005A35D8">
        <w:t xml:space="preserve">) </w:t>
      </w:r>
      <w:r w:rsidRPr="005A35D8">
        <w:rPr>
          <w:rStyle w:val="hps"/>
        </w:rPr>
        <w:t>a été créée en 1970 après l</w:t>
      </w:r>
      <w:r w:rsidR="00295456" w:rsidRPr="005A35D8">
        <w:rPr>
          <w:rStyle w:val="hps"/>
        </w:rPr>
        <w:t>’</w:t>
      </w:r>
      <w:r w:rsidRPr="005A35D8">
        <w:rPr>
          <w:rStyle w:val="hps"/>
        </w:rPr>
        <w:t>entrée en vigueur de la Convention</w:t>
      </w:r>
      <w:r w:rsidRPr="005A35D8">
        <w:t xml:space="preserve"> </w:t>
      </w:r>
      <w:r w:rsidRPr="005A35D8">
        <w:rPr>
          <w:rStyle w:val="hps"/>
        </w:rPr>
        <w:t>instituant l</w:t>
      </w:r>
      <w:r w:rsidR="00295456" w:rsidRPr="005A35D8">
        <w:rPr>
          <w:rStyle w:val="hps"/>
        </w:rPr>
        <w:t>’</w:t>
      </w:r>
      <w:r w:rsidRPr="005A35D8">
        <w:rPr>
          <w:rStyle w:val="hps"/>
        </w:rPr>
        <w:t xml:space="preserve">Organisation </w:t>
      </w:r>
      <w:r w:rsidR="00085D20" w:rsidRPr="005A35D8">
        <w:rPr>
          <w:rStyle w:val="hps"/>
        </w:rPr>
        <w:t>Mondiale</w:t>
      </w:r>
      <w:r w:rsidRPr="005A35D8">
        <w:rPr>
          <w:rStyle w:val="hps"/>
        </w:rPr>
        <w:t xml:space="preserve"> de la </w:t>
      </w:r>
      <w:r w:rsidR="00085D20" w:rsidRPr="005A35D8">
        <w:rPr>
          <w:rStyle w:val="hps"/>
        </w:rPr>
        <w:t>Propriété Intellectuelle</w:t>
      </w:r>
      <w:r w:rsidRPr="005A35D8">
        <w:t xml:space="preserve"> </w:t>
      </w:r>
      <w:r w:rsidRPr="005A35D8">
        <w:rPr>
          <w:rStyle w:val="hps"/>
        </w:rPr>
        <w:t>conclue</w:t>
      </w:r>
      <w:r w:rsidRPr="005A35D8">
        <w:t xml:space="preserve"> </w:t>
      </w:r>
      <w:r w:rsidRPr="005A35D8">
        <w:rPr>
          <w:rStyle w:val="hps"/>
        </w:rPr>
        <w:t>en 1967,</w:t>
      </w:r>
      <w:r w:rsidRPr="005A35D8">
        <w:t xml:space="preserve"> </w:t>
      </w:r>
      <w:r w:rsidRPr="005A35D8">
        <w:rPr>
          <w:rStyle w:val="hps"/>
        </w:rPr>
        <w:t xml:space="preserve">remplaçant les </w:t>
      </w:r>
      <w:r w:rsidRPr="005A35D8">
        <w:rPr>
          <w:rFonts w:eastAsia="Times New Roman"/>
          <w:lang w:eastAsia="en-US"/>
        </w:rPr>
        <w:t>Bureaux internationaux réunis pour la protection de la propriété intellectuelle</w:t>
      </w:r>
      <w:r w:rsidRPr="005A35D8">
        <w:t xml:space="preserve">, </w:t>
      </w:r>
      <w:r w:rsidRPr="005A35D8">
        <w:rPr>
          <w:rStyle w:val="hps"/>
        </w:rPr>
        <w:t>qui avaient été créés</w:t>
      </w:r>
      <w:r w:rsidRPr="005A35D8">
        <w:t xml:space="preserve"> </w:t>
      </w:r>
      <w:r w:rsidRPr="005A35D8">
        <w:rPr>
          <w:rStyle w:val="hps"/>
        </w:rPr>
        <w:t>en 1893</w:t>
      </w:r>
      <w:r w:rsidRPr="005A35D8">
        <w:t xml:space="preserve"> pour administrer </w:t>
      </w:r>
      <w:r w:rsidRPr="005A35D8">
        <w:rPr>
          <w:rStyle w:val="hps"/>
        </w:rPr>
        <w:t>la Convention de Paris</w:t>
      </w:r>
      <w:r w:rsidRPr="005A35D8">
        <w:t xml:space="preserve"> </w:t>
      </w:r>
      <w:r w:rsidRPr="005A35D8">
        <w:rPr>
          <w:rStyle w:val="hps"/>
        </w:rPr>
        <w:t>pour la protection</w:t>
      </w:r>
      <w:r w:rsidRPr="005A35D8">
        <w:t xml:space="preserve"> </w:t>
      </w:r>
      <w:r w:rsidRPr="005A35D8">
        <w:rPr>
          <w:rStyle w:val="hps"/>
        </w:rPr>
        <w:t>de la propriété industrielle</w:t>
      </w:r>
      <w:r w:rsidRPr="005A35D8">
        <w:t xml:space="preserve"> </w:t>
      </w:r>
      <w:r w:rsidRPr="005A35D8">
        <w:rPr>
          <w:rStyle w:val="hps"/>
        </w:rPr>
        <w:t>(1883</w:t>
      </w:r>
      <w:r w:rsidRPr="005A35D8">
        <w:t xml:space="preserve">) </w:t>
      </w:r>
      <w:r w:rsidRPr="005A35D8">
        <w:rPr>
          <w:rStyle w:val="hps"/>
        </w:rPr>
        <w:t>et la Convention</w:t>
      </w:r>
      <w:r w:rsidRPr="005A35D8">
        <w:t xml:space="preserve"> </w:t>
      </w:r>
      <w:r w:rsidRPr="005A35D8">
        <w:rPr>
          <w:rStyle w:val="hps"/>
        </w:rPr>
        <w:t>de Berne pour la</w:t>
      </w:r>
      <w:r w:rsidRPr="005A35D8">
        <w:t xml:space="preserve"> </w:t>
      </w:r>
      <w:r w:rsidRPr="005A35D8">
        <w:rPr>
          <w:rStyle w:val="hps"/>
        </w:rPr>
        <w:t>protection des œuvres</w:t>
      </w:r>
      <w:r w:rsidRPr="005A35D8">
        <w:t xml:space="preserve"> </w:t>
      </w:r>
      <w:r w:rsidRPr="005A35D8">
        <w:rPr>
          <w:rStyle w:val="hps"/>
        </w:rPr>
        <w:t>littéraires et artistiques</w:t>
      </w:r>
      <w:r w:rsidRPr="005A35D8">
        <w:t xml:space="preserve"> </w:t>
      </w:r>
      <w:r w:rsidRPr="005A35D8">
        <w:rPr>
          <w:rStyle w:val="hps"/>
        </w:rPr>
        <w:t>(1866</w:t>
      </w:r>
      <w:r w:rsidRPr="005A35D8">
        <w:rPr>
          <w:rFonts w:eastAsia="Times New Roman"/>
          <w:lang w:eastAsia="en-US"/>
        </w:rPr>
        <w:t xml:space="preserve">).  </w:t>
      </w:r>
      <w:r w:rsidR="000243E3" w:rsidRPr="005A35D8">
        <w:rPr>
          <w:rFonts w:eastAsia="Times New Roman"/>
          <w:lang w:eastAsia="en-US"/>
        </w:rPr>
        <w:t>L</w:t>
      </w:r>
      <w:r w:rsidR="00295456" w:rsidRPr="005A35D8">
        <w:rPr>
          <w:rFonts w:eastAsia="Times New Roman"/>
          <w:lang w:eastAsia="en-US"/>
        </w:rPr>
        <w:t>’</w:t>
      </w:r>
      <w:r w:rsidR="000243E3" w:rsidRPr="005A35D8">
        <w:rPr>
          <w:rFonts w:eastAsia="Times New Roman"/>
          <w:lang w:eastAsia="en-US"/>
        </w:rPr>
        <w:t xml:space="preserve">OMPI a été reconnue institution spécialisée du système des </w:t>
      </w:r>
      <w:r w:rsidR="00295456" w:rsidRPr="005A35D8">
        <w:rPr>
          <w:rFonts w:eastAsia="Times New Roman"/>
          <w:lang w:eastAsia="en-US"/>
        </w:rPr>
        <w:t>Nations Unies</w:t>
      </w:r>
      <w:r w:rsidR="000243E3" w:rsidRPr="005A35D8">
        <w:rPr>
          <w:rFonts w:eastAsia="Times New Roman"/>
          <w:lang w:eastAsia="en-US"/>
        </w:rPr>
        <w:t xml:space="preserve"> en</w:t>
      </w:r>
      <w:r w:rsidR="00085D20" w:rsidRPr="005A35D8">
        <w:rPr>
          <w:rFonts w:eastAsia="Times New Roman"/>
          <w:lang w:eastAsia="en-US"/>
        </w:rPr>
        <w:t> </w:t>
      </w:r>
      <w:r w:rsidR="000243E3" w:rsidRPr="005A35D8">
        <w:rPr>
          <w:rFonts w:eastAsia="Times New Roman"/>
          <w:lang w:eastAsia="en-US"/>
        </w:rPr>
        <w:t>1974.</w:t>
      </w:r>
    </w:p>
    <w:p w:rsidR="000243E3" w:rsidRPr="005A35D8" w:rsidRDefault="000243E3" w:rsidP="0044721B">
      <w:pPr>
        <w:pStyle w:val="ONUMFS"/>
        <w:rPr>
          <w:rFonts w:eastAsia="Times New Roman"/>
          <w:lang w:eastAsia="en-US"/>
        </w:rPr>
      </w:pPr>
      <w:r w:rsidRPr="005A35D8">
        <w:rPr>
          <w:rFonts w:eastAsia="Times New Roman"/>
          <w:lang w:eastAsia="en-US"/>
        </w:rPr>
        <w:t>L</w:t>
      </w:r>
      <w:r w:rsidR="00295456" w:rsidRPr="005A35D8">
        <w:rPr>
          <w:rFonts w:eastAsia="Times New Roman"/>
          <w:lang w:eastAsia="en-US"/>
        </w:rPr>
        <w:t>’</w:t>
      </w:r>
      <w:r w:rsidRPr="005A35D8">
        <w:rPr>
          <w:rFonts w:eastAsia="Times New Roman"/>
          <w:lang w:eastAsia="en-US"/>
        </w:rPr>
        <w:t>OMPI exécute toute une variété de tâches dans le domaine de la protection des droits de propriété intellectuelle.  Elle a notamment pour fonctions d</w:t>
      </w:r>
      <w:r w:rsidR="00295456" w:rsidRPr="005A35D8">
        <w:rPr>
          <w:rFonts w:eastAsia="Times New Roman"/>
          <w:lang w:eastAsia="en-US"/>
        </w:rPr>
        <w:t>’</w:t>
      </w:r>
      <w:r w:rsidRPr="005A35D8">
        <w:rPr>
          <w:rFonts w:eastAsia="Times New Roman"/>
          <w:lang w:eastAsia="en-US"/>
        </w:rPr>
        <w:t>aider les gouvernements et les organisations à mettre en place les politiques, les structures et les compétences nécessaires pour exploiter le potentiel de la propriété intellectuelle au service du développement économique, de collaborer avec les États membres pour élaborer des lois internationales en matière de propriété intellectuelle, d</w:t>
      </w:r>
      <w:r w:rsidR="00295456" w:rsidRPr="005A35D8">
        <w:rPr>
          <w:rFonts w:eastAsia="Times New Roman"/>
          <w:lang w:eastAsia="en-US"/>
        </w:rPr>
        <w:t>’</w:t>
      </w:r>
      <w:r w:rsidRPr="005A35D8">
        <w:rPr>
          <w:rFonts w:eastAsia="Times New Roman"/>
          <w:lang w:eastAsia="en-US"/>
        </w:rPr>
        <w:t>administrer les traités, de gérer des systèmes mondiaux d</w:t>
      </w:r>
      <w:r w:rsidR="00295456" w:rsidRPr="005A35D8">
        <w:rPr>
          <w:rFonts w:eastAsia="Times New Roman"/>
          <w:lang w:eastAsia="en-US"/>
        </w:rPr>
        <w:t>’</w:t>
      </w:r>
      <w:r w:rsidRPr="005A35D8">
        <w:rPr>
          <w:rFonts w:eastAsia="Times New Roman"/>
          <w:lang w:eastAsia="en-US"/>
        </w:rPr>
        <w:t>enregistrement pour les marques, les dessins et modèles industriels et les appellations d</w:t>
      </w:r>
      <w:r w:rsidR="00295456" w:rsidRPr="005A35D8">
        <w:rPr>
          <w:rFonts w:eastAsia="Times New Roman"/>
          <w:lang w:eastAsia="en-US"/>
        </w:rPr>
        <w:t>’</w:t>
      </w:r>
      <w:r w:rsidRPr="005A35D8">
        <w:rPr>
          <w:rFonts w:eastAsia="Times New Roman"/>
          <w:lang w:eastAsia="en-US"/>
        </w:rPr>
        <w:t>origine ainsi qu</w:t>
      </w:r>
      <w:r w:rsidR="00295456" w:rsidRPr="005A35D8">
        <w:rPr>
          <w:rFonts w:eastAsia="Times New Roman"/>
          <w:lang w:eastAsia="en-US"/>
        </w:rPr>
        <w:t>’</w:t>
      </w:r>
      <w:r w:rsidRPr="005A35D8">
        <w:rPr>
          <w:rFonts w:eastAsia="Times New Roman"/>
          <w:lang w:eastAsia="en-US"/>
        </w:rPr>
        <w:t>un système de dépôt pour les brevets, de fournir des services de règlement des litiges et d</w:t>
      </w:r>
      <w:r w:rsidR="00295456" w:rsidRPr="005A35D8">
        <w:rPr>
          <w:rFonts w:eastAsia="Times New Roman"/>
          <w:lang w:eastAsia="en-US"/>
        </w:rPr>
        <w:t>’</w:t>
      </w:r>
      <w:r w:rsidRPr="005A35D8">
        <w:rPr>
          <w:rFonts w:eastAsia="Times New Roman"/>
          <w:lang w:eastAsia="en-US"/>
        </w:rPr>
        <w:t>offrir une tribune permettant d</w:t>
      </w:r>
      <w:r w:rsidR="00295456" w:rsidRPr="005A35D8">
        <w:rPr>
          <w:rFonts w:eastAsia="Times New Roman"/>
          <w:lang w:eastAsia="en-US"/>
        </w:rPr>
        <w:t>’</w:t>
      </w:r>
      <w:r w:rsidRPr="005A35D8">
        <w:rPr>
          <w:rFonts w:eastAsia="Times New Roman"/>
          <w:lang w:eastAsia="en-US"/>
        </w:rPr>
        <w:t>organiser des discussions en connaissance de cause et d</w:t>
      </w:r>
      <w:r w:rsidR="00295456" w:rsidRPr="005A35D8">
        <w:rPr>
          <w:rFonts w:eastAsia="Times New Roman"/>
          <w:lang w:eastAsia="en-US"/>
        </w:rPr>
        <w:t>’</w:t>
      </w:r>
      <w:r w:rsidRPr="005A35D8">
        <w:rPr>
          <w:rFonts w:eastAsia="Times New Roman"/>
          <w:lang w:eastAsia="en-US"/>
        </w:rPr>
        <w:t>échanger des connaissances spécialisées.</w:t>
      </w:r>
    </w:p>
    <w:p w:rsidR="00295456" w:rsidRPr="005A35D8" w:rsidRDefault="000243E3" w:rsidP="000243E3">
      <w:pPr>
        <w:spacing w:before="120" w:after="120"/>
        <w:rPr>
          <w:rFonts w:eastAsia="Times New Roman"/>
          <w:u w:val="single"/>
          <w:lang w:eastAsia="en-US"/>
        </w:rPr>
      </w:pPr>
      <w:r w:rsidRPr="005A35D8">
        <w:rPr>
          <w:rFonts w:eastAsia="Times New Roman"/>
          <w:u w:val="single"/>
          <w:lang w:eastAsia="en-US"/>
        </w:rPr>
        <w:t>Pouvoirs</w:t>
      </w:r>
    </w:p>
    <w:p w:rsidR="000243E3" w:rsidRPr="005A35D8" w:rsidRDefault="000243E3" w:rsidP="0044721B">
      <w:pPr>
        <w:pStyle w:val="ONUMFS"/>
        <w:rPr>
          <w:lang w:eastAsia="en-US"/>
        </w:rPr>
      </w:pPr>
      <w:r w:rsidRPr="005A35D8">
        <w:rPr>
          <w:lang w:eastAsia="en-US"/>
        </w:rPr>
        <w:t>La présente politique en matière de placements est établie conformément à deux</w:t>
      </w:r>
      <w:r w:rsidR="00085D20" w:rsidRPr="005A35D8">
        <w:rPr>
          <w:lang w:eastAsia="en-US"/>
        </w:rPr>
        <w:t> </w:t>
      </w:r>
      <w:r w:rsidRPr="005A35D8">
        <w:rPr>
          <w:lang w:eastAsia="en-US"/>
        </w:rPr>
        <w:t xml:space="preserve">articles du Règlement financier, </w:t>
      </w:r>
      <w:r w:rsidR="00295456" w:rsidRPr="005A35D8">
        <w:rPr>
          <w:lang w:eastAsia="en-US"/>
        </w:rPr>
        <w:t>à savoir</w:t>
      </w:r>
      <w:r w:rsidRPr="005A35D8">
        <w:rPr>
          <w:lang w:eastAsia="en-US"/>
        </w:rPr>
        <w:t xml:space="preserve"> l</w:t>
      </w:r>
      <w:r w:rsidR="00295456" w:rsidRPr="005A35D8">
        <w:rPr>
          <w:lang w:eastAsia="en-US"/>
        </w:rPr>
        <w:t>’</w:t>
      </w:r>
      <w:r w:rsidRPr="005A35D8">
        <w:rPr>
          <w:lang w:eastAsia="en-US"/>
        </w:rPr>
        <w:t>article</w:t>
      </w:r>
      <w:r w:rsidR="00085D20" w:rsidRPr="005A35D8">
        <w:rPr>
          <w:lang w:eastAsia="en-US"/>
        </w:rPr>
        <w:t> </w:t>
      </w:r>
      <w:r w:rsidRPr="005A35D8">
        <w:rPr>
          <w:lang w:eastAsia="en-US"/>
        </w:rPr>
        <w:t xml:space="preserve">4.10 qui donne au </w:t>
      </w:r>
      <w:r w:rsidR="00085D20" w:rsidRPr="005A35D8">
        <w:rPr>
          <w:lang w:eastAsia="en-US"/>
        </w:rPr>
        <w:t>Directeur</w:t>
      </w:r>
      <w:r w:rsidRPr="005A35D8">
        <w:rPr>
          <w:lang w:eastAsia="en-US"/>
        </w:rPr>
        <w:t xml:space="preserve"> général le pouvoir de placer à court terme les fonds qui ne sont pas nécessaires pour faire face à des besoins immédiats conformément à la politique de placement de l</w:t>
      </w:r>
      <w:r w:rsidR="00295456" w:rsidRPr="005A35D8">
        <w:rPr>
          <w:lang w:eastAsia="en-US"/>
        </w:rPr>
        <w:t>’</w:t>
      </w:r>
      <w:r w:rsidRPr="005A35D8">
        <w:rPr>
          <w:lang w:eastAsia="en-US"/>
        </w:rPr>
        <w:t>Organisation approuvée par les États membres, et l</w:t>
      </w:r>
      <w:r w:rsidR="00295456" w:rsidRPr="005A35D8">
        <w:rPr>
          <w:lang w:eastAsia="en-US"/>
        </w:rPr>
        <w:t>’</w:t>
      </w:r>
      <w:r w:rsidRPr="005A35D8">
        <w:rPr>
          <w:lang w:eastAsia="en-US"/>
        </w:rPr>
        <w:t>article</w:t>
      </w:r>
      <w:r w:rsidR="00085D20" w:rsidRPr="005A35D8">
        <w:rPr>
          <w:lang w:eastAsia="en-US"/>
        </w:rPr>
        <w:t> </w:t>
      </w:r>
      <w:r w:rsidRPr="005A35D8">
        <w:rPr>
          <w:lang w:eastAsia="en-US"/>
        </w:rPr>
        <w:t>4.11 qui lui donne le pouvoir de placer à long terme les sommes inscrites au crédit de l</w:t>
      </w:r>
      <w:r w:rsidR="00295456" w:rsidRPr="005A35D8">
        <w:rPr>
          <w:lang w:eastAsia="en-US"/>
        </w:rPr>
        <w:t>’</w:t>
      </w:r>
      <w:r w:rsidRPr="005A35D8">
        <w:rPr>
          <w:lang w:eastAsia="en-US"/>
        </w:rPr>
        <w:t>Organisation conformément à la politique de placement de l</w:t>
      </w:r>
      <w:r w:rsidR="00295456" w:rsidRPr="005A35D8">
        <w:rPr>
          <w:lang w:eastAsia="en-US"/>
        </w:rPr>
        <w:t>’</w:t>
      </w:r>
      <w:r w:rsidRPr="005A35D8">
        <w:rPr>
          <w:lang w:eastAsia="en-US"/>
        </w:rPr>
        <w:t>Organisation approuvée par les États membres.</w:t>
      </w:r>
      <w:r w:rsidR="00490611" w:rsidRPr="005A35D8">
        <w:t xml:space="preserve">  </w:t>
      </w:r>
      <w:r w:rsidR="006112AF" w:rsidRPr="005A35D8">
        <w:rPr>
          <w:rStyle w:val="hps"/>
        </w:rPr>
        <w:t xml:space="preserve">Étant donné </w:t>
      </w:r>
      <w:r w:rsidR="00001948" w:rsidRPr="005A35D8">
        <w:rPr>
          <w:rStyle w:val="hps"/>
        </w:rPr>
        <w:t>le caractère</w:t>
      </w:r>
      <w:r w:rsidR="006112AF" w:rsidRPr="005A35D8">
        <w:t xml:space="preserve"> </w:t>
      </w:r>
      <w:r w:rsidR="006112AF" w:rsidRPr="005A35D8">
        <w:rPr>
          <w:rStyle w:val="hps"/>
        </w:rPr>
        <w:t>à long terme</w:t>
      </w:r>
      <w:r w:rsidR="006112AF" w:rsidRPr="005A35D8">
        <w:t xml:space="preserve"> </w:t>
      </w:r>
      <w:r w:rsidR="006112AF" w:rsidRPr="005A35D8">
        <w:rPr>
          <w:rStyle w:val="hps"/>
        </w:rPr>
        <w:t>des</w:t>
      </w:r>
      <w:r w:rsidR="006112AF" w:rsidRPr="005A35D8">
        <w:t xml:space="preserve"> </w:t>
      </w:r>
      <w:r w:rsidR="00001948" w:rsidRPr="005A35D8">
        <w:rPr>
          <w:rStyle w:val="hps"/>
        </w:rPr>
        <w:t>obligations</w:t>
      </w:r>
      <w:r w:rsidR="006112AF" w:rsidRPr="005A35D8">
        <w:rPr>
          <w:rStyle w:val="hps"/>
        </w:rPr>
        <w:t xml:space="preserve"> </w:t>
      </w:r>
      <w:r w:rsidR="00001948" w:rsidRPr="005A35D8">
        <w:rPr>
          <w:rStyle w:val="hps"/>
        </w:rPr>
        <w:t>relatives</w:t>
      </w:r>
      <w:r w:rsidR="006112AF" w:rsidRPr="005A35D8">
        <w:rPr>
          <w:rStyle w:val="hps"/>
        </w:rPr>
        <w:t xml:space="preserve"> à</w:t>
      </w:r>
      <w:r w:rsidR="006112AF" w:rsidRPr="005A35D8">
        <w:t xml:space="preserve"> </w:t>
      </w:r>
      <w:r w:rsidR="006112AF" w:rsidRPr="005A35D8">
        <w:rPr>
          <w:rStyle w:val="hps"/>
        </w:rPr>
        <w:t>la fourniture de</w:t>
      </w:r>
      <w:r w:rsidR="006112AF" w:rsidRPr="005A35D8">
        <w:t xml:space="preserve"> </w:t>
      </w:r>
      <w:r w:rsidR="006112AF" w:rsidRPr="005A35D8">
        <w:rPr>
          <w:rStyle w:val="hps"/>
        </w:rPr>
        <w:t>prestations médicales aux</w:t>
      </w:r>
      <w:r w:rsidR="006112AF" w:rsidRPr="005A35D8">
        <w:t xml:space="preserve"> </w:t>
      </w:r>
      <w:r w:rsidR="006112AF" w:rsidRPr="005A35D8">
        <w:rPr>
          <w:rStyle w:val="hps"/>
        </w:rPr>
        <w:t>fonctionnaires de l</w:t>
      </w:r>
      <w:r w:rsidR="00295456" w:rsidRPr="005A35D8">
        <w:rPr>
          <w:rStyle w:val="hps"/>
        </w:rPr>
        <w:t>’</w:t>
      </w:r>
      <w:r w:rsidR="006112AF" w:rsidRPr="005A35D8">
        <w:rPr>
          <w:rStyle w:val="hps"/>
        </w:rPr>
        <w:t>OMPI</w:t>
      </w:r>
      <w:r w:rsidR="006112AF" w:rsidRPr="005A35D8">
        <w:t xml:space="preserve"> </w:t>
      </w:r>
      <w:r w:rsidR="00001948" w:rsidRPr="005A35D8">
        <w:rPr>
          <w:rStyle w:val="hps"/>
        </w:rPr>
        <w:t>pendant leur</w:t>
      </w:r>
      <w:r w:rsidR="006112AF" w:rsidRPr="005A35D8">
        <w:rPr>
          <w:rStyle w:val="hps"/>
        </w:rPr>
        <w:t xml:space="preserve"> retraite</w:t>
      </w:r>
      <w:r w:rsidR="006112AF" w:rsidRPr="005A35D8">
        <w:t xml:space="preserve"> </w:t>
      </w:r>
      <w:r w:rsidR="006112AF" w:rsidRPr="005A35D8">
        <w:rPr>
          <w:rStyle w:val="hps"/>
        </w:rPr>
        <w:t>(</w:t>
      </w:r>
      <w:r w:rsidR="006112AF" w:rsidRPr="005A35D8">
        <w:t>autrement connu</w:t>
      </w:r>
      <w:r w:rsidR="00001948" w:rsidRPr="005A35D8">
        <w:t>es</w:t>
      </w:r>
      <w:r w:rsidR="006112AF" w:rsidRPr="005A35D8">
        <w:t xml:space="preserve"> </w:t>
      </w:r>
      <w:r w:rsidR="00001948" w:rsidRPr="005A35D8">
        <w:t>sous le nom d</w:t>
      </w:r>
      <w:r w:rsidR="00295456" w:rsidRPr="005A35D8">
        <w:t>’</w:t>
      </w:r>
      <w:r w:rsidR="00001948" w:rsidRPr="005A35D8">
        <w:rPr>
          <w:rStyle w:val="hps"/>
        </w:rPr>
        <w:t>assurance</w:t>
      </w:r>
      <w:r w:rsidR="00D14880" w:rsidRPr="005A35D8">
        <w:noBreakHyphen/>
      </w:r>
      <w:r w:rsidR="00001948" w:rsidRPr="005A35D8">
        <w:t>maladie après la cessation de service</w:t>
      </w:r>
      <w:r w:rsidR="006112AF" w:rsidRPr="005A35D8">
        <w:t xml:space="preserve">), </w:t>
      </w:r>
      <w:r w:rsidR="006112AF" w:rsidRPr="005A35D8">
        <w:rPr>
          <w:rStyle w:val="hps"/>
        </w:rPr>
        <w:t>il a été convenu</w:t>
      </w:r>
      <w:r w:rsidR="006112AF" w:rsidRPr="005A35D8">
        <w:t xml:space="preserve"> </w:t>
      </w:r>
      <w:r w:rsidR="006112AF" w:rsidRPr="005A35D8">
        <w:rPr>
          <w:rStyle w:val="hps"/>
        </w:rPr>
        <w:t>en septembre</w:t>
      </w:r>
      <w:r w:rsidR="006112AF" w:rsidRPr="005A35D8">
        <w:t> </w:t>
      </w:r>
      <w:r w:rsidR="006112AF" w:rsidRPr="005A35D8">
        <w:rPr>
          <w:rStyle w:val="hps"/>
        </w:rPr>
        <w:t>2014</w:t>
      </w:r>
      <w:r w:rsidR="006112AF" w:rsidRPr="005A35D8">
        <w:t xml:space="preserve"> </w:t>
      </w:r>
      <w:r w:rsidR="006112AF" w:rsidRPr="005A35D8">
        <w:rPr>
          <w:rStyle w:val="hps"/>
        </w:rPr>
        <w:t>par le</w:t>
      </w:r>
      <w:r w:rsidR="006112AF" w:rsidRPr="005A35D8">
        <w:t xml:space="preserve"> </w:t>
      </w:r>
      <w:r w:rsidR="006112AF" w:rsidRPr="005A35D8">
        <w:rPr>
          <w:rStyle w:val="hps"/>
        </w:rPr>
        <w:t>Comité du programme et</w:t>
      </w:r>
      <w:r w:rsidR="006112AF" w:rsidRPr="005A35D8">
        <w:t xml:space="preserve"> </w:t>
      </w:r>
      <w:r w:rsidR="006112AF" w:rsidRPr="005A35D8">
        <w:rPr>
          <w:rStyle w:val="hps"/>
        </w:rPr>
        <w:t>budget (PBC</w:t>
      </w:r>
      <w:r w:rsidR="006112AF" w:rsidRPr="005A35D8">
        <w:t xml:space="preserve">) </w:t>
      </w:r>
      <w:r w:rsidR="006112AF" w:rsidRPr="005A35D8">
        <w:rPr>
          <w:rStyle w:val="hps"/>
        </w:rPr>
        <w:t>qu</w:t>
      </w:r>
      <w:r w:rsidR="00295456" w:rsidRPr="005A35D8">
        <w:rPr>
          <w:rStyle w:val="hps"/>
        </w:rPr>
        <w:t>’</w:t>
      </w:r>
      <w:r w:rsidR="006112AF" w:rsidRPr="005A35D8">
        <w:rPr>
          <w:rStyle w:val="hps"/>
        </w:rPr>
        <w:t>une politique</w:t>
      </w:r>
      <w:r w:rsidR="006112AF" w:rsidRPr="005A35D8">
        <w:t xml:space="preserve"> </w:t>
      </w:r>
      <w:r w:rsidR="00001948" w:rsidRPr="005A35D8">
        <w:rPr>
          <w:rStyle w:val="hps"/>
        </w:rPr>
        <w:t>en matière de placements</w:t>
      </w:r>
      <w:r w:rsidR="006112AF" w:rsidRPr="005A35D8">
        <w:rPr>
          <w:rStyle w:val="hps"/>
        </w:rPr>
        <w:t xml:space="preserve"> distinct</w:t>
      </w:r>
      <w:r w:rsidR="00001948" w:rsidRPr="005A35D8">
        <w:rPr>
          <w:rStyle w:val="hps"/>
        </w:rPr>
        <w:t>e</w:t>
      </w:r>
      <w:r w:rsidR="006112AF" w:rsidRPr="005A35D8">
        <w:t xml:space="preserve"> </w:t>
      </w:r>
      <w:r w:rsidR="00001948" w:rsidRPr="005A35D8">
        <w:rPr>
          <w:rStyle w:val="hps"/>
        </w:rPr>
        <w:t>devait être établie</w:t>
      </w:r>
      <w:r w:rsidR="006112AF" w:rsidRPr="005A35D8">
        <w:rPr>
          <w:rStyle w:val="hps"/>
        </w:rPr>
        <w:t xml:space="preserve"> pour</w:t>
      </w:r>
      <w:r w:rsidR="006112AF" w:rsidRPr="005A35D8">
        <w:t xml:space="preserve"> </w:t>
      </w:r>
      <w:r w:rsidR="006112AF" w:rsidRPr="005A35D8">
        <w:rPr>
          <w:rStyle w:val="hps"/>
        </w:rPr>
        <w:t>le financement</w:t>
      </w:r>
      <w:r w:rsidR="006112AF" w:rsidRPr="005A35D8">
        <w:t xml:space="preserve"> </w:t>
      </w:r>
      <w:r w:rsidR="00001948" w:rsidRPr="005A35D8">
        <w:rPr>
          <w:rStyle w:val="hps"/>
        </w:rPr>
        <w:t xml:space="preserve">de </w:t>
      </w:r>
      <w:r w:rsidR="00001948" w:rsidRPr="005A35D8">
        <w:t>l</w:t>
      </w:r>
      <w:r w:rsidR="00295456" w:rsidRPr="005A35D8">
        <w:t>’</w:t>
      </w:r>
      <w:r w:rsidR="00001948" w:rsidRPr="005A35D8">
        <w:rPr>
          <w:rStyle w:val="hps"/>
        </w:rPr>
        <w:t>assurance</w:t>
      </w:r>
      <w:r w:rsidR="00D14880" w:rsidRPr="005A35D8">
        <w:noBreakHyphen/>
      </w:r>
      <w:r w:rsidR="00001948" w:rsidRPr="005A35D8">
        <w:t>maladie après la cessation de service</w:t>
      </w:r>
      <w:r w:rsidR="006112AF" w:rsidRPr="005A35D8">
        <w:t xml:space="preserve">, </w:t>
      </w:r>
      <w:r w:rsidR="006112AF" w:rsidRPr="005A35D8">
        <w:rPr>
          <w:rStyle w:val="hps"/>
        </w:rPr>
        <w:t>une recommandation</w:t>
      </w:r>
      <w:r w:rsidR="006112AF" w:rsidRPr="005A35D8">
        <w:t xml:space="preserve"> </w:t>
      </w:r>
      <w:r w:rsidR="006112AF" w:rsidRPr="005A35D8">
        <w:rPr>
          <w:rStyle w:val="hps"/>
        </w:rPr>
        <w:t xml:space="preserve">qui a </w:t>
      </w:r>
      <w:r w:rsidR="00001948" w:rsidRPr="005A35D8">
        <w:rPr>
          <w:rStyle w:val="hps"/>
        </w:rPr>
        <w:t>recueilli</w:t>
      </w:r>
      <w:r w:rsidR="006112AF" w:rsidRPr="005A35D8">
        <w:t xml:space="preserve"> </w:t>
      </w:r>
      <w:r w:rsidR="006112AF" w:rsidRPr="005A35D8">
        <w:rPr>
          <w:rStyle w:val="hps"/>
        </w:rPr>
        <w:t>l</w:t>
      </w:r>
      <w:r w:rsidR="00295456" w:rsidRPr="005A35D8">
        <w:rPr>
          <w:rStyle w:val="hps"/>
        </w:rPr>
        <w:t>’</w:t>
      </w:r>
      <w:r w:rsidR="006112AF" w:rsidRPr="005A35D8">
        <w:t xml:space="preserve">approbation des assemblées </w:t>
      </w:r>
      <w:r w:rsidR="006112AF" w:rsidRPr="005A35D8">
        <w:rPr>
          <w:rStyle w:val="hps"/>
        </w:rPr>
        <w:t>à leur</w:t>
      </w:r>
      <w:r w:rsidR="006112AF" w:rsidRPr="005A35D8">
        <w:t xml:space="preserve"> </w:t>
      </w:r>
      <w:r w:rsidR="00001948" w:rsidRPr="005A35D8">
        <w:rPr>
          <w:rStyle w:val="hps"/>
        </w:rPr>
        <w:t>cinquante</w:t>
      </w:r>
      <w:r w:rsidR="00D14880" w:rsidRPr="005A35D8">
        <w:rPr>
          <w:rStyle w:val="hps"/>
        </w:rPr>
        <w:noBreakHyphen/>
      </w:r>
      <w:r w:rsidR="00001948" w:rsidRPr="005A35D8">
        <w:rPr>
          <w:rStyle w:val="hps"/>
        </w:rPr>
        <w:t>quatrième </w:t>
      </w:r>
      <w:r w:rsidR="006112AF" w:rsidRPr="005A35D8">
        <w:rPr>
          <w:rStyle w:val="hps"/>
        </w:rPr>
        <w:t>session</w:t>
      </w:r>
      <w:r w:rsidR="006112AF" w:rsidRPr="005A35D8">
        <w:t xml:space="preserve"> </w:t>
      </w:r>
      <w:r w:rsidR="00001948" w:rsidRPr="005A35D8">
        <w:rPr>
          <w:rStyle w:val="hps"/>
        </w:rPr>
        <w:t>en </w:t>
      </w:r>
      <w:r w:rsidR="006112AF" w:rsidRPr="005A35D8">
        <w:rPr>
          <w:rStyle w:val="hps"/>
        </w:rPr>
        <w:t>2014.</w:t>
      </w:r>
      <w:r w:rsidR="00001948" w:rsidRPr="005A35D8">
        <w:rPr>
          <w:rStyle w:val="hps"/>
        </w:rPr>
        <w:t xml:space="preserve"> </w:t>
      </w:r>
      <w:r w:rsidR="006112AF" w:rsidRPr="005A35D8">
        <w:rPr>
          <w:rStyle w:val="hps"/>
        </w:rPr>
        <w:t xml:space="preserve"> </w:t>
      </w:r>
      <w:r w:rsidR="00001948" w:rsidRPr="005A35D8">
        <w:rPr>
          <w:rStyle w:val="hps"/>
        </w:rPr>
        <w:t>La présente</w:t>
      </w:r>
      <w:r w:rsidR="006112AF" w:rsidRPr="005A35D8">
        <w:t xml:space="preserve"> </w:t>
      </w:r>
      <w:r w:rsidR="006112AF" w:rsidRPr="005A35D8">
        <w:rPr>
          <w:rStyle w:val="hps"/>
        </w:rPr>
        <w:t>politique répond à</w:t>
      </w:r>
      <w:r w:rsidR="006112AF" w:rsidRPr="005A35D8">
        <w:t xml:space="preserve"> </w:t>
      </w:r>
      <w:r w:rsidR="006112AF" w:rsidRPr="005A35D8">
        <w:rPr>
          <w:rStyle w:val="hps"/>
        </w:rPr>
        <w:t>cette exigence et</w:t>
      </w:r>
      <w:r w:rsidR="006112AF" w:rsidRPr="005A35D8">
        <w:t xml:space="preserve"> </w:t>
      </w:r>
      <w:r w:rsidR="00001948" w:rsidRPr="005A35D8">
        <w:t>s</w:t>
      </w:r>
      <w:r w:rsidR="00295456" w:rsidRPr="005A35D8">
        <w:t>’</w:t>
      </w:r>
      <w:r w:rsidR="006112AF" w:rsidRPr="005A35D8">
        <w:rPr>
          <w:rStyle w:val="hps"/>
        </w:rPr>
        <w:t>applique</w:t>
      </w:r>
      <w:r w:rsidR="006112AF" w:rsidRPr="005A35D8">
        <w:t xml:space="preserve"> </w:t>
      </w:r>
      <w:r w:rsidR="006112AF" w:rsidRPr="005A35D8">
        <w:rPr>
          <w:rStyle w:val="hps"/>
        </w:rPr>
        <w:t>à la trésorerie</w:t>
      </w:r>
      <w:r w:rsidR="006112AF" w:rsidRPr="005A35D8">
        <w:t xml:space="preserve"> </w:t>
      </w:r>
      <w:r w:rsidR="006112AF" w:rsidRPr="005A35D8">
        <w:rPr>
          <w:rStyle w:val="hps"/>
        </w:rPr>
        <w:t xml:space="preserve">qui a </w:t>
      </w:r>
      <w:r w:rsidR="00001948" w:rsidRPr="005A35D8">
        <w:rPr>
          <w:rStyle w:val="hps"/>
        </w:rPr>
        <w:t>d</w:t>
      </w:r>
      <w:r w:rsidR="00295456" w:rsidRPr="005A35D8">
        <w:rPr>
          <w:rStyle w:val="hps"/>
        </w:rPr>
        <w:t>’</w:t>
      </w:r>
      <w:r w:rsidR="00001948" w:rsidRPr="005A35D8">
        <w:rPr>
          <w:rStyle w:val="hps"/>
        </w:rPr>
        <w:t xml:space="preserve">ores et </w:t>
      </w:r>
      <w:r w:rsidR="006112AF" w:rsidRPr="005A35D8">
        <w:rPr>
          <w:rStyle w:val="hps"/>
        </w:rPr>
        <w:t>déjà</w:t>
      </w:r>
      <w:r w:rsidR="006112AF" w:rsidRPr="005A35D8">
        <w:t xml:space="preserve"> </w:t>
      </w:r>
      <w:r w:rsidR="006112AF" w:rsidRPr="005A35D8">
        <w:rPr>
          <w:rStyle w:val="hps"/>
        </w:rPr>
        <w:t>été</w:t>
      </w:r>
      <w:r w:rsidR="006112AF" w:rsidRPr="005A35D8">
        <w:t xml:space="preserve"> </w:t>
      </w:r>
      <w:r w:rsidR="00001948" w:rsidRPr="005A35D8">
        <w:t xml:space="preserve">mise de côté </w:t>
      </w:r>
      <w:r w:rsidR="006112AF" w:rsidRPr="005A35D8">
        <w:rPr>
          <w:rStyle w:val="hps"/>
        </w:rPr>
        <w:t>et qui</w:t>
      </w:r>
      <w:r w:rsidR="006112AF" w:rsidRPr="005A35D8">
        <w:t xml:space="preserve"> </w:t>
      </w:r>
      <w:r w:rsidR="00001948" w:rsidRPr="005A35D8">
        <w:rPr>
          <w:rStyle w:val="hps"/>
        </w:rPr>
        <w:t xml:space="preserve">peut </w:t>
      </w:r>
      <w:r w:rsidR="006112AF" w:rsidRPr="005A35D8">
        <w:rPr>
          <w:rStyle w:val="hps"/>
        </w:rPr>
        <w:t>continuer</w:t>
      </w:r>
      <w:r w:rsidR="006112AF" w:rsidRPr="005A35D8">
        <w:t xml:space="preserve"> </w:t>
      </w:r>
      <w:r w:rsidR="00001948" w:rsidRPr="005A35D8">
        <w:t xml:space="preserve">à </w:t>
      </w:r>
      <w:r w:rsidR="006112AF" w:rsidRPr="005A35D8">
        <w:rPr>
          <w:rStyle w:val="hps"/>
        </w:rPr>
        <w:t>être</w:t>
      </w:r>
      <w:r w:rsidR="006112AF" w:rsidRPr="005A35D8">
        <w:t xml:space="preserve"> </w:t>
      </w:r>
      <w:r w:rsidR="00001948" w:rsidRPr="005A35D8">
        <w:rPr>
          <w:rStyle w:val="hps"/>
        </w:rPr>
        <w:t xml:space="preserve">mise </w:t>
      </w:r>
      <w:r w:rsidR="006112AF" w:rsidRPr="005A35D8">
        <w:rPr>
          <w:rStyle w:val="hps"/>
        </w:rPr>
        <w:t xml:space="preserve">de côté </w:t>
      </w:r>
      <w:r w:rsidR="00001948" w:rsidRPr="005A35D8">
        <w:rPr>
          <w:rStyle w:val="hps"/>
        </w:rPr>
        <w:t>à l</w:t>
      </w:r>
      <w:r w:rsidR="00295456" w:rsidRPr="005A35D8">
        <w:rPr>
          <w:rStyle w:val="hps"/>
        </w:rPr>
        <w:t>’</w:t>
      </w:r>
      <w:r w:rsidR="00001948" w:rsidRPr="005A35D8">
        <w:rPr>
          <w:rStyle w:val="hps"/>
        </w:rPr>
        <w:t xml:space="preserve">avenir </w:t>
      </w:r>
      <w:r w:rsidR="006112AF" w:rsidRPr="005A35D8">
        <w:rPr>
          <w:rStyle w:val="hps"/>
        </w:rPr>
        <w:t>pour</w:t>
      </w:r>
      <w:r w:rsidR="006112AF" w:rsidRPr="005A35D8">
        <w:t xml:space="preserve"> </w:t>
      </w:r>
      <w:r w:rsidR="006112AF" w:rsidRPr="005A35D8">
        <w:rPr>
          <w:rStyle w:val="hps"/>
        </w:rPr>
        <w:t>financer</w:t>
      </w:r>
      <w:r w:rsidR="006112AF" w:rsidRPr="005A35D8">
        <w:t xml:space="preserve"> </w:t>
      </w:r>
      <w:r w:rsidR="006112AF" w:rsidRPr="005A35D8">
        <w:rPr>
          <w:rStyle w:val="hps"/>
        </w:rPr>
        <w:t>les</w:t>
      </w:r>
      <w:r w:rsidR="006112AF" w:rsidRPr="005A35D8">
        <w:t xml:space="preserve"> </w:t>
      </w:r>
      <w:r w:rsidR="00001948" w:rsidRPr="005A35D8">
        <w:rPr>
          <w:rStyle w:val="hps"/>
        </w:rPr>
        <w:t>obligations relatives à l</w:t>
      </w:r>
      <w:r w:rsidR="00295456" w:rsidRPr="005A35D8">
        <w:rPr>
          <w:rStyle w:val="hps"/>
        </w:rPr>
        <w:t>’</w:t>
      </w:r>
      <w:r w:rsidR="00001948" w:rsidRPr="005A35D8">
        <w:rPr>
          <w:rStyle w:val="hps"/>
        </w:rPr>
        <w:t>assurance</w:t>
      </w:r>
      <w:r w:rsidR="00D14880" w:rsidRPr="005A35D8">
        <w:noBreakHyphen/>
      </w:r>
      <w:r w:rsidR="006112AF" w:rsidRPr="005A35D8">
        <w:rPr>
          <w:rStyle w:val="hps"/>
        </w:rPr>
        <w:t>maladie.  Cette trésorerie</w:t>
      </w:r>
      <w:r w:rsidR="006112AF" w:rsidRPr="005A35D8">
        <w:t xml:space="preserve"> </w:t>
      </w:r>
      <w:r w:rsidR="006112AF" w:rsidRPr="005A35D8">
        <w:rPr>
          <w:rStyle w:val="hps"/>
        </w:rPr>
        <w:t>est identifié</w:t>
      </w:r>
      <w:r w:rsidR="00001948" w:rsidRPr="005A35D8">
        <w:rPr>
          <w:rStyle w:val="hps"/>
        </w:rPr>
        <w:t>e</w:t>
      </w:r>
      <w:r w:rsidR="006112AF" w:rsidRPr="005A35D8">
        <w:rPr>
          <w:rStyle w:val="hps"/>
        </w:rPr>
        <w:t xml:space="preserve"> comme </w:t>
      </w:r>
      <w:r w:rsidR="006112AF" w:rsidRPr="005A35D8">
        <w:t xml:space="preserve">de la trésorerie </w:t>
      </w:r>
      <w:r w:rsidR="006112AF" w:rsidRPr="005A35D8">
        <w:rPr>
          <w:rStyle w:val="hps"/>
        </w:rPr>
        <w:t>stratégique</w:t>
      </w:r>
      <w:r w:rsidR="006112AF" w:rsidRPr="005A35D8">
        <w:t xml:space="preserve"> </w:t>
      </w:r>
      <w:r w:rsidR="006112AF" w:rsidRPr="005A35D8">
        <w:rPr>
          <w:rStyle w:val="hps"/>
        </w:rPr>
        <w:t>(</w:t>
      </w:r>
      <w:r w:rsidR="006112AF" w:rsidRPr="005A35D8">
        <w:t>à long terme)</w:t>
      </w:r>
      <w:r w:rsidR="00B17240" w:rsidRPr="005A35D8">
        <w:rPr>
          <w:lang w:eastAsia="en-US"/>
        </w:rPr>
        <w:t>.</w:t>
      </w:r>
    </w:p>
    <w:p w:rsidR="000243E3" w:rsidRPr="005A35D8" w:rsidRDefault="00B17240" w:rsidP="0044721B">
      <w:pPr>
        <w:pStyle w:val="ONUMFS"/>
        <w:rPr>
          <w:rFonts w:eastAsia="Times New Roman"/>
          <w:lang w:eastAsia="en-US"/>
        </w:rPr>
      </w:pPr>
      <w:r w:rsidRPr="005A35D8">
        <w:rPr>
          <w:rStyle w:val="hps"/>
        </w:rPr>
        <w:t>La présente politique</w:t>
      </w:r>
      <w:r w:rsidRPr="005A35D8">
        <w:t xml:space="preserve"> </w:t>
      </w:r>
      <w:r w:rsidRPr="005A35D8">
        <w:rPr>
          <w:rStyle w:val="hps"/>
        </w:rPr>
        <w:t>fournit</w:t>
      </w:r>
      <w:r w:rsidRPr="005A35D8">
        <w:t xml:space="preserve"> </w:t>
      </w:r>
      <w:r w:rsidRPr="005A35D8">
        <w:rPr>
          <w:rStyle w:val="hps"/>
        </w:rPr>
        <w:t>les</w:t>
      </w:r>
      <w:r w:rsidRPr="005A35D8">
        <w:t xml:space="preserve"> </w:t>
      </w:r>
      <w:r w:rsidRPr="005A35D8">
        <w:rPr>
          <w:rStyle w:val="hps"/>
        </w:rPr>
        <w:t>principes généraux</w:t>
      </w:r>
      <w:r w:rsidRPr="005A35D8">
        <w:t xml:space="preserve"> </w:t>
      </w:r>
      <w:r w:rsidRPr="005A35D8">
        <w:rPr>
          <w:rStyle w:val="hps"/>
        </w:rPr>
        <w:t>qui régissent les placements</w:t>
      </w:r>
      <w:r w:rsidRPr="005A35D8">
        <w:t xml:space="preserve"> </w:t>
      </w:r>
      <w:r w:rsidRPr="005A35D8">
        <w:rPr>
          <w:rStyle w:val="hps"/>
        </w:rPr>
        <w:t>de l</w:t>
      </w:r>
      <w:r w:rsidR="00295456" w:rsidRPr="005A35D8">
        <w:rPr>
          <w:rStyle w:val="hps"/>
        </w:rPr>
        <w:t>’</w:t>
      </w:r>
      <w:r w:rsidRPr="005A35D8">
        <w:rPr>
          <w:rStyle w:val="hps"/>
        </w:rPr>
        <w:t>Organisation</w:t>
      </w:r>
      <w:r w:rsidRPr="005A35D8">
        <w:t xml:space="preserve"> </w:t>
      </w:r>
      <w:r w:rsidRPr="005A35D8">
        <w:rPr>
          <w:rStyle w:val="hps"/>
        </w:rPr>
        <w:t>et s</w:t>
      </w:r>
      <w:r w:rsidR="00295456" w:rsidRPr="005A35D8">
        <w:rPr>
          <w:rStyle w:val="hps"/>
        </w:rPr>
        <w:t>’</w:t>
      </w:r>
      <w:r w:rsidRPr="005A35D8">
        <w:rPr>
          <w:rStyle w:val="hps"/>
        </w:rPr>
        <w:t>applique</w:t>
      </w:r>
      <w:r w:rsidRPr="005A35D8">
        <w:t xml:space="preserve"> donc aux </w:t>
      </w:r>
      <w:r w:rsidRPr="005A35D8">
        <w:rPr>
          <w:rStyle w:val="hps"/>
        </w:rPr>
        <w:t>directives</w:t>
      </w:r>
      <w:r w:rsidRPr="005A35D8">
        <w:t xml:space="preserve"> </w:t>
      </w:r>
      <w:r w:rsidRPr="005A35D8">
        <w:rPr>
          <w:rStyle w:val="hps"/>
        </w:rPr>
        <w:t>de placement communiquées</w:t>
      </w:r>
      <w:r w:rsidRPr="005A35D8">
        <w:t xml:space="preserve"> </w:t>
      </w:r>
      <w:r w:rsidRPr="005A35D8">
        <w:rPr>
          <w:rStyle w:val="hps"/>
        </w:rPr>
        <w:t>aux gestionnaires de fonds</w:t>
      </w:r>
      <w:r w:rsidRPr="005A35D8">
        <w:t xml:space="preserve"> </w:t>
      </w:r>
      <w:r w:rsidRPr="005A35D8">
        <w:rPr>
          <w:rStyle w:val="hps"/>
        </w:rPr>
        <w:t>extérieurs (</w:t>
      </w:r>
      <w:r w:rsidRPr="005A35D8">
        <w:t xml:space="preserve">définis </w:t>
      </w:r>
      <w:r w:rsidRPr="005A35D8">
        <w:rPr>
          <w:rStyle w:val="hps"/>
        </w:rPr>
        <w:t>au paragraphe</w:t>
      </w:r>
      <w:r w:rsidRPr="005A35D8">
        <w:t> </w:t>
      </w:r>
      <w:r w:rsidRPr="005A35D8">
        <w:rPr>
          <w:rStyle w:val="hps"/>
        </w:rPr>
        <w:t>16</w:t>
      </w:r>
      <w:r w:rsidRPr="005A35D8">
        <w:rPr>
          <w:rFonts w:eastAsia="Times New Roman"/>
          <w:lang w:eastAsia="en-US"/>
        </w:rPr>
        <w:t>).</w:t>
      </w:r>
    </w:p>
    <w:p w:rsidR="000243E3" w:rsidRPr="005A35D8" w:rsidRDefault="000243E3" w:rsidP="00490611">
      <w:pPr>
        <w:rPr>
          <w:rFonts w:eastAsia="Times New Roman"/>
          <w:lang w:eastAsia="en-US"/>
        </w:rPr>
      </w:pPr>
    </w:p>
    <w:p w:rsidR="000243E3" w:rsidRPr="005A35D8" w:rsidRDefault="00795641" w:rsidP="0044721B">
      <w:pPr>
        <w:keepNext/>
        <w:keepLines/>
        <w:outlineLvl w:val="0"/>
        <w:rPr>
          <w:bCs/>
          <w:caps/>
          <w:kern w:val="32"/>
          <w:szCs w:val="32"/>
          <w:lang w:eastAsia="en-US"/>
        </w:rPr>
      </w:pPr>
      <w:r w:rsidRPr="005A35D8">
        <w:rPr>
          <w:bCs/>
          <w:caps/>
          <w:kern w:val="32"/>
          <w:szCs w:val="32"/>
          <w:lang w:eastAsia="en-US"/>
        </w:rPr>
        <w:lastRenderedPageBreak/>
        <w:t>B</w:t>
      </w:r>
      <w:r w:rsidR="00873CAC" w:rsidRPr="005A35D8">
        <w:rPr>
          <w:bCs/>
          <w:caps/>
          <w:kern w:val="32"/>
          <w:szCs w:val="32"/>
          <w:lang w:eastAsia="en-US"/>
        </w:rPr>
        <w:t>.</w:t>
      </w:r>
      <w:r w:rsidR="00873CAC" w:rsidRPr="005A35D8">
        <w:rPr>
          <w:bCs/>
          <w:caps/>
          <w:kern w:val="32"/>
          <w:szCs w:val="32"/>
          <w:lang w:eastAsia="en-US"/>
        </w:rPr>
        <w:tab/>
      </w:r>
      <w:r w:rsidR="00C64D1B" w:rsidRPr="005A35D8">
        <w:rPr>
          <w:bCs/>
          <w:caps/>
          <w:kern w:val="32"/>
          <w:szCs w:val="32"/>
          <w:lang w:eastAsia="en-US"/>
        </w:rPr>
        <w:t>RÔLES</w:t>
      </w:r>
      <w:r w:rsidR="00B17240" w:rsidRPr="005A35D8">
        <w:rPr>
          <w:bCs/>
          <w:caps/>
          <w:kern w:val="32"/>
          <w:szCs w:val="32"/>
          <w:lang w:eastAsia="en-US"/>
        </w:rPr>
        <w:t xml:space="preserve"> et responsabilités</w:t>
      </w:r>
      <w:r w:rsidR="00295456" w:rsidRPr="005A35D8">
        <w:rPr>
          <w:bCs/>
          <w:caps/>
          <w:kern w:val="32"/>
          <w:szCs w:val="32"/>
          <w:lang w:eastAsia="en-US"/>
        </w:rPr>
        <w:t xml:space="preserve"> des PAR</w:t>
      </w:r>
      <w:r w:rsidR="00B17240" w:rsidRPr="005A35D8">
        <w:rPr>
          <w:bCs/>
          <w:caps/>
          <w:kern w:val="32"/>
          <w:szCs w:val="32"/>
          <w:lang w:eastAsia="en-US"/>
        </w:rPr>
        <w:t>TIES PRENANTES</w:t>
      </w:r>
    </w:p>
    <w:p w:rsidR="000243E3" w:rsidRPr="005A35D8" w:rsidRDefault="000243E3" w:rsidP="0044721B">
      <w:pPr>
        <w:keepNext/>
        <w:keepLines/>
        <w:spacing w:before="120" w:after="120"/>
        <w:rPr>
          <w:rFonts w:eastAsia="Times New Roman"/>
          <w:u w:val="single"/>
          <w:lang w:eastAsia="en-US"/>
        </w:rPr>
      </w:pPr>
      <w:r w:rsidRPr="005A35D8">
        <w:rPr>
          <w:rFonts w:eastAsia="Times New Roman"/>
          <w:u w:val="single"/>
          <w:lang w:eastAsia="en-US"/>
        </w:rPr>
        <w:t>Directeur général</w:t>
      </w:r>
    </w:p>
    <w:p w:rsidR="000243E3" w:rsidRPr="005A35D8" w:rsidRDefault="00B17240" w:rsidP="0044721B">
      <w:pPr>
        <w:pStyle w:val="ONUMFS"/>
        <w:keepNext/>
        <w:keepLines/>
        <w:rPr>
          <w:rFonts w:eastAsia="Times New Roman"/>
          <w:lang w:eastAsia="en-US"/>
        </w:rPr>
      </w:pPr>
      <w:r w:rsidRPr="005A35D8">
        <w:rPr>
          <w:rStyle w:val="hps"/>
        </w:rPr>
        <w:t>Le Directeur général</w:t>
      </w:r>
      <w:r w:rsidRPr="005A35D8">
        <w:t xml:space="preserve"> </w:t>
      </w:r>
      <w:r w:rsidRPr="005A35D8">
        <w:rPr>
          <w:rStyle w:val="hps"/>
        </w:rPr>
        <w:t>examine les rapports,</w:t>
      </w:r>
      <w:r w:rsidRPr="005A35D8">
        <w:t xml:space="preserve"> </w:t>
      </w:r>
      <w:r w:rsidRPr="005A35D8">
        <w:rPr>
          <w:rStyle w:val="hps"/>
        </w:rPr>
        <w:t>propositions et</w:t>
      </w:r>
      <w:r w:rsidRPr="005A35D8">
        <w:t xml:space="preserve"> </w:t>
      </w:r>
      <w:r w:rsidRPr="005A35D8">
        <w:rPr>
          <w:rStyle w:val="hps"/>
        </w:rPr>
        <w:t>recommandations présentés par le</w:t>
      </w:r>
      <w:r w:rsidRPr="005A35D8">
        <w:t xml:space="preserve"> </w:t>
      </w:r>
      <w:r w:rsidRPr="005A35D8">
        <w:rPr>
          <w:rStyle w:val="hps"/>
        </w:rPr>
        <w:t>Comité</w:t>
      </w:r>
      <w:r w:rsidRPr="005A35D8">
        <w:t xml:space="preserve"> </w:t>
      </w:r>
      <w:r w:rsidRPr="005A35D8">
        <w:rPr>
          <w:rStyle w:val="hps"/>
        </w:rPr>
        <w:t>consultatif des investissements</w:t>
      </w:r>
      <w:r w:rsidRPr="005A35D8">
        <w:t xml:space="preserve"> afin de donner </w:t>
      </w:r>
      <w:r w:rsidRPr="005A35D8">
        <w:rPr>
          <w:rStyle w:val="hps"/>
        </w:rPr>
        <w:t>son approbation finale en la matière</w:t>
      </w:r>
      <w:r w:rsidR="00490611" w:rsidRPr="005A35D8">
        <w:rPr>
          <w:rFonts w:eastAsia="Times New Roman"/>
          <w:lang w:eastAsia="en-US"/>
        </w:rPr>
        <w:t>.</w:t>
      </w:r>
    </w:p>
    <w:p w:rsidR="000243E3" w:rsidRPr="005A35D8" w:rsidRDefault="00B17240" w:rsidP="0044721B">
      <w:pPr>
        <w:pStyle w:val="ONUMFS"/>
        <w:rPr>
          <w:rFonts w:eastAsia="Times New Roman"/>
          <w:lang w:eastAsia="en-US"/>
        </w:rPr>
      </w:pPr>
      <w:r w:rsidRPr="005A35D8">
        <w:rPr>
          <w:rStyle w:val="hps"/>
        </w:rPr>
        <w:t>Conformément</w:t>
      </w:r>
      <w:r w:rsidRPr="005A35D8">
        <w:t xml:space="preserve"> aux articles 4.10 et 4.11 du</w:t>
      </w:r>
      <w:r w:rsidRPr="005A35D8">
        <w:rPr>
          <w:rStyle w:val="hps"/>
        </w:rPr>
        <w:t xml:space="preserve"> Règlement financier</w:t>
      </w:r>
      <w:r w:rsidRPr="005A35D8">
        <w:t xml:space="preserve">, </w:t>
      </w:r>
      <w:r w:rsidRPr="005A35D8">
        <w:rPr>
          <w:rStyle w:val="hps"/>
        </w:rPr>
        <w:t>le Directeur général informe régulièrement</w:t>
      </w:r>
      <w:r w:rsidRPr="005A35D8">
        <w:t xml:space="preserve"> le </w:t>
      </w:r>
      <w:r w:rsidRPr="005A35D8">
        <w:rPr>
          <w:rStyle w:val="hps"/>
        </w:rPr>
        <w:t>Comité du programme et</w:t>
      </w:r>
      <w:r w:rsidRPr="005A35D8">
        <w:t xml:space="preserve"> </w:t>
      </w:r>
      <w:r w:rsidRPr="005A35D8">
        <w:rPr>
          <w:rStyle w:val="hps"/>
        </w:rPr>
        <w:t>budget (PBC</w:t>
      </w:r>
      <w:r w:rsidRPr="005A35D8">
        <w:t xml:space="preserve">) des </w:t>
      </w:r>
      <w:r w:rsidRPr="005A35D8">
        <w:rPr>
          <w:rStyle w:val="hps"/>
        </w:rPr>
        <w:t>placements</w:t>
      </w:r>
      <w:r w:rsidRPr="005A35D8">
        <w:t xml:space="preserve"> </w:t>
      </w:r>
      <w:r w:rsidRPr="005A35D8">
        <w:rPr>
          <w:rStyle w:val="hps"/>
        </w:rPr>
        <w:t>à court terme</w:t>
      </w:r>
      <w:r w:rsidRPr="005A35D8">
        <w:t xml:space="preserve"> </w:t>
      </w:r>
      <w:r w:rsidRPr="005A35D8">
        <w:rPr>
          <w:rStyle w:val="hps"/>
        </w:rPr>
        <w:t>et à long terme</w:t>
      </w:r>
      <w:r w:rsidR="00490611" w:rsidRPr="005A35D8">
        <w:rPr>
          <w:rFonts w:eastAsia="Times New Roman"/>
          <w:lang w:eastAsia="en-US"/>
        </w:rPr>
        <w:t>.</w:t>
      </w:r>
    </w:p>
    <w:p w:rsidR="000243E3" w:rsidRPr="005A35D8" w:rsidRDefault="00B17240" w:rsidP="00873CAC">
      <w:pPr>
        <w:keepNext/>
        <w:keepLines/>
        <w:spacing w:after="240"/>
        <w:rPr>
          <w:rFonts w:eastAsia="Times New Roman"/>
          <w:u w:val="single"/>
          <w:lang w:eastAsia="en-US"/>
        </w:rPr>
      </w:pPr>
      <w:r w:rsidRPr="005A35D8">
        <w:rPr>
          <w:rFonts w:eastAsia="Times New Roman"/>
          <w:u w:val="single"/>
          <w:lang w:eastAsia="en-US"/>
        </w:rPr>
        <w:t>Comité consultatif des investissements</w:t>
      </w:r>
    </w:p>
    <w:p w:rsidR="000243E3" w:rsidRPr="005A35D8" w:rsidRDefault="00B17240" w:rsidP="0067327D">
      <w:pPr>
        <w:pStyle w:val="ONUMFS"/>
        <w:rPr>
          <w:rFonts w:eastAsia="Times New Roman"/>
          <w:lang w:eastAsia="en-US"/>
        </w:rPr>
      </w:pPr>
      <w:r w:rsidRPr="005A35D8">
        <w:rPr>
          <w:rStyle w:val="hps"/>
        </w:rPr>
        <w:t>Les membres du Comité consultatif des investissements sont nommés</w:t>
      </w:r>
      <w:r w:rsidRPr="005A35D8">
        <w:t xml:space="preserve"> </w:t>
      </w:r>
      <w:r w:rsidRPr="005A35D8">
        <w:rPr>
          <w:rStyle w:val="hps"/>
        </w:rPr>
        <w:t>par le Directeur général</w:t>
      </w:r>
      <w:r w:rsidRPr="005A35D8">
        <w:t xml:space="preserve">.  </w:t>
      </w:r>
      <w:r w:rsidRPr="005A35D8">
        <w:rPr>
          <w:rStyle w:val="hps"/>
        </w:rPr>
        <w:t>Un</w:t>
      </w:r>
      <w:r w:rsidRPr="005A35D8">
        <w:t xml:space="preserve"> </w:t>
      </w:r>
      <w:r w:rsidRPr="005A35D8">
        <w:rPr>
          <w:rStyle w:val="hps"/>
        </w:rPr>
        <w:t>ordre de service</w:t>
      </w:r>
      <w:r w:rsidRPr="005A35D8">
        <w:t xml:space="preserve"> </w:t>
      </w:r>
      <w:r w:rsidRPr="005A35D8">
        <w:rPr>
          <w:rStyle w:val="hps"/>
        </w:rPr>
        <w:t>établissant le</w:t>
      </w:r>
      <w:r w:rsidRPr="005A35D8">
        <w:t xml:space="preserve"> </w:t>
      </w:r>
      <w:r w:rsidR="00630448" w:rsidRPr="005A35D8">
        <w:rPr>
          <w:rStyle w:val="hps"/>
        </w:rPr>
        <w:t>c</w:t>
      </w:r>
      <w:r w:rsidRPr="005A35D8">
        <w:rPr>
          <w:rStyle w:val="hps"/>
        </w:rPr>
        <w:t>omité</w:t>
      </w:r>
      <w:r w:rsidRPr="005A35D8">
        <w:t xml:space="preserve"> </w:t>
      </w:r>
      <w:r w:rsidRPr="005A35D8">
        <w:rPr>
          <w:rStyle w:val="hps"/>
        </w:rPr>
        <w:t>est émis</w:t>
      </w:r>
      <w:r w:rsidRPr="005A35D8">
        <w:t xml:space="preserve"> </w:t>
      </w:r>
      <w:r w:rsidRPr="005A35D8">
        <w:rPr>
          <w:rStyle w:val="hps"/>
        </w:rPr>
        <w:t>par le Directeur général</w:t>
      </w:r>
      <w:r w:rsidR="003B0FBE" w:rsidRPr="005A35D8">
        <w:rPr>
          <w:rFonts w:eastAsia="Times New Roman"/>
          <w:lang w:eastAsia="en-US"/>
        </w:rPr>
        <w:t>.</w:t>
      </w:r>
    </w:p>
    <w:p w:rsidR="000243E3" w:rsidRPr="005A35D8" w:rsidRDefault="00B17240" w:rsidP="0067327D">
      <w:pPr>
        <w:pStyle w:val="ONUMFS"/>
        <w:rPr>
          <w:rFonts w:eastAsia="Times New Roman"/>
          <w:lang w:eastAsia="en-US"/>
        </w:rPr>
      </w:pPr>
      <w:r w:rsidRPr="005A35D8">
        <w:rPr>
          <w:rStyle w:val="hps"/>
        </w:rPr>
        <w:t>Ce</w:t>
      </w:r>
      <w:r w:rsidRPr="005A35D8">
        <w:t xml:space="preserve"> </w:t>
      </w:r>
      <w:r w:rsidR="00630448" w:rsidRPr="005A35D8">
        <w:rPr>
          <w:rStyle w:val="hps"/>
        </w:rPr>
        <w:t>c</w:t>
      </w:r>
      <w:r w:rsidRPr="005A35D8">
        <w:rPr>
          <w:rStyle w:val="hps"/>
        </w:rPr>
        <w:t>omité</w:t>
      </w:r>
      <w:r w:rsidRPr="005A35D8">
        <w:t xml:space="preserve"> </w:t>
      </w:r>
      <w:r w:rsidRPr="005A35D8">
        <w:rPr>
          <w:rStyle w:val="hps"/>
        </w:rPr>
        <w:t>joue le rôle de conseil auprès du Directeur général</w:t>
      </w:r>
      <w:r w:rsidRPr="005A35D8">
        <w:t xml:space="preserve"> </w:t>
      </w:r>
      <w:r w:rsidRPr="005A35D8">
        <w:rPr>
          <w:rStyle w:val="hps"/>
        </w:rPr>
        <w:t>en ce qui concerne les placements de l</w:t>
      </w:r>
      <w:r w:rsidR="00295456" w:rsidRPr="005A35D8">
        <w:rPr>
          <w:rStyle w:val="hps"/>
        </w:rPr>
        <w:t>’</w:t>
      </w:r>
      <w:r w:rsidRPr="005A35D8">
        <w:rPr>
          <w:rStyle w:val="hps"/>
        </w:rPr>
        <w:t>Organisation</w:t>
      </w:r>
      <w:r w:rsidR="00EC1805" w:rsidRPr="005A35D8">
        <w:t>, conformément au chapitre </w:t>
      </w:r>
      <w:r w:rsidRPr="005A35D8">
        <w:rPr>
          <w:rStyle w:val="hps"/>
        </w:rPr>
        <w:t>4, section</w:t>
      </w:r>
      <w:r w:rsidR="00085D20" w:rsidRPr="005A35D8">
        <w:rPr>
          <w:rStyle w:val="hps"/>
        </w:rPr>
        <w:t> </w:t>
      </w:r>
      <w:r w:rsidRPr="005A35D8">
        <w:rPr>
          <w:rStyle w:val="hps"/>
        </w:rPr>
        <w:t>C du Règlement financier</w:t>
      </w:r>
      <w:r w:rsidRPr="005A35D8">
        <w:t xml:space="preserve"> </w:t>
      </w:r>
      <w:r w:rsidRPr="005A35D8">
        <w:rPr>
          <w:rStyle w:val="hps"/>
        </w:rPr>
        <w:t>et</w:t>
      </w:r>
      <w:r w:rsidRPr="005A35D8">
        <w:t xml:space="preserve"> </w:t>
      </w:r>
      <w:r w:rsidRPr="005A35D8">
        <w:rPr>
          <w:rStyle w:val="hps"/>
        </w:rPr>
        <w:t>de son règlement d</w:t>
      </w:r>
      <w:r w:rsidR="00295456" w:rsidRPr="005A35D8">
        <w:rPr>
          <w:rStyle w:val="hps"/>
        </w:rPr>
        <w:t>’</w:t>
      </w:r>
      <w:r w:rsidRPr="005A35D8">
        <w:rPr>
          <w:rStyle w:val="hps"/>
        </w:rPr>
        <w:t>exécution</w:t>
      </w:r>
      <w:r w:rsidRPr="005A35D8">
        <w:t xml:space="preserve">.  </w:t>
      </w:r>
      <w:r w:rsidRPr="005A35D8">
        <w:rPr>
          <w:rStyle w:val="hps"/>
        </w:rPr>
        <w:t>Ainsi, il peut émettre des avis sur</w:t>
      </w:r>
      <w:r w:rsidRPr="005A35D8">
        <w:t xml:space="preserve"> </w:t>
      </w:r>
      <w:r w:rsidRPr="005A35D8">
        <w:rPr>
          <w:rStyle w:val="hps"/>
        </w:rPr>
        <w:t>le contenu</w:t>
      </w:r>
      <w:r w:rsidRPr="005A35D8">
        <w:t xml:space="preserve"> </w:t>
      </w:r>
      <w:r w:rsidRPr="005A35D8">
        <w:rPr>
          <w:rStyle w:val="hps"/>
        </w:rPr>
        <w:t>de</w:t>
      </w:r>
      <w:r w:rsidRPr="005A35D8">
        <w:t xml:space="preserve"> </w:t>
      </w:r>
      <w:r w:rsidRPr="005A35D8">
        <w:rPr>
          <w:rStyle w:val="hps"/>
        </w:rPr>
        <w:t>la politique en matière de placements</w:t>
      </w:r>
      <w:r w:rsidRPr="005A35D8">
        <w:t xml:space="preserve">, la stratégie, </w:t>
      </w:r>
      <w:r w:rsidRPr="005A35D8">
        <w:rPr>
          <w:rStyle w:val="hps"/>
        </w:rPr>
        <w:t>la répartition des actifs</w:t>
      </w:r>
      <w:r w:rsidRPr="005A35D8">
        <w:t xml:space="preserve">, les critères </w:t>
      </w:r>
      <w:r w:rsidRPr="005A35D8">
        <w:rPr>
          <w:rStyle w:val="hps"/>
        </w:rPr>
        <w:t>de performance appropriés</w:t>
      </w:r>
      <w:r w:rsidRPr="005A35D8">
        <w:t xml:space="preserve"> </w:t>
      </w:r>
      <w:r w:rsidRPr="005A35D8">
        <w:rPr>
          <w:rStyle w:val="hps"/>
        </w:rPr>
        <w:t>et</w:t>
      </w:r>
      <w:r w:rsidRPr="005A35D8">
        <w:t xml:space="preserve"> </w:t>
      </w:r>
      <w:r w:rsidRPr="005A35D8">
        <w:rPr>
          <w:rStyle w:val="hps"/>
        </w:rPr>
        <w:t>les directives de placement</w:t>
      </w:r>
      <w:r w:rsidRPr="005A35D8">
        <w:t xml:space="preserve">.  </w:t>
      </w:r>
      <w:r w:rsidRPr="005A35D8">
        <w:rPr>
          <w:rStyle w:val="hps"/>
        </w:rPr>
        <w:t>Ses responsabilités</w:t>
      </w:r>
      <w:r w:rsidRPr="005A35D8">
        <w:t xml:space="preserve"> </w:t>
      </w:r>
      <w:r w:rsidRPr="005A35D8">
        <w:rPr>
          <w:rStyle w:val="hps"/>
        </w:rPr>
        <w:t>sont les suivantes </w:t>
      </w:r>
      <w:r w:rsidR="00490611" w:rsidRPr="005A35D8">
        <w:rPr>
          <w:rStyle w:val="hps"/>
        </w:rPr>
        <w:t>:</w:t>
      </w:r>
    </w:p>
    <w:p w:rsidR="000243E3" w:rsidRPr="005A35D8" w:rsidRDefault="000243E3" w:rsidP="00A46961">
      <w:pPr>
        <w:pStyle w:val="ListParagraph"/>
        <w:keepNext/>
        <w:numPr>
          <w:ilvl w:val="0"/>
          <w:numId w:val="8"/>
        </w:numPr>
        <w:tabs>
          <w:tab w:val="left" w:pos="1134"/>
        </w:tabs>
        <w:spacing w:before="120" w:after="120"/>
        <w:outlineLvl w:val="1"/>
        <w:rPr>
          <w:bCs/>
          <w:iCs/>
          <w:szCs w:val="28"/>
          <w:u w:val="single"/>
          <w:lang w:eastAsia="en-US"/>
        </w:rPr>
      </w:pPr>
      <w:r w:rsidRPr="005A35D8">
        <w:rPr>
          <w:bCs/>
          <w:iCs/>
          <w:szCs w:val="28"/>
          <w:u w:val="single"/>
          <w:lang w:eastAsia="en-US"/>
        </w:rPr>
        <w:t>Exécution et suivi de la politique en matière de placements</w:t>
      </w:r>
    </w:p>
    <w:p w:rsidR="00B17240" w:rsidRPr="005A35D8" w:rsidRDefault="00B17240" w:rsidP="0067327D">
      <w:pPr>
        <w:pStyle w:val="ONUME"/>
        <w:spacing w:after="240"/>
        <w:ind w:left="1134"/>
        <w:rPr>
          <w:rFonts w:eastAsia="Times New Roman"/>
          <w:lang w:eastAsia="en-US"/>
        </w:rPr>
      </w:pPr>
      <w:r w:rsidRPr="005A35D8">
        <w:t xml:space="preserve">Le </w:t>
      </w:r>
      <w:r w:rsidRPr="005A35D8">
        <w:rPr>
          <w:rStyle w:val="hps"/>
        </w:rPr>
        <w:t xml:space="preserve">Comité consultatif des investissements </w:t>
      </w:r>
      <w:r w:rsidRPr="005A35D8">
        <w:t xml:space="preserve">est chargé de superviser la mise en </w:t>
      </w:r>
      <w:r w:rsidRPr="005A35D8">
        <w:rPr>
          <w:rStyle w:val="hps"/>
        </w:rPr>
        <w:t>œuvre de la politique en matière de placements et de suivre</w:t>
      </w:r>
      <w:r w:rsidRPr="005A35D8">
        <w:t xml:space="preserve"> tous les aspects relatifs à la politique </w:t>
      </w:r>
      <w:r w:rsidRPr="005A35D8">
        <w:rPr>
          <w:rStyle w:val="hps"/>
        </w:rPr>
        <w:t>en matière de placements</w:t>
      </w:r>
      <w:r w:rsidRPr="005A35D8">
        <w:t>.  Les travaux qu</w:t>
      </w:r>
      <w:r w:rsidR="00295456" w:rsidRPr="005A35D8">
        <w:t>’</w:t>
      </w:r>
      <w:r w:rsidRPr="005A35D8">
        <w:t>il entreprend reposent sur les propositions, les rapports et les recherches du trésorier et aboutissent à des recommandations du Comité consultatif des investissements au Directeur général</w:t>
      </w:r>
      <w:r w:rsidRPr="005A35D8">
        <w:rPr>
          <w:rFonts w:eastAsia="Times New Roman"/>
          <w:lang w:eastAsia="en-US"/>
        </w:rPr>
        <w:t>.</w:t>
      </w:r>
    </w:p>
    <w:p w:rsidR="00B17240" w:rsidRPr="005A35D8" w:rsidRDefault="00B17240" w:rsidP="00A46961">
      <w:pPr>
        <w:pStyle w:val="ListParagraph"/>
        <w:keepNext/>
        <w:numPr>
          <w:ilvl w:val="0"/>
          <w:numId w:val="8"/>
        </w:numPr>
        <w:tabs>
          <w:tab w:val="left" w:pos="1134"/>
        </w:tabs>
        <w:spacing w:before="120" w:after="120"/>
        <w:outlineLvl w:val="1"/>
        <w:rPr>
          <w:bCs/>
          <w:iCs/>
          <w:szCs w:val="28"/>
          <w:u w:val="single"/>
          <w:lang w:eastAsia="en-US"/>
        </w:rPr>
      </w:pPr>
      <w:r w:rsidRPr="005A35D8">
        <w:rPr>
          <w:bCs/>
          <w:iCs/>
          <w:szCs w:val="28"/>
          <w:u w:val="single"/>
          <w:lang w:eastAsia="en-US"/>
        </w:rPr>
        <w:t>Examen et mise à jour de la politique en matière de placements</w:t>
      </w:r>
    </w:p>
    <w:p w:rsidR="00B17240" w:rsidRPr="005A35D8" w:rsidRDefault="00B17240" w:rsidP="0067327D">
      <w:pPr>
        <w:pStyle w:val="ONUME"/>
        <w:tabs>
          <w:tab w:val="left" w:pos="1170"/>
        </w:tabs>
        <w:spacing w:after="240"/>
        <w:ind w:left="1134"/>
        <w:rPr>
          <w:rFonts w:eastAsia="Times New Roman"/>
          <w:szCs w:val="22"/>
          <w:lang w:eastAsia="en-US"/>
        </w:rPr>
      </w:pPr>
      <w:r w:rsidRPr="005A35D8">
        <w:rPr>
          <w:rFonts w:eastAsia="Times New Roman"/>
          <w:lang w:eastAsia="en-US"/>
        </w:rPr>
        <w:t xml:space="preserve">La </w:t>
      </w:r>
      <w:r w:rsidRPr="005A35D8">
        <w:rPr>
          <w:rFonts w:eastAsia="Times New Roman"/>
          <w:szCs w:val="22"/>
          <w:lang w:eastAsia="en-US"/>
        </w:rPr>
        <w:t xml:space="preserve">politique en matière de placements </w:t>
      </w:r>
      <w:r w:rsidRPr="005A35D8">
        <w:rPr>
          <w:szCs w:val="22"/>
        </w:rPr>
        <w:t>est examinée chaque année par le Comité consultatif des investissements sur la base des recommandations de modifications ou de mises à jour transmises par le contrôleur.  À la suite de cet examen, les recommandations du Comité consultatif des investissements sont soumises à l</w:t>
      </w:r>
      <w:r w:rsidR="00295456" w:rsidRPr="005A35D8">
        <w:rPr>
          <w:szCs w:val="22"/>
        </w:rPr>
        <w:t>’</w:t>
      </w:r>
      <w:r w:rsidRPr="005A35D8">
        <w:rPr>
          <w:szCs w:val="22"/>
        </w:rPr>
        <w:t xml:space="preserve">approbation du Directeur général puis à celle des États membres.  </w:t>
      </w:r>
      <w:r w:rsidRPr="005A35D8">
        <w:rPr>
          <w:rFonts w:eastAsia="Times New Roman"/>
          <w:szCs w:val="22"/>
          <w:lang w:eastAsia="en-US"/>
        </w:rPr>
        <w:t>La politique en matière de placements peut être soumise à des</w:t>
      </w:r>
      <w:r w:rsidRPr="005A35D8">
        <w:rPr>
          <w:szCs w:val="22"/>
        </w:rPr>
        <w:t xml:space="preserve"> examens spéciaux en raison de certaines conditions de marché ou d</w:t>
      </w:r>
      <w:r w:rsidR="00295456" w:rsidRPr="005A35D8">
        <w:rPr>
          <w:szCs w:val="22"/>
        </w:rPr>
        <w:t>’</w:t>
      </w:r>
      <w:r w:rsidRPr="005A35D8">
        <w:rPr>
          <w:szCs w:val="22"/>
        </w:rPr>
        <w:t>autres facteurs</w:t>
      </w:r>
      <w:r w:rsidRPr="005A35D8">
        <w:rPr>
          <w:rFonts w:eastAsia="Times New Roman"/>
          <w:szCs w:val="22"/>
          <w:lang w:eastAsia="en-US"/>
        </w:rPr>
        <w:t>.</w:t>
      </w:r>
    </w:p>
    <w:p w:rsidR="00B17240" w:rsidRPr="005A35D8" w:rsidRDefault="00B17240" w:rsidP="00A46961">
      <w:pPr>
        <w:pStyle w:val="ListParagraph"/>
        <w:keepNext/>
        <w:numPr>
          <w:ilvl w:val="0"/>
          <w:numId w:val="8"/>
        </w:numPr>
        <w:tabs>
          <w:tab w:val="left" w:pos="1134"/>
        </w:tabs>
        <w:spacing w:before="120" w:after="120"/>
        <w:outlineLvl w:val="1"/>
        <w:rPr>
          <w:bCs/>
          <w:iCs/>
          <w:szCs w:val="28"/>
          <w:u w:val="single"/>
          <w:lang w:eastAsia="en-US"/>
        </w:rPr>
      </w:pPr>
      <w:r w:rsidRPr="005A35D8">
        <w:rPr>
          <w:bCs/>
          <w:iCs/>
          <w:szCs w:val="28"/>
          <w:u w:val="single"/>
          <w:lang w:eastAsia="en-US"/>
        </w:rPr>
        <w:t>Engagement et renvoi des gestionnaires de fonds extérieurs et du dépositaire</w:t>
      </w:r>
    </w:p>
    <w:p w:rsidR="00B17240" w:rsidRPr="005A35D8" w:rsidRDefault="00B17240" w:rsidP="0067327D">
      <w:pPr>
        <w:pStyle w:val="ONUME"/>
        <w:spacing w:after="0"/>
        <w:ind w:left="1134"/>
        <w:rPr>
          <w:rFonts w:eastAsia="Times New Roman"/>
          <w:lang w:eastAsia="en-US"/>
        </w:rPr>
      </w:pPr>
      <w:r w:rsidRPr="005A35D8">
        <w:rPr>
          <w:rStyle w:val="hps"/>
        </w:rPr>
        <w:t>Le Comité consultatif des investissements</w:t>
      </w:r>
      <w:r w:rsidRPr="005A35D8">
        <w:rPr>
          <w:rFonts w:eastAsia="Times New Roman"/>
          <w:lang w:eastAsia="en-US"/>
        </w:rPr>
        <w:t xml:space="preserve">, </w:t>
      </w:r>
      <w:r w:rsidRPr="005A35D8">
        <w:t>sur approbation du Directeur général, est responsable de l</w:t>
      </w:r>
      <w:r w:rsidR="00295456" w:rsidRPr="005A35D8">
        <w:t>’</w:t>
      </w:r>
      <w:r w:rsidRPr="005A35D8">
        <w:t>engagement et du renvoi des gestionnaires de fonds extérieurs et du dépositaire (défini au paragraphe 17</w:t>
      </w:r>
      <w:r w:rsidRPr="005A35D8">
        <w:rPr>
          <w:rFonts w:eastAsia="Times New Roman"/>
          <w:lang w:eastAsia="en-US"/>
        </w:rPr>
        <w:t>).</w:t>
      </w:r>
    </w:p>
    <w:p w:rsidR="00B17240" w:rsidRPr="005A35D8" w:rsidRDefault="00B17240" w:rsidP="0067327D">
      <w:pPr>
        <w:ind w:left="1134"/>
        <w:contextualSpacing/>
        <w:rPr>
          <w:rFonts w:eastAsia="Times New Roman"/>
          <w:szCs w:val="22"/>
          <w:lang w:eastAsia="en-US"/>
        </w:rPr>
      </w:pPr>
    </w:p>
    <w:p w:rsidR="00B17240" w:rsidRPr="005A35D8" w:rsidRDefault="00B17240" w:rsidP="0067327D">
      <w:pPr>
        <w:pStyle w:val="ONUME"/>
        <w:spacing w:after="0"/>
        <w:ind w:left="1134"/>
        <w:rPr>
          <w:rFonts w:eastAsia="Times New Roman"/>
          <w:szCs w:val="22"/>
          <w:lang w:eastAsia="en-US"/>
        </w:rPr>
      </w:pPr>
      <w:r w:rsidRPr="005A35D8">
        <w:rPr>
          <w:szCs w:val="22"/>
        </w:rPr>
        <w:t>Pour la sélection des gestionnaires de fonds extérieurs et du dépositaire, un appel à propositions a lieu conformément au cadre institutionnel applicable aux achats.  L</w:t>
      </w:r>
      <w:r w:rsidR="00295456" w:rsidRPr="005A35D8">
        <w:rPr>
          <w:szCs w:val="22"/>
        </w:rPr>
        <w:t>’</w:t>
      </w:r>
      <w:r w:rsidRPr="005A35D8">
        <w:rPr>
          <w:szCs w:val="22"/>
        </w:rPr>
        <w:t>évaluation des propositions reçues ainsi que les recommandations y afférentes sont soumises au Comité consultatif des investissements pour examen final</w:t>
      </w:r>
      <w:r w:rsidRPr="005A35D8">
        <w:rPr>
          <w:rFonts w:eastAsia="Times New Roman"/>
          <w:szCs w:val="22"/>
          <w:lang w:eastAsia="en-US"/>
        </w:rPr>
        <w:t>.</w:t>
      </w:r>
    </w:p>
    <w:p w:rsidR="00B17240" w:rsidRPr="005A35D8" w:rsidRDefault="00B17240" w:rsidP="0067327D">
      <w:pPr>
        <w:ind w:left="1134"/>
        <w:contextualSpacing/>
        <w:rPr>
          <w:rFonts w:eastAsia="Times New Roman"/>
          <w:szCs w:val="22"/>
          <w:lang w:eastAsia="en-US"/>
        </w:rPr>
      </w:pPr>
    </w:p>
    <w:p w:rsidR="00B17240" w:rsidRPr="005A35D8" w:rsidRDefault="00B17240" w:rsidP="0067327D">
      <w:pPr>
        <w:pStyle w:val="ONUME"/>
        <w:spacing w:after="0"/>
        <w:ind w:left="1134"/>
        <w:rPr>
          <w:rFonts w:eastAsia="Times New Roman"/>
          <w:szCs w:val="22"/>
          <w:lang w:eastAsia="en-US"/>
        </w:rPr>
      </w:pPr>
      <w:r w:rsidRPr="005A35D8">
        <w:rPr>
          <w:szCs w:val="22"/>
        </w:rPr>
        <w:t>Les gestionnaires de fonds extérieurs doivent remplir les conditions initiales suivantes pour accéder au processus de sélection </w:t>
      </w:r>
      <w:r w:rsidRPr="005A35D8">
        <w:rPr>
          <w:rFonts w:eastAsia="Times New Roman"/>
          <w:szCs w:val="22"/>
          <w:lang w:eastAsia="en-US"/>
        </w:rPr>
        <w:t>:</w:t>
      </w:r>
    </w:p>
    <w:p w:rsidR="00B17240" w:rsidRPr="005A35D8" w:rsidRDefault="00B17240" w:rsidP="0067327D">
      <w:pPr>
        <w:ind w:left="1134"/>
        <w:rPr>
          <w:rFonts w:eastAsia="Times New Roman"/>
          <w:szCs w:val="22"/>
          <w:lang w:eastAsia="en-US"/>
        </w:rPr>
      </w:pPr>
    </w:p>
    <w:p w:rsidR="00B17240" w:rsidRPr="005A35D8" w:rsidRDefault="00B17240" w:rsidP="0044721B">
      <w:pPr>
        <w:pStyle w:val="ONUME"/>
        <w:numPr>
          <w:ilvl w:val="0"/>
          <w:numId w:val="11"/>
        </w:numPr>
        <w:tabs>
          <w:tab w:val="left" w:pos="1980"/>
        </w:tabs>
        <w:spacing w:after="0"/>
        <w:rPr>
          <w:rFonts w:eastAsia="Times New Roman"/>
          <w:szCs w:val="22"/>
          <w:lang w:eastAsia="en-US"/>
        </w:rPr>
      </w:pPr>
      <w:r w:rsidRPr="005A35D8">
        <w:rPr>
          <w:szCs w:val="22"/>
        </w:rPr>
        <w:lastRenderedPageBreak/>
        <w:t xml:space="preserve">Le gestionnaire doit se conformer à la législation et la réglementation en vigueur dans le pays concerné en matière de services financiers, </w:t>
      </w:r>
      <w:r w:rsidR="00295456" w:rsidRPr="005A35D8">
        <w:rPr>
          <w:szCs w:val="22"/>
        </w:rPr>
        <w:t>y compris</w:t>
      </w:r>
      <w:r w:rsidRPr="005A35D8">
        <w:rPr>
          <w:szCs w:val="22"/>
        </w:rPr>
        <w:t xml:space="preserve"> à l</w:t>
      </w:r>
      <w:r w:rsidR="00295456" w:rsidRPr="005A35D8">
        <w:rPr>
          <w:szCs w:val="22"/>
        </w:rPr>
        <w:t>’</w:t>
      </w:r>
      <w:r w:rsidRPr="005A35D8">
        <w:rPr>
          <w:szCs w:val="22"/>
        </w:rPr>
        <w:t>autorité de l</w:t>
      </w:r>
      <w:r w:rsidR="00295456" w:rsidRPr="005A35D8">
        <w:rPr>
          <w:szCs w:val="22"/>
        </w:rPr>
        <w:t>’</w:t>
      </w:r>
      <w:r w:rsidRPr="005A35D8">
        <w:rPr>
          <w:szCs w:val="22"/>
        </w:rPr>
        <w:t>organisme de réglementation compétent</w:t>
      </w:r>
      <w:r w:rsidRPr="005A35D8">
        <w:rPr>
          <w:rFonts w:eastAsia="Times New Roman"/>
          <w:szCs w:val="22"/>
          <w:lang w:eastAsia="en-US"/>
        </w:rPr>
        <w:t>;</w:t>
      </w:r>
    </w:p>
    <w:p w:rsidR="00B17240" w:rsidRPr="005A35D8" w:rsidRDefault="00B17240" w:rsidP="00A46961">
      <w:pPr>
        <w:tabs>
          <w:tab w:val="left" w:pos="1980"/>
        </w:tabs>
        <w:rPr>
          <w:rFonts w:eastAsia="Times New Roman"/>
          <w:szCs w:val="22"/>
          <w:lang w:eastAsia="en-US"/>
        </w:rPr>
      </w:pPr>
    </w:p>
    <w:p w:rsidR="00B17240" w:rsidRPr="00641C5C" w:rsidRDefault="00B17240" w:rsidP="00A46961">
      <w:pPr>
        <w:pStyle w:val="ONUME"/>
        <w:numPr>
          <w:ilvl w:val="0"/>
          <w:numId w:val="11"/>
        </w:numPr>
        <w:tabs>
          <w:tab w:val="left" w:pos="1980"/>
        </w:tabs>
        <w:spacing w:after="0"/>
        <w:rPr>
          <w:rFonts w:eastAsia="Times New Roman"/>
          <w:szCs w:val="22"/>
          <w:lang w:eastAsia="en-US"/>
        </w:rPr>
      </w:pPr>
      <w:r w:rsidRPr="00641C5C">
        <w:rPr>
          <w:szCs w:val="22"/>
        </w:rPr>
        <w:t>Le gestionnaire doit s</w:t>
      </w:r>
      <w:r w:rsidR="00295456" w:rsidRPr="00641C5C">
        <w:rPr>
          <w:szCs w:val="22"/>
        </w:rPr>
        <w:t>’</w:t>
      </w:r>
      <w:r w:rsidRPr="00641C5C">
        <w:rPr>
          <w:szCs w:val="22"/>
        </w:rPr>
        <w:t>efforcer de se conformer aux normes</w:t>
      </w:r>
      <w:r w:rsidR="00085D20" w:rsidRPr="00641C5C">
        <w:rPr>
          <w:szCs w:val="22"/>
        </w:rPr>
        <w:t> </w:t>
      </w:r>
      <w:r w:rsidRPr="00641C5C">
        <w:rPr>
          <w:szCs w:val="22"/>
        </w:rPr>
        <w:t>GIPS (ou Normes internationales de présentation des performances)</w:t>
      </w:r>
      <w:r w:rsidR="00AD28F0" w:rsidRPr="005A35D8">
        <w:rPr>
          <w:rStyle w:val="FootnoteReference"/>
          <w:szCs w:val="22"/>
        </w:rPr>
        <w:footnoteReference w:id="7"/>
      </w:r>
      <w:r w:rsidRPr="00641C5C">
        <w:rPr>
          <w:rFonts w:eastAsia="Times New Roman"/>
          <w:szCs w:val="22"/>
          <w:lang w:eastAsia="en-US"/>
        </w:rPr>
        <w:t xml:space="preserve"> </w:t>
      </w:r>
      <w:r w:rsidRPr="00641C5C">
        <w:rPr>
          <w:szCs w:val="22"/>
        </w:rPr>
        <w:t>et de fournir au minimum des historiques trimestriels de performances, lesquelles sont déclarées nettes et brutes des honoraires</w:t>
      </w:r>
      <w:r w:rsidRPr="00641C5C">
        <w:rPr>
          <w:rFonts w:eastAsia="Times New Roman"/>
          <w:szCs w:val="22"/>
          <w:lang w:eastAsia="en-US"/>
        </w:rPr>
        <w:t>;</w:t>
      </w:r>
    </w:p>
    <w:p w:rsidR="00B17240" w:rsidRPr="005A35D8" w:rsidRDefault="00B17240" w:rsidP="00A46961">
      <w:pPr>
        <w:tabs>
          <w:tab w:val="left" w:pos="1980"/>
        </w:tabs>
        <w:contextualSpacing/>
        <w:rPr>
          <w:rFonts w:eastAsia="Times New Roman"/>
          <w:szCs w:val="22"/>
          <w:lang w:eastAsia="en-US"/>
        </w:rPr>
      </w:pPr>
    </w:p>
    <w:p w:rsidR="00B17240" w:rsidRPr="005A35D8" w:rsidRDefault="00B17240" w:rsidP="00A46961">
      <w:pPr>
        <w:pStyle w:val="ONUME"/>
        <w:numPr>
          <w:ilvl w:val="0"/>
          <w:numId w:val="11"/>
        </w:numPr>
        <w:tabs>
          <w:tab w:val="left" w:pos="1980"/>
        </w:tabs>
        <w:spacing w:after="0"/>
        <w:rPr>
          <w:rFonts w:eastAsia="Times New Roman"/>
          <w:szCs w:val="22"/>
          <w:lang w:eastAsia="en-US"/>
        </w:rPr>
      </w:pPr>
      <w:r w:rsidRPr="005A35D8">
        <w:rPr>
          <w:szCs w:val="22"/>
        </w:rPr>
        <w:t>Le gestionnaire doit fournir des informations détaillées sur l</w:t>
      </w:r>
      <w:r w:rsidR="00295456" w:rsidRPr="005A35D8">
        <w:rPr>
          <w:szCs w:val="22"/>
        </w:rPr>
        <w:t>’</w:t>
      </w:r>
      <w:r w:rsidRPr="005A35D8">
        <w:rPr>
          <w:szCs w:val="22"/>
        </w:rPr>
        <w:t>histoire de l</w:t>
      </w:r>
      <w:r w:rsidR="00295456" w:rsidRPr="005A35D8">
        <w:rPr>
          <w:szCs w:val="22"/>
        </w:rPr>
        <w:t>’</w:t>
      </w:r>
      <w:r w:rsidRPr="005A35D8">
        <w:rPr>
          <w:szCs w:val="22"/>
        </w:rPr>
        <w:t>entreprise, ses principaux membres du personnel, ses principaux clients, son barème d</w:t>
      </w:r>
      <w:r w:rsidR="00295456" w:rsidRPr="005A35D8">
        <w:rPr>
          <w:szCs w:val="22"/>
        </w:rPr>
        <w:t>’</w:t>
      </w:r>
      <w:r w:rsidRPr="005A35D8">
        <w:rPr>
          <w:szCs w:val="22"/>
        </w:rPr>
        <w:t>honoraires et son personnel de soutien</w:t>
      </w:r>
      <w:r w:rsidRPr="005A35D8">
        <w:rPr>
          <w:rFonts w:eastAsia="Times New Roman"/>
          <w:szCs w:val="22"/>
          <w:lang w:eastAsia="en-US"/>
        </w:rPr>
        <w:t>;</w:t>
      </w:r>
    </w:p>
    <w:p w:rsidR="00B17240" w:rsidRPr="005A35D8" w:rsidRDefault="00B17240" w:rsidP="00A46961">
      <w:pPr>
        <w:tabs>
          <w:tab w:val="left" w:pos="1980"/>
        </w:tabs>
        <w:contextualSpacing/>
        <w:rPr>
          <w:rFonts w:eastAsia="Times New Roman"/>
          <w:szCs w:val="22"/>
          <w:lang w:eastAsia="en-US"/>
        </w:rPr>
      </w:pPr>
    </w:p>
    <w:p w:rsidR="00B17240" w:rsidRPr="005A35D8" w:rsidRDefault="00B17240" w:rsidP="00A46961">
      <w:pPr>
        <w:pStyle w:val="ONUME"/>
        <w:numPr>
          <w:ilvl w:val="0"/>
          <w:numId w:val="11"/>
        </w:numPr>
        <w:tabs>
          <w:tab w:val="left" w:pos="1980"/>
        </w:tabs>
        <w:spacing w:after="0"/>
        <w:rPr>
          <w:rFonts w:eastAsia="Times New Roman"/>
          <w:szCs w:val="22"/>
          <w:lang w:eastAsia="en-US"/>
        </w:rPr>
      </w:pPr>
      <w:r w:rsidRPr="005A35D8">
        <w:rPr>
          <w:szCs w:val="22"/>
        </w:rPr>
        <w:t>Le gestionnaire doit expliciter la stratégie qui sera adoptée en matière de placements et démontrer que la stratégie adoptée a été respectée au fil du temps</w:t>
      </w:r>
      <w:r w:rsidRPr="005A35D8">
        <w:rPr>
          <w:rFonts w:eastAsia="Times New Roman"/>
          <w:szCs w:val="22"/>
          <w:lang w:eastAsia="en-US"/>
        </w:rPr>
        <w:t>.</w:t>
      </w:r>
    </w:p>
    <w:p w:rsidR="00B17240" w:rsidRPr="005A35D8" w:rsidRDefault="00B17240" w:rsidP="0067327D">
      <w:pPr>
        <w:ind w:left="1134"/>
        <w:rPr>
          <w:rFonts w:eastAsia="Times New Roman"/>
          <w:szCs w:val="22"/>
          <w:lang w:eastAsia="en-US"/>
        </w:rPr>
      </w:pPr>
    </w:p>
    <w:p w:rsidR="00B17240" w:rsidRPr="005A35D8" w:rsidRDefault="00B17240" w:rsidP="0067327D">
      <w:pPr>
        <w:pStyle w:val="ONUME"/>
        <w:spacing w:after="0"/>
        <w:ind w:left="1134"/>
        <w:rPr>
          <w:rFonts w:eastAsia="Times New Roman"/>
          <w:szCs w:val="22"/>
          <w:lang w:eastAsia="en-US"/>
        </w:rPr>
      </w:pPr>
      <w:r w:rsidRPr="005A35D8">
        <w:rPr>
          <w:szCs w:val="22"/>
        </w:rPr>
        <w:t>Les gestionnaires de fonds extérieurs sélectionnés sont officiellement engagés à compter de la signature de leurs contrats de gestion de placements.  Ces contrats décrivent en détail les responsabilités des gestionnaires de fonds</w:t>
      </w:r>
      <w:r w:rsidRPr="005A35D8">
        <w:rPr>
          <w:rFonts w:eastAsia="Times New Roman"/>
          <w:szCs w:val="22"/>
          <w:vertAlign w:val="superscript"/>
          <w:lang w:eastAsia="en-US"/>
        </w:rPr>
        <w:footnoteReference w:id="8"/>
      </w:r>
      <w:r w:rsidRPr="005A35D8">
        <w:rPr>
          <w:rFonts w:eastAsia="Times New Roman"/>
          <w:szCs w:val="22"/>
          <w:lang w:eastAsia="en-US"/>
        </w:rPr>
        <w:t xml:space="preserve">.  </w:t>
      </w:r>
      <w:r w:rsidRPr="005A35D8">
        <w:rPr>
          <w:szCs w:val="22"/>
        </w:rPr>
        <w:t>Sur recommandation du Comité consultatif des investissements, lesdits contrats sont signés au nom de l</w:t>
      </w:r>
      <w:r w:rsidR="00295456" w:rsidRPr="005A35D8">
        <w:rPr>
          <w:szCs w:val="22"/>
        </w:rPr>
        <w:t>’</w:t>
      </w:r>
      <w:r w:rsidRPr="005A35D8">
        <w:rPr>
          <w:szCs w:val="22"/>
        </w:rPr>
        <w:t>OMPI conformément au cadre institutionnel applicable aux achats</w:t>
      </w:r>
      <w:r w:rsidRPr="005A35D8">
        <w:rPr>
          <w:rFonts w:eastAsia="Times New Roman"/>
          <w:szCs w:val="22"/>
          <w:lang w:eastAsia="en-US"/>
        </w:rPr>
        <w:t>.</w:t>
      </w:r>
    </w:p>
    <w:p w:rsidR="00B17240" w:rsidRPr="005A35D8" w:rsidRDefault="00B17240" w:rsidP="0067327D">
      <w:pPr>
        <w:pStyle w:val="ONUME"/>
        <w:spacing w:after="0"/>
        <w:ind w:left="1134"/>
        <w:rPr>
          <w:rFonts w:eastAsia="Times New Roman"/>
          <w:szCs w:val="22"/>
          <w:lang w:eastAsia="en-US"/>
        </w:rPr>
      </w:pPr>
    </w:p>
    <w:p w:rsidR="00B17240" w:rsidRPr="005A35D8" w:rsidRDefault="00B17240" w:rsidP="00A46961">
      <w:pPr>
        <w:pStyle w:val="ListParagraph"/>
        <w:keepNext/>
        <w:numPr>
          <w:ilvl w:val="0"/>
          <w:numId w:val="8"/>
        </w:numPr>
        <w:tabs>
          <w:tab w:val="left" w:pos="1134"/>
        </w:tabs>
        <w:spacing w:before="120" w:after="120"/>
        <w:outlineLvl w:val="1"/>
        <w:rPr>
          <w:bCs/>
          <w:szCs w:val="22"/>
          <w:u w:val="single"/>
          <w:lang w:eastAsia="en-US"/>
        </w:rPr>
      </w:pPr>
      <w:r w:rsidRPr="005A35D8">
        <w:rPr>
          <w:bCs/>
          <w:iCs/>
          <w:szCs w:val="28"/>
          <w:u w:val="single"/>
          <w:lang w:eastAsia="en-US"/>
        </w:rPr>
        <w:t>Suivi</w:t>
      </w:r>
      <w:r w:rsidRPr="005A35D8">
        <w:rPr>
          <w:szCs w:val="22"/>
          <w:u w:val="single"/>
        </w:rPr>
        <w:t xml:space="preserve"> des gestionnaires de fonds extérieurs et du dépositaire</w:t>
      </w:r>
    </w:p>
    <w:p w:rsidR="00B17240" w:rsidRPr="005A35D8" w:rsidRDefault="00B17240" w:rsidP="0067327D">
      <w:pPr>
        <w:pStyle w:val="ONUME"/>
        <w:spacing w:after="0"/>
        <w:ind w:left="1134"/>
        <w:rPr>
          <w:rFonts w:eastAsia="Times New Roman"/>
          <w:szCs w:val="22"/>
          <w:lang w:eastAsia="en-US"/>
        </w:rPr>
      </w:pPr>
      <w:r w:rsidRPr="005A35D8">
        <w:rPr>
          <w:szCs w:val="22"/>
        </w:rPr>
        <w:t xml:space="preserve">Le Comité consultatif des investissements, qui relève du Directeur général, veille à ce que les gestionnaires de fonds nommés remplissent leur mandat selon les obligations contractuelles énoncées dans le contrat de gestion de placements concerné, </w:t>
      </w:r>
      <w:r w:rsidR="00295456" w:rsidRPr="005A35D8">
        <w:rPr>
          <w:szCs w:val="22"/>
        </w:rPr>
        <w:t>y compris</w:t>
      </w:r>
      <w:r w:rsidRPr="005A35D8">
        <w:rPr>
          <w:szCs w:val="22"/>
        </w:rPr>
        <w:t xml:space="preserve"> dans les directives de placement figurant dans chaque contrat.  Ce travail se fera sur la base des rapports trimestriels envoyés par le Trésorier concernant les performances des gestionnaires de fonds extérieurs par rapport aux critères de performance et autres indicateurs de performance et sur la base des statistiques de performance et de risque fournies par le dépositaire.  Le Comité consultatif des investissements entreprend un examen trimestriel (ou spécial, au besoin) des stratégies en matière de placements et tient régulièrement des réunions d</w:t>
      </w:r>
      <w:r w:rsidR="00295456" w:rsidRPr="005A35D8">
        <w:rPr>
          <w:szCs w:val="22"/>
        </w:rPr>
        <w:t>’</w:t>
      </w:r>
      <w:r w:rsidRPr="005A35D8">
        <w:rPr>
          <w:szCs w:val="22"/>
        </w:rPr>
        <w:t>examen avec les gestionnaires de fonds extérieurs et d</w:t>
      </w:r>
      <w:r w:rsidR="00295456" w:rsidRPr="005A35D8">
        <w:rPr>
          <w:szCs w:val="22"/>
        </w:rPr>
        <w:t>’</w:t>
      </w:r>
      <w:r w:rsidRPr="005A35D8">
        <w:rPr>
          <w:szCs w:val="22"/>
        </w:rPr>
        <w:t>autres prestataires de services</w:t>
      </w:r>
      <w:r w:rsidRPr="005A35D8">
        <w:rPr>
          <w:rFonts w:eastAsia="Times New Roman"/>
          <w:szCs w:val="22"/>
          <w:lang w:eastAsia="en-US"/>
        </w:rPr>
        <w:t>.</w:t>
      </w:r>
    </w:p>
    <w:p w:rsidR="00B17240" w:rsidRPr="005A35D8" w:rsidRDefault="00B17240" w:rsidP="0067327D">
      <w:pPr>
        <w:ind w:left="1134"/>
        <w:contextualSpacing/>
        <w:rPr>
          <w:rFonts w:eastAsia="Times New Roman"/>
          <w:szCs w:val="22"/>
          <w:lang w:eastAsia="en-US"/>
        </w:rPr>
      </w:pPr>
    </w:p>
    <w:p w:rsidR="00B17240" w:rsidRPr="005A35D8" w:rsidRDefault="00B17240" w:rsidP="00A46961">
      <w:pPr>
        <w:pStyle w:val="ListParagraph"/>
        <w:keepNext/>
        <w:numPr>
          <w:ilvl w:val="0"/>
          <w:numId w:val="8"/>
        </w:numPr>
        <w:tabs>
          <w:tab w:val="left" w:pos="1134"/>
        </w:tabs>
        <w:spacing w:before="120" w:after="120"/>
        <w:outlineLvl w:val="1"/>
        <w:rPr>
          <w:rFonts w:eastAsia="Times New Roman"/>
          <w:szCs w:val="22"/>
          <w:lang w:eastAsia="en-US"/>
        </w:rPr>
      </w:pPr>
      <w:r w:rsidRPr="005A35D8">
        <w:rPr>
          <w:szCs w:val="22"/>
        </w:rPr>
        <w:t>S</w:t>
      </w:r>
      <w:r w:rsidR="00295456" w:rsidRPr="005A35D8">
        <w:rPr>
          <w:szCs w:val="22"/>
        </w:rPr>
        <w:t>’</w:t>
      </w:r>
      <w:r w:rsidRPr="005A35D8">
        <w:rPr>
          <w:szCs w:val="22"/>
        </w:rPr>
        <w:t>agissant au dépositaire, le Comité consultatif des investissements, sur la base des rapports envoyés par le Trésorier et des rapports au Directeur général, se charge des aspects suivants </w:t>
      </w:r>
      <w:r w:rsidRPr="005A35D8">
        <w:rPr>
          <w:rFonts w:eastAsia="Times New Roman"/>
          <w:szCs w:val="22"/>
          <w:lang w:eastAsia="en-US"/>
        </w:rPr>
        <w:t>:</w:t>
      </w:r>
    </w:p>
    <w:p w:rsidR="00B17240" w:rsidRPr="005A35D8" w:rsidRDefault="00B17240" w:rsidP="00A46961">
      <w:pPr>
        <w:ind w:left="1134"/>
        <w:rPr>
          <w:rFonts w:eastAsia="Times New Roman"/>
          <w:szCs w:val="22"/>
          <w:lang w:eastAsia="en-US"/>
        </w:rPr>
      </w:pPr>
    </w:p>
    <w:p w:rsidR="00B17240" w:rsidRPr="005A35D8" w:rsidRDefault="00B17240" w:rsidP="00A46961">
      <w:pPr>
        <w:pStyle w:val="ONUME"/>
        <w:numPr>
          <w:ilvl w:val="0"/>
          <w:numId w:val="17"/>
        </w:numPr>
        <w:tabs>
          <w:tab w:val="left" w:pos="1980"/>
        </w:tabs>
        <w:spacing w:after="0"/>
        <w:rPr>
          <w:rFonts w:eastAsia="Times New Roman"/>
          <w:szCs w:val="22"/>
          <w:lang w:eastAsia="en-US"/>
        </w:rPr>
      </w:pPr>
      <w:r w:rsidRPr="005A35D8">
        <w:rPr>
          <w:szCs w:val="22"/>
        </w:rPr>
        <w:t>adhésion à l</w:t>
      </w:r>
      <w:r w:rsidR="00295456" w:rsidRPr="005A35D8">
        <w:rPr>
          <w:szCs w:val="22"/>
        </w:rPr>
        <w:t>’</w:t>
      </w:r>
      <w:r w:rsidRPr="005A35D8">
        <w:rPr>
          <w:szCs w:val="22"/>
        </w:rPr>
        <w:t>accord</w:t>
      </w:r>
      <w:r w:rsidR="00D14880" w:rsidRPr="005A35D8">
        <w:rPr>
          <w:szCs w:val="22"/>
        </w:rPr>
        <w:noBreakHyphen/>
      </w:r>
      <w:r w:rsidRPr="005A35D8">
        <w:rPr>
          <w:szCs w:val="22"/>
        </w:rPr>
        <w:t>cadre de garde</w:t>
      </w:r>
      <w:r w:rsidRPr="005A35D8">
        <w:rPr>
          <w:rFonts w:eastAsia="Times New Roman"/>
          <w:szCs w:val="22"/>
          <w:lang w:eastAsia="en-US"/>
        </w:rPr>
        <w:t>;</w:t>
      </w:r>
    </w:p>
    <w:p w:rsidR="00B17240" w:rsidRPr="005A35D8" w:rsidRDefault="00B17240" w:rsidP="00A46961">
      <w:pPr>
        <w:ind w:left="1134"/>
        <w:rPr>
          <w:rFonts w:eastAsia="Times New Roman"/>
          <w:szCs w:val="22"/>
          <w:lang w:eastAsia="en-US"/>
        </w:rPr>
      </w:pPr>
    </w:p>
    <w:p w:rsidR="00B17240" w:rsidRPr="005A35D8" w:rsidRDefault="00B17240" w:rsidP="00A46961">
      <w:pPr>
        <w:pStyle w:val="ONUME"/>
        <w:numPr>
          <w:ilvl w:val="0"/>
          <w:numId w:val="17"/>
        </w:numPr>
        <w:tabs>
          <w:tab w:val="left" w:pos="1980"/>
        </w:tabs>
        <w:spacing w:after="0"/>
        <w:rPr>
          <w:rFonts w:eastAsia="Times New Roman"/>
          <w:szCs w:val="22"/>
          <w:lang w:eastAsia="en-US"/>
        </w:rPr>
      </w:pPr>
      <w:r w:rsidRPr="005A35D8">
        <w:rPr>
          <w:szCs w:val="22"/>
        </w:rPr>
        <w:t>adhésion à l</w:t>
      </w:r>
      <w:r w:rsidR="00295456" w:rsidRPr="005A35D8">
        <w:rPr>
          <w:szCs w:val="22"/>
        </w:rPr>
        <w:t>’</w:t>
      </w:r>
      <w:r w:rsidRPr="005A35D8">
        <w:rPr>
          <w:szCs w:val="22"/>
        </w:rPr>
        <w:t>accord sur le niveau de services et aux critères de performance qui font partie de l</w:t>
      </w:r>
      <w:r w:rsidR="00295456" w:rsidRPr="005A35D8">
        <w:rPr>
          <w:szCs w:val="22"/>
        </w:rPr>
        <w:t>’</w:t>
      </w:r>
      <w:r w:rsidRPr="005A35D8">
        <w:rPr>
          <w:szCs w:val="22"/>
        </w:rPr>
        <w:t>accord</w:t>
      </w:r>
      <w:r w:rsidR="00D14880" w:rsidRPr="005A35D8">
        <w:rPr>
          <w:szCs w:val="22"/>
        </w:rPr>
        <w:noBreakHyphen/>
      </w:r>
      <w:r w:rsidRPr="005A35D8">
        <w:rPr>
          <w:szCs w:val="22"/>
        </w:rPr>
        <w:t>cadre de garde</w:t>
      </w:r>
      <w:r w:rsidRPr="005A35D8">
        <w:rPr>
          <w:rFonts w:eastAsia="Times New Roman"/>
          <w:szCs w:val="22"/>
          <w:lang w:eastAsia="en-US"/>
        </w:rPr>
        <w:t>;</w:t>
      </w:r>
    </w:p>
    <w:p w:rsidR="00B17240" w:rsidRPr="005A35D8" w:rsidRDefault="00B17240" w:rsidP="00A46961">
      <w:pPr>
        <w:ind w:left="1134"/>
        <w:contextualSpacing/>
        <w:rPr>
          <w:rFonts w:eastAsia="Times New Roman"/>
          <w:szCs w:val="22"/>
          <w:lang w:eastAsia="en-US"/>
        </w:rPr>
      </w:pPr>
    </w:p>
    <w:p w:rsidR="00B17240" w:rsidRPr="005A35D8" w:rsidRDefault="00B17240" w:rsidP="00A46961">
      <w:pPr>
        <w:pStyle w:val="ONUME"/>
        <w:numPr>
          <w:ilvl w:val="0"/>
          <w:numId w:val="17"/>
        </w:numPr>
        <w:tabs>
          <w:tab w:val="left" w:pos="1980"/>
        </w:tabs>
        <w:spacing w:after="0"/>
        <w:rPr>
          <w:rFonts w:eastAsia="Times New Roman"/>
          <w:szCs w:val="22"/>
          <w:lang w:eastAsia="en-US"/>
        </w:rPr>
      </w:pPr>
      <w:r w:rsidRPr="005A35D8">
        <w:rPr>
          <w:szCs w:val="22"/>
        </w:rPr>
        <w:lastRenderedPageBreak/>
        <w:t>réunions d</w:t>
      </w:r>
      <w:r w:rsidR="00295456" w:rsidRPr="005A35D8">
        <w:rPr>
          <w:szCs w:val="22"/>
        </w:rPr>
        <w:t>’</w:t>
      </w:r>
      <w:r w:rsidRPr="005A35D8">
        <w:rPr>
          <w:szCs w:val="22"/>
        </w:rPr>
        <w:t>examen de service régulières</w:t>
      </w:r>
      <w:r w:rsidRPr="005A35D8">
        <w:rPr>
          <w:rFonts w:eastAsia="Times New Roman"/>
          <w:szCs w:val="22"/>
          <w:lang w:eastAsia="en-US"/>
        </w:rPr>
        <w:t>.</w:t>
      </w:r>
    </w:p>
    <w:p w:rsidR="009C58C9" w:rsidRPr="005A35D8" w:rsidRDefault="009C58C9" w:rsidP="009C58C9">
      <w:pPr>
        <w:pStyle w:val="ONUME"/>
        <w:spacing w:after="0"/>
        <w:rPr>
          <w:rFonts w:eastAsia="Times New Roman"/>
          <w:szCs w:val="22"/>
          <w:lang w:eastAsia="en-US"/>
        </w:rPr>
      </w:pPr>
    </w:p>
    <w:p w:rsidR="00B17240" w:rsidRPr="005A35D8" w:rsidRDefault="00B17240" w:rsidP="00A46961">
      <w:pPr>
        <w:pStyle w:val="ListParagraph"/>
        <w:keepNext/>
        <w:numPr>
          <w:ilvl w:val="0"/>
          <w:numId w:val="8"/>
        </w:numPr>
        <w:tabs>
          <w:tab w:val="left" w:pos="1134"/>
        </w:tabs>
        <w:spacing w:before="120" w:after="120"/>
        <w:outlineLvl w:val="1"/>
        <w:rPr>
          <w:rFonts w:eastAsia="Times New Roman"/>
          <w:lang w:eastAsia="en-US"/>
        </w:rPr>
      </w:pPr>
      <w:r w:rsidRPr="005A35D8">
        <w:rPr>
          <w:bCs/>
          <w:szCs w:val="28"/>
          <w:u w:val="single"/>
          <w:lang w:eastAsia="en-US"/>
        </w:rPr>
        <w:t>Répartition des actifs</w:t>
      </w:r>
    </w:p>
    <w:p w:rsidR="00B17240" w:rsidRPr="005A35D8" w:rsidRDefault="00A70205" w:rsidP="0067327D">
      <w:pPr>
        <w:pStyle w:val="ONUME"/>
        <w:spacing w:after="0"/>
        <w:ind w:left="1134"/>
        <w:rPr>
          <w:rFonts w:eastAsia="Times New Roman"/>
          <w:lang w:eastAsia="en-US"/>
        </w:rPr>
      </w:pPr>
      <w:r w:rsidRPr="005A35D8">
        <w:rPr>
          <w:rStyle w:val="hps"/>
        </w:rPr>
        <w:t>La</w:t>
      </w:r>
      <w:r w:rsidRPr="005A35D8">
        <w:t xml:space="preserve"> </w:t>
      </w:r>
      <w:r w:rsidRPr="005A35D8">
        <w:rPr>
          <w:rStyle w:val="hps"/>
        </w:rPr>
        <w:t>répartition de</w:t>
      </w:r>
      <w:r w:rsidR="00CA5ED8" w:rsidRPr="005A35D8">
        <w:rPr>
          <w:rStyle w:val="hps"/>
        </w:rPr>
        <w:t xml:space="preserve">s </w:t>
      </w:r>
      <w:r w:rsidRPr="005A35D8">
        <w:rPr>
          <w:rStyle w:val="hps"/>
        </w:rPr>
        <w:t>actif</w:t>
      </w:r>
      <w:r w:rsidR="00CA5ED8" w:rsidRPr="005A35D8">
        <w:t xml:space="preserve">s en ce qui concerne la trésorerie stratégique </w:t>
      </w:r>
      <w:r w:rsidRPr="005A35D8">
        <w:rPr>
          <w:rStyle w:val="hps"/>
        </w:rPr>
        <w:t xml:space="preserve">est </w:t>
      </w:r>
      <w:r w:rsidR="00CA5ED8" w:rsidRPr="005A35D8">
        <w:rPr>
          <w:rStyle w:val="hps"/>
        </w:rPr>
        <w:t>déterminée</w:t>
      </w:r>
      <w:r w:rsidRPr="005A35D8">
        <w:rPr>
          <w:rStyle w:val="hps"/>
        </w:rPr>
        <w:t xml:space="preserve"> par</w:t>
      </w:r>
      <w:r w:rsidRPr="005A35D8">
        <w:t xml:space="preserve"> </w:t>
      </w:r>
      <w:r w:rsidRPr="005A35D8">
        <w:rPr>
          <w:rStyle w:val="hps"/>
        </w:rPr>
        <w:t>les</w:t>
      </w:r>
      <w:r w:rsidRPr="005A35D8">
        <w:t xml:space="preserve"> </w:t>
      </w:r>
      <w:r w:rsidRPr="005A35D8">
        <w:rPr>
          <w:rStyle w:val="hps"/>
        </w:rPr>
        <w:t>caractéristiques financières et</w:t>
      </w:r>
      <w:r w:rsidRPr="005A35D8">
        <w:t xml:space="preserve"> </w:t>
      </w:r>
      <w:r w:rsidRPr="005A35D8">
        <w:rPr>
          <w:rStyle w:val="hps"/>
        </w:rPr>
        <w:t>actuarielles des obligations</w:t>
      </w:r>
      <w:r w:rsidRPr="005A35D8">
        <w:t xml:space="preserve"> </w:t>
      </w:r>
      <w:r w:rsidR="00CA5ED8" w:rsidRPr="005A35D8">
        <w:t>relatives à l</w:t>
      </w:r>
      <w:r w:rsidR="00295456" w:rsidRPr="005A35D8">
        <w:t>’</w:t>
      </w:r>
      <w:r w:rsidR="00CA5ED8" w:rsidRPr="005A35D8">
        <w:rPr>
          <w:rStyle w:val="hps"/>
        </w:rPr>
        <w:t>assurance</w:t>
      </w:r>
      <w:r w:rsidR="00D14880" w:rsidRPr="005A35D8">
        <w:noBreakHyphen/>
      </w:r>
      <w:r w:rsidR="00CA5ED8" w:rsidRPr="005A35D8">
        <w:t>maladie après la cessation de service</w:t>
      </w:r>
      <w:r w:rsidRPr="005A35D8">
        <w:rPr>
          <w:rStyle w:val="hps"/>
        </w:rPr>
        <w:t xml:space="preserve">. </w:t>
      </w:r>
      <w:r w:rsidR="00CA5ED8" w:rsidRPr="005A35D8">
        <w:rPr>
          <w:rStyle w:val="hps"/>
        </w:rPr>
        <w:t xml:space="preserve"> </w:t>
      </w:r>
      <w:r w:rsidR="0009578B" w:rsidRPr="005A35D8">
        <w:rPr>
          <w:rStyle w:val="hps"/>
        </w:rPr>
        <w:t>La répartition</w:t>
      </w:r>
      <w:r w:rsidRPr="005A35D8">
        <w:rPr>
          <w:rStyle w:val="hps"/>
        </w:rPr>
        <w:t xml:space="preserve"> initiale</w:t>
      </w:r>
      <w:r w:rsidRPr="005A35D8">
        <w:t xml:space="preserve"> </w:t>
      </w:r>
      <w:r w:rsidR="0009578B" w:rsidRPr="005A35D8">
        <w:rPr>
          <w:rStyle w:val="hps"/>
        </w:rPr>
        <w:t>est</w:t>
      </w:r>
      <w:r w:rsidRPr="005A35D8">
        <w:rPr>
          <w:rStyle w:val="hps"/>
        </w:rPr>
        <w:t xml:space="preserve"> déterminée</w:t>
      </w:r>
      <w:r w:rsidRPr="005A35D8">
        <w:t xml:space="preserve"> </w:t>
      </w:r>
      <w:r w:rsidRPr="005A35D8">
        <w:rPr>
          <w:rStyle w:val="hps"/>
        </w:rPr>
        <w:t xml:space="preserve">par </w:t>
      </w:r>
      <w:r w:rsidR="0009578B" w:rsidRPr="005A35D8">
        <w:t xml:space="preserve">le Comité consultatif des investissements </w:t>
      </w:r>
      <w:r w:rsidRPr="005A35D8">
        <w:rPr>
          <w:rStyle w:val="hps"/>
        </w:rPr>
        <w:t>sur la base</w:t>
      </w:r>
      <w:r w:rsidRPr="005A35D8">
        <w:t xml:space="preserve"> </w:t>
      </w:r>
      <w:r w:rsidRPr="005A35D8">
        <w:rPr>
          <w:rStyle w:val="hps"/>
        </w:rPr>
        <w:t>d</w:t>
      </w:r>
      <w:r w:rsidR="00295456" w:rsidRPr="005A35D8">
        <w:rPr>
          <w:rStyle w:val="hps"/>
        </w:rPr>
        <w:t>’</w:t>
      </w:r>
      <w:r w:rsidRPr="005A35D8">
        <w:rPr>
          <w:rStyle w:val="hps"/>
        </w:rPr>
        <w:t>une</w:t>
      </w:r>
      <w:r w:rsidRPr="005A35D8">
        <w:t xml:space="preserve"> </w:t>
      </w:r>
      <w:r w:rsidR="0009578B" w:rsidRPr="005A35D8">
        <w:t xml:space="preserve">étude de la </w:t>
      </w:r>
      <w:r w:rsidRPr="005A35D8">
        <w:rPr>
          <w:rStyle w:val="hps"/>
        </w:rPr>
        <w:t>gestion actif</w:t>
      </w:r>
      <w:r w:rsidR="00D14880" w:rsidRPr="005A35D8">
        <w:rPr>
          <w:rStyle w:val="hps"/>
        </w:rPr>
        <w:noBreakHyphen/>
      </w:r>
      <w:r w:rsidRPr="005A35D8">
        <w:rPr>
          <w:rStyle w:val="hps"/>
        </w:rPr>
        <w:t>passif</w:t>
      </w:r>
      <w:r w:rsidRPr="005A35D8">
        <w:t xml:space="preserve"> </w:t>
      </w:r>
      <w:r w:rsidRPr="005A35D8">
        <w:rPr>
          <w:rStyle w:val="hps"/>
        </w:rPr>
        <w:t>réalisée par</w:t>
      </w:r>
      <w:r w:rsidRPr="005A35D8">
        <w:t xml:space="preserve"> </w:t>
      </w:r>
      <w:r w:rsidRPr="005A35D8">
        <w:rPr>
          <w:rStyle w:val="hps"/>
        </w:rPr>
        <w:t>un conseiller financier professionnel</w:t>
      </w:r>
      <w:r w:rsidR="0009578B" w:rsidRPr="005A35D8">
        <w:t xml:space="preserve"> puis</w:t>
      </w:r>
      <w:r w:rsidR="0009578B" w:rsidRPr="005A35D8">
        <w:rPr>
          <w:rStyle w:val="hps"/>
        </w:rPr>
        <w:t xml:space="preserve"> est</w:t>
      </w:r>
      <w:r w:rsidRPr="005A35D8">
        <w:t xml:space="preserve"> </w:t>
      </w:r>
      <w:r w:rsidRPr="005A35D8">
        <w:rPr>
          <w:rStyle w:val="hps"/>
        </w:rPr>
        <w:t>approuvé</w:t>
      </w:r>
      <w:r w:rsidR="0009578B" w:rsidRPr="005A35D8">
        <w:rPr>
          <w:rStyle w:val="hps"/>
        </w:rPr>
        <w:t>e</w:t>
      </w:r>
      <w:r w:rsidRPr="005A35D8">
        <w:t xml:space="preserve"> </w:t>
      </w:r>
      <w:r w:rsidRPr="005A35D8">
        <w:rPr>
          <w:rStyle w:val="hps"/>
        </w:rPr>
        <w:t>par le Directeur général</w:t>
      </w:r>
      <w:r w:rsidRPr="005A35D8">
        <w:t>.</w:t>
      </w:r>
      <w:r w:rsidR="0009578B" w:rsidRPr="005A35D8">
        <w:t xml:space="preserve"> </w:t>
      </w:r>
      <w:r w:rsidRPr="005A35D8">
        <w:t xml:space="preserve"> </w:t>
      </w:r>
      <w:r w:rsidRPr="005A35D8">
        <w:rPr>
          <w:rStyle w:val="hps"/>
        </w:rPr>
        <w:t>Par la suite</w:t>
      </w:r>
      <w:r w:rsidRPr="005A35D8">
        <w:t xml:space="preserve">, </w:t>
      </w:r>
      <w:r w:rsidRPr="005A35D8">
        <w:rPr>
          <w:rStyle w:val="hps"/>
        </w:rPr>
        <w:t>la</w:t>
      </w:r>
      <w:r w:rsidRPr="005A35D8">
        <w:t xml:space="preserve"> </w:t>
      </w:r>
      <w:r w:rsidRPr="005A35D8">
        <w:rPr>
          <w:rStyle w:val="hps"/>
        </w:rPr>
        <w:t xml:space="preserve">répartition </w:t>
      </w:r>
      <w:r w:rsidR="0009578B" w:rsidRPr="005A35D8">
        <w:rPr>
          <w:rStyle w:val="hps"/>
        </w:rPr>
        <w:t>des actifs stratégiques est</w:t>
      </w:r>
      <w:r w:rsidRPr="005A35D8">
        <w:t xml:space="preserve"> examiné</w:t>
      </w:r>
      <w:r w:rsidR="0009578B" w:rsidRPr="005A35D8">
        <w:t>e</w:t>
      </w:r>
      <w:r w:rsidRPr="005A35D8">
        <w:t xml:space="preserve"> </w:t>
      </w:r>
      <w:r w:rsidR="0009578B" w:rsidRPr="005A35D8">
        <w:rPr>
          <w:rStyle w:val="hps"/>
        </w:rPr>
        <w:t>durant</w:t>
      </w:r>
      <w:r w:rsidRPr="005A35D8">
        <w:rPr>
          <w:rStyle w:val="hps"/>
        </w:rPr>
        <w:t xml:space="preserve"> un</w:t>
      </w:r>
      <w:r w:rsidRPr="005A35D8">
        <w:t xml:space="preserve"> </w:t>
      </w:r>
      <w:r w:rsidR="0009578B" w:rsidRPr="005A35D8">
        <w:rPr>
          <w:rStyle w:val="hps"/>
        </w:rPr>
        <w:t>cycle de trois par le biais d</w:t>
      </w:r>
      <w:r w:rsidR="00295456" w:rsidRPr="005A35D8">
        <w:rPr>
          <w:rStyle w:val="hps"/>
        </w:rPr>
        <w:t>’</w:t>
      </w:r>
      <w:r w:rsidRPr="005A35D8">
        <w:rPr>
          <w:rStyle w:val="hps"/>
        </w:rPr>
        <w:t>une</w:t>
      </w:r>
      <w:r w:rsidRPr="005A35D8">
        <w:t xml:space="preserve"> </w:t>
      </w:r>
      <w:r w:rsidR="0009578B" w:rsidRPr="005A35D8">
        <w:t xml:space="preserve">étude de la </w:t>
      </w:r>
      <w:r w:rsidR="0009578B" w:rsidRPr="005A35D8">
        <w:rPr>
          <w:rStyle w:val="hps"/>
        </w:rPr>
        <w:t>gestion actif</w:t>
      </w:r>
      <w:r w:rsidR="00D14880" w:rsidRPr="005A35D8">
        <w:rPr>
          <w:rStyle w:val="hps"/>
        </w:rPr>
        <w:noBreakHyphen/>
      </w:r>
      <w:r w:rsidR="0009578B" w:rsidRPr="005A35D8">
        <w:rPr>
          <w:rStyle w:val="hps"/>
        </w:rPr>
        <w:t>passif</w:t>
      </w:r>
      <w:r w:rsidRPr="005A35D8">
        <w:t xml:space="preserve">. </w:t>
      </w:r>
      <w:r w:rsidR="0009578B" w:rsidRPr="005A35D8">
        <w:t xml:space="preserve"> </w:t>
      </w:r>
      <w:r w:rsidRPr="005A35D8">
        <w:rPr>
          <w:rStyle w:val="hps"/>
        </w:rPr>
        <w:t>Les</w:t>
      </w:r>
      <w:r w:rsidRPr="005A35D8">
        <w:t xml:space="preserve"> </w:t>
      </w:r>
      <w:r w:rsidRPr="005A35D8">
        <w:rPr>
          <w:rStyle w:val="hps"/>
        </w:rPr>
        <w:t>résultats de ces études</w:t>
      </w:r>
      <w:r w:rsidRPr="005A35D8">
        <w:t xml:space="preserve"> </w:t>
      </w:r>
      <w:r w:rsidR="0009578B" w:rsidRPr="005A35D8">
        <w:rPr>
          <w:rStyle w:val="hps"/>
        </w:rPr>
        <w:t>sont examiné</w:t>
      </w:r>
      <w:r w:rsidRPr="005A35D8">
        <w:rPr>
          <w:rStyle w:val="hps"/>
        </w:rPr>
        <w:t>s par</w:t>
      </w:r>
      <w:r w:rsidRPr="005A35D8">
        <w:t xml:space="preserve"> </w:t>
      </w:r>
      <w:r w:rsidR="0009578B" w:rsidRPr="005A35D8">
        <w:t xml:space="preserve">le Comité consultatif des investissements, </w:t>
      </w:r>
      <w:r w:rsidRPr="005A35D8">
        <w:rPr>
          <w:rStyle w:val="hps"/>
        </w:rPr>
        <w:t>qui recommandera</w:t>
      </w:r>
      <w:r w:rsidRPr="005A35D8">
        <w:t xml:space="preserve"> </w:t>
      </w:r>
      <w:r w:rsidRPr="005A35D8">
        <w:rPr>
          <w:rStyle w:val="hps"/>
        </w:rPr>
        <w:t xml:space="preserve">les ajustements </w:t>
      </w:r>
      <w:r w:rsidR="0009578B" w:rsidRPr="005A35D8">
        <w:rPr>
          <w:rStyle w:val="hps"/>
        </w:rPr>
        <w:t>à apporter</w:t>
      </w:r>
      <w:r w:rsidRPr="005A35D8">
        <w:t xml:space="preserve"> </w:t>
      </w:r>
      <w:r w:rsidRPr="005A35D8">
        <w:rPr>
          <w:rStyle w:val="hps"/>
        </w:rPr>
        <w:t>à la composition</w:t>
      </w:r>
      <w:r w:rsidRPr="005A35D8">
        <w:t xml:space="preserve"> </w:t>
      </w:r>
      <w:r w:rsidRPr="005A35D8">
        <w:rPr>
          <w:rStyle w:val="hps"/>
        </w:rPr>
        <w:t>du portefeuille de placements</w:t>
      </w:r>
      <w:r w:rsidR="009C58C9" w:rsidRPr="005A35D8">
        <w:rPr>
          <w:rFonts w:eastAsia="Times New Roman"/>
          <w:lang w:eastAsia="en-US"/>
        </w:rPr>
        <w:t>.  Ces</w:t>
      </w:r>
      <w:r w:rsidR="00B17240" w:rsidRPr="005A35D8">
        <w:rPr>
          <w:rFonts w:eastAsia="Times New Roman"/>
          <w:lang w:eastAsia="en-US"/>
        </w:rPr>
        <w:t xml:space="preserve"> </w:t>
      </w:r>
      <w:r w:rsidR="00EC1805" w:rsidRPr="005A35D8">
        <w:rPr>
          <w:rFonts w:eastAsia="Times New Roman"/>
          <w:lang w:eastAsia="en-US"/>
        </w:rPr>
        <w:t>recommandations</w:t>
      </w:r>
      <w:r w:rsidR="00B17240" w:rsidRPr="005A35D8">
        <w:rPr>
          <w:rFonts w:eastAsia="Times New Roman"/>
          <w:lang w:eastAsia="en-US"/>
        </w:rPr>
        <w:t xml:space="preserve"> sont soumises à l</w:t>
      </w:r>
      <w:r w:rsidR="00295456" w:rsidRPr="005A35D8">
        <w:rPr>
          <w:rFonts w:eastAsia="Times New Roman"/>
          <w:lang w:eastAsia="en-US"/>
        </w:rPr>
        <w:t>’</w:t>
      </w:r>
      <w:r w:rsidR="00B17240" w:rsidRPr="005A35D8">
        <w:rPr>
          <w:rFonts w:eastAsia="Times New Roman"/>
          <w:lang w:eastAsia="en-US"/>
        </w:rPr>
        <w:t>approbation du Directeur général.</w:t>
      </w:r>
    </w:p>
    <w:p w:rsidR="00B17240" w:rsidRPr="005A35D8" w:rsidRDefault="00B17240" w:rsidP="0067327D">
      <w:pPr>
        <w:ind w:left="1134"/>
        <w:rPr>
          <w:rFonts w:eastAsia="Times New Roman"/>
          <w:lang w:eastAsia="en-US"/>
        </w:rPr>
      </w:pPr>
    </w:p>
    <w:p w:rsidR="00B17240" w:rsidRPr="005A35D8" w:rsidRDefault="00B17240" w:rsidP="00A46961">
      <w:pPr>
        <w:pStyle w:val="ONUMFS"/>
        <w:rPr>
          <w:rFonts w:eastAsia="Times New Roman"/>
          <w:lang w:eastAsia="en-US"/>
        </w:rPr>
      </w:pPr>
      <w:r w:rsidRPr="005A35D8">
        <w:rPr>
          <w:rStyle w:val="hps"/>
        </w:rPr>
        <w:t>Afin de</w:t>
      </w:r>
      <w:r w:rsidRPr="005A35D8">
        <w:t xml:space="preserve"> </w:t>
      </w:r>
      <w:r w:rsidRPr="005A35D8">
        <w:rPr>
          <w:rStyle w:val="hps"/>
        </w:rPr>
        <w:t>s</w:t>
      </w:r>
      <w:r w:rsidR="00295456" w:rsidRPr="005A35D8">
        <w:rPr>
          <w:rStyle w:val="hps"/>
        </w:rPr>
        <w:t>’</w:t>
      </w:r>
      <w:r w:rsidRPr="005A35D8">
        <w:rPr>
          <w:rStyle w:val="hps"/>
        </w:rPr>
        <w:t>acquitter des</w:t>
      </w:r>
      <w:r w:rsidRPr="005A35D8">
        <w:t xml:space="preserve"> </w:t>
      </w:r>
      <w:r w:rsidRPr="005A35D8">
        <w:rPr>
          <w:rStyle w:val="hps"/>
        </w:rPr>
        <w:t>responsabilités</w:t>
      </w:r>
      <w:r w:rsidRPr="005A35D8">
        <w:t xml:space="preserve"> </w:t>
      </w:r>
      <w:r w:rsidRPr="005A35D8">
        <w:rPr>
          <w:rStyle w:val="hps"/>
        </w:rPr>
        <w:t>décrites au paragraphe</w:t>
      </w:r>
      <w:r w:rsidRPr="005A35D8">
        <w:t> </w:t>
      </w:r>
      <w:r w:rsidRPr="005A35D8">
        <w:rPr>
          <w:rStyle w:val="hps"/>
        </w:rPr>
        <w:t>8</w:t>
      </w:r>
      <w:r w:rsidR="00630448" w:rsidRPr="005A35D8">
        <w:t>, le c</w:t>
      </w:r>
      <w:r w:rsidRPr="005A35D8">
        <w:t xml:space="preserve">omité peut </w:t>
      </w:r>
      <w:r w:rsidRPr="005A35D8">
        <w:rPr>
          <w:rStyle w:val="hps"/>
        </w:rPr>
        <w:t>s</w:t>
      </w:r>
      <w:r w:rsidR="00295456" w:rsidRPr="005A35D8">
        <w:rPr>
          <w:rStyle w:val="hps"/>
        </w:rPr>
        <w:t>’</w:t>
      </w:r>
      <w:r w:rsidRPr="005A35D8">
        <w:rPr>
          <w:rStyle w:val="hps"/>
        </w:rPr>
        <w:t>adjoindre les services d</w:t>
      </w:r>
      <w:r w:rsidR="00295456" w:rsidRPr="005A35D8">
        <w:rPr>
          <w:rStyle w:val="hps"/>
        </w:rPr>
        <w:t>’</w:t>
      </w:r>
      <w:r w:rsidRPr="005A35D8">
        <w:t xml:space="preserve">experts </w:t>
      </w:r>
      <w:r w:rsidRPr="005A35D8">
        <w:rPr>
          <w:rStyle w:val="hps"/>
        </w:rPr>
        <w:t>extérieurs à l</w:t>
      </w:r>
      <w:r w:rsidR="00295456" w:rsidRPr="005A35D8">
        <w:rPr>
          <w:rStyle w:val="hps"/>
        </w:rPr>
        <w:t>’</w:t>
      </w:r>
      <w:r w:rsidRPr="005A35D8">
        <w:rPr>
          <w:rStyle w:val="hps"/>
        </w:rPr>
        <w:t>Organisation</w:t>
      </w:r>
      <w:r w:rsidRPr="005A35D8">
        <w:t xml:space="preserve"> </w:t>
      </w:r>
      <w:r w:rsidRPr="005A35D8">
        <w:rPr>
          <w:rStyle w:val="hps"/>
        </w:rPr>
        <w:t>dotés d</w:t>
      </w:r>
      <w:r w:rsidR="00295456" w:rsidRPr="005A35D8">
        <w:rPr>
          <w:rStyle w:val="hps"/>
        </w:rPr>
        <w:t>’</w:t>
      </w:r>
      <w:r w:rsidRPr="005A35D8">
        <w:rPr>
          <w:rStyle w:val="hps"/>
        </w:rPr>
        <w:t>une vaste expérience</w:t>
      </w:r>
      <w:r w:rsidRPr="005A35D8">
        <w:t xml:space="preserve"> </w:t>
      </w:r>
      <w:r w:rsidRPr="005A35D8">
        <w:rPr>
          <w:rStyle w:val="hps"/>
        </w:rPr>
        <w:t>dans le secteur financier</w:t>
      </w:r>
      <w:r w:rsidRPr="005A35D8">
        <w:t xml:space="preserve">.  </w:t>
      </w:r>
      <w:r w:rsidRPr="005A35D8">
        <w:rPr>
          <w:rStyle w:val="hps"/>
        </w:rPr>
        <w:t>Le</w:t>
      </w:r>
      <w:r w:rsidRPr="005A35D8">
        <w:t xml:space="preserve"> </w:t>
      </w:r>
      <w:r w:rsidRPr="005A35D8">
        <w:rPr>
          <w:rStyle w:val="hps"/>
        </w:rPr>
        <w:t>Comité consultatif</w:t>
      </w:r>
      <w:r w:rsidRPr="005A35D8">
        <w:t xml:space="preserve"> </w:t>
      </w:r>
      <w:r w:rsidRPr="005A35D8">
        <w:rPr>
          <w:rStyle w:val="hps"/>
        </w:rPr>
        <w:t>des investissements</w:t>
      </w:r>
      <w:r w:rsidRPr="005A35D8">
        <w:t xml:space="preserve"> </w:t>
      </w:r>
      <w:r w:rsidRPr="005A35D8">
        <w:rPr>
          <w:rStyle w:val="hps"/>
        </w:rPr>
        <w:t>se réunit au</w:t>
      </w:r>
      <w:r w:rsidRPr="005A35D8">
        <w:t xml:space="preserve"> </w:t>
      </w:r>
      <w:r w:rsidRPr="005A35D8">
        <w:rPr>
          <w:rStyle w:val="hps"/>
        </w:rPr>
        <w:t>moins une fois par trimestre</w:t>
      </w:r>
      <w:r w:rsidRPr="005A35D8">
        <w:rPr>
          <w:rFonts w:eastAsia="Times New Roman"/>
          <w:lang w:eastAsia="en-US"/>
        </w:rPr>
        <w:t>.</w:t>
      </w:r>
    </w:p>
    <w:p w:rsidR="00B17240" w:rsidRPr="005A35D8" w:rsidRDefault="00B17240" w:rsidP="00B17240">
      <w:pPr>
        <w:spacing w:before="120" w:after="120"/>
        <w:rPr>
          <w:rFonts w:eastAsia="Times New Roman"/>
          <w:u w:val="single"/>
          <w:lang w:eastAsia="en-US"/>
        </w:rPr>
      </w:pPr>
      <w:r w:rsidRPr="005A35D8">
        <w:rPr>
          <w:rFonts w:eastAsia="Times New Roman"/>
          <w:u w:val="single"/>
          <w:lang w:eastAsia="en-US"/>
        </w:rPr>
        <w:t>Contrôleur</w:t>
      </w:r>
    </w:p>
    <w:p w:rsidR="00B17240" w:rsidRPr="005A35D8" w:rsidRDefault="00B17240" w:rsidP="00A46961">
      <w:pPr>
        <w:pStyle w:val="ONUMFS"/>
        <w:rPr>
          <w:rFonts w:eastAsia="Times New Roman"/>
          <w:lang w:eastAsia="en-US"/>
        </w:rPr>
      </w:pPr>
      <w:r w:rsidRPr="005A35D8">
        <w:rPr>
          <w:rStyle w:val="hps"/>
        </w:rPr>
        <w:t>Conformément à la règle</w:t>
      </w:r>
      <w:r w:rsidRPr="005A35D8">
        <w:t> </w:t>
      </w:r>
      <w:r w:rsidRPr="005A35D8">
        <w:rPr>
          <w:rStyle w:val="hps"/>
        </w:rPr>
        <w:t>104.10,</w:t>
      </w:r>
      <w:r w:rsidRPr="005A35D8">
        <w:t xml:space="preserve"> </w:t>
      </w:r>
      <w:r w:rsidRPr="005A35D8">
        <w:rPr>
          <w:rStyle w:val="hps"/>
        </w:rPr>
        <w:t>le</w:t>
      </w:r>
      <w:r w:rsidRPr="005A35D8">
        <w:t xml:space="preserve"> pouvoir d</w:t>
      </w:r>
      <w:r w:rsidR="00295456" w:rsidRPr="005A35D8">
        <w:t>’</w:t>
      </w:r>
      <w:r w:rsidRPr="005A35D8">
        <w:t>effectuer et de gérer avec prudence des placements conformément à la politique de placement approuvée par les États membres selon les articles 4.10 et 4.11 est délégué au contrôleur</w:t>
      </w:r>
      <w:r w:rsidRPr="005A35D8">
        <w:rPr>
          <w:rFonts w:eastAsia="Times New Roman"/>
          <w:lang w:eastAsia="en-US"/>
        </w:rPr>
        <w:t>.</w:t>
      </w:r>
    </w:p>
    <w:p w:rsidR="00B17240" w:rsidRPr="005A35D8" w:rsidRDefault="00B17240" w:rsidP="00A46961">
      <w:pPr>
        <w:pStyle w:val="ONUMFS"/>
        <w:rPr>
          <w:rFonts w:eastAsia="Times New Roman"/>
          <w:lang w:eastAsia="en-US"/>
        </w:rPr>
      </w:pPr>
      <w:r w:rsidRPr="005A35D8">
        <w:rPr>
          <w:rStyle w:val="hps"/>
        </w:rPr>
        <w:t>Le contrôleur</w:t>
      </w:r>
      <w:r w:rsidRPr="005A35D8">
        <w:t xml:space="preserve"> </w:t>
      </w:r>
      <w:r w:rsidRPr="005A35D8">
        <w:rPr>
          <w:rStyle w:val="hps"/>
        </w:rPr>
        <w:t>veille</w:t>
      </w:r>
      <w:r w:rsidRPr="005A35D8">
        <w:t xml:space="preserve">, </w:t>
      </w:r>
      <w:r w:rsidRPr="005A35D8">
        <w:rPr>
          <w:rStyle w:val="hps"/>
        </w:rPr>
        <w:t>en énonçant les directives appropriées</w:t>
      </w:r>
      <w:r w:rsidRPr="005A35D8">
        <w:rPr>
          <w:rFonts w:eastAsia="Times New Roman"/>
          <w:vertAlign w:val="superscript"/>
          <w:lang w:eastAsia="en-US"/>
        </w:rPr>
        <w:footnoteReference w:id="9"/>
      </w:r>
      <w:r w:rsidRPr="005A35D8">
        <w:rPr>
          <w:rFonts w:eastAsia="Times New Roman"/>
          <w:lang w:eastAsia="en-US"/>
        </w:rPr>
        <w:t xml:space="preserve">, à </w:t>
      </w:r>
      <w:r w:rsidRPr="005A35D8">
        <w:t>ce que les fonds soient détenus dans des monnaies et des classes d</w:t>
      </w:r>
      <w:r w:rsidR="00295456" w:rsidRPr="005A35D8">
        <w:t>’</w:t>
      </w:r>
      <w:r w:rsidRPr="005A35D8">
        <w:t>actifs</w:t>
      </w:r>
      <w:r w:rsidR="00922F86" w:rsidRPr="005A35D8">
        <w:rPr>
          <w:rFonts w:eastAsia="Times New Roman"/>
          <w:lang w:eastAsia="en-US"/>
        </w:rPr>
        <w:t xml:space="preserve">, </w:t>
      </w:r>
      <w:r w:rsidR="003C40AF" w:rsidRPr="005A35D8">
        <w:rPr>
          <w:rFonts w:eastAsia="Times New Roman"/>
          <w:lang w:eastAsia="en-US"/>
        </w:rPr>
        <w:t>conformément à la répartition des actifs approuvée par le Directeur général</w:t>
      </w:r>
      <w:r w:rsidR="00922F86" w:rsidRPr="005A35D8">
        <w:rPr>
          <w:rFonts w:eastAsia="Times New Roman"/>
          <w:lang w:eastAsia="en-US"/>
        </w:rPr>
        <w:t xml:space="preserve">, </w:t>
      </w:r>
      <w:r w:rsidRPr="005A35D8">
        <w:t>de façon à réduire au maximum en priorité les risques afférents aux principaux fonds en conservant les liquidités nécessaires pour répondre aux besoins de trésorerie de l</w:t>
      </w:r>
      <w:r w:rsidR="00295456" w:rsidRPr="005A35D8">
        <w:t>’</w:t>
      </w:r>
      <w:r w:rsidRPr="005A35D8">
        <w:t xml:space="preserve">Organisation.  En outre, les placements ainsi que les monnaies dans lesquelles ils sont libellés sont choisis par le contrôleur selon la présente politique en matière de placements </w:t>
      </w:r>
      <w:r w:rsidRPr="005A35D8">
        <w:rPr>
          <w:rStyle w:val="hps"/>
          <w:szCs w:val="22"/>
        </w:rPr>
        <w:t>et sur la base</w:t>
      </w:r>
      <w:r w:rsidRPr="005A35D8">
        <w:t xml:space="preserve"> </w:t>
      </w:r>
      <w:r w:rsidRPr="005A35D8">
        <w:rPr>
          <w:rStyle w:val="hps"/>
          <w:szCs w:val="22"/>
        </w:rPr>
        <w:t>des rapports</w:t>
      </w:r>
      <w:r w:rsidRPr="005A35D8">
        <w:t xml:space="preserve">, recherches </w:t>
      </w:r>
      <w:r w:rsidRPr="005A35D8">
        <w:rPr>
          <w:rStyle w:val="hps"/>
          <w:szCs w:val="22"/>
        </w:rPr>
        <w:t>et propositions</w:t>
      </w:r>
      <w:r w:rsidRPr="005A35D8">
        <w:t xml:space="preserve"> </w:t>
      </w:r>
      <w:r w:rsidRPr="005A35D8">
        <w:rPr>
          <w:rStyle w:val="hps"/>
          <w:szCs w:val="22"/>
        </w:rPr>
        <w:t>du</w:t>
      </w:r>
      <w:r w:rsidRPr="005A35D8">
        <w:t xml:space="preserve"> </w:t>
      </w:r>
      <w:r w:rsidRPr="005A35D8">
        <w:rPr>
          <w:rStyle w:val="hps"/>
          <w:szCs w:val="22"/>
        </w:rPr>
        <w:t>trésorier et</w:t>
      </w:r>
      <w:r w:rsidRPr="005A35D8">
        <w:t xml:space="preserve"> </w:t>
      </w:r>
      <w:r w:rsidRPr="005A35D8">
        <w:rPr>
          <w:rStyle w:val="hps"/>
          <w:szCs w:val="22"/>
        </w:rPr>
        <w:t>des recommandations</w:t>
      </w:r>
      <w:r w:rsidRPr="005A35D8">
        <w:t xml:space="preserve"> </w:t>
      </w:r>
      <w:r w:rsidRPr="005A35D8">
        <w:rPr>
          <w:rStyle w:val="hps"/>
          <w:szCs w:val="22"/>
        </w:rPr>
        <w:t>du</w:t>
      </w:r>
      <w:r w:rsidRPr="005A35D8">
        <w:t xml:space="preserve"> </w:t>
      </w:r>
      <w:r w:rsidRPr="005A35D8">
        <w:rPr>
          <w:rStyle w:val="hps"/>
          <w:szCs w:val="22"/>
        </w:rPr>
        <w:t>Comité consultatif</w:t>
      </w:r>
      <w:r w:rsidRPr="005A35D8">
        <w:t xml:space="preserve"> </w:t>
      </w:r>
      <w:r w:rsidRPr="005A35D8">
        <w:rPr>
          <w:rStyle w:val="hps"/>
          <w:szCs w:val="22"/>
        </w:rPr>
        <w:t>des investissements en la matière</w:t>
      </w:r>
      <w:r w:rsidRPr="005A35D8">
        <w:rPr>
          <w:rFonts w:eastAsia="Times New Roman"/>
          <w:lang w:eastAsia="en-US"/>
        </w:rPr>
        <w:t>.</w:t>
      </w:r>
    </w:p>
    <w:p w:rsidR="00B17240" w:rsidRPr="005A35D8" w:rsidRDefault="00B17240" w:rsidP="00B17240">
      <w:pPr>
        <w:spacing w:before="120" w:after="120"/>
        <w:rPr>
          <w:rFonts w:eastAsia="Times New Roman"/>
          <w:u w:val="single"/>
          <w:lang w:eastAsia="en-US"/>
        </w:rPr>
      </w:pPr>
      <w:r w:rsidRPr="005A35D8">
        <w:rPr>
          <w:rFonts w:eastAsia="Times New Roman"/>
          <w:u w:val="single"/>
          <w:lang w:eastAsia="en-US"/>
        </w:rPr>
        <w:t>Trésorier, Division des finances</w:t>
      </w:r>
    </w:p>
    <w:p w:rsidR="00B17240" w:rsidRPr="005A35D8" w:rsidRDefault="00B17240" w:rsidP="00A46961">
      <w:pPr>
        <w:pStyle w:val="ONUMFS"/>
        <w:rPr>
          <w:rFonts w:eastAsia="Times New Roman"/>
          <w:lang w:eastAsia="en-US"/>
        </w:rPr>
      </w:pPr>
      <w:r w:rsidRPr="005A35D8">
        <w:rPr>
          <w:rStyle w:val="hps"/>
        </w:rPr>
        <w:t>Le trésorier</w:t>
      </w:r>
      <w:r w:rsidRPr="005A35D8">
        <w:t xml:space="preserve">, </w:t>
      </w:r>
      <w:r w:rsidRPr="005A35D8">
        <w:rPr>
          <w:rStyle w:val="hps"/>
        </w:rPr>
        <w:t>qui relève du directeur</w:t>
      </w:r>
      <w:r w:rsidRPr="005A35D8">
        <w:t xml:space="preserve"> </w:t>
      </w:r>
      <w:r w:rsidRPr="005A35D8">
        <w:rPr>
          <w:rStyle w:val="hps"/>
        </w:rPr>
        <w:t>financier</w:t>
      </w:r>
      <w:r w:rsidRPr="005A35D8">
        <w:t xml:space="preserve"> et </w:t>
      </w:r>
      <w:r w:rsidRPr="005A35D8">
        <w:rPr>
          <w:rStyle w:val="hps"/>
        </w:rPr>
        <w:t>agit</w:t>
      </w:r>
      <w:r w:rsidRPr="005A35D8">
        <w:t xml:space="preserve"> </w:t>
      </w:r>
      <w:r w:rsidRPr="005A35D8">
        <w:rPr>
          <w:rStyle w:val="hps"/>
        </w:rPr>
        <w:t>également en tant que</w:t>
      </w:r>
      <w:r w:rsidRPr="005A35D8">
        <w:t xml:space="preserve"> </w:t>
      </w:r>
      <w:r w:rsidRPr="005A35D8">
        <w:rPr>
          <w:rStyle w:val="hps"/>
        </w:rPr>
        <w:t>secrétaire du</w:t>
      </w:r>
      <w:r w:rsidRPr="005A35D8">
        <w:t xml:space="preserve"> </w:t>
      </w:r>
      <w:r w:rsidRPr="005A35D8">
        <w:rPr>
          <w:rStyle w:val="hps"/>
        </w:rPr>
        <w:t>Comité consultatif</w:t>
      </w:r>
      <w:r w:rsidRPr="005A35D8">
        <w:t xml:space="preserve"> </w:t>
      </w:r>
      <w:r w:rsidRPr="005A35D8">
        <w:rPr>
          <w:rStyle w:val="hps"/>
        </w:rPr>
        <w:t>des investissements</w:t>
      </w:r>
      <w:r w:rsidRPr="005A35D8">
        <w:t xml:space="preserve">, </w:t>
      </w:r>
      <w:r w:rsidRPr="005A35D8">
        <w:rPr>
          <w:rStyle w:val="hps"/>
        </w:rPr>
        <w:t>est</w:t>
      </w:r>
      <w:r w:rsidRPr="005A35D8">
        <w:t xml:space="preserve"> </w:t>
      </w:r>
      <w:r w:rsidRPr="005A35D8">
        <w:rPr>
          <w:rStyle w:val="hps"/>
        </w:rPr>
        <w:t>responsable de l</w:t>
      </w:r>
      <w:r w:rsidR="00295456" w:rsidRPr="005A35D8">
        <w:rPr>
          <w:rStyle w:val="hps"/>
        </w:rPr>
        <w:t>’</w:t>
      </w:r>
      <w:r w:rsidRPr="005A35D8">
        <w:rPr>
          <w:rStyle w:val="hps"/>
        </w:rPr>
        <w:t>exécution</w:t>
      </w:r>
      <w:r w:rsidRPr="005A35D8">
        <w:t xml:space="preserve"> </w:t>
      </w:r>
      <w:r w:rsidRPr="005A35D8">
        <w:rPr>
          <w:rStyle w:val="hps"/>
        </w:rPr>
        <w:t>des activités de placement et de l</w:t>
      </w:r>
      <w:r w:rsidR="00295456" w:rsidRPr="005A35D8">
        <w:rPr>
          <w:rStyle w:val="hps"/>
        </w:rPr>
        <w:t>’</w:t>
      </w:r>
      <w:r w:rsidRPr="005A35D8">
        <w:rPr>
          <w:rStyle w:val="hps"/>
        </w:rPr>
        <w:t>établissement des</w:t>
      </w:r>
      <w:r w:rsidRPr="005A35D8">
        <w:t xml:space="preserve"> </w:t>
      </w:r>
      <w:r w:rsidRPr="005A35D8">
        <w:rPr>
          <w:rStyle w:val="hps"/>
        </w:rPr>
        <w:t>rapports</w:t>
      </w:r>
      <w:r w:rsidRPr="005A35D8">
        <w:t xml:space="preserve"> relatifs à </w:t>
      </w:r>
      <w:r w:rsidRPr="005A35D8">
        <w:rPr>
          <w:rStyle w:val="hps"/>
        </w:rPr>
        <w:t>tous les</w:t>
      </w:r>
      <w:r w:rsidRPr="005A35D8">
        <w:t xml:space="preserve"> placements </w:t>
      </w:r>
      <w:r w:rsidRPr="005A35D8">
        <w:rPr>
          <w:rStyle w:val="hps"/>
        </w:rPr>
        <w:t>réalisés</w:t>
      </w:r>
      <w:r w:rsidRPr="005A35D8">
        <w:t xml:space="preserve">.  </w:t>
      </w:r>
      <w:r w:rsidRPr="005A35D8">
        <w:rPr>
          <w:rStyle w:val="hps"/>
        </w:rPr>
        <w:t>Le Trésorier</w:t>
      </w:r>
      <w:r w:rsidRPr="005A35D8">
        <w:t xml:space="preserve"> </w:t>
      </w:r>
      <w:r w:rsidRPr="005A35D8">
        <w:rPr>
          <w:rStyle w:val="hps"/>
        </w:rPr>
        <w:t>assure la liaison avec</w:t>
      </w:r>
      <w:r w:rsidRPr="005A35D8">
        <w:t xml:space="preserve"> </w:t>
      </w:r>
      <w:r w:rsidRPr="005A35D8">
        <w:rPr>
          <w:rStyle w:val="hps"/>
        </w:rPr>
        <w:t>les gestionnaires de fonds</w:t>
      </w:r>
      <w:r w:rsidRPr="005A35D8">
        <w:t xml:space="preserve"> </w:t>
      </w:r>
      <w:r w:rsidRPr="005A35D8">
        <w:rPr>
          <w:rStyle w:val="hps"/>
        </w:rPr>
        <w:t>extérieurs</w:t>
      </w:r>
      <w:r w:rsidRPr="005A35D8">
        <w:t xml:space="preserve"> </w:t>
      </w:r>
      <w:r w:rsidRPr="005A35D8">
        <w:rPr>
          <w:rStyle w:val="hps"/>
        </w:rPr>
        <w:t>et</w:t>
      </w:r>
      <w:r w:rsidRPr="005A35D8">
        <w:t xml:space="preserve"> </w:t>
      </w:r>
      <w:r w:rsidRPr="005A35D8">
        <w:rPr>
          <w:rStyle w:val="hps"/>
        </w:rPr>
        <w:t>le dépositaire et</w:t>
      </w:r>
      <w:r w:rsidRPr="005A35D8">
        <w:t xml:space="preserve"> </w:t>
      </w:r>
      <w:r w:rsidRPr="005A35D8">
        <w:rPr>
          <w:rStyle w:val="hps"/>
        </w:rPr>
        <w:t>établit des rapports</w:t>
      </w:r>
      <w:r w:rsidRPr="005A35D8">
        <w:t xml:space="preserve"> </w:t>
      </w:r>
      <w:r w:rsidRPr="005A35D8">
        <w:rPr>
          <w:rStyle w:val="hps"/>
        </w:rPr>
        <w:t>trimestriels</w:t>
      </w:r>
      <w:r w:rsidRPr="005A35D8">
        <w:t xml:space="preserve"> </w:t>
      </w:r>
      <w:r w:rsidRPr="005A35D8">
        <w:rPr>
          <w:rStyle w:val="hps"/>
        </w:rPr>
        <w:t>sur l</w:t>
      </w:r>
      <w:r w:rsidR="00295456" w:rsidRPr="005A35D8">
        <w:rPr>
          <w:rStyle w:val="hps"/>
        </w:rPr>
        <w:t>’</w:t>
      </w:r>
      <w:r w:rsidRPr="005A35D8">
        <w:rPr>
          <w:rStyle w:val="hps"/>
        </w:rPr>
        <w:t>état actuel</w:t>
      </w:r>
      <w:r w:rsidRPr="005A35D8">
        <w:t xml:space="preserve"> </w:t>
      </w:r>
      <w:r w:rsidRPr="005A35D8">
        <w:rPr>
          <w:rStyle w:val="hps"/>
        </w:rPr>
        <w:t>des placements</w:t>
      </w:r>
      <w:r w:rsidRPr="005A35D8">
        <w:t xml:space="preserve"> </w:t>
      </w:r>
      <w:r w:rsidRPr="005A35D8">
        <w:rPr>
          <w:rStyle w:val="hps"/>
        </w:rPr>
        <w:t>qui sont soumis au</w:t>
      </w:r>
      <w:r w:rsidRPr="005A35D8">
        <w:t xml:space="preserve"> </w:t>
      </w:r>
      <w:r w:rsidRPr="005A35D8">
        <w:rPr>
          <w:rStyle w:val="hps"/>
        </w:rPr>
        <w:t>Comité consultatif</w:t>
      </w:r>
      <w:r w:rsidRPr="005A35D8">
        <w:t xml:space="preserve"> </w:t>
      </w:r>
      <w:r w:rsidRPr="005A35D8">
        <w:rPr>
          <w:rStyle w:val="hps"/>
        </w:rPr>
        <w:t>des investissements</w:t>
      </w:r>
      <w:r w:rsidRPr="005A35D8">
        <w:t xml:space="preserve"> par le biais du </w:t>
      </w:r>
      <w:r w:rsidRPr="005A35D8">
        <w:rPr>
          <w:rStyle w:val="hps"/>
        </w:rPr>
        <w:t>contrôleur</w:t>
      </w:r>
      <w:r w:rsidRPr="005A35D8">
        <w:t xml:space="preserve">.  </w:t>
      </w:r>
      <w:r w:rsidRPr="005A35D8">
        <w:rPr>
          <w:rStyle w:val="hps"/>
        </w:rPr>
        <w:t>Ces rapports</w:t>
      </w:r>
      <w:r w:rsidRPr="005A35D8">
        <w:t xml:space="preserve"> </w:t>
      </w:r>
      <w:r w:rsidRPr="005A35D8">
        <w:rPr>
          <w:rStyle w:val="hps"/>
        </w:rPr>
        <w:t>portent sur</w:t>
      </w:r>
      <w:r w:rsidRPr="005A35D8">
        <w:t xml:space="preserve"> </w:t>
      </w:r>
      <w:r w:rsidRPr="005A35D8">
        <w:rPr>
          <w:rStyle w:val="hps"/>
        </w:rPr>
        <w:t>les performance</w:t>
      </w:r>
      <w:r w:rsidRPr="005A35D8">
        <w:t xml:space="preserve">s réalisées </w:t>
      </w:r>
      <w:r w:rsidRPr="005A35D8">
        <w:rPr>
          <w:rStyle w:val="hps"/>
        </w:rPr>
        <w:t>par rapport à</w:t>
      </w:r>
      <w:r w:rsidRPr="005A35D8">
        <w:t xml:space="preserve"> </w:t>
      </w:r>
      <w:r w:rsidRPr="005A35D8">
        <w:rPr>
          <w:rStyle w:val="hps"/>
        </w:rPr>
        <w:t>des critères</w:t>
      </w:r>
      <w:r w:rsidRPr="005A35D8">
        <w:t xml:space="preserve"> de performance </w:t>
      </w:r>
      <w:r w:rsidRPr="005A35D8">
        <w:rPr>
          <w:rStyle w:val="hps"/>
        </w:rPr>
        <w:t>et à des statistiques</w:t>
      </w:r>
      <w:r w:rsidRPr="005A35D8">
        <w:t xml:space="preserve"> </w:t>
      </w:r>
      <w:r w:rsidRPr="005A35D8">
        <w:rPr>
          <w:rStyle w:val="hps"/>
        </w:rPr>
        <w:t>de risque</w:t>
      </w:r>
      <w:r w:rsidRPr="005A35D8">
        <w:t xml:space="preserve">.  </w:t>
      </w:r>
      <w:r w:rsidRPr="005A35D8">
        <w:rPr>
          <w:rStyle w:val="hps"/>
        </w:rPr>
        <w:t>Le rôle du trésorier consiste également à suivre les critères</w:t>
      </w:r>
      <w:r w:rsidRPr="005A35D8">
        <w:t xml:space="preserve"> </w:t>
      </w:r>
      <w:r w:rsidRPr="005A35D8">
        <w:rPr>
          <w:rStyle w:val="hps"/>
        </w:rPr>
        <w:t>qui aboutiraient à</w:t>
      </w:r>
      <w:r w:rsidRPr="005A35D8">
        <w:t xml:space="preserve"> </w:t>
      </w:r>
      <w:r w:rsidR="00085D20" w:rsidRPr="005A35D8">
        <w:t>“</w:t>
      </w:r>
      <w:r w:rsidRPr="005A35D8">
        <w:rPr>
          <w:rStyle w:val="hps"/>
        </w:rPr>
        <w:t>placer</w:t>
      </w:r>
      <w:r w:rsidRPr="005A35D8">
        <w:t xml:space="preserve"> sous surveillance</w:t>
      </w:r>
      <w:r w:rsidR="00085D20" w:rsidRPr="005A35D8">
        <w:t>”</w:t>
      </w:r>
      <w:r w:rsidRPr="005A35D8">
        <w:t xml:space="preserve"> </w:t>
      </w:r>
      <w:r w:rsidRPr="005A35D8">
        <w:rPr>
          <w:rStyle w:val="hps"/>
        </w:rPr>
        <w:t xml:space="preserve">un gestionnaire de </w:t>
      </w:r>
      <w:r w:rsidR="00A70272" w:rsidRPr="005A35D8">
        <w:rPr>
          <w:rStyle w:val="hps"/>
        </w:rPr>
        <w:t>placements</w:t>
      </w:r>
      <w:r w:rsidRPr="005A35D8">
        <w:rPr>
          <w:rStyle w:val="hps"/>
        </w:rPr>
        <w:t xml:space="preserve"> dont le remplacement est envisagé</w:t>
      </w:r>
      <w:r w:rsidRPr="005A35D8">
        <w:t xml:space="preserve">.  </w:t>
      </w:r>
      <w:r w:rsidRPr="005A35D8">
        <w:rPr>
          <w:rStyle w:val="hps"/>
        </w:rPr>
        <w:t>Le rapport qui en résulte est</w:t>
      </w:r>
      <w:r w:rsidRPr="005A35D8">
        <w:t xml:space="preserve"> </w:t>
      </w:r>
      <w:r w:rsidRPr="005A35D8">
        <w:rPr>
          <w:rStyle w:val="hps"/>
        </w:rPr>
        <w:t>soumis au</w:t>
      </w:r>
      <w:r w:rsidRPr="005A35D8">
        <w:t xml:space="preserve"> </w:t>
      </w:r>
      <w:r w:rsidRPr="005A35D8">
        <w:rPr>
          <w:rStyle w:val="hps"/>
        </w:rPr>
        <w:t>Comité consultatif</w:t>
      </w:r>
      <w:r w:rsidRPr="005A35D8">
        <w:t xml:space="preserve"> </w:t>
      </w:r>
      <w:r w:rsidRPr="005A35D8">
        <w:rPr>
          <w:rStyle w:val="hps"/>
        </w:rPr>
        <w:t>des investissements</w:t>
      </w:r>
      <w:r w:rsidRPr="005A35D8">
        <w:t xml:space="preserve"> </w:t>
      </w:r>
      <w:r w:rsidRPr="005A35D8">
        <w:rPr>
          <w:rStyle w:val="hps"/>
        </w:rPr>
        <w:t>par le biais du</w:t>
      </w:r>
      <w:r w:rsidRPr="005A35D8">
        <w:t xml:space="preserve"> </w:t>
      </w:r>
      <w:r w:rsidRPr="005A35D8">
        <w:rPr>
          <w:rStyle w:val="hps"/>
        </w:rPr>
        <w:t>contrôleur</w:t>
      </w:r>
      <w:r w:rsidRPr="005A35D8">
        <w:t xml:space="preserve">.  </w:t>
      </w:r>
      <w:r w:rsidR="00A70272" w:rsidRPr="005A35D8">
        <w:rPr>
          <w:rStyle w:val="hps"/>
        </w:rPr>
        <w:t>Ce dernier</w:t>
      </w:r>
      <w:r w:rsidRPr="005A35D8">
        <w:t xml:space="preserve"> </w:t>
      </w:r>
      <w:r w:rsidRPr="005A35D8">
        <w:rPr>
          <w:rStyle w:val="hps"/>
        </w:rPr>
        <w:t>entreprend</w:t>
      </w:r>
      <w:r w:rsidRPr="005A35D8">
        <w:t xml:space="preserve"> </w:t>
      </w:r>
      <w:r w:rsidRPr="005A35D8">
        <w:rPr>
          <w:rStyle w:val="hps"/>
        </w:rPr>
        <w:t>également un examen</w:t>
      </w:r>
      <w:r w:rsidRPr="005A35D8">
        <w:t xml:space="preserve"> </w:t>
      </w:r>
      <w:r w:rsidRPr="005A35D8">
        <w:rPr>
          <w:rStyle w:val="hps"/>
        </w:rPr>
        <w:t>de fin de mois</w:t>
      </w:r>
      <w:r w:rsidRPr="005A35D8">
        <w:t xml:space="preserve"> </w:t>
      </w:r>
      <w:r w:rsidRPr="005A35D8">
        <w:rPr>
          <w:rStyle w:val="hps"/>
        </w:rPr>
        <w:t>des exécutions d</w:t>
      </w:r>
      <w:r w:rsidR="00295456" w:rsidRPr="005A35D8">
        <w:rPr>
          <w:rStyle w:val="hps"/>
        </w:rPr>
        <w:t>’</w:t>
      </w:r>
      <w:r w:rsidRPr="005A35D8">
        <w:rPr>
          <w:rStyle w:val="hps"/>
        </w:rPr>
        <w:t>ordres</w:t>
      </w:r>
      <w:r w:rsidR="00A70272" w:rsidRPr="005A35D8">
        <w:rPr>
          <w:rStyle w:val="hps"/>
        </w:rPr>
        <w:t xml:space="preserve"> et surveille les marchés financiers</w:t>
      </w:r>
      <w:r w:rsidRPr="005A35D8">
        <w:rPr>
          <w:rFonts w:eastAsia="Times New Roman"/>
          <w:lang w:eastAsia="en-US"/>
        </w:rPr>
        <w:t>.</w:t>
      </w:r>
    </w:p>
    <w:p w:rsidR="00B17240" w:rsidRPr="005A35D8" w:rsidRDefault="00B17240" w:rsidP="00A46961">
      <w:pPr>
        <w:pStyle w:val="ONUMFS"/>
        <w:rPr>
          <w:rFonts w:eastAsia="Times New Roman"/>
          <w:lang w:eastAsia="en-US"/>
        </w:rPr>
      </w:pPr>
      <w:r w:rsidRPr="005A35D8">
        <w:rPr>
          <w:rStyle w:val="hps"/>
        </w:rPr>
        <w:lastRenderedPageBreak/>
        <w:t>Le trésorier</w:t>
      </w:r>
      <w:r w:rsidRPr="005A35D8">
        <w:t xml:space="preserve"> </w:t>
      </w:r>
      <w:r w:rsidRPr="005A35D8">
        <w:rPr>
          <w:rStyle w:val="hps"/>
        </w:rPr>
        <w:t>est responsable de</w:t>
      </w:r>
      <w:r w:rsidRPr="005A35D8">
        <w:t xml:space="preserve"> </w:t>
      </w:r>
      <w:r w:rsidRPr="005A35D8">
        <w:rPr>
          <w:rStyle w:val="hps"/>
        </w:rPr>
        <w:t>la gestion des relations</w:t>
      </w:r>
      <w:r w:rsidRPr="005A35D8">
        <w:t xml:space="preserve"> </w:t>
      </w:r>
      <w:r w:rsidRPr="005A35D8">
        <w:rPr>
          <w:rStyle w:val="hps"/>
        </w:rPr>
        <w:t>avec les banques et</w:t>
      </w:r>
      <w:r w:rsidRPr="005A35D8">
        <w:t xml:space="preserve"> </w:t>
      </w:r>
      <w:r w:rsidRPr="005A35D8">
        <w:rPr>
          <w:rStyle w:val="hps"/>
        </w:rPr>
        <w:t>toutes les autres</w:t>
      </w:r>
      <w:r w:rsidRPr="005A35D8">
        <w:t xml:space="preserve"> </w:t>
      </w:r>
      <w:r w:rsidRPr="005A35D8">
        <w:rPr>
          <w:rStyle w:val="hps"/>
        </w:rPr>
        <w:t>contreparties financières</w:t>
      </w:r>
      <w:r w:rsidRPr="005A35D8">
        <w:t xml:space="preserve"> ainsi que</w:t>
      </w:r>
      <w:r w:rsidRPr="005A35D8">
        <w:rPr>
          <w:rStyle w:val="hps"/>
        </w:rPr>
        <w:t xml:space="preserve"> du suivi</w:t>
      </w:r>
      <w:r w:rsidRPr="005A35D8">
        <w:t xml:space="preserve"> </w:t>
      </w:r>
      <w:r w:rsidRPr="005A35D8">
        <w:rPr>
          <w:rStyle w:val="hps"/>
        </w:rPr>
        <w:t>trimestriel de</w:t>
      </w:r>
      <w:r w:rsidRPr="005A35D8">
        <w:t xml:space="preserve"> </w:t>
      </w:r>
      <w:r w:rsidRPr="005A35D8">
        <w:rPr>
          <w:rStyle w:val="hps"/>
        </w:rPr>
        <w:t>leurs</w:t>
      </w:r>
      <w:r w:rsidRPr="005A35D8">
        <w:t xml:space="preserve"> </w:t>
      </w:r>
      <w:r w:rsidRPr="005A35D8">
        <w:rPr>
          <w:rStyle w:val="hps"/>
        </w:rPr>
        <w:t>notations</w:t>
      </w:r>
      <w:r w:rsidRPr="005A35D8">
        <w:rPr>
          <w:rFonts w:eastAsia="Times New Roman"/>
          <w:lang w:eastAsia="en-US"/>
        </w:rPr>
        <w:t>.</w:t>
      </w:r>
    </w:p>
    <w:p w:rsidR="00B17240" w:rsidRPr="005A35D8" w:rsidRDefault="00B17240" w:rsidP="00B17240">
      <w:pPr>
        <w:spacing w:before="120" w:after="120"/>
        <w:rPr>
          <w:rFonts w:eastAsia="Times New Roman"/>
          <w:u w:val="single"/>
          <w:lang w:eastAsia="en-US"/>
        </w:rPr>
      </w:pPr>
      <w:r w:rsidRPr="005A35D8">
        <w:rPr>
          <w:rFonts w:eastAsia="Times New Roman"/>
          <w:u w:val="single"/>
          <w:lang w:eastAsia="en-US"/>
        </w:rPr>
        <w:t>Gestionnaires de fonds extérieurs</w:t>
      </w:r>
    </w:p>
    <w:p w:rsidR="00B17240" w:rsidRPr="005A35D8" w:rsidRDefault="00B17240" w:rsidP="00A46961">
      <w:pPr>
        <w:pStyle w:val="ONUMFS"/>
        <w:rPr>
          <w:rFonts w:eastAsia="Times New Roman"/>
          <w:lang w:eastAsia="en-US"/>
        </w:rPr>
      </w:pPr>
      <w:r w:rsidRPr="005A35D8">
        <w:t>Il s</w:t>
      </w:r>
      <w:r w:rsidR="00295456" w:rsidRPr="005A35D8">
        <w:t>’</w:t>
      </w:r>
      <w:r w:rsidRPr="005A35D8">
        <w:t xml:space="preserve">agit des personnes et des sociétés qui fournissent des services de gestion de placements où les actifs tels que les actions, les obligations et les valeurs immobilières sont gérés par des professionnels afin de répondre à des objectifs spécifiques de placement pour le compte de </w:t>
      </w:r>
      <w:r w:rsidRPr="005A35D8">
        <w:rPr>
          <w:rStyle w:val="hps"/>
        </w:rPr>
        <w:t>l</w:t>
      </w:r>
      <w:r w:rsidR="00295456" w:rsidRPr="005A35D8">
        <w:rPr>
          <w:rStyle w:val="hps"/>
        </w:rPr>
        <w:t>’</w:t>
      </w:r>
      <w:r w:rsidRPr="005A35D8">
        <w:rPr>
          <w:rStyle w:val="hps"/>
        </w:rPr>
        <w:t>Organisation</w:t>
      </w:r>
      <w:r w:rsidRPr="005A35D8">
        <w:rPr>
          <w:rFonts w:eastAsia="Times New Roman"/>
          <w:lang w:eastAsia="en-US"/>
        </w:rPr>
        <w:t>.</w:t>
      </w:r>
    </w:p>
    <w:p w:rsidR="00B17240" w:rsidRPr="005A35D8" w:rsidRDefault="00B17240" w:rsidP="00B17240">
      <w:pPr>
        <w:spacing w:before="120" w:after="120"/>
        <w:rPr>
          <w:rFonts w:eastAsia="Times New Roman"/>
          <w:u w:val="single"/>
          <w:lang w:eastAsia="en-US"/>
        </w:rPr>
      </w:pPr>
      <w:r w:rsidRPr="005A35D8">
        <w:rPr>
          <w:rFonts w:eastAsia="Times New Roman"/>
          <w:u w:val="single"/>
          <w:lang w:eastAsia="en-US"/>
        </w:rPr>
        <w:t>Dépositaire</w:t>
      </w:r>
    </w:p>
    <w:p w:rsidR="00B17240" w:rsidRPr="005A35D8" w:rsidRDefault="00B17240" w:rsidP="00A46961">
      <w:pPr>
        <w:pStyle w:val="ONUMFS"/>
        <w:rPr>
          <w:rFonts w:eastAsia="Times New Roman"/>
          <w:lang w:eastAsia="en-US"/>
        </w:rPr>
      </w:pPr>
      <w:r w:rsidRPr="005A35D8">
        <w:t>Il s</w:t>
      </w:r>
      <w:r w:rsidR="00295456" w:rsidRPr="005A35D8">
        <w:t>’</w:t>
      </w:r>
      <w:r w:rsidRPr="005A35D8">
        <w:t>agit de l</w:t>
      </w:r>
      <w:r w:rsidR="00295456" w:rsidRPr="005A35D8">
        <w:t>’</w:t>
      </w:r>
      <w:r w:rsidRPr="005A35D8">
        <w:t>institution financière responsable de la sauvegarde des actifs financiers de l</w:t>
      </w:r>
      <w:r w:rsidR="00295456" w:rsidRPr="005A35D8">
        <w:t>’</w:t>
      </w:r>
      <w:r w:rsidRPr="005A35D8">
        <w:t>Organisation.  Le dépositaire détient les actifs tels que les actions et les obligations et veille au règlement de l</w:t>
      </w:r>
      <w:r w:rsidR="00295456" w:rsidRPr="005A35D8">
        <w:t>’</w:t>
      </w:r>
      <w:r w:rsidRPr="005A35D8">
        <w:t>achat ou de la vente de ces actifs et à la collecte des recettes.  Le dépositaire peut fournir d</w:t>
      </w:r>
      <w:r w:rsidR="00295456" w:rsidRPr="005A35D8">
        <w:t>’</w:t>
      </w:r>
      <w:r w:rsidRPr="005A35D8">
        <w:t>autres services tels que l</w:t>
      </w:r>
      <w:r w:rsidR="00295456" w:rsidRPr="005A35D8">
        <w:t>’</w:t>
      </w:r>
      <w:r w:rsidRPr="005A35D8">
        <w:t>analyse des risques, le suivi de la performance des gestionnaires de fonds extérieurs et l</w:t>
      </w:r>
      <w:r w:rsidR="00295456" w:rsidRPr="005A35D8">
        <w:t>’</w:t>
      </w:r>
      <w:r w:rsidRPr="005A35D8">
        <w:t>établissement de rapports de conformité</w:t>
      </w:r>
      <w:r w:rsidRPr="005A35D8">
        <w:rPr>
          <w:rFonts w:eastAsia="Times New Roman"/>
          <w:lang w:eastAsia="en-US"/>
        </w:rPr>
        <w:t>.</w:t>
      </w:r>
    </w:p>
    <w:p w:rsidR="00B17240" w:rsidRPr="005A35D8" w:rsidRDefault="00B17240" w:rsidP="00B17240">
      <w:pPr>
        <w:rPr>
          <w:rFonts w:eastAsia="Times New Roman"/>
          <w:lang w:eastAsia="en-US"/>
        </w:rPr>
      </w:pPr>
    </w:p>
    <w:p w:rsidR="00B17240" w:rsidRPr="005A35D8" w:rsidRDefault="00B17240" w:rsidP="00B17240">
      <w:pPr>
        <w:keepNext/>
        <w:outlineLvl w:val="0"/>
        <w:rPr>
          <w:bCs/>
          <w:caps/>
          <w:kern w:val="32"/>
          <w:szCs w:val="32"/>
          <w:lang w:eastAsia="en-US"/>
        </w:rPr>
      </w:pPr>
      <w:r w:rsidRPr="005A35D8">
        <w:rPr>
          <w:bCs/>
          <w:caps/>
          <w:kern w:val="32"/>
          <w:szCs w:val="32"/>
          <w:lang w:eastAsia="en-US"/>
        </w:rPr>
        <w:t>C.</w:t>
      </w:r>
      <w:r w:rsidRPr="005A35D8">
        <w:rPr>
          <w:bCs/>
          <w:caps/>
          <w:kern w:val="32"/>
          <w:szCs w:val="32"/>
          <w:lang w:eastAsia="en-US"/>
        </w:rPr>
        <w:tab/>
      </w:r>
      <w:r w:rsidRPr="005A35D8">
        <w:rPr>
          <w:rStyle w:val="hps"/>
        </w:rPr>
        <w:t>OBJECTIFS EN MATIÈRE DE PLACEMENTS</w:t>
      </w:r>
      <w:r w:rsidRPr="005A35D8">
        <w:t xml:space="preserve">, </w:t>
      </w:r>
      <w:r w:rsidRPr="005A35D8">
        <w:rPr>
          <w:rStyle w:val="hps"/>
        </w:rPr>
        <w:t>TOLÉRANCE AU RISQUE ET</w:t>
      </w:r>
      <w:r w:rsidRPr="005A35D8">
        <w:t xml:space="preserve"> </w:t>
      </w:r>
      <w:r w:rsidRPr="005A35D8">
        <w:rPr>
          <w:rStyle w:val="hps"/>
        </w:rPr>
        <w:t>CONTRAINTES</w:t>
      </w:r>
    </w:p>
    <w:p w:rsidR="00B17240" w:rsidRPr="005A35D8" w:rsidRDefault="00B17240" w:rsidP="00B17240">
      <w:pPr>
        <w:spacing w:before="120" w:after="120"/>
        <w:rPr>
          <w:rFonts w:eastAsia="Times New Roman"/>
          <w:u w:val="single"/>
          <w:lang w:eastAsia="en-US"/>
        </w:rPr>
      </w:pPr>
      <w:r w:rsidRPr="005A35D8">
        <w:rPr>
          <w:rFonts w:eastAsia="Times New Roman"/>
          <w:u w:val="single"/>
          <w:lang w:eastAsia="en-US"/>
        </w:rPr>
        <w:t>Objectifs</w:t>
      </w:r>
    </w:p>
    <w:p w:rsidR="00485AD9" w:rsidRPr="005A35D8" w:rsidRDefault="00A163BA" w:rsidP="00A46961">
      <w:pPr>
        <w:pStyle w:val="ONUMFS"/>
        <w:rPr>
          <w:rFonts w:eastAsia="Times New Roman"/>
          <w:lang w:eastAsia="en-US"/>
        </w:rPr>
      </w:pPr>
      <w:r w:rsidRPr="005A35D8">
        <w:rPr>
          <w:rFonts w:eastAsia="Times New Roman"/>
          <w:lang w:eastAsia="en-US"/>
        </w:rPr>
        <w:t>La trésorerie stratégique fait l</w:t>
      </w:r>
      <w:r w:rsidR="00295456" w:rsidRPr="005A35D8">
        <w:rPr>
          <w:rFonts w:eastAsia="Times New Roman"/>
          <w:lang w:eastAsia="en-US"/>
        </w:rPr>
        <w:t>’</w:t>
      </w:r>
      <w:r w:rsidRPr="005A35D8">
        <w:rPr>
          <w:rFonts w:eastAsia="Times New Roman"/>
          <w:lang w:eastAsia="en-US"/>
        </w:rPr>
        <w:t>objet de placements à long terme</w:t>
      </w:r>
      <w:r w:rsidR="00485AD9" w:rsidRPr="005A35D8">
        <w:rPr>
          <w:rFonts w:eastAsia="Times New Roman"/>
          <w:vertAlign w:val="superscript"/>
          <w:lang w:eastAsia="en-US"/>
        </w:rPr>
        <w:footnoteReference w:id="10"/>
      </w:r>
      <w:r w:rsidR="00485AD9" w:rsidRPr="005A35D8">
        <w:rPr>
          <w:rFonts w:eastAsia="Times New Roman"/>
          <w:lang w:eastAsia="en-US"/>
        </w:rPr>
        <w:t xml:space="preserve"> </w:t>
      </w:r>
      <w:r w:rsidR="006351AB" w:rsidRPr="005A35D8">
        <w:rPr>
          <w:rStyle w:val="hps"/>
        </w:rPr>
        <w:t>en vue d</w:t>
      </w:r>
      <w:r w:rsidR="00295456" w:rsidRPr="005A35D8">
        <w:rPr>
          <w:rStyle w:val="hps"/>
        </w:rPr>
        <w:t>’</w:t>
      </w:r>
      <w:r w:rsidRPr="005A35D8">
        <w:rPr>
          <w:rStyle w:val="hps"/>
        </w:rPr>
        <w:t>une croissance du capital</w:t>
      </w:r>
      <w:r w:rsidRPr="005A35D8">
        <w:t xml:space="preserve"> </w:t>
      </w:r>
      <w:r w:rsidRPr="005A35D8">
        <w:rPr>
          <w:rStyle w:val="hps"/>
        </w:rPr>
        <w:t>et donc</w:t>
      </w:r>
      <w:r w:rsidRPr="005A35D8">
        <w:t xml:space="preserve"> </w:t>
      </w:r>
      <w:r w:rsidR="006351AB" w:rsidRPr="005A35D8">
        <w:t>d</w:t>
      </w:r>
      <w:r w:rsidR="00295456" w:rsidRPr="005A35D8">
        <w:t>’</w:t>
      </w:r>
      <w:r w:rsidRPr="005A35D8">
        <w:rPr>
          <w:rStyle w:val="hps"/>
        </w:rPr>
        <w:t>un rendement</w:t>
      </w:r>
      <w:r w:rsidRPr="005A35D8">
        <w:t xml:space="preserve"> </w:t>
      </w:r>
      <w:r w:rsidRPr="005A35D8">
        <w:rPr>
          <w:rStyle w:val="hps"/>
        </w:rPr>
        <w:t>global positif</w:t>
      </w:r>
      <w:r w:rsidRPr="005A35D8">
        <w:t xml:space="preserve"> </w:t>
      </w:r>
      <w:r w:rsidRPr="005A35D8">
        <w:rPr>
          <w:rStyle w:val="hps"/>
        </w:rPr>
        <w:t>au fil du temps</w:t>
      </w:r>
      <w:r w:rsidRPr="005A35D8">
        <w:t xml:space="preserve">. </w:t>
      </w:r>
      <w:r w:rsidR="006351AB" w:rsidRPr="005A35D8">
        <w:t xml:space="preserve"> </w:t>
      </w:r>
      <w:r w:rsidRPr="005A35D8">
        <w:rPr>
          <w:rStyle w:val="hps"/>
        </w:rPr>
        <w:t>Les principes généraux de</w:t>
      </w:r>
      <w:r w:rsidRPr="005A35D8">
        <w:t xml:space="preserve"> </w:t>
      </w:r>
      <w:r w:rsidRPr="005A35D8">
        <w:rPr>
          <w:rStyle w:val="hps"/>
        </w:rPr>
        <w:t>la gestion des placements</w:t>
      </w:r>
      <w:r w:rsidRPr="005A35D8">
        <w:t xml:space="preserve"> </w:t>
      </w:r>
      <w:r w:rsidRPr="005A35D8">
        <w:rPr>
          <w:rStyle w:val="hps"/>
        </w:rPr>
        <w:t>de l</w:t>
      </w:r>
      <w:r w:rsidR="00295456" w:rsidRPr="005A35D8">
        <w:rPr>
          <w:rStyle w:val="hps"/>
        </w:rPr>
        <w:t>’</w:t>
      </w:r>
      <w:r w:rsidRPr="005A35D8">
        <w:rPr>
          <w:rStyle w:val="hps"/>
        </w:rPr>
        <w:t>Organisation</w:t>
      </w:r>
      <w:r w:rsidRPr="005A35D8">
        <w:t xml:space="preserve">, </w:t>
      </w:r>
      <w:r w:rsidR="00295456" w:rsidRPr="005A35D8">
        <w:t>à savoir</w:t>
      </w:r>
      <w:r w:rsidR="00A46961" w:rsidRPr="005A35D8">
        <w:t xml:space="preserve"> </w:t>
      </w:r>
      <w:r w:rsidRPr="005A35D8">
        <w:t>i)</w:t>
      </w:r>
      <w:r w:rsidR="00A46961" w:rsidRPr="005A35D8">
        <w:t> </w:t>
      </w:r>
      <w:r w:rsidRPr="005A35D8">
        <w:rPr>
          <w:rStyle w:val="hps"/>
        </w:rPr>
        <w:t>la préservation du capital</w:t>
      </w:r>
      <w:r w:rsidR="00A46961" w:rsidRPr="005A35D8">
        <w:rPr>
          <w:rStyle w:val="hps"/>
        </w:rPr>
        <w:t>,</w:t>
      </w:r>
      <w:r w:rsidRPr="005A35D8">
        <w:t xml:space="preserve"> ii)</w:t>
      </w:r>
      <w:r w:rsidR="00A46961" w:rsidRPr="005A35D8">
        <w:t> </w:t>
      </w:r>
      <w:r w:rsidR="006351AB" w:rsidRPr="005A35D8">
        <w:rPr>
          <w:rStyle w:val="hps"/>
        </w:rPr>
        <w:t xml:space="preserve">les liquidités </w:t>
      </w:r>
      <w:r w:rsidRPr="005A35D8">
        <w:rPr>
          <w:rStyle w:val="hps"/>
        </w:rPr>
        <w:t>et</w:t>
      </w:r>
      <w:r w:rsidR="00A46961" w:rsidRPr="005A35D8">
        <w:t> </w:t>
      </w:r>
      <w:r w:rsidRPr="005A35D8">
        <w:t>iii)</w:t>
      </w:r>
      <w:r w:rsidR="00A46961" w:rsidRPr="005A35D8">
        <w:t> </w:t>
      </w:r>
      <w:r w:rsidRPr="005A35D8">
        <w:rPr>
          <w:rStyle w:val="hps"/>
        </w:rPr>
        <w:t>les taux de rendement</w:t>
      </w:r>
      <w:r w:rsidRPr="005A35D8">
        <w:t xml:space="preserve"> </w:t>
      </w:r>
      <w:r w:rsidR="006351AB" w:rsidRPr="005A35D8">
        <w:rPr>
          <w:rStyle w:val="hps"/>
        </w:rPr>
        <w:t>dans les limites de</w:t>
      </w:r>
      <w:r w:rsidR="006351AB" w:rsidRPr="005A35D8">
        <w:t xml:space="preserve"> i) et ii) </w:t>
      </w:r>
      <w:r w:rsidRPr="005A35D8">
        <w:rPr>
          <w:rStyle w:val="hps"/>
        </w:rPr>
        <w:t>sont définis comme suit </w:t>
      </w:r>
      <w:r w:rsidR="00485AD9" w:rsidRPr="005A35D8">
        <w:rPr>
          <w:rStyle w:val="hps"/>
        </w:rPr>
        <w:t>:</w:t>
      </w:r>
    </w:p>
    <w:p w:rsidR="00295456" w:rsidRPr="005A35D8" w:rsidRDefault="00A163BA" w:rsidP="00A46961">
      <w:pPr>
        <w:pStyle w:val="ONUMFS"/>
        <w:numPr>
          <w:ilvl w:val="1"/>
          <w:numId w:val="2"/>
        </w:numPr>
        <w:rPr>
          <w:rFonts w:eastAsia="Times New Roman"/>
          <w:lang w:eastAsia="en-US"/>
        </w:rPr>
      </w:pPr>
      <w:r w:rsidRPr="005A35D8">
        <w:rPr>
          <w:rStyle w:val="hps"/>
        </w:rPr>
        <w:t>préservation du capital</w:t>
      </w:r>
      <w:r w:rsidRPr="005A35D8">
        <w:t xml:space="preserve"> </w:t>
      </w:r>
      <w:r w:rsidR="00A46961" w:rsidRPr="005A35D8">
        <w:t xml:space="preserve">– </w:t>
      </w:r>
      <w:r w:rsidRPr="005A35D8">
        <w:rPr>
          <w:rStyle w:val="hps"/>
        </w:rPr>
        <w:t>le portefeuille</w:t>
      </w:r>
      <w:r w:rsidRPr="005A35D8">
        <w:t xml:space="preserve"> </w:t>
      </w:r>
      <w:r w:rsidR="00AD1ABC" w:rsidRPr="005A35D8">
        <w:rPr>
          <w:rStyle w:val="hps"/>
        </w:rPr>
        <w:t>vise</w:t>
      </w:r>
      <w:r w:rsidRPr="005A35D8">
        <w:t xml:space="preserve"> </w:t>
      </w:r>
      <w:r w:rsidRPr="005A35D8">
        <w:rPr>
          <w:rStyle w:val="hps"/>
        </w:rPr>
        <w:t xml:space="preserve">au </w:t>
      </w:r>
      <w:r w:rsidR="00AD1ABC" w:rsidRPr="005A35D8">
        <w:rPr>
          <w:rStyle w:val="hps"/>
        </w:rPr>
        <w:t>minimum</w:t>
      </w:r>
      <w:r w:rsidRPr="005A35D8">
        <w:t xml:space="preserve"> </w:t>
      </w:r>
      <w:r w:rsidR="00AD1ABC" w:rsidRPr="005A35D8">
        <w:t xml:space="preserve">à </w:t>
      </w:r>
      <w:r w:rsidRPr="005A35D8">
        <w:rPr>
          <w:rStyle w:val="hps"/>
        </w:rPr>
        <w:t>préserver le capital</w:t>
      </w:r>
      <w:r w:rsidRPr="005A35D8">
        <w:t xml:space="preserve"> </w:t>
      </w:r>
      <w:r w:rsidRPr="005A35D8">
        <w:rPr>
          <w:rStyle w:val="hps"/>
        </w:rPr>
        <w:t>sur le long terme</w:t>
      </w:r>
      <w:r w:rsidR="00A46961" w:rsidRPr="005A35D8">
        <w:rPr>
          <w:rFonts w:eastAsia="Times New Roman"/>
          <w:lang w:eastAsia="en-US"/>
        </w:rPr>
        <w:t>;</w:t>
      </w:r>
    </w:p>
    <w:p w:rsidR="00485AD9" w:rsidRPr="005A35D8" w:rsidRDefault="00A163BA" w:rsidP="00A46961">
      <w:pPr>
        <w:pStyle w:val="ONUMFS"/>
        <w:numPr>
          <w:ilvl w:val="1"/>
          <w:numId w:val="2"/>
        </w:numPr>
        <w:rPr>
          <w:rFonts w:eastAsia="Times New Roman"/>
          <w:lang w:eastAsia="en-US"/>
        </w:rPr>
      </w:pPr>
      <w:r w:rsidRPr="005A35D8">
        <w:rPr>
          <w:rStyle w:val="hps"/>
        </w:rPr>
        <w:t>liquidités</w:t>
      </w:r>
      <w:r w:rsidRPr="005A35D8">
        <w:t xml:space="preserve"> </w:t>
      </w:r>
      <w:r w:rsidR="00A46961" w:rsidRPr="005A35D8">
        <w:t xml:space="preserve">– </w:t>
      </w:r>
      <w:r w:rsidRPr="005A35D8">
        <w:rPr>
          <w:rStyle w:val="hps"/>
        </w:rPr>
        <w:t>une partie du portefeuille</w:t>
      </w:r>
      <w:r w:rsidRPr="005A35D8">
        <w:t xml:space="preserve"> </w:t>
      </w:r>
      <w:r w:rsidR="00AD1ABC" w:rsidRPr="005A35D8">
        <w:rPr>
          <w:rStyle w:val="hps"/>
        </w:rPr>
        <w:t>est</w:t>
      </w:r>
      <w:r w:rsidRPr="005A35D8">
        <w:rPr>
          <w:rStyle w:val="hps"/>
        </w:rPr>
        <w:t xml:space="preserve"> investi</w:t>
      </w:r>
      <w:r w:rsidR="00AD1ABC" w:rsidRPr="005A35D8">
        <w:rPr>
          <w:rStyle w:val="hps"/>
        </w:rPr>
        <w:t>e</w:t>
      </w:r>
      <w:r w:rsidRPr="005A35D8">
        <w:rPr>
          <w:rStyle w:val="hps"/>
        </w:rPr>
        <w:t xml:space="preserve"> dans des</w:t>
      </w:r>
      <w:r w:rsidRPr="005A35D8">
        <w:t xml:space="preserve"> </w:t>
      </w:r>
      <w:r w:rsidRPr="005A35D8">
        <w:rPr>
          <w:rStyle w:val="hps"/>
        </w:rPr>
        <w:t>instruments</w:t>
      </w:r>
      <w:r w:rsidRPr="005A35D8">
        <w:t xml:space="preserve"> </w:t>
      </w:r>
      <w:r w:rsidRPr="005A35D8">
        <w:rPr>
          <w:rStyle w:val="hps"/>
        </w:rPr>
        <w:t>qui sont</w:t>
      </w:r>
      <w:r w:rsidRPr="005A35D8">
        <w:t xml:space="preserve"> </w:t>
      </w:r>
      <w:r w:rsidR="00AD1ABC" w:rsidRPr="005A35D8">
        <w:rPr>
          <w:rStyle w:val="hps"/>
        </w:rPr>
        <w:t>coté</w:t>
      </w:r>
      <w:r w:rsidRPr="005A35D8">
        <w:rPr>
          <w:rStyle w:val="hps"/>
        </w:rPr>
        <w:t>s en bourse</w:t>
      </w:r>
      <w:r w:rsidRPr="005A35D8">
        <w:t xml:space="preserve"> </w:t>
      </w:r>
      <w:r w:rsidRPr="005A35D8">
        <w:rPr>
          <w:rStyle w:val="hps"/>
        </w:rPr>
        <w:t xml:space="preserve">et </w:t>
      </w:r>
      <w:r w:rsidR="00AD1ABC" w:rsidRPr="005A35D8">
        <w:rPr>
          <w:rStyle w:val="hps"/>
        </w:rPr>
        <w:t xml:space="preserve">pourraient </w:t>
      </w:r>
      <w:r w:rsidRPr="005A35D8">
        <w:rPr>
          <w:rStyle w:val="hps"/>
        </w:rPr>
        <w:t>donc</w:t>
      </w:r>
      <w:r w:rsidR="00AD1ABC" w:rsidRPr="005A35D8">
        <w:rPr>
          <w:rStyle w:val="hps"/>
        </w:rPr>
        <w:t xml:space="preserve"> être facilement</w:t>
      </w:r>
      <w:r w:rsidR="00AD1ABC" w:rsidRPr="005A35D8">
        <w:t xml:space="preserve"> </w:t>
      </w:r>
      <w:r w:rsidR="00AD1ABC" w:rsidRPr="005A35D8">
        <w:rPr>
          <w:rStyle w:val="hps"/>
        </w:rPr>
        <w:t>vendus</w:t>
      </w:r>
      <w:r w:rsidRPr="005A35D8">
        <w:t xml:space="preserve"> </w:t>
      </w:r>
      <w:r w:rsidRPr="005A35D8">
        <w:rPr>
          <w:rStyle w:val="hps"/>
        </w:rPr>
        <w:t>dans la plupart des</w:t>
      </w:r>
      <w:r w:rsidRPr="005A35D8">
        <w:t xml:space="preserve"> </w:t>
      </w:r>
      <w:r w:rsidRPr="005A35D8">
        <w:rPr>
          <w:rStyle w:val="hps"/>
        </w:rPr>
        <w:t>conditions de marché</w:t>
      </w:r>
      <w:r w:rsidRPr="005A35D8">
        <w:t xml:space="preserve">.  </w:t>
      </w:r>
      <w:r w:rsidRPr="005A35D8">
        <w:rPr>
          <w:rStyle w:val="hps"/>
        </w:rPr>
        <w:t>La trésorerie</w:t>
      </w:r>
      <w:r w:rsidRPr="005A35D8">
        <w:t xml:space="preserve"> </w:t>
      </w:r>
      <w:r w:rsidRPr="005A35D8">
        <w:rPr>
          <w:rStyle w:val="hps"/>
        </w:rPr>
        <w:t>stratégique</w:t>
      </w:r>
      <w:r w:rsidRPr="005A35D8">
        <w:t xml:space="preserve"> </w:t>
      </w:r>
      <w:r w:rsidR="00AD1ABC" w:rsidRPr="005A35D8">
        <w:t>n</w:t>
      </w:r>
      <w:r w:rsidR="00295456" w:rsidRPr="005A35D8">
        <w:t>’</w:t>
      </w:r>
      <w:r w:rsidRPr="005A35D8">
        <w:rPr>
          <w:rStyle w:val="hps"/>
        </w:rPr>
        <w:t>a</w:t>
      </w:r>
      <w:r w:rsidRPr="005A35D8">
        <w:t xml:space="preserve"> </w:t>
      </w:r>
      <w:r w:rsidR="00AD1ABC" w:rsidRPr="005A35D8">
        <w:rPr>
          <w:rStyle w:val="hps"/>
        </w:rPr>
        <w:t>actuellement pas</w:t>
      </w:r>
      <w:r w:rsidRPr="005A35D8">
        <w:rPr>
          <w:rStyle w:val="hps"/>
        </w:rPr>
        <w:t xml:space="preserve"> </w:t>
      </w:r>
      <w:r w:rsidR="00AD1ABC" w:rsidRPr="005A35D8">
        <w:rPr>
          <w:rStyle w:val="hps"/>
        </w:rPr>
        <w:t>besoin</w:t>
      </w:r>
      <w:r w:rsidRPr="005A35D8">
        <w:t xml:space="preserve"> </w:t>
      </w:r>
      <w:r w:rsidRPr="005A35D8">
        <w:rPr>
          <w:rStyle w:val="hps"/>
        </w:rPr>
        <w:t>de</w:t>
      </w:r>
      <w:r w:rsidRPr="005A35D8">
        <w:t xml:space="preserve"> </w:t>
      </w:r>
      <w:r w:rsidR="00AD1ABC" w:rsidRPr="005A35D8">
        <w:rPr>
          <w:rStyle w:val="hps"/>
        </w:rPr>
        <w:t xml:space="preserve">liquidités </w:t>
      </w:r>
      <w:r w:rsidRPr="005A35D8">
        <w:rPr>
          <w:rStyle w:val="hps"/>
        </w:rPr>
        <w:t>à court</w:t>
      </w:r>
      <w:r w:rsidRPr="005A35D8">
        <w:t xml:space="preserve"> </w:t>
      </w:r>
      <w:r w:rsidRPr="005A35D8">
        <w:rPr>
          <w:rStyle w:val="hps"/>
        </w:rPr>
        <w:t>ou moyen terme</w:t>
      </w:r>
      <w:r w:rsidR="00A46961" w:rsidRPr="005A35D8">
        <w:rPr>
          <w:rFonts w:eastAsia="Times New Roman"/>
          <w:lang w:eastAsia="en-US"/>
        </w:rPr>
        <w:t>;</w:t>
      </w:r>
    </w:p>
    <w:p w:rsidR="00485AD9" w:rsidRPr="005A35D8" w:rsidRDefault="006351AB" w:rsidP="00A46961">
      <w:pPr>
        <w:pStyle w:val="ONUMFS"/>
        <w:numPr>
          <w:ilvl w:val="1"/>
          <w:numId w:val="2"/>
        </w:numPr>
        <w:rPr>
          <w:rFonts w:eastAsia="Times New Roman"/>
          <w:lang w:eastAsia="en-US"/>
        </w:rPr>
      </w:pPr>
      <w:r w:rsidRPr="005A35D8">
        <w:t>r</w:t>
      </w:r>
      <w:r w:rsidR="00A163BA" w:rsidRPr="005A35D8">
        <w:t xml:space="preserve">endement </w:t>
      </w:r>
      <w:r w:rsidR="00A46961" w:rsidRPr="005A35D8">
        <w:t xml:space="preserve">– </w:t>
      </w:r>
      <w:r w:rsidR="00A163BA" w:rsidRPr="005A35D8">
        <w:rPr>
          <w:rStyle w:val="hps"/>
        </w:rPr>
        <w:t>le rendement moyen</w:t>
      </w:r>
      <w:r w:rsidR="00A163BA" w:rsidRPr="005A35D8">
        <w:t xml:space="preserve"> </w:t>
      </w:r>
      <w:r w:rsidR="00A163BA" w:rsidRPr="005A35D8">
        <w:rPr>
          <w:rStyle w:val="hps"/>
        </w:rPr>
        <w:t>à long terme</w:t>
      </w:r>
      <w:r w:rsidR="00A163BA" w:rsidRPr="005A35D8">
        <w:t xml:space="preserve"> </w:t>
      </w:r>
      <w:r w:rsidR="00A163BA" w:rsidRPr="005A35D8">
        <w:rPr>
          <w:rStyle w:val="hps"/>
        </w:rPr>
        <w:t>doit</w:t>
      </w:r>
      <w:r w:rsidR="00A163BA" w:rsidRPr="005A35D8">
        <w:t xml:space="preserve"> </w:t>
      </w:r>
      <w:r w:rsidR="00A163BA" w:rsidRPr="005A35D8">
        <w:rPr>
          <w:rStyle w:val="hps"/>
        </w:rPr>
        <w:t xml:space="preserve">être supérieur </w:t>
      </w:r>
      <w:r w:rsidR="00AD1ABC" w:rsidRPr="005A35D8">
        <w:rPr>
          <w:rStyle w:val="hps"/>
        </w:rPr>
        <w:t xml:space="preserve">ou égal </w:t>
      </w:r>
      <w:r w:rsidR="00A163BA" w:rsidRPr="005A35D8">
        <w:rPr>
          <w:rStyle w:val="hps"/>
        </w:rPr>
        <w:t>au taux</w:t>
      </w:r>
      <w:r w:rsidR="00A163BA" w:rsidRPr="005A35D8">
        <w:t xml:space="preserve"> </w:t>
      </w:r>
      <w:r w:rsidR="00A163BA" w:rsidRPr="005A35D8">
        <w:rPr>
          <w:rStyle w:val="hps"/>
        </w:rPr>
        <w:t>de</w:t>
      </w:r>
      <w:r w:rsidR="00A163BA" w:rsidRPr="005A35D8">
        <w:t xml:space="preserve"> </w:t>
      </w:r>
      <w:r w:rsidR="00A163BA" w:rsidRPr="005A35D8">
        <w:rPr>
          <w:rStyle w:val="hps"/>
        </w:rPr>
        <w:t>rendement</w:t>
      </w:r>
      <w:r w:rsidR="00A163BA" w:rsidRPr="005A35D8">
        <w:t xml:space="preserve"> </w:t>
      </w:r>
      <w:r w:rsidR="00A163BA" w:rsidRPr="005A35D8">
        <w:rPr>
          <w:rStyle w:val="hps"/>
        </w:rPr>
        <w:t>utilisé comme</w:t>
      </w:r>
      <w:r w:rsidR="00A163BA" w:rsidRPr="005A35D8">
        <w:t xml:space="preserve"> </w:t>
      </w:r>
      <w:r w:rsidR="00A163BA" w:rsidRPr="005A35D8">
        <w:rPr>
          <w:rStyle w:val="hps"/>
        </w:rPr>
        <w:t>taux d</w:t>
      </w:r>
      <w:r w:rsidR="00295456" w:rsidRPr="005A35D8">
        <w:rPr>
          <w:rStyle w:val="hps"/>
        </w:rPr>
        <w:t>’</w:t>
      </w:r>
      <w:r w:rsidR="00A163BA" w:rsidRPr="005A35D8">
        <w:rPr>
          <w:rStyle w:val="hps"/>
        </w:rPr>
        <w:t>actualisation</w:t>
      </w:r>
      <w:r w:rsidR="00A163BA" w:rsidRPr="005A35D8">
        <w:t xml:space="preserve"> </w:t>
      </w:r>
      <w:r w:rsidR="00A163BA" w:rsidRPr="005A35D8">
        <w:rPr>
          <w:rStyle w:val="hps"/>
        </w:rPr>
        <w:t>pour évaluer le</w:t>
      </w:r>
      <w:r w:rsidR="00A163BA" w:rsidRPr="005A35D8">
        <w:t xml:space="preserve"> </w:t>
      </w:r>
      <w:r w:rsidR="00A163BA" w:rsidRPr="005A35D8">
        <w:rPr>
          <w:rStyle w:val="hps"/>
        </w:rPr>
        <w:t xml:space="preserve">montant </w:t>
      </w:r>
      <w:r w:rsidR="00E03139" w:rsidRPr="005A35D8">
        <w:rPr>
          <w:rStyle w:val="hps"/>
        </w:rPr>
        <w:t>du passif</w:t>
      </w:r>
      <w:r w:rsidR="00A163BA" w:rsidRPr="005A35D8">
        <w:t xml:space="preserve"> </w:t>
      </w:r>
      <w:r w:rsidR="00A163BA" w:rsidRPr="005A35D8">
        <w:rPr>
          <w:rStyle w:val="hps"/>
        </w:rPr>
        <w:t xml:space="preserve">afin de </w:t>
      </w:r>
      <w:r w:rsidR="00AD1ABC" w:rsidRPr="005A35D8">
        <w:rPr>
          <w:rStyle w:val="hps"/>
        </w:rPr>
        <w:t>réduire au maximum</w:t>
      </w:r>
      <w:r w:rsidR="00A163BA" w:rsidRPr="005A35D8">
        <w:t xml:space="preserve"> </w:t>
      </w:r>
      <w:r w:rsidR="00A163BA" w:rsidRPr="005A35D8">
        <w:rPr>
          <w:rStyle w:val="hps"/>
        </w:rPr>
        <w:t>tout écart</w:t>
      </w:r>
      <w:r w:rsidR="00A163BA" w:rsidRPr="005A35D8">
        <w:t xml:space="preserve"> </w:t>
      </w:r>
      <w:r w:rsidR="00A163BA" w:rsidRPr="005A35D8">
        <w:rPr>
          <w:rStyle w:val="hps"/>
        </w:rPr>
        <w:t>de financement</w:t>
      </w:r>
      <w:r w:rsidR="00485AD9" w:rsidRPr="005A35D8">
        <w:rPr>
          <w:rFonts w:eastAsia="Times New Roman"/>
          <w:lang w:eastAsia="en-US"/>
        </w:rPr>
        <w:t>.</w:t>
      </w:r>
    </w:p>
    <w:p w:rsidR="00485AD9" w:rsidRPr="005A35D8" w:rsidRDefault="00A163BA" w:rsidP="00A46961">
      <w:pPr>
        <w:pStyle w:val="ONUMFS"/>
        <w:rPr>
          <w:rFonts w:eastAsia="Times New Roman"/>
          <w:lang w:eastAsia="en-US"/>
        </w:rPr>
      </w:pPr>
      <w:r w:rsidRPr="005A35D8">
        <w:rPr>
          <w:rStyle w:val="hps"/>
        </w:rPr>
        <w:t>Conformément aux</w:t>
      </w:r>
      <w:r w:rsidRPr="005A35D8">
        <w:t xml:space="preserve"> </w:t>
      </w:r>
      <w:r w:rsidRPr="005A35D8">
        <w:rPr>
          <w:rStyle w:val="hps"/>
        </w:rPr>
        <w:t>recommandations de l</w:t>
      </w:r>
      <w:r w:rsidR="00295456" w:rsidRPr="005A35D8">
        <w:rPr>
          <w:rStyle w:val="hps"/>
        </w:rPr>
        <w:t>’</w:t>
      </w:r>
      <w:r w:rsidR="00E03139" w:rsidRPr="005A35D8">
        <w:t>é</w:t>
      </w:r>
      <w:r w:rsidRPr="005A35D8">
        <w:t xml:space="preserve">tude de la </w:t>
      </w:r>
      <w:r w:rsidRPr="005A35D8">
        <w:rPr>
          <w:rStyle w:val="hps"/>
        </w:rPr>
        <w:t>gestion</w:t>
      </w:r>
      <w:r w:rsidRPr="005A35D8">
        <w:t xml:space="preserve"> </w:t>
      </w:r>
      <w:r w:rsidRPr="005A35D8">
        <w:rPr>
          <w:rStyle w:val="hps"/>
        </w:rPr>
        <w:t>actif</w:t>
      </w:r>
      <w:r w:rsidR="00D14880" w:rsidRPr="005A35D8">
        <w:rPr>
          <w:rStyle w:val="atn"/>
        </w:rPr>
        <w:noBreakHyphen/>
      </w:r>
      <w:r w:rsidRPr="005A35D8">
        <w:t xml:space="preserve">passif, </w:t>
      </w:r>
      <w:r w:rsidRPr="005A35D8">
        <w:rPr>
          <w:rStyle w:val="hps"/>
        </w:rPr>
        <w:t>l</w:t>
      </w:r>
      <w:r w:rsidR="00295456" w:rsidRPr="005A35D8">
        <w:rPr>
          <w:rStyle w:val="hps"/>
        </w:rPr>
        <w:t>’</w:t>
      </w:r>
      <w:r w:rsidRPr="005A35D8">
        <w:rPr>
          <w:rStyle w:val="hps"/>
        </w:rPr>
        <w:t>Organisation</w:t>
      </w:r>
      <w:r w:rsidRPr="005A35D8">
        <w:t xml:space="preserve"> </w:t>
      </w:r>
      <w:r w:rsidR="00E03139" w:rsidRPr="005A35D8">
        <w:rPr>
          <w:rStyle w:val="hps"/>
        </w:rPr>
        <w:t>vise</w:t>
      </w:r>
      <w:r w:rsidRPr="005A35D8">
        <w:rPr>
          <w:rStyle w:val="hps"/>
        </w:rPr>
        <w:t xml:space="preserve"> à atteindre</w:t>
      </w:r>
      <w:r w:rsidRPr="005A35D8">
        <w:t xml:space="preserve"> </w:t>
      </w:r>
      <w:r w:rsidRPr="005A35D8">
        <w:rPr>
          <w:rStyle w:val="hps"/>
        </w:rPr>
        <w:t>un équilibre entre ces</w:t>
      </w:r>
      <w:r w:rsidRPr="005A35D8">
        <w:t xml:space="preserve"> trois</w:t>
      </w:r>
      <w:r w:rsidR="00E03139" w:rsidRPr="005A35D8">
        <w:t> </w:t>
      </w:r>
      <w:r w:rsidRPr="005A35D8">
        <w:rPr>
          <w:rStyle w:val="hps"/>
        </w:rPr>
        <w:t>principes</w:t>
      </w:r>
      <w:r w:rsidRPr="005A35D8">
        <w:t xml:space="preserve">. </w:t>
      </w:r>
      <w:r w:rsidR="00E03139" w:rsidRPr="005A35D8">
        <w:t xml:space="preserve"> </w:t>
      </w:r>
      <w:r w:rsidRPr="005A35D8">
        <w:rPr>
          <w:rStyle w:val="hps"/>
        </w:rPr>
        <w:t>Il est admis</w:t>
      </w:r>
      <w:r w:rsidRPr="005A35D8">
        <w:t xml:space="preserve"> </w:t>
      </w:r>
      <w:r w:rsidR="00E03139" w:rsidRPr="005A35D8">
        <w:rPr>
          <w:rStyle w:val="hps"/>
        </w:rPr>
        <w:t>qu</w:t>
      </w:r>
      <w:r w:rsidR="00295456" w:rsidRPr="005A35D8">
        <w:rPr>
          <w:rStyle w:val="hps"/>
        </w:rPr>
        <w:t>’</w:t>
      </w:r>
      <w:r w:rsidR="00E03139" w:rsidRPr="005A35D8">
        <w:rPr>
          <w:rStyle w:val="hps"/>
        </w:rPr>
        <w:t>il</w:t>
      </w:r>
      <w:r w:rsidRPr="005A35D8">
        <w:t xml:space="preserve"> </w:t>
      </w:r>
      <w:r w:rsidRPr="005A35D8">
        <w:rPr>
          <w:rStyle w:val="hps"/>
        </w:rPr>
        <w:t xml:space="preserve">ne sera </w:t>
      </w:r>
      <w:r w:rsidR="00E03139" w:rsidRPr="005A35D8">
        <w:rPr>
          <w:rStyle w:val="hps"/>
        </w:rPr>
        <w:t>peut</w:t>
      </w:r>
      <w:r w:rsidR="00D14880" w:rsidRPr="005A35D8">
        <w:rPr>
          <w:rStyle w:val="hps"/>
        </w:rPr>
        <w:noBreakHyphen/>
      </w:r>
      <w:r w:rsidR="00E03139" w:rsidRPr="005A35D8">
        <w:rPr>
          <w:rStyle w:val="hps"/>
        </w:rPr>
        <w:t xml:space="preserve">être </w:t>
      </w:r>
      <w:r w:rsidRPr="005A35D8">
        <w:rPr>
          <w:rStyle w:val="hps"/>
        </w:rPr>
        <w:t xml:space="preserve">pas </w:t>
      </w:r>
      <w:r w:rsidR="00E03139" w:rsidRPr="005A35D8">
        <w:rPr>
          <w:rStyle w:val="hps"/>
        </w:rPr>
        <w:t xml:space="preserve">toujours </w:t>
      </w:r>
      <w:r w:rsidRPr="005A35D8">
        <w:rPr>
          <w:rStyle w:val="hps"/>
        </w:rPr>
        <w:t>possible</w:t>
      </w:r>
      <w:r w:rsidRPr="005A35D8">
        <w:t xml:space="preserve"> </w:t>
      </w:r>
      <w:r w:rsidRPr="005A35D8">
        <w:rPr>
          <w:rStyle w:val="hps"/>
        </w:rPr>
        <w:t>de satisfaire</w:t>
      </w:r>
      <w:r w:rsidRPr="005A35D8">
        <w:t xml:space="preserve"> </w:t>
      </w:r>
      <w:r w:rsidR="00E03139" w:rsidRPr="005A35D8">
        <w:rPr>
          <w:rStyle w:val="hps"/>
        </w:rPr>
        <w:t>c</w:t>
      </w:r>
      <w:r w:rsidRPr="005A35D8">
        <w:rPr>
          <w:rStyle w:val="hps"/>
        </w:rPr>
        <w:t>es</w:t>
      </w:r>
      <w:r w:rsidRPr="005A35D8">
        <w:t xml:space="preserve"> trois</w:t>
      </w:r>
      <w:r w:rsidR="00E03139" w:rsidRPr="005A35D8">
        <w:t> </w:t>
      </w:r>
      <w:r w:rsidRPr="005A35D8">
        <w:rPr>
          <w:rStyle w:val="hps"/>
        </w:rPr>
        <w:t>principes</w:t>
      </w:r>
      <w:r w:rsidR="00E03139" w:rsidRPr="005A35D8">
        <w:rPr>
          <w:rStyle w:val="hps"/>
        </w:rPr>
        <w:t xml:space="preserve"> à la fois</w:t>
      </w:r>
      <w:r w:rsidR="00485AD9" w:rsidRPr="005A35D8">
        <w:rPr>
          <w:rFonts w:eastAsia="Times New Roman"/>
          <w:lang w:eastAsia="en-US"/>
        </w:rPr>
        <w:t>.</w:t>
      </w:r>
    </w:p>
    <w:p w:rsidR="00B17240" w:rsidRPr="005A35D8" w:rsidRDefault="00A163BA" w:rsidP="00A46961">
      <w:pPr>
        <w:pStyle w:val="ONUMFS"/>
        <w:rPr>
          <w:rFonts w:eastAsia="Times New Roman"/>
          <w:lang w:eastAsia="en-US"/>
        </w:rPr>
      </w:pPr>
      <w:r w:rsidRPr="005A35D8">
        <w:rPr>
          <w:rStyle w:val="hps"/>
        </w:rPr>
        <w:t>L</w:t>
      </w:r>
      <w:r w:rsidR="00295456" w:rsidRPr="005A35D8">
        <w:rPr>
          <w:rStyle w:val="hps"/>
        </w:rPr>
        <w:t>’</w:t>
      </w:r>
      <w:r w:rsidRPr="005A35D8">
        <w:rPr>
          <w:rStyle w:val="hps"/>
        </w:rPr>
        <w:t>objectif</w:t>
      </w:r>
      <w:r w:rsidRPr="005A35D8">
        <w:t xml:space="preserve"> </w:t>
      </w:r>
      <w:r w:rsidRPr="005A35D8">
        <w:rPr>
          <w:rStyle w:val="hps"/>
        </w:rPr>
        <w:t>est d</w:t>
      </w:r>
      <w:r w:rsidR="00295456" w:rsidRPr="005A35D8">
        <w:rPr>
          <w:rStyle w:val="hps"/>
        </w:rPr>
        <w:t>’</w:t>
      </w:r>
      <w:r w:rsidRPr="005A35D8">
        <w:rPr>
          <w:rStyle w:val="hps"/>
        </w:rPr>
        <w:t>atteindre un</w:t>
      </w:r>
      <w:r w:rsidRPr="005A35D8">
        <w:t xml:space="preserve"> </w:t>
      </w:r>
      <w:r w:rsidRPr="005A35D8">
        <w:rPr>
          <w:rStyle w:val="hps"/>
        </w:rPr>
        <w:t>taux de couverture</w:t>
      </w:r>
      <w:r w:rsidRPr="005A35D8">
        <w:t xml:space="preserve"> </w:t>
      </w:r>
      <w:r w:rsidRPr="005A35D8">
        <w:rPr>
          <w:rStyle w:val="hps"/>
        </w:rPr>
        <w:t>de</w:t>
      </w:r>
      <w:r w:rsidRPr="005A35D8">
        <w:t xml:space="preserve"> </w:t>
      </w:r>
      <w:r w:rsidRPr="005A35D8">
        <w:rPr>
          <w:rStyle w:val="hps"/>
        </w:rPr>
        <w:t xml:space="preserve">80% à 100% de </w:t>
      </w:r>
      <w:r w:rsidR="00E03139" w:rsidRPr="005A35D8">
        <w:rPr>
          <w:rStyle w:val="hps"/>
        </w:rPr>
        <w:t>l</w:t>
      </w:r>
      <w:r w:rsidR="00295456" w:rsidRPr="005A35D8">
        <w:rPr>
          <w:rStyle w:val="hps"/>
        </w:rPr>
        <w:t>’</w:t>
      </w:r>
      <w:r w:rsidR="00E03139" w:rsidRPr="005A35D8">
        <w:rPr>
          <w:rStyle w:val="hps"/>
        </w:rPr>
        <w:t xml:space="preserve">obligation </w:t>
      </w:r>
      <w:r w:rsidR="00E243DA" w:rsidRPr="005A35D8">
        <w:t>relative à l</w:t>
      </w:r>
      <w:r w:rsidR="00295456" w:rsidRPr="005A35D8">
        <w:t>’</w:t>
      </w:r>
      <w:r w:rsidR="00E243DA" w:rsidRPr="005A35D8">
        <w:rPr>
          <w:rStyle w:val="hps"/>
        </w:rPr>
        <w:t>assurance</w:t>
      </w:r>
      <w:r w:rsidR="00D14880" w:rsidRPr="005A35D8">
        <w:noBreakHyphen/>
      </w:r>
      <w:r w:rsidR="00E243DA" w:rsidRPr="005A35D8">
        <w:t>maladie après la cessation de service</w:t>
      </w:r>
      <w:r w:rsidR="00E243DA" w:rsidRPr="005A35D8">
        <w:rPr>
          <w:rStyle w:val="hps"/>
        </w:rPr>
        <w:t xml:space="preserve"> en quelques années</w:t>
      </w:r>
      <w:r w:rsidR="00295456" w:rsidRPr="005A35D8">
        <w:rPr>
          <w:rStyle w:val="hps"/>
        </w:rPr>
        <w:t>;</w:t>
      </w:r>
      <w:r w:rsidR="00E243DA" w:rsidRPr="005A35D8">
        <w:rPr>
          <w:rStyle w:val="hps"/>
        </w:rPr>
        <w:t xml:space="preserve"> </w:t>
      </w:r>
      <w:r w:rsidR="00085D20" w:rsidRPr="005A35D8">
        <w:rPr>
          <w:rStyle w:val="hps"/>
        </w:rPr>
        <w:t xml:space="preserve"> </w:t>
      </w:r>
      <w:r w:rsidR="00E243DA" w:rsidRPr="005A35D8">
        <w:t>le nombre d</w:t>
      </w:r>
      <w:r w:rsidR="00295456" w:rsidRPr="005A35D8">
        <w:t>’</w:t>
      </w:r>
      <w:r w:rsidR="00E243DA" w:rsidRPr="005A35D8">
        <w:t>années</w:t>
      </w:r>
      <w:r w:rsidRPr="005A35D8">
        <w:t xml:space="preserve"> </w:t>
      </w:r>
      <w:r w:rsidRPr="005A35D8">
        <w:rPr>
          <w:rStyle w:val="hps"/>
        </w:rPr>
        <w:t>est fonction de</w:t>
      </w:r>
      <w:r w:rsidRPr="005A35D8">
        <w:t xml:space="preserve"> </w:t>
      </w:r>
      <w:r w:rsidRPr="005A35D8">
        <w:rPr>
          <w:rStyle w:val="hps"/>
        </w:rPr>
        <w:t>l</w:t>
      </w:r>
      <w:r w:rsidR="00295456" w:rsidRPr="005A35D8">
        <w:rPr>
          <w:rStyle w:val="hps"/>
        </w:rPr>
        <w:t>’</w:t>
      </w:r>
      <w:r w:rsidRPr="005A35D8">
        <w:rPr>
          <w:rStyle w:val="hps"/>
        </w:rPr>
        <w:t>exigence</w:t>
      </w:r>
      <w:r w:rsidRPr="005A35D8">
        <w:t xml:space="preserve"> </w:t>
      </w:r>
      <w:r w:rsidRPr="005A35D8">
        <w:rPr>
          <w:rStyle w:val="hps"/>
        </w:rPr>
        <w:t>d</w:t>
      </w:r>
      <w:r w:rsidR="00295456" w:rsidRPr="005A35D8">
        <w:rPr>
          <w:rStyle w:val="hps"/>
        </w:rPr>
        <w:t>’</w:t>
      </w:r>
      <w:r w:rsidRPr="005A35D8">
        <w:rPr>
          <w:rStyle w:val="hps"/>
        </w:rPr>
        <w:t>obtenir un rendement</w:t>
      </w:r>
      <w:r w:rsidRPr="005A35D8">
        <w:t xml:space="preserve"> </w:t>
      </w:r>
      <w:r w:rsidRPr="005A35D8">
        <w:rPr>
          <w:rStyle w:val="hps"/>
        </w:rPr>
        <w:t>global positif</w:t>
      </w:r>
      <w:r w:rsidRPr="005A35D8">
        <w:t xml:space="preserve"> </w:t>
      </w:r>
      <w:r w:rsidRPr="005A35D8">
        <w:rPr>
          <w:rStyle w:val="hps"/>
        </w:rPr>
        <w:t>à un niveau de</w:t>
      </w:r>
      <w:r w:rsidRPr="005A35D8">
        <w:t xml:space="preserve"> </w:t>
      </w:r>
      <w:r w:rsidRPr="005A35D8">
        <w:rPr>
          <w:rStyle w:val="hps"/>
        </w:rPr>
        <w:t>risque</w:t>
      </w:r>
      <w:r w:rsidR="00E243DA" w:rsidRPr="005A35D8">
        <w:rPr>
          <w:rStyle w:val="hps"/>
        </w:rPr>
        <w:t xml:space="preserve"> acceptable</w:t>
      </w:r>
      <w:r w:rsidR="00485AD9" w:rsidRPr="005A35D8">
        <w:rPr>
          <w:rFonts w:eastAsia="Times New Roman"/>
          <w:vertAlign w:val="superscript"/>
          <w:lang w:eastAsia="en-US"/>
        </w:rPr>
        <w:footnoteReference w:id="11"/>
      </w:r>
      <w:r w:rsidR="00485AD9" w:rsidRPr="005A35D8">
        <w:rPr>
          <w:rFonts w:eastAsia="Times New Roman"/>
          <w:lang w:eastAsia="en-US"/>
        </w:rPr>
        <w:t>.</w:t>
      </w:r>
    </w:p>
    <w:p w:rsidR="00B17240" w:rsidRPr="005A35D8" w:rsidRDefault="00B17240" w:rsidP="00A46961">
      <w:pPr>
        <w:pStyle w:val="ONUME"/>
        <w:keepNext/>
        <w:keepLines/>
        <w:spacing w:before="120" w:after="120"/>
        <w:rPr>
          <w:rFonts w:eastAsia="Times New Roman"/>
          <w:u w:val="single"/>
          <w:lang w:eastAsia="en-US"/>
        </w:rPr>
      </w:pPr>
      <w:r w:rsidRPr="005A35D8">
        <w:rPr>
          <w:rFonts w:eastAsia="Times New Roman"/>
          <w:u w:val="single"/>
          <w:lang w:eastAsia="en-US"/>
        </w:rPr>
        <w:lastRenderedPageBreak/>
        <w:t>Tolérance au risque</w:t>
      </w:r>
    </w:p>
    <w:p w:rsidR="00B17240" w:rsidRPr="005A35D8" w:rsidRDefault="00B17240" w:rsidP="00A46961">
      <w:pPr>
        <w:pStyle w:val="ONUMFS"/>
        <w:rPr>
          <w:rFonts w:eastAsia="Times New Roman"/>
          <w:lang w:eastAsia="en-US"/>
        </w:rPr>
      </w:pPr>
      <w:r w:rsidRPr="005A35D8">
        <w:t xml:space="preserve">Le niveau de risque pris doit être compatible avec les objectifs de placement </w:t>
      </w:r>
      <w:r w:rsidR="0083228D" w:rsidRPr="005A35D8">
        <w:t>relatifs à</w:t>
      </w:r>
      <w:r w:rsidRPr="005A35D8">
        <w:t xml:space="preserve"> la trésorerie </w:t>
      </w:r>
      <w:r w:rsidR="00485AD9" w:rsidRPr="005A35D8">
        <w:t>stratégique</w:t>
      </w:r>
      <w:r w:rsidR="003723CC" w:rsidRPr="005A35D8">
        <w:t>, tel que décrit dans la section C (</w:t>
      </w:r>
      <w:r w:rsidR="00085D20" w:rsidRPr="005A35D8">
        <w:t>“</w:t>
      </w:r>
      <w:r w:rsidR="003723CC" w:rsidRPr="005A35D8">
        <w:t>Objectifs</w:t>
      </w:r>
      <w:r w:rsidR="00085D20" w:rsidRPr="005A35D8">
        <w:t>”</w:t>
      </w:r>
      <w:r w:rsidR="003723CC" w:rsidRPr="005A35D8">
        <w:t>) ci</w:t>
      </w:r>
      <w:r w:rsidR="00D14880" w:rsidRPr="005A35D8">
        <w:noBreakHyphen/>
      </w:r>
      <w:r w:rsidR="003723CC" w:rsidRPr="005A35D8">
        <w:t>dessus</w:t>
      </w:r>
      <w:r w:rsidRPr="005A35D8">
        <w:t>.  S</w:t>
      </w:r>
      <w:r w:rsidR="00295456" w:rsidRPr="005A35D8">
        <w:t>’</w:t>
      </w:r>
      <w:r w:rsidRPr="005A35D8">
        <w:t xml:space="preserve">agissant des fonds propres, il est reconnu et admis que certains risques </w:t>
      </w:r>
      <w:r w:rsidR="00C64D1B" w:rsidRPr="005A35D8">
        <w:t>doivent</w:t>
      </w:r>
      <w:r w:rsidRPr="005A35D8">
        <w:t xml:space="preserve"> être pris de manière à atteindre les objectifs de placement.  Compte tenu </w:t>
      </w:r>
      <w:r w:rsidR="003723CC" w:rsidRPr="005A35D8">
        <w:t>des</w:t>
      </w:r>
      <w:r w:rsidRPr="005A35D8">
        <w:t xml:space="preserve"> </w:t>
      </w:r>
      <w:r w:rsidR="003723CC" w:rsidRPr="005A35D8">
        <w:t>objectifs en matière de trésorerie stratégique</w:t>
      </w:r>
      <w:r w:rsidRPr="005A35D8">
        <w:t xml:space="preserve">, </w:t>
      </w:r>
      <w:r w:rsidR="0083228D" w:rsidRPr="005A35D8">
        <w:t>le profil de risque permet d</w:t>
      </w:r>
      <w:r w:rsidR="00295456" w:rsidRPr="005A35D8">
        <w:t>’</w:t>
      </w:r>
      <w:r w:rsidR="0083228D" w:rsidRPr="005A35D8">
        <w:t>accepter les placements caractérisés par une certaine volatilité</w:t>
      </w:r>
      <w:r w:rsidRPr="005A35D8">
        <w:t>.  Les niveaux de tolérance au risque sont déterminés et approuvés par le Directeur général sur la base des recommandations du Comité consultatif des investissements.  Le Comité consultatif des investissements est responsable de l</w:t>
      </w:r>
      <w:r w:rsidR="00295456" w:rsidRPr="005A35D8">
        <w:t>’</w:t>
      </w:r>
      <w:r w:rsidRPr="005A35D8">
        <w:t>identification des risques et de leur suivi permanent</w:t>
      </w:r>
      <w:r w:rsidRPr="005A35D8">
        <w:rPr>
          <w:rFonts w:eastAsia="Times New Roman"/>
          <w:lang w:eastAsia="en-US"/>
        </w:rPr>
        <w:t>.</w:t>
      </w:r>
    </w:p>
    <w:p w:rsidR="00B17240" w:rsidRPr="005A35D8" w:rsidRDefault="00B17240" w:rsidP="00B17240">
      <w:pPr>
        <w:pStyle w:val="ONUME"/>
        <w:spacing w:before="120" w:after="120"/>
        <w:rPr>
          <w:rFonts w:eastAsia="Times New Roman"/>
          <w:u w:val="single"/>
          <w:lang w:eastAsia="en-US"/>
        </w:rPr>
      </w:pPr>
      <w:r w:rsidRPr="005A35D8">
        <w:rPr>
          <w:rFonts w:eastAsia="Times New Roman"/>
          <w:u w:val="single"/>
          <w:lang w:eastAsia="en-US"/>
        </w:rPr>
        <w:t>Contraintes</w:t>
      </w:r>
    </w:p>
    <w:p w:rsidR="00B17240" w:rsidRPr="005A35D8" w:rsidRDefault="00B17240" w:rsidP="00A46961">
      <w:pPr>
        <w:pStyle w:val="ONUMFS"/>
        <w:rPr>
          <w:bCs/>
          <w:szCs w:val="26"/>
          <w:lang w:eastAsia="en-US"/>
        </w:rPr>
      </w:pPr>
      <w:r w:rsidRPr="005A35D8">
        <w:t>Diversification des contreparties </w:t>
      </w:r>
      <w:r w:rsidRPr="005A35D8">
        <w:rPr>
          <w:bCs/>
          <w:szCs w:val="26"/>
          <w:lang w:eastAsia="en-US"/>
        </w:rPr>
        <w:t>:</w:t>
      </w:r>
    </w:p>
    <w:p w:rsidR="00B17240" w:rsidRPr="005A35D8" w:rsidRDefault="00B17240" w:rsidP="00A46961">
      <w:pPr>
        <w:pStyle w:val="ONUMFS"/>
        <w:numPr>
          <w:ilvl w:val="1"/>
          <w:numId w:val="2"/>
        </w:numPr>
        <w:rPr>
          <w:bCs/>
          <w:szCs w:val="26"/>
          <w:lang w:eastAsia="en-US"/>
        </w:rPr>
      </w:pPr>
      <w:r w:rsidRPr="005A35D8">
        <w:t xml:space="preserve">Tous les placements de trésorerie </w:t>
      </w:r>
      <w:r w:rsidR="00C10F49" w:rsidRPr="005A35D8">
        <w:t xml:space="preserve">stratégique </w:t>
      </w:r>
      <w:r w:rsidRPr="005A35D8">
        <w:t>de l</w:t>
      </w:r>
      <w:r w:rsidR="00295456" w:rsidRPr="005A35D8">
        <w:t>’</w:t>
      </w:r>
      <w:r w:rsidRPr="005A35D8">
        <w:t xml:space="preserve">Organisation peuvent </w:t>
      </w:r>
      <w:r w:rsidRPr="005A35D8">
        <w:rPr>
          <w:rStyle w:val="hps"/>
        </w:rPr>
        <w:t>être</w:t>
      </w:r>
      <w:r w:rsidRPr="005A35D8">
        <w:t xml:space="preserve"> confiés à une seule et même institution à risque souverain et à notation AAA/</w:t>
      </w:r>
      <w:proofErr w:type="spellStart"/>
      <w:r w:rsidRPr="005A35D8">
        <w:t>Aaa</w:t>
      </w:r>
      <w:proofErr w:type="spellEnd"/>
      <w:r w:rsidR="00C10F49" w:rsidRPr="005A35D8">
        <w:rPr>
          <w:rStyle w:val="FootnoteReference"/>
        </w:rPr>
        <w:footnoteReference w:id="12"/>
      </w:r>
      <w:r w:rsidRPr="005A35D8">
        <w:t>, à condition que l</w:t>
      </w:r>
      <w:r w:rsidR="00295456" w:rsidRPr="005A35D8">
        <w:t>’</w:t>
      </w:r>
      <w:r w:rsidRPr="005A35D8">
        <w:t>institution concernée puisse être identifiée et accepte d</w:t>
      </w:r>
      <w:r w:rsidR="00295456" w:rsidRPr="005A35D8">
        <w:t>’</w:t>
      </w:r>
      <w:r w:rsidRPr="005A35D8">
        <w:t xml:space="preserve">effectuer les placements demandés.  </w:t>
      </w:r>
      <w:r w:rsidR="00A61895" w:rsidRPr="005A35D8">
        <w:t>Sinon, l</w:t>
      </w:r>
      <w:r w:rsidR="00295456" w:rsidRPr="005A35D8">
        <w:t>’</w:t>
      </w:r>
      <w:r w:rsidR="00A61895" w:rsidRPr="005A35D8">
        <w:t xml:space="preserve">objectif est de répartir la trésorerie stratégique entre deux institutions. </w:t>
      </w:r>
      <w:r w:rsidR="00A61895" w:rsidRPr="005A35D8">
        <w:rPr>
          <w:rFonts w:eastAsia="Times New Roman"/>
          <w:lang w:eastAsia="en-US"/>
        </w:rPr>
        <w:t xml:space="preserve"> Aux fins de détermination de ces institutions, la trésorerie stratégique n</w:t>
      </w:r>
      <w:r w:rsidR="00295456" w:rsidRPr="005A35D8">
        <w:rPr>
          <w:rFonts w:eastAsia="Times New Roman"/>
          <w:lang w:eastAsia="en-US"/>
        </w:rPr>
        <w:t>’</w:t>
      </w:r>
      <w:r w:rsidR="00A61895" w:rsidRPr="005A35D8">
        <w:rPr>
          <w:rFonts w:eastAsia="Times New Roman"/>
          <w:lang w:eastAsia="en-US"/>
        </w:rPr>
        <w:t>est pas confiée aux institutions qui gèrent les fonds propres</w:t>
      </w:r>
      <w:r w:rsidRPr="005A35D8">
        <w:rPr>
          <w:rFonts w:eastAsia="Times New Roman"/>
          <w:lang w:eastAsia="en-US"/>
        </w:rPr>
        <w:t>.</w:t>
      </w:r>
    </w:p>
    <w:p w:rsidR="00B17240" w:rsidRPr="005A35D8" w:rsidRDefault="00B17240" w:rsidP="00A46961">
      <w:pPr>
        <w:pStyle w:val="ONUMFS"/>
        <w:numPr>
          <w:ilvl w:val="1"/>
          <w:numId w:val="2"/>
        </w:numPr>
        <w:rPr>
          <w:rFonts w:eastAsia="Times New Roman"/>
          <w:lang w:eastAsia="en-US"/>
        </w:rPr>
      </w:pPr>
      <w:r w:rsidRPr="005A35D8">
        <w:t xml:space="preserve">Les placements </w:t>
      </w:r>
      <w:r w:rsidR="00A61895" w:rsidRPr="005A35D8">
        <w:t>effectués par les gestionnaires de fonds extérieurs</w:t>
      </w:r>
      <w:r w:rsidRPr="005A35D8">
        <w:t xml:space="preserve"> ne peuvent être </w:t>
      </w:r>
      <w:r w:rsidR="00A61895" w:rsidRPr="005A35D8">
        <w:t>confiés qu</w:t>
      </w:r>
      <w:r w:rsidR="00295456" w:rsidRPr="005A35D8">
        <w:t>’</w:t>
      </w:r>
      <w:r w:rsidR="00A61895" w:rsidRPr="005A35D8">
        <w:t>à</w:t>
      </w:r>
      <w:r w:rsidRPr="005A35D8">
        <w:t xml:space="preserve"> </w:t>
      </w:r>
      <w:r w:rsidRPr="005A35D8">
        <w:rPr>
          <w:rStyle w:val="hps"/>
        </w:rPr>
        <w:t>des</w:t>
      </w:r>
      <w:r w:rsidRPr="005A35D8">
        <w:t xml:space="preserve"> institutions ayant une notation à court terme de A</w:t>
      </w:r>
      <w:r w:rsidR="00D14880" w:rsidRPr="005A35D8">
        <w:noBreakHyphen/>
      </w:r>
      <w:r w:rsidRPr="005A35D8">
        <w:t>2/P</w:t>
      </w:r>
      <w:r w:rsidR="00D14880" w:rsidRPr="005A35D8">
        <w:noBreakHyphen/>
      </w:r>
      <w:r w:rsidRPr="005A35D8">
        <w:t xml:space="preserve">2 ou une notation à long terme </w:t>
      </w:r>
      <w:proofErr w:type="gramStart"/>
      <w:r w:rsidRPr="005A35D8">
        <w:t>de A</w:t>
      </w:r>
      <w:r w:rsidR="00D14880" w:rsidRPr="005A35D8">
        <w:noBreakHyphen/>
      </w:r>
      <w:r w:rsidRPr="005A35D8">
        <w:t>/A3</w:t>
      </w:r>
      <w:proofErr w:type="gramEnd"/>
      <w:r w:rsidRPr="005A35D8">
        <w:rPr>
          <w:rFonts w:eastAsia="Times New Roman"/>
          <w:lang w:eastAsia="en-US"/>
        </w:rPr>
        <w:t xml:space="preserve">.  </w:t>
      </w:r>
      <w:r w:rsidRPr="005A35D8">
        <w:t>La seule exception à cette règle concerne les émissions d</w:t>
      </w:r>
      <w:r w:rsidR="00295456" w:rsidRPr="005A35D8">
        <w:t>’</w:t>
      </w:r>
      <w:r w:rsidRPr="005A35D8">
        <w:t>entreprises (obligations d</w:t>
      </w:r>
      <w:r w:rsidR="00295456" w:rsidRPr="005A35D8">
        <w:t>’</w:t>
      </w:r>
      <w:r w:rsidRPr="005A35D8">
        <w:t xml:space="preserve">entreprises et billets de trésorerie) qui peuvent avoir une notation à court terme </w:t>
      </w:r>
      <w:proofErr w:type="gramStart"/>
      <w:r w:rsidRPr="005A35D8">
        <w:t>de A</w:t>
      </w:r>
      <w:r w:rsidR="00D14880" w:rsidRPr="005A35D8">
        <w:noBreakHyphen/>
      </w:r>
      <w:r w:rsidRPr="005A35D8">
        <w:t>3/P</w:t>
      </w:r>
      <w:r w:rsidR="00D14880" w:rsidRPr="005A35D8">
        <w:noBreakHyphen/>
      </w:r>
      <w:r w:rsidRPr="005A35D8">
        <w:t>3</w:t>
      </w:r>
      <w:proofErr w:type="gramEnd"/>
      <w:r w:rsidRPr="005A35D8">
        <w:t xml:space="preserve"> ou une notation à long terme de BBB</w:t>
      </w:r>
      <w:r w:rsidR="00D14880" w:rsidRPr="005A35D8">
        <w:noBreakHyphen/>
      </w:r>
      <w:r w:rsidRPr="005A35D8">
        <w:t>/Baa3.  Les placements confiés à des institutions qui ne remplissent plus les critères de notation sont liquidés dès que possible</w:t>
      </w:r>
      <w:r w:rsidRPr="005A35D8">
        <w:rPr>
          <w:rFonts w:eastAsia="Times New Roman"/>
          <w:lang w:eastAsia="en-US"/>
        </w:rPr>
        <w:t>.</w:t>
      </w:r>
    </w:p>
    <w:p w:rsidR="00B17240" w:rsidRPr="005A35D8" w:rsidRDefault="00B17240" w:rsidP="00A46961">
      <w:pPr>
        <w:pStyle w:val="ONUMFS"/>
        <w:numPr>
          <w:ilvl w:val="1"/>
          <w:numId w:val="2"/>
        </w:numPr>
        <w:rPr>
          <w:rFonts w:eastAsia="Times New Roman"/>
          <w:lang w:eastAsia="en-US"/>
        </w:rPr>
      </w:pPr>
      <w:r w:rsidRPr="005A35D8">
        <w:t>Les placements confiés à des filiales ou des sociétés affiliées d</w:t>
      </w:r>
      <w:r w:rsidR="00295456" w:rsidRPr="005A35D8">
        <w:t>’</w:t>
      </w:r>
      <w:r w:rsidRPr="005A35D8">
        <w:t>une institution doivent être agrégés lors de la détermination du pourcentage de sommes placées auprès de l</w:t>
      </w:r>
      <w:r w:rsidR="00295456" w:rsidRPr="005A35D8">
        <w:t>’</w:t>
      </w:r>
      <w:r w:rsidRPr="005A35D8">
        <w:t>institution concernée.  Les limites peuvent être dépassées temporairement en raison des fluctuations de change, de l</w:t>
      </w:r>
      <w:r w:rsidR="00295456" w:rsidRPr="005A35D8">
        <w:t>’</w:t>
      </w:r>
      <w:r w:rsidRPr="005A35D8">
        <w:t>échéance des placements importants, de l</w:t>
      </w:r>
      <w:r w:rsidR="00295456" w:rsidRPr="005A35D8">
        <w:t>’</w:t>
      </w:r>
      <w:r w:rsidRPr="005A35D8">
        <w:t xml:space="preserve">évolution des flux de trésorerie ou du </w:t>
      </w:r>
      <w:r w:rsidRPr="005A35D8">
        <w:rPr>
          <w:rStyle w:val="hps"/>
        </w:rPr>
        <w:t>déclassement</w:t>
      </w:r>
      <w:r w:rsidRPr="005A35D8">
        <w:t xml:space="preserve"> des institutions.  Lorsque les niveaux sont dépassés, </w:t>
      </w:r>
      <w:r w:rsidR="00A61895" w:rsidRPr="005A35D8">
        <w:t xml:space="preserve">le trésorier, en lien avec les gestionnaires de fonds extérieurs, </w:t>
      </w:r>
      <w:r w:rsidRPr="005A35D8">
        <w:t>tente de remédier à la situation dès que possible, sans pénalités.  Lorsque le</w:t>
      </w:r>
      <w:r w:rsidR="00A61895" w:rsidRPr="005A35D8">
        <w:t>s</w:t>
      </w:r>
      <w:r w:rsidRPr="005A35D8">
        <w:t xml:space="preserve"> niveau</w:t>
      </w:r>
      <w:r w:rsidR="00A61895" w:rsidRPr="005A35D8">
        <w:t>x</w:t>
      </w:r>
      <w:r w:rsidRPr="005A35D8">
        <w:t xml:space="preserve"> ne peu</w:t>
      </w:r>
      <w:r w:rsidR="00A61895" w:rsidRPr="005A35D8">
        <w:t xml:space="preserve">vent pas être facilement ajustés </w:t>
      </w:r>
      <w:r w:rsidRPr="005A35D8">
        <w:t>(en raison des coûts associés), la situation doit recueillir l</w:t>
      </w:r>
      <w:r w:rsidR="00295456" w:rsidRPr="005A35D8">
        <w:t>’</w:t>
      </w:r>
      <w:r w:rsidRPr="005A35D8">
        <w:t>approbation du contrôleur.</w:t>
      </w:r>
    </w:p>
    <w:p w:rsidR="00B17240" w:rsidRPr="005A35D8" w:rsidRDefault="00B17240" w:rsidP="00B17240">
      <w:pPr>
        <w:pStyle w:val="ONUME"/>
        <w:spacing w:before="120" w:after="120"/>
        <w:rPr>
          <w:bCs/>
          <w:szCs w:val="26"/>
          <w:u w:val="single"/>
          <w:lang w:eastAsia="en-US"/>
        </w:rPr>
      </w:pPr>
      <w:r w:rsidRPr="005A35D8">
        <w:rPr>
          <w:bCs/>
          <w:szCs w:val="26"/>
          <w:u w:val="single"/>
          <w:lang w:eastAsia="en-US"/>
        </w:rPr>
        <w:t>Monnaie des placements</w:t>
      </w:r>
    </w:p>
    <w:p w:rsidR="00B17240" w:rsidRPr="005A35D8" w:rsidRDefault="00B17240" w:rsidP="00A46961">
      <w:pPr>
        <w:pStyle w:val="ONUMFS"/>
        <w:rPr>
          <w:rFonts w:eastAsia="Times New Roman"/>
          <w:lang w:eastAsia="en-US"/>
        </w:rPr>
      </w:pPr>
      <w:r w:rsidRPr="005A35D8">
        <w:rPr>
          <w:rStyle w:val="hps"/>
        </w:rPr>
        <w:t>S</w:t>
      </w:r>
      <w:r w:rsidR="00295456" w:rsidRPr="005A35D8">
        <w:rPr>
          <w:rStyle w:val="hps"/>
        </w:rPr>
        <w:t>’</w:t>
      </w:r>
      <w:r w:rsidRPr="005A35D8">
        <w:rPr>
          <w:rStyle w:val="hps"/>
        </w:rPr>
        <w:t>agissant des monnaies</w:t>
      </w:r>
      <w:r w:rsidRPr="005A35D8">
        <w:t xml:space="preserve"> </w:t>
      </w:r>
      <w:r w:rsidRPr="005A35D8">
        <w:rPr>
          <w:rStyle w:val="hps"/>
        </w:rPr>
        <w:t>dans lesquelles les placements</w:t>
      </w:r>
      <w:r w:rsidRPr="005A35D8">
        <w:t xml:space="preserve"> </w:t>
      </w:r>
      <w:r w:rsidRPr="005A35D8">
        <w:rPr>
          <w:rStyle w:val="hps"/>
        </w:rPr>
        <w:t>sont effectués, il convient de</w:t>
      </w:r>
      <w:r w:rsidRPr="005A35D8">
        <w:t xml:space="preserve"> </w:t>
      </w:r>
      <w:r w:rsidRPr="005A35D8">
        <w:rPr>
          <w:rStyle w:val="hps"/>
        </w:rPr>
        <w:t>prendre en considération</w:t>
      </w:r>
      <w:r w:rsidRPr="005A35D8">
        <w:t xml:space="preserve"> </w:t>
      </w:r>
      <w:r w:rsidRPr="005A35D8">
        <w:rPr>
          <w:rStyle w:val="hps"/>
        </w:rPr>
        <w:t>la monnaie dans laquelle</w:t>
      </w:r>
      <w:r w:rsidRPr="005A35D8">
        <w:t xml:space="preserve"> </w:t>
      </w:r>
      <w:r w:rsidRPr="005A35D8">
        <w:rPr>
          <w:rStyle w:val="hps"/>
        </w:rPr>
        <w:t>les</w:t>
      </w:r>
      <w:r w:rsidRPr="005A35D8">
        <w:t xml:space="preserve"> </w:t>
      </w:r>
      <w:r w:rsidRPr="005A35D8">
        <w:rPr>
          <w:rStyle w:val="hps"/>
        </w:rPr>
        <w:t>états financiers</w:t>
      </w:r>
      <w:r w:rsidRPr="005A35D8">
        <w:t xml:space="preserve"> </w:t>
      </w:r>
      <w:r w:rsidRPr="005A35D8">
        <w:rPr>
          <w:rStyle w:val="hps"/>
        </w:rPr>
        <w:t>sont tenus</w:t>
      </w:r>
      <w:r w:rsidRPr="005A35D8">
        <w:t xml:space="preserve">, </w:t>
      </w:r>
      <w:r w:rsidR="00295456" w:rsidRPr="005A35D8">
        <w:t>à savoir</w:t>
      </w:r>
      <w:r w:rsidRPr="005A35D8">
        <w:t xml:space="preserve"> </w:t>
      </w:r>
      <w:r w:rsidRPr="005A35D8">
        <w:rPr>
          <w:rStyle w:val="hps"/>
        </w:rPr>
        <w:t>le</w:t>
      </w:r>
      <w:r w:rsidRPr="005A35D8">
        <w:t xml:space="preserve"> </w:t>
      </w:r>
      <w:r w:rsidRPr="005A35D8">
        <w:rPr>
          <w:rStyle w:val="hps"/>
        </w:rPr>
        <w:t>franc suisse</w:t>
      </w:r>
      <w:r w:rsidRPr="005A35D8">
        <w:rPr>
          <w:rFonts w:eastAsia="Times New Roman"/>
          <w:lang w:eastAsia="en-US"/>
        </w:rPr>
        <w:t>.</w:t>
      </w:r>
    </w:p>
    <w:p w:rsidR="00B17240" w:rsidRPr="005A35D8" w:rsidRDefault="00B17240" w:rsidP="00A46961">
      <w:pPr>
        <w:pStyle w:val="ONUMFS"/>
        <w:rPr>
          <w:rFonts w:eastAsia="Times New Roman"/>
          <w:lang w:eastAsia="en-US"/>
        </w:rPr>
      </w:pPr>
      <w:r w:rsidRPr="005A35D8">
        <w:rPr>
          <w:rStyle w:val="hps"/>
        </w:rPr>
        <w:t>Lorsque les placements sont</w:t>
      </w:r>
      <w:r w:rsidRPr="005A35D8">
        <w:t xml:space="preserve"> </w:t>
      </w:r>
      <w:r w:rsidRPr="005A35D8">
        <w:rPr>
          <w:rStyle w:val="hps"/>
        </w:rPr>
        <w:t>libellés dans des monnaies</w:t>
      </w:r>
      <w:r w:rsidRPr="005A35D8">
        <w:t xml:space="preserve"> </w:t>
      </w:r>
      <w:r w:rsidRPr="005A35D8">
        <w:rPr>
          <w:rStyle w:val="hps"/>
        </w:rPr>
        <w:t>autres</w:t>
      </w:r>
      <w:r w:rsidRPr="005A35D8">
        <w:t xml:space="preserve"> </w:t>
      </w:r>
      <w:r w:rsidRPr="005A35D8">
        <w:rPr>
          <w:rStyle w:val="hps"/>
        </w:rPr>
        <w:t>que le franc suisse</w:t>
      </w:r>
      <w:r w:rsidRPr="005A35D8">
        <w:t xml:space="preserve">, </w:t>
      </w:r>
      <w:r w:rsidRPr="005A35D8">
        <w:rPr>
          <w:rStyle w:val="hps"/>
        </w:rPr>
        <w:t>le</w:t>
      </w:r>
      <w:r w:rsidR="00BC4821" w:rsidRPr="005A35D8">
        <w:rPr>
          <w:rStyle w:val="hps"/>
        </w:rPr>
        <w:t>s gestionnaires de fonds extérieurs</w:t>
      </w:r>
      <w:r w:rsidRPr="005A35D8">
        <w:rPr>
          <w:rStyle w:val="hps"/>
        </w:rPr>
        <w:t xml:space="preserve"> </w:t>
      </w:r>
      <w:r w:rsidR="00BC4821" w:rsidRPr="005A35D8">
        <w:rPr>
          <w:rStyle w:val="hps"/>
        </w:rPr>
        <w:t>déterminent</w:t>
      </w:r>
      <w:r w:rsidRPr="005A35D8">
        <w:rPr>
          <w:rStyle w:val="hps"/>
        </w:rPr>
        <w:t>,</w:t>
      </w:r>
      <w:r w:rsidRPr="005A35D8">
        <w:t xml:space="preserve"> </w:t>
      </w:r>
      <w:r w:rsidR="00BC4821" w:rsidRPr="005A35D8">
        <w:rPr>
          <w:rStyle w:val="hps"/>
        </w:rPr>
        <w:t>conformément aux directives de placement publiées</w:t>
      </w:r>
      <w:r w:rsidRPr="005A35D8">
        <w:rPr>
          <w:rStyle w:val="hps"/>
        </w:rPr>
        <w:t>, le recours à</w:t>
      </w:r>
      <w:r w:rsidRPr="005A35D8">
        <w:t xml:space="preserve"> </w:t>
      </w:r>
      <w:r w:rsidRPr="005A35D8">
        <w:rPr>
          <w:rStyle w:val="hps"/>
        </w:rPr>
        <w:t>des instruments de couverture</w:t>
      </w:r>
      <w:r w:rsidRPr="005A35D8">
        <w:t xml:space="preserve"> </w:t>
      </w:r>
      <w:r w:rsidRPr="005A35D8">
        <w:rPr>
          <w:rStyle w:val="hps"/>
        </w:rPr>
        <w:t>permettant de ramener à un minimum</w:t>
      </w:r>
      <w:r w:rsidRPr="005A35D8">
        <w:t xml:space="preserve"> </w:t>
      </w:r>
      <w:r w:rsidRPr="005A35D8">
        <w:rPr>
          <w:rStyle w:val="hps"/>
        </w:rPr>
        <w:t>le risque découlant de</w:t>
      </w:r>
      <w:r w:rsidRPr="005A35D8">
        <w:t xml:space="preserve"> </w:t>
      </w:r>
      <w:r w:rsidRPr="005A35D8">
        <w:rPr>
          <w:rStyle w:val="hps"/>
        </w:rPr>
        <w:t>la fluctuation</w:t>
      </w:r>
      <w:r w:rsidRPr="005A35D8">
        <w:t xml:space="preserve"> </w:t>
      </w:r>
      <w:r w:rsidRPr="005A35D8">
        <w:rPr>
          <w:rStyle w:val="hps"/>
        </w:rPr>
        <w:t>de la monnaie</w:t>
      </w:r>
      <w:r w:rsidRPr="005A35D8">
        <w:t xml:space="preserve"> </w:t>
      </w:r>
      <w:r w:rsidRPr="005A35D8">
        <w:rPr>
          <w:rStyle w:val="hps"/>
        </w:rPr>
        <w:t>des placements</w:t>
      </w:r>
      <w:r w:rsidRPr="005A35D8">
        <w:t xml:space="preserve"> </w:t>
      </w:r>
      <w:r w:rsidRPr="005A35D8">
        <w:rPr>
          <w:rStyle w:val="hps"/>
        </w:rPr>
        <w:t>par rapport au franc suisse</w:t>
      </w:r>
      <w:r w:rsidRPr="005A35D8">
        <w:t xml:space="preserve"> </w:t>
      </w:r>
      <w:r w:rsidRPr="005A35D8">
        <w:rPr>
          <w:rStyle w:val="hps"/>
        </w:rPr>
        <w:t>et d</w:t>
      </w:r>
      <w:r w:rsidR="00295456" w:rsidRPr="005A35D8">
        <w:rPr>
          <w:rStyle w:val="hps"/>
        </w:rPr>
        <w:t>’</w:t>
      </w:r>
      <w:r w:rsidRPr="005A35D8">
        <w:rPr>
          <w:rStyle w:val="hps"/>
        </w:rPr>
        <w:t>éviter ainsi</w:t>
      </w:r>
      <w:r w:rsidRPr="005A35D8">
        <w:t xml:space="preserve"> </w:t>
      </w:r>
      <w:r w:rsidRPr="005A35D8">
        <w:rPr>
          <w:rStyle w:val="hps"/>
        </w:rPr>
        <w:t>des rendements globaux d</w:t>
      </w:r>
      <w:r w:rsidR="00295456" w:rsidRPr="005A35D8">
        <w:rPr>
          <w:rStyle w:val="hps"/>
        </w:rPr>
        <w:t>’</w:t>
      </w:r>
      <w:r w:rsidRPr="005A35D8">
        <w:rPr>
          <w:rStyle w:val="hps"/>
        </w:rPr>
        <w:t>investissement négatifs</w:t>
      </w:r>
      <w:r w:rsidRPr="005A35D8">
        <w:t xml:space="preserve">.  Les placements </w:t>
      </w:r>
      <w:r w:rsidRPr="005A35D8">
        <w:rPr>
          <w:rStyle w:val="hps"/>
        </w:rPr>
        <w:t>sur des produits dérivés</w:t>
      </w:r>
      <w:r w:rsidRPr="005A35D8">
        <w:t xml:space="preserve"> </w:t>
      </w:r>
      <w:r w:rsidRPr="005A35D8">
        <w:rPr>
          <w:rStyle w:val="hps"/>
        </w:rPr>
        <w:t>à des fins spéculatives</w:t>
      </w:r>
      <w:r w:rsidRPr="005A35D8">
        <w:t xml:space="preserve"> ne sont</w:t>
      </w:r>
      <w:r w:rsidRPr="005A35D8">
        <w:rPr>
          <w:rStyle w:val="hps"/>
        </w:rPr>
        <w:t xml:space="preserve"> pas autorisés</w:t>
      </w:r>
      <w:r w:rsidRPr="005A35D8">
        <w:rPr>
          <w:rFonts w:eastAsia="Times New Roman"/>
          <w:lang w:eastAsia="en-US"/>
        </w:rPr>
        <w:t>.</w:t>
      </w:r>
    </w:p>
    <w:p w:rsidR="00B17240" w:rsidRPr="005A35D8" w:rsidRDefault="00B17240" w:rsidP="00B17240">
      <w:pPr>
        <w:pStyle w:val="ONUME"/>
        <w:spacing w:before="120" w:after="120"/>
        <w:rPr>
          <w:bCs/>
          <w:szCs w:val="26"/>
          <w:u w:val="single"/>
          <w:lang w:eastAsia="en-US"/>
        </w:rPr>
      </w:pPr>
      <w:r w:rsidRPr="005A35D8">
        <w:rPr>
          <w:bCs/>
          <w:szCs w:val="26"/>
          <w:u w:val="single"/>
          <w:lang w:eastAsia="en-US"/>
        </w:rPr>
        <w:lastRenderedPageBreak/>
        <w:t>Limites de crédit</w:t>
      </w:r>
    </w:p>
    <w:p w:rsidR="00B17240" w:rsidRPr="005A35D8" w:rsidRDefault="00B17240" w:rsidP="00A46961">
      <w:pPr>
        <w:pStyle w:val="ONUMFS"/>
        <w:rPr>
          <w:rFonts w:eastAsia="Times New Roman"/>
          <w:lang w:eastAsia="en-US"/>
        </w:rPr>
      </w:pPr>
      <w:r w:rsidRPr="005A35D8">
        <w:rPr>
          <w:rStyle w:val="hps"/>
        </w:rPr>
        <w:t>Le montant total des placements</w:t>
      </w:r>
      <w:r w:rsidRPr="005A35D8">
        <w:t xml:space="preserve"> </w:t>
      </w:r>
      <w:r w:rsidRPr="005A35D8">
        <w:rPr>
          <w:rStyle w:val="hps"/>
        </w:rPr>
        <w:t>dans</w:t>
      </w:r>
      <w:r w:rsidRPr="005A35D8">
        <w:t xml:space="preserve"> </w:t>
      </w:r>
      <w:r w:rsidRPr="005A35D8">
        <w:rPr>
          <w:rStyle w:val="hps"/>
        </w:rPr>
        <w:t>une entité</w:t>
      </w:r>
      <w:r w:rsidRPr="005A35D8">
        <w:t xml:space="preserve"> </w:t>
      </w:r>
      <w:r w:rsidRPr="005A35D8">
        <w:rPr>
          <w:rStyle w:val="hps"/>
        </w:rPr>
        <w:t>donnée ne doit pas excéder 5% du capital</w:t>
      </w:r>
      <w:r w:rsidRPr="005A35D8">
        <w:t xml:space="preserve"> </w:t>
      </w:r>
      <w:r w:rsidRPr="005A35D8">
        <w:rPr>
          <w:rStyle w:val="hps"/>
        </w:rPr>
        <w:t>social</w:t>
      </w:r>
      <w:r w:rsidRPr="005A35D8">
        <w:t xml:space="preserve"> </w:t>
      </w:r>
      <w:r w:rsidRPr="005A35D8">
        <w:rPr>
          <w:rStyle w:val="hps"/>
        </w:rPr>
        <w:t>de la banque</w:t>
      </w:r>
      <w:r w:rsidRPr="005A35D8">
        <w:t xml:space="preserve"> </w:t>
      </w:r>
      <w:r w:rsidRPr="005A35D8">
        <w:rPr>
          <w:rStyle w:val="hps"/>
        </w:rPr>
        <w:t>ou de la société,</w:t>
      </w:r>
      <w:r w:rsidRPr="005A35D8">
        <w:t xml:space="preserve"> </w:t>
      </w:r>
      <w:r w:rsidRPr="005A35D8">
        <w:rPr>
          <w:rStyle w:val="hps"/>
        </w:rPr>
        <w:t>tel que mentionné</w:t>
      </w:r>
      <w:r w:rsidRPr="005A35D8">
        <w:t xml:space="preserve"> </w:t>
      </w:r>
      <w:r w:rsidRPr="005A35D8">
        <w:rPr>
          <w:rStyle w:val="hps"/>
        </w:rPr>
        <w:t>dans les états financiers</w:t>
      </w:r>
      <w:r w:rsidRPr="005A35D8">
        <w:t xml:space="preserve"> </w:t>
      </w:r>
      <w:r w:rsidRPr="005A35D8">
        <w:rPr>
          <w:rStyle w:val="hps"/>
        </w:rPr>
        <w:t>les plus</w:t>
      </w:r>
      <w:r w:rsidRPr="005A35D8">
        <w:t xml:space="preserve"> </w:t>
      </w:r>
      <w:r w:rsidRPr="005A35D8">
        <w:rPr>
          <w:rStyle w:val="hps"/>
        </w:rPr>
        <w:t>récemment publiés</w:t>
      </w:r>
      <w:r w:rsidRPr="005A35D8">
        <w:t xml:space="preserve">.  </w:t>
      </w:r>
      <w:r w:rsidRPr="005A35D8">
        <w:rPr>
          <w:rStyle w:val="hps"/>
        </w:rPr>
        <w:t>S</w:t>
      </w:r>
      <w:r w:rsidR="00295456" w:rsidRPr="005A35D8">
        <w:rPr>
          <w:rStyle w:val="hps"/>
        </w:rPr>
        <w:t>’</w:t>
      </w:r>
      <w:r w:rsidRPr="005A35D8">
        <w:rPr>
          <w:rStyle w:val="hps"/>
        </w:rPr>
        <w:t>agissant des produits</w:t>
      </w:r>
      <w:r w:rsidRPr="005A35D8">
        <w:t xml:space="preserve"> </w:t>
      </w:r>
      <w:r w:rsidRPr="005A35D8">
        <w:rPr>
          <w:rStyle w:val="hps"/>
        </w:rPr>
        <w:t>à revenu fixe</w:t>
      </w:r>
      <w:r w:rsidRPr="005A35D8">
        <w:t xml:space="preserve">, les placements peuvent représenter </w:t>
      </w:r>
      <w:r w:rsidRPr="005A35D8">
        <w:rPr>
          <w:rStyle w:val="hps"/>
        </w:rPr>
        <w:t>5</w:t>
      </w:r>
      <w:r w:rsidRPr="005A35D8">
        <w:t>% maximum du montant</w:t>
      </w:r>
      <w:r w:rsidRPr="005A35D8">
        <w:rPr>
          <w:rStyle w:val="hps"/>
        </w:rPr>
        <w:t xml:space="preserve"> total de l</w:t>
      </w:r>
      <w:r w:rsidR="00295456" w:rsidRPr="005A35D8">
        <w:rPr>
          <w:rStyle w:val="hps"/>
        </w:rPr>
        <w:t>’</w:t>
      </w:r>
      <w:r w:rsidRPr="005A35D8">
        <w:rPr>
          <w:rStyle w:val="hps"/>
        </w:rPr>
        <w:t>émission</w:t>
      </w:r>
      <w:r w:rsidRPr="005A35D8">
        <w:rPr>
          <w:rFonts w:eastAsia="Times New Roman"/>
          <w:lang w:eastAsia="en-US"/>
        </w:rPr>
        <w:t>.</w:t>
      </w:r>
    </w:p>
    <w:p w:rsidR="00B17240" w:rsidRPr="005A35D8" w:rsidRDefault="00B17240" w:rsidP="00B17240">
      <w:pPr>
        <w:pStyle w:val="ONUME"/>
        <w:spacing w:before="120" w:after="120"/>
        <w:rPr>
          <w:bCs/>
          <w:szCs w:val="26"/>
          <w:u w:val="single"/>
          <w:lang w:eastAsia="en-US"/>
        </w:rPr>
      </w:pPr>
      <w:r w:rsidRPr="005A35D8">
        <w:rPr>
          <w:bCs/>
          <w:szCs w:val="26"/>
          <w:u w:val="single"/>
          <w:lang w:eastAsia="en-US"/>
        </w:rPr>
        <w:t>Considérations éthiques</w:t>
      </w:r>
    </w:p>
    <w:p w:rsidR="00B17240" w:rsidRPr="005A35D8" w:rsidRDefault="00B17240" w:rsidP="00A46961">
      <w:pPr>
        <w:pStyle w:val="ONUMFS"/>
        <w:rPr>
          <w:rFonts w:eastAsia="Times New Roman"/>
          <w:lang w:eastAsia="en-US"/>
        </w:rPr>
      </w:pPr>
      <w:r w:rsidRPr="005A35D8">
        <w:rPr>
          <w:rStyle w:val="hps"/>
        </w:rPr>
        <w:t>En matière de placements</w:t>
      </w:r>
      <w:r w:rsidRPr="005A35D8">
        <w:t>, il convient d</w:t>
      </w:r>
      <w:r w:rsidR="00295456" w:rsidRPr="005A35D8">
        <w:t>’</w:t>
      </w:r>
      <w:r w:rsidRPr="005A35D8">
        <w:t xml:space="preserve">examiner </w:t>
      </w:r>
      <w:r w:rsidRPr="005A35D8">
        <w:rPr>
          <w:rStyle w:val="hps"/>
        </w:rPr>
        <w:t>si l</w:t>
      </w:r>
      <w:r w:rsidR="00295456" w:rsidRPr="005A35D8">
        <w:rPr>
          <w:rStyle w:val="hps"/>
        </w:rPr>
        <w:t>’</w:t>
      </w:r>
      <w:r w:rsidRPr="005A35D8">
        <w:t xml:space="preserve">entité émettrice du placement </w:t>
      </w:r>
      <w:r w:rsidRPr="005A35D8">
        <w:rPr>
          <w:rStyle w:val="hps"/>
        </w:rPr>
        <w:t>a adopté</w:t>
      </w:r>
      <w:r w:rsidRPr="005A35D8">
        <w:t xml:space="preserve"> les </w:t>
      </w:r>
      <w:r w:rsidR="00085D20" w:rsidRPr="005A35D8">
        <w:t>10</w:t>
      </w:r>
      <w:r w:rsidRPr="005A35D8">
        <w:t> </w:t>
      </w:r>
      <w:r w:rsidRPr="005A35D8">
        <w:rPr>
          <w:rStyle w:val="hps"/>
        </w:rPr>
        <w:t>principes du Pacte</w:t>
      </w:r>
      <w:r w:rsidRPr="005A35D8">
        <w:t xml:space="preserve"> mondial</w:t>
      </w:r>
      <w:r w:rsidRPr="005A35D8">
        <w:rPr>
          <w:rStyle w:val="hps"/>
        </w:rPr>
        <w:t xml:space="preserve"> des </w:t>
      </w:r>
      <w:r w:rsidR="00295456" w:rsidRPr="005A35D8">
        <w:rPr>
          <w:rStyle w:val="hps"/>
        </w:rPr>
        <w:t>Nations Unies</w:t>
      </w:r>
      <w:r w:rsidRPr="005A35D8">
        <w:rPr>
          <w:rStyle w:val="hps"/>
        </w:rPr>
        <w:t xml:space="preserve"> dans les domaines</w:t>
      </w:r>
      <w:r w:rsidRPr="005A35D8">
        <w:t xml:space="preserve"> </w:t>
      </w:r>
      <w:r w:rsidRPr="005A35D8">
        <w:rPr>
          <w:rStyle w:val="hps"/>
        </w:rPr>
        <w:t>des droits de l</w:t>
      </w:r>
      <w:r w:rsidR="00295456" w:rsidRPr="005A35D8">
        <w:rPr>
          <w:rStyle w:val="hps"/>
        </w:rPr>
        <w:t>’</w:t>
      </w:r>
      <w:r w:rsidRPr="005A35D8">
        <w:t xml:space="preserve">homme, des normes </w:t>
      </w:r>
      <w:r w:rsidRPr="005A35D8">
        <w:rPr>
          <w:rStyle w:val="hps"/>
        </w:rPr>
        <w:t>du travail</w:t>
      </w:r>
      <w:r w:rsidRPr="005A35D8">
        <w:t xml:space="preserve">, de </w:t>
      </w:r>
      <w:r w:rsidRPr="005A35D8">
        <w:rPr>
          <w:rStyle w:val="hps"/>
        </w:rPr>
        <w:t>l</w:t>
      </w:r>
      <w:r w:rsidR="00295456" w:rsidRPr="005A35D8">
        <w:rPr>
          <w:rStyle w:val="hps"/>
        </w:rPr>
        <w:t>’</w:t>
      </w:r>
      <w:r w:rsidRPr="005A35D8">
        <w:rPr>
          <w:rStyle w:val="hps"/>
        </w:rPr>
        <w:t>environnement et de la</w:t>
      </w:r>
      <w:r w:rsidRPr="005A35D8">
        <w:t xml:space="preserve"> </w:t>
      </w:r>
      <w:r w:rsidRPr="005A35D8">
        <w:rPr>
          <w:rStyle w:val="hps"/>
        </w:rPr>
        <w:t>lutte contre la corruption</w:t>
      </w:r>
      <w:r w:rsidRPr="005A35D8">
        <w:t xml:space="preserve"> </w:t>
      </w:r>
      <w:r w:rsidRPr="005A35D8">
        <w:rPr>
          <w:rFonts w:eastAsia="Times New Roman"/>
          <w:lang w:eastAsia="en-US"/>
        </w:rPr>
        <w:t>(</w:t>
      </w:r>
      <w:hyperlink r:id="rId18" w:history="1">
        <w:r w:rsidRPr="005A35D8">
          <w:rPr>
            <w:rFonts w:eastAsia="Times New Roman"/>
            <w:color w:val="0000FF"/>
            <w:u w:val="single"/>
            <w:lang w:eastAsia="en-US"/>
          </w:rPr>
          <w:t>www.unglobalcompact.org</w:t>
        </w:r>
      </w:hyperlink>
      <w:r w:rsidRPr="005A35D8">
        <w:rPr>
          <w:rFonts w:eastAsia="Times New Roman"/>
          <w:lang w:eastAsia="en-US"/>
        </w:rPr>
        <w:t xml:space="preserve">).  </w:t>
      </w:r>
      <w:r w:rsidRPr="005A35D8">
        <w:rPr>
          <w:rStyle w:val="hps"/>
        </w:rPr>
        <w:t>Toutes les activités</w:t>
      </w:r>
      <w:r w:rsidRPr="005A35D8">
        <w:t xml:space="preserve"> </w:t>
      </w:r>
      <w:r w:rsidRPr="005A35D8">
        <w:rPr>
          <w:rStyle w:val="hps"/>
        </w:rPr>
        <w:t>de placement</w:t>
      </w:r>
      <w:r w:rsidRPr="005A35D8">
        <w:t xml:space="preserve"> </w:t>
      </w:r>
      <w:r w:rsidRPr="005A35D8">
        <w:rPr>
          <w:rStyle w:val="hps"/>
        </w:rPr>
        <w:t>sont conformes aux</w:t>
      </w:r>
      <w:r w:rsidRPr="005A35D8">
        <w:t xml:space="preserve"> </w:t>
      </w:r>
      <w:r w:rsidRPr="005A35D8">
        <w:rPr>
          <w:rStyle w:val="hps"/>
        </w:rPr>
        <w:t>principes énoncés</w:t>
      </w:r>
      <w:r w:rsidRPr="005A35D8">
        <w:t xml:space="preserve"> </w:t>
      </w:r>
      <w:r w:rsidRPr="005A35D8">
        <w:rPr>
          <w:rStyle w:val="hps"/>
        </w:rPr>
        <w:t>dans la politique de</w:t>
      </w:r>
      <w:r w:rsidRPr="005A35D8">
        <w:t xml:space="preserve"> </w:t>
      </w:r>
      <w:r w:rsidRPr="005A35D8">
        <w:rPr>
          <w:rStyle w:val="hps"/>
        </w:rPr>
        <w:t>l</w:t>
      </w:r>
      <w:r w:rsidR="00295456" w:rsidRPr="005A35D8">
        <w:rPr>
          <w:rStyle w:val="hps"/>
        </w:rPr>
        <w:t>’</w:t>
      </w:r>
      <w:r w:rsidRPr="005A35D8">
        <w:rPr>
          <w:rStyle w:val="hps"/>
        </w:rPr>
        <w:t>OMPI en matière de</w:t>
      </w:r>
      <w:r w:rsidRPr="005A35D8">
        <w:t xml:space="preserve"> </w:t>
      </w:r>
      <w:r w:rsidRPr="005A35D8">
        <w:rPr>
          <w:rStyle w:val="hps"/>
        </w:rPr>
        <w:t>prévention et de dissuasion</w:t>
      </w:r>
      <w:r w:rsidRPr="005A35D8">
        <w:t xml:space="preserve"> de la </w:t>
      </w:r>
      <w:r w:rsidRPr="005A35D8">
        <w:rPr>
          <w:rStyle w:val="hps"/>
        </w:rPr>
        <w:t>corruption, de la fraude</w:t>
      </w:r>
      <w:r w:rsidRPr="005A35D8">
        <w:t xml:space="preserve">, de la </w:t>
      </w:r>
      <w:r w:rsidRPr="005A35D8">
        <w:rPr>
          <w:rStyle w:val="hps"/>
        </w:rPr>
        <w:t>collusion, de la coercition</w:t>
      </w:r>
      <w:r w:rsidRPr="005A35D8">
        <w:t xml:space="preserve">, du </w:t>
      </w:r>
      <w:r w:rsidRPr="005A35D8">
        <w:rPr>
          <w:rStyle w:val="hps"/>
        </w:rPr>
        <w:t>blanchiment d</w:t>
      </w:r>
      <w:r w:rsidR="00295456" w:rsidRPr="005A35D8">
        <w:rPr>
          <w:rStyle w:val="hps"/>
        </w:rPr>
        <w:t>’</w:t>
      </w:r>
      <w:r w:rsidRPr="005A35D8">
        <w:rPr>
          <w:rStyle w:val="hps"/>
        </w:rPr>
        <w:t>argent et</w:t>
      </w:r>
      <w:r w:rsidRPr="005A35D8">
        <w:t xml:space="preserve"> </w:t>
      </w:r>
      <w:r w:rsidRPr="005A35D8">
        <w:rPr>
          <w:rStyle w:val="hps"/>
        </w:rPr>
        <w:t>du</w:t>
      </w:r>
      <w:r w:rsidRPr="005A35D8">
        <w:t xml:space="preserve"> </w:t>
      </w:r>
      <w:r w:rsidRPr="005A35D8">
        <w:rPr>
          <w:rStyle w:val="hps"/>
        </w:rPr>
        <w:t>financement du terrorisme</w:t>
      </w:r>
      <w:r w:rsidRPr="005A35D8">
        <w:rPr>
          <w:rFonts w:eastAsia="Times New Roman"/>
          <w:lang w:eastAsia="en-US"/>
        </w:rPr>
        <w:t>.</w:t>
      </w:r>
    </w:p>
    <w:p w:rsidR="00B17240" w:rsidRPr="005A35D8" w:rsidRDefault="00B17240" w:rsidP="00B17240">
      <w:pPr>
        <w:pStyle w:val="ONUME"/>
        <w:spacing w:before="120" w:after="120"/>
        <w:rPr>
          <w:bCs/>
          <w:szCs w:val="26"/>
          <w:u w:val="single"/>
          <w:lang w:eastAsia="en-US"/>
        </w:rPr>
      </w:pPr>
      <w:r w:rsidRPr="005A35D8">
        <w:rPr>
          <w:bCs/>
          <w:szCs w:val="26"/>
          <w:u w:val="single"/>
          <w:lang w:eastAsia="en-US"/>
        </w:rPr>
        <w:t>Emprunts</w:t>
      </w:r>
    </w:p>
    <w:p w:rsidR="00B17240" w:rsidRPr="005A35D8" w:rsidRDefault="00B17240" w:rsidP="00A46961">
      <w:pPr>
        <w:pStyle w:val="ONUMFS"/>
        <w:rPr>
          <w:rFonts w:eastAsia="Times New Roman"/>
          <w:lang w:eastAsia="en-US"/>
        </w:rPr>
      </w:pPr>
      <w:r w:rsidRPr="005A35D8">
        <w:rPr>
          <w:rStyle w:val="hps"/>
        </w:rPr>
        <w:t xml:space="preserve">Les </w:t>
      </w:r>
      <w:r w:rsidRPr="005A35D8">
        <w:t>gestionnaires</w:t>
      </w:r>
      <w:r w:rsidRPr="005A35D8">
        <w:rPr>
          <w:rStyle w:val="hps"/>
        </w:rPr>
        <w:t xml:space="preserve"> de fonds</w:t>
      </w:r>
      <w:r w:rsidRPr="005A35D8">
        <w:t xml:space="preserve"> </w:t>
      </w:r>
      <w:r w:rsidRPr="005A35D8">
        <w:rPr>
          <w:rStyle w:val="hps"/>
        </w:rPr>
        <w:t>extérieurs</w:t>
      </w:r>
      <w:r w:rsidRPr="005A35D8">
        <w:t xml:space="preserve"> </w:t>
      </w:r>
      <w:r w:rsidRPr="005A35D8">
        <w:rPr>
          <w:rStyle w:val="hps"/>
        </w:rPr>
        <w:t>ne peuvent pas emprunter</w:t>
      </w:r>
      <w:r w:rsidRPr="005A35D8">
        <w:t xml:space="preserve"> </w:t>
      </w:r>
      <w:r w:rsidRPr="005A35D8">
        <w:rPr>
          <w:rStyle w:val="hps"/>
        </w:rPr>
        <w:t>des fonds à</w:t>
      </w:r>
      <w:r w:rsidRPr="005A35D8">
        <w:t xml:space="preserve"> </w:t>
      </w:r>
      <w:r w:rsidRPr="005A35D8">
        <w:rPr>
          <w:rStyle w:val="hps"/>
        </w:rPr>
        <w:t>des</w:t>
      </w:r>
      <w:r w:rsidRPr="005A35D8">
        <w:t xml:space="preserve"> </w:t>
      </w:r>
      <w:r w:rsidRPr="005A35D8">
        <w:rPr>
          <w:rStyle w:val="hps"/>
        </w:rPr>
        <w:t>institutions afin d</w:t>
      </w:r>
      <w:r w:rsidR="00295456" w:rsidRPr="005A35D8">
        <w:rPr>
          <w:rStyle w:val="hps"/>
        </w:rPr>
        <w:t>’</w:t>
      </w:r>
      <w:r w:rsidRPr="005A35D8">
        <w:rPr>
          <w:rStyle w:val="hps"/>
        </w:rPr>
        <w:t>optimiser les placements</w:t>
      </w:r>
      <w:r w:rsidRPr="005A35D8">
        <w:rPr>
          <w:rFonts w:eastAsia="Times New Roman"/>
          <w:lang w:eastAsia="en-US"/>
        </w:rPr>
        <w:t>.</w:t>
      </w:r>
    </w:p>
    <w:p w:rsidR="00B17240" w:rsidRPr="005A35D8" w:rsidRDefault="00B17240" w:rsidP="00B17240">
      <w:pPr>
        <w:rPr>
          <w:rFonts w:eastAsia="Times New Roman"/>
          <w:lang w:eastAsia="en-US"/>
        </w:rPr>
      </w:pPr>
    </w:p>
    <w:p w:rsidR="00B17240" w:rsidRPr="005A35D8" w:rsidRDefault="00B17240" w:rsidP="00B17240">
      <w:pPr>
        <w:keepNext/>
        <w:spacing w:after="240"/>
        <w:outlineLvl w:val="0"/>
        <w:rPr>
          <w:bCs/>
          <w:caps/>
          <w:kern w:val="32"/>
          <w:szCs w:val="32"/>
          <w:lang w:eastAsia="en-US"/>
        </w:rPr>
      </w:pPr>
      <w:r w:rsidRPr="005A35D8">
        <w:rPr>
          <w:bCs/>
          <w:caps/>
          <w:kern w:val="32"/>
          <w:szCs w:val="32"/>
          <w:lang w:eastAsia="en-US"/>
        </w:rPr>
        <w:t>D.</w:t>
      </w:r>
      <w:r w:rsidRPr="005A35D8">
        <w:rPr>
          <w:bCs/>
          <w:caps/>
          <w:kern w:val="32"/>
          <w:szCs w:val="32"/>
          <w:lang w:eastAsia="en-US"/>
        </w:rPr>
        <w:tab/>
      </w:r>
      <w:r w:rsidRPr="005A35D8">
        <w:rPr>
          <w:rStyle w:val="hps"/>
        </w:rPr>
        <w:t>CLASSES D</w:t>
      </w:r>
      <w:r w:rsidR="00295456" w:rsidRPr="005A35D8">
        <w:rPr>
          <w:rStyle w:val="hps"/>
        </w:rPr>
        <w:t>’</w:t>
      </w:r>
      <w:r w:rsidRPr="005A35D8">
        <w:rPr>
          <w:rStyle w:val="hps"/>
        </w:rPr>
        <w:t>ACTIFS ADMISSIBLES</w:t>
      </w:r>
    </w:p>
    <w:p w:rsidR="00B17240" w:rsidRPr="005A35D8" w:rsidRDefault="00B17240" w:rsidP="00A46961">
      <w:pPr>
        <w:pStyle w:val="ONUMFS"/>
        <w:rPr>
          <w:rFonts w:eastAsia="Times New Roman"/>
          <w:lang w:eastAsia="en-US"/>
        </w:rPr>
      </w:pPr>
      <w:r w:rsidRPr="005A35D8">
        <w:rPr>
          <w:rStyle w:val="hps"/>
        </w:rPr>
        <w:t>Les classes d</w:t>
      </w:r>
      <w:r w:rsidR="00295456" w:rsidRPr="005A35D8">
        <w:rPr>
          <w:rStyle w:val="hps"/>
        </w:rPr>
        <w:t>’</w:t>
      </w:r>
      <w:r w:rsidRPr="005A35D8">
        <w:rPr>
          <w:rStyle w:val="hps"/>
        </w:rPr>
        <w:t>actifs</w:t>
      </w:r>
      <w:r w:rsidRPr="005A35D8">
        <w:t xml:space="preserve"> </w:t>
      </w:r>
      <w:r w:rsidRPr="005A35D8">
        <w:rPr>
          <w:rStyle w:val="hps"/>
        </w:rPr>
        <w:t>admissibles et</w:t>
      </w:r>
      <w:r w:rsidRPr="005A35D8">
        <w:t xml:space="preserve"> </w:t>
      </w:r>
      <w:r w:rsidRPr="005A35D8">
        <w:rPr>
          <w:rStyle w:val="hps"/>
        </w:rPr>
        <w:t>leurs notations minimales</w:t>
      </w:r>
      <w:r w:rsidRPr="005A35D8">
        <w:t xml:space="preserve"> requises </w:t>
      </w:r>
      <w:r w:rsidRPr="005A35D8">
        <w:rPr>
          <w:rStyle w:val="hps"/>
        </w:rPr>
        <w:t>sont décrites</w:t>
      </w:r>
      <w:r w:rsidRPr="005A35D8">
        <w:t xml:space="preserve"> </w:t>
      </w:r>
      <w:r w:rsidRPr="005A35D8">
        <w:rPr>
          <w:rStyle w:val="hps"/>
        </w:rPr>
        <w:t>dans le tableau ci</w:t>
      </w:r>
      <w:r w:rsidR="00D14880" w:rsidRPr="005A35D8">
        <w:rPr>
          <w:rStyle w:val="hps"/>
        </w:rPr>
        <w:noBreakHyphen/>
      </w:r>
      <w:r w:rsidRPr="005A35D8">
        <w:rPr>
          <w:rStyle w:val="hps"/>
        </w:rPr>
        <w:t>dessous</w:t>
      </w:r>
      <w:r w:rsidRPr="005A35D8">
        <w:t xml:space="preserve">.  </w:t>
      </w:r>
      <w:r w:rsidRPr="005A35D8">
        <w:rPr>
          <w:rStyle w:val="hps"/>
        </w:rPr>
        <w:t>Les actifs</w:t>
      </w:r>
      <w:r w:rsidRPr="005A35D8">
        <w:t xml:space="preserve"> </w:t>
      </w:r>
      <w:r w:rsidRPr="005A35D8">
        <w:rPr>
          <w:rStyle w:val="hps"/>
        </w:rPr>
        <w:t>de chacune de ces</w:t>
      </w:r>
      <w:r w:rsidRPr="005A35D8">
        <w:t xml:space="preserve"> </w:t>
      </w:r>
      <w:r w:rsidRPr="005A35D8">
        <w:rPr>
          <w:rStyle w:val="hps"/>
        </w:rPr>
        <w:t>classes peuvent être</w:t>
      </w:r>
      <w:r w:rsidRPr="005A35D8">
        <w:t xml:space="preserve"> </w:t>
      </w:r>
      <w:r w:rsidRPr="005A35D8">
        <w:rPr>
          <w:rStyle w:val="hps"/>
        </w:rPr>
        <w:t>détenus</w:t>
      </w:r>
      <w:r w:rsidRPr="005A35D8">
        <w:t xml:space="preserve"> </w:t>
      </w:r>
      <w:r w:rsidRPr="005A35D8">
        <w:rPr>
          <w:rStyle w:val="hps"/>
        </w:rPr>
        <w:t xml:space="preserve">dans des </w:t>
      </w:r>
      <w:r w:rsidRPr="005A35D8">
        <w:t>monnaies</w:t>
      </w:r>
      <w:r w:rsidRPr="005A35D8">
        <w:rPr>
          <w:rStyle w:val="hps"/>
        </w:rPr>
        <w:t xml:space="preserve"> autres</w:t>
      </w:r>
      <w:r w:rsidRPr="005A35D8">
        <w:t xml:space="preserve"> </w:t>
      </w:r>
      <w:r w:rsidRPr="005A35D8">
        <w:rPr>
          <w:rStyle w:val="hps"/>
        </w:rPr>
        <w:t>que le franc suisse</w:t>
      </w:r>
      <w:r w:rsidRPr="005A35D8">
        <w:rPr>
          <w:rFonts w:eastAsia="Times New Roman"/>
          <w:lang w:eastAsia="en-US"/>
        </w:rPr>
        <w:t>.</w:t>
      </w:r>
    </w:p>
    <w:tbl>
      <w:tblPr>
        <w:tblStyle w:val="TableGrid"/>
        <w:tblW w:w="0" w:type="auto"/>
        <w:tblLook w:val="04A0" w:firstRow="1" w:lastRow="0" w:firstColumn="1" w:lastColumn="0" w:noHBand="0" w:noVBand="1"/>
      </w:tblPr>
      <w:tblGrid>
        <w:gridCol w:w="4077"/>
        <w:gridCol w:w="2425"/>
        <w:gridCol w:w="2709"/>
      </w:tblGrid>
      <w:tr w:rsidR="005A35D8" w:rsidRPr="005A35D8" w:rsidTr="008B5730">
        <w:tc>
          <w:tcPr>
            <w:tcW w:w="4077" w:type="dxa"/>
            <w:tcBorders>
              <w:top w:val="nil"/>
              <w:left w:val="nil"/>
              <w:bottom w:val="nil"/>
              <w:right w:val="single" w:sz="4" w:space="0" w:color="auto"/>
            </w:tcBorders>
          </w:tcPr>
          <w:p w:rsidR="00B17240" w:rsidRPr="005A35D8" w:rsidRDefault="00B17240" w:rsidP="009C58C9">
            <w:pPr>
              <w:keepNext/>
              <w:spacing w:before="120" w:after="120"/>
              <w:rPr>
                <w:b/>
                <w:sz w:val="18"/>
                <w:szCs w:val="18"/>
                <w:lang w:eastAsia="en-US"/>
              </w:rPr>
            </w:pPr>
          </w:p>
        </w:tc>
        <w:tc>
          <w:tcPr>
            <w:tcW w:w="5134" w:type="dxa"/>
            <w:gridSpan w:val="2"/>
            <w:tcBorders>
              <w:left w:val="single" w:sz="4" w:space="0" w:color="auto"/>
            </w:tcBorders>
          </w:tcPr>
          <w:p w:rsidR="00B17240" w:rsidRPr="005A35D8" w:rsidRDefault="00B17240" w:rsidP="009C58C9">
            <w:pPr>
              <w:keepNext/>
              <w:spacing w:before="120" w:after="120"/>
              <w:jc w:val="center"/>
              <w:rPr>
                <w:b/>
                <w:sz w:val="18"/>
                <w:szCs w:val="18"/>
                <w:lang w:eastAsia="en-US"/>
              </w:rPr>
            </w:pPr>
            <w:r w:rsidRPr="005A35D8">
              <w:rPr>
                <w:b/>
                <w:sz w:val="18"/>
                <w:szCs w:val="18"/>
                <w:lang w:eastAsia="en-US"/>
              </w:rPr>
              <w:t>Notations minimales</w:t>
            </w:r>
          </w:p>
        </w:tc>
      </w:tr>
      <w:tr w:rsidR="005A35D8" w:rsidRPr="005A35D8" w:rsidTr="008B5730">
        <w:tc>
          <w:tcPr>
            <w:tcW w:w="4077" w:type="dxa"/>
            <w:tcBorders>
              <w:top w:val="nil"/>
              <w:left w:val="nil"/>
              <w:bottom w:val="single" w:sz="4" w:space="0" w:color="auto"/>
              <w:right w:val="single" w:sz="4" w:space="0" w:color="auto"/>
            </w:tcBorders>
          </w:tcPr>
          <w:p w:rsidR="00B17240" w:rsidRPr="005A35D8" w:rsidRDefault="00B17240" w:rsidP="009C58C9">
            <w:pPr>
              <w:keepNext/>
              <w:spacing w:before="120" w:after="120"/>
              <w:rPr>
                <w:sz w:val="18"/>
                <w:szCs w:val="18"/>
                <w:lang w:eastAsia="en-US"/>
              </w:rPr>
            </w:pPr>
          </w:p>
        </w:tc>
        <w:tc>
          <w:tcPr>
            <w:tcW w:w="2425" w:type="dxa"/>
            <w:vMerge w:val="restart"/>
            <w:tcBorders>
              <w:left w:val="single" w:sz="4" w:space="0" w:color="auto"/>
            </w:tcBorders>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à court terme (12 mois maximum)</w:t>
            </w:r>
          </w:p>
        </w:tc>
        <w:tc>
          <w:tcPr>
            <w:tcW w:w="2709" w:type="dxa"/>
            <w:vMerge w:val="restart"/>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à long terme (plus de 12 mois)</w:t>
            </w:r>
          </w:p>
        </w:tc>
      </w:tr>
      <w:tr w:rsidR="005A35D8" w:rsidRPr="005A35D8" w:rsidTr="008B5730">
        <w:tc>
          <w:tcPr>
            <w:tcW w:w="4077" w:type="dxa"/>
            <w:tcBorders>
              <w:top w:val="single" w:sz="4" w:space="0" w:color="auto"/>
              <w:right w:val="single" w:sz="4" w:space="0" w:color="auto"/>
            </w:tcBorders>
          </w:tcPr>
          <w:p w:rsidR="00B17240" w:rsidRPr="005A35D8" w:rsidRDefault="00B17240" w:rsidP="009C58C9">
            <w:pPr>
              <w:keepNext/>
              <w:spacing w:before="120" w:after="120"/>
              <w:rPr>
                <w:b/>
                <w:sz w:val="18"/>
                <w:szCs w:val="18"/>
                <w:u w:val="single"/>
                <w:lang w:eastAsia="en-US"/>
              </w:rPr>
            </w:pPr>
            <w:r w:rsidRPr="005A35D8">
              <w:rPr>
                <w:b/>
                <w:sz w:val="18"/>
                <w:szCs w:val="18"/>
                <w:u w:val="single"/>
                <w:lang w:eastAsia="en-US"/>
              </w:rPr>
              <w:t>Trésorerie ou équivalent</w:t>
            </w:r>
          </w:p>
        </w:tc>
        <w:tc>
          <w:tcPr>
            <w:tcW w:w="2425" w:type="dxa"/>
            <w:vMerge/>
            <w:tcBorders>
              <w:left w:val="single" w:sz="4" w:space="0" w:color="auto"/>
            </w:tcBorders>
          </w:tcPr>
          <w:p w:rsidR="00B17240" w:rsidRPr="005A35D8" w:rsidRDefault="00B17240" w:rsidP="009C58C9">
            <w:pPr>
              <w:keepNext/>
              <w:spacing w:before="120" w:after="120"/>
              <w:rPr>
                <w:sz w:val="18"/>
                <w:szCs w:val="18"/>
                <w:lang w:eastAsia="en-US"/>
              </w:rPr>
            </w:pPr>
          </w:p>
        </w:tc>
        <w:tc>
          <w:tcPr>
            <w:tcW w:w="2709" w:type="dxa"/>
            <w:vMerge/>
          </w:tcPr>
          <w:p w:rsidR="00B17240" w:rsidRPr="005A35D8" w:rsidRDefault="00B17240" w:rsidP="009C58C9">
            <w:pPr>
              <w:keepNext/>
              <w:spacing w:before="120" w:after="120"/>
              <w:rPr>
                <w:sz w:val="18"/>
                <w:szCs w:val="18"/>
                <w:lang w:eastAsia="en-US"/>
              </w:rPr>
            </w:pP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Dépôts à vue, comptes d</w:t>
            </w:r>
            <w:r w:rsidR="00295456" w:rsidRPr="005A35D8">
              <w:rPr>
                <w:sz w:val="18"/>
                <w:szCs w:val="18"/>
                <w:lang w:eastAsia="en-US"/>
              </w:rPr>
              <w:t>’</w:t>
            </w:r>
            <w:r w:rsidRPr="005A35D8">
              <w:rPr>
                <w:sz w:val="18"/>
                <w:szCs w:val="18"/>
                <w:lang w:eastAsia="en-US"/>
              </w:rPr>
              <w:t>épargne ou comptes de dépôt</w:t>
            </w:r>
          </w:p>
        </w:tc>
        <w:tc>
          <w:tcPr>
            <w:tcW w:w="2425" w:type="dxa"/>
            <w:vMerge w:val="restart"/>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2/P</w:t>
            </w:r>
            <w:r w:rsidR="00D14880" w:rsidRPr="005A35D8">
              <w:rPr>
                <w:sz w:val="18"/>
                <w:szCs w:val="18"/>
                <w:lang w:eastAsia="en-US"/>
              </w:rPr>
              <w:noBreakHyphen/>
            </w:r>
            <w:r w:rsidRPr="005A35D8">
              <w:rPr>
                <w:sz w:val="18"/>
                <w:szCs w:val="18"/>
                <w:lang w:eastAsia="en-US"/>
              </w:rPr>
              <w:t>2</w:t>
            </w:r>
          </w:p>
        </w:tc>
        <w:tc>
          <w:tcPr>
            <w:tcW w:w="2709" w:type="dxa"/>
            <w:vMerge w:val="restart"/>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/A3</w:t>
            </w: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Certificats de dépôts/dépôts à terme</w:t>
            </w:r>
          </w:p>
        </w:tc>
        <w:tc>
          <w:tcPr>
            <w:tcW w:w="2425" w:type="dxa"/>
            <w:vMerge/>
          </w:tcPr>
          <w:p w:rsidR="00B17240" w:rsidRPr="005A35D8" w:rsidRDefault="00B17240" w:rsidP="009C58C9">
            <w:pPr>
              <w:keepNext/>
              <w:spacing w:before="120" w:after="120"/>
              <w:rPr>
                <w:sz w:val="18"/>
                <w:szCs w:val="18"/>
                <w:lang w:eastAsia="en-US"/>
              </w:rPr>
            </w:pPr>
          </w:p>
        </w:tc>
        <w:tc>
          <w:tcPr>
            <w:tcW w:w="2709" w:type="dxa"/>
            <w:vMerge/>
          </w:tcPr>
          <w:p w:rsidR="00B17240" w:rsidRPr="005A35D8" w:rsidRDefault="00B17240" w:rsidP="009C58C9">
            <w:pPr>
              <w:keepNext/>
              <w:spacing w:before="120" w:after="120"/>
              <w:rPr>
                <w:sz w:val="18"/>
                <w:szCs w:val="18"/>
                <w:lang w:eastAsia="en-US"/>
              </w:rPr>
            </w:pP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Dépôts structurés</w:t>
            </w:r>
          </w:p>
        </w:tc>
        <w:tc>
          <w:tcPr>
            <w:tcW w:w="2425" w:type="dxa"/>
            <w:vMerge/>
          </w:tcPr>
          <w:p w:rsidR="00B17240" w:rsidRPr="005A35D8" w:rsidRDefault="00B17240" w:rsidP="009C58C9">
            <w:pPr>
              <w:keepNext/>
              <w:spacing w:before="120" w:after="120"/>
              <w:rPr>
                <w:sz w:val="18"/>
                <w:szCs w:val="18"/>
                <w:lang w:eastAsia="en-US"/>
              </w:rPr>
            </w:pPr>
          </w:p>
        </w:tc>
        <w:tc>
          <w:tcPr>
            <w:tcW w:w="2709" w:type="dxa"/>
            <w:vMerge/>
          </w:tcPr>
          <w:p w:rsidR="00B17240" w:rsidRPr="005A35D8" w:rsidRDefault="00B17240" w:rsidP="009C58C9">
            <w:pPr>
              <w:keepNext/>
              <w:spacing w:before="120" w:after="120"/>
              <w:rPr>
                <w:sz w:val="18"/>
                <w:szCs w:val="18"/>
                <w:lang w:eastAsia="en-US"/>
              </w:rPr>
            </w:pP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Dépôts croisés dans deux</w:t>
            </w:r>
            <w:r w:rsidR="00085D20" w:rsidRPr="005A35D8">
              <w:rPr>
                <w:sz w:val="18"/>
                <w:szCs w:val="18"/>
                <w:lang w:eastAsia="en-US"/>
              </w:rPr>
              <w:t> </w:t>
            </w:r>
            <w:r w:rsidRPr="005A35D8">
              <w:rPr>
                <w:sz w:val="18"/>
                <w:szCs w:val="18"/>
                <w:lang w:eastAsia="en-US"/>
              </w:rPr>
              <w:t>devises</w:t>
            </w:r>
          </w:p>
        </w:tc>
        <w:tc>
          <w:tcPr>
            <w:tcW w:w="2425" w:type="dxa"/>
            <w:vMerge/>
            <w:tcBorders>
              <w:bottom w:val="single" w:sz="4" w:space="0" w:color="auto"/>
            </w:tcBorders>
          </w:tcPr>
          <w:p w:rsidR="00B17240" w:rsidRPr="005A35D8" w:rsidRDefault="00B17240" w:rsidP="009C58C9">
            <w:pPr>
              <w:keepNext/>
              <w:spacing w:before="120" w:after="120"/>
              <w:rPr>
                <w:sz w:val="18"/>
                <w:szCs w:val="18"/>
                <w:lang w:eastAsia="en-US"/>
              </w:rPr>
            </w:pPr>
          </w:p>
        </w:tc>
        <w:tc>
          <w:tcPr>
            <w:tcW w:w="2709" w:type="dxa"/>
            <w:vMerge/>
            <w:tcBorders>
              <w:bottom w:val="single" w:sz="4" w:space="0" w:color="auto"/>
            </w:tcBorders>
          </w:tcPr>
          <w:p w:rsidR="00B17240" w:rsidRPr="005A35D8" w:rsidRDefault="00B17240" w:rsidP="009C58C9">
            <w:pPr>
              <w:keepNext/>
              <w:spacing w:before="120" w:after="120"/>
              <w:rPr>
                <w:sz w:val="18"/>
                <w:szCs w:val="18"/>
                <w:lang w:eastAsia="en-US"/>
              </w:rPr>
            </w:pPr>
          </w:p>
        </w:tc>
      </w:tr>
      <w:tr w:rsidR="005A35D8" w:rsidRPr="005A35D8" w:rsidTr="005A35D8">
        <w:trPr>
          <w:trHeight w:val="565"/>
        </w:trPr>
        <w:tc>
          <w:tcPr>
            <w:tcW w:w="4077" w:type="dxa"/>
          </w:tcPr>
          <w:p w:rsidR="00B17240" w:rsidRPr="005A35D8" w:rsidRDefault="00B17240" w:rsidP="009C58C9">
            <w:pPr>
              <w:keepNext/>
              <w:spacing w:before="120" w:after="120"/>
              <w:rPr>
                <w:b/>
                <w:sz w:val="18"/>
                <w:szCs w:val="18"/>
                <w:u w:val="single"/>
                <w:lang w:eastAsia="en-US"/>
              </w:rPr>
            </w:pPr>
            <w:r w:rsidRPr="005A35D8">
              <w:rPr>
                <w:b/>
                <w:sz w:val="18"/>
                <w:szCs w:val="18"/>
                <w:u w:val="single"/>
                <w:lang w:eastAsia="en-US"/>
              </w:rPr>
              <w:t>Investissements sur les marchés monétaires</w:t>
            </w:r>
          </w:p>
        </w:tc>
        <w:tc>
          <w:tcPr>
            <w:tcW w:w="2425" w:type="dxa"/>
            <w:tcBorders>
              <w:right w:val="nil"/>
            </w:tcBorders>
          </w:tcPr>
          <w:p w:rsidR="00B17240" w:rsidRPr="005A35D8" w:rsidRDefault="00B17240" w:rsidP="009C58C9">
            <w:pPr>
              <w:keepNext/>
              <w:spacing w:before="120" w:after="120"/>
              <w:rPr>
                <w:sz w:val="18"/>
                <w:szCs w:val="18"/>
                <w:lang w:eastAsia="en-US"/>
              </w:rPr>
            </w:pPr>
          </w:p>
        </w:tc>
        <w:tc>
          <w:tcPr>
            <w:tcW w:w="2709" w:type="dxa"/>
            <w:tcBorders>
              <w:left w:val="nil"/>
            </w:tcBorders>
          </w:tcPr>
          <w:p w:rsidR="00B17240" w:rsidRPr="005A35D8" w:rsidRDefault="00B17240" w:rsidP="009C58C9">
            <w:pPr>
              <w:keepNext/>
              <w:spacing w:before="120" w:after="120"/>
              <w:rPr>
                <w:sz w:val="18"/>
                <w:szCs w:val="18"/>
                <w:lang w:eastAsia="en-US"/>
              </w:rPr>
            </w:pP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Billet de trésorerie</w:t>
            </w:r>
          </w:p>
        </w:tc>
        <w:tc>
          <w:tcPr>
            <w:tcW w:w="2425" w:type="dxa"/>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3/P</w:t>
            </w:r>
            <w:r w:rsidR="00D14880" w:rsidRPr="005A35D8">
              <w:rPr>
                <w:sz w:val="18"/>
                <w:szCs w:val="18"/>
                <w:lang w:eastAsia="en-US"/>
              </w:rPr>
              <w:noBreakHyphen/>
            </w:r>
            <w:r w:rsidRPr="005A35D8">
              <w:rPr>
                <w:sz w:val="18"/>
                <w:szCs w:val="18"/>
                <w:lang w:eastAsia="en-US"/>
              </w:rPr>
              <w:t>3</w:t>
            </w:r>
          </w:p>
        </w:tc>
        <w:tc>
          <w:tcPr>
            <w:tcW w:w="2709" w:type="dxa"/>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BBB</w:t>
            </w:r>
            <w:r w:rsidR="00D14880" w:rsidRPr="005A35D8">
              <w:rPr>
                <w:sz w:val="18"/>
                <w:szCs w:val="18"/>
                <w:lang w:eastAsia="en-US"/>
              </w:rPr>
              <w:noBreakHyphen/>
            </w:r>
            <w:r w:rsidRPr="005A35D8">
              <w:rPr>
                <w:sz w:val="18"/>
                <w:szCs w:val="18"/>
                <w:lang w:eastAsia="en-US"/>
              </w:rPr>
              <w:t>/Baa3</w:t>
            </w: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Mise/prise en pension de titres</w:t>
            </w:r>
          </w:p>
        </w:tc>
        <w:tc>
          <w:tcPr>
            <w:tcW w:w="2425" w:type="dxa"/>
            <w:vMerge w:val="restart"/>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2/P</w:t>
            </w:r>
            <w:r w:rsidR="00D14880" w:rsidRPr="005A35D8">
              <w:rPr>
                <w:sz w:val="18"/>
                <w:szCs w:val="18"/>
                <w:lang w:eastAsia="en-US"/>
              </w:rPr>
              <w:noBreakHyphen/>
            </w:r>
            <w:r w:rsidRPr="005A35D8">
              <w:rPr>
                <w:sz w:val="18"/>
                <w:szCs w:val="18"/>
                <w:lang w:eastAsia="en-US"/>
              </w:rPr>
              <w:t>2</w:t>
            </w:r>
          </w:p>
        </w:tc>
        <w:tc>
          <w:tcPr>
            <w:tcW w:w="2709" w:type="dxa"/>
            <w:vMerge w:val="restart"/>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/A3</w:t>
            </w: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Acceptation bancaire</w:t>
            </w:r>
          </w:p>
        </w:tc>
        <w:tc>
          <w:tcPr>
            <w:tcW w:w="2425" w:type="dxa"/>
            <w:vMerge/>
            <w:tcBorders>
              <w:bottom w:val="single" w:sz="4" w:space="0" w:color="auto"/>
            </w:tcBorders>
          </w:tcPr>
          <w:p w:rsidR="00B17240" w:rsidRPr="005A35D8" w:rsidRDefault="00B17240" w:rsidP="009C58C9">
            <w:pPr>
              <w:keepNext/>
              <w:spacing w:before="120" w:after="120"/>
              <w:rPr>
                <w:sz w:val="18"/>
                <w:szCs w:val="18"/>
                <w:lang w:eastAsia="en-US"/>
              </w:rPr>
            </w:pPr>
          </w:p>
        </w:tc>
        <w:tc>
          <w:tcPr>
            <w:tcW w:w="2709" w:type="dxa"/>
            <w:vMerge/>
            <w:tcBorders>
              <w:bottom w:val="single" w:sz="4" w:space="0" w:color="auto"/>
            </w:tcBorders>
          </w:tcPr>
          <w:p w:rsidR="00B17240" w:rsidRPr="005A35D8" w:rsidRDefault="00B17240" w:rsidP="009C58C9">
            <w:pPr>
              <w:keepNext/>
              <w:spacing w:before="120" w:after="120"/>
              <w:rPr>
                <w:sz w:val="18"/>
                <w:szCs w:val="18"/>
                <w:lang w:eastAsia="en-US"/>
              </w:rPr>
            </w:pPr>
          </w:p>
        </w:tc>
      </w:tr>
      <w:tr w:rsidR="005A35D8" w:rsidRPr="005A35D8" w:rsidTr="008B5730">
        <w:tc>
          <w:tcPr>
            <w:tcW w:w="4077" w:type="dxa"/>
          </w:tcPr>
          <w:p w:rsidR="00B17240" w:rsidRPr="005A35D8" w:rsidRDefault="00B17240" w:rsidP="009C58C9">
            <w:pPr>
              <w:keepNext/>
              <w:spacing w:before="120" w:after="120"/>
              <w:rPr>
                <w:b/>
                <w:sz w:val="18"/>
                <w:szCs w:val="18"/>
                <w:u w:val="single"/>
                <w:lang w:eastAsia="en-US"/>
              </w:rPr>
            </w:pPr>
            <w:r w:rsidRPr="005A35D8">
              <w:rPr>
                <w:b/>
                <w:sz w:val="18"/>
                <w:szCs w:val="18"/>
                <w:u w:val="single"/>
                <w:lang w:eastAsia="en-US"/>
              </w:rPr>
              <w:t>Obligations, effets ou autres obligations et autres produits à revenu fixe</w:t>
            </w:r>
          </w:p>
        </w:tc>
        <w:tc>
          <w:tcPr>
            <w:tcW w:w="2425" w:type="dxa"/>
            <w:tcBorders>
              <w:right w:val="nil"/>
            </w:tcBorders>
          </w:tcPr>
          <w:p w:rsidR="00B17240" w:rsidRPr="005A35D8" w:rsidRDefault="00B17240" w:rsidP="009C58C9">
            <w:pPr>
              <w:keepNext/>
              <w:spacing w:before="120" w:after="120"/>
              <w:rPr>
                <w:sz w:val="18"/>
                <w:szCs w:val="18"/>
                <w:lang w:eastAsia="en-US"/>
              </w:rPr>
            </w:pPr>
          </w:p>
        </w:tc>
        <w:tc>
          <w:tcPr>
            <w:tcW w:w="2709" w:type="dxa"/>
            <w:tcBorders>
              <w:left w:val="nil"/>
            </w:tcBorders>
          </w:tcPr>
          <w:p w:rsidR="00B17240" w:rsidRPr="005A35D8" w:rsidRDefault="00B17240" w:rsidP="009C58C9">
            <w:pPr>
              <w:keepNext/>
              <w:spacing w:before="120" w:after="120"/>
              <w:rPr>
                <w:sz w:val="18"/>
                <w:szCs w:val="18"/>
                <w:lang w:eastAsia="en-US"/>
              </w:rPr>
            </w:pP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Obligations d</w:t>
            </w:r>
            <w:r w:rsidR="00295456" w:rsidRPr="005A35D8">
              <w:rPr>
                <w:sz w:val="18"/>
                <w:szCs w:val="18"/>
                <w:lang w:eastAsia="en-US"/>
              </w:rPr>
              <w:t>’</w:t>
            </w:r>
            <w:r w:rsidRPr="005A35D8">
              <w:rPr>
                <w:sz w:val="18"/>
                <w:szCs w:val="18"/>
                <w:lang w:eastAsia="en-US"/>
              </w:rPr>
              <w:t>État</w:t>
            </w:r>
          </w:p>
        </w:tc>
        <w:tc>
          <w:tcPr>
            <w:tcW w:w="2425" w:type="dxa"/>
            <w:vMerge w:val="restart"/>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2/P</w:t>
            </w:r>
            <w:r w:rsidR="00D14880" w:rsidRPr="005A35D8">
              <w:rPr>
                <w:sz w:val="18"/>
                <w:szCs w:val="18"/>
                <w:lang w:eastAsia="en-US"/>
              </w:rPr>
              <w:noBreakHyphen/>
            </w:r>
            <w:r w:rsidRPr="005A35D8">
              <w:rPr>
                <w:sz w:val="18"/>
                <w:szCs w:val="18"/>
                <w:lang w:eastAsia="en-US"/>
              </w:rPr>
              <w:t>2</w:t>
            </w:r>
          </w:p>
        </w:tc>
        <w:tc>
          <w:tcPr>
            <w:tcW w:w="2709" w:type="dxa"/>
            <w:vMerge w:val="restart"/>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/A3</w:t>
            </w: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Obligations sous</w:t>
            </w:r>
            <w:r w:rsidR="00D14880" w:rsidRPr="005A35D8">
              <w:rPr>
                <w:sz w:val="18"/>
                <w:szCs w:val="18"/>
                <w:lang w:eastAsia="en-US"/>
              </w:rPr>
              <w:noBreakHyphen/>
            </w:r>
            <w:r w:rsidRPr="005A35D8">
              <w:rPr>
                <w:sz w:val="18"/>
                <w:szCs w:val="18"/>
                <w:lang w:eastAsia="en-US"/>
              </w:rPr>
              <w:t>souveraines (provinciales, municipales territoriales)</w:t>
            </w:r>
          </w:p>
        </w:tc>
        <w:tc>
          <w:tcPr>
            <w:tcW w:w="2425" w:type="dxa"/>
            <w:vMerge/>
            <w:vAlign w:val="center"/>
          </w:tcPr>
          <w:p w:rsidR="00B17240" w:rsidRPr="005A35D8" w:rsidRDefault="00B17240" w:rsidP="009C58C9">
            <w:pPr>
              <w:keepNext/>
              <w:spacing w:before="120" w:after="120"/>
              <w:jc w:val="center"/>
              <w:rPr>
                <w:sz w:val="18"/>
                <w:szCs w:val="18"/>
                <w:lang w:eastAsia="en-US"/>
              </w:rPr>
            </w:pPr>
          </w:p>
        </w:tc>
        <w:tc>
          <w:tcPr>
            <w:tcW w:w="2709" w:type="dxa"/>
            <w:vMerge/>
            <w:vAlign w:val="center"/>
          </w:tcPr>
          <w:p w:rsidR="00B17240" w:rsidRPr="005A35D8" w:rsidRDefault="00B17240" w:rsidP="009C58C9">
            <w:pPr>
              <w:keepNext/>
              <w:spacing w:before="120" w:after="120"/>
              <w:jc w:val="center"/>
              <w:rPr>
                <w:sz w:val="18"/>
                <w:szCs w:val="18"/>
                <w:lang w:eastAsia="en-US"/>
              </w:rPr>
            </w:pP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Obligations supranationales</w:t>
            </w:r>
          </w:p>
        </w:tc>
        <w:tc>
          <w:tcPr>
            <w:tcW w:w="2425" w:type="dxa"/>
            <w:vMerge/>
            <w:vAlign w:val="center"/>
          </w:tcPr>
          <w:p w:rsidR="00B17240" w:rsidRPr="005A35D8" w:rsidRDefault="00B17240" w:rsidP="009C58C9">
            <w:pPr>
              <w:keepNext/>
              <w:spacing w:before="120" w:after="120"/>
              <w:jc w:val="center"/>
              <w:rPr>
                <w:sz w:val="18"/>
                <w:szCs w:val="18"/>
                <w:lang w:eastAsia="en-US"/>
              </w:rPr>
            </w:pPr>
          </w:p>
        </w:tc>
        <w:tc>
          <w:tcPr>
            <w:tcW w:w="2709" w:type="dxa"/>
            <w:vMerge/>
            <w:vAlign w:val="center"/>
          </w:tcPr>
          <w:p w:rsidR="00B17240" w:rsidRPr="005A35D8" w:rsidRDefault="00B17240" w:rsidP="009C58C9">
            <w:pPr>
              <w:keepNext/>
              <w:spacing w:before="120" w:after="120"/>
              <w:jc w:val="center"/>
              <w:rPr>
                <w:sz w:val="18"/>
                <w:szCs w:val="18"/>
                <w:lang w:eastAsia="en-US"/>
              </w:rPr>
            </w:pP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Placements privés</w:t>
            </w:r>
          </w:p>
        </w:tc>
        <w:tc>
          <w:tcPr>
            <w:tcW w:w="2425" w:type="dxa"/>
            <w:vMerge/>
            <w:vAlign w:val="center"/>
          </w:tcPr>
          <w:p w:rsidR="00B17240" w:rsidRPr="005A35D8" w:rsidRDefault="00B17240" w:rsidP="009C58C9">
            <w:pPr>
              <w:keepNext/>
              <w:spacing w:before="120" w:after="120"/>
              <w:jc w:val="center"/>
              <w:rPr>
                <w:sz w:val="18"/>
                <w:szCs w:val="18"/>
                <w:lang w:eastAsia="en-US"/>
              </w:rPr>
            </w:pPr>
          </w:p>
        </w:tc>
        <w:tc>
          <w:tcPr>
            <w:tcW w:w="2709" w:type="dxa"/>
            <w:vMerge/>
            <w:vAlign w:val="center"/>
          </w:tcPr>
          <w:p w:rsidR="00B17240" w:rsidRPr="005A35D8" w:rsidRDefault="00B17240" w:rsidP="009C58C9">
            <w:pPr>
              <w:keepNext/>
              <w:spacing w:before="120" w:after="120"/>
              <w:jc w:val="center"/>
              <w:rPr>
                <w:sz w:val="18"/>
                <w:szCs w:val="18"/>
                <w:lang w:eastAsia="en-US"/>
              </w:rPr>
            </w:pPr>
          </w:p>
        </w:tc>
      </w:tr>
      <w:tr w:rsidR="005A35D8" w:rsidRPr="005A35D8" w:rsidTr="008B5730">
        <w:tc>
          <w:tcPr>
            <w:tcW w:w="4077" w:type="dxa"/>
          </w:tcPr>
          <w:p w:rsidR="00B17240" w:rsidRPr="005A35D8" w:rsidRDefault="00B17240" w:rsidP="009C58C9">
            <w:pPr>
              <w:keepNext/>
              <w:spacing w:before="120" w:after="120"/>
              <w:rPr>
                <w:sz w:val="18"/>
                <w:szCs w:val="18"/>
                <w:lang w:eastAsia="en-US"/>
              </w:rPr>
            </w:pPr>
            <w:r w:rsidRPr="005A35D8">
              <w:rPr>
                <w:sz w:val="18"/>
                <w:szCs w:val="18"/>
                <w:lang w:eastAsia="en-US"/>
              </w:rPr>
              <w:t>Obligations d</w:t>
            </w:r>
            <w:r w:rsidR="00295456" w:rsidRPr="005A35D8">
              <w:rPr>
                <w:sz w:val="18"/>
                <w:szCs w:val="18"/>
                <w:lang w:eastAsia="en-US"/>
              </w:rPr>
              <w:t>’</w:t>
            </w:r>
            <w:r w:rsidRPr="005A35D8">
              <w:rPr>
                <w:sz w:val="18"/>
                <w:szCs w:val="18"/>
                <w:lang w:eastAsia="en-US"/>
              </w:rPr>
              <w:t>entreprises</w:t>
            </w:r>
          </w:p>
        </w:tc>
        <w:tc>
          <w:tcPr>
            <w:tcW w:w="2425" w:type="dxa"/>
            <w:tcBorders>
              <w:bottom w:val="single" w:sz="4" w:space="0" w:color="auto"/>
            </w:tcBorders>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A</w:t>
            </w:r>
            <w:r w:rsidR="00D14880" w:rsidRPr="005A35D8">
              <w:rPr>
                <w:sz w:val="18"/>
                <w:szCs w:val="18"/>
                <w:lang w:eastAsia="en-US"/>
              </w:rPr>
              <w:noBreakHyphen/>
            </w:r>
            <w:r w:rsidRPr="005A35D8">
              <w:rPr>
                <w:sz w:val="18"/>
                <w:szCs w:val="18"/>
                <w:lang w:eastAsia="en-US"/>
              </w:rPr>
              <w:t>3/P</w:t>
            </w:r>
            <w:r w:rsidR="00D14880" w:rsidRPr="005A35D8">
              <w:rPr>
                <w:sz w:val="18"/>
                <w:szCs w:val="18"/>
                <w:lang w:eastAsia="en-US"/>
              </w:rPr>
              <w:noBreakHyphen/>
            </w:r>
            <w:r w:rsidRPr="005A35D8">
              <w:rPr>
                <w:sz w:val="18"/>
                <w:szCs w:val="18"/>
                <w:lang w:eastAsia="en-US"/>
              </w:rPr>
              <w:t>3</w:t>
            </w:r>
          </w:p>
        </w:tc>
        <w:tc>
          <w:tcPr>
            <w:tcW w:w="2709" w:type="dxa"/>
            <w:tcBorders>
              <w:bottom w:val="single" w:sz="4" w:space="0" w:color="auto"/>
            </w:tcBorders>
            <w:vAlign w:val="center"/>
          </w:tcPr>
          <w:p w:rsidR="00B17240" w:rsidRPr="005A35D8" w:rsidRDefault="00B17240" w:rsidP="009C58C9">
            <w:pPr>
              <w:keepNext/>
              <w:spacing w:before="120" w:after="120"/>
              <w:jc w:val="center"/>
              <w:rPr>
                <w:sz w:val="18"/>
                <w:szCs w:val="18"/>
                <w:lang w:eastAsia="en-US"/>
              </w:rPr>
            </w:pPr>
            <w:r w:rsidRPr="005A35D8">
              <w:rPr>
                <w:sz w:val="18"/>
                <w:szCs w:val="18"/>
                <w:lang w:eastAsia="en-US"/>
              </w:rPr>
              <w:t>BBB</w:t>
            </w:r>
            <w:r w:rsidR="00D14880" w:rsidRPr="005A35D8">
              <w:rPr>
                <w:sz w:val="18"/>
                <w:szCs w:val="18"/>
                <w:lang w:eastAsia="en-US"/>
              </w:rPr>
              <w:noBreakHyphen/>
            </w:r>
            <w:r w:rsidRPr="005A35D8">
              <w:rPr>
                <w:sz w:val="18"/>
                <w:szCs w:val="18"/>
                <w:lang w:eastAsia="en-US"/>
              </w:rPr>
              <w:t>/Baa3</w:t>
            </w:r>
          </w:p>
        </w:tc>
      </w:tr>
      <w:tr w:rsidR="005A35D8" w:rsidRPr="005A35D8" w:rsidTr="005A35D8">
        <w:trPr>
          <w:trHeight w:val="538"/>
        </w:trPr>
        <w:tc>
          <w:tcPr>
            <w:tcW w:w="4077" w:type="dxa"/>
          </w:tcPr>
          <w:p w:rsidR="00B17240" w:rsidRPr="005A35D8" w:rsidRDefault="00B17240" w:rsidP="009C58C9">
            <w:pPr>
              <w:keepNext/>
              <w:spacing w:before="120" w:after="120"/>
              <w:rPr>
                <w:b/>
                <w:sz w:val="18"/>
                <w:szCs w:val="18"/>
                <w:u w:val="single"/>
                <w:lang w:eastAsia="en-US"/>
              </w:rPr>
            </w:pPr>
            <w:r w:rsidRPr="005A35D8">
              <w:rPr>
                <w:b/>
                <w:sz w:val="18"/>
                <w:szCs w:val="18"/>
                <w:u w:val="single"/>
                <w:lang w:eastAsia="en-US"/>
              </w:rPr>
              <w:t>Immobilier</w:t>
            </w:r>
          </w:p>
        </w:tc>
        <w:tc>
          <w:tcPr>
            <w:tcW w:w="2425" w:type="dxa"/>
            <w:tcBorders>
              <w:right w:val="nil"/>
            </w:tcBorders>
          </w:tcPr>
          <w:p w:rsidR="00B17240" w:rsidRPr="005A35D8" w:rsidRDefault="00B17240" w:rsidP="009C58C9">
            <w:pPr>
              <w:keepNext/>
              <w:spacing w:before="120" w:after="120"/>
              <w:rPr>
                <w:sz w:val="18"/>
                <w:szCs w:val="18"/>
                <w:lang w:eastAsia="en-US"/>
              </w:rPr>
            </w:pPr>
          </w:p>
        </w:tc>
        <w:tc>
          <w:tcPr>
            <w:tcW w:w="2709" w:type="dxa"/>
            <w:tcBorders>
              <w:left w:val="nil"/>
            </w:tcBorders>
          </w:tcPr>
          <w:p w:rsidR="00B17240" w:rsidRPr="005A35D8" w:rsidRDefault="00B17240" w:rsidP="009C58C9">
            <w:pPr>
              <w:keepNext/>
              <w:spacing w:before="120" w:after="120"/>
              <w:rPr>
                <w:sz w:val="18"/>
                <w:szCs w:val="18"/>
                <w:lang w:eastAsia="en-US"/>
              </w:rPr>
            </w:pPr>
          </w:p>
        </w:tc>
      </w:tr>
      <w:tr w:rsidR="005A35D8" w:rsidRPr="005A35D8" w:rsidTr="005A35D8">
        <w:tc>
          <w:tcPr>
            <w:tcW w:w="4077" w:type="dxa"/>
            <w:shd w:val="clear" w:color="auto" w:fill="auto"/>
          </w:tcPr>
          <w:p w:rsidR="00A46961" w:rsidRPr="005A35D8" w:rsidRDefault="00A46961" w:rsidP="009C58C9">
            <w:pPr>
              <w:keepNext/>
              <w:spacing w:before="120" w:after="120"/>
              <w:rPr>
                <w:sz w:val="18"/>
                <w:szCs w:val="18"/>
                <w:lang w:eastAsia="en-US"/>
              </w:rPr>
            </w:pPr>
            <w:r w:rsidRPr="005A35D8">
              <w:rPr>
                <w:sz w:val="18"/>
                <w:szCs w:val="18"/>
                <w:lang w:eastAsia="en-US"/>
              </w:rPr>
              <w:t>Sociétés civiles de placement immobilier (SCPI)</w:t>
            </w:r>
          </w:p>
        </w:tc>
        <w:tc>
          <w:tcPr>
            <w:tcW w:w="2425" w:type="dxa"/>
            <w:vMerge w:val="restart"/>
            <w:shd w:val="clear" w:color="auto" w:fill="auto"/>
            <w:vAlign w:val="center"/>
          </w:tcPr>
          <w:p w:rsidR="00A46961" w:rsidRPr="005A35D8" w:rsidRDefault="00A46961" w:rsidP="009C58C9">
            <w:pPr>
              <w:keepNext/>
              <w:spacing w:before="120" w:after="120"/>
              <w:jc w:val="center"/>
              <w:rPr>
                <w:sz w:val="18"/>
                <w:szCs w:val="18"/>
                <w:lang w:eastAsia="en-US"/>
              </w:rPr>
            </w:pPr>
            <w:r w:rsidRPr="005A35D8">
              <w:rPr>
                <w:sz w:val="18"/>
                <w:szCs w:val="18"/>
                <w:lang w:eastAsia="en-US"/>
              </w:rPr>
              <w:t>sans objet</w:t>
            </w:r>
          </w:p>
        </w:tc>
        <w:tc>
          <w:tcPr>
            <w:tcW w:w="2709" w:type="dxa"/>
            <w:vMerge w:val="restart"/>
            <w:shd w:val="clear" w:color="auto" w:fill="auto"/>
            <w:vAlign w:val="center"/>
          </w:tcPr>
          <w:p w:rsidR="00A46961" w:rsidRPr="005A35D8" w:rsidRDefault="00A46961" w:rsidP="009C58C9">
            <w:pPr>
              <w:keepNext/>
              <w:spacing w:before="120" w:after="120"/>
              <w:jc w:val="center"/>
              <w:rPr>
                <w:sz w:val="18"/>
                <w:szCs w:val="18"/>
                <w:lang w:eastAsia="en-US"/>
              </w:rPr>
            </w:pPr>
            <w:r w:rsidRPr="005A35D8">
              <w:rPr>
                <w:sz w:val="18"/>
                <w:szCs w:val="18"/>
                <w:lang w:eastAsia="en-US"/>
              </w:rPr>
              <w:t>sans objet</w:t>
            </w:r>
          </w:p>
        </w:tc>
      </w:tr>
      <w:tr w:rsidR="005A35D8" w:rsidRPr="005A35D8" w:rsidTr="005A35D8">
        <w:tc>
          <w:tcPr>
            <w:tcW w:w="4077" w:type="dxa"/>
            <w:shd w:val="clear" w:color="auto" w:fill="auto"/>
          </w:tcPr>
          <w:p w:rsidR="00A46961" w:rsidRPr="005A35D8" w:rsidRDefault="00A46961" w:rsidP="00630448">
            <w:pPr>
              <w:keepNext/>
              <w:spacing w:before="120" w:after="120"/>
              <w:rPr>
                <w:sz w:val="18"/>
                <w:szCs w:val="18"/>
                <w:lang w:eastAsia="en-US"/>
              </w:rPr>
            </w:pPr>
            <w:r w:rsidRPr="005A35D8">
              <w:rPr>
                <w:sz w:val="18"/>
                <w:szCs w:val="18"/>
                <w:lang w:eastAsia="en-US"/>
              </w:rPr>
              <w:t>Investissements directs dans des biens immobiliers</w:t>
            </w:r>
          </w:p>
        </w:tc>
        <w:tc>
          <w:tcPr>
            <w:tcW w:w="2425" w:type="dxa"/>
            <w:vMerge/>
            <w:tcBorders>
              <w:bottom w:val="single" w:sz="4" w:space="0" w:color="auto"/>
            </w:tcBorders>
            <w:shd w:val="clear" w:color="auto" w:fill="auto"/>
          </w:tcPr>
          <w:p w:rsidR="00A46961" w:rsidRPr="005A35D8" w:rsidRDefault="00A46961" w:rsidP="00630448">
            <w:pPr>
              <w:keepNext/>
              <w:spacing w:before="120" w:after="120"/>
              <w:rPr>
                <w:sz w:val="18"/>
                <w:szCs w:val="18"/>
                <w:lang w:eastAsia="en-US"/>
              </w:rPr>
            </w:pPr>
          </w:p>
        </w:tc>
        <w:tc>
          <w:tcPr>
            <w:tcW w:w="2709" w:type="dxa"/>
            <w:vMerge/>
            <w:tcBorders>
              <w:bottom w:val="single" w:sz="4" w:space="0" w:color="auto"/>
            </w:tcBorders>
            <w:shd w:val="clear" w:color="auto" w:fill="auto"/>
          </w:tcPr>
          <w:p w:rsidR="00A46961" w:rsidRPr="005A35D8" w:rsidRDefault="00A46961" w:rsidP="00630448">
            <w:pPr>
              <w:keepNext/>
              <w:spacing w:before="120" w:after="120"/>
              <w:rPr>
                <w:sz w:val="18"/>
                <w:szCs w:val="18"/>
                <w:lang w:eastAsia="en-US"/>
              </w:rPr>
            </w:pPr>
          </w:p>
        </w:tc>
      </w:tr>
      <w:tr w:rsidR="005A35D8" w:rsidRPr="005A35D8" w:rsidTr="005A35D8">
        <w:trPr>
          <w:trHeight w:val="517"/>
        </w:trPr>
        <w:tc>
          <w:tcPr>
            <w:tcW w:w="4077" w:type="dxa"/>
            <w:shd w:val="clear" w:color="auto" w:fill="auto"/>
          </w:tcPr>
          <w:p w:rsidR="00694AE6" w:rsidRPr="005A35D8" w:rsidRDefault="008B5730" w:rsidP="00630448">
            <w:pPr>
              <w:keepNext/>
              <w:spacing w:before="120" w:after="120"/>
              <w:rPr>
                <w:b/>
                <w:sz w:val="18"/>
                <w:szCs w:val="18"/>
                <w:u w:val="single"/>
                <w:lang w:eastAsia="en-US"/>
              </w:rPr>
            </w:pPr>
            <w:r w:rsidRPr="005A35D8">
              <w:rPr>
                <w:b/>
                <w:sz w:val="18"/>
                <w:szCs w:val="18"/>
                <w:u w:val="single"/>
                <w:lang w:eastAsia="en-US"/>
              </w:rPr>
              <w:t>Actions et participations</w:t>
            </w:r>
          </w:p>
        </w:tc>
        <w:tc>
          <w:tcPr>
            <w:tcW w:w="2425" w:type="dxa"/>
            <w:tcBorders>
              <w:right w:val="nil"/>
            </w:tcBorders>
            <w:shd w:val="clear" w:color="auto" w:fill="auto"/>
          </w:tcPr>
          <w:p w:rsidR="00694AE6" w:rsidRPr="005A35D8" w:rsidRDefault="00694AE6" w:rsidP="00630448">
            <w:pPr>
              <w:keepNext/>
              <w:spacing w:before="120" w:after="120"/>
              <w:rPr>
                <w:sz w:val="18"/>
                <w:szCs w:val="18"/>
                <w:lang w:eastAsia="en-US"/>
              </w:rPr>
            </w:pPr>
          </w:p>
        </w:tc>
        <w:tc>
          <w:tcPr>
            <w:tcW w:w="2709" w:type="dxa"/>
            <w:tcBorders>
              <w:left w:val="nil"/>
            </w:tcBorders>
            <w:shd w:val="clear" w:color="auto" w:fill="auto"/>
          </w:tcPr>
          <w:p w:rsidR="00694AE6" w:rsidRPr="005A35D8" w:rsidRDefault="00694AE6" w:rsidP="00630448">
            <w:pPr>
              <w:keepNext/>
              <w:spacing w:before="120" w:after="120"/>
              <w:rPr>
                <w:sz w:val="18"/>
                <w:szCs w:val="18"/>
                <w:lang w:eastAsia="en-US"/>
              </w:rPr>
            </w:pPr>
          </w:p>
        </w:tc>
      </w:tr>
      <w:tr w:rsidR="005A35D8" w:rsidRPr="005A35D8" w:rsidTr="005A35D8">
        <w:tc>
          <w:tcPr>
            <w:tcW w:w="4077" w:type="dxa"/>
            <w:shd w:val="clear" w:color="auto" w:fill="auto"/>
          </w:tcPr>
          <w:p w:rsidR="00694AE6" w:rsidRPr="005A35D8" w:rsidRDefault="008B5730" w:rsidP="00630448">
            <w:pPr>
              <w:keepNext/>
              <w:spacing w:before="120" w:after="120"/>
              <w:rPr>
                <w:sz w:val="18"/>
                <w:szCs w:val="18"/>
                <w:lang w:eastAsia="en-US"/>
              </w:rPr>
            </w:pPr>
            <w:r w:rsidRPr="005A35D8">
              <w:rPr>
                <w:sz w:val="18"/>
                <w:szCs w:val="18"/>
                <w:lang w:eastAsia="en-US"/>
              </w:rPr>
              <w:t>Fonds communs de placement en actions</w:t>
            </w:r>
          </w:p>
        </w:tc>
        <w:tc>
          <w:tcPr>
            <w:tcW w:w="2425" w:type="dxa"/>
            <w:vMerge w:val="restart"/>
            <w:shd w:val="clear" w:color="auto" w:fill="auto"/>
            <w:vAlign w:val="center"/>
          </w:tcPr>
          <w:p w:rsidR="00694AE6" w:rsidRPr="005A35D8" w:rsidRDefault="00694AE6" w:rsidP="00630448">
            <w:pPr>
              <w:keepNext/>
              <w:spacing w:before="120" w:after="120"/>
              <w:jc w:val="center"/>
              <w:rPr>
                <w:sz w:val="18"/>
                <w:szCs w:val="18"/>
                <w:lang w:eastAsia="en-US"/>
              </w:rPr>
            </w:pPr>
            <w:r w:rsidRPr="005A35D8">
              <w:rPr>
                <w:sz w:val="18"/>
                <w:szCs w:val="18"/>
                <w:lang w:eastAsia="en-US"/>
              </w:rPr>
              <w:t>sans objet</w:t>
            </w:r>
          </w:p>
        </w:tc>
        <w:tc>
          <w:tcPr>
            <w:tcW w:w="2709" w:type="dxa"/>
            <w:vMerge w:val="restart"/>
            <w:shd w:val="clear" w:color="auto" w:fill="auto"/>
            <w:vAlign w:val="center"/>
          </w:tcPr>
          <w:p w:rsidR="00694AE6" w:rsidRPr="005A35D8" w:rsidRDefault="00694AE6" w:rsidP="00630448">
            <w:pPr>
              <w:keepNext/>
              <w:spacing w:before="120" w:after="120"/>
              <w:jc w:val="center"/>
              <w:rPr>
                <w:sz w:val="18"/>
                <w:szCs w:val="18"/>
                <w:lang w:eastAsia="en-US"/>
              </w:rPr>
            </w:pPr>
            <w:r w:rsidRPr="005A35D8">
              <w:rPr>
                <w:sz w:val="18"/>
                <w:szCs w:val="18"/>
                <w:lang w:eastAsia="en-US"/>
              </w:rPr>
              <w:t>sans objet</w:t>
            </w:r>
          </w:p>
        </w:tc>
      </w:tr>
      <w:tr w:rsidR="005A35D8" w:rsidRPr="005A35D8" w:rsidTr="005A35D8">
        <w:tc>
          <w:tcPr>
            <w:tcW w:w="4077" w:type="dxa"/>
            <w:shd w:val="clear" w:color="auto" w:fill="auto"/>
          </w:tcPr>
          <w:p w:rsidR="00694AE6" w:rsidRPr="005A35D8" w:rsidRDefault="008B5730" w:rsidP="00630448">
            <w:pPr>
              <w:keepNext/>
              <w:spacing w:before="120" w:after="120"/>
              <w:rPr>
                <w:sz w:val="18"/>
                <w:szCs w:val="18"/>
                <w:lang w:eastAsia="en-US"/>
              </w:rPr>
            </w:pPr>
            <w:r w:rsidRPr="005A35D8">
              <w:rPr>
                <w:sz w:val="18"/>
                <w:szCs w:val="18"/>
                <w:lang w:eastAsia="en-US"/>
              </w:rPr>
              <w:t>Actions et participations directes</w:t>
            </w:r>
          </w:p>
        </w:tc>
        <w:tc>
          <w:tcPr>
            <w:tcW w:w="2425" w:type="dxa"/>
            <w:vMerge/>
            <w:shd w:val="clear" w:color="auto" w:fill="auto"/>
          </w:tcPr>
          <w:p w:rsidR="00694AE6" w:rsidRPr="005A35D8" w:rsidRDefault="00694AE6" w:rsidP="00630448">
            <w:pPr>
              <w:keepNext/>
              <w:spacing w:before="120" w:after="120"/>
              <w:rPr>
                <w:sz w:val="18"/>
                <w:szCs w:val="18"/>
                <w:lang w:eastAsia="en-US"/>
              </w:rPr>
            </w:pPr>
          </w:p>
        </w:tc>
        <w:tc>
          <w:tcPr>
            <w:tcW w:w="2709" w:type="dxa"/>
            <w:vMerge/>
            <w:shd w:val="clear" w:color="auto" w:fill="auto"/>
          </w:tcPr>
          <w:p w:rsidR="00694AE6" w:rsidRPr="005A35D8" w:rsidRDefault="00694AE6" w:rsidP="00630448">
            <w:pPr>
              <w:keepNext/>
              <w:spacing w:before="120" w:after="120"/>
              <w:rPr>
                <w:sz w:val="18"/>
                <w:szCs w:val="18"/>
                <w:lang w:eastAsia="en-US"/>
              </w:rPr>
            </w:pPr>
          </w:p>
        </w:tc>
      </w:tr>
      <w:tr w:rsidR="005A35D8" w:rsidRPr="005A35D8" w:rsidTr="005A35D8">
        <w:trPr>
          <w:trHeight w:val="565"/>
        </w:trPr>
        <w:tc>
          <w:tcPr>
            <w:tcW w:w="4077" w:type="dxa"/>
            <w:shd w:val="clear" w:color="auto" w:fill="auto"/>
          </w:tcPr>
          <w:p w:rsidR="00694AE6" w:rsidRPr="005A35D8" w:rsidRDefault="008B5730" w:rsidP="00694AE6">
            <w:pPr>
              <w:keepNext/>
              <w:spacing w:before="120" w:after="120"/>
              <w:rPr>
                <w:b/>
                <w:sz w:val="18"/>
                <w:szCs w:val="18"/>
                <w:u w:val="single"/>
                <w:lang w:eastAsia="en-US"/>
              </w:rPr>
            </w:pPr>
            <w:r w:rsidRPr="005A35D8">
              <w:rPr>
                <w:b/>
                <w:sz w:val="18"/>
                <w:szCs w:val="18"/>
                <w:u w:val="single"/>
                <w:lang w:eastAsia="en-US"/>
              </w:rPr>
              <w:t>Fonds spéculatifs</w:t>
            </w:r>
          </w:p>
        </w:tc>
        <w:tc>
          <w:tcPr>
            <w:tcW w:w="2425" w:type="dxa"/>
            <w:shd w:val="clear" w:color="auto" w:fill="auto"/>
            <w:vAlign w:val="center"/>
          </w:tcPr>
          <w:p w:rsidR="00694AE6" w:rsidRPr="005A35D8" w:rsidRDefault="00694AE6" w:rsidP="00694AE6">
            <w:pPr>
              <w:keepNext/>
              <w:spacing w:before="120" w:after="120"/>
              <w:jc w:val="center"/>
              <w:rPr>
                <w:sz w:val="18"/>
                <w:szCs w:val="18"/>
                <w:lang w:eastAsia="en-US"/>
              </w:rPr>
            </w:pPr>
            <w:r w:rsidRPr="005A35D8">
              <w:rPr>
                <w:sz w:val="18"/>
                <w:szCs w:val="18"/>
                <w:lang w:eastAsia="en-US"/>
              </w:rPr>
              <w:t>sans objet</w:t>
            </w:r>
          </w:p>
        </w:tc>
        <w:tc>
          <w:tcPr>
            <w:tcW w:w="2709" w:type="dxa"/>
            <w:shd w:val="clear" w:color="auto" w:fill="auto"/>
            <w:vAlign w:val="center"/>
          </w:tcPr>
          <w:p w:rsidR="00694AE6" w:rsidRPr="005A35D8" w:rsidRDefault="00694AE6" w:rsidP="00694AE6">
            <w:pPr>
              <w:keepNext/>
              <w:spacing w:before="120" w:after="120"/>
              <w:jc w:val="center"/>
              <w:rPr>
                <w:sz w:val="18"/>
                <w:szCs w:val="18"/>
                <w:lang w:eastAsia="en-US"/>
              </w:rPr>
            </w:pPr>
            <w:r w:rsidRPr="005A35D8">
              <w:rPr>
                <w:sz w:val="18"/>
                <w:szCs w:val="18"/>
                <w:lang w:eastAsia="en-US"/>
              </w:rPr>
              <w:t>sans objet</w:t>
            </w:r>
          </w:p>
        </w:tc>
      </w:tr>
    </w:tbl>
    <w:p w:rsidR="00B17240" w:rsidRPr="005A35D8" w:rsidRDefault="00B17240" w:rsidP="00B17240">
      <w:pPr>
        <w:rPr>
          <w:rFonts w:eastAsia="Times New Roman"/>
          <w:lang w:eastAsia="en-US"/>
        </w:rPr>
      </w:pPr>
    </w:p>
    <w:p w:rsidR="00B17240" w:rsidRPr="005A35D8" w:rsidRDefault="00B17240" w:rsidP="00B17240">
      <w:pPr>
        <w:rPr>
          <w:rFonts w:eastAsia="Times New Roman"/>
          <w:lang w:eastAsia="en-US"/>
        </w:rPr>
      </w:pPr>
    </w:p>
    <w:p w:rsidR="00B17240" w:rsidRPr="005A35D8" w:rsidRDefault="00B17240" w:rsidP="00B17240">
      <w:pPr>
        <w:keepNext/>
        <w:keepLines/>
        <w:spacing w:after="240"/>
        <w:rPr>
          <w:bCs/>
          <w:szCs w:val="26"/>
          <w:u w:val="single"/>
          <w:lang w:eastAsia="en-US"/>
        </w:rPr>
      </w:pPr>
      <w:r w:rsidRPr="005A35D8">
        <w:rPr>
          <w:rFonts w:eastAsia="Times New Roman"/>
          <w:u w:val="single"/>
          <w:lang w:eastAsia="en-US"/>
        </w:rPr>
        <w:lastRenderedPageBreak/>
        <w:t>Directives</w:t>
      </w:r>
      <w:r w:rsidRPr="005A35D8">
        <w:rPr>
          <w:bCs/>
          <w:szCs w:val="26"/>
          <w:u w:val="single"/>
          <w:lang w:eastAsia="en-US"/>
        </w:rPr>
        <w:t xml:space="preserve"> de placement à l</w:t>
      </w:r>
      <w:r w:rsidR="00295456" w:rsidRPr="005A35D8">
        <w:rPr>
          <w:bCs/>
          <w:szCs w:val="26"/>
          <w:u w:val="single"/>
          <w:lang w:eastAsia="en-US"/>
        </w:rPr>
        <w:t>’</w:t>
      </w:r>
      <w:r w:rsidRPr="005A35D8">
        <w:rPr>
          <w:bCs/>
          <w:szCs w:val="26"/>
          <w:u w:val="single"/>
          <w:lang w:eastAsia="en-US"/>
        </w:rPr>
        <w:t>intention des gestionnaires de fonds extérieurs</w:t>
      </w:r>
    </w:p>
    <w:p w:rsidR="00B17240" w:rsidRPr="005A35D8" w:rsidRDefault="00B17240" w:rsidP="00A46961">
      <w:pPr>
        <w:pStyle w:val="ONUMFS"/>
        <w:rPr>
          <w:rFonts w:eastAsia="Times New Roman"/>
          <w:lang w:eastAsia="en-US"/>
        </w:rPr>
      </w:pPr>
      <w:r w:rsidRPr="005A35D8">
        <w:t>Les gestionnaires de fonds extérieurs peuvent investir dans l</w:t>
      </w:r>
      <w:r w:rsidR="00295456" w:rsidRPr="005A35D8">
        <w:t>’</w:t>
      </w:r>
      <w:r w:rsidRPr="005A35D8">
        <w:t>une des classes d</w:t>
      </w:r>
      <w:r w:rsidR="00295456" w:rsidRPr="005A35D8">
        <w:t>’</w:t>
      </w:r>
      <w:r w:rsidRPr="005A35D8">
        <w:t>actifs ci</w:t>
      </w:r>
      <w:r w:rsidR="00D14880" w:rsidRPr="005A35D8">
        <w:noBreakHyphen/>
      </w:r>
      <w:r w:rsidRPr="005A35D8">
        <w:t xml:space="preserve">dessus, dans les limites précisées </w:t>
      </w:r>
      <w:r w:rsidR="00694AE6" w:rsidRPr="005A35D8">
        <w:t>par l</w:t>
      </w:r>
      <w:r w:rsidR="00295456" w:rsidRPr="005A35D8">
        <w:t>’</w:t>
      </w:r>
      <w:r w:rsidR="00694AE6" w:rsidRPr="005A35D8">
        <w:t xml:space="preserve">étude </w:t>
      </w:r>
      <w:r w:rsidR="0009578B" w:rsidRPr="005A35D8">
        <w:t xml:space="preserve">de la </w:t>
      </w:r>
      <w:r w:rsidR="0009578B" w:rsidRPr="005A35D8">
        <w:rPr>
          <w:rStyle w:val="hps"/>
        </w:rPr>
        <w:t>gestion actif</w:t>
      </w:r>
      <w:r w:rsidR="00D14880" w:rsidRPr="005A35D8">
        <w:rPr>
          <w:rStyle w:val="hps"/>
        </w:rPr>
        <w:noBreakHyphen/>
      </w:r>
      <w:r w:rsidR="0009578B" w:rsidRPr="005A35D8">
        <w:rPr>
          <w:rStyle w:val="hps"/>
        </w:rPr>
        <w:t>passif</w:t>
      </w:r>
      <w:r w:rsidR="00694AE6" w:rsidRPr="005A35D8">
        <w:rPr>
          <w:rStyle w:val="FootnoteReference"/>
        </w:rPr>
        <w:footnoteReference w:id="13"/>
      </w:r>
      <w:r w:rsidRPr="005A35D8">
        <w:rPr>
          <w:rFonts w:eastAsia="Times New Roman"/>
          <w:lang w:eastAsia="en-US"/>
        </w:rPr>
        <w:t>.</w:t>
      </w:r>
    </w:p>
    <w:p w:rsidR="00B17240" w:rsidRPr="005A35D8" w:rsidRDefault="00B17240" w:rsidP="00A46961">
      <w:pPr>
        <w:pStyle w:val="ONUMFS"/>
        <w:rPr>
          <w:rFonts w:eastAsia="Times New Roman"/>
          <w:lang w:eastAsia="en-US"/>
        </w:rPr>
      </w:pPr>
      <w:r w:rsidRPr="005A35D8">
        <w:t>Les directives de placement, telles que définies par le Comité consultatif des investissements et approuvées par le Directeur général, figurent dans chaque contrat de gestion des placements et comprennent au moins les informations suivantes </w:t>
      </w:r>
      <w:r w:rsidRPr="005A35D8">
        <w:rPr>
          <w:rFonts w:eastAsia="Times New Roman"/>
          <w:lang w:eastAsia="en-US"/>
        </w:rPr>
        <w:t>:</w:t>
      </w:r>
    </w:p>
    <w:p w:rsidR="00B17240" w:rsidRPr="005A35D8" w:rsidRDefault="00B17240" w:rsidP="00A46961">
      <w:pPr>
        <w:pStyle w:val="ONUMFS"/>
        <w:numPr>
          <w:ilvl w:val="1"/>
          <w:numId w:val="2"/>
        </w:numPr>
        <w:rPr>
          <w:rFonts w:eastAsia="Times New Roman"/>
          <w:lang w:eastAsia="en-US"/>
        </w:rPr>
      </w:pPr>
      <w:r w:rsidRPr="005A35D8">
        <w:t>objectifs de placement, avec le rendement et le risque escomptés</w:t>
      </w:r>
      <w:r w:rsidRPr="005A35D8">
        <w:rPr>
          <w:rFonts w:eastAsia="Times New Roman"/>
          <w:lang w:eastAsia="en-US"/>
        </w:rPr>
        <w:t>;</w:t>
      </w:r>
    </w:p>
    <w:p w:rsidR="00B17240" w:rsidRPr="005A35D8" w:rsidRDefault="00B17240" w:rsidP="00A46961">
      <w:pPr>
        <w:pStyle w:val="ONUMFS"/>
        <w:numPr>
          <w:ilvl w:val="1"/>
          <w:numId w:val="2"/>
        </w:numPr>
        <w:rPr>
          <w:rFonts w:eastAsia="Times New Roman"/>
          <w:lang w:eastAsia="en-US"/>
        </w:rPr>
      </w:pPr>
      <w:r w:rsidRPr="005A35D8">
        <w:t>style de gestion de portefeuille (gestion active ou passive)</w:t>
      </w:r>
      <w:r w:rsidRPr="005A35D8">
        <w:rPr>
          <w:rFonts w:eastAsia="Times New Roman"/>
          <w:lang w:eastAsia="en-US"/>
        </w:rPr>
        <w:t>;</w:t>
      </w:r>
    </w:p>
    <w:p w:rsidR="00B17240" w:rsidRPr="005A35D8" w:rsidRDefault="00B17240" w:rsidP="00A46961">
      <w:pPr>
        <w:pStyle w:val="ONUMFS"/>
        <w:numPr>
          <w:ilvl w:val="1"/>
          <w:numId w:val="2"/>
        </w:numPr>
        <w:rPr>
          <w:rFonts w:eastAsia="Times New Roman"/>
          <w:lang w:eastAsia="en-US"/>
        </w:rPr>
      </w:pPr>
      <w:r w:rsidRPr="005A35D8">
        <w:t>devise de base</w:t>
      </w:r>
      <w:r w:rsidRPr="005A35D8">
        <w:rPr>
          <w:rFonts w:eastAsia="Times New Roman"/>
          <w:lang w:eastAsia="en-US"/>
        </w:rPr>
        <w:t>;</w:t>
      </w:r>
    </w:p>
    <w:p w:rsidR="00B17240" w:rsidRPr="005A35D8" w:rsidRDefault="00B17240" w:rsidP="00A46961">
      <w:pPr>
        <w:pStyle w:val="ONUMFS"/>
        <w:numPr>
          <w:ilvl w:val="1"/>
          <w:numId w:val="2"/>
        </w:numPr>
        <w:rPr>
          <w:rFonts w:eastAsia="Times New Roman"/>
          <w:lang w:eastAsia="en-US"/>
        </w:rPr>
      </w:pPr>
      <w:r w:rsidRPr="005A35D8">
        <w:t>critère de performance</w:t>
      </w:r>
      <w:r w:rsidRPr="005A35D8">
        <w:rPr>
          <w:rFonts w:eastAsia="Times New Roman"/>
          <w:lang w:eastAsia="en-US"/>
        </w:rPr>
        <w:t>;</w:t>
      </w:r>
    </w:p>
    <w:p w:rsidR="00B17240" w:rsidRPr="005A35D8" w:rsidRDefault="00B17240" w:rsidP="00A46961">
      <w:pPr>
        <w:pStyle w:val="ONUMFS"/>
        <w:numPr>
          <w:ilvl w:val="1"/>
          <w:numId w:val="2"/>
        </w:numPr>
        <w:rPr>
          <w:rFonts w:eastAsia="Times New Roman"/>
          <w:lang w:eastAsia="en-US"/>
        </w:rPr>
      </w:pPr>
      <w:r w:rsidRPr="005A35D8">
        <w:t>monnaies admissibles</w:t>
      </w:r>
      <w:r w:rsidRPr="005A35D8">
        <w:rPr>
          <w:rFonts w:eastAsia="Times New Roman"/>
          <w:lang w:eastAsia="en-US"/>
        </w:rPr>
        <w:t>;</w:t>
      </w:r>
    </w:p>
    <w:p w:rsidR="00B17240" w:rsidRPr="005A35D8" w:rsidRDefault="00B17240" w:rsidP="00A46961">
      <w:pPr>
        <w:pStyle w:val="ONUMFS"/>
        <w:numPr>
          <w:ilvl w:val="1"/>
          <w:numId w:val="2"/>
        </w:numPr>
        <w:rPr>
          <w:rFonts w:eastAsia="Times New Roman"/>
          <w:lang w:eastAsia="en-US"/>
        </w:rPr>
      </w:pPr>
      <w:r w:rsidRPr="005A35D8">
        <w:t>instruments admissibles</w:t>
      </w:r>
      <w:r w:rsidRPr="005A35D8">
        <w:rPr>
          <w:rFonts w:eastAsia="Times New Roman"/>
          <w:lang w:eastAsia="en-US"/>
        </w:rPr>
        <w:t>;</w:t>
      </w:r>
    </w:p>
    <w:p w:rsidR="00B17240" w:rsidRPr="005A35D8" w:rsidRDefault="00B17240" w:rsidP="00A46961">
      <w:pPr>
        <w:pStyle w:val="ONUMFS"/>
        <w:numPr>
          <w:ilvl w:val="1"/>
          <w:numId w:val="2"/>
        </w:numPr>
        <w:rPr>
          <w:rFonts w:eastAsia="Times New Roman"/>
          <w:lang w:eastAsia="en-US"/>
        </w:rPr>
      </w:pPr>
      <w:r w:rsidRPr="005A35D8">
        <w:t>durée minimale et maximale du portefeuille</w:t>
      </w:r>
      <w:r w:rsidRPr="005A35D8">
        <w:rPr>
          <w:rFonts w:eastAsia="Times New Roman"/>
          <w:lang w:eastAsia="en-US"/>
        </w:rPr>
        <w:t>;</w:t>
      </w:r>
    </w:p>
    <w:p w:rsidR="00B17240" w:rsidRPr="005A35D8" w:rsidRDefault="00B17240" w:rsidP="00A46961">
      <w:pPr>
        <w:pStyle w:val="ONUMFS"/>
        <w:numPr>
          <w:ilvl w:val="1"/>
          <w:numId w:val="2"/>
        </w:numPr>
        <w:rPr>
          <w:rFonts w:eastAsia="Times New Roman"/>
          <w:lang w:eastAsia="en-US"/>
        </w:rPr>
      </w:pPr>
      <w:r w:rsidRPr="005A35D8">
        <w:t>qualité des crédits</w:t>
      </w:r>
      <w:r w:rsidRPr="005A35D8">
        <w:rPr>
          <w:rFonts w:eastAsia="Times New Roman"/>
          <w:lang w:eastAsia="en-US"/>
        </w:rPr>
        <w:t>;</w:t>
      </w:r>
    </w:p>
    <w:p w:rsidR="00B17240" w:rsidRPr="005A35D8" w:rsidRDefault="00B17240" w:rsidP="00A46961">
      <w:pPr>
        <w:pStyle w:val="ONUMFS"/>
        <w:numPr>
          <w:ilvl w:val="1"/>
          <w:numId w:val="2"/>
        </w:numPr>
        <w:rPr>
          <w:rFonts w:eastAsia="Times New Roman"/>
          <w:lang w:eastAsia="en-US"/>
        </w:rPr>
      </w:pPr>
      <w:r w:rsidRPr="005A35D8">
        <w:t>besoins de diversification</w:t>
      </w:r>
      <w:r w:rsidRPr="005A35D8">
        <w:rPr>
          <w:rFonts w:eastAsia="Times New Roman"/>
          <w:lang w:eastAsia="en-US"/>
        </w:rPr>
        <w:t>.</w:t>
      </w:r>
    </w:p>
    <w:p w:rsidR="00B17240" w:rsidRPr="005A35D8" w:rsidRDefault="00B17240" w:rsidP="00A46961">
      <w:pPr>
        <w:pStyle w:val="ONUMFS"/>
        <w:rPr>
          <w:rFonts w:eastAsia="Times New Roman"/>
          <w:lang w:eastAsia="en-US"/>
        </w:rPr>
      </w:pPr>
      <w:r w:rsidRPr="005A35D8">
        <w:t>D</w:t>
      </w:r>
      <w:r w:rsidR="00295456" w:rsidRPr="005A35D8">
        <w:t>’</w:t>
      </w:r>
      <w:r w:rsidRPr="005A35D8">
        <w:t>autres aspects, tels que la budgétisation des risques, sont examinés dans le cadre du mandat spécifique de gestion de placements extérieure</w:t>
      </w:r>
      <w:r w:rsidRPr="005A35D8">
        <w:rPr>
          <w:rFonts w:eastAsia="Times New Roman"/>
          <w:lang w:eastAsia="en-US"/>
        </w:rPr>
        <w:t>.</w:t>
      </w:r>
    </w:p>
    <w:p w:rsidR="00B17240" w:rsidRPr="005A35D8" w:rsidRDefault="00B17240" w:rsidP="00B17240">
      <w:pPr>
        <w:rPr>
          <w:rFonts w:eastAsia="Times New Roman"/>
          <w:lang w:eastAsia="en-US"/>
        </w:rPr>
      </w:pPr>
    </w:p>
    <w:p w:rsidR="00B17240" w:rsidRPr="005A35D8" w:rsidRDefault="00B17240" w:rsidP="00B17240">
      <w:pPr>
        <w:keepNext/>
        <w:outlineLvl w:val="0"/>
        <w:rPr>
          <w:bCs/>
          <w:caps/>
          <w:kern w:val="32"/>
          <w:szCs w:val="32"/>
          <w:lang w:eastAsia="en-US"/>
        </w:rPr>
      </w:pPr>
      <w:r w:rsidRPr="005A35D8">
        <w:rPr>
          <w:bCs/>
          <w:caps/>
          <w:kern w:val="32"/>
          <w:szCs w:val="32"/>
          <w:lang w:eastAsia="en-US"/>
        </w:rPr>
        <w:t>E.</w:t>
      </w:r>
      <w:r w:rsidRPr="005A35D8">
        <w:rPr>
          <w:bCs/>
          <w:caps/>
          <w:kern w:val="32"/>
          <w:szCs w:val="32"/>
          <w:lang w:eastAsia="en-US"/>
        </w:rPr>
        <w:tab/>
        <w:t>privilèges ET immunités de l</w:t>
      </w:r>
      <w:r w:rsidR="00295456" w:rsidRPr="005A35D8">
        <w:rPr>
          <w:bCs/>
          <w:caps/>
          <w:kern w:val="32"/>
          <w:szCs w:val="32"/>
          <w:lang w:eastAsia="en-US"/>
        </w:rPr>
        <w:t>’</w:t>
      </w:r>
      <w:r w:rsidRPr="005A35D8">
        <w:rPr>
          <w:bCs/>
          <w:caps/>
          <w:kern w:val="32"/>
          <w:szCs w:val="32"/>
          <w:lang w:eastAsia="en-US"/>
        </w:rPr>
        <w:t>organisation</w:t>
      </w:r>
    </w:p>
    <w:p w:rsidR="00B17240" w:rsidRPr="005A35D8" w:rsidRDefault="00B17240" w:rsidP="00B17240">
      <w:pPr>
        <w:rPr>
          <w:rFonts w:eastAsia="Times New Roman"/>
          <w:lang w:eastAsia="en-US"/>
        </w:rPr>
      </w:pPr>
    </w:p>
    <w:p w:rsidR="00B17240" w:rsidRPr="005A35D8" w:rsidRDefault="00B17240" w:rsidP="00A46961">
      <w:pPr>
        <w:pStyle w:val="ONUMFS"/>
        <w:rPr>
          <w:rFonts w:eastAsia="Times New Roman"/>
          <w:lang w:eastAsia="en-US"/>
        </w:rPr>
      </w:pPr>
      <w:r w:rsidRPr="005A35D8">
        <w:t>Lorsque de nouveaux placements sont confiés à une contrepartie, l</w:t>
      </w:r>
      <w:r w:rsidR="00295456" w:rsidRPr="005A35D8">
        <w:t>’</w:t>
      </w:r>
      <w:r w:rsidRPr="005A35D8">
        <w:t>Organisation indique que ces placements lui sont confiés sous réserve de ses privilèges et immunités.  Les contreparties acceptent de ne pas retenir d</w:t>
      </w:r>
      <w:r w:rsidR="00295456" w:rsidRPr="005A35D8">
        <w:t>’</w:t>
      </w:r>
      <w:r w:rsidRPr="005A35D8">
        <w:t>impôts, ni de joindre les comptes/actifs pour les réclamations juridiques</w:t>
      </w:r>
      <w:r w:rsidRPr="005A35D8">
        <w:rPr>
          <w:rFonts w:eastAsia="Times New Roman"/>
          <w:lang w:eastAsia="en-US"/>
        </w:rPr>
        <w:t>.</w:t>
      </w:r>
    </w:p>
    <w:p w:rsidR="00B17240" w:rsidRPr="005A35D8" w:rsidRDefault="00B17240" w:rsidP="00B17240">
      <w:pPr>
        <w:rPr>
          <w:rFonts w:eastAsia="Times New Roman"/>
          <w:lang w:eastAsia="en-US"/>
        </w:rPr>
      </w:pPr>
    </w:p>
    <w:p w:rsidR="00B17240" w:rsidRPr="005A35D8" w:rsidRDefault="00B17240" w:rsidP="00B17240">
      <w:pPr>
        <w:keepNext/>
        <w:spacing w:after="240"/>
        <w:outlineLvl w:val="0"/>
        <w:rPr>
          <w:bCs/>
          <w:caps/>
          <w:kern w:val="32"/>
          <w:szCs w:val="32"/>
          <w:lang w:eastAsia="en-US"/>
        </w:rPr>
      </w:pPr>
      <w:r w:rsidRPr="005A35D8">
        <w:rPr>
          <w:bCs/>
          <w:caps/>
          <w:kern w:val="32"/>
          <w:szCs w:val="32"/>
          <w:lang w:eastAsia="en-US"/>
        </w:rPr>
        <w:t>F.</w:t>
      </w:r>
      <w:r w:rsidRPr="005A35D8">
        <w:rPr>
          <w:bCs/>
          <w:caps/>
          <w:kern w:val="32"/>
          <w:szCs w:val="32"/>
          <w:lang w:eastAsia="en-US"/>
        </w:rPr>
        <w:tab/>
        <w:t>évaluation des performances</w:t>
      </w:r>
    </w:p>
    <w:p w:rsidR="00B17240" w:rsidRPr="005A35D8" w:rsidRDefault="00B17240" w:rsidP="00B17240">
      <w:pPr>
        <w:spacing w:after="240"/>
        <w:rPr>
          <w:rFonts w:eastAsia="Times New Roman"/>
          <w:u w:val="single"/>
          <w:lang w:eastAsia="en-US"/>
        </w:rPr>
      </w:pPr>
      <w:r w:rsidRPr="005A35D8">
        <w:rPr>
          <w:rFonts w:eastAsia="Times New Roman"/>
          <w:u w:val="single"/>
          <w:lang w:eastAsia="en-US"/>
        </w:rPr>
        <w:t>Repères</w:t>
      </w:r>
    </w:p>
    <w:p w:rsidR="00B17240" w:rsidRPr="005A35D8" w:rsidRDefault="006D794B" w:rsidP="00A46961">
      <w:pPr>
        <w:pStyle w:val="ONUMFS"/>
        <w:rPr>
          <w:rFonts w:eastAsia="Times New Roman"/>
          <w:lang w:eastAsia="en-US"/>
        </w:rPr>
      </w:pPr>
      <w:r w:rsidRPr="005A35D8">
        <w:t xml:space="preserve">La trésorerie stratégique est gérée </w:t>
      </w:r>
      <w:r w:rsidR="00B17240" w:rsidRPr="005A35D8">
        <w:t>par les gestionnaires de fonds extérieurs.  Chaque portefeuille de placements a un indicateur de performance précisé dans ses directives de placement.  Les critères d</w:t>
      </w:r>
      <w:r w:rsidR="00A46961" w:rsidRPr="005A35D8">
        <w:t xml:space="preserve">e performance doivent être : </w:t>
      </w:r>
      <w:r w:rsidR="00B17240" w:rsidRPr="005A35D8">
        <w:t>i)</w:t>
      </w:r>
      <w:r w:rsidR="00A46961" w:rsidRPr="005A35D8">
        <w:t> </w:t>
      </w:r>
      <w:r w:rsidR="00B17240" w:rsidRPr="005A35D8">
        <w:t>sans ambiguï</w:t>
      </w:r>
      <w:r w:rsidR="00A46961" w:rsidRPr="005A35D8">
        <w:t>té, transparentes et simples;  ii) </w:t>
      </w:r>
      <w:proofErr w:type="spellStart"/>
      <w:r w:rsidR="00B17240" w:rsidRPr="005A35D8">
        <w:t>inve</w:t>
      </w:r>
      <w:r w:rsidR="00A46961" w:rsidRPr="005A35D8">
        <w:t>stissables</w:t>
      </w:r>
      <w:proofErr w:type="spellEnd"/>
      <w:r w:rsidR="00A46961" w:rsidRPr="005A35D8">
        <w:t xml:space="preserve"> et reproductibles;  iii) mesurables et stables;  iv) </w:t>
      </w:r>
      <w:r w:rsidR="00B17240" w:rsidRPr="005A35D8">
        <w:t>adaptés à la finalité de l</w:t>
      </w:r>
      <w:r w:rsidR="00295456" w:rsidRPr="005A35D8">
        <w:t>’</w:t>
      </w:r>
      <w:r w:rsidR="00A46961" w:rsidRPr="005A35D8">
        <w:t>investissement;  v) </w:t>
      </w:r>
      <w:r w:rsidR="00B17240" w:rsidRPr="005A35D8">
        <w:t>l</w:t>
      </w:r>
      <w:r w:rsidR="00295456" w:rsidRPr="005A35D8">
        <w:t>’</w:t>
      </w:r>
      <w:r w:rsidR="00B17240" w:rsidRPr="005A35D8">
        <w:t>expression des opinions actuelles en matière de placeme</w:t>
      </w:r>
      <w:r w:rsidR="00A46961" w:rsidRPr="005A35D8">
        <w:t>nts;  et </w:t>
      </w:r>
      <w:r w:rsidR="00B17240" w:rsidRPr="005A35D8">
        <w:t>vi)</w:t>
      </w:r>
      <w:r w:rsidR="00A46961" w:rsidRPr="005A35D8">
        <w:t> </w:t>
      </w:r>
      <w:r w:rsidR="00B17240" w:rsidRPr="005A35D8">
        <w:t>précisés à l</w:t>
      </w:r>
      <w:r w:rsidR="00295456" w:rsidRPr="005A35D8">
        <w:t>’</w:t>
      </w:r>
      <w:r w:rsidR="00B17240" w:rsidRPr="005A35D8">
        <w:t>avance</w:t>
      </w:r>
      <w:r w:rsidR="00B17240" w:rsidRPr="005A35D8">
        <w:rPr>
          <w:rFonts w:eastAsia="Times New Roman"/>
          <w:lang w:eastAsia="en-US"/>
        </w:rPr>
        <w:t>.</w:t>
      </w:r>
    </w:p>
    <w:p w:rsidR="006D794B" w:rsidRPr="005A35D8" w:rsidRDefault="006D794B">
      <w:pPr>
        <w:rPr>
          <w:rFonts w:eastAsia="Times New Roman"/>
          <w:u w:val="single"/>
          <w:lang w:eastAsia="en-US"/>
        </w:rPr>
      </w:pPr>
      <w:r w:rsidRPr="005A35D8">
        <w:rPr>
          <w:rFonts w:eastAsia="Times New Roman"/>
          <w:u w:val="single"/>
          <w:lang w:eastAsia="en-US"/>
        </w:rPr>
        <w:br w:type="page"/>
      </w:r>
    </w:p>
    <w:p w:rsidR="00B17240" w:rsidRPr="005A35D8" w:rsidRDefault="00B17240" w:rsidP="00B17240">
      <w:pPr>
        <w:spacing w:after="240"/>
        <w:rPr>
          <w:rFonts w:eastAsia="Times New Roman"/>
          <w:u w:val="single"/>
          <w:lang w:eastAsia="en-US"/>
        </w:rPr>
      </w:pPr>
      <w:r w:rsidRPr="005A35D8">
        <w:rPr>
          <w:rFonts w:eastAsia="Times New Roman"/>
          <w:u w:val="single"/>
          <w:lang w:eastAsia="en-US"/>
        </w:rPr>
        <w:lastRenderedPageBreak/>
        <w:t>Évaluation des performances et rapports sur les performances</w:t>
      </w:r>
    </w:p>
    <w:p w:rsidR="00295456" w:rsidRPr="005A35D8" w:rsidRDefault="00DA1F6F" w:rsidP="00A46961">
      <w:pPr>
        <w:pStyle w:val="ONUMFS"/>
        <w:rPr>
          <w:rFonts w:eastAsia="Times New Roman"/>
          <w:lang w:eastAsia="en-US"/>
        </w:rPr>
      </w:pPr>
      <w:r w:rsidRPr="005A35D8">
        <w:t xml:space="preserve">Le </w:t>
      </w:r>
      <w:r w:rsidR="00B17240" w:rsidRPr="005A35D8">
        <w:t>dépositaire fait rapport chaque mois sur les performances des portefeuilles gérés à l</w:t>
      </w:r>
      <w:r w:rsidR="00295456" w:rsidRPr="005A35D8">
        <w:t>’</w:t>
      </w:r>
      <w:r w:rsidR="00B17240" w:rsidRPr="005A35D8">
        <w:t>extérieur et veille à ce que les gestionnaires de fonds extérieurs aient adhéré à leurs directives de placement.  Les performances sont calculées en francs suisses, hors fluctuation de change des monnaies dans lesquelles les fonds sont investis</w:t>
      </w:r>
      <w:r w:rsidR="00B17240" w:rsidRPr="005A35D8">
        <w:rPr>
          <w:rFonts w:eastAsia="Times New Roman"/>
          <w:lang w:eastAsia="en-US"/>
        </w:rPr>
        <w:t>.</w:t>
      </w:r>
    </w:p>
    <w:p w:rsidR="00295456" w:rsidRPr="005A35D8" w:rsidRDefault="00B17240" w:rsidP="00A46961">
      <w:pPr>
        <w:pStyle w:val="ONUMFS"/>
        <w:rPr>
          <w:rFonts w:eastAsia="Times New Roman"/>
          <w:lang w:eastAsia="en-US"/>
        </w:rPr>
      </w:pPr>
      <w:r w:rsidRPr="005A35D8">
        <w:t>Les performances des gestionnaires de fonds extérieurs sont mesurées par rapport à l</w:t>
      </w:r>
      <w:r w:rsidR="00295456" w:rsidRPr="005A35D8">
        <w:t>’</w:t>
      </w:r>
      <w:r w:rsidRPr="005A35D8">
        <w:t>indicateur de référence et à d</w:t>
      </w:r>
      <w:r w:rsidR="00295456" w:rsidRPr="005A35D8">
        <w:t>’</w:t>
      </w:r>
      <w:r w:rsidRPr="005A35D8">
        <w:t>autres indicateurs, tel que précisé dans les directives de placement</w:t>
      </w:r>
      <w:r w:rsidRPr="005A35D8">
        <w:rPr>
          <w:rFonts w:eastAsia="Times New Roman"/>
          <w:lang w:eastAsia="en-US"/>
        </w:rPr>
        <w:t>.</w:t>
      </w:r>
    </w:p>
    <w:p w:rsidR="00B17240" w:rsidRPr="005A35D8" w:rsidRDefault="00B17240" w:rsidP="00A46961">
      <w:pPr>
        <w:pStyle w:val="ONUMFS"/>
        <w:rPr>
          <w:rFonts w:eastAsia="Times New Roman"/>
          <w:lang w:eastAsia="en-US"/>
        </w:rPr>
      </w:pPr>
      <w:r w:rsidRPr="005A35D8">
        <w:t>Les performances globales du portefeuille et les performances de rendement en francs suisses sont signalées chaque trimestre au Comité consultatif des investissements.  Le rapport inclut les chiffres de performance comparatifs pour les trimestres précédents et l</w:t>
      </w:r>
      <w:r w:rsidR="00295456" w:rsidRPr="005A35D8">
        <w:t>’</w:t>
      </w:r>
      <w:r w:rsidRPr="005A35D8">
        <w:t>année précédente.  Si un ou plusieurs gestionnaires de fonds extérieurs affichent une performance particulièrement mauvaise pendant trois mois ou plus, ou si une modification soudaine des performances d</w:t>
      </w:r>
      <w:r w:rsidR="00295456" w:rsidRPr="005A35D8">
        <w:t>’</w:t>
      </w:r>
      <w:r w:rsidRPr="005A35D8">
        <w:t>un gestionnaire de fonds extérieur est observée sur un mois donné, le gestionnaire de fonds extérieur est contacté, et il doit justifier par écrit la modification de ses performances.  Si le gestionnaire de fonds extérieur continue d</w:t>
      </w:r>
      <w:r w:rsidR="00295456" w:rsidRPr="005A35D8">
        <w:t>’</w:t>
      </w:r>
      <w:r w:rsidRPr="005A35D8">
        <w:t>être peu performant, le Comité consultatif des investissements prend les mesures nécessaires pour veiller à ce qu</w:t>
      </w:r>
      <w:r w:rsidR="00295456" w:rsidRPr="005A35D8">
        <w:t>’</w:t>
      </w:r>
      <w:r w:rsidRPr="005A35D8">
        <w:t>une stratégie et des mesures correctives soient mises en place à son égard</w:t>
      </w:r>
      <w:r w:rsidRPr="005A35D8">
        <w:rPr>
          <w:rFonts w:eastAsia="Times New Roman"/>
          <w:lang w:eastAsia="en-US"/>
        </w:rPr>
        <w:t>.</w:t>
      </w:r>
    </w:p>
    <w:p w:rsidR="00B17240" w:rsidRPr="005A35D8" w:rsidRDefault="00B17240" w:rsidP="00A46961">
      <w:pPr>
        <w:pStyle w:val="ONUMFS"/>
        <w:rPr>
          <w:rFonts w:eastAsia="Times New Roman"/>
          <w:lang w:eastAsia="en-US"/>
        </w:rPr>
      </w:pPr>
      <w:r w:rsidRPr="005A35D8">
        <w:t>Les états financiers annuels divulguent toutes les informations relatives aux placements conformément aux normes comptables internationales du secteur public (normes IPSAS), et les placements sont soumis de ce fait à une vérification.  En outre, l</w:t>
      </w:r>
      <w:r w:rsidR="00295456" w:rsidRPr="005A35D8">
        <w:t>’</w:t>
      </w:r>
      <w:r w:rsidRPr="005A35D8">
        <w:t>article 6.6 du Règlement financier stipule que le rapport de gestion financière établi pour chaque exercice comprend un rapport sur les investissements</w:t>
      </w:r>
      <w:r w:rsidRPr="005A35D8">
        <w:rPr>
          <w:rFonts w:eastAsia="Times New Roman"/>
          <w:lang w:eastAsia="en-US"/>
        </w:rPr>
        <w:t>.</w:t>
      </w:r>
    </w:p>
    <w:p w:rsidR="00B17240" w:rsidRPr="005A35D8" w:rsidRDefault="00B17240" w:rsidP="0044721B">
      <w:pPr>
        <w:pStyle w:val="ONUME"/>
        <w:numPr>
          <w:ilvl w:val="0"/>
          <w:numId w:val="5"/>
        </w:numPr>
        <w:spacing w:after="0"/>
        <w:ind w:left="0" w:firstLine="0"/>
        <w:rPr>
          <w:rFonts w:eastAsia="Times New Roman"/>
          <w:lang w:eastAsia="en-US"/>
        </w:rPr>
        <w:sectPr w:rsidR="00B17240" w:rsidRPr="005A35D8" w:rsidSect="005D68FF">
          <w:headerReference w:type="default" r:id="rId19"/>
          <w:headerReference w:type="first" r:id="rId20"/>
          <w:footerReference w:type="first" r:id="rId21"/>
          <w:type w:val="continuous"/>
          <w:pgSz w:w="11907" w:h="16840" w:code="9"/>
          <w:pgMar w:top="567" w:right="1134" w:bottom="1418" w:left="1418" w:header="510" w:footer="1021" w:gutter="0"/>
          <w:pgNumType w:start="1"/>
          <w:cols w:space="720"/>
          <w:titlePg/>
          <w:docGrid w:linePitch="299"/>
        </w:sectPr>
      </w:pPr>
    </w:p>
    <w:p w:rsidR="00B17240" w:rsidRPr="005A35D8" w:rsidRDefault="00B17240" w:rsidP="00B17240">
      <w:pPr>
        <w:rPr>
          <w:rFonts w:eastAsia="Times New Roman"/>
          <w:b/>
          <w:sz w:val="21"/>
          <w:szCs w:val="21"/>
          <w:lang w:eastAsia="en-US"/>
        </w:rPr>
      </w:pPr>
      <w:r w:rsidRPr="005A35D8">
        <w:rPr>
          <w:rFonts w:eastAsia="Times New Roman"/>
          <w:b/>
          <w:sz w:val="21"/>
          <w:szCs w:val="21"/>
          <w:lang w:eastAsia="en-US"/>
        </w:rPr>
        <w:lastRenderedPageBreak/>
        <w:t>LIMITES DE CRÉDIT</w:t>
      </w:r>
    </w:p>
    <w:p w:rsidR="00B17240" w:rsidRPr="005A35D8" w:rsidRDefault="00B17240" w:rsidP="00B17240">
      <w:pPr>
        <w:rPr>
          <w:rFonts w:eastAsia="Times New Roman"/>
          <w:sz w:val="10"/>
          <w:szCs w:val="18"/>
          <w:lang w:eastAsia="en-US"/>
        </w:rPr>
      </w:pPr>
    </w:p>
    <w:p w:rsidR="00B17240" w:rsidRPr="005A35D8" w:rsidRDefault="00B17240" w:rsidP="00B17240">
      <w:pPr>
        <w:rPr>
          <w:rFonts w:eastAsia="Times New Roman"/>
          <w:sz w:val="21"/>
          <w:szCs w:val="21"/>
          <w:lang w:eastAsia="en-US"/>
        </w:rPr>
      </w:pPr>
      <w:r w:rsidRPr="005A35D8">
        <w:rPr>
          <w:rStyle w:val="hps"/>
          <w:sz w:val="21"/>
          <w:szCs w:val="21"/>
        </w:rPr>
        <w:t>Pour assurer la qualité</w:t>
      </w:r>
      <w:r w:rsidRPr="005A35D8">
        <w:rPr>
          <w:sz w:val="21"/>
          <w:szCs w:val="21"/>
        </w:rPr>
        <w:t xml:space="preserve"> </w:t>
      </w:r>
      <w:r w:rsidRPr="005A35D8">
        <w:rPr>
          <w:rStyle w:val="hps"/>
          <w:sz w:val="21"/>
          <w:szCs w:val="21"/>
        </w:rPr>
        <w:t>du crédit</w:t>
      </w:r>
      <w:r w:rsidRPr="005A35D8">
        <w:rPr>
          <w:sz w:val="21"/>
          <w:szCs w:val="21"/>
        </w:rPr>
        <w:t xml:space="preserve"> </w:t>
      </w:r>
      <w:r w:rsidRPr="005A35D8">
        <w:rPr>
          <w:rStyle w:val="hps"/>
          <w:sz w:val="21"/>
          <w:szCs w:val="21"/>
        </w:rPr>
        <w:t>et la cohérence</w:t>
      </w:r>
      <w:r w:rsidRPr="005A35D8">
        <w:rPr>
          <w:sz w:val="21"/>
          <w:szCs w:val="21"/>
        </w:rPr>
        <w:t xml:space="preserve"> </w:t>
      </w:r>
      <w:r w:rsidRPr="005A35D8">
        <w:rPr>
          <w:rStyle w:val="hps"/>
          <w:sz w:val="21"/>
          <w:szCs w:val="21"/>
        </w:rPr>
        <w:t>de l</w:t>
      </w:r>
      <w:r w:rsidR="00295456" w:rsidRPr="005A35D8">
        <w:rPr>
          <w:rStyle w:val="hps"/>
          <w:sz w:val="21"/>
          <w:szCs w:val="21"/>
        </w:rPr>
        <w:t>’</w:t>
      </w:r>
      <w:r w:rsidRPr="005A35D8">
        <w:rPr>
          <w:rStyle w:val="hps"/>
          <w:sz w:val="21"/>
          <w:szCs w:val="21"/>
        </w:rPr>
        <w:t>évaluation</w:t>
      </w:r>
      <w:r w:rsidRPr="005A35D8">
        <w:rPr>
          <w:sz w:val="21"/>
          <w:szCs w:val="21"/>
        </w:rPr>
        <w:t xml:space="preserve"> </w:t>
      </w:r>
      <w:r w:rsidRPr="005A35D8">
        <w:rPr>
          <w:rStyle w:val="hps"/>
          <w:sz w:val="21"/>
          <w:szCs w:val="21"/>
        </w:rPr>
        <w:t>des crédits</w:t>
      </w:r>
      <w:r w:rsidRPr="005A35D8">
        <w:rPr>
          <w:sz w:val="21"/>
          <w:szCs w:val="21"/>
        </w:rPr>
        <w:t xml:space="preserve">, </w:t>
      </w:r>
      <w:r w:rsidRPr="005A35D8">
        <w:rPr>
          <w:rStyle w:val="hps"/>
          <w:sz w:val="21"/>
          <w:szCs w:val="21"/>
        </w:rPr>
        <w:t>l</w:t>
      </w:r>
      <w:r w:rsidR="00295456" w:rsidRPr="005A35D8">
        <w:rPr>
          <w:rStyle w:val="hps"/>
          <w:sz w:val="21"/>
          <w:szCs w:val="21"/>
        </w:rPr>
        <w:t>’</w:t>
      </w:r>
      <w:r w:rsidRPr="005A35D8">
        <w:rPr>
          <w:rStyle w:val="hps"/>
          <w:sz w:val="21"/>
          <w:szCs w:val="21"/>
        </w:rPr>
        <w:t>Organisation</w:t>
      </w:r>
      <w:r w:rsidRPr="005A35D8">
        <w:rPr>
          <w:sz w:val="21"/>
          <w:szCs w:val="21"/>
        </w:rPr>
        <w:t xml:space="preserve"> </w:t>
      </w:r>
      <w:r w:rsidRPr="005A35D8">
        <w:rPr>
          <w:rStyle w:val="hps"/>
          <w:sz w:val="21"/>
          <w:szCs w:val="21"/>
        </w:rPr>
        <w:t>s</w:t>
      </w:r>
      <w:r w:rsidR="00295456" w:rsidRPr="005A35D8">
        <w:rPr>
          <w:rStyle w:val="hps"/>
          <w:sz w:val="21"/>
          <w:szCs w:val="21"/>
        </w:rPr>
        <w:t>’</w:t>
      </w:r>
      <w:r w:rsidRPr="005A35D8">
        <w:rPr>
          <w:rStyle w:val="hps"/>
          <w:sz w:val="21"/>
          <w:szCs w:val="21"/>
        </w:rPr>
        <w:t>appuie sur des agences de notation</w:t>
      </w:r>
      <w:r w:rsidRPr="005A35D8">
        <w:rPr>
          <w:sz w:val="21"/>
          <w:szCs w:val="21"/>
        </w:rPr>
        <w:t xml:space="preserve"> </w:t>
      </w:r>
      <w:r w:rsidRPr="005A35D8">
        <w:rPr>
          <w:rStyle w:val="hps"/>
          <w:sz w:val="21"/>
          <w:szCs w:val="21"/>
        </w:rPr>
        <w:t>agréées</w:t>
      </w:r>
      <w:r w:rsidRPr="005A35D8">
        <w:rPr>
          <w:sz w:val="21"/>
          <w:szCs w:val="21"/>
        </w:rPr>
        <w:t xml:space="preserve"> </w:t>
      </w:r>
      <w:r w:rsidRPr="005A35D8">
        <w:rPr>
          <w:rStyle w:val="hps"/>
          <w:sz w:val="21"/>
          <w:szCs w:val="21"/>
        </w:rPr>
        <w:t>pour déterminer</w:t>
      </w:r>
      <w:r w:rsidRPr="005A35D8">
        <w:rPr>
          <w:sz w:val="21"/>
          <w:szCs w:val="21"/>
        </w:rPr>
        <w:t xml:space="preserve"> </w:t>
      </w:r>
      <w:r w:rsidRPr="005A35D8">
        <w:rPr>
          <w:rStyle w:val="hps"/>
          <w:sz w:val="21"/>
          <w:szCs w:val="21"/>
        </w:rPr>
        <w:t>la solvabilité</w:t>
      </w:r>
      <w:r w:rsidRPr="005A35D8">
        <w:rPr>
          <w:sz w:val="21"/>
          <w:szCs w:val="21"/>
        </w:rPr>
        <w:t xml:space="preserve">.  </w:t>
      </w:r>
      <w:r w:rsidRPr="005A35D8">
        <w:rPr>
          <w:rStyle w:val="hps"/>
          <w:sz w:val="21"/>
          <w:szCs w:val="21"/>
        </w:rPr>
        <w:t>À partir de 2015</w:t>
      </w:r>
      <w:r w:rsidRPr="005A35D8">
        <w:rPr>
          <w:sz w:val="21"/>
          <w:szCs w:val="21"/>
        </w:rPr>
        <w:t xml:space="preserve">, </w:t>
      </w:r>
      <w:r w:rsidRPr="005A35D8">
        <w:rPr>
          <w:rStyle w:val="hps"/>
          <w:sz w:val="21"/>
          <w:szCs w:val="21"/>
        </w:rPr>
        <w:t>les</w:t>
      </w:r>
      <w:r w:rsidRPr="005A35D8">
        <w:rPr>
          <w:sz w:val="21"/>
          <w:szCs w:val="21"/>
        </w:rPr>
        <w:t xml:space="preserve"> </w:t>
      </w:r>
      <w:r w:rsidRPr="005A35D8">
        <w:rPr>
          <w:rStyle w:val="hps"/>
          <w:sz w:val="21"/>
          <w:szCs w:val="21"/>
        </w:rPr>
        <w:t>agences agréées</w:t>
      </w:r>
      <w:r w:rsidRPr="005A35D8">
        <w:rPr>
          <w:sz w:val="21"/>
          <w:szCs w:val="21"/>
        </w:rPr>
        <w:t xml:space="preserve"> </w:t>
      </w:r>
      <w:r w:rsidRPr="005A35D8">
        <w:rPr>
          <w:rStyle w:val="hps"/>
          <w:sz w:val="21"/>
          <w:szCs w:val="21"/>
        </w:rPr>
        <w:t>sont</w:t>
      </w:r>
      <w:r w:rsidRPr="005A35D8">
        <w:rPr>
          <w:sz w:val="21"/>
          <w:szCs w:val="21"/>
        </w:rPr>
        <w:t xml:space="preserve"> </w:t>
      </w:r>
      <w:r w:rsidRPr="005A35D8">
        <w:rPr>
          <w:rStyle w:val="hps"/>
          <w:sz w:val="21"/>
          <w:szCs w:val="21"/>
        </w:rPr>
        <w:t>Moody</w:t>
      </w:r>
      <w:r w:rsidR="00295456" w:rsidRPr="005A35D8">
        <w:rPr>
          <w:rStyle w:val="hps"/>
          <w:sz w:val="21"/>
          <w:szCs w:val="21"/>
        </w:rPr>
        <w:t>’</w:t>
      </w:r>
      <w:r w:rsidRPr="005A35D8">
        <w:rPr>
          <w:rStyle w:val="hps"/>
          <w:sz w:val="21"/>
          <w:szCs w:val="21"/>
        </w:rPr>
        <w:t>s</w:t>
      </w:r>
      <w:r w:rsidRPr="005A35D8">
        <w:rPr>
          <w:sz w:val="21"/>
          <w:szCs w:val="21"/>
        </w:rPr>
        <w:t xml:space="preserve">, </w:t>
      </w:r>
      <w:r w:rsidRPr="005A35D8">
        <w:rPr>
          <w:rStyle w:val="hps"/>
          <w:sz w:val="21"/>
          <w:szCs w:val="21"/>
        </w:rPr>
        <w:t>Standard and</w:t>
      </w:r>
      <w:r w:rsidRPr="005A35D8">
        <w:rPr>
          <w:sz w:val="21"/>
          <w:szCs w:val="21"/>
        </w:rPr>
        <w:t xml:space="preserve"> </w:t>
      </w:r>
      <w:proofErr w:type="spellStart"/>
      <w:r w:rsidRPr="005A35D8">
        <w:rPr>
          <w:rStyle w:val="hps"/>
          <w:sz w:val="21"/>
          <w:szCs w:val="21"/>
        </w:rPr>
        <w:t>Poor</w:t>
      </w:r>
      <w:r w:rsidR="00295456" w:rsidRPr="005A35D8">
        <w:rPr>
          <w:rStyle w:val="hps"/>
          <w:sz w:val="21"/>
          <w:szCs w:val="21"/>
        </w:rPr>
        <w:t>’</w:t>
      </w:r>
      <w:r w:rsidRPr="005A35D8">
        <w:rPr>
          <w:rStyle w:val="hps"/>
          <w:sz w:val="21"/>
          <w:szCs w:val="21"/>
        </w:rPr>
        <w:t>s</w:t>
      </w:r>
      <w:proofErr w:type="spellEnd"/>
      <w:r w:rsidRPr="005A35D8">
        <w:rPr>
          <w:rStyle w:val="hps"/>
          <w:sz w:val="21"/>
          <w:szCs w:val="21"/>
        </w:rPr>
        <w:t xml:space="preserve"> et</w:t>
      </w:r>
      <w:r w:rsidRPr="005A35D8">
        <w:rPr>
          <w:sz w:val="21"/>
          <w:szCs w:val="21"/>
        </w:rPr>
        <w:t xml:space="preserve"> </w:t>
      </w:r>
      <w:proofErr w:type="spellStart"/>
      <w:r w:rsidRPr="005A35D8">
        <w:rPr>
          <w:rStyle w:val="hps"/>
          <w:sz w:val="21"/>
          <w:szCs w:val="21"/>
        </w:rPr>
        <w:t>Fitch</w:t>
      </w:r>
      <w:proofErr w:type="spellEnd"/>
      <w:r w:rsidRPr="005A35D8">
        <w:rPr>
          <w:rStyle w:val="hps"/>
          <w:sz w:val="21"/>
          <w:szCs w:val="21"/>
        </w:rPr>
        <w:t xml:space="preserve"> IBCA</w:t>
      </w:r>
      <w:r w:rsidRPr="005A35D8">
        <w:rPr>
          <w:rFonts w:eastAsia="Times New Roman"/>
          <w:sz w:val="21"/>
          <w:szCs w:val="21"/>
          <w:lang w:eastAsia="en-US"/>
        </w:rPr>
        <w:t>.</w:t>
      </w:r>
    </w:p>
    <w:p w:rsidR="00B17240" w:rsidRPr="005A35D8" w:rsidRDefault="00B17240" w:rsidP="00B17240">
      <w:pPr>
        <w:rPr>
          <w:rFonts w:eastAsia="Times New Roman"/>
          <w:sz w:val="6"/>
          <w:szCs w:val="18"/>
          <w:lang w:eastAsia="en-US"/>
        </w:rPr>
      </w:pPr>
    </w:p>
    <w:tbl>
      <w:tblPr>
        <w:tblW w:w="13352" w:type="dxa"/>
        <w:jc w:val="center"/>
        <w:tblCellSpacing w:w="15" w:type="dxa"/>
        <w:tblInd w:w="-446" w:type="dxa"/>
        <w:tblCellMar>
          <w:left w:w="0" w:type="dxa"/>
          <w:right w:w="0" w:type="dxa"/>
        </w:tblCellMar>
        <w:tblLook w:val="0000" w:firstRow="0" w:lastRow="0" w:firstColumn="0" w:lastColumn="0" w:noHBand="0" w:noVBand="0"/>
      </w:tblPr>
      <w:tblGrid>
        <w:gridCol w:w="1559"/>
        <w:gridCol w:w="1659"/>
        <w:gridCol w:w="1728"/>
        <w:gridCol w:w="1596"/>
        <w:gridCol w:w="1540"/>
        <w:gridCol w:w="1515"/>
        <w:gridCol w:w="3755"/>
      </w:tblGrid>
      <w:tr w:rsidR="005A35D8" w:rsidRPr="005A35D8" w:rsidTr="009C58C9">
        <w:trPr>
          <w:tblCellSpacing w:w="15" w:type="dxa"/>
          <w:jc w:val="center"/>
        </w:trPr>
        <w:tc>
          <w:tcPr>
            <w:tcW w:w="3173" w:type="dxa"/>
            <w:gridSpan w:val="2"/>
            <w:shd w:val="clear" w:color="auto" w:fill="FF7C80"/>
            <w:tcMar>
              <w:top w:w="15" w:type="dxa"/>
              <w:left w:w="15" w:type="dxa"/>
              <w:bottom w:w="15" w:type="dxa"/>
              <w:right w:w="15" w:type="dxa"/>
            </w:tcMar>
            <w:vAlign w:val="center"/>
          </w:tcPr>
          <w:p w:rsidR="00B17240" w:rsidRPr="005A35D8" w:rsidRDefault="00B17240" w:rsidP="009C58C9">
            <w:pPr>
              <w:jc w:val="center"/>
              <w:rPr>
                <w:b/>
                <w:bCs/>
                <w:sz w:val="20"/>
              </w:rPr>
            </w:pPr>
            <w:r w:rsidRPr="005A35D8">
              <w:rPr>
                <w:b/>
                <w:bCs/>
                <w:sz w:val="20"/>
              </w:rPr>
              <w:t>MOODY</w:t>
            </w:r>
            <w:r w:rsidR="00295456" w:rsidRPr="005A35D8">
              <w:rPr>
                <w:b/>
                <w:bCs/>
                <w:sz w:val="20"/>
              </w:rPr>
              <w:t>’</w:t>
            </w:r>
            <w:r w:rsidRPr="005A35D8">
              <w:rPr>
                <w:b/>
                <w:bCs/>
                <w:sz w:val="20"/>
              </w:rPr>
              <w:t>S</w:t>
            </w:r>
          </w:p>
        </w:tc>
        <w:tc>
          <w:tcPr>
            <w:tcW w:w="3294" w:type="dxa"/>
            <w:gridSpan w:val="2"/>
            <w:tcMar>
              <w:top w:w="15" w:type="dxa"/>
              <w:left w:w="15" w:type="dxa"/>
              <w:bottom w:w="15" w:type="dxa"/>
              <w:right w:w="15" w:type="dxa"/>
            </w:tcMar>
            <w:vAlign w:val="center"/>
          </w:tcPr>
          <w:p w:rsidR="00B17240" w:rsidRPr="005A35D8" w:rsidRDefault="00B17240" w:rsidP="009C58C9">
            <w:pPr>
              <w:jc w:val="center"/>
              <w:rPr>
                <w:b/>
                <w:bCs/>
                <w:sz w:val="20"/>
              </w:rPr>
            </w:pPr>
            <w:r w:rsidRPr="005A35D8">
              <w:rPr>
                <w:b/>
                <w:bCs/>
                <w:sz w:val="20"/>
              </w:rPr>
              <w:t>STANDARD &amp; POOR</w:t>
            </w:r>
            <w:r w:rsidR="00295456" w:rsidRPr="005A35D8">
              <w:rPr>
                <w:b/>
                <w:bCs/>
                <w:sz w:val="20"/>
              </w:rPr>
              <w:t>’</w:t>
            </w:r>
            <w:r w:rsidRPr="005A35D8">
              <w:rPr>
                <w:b/>
                <w:bCs/>
                <w:sz w:val="20"/>
              </w:rPr>
              <w:t>S</w:t>
            </w:r>
          </w:p>
        </w:tc>
        <w:tc>
          <w:tcPr>
            <w:tcW w:w="3025" w:type="dxa"/>
            <w:gridSpan w:val="2"/>
            <w:shd w:val="clear" w:color="auto" w:fill="0099FF"/>
            <w:tcMar>
              <w:top w:w="15" w:type="dxa"/>
              <w:left w:w="15" w:type="dxa"/>
              <w:bottom w:w="15" w:type="dxa"/>
              <w:right w:w="15" w:type="dxa"/>
            </w:tcMar>
            <w:vAlign w:val="center"/>
          </w:tcPr>
          <w:p w:rsidR="00B17240" w:rsidRPr="005A35D8" w:rsidRDefault="00B17240" w:rsidP="009C58C9">
            <w:pPr>
              <w:jc w:val="center"/>
              <w:rPr>
                <w:b/>
                <w:bCs/>
                <w:sz w:val="20"/>
              </w:rPr>
            </w:pPr>
            <w:r w:rsidRPr="005A35D8">
              <w:rPr>
                <w:b/>
                <w:bCs/>
                <w:sz w:val="20"/>
              </w:rPr>
              <w:t>FITCH</w:t>
            </w:r>
          </w:p>
        </w:tc>
        <w:tc>
          <w:tcPr>
            <w:tcW w:w="3710" w:type="dxa"/>
            <w:tcMar>
              <w:top w:w="15" w:type="dxa"/>
              <w:left w:w="15" w:type="dxa"/>
              <w:bottom w:w="15" w:type="dxa"/>
              <w:right w:w="15" w:type="dxa"/>
            </w:tcMar>
            <w:vAlign w:val="center"/>
          </w:tcPr>
          <w:p w:rsidR="00B17240" w:rsidRPr="005A35D8" w:rsidRDefault="00B17240" w:rsidP="009C58C9">
            <w:pPr>
              <w:jc w:val="center"/>
              <w:rPr>
                <w:b/>
                <w:bCs/>
                <w:sz w:val="20"/>
              </w:rPr>
            </w:pPr>
            <w:r w:rsidRPr="005A35D8">
              <w:rPr>
                <w:b/>
                <w:bCs/>
                <w:sz w:val="20"/>
              </w:rPr>
              <w:t> </w:t>
            </w: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b/>
                <w:bCs/>
                <w:sz w:val="20"/>
              </w:rPr>
            </w:pPr>
            <w:r w:rsidRPr="005A35D8">
              <w:rPr>
                <w:b/>
                <w:bCs/>
                <w:sz w:val="20"/>
              </w:rPr>
              <w:t>Long terme</w:t>
            </w:r>
          </w:p>
        </w:tc>
        <w:tc>
          <w:tcPr>
            <w:tcW w:w="1629" w:type="dxa"/>
            <w:shd w:val="clear" w:color="auto" w:fill="FFC0CB"/>
            <w:tcMar>
              <w:top w:w="15" w:type="dxa"/>
              <w:left w:w="15" w:type="dxa"/>
              <w:bottom w:w="15" w:type="dxa"/>
              <w:right w:w="15" w:type="dxa"/>
            </w:tcMar>
            <w:vAlign w:val="center"/>
          </w:tcPr>
          <w:p w:rsidR="00B17240" w:rsidRPr="005A35D8" w:rsidRDefault="00B17240" w:rsidP="009C58C9">
            <w:pPr>
              <w:jc w:val="center"/>
              <w:rPr>
                <w:b/>
                <w:bCs/>
                <w:sz w:val="20"/>
              </w:rPr>
            </w:pPr>
            <w:r w:rsidRPr="005A35D8">
              <w:rPr>
                <w:b/>
                <w:bCs/>
                <w:sz w:val="20"/>
              </w:rPr>
              <w:t>Court terme</w:t>
            </w: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b/>
                <w:bCs/>
                <w:sz w:val="20"/>
              </w:rPr>
            </w:pPr>
            <w:r w:rsidRPr="005A35D8">
              <w:rPr>
                <w:b/>
                <w:bCs/>
                <w:sz w:val="20"/>
              </w:rPr>
              <w:t>Long terme</w:t>
            </w:r>
          </w:p>
        </w:tc>
        <w:tc>
          <w:tcPr>
            <w:tcW w:w="1566" w:type="dxa"/>
            <w:shd w:val="clear" w:color="auto" w:fill="F0E68C"/>
            <w:tcMar>
              <w:top w:w="15" w:type="dxa"/>
              <w:left w:w="15" w:type="dxa"/>
              <w:bottom w:w="15" w:type="dxa"/>
              <w:right w:w="15" w:type="dxa"/>
            </w:tcMar>
            <w:vAlign w:val="center"/>
          </w:tcPr>
          <w:p w:rsidR="00B17240" w:rsidRPr="005A35D8" w:rsidRDefault="00B17240" w:rsidP="009C58C9">
            <w:pPr>
              <w:jc w:val="center"/>
              <w:rPr>
                <w:b/>
                <w:bCs/>
                <w:sz w:val="20"/>
              </w:rPr>
            </w:pPr>
            <w:r w:rsidRPr="005A35D8">
              <w:rPr>
                <w:b/>
                <w:bCs/>
                <w:sz w:val="20"/>
              </w:rPr>
              <w:t>Court terme</w:t>
            </w: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b/>
                <w:bCs/>
                <w:sz w:val="20"/>
              </w:rPr>
            </w:pPr>
            <w:r w:rsidRPr="005A35D8">
              <w:rPr>
                <w:b/>
                <w:bCs/>
                <w:sz w:val="20"/>
              </w:rPr>
              <w:t>Long terme</w:t>
            </w:r>
          </w:p>
        </w:tc>
        <w:tc>
          <w:tcPr>
            <w:tcW w:w="1485" w:type="dxa"/>
            <w:shd w:val="clear" w:color="auto" w:fill="AFEEEE"/>
            <w:tcMar>
              <w:top w:w="15" w:type="dxa"/>
              <w:left w:w="15" w:type="dxa"/>
              <w:bottom w:w="15" w:type="dxa"/>
              <w:right w:w="15" w:type="dxa"/>
            </w:tcMar>
            <w:vAlign w:val="center"/>
          </w:tcPr>
          <w:p w:rsidR="00B17240" w:rsidRPr="005A35D8" w:rsidRDefault="00B17240" w:rsidP="009C58C9">
            <w:pPr>
              <w:jc w:val="center"/>
              <w:rPr>
                <w:b/>
                <w:bCs/>
                <w:sz w:val="20"/>
              </w:rPr>
            </w:pPr>
            <w:r w:rsidRPr="005A35D8">
              <w:rPr>
                <w:b/>
                <w:bCs/>
                <w:sz w:val="20"/>
              </w:rPr>
              <w:t>Court terme</w:t>
            </w:r>
          </w:p>
        </w:tc>
        <w:tc>
          <w:tcPr>
            <w:tcW w:w="3710" w:type="dxa"/>
            <w:tcMar>
              <w:top w:w="15" w:type="dxa"/>
              <w:left w:w="15" w:type="dxa"/>
              <w:bottom w:w="15" w:type="dxa"/>
              <w:right w:w="15" w:type="dxa"/>
            </w:tcMar>
            <w:vAlign w:val="center"/>
          </w:tcPr>
          <w:p w:rsidR="00B17240" w:rsidRPr="005A35D8" w:rsidRDefault="00B17240" w:rsidP="009C58C9">
            <w:pPr>
              <w:jc w:val="center"/>
              <w:rPr>
                <w:b/>
                <w:bCs/>
                <w:sz w:val="20"/>
              </w:rPr>
            </w:pPr>
            <w:r w:rsidRPr="005A35D8">
              <w:rPr>
                <w:b/>
                <w:bCs/>
                <w:sz w:val="20"/>
              </w:rPr>
              <w:t> </w:t>
            </w: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proofErr w:type="spellStart"/>
            <w:r w:rsidRPr="005A35D8">
              <w:rPr>
                <w:sz w:val="20"/>
              </w:rPr>
              <w:t>Aaa</w:t>
            </w:r>
            <w:proofErr w:type="spellEnd"/>
          </w:p>
        </w:tc>
        <w:tc>
          <w:tcPr>
            <w:tcW w:w="1629" w:type="dxa"/>
            <w:vMerge w:val="restart"/>
            <w:shd w:val="clear" w:color="auto" w:fill="FFC0CB"/>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P</w:t>
            </w:r>
            <w:r w:rsidR="00D14880" w:rsidRPr="005A35D8">
              <w:rPr>
                <w:sz w:val="20"/>
              </w:rPr>
              <w:noBreakHyphen/>
            </w:r>
            <w:r w:rsidRPr="005A35D8">
              <w:rPr>
                <w:sz w:val="20"/>
              </w:rPr>
              <w:t>1</w:t>
            </w: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AAA</w:t>
            </w:r>
          </w:p>
        </w:tc>
        <w:tc>
          <w:tcPr>
            <w:tcW w:w="1566" w:type="dxa"/>
            <w:vMerge w:val="restart"/>
            <w:shd w:val="clear" w:color="auto" w:fill="F0E6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w:t>
            </w:r>
            <w:r w:rsidR="00D14880" w:rsidRPr="005A35D8">
              <w:rPr>
                <w:sz w:val="20"/>
              </w:rPr>
              <w:noBreakHyphen/>
            </w:r>
            <w:r w:rsidRPr="005A35D8">
              <w:rPr>
                <w:sz w:val="20"/>
              </w:rPr>
              <w:t>1+</w:t>
            </w: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AAA</w:t>
            </w:r>
          </w:p>
        </w:tc>
        <w:tc>
          <w:tcPr>
            <w:tcW w:w="1485" w:type="dxa"/>
            <w:vMerge w:val="restart"/>
            <w:shd w:val="clear" w:color="auto" w:fill="AFEEEE"/>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F1+</w:t>
            </w:r>
          </w:p>
        </w:tc>
        <w:tc>
          <w:tcPr>
            <w:tcW w:w="3710" w:type="dxa"/>
            <w:shd w:val="clear" w:color="auto" w:fill="D2B4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Sécurité maximale</w:t>
            </w: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Aa1</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AA+</w:t>
            </w:r>
          </w:p>
        </w:tc>
        <w:tc>
          <w:tcPr>
            <w:tcW w:w="1566" w:type="dxa"/>
            <w:vMerge/>
            <w:vAlign w:val="center"/>
          </w:tcPr>
          <w:p w:rsidR="00B17240" w:rsidRPr="005A35D8" w:rsidRDefault="00B17240" w:rsidP="009C58C9">
            <w:pPr>
              <w:rPr>
                <w:sz w:val="20"/>
              </w:rPr>
            </w:pP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AA+</w:t>
            </w:r>
          </w:p>
        </w:tc>
        <w:tc>
          <w:tcPr>
            <w:tcW w:w="1485" w:type="dxa"/>
            <w:vMerge/>
            <w:vAlign w:val="center"/>
          </w:tcPr>
          <w:p w:rsidR="00B17240" w:rsidRPr="005A35D8" w:rsidRDefault="00B17240" w:rsidP="009C58C9">
            <w:pPr>
              <w:rPr>
                <w:sz w:val="20"/>
              </w:rPr>
            </w:pPr>
          </w:p>
        </w:tc>
        <w:tc>
          <w:tcPr>
            <w:tcW w:w="3710" w:type="dxa"/>
            <w:vMerge w:val="restart"/>
            <w:shd w:val="clear" w:color="auto" w:fill="D2B4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Qualité haute ou bonne</w:t>
            </w: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Aa2</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AA</w:t>
            </w:r>
          </w:p>
        </w:tc>
        <w:tc>
          <w:tcPr>
            <w:tcW w:w="1566" w:type="dxa"/>
            <w:vMerge/>
            <w:vAlign w:val="center"/>
          </w:tcPr>
          <w:p w:rsidR="00B17240" w:rsidRPr="005A35D8" w:rsidRDefault="00B17240" w:rsidP="009C58C9">
            <w:pPr>
              <w:rPr>
                <w:sz w:val="20"/>
              </w:rPr>
            </w:pP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AA</w:t>
            </w:r>
          </w:p>
        </w:tc>
        <w:tc>
          <w:tcPr>
            <w:tcW w:w="1485" w:type="dxa"/>
            <w:vMerge/>
            <w:vAlign w:val="center"/>
          </w:tcPr>
          <w:p w:rsidR="00B17240" w:rsidRPr="005A35D8" w:rsidRDefault="00B17240" w:rsidP="009C58C9">
            <w:pPr>
              <w:rPr>
                <w:sz w:val="20"/>
              </w:rPr>
            </w:pP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Aa3</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AA</w:t>
            </w:r>
            <w:r w:rsidR="00D14880" w:rsidRPr="005A35D8">
              <w:rPr>
                <w:sz w:val="20"/>
              </w:rPr>
              <w:noBreakHyphen/>
            </w:r>
          </w:p>
        </w:tc>
        <w:tc>
          <w:tcPr>
            <w:tcW w:w="1566" w:type="dxa"/>
            <w:vMerge/>
            <w:vAlign w:val="center"/>
          </w:tcPr>
          <w:p w:rsidR="00B17240" w:rsidRPr="005A35D8" w:rsidRDefault="00B17240" w:rsidP="009C58C9">
            <w:pPr>
              <w:rPr>
                <w:sz w:val="20"/>
              </w:rPr>
            </w:pP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AA</w:t>
            </w:r>
            <w:r w:rsidR="00D14880" w:rsidRPr="005A35D8">
              <w:rPr>
                <w:sz w:val="20"/>
              </w:rPr>
              <w:noBreakHyphen/>
            </w:r>
          </w:p>
        </w:tc>
        <w:tc>
          <w:tcPr>
            <w:tcW w:w="1485" w:type="dxa"/>
            <w:vMerge/>
            <w:vAlign w:val="center"/>
          </w:tcPr>
          <w:p w:rsidR="00B17240" w:rsidRPr="005A35D8" w:rsidRDefault="00B17240" w:rsidP="009C58C9">
            <w:pPr>
              <w:rPr>
                <w:sz w:val="20"/>
              </w:rPr>
            </w:pP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shd w:val="clear" w:color="auto" w:fill="F08080"/>
            <w:vAlign w:val="center"/>
          </w:tcPr>
          <w:p w:rsidR="00B17240" w:rsidRPr="005A35D8" w:rsidRDefault="00B17240" w:rsidP="009C58C9">
            <w:pPr>
              <w:jc w:val="center"/>
              <w:rPr>
                <w:sz w:val="20"/>
              </w:rPr>
            </w:pPr>
            <w:r w:rsidRPr="005A35D8">
              <w:rPr>
                <w:sz w:val="20"/>
              </w:rPr>
              <w:t>A1</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w:t>
            </w:r>
          </w:p>
        </w:tc>
        <w:tc>
          <w:tcPr>
            <w:tcW w:w="1566" w:type="dxa"/>
            <w:vMerge w:val="restart"/>
            <w:shd w:val="clear" w:color="auto" w:fill="F0E6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w:t>
            </w:r>
            <w:r w:rsidR="00D14880" w:rsidRPr="005A35D8">
              <w:rPr>
                <w:sz w:val="20"/>
              </w:rPr>
              <w:noBreakHyphen/>
            </w:r>
            <w:r w:rsidRPr="005A35D8">
              <w:rPr>
                <w:sz w:val="20"/>
              </w:rPr>
              <w:t>1</w:t>
            </w: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w:t>
            </w:r>
          </w:p>
        </w:tc>
        <w:tc>
          <w:tcPr>
            <w:tcW w:w="1485" w:type="dxa"/>
            <w:vMerge w:val="restart"/>
            <w:shd w:val="clear" w:color="auto" w:fill="AFEEEE"/>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F1</w:t>
            </w:r>
          </w:p>
        </w:tc>
        <w:tc>
          <w:tcPr>
            <w:tcW w:w="3710" w:type="dxa"/>
            <w:vMerge w:val="restart"/>
            <w:shd w:val="clear" w:color="auto" w:fill="D2B4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Qualité moyenne supérieure</w:t>
            </w: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A2</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w:t>
            </w:r>
          </w:p>
        </w:tc>
        <w:tc>
          <w:tcPr>
            <w:tcW w:w="1566" w:type="dxa"/>
            <w:vMerge/>
            <w:vAlign w:val="center"/>
          </w:tcPr>
          <w:p w:rsidR="00B17240" w:rsidRPr="005A35D8" w:rsidRDefault="00B17240" w:rsidP="009C58C9">
            <w:pPr>
              <w:rPr>
                <w:sz w:val="20"/>
              </w:rPr>
            </w:pP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w:t>
            </w:r>
          </w:p>
        </w:tc>
        <w:tc>
          <w:tcPr>
            <w:tcW w:w="1485" w:type="dxa"/>
            <w:vMerge/>
            <w:vAlign w:val="center"/>
          </w:tcPr>
          <w:p w:rsidR="00B17240" w:rsidRPr="005A35D8" w:rsidRDefault="00B17240" w:rsidP="009C58C9">
            <w:pPr>
              <w:rPr>
                <w:sz w:val="20"/>
              </w:rPr>
            </w:pP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A3</w:t>
            </w:r>
          </w:p>
        </w:tc>
        <w:tc>
          <w:tcPr>
            <w:tcW w:w="1629" w:type="dxa"/>
            <w:vMerge w:val="restart"/>
            <w:shd w:val="clear" w:color="auto" w:fill="FFC0CB"/>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P</w:t>
            </w:r>
            <w:r w:rsidR="00D14880" w:rsidRPr="005A35D8">
              <w:rPr>
                <w:sz w:val="20"/>
              </w:rPr>
              <w:noBreakHyphen/>
            </w:r>
            <w:r w:rsidRPr="005A35D8">
              <w:rPr>
                <w:sz w:val="20"/>
              </w:rPr>
              <w:t>2</w:t>
            </w: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w:t>
            </w:r>
            <w:r w:rsidR="00D14880" w:rsidRPr="005A35D8">
              <w:rPr>
                <w:sz w:val="20"/>
              </w:rPr>
              <w:noBreakHyphen/>
            </w:r>
          </w:p>
        </w:tc>
        <w:tc>
          <w:tcPr>
            <w:tcW w:w="1566" w:type="dxa"/>
            <w:vMerge w:val="restart"/>
            <w:shd w:val="clear" w:color="auto" w:fill="F0E6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w:t>
            </w:r>
            <w:r w:rsidR="00D14880" w:rsidRPr="005A35D8">
              <w:rPr>
                <w:sz w:val="20"/>
              </w:rPr>
              <w:noBreakHyphen/>
            </w:r>
            <w:r w:rsidRPr="005A35D8">
              <w:rPr>
                <w:sz w:val="20"/>
              </w:rPr>
              <w:t>2</w:t>
            </w: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w:t>
            </w:r>
            <w:r w:rsidR="00D14880" w:rsidRPr="005A35D8">
              <w:rPr>
                <w:sz w:val="20"/>
              </w:rPr>
              <w:noBreakHyphen/>
            </w:r>
          </w:p>
        </w:tc>
        <w:tc>
          <w:tcPr>
            <w:tcW w:w="1485" w:type="dxa"/>
            <w:vMerge w:val="restart"/>
            <w:shd w:val="clear" w:color="auto" w:fill="AFEEEE"/>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F2</w:t>
            </w: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Baa1</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BBB+</w:t>
            </w:r>
          </w:p>
        </w:tc>
        <w:tc>
          <w:tcPr>
            <w:tcW w:w="1566" w:type="dxa"/>
            <w:vMerge/>
            <w:vAlign w:val="center"/>
          </w:tcPr>
          <w:p w:rsidR="00B17240" w:rsidRPr="005A35D8" w:rsidRDefault="00B17240" w:rsidP="009C58C9">
            <w:pPr>
              <w:rPr>
                <w:sz w:val="20"/>
              </w:rPr>
            </w:pP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BBB+</w:t>
            </w:r>
          </w:p>
        </w:tc>
        <w:tc>
          <w:tcPr>
            <w:tcW w:w="1485" w:type="dxa"/>
            <w:vMerge/>
            <w:vAlign w:val="center"/>
          </w:tcPr>
          <w:p w:rsidR="00B17240" w:rsidRPr="005A35D8" w:rsidRDefault="00B17240" w:rsidP="009C58C9">
            <w:pPr>
              <w:rPr>
                <w:sz w:val="20"/>
              </w:rPr>
            </w:pPr>
          </w:p>
        </w:tc>
        <w:tc>
          <w:tcPr>
            <w:tcW w:w="3710" w:type="dxa"/>
            <w:vMerge w:val="restart"/>
            <w:shd w:val="clear" w:color="auto" w:fill="D2B4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Qualité moyenne inférieure</w:t>
            </w: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Baa2</w:t>
            </w:r>
          </w:p>
        </w:tc>
        <w:tc>
          <w:tcPr>
            <w:tcW w:w="1629" w:type="dxa"/>
            <w:vMerge w:val="restart"/>
            <w:shd w:val="clear" w:color="auto" w:fill="FFC0CB"/>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P</w:t>
            </w:r>
            <w:r w:rsidR="00D14880" w:rsidRPr="005A35D8">
              <w:rPr>
                <w:sz w:val="20"/>
              </w:rPr>
              <w:noBreakHyphen/>
            </w:r>
            <w:r w:rsidRPr="005A35D8">
              <w:rPr>
                <w:sz w:val="20"/>
              </w:rPr>
              <w:t>3</w:t>
            </w: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BBB</w:t>
            </w:r>
          </w:p>
        </w:tc>
        <w:tc>
          <w:tcPr>
            <w:tcW w:w="1566" w:type="dxa"/>
            <w:vMerge w:val="restart"/>
            <w:shd w:val="clear" w:color="auto" w:fill="F0E6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A</w:t>
            </w:r>
            <w:r w:rsidR="00D14880" w:rsidRPr="005A35D8">
              <w:rPr>
                <w:sz w:val="20"/>
              </w:rPr>
              <w:noBreakHyphen/>
            </w:r>
            <w:r w:rsidRPr="005A35D8">
              <w:rPr>
                <w:sz w:val="20"/>
              </w:rPr>
              <w:t>3</w:t>
            </w: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BBB</w:t>
            </w:r>
          </w:p>
        </w:tc>
        <w:tc>
          <w:tcPr>
            <w:tcW w:w="1485" w:type="dxa"/>
            <w:vMerge w:val="restart"/>
            <w:shd w:val="clear" w:color="auto" w:fill="AFEEEE"/>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F3</w:t>
            </w: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Baa3</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BBB</w:t>
            </w:r>
            <w:r w:rsidR="00D14880" w:rsidRPr="005A35D8">
              <w:rPr>
                <w:sz w:val="20"/>
              </w:rPr>
              <w:noBreakHyphen/>
            </w:r>
          </w:p>
        </w:tc>
        <w:tc>
          <w:tcPr>
            <w:tcW w:w="1566" w:type="dxa"/>
            <w:vMerge/>
            <w:vAlign w:val="center"/>
          </w:tcPr>
          <w:p w:rsidR="00B17240" w:rsidRPr="005A35D8" w:rsidRDefault="00B17240" w:rsidP="009C58C9">
            <w:pPr>
              <w:rPr>
                <w:sz w:val="20"/>
              </w:rPr>
            </w:pP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BBB</w:t>
            </w:r>
            <w:r w:rsidR="00D14880" w:rsidRPr="005A35D8">
              <w:rPr>
                <w:sz w:val="20"/>
              </w:rPr>
              <w:noBreakHyphen/>
            </w:r>
          </w:p>
        </w:tc>
        <w:tc>
          <w:tcPr>
            <w:tcW w:w="1485" w:type="dxa"/>
            <w:vMerge/>
            <w:vAlign w:val="center"/>
          </w:tcPr>
          <w:p w:rsidR="00B17240" w:rsidRPr="005A35D8" w:rsidRDefault="00B17240" w:rsidP="009C58C9">
            <w:pPr>
              <w:rPr>
                <w:sz w:val="20"/>
              </w:rPr>
            </w:pP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Ba1</w:t>
            </w:r>
          </w:p>
        </w:tc>
        <w:tc>
          <w:tcPr>
            <w:tcW w:w="1629" w:type="dxa"/>
            <w:vMerge w:val="restart"/>
            <w:shd w:val="clear" w:color="auto" w:fill="FFC0CB"/>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Pas de premier ordre</w:t>
            </w: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w:t>
            </w:r>
          </w:p>
        </w:tc>
        <w:tc>
          <w:tcPr>
            <w:tcW w:w="1566" w:type="dxa"/>
            <w:vMerge w:val="restart"/>
            <w:shd w:val="clear" w:color="auto" w:fill="F0E6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w:t>
            </w: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w:t>
            </w:r>
          </w:p>
        </w:tc>
        <w:tc>
          <w:tcPr>
            <w:tcW w:w="1485" w:type="dxa"/>
            <w:vMerge w:val="restart"/>
            <w:shd w:val="clear" w:color="auto" w:fill="AFEEEE"/>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w:t>
            </w:r>
          </w:p>
        </w:tc>
        <w:tc>
          <w:tcPr>
            <w:tcW w:w="3710" w:type="dxa"/>
            <w:vMerge w:val="restart"/>
            <w:shd w:val="clear" w:color="auto" w:fill="D2B4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Pas dans la catégorie Investissement spéculatif</w:t>
            </w: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Ba2</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w:t>
            </w:r>
          </w:p>
        </w:tc>
        <w:tc>
          <w:tcPr>
            <w:tcW w:w="1566" w:type="dxa"/>
            <w:vMerge/>
            <w:vAlign w:val="center"/>
          </w:tcPr>
          <w:p w:rsidR="00B17240" w:rsidRPr="005A35D8" w:rsidRDefault="00B17240" w:rsidP="009C58C9">
            <w:pPr>
              <w:rPr>
                <w:sz w:val="20"/>
              </w:rPr>
            </w:pP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w:t>
            </w:r>
          </w:p>
        </w:tc>
        <w:tc>
          <w:tcPr>
            <w:tcW w:w="1485" w:type="dxa"/>
            <w:vMerge/>
            <w:vAlign w:val="center"/>
          </w:tcPr>
          <w:p w:rsidR="00B17240" w:rsidRPr="005A35D8" w:rsidRDefault="00B17240" w:rsidP="009C58C9">
            <w:pPr>
              <w:rPr>
                <w:sz w:val="20"/>
              </w:rPr>
            </w:pP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Ba3</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w:t>
            </w:r>
            <w:r w:rsidR="00D14880" w:rsidRPr="005A35D8">
              <w:rPr>
                <w:sz w:val="20"/>
              </w:rPr>
              <w:noBreakHyphen/>
            </w:r>
          </w:p>
        </w:tc>
        <w:tc>
          <w:tcPr>
            <w:tcW w:w="1566" w:type="dxa"/>
            <w:vMerge/>
            <w:vAlign w:val="center"/>
          </w:tcPr>
          <w:p w:rsidR="00B17240" w:rsidRPr="005A35D8" w:rsidRDefault="00B17240" w:rsidP="009C58C9">
            <w:pPr>
              <w:rPr>
                <w:sz w:val="20"/>
              </w:rPr>
            </w:pP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BB</w:t>
            </w:r>
            <w:r w:rsidR="00D14880" w:rsidRPr="005A35D8">
              <w:rPr>
                <w:sz w:val="20"/>
              </w:rPr>
              <w:noBreakHyphen/>
            </w:r>
          </w:p>
        </w:tc>
        <w:tc>
          <w:tcPr>
            <w:tcW w:w="1485" w:type="dxa"/>
            <w:vMerge/>
            <w:vAlign w:val="center"/>
          </w:tcPr>
          <w:p w:rsidR="00B17240" w:rsidRPr="005A35D8" w:rsidRDefault="00B17240" w:rsidP="009C58C9">
            <w:pPr>
              <w:rPr>
                <w:sz w:val="20"/>
              </w:rPr>
            </w:pP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B1</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w:t>
            </w:r>
          </w:p>
        </w:tc>
        <w:tc>
          <w:tcPr>
            <w:tcW w:w="1566" w:type="dxa"/>
            <w:vMerge/>
            <w:vAlign w:val="center"/>
          </w:tcPr>
          <w:p w:rsidR="00B17240" w:rsidRPr="005A35D8" w:rsidRDefault="00B17240" w:rsidP="009C58C9">
            <w:pPr>
              <w:rPr>
                <w:sz w:val="20"/>
              </w:rPr>
            </w:pP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w:t>
            </w:r>
          </w:p>
        </w:tc>
        <w:tc>
          <w:tcPr>
            <w:tcW w:w="1485" w:type="dxa"/>
            <w:vMerge/>
            <w:vAlign w:val="center"/>
          </w:tcPr>
          <w:p w:rsidR="00B17240" w:rsidRPr="005A35D8" w:rsidRDefault="00B17240" w:rsidP="009C58C9">
            <w:pPr>
              <w:rPr>
                <w:sz w:val="20"/>
              </w:rPr>
            </w:pPr>
          </w:p>
        </w:tc>
        <w:tc>
          <w:tcPr>
            <w:tcW w:w="3710" w:type="dxa"/>
            <w:vMerge w:val="restart"/>
            <w:shd w:val="clear" w:color="auto" w:fill="D2B4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Hautement spéculatif</w:t>
            </w: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B2</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w:t>
            </w:r>
          </w:p>
        </w:tc>
        <w:tc>
          <w:tcPr>
            <w:tcW w:w="1566" w:type="dxa"/>
            <w:vMerge/>
            <w:vAlign w:val="center"/>
          </w:tcPr>
          <w:p w:rsidR="00B17240" w:rsidRPr="005A35D8" w:rsidRDefault="00B17240" w:rsidP="009C58C9">
            <w:pPr>
              <w:rPr>
                <w:sz w:val="20"/>
              </w:rPr>
            </w:pP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w:t>
            </w:r>
          </w:p>
        </w:tc>
        <w:tc>
          <w:tcPr>
            <w:tcW w:w="1485" w:type="dxa"/>
            <w:vMerge/>
            <w:vAlign w:val="center"/>
          </w:tcPr>
          <w:p w:rsidR="00B17240" w:rsidRPr="005A35D8" w:rsidRDefault="00B17240" w:rsidP="009C58C9">
            <w:pPr>
              <w:rPr>
                <w:sz w:val="20"/>
              </w:rPr>
            </w:pP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B3</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w:t>
            </w:r>
            <w:r w:rsidR="00D14880" w:rsidRPr="005A35D8">
              <w:rPr>
                <w:sz w:val="20"/>
              </w:rPr>
              <w:noBreakHyphen/>
            </w:r>
          </w:p>
        </w:tc>
        <w:tc>
          <w:tcPr>
            <w:tcW w:w="1566" w:type="dxa"/>
            <w:vMerge/>
            <w:vAlign w:val="center"/>
          </w:tcPr>
          <w:p w:rsidR="00B17240" w:rsidRPr="005A35D8" w:rsidRDefault="00B17240" w:rsidP="009C58C9">
            <w:pPr>
              <w:rPr>
                <w:sz w:val="20"/>
              </w:rPr>
            </w:pP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B</w:t>
            </w:r>
            <w:r w:rsidR="00D14880" w:rsidRPr="005A35D8">
              <w:rPr>
                <w:sz w:val="20"/>
              </w:rPr>
              <w:noBreakHyphen/>
            </w:r>
          </w:p>
        </w:tc>
        <w:tc>
          <w:tcPr>
            <w:tcW w:w="1485" w:type="dxa"/>
            <w:vMerge/>
            <w:vAlign w:val="center"/>
          </w:tcPr>
          <w:p w:rsidR="00B17240" w:rsidRPr="005A35D8" w:rsidRDefault="00B17240" w:rsidP="009C58C9">
            <w:pPr>
              <w:rPr>
                <w:sz w:val="20"/>
              </w:rPr>
            </w:pP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shd w:val="clear" w:color="auto" w:fill="F08080"/>
            <w:vAlign w:val="center"/>
          </w:tcPr>
          <w:p w:rsidR="00B17240" w:rsidRPr="005A35D8" w:rsidRDefault="00B17240" w:rsidP="009C58C9">
            <w:pPr>
              <w:jc w:val="center"/>
              <w:rPr>
                <w:sz w:val="20"/>
              </w:rPr>
            </w:pPr>
            <w:r w:rsidRPr="005A35D8">
              <w:rPr>
                <w:sz w:val="20"/>
              </w:rPr>
              <w:t>Caa1</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CCC+</w:t>
            </w:r>
          </w:p>
        </w:tc>
        <w:tc>
          <w:tcPr>
            <w:tcW w:w="1566" w:type="dxa"/>
            <w:vMerge w:val="restart"/>
            <w:shd w:val="clear" w:color="auto" w:fill="F0E6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C</w:t>
            </w:r>
          </w:p>
        </w:tc>
        <w:tc>
          <w:tcPr>
            <w:tcW w:w="1510" w:type="dxa"/>
            <w:vMerge w:val="restart"/>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CCC</w:t>
            </w:r>
          </w:p>
        </w:tc>
        <w:tc>
          <w:tcPr>
            <w:tcW w:w="1485" w:type="dxa"/>
            <w:vMerge w:val="restart"/>
            <w:shd w:val="clear" w:color="auto" w:fill="AFEEEE"/>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C</w:t>
            </w:r>
          </w:p>
        </w:tc>
        <w:tc>
          <w:tcPr>
            <w:tcW w:w="3710" w:type="dxa"/>
            <w:shd w:val="clear" w:color="auto" w:fill="D2B4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Risque substantiel</w:t>
            </w: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Caa2</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CCC</w:t>
            </w:r>
          </w:p>
        </w:tc>
        <w:tc>
          <w:tcPr>
            <w:tcW w:w="1566" w:type="dxa"/>
            <w:vMerge/>
            <w:vAlign w:val="center"/>
          </w:tcPr>
          <w:p w:rsidR="00B17240" w:rsidRPr="005A35D8" w:rsidRDefault="00B17240" w:rsidP="009C58C9">
            <w:pPr>
              <w:rPr>
                <w:sz w:val="20"/>
              </w:rPr>
            </w:pPr>
          </w:p>
        </w:tc>
        <w:tc>
          <w:tcPr>
            <w:tcW w:w="1510" w:type="dxa"/>
            <w:vMerge/>
            <w:vAlign w:val="center"/>
          </w:tcPr>
          <w:p w:rsidR="00B17240" w:rsidRPr="005A35D8" w:rsidRDefault="00B17240" w:rsidP="009C58C9">
            <w:pPr>
              <w:rPr>
                <w:sz w:val="20"/>
              </w:rPr>
            </w:pPr>
          </w:p>
        </w:tc>
        <w:tc>
          <w:tcPr>
            <w:tcW w:w="1485" w:type="dxa"/>
            <w:vMerge/>
            <w:vAlign w:val="center"/>
          </w:tcPr>
          <w:p w:rsidR="00B17240" w:rsidRPr="005A35D8" w:rsidRDefault="00B17240" w:rsidP="009C58C9">
            <w:pPr>
              <w:rPr>
                <w:sz w:val="20"/>
              </w:rPr>
            </w:pPr>
          </w:p>
        </w:tc>
        <w:tc>
          <w:tcPr>
            <w:tcW w:w="3710" w:type="dxa"/>
            <w:shd w:val="clear" w:color="auto" w:fill="D2B4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Extrêmement spéculatif</w:t>
            </w:r>
          </w:p>
        </w:tc>
      </w:tr>
      <w:tr w:rsidR="005A35D8" w:rsidRPr="005A35D8" w:rsidTr="009C58C9">
        <w:trPr>
          <w:tblCellSpacing w:w="15" w:type="dxa"/>
          <w:jc w:val="center"/>
        </w:trPr>
        <w:tc>
          <w:tcPr>
            <w:tcW w:w="1514" w:type="dxa"/>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Caa3</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CCC</w:t>
            </w:r>
            <w:r w:rsidR="00D14880" w:rsidRPr="005A35D8">
              <w:rPr>
                <w:sz w:val="20"/>
              </w:rPr>
              <w:noBreakHyphen/>
            </w:r>
          </w:p>
        </w:tc>
        <w:tc>
          <w:tcPr>
            <w:tcW w:w="1566" w:type="dxa"/>
            <w:vMerge/>
            <w:vAlign w:val="center"/>
          </w:tcPr>
          <w:p w:rsidR="00B17240" w:rsidRPr="005A35D8" w:rsidRDefault="00B17240" w:rsidP="009C58C9">
            <w:pPr>
              <w:rPr>
                <w:sz w:val="20"/>
              </w:rPr>
            </w:pPr>
          </w:p>
        </w:tc>
        <w:tc>
          <w:tcPr>
            <w:tcW w:w="1510" w:type="dxa"/>
            <w:vMerge/>
            <w:vAlign w:val="center"/>
          </w:tcPr>
          <w:p w:rsidR="00B17240" w:rsidRPr="005A35D8" w:rsidRDefault="00B17240" w:rsidP="009C58C9">
            <w:pPr>
              <w:rPr>
                <w:sz w:val="20"/>
              </w:rPr>
            </w:pPr>
          </w:p>
        </w:tc>
        <w:tc>
          <w:tcPr>
            <w:tcW w:w="1485" w:type="dxa"/>
            <w:vMerge/>
            <w:vAlign w:val="center"/>
          </w:tcPr>
          <w:p w:rsidR="00B17240" w:rsidRPr="005A35D8" w:rsidRDefault="00B17240" w:rsidP="009C58C9">
            <w:pPr>
              <w:rPr>
                <w:sz w:val="20"/>
              </w:rPr>
            </w:pPr>
          </w:p>
        </w:tc>
        <w:tc>
          <w:tcPr>
            <w:tcW w:w="3710" w:type="dxa"/>
            <w:vMerge w:val="restart"/>
            <w:shd w:val="clear" w:color="auto" w:fill="D2B4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En défaut avec faibles possibilités de recouvrement</w:t>
            </w:r>
          </w:p>
        </w:tc>
      </w:tr>
      <w:tr w:rsidR="005A35D8" w:rsidRPr="005A35D8" w:rsidTr="009C58C9">
        <w:trPr>
          <w:tblCellSpacing w:w="15" w:type="dxa"/>
          <w:jc w:val="center"/>
        </w:trPr>
        <w:tc>
          <w:tcPr>
            <w:tcW w:w="1514" w:type="dxa"/>
            <w:vMerge w:val="restart"/>
            <w:shd w:val="clear" w:color="auto" w:fill="F0808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Ca</w:t>
            </w: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CC</w:t>
            </w:r>
          </w:p>
        </w:tc>
        <w:tc>
          <w:tcPr>
            <w:tcW w:w="1566" w:type="dxa"/>
            <w:vMerge/>
            <w:vAlign w:val="center"/>
          </w:tcPr>
          <w:p w:rsidR="00B17240" w:rsidRPr="005A35D8" w:rsidRDefault="00B17240" w:rsidP="009C58C9">
            <w:pPr>
              <w:rPr>
                <w:sz w:val="20"/>
              </w:rPr>
            </w:pPr>
          </w:p>
        </w:tc>
        <w:tc>
          <w:tcPr>
            <w:tcW w:w="1510" w:type="dxa"/>
            <w:vMerge/>
            <w:vAlign w:val="center"/>
          </w:tcPr>
          <w:p w:rsidR="00B17240" w:rsidRPr="005A35D8" w:rsidRDefault="00B17240" w:rsidP="009C58C9">
            <w:pPr>
              <w:rPr>
                <w:sz w:val="20"/>
              </w:rPr>
            </w:pPr>
          </w:p>
        </w:tc>
        <w:tc>
          <w:tcPr>
            <w:tcW w:w="1485" w:type="dxa"/>
            <w:vMerge/>
            <w:vAlign w:val="center"/>
          </w:tcPr>
          <w:p w:rsidR="00B17240" w:rsidRPr="005A35D8" w:rsidRDefault="00B17240" w:rsidP="009C58C9">
            <w:pPr>
              <w:rPr>
                <w:sz w:val="20"/>
              </w:rPr>
            </w:pP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vMerge/>
            <w:vAlign w:val="center"/>
          </w:tcPr>
          <w:p w:rsidR="00B17240" w:rsidRPr="005A35D8" w:rsidRDefault="00B17240" w:rsidP="009C58C9">
            <w:pPr>
              <w:rPr>
                <w:sz w:val="20"/>
              </w:rPr>
            </w:pPr>
          </w:p>
        </w:tc>
        <w:tc>
          <w:tcPr>
            <w:tcW w:w="1629" w:type="dxa"/>
            <w:vMerge/>
            <w:vAlign w:val="center"/>
          </w:tcPr>
          <w:p w:rsidR="00B17240" w:rsidRPr="005A35D8" w:rsidRDefault="00B17240" w:rsidP="009C58C9">
            <w:pPr>
              <w:rPr>
                <w:sz w:val="20"/>
              </w:rPr>
            </w:pPr>
          </w:p>
        </w:tc>
        <w:tc>
          <w:tcPr>
            <w:tcW w:w="1698" w:type="dxa"/>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C</w:t>
            </w:r>
          </w:p>
        </w:tc>
        <w:tc>
          <w:tcPr>
            <w:tcW w:w="1566" w:type="dxa"/>
            <w:vMerge/>
            <w:vAlign w:val="center"/>
          </w:tcPr>
          <w:p w:rsidR="00B17240" w:rsidRPr="005A35D8" w:rsidRDefault="00B17240" w:rsidP="009C58C9">
            <w:pPr>
              <w:rPr>
                <w:sz w:val="20"/>
              </w:rPr>
            </w:pPr>
          </w:p>
        </w:tc>
        <w:tc>
          <w:tcPr>
            <w:tcW w:w="1510" w:type="dxa"/>
            <w:vMerge/>
            <w:vAlign w:val="center"/>
          </w:tcPr>
          <w:p w:rsidR="00B17240" w:rsidRPr="005A35D8" w:rsidRDefault="00B17240" w:rsidP="009C58C9">
            <w:pPr>
              <w:rPr>
                <w:sz w:val="20"/>
              </w:rPr>
            </w:pPr>
          </w:p>
        </w:tc>
        <w:tc>
          <w:tcPr>
            <w:tcW w:w="1485" w:type="dxa"/>
            <w:vMerge/>
            <w:vAlign w:val="center"/>
          </w:tcPr>
          <w:p w:rsidR="00B17240" w:rsidRPr="005A35D8" w:rsidRDefault="00B17240" w:rsidP="009C58C9">
            <w:pPr>
              <w:rPr>
                <w:sz w:val="20"/>
              </w:rPr>
            </w:pPr>
          </w:p>
        </w:tc>
        <w:tc>
          <w:tcPr>
            <w:tcW w:w="3710" w:type="dxa"/>
            <w:vMerge/>
            <w:vAlign w:val="center"/>
          </w:tcPr>
          <w:p w:rsidR="00B17240" w:rsidRPr="005A35D8" w:rsidRDefault="00B17240" w:rsidP="009C58C9">
            <w:pPr>
              <w:rPr>
                <w:sz w:val="20"/>
              </w:rPr>
            </w:pPr>
          </w:p>
        </w:tc>
      </w:tr>
      <w:tr w:rsidR="005A35D8" w:rsidRPr="005A35D8" w:rsidTr="009C58C9">
        <w:trPr>
          <w:tblCellSpacing w:w="15" w:type="dxa"/>
          <w:jc w:val="center"/>
        </w:trPr>
        <w:tc>
          <w:tcPr>
            <w:tcW w:w="1514" w:type="dxa"/>
            <w:shd w:val="clear" w:color="auto" w:fill="F08080"/>
            <w:vAlign w:val="center"/>
          </w:tcPr>
          <w:p w:rsidR="00B17240" w:rsidRPr="005A35D8" w:rsidRDefault="00B17240" w:rsidP="009C58C9">
            <w:pPr>
              <w:jc w:val="center"/>
              <w:rPr>
                <w:sz w:val="20"/>
              </w:rPr>
            </w:pPr>
            <w:r w:rsidRPr="005A35D8">
              <w:rPr>
                <w:sz w:val="20"/>
              </w:rPr>
              <w:t>C</w:t>
            </w:r>
          </w:p>
        </w:tc>
        <w:tc>
          <w:tcPr>
            <w:tcW w:w="1629" w:type="dxa"/>
            <w:vMerge/>
            <w:vAlign w:val="center"/>
          </w:tcPr>
          <w:p w:rsidR="00B17240" w:rsidRPr="005A35D8" w:rsidRDefault="00B17240" w:rsidP="009C58C9">
            <w:pPr>
              <w:rPr>
                <w:sz w:val="20"/>
              </w:rPr>
            </w:pPr>
          </w:p>
        </w:tc>
        <w:tc>
          <w:tcPr>
            <w:tcW w:w="1698" w:type="dxa"/>
            <w:vMerge w:val="restart"/>
            <w:shd w:val="clear" w:color="auto" w:fill="FFFF00"/>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D</w:t>
            </w:r>
          </w:p>
        </w:tc>
        <w:tc>
          <w:tcPr>
            <w:tcW w:w="1566" w:type="dxa"/>
            <w:vMerge w:val="restart"/>
            <w:shd w:val="clear" w:color="auto" w:fill="F0E6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w:t>
            </w:r>
          </w:p>
        </w:tc>
        <w:tc>
          <w:tcPr>
            <w:tcW w:w="1510" w:type="dxa"/>
            <w:shd w:val="clear" w:color="auto" w:fill="1E90FF"/>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DDD</w:t>
            </w:r>
          </w:p>
        </w:tc>
        <w:tc>
          <w:tcPr>
            <w:tcW w:w="1485" w:type="dxa"/>
            <w:vMerge w:val="restart"/>
            <w:shd w:val="clear" w:color="auto" w:fill="AFEEEE"/>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w:t>
            </w:r>
          </w:p>
        </w:tc>
        <w:tc>
          <w:tcPr>
            <w:tcW w:w="3710" w:type="dxa"/>
            <w:vMerge w:val="restart"/>
            <w:shd w:val="clear" w:color="auto" w:fill="D2B48C"/>
            <w:tcMar>
              <w:top w:w="15" w:type="dxa"/>
              <w:left w:w="15" w:type="dxa"/>
              <w:bottom w:w="15" w:type="dxa"/>
              <w:right w:w="15" w:type="dxa"/>
            </w:tcMar>
            <w:vAlign w:val="center"/>
          </w:tcPr>
          <w:p w:rsidR="00B17240" w:rsidRPr="005A35D8" w:rsidRDefault="00B17240" w:rsidP="009C58C9">
            <w:pPr>
              <w:jc w:val="center"/>
              <w:rPr>
                <w:sz w:val="20"/>
              </w:rPr>
            </w:pPr>
            <w:r w:rsidRPr="005A35D8">
              <w:rPr>
                <w:sz w:val="20"/>
              </w:rPr>
              <w:t>En défaut</w:t>
            </w:r>
          </w:p>
        </w:tc>
      </w:tr>
      <w:tr w:rsidR="005A35D8" w:rsidRPr="005A35D8" w:rsidTr="009C58C9">
        <w:trPr>
          <w:tblCellSpacing w:w="15" w:type="dxa"/>
          <w:jc w:val="center"/>
        </w:trPr>
        <w:tc>
          <w:tcPr>
            <w:tcW w:w="1514" w:type="dxa"/>
            <w:shd w:val="clear" w:color="auto" w:fill="FF7C80"/>
            <w:tcMar>
              <w:top w:w="15" w:type="dxa"/>
              <w:left w:w="15" w:type="dxa"/>
              <w:bottom w:w="15" w:type="dxa"/>
              <w:right w:w="15" w:type="dxa"/>
            </w:tcMar>
            <w:vAlign w:val="center"/>
          </w:tcPr>
          <w:p w:rsidR="00B17240" w:rsidRPr="005A35D8" w:rsidRDefault="00B17240" w:rsidP="009C58C9">
            <w:pPr>
              <w:jc w:val="center"/>
              <w:rPr>
                <w:sz w:val="20"/>
              </w:rPr>
            </w:pPr>
          </w:p>
        </w:tc>
        <w:tc>
          <w:tcPr>
            <w:tcW w:w="1629" w:type="dxa"/>
            <w:vMerge/>
            <w:vAlign w:val="center"/>
          </w:tcPr>
          <w:p w:rsidR="00B17240" w:rsidRPr="005A35D8" w:rsidRDefault="00B17240" w:rsidP="009C58C9">
            <w:pPr>
              <w:rPr>
                <w:sz w:val="20"/>
              </w:rPr>
            </w:pPr>
          </w:p>
        </w:tc>
        <w:tc>
          <w:tcPr>
            <w:tcW w:w="1698" w:type="dxa"/>
            <w:vMerge/>
            <w:vAlign w:val="center"/>
          </w:tcPr>
          <w:p w:rsidR="00B17240" w:rsidRPr="005A35D8" w:rsidRDefault="00B17240" w:rsidP="009C58C9">
            <w:pPr>
              <w:rPr>
                <w:sz w:val="20"/>
              </w:rPr>
            </w:pPr>
          </w:p>
        </w:tc>
        <w:tc>
          <w:tcPr>
            <w:tcW w:w="1566" w:type="dxa"/>
            <w:vMerge/>
            <w:vAlign w:val="center"/>
          </w:tcPr>
          <w:p w:rsidR="00B17240" w:rsidRPr="005A35D8" w:rsidRDefault="00B17240" w:rsidP="009C58C9">
            <w:pPr>
              <w:rPr>
                <w:sz w:val="20"/>
              </w:rPr>
            </w:pPr>
          </w:p>
        </w:tc>
        <w:tc>
          <w:tcPr>
            <w:tcW w:w="1510" w:type="dxa"/>
            <w:shd w:val="clear" w:color="auto" w:fill="3399FF"/>
            <w:tcMar>
              <w:top w:w="15" w:type="dxa"/>
              <w:left w:w="15" w:type="dxa"/>
              <w:bottom w:w="15" w:type="dxa"/>
              <w:right w:w="15" w:type="dxa"/>
            </w:tcMar>
            <w:vAlign w:val="center"/>
          </w:tcPr>
          <w:p w:rsidR="00B17240" w:rsidRPr="005A35D8" w:rsidRDefault="00B17240" w:rsidP="009C58C9">
            <w:pPr>
              <w:rPr>
                <w:sz w:val="20"/>
              </w:rPr>
            </w:pPr>
          </w:p>
        </w:tc>
        <w:tc>
          <w:tcPr>
            <w:tcW w:w="1485" w:type="dxa"/>
            <w:vMerge/>
            <w:vAlign w:val="center"/>
          </w:tcPr>
          <w:p w:rsidR="00B17240" w:rsidRPr="005A35D8" w:rsidRDefault="00B17240" w:rsidP="009C58C9">
            <w:pPr>
              <w:rPr>
                <w:sz w:val="20"/>
              </w:rPr>
            </w:pPr>
          </w:p>
        </w:tc>
        <w:tc>
          <w:tcPr>
            <w:tcW w:w="3710" w:type="dxa"/>
            <w:vMerge/>
            <w:vAlign w:val="center"/>
          </w:tcPr>
          <w:p w:rsidR="00B17240" w:rsidRPr="005A35D8" w:rsidRDefault="00B17240" w:rsidP="009C58C9">
            <w:pPr>
              <w:rPr>
                <w:sz w:val="20"/>
              </w:rPr>
            </w:pPr>
          </w:p>
        </w:tc>
      </w:tr>
    </w:tbl>
    <w:p w:rsidR="00B17240" w:rsidRPr="005A35D8" w:rsidRDefault="00B17240" w:rsidP="00B17240">
      <w:pPr>
        <w:rPr>
          <w:rFonts w:eastAsia="Times New Roman"/>
          <w:sz w:val="4"/>
          <w:szCs w:val="18"/>
          <w:lang w:eastAsia="en-US"/>
        </w:rPr>
      </w:pPr>
    </w:p>
    <w:p w:rsidR="00D14880" w:rsidRPr="005A35D8" w:rsidRDefault="00B17240" w:rsidP="00A476B7">
      <w:pPr>
        <w:rPr>
          <w:rFonts w:eastAsia="Times New Roman"/>
          <w:sz w:val="21"/>
          <w:szCs w:val="21"/>
          <w:lang w:eastAsia="en-US"/>
        </w:rPr>
      </w:pPr>
      <w:r w:rsidRPr="005A35D8">
        <w:rPr>
          <w:rStyle w:val="hps"/>
          <w:sz w:val="21"/>
          <w:szCs w:val="21"/>
        </w:rPr>
        <w:t>À titre exceptionnel</w:t>
      </w:r>
      <w:r w:rsidRPr="005A35D8">
        <w:rPr>
          <w:sz w:val="21"/>
          <w:szCs w:val="21"/>
        </w:rPr>
        <w:t xml:space="preserve">, </w:t>
      </w:r>
      <w:r w:rsidRPr="005A35D8">
        <w:rPr>
          <w:rStyle w:val="hps"/>
          <w:sz w:val="21"/>
          <w:szCs w:val="21"/>
        </w:rPr>
        <w:t>des agences indépendantes</w:t>
      </w:r>
      <w:r w:rsidRPr="005A35D8">
        <w:rPr>
          <w:sz w:val="21"/>
          <w:szCs w:val="21"/>
        </w:rPr>
        <w:t xml:space="preserve"> </w:t>
      </w:r>
      <w:r w:rsidRPr="005A35D8">
        <w:rPr>
          <w:rStyle w:val="hps"/>
          <w:sz w:val="21"/>
          <w:szCs w:val="21"/>
        </w:rPr>
        <w:t>équivalentes peuvent</w:t>
      </w:r>
      <w:r w:rsidRPr="005A35D8">
        <w:rPr>
          <w:sz w:val="21"/>
          <w:szCs w:val="21"/>
        </w:rPr>
        <w:t xml:space="preserve"> </w:t>
      </w:r>
      <w:r w:rsidRPr="005A35D8">
        <w:rPr>
          <w:rStyle w:val="hps"/>
          <w:sz w:val="21"/>
          <w:szCs w:val="21"/>
        </w:rPr>
        <w:t>fournir des</w:t>
      </w:r>
      <w:r w:rsidRPr="005A35D8">
        <w:rPr>
          <w:sz w:val="21"/>
          <w:szCs w:val="21"/>
        </w:rPr>
        <w:t xml:space="preserve"> </w:t>
      </w:r>
      <w:r w:rsidRPr="005A35D8">
        <w:rPr>
          <w:rStyle w:val="hps"/>
          <w:sz w:val="21"/>
          <w:szCs w:val="21"/>
        </w:rPr>
        <w:t>notations</w:t>
      </w:r>
      <w:r w:rsidRPr="005A35D8">
        <w:rPr>
          <w:sz w:val="21"/>
          <w:szCs w:val="21"/>
        </w:rPr>
        <w:t xml:space="preserve"> </w:t>
      </w:r>
      <w:r w:rsidRPr="005A35D8">
        <w:rPr>
          <w:rStyle w:val="hps"/>
          <w:sz w:val="21"/>
          <w:szCs w:val="21"/>
        </w:rPr>
        <w:t>pour les titres</w:t>
      </w:r>
      <w:r w:rsidRPr="005A35D8">
        <w:rPr>
          <w:sz w:val="21"/>
          <w:szCs w:val="21"/>
        </w:rPr>
        <w:t xml:space="preserve"> </w:t>
      </w:r>
      <w:r w:rsidRPr="005A35D8">
        <w:rPr>
          <w:rStyle w:val="hps"/>
          <w:sz w:val="21"/>
          <w:szCs w:val="21"/>
        </w:rPr>
        <w:t>qui ne sont notés</w:t>
      </w:r>
      <w:r w:rsidRPr="005A35D8">
        <w:rPr>
          <w:sz w:val="21"/>
          <w:szCs w:val="21"/>
        </w:rPr>
        <w:t xml:space="preserve"> </w:t>
      </w:r>
      <w:r w:rsidRPr="005A35D8">
        <w:rPr>
          <w:rStyle w:val="hps"/>
          <w:sz w:val="21"/>
          <w:szCs w:val="21"/>
        </w:rPr>
        <w:t>par aucune des</w:t>
      </w:r>
      <w:r w:rsidRPr="005A35D8">
        <w:rPr>
          <w:sz w:val="21"/>
          <w:szCs w:val="21"/>
        </w:rPr>
        <w:t xml:space="preserve"> trois </w:t>
      </w:r>
      <w:r w:rsidRPr="005A35D8">
        <w:rPr>
          <w:rStyle w:val="hps"/>
          <w:sz w:val="21"/>
          <w:szCs w:val="21"/>
        </w:rPr>
        <w:t>agences agréées</w:t>
      </w:r>
      <w:r w:rsidRPr="005A35D8">
        <w:rPr>
          <w:sz w:val="21"/>
          <w:szCs w:val="21"/>
        </w:rPr>
        <w:t xml:space="preserve">. </w:t>
      </w:r>
      <w:r w:rsidR="00085D20" w:rsidRPr="005A35D8">
        <w:rPr>
          <w:sz w:val="21"/>
          <w:szCs w:val="21"/>
        </w:rPr>
        <w:t xml:space="preserve"> </w:t>
      </w:r>
      <w:r w:rsidRPr="005A35D8">
        <w:rPr>
          <w:rStyle w:val="hps"/>
          <w:sz w:val="21"/>
          <w:szCs w:val="21"/>
        </w:rPr>
        <w:t>Le recours à d</w:t>
      </w:r>
      <w:r w:rsidR="00295456" w:rsidRPr="005A35D8">
        <w:rPr>
          <w:rStyle w:val="hps"/>
          <w:sz w:val="21"/>
          <w:szCs w:val="21"/>
        </w:rPr>
        <w:t>’</w:t>
      </w:r>
      <w:r w:rsidRPr="005A35D8">
        <w:rPr>
          <w:rStyle w:val="hps"/>
          <w:sz w:val="21"/>
          <w:szCs w:val="21"/>
        </w:rPr>
        <w:t>autres services de</w:t>
      </w:r>
      <w:r w:rsidRPr="005A35D8">
        <w:rPr>
          <w:sz w:val="21"/>
          <w:szCs w:val="21"/>
        </w:rPr>
        <w:t xml:space="preserve"> </w:t>
      </w:r>
      <w:r w:rsidRPr="005A35D8">
        <w:rPr>
          <w:rStyle w:val="hps"/>
          <w:sz w:val="21"/>
          <w:szCs w:val="21"/>
        </w:rPr>
        <w:t>notation</w:t>
      </w:r>
      <w:r w:rsidRPr="005A35D8">
        <w:rPr>
          <w:sz w:val="21"/>
          <w:szCs w:val="21"/>
        </w:rPr>
        <w:t xml:space="preserve"> que ceux des trois agences </w:t>
      </w:r>
      <w:r w:rsidRPr="005A35D8">
        <w:rPr>
          <w:rStyle w:val="hps"/>
          <w:sz w:val="21"/>
          <w:szCs w:val="21"/>
        </w:rPr>
        <w:t>agréées</w:t>
      </w:r>
      <w:r w:rsidRPr="005A35D8">
        <w:rPr>
          <w:sz w:val="21"/>
          <w:szCs w:val="21"/>
        </w:rPr>
        <w:t xml:space="preserve"> </w:t>
      </w:r>
      <w:r w:rsidRPr="005A35D8">
        <w:rPr>
          <w:rStyle w:val="hps"/>
          <w:sz w:val="21"/>
          <w:szCs w:val="21"/>
        </w:rPr>
        <w:t>n</w:t>
      </w:r>
      <w:r w:rsidR="00295456" w:rsidRPr="005A35D8">
        <w:rPr>
          <w:rStyle w:val="hps"/>
          <w:sz w:val="21"/>
          <w:szCs w:val="21"/>
        </w:rPr>
        <w:t>’</w:t>
      </w:r>
      <w:r w:rsidRPr="005A35D8">
        <w:rPr>
          <w:rStyle w:val="hps"/>
          <w:sz w:val="21"/>
          <w:szCs w:val="21"/>
        </w:rPr>
        <w:t>est autorisé que</w:t>
      </w:r>
      <w:r w:rsidRPr="005A35D8">
        <w:rPr>
          <w:sz w:val="21"/>
          <w:szCs w:val="21"/>
        </w:rPr>
        <w:t xml:space="preserve"> </w:t>
      </w:r>
      <w:r w:rsidRPr="005A35D8">
        <w:rPr>
          <w:rStyle w:val="hps"/>
          <w:sz w:val="21"/>
          <w:szCs w:val="21"/>
        </w:rPr>
        <w:t>dans la mesure où</w:t>
      </w:r>
      <w:r w:rsidRPr="005A35D8">
        <w:rPr>
          <w:sz w:val="21"/>
          <w:szCs w:val="21"/>
        </w:rPr>
        <w:t xml:space="preserve"> </w:t>
      </w:r>
      <w:r w:rsidRPr="005A35D8">
        <w:rPr>
          <w:rStyle w:val="hps"/>
          <w:sz w:val="21"/>
          <w:szCs w:val="21"/>
        </w:rPr>
        <w:t>le service</w:t>
      </w:r>
      <w:r w:rsidRPr="005A35D8">
        <w:rPr>
          <w:sz w:val="21"/>
          <w:szCs w:val="21"/>
        </w:rPr>
        <w:t xml:space="preserve"> </w:t>
      </w:r>
      <w:r w:rsidRPr="005A35D8">
        <w:rPr>
          <w:rStyle w:val="hps"/>
          <w:sz w:val="21"/>
          <w:szCs w:val="21"/>
        </w:rPr>
        <w:t>de notation</w:t>
      </w:r>
      <w:r w:rsidRPr="005A35D8">
        <w:rPr>
          <w:sz w:val="21"/>
          <w:szCs w:val="21"/>
        </w:rPr>
        <w:t xml:space="preserve"> </w:t>
      </w:r>
      <w:r w:rsidRPr="005A35D8">
        <w:rPr>
          <w:rStyle w:val="hps"/>
          <w:sz w:val="21"/>
          <w:szCs w:val="21"/>
        </w:rPr>
        <w:t>de remplacement</w:t>
      </w:r>
      <w:r w:rsidRPr="005A35D8">
        <w:rPr>
          <w:sz w:val="21"/>
          <w:szCs w:val="21"/>
        </w:rPr>
        <w:t xml:space="preserve"> </w:t>
      </w:r>
      <w:r w:rsidRPr="005A35D8">
        <w:rPr>
          <w:rStyle w:val="hps"/>
          <w:sz w:val="21"/>
          <w:szCs w:val="21"/>
        </w:rPr>
        <w:t>semble être</w:t>
      </w:r>
      <w:r w:rsidRPr="005A35D8">
        <w:rPr>
          <w:sz w:val="21"/>
          <w:szCs w:val="21"/>
        </w:rPr>
        <w:t xml:space="preserve"> </w:t>
      </w:r>
      <w:r w:rsidRPr="005A35D8">
        <w:rPr>
          <w:rStyle w:val="hps"/>
          <w:sz w:val="21"/>
          <w:szCs w:val="21"/>
        </w:rPr>
        <w:t>objectif et indépendant</w:t>
      </w:r>
      <w:r w:rsidRPr="005A35D8">
        <w:rPr>
          <w:sz w:val="21"/>
          <w:szCs w:val="21"/>
        </w:rPr>
        <w:t xml:space="preserve"> </w:t>
      </w:r>
      <w:r w:rsidRPr="005A35D8">
        <w:rPr>
          <w:rStyle w:val="hps"/>
          <w:sz w:val="21"/>
          <w:szCs w:val="21"/>
        </w:rPr>
        <w:t>dans son analyse</w:t>
      </w:r>
      <w:r w:rsidR="00490611" w:rsidRPr="005A35D8">
        <w:rPr>
          <w:rFonts w:eastAsia="Times New Roman"/>
          <w:sz w:val="21"/>
          <w:szCs w:val="21"/>
          <w:lang w:eastAsia="en-US"/>
        </w:rPr>
        <w:t>.</w:t>
      </w:r>
    </w:p>
    <w:p w:rsidR="00A476B7" w:rsidRPr="005A35D8" w:rsidRDefault="00A476B7" w:rsidP="00A476B7">
      <w:pPr>
        <w:rPr>
          <w:sz w:val="14"/>
          <w:szCs w:val="21"/>
        </w:rPr>
      </w:pPr>
    </w:p>
    <w:p w:rsidR="00490611" w:rsidRPr="005A35D8" w:rsidRDefault="00763075" w:rsidP="00A476B7">
      <w:pPr>
        <w:pStyle w:val="Endofdocument-Annex"/>
        <w:ind w:left="9639"/>
        <w:rPr>
          <w:sz w:val="21"/>
          <w:szCs w:val="21"/>
        </w:rPr>
      </w:pPr>
      <w:r w:rsidRPr="005A35D8">
        <w:rPr>
          <w:sz w:val="21"/>
          <w:szCs w:val="21"/>
        </w:rPr>
        <w:t>[</w:t>
      </w:r>
      <w:r w:rsidR="006F2FDA" w:rsidRPr="005A35D8">
        <w:rPr>
          <w:sz w:val="21"/>
          <w:szCs w:val="21"/>
        </w:rPr>
        <w:t>Fin de l</w:t>
      </w:r>
      <w:r w:rsidR="00295456" w:rsidRPr="005A35D8">
        <w:rPr>
          <w:sz w:val="21"/>
          <w:szCs w:val="21"/>
        </w:rPr>
        <w:t>’</w:t>
      </w:r>
      <w:r w:rsidR="006F2FDA" w:rsidRPr="005A35D8">
        <w:rPr>
          <w:sz w:val="21"/>
          <w:szCs w:val="21"/>
        </w:rPr>
        <w:t>annexe</w:t>
      </w:r>
      <w:r w:rsidR="00085D20" w:rsidRPr="005A35D8">
        <w:rPr>
          <w:sz w:val="21"/>
          <w:szCs w:val="21"/>
        </w:rPr>
        <w:t> </w:t>
      </w:r>
      <w:r w:rsidR="006F2FDA" w:rsidRPr="005A35D8">
        <w:rPr>
          <w:sz w:val="21"/>
          <w:szCs w:val="21"/>
        </w:rPr>
        <w:t>II et du document</w:t>
      </w:r>
      <w:r w:rsidRPr="005A35D8">
        <w:rPr>
          <w:sz w:val="21"/>
          <w:szCs w:val="21"/>
        </w:rPr>
        <w:t>]</w:t>
      </w:r>
    </w:p>
    <w:sectPr w:rsidR="00490611" w:rsidRPr="005A35D8" w:rsidSect="00295456">
      <w:headerReference w:type="default" r:id="rId22"/>
      <w:headerReference w:type="first" r:id="rId23"/>
      <w:footerReference w:type="first" r:id="rId24"/>
      <w:endnotePr>
        <w:numFmt w:val="decimal"/>
      </w:endnotePr>
      <w:pgSz w:w="16840" w:h="11907" w:orient="landscape" w:code="9"/>
      <w:pgMar w:top="1008" w:right="562" w:bottom="245" w:left="1411" w:header="504" w:footer="102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448" w:rsidRDefault="00630448">
      <w:r>
        <w:separator/>
      </w:r>
    </w:p>
  </w:endnote>
  <w:endnote w:type="continuationSeparator" w:id="0">
    <w:p w:rsidR="00630448" w:rsidRDefault="00630448" w:rsidP="003B38C1">
      <w:r>
        <w:separator/>
      </w:r>
    </w:p>
    <w:p w:rsidR="00630448" w:rsidRPr="009B626A" w:rsidRDefault="00630448" w:rsidP="003B38C1">
      <w:pPr>
        <w:spacing w:after="60"/>
        <w:rPr>
          <w:sz w:val="17"/>
          <w:lang w:val="en-GB"/>
        </w:rPr>
      </w:pPr>
      <w:r w:rsidRPr="009B626A">
        <w:rPr>
          <w:sz w:val="17"/>
          <w:lang w:val="en-GB"/>
        </w:rPr>
        <w:t>[Endnote continued from previous page]</w:t>
      </w:r>
    </w:p>
  </w:endnote>
  <w:endnote w:type="continuationNotice" w:id="1">
    <w:p w:rsidR="00630448" w:rsidRPr="009B626A" w:rsidRDefault="00630448" w:rsidP="003B38C1">
      <w:pPr>
        <w:spacing w:before="60"/>
        <w:jc w:val="right"/>
        <w:rPr>
          <w:sz w:val="17"/>
          <w:szCs w:val="17"/>
          <w:lang w:val="en-GB"/>
        </w:rPr>
      </w:pPr>
      <w:r w:rsidRPr="009B626A">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448" w:rsidRPr="00D14880" w:rsidRDefault="00630448" w:rsidP="00D14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448" w:rsidRPr="00D14880" w:rsidRDefault="00630448" w:rsidP="00D148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448" w:rsidRPr="00D14880" w:rsidRDefault="00630448" w:rsidP="00D148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448" w:rsidRPr="00D14880" w:rsidRDefault="00630448" w:rsidP="00D14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448" w:rsidRDefault="00630448">
      <w:r>
        <w:separator/>
      </w:r>
    </w:p>
  </w:footnote>
  <w:footnote w:type="continuationSeparator" w:id="0">
    <w:p w:rsidR="00630448" w:rsidRDefault="00630448" w:rsidP="008B60B2">
      <w:r>
        <w:separator/>
      </w:r>
    </w:p>
    <w:p w:rsidR="00630448" w:rsidRPr="009B626A" w:rsidRDefault="00630448" w:rsidP="008B60B2">
      <w:pPr>
        <w:spacing w:after="60"/>
        <w:rPr>
          <w:sz w:val="17"/>
          <w:szCs w:val="17"/>
          <w:lang w:val="en-GB"/>
        </w:rPr>
      </w:pPr>
      <w:r w:rsidRPr="009B626A">
        <w:rPr>
          <w:sz w:val="17"/>
          <w:szCs w:val="17"/>
          <w:lang w:val="en-GB"/>
        </w:rPr>
        <w:t>[Footnote continued from previous page]</w:t>
      </w:r>
    </w:p>
  </w:footnote>
  <w:footnote w:type="continuationNotice" w:id="1">
    <w:p w:rsidR="00630448" w:rsidRPr="009B626A" w:rsidRDefault="00630448" w:rsidP="008B60B2">
      <w:pPr>
        <w:spacing w:before="60"/>
        <w:jc w:val="right"/>
        <w:rPr>
          <w:sz w:val="17"/>
          <w:szCs w:val="17"/>
          <w:lang w:val="en-GB"/>
        </w:rPr>
      </w:pPr>
      <w:r w:rsidRPr="009B626A">
        <w:rPr>
          <w:sz w:val="17"/>
          <w:szCs w:val="17"/>
          <w:lang w:val="en-GB"/>
        </w:rPr>
        <w:t>[Footnote continued on next page]</w:t>
      </w:r>
    </w:p>
  </w:footnote>
  <w:footnote w:id="2">
    <w:p w:rsidR="00630448" w:rsidRPr="005A35D8" w:rsidRDefault="00630448" w:rsidP="00630448">
      <w:pPr>
        <w:rPr>
          <w:sz w:val="18"/>
        </w:rPr>
      </w:pPr>
      <w:r w:rsidRPr="005A35D8">
        <w:rPr>
          <w:rStyle w:val="FootnoteReference"/>
          <w:sz w:val="18"/>
        </w:rPr>
        <w:footnoteRef/>
      </w:r>
      <w:r w:rsidRPr="005A35D8">
        <w:rPr>
          <w:sz w:val="18"/>
        </w:rPr>
        <w:t xml:space="preserve"> </w:t>
      </w:r>
      <w:r w:rsidRPr="005A35D8">
        <w:rPr>
          <w:sz w:val="18"/>
        </w:rPr>
        <w:tab/>
      </w:r>
      <w:r w:rsidRPr="005A35D8">
        <w:rPr>
          <w:rStyle w:val="hps"/>
          <w:sz w:val="18"/>
        </w:rPr>
        <w:t>Les normes GIPS</w:t>
      </w:r>
      <w:r w:rsidRPr="005A35D8">
        <w:rPr>
          <w:sz w:val="18"/>
        </w:rPr>
        <w:t xml:space="preserve"> </w:t>
      </w:r>
      <w:r w:rsidRPr="005A35D8">
        <w:rPr>
          <w:rStyle w:val="hps"/>
          <w:sz w:val="18"/>
        </w:rPr>
        <w:t>sont</w:t>
      </w:r>
      <w:r w:rsidRPr="005A35D8">
        <w:rPr>
          <w:sz w:val="18"/>
        </w:rPr>
        <w:t xml:space="preserve"> </w:t>
      </w:r>
      <w:r w:rsidRPr="005A35D8">
        <w:rPr>
          <w:rStyle w:val="hps"/>
          <w:sz w:val="18"/>
        </w:rPr>
        <w:t>un ensemble de</w:t>
      </w:r>
      <w:r w:rsidRPr="005A35D8">
        <w:rPr>
          <w:sz w:val="18"/>
        </w:rPr>
        <w:t xml:space="preserve"> </w:t>
      </w:r>
      <w:r w:rsidRPr="005A35D8">
        <w:rPr>
          <w:rStyle w:val="hps"/>
          <w:sz w:val="18"/>
        </w:rPr>
        <w:t>principes éthiques</w:t>
      </w:r>
      <w:r w:rsidRPr="005A35D8">
        <w:rPr>
          <w:sz w:val="18"/>
        </w:rPr>
        <w:t xml:space="preserve"> sectoriels </w:t>
      </w:r>
      <w:r w:rsidRPr="005A35D8">
        <w:rPr>
          <w:rStyle w:val="hps"/>
          <w:sz w:val="18"/>
        </w:rPr>
        <w:t>normalisés</w:t>
      </w:r>
      <w:r w:rsidRPr="005A35D8">
        <w:rPr>
          <w:sz w:val="18"/>
        </w:rPr>
        <w:t xml:space="preserve"> </w:t>
      </w:r>
      <w:r w:rsidRPr="005A35D8">
        <w:rPr>
          <w:rStyle w:val="hps"/>
          <w:sz w:val="18"/>
        </w:rPr>
        <w:t>qui fournissent aux</w:t>
      </w:r>
      <w:r w:rsidRPr="005A35D8">
        <w:rPr>
          <w:sz w:val="18"/>
        </w:rPr>
        <w:t xml:space="preserve"> </w:t>
      </w:r>
      <w:r w:rsidRPr="005A35D8">
        <w:rPr>
          <w:rStyle w:val="hps"/>
          <w:sz w:val="18"/>
        </w:rPr>
        <w:t>sociétés de placement</w:t>
      </w:r>
      <w:r w:rsidRPr="005A35D8">
        <w:rPr>
          <w:sz w:val="18"/>
        </w:rPr>
        <w:t xml:space="preserve"> </w:t>
      </w:r>
      <w:r w:rsidRPr="005A35D8">
        <w:rPr>
          <w:rStyle w:val="hps"/>
          <w:sz w:val="18"/>
        </w:rPr>
        <w:t>des orientations sur</w:t>
      </w:r>
      <w:r w:rsidRPr="005A35D8">
        <w:rPr>
          <w:sz w:val="18"/>
        </w:rPr>
        <w:t xml:space="preserve"> </w:t>
      </w:r>
      <w:r w:rsidRPr="005A35D8">
        <w:rPr>
          <w:rStyle w:val="hps"/>
          <w:sz w:val="18"/>
        </w:rPr>
        <w:t>la façon de calculer</w:t>
      </w:r>
      <w:r w:rsidRPr="005A35D8">
        <w:rPr>
          <w:sz w:val="18"/>
        </w:rPr>
        <w:t xml:space="preserve"> </w:t>
      </w:r>
      <w:r w:rsidRPr="005A35D8">
        <w:rPr>
          <w:rStyle w:val="hps"/>
          <w:sz w:val="18"/>
        </w:rPr>
        <w:t>les</w:t>
      </w:r>
      <w:r w:rsidRPr="005A35D8">
        <w:rPr>
          <w:sz w:val="18"/>
        </w:rPr>
        <w:t xml:space="preserve"> </w:t>
      </w:r>
      <w:r w:rsidRPr="005A35D8">
        <w:rPr>
          <w:rStyle w:val="hps"/>
          <w:sz w:val="18"/>
        </w:rPr>
        <w:t>résultats de leurs placement</w:t>
      </w:r>
      <w:r w:rsidRPr="005A35D8">
        <w:rPr>
          <w:sz w:val="18"/>
        </w:rPr>
        <w:t xml:space="preserve">s </w:t>
      </w:r>
      <w:r w:rsidRPr="005A35D8">
        <w:rPr>
          <w:rStyle w:val="hps"/>
          <w:sz w:val="18"/>
        </w:rPr>
        <w:t>et de présenter ces résultats à des clients potentiels</w:t>
      </w:r>
      <w:r w:rsidRPr="005A35D8">
        <w:rPr>
          <w:sz w:val="18"/>
        </w:rPr>
        <w:t>.</w:t>
      </w:r>
    </w:p>
  </w:footnote>
  <w:footnote w:id="3">
    <w:p w:rsidR="00630448" w:rsidRPr="005A35D8" w:rsidRDefault="00630448" w:rsidP="00630448">
      <w:pPr>
        <w:rPr>
          <w:sz w:val="18"/>
        </w:rPr>
      </w:pPr>
      <w:r w:rsidRPr="005A35D8">
        <w:rPr>
          <w:rStyle w:val="FootnoteReference"/>
          <w:sz w:val="18"/>
        </w:rPr>
        <w:footnoteRef/>
      </w:r>
      <w:r w:rsidRPr="005A35D8">
        <w:rPr>
          <w:sz w:val="18"/>
        </w:rPr>
        <w:t xml:space="preserve"> </w:t>
      </w:r>
      <w:r w:rsidRPr="005A35D8">
        <w:rPr>
          <w:sz w:val="18"/>
        </w:rPr>
        <w:tab/>
      </w:r>
      <w:r w:rsidRPr="005A35D8">
        <w:rPr>
          <w:rStyle w:val="hps"/>
          <w:sz w:val="18"/>
        </w:rPr>
        <w:t>Les responsabilités qui leur incombent sont les suivantes </w:t>
      </w:r>
      <w:r w:rsidRPr="005A35D8">
        <w:rPr>
          <w:sz w:val="18"/>
        </w:rPr>
        <w:t xml:space="preserve">: </w:t>
      </w:r>
      <w:r w:rsidRPr="005A35D8">
        <w:rPr>
          <w:rStyle w:val="hps"/>
          <w:sz w:val="18"/>
        </w:rPr>
        <w:t>autorité</w:t>
      </w:r>
      <w:r w:rsidRPr="005A35D8">
        <w:rPr>
          <w:sz w:val="18"/>
        </w:rPr>
        <w:t xml:space="preserve"> en matière de placements, responsabilité </w:t>
      </w:r>
      <w:r w:rsidRPr="005A35D8">
        <w:rPr>
          <w:rStyle w:val="hps"/>
          <w:sz w:val="18"/>
        </w:rPr>
        <w:t>de gestionnaire,</w:t>
      </w:r>
      <w:r w:rsidRPr="005A35D8">
        <w:rPr>
          <w:sz w:val="18"/>
        </w:rPr>
        <w:t xml:space="preserve"> </w:t>
      </w:r>
      <w:r w:rsidRPr="005A35D8">
        <w:rPr>
          <w:rStyle w:val="hps"/>
          <w:sz w:val="18"/>
        </w:rPr>
        <w:t>déclarations et garanties</w:t>
      </w:r>
      <w:r w:rsidRPr="005A35D8">
        <w:rPr>
          <w:sz w:val="18"/>
        </w:rPr>
        <w:t xml:space="preserve">, </w:t>
      </w:r>
      <w:r w:rsidRPr="005A35D8">
        <w:rPr>
          <w:rStyle w:val="hps"/>
          <w:sz w:val="18"/>
        </w:rPr>
        <w:t>critère de performance</w:t>
      </w:r>
      <w:r w:rsidRPr="005A35D8">
        <w:rPr>
          <w:sz w:val="18"/>
        </w:rPr>
        <w:t xml:space="preserve">, frais, établissement de rapports et </w:t>
      </w:r>
      <w:r w:rsidRPr="005A35D8">
        <w:rPr>
          <w:rStyle w:val="hps"/>
          <w:sz w:val="18"/>
        </w:rPr>
        <w:t>autres</w:t>
      </w:r>
      <w:r w:rsidRPr="005A35D8">
        <w:rPr>
          <w:sz w:val="18"/>
        </w:rPr>
        <w:t xml:space="preserve"> </w:t>
      </w:r>
      <w:r w:rsidRPr="005A35D8">
        <w:rPr>
          <w:rStyle w:val="hps"/>
          <w:sz w:val="18"/>
        </w:rPr>
        <w:t>tâches administratives</w:t>
      </w:r>
      <w:r w:rsidRPr="005A35D8">
        <w:rPr>
          <w:sz w:val="18"/>
        </w:rPr>
        <w:t xml:space="preserve">.  </w:t>
      </w:r>
      <w:r w:rsidRPr="005A35D8">
        <w:rPr>
          <w:rStyle w:val="hps"/>
          <w:sz w:val="18"/>
        </w:rPr>
        <w:t>Les directives de placement</w:t>
      </w:r>
      <w:r w:rsidRPr="005A35D8">
        <w:rPr>
          <w:sz w:val="18"/>
        </w:rPr>
        <w:t xml:space="preserve"> </w:t>
      </w:r>
      <w:r w:rsidRPr="005A35D8">
        <w:rPr>
          <w:rStyle w:val="hps"/>
          <w:sz w:val="18"/>
        </w:rPr>
        <w:t>concernées figurent</w:t>
      </w:r>
      <w:r w:rsidRPr="005A35D8">
        <w:rPr>
          <w:sz w:val="18"/>
        </w:rPr>
        <w:t xml:space="preserve"> </w:t>
      </w:r>
      <w:r w:rsidRPr="005A35D8">
        <w:rPr>
          <w:rStyle w:val="hps"/>
          <w:sz w:val="18"/>
        </w:rPr>
        <w:t>dans chaque convention</w:t>
      </w:r>
      <w:r w:rsidRPr="005A35D8">
        <w:rPr>
          <w:sz w:val="18"/>
        </w:rPr>
        <w:t>.</w:t>
      </w:r>
    </w:p>
  </w:footnote>
  <w:footnote w:id="4">
    <w:p w:rsidR="00630448" w:rsidRPr="005A35D8" w:rsidRDefault="00630448" w:rsidP="00630448">
      <w:pPr>
        <w:rPr>
          <w:sz w:val="18"/>
          <w:szCs w:val="18"/>
        </w:rPr>
      </w:pPr>
      <w:r w:rsidRPr="005A35D8">
        <w:rPr>
          <w:rStyle w:val="FootnoteReference"/>
          <w:sz w:val="18"/>
        </w:rPr>
        <w:footnoteRef/>
      </w:r>
      <w:r w:rsidRPr="005A35D8">
        <w:rPr>
          <w:sz w:val="18"/>
        </w:rPr>
        <w:t xml:space="preserve"> </w:t>
      </w:r>
      <w:r w:rsidRPr="005A35D8">
        <w:rPr>
          <w:sz w:val="18"/>
        </w:rPr>
        <w:tab/>
      </w:r>
      <w:r w:rsidRPr="005A35D8">
        <w:rPr>
          <w:rStyle w:val="hps"/>
          <w:sz w:val="18"/>
        </w:rPr>
        <w:t>Cet accord</w:t>
      </w:r>
      <w:r w:rsidRPr="005A35D8">
        <w:rPr>
          <w:sz w:val="18"/>
        </w:rPr>
        <w:t xml:space="preserve"> </w:t>
      </w:r>
      <w:r w:rsidRPr="005A35D8">
        <w:rPr>
          <w:rStyle w:val="hps"/>
          <w:sz w:val="18"/>
        </w:rPr>
        <w:t>traite</w:t>
      </w:r>
      <w:r w:rsidRPr="005A35D8">
        <w:rPr>
          <w:sz w:val="18"/>
        </w:rPr>
        <w:t xml:space="preserve"> </w:t>
      </w:r>
      <w:r w:rsidRPr="005A35D8">
        <w:rPr>
          <w:rStyle w:val="hps"/>
          <w:sz w:val="18"/>
        </w:rPr>
        <w:t>la situation dans laquelle</w:t>
      </w:r>
      <w:r w:rsidRPr="005A35D8">
        <w:rPr>
          <w:sz w:val="18"/>
        </w:rPr>
        <w:t xml:space="preserve"> </w:t>
      </w:r>
      <w:r w:rsidRPr="005A35D8">
        <w:rPr>
          <w:rStyle w:val="hps"/>
          <w:sz w:val="18"/>
        </w:rPr>
        <w:t>l’OMPI</w:t>
      </w:r>
      <w:r w:rsidRPr="005A35D8">
        <w:rPr>
          <w:sz w:val="18"/>
        </w:rPr>
        <w:t xml:space="preserve"> </w:t>
      </w:r>
      <w:r w:rsidRPr="005A35D8">
        <w:rPr>
          <w:rStyle w:val="hps"/>
          <w:sz w:val="18"/>
        </w:rPr>
        <w:t>a plusieurs</w:t>
      </w:r>
      <w:r w:rsidRPr="005A35D8">
        <w:rPr>
          <w:sz w:val="18"/>
        </w:rPr>
        <w:t xml:space="preserve"> </w:t>
      </w:r>
      <w:r w:rsidRPr="005A35D8">
        <w:rPr>
          <w:rStyle w:val="hps"/>
          <w:sz w:val="18"/>
        </w:rPr>
        <w:t>gestionnaires de fonds extérieurs</w:t>
      </w:r>
      <w:r w:rsidRPr="005A35D8">
        <w:rPr>
          <w:sz w:val="18"/>
        </w:rPr>
        <w:t xml:space="preserve"> </w:t>
      </w:r>
      <w:r w:rsidRPr="005A35D8">
        <w:rPr>
          <w:rStyle w:val="hps"/>
          <w:sz w:val="18"/>
        </w:rPr>
        <w:t>et</w:t>
      </w:r>
      <w:r w:rsidRPr="005A35D8">
        <w:rPr>
          <w:sz w:val="18"/>
        </w:rPr>
        <w:t xml:space="preserve"> </w:t>
      </w:r>
      <w:r w:rsidRPr="005A35D8">
        <w:rPr>
          <w:rStyle w:val="hps"/>
          <w:sz w:val="18"/>
        </w:rPr>
        <w:t>un seul dépositaire</w:t>
      </w:r>
      <w:r w:rsidRPr="005A35D8">
        <w:rPr>
          <w:sz w:val="18"/>
        </w:rPr>
        <w:t xml:space="preserve"> </w:t>
      </w:r>
      <w:r w:rsidRPr="005A35D8">
        <w:rPr>
          <w:rStyle w:val="hps"/>
          <w:sz w:val="18"/>
        </w:rPr>
        <w:t xml:space="preserve">global. </w:t>
      </w:r>
      <w:r w:rsidRPr="005A35D8">
        <w:rPr>
          <w:sz w:val="18"/>
        </w:rPr>
        <w:t xml:space="preserve"> </w:t>
      </w:r>
      <w:r w:rsidRPr="005A35D8">
        <w:rPr>
          <w:rStyle w:val="hps"/>
          <w:sz w:val="18"/>
        </w:rPr>
        <w:t>Le dépositaire</w:t>
      </w:r>
      <w:r w:rsidRPr="005A35D8">
        <w:rPr>
          <w:sz w:val="18"/>
        </w:rPr>
        <w:t xml:space="preserve"> </w:t>
      </w:r>
      <w:r w:rsidRPr="005A35D8">
        <w:rPr>
          <w:rStyle w:val="hps"/>
          <w:sz w:val="18"/>
        </w:rPr>
        <w:t>assume la responsabilité de rapprocher</w:t>
      </w:r>
      <w:r w:rsidRPr="005A35D8">
        <w:rPr>
          <w:sz w:val="18"/>
        </w:rPr>
        <w:t xml:space="preserve"> </w:t>
      </w:r>
      <w:r w:rsidRPr="005A35D8">
        <w:rPr>
          <w:rStyle w:val="hps"/>
          <w:sz w:val="18"/>
        </w:rPr>
        <w:t>ses dossiers</w:t>
      </w:r>
      <w:r w:rsidRPr="005A35D8">
        <w:rPr>
          <w:sz w:val="18"/>
        </w:rPr>
        <w:t xml:space="preserve"> </w:t>
      </w:r>
      <w:r w:rsidRPr="005A35D8">
        <w:rPr>
          <w:rStyle w:val="hps"/>
          <w:sz w:val="18"/>
        </w:rPr>
        <w:t>de ceux</w:t>
      </w:r>
      <w:r w:rsidRPr="005A35D8">
        <w:rPr>
          <w:sz w:val="18"/>
        </w:rPr>
        <w:t xml:space="preserve"> </w:t>
      </w:r>
      <w:r w:rsidRPr="005A35D8">
        <w:rPr>
          <w:rStyle w:val="hps"/>
          <w:sz w:val="18"/>
        </w:rPr>
        <w:t>de chaque</w:t>
      </w:r>
      <w:r w:rsidRPr="005A35D8">
        <w:rPr>
          <w:sz w:val="18"/>
        </w:rPr>
        <w:t xml:space="preserve"> </w:t>
      </w:r>
      <w:r w:rsidRPr="005A35D8">
        <w:rPr>
          <w:rStyle w:val="hps"/>
          <w:sz w:val="18"/>
        </w:rPr>
        <w:t>gestionnaire de fonds</w:t>
      </w:r>
      <w:r w:rsidRPr="005A35D8">
        <w:rPr>
          <w:sz w:val="18"/>
        </w:rPr>
        <w:t>, soulageant l’</w:t>
      </w:r>
      <w:r w:rsidRPr="005A35D8">
        <w:rPr>
          <w:rStyle w:val="hps"/>
          <w:sz w:val="18"/>
        </w:rPr>
        <w:t>OMPI</w:t>
      </w:r>
      <w:r w:rsidRPr="005A35D8">
        <w:rPr>
          <w:sz w:val="18"/>
        </w:rPr>
        <w:t xml:space="preserve"> </w:t>
      </w:r>
      <w:r w:rsidRPr="005A35D8">
        <w:rPr>
          <w:rStyle w:val="hps"/>
          <w:sz w:val="18"/>
        </w:rPr>
        <w:t>de cette charge administrative</w:t>
      </w:r>
      <w:r w:rsidRPr="005A35D8">
        <w:rPr>
          <w:sz w:val="18"/>
          <w:szCs w:val="18"/>
        </w:rPr>
        <w:t>.</w:t>
      </w:r>
    </w:p>
  </w:footnote>
  <w:footnote w:id="5">
    <w:p w:rsidR="00630448" w:rsidRPr="005A35D8" w:rsidRDefault="00630448" w:rsidP="00490611">
      <w:pPr>
        <w:pStyle w:val="FootnoteText"/>
      </w:pPr>
      <w:r w:rsidRPr="005A35D8">
        <w:rPr>
          <w:rStyle w:val="FootnoteReference"/>
        </w:rPr>
        <w:footnoteRef/>
      </w:r>
      <w:r w:rsidRPr="005A35D8">
        <w:t xml:space="preserve"> </w:t>
      </w:r>
      <w:r w:rsidRPr="005A35D8">
        <w:tab/>
        <w:t>Ne pas confondre ces</w:t>
      </w:r>
      <w:r w:rsidRPr="005A35D8">
        <w:rPr>
          <w:rStyle w:val="hps"/>
        </w:rPr>
        <w:t xml:space="preserve"> directives avec celles que le</w:t>
      </w:r>
      <w:r w:rsidRPr="005A35D8">
        <w:t xml:space="preserve"> </w:t>
      </w:r>
      <w:r w:rsidRPr="005A35D8">
        <w:rPr>
          <w:rStyle w:val="hps"/>
        </w:rPr>
        <w:t>Comité consultatif</w:t>
      </w:r>
      <w:r w:rsidRPr="005A35D8">
        <w:t xml:space="preserve"> </w:t>
      </w:r>
      <w:r w:rsidRPr="005A35D8">
        <w:rPr>
          <w:rStyle w:val="hps"/>
        </w:rPr>
        <w:t>des investissements</w:t>
      </w:r>
      <w:r w:rsidRPr="005A35D8">
        <w:t xml:space="preserve"> transmet </w:t>
      </w:r>
      <w:r w:rsidRPr="005A35D8">
        <w:rPr>
          <w:rStyle w:val="hps"/>
        </w:rPr>
        <w:t>aux gestionnaires de fonds</w:t>
      </w:r>
      <w:r w:rsidRPr="005A35D8">
        <w:t xml:space="preserve"> </w:t>
      </w:r>
      <w:r w:rsidRPr="005A35D8">
        <w:rPr>
          <w:rStyle w:val="hps"/>
        </w:rPr>
        <w:t>extérieurs</w:t>
      </w:r>
      <w:r w:rsidRPr="005A35D8">
        <w:t>.</w:t>
      </w:r>
    </w:p>
  </w:footnote>
  <w:footnote w:id="6">
    <w:p w:rsidR="00630448" w:rsidRPr="005A35D8" w:rsidRDefault="00630448" w:rsidP="00490611">
      <w:pPr>
        <w:pStyle w:val="FootnoteText"/>
      </w:pPr>
      <w:r w:rsidRPr="005A35D8">
        <w:rPr>
          <w:rStyle w:val="FootnoteReference"/>
        </w:rPr>
        <w:footnoteRef/>
      </w:r>
      <w:r w:rsidRPr="005A35D8">
        <w:t xml:space="preserve"> </w:t>
      </w:r>
      <w:r w:rsidR="0044721B" w:rsidRPr="005A35D8">
        <w:tab/>
      </w:r>
      <w:r w:rsidRPr="005A35D8">
        <w:t>Pour des précisions sur les notations, voir l’annexe I</w:t>
      </w:r>
      <w:r w:rsidR="0044721B" w:rsidRPr="005A35D8">
        <w:t>.</w:t>
      </w:r>
    </w:p>
  </w:footnote>
  <w:footnote w:id="7">
    <w:p w:rsidR="00630448" w:rsidRPr="005A35D8" w:rsidRDefault="00630448">
      <w:pPr>
        <w:pStyle w:val="FootnoteText"/>
      </w:pPr>
      <w:r w:rsidRPr="005A35D8">
        <w:rPr>
          <w:rStyle w:val="FootnoteReference"/>
        </w:rPr>
        <w:footnoteRef/>
      </w:r>
      <w:r w:rsidRPr="005A35D8">
        <w:t xml:space="preserve"> </w:t>
      </w:r>
      <w:r w:rsidR="00A46961" w:rsidRPr="005A35D8">
        <w:tab/>
      </w:r>
      <w:r w:rsidRPr="005A35D8">
        <w:rPr>
          <w:rStyle w:val="hps"/>
        </w:rPr>
        <w:t>Les normes GIPS</w:t>
      </w:r>
      <w:r w:rsidRPr="005A35D8">
        <w:t xml:space="preserve"> </w:t>
      </w:r>
      <w:r w:rsidRPr="005A35D8">
        <w:rPr>
          <w:rStyle w:val="hps"/>
        </w:rPr>
        <w:t>sont</w:t>
      </w:r>
      <w:r w:rsidRPr="005A35D8">
        <w:t xml:space="preserve"> </w:t>
      </w:r>
      <w:r w:rsidRPr="005A35D8">
        <w:rPr>
          <w:rStyle w:val="hps"/>
        </w:rPr>
        <w:t>un ensemble de</w:t>
      </w:r>
      <w:r w:rsidRPr="005A35D8">
        <w:t xml:space="preserve"> </w:t>
      </w:r>
      <w:r w:rsidRPr="005A35D8">
        <w:rPr>
          <w:rStyle w:val="hps"/>
        </w:rPr>
        <w:t>principes éthiques</w:t>
      </w:r>
      <w:r w:rsidRPr="005A35D8">
        <w:t xml:space="preserve"> sectoriels </w:t>
      </w:r>
      <w:r w:rsidRPr="005A35D8">
        <w:rPr>
          <w:rStyle w:val="hps"/>
        </w:rPr>
        <w:t>normalisés</w:t>
      </w:r>
      <w:r w:rsidRPr="005A35D8">
        <w:t xml:space="preserve"> </w:t>
      </w:r>
      <w:r w:rsidRPr="005A35D8">
        <w:rPr>
          <w:rStyle w:val="hps"/>
        </w:rPr>
        <w:t>qui fournissent aux</w:t>
      </w:r>
      <w:r w:rsidRPr="005A35D8">
        <w:t xml:space="preserve"> </w:t>
      </w:r>
      <w:r w:rsidRPr="005A35D8">
        <w:rPr>
          <w:rStyle w:val="hps"/>
        </w:rPr>
        <w:t>sociétés de placement</w:t>
      </w:r>
      <w:r w:rsidRPr="005A35D8">
        <w:t xml:space="preserve"> </w:t>
      </w:r>
      <w:r w:rsidRPr="005A35D8">
        <w:rPr>
          <w:rStyle w:val="hps"/>
        </w:rPr>
        <w:t>des orientations sur</w:t>
      </w:r>
      <w:r w:rsidRPr="005A35D8">
        <w:t xml:space="preserve"> </w:t>
      </w:r>
      <w:r w:rsidRPr="005A35D8">
        <w:rPr>
          <w:rStyle w:val="hps"/>
        </w:rPr>
        <w:t>la façon de calculer</w:t>
      </w:r>
      <w:r w:rsidRPr="005A35D8">
        <w:t xml:space="preserve"> </w:t>
      </w:r>
      <w:r w:rsidRPr="005A35D8">
        <w:rPr>
          <w:rStyle w:val="hps"/>
        </w:rPr>
        <w:t>les</w:t>
      </w:r>
      <w:r w:rsidRPr="005A35D8">
        <w:t xml:space="preserve"> </w:t>
      </w:r>
      <w:r w:rsidRPr="005A35D8">
        <w:rPr>
          <w:rStyle w:val="hps"/>
        </w:rPr>
        <w:t>résultats de leurs placement</w:t>
      </w:r>
      <w:r w:rsidRPr="005A35D8">
        <w:t xml:space="preserve">s </w:t>
      </w:r>
      <w:r w:rsidRPr="005A35D8">
        <w:rPr>
          <w:rStyle w:val="hps"/>
        </w:rPr>
        <w:t>et de présenter ces résultats à des clients potentiels</w:t>
      </w:r>
    </w:p>
  </w:footnote>
  <w:footnote w:id="8">
    <w:p w:rsidR="00630448" w:rsidRPr="005A35D8" w:rsidRDefault="00630448" w:rsidP="00B17240">
      <w:pPr>
        <w:pStyle w:val="FootnoteText"/>
      </w:pPr>
      <w:r w:rsidRPr="005A35D8">
        <w:rPr>
          <w:rStyle w:val="FootnoteReference"/>
        </w:rPr>
        <w:footnoteRef/>
      </w:r>
      <w:r w:rsidRPr="005A35D8">
        <w:t xml:space="preserve"> </w:t>
      </w:r>
      <w:r w:rsidR="00A46961" w:rsidRPr="005A35D8">
        <w:tab/>
      </w:r>
      <w:r w:rsidRPr="005A35D8">
        <w:rPr>
          <w:rStyle w:val="hps"/>
        </w:rPr>
        <w:t>Les responsabilités qui leur incombent sont les suivantes </w:t>
      </w:r>
      <w:r w:rsidRPr="005A35D8">
        <w:t xml:space="preserve">: </w:t>
      </w:r>
      <w:r w:rsidRPr="005A35D8">
        <w:rPr>
          <w:rStyle w:val="hps"/>
        </w:rPr>
        <w:t>autorité</w:t>
      </w:r>
      <w:r w:rsidRPr="005A35D8">
        <w:t xml:space="preserve"> en matière de placements, responsabilité </w:t>
      </w:r>
      <w:r w:rsidRPr="005A35D8">
        <w:rPr>
          <w:rStyle w:val="hps"/>
        </w:rPr>
        <w:t>de gestionnaire,</w:t>
      </w:r>
      <w:r w:rsidRPr="005A35D8">
        <w:t xml:space="preserve"> </w:t>
      </w:r>
      <w:r w:rsidRPr="005A35D8">
        <w:rPr>
          <w:rStyle w:val="hps"/>
        </w:rPr>
        <w:t>déclarations et garanties</w:t>
      </w:r>
      <w:r w:rsidRPr="005A35D8">
        <w:t xml:space="preserve">, </w:t>
      </w:r>
      <w:r w:rsidRPr="005A35D8">
        <w:rPr>
          <w:rStyle w:val="hps"/>
        </w:rPr>
        <w:t>critère de performance</w:t>
      </w:r>
      <w:r w:rsidRPr="005A35D8">
        <w:t xml:space="preserve">, frais, établissement de rapports et </w:t>
      </w:r>
      <w:r w:rsidRPr="005A35D8">
        <w:rPr>
          <w:rStyle w:val="hps"/>
        </w:rPr>
        <w:t>autres</w:t>
      </w:r>
      <w:r w:rsidRPr="005A35D8">
        <w:t xml:space="preserve"> </w:t>
      </w:r>
      <w:r w:rsidRPr="005A35D8">
        <w:rPr>
          <w:rStyle w:val="hps"/>
        </w:rPr>
        <w:t>tâches administratives</w:t>
      </w:r>
      <w:r w:rsidRPr="005A35D8">
        <w:t xml:space="preserve">.  </w:t>
      </w:r>
      <w:r w:rsidRPr="005A35D8">
        <w:rPr>
          <w:rStyle w:val="hps"/>
        </w:rPr>
        <w:t>Les directives de placement</w:t>
      </w:r>
      <w:r w:rsidRPr="005A35D8">
        <w:t xml:space="preserve"> </w:t>
      </w:r>
      <w:r w:rsidRPr="005A35D8">
        <w:rPr>
          <w:rStyle w:val="hps"/>
        </w:rPr>
        <w:t>concernées figurent</w:t>
      </w:r>
      <w:r w:rsidRPr="005A35D8">
        <w:t xml:space="preserve"> </w:t>
      </w:r>
      <w:r w:rsidRPr="005A35D8">
        <w:rPr>
          <w:rStyle w:val="hps"/>
        </w:rPr>
        <w:t>dans chaque convention</w:t>
      </w:r>
      <w:r w:rsidRPr="005A35D8">
        <w:t>.</w:t>
      </w:r>
    </w:p>
  </w:footnote>
  <w:footnote w:id="9">
    <w:p w:rsidR="00630448" w:rsidRPr="005A35D8" w:rsidRDefault="00630448" w:rsidP="00B17240">
      <w:pPr>
        <w:pStyle w:val="FootnoteText"/>
      </w:pPr>
      <w:r w:rsidRPr="005A35D8">
        <w:rPr>
          <w:rStyle w:val="FootnoteReference"/>
        </w:rPr>
        <w:footnoteRef/>
      </w:r>
      <w:r w:rsidRPr="005A35D8">
        <w:t xml:space="preserve"> </w:t>
      </w:r>
      <w:r w:rsidR="00A46961" w:rsidRPr="005A35D8">
        <w:tab/>
      </w:r>
      <w:r w:rsidRPr="005A35D8">
        <w:t>Ne pas confondre ces</w:t>
      </w:r>
      <w:r w:rsidRPr="005A35D8">
        <w:rPr>
          <w:rStyle w:val="hps"/>
        </w:rPr>
        <w:t xml:space="preserve"> directives avec celles que le</w:t>
      </w:r>
      <w:r w:rsidRPr="005A35D8">
        <w:t xml:space="preserve"> </w:t>
      </w:r>
      <w:r w:rsidRPr="005A35D8">
        <w:rPr>
          <w:rStyle w:val="hps"/>
        </w:rPr>
        <w:t>Comité consultatif</w:t>
      </w:r>
      <w:r w:rsidRPr="005A35D8">
        <w:t xml:space="preserve"> </w:t>
      </w:r>
      <w:r w:rsidRPr="005A35D8">
        <w:rPr>
          <w:rStyle w:val="hps"/>
        </w:rPr>
        <w:t>des investissements</w:t>
      </w:r>
      <w:r w:rsidRPr="005A35D8">
        <w:t xml:space="preserve"> transmet </w:t>
      </w:r>
      <w:r w:rsidRPr="005A35D8">
        <w:rPr>
          <w:rStyle w:val="hps"/>
        </w:rPr>
        <w:t>aux gestionnaires de fonds</w:t>
      </w:r>
      <w:r w:rsidRPr="005A35D8">
        <w:t xml:space="preserve"> </w:t>
      </w:r>
      <w:r w:rsidRPr="005A35D8">
        <w:rPr>
          <w:rStyle w:val="hps"/>
        </w:rPr>
        <w:t>extérieurs</w:t>
      </w:r>
      <w:r w:rsidRPr="005A35D8">
        <w:t>.</w:t>
      </w:r>
    </w:p>
  </w:footnote>
  <w:footnote w:id="10">
    <w:p w:rsidR="00630448" w:rsidRPr="005A35D8" w:rsidRDefault="00630448" w:rsidP="00485AD9">
      <w:pPr>
        <w:pStyle w:val="FootnoteText"/>
      </w:pPr>
      <w:r w:rsidRPr="005A35D8">
        <w:rPr>
          <w:rStyle w:val="FootnoteReference"/>
        </w:rPr>
        <w:footnoteRef/>
      </w:r>
      <w:r w:rsidRPr="005A35D8">
        <w:t xml:space="preserve"> </w:t>
      </w:r>
      <w:r w:rsidR="00A46961" w:rsidRPr="005A35D8">
        <w:tab/>
      </w:r>
      <w:r w:rsidRPr="005A35D8">
        <w:t xml:space="preserve">L’horizon de placement est déterminé en fonction des résultats de l’étude de la </w:t>
      </w:r>
      <w:r w:rsidR="00A46961" w:rsidRPr="005A35D8">
        <w:rPr>
          <w:rStyle w:val="hps"/>
        </w:rPr>
        <w:t>gestion actif</w:t>
      </w:r>
      <w:r w:rsidR="00A46961" w:rsidRPr="005A35D8">
        <w:rPr>
          <w:rStyle w:val="hps"/>
        </w:rPr>
        <w:noBreakHyphen/>
      </w:r>
      <w:r w:rsidRPr="005A35D8">
        <w:rPr>
          <w:rStyle w:val="hps"/>
        </w:rPr>
        <w:t>passif</w:t>
      </w:r>
      <w:r w:rsidRPr="005A35D8">
        <w:t>.</w:t>
      </w:r>
    </w:p>
  </w:footnote>
  <w:footnote w:id="11">
    <w:p w:rsidR="00630448" w:rsidRPr="005A35D8" w:rsidRDefault="00630448" w:rsidP="00485AD9">
      <w:pPr>
        <w:pStyle w:val="FootnoteText"/>
      </w:pPr>
      <w:r w:rsidRPr="005A35D8">
        <w:rPr>
          <w:rStyle w:val="FootnoteReference"/>
        </w:rPr>
        <w:footnoteRef/>
      </w:r>
      <w:r w:rsidRPr="005A35D8">
        <w:t xml:space="preserve"> </w:t>
      </w:r>
      <w:r w:rsidR="00A46961" w:rsidRPr="005A35D8">
        <w:tab/>
      </w:r>
      <w:r w:rsidRPr="005A35D8">
        <w:t xml:space="preserve">La période sur laquelle cet objectif devrait être atteint est déterminée en fonction des résultats de l’étude de la </w:t>
      </w:r>
      <w:r w:rsidRPr="005A35D8">
        <w:rPr>
          <w:rStyle w:val="hps"/>
        </w:rPr>
        <w:t xml:space="preserve">gestion </w:t>
      </w:r>
      <w:r w:rsidR="005D68FF" w:rsidRPr="005A35D8">
        <w:rPr>
          <w:rStyle w:val="hps"/>
        </w:rPr>
        <w:t>actif</w:t>
      </w:r>
      <w:r w:rsidR="005D68FF" w:rsidRPr="005A35D8">
        <w:rPr>
          <w:rStyle w:val="hps"/>
        </w:rPr>
        <w:noBreakHyphen/>
      </w:r>
      <w:r w:rsidRPr="005A35D8">
        <w:rPr>
          <w:rStyle w:val="hps"/>
        </w:rPr>
        <w:t>passif</w:t>
      </w:r>
      <w:r w:rsidRPr="005A35D8">
        <w:t xml:space="preserve"> et figurera dans la politique dès que l’étude sera terminée.</w:t>
      </w:r>
    </w:p>
  </w:footnote>
  <w:footnote w:id="12">
    <w:p w:rsidR="00630448" w:rsidRPr="005A35D8" w:rsidRDefault="00630448">
      <w:pPr>
        <w:pStyle w:val="FootnoteText"/>
      </w:pPr>
      <w:r w:rsidRPr="005A35D8">
        <w:rPr>
          <w:rStyle w:val="FootnoteReference"/>
        </w:rPr>
        <w:footnoteRef/>
      </w:r>
      <w:r w:rsidRPr="005A35D8">
        <w:t xml:space="preserve"> </w:t>
      </w:r>
      <w:r w:rsidR="00A46961" w:rsidRPr="005A35D8">
        <w:tab/>
      </w:r>
      <w:r w:rsidRPr="005A35D8">
        <w:t>Pour des précisions sur les notations, voir l’annexe I</w:t>
      </w:r>
      <w:r w:rsidR="00A46961" w:rsidRPr="005A35D8">
        <w:t>.</w:t>
      </w:r>
    </w:p>
  </w:footnote>
  <w:footnote w:id="13">
    <w:p w:rsidR="00630448" w:rsidRPr="008B5730" w:rsidRDefault="00630448">
      <w:pPr>
        <w:pStyle w:val="FootnoteText"/>
      </w:pPr>
      <w:r w:rsidRPr="005A35D8">
        <w:rPr>
          <w:rStyle w:val="FootnoteReference"/>
        </w:rPr>
        <w:footnoteRef/>
      </w:r>
      <w:r w:rsidRPr="005A35D8">
        <w:t xml:space="preserve"> </w:t>
      </w:r>
      <w:r w:rsidR="00A46961" w:rsidRPr="005A35D8">
        <w:tab/>
      </w:r>
      <w:r w:rsidRPr="005A35D8">
        <w:t>Les limites par classe d’actifs sont indiquées dans l’annexe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448" w:rsidRDefault="00630448" w:rsidP="00561C22">
    <w:pPr>
      <w:jc w:val="right"/>
    </w:pPr>
    <w:r>
      <w:t>WO/PBC/24/10</w:t>
    </w:r>
  </w:p>
  <w:p w:rsidR="00630448" w:rsidRDefault="00630448" w:rsidP="00561C22">
    <w:pPr>
      <w:jc w:val="right"/>
    </w:pPr>
    <w:proofErr w:type="gramStart"/>
    <w:r>
      <w:t>page</w:t>
    </w:r>
    <w:proofErr w:type="gramEnd"/>
    <w:r>
      <w:t xml:space="preserve"> </w:t>
    </w:r>
    <w:r>
      <w:fldChar w:fldCharType="begin"/>
    </w:r>
    <w:r>
      <w:instrText xml:space="preserve"> PAGE  \* MERGEFORMAT </w:instrText>
    </w:r>
    <w:r>
      <w:fldChar w:fldCharType="separate"/>
    </w:r>
    <w:r w:rsidR="00CD4215">
      <w:rPr>
        <w:noProof/>
      </w:rPr>
      <w:t>2</w:t>
    </w:r>
    <w:r>
      <w:fldChar w:fldCharType="end"/>
    </w:r>
  </w:p>
  <w:p w:rsidR="00630448" w:rsidRDefault="0063044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958913"/>
      <w:docPartObj>
        <w:docPartGallery w:val="Page Numbers (Top of Page)"/>
        <w:docPartUnique/>
      </w:docPartObj>
    </w:sdtPr>
    <w:sdtEndPr>
      <w:rPr>
        <w:noProof/>
      </w:rPr>
    </w:sdtEndPr>
    <w:sdtContent>
      <w:sdt>
        <w:sdtPr>
          <w:id w:val="1803579550"/>
          <w:docPartObj>
            <w:docPartGallery w:val="Page Numbers (Top of Page)"/>
            <w:docPartUnique/>
          </w:docPartObj>
        </w:sdtPr>
        <w:sdtEndPr>
          <w:rPr>
            <w:noProof/>
          </w:rPr>
        </w:sdtEndPr>
        <w:sdtContent>
          <w:p w:rsidR="00630448" w:rsidRPr="009B626A" w:rsidRDefault="00630448" w:rsidP="007A556F">
            <w:pPr>
              <w:pStyle w:val="Header"/>
              <w:jc w:val="right"/>
              <w:rPr>
                <w:lang w:val="en-GB"/>
              </w:rPr>
            </w:pPr>
            <w:r w:rsidRPr="009B626A">
              <w:rPr>
                <w:lang w:val="en-GB"/>
              </w:rPr>
              <w:t>WO/PBC/24/10</w:t>
            </w:r>
          </w:p>
          <w:p w:rsidR="00630448" w:rsidRPr="009B626A" w:rsidRDefault="00630448" w:rsidP="007A556F">
            <w:pPr>
              <w:pStyle w:val="Header"/>
              <w:jc w:val="right"/>
              <w:rPr>
                <w:noProof/>
                <w:lang w:val="en-GB"/>
              </w:rPr>
            </w:pPr>
            <w:r>
              <w:rPr>
                <w:lang w:val="en-GB"/>
              </w:rPr>
              <w:t>Annexe </w:t>
            </w:r>
            <w:r w:rsidRPr="009B626A">
              <w:rPr>
                <w:lang w:val="en-GB"/>
              </w:rPr>
              <w:t xml:space="preserve">I, page </w:t>
            </w:r>
            <w:r>
              <w:fldChar w:fldCharType="begin"/>
            </w:r>
            <w:r w:rsidRPr="009B626A">
              <w:rPr>
                <w:lang w:val="en-GB"/>
              </w:rPr>
              <w:instrText xml:space="preserve"> PAGE   \* MERGEFORMAT </w:instrText>
            </w:r>
            <w:r>
              <w:fldChar w:fldCharType="separate"/>
            </w:r>
            <w:r w:rsidR="00CD4215">
              <w:rPr>
                <w:noProof/>
                <w:lang w:val="en-GB"/>
              </w:rPr>
              <w:t>10</w:t>
            </w:r>
            <w:r>
              <w:rPr>
                <w:noProof/>
              </w:rPr>
              <w:fldChar w:fldCharType="end"/>
            </w:r>
          </w:p>
        </w:sdtContent>
      </w:sdt>
      <w:p w:rsidR="00630448" w:rsidRDefault="00CD4215" w:rsidP="007A556F">
        <w:pPr>
          <w:pStyle w:val="Header"/>
          <w:jc w:val="right"/>
          <w:rPr>
            <w:noProof/>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939937"/>
      <w:docPartObj>
        <w:docPartGallery w:val="Page Numbers (Top of Page)"/>
        <w:docPartUnique/>
      </w:docPartObj>
    </w:sdtPr>
    <w:sdtEndPr>
      <w:rPr>
        <w:noProof/>
      </w:rPr>
    </w:sdtEndPr>
    <w:sdtContent>
      <w:sdt>
        <w:sdtPr>
          <w:id w:val="-983461508"/>
          <w:docPartObj>
            <w:docPartGallery w:val="Page Numbers (Top of Page)"/>
            <w:docPartUnique/>
          </w:docPartObj>
        </w:sdtPr>
        <w:sdtEndPr>
          <w:rPr>
            <w:noProof/>
          </w:rPr>
        </w:sdtEndPr>
        <w:sdtContent>
          <w:p w:rsidR="00630448" w:rsidRDefault="00630448" w:rsidP="007A556F">
            <w:pPr>
              <w:pStyle w:val="Header"/>
              <w:jc w:val="right"/>
            </w:pPr>
            <w:r>
              <w:t>WO/PBC/24/10</w:t>
            </w:r>
          </w:p>
          <w:p w:rsidR="00630448" w:rsidRDefault="00630448" w:rsidP="007A556F">
            <w:pPr>
              <w:pStyle w:val="Header"/>
              <w:jc w:val="right"/>
              <w:rPr>
                <w:noProof/>
              </w:rPr>
            </w:pPr>
            <w:r>
              <w:t>ANNEXE I</w:t>
            </w:r>
          </w:p>
        </w:sdtContent>
      </w:sdt>
      <w:p w:rsidR="00630448" w:rsidRDefault="00CD4215" w:rsidP="007A556F">
        <w:pPr>
          <w:pStyle w:val="Header"/>
          <w:jc w:val="right"/>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370424"/>
      <w:docPartObj>
        <w:docPartGallery w:val="Page Numbers (Top of Page)"/>
        <w:docPartUnique/>
      </w:docPartObj>
    </w:sdtPr>
    <w:sdtEndPr>
      <w:rPr>
        <w:noProof/>
      </w:rPr>
    </w:sdtEndPr>
    <w:sdtContent>
      <w:p w:rsidR="00630448" w:rsidRPr="009B626A" w:rsidRDefault="00630448" w:rsidP="0091787F">
        <w:pPr>
          <w:pStyle w:val="Header"/>
          <w:jc w:val="right"/>
          <w:rPr>
            <w:lang w:val="en-GB"/>
          </w:rPr>
        </w:pPr>
        <w:r w:rsidRPr="009B626A">
          <w:rPr>
            <w:lang w:val="en-GB"/>
          </w:rPr>
          <w:t>WO/PBC/24/10</w:t>
        </w:r>
      </w:p>
      <w:p w:rsidR="00630448" w:rsidRPr="009B626A" w:rsidRDefault="00630448" w:rsidP="0091787F">
        <w:pPr>
          <w:pStyle w:val="Header"/>
          <w:jc w:val="right"/>
          <w:rPr>
            <w:lang w:val="en-GB"/>
          </w:rPr>
        </w:pPr>
        <w:r w:rsidRPr="009B626A">
          <w:rPr>
            <w:lang w:val="en-GB"/>
          </w:rPr>
          <w:t>Annex</w:t>
        </w:r>
        <w:r>
          <w:rPr>
            <w:lang w:val="en-GB"/>
          </w:rPr>
          <w:t>e </w:t>
        </w:r>
        <w:r w:rsidRPr="009B626A">
          <w:rPr>
            <w:lang w:val="en-GB"/>
          </w:rPr>
          <w:t xml:space="preserve">I, page </w:t>
        </w:r>
        <w:r>
          <w:fldChar w:fldCharType="begin"/>
        </w:r>
        <w:r w:rsidRPr="009B626A">
          <w:rPr>
            <w:lang w:val="en-GB"/>
          </w:rPr>
          <w:instrText xml:space="preserve"> PAGE   \* MERGEFORMAT </w:instrText>
        </w:r>
        <w:r>
          <w:fldChar w:fldCharType="separate"/>
        </w:r>
        <w:r w:rsidR="00F829E1">
          <w:rPr>
            <w:noProof/>
            <w:lang w:val="en-GB"/>
          </w:rPr>
          <w:t>4</w:t>
        </w:r>
        <w:r>
          <w:rPr>
            <w:noProof/>
          </w:rPr>
          <w:fldChar w:fldCharType="end"/>
        </w:r>
      </w:p>
    </w:sdtContent>
  </w:sdt>
  <w:p w:rsidR="00630448" w:rsidRPr="009B626A" w:rsidRDefault="00630448" w:rsidP="00630448">
    <w:pPr>
      <w:pStyle w:val="Header"/>
      <w:jc w:val="right"/>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451763"/>
      <w:docPartObj>
        <w:docPartGallery w:val="Page Numbers (Top of Page)"/>
        <w:docPartUnique/>
      </w:docPartObj>
    </w:sdtPr>
    <w:sdtEndPr>
      <w:rPr>
        <w:noProof/>
      </w:rPr>
    </w:sdtEndPr>
    <w:sdtContent>
      <w:p w:rsidR="00630448" w:rsidRPr="009B626A" w:rsidRDefault="00630448" w:rsidP="0091787F">
        <w:pPr>
          <w:pStyle w:val="Header"/>
          <w:jc w:val="right"/>
          <w:rPr>
            <w:lang w:val="en-GB"/>
          </w:rPr>
        </w:pPr>
        <w:r w:rsidRPr="009B626A">
          <w:rPr>
            <w:lang w:val="en-GB"/>
          </w:rPr>
          <w:t>WO/PBC/24/10</w:t>
        </w:r>
      </w:p>
      <w:p w:rsidR="00630448" w:rsidRPr="009B626A" w:rsidRDefault="00630448" w:rsidP="0091787F">
        <w:pPr>
          <w:pStyle w:val="Header"/>
          <w:jc w:val="right"/>
          <w:rPr>
            <w:lang w:val="en-GB"/>
          </w:rPr>
        </w:pPr>
        <w:r w:rsidRPr="009B626A">
          <w:rPr>
            <w:lang w:val="en-GB"/>
          </w:rPr>
          <w:t>Annex</w:t>
        </w:r>
        <w:r>
          <w:rPr>
            <w:lang w:val="en-GB"/>
          </w:rPr>
          <w:t>e </w:t>
        </w:r>
        <w:r w:rsidRPr="009B626A">
          <w:rPr>
            <w:lang w:val="en-GB"/>
          </w:rPr>
          <w:t xml:space="preserve">I, page </w:t>
        </w:r>
        <w:r>
          <w:fldChar w:fldCharType="begin"/>
        </w:r>
        <w:r w:rsidRPr="009B626A">
          <w:rPr>
            <w:lang w:val="en-GB"/>
          </w:rPr>
          <w:instrText xml:space="preserve"> PAGE   \* MERGEFORMAT </w:instrText>
        </w:r>
        <w:r>
          <w:fldChar w:fldCharType="separate"/>
        </w:r>
        <w:r w:rsidR="00CD4215">
          <w:rPr>
            <w:noProof/>
            <w:lang w:val="en-GB"/>
          </w:rPr>
          <w:t>10</w:t>
        </w:r>
        <w:r>
          <w:rPr>
            <w:noProof/>
          </w:rPr>
          <w:fldChar w:fldCharType="end"/>
        </w:r>
      </w:p>
    </w:sdtContent>
  </w:sdt>
  <w:p w:rsidR="00630448" w:rsidRPr="009B626A" w:rsidRDefault="00630448" w:rsidP="00630448">
    <w:pPr>
      <w:pStyle w:val="Header"/>
      <w:jc w:val="right"/>
      <w:rPr>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341783"/>
      <w:docPartObj>
        <w:docPartGallery w:val="Page Numbers (Top of Page)"/>
        <w:docPartUnique/>
      </w:docPartObj>
    </w:sdtPr>
    <w:sdtEndPr>
      <w:rPr>
        <w:noProof/>
      </w:rPr>
    </w:sdtEndPr>
    <w:sdtContent>
      <w:sdt>
        <w:sdtPr>
          <w:id w:val="1969702740"/>
          <w:docPartObj>
            <w:docPartGallery w:val="Page Numbers (Top of Page)"/>
            <w:docPartUnique/>
          </w:docPartObj>
        </w:sdtPr>
        <w:sdtEndPr>
          <w:rPr>
            <w:noProof/>
          </w:rPr>
        </w:sdtEndPr>
        <w:sdtContent>
          <w:p w:rsidR="00630448" w:rsidRPr="009B626A" w:rsidRDefault="00630448" w:rsidP="007A556F">
            <w:pPr>
              <w:pStyle w:val="Header"/>
              <w:jc w:val="right"/>
              <w:rPr>
                <w:lang w:val="en-GB"/>
              </w:rPr>
            </w:pPr>
            <w:r w:rsidRPr="009B626A">
              <w:rPr>
                <w:lang w:val="en-GB"/>
              </w:rPr>
              <w:t>WO/PBC/24/10</w:t>
            </w:r>
          </w:p>
          <w:p w:rsidR="00630448" w:rsidRPr="009B626A" w:rsidRDefault="00630448" w:rsidP="007A556F">
            <w:pPr>
              <w:pStyle w:val="Header"/>
              <w:jc w:val="right"/>
              <w:rPr>
                <w:noProof/>
                <w:lang w:val="en-GB"/>
              </w:rPr>
            </w:pPr>
            <w:r w:rsidRPr="009B626A">
              <w:rPr>
                <w:lang w:val="en-GB"/>
              </w:rPr>
              <w:t>Annex</w:t>
            </w:r>
            <w:r>
              <w:rPr>
                <w:lang w:val="en-GB"/>
              </w:rPr>
              <w:t>e </w:t>
            </w:r>
            <w:r w:rsidRPr="009B626A">
              <w:rPr>
                <w:lang w:val="en-GB"/>
              </w:rPr>
              <w:t>I</w:t>
            </w:r>
            <w:r>
              <w:rPr>
                <w:lang w:val="en-GB"/>
              </w:rPr>
              <w:t>I</w:t>
            </w:r>
            <w:r w:rsidRPr="009B626A">
              <w:rPr>
                <w:lang w:val="en-GB"/>
              </w:rPr>
              <w:t xml:space="preserve">, page </w:t>
            </w:r>
            <w:r>
              <w:fldChar w:fldCharType="begin"/>
            </w:r>
            <w:r w:rsidRPr="009B626A">
              <w:rPr>
                <w:lang w:val="en-GB"/>
              </w:rPr>
              <w:instrText xml:space="preserve"> PAGE   \* MERGEFORMAT </w:instrText>
            </w:r>
            <w:r>
              <w:fldChar w:fldCharType="separate"/>
            </w:r>
            <w:r w:rsidR="00CD4215">
              <w:rPr>
                <w:noProof/>
                <w:lang w:val="en-GB"/>
              </w:rPr>
              <w:t>10</w:t>
            </w:r>
            <w:r>
              <w:rPr>
                <w:noProof/>
              </w:rPr>
              <w:fldChar w:fldCharType="end"/>
            </w:r>
          </w:p>
        </w:sdtContent>
      </w:sdt>
      <w:p w:rsidR="00630448" w:rsidRDefault="00CD4215" w:rsidP="007A556F">
        <w:pPr>
          <w:pStyle w:val="Header"/>
          <w:jc w:val="right"/>
          <w:rPr>
            <w:noProof/>
          </w:rPr>
        </w:pP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333113"/>
      <w:docPartObj>
        <w:docPartGallery w:val="Page Numbers (Top of Page)"/>
        <w:docPartUnique/>
      </w:docPartObj>
    </w:sdtPr>
    <w:sdtEndPr>
      <w:rPr>
        <w:noProof/>
      </w:rPr>
    </w:sdtEndPr>
    <w:sdtContent>
      <w:sdt>
        <w:sdtPr>
          <w:id w:val="603305723"/>
          <w:docPartObj>
            <w:docPartGallery w:val="Page Numbers (Top of Page)"/>
            <w:docPartUnique/>
          </w:docPartObj>
        </w:sdtPr>
        <w:sdtEndPr>
          <w:rPr>
            <w:noProof/>
          </w:rPr>
        </w:sdtEndPr>
        <w:sdtContent>
          <w:p w:rsidR="00630448" w:rsidRDefault="00630448" w:rsidP="007A556F">
            <w:pPr>
              <w:pStyle w:val="Header"/>
              <w:jc w:val="right"/>
            </w:pPr>
            <w:r>
              <w:t>WO/PBC/24/10</w:t>
            </w:r>
          </w:p>
          <w:p w:rsidR="00630448" w:rsidRDefault="00630448" w:rsidP="007A556F">
            <w:pPr>
              <w:pStyle w:val="Header"/>
              <w:jc w:val="right"/>
              <w:rPr>
                <w:noProof/>
              </w:rPr>
            </w:pPr>
            <w:r>
              <w:t>ANNEXE II</w:t>
            </w:r>
          </w:p>
        </w:sdtContent>
      </w:sdt>
      <w:p w:rsidR="00630448" w:rsidRDefault="00CD4215" w:rsidP="007A556F">
        <w:pPr>
          <w:pStyle w:val="Header"/>
          <w:jc w:val="right"/>
        </w:pP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448" w:rsidRPr="000E0E17" w:rsidRDefault="00630448" w:rsidP="00477D6B">
    <w:pPr>
      <w:jc w:val="right"/>
      <w:rPr>
        <w:lang w:val="fr-CH"/>
      </w:rPr>
    </w:pPr>
    <w:bookmarkStart w:id="4" w:name="Code2"/>
    <w:bookmarkEnd w:id="4"/>
    <w:r w:rsidRPr="000E0E17">
      <w:rPr>
        <w:lang w:val="fr-CH"/>
      </w:rPr>
      <w:t>WO/PBC/24/10</w:t>
    </w:r>
  </w:p>
  <w:p w:rsidR="00630448" w:rsidRPr="000E0E17" w:rsidRDefault="00630448" w:rsidP="00477D6B">
    <w:pPr>
      <w:jc w:val="right"/>
      <w:rPr>
        <w:lang w:val="fr-CH"/>
      </w:rPr>
    </w:pPr>
    <w:r w:rsidRPr="000E0E17">
      <w:rPr>
        <w:lang w:val="fr-CH"/>
      </w:rPr>
      <w:t>Annex</w:t>
    </w:r>
    <w:r>
      <w:rPr>
        <w:lang w:val="fr-CH"/>
      </w:rPr>
      <w:t>e </w:t>
    </w:r>
    <w:r w:rsidRPr="000E0E17">
      <w:rPr>
        <w:lang w:val="fr-CH"/>
      </w:rPr>
      <w:t xml:space="preserve">II, page </w:t>
    </w:r>
    <w:r>
      <w:fldChar w:fldCharType="begin"/>
    </w:r>
    <w:r w:rsidRPr="000E0E17">
      <w:rPr>
        <w:lang w:val="fr-CH"/>
      </w:rPr>
      <w:instrText xml:space="preserve"> PAGE  \* MERGEFORMAT </w:instrText>
    </w:r>
    <w:r>
      <w:fldChar w:fldCharType="separate"/>
    </w:r>
    <w:r w:rsidR="00F829E1">
      <w:rPr>
        <w:noProof/>
        <w:lang w:val="fr-CH"/>
      </w:rPr>
      <w:t>4</w:t>
    </w:r>
    <w:r>
      <w:fldChar w:fldCharType="end"/>
    </w:r>
  </w:p>
  <w:p w:rsidR="00630448" w:rsidRPr="000E0E17" w:rsidRDefault="00630448" w:rsidP="00477D6B">
    <w:pP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939617"/>
      <w:docPartObj>
        <w:docPartGallery w:val="Page Numbers (Top of Page)"/>
        <w:docPartUnique/>
      </w:docPartObj>
    </w:sdtPr>
    <w:sdtEndPr>
      <w:rPr>
        <w:noProof/>
      </w:rPr>
    </w:sdtEndPr>
    <w:sdtContent>
      <w:p w:rsidR="00630448" w:rsidRPr="009274C6" w:rsidRDefault="00630448" w:rsidP="00436221">
        <w:pPr>
          <w:pStyle w:val="Header"/>
          <w:jc w:val="right"/>
        </w:pPr>
        <w:r w:rsidRPr="009274C6">
          <w:t>WO/PBC/24/10</w:t>
        </w:r>
      </w:p>
      <w:p w:rsidR="00630448" w:rsidRPr="00436221" w:rsidRDefault="00630448" w:rsidP="00436221">
        <w:pPr>
          <w:pStyle w:val="Header"/>
          <w:jc w:val="right"/>
          <w:rPr>
            <w:noProof/>
            <w:lang w:val="fr-CH"/>
          </w:rPr>
        </w:pPr>
        <w:r w:rsidRPr="009274C6">
          <w:t>Annex</w:t>
        </w:r>
        <w:r>
          <w:t>e </w:t>
        </w:r>
        <w:r w:rsidRPr="009274C6">
          <w:t xml:space="preserve">II, page </w:t>
        </w:r>
        <w:r>
          <w:fldChar w:fldCharType="begin"/>
        </w:r>
        <w:r w:rsidRPr="009274C6">
          <w:instrText xml:space="preserve"> PAGE   \* MERGEFORMAT </w:instrText>
        </w:r>
        <w:r>
          <w:fldChar w:fldCharType="separate"/>
        </w:r>
        <w:r w:rsidR="00CD4215">
          <w:rPr>
            <w:noProof/>
          </w:rPr>
          <w:t>11</w:t>
        </w:r>
        <w:r>
          <w:rPr>
            <w:noProof/>
          </w:rPr>
          <w:fldChar w:fldCharType="end"/>
        </w:r>
      </w:p>
    </w:sdtContent>
  </w:sdt>
  <w:p w:rsidR="00630448" w:rsidRPr="00436221" w:rsidRDefault="00630448" w:rsidP="00630448">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5D9C"/>
    <w:multiLevelType w:val="hybridMultilevel"/>
    <w:tmpl w:val="7EB68308"/>
    <w:lvl w:ilvl="0" w:tplc="C520CDD2">
      <w:start w:val="1"/>
      <w:numFmt w:val="lowerRoman"/>
      <w:lvlText w:val="%1)"/>
      <w:lvlJc w:val="left"/>
      <w:pPr>
        <w:tabs>
          <w:tab w:val="num" w:pos="1701"/>
        </w:tabs>
        <w:ind w:left="1701"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D0686E"/>
    <w:multiLevelType w:val="hybridMultilevel"/>
    <w:tmpl w:val="7084F660"/>
    <w:lvl w:ilvl="0" w:tplc="A98293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397D91"/>
    <w:multiLevelType w:val="hybridMultilevel"/>
    <w:tmpl w:val="13920C66"/>
    <w:lvl w:ilvl="0" w:tplc="F5429A4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16656422"/>
    <w:multiLevelType w:val="hybridMultilevel"/>
    <w:tmpl w:val="1CC64EFE"/>
    <w:lvl w:ilvl="0" w:tplc="C420797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1BC05443"/>
    <w:multiLevelType w:val="hybridMultilevel"/>
    <w:tmpl w:val="463CF806"/>
    <w:lvl w:ilvl="0" w:tplc="00306F1A">
      <w:start w:val="1"/>
      <w:numFmt w:val="decimal"/>
      <w:lvlText w:val="%1."/>
      <w:lvlJc w:val="left"/>
      <w:pPr>
        <w:ind w:left="720" w:hanging="360"/>
      </w:pPr>
      <w:rPr>
        <w:b w:val="0"/>
      </w:rPr>
    </w:lvl>
    <w:lvl w:ilvl="1" w:tplc="6D8E55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F3D825F6"/>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upperLetter"/>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68743AE"/>
    <w:multiLevelType w:val="hybridMultilevel"/>
    <w:tmpl w:val="58286D54"/>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2E0652"/>
    <w:multiLevelType w:val="hybridMultilevel"/>
    <w:tmpl w:val="3F947DE8"/>
    <w:lvl w:ilvl="0" w:tplc="5E4CE4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EE52F1"/>
    <w:multiLevelType w:val="hybridMultilevel"/>
    <w:tmpl w:val="7EB68308"/>
    <w:lvl w:ilvl="0" w:tplc="C520CDD2">
      <w:start w:val="1"/>
      <w:numFmt w:val="lowerRoman"/>
      <w:lvlText w:val="%1)"/>
      <w:lvlJc w:val="left"/>
      <w:pPr>
        <w:tabs>
          <w:tab w:val="num" w:pos="1701"/>
        </w:tabs>
        <w:ind w:left="1701"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08343D"/>
    <w:multiLevelType w:val="hybridMultilevel"/>
    <w:tmpl w:val="4196ADC6"/>
    <w:lvl w:ilvl="0" w:tplc="BED810FE">
      <w:start w:val="1"/>
      <w:numFmt w:val="lowerLetter"/>
      <w:lvlText w:val="%1)"/>
      <w:lvlJc w:val="left"/>
      <w:pPr>
        <w:tabs>
          <w:tab w:val="num" w:pos="1134"/>
        </w:tabs>
        <w:ind w:left="1134" w:hanging="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CB4525"/>
    <w:multiLevelType w:val="hybridMultilevel"/>
    <w:tmpl w:val="B8C032FA"/>
    <w:lvl w:ilvl="0" w:tplc="AD867A92">
      <w:start w:val="1"/>
      <w:numFmt w:val="lowerRoman"/>
      <w:lvlText w:val="%1)"/>
      <w:lvlJc w:val="left"/>
      <w:pPr>
        <w:ind w:left="6249" w:hanging="360"/>
      </w:pPr>
      <w:rPr>
        <w:rFonts w:hint="default"/>
      </w:r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2">
    <w:nsid w:val="55F267B4"/>
    <w:multiLevelType w:val="hybridMultilevel"/>
    <w:tmpl w:val="BB9CC4FE"/>
    <w:lvl w:ilvl="0" w:tplc="00306F1A">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68BA00AF"/>
    <w:multiLevelType w:val="hybridMultilevel"/>
    <w:tmpl w:val="DE9A7A0E"/>
    <w:lvl w:ilvl="0" w:tplc="125227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70C53B4"/>
    <w:multiLevelType w:val="hybridMultilevel"/>
    <w:tmpl w:val="B142CDDA"/>
    <w:lvl w:ilvl="0" w:tplc="6D8E556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7"/>
  </w:num>
  <w:num w:numId="5">
    <w:abstractNumId w:val="12"/>
  </w:num>
  <w:num w:numId="6">
    <w:abstractNumId w:val="4"/>
  </w:num>
  <w:num w:numId="7">
    <w:abstractNumId w:val="1"/>
  </w:num>
  <w:num w:numId="8">
    <w:abstractNumId w:val="9"/>
  </w:num>
  <w:num w:numId="9">
    <w:abstractNumId w:val="6"/>
  </w:num>
  <w:num w:numId="10">
    <w:abstractNumId w:val="3"/>
  </w:num>
  <w:num w:numId="11">
    <w:abstractNumId w:val="0"/>
  </w:num>
  <w:num w:numId="12">
    <w:abstractNumId w:val="2"/>
  </w:num>
  <w:num w:numId="13">
    <w:abstractNumId w:val="14"/>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Glossaries\EN-FR|TextBase TMs\Budget and Finance\Meetings|TextBase TMs\Budget and Finance\Other|TextBase TMs\Budget and Finance\Publications"/>
    <w:docVar w:name="TextBaseURL" w:val="empty"/>
    <w:docVar w:name="UILng" w:val="en"/>
  </w:docVars>
  <w:rsids>
    <w:rsidRoot w:val="00490611"/>
    <w:rsid w:val="00001948"/>
    <w:rsid w:val="0000321A"/>
    <w:rsid w:val="000243E3"/>
    <w:rsid w:val="0003620E"/>
    <w:rsid w:val="00043CAA"/>
    <w:rsid w:val="00051BB9"/>
    <w:rsid w:val="0005643A"/>
    <w:rsid w:val="00062329"/>
    <w:rsid w:val="00075432"/>
    <w:rsid w:val="00084D15"/>
    <w:rsid w:val="00085D20"/>
    <w:rsid w:val="0009578B"/>
    <w:rsid w:val="000968ED"/>
    <w:rsid w:val="000A7AEA"/>
    <w:rsid w:val="000B0BEC"/>
    <w:rsid w:val="000C2130"/>
    <w:rsid w:val="000E0E17"/>
    <w:rsid w:val="000E7080"/>
    <w:rsid w:val="000F5E56"/>
    <w:rsid w:val="000F75D2"/>
    <w:rsid w:val="00110F94"/>
    <w:rsid w:val="00112952"/>
    <w:rsid w:val="001362EE"/>
    <w:rsid w:val="00136B66"/>
    <w:rsid w:val="00137B5B"/>
    <w:rsid w:val="00140BA1"/>
    <w:rsid w:val="00143459"/>
    <w:rsid w:val="00161F65"/>
    <w:rsid w:val="0016571D"/>
    <w:rsid w:val="001832A6"/>
    <w:rsid w:val="001A3CA6"/>
    <w:rsid w:val="001A7224"/>
    <w:rsid w:val="001D7159"/>
    <w:rsid w:val="001D7C0D"/>
    <w:rsid w:val="001E451E"/>
    <w:rsid w:val="001F25BD"/>
    <w:rsid w:val="001F2BBA"/>
    <w:rsid w:val="0022625F"/>
    <w:rsid w:val="0022778D"/>
    <w:rsid w:val="002634C4"/>
    <w:rsid w:val="002755DA"/>
    <w:rsid w:val="00280F94"/>
    <w:rsid w:val="002928D3"/>
    <w:rsid w:val="00292CE6"/>
    <w:rsid w:val="0029308E"/>
    <w:rsid w:val="00294DB7"/>
    <w:rsid w:val="00295456"/>
    <w:rsid w:val="002B30A3"/>
    <w:rsid w:val="002D520D"/>
    <w:rsid w:val="002F1FE6"/>
    <w:rsid w:val="002F3EC4"/>
    <w:rsid w:val="002F4E68"/>
    <w:rsid w:val="00300860"/>
    <w:rsid w:val="00301C7C"/>
    <w:rsid w:val="00304601"/>
    <w:rsid w:val="00312F7F"/>
    <w:rsid w:val="00336372"/>
    <w:rsid w:val="00340449"/>
    <w:rsid w:val="00343D95"/>
    <w:rsid w:val="00347FC5"/>
    <w:rsid w:val="00361450"/>
    <w:rsid w:val="00361B3F"/>
    <w:rsid w:val="00362C19"/>
    <w:rsid w:val="003673CF"/>
    <w:rsid w:val="003674E3"/>
    <w:rsid w:val="003723CC"/>
    <w:rsid w:val="00372B29"/>
    <w:rsid w:val="003845C1"/>
    <w:rsid w:val="003A1871"/>
    <w:rsid w:val="003A2D26"/>
    <w:rsid w:val="003A6F89"/>
    <w:rsid w:val="003B0FBE"/>
    <w:rsid w:val="003B31D5"/>
    <w:rsid w:val="003B38C1"/>
    <w:rsid w:val="003B5C7C"/>
    <w:rsid w:val="003C0FB7"/>
    <w:rsid w:val="003C3B39"/>
    <w:rsid w:val="003C40AF"/>
    <w:rsid w:val="003D235E"/>
    <w:rsid w:val="003D5834"/>
    <w:rsid w:val="003D7FC1"/>
    <w:rsid w:val="003E7090"/>
    <w:rsid w:val="003F3782"/>
    <w:rsid w:val="00413759"/>
    <w:rsid w:val="004223C1"/>
    <w:rsid w:val="00422965"/>
    <w:rsid w:val="00423E3E"/>
    <w:rsid w:val="00427AF4"/>
    <w:rsid w:val="00436221"/>
    <w:rsid w:val="0044721B"/>
    <w:rsid w:val="004556A9"/>
    <w:rsid w:val="004647DA"/>
    <w:rsid w:val="00467FBD"/>
    <w:rsid w:val="0047106D"/>
    <w:rsid w:val="00472B6F"/>
    <w:rsid w:val="00474062"/>
    <w:rsid w:val="00477D6B"/>
    <w:rsid w:val="00485AD9"/>
    <w:rsid w:val="00490611"/>
    <w:rsid w:val="004D0E0D"/>
    <w:rsid w:val="004D331E"/>
    <w:rsid w:val="004E361E"/>
    <w:rsid w:val="004F37C5"/>
    <w:rsid w:val="004F547E"/>
    <w:rsid w:val="004F7893"/>
    <w:rsid w:val="005019FF"/>
    <w:rsid w:val="005179AE"/>
    <w:rsid w:val="0053057A"/>
    <w:rsid w:val="005427C6"/>
    <w:rsid w:val="00560A29"/>
    <w:rsid w:val="00561C22"/>
    <w:rsid w:val="005725F2"/>
    <w:rsid w:val="005A1F08"/>
    <w:rsid w:val="005A35D8"/>
    <w:rsid w:val="005A6364"/>
    <w:rsid w:val="005A786C"/>
    <w:rsid w:val="005B06DC"/>
    <w:rsid w:val="005B2D04"/>
    <w:rsid w:val="005B7410"/>
    <w:rsid w:val="005C6649"/>
    <w:rsid w:val="005D411F"/>
    <w:rsid w:val="005D68FF"/>
    <w:rsid w:val="00601D49"/>
    <w:rsid w:val="00603EB2"/>
    <w:rsid w:val="006045BD"/>
    <w:rsid w:val="006048FD"/>
    <w:rsid w:val="00605827"/>
    <w:rsid w:val="00607EBF"/>
    <w:rsid w:val="006112AF"/>
    <w:rsid w:val="00615E45"/>
    <w:rsid w:val="00630448"/>
    <w:rsid w:val="006351AB"/>
    <w:rsid w:val="006362BF"/>
    <w:rsid w:val="00641B32"/>
    <w:rsid w:val="00641C5C"/>
    <w:rsid w:val="00646050"/>
    <w:rsid w:val="006476F8"/>
    <w:rsid w:val="0065389E"/>
    <w:rsid w:val="006664B1"/>
    <w:rsid w:val="006713CA"/>
    <w:rsid w:val="0067327D"/>
    <w:rsid w:val="00676C5C"/>
    <w:rsid w:val="00677FD1"/>
    <w:rsid w:val="00683713"/>
    <w:rsid w:val="00693AA7"/>
    <w:rsid w:val="006940BD"/>
    <w:rsid w:val="00694AE6"/>
    <w:rsid w:val="006A582F"/>
    <w:rsid w:val="006B3F4C"/>
    <w:rsid w:val="006B52DB"/>
    <w:rsid w:val="006C189B"/>
    <w:rsid w:val="006D5A82"/>
    <w:rsid w:val="006D794B"/>
    <w:rsid w:val="006E1C95"/>
    <w:rsid w:val="006E718B"/>
    <w:rsid w:val="006F20DA"/>
    <w:rsid w:val="006F2FDA"/>
    <w:rsid w:val="006F3AA3"/>
    <w:rsid w:val="006F3CA0"/>
    <w:rsid w:val="006F5F6A"/>
    <w:rsid w:val="007200D1"/>
    <w:rsid w:val="00720936"/>
    <w:rsid w:val="00725B80"/>
    <w:rsid w:val="007532F6"/>
    <w:rsid w:val="00761F8E"/>
    <w:rsid w:val="00763075"/>
    <w:rsid w:val="007730AF"/>
    <w:rsid w:val="007743B5"/>
    <w:rsid w:val="00777825"/>
    <w:rsid w:val="00795641"/>
    <w:rsid w:val="007A0E20"/>
    <w:rsid w:val="007A17CE"/>
    <w:rsid w:val="007A556F"/>
    <w:rsid w:val="007A6D02"/>
    <w:rsid w:val="007D1613"/>
    <w:rsid w:val="007E3817"/>
    <w:rsid w:val="00805E20"/>
    <w:rsid w:val="0081144C"/>
    <w:rsid w:val="00816745"/>
    <w:rsid w:val="00831436"/>
    <w:rsid w:val="0083228D"/>
    <w:rsid w:val="00844E51"/>
    <w:rsid w:val="00846450"/>
    <w:rsid w:val="0086196E"/>
    <w:rsid w:val="00873CAC"/>
    <w:rsid w:val="00883FA0"/>
    <w:rsid w:val="00890FF7"/>
    <w:rsid w:val="008A147C"/>
    <w:rsid w:val="008B0F8F"/>
    <w:rsid w:val="008B2CC1"/>
    <w:rsid w:val="008B5730"/>
    <w:rsid w:val="008B60B2"/>
    <w:rsid w:val="008C4FB1"/>
    <w:rsid w:val="008D3E23"/>
    <w:rsid w:val="008E0781"/>
    <w:rsid w:val="0090222A"/>
    <w:rsid w:val="00905E6A"/>
    <w:rsid w:val="0090731E"/>
    <w:rsid w:val="00913631"/>
    <w:rsid w:val="00913E2E"/>
    <w:rsid w:val="00914C0E"/>
    <w:rsid w:val="00916EE2"/>
    <w:rsid w:val="0091787F"/>
    <w:rsid w:val="00922F86"/>
    <w:rsid w:val="00923158"/>
    <w:rsid w:val="00937F53"/>
    <w:rsid w:val="00944F41"/>
    <w:rsid w:val="00966A22"/>
    <w:rsid w:val="0096722F"/>
    <w:rsid w:val="00980843"/>
    <w:rsid w:val="00980942"/>
    <w:rsid w:val="009973E9"/>
    <w:rsid w:val="009A0625"/>
    <w:rsid w:val="009B537B"/>
    <w:rsid w:val="009B626A"/>
    <w:rsid w:val="009C58C9"/>
    <w:rsid w:val="009C5A8B"/>
    <w:rsid w:val="009D1B63"/>
    <w:rsid w:val="009E2791"/>
    <w:rsid w:val="009E3CE7"/>
    <w:rsid w:val="009E3DB9"/>
    <w:rsid w:val="009E3F6F"/>
    <w:rsid w:val="009F3597"/>
    <w:rsid w:val="009F499F"/>
    <w:rsid w:val="00A163BA"/>
    <w:rsid w:val="00A379C0"/>
    <w:rsid w:val="00A41875"/>
    <w:rsid w:val="00A41C6C"/>
    <w:rsid w:val="00A42DAF"/>
    <w:rsid w:val="00A45BD8"/>
    <w:rsid w:val="00A46961"/>
    <w:rsid w:val="00A476B7"/>
    <w:rsid w:val="00A575DC"/>
    <w:rsid w:val="00A57E3F"/>
    <w:rsid w:val="00A61895"/>
    <w:rsid w:val="00A639FB"/>
    <w:rsid w:val="00A70205"/>
    <w:rsid w:val="00A70272"/>
    <w:rsid w:val="00A77461"/>
    <w:rsid w:val="00A869B7"/>
    <w:rsid w:val="00A86D23"/>
    <w:rsid w:val="00A9105D"/>
    <w:rsid w:val="00A912A6"/>
    <w:rsid w:val="00AA0871"/>
    <w:rsid w:val="00AA26AC"/>
    <w:rsid w:val="00AA7536"/>
    <w:rsid w:val="00AC205C"/>
    <w:rsid w:val="00AD1ABC"/>
    <w:rsid w:val="00AD28F0"/>
    <w:rsid w:val="00AD532F"/>
    <w:rsid w:val="00AD6071"/>
    <w:rsid w:val="00AD64D9"/>
    <w:rsid w:val="00AD6949"/>
    <w:rsid w:val="00AE69FC"/>
    <w:rsid w:val="00AE6A14"/>
    <w:rsid w:val="00AF0A6B"/>
    <w:rsid w:val="00AF49F2"/>
    <w:rsid w:val="00AF4A90"/>
    <w:rsid w:val="00B00C2A"/>
    <w:rsid w:val="00B05A69"/>
    <w:rsid w:val="00B07510"/>
    <w:rsid w:val="00B11E9D"/>
    <w:rsid w:val="00B15607"/>
    <w:rsid w:val="00B17240"/>
    <w:rsid w:val="00B267F9"/>
    <w:rsid w:val="00B4081C"/>
    <w:rsid w:val="00B45B74"/>
    <w:rsid w:val="00B57181"/>
    <w:rsid w:val="00B64EAD"/>
    <w:rsid w:val="00B7322A"/>
    <w:rsid w:val="00B742DD"/>
    <w:rsid w:val="00B8454C"/>
    <w:rsid w:val="00B9734B"/>
    <w:rsid w:val="00BA09E8"/>
    <w:rsid w:val="00BA7311"/>
    <w:rsid w:val="00BB3ED2"/>
    <w:rsid w:val="00BC3432"/>
    <w:rsid w:val="00BC4821"/>
    <w:rsid w:val="00BD4B66"/>
    <w:rsid w:val="00BD5EBD"/>
    <w:rsid w:val="00BE11BC"/>
    <w:rsid w:val="00BE4E6C"/>
    <w:rsid w:val="00BE721D"/>
    <w:rsid w:val="00C025A2"/>
    <w:rsid w:val="00C046C3"/>
    <w:rsid w:val="00C05CB2"/>
    <w:rsid w:val="00C10F49"/>
    <w:rsid w:val="00C11A99"/>
    <w:rsid w:val="00C11BFE"/>
    <w:rsid w:val="00C1347F"/>
    <w:rsid w:val="00C269ED"/>
    <w:rsid w:val="00C31461"/>
    <w:rsid w:val="00C34C06"/>
    <w:rsid w:val="00C35E4C"/>
    <w:rsid w:val="00C64D1B"/>
    <w:rsid w:val="00C73BC5"/>
    <w:rsid w:val="00C86E32"/>
    <w:rsid w:val="00CA5ED8"/>
    <w:rsid w:val="00CB392A"/>
    <w:rsid w:val="00CB3E90"/>
    <w:rsid w:val="00CB7A61"/>
    <w:rsid w:val="00CC10EE"/>
    <w:rsid w:val="00CD41B9"/>
    <w:rsid w:val="00CD4215"/>
    <w:rsid w:val="00CD72E6"/>
    <w:rsid w:val="00D03AB9"/>
    <w:rsid w:val="00D05E81"/>
    <w:rsid w:val="00D14880"/>
    <w:rsid w:val="00D16D73"/>
    <w:rsid w:val="00D25AC6"/>
    <w:rsid w:val="00D317BC"/>
    <w:rsid w:val="00D35087"/>
    <w:rsid w:val="00D45252"/>
    <w:rsid w:val="00D538A7"/>
    <w:rsid w:val="00D54922"/>
    <w:rsid w:val="00D71B4D"/>
    <w:rsid w:val="00D73EF8"/>
    <w:rsid w:val="00D93D55"/>
    <w:rsid w:val="00D96579"/>
    <w:rsid w:val="00DA0E9F"/>
    <w:rsid w:val="00DA1F6F"/>
    <w:rsid w:val="00DA4653"/>
    <w:rsid w:val="00DB4F1F"/>
    <w:rsid w:val="00DC18A2"/>
    <w:rsid w:val="00DD0303"/>
    <w:rsid w:val="00E03139"/>
    <w:rsid w:val="00E038A1"/>
    <w:rsid w:val="00E05753"/>
    <w:rsid w:val="00E243DA"/>
    <w:rsid w:val="00E335FE"/>
    <w:rsid w:val="00E41C15"/>
    <w:rsid w:val="00E42C18"/>
    <w:rsid w:val="00E47315"/>
    <w:rsid w:val="00E476B7"/>
    <w:rsid w:val="00E83997"/>
    <w:rsid w:val="00E8510F"/>
    <w:rsid w:val="00E95D56"/>
    <w:rsid w:val="00E96C3D"/>
    <w:rsid w:val="00EB5DA5"/>
    <w:rsid w:val="00EC1805"/>
    <w:rsid w:val="00EC4E49"/>
    <w:rsid w:val="00ED46FA"/>
    <w:rsid w:val="00ED77FB"/>
    <w:rsid w:val="00EE45FA"/>
    <w:rsid w:val="00F01D65"/>
    <w:rsid w:val="00F10F13"/>
    <w:rsid w:val="00F316AE"/>
    <w:rsid w:val="00F3295B"/>
    <w:rsid w:val="00F46757"/>
    <w:rsid w:val="00F5654C"/>
    <w:rsid w:val="00F579D7"/>
    <w:rsid w:val="00F66152"/>
    <w:rsid w:val="00F76982"/>
    <w:rsid w:val="00F829E1"/>
    <w:rsid w:val="00F93192"/>
    <w:rsid w:val="00F954DB"/>
    <w:rsid w:val="00FA486D"/>
    <w:rsid w:val="00FA5922"/>
    <w:rsid w:val="00FA7BD3"/>
    <w:rsid w:val="00FB6566"/>
    <w:rsid w:val="00FC72B7"/>
    <w:rsid w:val="00FE6132"/>
    <w:rsid w:val="00FF2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E9D"/>
    <w:rPr>
      <w:rFonts w:ascii="Arial" w:eastAsia="SimSun" w:hAnsi="Arial" w:cs="Arial"/>
      <w:sz w:val="22"/>
      <w:lang w:val="fr-FR"/>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ONUMEChar">
    <w:name w:val="ONUM E Char"/>
    <w:link w:val="ONUME"/>
    <w:rsid w:val="00490611"/>
    <w:rPr>
      <w:rFonts w:ascii="Arial" w:eastAsia="SimSun" w:hAnsi="Arial" w:cs="Arial"/>
      <w:sz w:val="22"/>
    </w:rPr>
  </w:style>
  <w:style w:type="character" w:styleId="FootnoteReference">
    <w:name w:val="footnote reference"/>
    <w:basedOn w:val="DefaultParagraphFont"/>
    <w:rsid w:val="00490611"/>
    <w:rPr>
      <w:vertAlign w:val="superscript"/>
    </w:rPr>
  </w:style>
  <w:style w:type="character" w:customStyle="1" w:styleId="HeaderChar">
    <w:name w:val="Header Char"/>
    <w:basedOn w:val="DefaultParagraphFont"/>
    <w:link w:val="Header"/>
    <w:uiPriority w:val="99"/>
    <w:rsid w:val="00490611"/>
    <w:rPr>
      <w:rFonts w:ascii="Arial" w:eastAsia="SimSun" w:hAnsi="Arial" w:cs="Arial"/>
      <w:sz w:val="22"/>
    </w:rPr>
  </w:style>
  <w:style w:type="paragraph" w:customStyle="1" w:styleId="Style2">
    <w:name w:val="Style2"/>
    <w:basedOn w:val="Normal"/>
    <w:rsid w:val="00EB5DA5"/>
  </w:style>
  <w:style w:type="paragraph" w:styleId="ListParagraph">
    <w:name w:val="List Paragraph"/>
    <w:basedOn w:val="Normal"/>
    <w:uiPriority w:val="34"/>
    <w:qFormat/>
    <w:rsid w:val="00472B6F"/>
    <w:pPr>
      <w:ind w:left="720"/>
      <w:contextualSpacing/>
    </w:pPr>
  </w:style>
  <w:style w:type="table" w:styleId="TableGrid">
    <w:name w:val="Table Grid"/>
    <w:basedOn w:val="TableNormal"/>
    <w:rsid w:val="0013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B626A"/>
    <w:rPr>
      <w:b/>
      <w:bCs/>
    </w:rPr>
  </w:style>
  <w:style w:type="character" w:customStyle="1" w:styleId="hps">
    <w:name w:val="hps"/>
    <w:basedOn w:val="DefaultParagraphFont"/>
    <w:rsid w:val="00B8454C"/>
  </w:style>
  <w:style w:type="character" w:customStyle="1" w:styleId="atn">
    <w:name w:val="atn"/>
    <w:basedOn w:val="DefaultParagraphFont"/>
    <w:rsid w:val="00B8454C"/>
  </w:style>
  <w:style w:type="character" w:styleId="CommentReference">
    <w:name w:val="annotation reference"/>
    <w:basedOn w:val="DefaultParagraphFont"/>
    <w:rsid w:val="00B8454C"/>
    <w:rPr>
      <w:sz w:val="16"/>
      <w:szCs w:val="16"/>
    </w:rPr>
  </w:style>
  <w:style w:type="paragraph" w:styleId="CommentSubject">
    <w:name w:val="annotation subject"/>
    <w:basedOn w:val="CommentText"/>
    <w:next w:val="CommentText"/>
    <w:link w:val="CommentSubjectChar"/>
    <w:rsid w:val="00B8454C"/>
    <w:rPr>
      <w:b/>
      <w:bCs/>
      <w:sz w:val="20"/>
    </w:rPr>
  </w:style>
  <w:style w:type="character" w:customStyle="1" w:styleId="CommentTextChar">
    <w:name w:val="Comment Text Char"/>
    <w:basedOn w:val="DefaultParagraphFont"/>
    <w:link w:val="CommentText"/>
    <w:semiHidden/>
    <w:rsid w:val="00B8454C"/>
    <w:rPr>
      <w:rFonts w:ascii="Arial" w:eastAsia="SimSun" w:hAnsi="Arial" w:cs="Arial"/>
      <w:sz w:val="18"/>
      <w:lang w:val="fr-FR"/>
    </w:rPr>
  </w:style>
  <w:style w:type="character" w:customStyle="1" w:styleId="CommentSubjectChar">
    <w:name w:val="Comment Subject Char"/>
    <w:basedOn w:val="CommentTextChar"/>
    <w:link w:val="CommentSubject"/>
    <w:rsid w:val="00B8454C"/>
    <w:rPr>
      <w:rFonts w:ascii="Arial" w:eastAsia="SimSun" w:hAnsi="Arial" w:cs="Arial"/>
      <w:b/>
      <w:bCs/>
      <w:sz w:val="18"/>
      <w:lang w:val="fr-FR"/>
    </w:rPr>
  </w:style>
  <w:style w:type="character" w:styleId="Hyperlink">
    <w:name w:val="Hyperlink"/>
    <w:basedOn w:val="DefaultParagraphFont"/>
    <w:rsid w:val="00D14880"/>
    <w:rPr>
      <w:color w:val="0000FF" w:themeColor="hyperlink"/>
      <w:u w:val="single"/>
    </w:rPr>
  </w:style>
  <w:style w:type="paragraph" w:styleId="Revision">
    <w:name w:val="Revision"/>
    <w:hidden/>
    <w:uiPriority w:val="99"/>
    <w:semiHidden/>
    <w:rsid w:val="00D14880"/>
    <w:rPr>
      <w:rFonts w:ascii="Arial" w:eastAsia="SimSun" w:hAnsi="Arial" w:cs="Arial"/>
      <w:sz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E9D"/>
    <w:rPr>
      <w:rFonts w:ascii="Arial" w:eastAsia="SimSun" w:hAnsi="Arial" w:cs="Arial"/>
      <w:sz w:val="22"/>
      <w:lang w:val="fr-FR"/>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ONUMEChar">
    <w:name w:val="ONUM E Char"/>
    <w:link w:val="ONUME"/>
    <w:rsid w:val="00490611"/>
    <w:rPr>
      <w:rFonts w:ascii="Arial" w:eastAsia="SimSun" w:hAnsi="Arial" w:cs="Arial"/>
      <w:sz w:val="22"/>
    </w:rPr>
  </w:style>
  <w:style w:type="character" w:styleId="FootnoteReference">
    <w:name w:val="footnote reference"/>
    <w:basedOn w:val="DefaultParagraphFont"/>
    <w:rsid w:val="00490611"/>
    <w:rPr>
      <w:vertAlign w:val="superscript"/>
    </w:rPr>
  </w:style>
  <w:style w:type="character" w:customStyle="1" w:styleId="HeaderChar">
    <w:name w:val="Header Char"/>
    <w:basedOn w:val="DefaultParagraphFont"/>
    <w:link w:val="Header"/>
    <w:uiPriority w:val="99"/>
    <w:rsid w:val="00490611"/>
    <w:rPr>
      <w:rFonts w:ascii="Arial" w:eastAsia="SimSun" w:hAnsi="Arial" w:cs="Arial"/>
      <w:sz w:val="22"/>
    </w:rPr>
  </w:style>
  <w:style w:type="paragraph" w:customStyle="1" w:styleId="Style2">
    <w:name w:val="Style2"/>
    <w:basedOn w:val="Normal"/>
    <w:rsid w:val="00EB5DA5"/>
  </w:style>
  <w:style w:type="paragraph" w:styleId="ListParagraph">
    <w:name w:val="List Paragraph"/>
    <w:basedOn w:val="Normal"/>
    <w:uiPriority w:val="34"/>
    <w:qFormat/>
    <w:rsid w:val="00472B6F"/>
    <w:pPr>
      <w:ind w:left="720"/>
      <w:contextualSpacing/>
    </w:pPr>
  </w:style>
  <w:style w:type="table" w:styleId="TableGrid">
    <w:name w:val="Table Grid"/>
    <w:basedOn w:val="TableNormal"/>
    <w:rsid w:val="0013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B626A"/>
    <w:rPr>
      <w:b/>
      <w:bCs/>
    </w:rPr>
  </w:style>
  <w:style w:type="character" w:customStyle="1" w:styleId="hps">
    <w:name w:val="hps"/>
    <w:basedOn w:val="DefaultParagraphFont"/>
    <w:rsid w:val="00B8454C"/>
  </w:style>
  <w:style w:type="character" w:customStyle="1" w:styleId="atn">
    <w:name w:val="atn"/>
    <w:basedOn w:val="DefaultParagraphFont"/>
    <w:rsid w:val="00B8454C"/>
  </w:style>
  <w:style w:type="character" w:styleId="CommentReference">
    <w:name w:val="annotation reference"/>
    <w:basedOn w:val="DefaultParagraphFont"/>
    <w:rsid w:val="00B8454C"/>
    <w:rPr>
      <w:sz w:val="16"/>
      <w:szCs w:val="16"/>
    </w:rPr>
  </w:style>
  <w:style w:type="paragraph" w:styleId="CommentSubject">
    <w:name w:val="annotation subject"/>
    <w:basedOn w:val="CommentText"/>
    <w:next w:val="CommentText"/>
    <w:link w:val="CommentSubjectChar"/>
    <w:rsid w:val="00B8454C"/>
    <w:rPr>
      <w:b/>
      <w:bCs/>
      <w:sz w:val="20"/>
    </w:rPr>
  </w:style>
  <w:style w:type="character" w:customStyle="1" w:styleId="CommentTextChar">
    <w:name w:val="Comment Text Char"/>
    <w:basedOn w:val="DefaultParagraphFont"/>
    <w:link w:val="CommentText"/>
    <w:semiHidden/>
    <w:rsid w:val="00B8454C"/>
    <w:rPr>
      <w:rFonts w:ascii="Arial" w:eastAsia="SimSun" w:hAnsi="Arial" w:cs="Arial"/>
      <w:sz w:val="18"/>
      <w:lang w:val="fr-FR"/>
    </w:rPr>
  </w:style>
  <w:style w:type="character" w:customStyle="1" w:styleId="CommentSubjectChar">
    <w:name w:val="Comment Subject Char"/>
    <w:basedOn w:val="CommentTextChar"/>
    <w:link w:val="CommentSubject"/>
    <w:rsid w:val="00B8454C"/>
    <w:rPr>
      <w:rFonts w:ascii="Arial" w:eastAsia="SimSun" w:hAnsi="Arial" w:cs="Arial"/>
      <w:b/>
      <w:bCs/>
      <w:sz w:val="18"/>
      <w:lang w:val="fr-FR"/>
    </w:rPr>
  </w:style>
  <w:style w:type="character" w:styleId="Hyperlink">
    <w:name w:val="Hyperlink"/>
    <w:basedOn w:val="DefaultParagraphFont"/>
    <w:rsid w:val="00D14880"/>
    <w:rPr>
      <w:color w:val="0000FF" w:themeColor="hyperlink"/>
      <w:u w:val="single"/>
    </w:rPr>
  </w:style>
  <w:style w:type="paragraph" w:styleId="Revision">
    <w:name w:val="Revision"/>
    <w:hidden/>
    <w:uiPriority w:val="99"/>
    <w:semiHidden/>
    <w:rsid w:val="00D14880"/>
    <w:rPr>
      <w:rFonts w:ascii="Arial" w:eastAsia="SimSun" w:hAnsi="Arial" w:cs="Arial"/>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57170">
      <w:bodyDiv w:val="1"/>
      <w:marLeft w:val="0"/>
      <w:marRight w:val="0"/>
      <w:marTop w:val="0"/>
      <w:marBottom w:val="0"/>
      <w:divBdr>
        <w:top w:val="none" w:sz="0" w:space="0" w:color="auto"/>
        <w:left w:val="none" w:sz="0" w:space="0" w:color="auto"/>
        <w:bottom w:val="none" w:sz="0" w:space="0" w:color="auto"/>
        <w:right w:val="none" w:sz="0" w:space="0" w:color="auto"/>
      </w:divBdr>
      <w:divsChild>
        <w:div w:id="2042894640">
          <w:marLeft w:val="0"/>
          <w:marRight w:val="0"/>
          <w:marTop w:val="0"/>
          <w:marBottom w:val="0"/>
          <w:divBdr>
            <w:top w:val="none" w:sz="0" w:space="0" w:color="auto"/>
            <w:left w:val="none" w:sz="0" w:space="0" w:color="auto"/>
            <w:bottom w:val="none" w:sz="0" w:space="0" w:color="auto"/>
            <w:right w:val="none" w:sz="0" w:space="0" w:color="auto"/>
          </w:divBdr>
          <w:divsChild>
            <w:div w:id="26487320">
              <w:marLeft w:val="0"/>
              <w:marRight w:val="0"/>
              <w:marTop w:val="0"/>
              <w:marBottom w:val="0"/>
              <w:divBdr>
                <w:top w:val="none" w:sz="0" w:space="0" w:color="auto"/>
                <w:left w:val="none" w:sz="0" w:space="0" w:color="auto"/>
                <w:bottom w:val="none" w:sz="0" w:space="0" w:color="auto"/>
                <w:right w:val="none" w:sz="0" w:space="0" w:color="auto"/>
              </w:divBdr>
              <w:divsChild>
                <w:div w:id="1689016019">
                  <w:marLeft w:val="0"/>
                  <w:marRight w:val="0"/>
                  <w:marTop w:val="0"/>
                  <w:marBottom w:val="0"/>
                  <w:divBdr>
                    <w:top w:val="none" w:sz="0" w:space="0" w:color="auto"/>
                    <w:left w:val="none" w:sz="0" w:space="0" w:color="auto"/>
                    <w:bottom w:val="none" w:sz="0" w:space="0" w:color="auto"/>
                    <w:right w:val="none" w:sz="0" w:space="0" w:color="auto"/>
                  </w:divBdr>
                  <w:divsChild>
                    <w:div w:id="183519156">
                      <w:marLeft w:val="0"/>
                      <w:marRight w:val="0"/>
                      <w:marTop w:val="0"/>
                      <w:marBottom w:val="0"/>
                      <w:divBdr>
                        <w:top w:val="none" w:sz="0" w:space="0" w:color="auto"/>
                        <w:left w:val="none" w:sz="0" w:space="0" w:color="auto"/>
                        <w:bottom w:val="none" w:sz="0" w:space="0" w:color="auto"/>
                        <w:right w:val="none" w:sz="0" w:space="0" w:color="auto"/>
                      </w:divBdr>
                      <w:divsChild>
                        <w:div w:id="494609391">
                          <w:marLeft w:val="0"/>
                          <w:marRight w:val="0"/>
                          <w:marTop w:val="0"/>
                          <w:marBottom w:val="0"/>
                          <w:divBdr>
                            <w:top w:val="none" w:sz="0" w:space="0" w:color="auto"/>
                            <w:left w:val="none" w:sz="0" w:space="0" w:color="auto"/>
                            <w:bottom w:val="none" w:sz="0" w:space="0" w:color="auto"/>
                            <w:right w:val="none" w:sz="0" w:space="0" w:color="auto"/>
                          </w:divBdr>
                          <w:divsChild>
                            <w:div w:id="817963788">
                              <w:marLeft w:val="0"/>
                              <w:marRight w:val="0"/>
                              <w:marTop w:val="0"/>
                              <w:marBottom w:val="0"/>
                              <w:divBdr>
                                <w:top w:val="none" w:sz="0" w:space="0" w:color="auto"/>
                                <w:left w:val="none" w:sz="0" w:space="0" w:color="auto"/>
                                <w:bottom w:val="none" w:sz="0" w:space="0" w:color="auto"/>
                                <w:right w:val="none" w:sz="0" w:space="0" w:color="auto"/>
                              </w:divBdr>
                              <w:divsChild>
                                <w:div w:id="1988707484">
                                  <w:marLeft w:val="0"/>
                                  <w:marRight w:val="0"/>
                                  <w:marTop w:val="0"/>
                                  <w:marBottom w:val="0"/>
                                  <w:divBdr>
                                    <w:top w:val="none" w:sz="0" w:space="0" w:color="auto"/>
                                    <w:left w:val="none" w:sz="0" w:space="0" w:color="auto"/>
                                    <w:bottom w:val="none" w:sz="0" w:space="0" w:color="auto"/>
                                    <w:right w:val="none" w:sz="0" w:space="0" w:color="auto"/>
                                  </w:divBdr>
                                  <w:divsChild>
                                    <w:div w:id="1400329705">
                                      <w:marLeft w:val="60"/>
                                      <w:marRight w:val="0"/>
                                      <w:marTop w:val="0"/>
                                      <w:marBottom w:val="0"/>
                                      <w:divBdr>
                                        <w:top w:val="none" w:sz="0" w:space="0" w:color="auto"/>
                                        <w:left w:val="none" w:sz="0" w:space="0" w:color="auto"/>
                                        <w:bottom w:val="none" w:sz="0" w:space="0" w:color="auto"/>
                                        <w:right w:val="none" w:sz="0" w:space="0" w:color="auto"/>
                                      </w:divBdr>
                                      <w:divsChild>
                                        <w:div w:id="1036078935">
                                          <w:marLeft w:val="0"/>
                                          <w:marRight w:val="0"/>
                                          <w:marTop w:val="0"/>
                                          <w:marBottom w:val="0"/>
                                          <w:divBdr>
                                            <w:top w:val="none" w:sz="0" w:space="0" w:color="auto"/>
                                            <w:left w:val="none" w:sz="0" w:space="0" w:color="auto"/>
                                            <w:bottom w:val="none" w:sz="0" w:space="0" w:color="auto"/>
                                            <w:right w:val="none" w:sz="0" w:space="0" w:color="auto"/>
                                          </w:divBdr>
                                          <w:divsChild>
                                            <w:div w:id="966357148">
                                              <w:marLeft w:val="0"/>
                                              <w:marRight w:val="0"/>
                                              <w:marTop w:val="0"/>
                                              <w:marBottom w:val="120"/>
                                              <w:divBdr>
                                                <w:top w:val="single" w:sz="6" w:space="0" w:color="F5F5F5"/>
                                                <w:left w:val="single" w:sz="6" w:space="0" w:color="F5F5F5"/>
                                                <w:bottom w:val="single" w:sz="6" w:space="0" w:color="F5F5F5"/>
                                                <w:right w:val="single" w:sz="6" w:space="0" w:color="F5F5F5"/>
                                              </w:divBdr>
                                              <w:divsChild>
                                                <w:div w:id="1418556035">
                                                  <w:marLeft w:val="0"/>
                                                  <w:marRight w:val="0"/>
                                                  <w:marTop w:val="0"/>
                                                  <w:marBottom w:val="0"/>
                                                  <w:divBdr>
                                                    <w:top w:val="none" w:sz="0" w:space="0" w:color="auto"/>
                                                    <w:left w:val="none" w:sz="0" w:space="0" w:color="auto"/>
                                                    <w:bottom w:val="none" w:sz="0" w:space="0" w:color="auto"/>
                                                    <w:right w:val="none" w:sz="0" w:space="0" w:color="auto"/>
                                                  </w:divBdr>
                                                  <w:divsChild>
                                                    <w:div w:id="1154644516">
                                                      <w:marLeft w:val="0"/>
                                                      <w:marRight w:val="0"/>
                                                      <w:marTop w:val="0"/>
                                                      <w:marBottom w:val="0"/>
                                                      <w:divBdr>
                                                        <w:top w:val="none" w:sz="0" w:space="0" w:color="auto"/>
                                                        <w:left w:val="none" w:sz="0" w:space="0" w:color="auto"/>
                                                        <w:bottom w:val="none" w:sz="0" w:space="0" w:color="auto"/>
                                                        <w:right w:val="none" w:sz="0" w:space="0" w:color="auto"/>
                                                      </w:divBdr>
                                                    </w:div>
                                                  </w:divsChild>
                                                </w:div>
                                                <w:div w:id="127939576">
                                                  <w:marLeft w:val="0"/>
                                                  <w:marRight w:val="0"/>
                                                  <w:marTop w:val="0"/>
                                                  <w:marBottom w:val="0"/>
                                                  <w:divBdr>
                                                    <w:top w:val="none" w:sz="0" w:space="0" w:color="auto"/>
                                                    <w:left w:val="none" w:sz="0" w:space="0" w:color="auto"/>
                                                    <w:bottom w:val="none" w:sz="0" w:space="0" w:color="auto"/>
                                                    <w:right w:val="none" w:sz="0" w:space="0" w:color="auto"/>
                                                  </w:divBdr>
                                                  <w:divsChild>
                                                    <w:div w:id="11217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unglobalcompact.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globalcompact.org/"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49DDB-D52E-4867-BDE4-64DF9947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25</Pages>
  <Words>8693</Words>
  <Characters>49439</Characters>
  <Application>Microsoft Office Word</Application>
  <DocSecurity>0</DocSecurity>
  <Lines>1205</Lines>
  <Paragraphs>242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WO/PBC/24/</vt:lpstr>
      <vt:lpstr>WO/PBC/24/</vt:lpstr>
    </vt:vector>
  </TitlesOfParts>
  <Company>WIPO</Company>
  <LinksUpToDate>false</LinksUpToDate>
  <CharactersWithSpaces>57890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HOWARD Emily</dc:creator>
  <cp:keywords>AMP/ko</cp:keywords>
  <cp:lastModifiedBy>NETTER Iza</cp:lastModifiedBy>
  <cp:revision>15</cp:revision>
  <cp:lastPrinted>2015-09-11T08:17:00Z</cp:lastPrinted>
  <dcterms:created xsi:type="dcterms:W3CDTF">2015-09-11T07:07:00Z</dcterms:created>
  <dcterms:modified xsi:type="dcterms:W3CDTF">2015-09-11T09:33:00Z</dcterms:modified>
</cp:coreProperties>
</file>