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237644" w:rsidRPr="00440D05" w:rsidTr="00001620">
        <w:tc>
          <w:tcPr>
            <w:tcW w:w="4513" w:type="dxa"/>
            <w:tcBorders>
              <w:bottom w:val="single" w:sz="4" w:space="0" w:color="auto"/>
            </w:tcBorders>
            <w:tcMar>
              <w:bottom w:w="170" w:type="dxa"/>
            </w:tcMar>
          </w:tcPr>
          <w:p w:rsidR="00237644" w:rsidRPr="00440D05" w:rsidRDefault="00237644" w:rsidP="00001620">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237644" w:rsidRPr="00440D05" w:rsidRDefault="00237644" w:rsidP="00001620">
            <w:pPr>
              <w:rPr>
                <w:lang w:val="fr-FR"/>
              </w:rPr>
            </w:pPr>
            <w:r w:rsidRPr="00440D05">
              <w:rPr>
                <w:noProof/>
              </w:rPr>
              <w:drawing>
                <wp:inline distT="0" distB="0" distL="0" distR="0" wp14:anchorId="540F4999" wp14:editId="69874C6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237644" w:rsidRPr="00440D05" w:rsidRDefault="00237644" w:rsidP="00001620">
            <w:pPr>
              <w:jc w:val="right"/>
              <w:rPr>
                <w:lang w:val="fr-FR"/>
              </w:rPr>
            </w:pPr>
            <w:r w:rsidRPr="00440D05">
              <w:rPr>
                <w:b/>
                <w:sz w:val="40"/>
                <w:szCs w:val="40"/>
                <w:lang w:val="fr-FR"/>
              </w:rPr>
              <w:t>F</w:t>
            </w:r>
          </w:p>
        </w:tc>
      </w:tr>
      <w:tr w:rsidR="00237644" w:rsidRPr="00440D05" w:rsidTr="00001620">
        <w:trPr>
          <w:trHeight w:hRule="exact" w:val="340"/>
        </w:trPr>
        <w:tc>
          <w:tcPr>
            <w:tcW w:w="9433" w:type="dxa"/>
            <w:gridSpan w:val="3"/>
            <w:tcBorders>
              <w:top w:val="single" w:sz="4" w:space="0" w:color="auto"/>
            </w:tcBorders>
            <w:tcMar>
              <w:top w:w="170" w:type="dxa"/>
              <w:left w:w="0" w:type="dxa"/>
              <w:right w:w="0" w:type="dxa"/>
            </w:tcMar>
            <w:vAlign w:val="bottom"/>
          </w:tcPr>
          <w:p w:rsidR="00237644" w:rsidRPr="00440D05" w:rsidRDefault="00237644" w:rsidP="00001620">
            <w:pPr>
              <w:jc w:val="right"/>
              <w:rPr>
                <w:rFonts w:ascii="Arial Black" w:hAnsi="Arial Black"/>
                <w:caps/>
                <w:sz w:val="15"/>
                <w:lang w:val="fr-FR"/>
              </w:rPr>
            </w:pPr>
            <w:r w:rsidRPr="00440D05">
              <w:rPr>
                <w:rFonts w:ascii="Arial Black" w:hAnsi="Arial Black"/>
                <w:caps/>
                <w:sz w:val="15"/>
                <w:lang w:val="fr-FR"/>
              </w:rPr>
              <w:t>wo/pbc/23/</w:t>
            </w:r>
            <w:bookmarkStart w:id="2" w:name="Code"/>
            <w:bookmarkEnd w:id="2"/>
            <w:r w:rsidRPr="00440D05">
              <w:rPr>
                <w:rFonts w:ascii="Arial Black" w:hAnsi="Arial Black"/>
                <w:caps/>
                <w:sz w:val="15"/>
                <w:lang w:val="fr-FR"/>
              </w:rPr>
              <w:t>8</w:t>
            </w:r>
          </w:p>
        </w:tc>
      </w:tr>
      <w:tr w:rsidR="00237644" w:rsidRPr="00440D05" w:rsidTr="00001620">
        <w:trPr>
          <w:trHeight w:hRule="exact" w:val="170"/>
        </w:trPr>
        <w:tc>
          <w:tcPr>
            <w:tcW w:w="9433" w:type="dxa"/>
            <w:gridSpan w:val="3"/>
            <w:noWrap/>
            <w:tcMar>
              <w:left w:w="0" w:type="dxa"/>
              <w:right w:w="0" w:type="dxa"/>
            </w:tcMar>
            <w:vAlign w:val="bottom"/>
          </w:tcPr>
          <w:p w:rsidR="00237644" w:rsidRPr="00440D05" w:rsidRDefault="00237644" w:rsidP="00001620">
            <w:pPr>
              <w:jc w:val="right"/>
              <w:rPr>
                <w:rFonts w:ascii="Arial Black" w:hAnsi="Arial Black"/>
                <w:caps/>
                <w:sz w:val="15"/>
                <w:lang w:val="fr-FR"/>
              </w:rPr>
            </w:pPr>
            <w:bookmarkStart w:id="3" w:name="Original"/>
            <w:bookmarkEnd w:id="3"/>
            <w:r w:rsidRPr="00440D05">
              <w:rPr>
                <w:rFonts w:ascii="Arial Black" w:hAnsi="Arial Black"/>
                <w:caps/>
                <w:sz w:val="15"/>
                <w:lang w:val="fr-FR"/>
              </w:rPr>
              <w:t xml:space="preserve">ORIGINAL : anglais </w:t>
            </w:r>
          </w:p>
        </w:tc>
      </w:tr>
      <w:tr w:rsidR="00237644" w:rsidRPr="00440D05" w:rsidTr="00001620">
        <w:trPr>
          <w:trHeight w:hRule="exact" w:val="198"/>
        </w:trPr>
        <w:tc>
          <w:tcPr>
            <w:tcW w:w="9433" w:type="dxa"/>
            <w:gridSpan w:val="3"/>
            <w:tcMar>
              <w:left w:w="0" w:type="dxa"/>
              <w:right w:w="0" w:type="dxa"/>
            </w:tcMar>
            <w:vAlign w:val="bottom"/>
          </w:tcPr>
          <w:p w:rsidR="00237644" w:rsidRPr="00440D05" w:rsidRDefault="00237644" w:rsidP="00001620">
            <w:pPr>
              <w:jc w:val="right"/>
              <w:rPr>
                <w:rFonts w:ascii="Arial Black" w:hAnsi="Arial Black"/>
                <w:caps/>
                <w:sz w:val="15"/>
                <w:lang w:val="fr-FR"/>
              </w:rPr>
            </w:pPr>
            <w:r w:rsidRPr="00440D05">
              <w:rPr>
                <w:rFonts w:ascii="Arial Black" w:hAnsi="Arial Black"/>
                <w:caps/>
                <w:sz w:val="15"/>
                <w:lang w:val="fr-FR"/>
              </w:rPr>
              <w:t>DATE</w:t>
            </w:r>
            <w:r w:rsidR="00654232" w:rsidRPr="00440D05">
              <w:rPr>
                <w:rFonts w:ascii="Arial Black" w:hAnsi="Arial Black"/>
                <w:caps/>
                <w:sz w:val="15"/>
                <w:lang w:val="fr-FR"/>
              </w:rPr>
              <w:t> </w:t>
            </w:r>
            <w:r w:rsidRPr="00440D05">
              <w:rPr>
                <w:rFonts w:ascii="Arial Black" w:hAnsi="Arial Black"/>
                <w:caps/>
                <w:sz w:val="15"/>
                <w:lang w:val="fr-FR"/>
              </w:rPr>
              <w:t xml:space="preserve">: </w:t>
            </w:r>
            <w:bookmarkStart w:id="4" w:name="Date"/>
            <w:bookmarkEnd w:id="4"/>
            <w:r w:rsidRPr="00440D05">
              <w:rPr>
                <w:rFonts w:ascii="Arial Black" w:hAnsi="Arial Black"/>
                <w:caps/>
                <w:sz w:val="15"/>
                <w:lang w:val="fr-FR"/>
              </w:rPr>
              <w:t>1</w:t>
            </w:r>
            <w:r w:rsidR="00741B59" w:rsidRPr="00440D05">
              <w:rPr>
                <w:rFonts w:ascii="Arial Black" w:hAnsi="Arial Black"/>
                <w:caps/>
                <w:sz w:val="15"/>
                <w:lang w:val="fr-FR"/>
              </w:rPr>
              <w:t>2 juin 20</w:t>
            </w:r>
            <w:r w:rsidRPr="00440D05">
              <w:rPr>
                <w:rFonts w:ascii="Arial Black" w:hAnsi="Arial Black"/>
                <w:caps/>
                <w:sz w:val="15"/>
                <w:lang w:val="fr-FR"/>
              </w:rPr>
              <w:t>15</w:t>
            </w:r>
          </w:p>
        </w:tc>
      </w:tr>
    </w:tbl>
    <w:p w:rsidR="00237644" w:rsidRPr="00440D05" w:rsidRDefault="00237644" w:rsidP="00237644">
      <w:pPr>
        <w:rPr>
          <w:lang w:val="fr-FR"/>
        </w:rPr>
      </w:pPr>
    </w:p>
    <w:p w:rsidR="00237644" w:rsidRPr="00440D05" w:rsidRDefault="00237644" w:rsidP="00237644">
      <w:pPr>
        <w:rPr>
          <w:lang w:val="fr-FR"/>
        </w:rPr>
      </w:pPr>
    </w:p>
    <w:p w:rsidR="00237644" w:rsidRPr="00440D05" w:rsidRDefault="00237644" w:rsidP="00237644">
      <w:pPr>
        <w:rPr>
          <w:lang w:val="fr-FR"/>
        </w:rPr>
      </w:pPr>
    </w:p>
    <w:p w:rsidR="00237644" w:rsidRPr="00440D05" w:rsidRDefault="00237644" w:rsidP="00237644">
      <w:pPr>
        <w:rPr>
          <w:lang w:val="fr-FR"/>
        </w:rPr>
      </w:pPr>
    </w:p>
    <w:p w:rsidR="00237644" w:rsidRPr="00440D05" w:rsidRDefault="00237644" w:rsidP="00237644">
      <w:pPr>
        <w:rPr>
          <w:lang w:val="fr-FR"/>
        </w:rPr>
      </w:pPr>
    </w:p>
    <w:p w:rsidR="00237644" w:rsidRPr="00440D05" w:rsidRDefault="00237644" w:rsidP="00237644">
      <w:pPr>
        <w:rPr>
          <w:b/>
          <w:sz w:val="28"/>
          <w:szCs w:val="28"/>
          <w:lang w:val="fr-FR"/>
        </w:rPr>
      </w:pPr>
      <w:r w:rsidRPr="00440D05">
        <w:rPr>
          <w:b/>
          <w:sz w:val="28"/>
          <w:szCs w:val="28"/>
          <w:lang w:val="fr-FR"/>
        </w:rPr>
        <w:t>Comit</w:t>
      </w:r>
      <w:r w:rsidRPr="00440D05">
        <w:rPr>
          <w:rFonts w:cs="Simplified Arabic"/>
          <w:b/>
          <w:sz w:val="28"/>
          <w:szCs w:val="28"/>
          <w:lang w:val="fr-FR"/>
        </w:rPr>
        <w:t>é</w:t>
      </w:r>
      <w:r w:rsidRPr="00440D05">
        <w:rPr>
          <w:b/>
          <w:sz w:val="28"/>
          <w:szCs w:val="28"/>
          <w:lang w:val="fr-FR"/>
        </w:rPr>
        <w:t xml:space="preserve"> du programme et budget</w:t>
      </w:r>
    </w:p>
    <w:p w:rsidR="00237644" w:rsidRPr="00440D05" w:rsidRDefault="00237644" w:rsidP="00237644">
      <w:pPr>
        <w:rPr>
          <w:lang w:val="fr-FR"/>
        </w:rPr>
      </w:pPr>
    </w:p>
    <w:p w:rsidR="00237644" w:rsidRPr="00440D05" w:rsidRDefault="00237644" w:rsidP="00237644">
      <w:pPr>
        <w:rPr>
          <w:lang w:val="fr-FR"/>
        </w:rPr>
      </w:pPr>
    </w:p>
    <w:p w:rsidR="00237644" w:rsidRPr="00440D05" w:rsidRDefault="00237644" w:rsidP="00237644">
      <w:pPr>
        <w:rPr>
          <w:b/>
          <w:sz w:val="24"/>
          <w:szCs w:val="24"/>
          <w:lang w:val="fr-FR"/>
        </w:rPr>
      </w:pPr>
      <w:r w:rsidRPr="00440D05">
        <w:rPr>
          <w:b/>
          <w:bCs/>
          <w:sz w:val="24"/>
          <w:szCs w:val="24"/>
          <w:lang w:val="fr-FR"/>
        </w:rPr>
        <w:t>Vingt</w:t>
      </w:r>
      <w:r w:rsidR="00001620" w:rsidRPr="00440D05">
        <w:rPr>
          <w:b/>
          <w:bCs/>
          <w:sz w:val="24"/>
          <w:szCs w:val="24"/>
          <w:lang w:val="fr-FR"/>
        </w:rPr>
        <w:t>-</w:t>
      </w:r>
      <w:r w:rsidRPr="00440D05">
        <w:rPr>
          <w:b/>
          <w:bCs/>
          <w:sz w:val="24"/>
          <w:szCs w:val="24"/>
          <w:lang w:val="fr-FR"/>
        </w:rPr>
        <w:t>troisième</w:t>
      </w:r>
      <w:r w:rsidR="00654232" w:rsidRPr="00440D05">
        <w:rPr>
          <w:b/>
          <w:bCs/>
          <w:sz w:val="24"/>
          <w:szCs w:val="24"/>
          <w:lang w:val="fr-FR"/>
        </w:rPr>
        <w:t> </w:t>
      </w:r>
      <w:r w:rsidRPr="00440D05">
        <w:rPr>
          <w:b/>
          <w:bCs/>
          <w:sz w:val="24"/>
          <w:szCs w:val="24"/>
          <w:lang w:val="fr-FR"/>
        </w:rPr>
        <w:t>se</w:t>
      </w:r>
      <w:r w:rsidRPr="00440D05">
        <w:rPr>
          <w:b/>
          <w:sz w:val="24"/>
          <w:szCs w:val="24"/>
          <w:lang w:val="fr-FR"/>
        </w:rPr>
        <w:t>ssion</w:t>
      </w:r>
    </w:p>
    <w:p w:rsidR="00237644" w:rsidRPr="00440D05" w:rsidRDefault="00237644" w:rsidP="00237644">
      <w:pPr>
        <w:rPr>
          <w:b/>
          <w:sz w:val="24"/>
          <w:szCs w:val="24"/>
          <w:lang w:val="fr-FR"/>
        </w:rPr>
      </w:pPr>
      <w:r w:rsidRPr="00440D05">
        <w:rPr>
          <w:b/>
          <w:sz w:val="24"/>
          <w:szCs w:val="24"/>
          <w:lang w:val="fr-FR"/>
        </w:rPr>
        <w:t>Genève, 13 – 1</w:t>
      </w:r>
      <w:r w:rsidR="00741B59" w:rsidRPr="00440D05">
        <w:rPr>
          <w:b/>
          <w:sz w:val="24"/>
          <w:szCs w:val="24"/>
          <w:lang w:val="fr-FR"/>
        </w:rPr>
        <w:t>7 juillet 20</w:t>
      </w:r>
      <w:r w:rsidRPr="00440D05">
        <w:rPr>
          <w:b/>
          <w:sz w:val="24"/>
          <w:szCs w:val="24"/>
          <w:lang w:val="fr-FR"/>
        </w:rPr>
        <w:t>15</w:t>
      </w:r>
    </w:p>
    <w:p w:rsidR="00237644" w:rsidRPr="00440D05" w:rsidRDefault="00237644" w:rsidP="00237644">
      <w:pPr>
        <w:rPr>
          <w:lang w:val="fr-FR"/>
        </w:rPr>
      </w:pPr>
    </w:p>
    <w:p w:rsidR="00237644" w:rsidRPr="00440D05" w:rsidRDefault="00237644" w:rsidP="00237644">
      <w:pPr>
        <w:rPr>
          <w:lang w:val="fr-FR"/>
        </w:rPr>
      </w:pPr>
    </w:p>
    <w:p w:rsidR="00237644" w:rsidRPr="00440D05" w:rsidRDefault="00237644" w:rsidP="00237644">
      <w:pPr>
        <w:rPr>
          <w:lang w:val="fr-FR"/>
        </w:rPr>
      </w:pPr>
    </w:p>
    <w:p w:rsidR="00741B59" w:rsidRPr="00440D05" w:rsidRDefault="002A6B44" w:rsidP="002A6B44">
      <w:pPr>
        <w:rPr>
          <w:caps/>
          <w:sz w:val="24"/>
          <w:lang w:val="fr-FR"/>
        </w:rPr>
      </w:pPr>
      <w:r w:rsidRPr="00440D05">
        <w:rPr>
          <w:caps/>
          <w:sz w:val="24"/>
          <w:lang w:val="fr-FR"/>
        </w:rPr>
        <w:t>proposition de politique révisée de l</w:t>
      </w:r>
      <w:r w:rsidR="00741B59" w:rsidRPr="00440D05">
        <w:rPr>
          <w:caps/>
          <w:sz w:val="24"/>
          <w:lang w:val="fr-FR"/>
        </w:rPr>
        <w:t>’</w:t>
      </w:r>
      <w:r w:rsidRPr="00440D05">
        <w:rPr>
          <w:caps/>
          <w:sz w:val="24"/>
          <w:lang w:val="fr-FR"/>
        </w:rPr>
        <w:t>ompi relative aux réserves</w:t>
      </w:r>
    </w:p>
    <w:p w:rsidR="00BB0058" w:rsidRPr="00440D05" w:rsidRDefault="00BB0058" w:rsidP="00F35DA8">
      <w:pPr>
        <w:rPr>
          <w:i/>
          <w:lang w:val="fr-FR"/>
        </w:rPr>
      </w:pPr>
      <w:bookmarkStart w:id="5" w:name="Prepared"/>
      <w:bookmarkEnd w:id="5"/>
    </w:p>
    <w:p w:rsidR="00BB0058" w:rsidRPr="00440D05" w:rsidRDefault="002A6B44" w:rsidP="002A6B44">
      <w:pPr>
        <w:rPr>
          <w:i/>
          <w:lang w:val="fr-FR"/>
        </w:rPr>
      </w:pPr>
      <w:r w:rsidRPr="00440D05">
        <w:rPr>
          <w:i/>
          <w:lang w:val="fr-FR"/>
        </w:rPr>
        <w:t>Document établi par le Secrétariat</w:t>
      </w:r>
    </w:p>
    <w:p w:rsidR="00BB0058" w:rsidRPr="00440D05" w:rsidRDefault="00BB0058" w:rsidP="00F35DA8">
      <w:pPr>
        <w:rPr>
          <w:lang w:val="fr-FR"/>
        </w:rPr>
      </w:pPr>
    </w:p>
    <w:p w:rsidR="00BB0058" w:rsidRPr="00440D05" w:rsidRDefault="00BB0058" w:rsidP="00F35DA8">
      <w:pPr>
        <w:rPr>
          <w:lang w:val="fr-FR"/>
        </w:rPr>
      </w:pPr>
    </w:p>
    <w:p w:rsidR="00BB0058" w:rsidRPr="00440D05" w:rsidRDefault="00BB0058" w:rsidP="00F35DA8">
      <w:pPr>
        <w:rPr>
          <w:lang w:val="fr-FR"/>
        </w:rPr>
      </w:pPr>
    </w:p>
    <w:p w:rsidR="00BB0058" w:rsidRPr="00440D05" w:rsidRDefault="00BB0058" w:rsidP="007703D8">
      <w:pPr>
        <w:rPr>
          <w:lang w:val="fr-FR"/>
        </w:rPr>
      </w:pPr>
    </w:p>
    <w:p w:rsidR="00BB0058" w:rsidRPr="00440D05" w:rsidRDefault="002A6B44" w:rsidP="00001620">
      <w:pPr>
        <w:pStyle w:val="ONUMFS"/>
        <w:rPr>
          <w:lang w:val="fr-FR"/>
        </w:rPr>
      </w:pPr>
      <w:r w:rsidRPr="00440D05">
        <w:rPr>
          <w:lang w:val="fr-FR"/>
        </w:rPr>
        <w:t>À la vingt</w:t>
      </w:r>
      <w:r w:rsidR="00001620" w:rsidRPr="00440D05">
        <w:rPr>
          <w:lang w:val="fr-FR"/>
        </w:rPr>
        <w:noBreakHyphen/>
      </w:r>
      <w:r w:rsidRPr="00440D05">
        <w:rPr>
          <w:lang w:val="fr-FR"/>
        </w:rPr>
        <w:t>deuxième</w:t>
      </w:r>
      <w:r w:rsidR="00654232" w:rsidRPr="00440D05">
        <w:rPr>
          <w:lang w:val="fr-FR"/>
        </w:rPr>
        <w:t> </w:t>
      </w:r>
      <w:r w:rsidRPr="00440D05">
        <w:rPr>
          <w:lang w:val="fr-FR"/>
        </w:rPr>
        <w:t xml:space="preserve">session du Comité du programme et budget (PBC), les États membres ont examiné le </w:t>
      </w:r>
      <w:r w:rsidR="00A81954">
        <w:rPr>
          <w:lang w:val="fr-FR"/>
        </w:rPr>
        <w:t xml:space="preserve">document </w:t>
      </w:r>
      <w:r w:rsidRPr="00440D05">
        <w:rPr>
          <w:lang w:val="fr-FR"/>
        </w:rPr>
        <w:t xml:space="preserve">WO/PBC/22/28 intitulé </w:t>
      </w:r>
      <w:r w:rsidR="00116BF1" w:rsidRPr="00440D05">
        <w:rPr>
          <w:lang w:val="fr-FR"/>
        </w:rPr>
        <w:t>“</w:t>
      </w:r>
      <w:r w:rsidRPr="00440D05">
        <w:rPr>
          <w:lang w:val="fr-FR"/>
        </w:rPr>
        <w:t>Examen de la situation financière de l</w:t>
      </w:r>
      <w:r w:rsidR="00741B59" w:rsidRPr="00440D05">
        <w:rPr>
          <w:lang w:val="fr-FR"/>
        </w:rPr>
        <w:t>’</w:t>
      </w:r>
      <w:r w:rsidRPr="00440D05">
        <w:rPr>
          <w:lang w:val="fr-FR"/>
        </w:rPr>
        <w:t>OMPI et de ses politiques en matière de réserves</w:t>
      </w:r>
      <w:r w:rsidR="00116BF1" w:rsidRPr="00440D05">
        <w:rPr>
          <w:lang w:val="fr-FR"/>
        </w:rPr>
        <w:t>”</w:t>
      </w:r>
      <w:r w:rsidRPr="00440D05">
        <w:rPr>
          <w:lang w:val="fr-FR"/>
        </w:rPr>
        <w:t>.</w:t>
      </w:r>
      <w:r w:rsidR="00F35DA8" w:rsidRPr="00440D05">
        <w:rPr>
          <w:lang w:val="fr-FR"/>
        </w:rPr>
        <w:t xml:space="preserve">  </w:t>
      </w:r>
      <w:r w:rsidR="00893232" w:rsidRPr="00440D05">
        <w:rPr>
          <w:lang w:val="fr-FR"/>
        </w:rPr>
        <w:t>À l</w:t>
      </w:r>
      <w:r w:rsidR="00741B59" w:rsidRPr="00440D05">
        <w:rPr>
          <w:lang w:val="fr-FR"/>
        </w:rPr>
        <w:t>’</w:t>
      </w:r>
      <w:r w:rsidR="00893232" w:rsidRPr="00440D05">
        <w:rPr>
          <w:lang w:val="fr-FR"/>
        </w:rPr>
        <w:t>issue de cet examen</w:t>
      </w:r>
      <w:r w:rsidRPr="00440D05">
        <w:rPr>
          <w:lang w:val="fr-FR"/>
        </w:rPr>
        <w:t>,</w:t>
      </w:r>
      <w:r w:rsidR="00741B59" w:rsidRPr="00440D05">
        <w:rPr>
          <w:lang w:val="fr-FR"/>
        </w:rPr>
        <w:t xml:space="preserve"> le PBC</w:t>
      </w:r>
      <w:r w:rsidR="00893232" w:rsidRPr="00440D05">
        <w:rPr>
          <w:lang w:val="fr-FR"/>
        </w:rPr>
        <w:t> :</w:t>
      </w:r>
    </w:p>
    <w:p w:rsidR="00BB0058" w:rsidRPr="00440D05" w:rsidRDefault="00116BF1" w:rsidP="00001620">
      <w:pPr>
        <w:pStyle w:val="ONUMFS"/>
        <w:numPr>
          <w:ilvl w:val="0"/>
          <w:numId w:val="0"/>
        </w:numPr>
        <w:ind w:left="567"/>
        <w:rPr>
          <w:lang w:val="fr-FR"/>
        </w:rPr>
      </w:pPr>
      <w:r w:rsidRPr="00440D05">
        <w:rPr>
          <w:lang w:val="fr-FR"/>
        </w:rPr>
        <w:t>“</w:t>
      </w:r>
      <w:r w:rsidR="002A6B44" w:rsidRPr="00440D05">
        <w:rPr>
          <w:lang w:val="fr-FR"/>
        </w:rPr>
        <w:t>i)</w:t>
      </w:r>
      <w:r w:rsidR="002A6B44" w:rsidRPr="00440D05">
        <w:rPr>
          <w:lang w:val="fr-FR"/>
        </w:rPr>
        <w:tab/>
        <w:t>a reconnu la nécessité de procéder à un examen des politiques relatives aux fonds de réserve et de roulement;  et</w:t>
      </w:r>
    </w:p>
    <w:p w:rsidR="00BB0058" w:rsidRPr="00440D05" w:rsidRDefault="00116BF1" w:rsidP="00001620">
      <w:pPr>
        <w:pStyle w:val="ONUMFS"/>
        <w:numPr>
          <w:ilvl w:val="0"/>
          <w:numId w:val="0"/>
        </w:numPr>
        <w:ind w:left="567"/>
        <w:rPr>
          <w:lang w:val="fr-FR"/>
        </w:rPr>
      </w:pPr>
      <w:r w:rsidRPr="00440D05">
        <w:rPr>
          <w:lang w:val="fr-FR"/>
        </w:rPr>
        <w:t>“</w:t>
      </w:r>
      <w:r w:rsidR="002A6B44" w:rsidRPr="00440D05">
        <w:rPr>
          <w:lang w:val="fr-FR"/>
        </w:rPr>
        <w:t>ii)</w:t>
      </w:r>
      <w:r w:rsidR="002A6B44" w:rsidRPr="00440D05">
        <w:rPr>
          <w:lang w:val="fr-FR"/>
        </w:rPr>
        <w:tab/>
        <w:t>a demandé au Secrétariat de lui soumettre une proposition de politique complète portant notamment sur les montants recommandés pour les actifs nets, les questions liées aux liquidités, la gestion et l</w:t>
      </w:r>
      <w:r w:rsidR="00741B59" w:rsidRPr="00440D05">
        <w:rPr>
          <w:lang w:val="fr-FR"/>
        </w:rPr>
        <w:t>’</w:t>
      </w:r>
      <w:r w:rsidR="002A6B44" w:rsidRPr="00440D05">
        <w:rPr>
          <w:lang w:val="fr-FR"/>
        </w:rPr>
        <w:t>utilisati</w:t>
      </w:r>
      <w:r w:rsidR="005F5C22" w:rsidRPr="00440D05">
        <w:rPr>
          <w:lang w:val="fr-FR"/>
        </w:rPr>
        <w:t>on des excédents disponibles au</w:t>
      </w:r>
      <w:r w:rsidR="00001620" w:rsidRPr="00440D05">
        <w:rPr>
          <w:lang w:val="fr-FR"/>
        </w:rPr>
        <w:noBreakHyphen/>
      </w:r>
      <w:r w:rsidR="002A6B44" w:rsidRPr="00440D05">
        <w:rPr>
          <w:lang w:val="fr-FR"/>
        </w:rPr>
        <w:t xml:space="preserve">delà </w:t>
      </w:r>
      <w:r w:rsidR="005F5C22" w:rsidRPr="00440D05">
        <w:rPr>
          <w:lang w:val="fr-FR"/>
        </w:rPr>
        <w:t xml:space="preserve">du montant recommandé </w:t>
      </w:r>
      <w:r w:rsidR="002A6B44" w:rsidRPr="00440D05">
        <w:rPr>
          <w:lang w:val="fr-FR"/>
        </w:rPr>
        <w:t>et l</w:t>
      </w:r>
      <w:r w:rsidR="00741B59" w:rsidRPr="00440D05">
        <w:rPr>
          <w:lang w:val="fr-FR"/>
        </w:rPr>
        <w:t>’</w:t>
      </w:r>
      <w:r w:rsidR="002A6B44" w:rsidRPr="00440D05">
        <w:rPr>
          <w:lang w:val="fr-FR"/>
        </w:rPr>
        <w:t>établissement de rapports sur ces excédents, en prenant en considération les observations et les indications des États membres ainsi que les recommandations des organes d</w:t>
      </w:r>
      <w:r w:rsidR="00741B59" w:rsidRPr="00440D05">
        <w:rPr>
          <w:lang w:val="fr-FR"/>
        </w:rPr>
        <w:t>’</w:t>
      </w:r>
      <w:r w:rsidR="002A6B44" w:rsidRPr="00440D05">
        <w:rPr>
          <w:lang w:val="fr-FR"/>
        </w:rPr>
        <w:t>audit et de supervision à cet égard.</w:t>
      </w:r>
      <w:r w:rsidRPr="00440D05">
        <w:rPr>
          <w:lang w:val="fr-FR"/>
        </w:rPr>
        <w:t>”</w:t>
      </w:r>
    </w:p>
    <w:p w:rsidR="00BB0058" w:rsidRPr="00440D05" w:rsidRDefault="002A6B44" w:rsidP="00001620">
      <w:pPr>
        <w:pStyle w:val="ONUMFS"/>
        <w:rPr>
          <w:lang w:val="fr-FR"/>
        </w:rPr>
      </w:pPr>
      <w:r w:rsidRPr="00440D05">
        <w:rPr>
          <w:lang w:val="fr-FR"/>
        </w:rPr>
        <w:t>Conformément aux instructions</w:t>
      </w:r>
      <w:r w:rsidR="00741B59" w:rsidRPr="00440D05">
        <w:rPr>
          <w:lang w:val="fr-FR"/>
        </w:rPr>
        <w:t xml:space="preserve"> du PBC</w:t>
      </w:r>
      <w:r w:rsidRPr="00440D05">
        <w:rPr>
          <w:lang w:val="fr-FR"/>
        </w:rPr>
        <w:t>, le Secrétariat présente la p</w:t>
      </w:r>
      <w:r w:rsidR="00893232" w:rsidRPr="00440D05">
        <w:rPr>
          <w:lang w:val="fr-FR"/>
        </w:rPr>
        <w:t>roposition de politique révisée relative aux</w:t>
      </w:r>
      <w:r w:rsidRPr="00440D05">
        <w:rPr>
          <w:lang w:val="fr-FR"/>
        </w:rPr>
        <w:t xml:space="preserve"> réserve</w:t>
      </w:r>
      <w:r w:rsidR="00BD7F4B" w:rsidRPr="00440D05">
        <w:rPr>
          <w:lang w:val="fr-FR"/>
        </w:rPr>
        <w:t>s</w:t>
      </w:r>
      <w:r w:rsidRPr="00440D05">
        <w:rPr>
          <w:lang w:val="fr-FR"/>
        </w:rPr>
        <w:t xml:space="preserve"> figurant à </w:t>
      </w:r>
      <w:r w:rsidR="00BD7F4B" w:rsidRPr="00440D05">
        <w:rPr>
          <w:lang w:val="fr-FR"/>
        </w:rPr>
        <w:t>l</w:t>
      </w:r>
      <w:r w:rsidR="00741B59" w:rsidRPr="00440D05">
        <w:rPr>
          <w:lang w:val="fr-FR"/>
        </w:rPr>
        <w:t>’</w:t>
      </w:r>
      <w:r w:rsidR="00BD7F4B" w:rsidRPr="00440D05">
        <w:rPr>
          <w:lang w:val="fr-FR"/>
        </w:rPr>
        <w:t>annexe</w:t>
      </w:r>
      <w:r w:rsidRPr="00440D05">
        <w:rPr>
          <w:lang w:val="fr-FR"/>
        </w:rPr>
        <w:t> I du présent document.</w:t>
      </w:r>
    </w:p>
    <w:p w:rsidR="00BB0058" w:rsidRPr="00440D05" w:rsidRDefault="002A6B44" w:rsidP="00001620">
      <w:pPr>
        <w:pStyle w:val="ONUMFS"/>
        <w:rPr>
          <w:lang w:val="fr-FR"/>
        </w:rPr>
      </w:pPr>
      <w:r w:rsidRPr="00440D05">
        <w:rPr>
          <w:lang w:val="fr-FR"/>
        </w:rPr>
        <w:t>La politique révisée vise à</w:t>
      </w:r>
      <w:r w:rsidR="00552D9C" w:rsidRPr="00440D05">
        <w:rPr>
          <w:lang w:val="fr-FR"/>
        </w:rPr>
        <w:t> :</w:t>
      </w:r>
    </w:p>
    <w:p w:rsidR="00741B59" w:rsidRPr="00440D05" w:rsidRDefault="00552D9C" w:rsidP="00001620">
      <w:pPr>
        <w:pStyle w:val="ONUMFS"/>
        <w:numPr>
          <w:ilvl w:val="2"/>
          <w:numId w:val="40"/>
        </w:numPr>
        <w:rPr>
          <w:lang w:val="fr-FR"/>
        </w:rPr>
      </w:pPr>
      <w:r w:rsidRPr="00440D05">
        <w:rPr>
          <w:lang w:val="fr-FR"/>
        </w:rPr>
        <w:t>poursuivre le</w:t>
      </w:r>
      <w:r w:rsidR="002A6B44" w:rsidRPr="00440D05">
        <w:rPr>
          <w:lang w:val="fr-FR"/>
        </w:rPr>
        <w:t xml:space="preserve"> renforcement de la gestion financière et de la gestion des risques de l</w:t>
      </w:r>
      <w:r w:rsidR="00741B59" w:rsidRPr="00440D05">
        <w:rPr>
          <w:lang w:val="fr-FR"/>
        </w:rPr>
        <w:t>’</w:t>
      </w:r>
      <w:r w:rsidR="002A6B44" w:rsidRPr="00440D05">
        <w:rPr>
          <w:lang w:val="fr-FR"/>
        </w:rPr>
        <w:t>Organisation;</w:t>
      </w:r>
    </w:p>
    <w:p w:rsidR="00741B59" w:rsidRPr="00440D05" w:rsidRDefault="00552D9C" w:rsidP="00001620">
      <w:pPr>
        <w:pStyle w:val="ONUMFS"/>
        <w:numPr>
          <w:ilvl w:val="2"/>
          <w:numId w:val="40"/>
        </w:numPr>
        <w:rPr>
          <w:lang w:val="fr-FR"/>
        </w:rPr>
      </w:pPr>
      <w:r w:rsidRPr="00440D05">
        <w:rPr>
          <w:lang w:val="fr-FR"/>
        </w:rPr>
        <w:t>f</w:t>
      </w:r>
      <w:r w:rsidR="00011CFB" w:rsidRPr="00440D05">
        <w:rPr>
          <w:lang w:val="fr-FR"/>
        </w:rPr>
        <w:t xml:space="preserve">ournir des informations améliorées au Secrétariat sur la gestion courante des réserves, </w:t>
      </w:r>
      <w:r w:rsidR="00741B59" w:rsidRPr="00440D05">
        <w:rPr>
          <w:lang w:val="fr-FR"/>
        </w:rPr>
        <w:t>y compris</w:t>
      </w:r>
      <w:r w:rsidR="00011CFB" w:rsidRPr="00440D05">
        <w:rPr>
          <w:lang w:val="fr-FR"/>
        </w:rPr>
        <w:t xml:space="preserve"> les montants recommandés et les liquidités;</w:t>
      </w:r>
    </w:p>
    <w:p w:rsidR="00741B59" w:rsidRPr="00440D05" w:rsidRDefault="00552D9C" w:rsidP="00001620">
      <w:pPr>
        <w:pStyle w:val="ONUMFS"/>
        <w:numPr>
          <w:ilvl w:val="2"/>
          <w:numId w:val="40"/>
        </w:numPr>
        <w:rPr>
          <w:lang w:val="fr-FR"/>
        </w:rPr>
      </w:pPr>
      <w:r w:rsidRPr="00440D05">
        <w:rPr>
          <w:lang w:val="fr-FR"/>
        </w:rPr>
        <w:t>p</w:t>
      </w:r>
      <w:r w:rsidR="00436A19" w:rsidRPr="00440D05">
        <w:rPr>
          <w:lang w:val="fr-FR"/>
        </w:rPr>
        <w:t>réciser et améliorer l</w:t>
      </w:r>
      <w:r w:rsidR="00741B59" w:rsidRPr="00440D05">
        <w:rPr>
          <w:lang w:val="fr-FR"/>
        </w:rPr>
        <w:t>’</w:t>
      </w:r>
      <w:r w:rsidR="00436A19" w:rsidRPr="00440D05">
        <w:rPr>
          <w:lang w:val="fr-FR"/>
        </w:rPr>
        <w:t>information communiquée sur les réserves conformément aux normes comptables applicables (normes</w:t>
      </w:r>
      <w:r w:rsidR="00654232" w:rsidRPr="00440D05">
        <w:rPr>
          <w:lang w:val="fr-FR"/>
        </w:rPr>
        <w:t> </w:t>
      </w:r>
      <w:r w:rsidR="00436A19" w:rsidRPr="00440D05">
        <w:rPr>
          <w:lang w:val="fr-FR"/>
        </w:rPr>
        <w:t xml:space="preserve">IPSAS), au cadre réglementaire de </w:t>
      </w:r>
      <w:r w:rsidR="00436A19" w:rsidRPr="00440D05">
        <w:rPr>
          <w:lang w:val="fr-FR"/>
        </w:rPr>
        <w:lastRenderedPageBreak/>
        <w:t>l</w:t>
      </w:r>
      <w:r w:rsidR="00741B59" w:rsidRPr="00440D05">
        <w:rPr>
          <w:lang w:val="fr-FR"/>
        </w:rPr>
        <w:t>’</w:t>
      </w:r>
      <w:r w:rsidR="00436A19" w:rsidRPr="00440D05">
        <w:rPr>
          <w:lang w:val="fr-FR"/>
        </w:rPr>
        <w:t>Organisation (dispositions financières des différentes unions et Règlement financier et règlement d</w:t>
      </w:r>
      <w:r w:rsidR="00741B59" w:rsidRPr="00440D05">
        <w:rPr>
          <w:lang w:val="fr-FR"/>
        </w:rPr>
        <w:t>’</w:t>
      </w:r>
      <w:r w:rsidR="00436A19" w:rsidRPr="00440D05">
        <w:rPr>
          <w:lang w:val="fr-FR"/>
        </w:rPr>
        <w:t>exécution du Règlement financier de l</w:t>
      </w:r>
      <w:r w:rsidR="00741B59" w:rsidRPr="00440D05">
        <w:rPr>
          <w:lang w:val="fr-FR"/>
        </w:rPr>
        <w:t>’</w:t>
      </w:r>
      <w:r w:rsidR="00436A19" w:rsidRPr="00440D05">
        <w:rPr>
          <w:lang w:val="fr-FR"/>
        </w:rPr>
        <w:t>Organisation) et aux recommandations d</w:t>
      </w:r>
      <w:r w:rsidR="00741B59" w:rsidRPr="00440D05">
        <w:rPr>
          <w:lang w:val="fr-FR"/>
        </w:rPr>
        <w:t>’</w:t>
      </w:r>
      <w:r w:rsidR="00436A19" w:rsidRPr="00440D05">
        <w:rPr>
          <w:lang w:val="fr-FR"/>
        </w:rPr>
        <w:t xml:space="preserve">audit et de </w:t>
      </w:r>
      <w:r w:rsidR="00BD7F4B" w:rsidRPr="00440D05">
        <w:rPr>
          <w:lang w:val="fr-FR"/>
        </w:rPr>
        <w:t>supervision</w:t>
      </w:r>
      <w:r w:rsidR="00436A19" w:rsidRPr="00440D05">
        <w:rPr>
          <w:lang w:val="fr-FR"/>
        </w:rPr>
        <w:t>;</w:t>
      </w:r>
    </w:p>
    <w:p w:rsidR="00741B59" w:rsidRPr="00440D05" w:rsidRDefault="00552D9C" w:rsidP="00001620">
      <w:pPr>
        <w:pStyle w:val="ONUMFS"/>
        <w:numPr>
          <w:ilvl w:val="2"/>
          <w:numId w:val="40"/>
        </w:numPr>
        <w:rPr>
          <w:lang w:val="fr-FR"/>
        </w:rPr>
      </w:pPr>
      <w:r w:rsidRPr="00440D05">
        <w:rPr>
          <w:lang w:val="fr-FR"/>
        </w:rPr>
        <w:t>é</w:t>
      </w:r>
      <w:r w:rsidR="00436A19" w:rsidRPr="00440D05">
        <w:rPr>
          <w:lang w:val="fr-FR"/>
        </w:rPr>
        <w:t>tablir des critères et exigences clairs en matière d</w:t>
      </w:r>
      <w:r w:rsidR="00741B59" w:rsidRPr="00440D05">
        <w:rPr>
          <w:lang w:val="fr-FR"/>
        </w:rPr>
        <w:t>’</w:t>
      </w:r>
      <w:r w:rsidR="00436A19" w:rsidRPr="00440D05">
        <w:rPr>
          <w:lang w:val="fr-FR"/>
        </w:rPr>
        <w:t>information afin de faciliter l</w:t>
      </w:r>
      <w:r w:rsidR="00741B59" w:rsidRPr="00440D05">
        <w:rPr>
          <w:lang w:val="fr-FR"/>
        </w:rPr>
        <w:t>’</w:t>
      </w:r>
      <w:r w:rsidR="00436A19" w:rsidRPr="00440D05">
        <w:rPr>
          <w:lang w:val="fr-FR"/>
        </w:rPr>
        <w:t>évaluation et la prise de décision par les États membres concernant les propositions relatives à l</w:t>
      </w:r>
      <w:r w:rsidR="00741B59" w:rsidRPr="00440D05">
        <w:rPr>
          <w:lang w:val="fr-FR"/>
        </w:rPr>
        <w:t>’</w:t>
      </w:r>
      <w:r w:rsidR="00436A19" w:rsidRPr="00440D05">
        <w:rPr>
          <w:lang w:val="fr-FR"/>
        </w:rPr>
        <w:t>utilisation des réserves disponibles pour financer des projets;  et</w:t>
      </w:r>
    </w:p>
    <w:p w:rsidR="00BB0058" w:rsidRPr="00440D05" w:rsidRDefault="00552D9C" w:rsidP="00001620">
      <w:pPr>
        <w:pStyle w:val="ONUMFS"/>
        <w:numPr>
          <w:ilvl w:val="2"/>
          <w:numId w:val="40"/>
        </w:numPr>
        <w:rPr>
          <w:lang w:val="fr-FR"/>
        </w:rPr>
      </w:pPr>
      <w:r w:rsidRPr="00440D05">
        <w:rPr>
          <w:lang w:val="fr-FR"/>
        </w:rPr>
        <w:t>a</w:t>
      </w:r>
      <w:r w:rsidR="00436A19" w:rsidRPr="00440D05">
        <w:rPr>
          <w:lang w:val="fr-FR"/>
        </w:rPr>
        <w:t>ssurer une observation plus stricte des recommandations d</w:t>
      </w:r>
      <w:r w:rsidR="00741B59" w:rsidRPr="00440D05">
        <w:rPr>
          <w:lang w:val="fr-FR"/>
        </w:rPr>
        <w:t>’</w:t>
      </w:r>
      <w:r w:rsidR="00436A19" w:rsidRPr="00440D05">
        <w:rPr>
          <w:lang w:val="fr-FR"/>
        </w:rPr>
        <w:t>audit et de supervision concernant les réserves.</w:t>
      </w:r>
    </w:p>
    <w:p w:rsidR="00BB0058" w:rsidRPr="00440D05" w:rsidRDefault="002C3132" w:rsidP="00001620">
      <w:pPr>
        <w:pStyle w:val="ONUMFS"/>
        <w:ind w:left="5533"/>
        <w:rPr>
          <w:i/>
          <w:lang w:val="fr-FR"/>
        </w:rPr>
      </w:pPr>
      <w:r w:rsidRPr="00440D05">
        <w:rPr>
          <w:i/>
          <w:lang w:val="fr-FR"/>
        </w:rPr>
        <w:t xml:space="preserve">Le Comité du programme et budget (PBC), après avoir examiné la proposition de politique globale révisée portant notamment sur les montants recommandés, les considérations </w:t>
      </w:r>
      <w:r w:rsidR="00076E48" w:rsidRPr="00440D05">
        <w:rPr>
          <w:i/>
          <w:lang w:val="fr-FR"/>
        </w:rPr>
        <w:t>de trésorerie</w:t>
      </w:r>
      <w:r w:rsidRPr="00440D05">
        <w:rPr>
          <w:i/>
          <w:lang w:val="fr-FR"/>
        </w:rPr>
        <w:t xml:space="preserve"> et la gestion, l</w:t>
      </w:r>
      <w:r w:rsidR="00741B59" w:rsidRPr="00440D05">
        <w:rPr>
          <w:i/>
          <w:lang w:val="fr-FR"/>
        </w:rPr>
        <w:t>’</w:t>
      </w:r>
      <w:r w:rsidRPr="00440D05">
        <w:rPr>
          <w:i/>
          <w:lang w:val="fr-FR"/>
        </w:rPr>
        <w:t>utilisation et l</w:t>
      </w:r>
      <w:r w:rsidR="00741B59" w:rsidRPr="00440D05">
        <w:rPr>
          <w:i/>
          <w:lang w:val="fr-FR"/>
        </w:rPr>
        <w:t>’</w:t>
      </w:r>
      <w:r w:rsidRPr="00440D05">
        <w:rPr>
          <w:i/>
          <w:lang w:val="fr-FR"/>
        </w:rPr>
        <w:t xml:space="preserve">information concernant les excédents disponibles </w:t>
      </w:r>
      <w:r w:rsidR="00461630" w:rsidRPr="00440D05">
        <w:rPr>
          <w:i/>
          <w:lang w:val="fr-FR"/>
        </w:rPr>
        <w:t>au</w:t>
      </w:r>
      <w:r w:rsidR="00001620" w:rsidRPr="00440D05">
        <w:rPr>
          <w:i/>
          <w:lang w:val="fr-FR"/>
        </w:rPr>
        <w:noBreakHyphen/>
      </w:r>
      <w:r w:rsidR="00461630" w:rsidRPr="00440D05">
        <w:rPr>
          <w:i/>
          <w:lang w:val="fr-FR"/>
        </w:rPr>
        <w:t>delà</w:t>
      </w:r>
      <w:r w:rsidRPr="00440D05">
        <w:rPr>
          <w:i/>
          <w:lang w:val="fr-FR"/>
        </w:rPr>
        <w:t xml:space="preserve"> des montants recommandés compte tenu des observations et instructions des États membres et des recommandations des organes </w:t>
      </w:r>
      <w:r w:rsidR="00461630" w:rsidRPr="00440D05">
        <w:rPr>
          <w:i/>
          <w:lang w:val="fr-FR"/>
        </w:rPr>
        <w:t>d</w:t>
      </w:r>
      <w:r w:rsidR="00741B59" w:rsidRPr="00440D05">
        <w:rPr>
          <w:i/>
          <w:lang w:val="fr-FR"/>
        </w:rPr>
        <w:t>’</w:t>
      </w:r>
      <w:r w:rsidR="00461630" w:rsidRPr="00440D05">
        <w:rPr>
          <w:i/>
          <w:lang w:val="fr-FR"/>
        </w:rPr>
        <w:t xml:space="preserve">audit et de supervision </w:t>
      </w:r>
      <w:r w:rsidRPr="00440D05">
        <w:rPr>
          <w:i/>
          <w:lang w:val="fr-FR"/>
        </w:rPr>
        <w:t>à cet égard, a recommandé aux assemblées des États membres de l</w:t>
      </w:r>
      <w:r w:rsidR="00741B59" w:rsidRPr="00440D05">
        <w:rPr>
          <w:i/>
          <w:lang w:val="fr-FR"/>
        </w:rPr>
        <w:t>’</w:t>
      </w:r>
      <w:r w:rsidRPr="00440D05">
        <w:rPr>
          <w:i/>
          <w:lang w:val="fr-FR"/>
        </w:rPr>
        <w:t>OMPI et des unions, chacune pour ce qui la concerne, d</w:t>
      </w:r>
      <w:r w:rsidR="00741B59" w:rsidRPr="00440D05">
        <w:rPr>
          <w:i/>
          <w:lang w:val="fr-FR"/>
        </w:rPr>
        <w:t>’</w:t>
      </w:r>
      <w:r w:rsidRPr="00440D05">
        <w:rPr>
          <w:i/>
          <w:lang w:val="fr-FR"/>
        </w:rPr>
        <w:t>approuver le politique relative aux réserves figurant à l</w:t>
      </w:r>
      <w:r w:rsidR="00741B59" w:rsidRPr="00440D05">
        <w:rPr>
          <w:i/>
          <w:lang w:val="fr-FR"/>
        </w:rPr>
        <w:t>’</w:t>
      </w:r>
      <w:r w:rsidRPr="00440D05">
        <w:rPr>
          <w:i/>
          <w:lang w:val="fr-FR"/>
        </w:rPr>
        <w:t xml:space="preserve">annexe I du </w:t>
      </w:r>
      <w:r w:rsidR="00A81954">
        <w:rPr>
          <w:i/>
          <w:lang w:val="fr-FR"/>
        </w:rPr>
        <w:t xml:space="preserve">document </w:t>
      </w:r>
      <w:r w:rsidRPr="00440D05">
        <w:rPr>
          <w:i/>
          <w:lang w:val="fr-FR"/>
        </w:rPr>
        <w:t>WO/PBC/23/8.</w:t>
      </w:r>
    </w:p>
    <w:p w:rsidR="00741B59" w:rsidRPr="00440D05" w:rsidRDefault="002C3132" w:rsidP="00001620">
      <w:pPr>
        <w:pStyle w:val="ONUMFS"/>
        <w:rPr>
          <w:lang w:val="fr-FR"/>
        </w:rPr>
      </w:pPr>
      <w:r w:rsidRPr="00440D05">
        <w:rPr>
          <w:lang w:val="fr-FR"/>
        </w:rPr>
        <w:t>À l</w:t>
      </w:r>
      <w:r w:rsidR="00741B59" w:rsidRPr="00440D05">
        <w:rPr>
          <w:lang w:val="fr-FR"/>
        </w:rPr>
        <w:t>’</w:t>
      </w:r>
      <w:r w:rsidRPr="00440D05">
        <w:rPr>
          <w:lang w:val="fr-FR"/>
        </w:rPr>
        <w:t>occasion de l</w:t>
      </w:r>
      <w:r w:rsidR="00741B59" w:rsidRPr="00440D05">
        <w:rPr>
          <w:lang w:val="fr-FR"/>
        </w:rPr>
        <w:t>’</w:t>
      </w:r>
      <w:r w:rsidRPr="00440D05">
        <w:rPr>
          <w:lang w:val="fr-FR"/>
        </w:rPr>
        <w:t>examen de la situation financière et de la politique relative aux réserves effectué à la vingt</w:t>
      </w:r>
      <w:r w:rsidR="00001620" w:rsidRPr="00440D05">
        <w:rPr>
          <w:lang w:val="fr-FR"/>
        </w:rPr>
        <w:noBreakHyphen/>
      </w:r>
      <w:r w:rsidRPr="00440D05">
        <w:rPr>
          <w:lang w:val="fr-FR"/>
        </w:rPr>
        <w:t>deuxième</w:t>
      </w:r>
      <w:r w:rsidR="00654232" w:rsidRPr="00440D05">
        <w:rPr>
          <w:lang w:val="fr-FR"/>
        </w:rPr>
        <w:t> </w:t>
      </w:r>
      <w:r w:rsidRPr="00440D05">
        <w:rPr>
          <w:lang w:val="fr-FR"/>
        </w:rPr>
        <w:t>session</w:t>
      </w:r>
      <w:r w:rsidR="00741B59" w:rsidRPr="00440D05">
        <w:rPr>
          <w:lang w:val="fr-FR"/>
        </w:rPr>
        <w:t xml:space="preserve"> du PBC</w:t>
      </w:r>
      <w:r w:rsidRPr="00440D05">
        <w:rPr>
          <w:lang w:val="fr-FR"/>
        </w:rPr>
        <w:t>, il a été observé que le fonds de roulement, qui s</w:t>
      </w:r>
      <w:r w:rsidR="00741B59" w:rsidRPr="00440D05">
        <w:rPr>
          <w:lang w:val="fr-FR"/>
        </w:rPr>
        <w:t>’</w:t>
      </w:r>
      <w:r w:rsidRPr="00440D05">
        <w:rPr>
          <w:lang w:val="fr-FR"/>
        </w:rPr>
        <w:t>élève actuellement à 8,3</w:t>
      </w:r>
      <w:r w:rsidR="00654232" w:rsidRPr="00440D05">
        <w:rPr>
          <w:lang w:val="fr-FR"/>
        </w:rPr>
        <w:t> </w:t>
      </w:r>
      <w:r w:rsidRPr="00440D05">
        <w:rPr>
          <w:lang w:val="fr-FR"/>
        </w:rPr>
        <w:t>millions de francs suisses et avait été établi à l</w:t>
      </w:r>
      <w:r w:rsidR="00741B59" w:rsidRPr="00440D05">
        <w:rPr>
          <w:lang w:val="fr-FR"/>
        </w:rPr>
        <w:t>’</w:t>
      </w:r>
      <w:r w:rsidRPr="00440D05">
        <w:rPr>
          <w:lang w:val="fr-FR"/>
        </w:rPr>
        <w:t xml:space="preserve">aide des contributions des États membres, </w:t>
      </w:r>
      <w:r w:rsidR="00461630" w:rsidRPr="00440D05">
        <w:rPr>
          <w:lang w:val="fr-FR"/>
        </w:rPr>
        <w:t>était resté inchangé</w:t>
      </w:r>
      <w:r w:rsidRPr="00440D05">
        <w:rPr>
          <w:lang w:val="fr-FR"/>
        </w:rPr>
        <w:t xml:space="preserve"> depuis</w:t>
      </w:r>
      <w:r w:rsidR="00654232" w:rsidRPr="00440D05">
        <w:rPr>
          <w:lang w:val="fr-FR"/>
        </w:rPr>
        <w:t> </w:t>
      </w:r>
      <w:r w:rsidRPr="00440D05">
        <w:rPr>
          <w:lang w:val="fr-FR"/>
        </w:rPr>
        <w:t>1990.</w:t>
      </w:r>
      <w:r w:rsidR="00FC2793" w:rsidRPr="00440D05">
        <w:rPr>
          <w:lang w:val="fr-FR"/>
        </w:rPr>
        <w:t xml:space="preserve">  </w:t>
      </w:r>
      <w:r w:rsidRPr="00440D05">
        <w:rPr>
          <w:lang w:val="fr-FR"/>
        </w:rPr>
        <w:t>Le montant actuel de 8,3</w:t>
      </w:r>
      <w:r w:rsidR="00654232" w:rsidRPr="00440D05">
        <w:rPr>
          <w:lang w:val="fr-FR"/>
        </w:rPr>
        <w:t> </w:t>
      </w:r>
      <w:r w:rsidRPr="00440D05">
        <w:rPr>
          <w:lang w:val="fr-FR"/>
        </w:rPr>
        <w:t>millions de francs suisses comprend 2</w:t>
      </w:r>
      <w:r w:rsidR="00654232" w:rsidRPr="00440D05">
        <w:rPr>
          <w:lang w:val="fr-FR"/>
        </w:rPr>
        <w:t> </w:t>
      </w:r>
      <w:r w:rsidRPr="00440D05">
        <w:rPr>
          <w:lang w:val="fr-FR"/>
        </w:rPr>
        <w:t>millions de francs suisses détenus par l</w:t>
      </w:r>
      <w:r w:rsidR="00741B59" w:rsidRPr="00440D05">
        <w:rPr>
          <w:lang w:val="fr-FR"/>
        </w:rPr>
        <w:t>’</w:t>
      </w:r>
      <w:r w:rsidRPr="00440D05">
        <w:rPr>
          <w:lang w:val="fr-FR"/>
        </w:rPr>
        <w:t>Union</w:t>
      </w:r>
      <w:r w:rsidR="00741B59" w:rsidRPr="00440D05">
        <w:rPr>
          <w:lang w:val="fr-FR"/>
        </w:rPr>
        <w:t xml:space="preserve"> du PCT</w:t>
      </w:r>
      <w:r w:rsidRPr="00440D05">
        <w:rPr>
          <w:lang w:val="fr-FR"/>
        </w:rPr>
        <w:t>, 2</w:t>
      </w:r>
      <w:r w:rsidR="00654232" w:rsidRPr="00440D05">
        <w:rPr>
          <w:lang w:val="fr-FR"/>
        </w:rPr>
        <w:t> </w:t>
      </w:r>
      <w:r w:rsidRPr="00440D05">
        <w:rPr>
          <w:lang w:val="fr-FR"/>
        </w:rPr>
        <w:t>millions de francs suisses détenus par l</w:t>
      </w:r>
      <w:r w:rsidR="00741B59" w:rsidRPr="00440D05">
        <w:rPr>
          <w:lang w:val="fr-FR"/>
        </w:rPr>
        <w:t>’</w:t>
      </w:r>
      <w:r w:rsidRPr="00440D05">
        <w:rPr>
          <w:lang w:val="fr-FR"/>
        </w:rPr>
        <w:t>Union de Madrid et 260 000</w:t>
      </w:r>
      <w:r w:rsidR="00654232" w:rsidRPr="00440D05">
        <w:rPr>
          <w:lang w:val="fr-FR"/>
        </w:rPr>
        <w:t> </w:t>
      </w:r>
      <w:r w:rsidRPr="00440D05">
        <w:rPr>
          <w:lang w:val="fr-FR"/>
        </w:rPr>
        <w:t>francs suisses détenus par l</w:t>
      </w:r>
      <w:r w:rsidR="00741B59" w:rsidRPr="00440D05">
        <w:rPr>
          <w:lang w:val="fr-FR"/>
        </w:rPr>
        <w:t>’</w:t>
      </w:r>
      <w:r w:rsidRPr="00440D05">
        <w:rPr>
          <w:lang w:val="fr-FR"/>
        </w:rPr>
        <w:t xml:space="preserve">Union de </w:t>
      </w:r>
      <w:r w:rsidR="00741B59" w:rsidRPr="00440D05">
        <w:rPr>
          <w:lang w:val="fr-FR"/>
        </w:rPr>
        <w:t>La Haye</w:t>
      </w:r>
      <w:r w:rsidRPr="00440D05">
        <w:rPr>
          <w:lang w:val="fr-FR"/>
        </w:rPr>
        <w:t>, les 4</w:t>
      </w:r>
      <w:r w:rsidR="00654232" w:rsidRPr="00440D05">
        <w:rPr>
          <w:lang w:val="fr-FR"/>
        </w:rPr>
        <w:t> </w:t>
      </w:r>
      <w:r w:rsidRPr="00440D05">
        <w:rPr>
          <w:lang w:val="fr-FR"/>
        </w:rPr>
        <w:t>millions de francs suisses restants appartenant aux unions financées par des contributions.</w:t>
      </w:r>
    </w:p>
    <w:p w:rsidR="00BB0058" w:rsidRPr="00440D05" w:rsidRDefault="00F93E80" w:rsidP="00001620">
      <w:pPr>
        <w:pStyle w:val="ONUMFS"/>
        <w:rPr>
          <w:lang w:val="fr-FR"/>
        </w:rPr>
      </w:pPr>
      <w:r w:rsidRPr="00440D05">
        <w:rPr>
          <w:lang w:val="fr-FR"/>
        </w:rPr>
        <w:t>Le système</w:t>
      </w:r>
      <w:r w:rsidR="00741B59" w:rsidRPr="00440D05">
        <w:rPr>
          <w:lang w:val="fr-FR"/>
        </w:rPr>
        <w:t xml:space="preserve"> du PCT</w:t>
      </w:r>
      <w:r w:rsidRPr="00440D05">
        <w:rPr>
          <w:lang w:val="fr-FR"/>
        </w:rPr>
        <w:t xml:space="preserve"> s</w:t>
      </w:r>
      <w:r w:rsidR="00741B59" w:rsidRPr="00440D05">
        <w:rPr>
          <w:lang w:val="fr-FR"/>
        </w:rPr>
        <w:t>’</w:t>
      </w:r>
      <w:r w:rsidRPr="00440D05">
        <w:rPr>
          <w:lang w:val="fr-FR"/>
        </w:rPr>
        <w:t>est considérablement développé au fil du temps et l</w:t>
      </w:r>
      <w:r w:rsidR="00741B59" w:rsidRPr="00440D05">
        <w:rPr>
          <w:lang w:val="fr-FR"/>
        </w:rPr>
        <w:t>’</w:t>
      </w:r>
      <w:r w:rsidRPr="00440D05">
        <w:rPr>
          <w:lang w:val="fr-FR"/>
        </w:rPr>
        <w:t>Organisation tire actuellement quelque 76% de ses recettes totales</w:t>
      </w:r>
      <w:r w:rsidR="00741B59" w:rsidRPr="00440D05">
        <w:rPr>
          <w:lang w:val="fr-FR"/>
        </w:rPr>
        <w:t xml:space="preserve"> du PCT</w:t>
      </w:r>
      <w:r w:rsidRPr="00440D05">
        <w:rPr>
          <w:lang w:val="fr-FR"/>
        </w:rPr>
        <w:t>.  Les 2</w:t>
      </w:r>
      <w:r w:rsidR="00654232" w:rsidRPr="00440D05">
        <w:rPr>
          <w:lang w:val="fr-FR"/>
        </w:rPr>
        <w:t> </w:t>
      </w:r>
      <w:r w:rsidRPr="00440D05">
        <w:rPr>
          <w:lang w:val="fr-FR"/>
        </w:rPr>
        <w:t>millions de francs suisses du fonds de roulement</w:t>
      </w:r>
      <w:r w:rsidR="00741B59" w:rsidRPr="00440D05">
        <w:rPr>
          <w:lang w:val="fr-FR"/>
        </w:rPr>
        <w:t xml:space="preserve"> du PCT</w:t>
      </w:r>
      <w:r w:rsidRPr="00440D05">
        <w:rPr>
          <w:lang w:val="fr-FR"/>
        </w:rPr>
        <w:t xml:space="preserve"> représentent 1,4% du total des fonds de réserve et de roulement (FRR) de l</w:t>
      </w:r>
      <w:r w:rsidR="00741B59" w:rsidRPr="00440D05">
        <w:rPr>
          <w:lang w:val="fr-FR"/>
        </w:rPr>
        <w:t>’</w:t>
      </w:r>
      <w:r w:rsidRPr="00440D05">
        <w:rPr>
          <w:lang w:val="fr-FR"/>
        </w:rPr>
        <w:t>Union</w:t>
      </w:r>
      <w:r w:rsidR="00741B59" w:rsidRPr="00440D05">
        <w:rPr>
          <w:lang w:val="fr-FR"/>
        </w:rPr>
        <w:t xml:space="preserve"> du PCT</w:t>
      </w:r>
      <w:r w:rsidRPr="00440D05">
        <w:rPr>
          <w:lang w:val="fr-FR"/>
        </w:rPr>
        <w:t xml:space="preserve"> et environ 1,0% du montant total</w:t>
      </w:r>
      <w:r w:rsidR="00741B59" w:rsidRPr="00440D05">
        <w:rPr>
          <w:lang w:val="fr-FR"/>
        </w:rPr>
        <w:t xml:space="preserve"> des FRR</w:t>
      </w:r>
      <w:r w:rsidRPr="00440D05">
        <w:rPr>
          <w:lang w:val="fr-FR"/>
        </w:rPr>
        <w:t xml:space="preserve"> de l</w:t>
      </w:r>
      <w:r w:rsidR="00741B59" w:rsidRPr="00440D05">
        <w:rPr>
          <w:lang w:val="fr-FR"/>
        </w:rPr>
        <w:t>’</w:t>
      </w:r>
      <w:r w:rsidRPr="00440D05">
        <w:rPr>
          <w:lang w:val="fr-FR"/>
        </w:rPr>
        <w:t>Organisation et ne sont plus en mesure de compenser ni d</w:t>
      </w:r>
      <w:r w:rsidR="00741B59" w:rsidRPr="00440D05">
        <w:rPr>
          <w:lang w:val="fr-FR"/>
        </w:rPr>
        <w:t>’</w:t>
      </w:r>
      <w:r w:rsidRPr="00440D05">
        <w:rPr>
          <w:lang w:val="fr-FR"/>
        </w:rPr>
        <w:t>atténuer les risques financiers en cas d</w:t>
      </w:r>
      <w:r w:rsidR="00741B59" w:rsidRPr="00440D05">
        <w:rPr>
          <w:lang w:val="fr-FR"/>
        </w:rPr>
        <w:t>’</w:t>
      </w:r>
      <w:r w:rsidRPr="00440D05">
        <w:rPr>
          <w:lang w:val="fr-FR"/>
        </w:rPr>
        <w:t>insuffisance des recettes</w:t>
      </w:r>
      <w:r w:rsidR="00741B59" w:rsidRPr="00440D05">
        <w:rPr>
          <w:lang w:val="fr-FR"/>
        </w:rPr>
        <w:t xml:space="preserve"> du PCT</w:t>
      </w:r>
      <w:r w:rsidRPr="00440D05">
        <w:rPr>
          <w:lang w:val="fr-FR"/>
        </w:rPr>
        <w:t>.</w:t>
      </w:r>
      <w:r w:rsidR="000A14B5" w:rsidRPr="00440D05">
        <w:rPr>
          <w:lang w:val="fr-FR"/>
        </w:rPr>
        <w:t xml:space="preserve"> </w:t>
      </w:r>
      <w:r w:rsidR="00461630" w:rsidRPr="00440D05">
        <w:rPr>
          <w:lang w:val="fr-FR"/>
        </w:rPr>
        <w:t xml:space="preserve"> </w:t>
      </w:r>
      <w:r w:rsidRPr="00440D05">
        <w:rPr>
          <w:lang w:val="fr-FR"/>
        </w:rPr>
        <w:t>Ces risques, s</w:t>
      </w:r>
      <w:r w:rsidR="00741B59" w:rsidRPr="00440D05">
        <w:rPr>
          <w:lang w:val="fr-FR"/>
        </w:rPr>
        <w:t>’</w:t>
      </w:r>
      <w:r w:rsidRPr="00440D05">
        <w:rPr>
          <w:lang w:val="fr-FR"/>
        </w:rPr>
        <w:t xml:space="preserve">ils devaient se matérialiser, seront principalement gérés au moyen de la composante </w:t>
      </w:r>
      <w:r w:rsidR="00116BF1" w:rsidRPr="00440D05">
        <w:rPr>
          <w:lang w:val="fr-FR"/>
        </w:rPr>
        <w:t>“</w:t>
      </w:r>
      <w:r w:rsidRPr="00440D05">
        <w:rPr>
          <w:lang w:val="fr-FR"/>
        </w:rPr>
        <w:t>réserves</w:t>
      </w:r>
      <w:r w:rsidR="00116BF1" w:rsidRPr="00440D05">
        <w:rPr>
          <w:lang w:val="fr-FR"/>
        </w:rPr>
        <w:t>”</w:t>
      </w:r>
      <w:r w:rsidR="00741B59" w:rsidRPr="00440D05">
        <w:rPr>
          <w:lang w:val="fr-FR"/>
        </w:rPr>
        <w:t xml:space="preserve"> des FRR</w:t>
      </w:r>
      <w:r w:rsidRPr="00440D05">
        <w:rPr>
          <w:lang w:val="fr-FR"/>
        </w:rPr>
        <w:t xml:space="preserve"> et la politique révisée relative aux réserves contient une proposition tendant à porter de 15 à 20% le montant recommandé pour les réserves de l</w:t>
      </w:r>
      <w:r w:rsidR="00741B59" w:rsidRPr="00440D05">
        <w:rPr>
          <w:lang w:val="fr-FR"/>
        </w:rPr>
        <w:t>’</w:t>
      </w:r>
      <w:r w:rsidRPr="00440D05">
        <w:rPr>
          <w:lang w:val="fr-FR"/>
        </w:rPr>
        <w:t>Union</w:t>
      </w:r>
      <w:r w:rsidR="00741B59" w:rsidRPr="00440D05">
        <w:rPr>
          <w:lang w:val="fr-FR"/>
        </w:rPr>
        <w:t xml:space="preserve"> du PCT</w:t>
      </w:r>
      <w:r w:rsidRPr="00440D05">
        <w:rPr>
          <w:lang w:val="fr-FR"/>
        </w:rPr>
        <w:t>.</w:t>
      </w:r>
      <w:r w:rsidR="001A3402" w:rsidRPr="00440D05">
        <w:rPr>
          <w:lang w:val="fr-FR"/>
        </w:rPr>
        <w:t xml:space="preserve"> </w:t>
      </w:r>
      <w:r w:rsidR="000A14B5" w:rsidRPr="00440D05">
        <w:rPr>
          <w:lang w:val="fr-FR"/>
        </w:rPr>
        <w:t xml:space="preserve"> </w:t>
      </w:r>
      <w:r w:rsidRPr="00440D05">
        <w:rPr>
          <w:lang w:val="fr-FR"/>
        </w:rPr>
        <w:t>Le Secrétariat propose en conséquence que la partie du fonds de roulement qui appartient à l</w:t>
      </w:r>
      <w:r w:rsidR="00741B59" w:rsidRPr="00440D05">
        <w:rPr>
          <w:lang w:val="fr-FR"/>
        </w:rPr>
        <w:t>’</w:t>
      </w:r>
      <w:r w:rsidRPr="00440D05">
        <w:rPr>
          <w:lang w:val="fr-FR"/>
        </w:rPr>
        <w:t>Union</w:t>
      </w:r>
      <w:r w:rsidR="00741B59" w:rsidRPr="00440D05">
        <w:rPr>
          <w:lang w:val="fr-FR"/>
        </w:rPr>
        <w:t xml:space="preserve"> du PCT</w:t>
      </w:r>
      <w:r w:rsidRPr="00440D05">
        <w:rPr>
          <w:lang w:val="fr-FR"/>
        </w:rPr>
        <w:t xml:space="preserve"> et est </w:t>
      </w:r>
      <w:r w:rsidR="00F059DF" w:rsidRPr="00440D05">
        <w:rPr>
          <w:lang w:val="fr-FR"/>
        </w:rPr>
        <w:t>détenue</w:t>
      </w:r>
      <w:r w:rsidRPr="00440D05">
        <w:rPr>
          <w:lang w:val="fr-FR"/>
        </w:rPr>
        <w:t xml:space="preserve"> en dépôt par l</w:t>
      </w:r>
      <w:r w:rsidR="00741B59" w:rsidRPr="00440D05">
        <w:rPr>
          <w:lang w:val="fr-FR"/>
        </w:rPr>
        <w:t>’</w:t>
      </w:r>
      <w:r w:rsidRPr="00440D05">
        <w:rPr>
          <w:lang w:val="fr-FR"/>
        </w:rPr>
        <w:t>OMPI pour le compte des États membres de l</w:t>
      </w:r>
      <w:r w:rsidR="00741B59" w:rsidRPr="00440D05">
        <w:rPr>
          <w:lang w:val="fr-FR"/>
        </w:rPr>
        <w:t>’</w:t>
      </w:r>
      <w:r w:rsidRPr="00440D05">
        <w:rPr>
          <w:lang w:val="fr-FR"/>
        </w:rPr>
        <w:t>Union</w:t>
      </w:r>
      <w:r w:rsidR="00741B59" w:rsidRPr="00440D05">
        <w:rPr>
          <w:lang w:val="fr-FR"/>
        </w:rPr>
        <w:t xml:space="preserve"> du PCT</w:t>
      </w:r>
      <w:r w:rsidRPr="00440D05">
        <w:rPr>
          <w:lang w:val="fr-FR"/>
        </w:rPr>
        <w:t xml:space="preserve">, soit reversée </w:t>
      </w:r>
      <w:r w:rsidR="00F059DF" w:rsidRPr="00440D05">
        <w:rPr>
          <w:lang w:val="fr-FR"/>
        </w:rPr>
        <w:t>à ceux</w:t>
      </w:r>
      <w:r w:rsidR="00001620" w:rsidRPr="00440D05">
        <w:rPr>
          <w:lang w:val="fr-FR"/>
        </w:rPr>
        <w:noBreakHyphen/>
      </w:r>
      <w:r w:rsidR="00F059DF" w:rsidRPr="00440D05">
        <w:rPr>
          <w:lang w:val="fr-FR"/>
        </w:rPr>
        <w:t>ci</w:t>
      </w:r>
      <w:r w:rsidRPr="00440D05">
        <w:rPr>
          <w:lang w:val="fr-FR"/>
        </w:rPr>
        <w:t>.</w:t>
      </w:r>
      <w:r w:rsidR="003B4559" w:rsidRPr="00440D05">
        <w:rPr>
          <w:lang w:val="fr-FR"/>
        </w:rPr>
        <w:t xml:space="preserve"> </w:t>
      </w:r>
      <w:r w:rsidR="001A3402" w:rsidRPr="00440D05">
        <w:rPr>
          <w:lang w:val="fr-FR"/>
        </w:rPr>
        <w:t xml:space="preserve"> </w:t>
      </w:r>
      <w:r w:rsidR="005C4BCB" w:rsidRPr="00440D05">
        <w:rPr>
          <w:lang w:val="fr-FR"/>
        </w:rPr>
        <w:t>L</w:t>
      </w:r>
      <w:r w:rsidR="00741B59" w:rsidRPr="00440D05">
        <w:rPr>
          <w:lang w:val="fr-FR"/>
        </w:rPr>
        <w:t>’</w:t>
      </w:r>
      <w:r w:rsidR="005C4BCB" w:rsidRPr="00440D05">
        <w:rPr>
          <w:lang w:val="fr-FR"/>
        </w:rPr>
        <w:t>annexe</w:t>
      </w:r>
      <w:r w:rsidR="00654232" w:rsidRPr="00440D05">
        <w:rPr>
          <w:lang w:val="fr-FR"/>
        </w:rPr>
        <w:t> </w:t>
      </w:r>
      <w:r w:rsidR="005C4BCB" w:rsidRPr="00440D05">
        <w:rPr>
          <w:lang w:val="fr-FR"/>
        </w:rPr>
        <w:t>II présente la ventilation détaillée des 2 millions de francs suisses du fonds de roulement de l</w:t>
      </w:r>
      <w:r w:rsidR="00741B59" w:rsidRPr="00440D05">
        <w:rPr>
          <w:lang w:val="fr-FR"/>
        </w:rPr>
        <w:t>’</w:t>
      </w:r>
      <w:r w:rsidR="005C4BCB" w:rsidRPr="00440D05">
        <w:rPr>
          <w:lang w:val="fr-FR"/>
        </w:rPr>
        <w:t>Union</w:t>
      </w:r>
      <w:r w:rsidR="00741B59" w:rsidRPr="00440D05">
        <w:rPr>
          <w:lang w:val="fr-FR"/>
        </w:rPr>
        <w:t xml:space="preserve"> du PCT</w:t>
      </w:r>
      <w:r w:rsidR="005C4BCB" w:rsidRPr="00440D05">
        <w:rPr>
          <w:lang w:val="fr-FR"/>
        </w:rPr>
        <w:t xml:space="preserve"> par État membre.</w:t>
      </w:r>
      <w:r w:rsidR="001A3402" w:rsidRPr="00440D05">
        <w:rPr>
          <w:lang w:val="fr-FR"/>
        </w:rPr>
        <w:t xml:space="preserve"> </w:t>
      </w:r>
      <w:r w:rsidR="003B4559" w:rsidRPr="00440D05">
        <w:rPr>
          <w:lang w:val="fr-FR"/>
        </w:rPr>
        <w:t xml:space="preserve"> </w:t>
      </w:r>
      <w:r w:rsidR="005C4BCB" w:rsidRPr="00440D05">
        <w:rPr>
          <w:lang w:val="fr-FR"/>
        </w:rPr>
        <w:t xml:space="preserve">Par commodité administrative, il est proposé que ces paiements soient effectués </w:t>
      </w:r>
      <w:r w:rsidR="00400A8E" w:rsidRPr="00440D05">
        <w:rPr>
          <w:lang w:val="fr-FR"/>
        </w:rPr>
        <w:t>sous forme d</w:t>
      </w:r>
      <w:r w:rsidR="00741B59" w:rsidRPr="00440D05">
        <w:rPr>
          <w:lang w:val="fr-FR"/>
        </w:rPr>
        <w:t>’</w:t>
      </w:r>
      <w:r w:rsidR="00400A8E" w:rsidRPr="00440D05">
        <w:rPr>
          <w:lang w:val="fr-FR"/>
        </w:rPr>
        <w:t>avoir</w:t>
      </w:r>
      <w:r w:rsidR="005C4BCB" w:rsidRPr="00440D05">
        <w:rPr>
          <w:lang w:val="fr-FR"/>
        </w:rPr>
        <w:t xml:space="preserve"> sur les contributions facturées aux États membres.</w:t>
      </w:r>
    </w:p>
    <w:p w:rsidR="00BB0058" w:rsidRPr="00440D05" w:rsidRDefault="00196B3A" w:rsidP="00001620">
      <w:pPr>
        <w:pStyle w:val="ONUMFS"/>
        <w:ind w:left="5533"/>
        <w:rPr>
          <w:i/>
          <w:lang w:val="fr-FR"/>
        </w:rPr>
      </w:pPr>
      <w:r w:rsidRPr="00440D05">
        <w:rPr>
          <w:i/>
          <w:lang w:val="fr-FR"/>
        </w:rPr>
        <w:lastRenderedPageBreak/>
        <w:t>Le PBC a recommandé aux assemblées des États membres de l</w:t>
      </w:r>
      <w:r w:rsidR="00741B59" w:rsidRPr="00440D05">
        <w:rPr>
          <w:i/>
          <w:lang w:val="fr-FR"/>
        </w:rPr>
        <w:t>’</w:t>
      </w:r>
      <w:r w:rsidRPr="00440D05">
        <w:rPr>
          <w:i/>
          <w:lang w:val="fr-FR"/>
        </w:rPr>
        <w:t>OMPI et des unions, chacune pour ce qui la concerne, que les 2 millions de francs suisses du fonds de roulement appartenant à l</w:t>
      </w:r>
      <w:r w:rsidR="00741B59" w:rsidRPr="00440D05">
        <w:rPr>
          <w:i/>
          <w:lang w:val="fr-FR"/>
        </w:rPr>
        <w:t>’</w:t>
      </w:r>
      <w:r w:rsidRPr="00440D05">
        <w:rPr>
          <w:i/>
          <w:lang w:val="fr-FR"/>
        </w:rPr>
        <w:t>Union</w:t>
      </w:r>
      <w:r w:rsidR="00741B59" w:rsidRPr="00440D05">
        <w:rPr>
          <w:i/>
          <w:lang w:val="fr-FR"/>
        </w:rPr>
        <w:t xml:space="preserve"> du PCT</w:t>
      </w:r>
      <w:r w:rsidRPr="00440D05">
        <w:rPr>
          <w:i/>
          <w:lang w:val="fr-FR"/>
        </w:rPr>
        <w:t xml:space="preserve"> soient reversés aux États membres de l</w:t>
      </w:r>
      <w:r w:rsidR="00741B59" w:rsidRPr="00440D05">
        <w:rPr>
          <w:i/>
          <w:lang w:val="fr-FR"/>
        </w:rPr>
        <w:t>’</w:t>
      </w:r>
      <w:r w:rsidRPr="00440D05">
        <w:rPr>
          <w:i/>
          <w:lang w:val="fr-FR"/>
        </w:rPr>
        <w:t>Union</w:t>
      </w:r>
      <w:r w:rsidR="00741B59" w:rsidRPr="00440D05">
        <w:rPr>
          <w:i/>
          <w:lang w:val="fr-FR"/>
        </w:rPr>
        <w:t xml:space="preserve"> du PCT</w:t>
      </w:r>
      <w:r w:rsidRPr="00440D05">
        <w:rPr>
          <w:i/>
          <w:lang w:val="fr-FR"/>
        </w:rPr>
        <w:t xml:space="preserve"> sous forme </w:t>
      </w:r>
      <w:r w:rsidR="00400A8E" w:rsidRPr="00440D05">
        <w:rPr>
          <w:i/>
          <w:lang w:val="fr-FR"/>
        </w:rPr>
        <w:t>d</w:t>
      </w:r>
      <w:r w:rsidR="00741B59" w:rsidRPr="00440D05">
        <w:rPr>
          <w:i/>
          <w:lang w:val="fr-FR"/>
        </w:rPr>
        <w:t>’</w:t>
      </w:r>
      <w:r w:rsidR="00400A8E" w:rsidRPr="00440D05">
        <w:rPr>
          <w:i/>
          <w:lang w:val="fr-FR"/>
        </w:rPr>
        <w:t>avoir</w:t>
      </w:r>
      <w:r w:rsidRPr="00440D05">
        <w:rPr>
          <w:i/>
          <w:lang w:val="fr-FR"/>
        </w:rPr>
        <w:t xml:space="preserve"> sur les contributions facturées au cours de l</w:t>
      </w:r>
      <w:r w:rsidR="00741B59" w:rsidRPr="00440D05">
        <w:rPr>
          <w:i/>
          <w:lang w:val="fr-FR"/>
        </w:rPr>
        <w:t>’</w:t>
      </w:r>
      <w:r w:rsidRPr="00440D05">
        <w:rPr>
          <w:i/>
          <w:lang w:val="fr-FR"/>
        </w:rPr>
        <w:t>exercice biennal</w:t>
      </w:r>
      <w:r w:rsidR="00654232" w:rsidRPr="00440D05">
        <w:rPr>
          <w:i/>
          <w:lang w:val="fr-FR"/>
        </w:rPr>
        <w:t> </w:t>
      </w:r>
      <w:r w:rsidRPr="00440D05">
        <w:rPr>
          <w:i/>
          <w:lang w:val="fr-FR"/>
        </w:rPr>
        <w:t>2016</w:t>
      </w:r>
      <w:r w:rsidR="00001620" w:rsidRPr="00440D05">
        <w:rPr>
          <w:i/>
          <w:lang w:val="fr-FR"/>
        </w:rPr>
        <w:noBreakHyphen/>
      </w:r>
      <w:r w:rsidRPr="00440D05">
        <w:rPr>
          <w:i/>
          <w:lang w:val="fr-FR"/>
        </w:rPr>
        <w:t>2017.</w:t>
      </w:r>
    </w:p>
    <w:p w:rsidR="00BB0058" w:rsidRPr="00440D05" w:rsidRDefault="00BB0058" w:rsidP="00001620">
      <w:pPr>
        <w:pStyle w:val="Endofdocument"/>
        <w:rPr>
          <w:lang w:val="fr-FR"/>
        </w:rPr>
      </w:pPr>
    </w:p>
    <w:p w:rsidR="00001620" w:rsidRPr="00440D05" w:rsidRDefault="00001620" w:rsidP="00001620">
      <w:pPr>
        <w:pStyle w:val="Endofdocument"/>
        <w:rPr>
          <w:lang w:val="fr-FR"/>
        </w:rPr>
      </w:pPr>
    </w:p>
    <w:p w:rsidR="00BB0058" w:rsidRPr="00440D05" w:rsidRDefault="00196B3A" w:rsidP="00001620">
      <w:pPr>
        <w:pStyle w:val="Endofdocument"/>
        <w:rPr>
          <w:lang w:val="fr-FR"/>
        </w:rPr>
      </w:pPr>
      <w:r w:rsidRPr="00440D05">
        <w:rPr>
          <w:lang w:val="fr-FR"/>
        </w:rPr>
        <w:t>[Les annexes suivent]</w:t>
      </w:r>
    </w:p>
    <w:p w:rsidR="00BB0058" w:rsidRPr="00440D05" w:rsidRDefault="00BB0058" w:rsidP="007703D8">
      <w:pPr>
        <w:pStyle w:val="Endofdocument"/>
        <w:rPr>
          <w:szCs w:val="22"/>
          <w:lang w:val="fr-FR"/>
        </w:rPr>
      </w:pPr>
    </w:p>
    <w:p w:rsidR="00A94682" w:rsidRPr="00440D05" w:rsidRDefault="00A94682" w:rsidP="001A3402">
      <w:pPr>
        <w:pStyle w:val="Endofdocument"/>
        <w:rPr>
          <w:szCs w:val="22"/>
          <w:lang w:val="fr-FR"/>
        </w:rPr>
        <w:sectPr w:rsidR="00A94682" w:rsidRPr="00440D05" w:rsidSect="00237644">
          <w:headerReference w:type="default" r:id="rId10"/>
          <w:footerReference w:type="even" r:id="rId11"/>
          <w:pgSz w:w="11907" w:h="16839" w:code="9"/>
          <w:pgMar w:top="567" w:right="1134" w:bottom="1361" w:left="1418" w:header="624" w:footer="720" w:gutter="0"/>
          <w:cols w:space="720"/>
          <w:titlePg/>
          <w:docGrid w:linePitch="360"/>
        </w:sectPr>
      </w:pPr>
    </w:p>
    <w:p w:rsidR="00741B59" w:rsidRPr="00440D05" w:rsidRDefault="00BD7F4B" w:rsidP="00196B3A">
      <w:pPr>
        <w:tabs>
          <w:tab w:val="left" w:pos="1701"/>
        </w:tabs>
        <w:rPr>
          <w:b/>
          <w:bCs/>
          <w:lang w:val="fr-FR"/>
        </w:rPr>
      </w:pPr>
      <w:r w:rsidRPr="00440D05">
        <w:rPr>
          <w:b/>
          <w:bCs/>
          <w:lang w:val="fr-FR"/>
        </w:rPr>
        <w:lastRenderedPageBreak/>
        <w:t xml:space="preserve">POLITIQUE RÉVISÉE </w:t>
      </w:r>
      <w:r w:rsidR="009B4EAA" w:rsidRPr="00440D05">
        <w:rPr>
          <w:b/>
          <w:bCs/>
          <w:lang w:val="fr-FR"/>
        </w:rPr>
        <w:t>RELATIVE AUX</w:t>
      </w:r>
      <w:r w:rsidRPr="00440D05">
        <w:rPr>
          <w:b/>
          <w:bCs/>
          <w:lang w:val="fr-FR"/>
        </w:rPr>
        <w:t xml:space="preserve"> RÉSERVES</w:t>
      </w:r>
    </w:p>
    <w:p w:rsidR="00BB0058" w:rsidRPr="00440D05" w:rsidRDefault="00BB0058" w:rsidP="007E3FFD">
      <w:pPr>
        <w:tabs>
          <w:tab w:val="left" w:pos="1701"/>
        </w:tabs>
        <w:rPr>
          <w:b/>
          <w:bCs/>
          <w:lang w:val="fr-FR"/>
        </w:rPr>
      </w:pPr>
    </w:p>
    <w:p w:rsidR="00BB0058" w:rsidRPr="00440D05" w:rsidRDefault="00BB0058" w:rsidP="001A2204">
      <w:pPr>
        <w:tabs>
          <w:tab w:val="left" w:pos="1701"/>
        </w:tabs>
        <w:rPr>
          <w:b/>
          <w:bCs/>
          <w:lang w:val="fr-FR"/>
        </w:rPr>
      </w:pPr>
    </w:p>
    <w:p w:rsidR="00BB0058" w:rsidRPr="00440D05" w:rsidRDefault="00BD7F4B" w:rsidP="001A2204">
      <w:pPr>
        <w:pStyle w:val="Heading1"/>
        <w:rPr>
          <w:lang w:val="fr-FR"/>
        </w:rPr>
      </w:pPr>
      <w:r w:rsidRPr="00440D05">
        <w:rPr>
          <w:lang w:val="fr-FR"/>
        </w:rPr>
        <w:t>I.</w:t>
      </w:r>
      <w:r w:rsidRPr="00440D05">
        <w:rPr>
          <w:lang w:val="fr-FR"/>
        </w:rPr>
        <w:tab/>
      </w:r>
      <w:r w:rsidR="001A2204" w:rsidRPr="00440D05">
        <w:rPr>
          <w:lang w:val="fr-FR"/>
        </w:rPr>
        <w:t>Introduction et définitions</w:t>
      </w:r>
    </w:p>
    <w:p w:rsidR="001A2204" w:rsidRPr="00440D05" w:rsidRDefault="001A2204" w:rsidP="001A2204">
      <w:pPr>
        <w:rPr>
          <w:lang w:val="fr-FR"/>
        </w:rPr>
      </w:pPr>
    </w:p>
    <w:p w:rsidR="00741B59" w:rsidRPr="00440D05" w:rsidRDefault="00196B3A" w:rsidP="001A2204">
      <w:pPr>
        <w:pStyle w:val="ONUMFS"/>
        <w:numPr>
          <w:ilvl w:val="0"/>
          <w:numId w:val="42"/>
        </w:numPr>
        <w:rPr>
          <w:lang w:val="fr-FR"/>
        </w:rPr>
      </w:pPr>
      <w:r w:rsidRPr="00440D05">
        <w:rPr>
          <w:lang w:val="fr-FR"/>
        </w:rPr>
        <w:t>Les réserves de l</w:t>
      </w:r>
      <w:r w:rsidR="00741B59" w:rsidRPr="00440D05">
        <w:rPr>
          <w:lang w:val="fr-FR"/>
        </w:rPr>
        <w:t>’</w:t>
      </w:r>
      <w:r w:rsidRPr="00440D05">
        <w:rPr>
          <w:lang w:val="fr-FR"/>
        </w:rPr>
        <w:t>OMPI servent à réduire autant que possible l</w:t>
      </w:r>
      <w:r w:rsidR="00741B59" w:rsidRPr="00440D05">
        <w:rPr>
          <w:lang w:val="fr-FR"/>
        </w:rPr>
        <w:t>’</w:t>
      </w:r>
      <w:r w:rsidRPr="00440D05">
        <w:rPr>
          <w:lang w:val="fr-FR"/>
        </w:rPr>
        <w:t xml:space="preserve">incidence </w:t>
      </w:r>
      <w:r w:rsidR="008C7A8A" w:rsidRPr="00440D05">
        <w:rPr>
          <w:lang w:val="fr-FR"/>
        </w:rPr>
        <w:t>d</w:t>
      </w:r>
      <w:r w:rsidR="00741B59" w:rsidRPr="00440D05">
        <w:rPr>
          <w:lang w:val="fr-FR"/>
        </w:rPr>
        <w:t>’</w:t>
      </w:r>
      <w:r w:rsidR="008C7A8A" w:rsidRPr="00440D05">
        <w:rPr>
          <w:lang w:val="fr-FR"/>
        </w:rPr>
        <w:t xml:space="preserve">une insuffisance </w:t>
      </w:r>
      <w:r w:rsidRPr="00440D05">
        <w:rPr>
          <w:lang w:val="fr-FR"/>
        </w:rPr>
        <w:t>de recettes et à maximiser la probabilité que l</w:t>
      </w:r>
      <w:r w:rsidR="00741B59" w:rsidRPr="00440D05">
        <w:rPr>
          <w:lang w:val="fr-FR"/>
        </w:rPr>
        <w:t>’</w:t>
      </w:r>
      <w:r w:rsidRPr="00440D05">
        <w:rPr>
          <w:lang w:val="fr-FR"/>
        </w:rPr>
        <w:t xml:space="preserve">Organisation soit en mesure de satisfaire à ses obligations à court terme et </w:t>
      </w:r>
      <w:r w:rsidR="00E93802" w:rsidRPr="00440D05">
        <w:rPr>
          <w:lang w:val="fr-FR"/>
        </w:rPr>
        <w:t>de préserver</w:t>
      </w:r>
      <w:r w:rsidRPr="00440D05">
        <w:rPr>
          <w:lang w:val="fr-FR"/>
        </w:rPr>
        <w:t xml:space="preserve"> </w:t>
      </w:r>
      <w:r w:rsidR="00BD7F4B" w:rsidRPr="00440D05">
        <w:rPr>
          <w:lang w:val="fr-FR"/>
        </w:rPr>
        <w:t>la stabilité financière</w:t>
      </w:r>
      <w:r w:rsidRPr="00440D05">
        <w:rPr>
          <w:lang w:val="fr-FR"/>
        </w:rPr>
        <w:t>.</w:t>
      </w:r>
      <w:r w:rsidR="00C3714C" w:rsidRPr="00440D05">
        <w:rPr>
          <w:lang w:val="fr-FR"/>
        </w:rPr>
        <w:t xml:space="preserve"> </w:t>
      </w:r>
      <w:r w:rsidR="00E93802" w:rsidRPr="00440D05">
        <w:rPr>
          <w:lang w:val="fr-FR"/>
        </w:rPr>
        <w:t xml:space="preserve"> </w:t>
      </w:r>
      <w:r w:rsidRPr="00440D05">
        <w:rPr>
          <w:lang w:val="fr-FR"/>
        </w:rPr>
        <w:t>Les réserves constituent l</w:t>
      </w:r>
      <w:r w:rsidR="00741B59" w:rsidRPr="00440D05">
        <w:rPr>
          <w:lang w:val="fr-FR"/>
        </w:rPr>
        <w:t>’</w:t>
      </w:r>
      <w:r w:rsidRPr="00440D05">
        <w:rPr>
          <w:lang w:val="fr-FR"/>
        </w:rPr>
        <w:t>actif net de l</w:t>
      </w:r>
      <w:r w:rsidR="00741B59" w:rsidRPr="00440D05">
        <w:rPr>
          <w:lang w:val="fr-FR"/>
        </w:rPr>
        <w:t>’</w:t>
      </w:r>
      <w:r w:rsidRPr="00440D05">
        <w:rPr>
          <w:lang w:val="fr-FR"/>
        </w:rPr>
        <w:t>Organisation, c</w:t>
      </w:r>
      <w:r w:rsidR="00741B59" w:rsidRPr="00440D05">
        <w:rPr>
          <w:lang w:val="fr-FR"/>
        </w:rPr>
        <w:t>’</w:t>
      </w:r>
      <w:r w:rsidRPr="00440D05">
        <w:rPr>
          <w:lang w:val="fr-FR"/>
        </w:rPr>
        <w:t>est</w:t>
      </w:r>
      <w:r w:rsidR="00001620" w:rsidRPr="00440D05">
        <w:rPr>
          <w:lang w:val="fr-FR"/>
        </w:rPr>
        <w:noBreakHyphen/>
      </w:r>
      <w:r w:rsidRPr="00440D05">
        <w:rPr>
          <w:lang w:val="fr-FR"/>
        </w:rPr>
        <w:t>à</w:t>
      </w:r>
      <w:r w:rsidR="00001620" w:rsidRPr="00440D05">
        <w:rPr>
          <w:lang w:val="fr-FR"/>
        </w:rPr>
        <w:noBreakHyphen/>
      </w:r>
      <w:r w:rsidRPr="00440D05">
        <w:rPr>
          <w:lang w:val="fr-FR"/>
        </w:rPr>
        <w:t>dire la différence entre le total de l</w:t>
      </w:r>
      <w:r w:rsidR="00741B59" w:rsidRPr="00440D05">
        <w:rPr>
          <w:lang w:val="fr-FR"/>
        </w:rPr>
        <w:t>’</w:t>
      </w:r>
      <w:r w:rsidRPr="00440D05">
        <w:rPr>
          <w:lang w:val="fr-FR"/>
        </w:rPr>
        <w:t>actif et le total du passif.</w:t>
      </w:r>
      <w:r w:rsidR="00C3714C" w:rsidRPr="00440D05">
        <w:rPr>
          <w:lang w:val="fr-FR"/>
        </w:rPr>
        <w:t xml:space="preserve">  </w:t>
      </w:r>
      <w:r w:rsidRPr="00440D05">
        <w:rPr>
          <w:lang w:val="fr-FR"/>
        </w:rPr>
        <w:t>Les réserves de l</w:t>
      </w:r>
      <w:r w:rsidR="00741B59" w:rsidRPr="00440D05">
        <w:rPr>
          <w:lang w:val="fr-FR"/>
        </w:rPr>
        <w:t>’</w:t>
      </w:r>
      <w:r w:rsidRPr="00440D05">
        <w:rPr>
          <w:lang w:val="fr-FR"/>
        </w:rPr>
        <w:t>OMPI sont constituées par les réserves et les fonds de roulement de l</w:t>
      </w:r>
      <w:r w:rsidR="00741B59" w:rsidRPr="00440D05">
        <w:rPr>
          <w:lang w:val="fr-FR"/>
        </w:rPr>
        <w:t>’</w:t>
      </w:r>
      <w:r w:rsidRPr="00440D05">
        <w:rPr>
          <w:lang w:val="fr-FR"/>
        </w:rPr>
        <w:t xml:space="preserve">Organisation et sont désignées sous </w:t>
      </w:r>
      <w:r w:rsidR="00E93802" w:rsidRPr="00440D05">
        <w:rPr>
          <w:lang w:val="fr-FR"/>
        </w:rPr>
        <w:t>le terme</w:t>
      </w:r>
      <w:r w:rsidRPr="00440D05">
        <w:rPr>
          <w:lang w:val="fr-FR"/>
        </w:rPr>
        <w:t xml:space="preserve"> de fonds de réserve et de roulement (FRR).</w:t>
      </w:r>
    </w:p>
    <w:p w:rsidR="00BB0058" w:rsidRPr="00440D05" w:rsidRDefault="00196B3A" w:rsidP="001A2204">
      <w:pPr>
        <w:pStyle w:val="ONUMFS"/>
        <w:rPr>
          <w:lang w:val="fr-FR"/>
        </w:rPr>
      </w:pPr>
      <w:r w:rsidRPr="00440D05">
        <w:rPr>
          <w:lang w:val="fr-FR"/>
        </w:rPr>
        <w:t>Le Règlement financier de l</w:t>
      </w:r>
      <w:r w:rsidR="00741B59" w:rsidRPr="00440D05">
        <w:rPr>
          <w:lang w:val="fr-FR"/>
        </w:rPr>
        <w:t>’</w:t>
      </w:r>
      <w:r w:rsidRPr="00440D05">
        <w:rPr>
          <w:lang w:val="fr-FR"/>
        </w:rPr>
        <w:t>OMPI et son règlement d</w:t>
      </w:r>
      <w:r w:rsidR="00741B59" w:rsidRPr="00440D05">
        <w:rPr>
          <w:lang w:val="fr-FR"/>
        </w:rPr>
        <w:t>’</w:t>
      </w:r>
      <w:r w:rsidRPr="00440D05">
        <w:rPr>
          <w:lang w:val="fr-FR"/>
        </w:rPr>
        <w:t>exécution définissent les deux</w:t>
      </w:r>
      <w:r w:rsidR="00654232" w:rsidRPr="00440D05">
        <w:rPr>
          <w:lang w:val="fr-FR"/>
        </w:rPr>
        <w:t> </w:t>
      </w:r>
      <w:r w:rsidRPr="00440D05">
        <w:rPr>
          <w:lang w:val="fr-FR"/>
        </w:rPr>
        <w:t>éléments que sont les fonds de réserve et les fonds de roulement de l</w:t>
      </w:r>
      <w:r w:rsidR="00741B59" w:rsidRPr="00440D05">
        <w:rPr>
          <w:lang w:val="fr-FR"/>
        </w:rPr>
        <w:t>’</w:t>
      </w:r>
      <w:r w:rsidRPr="00440D05">
        <w:rPr>
          <w:lang w:val="fr-FR"/>
        </w:rPr>
        <w:t>Organisation de la manière suivante</w:t>
      </w:r>
      <w:r w:rsidR="00654232" w:rsidRPr="00440D05">
        <w:rPr>
          <w:lang w:val="fr-FR"/>
        </w:rPr>
        <w:t> </w:t>
      </w:r>
      <w:r w:rsidRPr="00440D05">
        <w:rPr>
          <w:lang w:val="fr-FR"/>
        </w:rPr>
        <w:t>:</w:t>
      </w:r>
    </w:p>
    <w:p w:rsidR="00BB0058" w:rsidRPr="00440D05" w:rsidRDefault="00116BF1" w:rsidP="001A2204">
      <w:pPr>
        <w:pStyle w:val="ONUMFS"/>
        <w:numPr>
          <w:ilvl w:val="2"/>
          <w:numId w:val="40"/>
        </w:numPr>
        <w:rPr>
          <w:lang w:val="fr-FR"/>
        </w:rPr>
      </w:pPr>
      <w:r w:rsidRPr="00440D05">
        <w:rPr>
          <w:lang w:val="fr-FR"/>
        </w:rPr>
        <w:t>“</w:t>
      </w:r>
      <w:r w:rsidR="00196B3A" w:rsidRPr="00440D05">
        <w:rPr>
          <w:b/>
          <w:lang w:val="fr-FR"/>
        </w:rPr>
        <w:t>fonds de réserve</w:t>
      </w:r>
      <w:r w:rsidRPr="00440D05">
        <w:rPr>
          <w:lang w:val="fr-FR"/>
        </w:rPr>
        <w:t>”</w:t>
      </w:r>
      <w:r w:rsidR="00196B3A" w:rsidRPr="00440D05">
        <w:rPr>
          <w:lang w:val="fr-FR"/>
        </w:rPr>
        <w:t xml:space="preserve"> [s</w:t>
      </w:r>
      <w:r w:rsidR="00741B59" w:rsidRPr="00440D05">
        <w:rPr>
          <w:lang w:val="fr-FR"/>
        </w:rPr>
        <w:t>’</w:t>
      </w:r>
      <w:r w:rsidR="00196B3A" w:rsidRPr="00440D05">
        <w:rPr>
          <w:lang w:val="fr-FR"/>
        </w:rPr>
        <w:t>entend] des fonds créés par les assemblées des États membres et des unions, chacune pour ce qui la concerne, dans lesquels est déposé l</w:t>
      </w:r>
      <w:r w:rsidR="00741B59" w:rsidRPr="00440D05">
        <w:rPr>
          <w:lang w:val="fr-FR"/>
        </w:rPr>
        <w:t>’</w:t>
      </w:r>
      <w:r w:rsidR="00196B3A" w:rsidRPr="00440D05">
        <w:rPr>
          <w:lang w:val="fr-FR"/>
        </w:rPr>
        <w:t xml:space="preserve">excédent des recettes tirées des taxes par rapport au montant nécessaire pour financer les crédits alloués au programme et budget.  Les fonds de réserve sont utilisés de la façon décidée par les assemblées des États membres et des unions, chacune pour ce qui la concerne </w:t>
      </w:r>
      <w:r w:rsidR="00196B3A" w:rsidRPr="00440D05">
        <w:rPr>
          <w:i/>
          <w:lang w:val="fr-FR"/>
        </w:rPr>
        <w:t>(règle 101.3)n))</w:t>
      </w:r>
      <w:r w:rsidR="00196B3A" w:rsidRPr="00440D05">
        <w:rPr>
          <w:lang w:val="fr-FR"/>
        </w:rPr>
        <w:t>;  et</w:t>
      </w:r>
    </w:p>
    <w:p w:rsidR="00BB0058" w:rsidRPr="00440D05" w:rsidRDefault="00116BF1" w:rsidP="001A2204">
      <w:pPr>
        <w:pStyle w:val="ONUMFS"/>
        <w:numPr>
          <w:ilvl w:val="2"/>
          <w:numId w:val="40"/>
        </w:numPr>
        <w:rPr>
          <w:lang w:val="fr-FR"/>
        </w:rPr>
      </w:pPr>
      <w:r w:rsidRPr="00440D05">
        <w:rPr>
          <w:lang w:val="fr-FR"/>
        </w:rPr>
        <w:t>“</w:t>
      </w:r>
      <w:r w:rsidR="00196B3A" w:rsidRPr="00440D05">
        <w:rPr>
          <w:b/>
          <w:lang w:val="fr-FR"/>
        </w:rPr>
        <w:t>fonds de roulement</w:t>
      </w:r>
      <w:r w:rsidRPr="00440D05">
        <w:rPr>
          <w:lang w:val="fr-FR"/>
        </w:rPr>
        <w:t>”</w:t>
      </w:r>
      <w:r w:rsidR="00196B3A" w:rsidRPr="00440D05">
        <w:rPr>
          <w:lang w:val="fr-FR"/>
        </w:rPr>
        <w:t xml:space="preserve"> [s</w:t>
      </w:r>
      <w:r w:rsidR="00741B59" w:rsidRPr="00440D05">
        <w:rPr>
          <w:lang w:val="fr-FR"/>
        </w:rPr>
        <w:t>’</w:t>
      </w:r>
      <w:r w:rsidR="00196B3A" w:rsidRPr="00440D05">
        <w:rPr>
          <w:lang w:val="fr-FR"/>
        </w:rPr>
        <w:t>entend] des fonds créés en vue d</w:t>
      </w:r>
      <w:r w:rsidR="00741B59" w:rsidRPr="00440D05">
        <w:rPr>
          <w:lang w:val="fr-FR"/>
        </w:rPr>
        <w:t>’</w:t>
      </w:r>
      <w:r w:rsidR="00196B3A" w:rsidRPr="00440D05">
        <w:rPr>
          <w:lang w:val="fr-FR"/>
        </w:rPr>
        <w:t xml:space="preserve">assurer le financement des crédits en cas de déficit temporaire de trésorerie et pour toutes autres fins décidées par les assemblées des États membres et des unions, chacune pour ce qui la concerne </w:t>
      </w:r>
      <w:r w:rsidR="00196B3A" w:rsidRPr="00440D05">
        <w:rPr>
          <w:i/>
          <w:lang w:val="fr-FR"/>
        </w:rPr>
        <w:t>(règle 101.3.q) et article 4.3))</w:t>
      </w:r>
      <w:r w:rsidR="00196B3A" w:rsidRPr="00440D05">
        <w:rPr>
          <w:lang w:val="fr-FR"/>
        </w:rPr>
        <w:t>.</w:t>
      </w:r>
    </w:p>
    <w:p w:rsidR="00BB0058" w:rsidRPr="00440D05" w:rsidRDefault="00196B3A" w:rsidP="001A2204">
      <w:pPr>
        <w:pStyle w:val="ONUMFS"/>
        <w:rPr>
          <w:lang w:val="fr-FR"/>
        </w:rPr>
      </w:pPr>
      <w:r w:rsidRPr="00440D05">
        <w:rPr>
          <w:lang w:val="fr-FR"/>
        </w:rPr>
        <w:t>Par ailleurs, selon le Règlement financier de l</w:t>
      </w:r>
      <w:r w:rsidR="00741B59" w:rsidRPr="00440D05">
        <w:rPr>
          <w:lang w:val="fr-FR"/>
        </w:rPr>
        <w:t>’</w:t>
      </w:r>
      <w:r w:rsidRPr="00440D05">
        <w:rPr>
          <w:lang w:val="fr-FR"/>
        </w:rPr>
        <w:t>OMPI et son règlement d</w:t>
      </w:r>
      <w:r w:rsidR="00741B59" w:rsidRPr="00440D05">
        <w:rPr>
          <w:lang w:val="fr-FR"/>
        </w:rPr>
        <w:t>’</w:t>
      </w:r>
      <w:r w:rsidR="00E93802" w:rsidRPr="00440D05">
        <w:rPr>
          <w:lang w:val="fr-FR"/>
        </w:rPr>
        <w:t>exécution, les U</w:t>
      </w:r>
      <w:r w:rsidRPr="00440D05">
        <w:rPr>
          <w:lang w:val="fr-FR"/>
        </w:rPr>
        <w:t xml:space="preserve">nions de Paris, de Berne, de Madrid, de </w:t>
      </w:r>
      <w:r w:rsidR="00741B59" w:rsidRPr="00440D05">
        <w:rPr>
          <w:lang w:val="fr-FR"/>
        </w:rPr>
        <w:t>La Haye</w:t>
      </w:r>
      <w:r w:rsidRPr="00440D05">
        <w:rPr>
          <w:lang w:val="fr-FR"/>
        </w:rPr>
        <w:t>, de l</w:t>
      </w:r>
      <w:r w:rsidR="00741B59" w:rsidRPr="00440D05">
        <w:rPr>
          <w:lang w:val="fr-FR"/>
        </w:rPr>
        <w:t>’</w:t>
      </w:r>
      <w:r w:rsidRPr="00440D05">
        <w:rPr>
          <w:lang w:val="fr-FR"/>
        </w:rPr>
        <w:t>IPC, de Nice, du PCT, de Lisbonne, de Locarno et de Vienne sont propriétaires des fonds de réserve et des fonds de roulement de l</w:t>
      </w:r>
      <w:r w:rsidR="00741B59" w:rsidRPr="00440D05">
        <w:rPr>
          <w:lang w:val="fr-FR"/>
        </w:rPr>
        <w:t>’</w:t>
      </w:r>
      <w:r w:rsidRPr="00440D05">
        <w:rPr>
          <w:lang w:val="fr-FR"/>
        </w:rPr>
        <w:t>Organisation et jouissent d</w:t>
      </w:r>
      <w:r w:rsidR="00741B59" w:rsidRPr="00440D05">
        <w:rPr>
          <w:lang w:val="fr-FR"/>
        </w:rPr>
        <w:t>’</w:t>
      </w:r>
      <w:r w:rsidRPr="00440D05">
        <w:rPr>
          <w:lang w:val="fr-FR"/>
        </w:rPr>
        <w:t>un pouvoir de décision sur ces fonds de la manière suivante :</w:t>
      </w:r>
    </w:p>
    <w:p w:rsidR="00BB0058" w:rsidRPr="00440D05" w:rsidRDefault="00196B3A" w:rsidP="001A2204">
      <w:pPr>
        <w:pStyle w:val="ONUMFS"/>
        <w:numPr>
          <w:ilvl w:val="2"/>
          <w:numId w:val="40"/>
        </w:numPr>
        <w:rPr>
          <w:lang w:val="fr-FR"/>
        </w:rPr>
      </w:pPr>
      <w:r w:rsidRPr="00440D05">
        <w:rPr>
          <w:lang w:val="fr-FR"/>
        </w:rPr>
        <w:t>Si, après la clôture de l</w:t>
      </w:r>
      <w:r w:rsidR="00741B59" w:rsidRPr="00440D05">
        <w:rPr>
          <w:lang w:val="fr-FR"/>
        </w:rPr>
        <w:t>’</w:t>
      </w:r>
      <w:r w:rsidRPr="00440D05">
        <w:rPr>
          <w:lang w:val="fr-FR"/>
        </w:rPr>
        <w:t>exercice financier, les comptes de l</w:t>
      </w:r>
      <w:r w:rsidR="00741B59" w:rsidRPr="00440D05">
        <w:rPr>
          <w:lang w:val="fr-FR"/>
        </w:rPr>
        <w:t>’</w:t>
      </w:r>
      <w:r w:rsidRPr="00440D05">
        <w:rPr>
          <w:lang w:val="fr-FR"/>
        </w:rPr>
        <w:t>une des unions font apparaître un excédent de recettes, celui</w:t>
      </w:r>
      <w:r w:rsidR="00001620" w:rsidRPr="00440D05">
        <w:rPr>
          <w:lang w:val="fr-FR"/>
        </w:rPr>
        <w:noBreakHyphen/>
      </w:r>
      <w:r w:rsidRPr="00440D05">
        <w:rPr>
          <w:lang w:val="fr-FR"/>
        </w:rPr>
        <w:t>ci sera comptabilisé dans les fonds de réserve sauf décision contraire de l</w:t>
      </w:r>
      <w:r w:rsidR="00741B59" w:rsidRPr="00440D05">
        <w:rPr>
          <w:lang w:val="fr-FR"/>
        </w:rPr>
        <w:t>’</w:t>
      </w:r>
      <w:r w:rsidRPr="00440D05">
        <w:rPr>
          <w:lang w:val="fr-FR"/>
        </w:rPr>
        <w:t>Assemblée générale ou de l</w:t>
      </w:r>
      <w:r w:rsidR="00741B59" w:rsidRPr="00440D05">
        <w:rPr>
          <w:lang w:val="fr-FR"/>
        </w:rPr>
        <w:t>’</w:t>
      </w:r>
      <w:r w:rsidRPr="00440D05">
        <w:rPr>
          <w:lang w:val="fr-FR"/>
        </w:rPr>
        <w:t>assemblée de l</w:t>
      </w:r>
      <w:r w:rsidR="00741B59" w:rsidRPr="00440D05">
        <w:rPr>
          <w:lang w:val="fr-FR"/>
        </w:rPr>
        <w:t>’</w:t>
      </w:r>
      <w:r w:rsidRPr="00440D05">
        <w:rPr>
          <w:lang w:val="fr-FR"/>
        </w:rPr>
        <w:t>union concernée</w:t>
      </w:r>
      <w:r w:rsidR="00C3714C" w:rsidRPr="00440D05">
        <w:rPr>
          <w:i/>
          <w:lang w:val="fr-FR"/>
        </w:rPr>
        <w:t xml:space="preserve"> </w:t>
      </w:r>
      <w:r w:rsidRPr="00440D05">
        <w:rPr>
          <w:i/>
          <w:lang w:val="fr-FR"/>
        </w:rPr>
        <w:t>(</w:t>
      </w:r>
      <w:r w:rsidR="00E93802" w:rsidRPr="00440D05">
        <w:rPr>
          <w:i/>
          <w:lang w:val="fr-FR"/>
        </w:rPr>
        <w:t>a</w:t>
      </w:r>
      <w:r w:rsidRPr="00440D05">
        <w:rPr>
          <w:i/>
          <w:lang w:val="fr-FR"/>
        </w:rPr>
        <w:t>rticle</w:t>
      </w:r>
      <w:r w:rsidR="00654232" w:rsidRPr="00440D05">
        <w:rPr>
          <w:i/>
          <w:lang w:val="fr-FR"/>
        </w:rPr>
        <w:t> </w:t>
      </w:r>
      <w:r w:rsidRPr="00440D05">
        <w:rPr>
          <w:i/>
          <w:lang w:val="fr-FR"/>
        </w:rPr>
        <w:t>4.7)</w:t>
      </w:r>
      <w:r w:rsidR="00E93802" w:rsidRPr="00440D05">
        <w:rPr>
          <w:lang w:val="fr-FR"/>
        </w:rPr>
        <w:t>.</w:t>
      </w:r>
    </w:p>
    <w:p w:rsidR="00BB0058" w:rsidRPr="00440D05" w:rsidRDefault="00C6364B" w:rsidP="001A2204">
      <w:pPr>
        <w:pStyle w:val="ONUMFS"/>
        <w:numPr>
          <w:ilvl w:val="2"/>
          <w:numId w:val="40"/>
        </w:numPr>
        <w:rPr>
          <w:bCs/>
          <w:lang w:val="fr-FR"/>
        </w:rPr>
      </w:pPr>
      <w:r w:rsidRPr="00440D05">
        <w:rPr>
          <w:bCs/>
          <w:lang w:val="fr-FR"/>
        </w:rPr>
        <w:t>Ainsi qu</w:t>
      </w:r>
      <w:r w:rsidR="00741B59" w:rsidRPr="00440D05">
        <w:rPr>
          <w:bCs/>
          <w:lang w:val="fr-FR"/>
        </w:rPr>
        <w:t>’</w:t>
      </w:r>
      <w:r w:rsidRPr="00440D05">
        <w:rPr>
          <w:bCs/>
          <w:lang w:val="fr-FR"/>
        </w:rPr>
        <w:t>il a été décidé par l</w:t>
      </w:r>
      <w:r w:rsidR="00741B59" w:rsidRPr="00440D05">
        <w:rPr>
          <w:bCs/>
          <w:lang w:val="fr-FR"/>
        </w:rPr>
        <w:t>’</w:t>
      </w:r>
      <w:r w:rsidRPr="00440D05">
        <w:rPr>
          <w:bCs/>
          <w:lang w:val="fr-FR"/>
        </w:rPr>
        <w:t>Assemblée de l</w:t>
      </w:r>
      <w:r w:rsidR="00741B59" w:rsidRPr="00440D05">
        <w:rPr>
          <w:bCs/>
          <w:lang w:val="fr-FR"/>
        </w:rPr>
        <w:t>’</w:t>
      </w:r>
      <w:r w:rsidRPr="00440D05">
        <w:rPr>
          <w:bCs/>
          <w:lang w:val="fr-FR"/>
        </w:rPr>
        <w:t>Union de Madrid et conformément à l</w:t>
      </w:r>
      <w:r w:rsidR="00741B59" w:rsidRPr="00440D05">
        <w:rPr>
          <w:bCs/>
          <w:lang w:val="fr-FR"/>
        </w:rPr>
        <w:t>’</w:t>
      </w:r>
      <w:r w:rsidRPr="00440D05">
        <w:rPr>
          <w:bCs/>
          <w:lang w:val="fr-FR"/>
        </w:rPr>
        <w:t>article 8.4) de l</w:t>
      </w:r>
      <w:r w:rsidR="00741B59" w:rsidRPr="00440D05">
        <w:rPr>
          <w:bCs/>
          <w:lang w:val="fr-FR"/>
        </w:rPr>
        <w:t>’</w:t>
      </w:r>
      <w:r w:rsidRPr="00440D05">
        <w:rPr>
          <w:bCs/>
          <w:lang w:val="fr-FR"/>
        </w:rPr>
        <w:t>Arrangement de Madrid, les excédents de recettes par rapport aux dépenses de l</w:t>
      </w:r>
      <w:r w:rsidR="00741B59" w:rsidRPr="00440D05">
        <w:rPr>
          <w:bCs/>
          <w:lang w:val="fr-FR"/>
        </w:rPr>
        <w:t>’</w:t>
      </w:r>
      <w:r w:rsidRPr="00440D05">
        <w:rPr>
          <w:bCs/>
          <w:lang w:val="fr-FR"/>
        </w:rPr>
        <w:t>Union de Madrid sont répartis entre les États membres.  Les exigences énoncées à l</w:t>
      </w:r>
      <w:r w:rsidR="00741B59" w:rsidRPr="00440D05">
        <w:rPr>
          <w:bCs/>
          <w:lang w:val="fr-FR"/>
        </w:rPr>
        <w:t>’</w:t>
      </w:r>
      <w:r w:rsidR="00EE72BF" w:rsidRPr="00440D05">
        <w:rPr>
          <w:bCs/>
          <w:lang w:val="fr-FR"/>
        </w:rPr>
        <w:t>article 8.</w:t>
      </w:r>
      <w:r w:rsidRPr="00440D05">
        <w:rPr>
          <w:bCs/>
          <w:lang w:val="fr-FR"/>
        </w:rPr>
        <w:t>4) de l</w:t>
      </w:r>
      <w:r w:rsidR="00741B59" w:rsidRPr="00440D05">
        <w:rPr>
          <w:bCs/>
          <w:lang w:val="fr-FR"/>
        </w:rPr>
        <w:t>’</w:t>
      </w:r>
      <w:r w:rsidRPr="00440D05">
        <w:rPr>
          <w:bCs/>
          <w:lang w:val="fr-FR"/>
        </w:rPr>
        <w:t>Arrangement et du Protocole de Madrid en ce qui concerne la répartition des excédents de l</w:t>
      </w:r>
      <w:r w:rsidR="00741B59" w:rsidRPr="00440D05">
        <w:rPr>
          <w:bCs/>
          <w:lang w:val="fr-FR"/>
        </w:rPr>
        <w:t>’</w:t>
      </w:r>
      <w:r w:rsidRPr="00440D05">
        <w:rPr>
          <w:bCs/>
          <w:lang w:val="fr-FR"/>
        </w:rPr>
        <w:t xml:space="preserve">Union de Madrid sont les suivantes : </w:t>
      </w:r>
      <w:r w:rsidR="00116BF1" w:rsidRPr="00440D05">
        <w:rPr>
          <w:bCs/>
          <w:lang w:val="fr-FR"/>
        </w:rPr>
        <w:t>“</w:t>
      </w:r>
      <w:r w:rsidRPr="00440D05">
        <w:rPr>
          <w:bCs/>
          <w:lang w:val="fr-FR"/>
        </w:rPr>
        <w:t>Le produit annuel des diverses recettes de l</w:t>
      </w:r>
      <w:r w:rsidR="00741B59" w:rsidRPr="00440D05">
        <w:rPr>
          <w:bCs/>
          <w:lang w:val="fr-FR"/>
        </w:rPr>
        <w:t>’</w:t>
      </w:r>
      <w:r w:rsidRPr="00440D05">
        <w:rPr>
          <w:bCs/>
          <w:lang w:val="fr-FR"/>
        </w:rPr>
        <w:t>enregistrement international, à l</w:t>
      </w:r>
      <w:r w:rsidR="00741B59" w:rsidRPr="00440D05">
        <w:rPr>
          <w:bCs/>
          <w:lang w:val="fr-FR"/>
        </w:rPr>
        <w:t>’</w:t>
      </w:r>
      <w:r w:rsidRPr="00440D05">
        <w:rPr>
          <w:bCs/>
          <w:lang w:val="fr-FR"/>
        </w:rPr>
        <w:t>exception des recettes provenant des émoluments visés à l</w:t>
      </w:r>
      <w:r w:rsidR="00741B59" w:rsidRPr="00440D05">
        <w:rPr>
          <w:bCs/>
          <w:lang w:val="fr-FR"/>
        </w:rPr>
        <w:t>’</w:t>
      </w:r>
      <w:hyperlink r:id="rId12" w:anchor="P122_23223" w:history="1">
        <w:r w:rsidRPr="00440D05">
          <w:rPr>
            <w:rStyle w:val="Hyperlink"/>
            <w:bCs/>
            <w:lang w:val="fr-FR"/>
          </w:rPr>
          <w:t>alinéa 2)ii)</w:t>
        </w:r>
      </w:hyperlink>
      <w:r w:rsidRPr="00440D05">
        <w:rPr>
          <w:bCs/>
          <w:lang w:val="fr-FR"/>
        </w:rPr>
        <w:t xml:space="preserve"> et </w:t>
      </w:r>
      <w:hyperlink r:id="rId13" w:anchor="P123_23385" w:history="1">
        <w:r w:rsidRPr="00440D05">
          <w:rPr>
            <w:rStyle w:val="Hyperlink"/>
            <w:bCs/>
            <w:lang w:val="fr-FR"/>
          </w:rPr>
          <w:t>iii)</w:t>
        </w:r>
      </w:hyperlink>
      <w:r w:rsidRPr="00440D05">
        <w:rPr>
          <w:bCs/>
          <w:lang w:val="fr-FR"/>
        </w:rPr>
        <w:t>, sera réparti par parts égales entre les parties contractantes par les soins du Bureau international, après déduction des frais et charges nécessités par l</w:t>
      </w:r>
      <w:r w:rsidR="00741B59" w:rsidRPr="00440D05">
        <w:rPr>
          <w:bCs/>
          <w:lang w:val="fr-FR"/>
        </w:rPr>
        <w:t>’</w:t>
      </w:r>
      <w:r w:rsidRPr="00440D05">
        <w:rPr>
          <w:bCs/>
          <w:lang w:val="fr-FR"/>
        </w:rPr>
        <w:t>exécution du présent Protocole</w:t>
      </w:r>
      <w:r w:rsidR="00116BF1" w:rsidRPr="00440D05">
        <w:rPr>
          <w:bCs/>
          <w:lang w:val="fr-FR"/>
        </w:rPr>
        <w:t>”</w:t>
      </w:r>
      <w:r w:rsidRPr="00440D05">
        <w:rPr>
          <w:bCs/>
          <w:lang w:val="fr-FR"/>
        </w:rPr>
        <w:t>.</w:t>
      </w:r>
    </w:p>
    <w:p w:rsidR="00BB0058" w:rsidRPr="00440D05" w:rsidRDefault="00C6364B" w:rsidP="001A2204">
      <w:pPr>
        <w:pStyle w:val="ONUMFS"/>
        <w:numPr>
          <w:ilvl w:val="2"/>
          <w:numId w:val="40"/>
        </w:numPr>
        <w:rPr>
          <w:bCs/>
          <w:lang w:val="fr-FR"/>
        </w:rPr>
      </w:pPr>
      <w:r w:rsidRPr="00440D05">
        <w:rPr>
          <w:bCs/>
          <w:lang w:val="fr-FR"/>
        </w:rPr>
        <w:t>Ainsi, alors que les excédents générés par toutes les autres unions sont automatiquement versés</w:t>
      </w:r>
      <w:r w:rsidR="00741B59" w:rsidRPr="00440D05">
        <w:rPr>
          <w:bCs/>
          <w:lang w:val="fr-FR"/>
        </w:rPr>
        <w:t xml:space="preserve"> aux FRR</w:t>
      </w:r>
      <w:r w:rsidRPr="00440D05">
        <w:rPr>
          <w:bCs/>
          <w:lang w:val="fr-FR"/>
        </w:rPr>
        <w:t xml:space="preserve"> de l</w:t>
      </w:r>
      <w:r w:rsidR="00741B59" w:rsidRPr="00440D05">
        <w:rPr>
          <w:bCs/>
          <w:lang w:val="fr-FR"/>
        </w:rPr>
        <w:t>’</w:t>
      </w:r>
      <w:r w:rsidRPr="00440D05">
        <w:rPr>
          <w:bCs/>
          <w:lang w:val="fr-FR"/>
        </w:rPr>
        <w:t>Organisation, ceux de l</w:t>
      </w:r>
      <w:r w:rsidR="00741B59" w:rsidRPr="00440D05">
        <w:rPr>
          <w:bCs/>
          <w:lang w:val="fr-FR"/>
        </w:rPr>
        <w:t>’</w:t>
      </w:r>
      <w:r w:rsidRPr="00440D05">
        <w:rPr>
          <w:bCs/>
          <w:lang w:val="fr-FR"/>
        </w:rPr>
        <w:t>Union de Madrid sont versés aux États membres à moins qu</w:t>
      </w:r>
      <w:r w:rsidR="00741B59" w:rsidRPr="00440D05">
        <w:rPr>
          <w:bCs/>
          <w:lang w:val="fr-FR"/>
        </w:rPr>
        <w:t>’</w:t>
      </w:r>
      <w:r w:rsidRPr="00440D05">
        <w:rPr>
          <w:bCs/>
          <w:lang w:val="fr-FR"/>
        </w:rPr>
        <w:t>ils n</w:t>
      </w:r>
      <w:r w:rsidR="00741B59" w:rsidRPr="00440D05">
        <w:rPr>
          <w:bCs/>
          <w:lang w:val="fr-FR"/>
        </w:rPr>
        <w:t>’</w:t>
      </w:r>
      <w:r w:rsidRPr="00440D05">
        <w:rPr>
          <w:bCs/>
          <w:lang w:val="fr-FR"/>
        </w:rPr>
        <w:t>en décident autrement.</w:t>
      </w:r>
    </w:p>
    <w:p w:rsidR="00741B59" w:rsidRPr="00440D05" w:rsidRDefault="00C6364B" w:rsidP="001A2204">
      <w:pPr>
        <w:pStyle w:val="ONUMFS"/>
        <w:numPr>
          <w:ilvl w:val="2"/>
          <w:numId w:val="40"/>
        </w:numPr>
        <w:rPr>
          <w:bCs/>
          <w:lang w:val="fr-FR"/>
        </w:rPr>
      </w:pPr>
      <w:r w:rsidRPr="00440D05">
        <w:rPr>
          <w:bCs/>
          <w:lang w:val="fr-FR"/>
        </w:rPr>
        <w:t>Si, après la clôture de l</w:t>
      </w:r>
      <w:r w:rsidR="00741B59" w:rsidRPr="00440D05">
        <w:rPr>
          <w:bCs/>
          <w:lang w:val="fr-FR"/>
        </w:rPr>
        <w:t>’</w:t>
      </w:r>
      <w:r w:rsidRPr="00440D05">
        <w:rPr>
          <w:bCs/>
          <w:lang w:val="fr-FR"/>
        </w:rPr>
        <w:t>exercice financier, une union présente un déficit qui ne peut pas être couvert par un appel aux fonds de réserve, il appartient à l</w:t>
      </w:r>
      <w:r w:rsidR="00741B59" w:rsidRPr="00440D05">
        <w:rPr>
          <w:bCs/>
          <w:lang w:val="fr-FR"/>
        </w:rPr>
        <w:t>’</w:t>
      </w:r>
      <w:r w:rsidRPr="00440D05">
        <w:rPr>
          <w:bCs/>
          <w:lang w:val="fr-FR"/>
        </w:rPr>
        <w:t xml:space="preserve">Assemblée </w:t>
      </w:r>
      <w:r w:rsidRPr="00440D05">
        <w:rPr>
          <w:bCs/>
          <w:lang w:val="fr-FR"/>
        </w:rPr>
        <w:lastRenderedPageBreak/>
        <w:t>générale de l</w:t>
      </w:r>
      <w:r w:rsidR="00741B59" w:rsidRPr="00440D05">
        <w:rPr>
          <w:bCs/>
          <w:lang w:val="fr-FR"/>
        </w:rPr>
        <w:t>’</w:t>
      </w:r>
      <w:r w:rsidRPr="00440D05">
        <w:rPr>
          <w:bCs/>
          <w:lang w:val="fr-FR"/>
        </w:rPr>
        <w:t>OMPI ou aux assemblées des unions intéressées, selon le cas, d</w:t>
      </w:r>
      <w:r w:rsidR="00741B59" w:rsidRPr="00440D05">
        <w:rPr>
          <w:bCs/>
          <w:lang w:val="fr-FR"/>
        </w:rPr>
        <w:t>’</w:t>
      </w:r>
      <w:r w:rsidRPr="00440D05">
        <w:rPr>
          <w:bCs/>
          <w:lang w:val="fr-FR"/>
        </w:rPr>
        <w:t xml:space="preserve">arrêter les mesures nécessaires pour assainir la situation financière </w:t>
      </w:r>
      <w:r w:rsidRPr="00440D05">
        <w:rPr>
          <w:bCs/>
          <w:i/>
          <w:lang w:val="fr-FR"/>
        </w:rPr>
        <w:t>(article 4.8).</w:t>
      </w:r>
    </w:p>
    <w:p w:rsidR="00741B59" w:rsidRPr="00440D05" w:rsidRDefault="00C6364B" w:rsidP="001A2204">
      <w:pPr>
        <w:pStyle w:val="ONUMFS"/>
        <w:numPr>
          <w:ilvl w:val="2"/>
          <w:numId w:val="40"/>
        </w:numPr>
        <w:rPr>
          <w:bCs/>
          <w:i/>
          <w:lang w:val="fr-FR"/>
        </w:rPr>
      </w:pPr>
      <w:r w:rsidRPr="00440D05">
        <w:rPr>
          <w:lang w:val="fr-FR"/>
        </w:rPr>
        <w:t>Il est créé des fonds de roulement de l</w:t>
      </w:r>
      <w:r w:rsidR="00741B59" w:rsidRPr="00440D05">
        <w:rPr>
          <w:lang w:val="fr-FR"/>
        </w:rPr>
        <w:t>’</w:t>
      </w:r>
      <w:r w:rsidRPr="00440D05">
        <w:rPr>
          <w:lang w:val="fr-FR"/>
        </w:rPr>
        <w:t>Organisation et des unions de Paris, de Berne, de Madrid, de </w:t>
      </w:r>
      <w:r w:rsidR="00741B59" w:rsidRPr="00440D05">
        <w:rPr>
          <w:lang w:val="fr-FR"/>
        </w:rPr>
        <w:t>La Haye</w:t>
      </w:r>
      <w:r w:rsidRPr="00440D05">
        <w:rPr>
          <w:lang w:val="fr-FR"/>
        </w:rPr>
        <w:t>, de l</w:t>
      </w:r>
      <w:r w:rsidR="00741B59" w:rsidRPr="00440D05">
        <w:rPr>
          <w:lang w:val="fr-FR"/>
        </w:rPr>
        <w:t>’</w:t>
      </w:r>
      <w:r w:rsidRPr="00440D05">
        <w:rPr>
          <w:lang w:val="fr-FR"/>
        </w:rPr>
        <w:t>IPC, de Nice, du PCT, de Lisbonne, de Locarno et de Vienne dont les assemblées des États membres et des unions, chacune pour ce qui la concerne, arrêtent le montant</w:t>
      </w:r>
      <w:r w:rsidR="00C3714C" w:rsidRPr="00440D05">
        <w:rPr>
          <w:lang w:val="fr-FR"/>
        </w:rPr>
        <w:t xml:space="preserve"> </w:t>
      </w:r>
      <w:r w:rsidRPr="00440D05">
        <w:rPr>
          <w:i/>
          <w:lang w:val="fr-FR"/>
        </w:rPr>
        <w:t>(</w:t>
      </w:r>
      <w:r w:rsidR="00EE72BF" w:rsidRPr="00440D05">
        <w:rPr>
          <w:i/>
          <w:lang w:val="fr-FR"/>
        </w:rPr>
        <w:t>a</w:t>
      </w:r>
      <w:r w:rsidRPr="00440D05">
        <w:rPr>
          <w:i/>
          <w:lang w:val="fr-FR"/>
        </w:rPr>
        <w:t>rticle</w:t>
      </w:r>
      <w:r w:rsidR="00654232" w:rsidRPr="00440D05">
        <w:rPr>
          <w:i/>
          <w:lang w:val="fr-FR"/>
        </w:rPr>
        <w:t> </w:t>
      </w:r>
      <w:r w:rsidRPr="00440D05">
        <w:rPr>
          <w:i/>
          <w:lang w:val="fr-FR"/>
        </w:rPr>
        <w:t>4.2)</w:t>
      </w:r>
      <w:r w:rsidR="00EE72BF" w:rsidRPr="00440D05">
        <w:rPr>
          <w:lang w:val="fr-FR"/>
        </w:rPr>
        <w:t>.</w:t>
      </w:r>
    </w:p>
    <w:p w:rsidR="00BB0058" w:rsidRPr="00440D05" w:rsidRDefault="00EE72BF" w:rsidP="001A2204">
      <w:pPr>
        <w:pStyle w:val="Heading1"/>
        <w:rPr>
          <w:lang w:val="fr-FR"/>
        </w:rPr>
      </w:pPr>
      <w:r w:rsidRPr="00440D05">
        <w:rPr>
          <w:lang w:val="fr-FR"/>
        </w:rPr>
        <w:t>II.</w:t>
      </w:r>
      <w:r w:rsidRPr="00440D05">
        <w:rPr>
          <w:lang w:val="fr-FR"/>
        </w:rPr>
        <w:tab/>
      </w:r>
      <w:r w:rsidR="001A2204" w:rsidRPr="00440D05">
        <w:rPr>
          <w:lang w:val="fr-FR"/>
        </w:rPr>
        <w:t>Politique de l</w:t>
      </w:r>
      <w:r w:rsidR="00741B59" w:rsidRPr="00440D05">
        <w:rPr>
          <w:lang w:val="fr-FR"/>
        </w:rPr>
        <w:t>’</w:t>
      </w:r>
      <w:r w:rsidR="001A2204" w:rsidRPr="00440D05">
        <w:rPr>
          <w:lang w:val="fr-FR"/>
        </w:rPr>
        <w:t>OMPI relative aux réserves</w:t>
      </w:r>
    </w:p>
    <w:p w:rsidR="001A2204" w:rsidRPr="00440D05" w:rsidRDefault="001A2204" w:rsidP="001A2204">
      <w:pPr>
        <w:rPr>
          <w:lang w:val="fr-FR"/>
        </w:rPr>
      </w:pPr>
    </w:p>
    <w:p w:rsidR="00BB0058" w:rsidRPr="00440D05" w:rsidRDefault="00C6364B" w:rsidP="001A2204">
      <w:pPr>
        <w:pStyle w:val="ONUMFS"/>
        <w:rPr>
          <w:lang w:val="fr-FR"/>
        </w:rPr>
      </w:pPr>
      <w:r w:rsidRPr="00440D05">
        <w:rPr>
          <w:lang w:val="fr-FR"/>
        </w:rPr>
        <w:t>Indépendamment des paragraphes précédents, qui contiennent une définition claire des fonds de réserve et des fonds de roulement (FRR) de l</w:t>
      </w:r>
      <w:r w:rsidR="00741B59" w:rsidRPr="00440D05">
        <w:rPr>
          <w:lang w:val="fr-FR"/>
        </w:rPr>
        <w:t>’</w:t>
      </w:r>
      <w:r w:rsidRPr="00440D05">
        <w:rPr>
          <w:lang w:val="fr-FR"/>
        </w:rPr>
        <w:t>Organisation, l</w:t>
      </w:r>
      <w:r w:rsidR="00741B59" w:rsidRPr="00440D05">
        <w:rPr>
          <w:lang w:val="fr-FR"/>
        </w:rPr>
        <w:t>’</w:t>
      </w:r>
      <w:r w:rsidRPr="00440D05">
        <w:rPr>
          <w:lang w:val="fr-FR"/>
        </w:rPr>
        <w:t>OMPI disposait d</w:t>
      </w:r>
      <w:r w:rsidR="00741B59" w:rsidRPr="00440D05">
        <w:rPr>
          <w:lang w:val="fr-FR"/>
        </w:rPr>
        <w:t>’</w:t>
      </w:r>
      <w:r w:rsidRPr="00440D05">
        <w:rPr>
          <w:lang w:val="fr-FR"/>
        </w:rPr>
        <w:t xml:space="preserve">une politique </w:t>
      </w:r>
      <w:r w:rsidR="0007116B" w:rsidRPr="00440D05">
        <w:rPr>
          <w:lang w:val="fr-FR"/>
        </w:rPr>
        <w:t>expresse</w:t>
      </w:r>
      <w:r w:rsidRPr="00440D05">
        <w:rPr>
          <w:lang w:val="fr-FR"/>
        </w:rPr>
        <w:t xml:space="preserve"> en matière de réserves, adoptée par les États membres en 2000 (voir les </w:t>
      </w:r>
      <w:r w:rsidR="00A81954">
        <w:rPr>
          <w:lang w:val="fr-FR"/>
        </w:rPr>
        <w:t xml:space="preserve">documents </w:t>
      </w:r>
      <w:r w:rsidRPr="00440D05">
        <w:rPr>
          <w:lang w:val="fr-FR"/>
        </w:rPr>
        <w:t xml:space="preserve">A/35/15 et A/35/6), </w:t>
      </w:r>
      <w:r w:rsidR="00F651DA" w:rsidRPr="00440D05">
        <w:rPr>
          <w:lang w:val="fr-FR"/>
        </w:rPr>
        <w:t>afin d</w:t>
      </w:r>
      <w:r w:rsidR="00741B59" w:rsidRPr="00440D05">
        <w:rPr>
          <w:lang w:val="fr-FR"/>
        </w:rPr>
        <w:t>’</w:t>
      </w:r>
      <w:r w:rsidR="00F651DA" w:rsidRPr="00440D05">
        <w:rPr>
          <w:lang w:val="fr-FR"/>
        </w:rPr>
        <w:t>établir le</w:t>
      </w:r>
      <w:r w:rsidRPr="00440D05">
        <w:rPr>
          <w:lang w:val="fr-FR"/>
        </w:rPr>
        <w:t xml:space="preserve"> niveau</w:t>
      </w:r>
      <w:r w:rsidR="00741B59" w:rsidRPr="00440D05">
        <w:rPr>
          <w:lang w:val="fr-FR"/>
        </w:rPr>
        <w:t xml:space="preserve"> des FRR</w:t>
      </w:r>
      <w:r w:rsidRPr="00440D05">
        <w:rPr>
          <w:lang w:val="fr-FR"/>
        </w:rPr>
        <w:t xml:space="preserve"> nécessaires </w:t>
      </w:r>
      <w:r w:rsidR="00F651DA" w:rsidRPr="00440D05">
        <w:rPr>
          <w:lang w:val="fr-FR"/>
        </w:rPr>
        <w:t>pour</w:t>
      </w:r>
      <w:r w:rsidRPr="00440D05">
        <w:rPr>
          <w:lang w:val="fr-FR"/>
        </w:rPr>
        <w:t xml:space="preserve"> l</w:t>
      </w:r>
      <w:r w:rsidR="00741B59" w:rsidRPr="00440D05">
        <w:rPr>
          <w:lang w:val="fr-FR"/>
        </w:rPr>
        <w:t>’</w:t>
      </w:r>
      <w:r w:rsidR="00F651DA" w:rsidRPr="00440D05">
        <w:rPr>
          <w:lang w:val="fr-FR"/>
        </w:rPr>
        <w:t>Organisation et d</w:t>
      </w:r>
      <w:r w:rsidR="00741B59" w:rsidRPr="00440D05">
        <w:rPr>
          <w:lang w:val="fr-FR"/>
        </w:rPr>
        <w:t>’</w:t>
      </w:r>
      <w:r w:rsidR="00F651DA" w:rsidRPr="00440D05">
        <w:rPr>
          <w:lang w:val="fr-FR"/>
        </w:rPr>
        <w:t xml:space="preserve">énoncer </w:t>
      </w:r>
      <w:r w:rsidRPr="00440D05">
        <w:rPr>
          <w:lang w:val="fr-FR"/>
        </w:rPr>
        <w:t>un certain nombre de principes généraux.</w:t>
      </w:r>
      <w:r w:rsidR="00C3714C" w:rsidRPr="00440D05">
        <w:rPr>
          <w:lang w:val="fr-FR"/>
        </w:rPr>
        <w:t xml:space="preserve">  </w:t>
      </w:r>
      <w:r w:rsidR="00F651DA" w:rsidRPr="00440D05">
        <w:rPr>
          <w:lang w:val="fr-FR"/>
        </w:rPr>
        <w:t xml:space="preserve">Bien que </w:t>
      </w:r>
      <w:r w:rsidR="00B127C5" w:rsidRPr="00440D05">
        <w:rPr>
          <w:lang w:val="fr-FR"/>
        </w:rPr>
        <w:t xml:space="preserve">cette politique </w:t>
      </w:r>
      <w:r w:rsidR="00F651DA" w:rsidRPr="00440D05">
        <w:rPr>
          <w:lang w:val="fr-FR"/>
        </w:rPr>
        <w:t xml:space="preserve">soit toujours </w:t>
      </w:r>
      <w:r w:rsidR="00B127C5" w:rsidRPr="00440D05">
        <w:rPr>
          <w:lang w:val="fr-FR"/>
        </w:rPr>
        <w:t xml:space="preserve">valable et </w:t>
      </w:r>
      <w:r w:rsidR="00F651DA" w:rsidRPr="00440D05">
        <w:rPr>
          <w:lang w:val="fr-FR"/>
        </w:rPr>
        <w:t xml:space="preserve">constitue </w:t>
      </w:r>
      <w:r w:rsidR="00B127C5" w:rsidRPr="00440D05">
        <w:rPr>
          <w:lang w:val="fr-FR"/>
        </w:rPr>
        <w:t>une base solide et appropriée pour une gestion financière efficace de l</w:t>
      </w:r>
      <w:r w:rsidR="00741B59" w:rsidRPr="00440D05">
        <w:rPr>
          <w:lang w:val="fr-FR"/>
        </w:rPr>
        <w:t>’</w:t>
      </w:r>
      <w:r w:rsidR="00B127C5" w:rsidRPr="00440D05">
        <w:rPr>
          <w:lang w:val="fr-FR"/>
        </w:rPr>
        <w:t>Organisation, le Comité du programme et budget (PBC), à sa vingt</w:t>
      </w:r>
      <w:r w:rsidR="00001620" w:rsidRPr="00440D05">
        <w:rPr>
          <w:lang w:val="fr-FR"/>
        </w:rPr>
        <w:noBreakHyphen/>
      </w:r>
      <w:r w:rsidR="00B127C5" w:rsidRPr="00440D05">
        <w:rPr>
          <w:lang w:val="fr-FR"/>
        </w:rPr>
        <w:t>deuxième</w:t>
      </w:r>
      <w:r w:rsidR="00654232" w:rsidRPr="00440D05">
        <w:rPr>
          <w:lang w:val="fr-FR"/>
        </w:rPr>
        <w:t> </w:t>
      </w:r>
      <w:r w:rsidR="00B127C5" w:rsidRPr="00440D05">
        <w:rPr>
          <w:lang w:val="fr-FR"/>
        </w:rPr>
        <w:t xml:space="preserve">session tenue en </w:t>
      </w:r>
      <w:r w:rsidR="00741B59" w:rsidRPr="00440D05">
        <w:rPr>
          <w:lang w:val="fr-FR"/>
        </w:rPr>
        <w:t>septembre 20</w:t>
      </w:r>
      <w:r w:rsidR="00B127C5" w:rsidRPr="00440D05">
        <w:rPr>
          <w:lang w:val="fr-FR"/>
        </w:rPr>
        <w:t>14, a passé en revue la situation financière et les politiques de l</w:t>
      </w:r>
      <w:r w:rsidR="00741B59" w:rsidRPr="00440D05">
        <w:rPr>
          <w:lang w:val="fr-FR"/>
        </w:rPr>
        <w:t>’</w:t>
      </w:r>
      <w:r w:rsidR="00B127C5" w:rsidRPr="00440D05">
        <w:rPr>
          <w:lang w:val="fr-FR"/>
        </w:rPr>
        <w:t xml:space="preserve">OMPI en matière de réserves et a prié le Secrétariat de lui soumettre une proposition de politique globale relative aux réserves, portant notamment sur les montants recommandés, les considérations </w:t>
      </w:r>
      <w:r w:rsidR="00F651DA" w:rsidRPr="00440D05">
        <w:rPr>
          <w:lang w:val="fr-FR"/>
        </w:rPr>
        <w:t>de trésorerie</w:t>
      </w:r>
      <w:r w:rsidR="00B127C5" w:rsidRPr="00440D05">
        <w:rPr>
          <w:lang w:val="fr-FR"/>
        </w:rPr>
        <w:t xml:space="preserve"> ainsi que la gestion, l</w:t>
      </w:r>
      <w:r w:rsidR="00741B59" w:rsidRPr="00440D05">
        <w:rPr>
          <w:lang w:val="fr-FR"/>
        </w:rPr>
        <w:t>’</w:t>
      </w:r>
      <w:r w:rsidR="00B127C5" w:rsidRPr="00440D05">
        <w:rPr>
          <w:lang w:val="fr-FR"/>
        </w:rPr>
        <w:t>utilisation et l</w:t>
      </w:r>
      <w:r w:rsidR="00741B59" w:rsidRPr="00440D05">
        <w:rPr>
          <w:lang w:val="fr-FR"/>
        </w:rPr>
        <w:t>’</w:t>
      </w:r>
      <w:r w:rsidR="00B127C5" w:rsidRPr="00440D05">
        <w:rPr>
          <w:lang w:val="fr-FR"/>
        </w:rPr>
        <w:t>information concernant les excédents disponibles par rapport au montant recommandé, compte tenu des instructions des États membres et des recommandations des organes d</w:t>
      </w:r>
      <w:r w:rsidR="00741B59" w:rsidRPr="00440D05">
        <w:rPr>
          <w:lang w:val="fr-FR"/>
        </w:rPr>
        <w:t>’</w:t>
      </w:r>
      <w:r w:rsidR="00B127C5" w:rsidRPr="00440D05">
        <w:rPr>
          <w:lang w:val="fr-FR"/>
        </w:rPr>
        <w:t>audit et de supervision.</w:t>
      </w:r>
      <w:r w:rsidR="00C3714C" w:rsidRPr="00440D05">
        <w:rPr>
          <w:bCs/>
          <w:lang w:val="fr-FR"/>
        </w:rPr>
        <w:t xml:space="preserve"> </w:t>
      </w:r>
      <w:r w:rsidR="00076E48" w:rsidRPr="00440D05">
        <w:rPr>
          <w:bCs/>
          <w:lang w:val="fr-FR"/>
        </w:rPr>
        <w:t xml:space="preserve"> </w:t>
      </w:r>
      <w:r w:rsidR="00B127C5" w:rsidRPr="00440D05">
        <w:rPr>
          <w:bCs/>
          <w:lang w:val="fr-FR"/>
        </w:rPr>
        <w:t>Le présent document a été élaboré à partir des discussions tenues avec les États membres à la vingt</w:t>
      </w:r>
      <w:r w:rsidR="00001620" w:rsidRPr="00440D05">
        <w:rPr>
          <w:bCs/>
          <w:lang w:val="fr-FR"/>
        </w:rPr>
        <w:noBreakHyphen/>
      </w:r>
      <w:r w:rsidR="00B127C5" w:rsidRPr="00440D05">
        <w:rPr>
          <w:bCs/>
          <w:lang w:val="fr-FR"/>
        </w:rPr>
        <w:t>deuxième</w:t>
      </w:r>
      <w:r w:rsidR="00654232" w:rsidRPr="00440D05">
        <w:rPr>
          <w:bCs/>
          <w:lang w:val="fr-FR"/>
        </w:rPr>
        <w:t> </w:t>
      </w:r>
      <w:r w:rsidR="00B127C5" w:rsidRPr="00440D05">
        <w:rPr>
          <w:bCs/>
          <w:lang w:val="fr-FR"/>
        </w:rPr>
        <w:t>session</w:t>
      </w:r>
      <w:r w:rsidR="00741B59" w:rsidRPr="00440D05">
        <w:rPr>
          <w:bCs/>
          <w:lang w:val="fr-FR"/>
        </w:rPr>
        <w:t xml:space="preserve"> du PBC</w:t>
      </w:r>
      <w:r w:rsidR="00B127C5" w:rsidRPr="00440D05">
        <w:rPr>
          <w:bCs/>
          <w:lang w:val="fr-FR"/>
        </w:rPr>
        <w:t xml:space="preserve"> sur la base du </w:t>
      </w:r>
      <w:r w:rsidR="00A81954">
        <w:rPr>
          <w:bCs/>
          <w:lang w:val="fr-FR"/>
        </w:rPr>
        <w:t xml:space="preserve">document </w:t>
      </w:r>
      <w:r w:rsidR="00B127C5" w:rsidRPr="00440D05">
        <w:rPr>
          <w:bCs/>
          <w:lang w:val="fr-FR"/>
        </w:rPr>
        <w:t>WO/PBC/22/28.</w:t>
      </w:r>
    </w:p>
    <w:p w:rsidR="00BB0058" w:rsidRPr="00440D05" w:rsidRDefault="00B127C5" w:rsidP="001A2204">
      <w:pPr>
        <w:pStyle w:val="ONUMFS"/>
        <w:rPr>
          <w:lang w:val="fr-FR"/>
        </w:rPr>
      </w:pPr>
      <w:r w:rsidRPr="00440D05">
        <w:rPr>
          <w:lang w:val="fr-FR"/>
        </w:rPr>
        <w:t xml:space="preserve">Les éléments essentiels de la politique révisée </w:t>
      </w:r>
      <w:r w:rsidR="00236D7A" w:rsidRPr="00440D05">
        <w:rPr>
          <w:lang w:val="fr-FR"/>
        </w:rPr>
        <w:t>relative aux</w:t>
      </w:r>
      <w:r w:rsidRPr="00440D05">
        <w:rPr>
          <w:lang w:val="fr-FR"/>
        </w:rPr>
        <w:t xml:space="preserve"> réserves, </w:t>
      </w:r>
      <w:r w:rsidR="00236D7A" w:rsidRPr="00440D05">
        <w:rPr>
          <w:lang w:val="fr-FR"/>
        </w:rPr>
        <w:t xml:space="preserve">qui seront </w:t>
      </w:r>
      <w:r w:rsidRPr="00440D05">
        <w:rPr>
          <w:lang w:val="fr-FR"/>
        </w:rPr>
        <w:t xml:space="preserve">développés </w:t>
      </w:r>
      <w:r w:rsidR="00236D7A" w:rsidRPr="00440D05">
        <w:rPr>
          <w:lang w:val="fr-FR"/>
        </w:rPr>
        <w:t>plus loin</w:t>
      </w:r>
      <w:r w:rsidRPr="00440D05">
        <w:rPr>
          <w:lang w:val="fr-FR"/>
        </w:rPr>
        <w:t>, sont les suivants :</w:t>
      </w:r>
    </w:p>
    <w:p w:rsidR="00BB0058" w:rsidRPr="00440D05" w:rsidRDefault="00B127C5" w:rsidP="001A2204">
      <w:pPr>
        <w:pStyle w:val="ONUMFS"/>
        <w:numPr>
          <w:ilvl w:val="2"/>
          <w:numId w:val="40"/>
        </w:numPr>
        <w:rPr>
          <w:lang w:val="fr-FR"/>
        </w:rPr>
      </w:pPr>
      <w:r w:rsidRPr="00440D05">
        <w:rPr>
          <w:lang w:val="fr-FR"/>
        </w:rPr>
        <w:t>l</w:t>
      </w:r>
      <w:r w:rsidR="00741B59" w:rsidRPr="00440D05">
        <w:rPr>
          <w:lang w:val="fr-FR"/>
        </w:rPr>
        <w:t>’</w:t>
      </w:r>
      <w:r w:rsidRPr="00440D05">
        <w:rPr>
          <w:lang w:val="fr-FR"/>
        </w:rPr>
        <w:t>OMPI établit une distinction nette entre l</w:t>
      </w:r>
      <w:r w:rsidR="00741B59" w:rsidRPr="00440D05">
        <w:rPr>
          <w:lang w:val="fr-FR"/>
        </w:rPr>
        <w:t>’</w:t>
      </w:r>
      <w:r w:rsidRPr="00440D05">
        <w:rPr>
          <w:lang w:val="fr-FR"/>
        </w:rPr>
        <w:t>élément réserves et l</w:t>
      </w:r>
      <w:r w:rsidR="00741B59" w:rsidRPr="00440D05">
        <w:rPr>
          <w:lang w:val="fr-FR"/>
        </w:rPr>
        <w:t>’</w:t>
      </w:r>
      <w:r w:rsidRPr="00440D05">
        <w:rPr>
          <w:lang w:val="fr-FR"/>
        </w:rPr>
        <w:t>élément fonds de roulement</w:t>
      </w:r>
      <w:r w:rsidR="00741B59" w:rsidRPr="00440D05">
        <w:rPr>
          <w:lang w:val="fr-FR"/>
        </w:rPr>
        <w:t xml:space="preserve"> des FRR</w:t>
      </w:r>
      <w:r w:rsidRPr="00440D05">
        <w:rPr>
          <w:lang w:val="fr-FR"/>
        </w:rPr>
        <w:t xml:space="preserve"> en termes comptables, </w:t>
      </w:r>
      <w:r w:rsidR="00EA1C32" w:rsidRPr="00440D05">
        <w:rPr>
          <w:lang w:val="fr-FR"/>
        </w:rPr>
        <w:t xml:space="preserve">sans remettre en cause les </w:t>
      </w:r>
      <w:r w:rsidRPr="00440D05">
        <w:rPr>
          <w:lang w:val="fr-FR"/>
        </w:rPr>
        <w:t>dispositions relatives à la propriété des fonds de roulement;</w:t>
      </w:r>
    </w:p>
    <w:p w:rsidR="00741B59" w:rsidRPr="00440D05" w:rsidRDefault="00B127C5" w:rsidP="001A2204">
      <w:pPr>
        <w:pStyle w:val="ONUMFS"/>
        <w:numPr>
          <w:ilvl w:val="2"/>
          <w:numId w:val="40"/>
        </w:numPr>
        <w:rPr>
          <w:lang w:val="fr-FR"/>
        </w:rPr>
      </w:pPr>
      <w:r w:rsidRPr="00440D05">
        <w:rPr>
          <w:lang w:val="fr-FR"/>
        </w:rPr>
        <w:t xml:space="preserve">le montant recommandé des réserves, </w:t>
      </w:r>
      <w:r w:rsidR="00741B59" w:rsidRPr="00440D05">
        <w:rPr>
          <w:lang w:val="fr-FR"/>
        </w:rPr>
        <w:t>y compris</w:t>
      </w:r>
      <w:r w:rsidRPr="00440D05">
        <w:rPr>
          <w:lang w:val="fr-FR"/>
        </w:rPr>
        <w:t xml:space="preserve"> les fonds de roulement, est arrêté par les unions, en fonction du pourcentage des dépenses estimées pour l</w:t>
      </w:r>
      <w:r w:rsidR="00741B59" w:rsidRPr="00440D05">
        <w:rPr>
          <w:lang w:val="fr-FR"/>
        </w:rPr>
        <w:t>’</w:t>
      </w:r>
      <w:r w:rsidRPr="00440D05">
        <w:rPr>
          <w:lang w:val="fr-FR"/>
        </w:rPr>
        <w:t>exercice biennal (</w:t>
      </w:r>
      <w:r w:rsidR="00116BF1" w:rsidRPr="00440D05">
        <w:rPr>
          <w:lang w:val="fr-FR"/>
        </w:rPr>
        <w:t>“</w:t>
      </w:r>
      <w:r w:rsidRPr="00440D05">
        <w:rPr>
          <w:lang w:val="fr-FR"/>
        </w:rPr>
        <w:t>facteur PBE</w:t>
      </w:r>
      <w:r w:rsidR="00116BF1" w:rsidRPr="00440D05">
        <w:rPr>
          <w:lang w:val="fr-FR"/>
        </w:rPr>
        <w:t>”</w:t>
      </w:r>
      <w:r w:rsidRPr="00440D05">
        <w:rPr>
          <w:lang w:val="fr-FR"/>
        </w:rPr>
        <w:t>) pour chaque union, et présenté dans le cadre de la procédure budgétaire de l</w:t>
      </w:r>
      <w:r w:rsidR="00741B59" w:rsidRPr="00440D05">
        <w:rPr>
          <w:lang w:val="fr-FR"/>
        </w:rPr>
        <w:t>’</w:t>
      </w:r>
      <w:r w:rsidRPr="00440D05">
        <w:rPr>
          <w:lang w:val="fr-FR"/>
        </w:rPr>
        <w:t>Organisation;</w:t>
      </w:r>
    </w:p>
    <w:p w:rsidR="00741B59" w:rsidRPr="00440D05" w:rsidRDefault="002771BB" w:rsidP="001A2204">
      <w:pPr>
        <w:pStyle w:val="ONUMFS"/>
        <w:numPr>
          <w:ilvl w:val="2"/>
          <w:numId w:val="40"/>
        </w:numPr>
        <w:rPr>
          <w:lang w:val="fr-FR"/>
        </w:rPr>
      </w:pPr>
      <w:r w:rsidRPr="00440D05">
        <w:rPr>
          <w:lang w:val="fr-FR"/>
        </w:rPr>
        <w:t xml:space="preserve">Le montant recommandé des réserves, </w:t>
      </w:r>
      <w:r w:rsidR="00741B59" w:rsidRPr="00440D05">
        <w:rPr>
          <w:lang w:val="fr-FR"/>
        </w:rPr>
        <w:t>y compris</w:t>
      </w:r>
      <w:r w:rsidRPr="00440D05">
        <w:rPr>
          <w:lang w:val="fr-FR"/>
        </w:rPr>
        <w:t xml:space="preserve"> les fonds de roulement, sera détenu dans la mesure du possible </w:t>
      </w:r>
      <w:r w:rsidR="004F2962" w:rsidRPr="00440D05">
        <w:rPr>
          <w:lang w:val="fr-FR"/>
        </w:rPr>
        <w:t>sous forme de trésorerie</w:t>
      </w:r>
      <w:r w:rsidRPr="00440D05">
        <w:rPr>
          <w:lang w:val="fr-FR"/>
        </w:rPr>
        <w:t xml:space="preserve"> ou </w:t>
      </w:r>
      <w:r w:rsidR="004F2962" w:rsidRPr="00440D05">
        <w:rPr>
          <w:lang w:val="fr-FR"/>
        </w:rPr>
        <w:t xml:space="preserve">de </w:t>
      </w:r>
      <w:r w:rsidRPr="00440D05">
        <w:rPr>
          <w:lang w:val="fr-FR"/>
        </w:rPr>
        <w:t>positions pouvant être liquidées à court terme, à coût faible ou nul, et qu</w:t>
      </w:r>
      <w:r w:rsidR="00EA1C32" w:rsidRPr="00440D05">
        <w:rPr>
          <w:lang w:val="fr-FR"/>
        </w:rPr>
        <w:t>i sont conformes à la politique</w:t>
      </w:r>
      <w:r w:rsidRPr="00440D05">
        <w:rPr>
          <w:lang w:val="fr-FR"/>
        </w:rPr>
        <w:t xml:space="preserve"> en vigueur en matière de placements;</w:t>
      </w:r>
    </w:p>
    <w:p w:rsidR="00BB0058" w:rsidRPr="00440D05" w:rsidRDefault="002771BB" w:rsidP="001A2204">
      <w:pPr>
        <w:pStyle w:val="ONUMFS"/>
        <w:numPr>
          <w:ilvl w:val="2"/>
          <w:numId w:val="40"/>
        </w:numPr>
        <w:rPr>
          <w:lang w:val="fr-FR"/>
        </w:rPr>
      </w:pPr>
      <w:r w:rsidRPr="00440D05">
        <w:rPr>
          <w:lang w:val="fr-FR"/>
        </w:rPr>
        <w:t>Les États membres et le Directeur général peuvent soumettre pour approbation des activités de projet financées au moyen des excédents disponibles.</w:t>
      </w:r>
      <w:r w:rsidR="004F2962" w:rsidRPr="00440D05">
        <w:rPr>
          <w:lang w:val="fr-FR"/>
        </w:rPr>
        <w:t xml:space="preserve"> </w:t>
      </w:r>
      <w:r w:rsidR="00C3714C" w:rsidRPr="00440D05">
        <w:rPr>
          <w:lang w:val="fr-FR"/>
        </w:rPr>
        <w:t xml:space="preserve"> </w:t>
      </w:r>
      <w:r w:rsidR="00C15614" w:rsidRPr="00440D05">
        <w:rPr>
          <w:lang w:val="fr-FR"/>
        </w:rPr>
        <w:t>N</w:t>
      </w:r>
      <w:r w:rsidR="00741B59" w:rsidRPr="00440D05">
        <w:rPr>
          <w:lang w:val="fr-FR"/>
        </w:rPr>
        <w:t>’</w:t>
      </w:r>
      <w:r w:rsidR="00C15614" w:rsidRPr="00440D05">
        <w:rPr>
          <w:lang w:val="fr-FR"/>
        </w:rPr>
        <w:t xml:space="preserve">entrent pas dans le calcul des excédents disponibles </w:t>
      </w:r>
      <w:r w:rsidR="004E2D75" w:rsidRPr="00440D05">
        <w:rPr>
          <w:lang w:val="fr-FR"/>
        </w:rPr>
        <w:t>l</w:t>
      </w:r>
      <w:r w:rsidR="00741B59" w:rsidRPr="00440D05">
        <w:rPr>
          <w:lang w:val="fr-FR"/>
        </w:rPr>
        <w:t>’</w:t>
      </w:r>
      <w:r w:rsidR="004E2D75" w:rsidRPr="00440D05">
        <w:rPr>
          <w:lang w:val="fr-FR"/>
        </w:rPr>
        <w:t>écart</w:t>
      </w:r>
      <w:r w:rsidR="00C15614" w:rsidRPr="00440D05">
        <w:rPr>
          <w:lang w:val="fr-FR"/>
        </w:rPr>
        <w:t xml:space="preserve"> de réévaluation (revalorisation du terrain sur lequel est construit le nouveau bâtiment) ni les fonds de roulement (qui ont été établis au moyen des contributions des États membres en vertu de décisions des assemblées des unions et sont détenus </w:t>
      </w:r>
      <w:r w:rsidR="004F2962" w:rsidRPr="00440D05">
        <w:rPr>
          <w:lang w:val="fr-FR"/>
        </w:rPr>
        <w:t xml:space="preserve">pour leur compte </w:t>
      </w:r>
      <w:r w:rsidR="00C15614" w:rsidRPr="00440D05">
        <w:rPr>
          <w:lang w:val="fr-FR"/>
        </w:rPr>
        <w:t>par l</w:t>
      </w:r>
      <w:r w:rsidR="00741B59" w:rsidRPr="00440D05">
        <w:rPr>
          <w:lang w:val="fr-FR"/>
        </w:rPr>
        <w:t>’</w:t>
      </w:r>
      <w:r w:rsidR="00C15614" w:rsidRPr="00440D05">
        <w:rPr>
          <w:lang w:val="fr-FR"/>
        </w:rPr>
        <w:t>OMPI).</w:t>
      </w:r>
    </w:p>
    <w:p w:rsidR="00BB0058" w:rsidRPr="00440D05" w:rsidRDefault="00C15614" w:rsidP="001A2204">
      <w:pPr>
        <w:pStyle w:val="ONUMFS"/>
        <w:rPr>
          <w:lang w:val="fr-FR"/>
        </w:rPr>
      </w:pPr>
      <w:r w:rsidRPr="00440D05">
        <w:rPr>
          <w:lang w:val="fr-FR"/>
        </w:rPr>
        <w:t xml:space="preserve">Le chapitre suivant traite de manière </w:t>
      </w:r>
      <w:r w:rsidR="003F46F3" w:rsidRPr="00440D05">
        <w:rPr>
          <w:lang w:val="fr-FR"/>
        </w:rPr>
        <w:t xml:space="preserve">plus </w:t>
      </w:r>
      <w:r w:rsidRPr="00440D05">
        <w:rPr>
          <w:lang w:val="fr-FR"/>
        </w:rPr>
        <w:t>détaillée de chacun de</w:t>
      </w:r>
      <w:r w:rsidR="003F46F3" w:rsidRPr="00440D05">
        <w:rPr>
          <w:lang w:val="fr-FR"/>
        </w:rPr>
        <w:t xml:space="preserve"> ce</w:t>
      </w:r>
      <w:r w:rsidRPr="00440D05">
        <w:rPr>
          <w:lang w:val="fr-FR"/>
        </w:rPr>
        <w:t xml:space="preserve">s éléments essentiels de la politique révisée </w:t>
      </w:r>
      <w:r w:rsidR="003F46F3" w:rsidRPr="00440D05">
        <w:rPr>
          <w:lang w:val="fr-FR"/>
        </w:rPr>
        <w:t>relative aux</w:t>
      </w:r>
      <w:r w:rsidRPr="00440D05">
        <w:rPr>
          <w:lang w:val="fr-FR"/>
        </w:rPr>
        <w:t xml:space="preserve"> réserves.</w:t>
      </w:r>
    </w:p>
    <w:p w:rsidR="001A2204" w:rsidRPr="00440D05" w:rsidRDefault="001A2204" w:rsidP="001A2204">
      <w:pPr>
        <w:rPr>
          <w:lang w:val="fr-FR"/>
        </w:rPr>
      </w:pPr>
    </w:p>
    <w:p w:rsidR="00BB0058" w:rsidRPr="00440D05" w:rsidRDefault="003F46F3" w:rsidP="001A2204">
      <w:pPr>
        <w:pStyle w:val="ONUMFS"/>
        <w:keepNext/>
        <w:keepLines/>
        <w:numPr>
          <w:ilvl w:val="0"/>
          <w:numId w:val="0"/>
        </w:numPr>
        <w:rPr>
          <w:b/>
          <w:lang w:val="fr-FR"/>
        </w:rPr>
      </w:pPr>
      <w:r w:rsidRPr="00440D05">
        <w:rPr>
          <w:b/>
          <w:lang w:val="fr-FR"/>
        </w:rPr>
        <w:lastRenderedPageBreak/>
        <w:t>II.</w:t>
      </w:r>
      <w:r w:rsidR="00001620" w:rsidRPr="00440D05">
        <w:rPr>
          <w:b/>
          <w:lang w:val="fr-FR"/>
        </w:rPr>
        <w:t> </w:t>
      </w:r>
      <w:r w:rsidRPr="00440D05">
        <w:rPr>
          <w:b/>
          <w:lang w:val="fr-FR"/>
        </w:rPr>
        <w:t>A</w:t>
      </w:r>
      <w:r w:rsidR="00C15614" w:rsidRPr="00440D05">
        <w:rPr>
          <w:b/>
          <w:lang w:val="fr-FR"/>
        </w:rPr>
        <w:tab/>
        <w:t>Séparation des fonds de roulement</w:t>
      </w:r>
    </w:p>
    <w:p w:rsidR="00BB0058" w:rsidRPr="00440D05" w:rsidRDefault="00AC4C6B" w:rsidP="001A2204">
      <w:pPr>
        <w:pStyle w:val="ONUMFS"/>
        <w:keepNext/>
        <w:keepLines/>
        <w:rPr>
          <w:lang w:val="fr-FR"/>
        </w:rPr>
      </w:pPr>
      <w:r w:rsidRPr="00440D05">
        <w:rPr>
          <w:lang w:val="fr-FR"/>
        </w:rPr>
        <w:t>Comme indiqué ci</w:t>
      </w:r>
      <w:r w:rsidR="00001620" w:rsidRPr="00440D05">
        <w:rPr>
          <w:lang w:val="fr-FR"/>
        </w:rPr>
        <w:noBreakHyphen/>
      </w:r>
      <w:r w:rsidRPr="00440D05">
        <w:rPr>
          <w:lang w:val="fr-FR"/>
        </w:rPr>
        <w:t>dessus</w:t>
      </w:r>
      <w:r w:rsidR="00C15614" w:rsidRPr="00440D05">
        <w:rPr>
          <w:lang w:val="fr-FR"/>
        </w:rPr>
        <w:t xml:space="preserve">, la notion de FRR ne </w:t>
      </w:r>
      <w:r w:rsidRPr="00440D05">
        <w:rPr>
          <w:lang w:val="fr-FR"/>
        </w:rPr>
        <w:t xml:space="preserve">remet pas </w:t>
      </w:r>
      <w:r w:rsidR="00C15614" w:rsidRPr="00440D05">
        <w:rPr>
          <w:lang w:val="fr-FR"/>
        </w:rPr>
        <w:t>en cause de la distinction entre fonds de réserve et fonds de roulement dans les livres et rapports</w:t>
      </w:r>
      <w:r w:rsidRPr="00440D05">
        <w:rPr>
          <w:lang w:val="fr-FR"/>
        </w:rPr>
        <w:t xml:space="preserve"> comptables</w:t>
      </w:r>
      <w:r w:rsidR="00C15614" w:rsidRPr="00440D05">
        <w:rPr>
          <w:lang w:val="fr-FR"/>
        </w:rPr>
        <w:t>.</w:t>
      </w:r>
      <w:r w:rsidR="00C3714C" w:rsidRPr="00440D05">
        <w:rPr>
          <w:lang w:val="fr-FR"/>
        </w:rPr>
        <w:t xml:space="preserve">  </w:t>
      </w:r>
      <w:r w:rsidR="00C15614" w:rsidRPr="00440D05">
        <w:rPr>
          <w:lang w:val="fr-FR"/>
        </w:rPr>
        <w:t>En conséquence, les modalités applicables aux fonds de roulement demeurent les mêmes, c</w:t>
      </w:r>
      <w:r w:rsidR="00741B59" w:rsidRPr="00440D05">
        <w:rPr>
          <w:lang w:val="fr-FR"/>
        </w:rPr>
        <w:t>’</w:t>
      </w:r>
      <w:r w:rsidR="00495E29" w:rsidRPr="00440D05">
        <w:rPr>
          <w:lang w:val="fr-FR"/>
        </w:rPr>
        <w:t>est</w:t>
      </w:r>
      <w:r w:rsidR="00001620" w:rsidRPr="00440D05">
        <w:rPr>
          <w:lang w:val="fr-FR"/>
        </w:rPr>
        <w:noBreakHyphen/>
      </w:r>
      <w:r w:rsidR="00495E29" w:rsidRPr="00440D05">
        <w:rPr>
          <w:lang w:val="fr-FR"/>
        </w:rPr>
        <w:t>à</w:t>
      </w:r>
      <w:r w:rsidR="00001620" w:rsidRPr="00440D05">
        <w:rPr>
          <w:lang w:val="fr-FR"/>
        </w:rPr>
        <w:noBreakHyphen/>
      </w:r>
      <w:r w:rsidR="00C15614" w:rsidRPr="00440D05">
        <w:rPr>
          <w:lang w:val="fr-FR"/>
        </w:rPr>
        <w:t xml:space="preserve">dire que les contributions au moyen desquelles ces fonds sont financés sont </w:t>
      </w:r>
      <w:r w:rsidR="00495E29" w:rsidRPr="00440D05">
        <w:rPr>
          <w:lang w:val="fr-FR"/>
        </w:rPr>
        <w:t>détenues</w:t>
      </w:r>
      <w:r w:rsidR="00C15614" w:rsidRPr="00440D05">
        <w:rPr>
          <w:lang w:val="fr-FR"/>
        </w:rPr>
        <w:t xml:space="preserve"> par l</w:t>
      </w:r>
      <w:r w:rsidR="00741B59" w:rsidRPr="00440D05">
        <w:rPr>
          <w:lang w:val="fr-FR"/>
        </w:rPr>
        <w:t>’</w:t>
      </w:r>
      <w:r w:rsidR="00C15614" w:rsidRPr="00440D05">
        <w:rPr>
          <w:lang w:val="fr-FR"/>
        </w:rPr>
        <w:t xml:space="preserve">OMPI pour </w:t>
      </w:r>
      <w:r w:rsidR="00495E29" w:rsidRPr="00440D05">
        <w:rPr>
          <w:lang w:val="fr-FR"/>
        </w:rPr>
        <w:t>le compte d</w:t>
      </w:r>
      <w:r w:rsidR="00C15614" w:rsidRPr="00440D05">
        <w:rPr>
          <w:lang w:val="fr-FR"/>
        </w:rPr>
        <w:t>es États membres de chacune des unions.</w:t>
      </w:r>
      <w:r w:rsidR="00C3714C" w:rsidRPr="00440D05">
        <w:rPr>
          <w:lang w:val="fr-FR"/>
        </w:rPr>
        <w:t xml:space="preserve">  </w:t>
      </w:r>
      <w:r w:rsidR="00C15614" w:rsidRPr="00440D05">
        <w:rPr>
          <w:lang w:val="fr-FR"/>
        </w:rPr>
        <w:t>Le montant des fonds de roulement est fixé en vertu du traité régissant chacune des unions concernées.</w:t>
      </w:r>
      <w:r w:rsidR="00C3714C" w:rsidRPr="00440D05">
        <w:rPr>
          <w:lang w:val="fr-FR"/>
        </w:rPr>
        <w:t xml:space="preserve">  </w:t>
      </w:r>
      <w:r w:rsidR="00495E29" w:rsidRPr="00440D05">
        <w:rPr>
          <w:lang w:val="fr-FR"/>
        </w:rPr>
        <w:t xml:space="preserve">Il </w:t>
      </w:r>
      <w:r w:rsidR="00C15614" w:rsidRPr="00440D05">
        <w:rPr>
          <w:lang w:val="fr-FR"/>
        </w:rPr>
        <w:t>est resté inchangé depuis</w:t>
      </w:r>
      <w:r w:rsidR="00654232" w:rsidRPr="00440D05">
        <w:rPr>
          <w:lang w:val="fr-FR"/>
        </w:rPr>
        <w:t> </w:t>
      </w:r>
      <w:r w:rsidR="00C15614" w:rsidRPr="00440D05">
        <w:rPr>
          <w:lang w:val="fr-FR"/>
        </w:rPr>
        <w:t>1990.</w:t>
      </w:r>
      <w:r w:rsidR="00E96C8A" w:rsidRPr="00440D05">
        <w:rPr>
          <w:lang w:val="fr-FR"/>
        </w:rPr>
        <w:t xml:space="preserve">  </w:t>
      </w:r>
      <w:r w:rsidR="00687B8C" w:rsidRPr="00440D05">
        <w:rPr>
          <w:lang w:val="fr-FR"/>
        </w:rPr>
        <w:t>Aussi, l</w:t>
      </w:r>
      <w:r w:rsidR="00741B59" w:rsidRPr="00440D05">
        <w:rPr>
          <w:lang w:val="fr-FR"/>
        </w:rPr>
        <w:t>’</w:t>
      </w:r>
      <w:r w:rsidR="00687B8C" w:rsidRPr="00440D05">
        <w:rPr>
          <w:lang w:val="fr-FR"/>
        </w:rPr>
        <w:t>ajustement du niveau</w:t>
      </w:r>
      <w:r w:rsidR="00741B59" w:rsidRPr="00440D05">
        <w:rPr>
          <w:lang w:val="fr-FR"/>
        </w:rPr>
        <w:t xml:space="preserve"> des FRR</w:t>
      </w:r>
      <w:r w:rsidR="00687B8C" w:rsidRPr="00440D05">
        <w:rPr>
          <w:lang w:val="fr-FR"/>
        </w:rPr>
        <w:t xml:space="preserve"> s</w:t>
      </w:r>
      <w:r w:rsidR="00741B59" w:rsidRPr="00440D05">
        <w:rPr>
          <w:lang w:val="fr-FR"/>
        </w:rPr>
        <w:t>’</w:t>
      </w:r>
      <w:r w:rsidR="00687B8C" w:rsidRPr="00440D05">
        <w:rPr>
          <w:lang w:val="fr-FR"/>
        </w:rPr>
        <w:t xml:space="preserve">effectue par modification du niveau des fonds de réserve uniquement, sans </w:t>
      </w:r>
      <w:r w:rsidR="00495E29" w:rsidRPr="00440D05">
        <w:rPr>
          <w:lang w:val="fr-FR"/>
        </w:rPr>
        <w:t>toucher au montant</w:t>
      </w:r>
      <w:r w:rsidR="00687B8C" w:rsidRPr="00440D05">
        <w:rPr>
          <w:lang w:val="fr-FR"/>
        </w:rPr>
        <w:t xml:space="preserve"> des fonds de roulement.</w:t>
      </w:r>
      <w:r w:rsidR="00C3714C" w:rsidRPr="00440D05">
        <w:rPr>
          <w:lang w:val="fr-FR"/>
        </w:rPr>
        <w:t xml:space="preserve">  </w:t>
      </w:r>
      <w:r w:rsidR="00687B8C" w:rsidRPr="00440D05">
        <w:rPr>
          <w:lang w:val="fr-FR"/>
        </w:rPr>
        <w:t>En approuvant la politique relative aux réserves en</w:t>
      </w:r>
      <w:r w:rsidR="00654232" w:rsidRPr="00440D05">
        <w:rPr>
          <w:lang w:val="fr-FR"/>
        </w:rPr>
        <w:t> </w:t>
      </w:r>
      <w:r w:rsidR="00687B8C" w:rsidRPr="00440D05">
        <w:rPr>
          <w:lang w:val="fr-FR"/>
        </w:rPr>
        <w:t>2000, les États membres avaient également décidé d</w:t>
      </w:r>
      <w:r w:rsidR="00741B59" w:rsidRPr="00440D05">
        <w:rPr>
          <w:lang w:val="fr-FR"/>
        </w:rPr>
        <w:t>’</w:t>
      </w:r>
      <w:r w:rsidR="00687B8C" w:rsidRPr="00440D05">
        <w:rPr>
          <w:lang w:val="fr-FR"/>
        </w:rPr>
        <w:t>unifier la présentation des fonds de roulement pour les unions financées par des contributions.</w:t>
      </w:r>
      <w:r w:rsidR="00C3714C" w:rsidRPr="00440D05">
        <w:rPr>
          <w:lang w:val="fr-FR"/>
        </w:rPr>
        <w:t xml:space="preserve"> </w:t>
      </w:r>
      <w:r w:rsidR="00EE6A68" w:rsidRPr="00440D05">
        <w:rPr>
          <w:lang w:val="fr-FR"/>
        </w:rPr>
        <w:t xml:space="preserve"> </w:t>
      </w:r>
      <w:r w:rsidR="00687B8C" w:rsidRPr="00440D05">
        <w:rPr>
          <w:lang w:val="fr-FR"/>
        </w:rPr>
        <w:t>Il en est rendu compte dans les états financiers et dans le rapport de gestion financière.</w:t>
      </w:r>
    </w:p>
    <w:p w:rsidR="001A2204" w:rsidRPr="00440D05" w:rsidRDefault="001A2204" w:rsidP="001A2204">
      <w:pPr>
        <w:rPr>
          <w:lang w:val="fr-FR"/>
        </w:rPr>
      </w:pPr>
    </w:p>
    <w:p w:rsidR="00BB0058" w:rsidRPr="00440D05" w:rsidRDefault="00221626" w:rsidP="001A2204">
      <w:pPr>
        <w:pStyle w:val="ONUMFS"/>
        <w:numPr>
          <w:ilvl w:val="0"/>
          <w:numId w:val="0"/>
        </w:numPr>
        <w:rPr>
          <w:b/>
          <w:lang w:val="fr-FR"/>
        </w:rPr>
      </w:pPr>
      <w:r w:rsidRPr="00440D05">
        <w:rPr>
          <w:b/>
          <w:lang w:val="fr-FR"/>
        </w:rPr>
        <w:t>II.</w:t>
      </w:r>
      <w:r w:rsidR="00001620" w:rsidRPr="00440D05">
        <w:rPr>
          <w:b/>
          <w:lang w:val="fr-FR"/>
        </w:rPr>
        <w:t> </w:t>
      </w:r>
      <w:r w:rsidR="00687B8C" w:rsidRPr="00440D05">
        <w:rPr>
          <w:b/>
          <w:lang w:val="fr-FR"/>
        </w:rPr>
        <w:t>B</w:t>
      </w:r>
      <w:r w:rsidR="00687B8C" w:rsidRPr="00440D05">
        <w:rPr>
          <w:b/>
          <w:lang w:val="fr-FR"/>
        </w:rPr>
        <w:tab/>
        <w:t>Fixation du niveau nécessaire (montant recommandé) des réserves</w:t>
      </w:r>
    </w:p>
    <w:p w:rsidR="00741B59" w:rsidRPr="00440D05" w:rsidRDefault="00687B8C" w:rsidP="001A2204">
      <w:pPr>
        <w:pStyle w:val="ONUMFS"/>
        <w:rPr>
          <w:lang w:val="fr-FR"/>
        </w:rPr>
      </w:pPr>
      <w:r w:rsidRPr="00440D05">
        <w:rPr>
          <w:lang w:val="fr-FR"/>
        </w:rPr>
        <w:t xml:space="preserve">Les FRR servent à réduire au minimum le risque de déficit ou les problèmes de </w:t>
      </w:r>
      <w:r w:rsidR="005D5A9D" w:rsidRPr="00440D05">
        <w:rPr>
          <w:lang w:val="fr-FR"/>
        </w:rPr>
        <w:t>trésorerie</w:t>
      </w:r>
      <w:r w:rsidRPr="00440D05">
        <w:rPr>
          <w:lang w:val="fr-FR"/>
        </w:rPr>
        <w:t xml:space="preserve"> ayant une incidence négative sur l</w:t>
      </w:r>
      <w:r w:rsidR="00741B59" w:rsidRPr="00440D05">
        <w:rPr>
          <w:lang w:val="fr-FR"/>
        </w:rPr>
        <w:t>’</w:t>
      </w:r>
      <w:r w:rsidRPr="00440D05">
        <w:rPr>
          <w:lang w:val="fr-FR"/>
        </w:rPr>
        <w:t xml:space="preserve">exécution du programme, à maximiser </w:t>
      </w:r>
      <w:r w:rsidR="005D5A9D" w:rsidRPr="00440D05">
        <w:rPr>
          <w:lang w:val="fr-FR"/>
        </w:rPr>
        <w:t>la probabilité que</w:t>
      </w:r>
      <w:r w:rsidRPr="00440D05">
        <w:rPr>
          <w:lang w:val="fr-FR"/>
        </w:rPr>
        <w:t xml:space="preserve"> l</w:t>
      </w:r>
      <w:r w:rsidR="00741B59" w:rsidRPr="00440D05">
        <w:rPr>
          <w:lang w:val="fr-FR"/>
        </w:rPr>
        <w:t>’</w:t>
      </w:r>
      <w:r w:rsidRPr="00440D05">
        <w:rPr>
          <w:lang w:val="fr-FR"/>
        </w:rPr>
        <w:t xml:space="preserve">Organisation </w:t>
      </w:r>
      <w:r w:rsidR="005D5A9D" w:rsidRPr="00440D05">
        <w:rPr>
          <w:lang w:val="fr-FR"/>
        </w:rPr>
        <w:t xml:space="preserve">soit en mesure </w:t>
      </w:r>
      <w:r w:rsidRPr="00440D05">
        <w:rPr>
          <w:lang w:val="fr-FR"/>
        </w:rPr>
        <w:t xml:space="preserve">de satisfaire à ses obligations et à </w:t>
      </w:r>
      <w:r w:rsidR="005D5A9D" w:rsidRPr="00440D05">
        <w:rPr>
          <w:lang w:val="fr-FR"/>
        </w:rPr>
        <w:t xml:space="preserve">préserver la </w:t>
      </w:r>
      <w:r w:rsidRPr="00440D05">
        <w:rPr>
          <w:lang w:val="fr-FR"/>
        </w:rPr>
        <w:t>stabilité financière.</w:t>
      </w:r>
      <w:r w:rsidR="00C3714C" w:rsidRPr="00440D05">
        <w:rPr>
          <w:lang w:val="fr-FR"/>
        </w:rPr>
        <w:t xml:space="preserve">  </w:t>
      </w:r>
      <w:r w:rsidRPr="00440D05">
        <w:rPr>
          <w:lang w:val="fr-FR"/>
        </w:rPr>
        <w:t>La question du risque financier peut être affinée si l</w:t>
      </w:r>
      <w:r w:rsidR="00741B59" w:rsidRPr="00440D05">
        <w:rPr>
          <w:lang w:val="fr-FR"/>
        </w:rPr>
        <w:t>’</w:t>
      </w:r>
      <w:r w:rsidRPr="00440D05">
        <w:rPr>
          <w:lang w:val="fr-FR"/>
        </w:rPr>
        <w:t>on distingue les risques liés aux recettes des risques liés aux dépenses.</w:t>
      </w:r>
      <w:r w:rsidR="00C3714C" w:rsidRPr="00440D05">
        <w:rPr>
          <w:lang w:val="fr-FR"/>
        </w:rPr>
        <w:t xml:space="preserve">  </w:t>
      </w:r>
      <w:r w:rsidR="00073DCA" w:rsidRPr="00440D05">
        <w:rPr>
          <w:lang w:val="fr-FR"/>
        </w:rPr>
        <w:t>Les risques liés aux recettes comprennent le non</w:t>
      </w:r>
      <w:r w:rsidR="00001620" w:rsidRPr="00440D05">
        <w:rPr>
          <w:lang w:val="fr-FR"/>
        </w:rPr>
        <w:noBreakHyphen/>
      </w:r>
      <w:r w:rsidR="00073DCA" w:rsidRPr="00440D05">
        <w:rPr>
          <w:lang w:val="fr-FR"/>
        </w:rPr>
        <w:t>paiement des contributions, des recettes provenant des taxes moins élevées que prévu ainsi que les variations des taux de change.  Les risques liés aux dépenses incluent, par exemple, la faillite d</w:t>
      </w:r>
      <w:r w:rsidR="00741B59" w:rsidRPr="00440D05">
        <w:rPr>
          <w:lang w:val="fr-FR"/>
        </w:rPr>
        <w:t>’</w:t>
      </w:r>
      <w:r w:rsidR="00073DCA" w:rsidRPr="00440D05">
        <w:rPr>
          <w:lang w:val="fr-FR"/>
        </w:rPr>
        <w:t>un vendeur avant la fin d</w:t>
      </w:r>
      <w:r w:rsidR="00741B59" w:rsidRPr="00440D05">
        <w:rPr>
          <w:lang w:val="fr-FR"/>
        </w:rPr>
        <w:t>’</w:t>
      </w:r>
      <w:r w:rsidR="00073DCA" w:rsidRPr="00440D05">
        <w:rPr>
          <w:lang w:val="fr-FR"/>
        </w:rPr>
        <w:t>une transaction.</w:t>
      </w:r>
    </w:p>
    <w:p w:rsidR="00741B59" w:rsidRPr="00440D05" w:rsidRDefault="00073DCA" w:rsidP="001A2204">
      <w:pPr>
        <w:pStyle w:val="ONUMFS"/>
        <w:rPr>
          <w:lang w:val="fr-FR"/>
        </w:rPr>
      </w:pPr>
      <w:r w:rsidRPr="00440D05">
        <w:rPr>
          <w:lang w:val="fr-FR"/>
        </w:rPr>
        <w:t>L</w:t>
      </w:r>
      <w:r w:rsidR="00741B59" w:rsidRPr="00440D05">
        <w:rPr>
          <w:lang w:val="fr-FR"/>
        </w:rPr>
        <w:t>’</w:t>
      </w:r>
      <w:r w:rsidRPr="00440D05">
        <w:rPr>
          <w:lang w:val="fr-FR"/>
        </w:rPr>
        <w:t xml:space="preserve">OMPI est financée à 95% par les taxes </w:t>
      </w:r>
      <w:r w:rsidR="004F6B9D" w:rsidRPr="00440D05">
        <w:rPr>
          <w:lang w:val="fr-FR"/>
        </w:rPr>
        <w:t>qu</w:t>
      </w:r>
      <w:r w:rsidR="00741B59" w:rsidRPr="00440D05">
        <w:rPr>
          <w:lang w:val="fr-FR"/>
        </w:rPr>
        <w:t>’</w:t>
      </w:r>
      <w:r w:rsidR="004F6B9D" w:rsidRPr="00440D05">
        <w:rPr>
          <w:lang w:val="fr-FR"/>
        </w:rPr>
        <w:t>elle prélève</w:t>
      </w:r>
      <w:r w:rsidRPr="00440D05">
        <w:rPr>
          <w:lang w:val="fr-FR"/>
        </w:rPr>
        <w:t xml:space="preserve"> en échange de ses services.</w:t>
      </w:r>
      <w:r w:rsidR="00C3714C" w:rsidRPr="00440D05">
        <w:rPr>
          <w:lang w:val="fr-FR"/>
        </w:rPr>
        <w:t xml:space="preserve">  </w:t>
      </w:r>
      <w:r w:rsidRPr="00440D05">
        <w:rPr>
          <w:lang w:val="fr-FR"/>
        </w:rPr>
        <w:t>Le principal risque auquel l</w:t>
      </w:r>
      <w:r w:rsidR="00741B59" w:rsidRPr="00440D05">
        <w:rPr>
          <w:lang w:val="fr-FR"/>
        </w:rPr>
        <w:t>’</w:t>
      </w:r>
      <w:r w:rsidRPr="00440D05">
        <w:rPr>
          <w:lang w:val="fr-FR"/>
        </w:rPr>
        <w:t>Organisation est confrontée est donc lié aux recettes.</w:t>
      </w:r>
      <w:r w:rsidR="00C3714C" w:rsidRPr="00440D05">
        <w:rPr>
          <w:lang w:val="fr-FR"/>
        </w:rPr>
        <w:t xml:space="preserve">  </w:t>
      </w:r>
      <w:r w:rsidRPr="00440D05">
        <w:rPr>
          <w:lang w:val="fr-FR"/>
        </w:rPr>
        <w:t>Il s</w:t>
      </w:r>
      <w:r w:rsidR="00741B59" w:rsidRPr="00440D05">
        <w:rPr>
          <w:lang w:val="fr-FR"/>
        </w:rPr>
        <w:t>’</w:t>
      </w:r>
      <w:r w:rsidRPr="00440D05">
        <w:rPr>
          <w:lang w:val="fr-FR"/>
        </w:rPr>
        <w:t>agit essentiellement du risque que les recettes prévues pour l</w:t>
      </w:r>
      <w:r w:rsidR="00741B59" w:rsidRPr="00440D05">
        <w:rPr>
          <w:lang w:val="fr-FR"/>
        </w:rPr>
        <w:t>’</w:t>
      </w:r>
      <w:r w:rsidRPr="00440D05">
        <w:rPr>
          <w:lang w:val="fr-FR"/>
        </w:rPr>
        <w:t>exercice biennal considéré et qui sont destinées à financer les dépenses prévues pour le même exercice soient inférieures aux estimations.  Les dépenses prévues pour l</w:t>
      </w:r>
      <w:r w:rsidR="00741B59" w:rsidRPr="00440D05">
        <w:rPr>
          <w:lang w:val="fr-FR"/>
        </w:rPr>
        <w:t>’</w:t>
      </w:r>
      <w:r w:rsidRPr="00440D05">
        <w:rPr>
          <w:lang w:val="fr-FR"/>
        </w:rPr>
        <w:t xml:space="preserve">exercice biennal constituent donc un indicateur </w:t>
      </w:r>
      <w:r w:rsidR="003467F7" w:rsidRPr="00440D05">
        <w:rPr>
          <w:lang w:val="fr-FR"/>
        </w:rPr>
        <w:t xml:space="preserve">fiable et </w:t>
      </w:r>
      <w:r w:rsidRPr="00440D05">
        <w:rPr>
          <w:lang w:val="fr-FR"/>
        </w:rPr>
        <w:t xml:space="preserve">direct </w:t>
      </w:r>
      <w:r w:rsidR="003467F7" w:rsidRPr="00440D05">
        <w:rPr>
          <w:lang w:val="fr-FR"/>
        </w:rPr>
        <w:t xml:space="preserve">aux fins </w:t>
      </w:r>
      <w:r w:rsidRPr="00440D05">
        <w:rPr>
          <w:lang w:val="fr-FR"/>
        </w:rPr>
        <w:t>de l</w:t>
      </w:r>
      <w:r w:rsidR="00741B59" w:rsidRPr="00440D05">
        <w:rPr>
          <w:lang w:val="fr-FR"/>
        </w:rPr>
        <w:t>’</w:t>
      </w:r>
      <w:r w:rsidRPr="00440D05">
        <w:rPr>
          <w:lang w:val="fr-FR"/>
        </w:rPr>
        <w:t>évaluation des risques.</w:t>
      </w:r>
      <w:r w:rsidR="00C3714C" w:rsidRPr="00440D05">
        <w:rPr>
          <w:lang w:val="fr-FR"/>
        </w:rPr>
        <w:t xml:space="preserve">  </w:t>
      </w:r>
      <w:r w:rsidRPr="00440D05">
        <w:rPr>
          <w:lang w:val="fr-FR"/>
        </w:rPr>
        <w:t>C</w:t>
      </w:r>
      <w:r w:rsidR="00741B59" w:rsidRPr="00440D05">
        <w:rPr>
          <w:lang w:val="fr-FR"/>
        </w:rPr>
        <w:t>’</w:t>
      </w:r>
      <w:r w:rsidRPr="00440D05">
        <w:rPr>
          <w:lang w:val="fr-FR"/>
        </w:rPr>
        <w:t>est pourquoi, dans la politique de l</w:t>
      </w:r>
      <w:r w:rsidR="00741B59" w:rsidRPr="00440D05">
        <w:rPr>
          <w:lang w:val="fr-FR"/>
        </w:rPr>
        <w:t>’</w:t>
      </w:r>
      <w:r w:rsidRPr="00440D05">
        <w:rPr>
          <w:lang w:val="fr-FR"/>
        </w:rPr>
        <w:t xml:space="preserve">OMPI </w:t>
      </w:r>
      <w:r w:rsidR="00C61C4B" w:rsidRPr="00440D05">
        <w:rPr>
          <w:lang w:val="fr-FR"/>
        </w:rPr>
        <w:t>relative aux</w:t>
      </w:r>
      <w:r w:rsidRPr="00440D05">
        <w:rPr>
          <w:lang w:val="fr-FR"/>
        </w:rPr>
        <w:t xml:space="preserve"> réserves, la protection assurée par le montant </w:t>
      </w:r>
      <w:r w:rsidR="00C61C4B" w:rsidRPr="00440D05">
        <w:rPr>
          <w:lang w:val="fr-FR"/>
        </w:rPr>
        <w:t>global</w:t>
      </w:r>
      <w:r w:rsidR="00741B59" w:rsidRPr="00440D05">
        <w:rPr>
          <w:lang w:val="fr-FR"/>
        </w:rPr>
        <w:t xml:space="preserve"> des FRR</w:t>
      </w:r>
      <w:r w:rsidRPr="00440D05">
        <w:rPr>
          <w:lang w:val="fr-FR"/>
        </w:rPr>
        <w:t xml:space="preserve"> est exprimée en pourcentage des dépenses prévues pour l</w:t>
      </w:r>
      <w:r w:rsidR="00741B59" w:rsidRPr="00440D05">
        <w:rPr>
          <w:lang w:val="fr-FR"/>
        </w:rPr>
        <w:t>’</w:t>
      </w:r>
      <w:r w:rsidRPr="00440D05">
        <w:rPr>
          <w:lang w:val="fr-FR"/>
        </w:rPr>
        <w:t xml:space="preserve">exercice biennal (facteur PBE – </w:t>
      </w:r>
      <w:proofErr w:type="spellStart"/>
      <w:r w:rsidRPr="00440D05">
        <w:rPr>
          <w:i/>
          <w:lang w:val="fr-FR"/>
        </w:rPr>
        <w:t>Percentage</w:t>
      </w:r>
      <w:proofErr w:type="spellEnd"/>
      <w:r w:rsidRPr="00440D05">
        <w:rPr>
          <w:i/>
          <w:lang w:val="fr-FR"/>
        </w:rPr>
        <w:t xml:space="preserve"> of </w:t>
      </w:r>
      <w:proofErr w:type="spellStart"/>
      <w:r w:rsidRPr="00440D05">
        <w:rPr>
          <w:i/>
          <w:lang w:val="fr-FR"/>
        </w:rPr>
        <w:t>estimated</w:t>
      </w:r>
      <w:proofErr w:type="spellEnd"/>
      <w:r w:rsidRPr="00440D05">
        <w:rPr>
          <w:i/>
          <w:lang w:val="fr-FR"/>
        </w:rPr>
        <w:t xml:space="preserve"> </w:t>
      </w:r>
      <w:proofErr w:type="spellStart"/>
      <w:r w:rsidRPr="00440D05">
        <w:rPr>
          <w:i/>
          <w:lang w:val="fr-FR"/>
        </w:rPr>
        <w:t>Biennial</w:t>
      </w:r>
      <w:proofErr w:type="spellEnd"/>
      <w:r w:rsidRPr="00440D05">
        <w:rPr>
          <w:i/>
          <w:lang w:val="fr-FR"/>
        </w:rPr>
        <w:t xml:space="preserve"> </w:t>
      </w:r>
      <w:proofErr w:type="spellStart"/>
      <w:r w:rsidRPr="00440D05">
        <w:rPr>
          <w:i/>
          <w:lang w:val="fr-FR"/>
        </w:rPr>
        <w:t>Expenditure</w:t>
      </w:r>
      <w:proofErr w:type="spellEnd"/>
      <w:r w:rsidRPr="00440D05">
        <w:rPr>
          <w:lang w:val="fr-FR"/>
        </w:rPr>
        <w:t>) : plus ce facteur est élevé, plus la protection est grande.</w:t>
      </w:r>
      <w:r w:rsidR="00C3714C" w:rsidRPr="00440D05">
        <w:rPr>
          <w:lang w:val="fr-FR"/>
        </w:rPr>
        <w:t xml:space="preserve">  </w:t>
      </w:r>
      <w:r w:rsidRPr="00440D05">
        <w:rPr>
          <w:lang w:val="fr-FR"/>
        </w:rPr>
        <w:t>Le facteur PBE fournit également une indication de la durée pendant laquelle les opérations peuvent être financées exclusivement au moyen des fonds de réserve.</w:t>
      </w:r>
      <w:r w:rsidR="00C3714C" w:rsidRPr="00440D05">
        <w:rPr>
          <w:lang w:val="fr-FR"/>
        </w:rPr>
        <w:t xml:space="preserve">  </w:t>
      </w:r>
      <w:r w:rsidRPr="00440D05">
        <w:rPr>
          <w:lang w:val="fr-FR"/>
        </w:rPr>
        <w:t xml:space="preserve">Ainsi, un facteur de 50% indique un financement possible pendant </w:t>
      </w:r>
      <w:r w:rsidR="00A81954">
        <w:rPr>
          <w:lang w:val="fr-FR"/>
        </w:rPr>
        <w:t>12 </w:t>
      </w:r>
      <w:r w:rsidRPr="00440D05">
        <w:rPr>
          <w:lang w:val="fr-FR"/>
        </w:rPr>
        <w:t>mois et un facteur de 25%, un financement pendant six mois.</w:t>
      </w:r>
    </w:p>
    <w:p w:rsidR="00741B59" w:rsidRPr="00440D05" w:rsidRDefault="00DF76CB" w:rsidP="001A2204">
      <w:pPr>
        <w:pStyle w:val="ONUMFS"/>
        <w:rPr>
          <w:lang w:val="fr-FR"/>
        </w:rPr>
      </w:pPr>
      <w:r w:rsidRPr="00440D05">
        <w:rPr>
          <w:lang w:val="fr-FR"/>
        </w:rPr>
        <w:t>Selon la méthode décrite ci</w:t>
      </w:r>
      <w:r w:rsidR="00001620" w:rsidRPr="00440D05">
        <w:rPr>
          <w:lang w:val="fr-FR"/>
        </w:rPr>
        <w:noBreakHyphen/>
      </w:r>
      <w:r w:rsidRPr="00440D05">
        <w:rPr>
          <w:lang w:val="fr-FR"/>
        </w:rPr>
        <w:t>dessus, le montant recommandé</w:t>
      </w:r>
      <w:r w:rsidR="00741B59" w:rsidRPr="00440D05">
        <w:rPr>
          <w:lang w:val="fr-FR"/>
        </w:rPr>
        <w:t xml:space="preserve"> des FRR</w:t>
      </w:r>
      <w:r w:rsidRPr="00440D05">
        <w:rPr>
          <w:lang w:val="fr-FR"/>
        </w:rPr>
        <w:t xml:space="preserve"> a été exprimé en pourcentage des dépenses estimées pour l</w:t>
      </w:r>
      <w:r w:rsidR="00741B59" w:rsidRPr="00440D05">
        <w:rPr>
          <w:lang w:val="fr-FR"/>
        </w:rPr>
        <w:t>’</w:t>
      </w:r>
      <w:r w:rsidRPr="00440D05">
        <w:rPr>
          <w:lang w:val="fr-FR"/>
        </w:rPr>
        <w:t>exercice biennal (facteur PBE) pour les unions financées par des contributions, l</w:t>
      </w:r>
      <w:r w:rsidR="00741B59" w:rsidRPr="00440D05">
        <w:rPr>
          <w:lang w:val="fr-FR"/>
        </w:rPr>
        <w:t>’</w:t>
      </w:r>
      <w:r w:rsidRPr="00440D05">
        <w:rPr>
          <w:lang w:val="fr-FR"/>
        </w:rPr>
        <w:t>Union du PCT, l</w:t>
      </w:r>
      <w:r w:rsidR="00741B59" w:rsidRPr="00440D05">
        <w:rPr>
          <w:lang w:val="fr-FR"/>
        </w:rPr>
        <w:t>’</w:t>
      </w:r>
      <w:r w:rsidRPr="00440D05">
        <w:rPr>
          <w:lang w:val="fr-FR"/>
        </w:rPr>
        <w:t>Union de Madrid et l</w:t>
      </w:r>
      <w:r w:rsidR="00741B59" w:rsidRPr="00440D05">
        <w:rPr>
          <w:lang w:val="fr-FR"/>
        </w:rPr>
        <w:t>’</w:t>
      </w:r>
      <w:r w:rsidRPr="00440D05">
        <w:rPr>
          <w:lang w:val="fr-FR"/>
        </w:rPr>
        <w:t xml:space="preserve">Union de </w:t>
      </w:r>
      <w:r w:rsidR="00741B59" w:rsidRPr="00440D05">
        <w:rPr>
          <w:lang w:val="fr-FR"/>
        </w:rPr>
        <w:t>La Haye</w:t>
      </w:r>
      <w:r w:rsidRPr="00440D05">
        <w:rPr>
          <w:lang w:val="fr-FR"/>
        </w:rPr>
        <w:t xml:space="preserve">.  Le facteur PBE approprié a été fixé pour chacune des unions, </w:t>
      </w:r>
      <w:r w:rsidR="00C61C4B" w:rsidRPr="00440D05">
        <w:rPr>
          <w:lang w:val="fr-FR"/>
        </w:rPr>
        <w:t>de manière à</w:t>
      </w:r>
      <w:r w:rsidRPr="00440D05">
        <w:rPr>
          <w:lang w:val="fr-FR"/>
        </w:rPr>
        <w:t xml:space="preserve"> tenir compte des risques et des préoccupations </w:t>
      </w:r>
      <w:r w:rsidR="00C61C4B" w:rsidRPr="00440D05">
        <w:rPr>
          <w:lang w:val="fr-FR"/>
        </w:rPr>
        <w:t xml:space="preserve">de trésorerie </w:t>
      </w:r>
      <w:r w:rsidRPr="00440D05">
        <w:rPr>
          <w:lang w:val="fr-FR"/>
        </w:rPr>
        <w:t>de chacune des unions concernées.  Le niveau</w:t>
      </w:r>
      <w:r w:rsidR="00741B59" w:rsidRPr="00440D05">
        <w:rPr>
          <w:lang w:val="fr-FR"/>
        </w:rPr>
        <w:t xml:space="preserve"> des FFR</w:t>
      </w:r>
      <w:r w:rsidRPr="00440D05">
        <w:rPr>
          <w:lang w:val="fr-FR"/>
        </w:rPr>
        <w:t xml:space="preserve"> pour chaque union est par conséquent calculé à partir des dépenses estimées pour l</w:t>
      </w:r>
      <w:r w:rsidR="00741B59" w:rsidRPr="00440D05">
        <w:rPr>
          <w:lang w:val="fr-FR"/>
        </w:rPr>
        <w:t>’</w:t>
      </w:r>
      <w:r w:rsidRPr="00440D05">
        <w:rPr>
          <w:lang w:val="fr-FR"/>
        </w:rPr>
        <w:t>exercice biennal multipliées par le facteur PBE de l</w:t>
      </w:r>
      <w:r w:rsidR="00741B59" w:rsidRPr="00440D05">
        <w:rPr>
          <w:lang w:val="fr-FR"/>
        </w:rPr>
        <w:t>’</w:t>
      </w:r>
      <w:r w:rsidRPr="00440D05">
        <w:rPr>
          <w:lang w:val="fr-FR"/>
        </w:rPr>
        <w:t>union concernée.  En prenant le facteur PBE comme point de référence, on s</w:t>
      </w:r>
      <w:r w:rsidR="00741B59" w:rsidRPr="00440D05">
        <w:rPr>
          <w:lang w:val="fr-FR"/>
        </w:rPr>
        <w:t>’</w:t>
      </w:r>
      <w:r w:rsidRPr="00440D05">
        <w:rPr>
          <w:lang w:val="fr-FR"/>
        </w:rPr>
        <w:t>assure que le niveau</w:t>
      </w:r>
      <w:r w:rsidR="00741B59" w:rsidRPr="00440D05">
        <w:rPr>
          <w:lang w:val="fr-FR"/>
        </w:rPr>
        <w:t xml:space="preserve"> des FRR</w:t>
      </w:r>
      <w:r w:rsidRPr="00440D05">
        <w:rPr>
          <w:lang w:val="fr-FR"/>
        </w:rPr>
        <w:t xml:space="preserve"> est </w:t>
      </w:r>
      <w:r w:rsidR="008373CE" w:rsidRPr="00440D05">
        <w:rPr>
          <w:lang w:val="fr-FR"/>
        </w:rPr>
        <w:t xml:space="preserve">corrélé aux ressources prévues dans le </w:t>
      </w:r>
      <w:r w:rsidRPr="00440D05">
        <w:rPr>
          <w:lang w:val="fr-FR"/>
        </w:rPr>
        <w:t>projet</w:t>
      </w:r>
      <w:r w:rsidR="008373CE" w:rsidRPr="00440D05">
        <w:rPr>
          <w:lang w:val="fr-FR"/>
        </w:rPr>
        <w:t xml:space="preserve"> de programme et budget proposé, ce qui permet également de s</w:t>
      </w:r>
      <w:r w:rsidR="00741B59" w:rsidRPr="00440D05">
        <w:rPr>
          <w:lang w:val="fr-FR"/>
        </w:rPr>
        <w:t>’</w:t>
      </w:r>
      <w:r w:rsidR="008373CE" w:rsidRPr="00440D05">
        <w:rPr>
          <w:lang w:val="fr-FR"/>
        </w:rPr>
        <w:t xml:space="preserve">assurer que </w:t>
      </w:r>
      <w:r w:rsidRPr="00440D05">
        <w:rPr>
          <w:lang w:val="fr-FR"/>
        </w:rPr>
        <w:t>la dynamique du changement, les risques qui s</w:t>
      </w:r>
      <w:r w:rsidR="00741B59" w:rsidRPr="00440D05">
        <w:rPr>
          <w:lang w:val="fr-FR"/>
        </w:rPr>
        <w:t>’</w:t>
      </w:r>
      <w:r w:rsidR="00C61C4B" w:rsidRPr="00440D05">
        <w:rPr>
          <w:lang w:val="fr-FR"/>
        </w:rPr>
        <w:t xml:space="preserve">y </w:t>
      </w:r>
      <w:r w:rsidR="008373CE" w:rsidRPr="00440D05">
        <w:rPr>
          <w:lang w:val="fr-FR"/>
        </w:rPr>
        <w:t>r</w:t>
      </w:r>
      <w:r w:rsidR="00C61C4B" w:rsidRPr="00440D05">
        <w:rPr>
          <w:lang w:val="fr-FR"/>
        </w:rPr>
        <w:t xml:space="preserve">attachent et les besoins en trésorerie </w:t>
      </w:r>
      <w:r w:rsidRPr="00440D05">
        <w:rPr>
          <w:lang w:val="fr-FR"/>
        </w:rPr>
        <w:t xml:space="preserve">sont pleinement pris en </w:t>
      </w:r>
      <w:r w:rsidR="008373CE" w:rsidRPr="00440D05">
        <w:rPr>
          <w:lang w:val="fr-FR"/>
        </w:rPr>
        <w:t xml:space="preserve">considération </w:t>
      </w:r>
      <w:r w:rsidRPr="00440D05">
        <w:rPr>
          <w:lang w:val="fr-FR"/>
        </w:rPr>
        <w:t>dans le niveau</w:t>
      </w:r>
      <w:r w:rsidR="00741B59" w:rsidRPr="00440D05">
        <w:rPr>
          <w:lang w:val="fr-FR"/>
        </w:rPr>
        <w:t xml:space="preserve"> des FRR</w:t>
      </w:r>
      <w:r w:rsidR="008373CE" w:rsidRPr="00440D05">
        <w:rPr>
          <w:rStyle w:val="FootnoteReference"/>
          <w:lang w:val="fr-FR"/>
        </w:rPr>
        <w:footnoteReference w:id="2"/>
      </w:r>
      <w:r w:rsidRPr="00440D05">
        <w:rPr>
          <w:lang w:val="fr-FR"/>
        </w:rPr>
        <w:t>.</w:t>
      </w:r>
    </w:p>
    <w:p w:rsidR="00BB0058" w:rsidRPr="00440D05" w:rsidRDefault="00DF76CB" w:rsidP="001A2204">
      <w:pPr>
        <w:pStyle w:val="ONUMFS"/>
        <w:rPr>
          <w:lang w:val="fr-FR"/>
        </w:rPr>
      </w:pPr>
      <w:r w:rsidRPr="00440D05">
        <w:rPr>
          <w:lang w:val="fr-FR"/>
        </w:rPr>
        <w:lastRenderedPageBreak/>
        <w:t>Suite à une étude de l</w:t>
      </w:r>
      <w:r w:rsidR="00741B59" w:rsidRPr="00440D05">
        <w:rPr>
          <w:lang w:val="fr-FR"/>
        </w:rPr>
        <w:t>’</w:t>
      </w:r>
      <w:r w:rsidRPr="00440D05">
        <w:rPr>
          <w:lang w:val="fr-FR"/>
        </w:rPr>
        <w:t>évolution des recettes, des dépenses et du montant effectif</w:t>
      </w:r>
      <w:r w:rsidR="00741B59" w:rsidRPr="00440D05">
        <w:rPr>
          <w:lang w:val="fr-FR"/>
        </w:rPr>
        <w:t xml:space="preserve"> des FRR</w:t>
      </w:r>
      <w:r w:rsidRPr="00440D05">
        <w:rPr>
          <w:lang w:val="fr-FR"/>
        </w:rPr>
        <w:t xml:space="preserve"> de l</w:t>
      </w:r>
      <w:r w:rsidR="00741B59" w:rsidRPr="00440D05">
        <w:rPr>
          <w:lang w:val="fr-FR"/>
        </w:rPr>
        <w:t>’</w:t>
      </w:r>
      <w:r w:rsidRPr="00440D05">
        <w:rPr>
          <w:lang w:val="fr-FR"/>
        </w:rPr>
        <w:t xml:space="preserve">Organisation et de chaque union, il est proposé </w:t>
      </w:r>
      <w:r w:rsidR="005F35BF" w:rsidRPr="00440D05">
        <w:rPr>
          <w:lang w:val="fr-FR"/>
        </w:rPr>
        <w:t xml:space="preserve">de relever </w:t>
      </w:r>
      <w:r w:rsidRPr="00440D05">
        <w:rPr>
          <w:lang w:val="fr-FR"/>
        </w:rPr>
        <w:t>le facteur PBE pour l</w:t>
      </w:r>
      <w:r w:rsidR="00741B59" w:rsidRPr="00440D05">
        <w:rPr>
          <w:lang w:val="fr-FR"/>
        </w:rPr>
        <w:t>’</w:t>
      </w:r>
      <w:r w:rsidRPr="00440D05">
        <w:rPr>
          <w:lang w:val="fr-FR"/>
        </w:rPr>
        <w:t>Union</w:t>
      </w:r>
      <w:r w:rsidR="00741B59" w:rsidRPr="00440D05">
        <w:rPr>
          <w:lang w:val="fr-FR"/>
        </w:rPr>
        <w:t xml:space="preserve"> du PCT</w:t>
      </w:r>
      <w:r w:rsidRPr="00440D05">
        <w:rPr>
          <w:lang w:val="fr-FR"/>
        </w:rPr>
        <w:t xml:space="preserve"> de manière à tenir compte de l</w:t>
      </w:r>
      <w:r w:rsidR="00741B59" w:rsidRPr="00440D05">
        <w:rPr>
          <w:lang w:val="fr-FR"/>
        </w:rPr>
        <w:t>’</w:t>
      </w:r>
      <w:r w:rsidRPr="00440D05">
        <w:rPr>
          <w:lang w:val="fr-FR"/>
        </w:rPr>
        <w:t>augmentation d</w:t>
      </w:r>
      <w:r w:rsidR="00741B59" w:rsidRPr="00440D05">
        <w:rPr>
          <w:lang w:val="fr-FR"/>
        </w:rPr>
        <w:t>’</w:t>
      </w:r>
      <w:r w:rsidRPr="00440D05">
        <w:rPr>
          <w:lang w:val="fr-FR"/>
        </w:rPr>
        <w:t>échelle considérable des opérations</w:t>
      </w:r>
      <w:r w:rsidR="00741B59" w:rsidRPr="00440D05">
        <w:rPr>
          <w:lang w:val="fr-FR"/>
        </w:rPr>
        <w:t xml:space="preserve"> du PCT</w:t>
      </w:r>
      <w:r w:rsidRPr="00440D05">
        <w:rPr>
          <w:lang w:val="fr-FR"/>
        </w:rPr>
        <w:t xml:space="preserve"> et de la dépendance accrue de l</w:t>
      </w:r>
      <w:r w:rsidR="00741B59" w:rsidRPr="00440D05">
        <w:rPr>
          <w:lang w:val="fr-FR"/>
        </w:rPr>
        <w:t>’</w:t>
      </w:r>
      <w:r w:rsidR="00C61C4B" w:rsidRPr="00440D05">
        <w:rPr>
          <w:lang w:val="fr-FR"/>
        </w:rPr>
        <w:t>Organisation vis</w:t>
      </w:r>
      <w:r w:rsidR="00001620" w:rsidRPr="00440D05">
        <w:rPr>
          <w:lang w:val="fr-FR"/>
        </w:rPr>
        <w:noBreakHyphen/>
      </w:r>
      <w:r w:rsidR="00C61C4B" w:rsidRPr="00440D05">
        <w:rPr>
          <w:lang w:val="fr-FR"/>
        </w:rPr>
        <w:t>à</w:t>
      </w:r>
      <w:r w:rsidR="00001620" w:rsidRPr="00440D05">
        <w:rPr>
          <w:lang w:val="fr-FR"/>
        </w:rPr>
        <w:noBreakHyphen/>
      </w:r>
      <w:r w:rsidRPr="00440D05">
        <w:rPr>
          <w:lang w:val="fr-FR"/>
        </w:rPr>
        <w:t>vis des recettes</w:t>
      </w:r>
      <w:r w:rsidR="00741B59" w:rsidRPr="00440D05">
        <w:rPr>
          <w:lang w:val="fr-FR"/>
        </w:rPr>
        <w:t xml:space="preserve"> du PCT</w:t>
      </w:r>
      <w:r w:rsidRPr="00440D05">
        <w:rPr>
          <w:lang w:val="fr-FR"/>
        </w:rPr>
        <w:t xml:space="preserve"> depuis l</w:t>
      </w:r>
      <w:r w:rsidR="00741B59" w:rsidRPr="00440D05">
        <w:rPr>
          <w:lang w:val="fr-FR"/>
        </w:rPr>
        <w:t>’</w:t>
      </w:r>
      <w:r w:rsidRPr="00440D05">
        <w:rPr>
          <w:lang w:val="fr-FR"/>
        </w:rPr>
        <w:t>an</w:t>
      </w:r>
      <w:r w:rsidR="005F35BF" w:rsidRPr="00440D05">
        <w:rPr>
          <w:lang w:val="fr-FR"/>
        </w:rPr>
        <w:t> </w:t>
      </w:r>
      <w:r w:rsidRPr="00440D05">
        <w:rPr>
          <w:lang w:val="fr-FR"/>
        </w:rPr>
        <w:t>2000.</w:t>
      </w:r>
      <w:r w:rsidR="00C3714C" w:rsidRPr="00440D05">
        <w:rPr>
          <w:lang w:val="fr-FR"/>
        </w:rPr>
        <w:t xml:space="preserve"> </w:t>
      </w:r>
      <w:r w:rsidR="00301877" w:rsidRPr="00440D05">
        <w:rPr>
          <w:lang w:val="fr-FR"/>
        </w:rPr>
        <w:t xml:space="preserve"> </w:t>
      </w:r>
      <w:r w:rsidR="00662029" w:rsidRPr="00440D05">
        <w:rPr>
          <w:lang w:val="fr-FR"/>
        </w:rPr>
        <w:t>Le montant relevé</w:t>
      </w:r>
      <w:r w:rsidR="00741B59" w:rsidRPr="00440D05">
        <w:rPr>
          <w:lang w:val="fr-FR"/>
        </w:rPr>
        <w:t xml:space="preserve"> des FRR</w:t>
      </w:r>
      <w:r w:rsidR="00662029" w:rsidRPr="00440D05">
        <w:rPr>
          <w:lang w:val="fr-FR"/>
        </w:rPr>
        <w:t xml:space="preserve"> pour l</w:t>
      </w:r>
      <w:r w:rsidR="00741B59" w:rsidRPr="00440D05">
        <w:rPr>
          <w:lang w:val="fr-FR"/>
        </w:rPr>
        <w:t>’</w:t>
      </w:r>
      <w:r w:rsidR="00662029" w:rsidRPr="00440D05">
        <w:rPr>
          <w:lang w:val="fr-FR"/>
        </w:rPr>
        <w:t>Union</w:t>
      </w:r>
      <w:r w:rsidR="00741B59" w:rsidRPr="00440D05">
        <w:rPr>
          <w:lang w:val="fr-FR"/>
        </w:rPr>
        <w:t xml:space="preserve"> du PCT</w:t>
      </w:r>
      <w:r w:rsidR="00662029" w:rsidRPr="00440D05">
        <w:rPr>
          <w:lang w:val="fr-FR"/>
        </w:rPr>
        <w:t xml:space="preserve"> assurera </w:t>
      </w:r>
      <w:r w:rsidR="00BD7F4B" w:rsidRPr="00440D05">
        <w:rPr>
          <w:lang w:val="fr-FR"/>
        </w:rPr>
        <w:t>une</w:t>
      </w:r>
      <w:r w:rsidR="00662029" w:rsidRPr="00440D05">
        <w:rPr>
          <w:lang w:val="fr-FR"/>
        </w:rPr>
        <w:t xml:space="preserve"> meilleure stabilité financière pour les systèmes mondiaux de propriété intellectuelle les plus importants financièrement pour l</w:t>
      </w:r>
      <w:r w:rsidR="00741B59" w:rsidRPr="00440D05">
        <w:rPr>
          <w:lang w:val="fr-FR"/>
        </w:rPr>
        <w:t>’</w:t>
      </w:r>
      <w:r w:rsidR="00662029" w:rsidRPr="00440D05">
        <w:rPr>
          <w:lang w:val="fr-FR"/>
        </w:rPr>
        <w:t>Organisation.</w:t>
      </w:r>
      <w:r w:rsidR="00C3714C" w:rsidRPr="00440D05">
        <w:rPr>
          <w:lang w:val="fr-FR"/>
        </w:rPr>
        <w:t xml:space="preserve">  </w:t>
      </w:r>
      <w:r w:rsidR="00662029" w:rsidRPr="00440D05">
        <w:rPr>
          <w:lang w:val="fr-FR"/>
        </w:rPr>
        <w:t xml:space="preserve">Il est </w:t>
      </w:r>
      <w:r w:rsidR="00926DE4" w:rsidRPr="00440D05">
        <w:rPr>
          <w:lang w:val="fr-FR"/>
        </w:rPr>
        <w:t xml:space="preserve">ainsi </w:t>
      </w:r>
      <w:r w:rsidR="00662029" w:rsidRPr="00440D05">
        <w:rPr>
          <w:lang w:val="fr-FR"/>
        </w:rPr>
        <w:t>pr</w:t>
      </w:r>
      <w:r w:rsidR="00926DE4" w:rsidRPr="00440D05">
        <w:rPr>
          <w:lang w:val="fr-FR"/>
        </w:rPr>
        <w:t xml:space="preserve">oposé de porter de 15 à 20% le </w:t>
      </w:r>
      <w:r w:rsidR="00662029" w:rsidRPr="00440D05">
        <w:rPr>
          <w:lang w:val="fr-FR"/>
        </w:rPr>
        <w:t>facteur PBE pour l</w:t>
      </w:r>
      <w:r w:rsidR="00741B59" w:rsidRPr="00440D05">
        <w:rPr>
          <w:lang w:val="fr-FR"/>
        </w:rPr>
        <w:t>’</w:t>
      </w:r>
      <w:r w:rsidR="00662029" w:rsidRPr="00440D05">
        <w:rPr>
          <w:lang w:val="fr-FR"/>
        </w:rPr>
        <w:t>Union</w:t>
      </w:r>
      <w:r w:rsidR="00741B59" w:rsidRPr="00440D05">
        <w:rPr>
          <w:lang w:val="fr-FR"/>
        </w:rPr>
        <w:t xml:space="preserve"> du PCT</w:t>
      </w:r>
      <w:r w:rsidR="00662029" w:rsidRPr="00440D05">
        <w:rPr>
          <w:lang w:val="fr-FR"/>
        </w:rPr>
        <w:t>.</w:t>
      </w:r>
      <w:r w:rsidR="00C3714C" w:rsidRPr="00440D05">
        <w:rPr>
          <w:lang w:val="fr-FR"/>
        </w:rPr>
        <w:t xml:space="preserve"> </w:t>
      </w:r>
      <w:r w:rsidR="00C66330" w:rsidRPr="00440D05">
        <w:rPr>
          <w:lang w:val="fr-FR"/>
        </w:rPr>
        <w:t xml:space="preserve"> </w:t>
      </w:r>
      <w:r w:rsidR="00662029" w:rsidRPr="00440D05">
        <w:rPr>
          <w:lang w:val="fr-FR"/>
        </w:rPr>
        <w:t>Le facteur PBE est maintenu à 50% pour les unions financées par des contributions, à 25% pour l</w:t>
      </w:r>
      <w:r w:rsidR="00741B59" w:rsidRPr="00440D05">
        <w:rPr>
          <w:lang w:val="fr-FR"/>
        </w:rPr>
        <w:t>’</w:t>
      </w:r>
      <w:r w:rsidR="00662029" w:rsidRPr="00440D05">
        <w:rPr>
          <w:lang w:val="fr-FR"/>
        </w:rPr>
        <w:t>Union de Madrid et à 15% pour l</w:t>
      </w:r>
      <w:r w:rsidR="00741B59" w:rsidRPr="00440D05">
        <w:rPr>
          <w:lang w:val="fr-FR"/>
        </w:rPr>
        <w:t>’</w:t>
      </w:r>
      <w:r w:rsidR="00662029" w:rsidRPr="00440D05">
        <w:rPr>
          <w:lang w:val="fr-FR"/>
        </w:rPr>
        <w:t xml:space="preserve">Union de </w:t>
      </w:r>
      <w:r w:rsidR="00741B59" w:rsidRPr="00440D05">
        <w:rPr>
          <w:lang w:val="fr-FR"/>
        </w:rPr>
        <w:t>La Haye</w:t>
      </w:r>
      <w:r w:rsidR="00662029" w:rsidRPr="00440D05">
        <w:rPr>
          <w:lang w:val="fr-FR"/>
        </w:rPr>
        <w:t>.</w:t>
      </w:r>
      <w:r w:rsidR="00C3714C" w:rsidRPr="00440D05">
        <w:rPr>
          <w:lang w:val="fr-FR"/>
        </w:rPr>
        <w:t xml:space="preserve">  </w:t>
      </w:r>
      <w:r w:rsidR="005F35BF" w:rsidRPr="00440D05">
        <w:rPr>
          <w:lang w:val="fr-FR"/>
        </w:rPr>
        <w:t>Aucun</w:t>
      </w:r>
      <w:r w:rsidR="00662029" w:rsidRPr="00440D05">
        <w:rPr>
          <w:lang w:val="fr-FR"/>
        </w:rPr>
        <w:t xml:space="preserve"> montant recommandé </w:t>
      </w:r>
      <w:r w:rsidR="005F35BF" w:rsidRPr="00440D05">
        <w:rPr>
          <w:lang w:val="fr-FR"/>
        </w:rPr>
        <w:t>n</w:t>
      </w:r>
      <w:r w:rsidR="00741B59" w:rsidRPr="00440D05">
        <w:rPr>
          <w:lang w:val="fr-FR"/>
        </w:rPr>
        <w:t>’</w:t>
      </w:r>
      <w:r w:rsidR="005F35BF" w:rsidRPr="00440D05">
        <w:rPr>
          <w:lang w:val="fr-FR"/>
        </w:rPr>
        <w:t xml:space="preserve">a encore été déterminé </w:t>
      </w:r>
      <w:r w:rsidR="00662029" w:rsidRPr="00440D05">
        <w:rPr>
          <w:lang w:val="fr-FR"/>
        </w:rPr>
        <w:t>pour</w:t>
      </w:r>
      <w:r w:rsidR="00741B59" w:rsidRPr="00440D05">
        <w:rPr>
          <w:lang w:val="fr-FR"/>
        </w:rPr>
        <w:t xml:space="preserve"> les FRR</w:t>
      </w:r>
      <w:r w:rsidR="00662029" w:rsidRPr="00440D05">
        <w:rPr>
          <w:lang w:val="fr-FR"/>
        </w:rPr>
        <w:t xml:space="preserve"> de l</w:t>
      </w:r>
      <w:r w:rsidR="00741B59" w:rsidRPr="00440D05">
        <w:rPr>
          <w:lang w:val="fr-FR"/>
        </w:rPr>
        <w:t>’</w:t>
      </w:r>
      <w:r w:rsidR="00662029" w:rsidRPr="00440D05">
        <w:rPr>
          <w:lang w:val="fr-FR"/>
        </w:rPr>
        <w:t>Union de Lisbonne.</w:t>
      </w:r>
      <w:r w:rsidR="00C3714C" w:rsidRPr="00440D05">
        <w:rPr>
          <w:lang w:val="fr-FR"/>
        </w:rPr>
        <w:t xml:space="preserve"> </w:t>
      </w:r>
      <w:r w:rsidR="00C66330" w:rsidRPr="00440D05">
        <w:rPr>
          <w:lang w:val="fr-FR"/>
        </w:rPr>
        <w:t xml:space="preserve"> </w:t>
      </w:r>
      <w:r w:rsidR="00662029" w:rsidRPr="00440D05">
        <w:rPr>
          <w:lang w:val="fr-FR"/>
        </w:rPr>
        <w:t>Il conviendra de suivre de près l</w:t>
      </w:r>
      <w:r w:rsidR="00741B59" w:rsidRPr="00440D05">
        <w:rPr>
          <w:lang w:val="fr-FR"/>
        </w:rPr>
        <w:t>’</w:t>
      </w:r>
      <w:r w:rsidR="00662029" w:rsidRPr="00440D05">
        <w:rPr>
          <w:lang w:val="fr-FR"/>
        </w:rPr>
        <w:t>évolution du système de Lisbonne en vue de déterminer le moment opportun pour l</w:t>
      </w:r>
      <w:r w:rsidR="00741B59" w:rsidRPr="00440D05">
        <w:rPr>
          <w:lang w:val="fr-FR"/>
        </w:rPr>
        <w:t>’</w:t>
      </w:r>
      <w:r w:rsidR="00662029" w:rsidRPr="00440D05">
        <w:rPr>
          <w:lang w:val="fr-FR"/>
        </w:rPr>
        <w:t>introduction d</w:t>
      </w:r>
      <w:r w:rsidR="00741B59" w:rsidRPr="00440D05">
        <w:rPr>
          <w:lang w:val="fr-FR"/>
        </w:rPr>
        <w:t>’</w:t>
      </w:r>
      <w:r w:rsidR="00662029" w:rsidRPr="00440D05">
        <w:rPr>
          <w:lang w:val="fr-FR"/>
        </w:rPr>
        <w:t xml:space="preserve">un </w:t>
      </w:r>
      <w:r w:rsidR="00D21B9B" w:rsidRPr="00440D05">
        <w:rPr>
          <w:lang w:val="fr-FR"/>
        </w:rPr>
        <w:t>montant recommandé pour</w:t>
      </w:r>
      <w:r w:rsidR="00741B59" w:rsidRPr="00440D05">
        <w:rPr>
          <w:lang w:val="fr-FR"/>
        </w:rPr>
        <w:t xml:space="preserve"> les FRR</w:t>
      </w:r>
      <w:r w:rsidR="00662029" w:rsidRPr="00440D05">
        <w:rPr>
          <w:lang w:val="fr-FR"/>
        </w:rPr>
        <w:t>.</w:t>
      </w:r>
    </w:p>
    <w:p w:rsidR="00BB0058" w:rsidRPr="00440D05" w:rsidRDefault="00D51954" w:rsidP="001A2204">
      <w:pPr>
        <w:pStyle w:val="ONUMFS"/>
        <w:rPr>
          <w:lang w:val="fr-FR"/>
        </w:rPr>
      </w:pPr>
      <w:r w:rsidRPr="00440D05">
        <w:rPr>
          <w:lang w:val="fr-FR"/>
        </w:rPr>
        <w:t>Même si</w:t>
      </w:r>
      <w:r w:rsidR="00662029" w:rsidRPr="00440D05">
        <w:rPr>
          <w:lang w:val="fr-FR"/>
        </w:rPr>
        <w:t xml:space="preserve"> les facteurs PBE sont définis par union, l</w:t>
      </w:r>
      <w:r w:rsidR="00741B59" w:rsidRPr="00440D05">
        <w:rPr>
          <w:lang w:val="fr-FR"/>
        </w:rPr>
        <w:t>’</w:t>
      </w:r>
      <w:r w:rsidR="00662029" w:rsidRPr="00440D05">
        <w:rPr>
          <w:lang w:val="fr-FR"/>
        </w:rPr>
        <w:t xml:space="preserve">Organisation travaille </w:t>
      </w:r>
      <w:r w:rsidRPr="00440D05">
        <w:rPr>
          <w:lang w:val="fr-FR"/>
        </w:rPr>
        <w:t xml:space="preserve">en pratique </w:t>
      </w:r>
      <w:r w:rsidR="00662029" w:rsidRPr="00440D05">
        <w:rPr>
          <w:lang w:val="fr-FR"/>
        </w:rPr>
        <w:t>sur la base d</w:t>
      </w:r>
      <w:r w:rsidR="00741B59" w:rsidRPr="00440D05">
        <w:rPr>
          <w:lang w:val="fr-FR"/>
        </w:rPr>
        <w:t>’</w:t>
      </w:r>
      <w:r w:rsidRPr="00440D05">
        <w:rPr>
          <w:lang w:val="fr-FR"/>
        </w:rPr>
        <w:t>un</w:t>
      </w:r>
      <w:r w:rsidR="00662029" w:rsidRPr="00440D05">
        <w:rPr>
          <w:lang w:val="fr-FR"/>
        </w:rPr>
        <w:t xml:space="preserve"> programme et budget </w:t>
      </w:r>
      <w:r w:rsidRPr="00440D05">
        <w:rPr>
          <w:lang w:val="fr-FR"/>
        </w:rPr>
        <w:t xml:space="preserve">unique </w:t>
      </w:r>
      <w:r w:rsidR="005605CB" w:rsidRPr="00440D05">
        <w:rPr>
          <w:lang w:val="fr-FR"/>
        </w:rPr>
        <w:t>présenté</w:t>
      </w:r>
      <w:r w:rsidR="00EA44F6" w:rsidRPr="00440D05">
        <w:rPr>
          <w:lang w:val="fr-FR"/>
        </w:rPr>
        <w:t xml:space="preserve"> </w:t>
      </w:r>
      <w:r w:rsidR="00662029" w:rsidRPr="00440D05">
        <w:rPr>
          <w:lang w:val="fr-FR"/>
        </w:rPr>
        <w:t>par programme (depuis la fin des années</w:t>
      </w:r>
      <w:r w:rsidR="00654232" w:rsidRPr="00440D05">
        <w:rPr>
          <w:lang w:val="fr-FR"/>
        </w:rPr>
        <w:t> </w:t>
      </w:r>
      <w:r w:rsidR="00662029" w:rsidRPr="00440D05">
        <w:rPr>
          <w:lang w:val="fr-FR"/>
        </w:rPr>
        <w:t>90) et par résultat escompté (depuis</w:t>
      </w:r>
      <w:r w:rsidR="00654232" w:rsidRPr="00440D05">
        <w:rPr>
          <w:lang w:val="fr-FR"/>
        </w:rPr>
        <w:t> </w:t>
      </w:r>
      <w:r w:rsidR="00662029" w:rsidRPr="00440D05">
        <w:rPr>
          <w:lang w:val="fr-FR"/>
        </w:rPr>
        <w:t>2012</w:t>
      </w:r>
      <w:r w:rsidR="00001620" w:rsidRPr="00440D05">
        <w:rPr>
          <w:lang w:val="fr-FR"/>
        </w:rPr>
        <w:noBreakHyphen/>
      </w:r>
      <w:r w:rsidR="00662029" w:rsidRPr="00440D05">
        <w:rPr>
          <w:lang w:val="fr-FR"/>
        </w:rPr>
        <w:t>2013).</w:t>
      </w:r>
      <w:r w:rsidR="00C3714C" w:rsidRPr="00440D05">
        <w:rPr>
          <w:lang w:val="fr-FR"/>
        </w:rPr>
        <w:t xml:space="preserve"> </w:t>
      </w:r>
      <w:r w:rsidRPr="00440D05">
        <w:rPr>
          <w:lang w:val="fr-FR"/>
        </w:rPr>
        <w:t xml:space="preserve"> </w:t>
      </w:r>
      <w:r w:rsidR="00662029" w:rsidRPr="00440D05">
        <w:rPr>
          <w:lang w:val="fr-FR"/>
        </w:rPr>
        <w:t>Dans le contexte du budget de l</w:t>
      </w:r>
      <w:r w:rsidR="00741B59" w:rsidRPr="00440D05">
        <w:rPr>
          <w:lang w:val="fr-FR"/>
        </w:rPr>
        <w:t>’</w:t>
      </w:r>
      <w:r w:rsidR="00662029" w:rsidRPr="00440D05">
        <w:rPr>
          <w:lang w:val="fr-FR"/>
        </w:rPr>
        <w:t xml:space="preserve">Organisation, ces facteurs PBE par union se traduisent </w:t>
      </w:r>
      <w:r w:rsidR="00D21B9B" w:rsidRPr="00440D05">
        <w:rPr>
          <w:lang w:val="fr-FR"/>
        </w:rPr>
        <w:t>à l</w:t>
      </w:r>
      <w:r w:rsidR="00741B59" w:rsidRPr="00440D05">
        <w:rPr>
          <w:lang w:val="fr-FR"/>
        </w:rPr>
        <w:t>’</w:t>
      </w:r>
      <w:r w:rsidR="00D21B9B" w:rsidRPr="00440D05">
        <w:rPr>
          <w:lang w:val="fr-FR"/>
        </w:rPr>
        <w:t>échelle de l</w:t>
      </w:r>
      <w:r w:rsidR="00741B59" w:rsidRPr="00440D05">
        <w:rPr>
          <w:lang w:val="fr-FR"/>
        </w:rPr>
        <w:t>’</w:t>
      </w:r>
      <w:r w:rsidR="00D21B9B" w:rsidRPr="00440D05">
        <w:rPr>
          <w:lang w:val="fr-FR"/>
        </w:rPr>
        <w:t xml:space="preserve">Organisation </w:t>
      </w:r>
      <w:r w:rsidR="00662029" w:rsidRPr="00440D05">
        <w:rPr>
          <w:lang w:val="fr-FR"/>
        </w:rPr>
        <w:t xml:space="preserve">en </w:t>
      </w:r>
      <w:r w:rsidR="00E20C29" w:rsidRPr="00440D05">
        <w:rPr>
          <w:lang w:val="fr-FR"/>
        </w:rPr>
        <w:t xml:space="preserve">un </w:t>
      </w:r>
      <w:r w:rsidR="00662029" w:rsidRPr="00440D05">
        <w:rPr>
          <w:lang w:val="fr-FR"/>
        </w:rPr>
        <w:t>facteur PBE d</w:t>
      </w:r>
      <w:r w:rsidR="00741B59" w:rsidRPr="00440D05">
        <w:rPr>
          <w:lang w:val="fr-FR"/>
        </w:rPr>
        <w:t>’</w:t>
      </w:r>
      <w:r w:rsidR="00D21B9B" w:rsidRPr="00440D05">
        <w:rPr>
          <w:lang w:val="fr-FR"/>
        </w:rPr>
        <w:t>environ </w:t>
      </w:r>
      <w:r w:rsidR="00662029" w:rsidRPr="00440D05">
        <w:rPr>
          <w:lang w:val="fr-FR"/>
        </w:rPr>
        <w:t>22%.</w:t>
      </w:r>
      <w:r w:rsidR="00C3714C" w:rsidRPr="00440D05">
        <w:rPr>
          <w:lang w:val="fr-FR"/>
        </w:rPr>
        <w:t xml:space="preserve"> </w:t>
      </w:r>
      <w:r w:rsidR="00C948D8" w:rsidRPr="00440D05">
        <w:rPr>
          <w:lang w:val="fr-FR"/>
        </w:rPr>
        <w:t xml:space="preserve"> </w:t>
      </w:r>
      <w:r w:rsidR="00D21B9B" w:rsidRPr="00440D05">
        <w:rPr>
          <w:lang w:val="fr-FR"/>
        </w:rPr>
        <w:t xml:space="preserve">Ce taux </w:t>
      </w:r>
      <w:r w:rsidR="00E20C29" w:rsidRPr="00440D05">
        <w:rPr>
          <w:lang w:val="fr-FR"/>
        </w:rPr>
        <w:t>correspond</w:t>
      </w:r>
      <w:r w:rsidR="001B4C5E" w:rsidRPr="00440D05">
        <w:rPr>
          <w:lang w:val="fr-FR"/>
        </w:rPr>
        <w:t xml:space="preserve"> à plus de </w:t>
      </w:r>
      <w:r w:rsidR="00A81954">
        <w:rPr>
          <w:lang w:val="fr-FR"/>
        </w:rPr>
        <w:t>5 </w:t>
      </w:r>
      <w:r w:rsidR="001B4C5E" w:rsidRPr="00440D05">
        <w:rPr>
          <w:lang w:val="fr-FR"/>
        </w:rPr>
        <w:t>mois de dépenses biennales prévues</w:t>
      </w:r>
      <w:r w:rsidR="00D21B9B" w:rsidRPr="00440D05">
        <w:rPr>
          <w:lang w:val="fr-FR"/>
        </w:rPr>
        <w:t xml:space="preserve">, contre un </w:t>
      </w:r>
      <w:r w:rsidR="001B4C5E" w:rsidRPr="00440D05">
        <w:rPr>
          <w:lang w:val="fr-FR"/>
        </w:rPr>
        <w:t xml:space="preserve">montant actuel de 18,5% </w:t>
      </w:r>
      <w:r w:rsidR="00BD7F4B" w:rsidRPr="00440D05">
        <w:rPr>
          <w:lang w:val="fr-FR"/>
        </w:rPr>
        <w:t>équiva</w:t>
      </w:r>
      <w:r w:rsidR="00D21B9B" w:rsidRPr="00440D05">
        <w:rPr>
          <w:lang w:val="fr-FR"/>
        </w:rPr>
        <w:t>lan</w:t>
      </w:r>
      <w:r w:rsidR="00BD7F4B" w:rsidRPr="00440D05">
        <w:rPr>
          <w:lang w:val="fr-FR"/>
        </w:rPr>
        <w:t>t</w:t>
      </w:r>
      <w:r w:rsidR="001B4C5E" w:rsidRPr="00440D05">
        <w:rPr>
          <w:lang w:val="fr-FR"/>
        </w:rPr>
        <w:t xml:space="preserve"> à quatre</w:t>
      </w:r>
      <w:r w:rsidR="00654232" w:rsidRPr="00440D05">
        <w:rPr>
          <w:lang w:val="fr-FR"/>
        </w:rPr>
        <w:t> </w:t>
      </w:r>
      <w:r w:rsidR="001B4C5E" w:rsidRPr="00440D05">
        <w:rPr>
          <w:lang w:val="fr-FR"/>
        </w:rPr>
        <w:t xml:space="preserve">mois </w:t>
      </w:r>
      <w:r w:rsidR="00D21B9B" w:rsidRPr="00440D05">
        <w:rPr>
          <w:lang w:val="fr-FR"/>
        </w:rPr>
        <w:t>environ</w:t>
      </w:r>
      <w:r w:rsidR="001B4C5E" w:rsidRPr="00440D05">
        <w:rPr>
          <w:lang w:val="fr-FR"/>
        </w:rPr>
        <w:t>.</w:t>
      </w:r>
      <w:r w:rsidR="00C3714C" w:rsidRPr="00440D05">
        <w:rPr>
          <w:lang w:val="fr-FR"/>
        </w:rPr>
        <w:t xml:space="preserve"> </w:t>
      </w:r>
      <w:r w:rsidR="00C948D8" w:rsidRPr="00440D05">
        <w:rPr>
          <w:lang w:val="fr-FR"/>
        </w:rPr>
        <w:t xml:space="preserve"> </w:t>
      </w:r>
      <w:r w:rsidR="001B4C5E" w:rsidRPr="00440D05">
        <w:rPr>
          <w:lang w:val="fr-FR"/>
        </w:rPr>
        <w:t>L</w:t>
      </w:r>
      <w:r w:rsidR="00741B59" w:rsidRPr="00440D05">
        <w:rPr>
          <w:lang w:val="fr-FR"/>
        </w:rPr>
        <w:t>’</w:t>
      </w:r>
      <w:r w:rsidR="001B4C5E" w:rsidRPr="00440D05">
        <w:rPr>
          <w:lang w:val="fr-FR"/>
        </w:rPr>
        <w:t>accroissement du montant recommandé des réserves servira à renforcer la gestion du risque financier.</w:t>
      </w:r>
      <w:r w:rsidR="00C3714C" w:rsidRPr="00440D05">
        <w:rPr>
          <w:lang w:val="fr-FR"/>
        </w:rPr>
        <w:t xml:space="preserve"> </w:t>
      </w:r>
      <w:r w:rsidR="00C948D8" w:rsidRPr="00440D05">
        <w:rPr>
          <w:lang w:val="fr-FR"/>
        </w:rPr>
        <w:t xml:space="preserve"> </w:t>
      </w:r>
      <w:r w:rsidR="001B4C5E" w:rsidRPr="00440D05">
        <w:rPr>
          <w:lang w:val="fr-FR"/>
        </w:rPr>
        <w:t>En outre, l</w:t>
      </w:r>
      <w:r w:rsidR="00741B59" w:rsidRPr="00440D05">
        <w:rPr>
          <w:lang w:val="fr-FR"/>
        </w:rPr>
        <w:t>’</w:t>
      </w:r>
      <w:r w:rsidR="001B4C5E" w:rsidRPr="00440D05">
        <w:rPr>
          <w:lang w:val="fr-FR"/>
        </w:rPr>
        <w:t>augmentation proposée répond à la préférence des États membres en faveur d</w:t>
      </w:r>
      <w:r w:rsidR="00741B59" w:rsidRPr="00440D05">
        <w:rPr>
          <w:lang w:val="fr-FR"/>
        </w:rPr>
        <w:t>’</w:t>
      </w:r>
      <w:r w:rsidR="001B4C5E" w:rsidRPr="00440D05">
        <w:rPr>
          <w:lang w:val="fr-FR"/>
        </w:rPr>
        <w:t xml:space="preserve">une </w:t>
      </w:r>
      <w:r w:rsidR="00BD7F4B" w:rsidRPr="00440D05">
        <w:rPr>
          <w:lang w:val="fr-FR"/>
        </w:rPr>
        <w:t>augmentation</w:t>
      </w:r>
      <w:r w:rsidR="001B4C5E" w:rsidRPr="00440D05">
        <w:rPr>
          <w:lang w:val="fr-FR"/>
        </w:rPr>
        <w:t xml:space="preserve"> progressive du montant des réserves.</w:t>
      </w:r>
      <w:r w:rsidR="00C3714C" w:rsidRPr="00440D05">
        <w:rPr>
          <w:lang w:val="fr-FR"/>
        </w:rPr>
        <w:t xml:space="preserve"> </w:t>
      </w:r>
      <w:r w:rsidR="00D21B9B" w:rsidRPr="00440D05">
        <w:rPr>
          <w:lang w:val="fr-FR"/>
        </w:rPr>
        <w:t xml:space="preserve"> </w:t>
      </w:r>
      <w:r w:rsidR="00772717" w:rsidRPr="00440D05">
        <w:rPr>
          <w:lang w:val="fr-FR"/>
        </w:rPr>
        <w:t>Ce montant porté à 22% pour les réserves est en outre plus en phase avec la recommandation de</w:t>
      </w:r>
      <w:r w:rsidR="00654232" w:rsidRPr="00440D05">
        <w:rPr>
          <w:lang w:val="fr-FR"/>
        </w:rPr>
        <w:t> </w:t>
      </w:r>
      <w:r w:rsidR="00772717" w:rsidRPr="00440D05">
        <w:rPr>
          <w:lang w:val="fr-FR"/>
        </w:rPr>
        <w:t xml:space="preserve">2006 du vérificateur externe des comptes </w:t>
      </w:r>
      <w:r w:rsidR="00BD7F4B" w:rsidRPr="00440D05">
        <w:rPr>
          <w:lang w:val="fr-FR"/>
        </w:rPr>
        <w:t>suisse,</w:t>
      </w:r>
      <w:r w:rsidR="00772717" w:rsidRPr="00440D05">
        <w:rPr>
          <w:lang w:val="fr-FR"/>
        </w:rPr>
        <w:t xml:space="preserve"> qui avait préconisé de fixer le montant recommandé des réserves à 25% des dépenses biennales prévues, soit l</w:t>
      </w:r>
      <w:r w:rsidR="00741B59" w:rsidRPr="00440D05">
        <w:rPr>
          <w:lang w:val="fr-FR"/>
        </w:rPr>
        <w:t>’</w:t>
      </w:r>
      <w:r w:rsidR="00772717" w:rsidRPr="00440D05">
        <w:rPr>
          <w:lang w:val="fr-FR"/>
        </w:rPr>
        <w:t xml:space="preserve">équivalent de six mois </w:t>
      </w:r>
      <w:r w:rsidR="00D21B9B" w:rsidRPr="00440D05">
        <w:rPr>
          <w:lang w:val="fr-FR"/>
        </w:rPr>
        <w:t>de fonctionnement</w:t>
      </w:r>
      <w:r w:rsidR="00772717" w:rsidRPr="00440D05">
        <w:rPr>
          <w:lang w:val="fr-FR"/>
        </w:rPr>
        <w:t>.</w:t>
      </w:r>
    </w:p>
    <w:p w:rsidR="00BB0058" w:rsidRPr="00440D05" w:rsidRDefault="00454ED6" w:rsidP="001A2204">
      <w:pPr>
        <w:pStyle w:val="ONUMFS"/>
        <w:rPr>
          <w:bCs/>
          <w:lang w:val="fr-FR"/>
        </w:rPr>
      </w:pPr>
      <w:r w:rsidRPr="00440D05">
        <w:rPr>
          <w:lang w:val="fr-FR"/>
        </w:rPr>
        <w:t>Actuellement, l</w:t>
      </w:r>
      <w:r w:rsidR="00741B59" w:rsidRPr="00440D05">
        <w:rPr>
          <w:lang w:val="fr-FR"/>
        </w:rPr>
        <w:t>’</w:t>
      </w:r>
      <w:r w:rsidR="00772717" w:rsidRPr="00440D05">
        <w:rPr>
          <w:lang w:val="fr-FR"/>
        </w:rPr>
        <w:t>OMPI n</w:t>
      </w:r>
      <w:r w:rsidR="00741B59" w:rsidRPr="00440D05">
        <w:rPr>
          <w:lang w:val="fr-FR"/>
        </w:rPr>
        <w:t>’</w:t>
      </w:r>
      <w:r w:rsidR="00772717" w:rsidRPr="00440D05">
        <w:rPr>
          <w:lang w:val="fr-FR"/>
        </w:rPr>
        <w:t xml:space="preserve">est pas exposée à un risque de </w:t>
      </w:r>
      <w:r w:rsidRPr="00440D05">
        <w:rPr>
          <w:lang w:val="fr-FR"/>
        </w:rPr>
        <w:t>manque de liquidités</w:t>
      </w:r>
      <w:r w:rsidR="00772717" w:rsidRPr="00440D05">
        <w:rPr>
          <w:lang w:val="fr-FR"/>
        </w:rPr>
        <w:t xml:space="preserve"> car elle dispose </w:t>
      </w:r>
      <w:r w:rsidR="007D0A91" w:rsidRPr="00440D05">
        <w:rPr>
          <w:lang w:val="fr-FR"/>
        </w:rPr>
        <w:t>d</w:t>
      </w:r>
      <w:r w:rsidR="00741B59" w:rsidRPr="00440D05">
        <w:rPr>
          <w:lang w:val="fr-FR"/>
        </w:rPr>
        <w:t>’</w:t>
      </w:r>
      <w:r w:rsidR="007D0A91" w:rsidRPr="00440D05">
        <w:rPr>
          <w:lang w:val="fr-FR"/>
        </w:rPr>
        <w:t>une trésorerie</w:t>
      </w:r>
      <w:r w:rsidR="00772717" w:rsidRPr="00440D05">
        <w:rPr>
          <w:lang w:val="fr-FR"/>
        </w:rPr>
        <w:t xml:space="preserve"> </w:t>
      </w:r>
      <w:r w:rsidR="007D0A91" w:rsidRPr="00440D05">
        <w:rPr>
          <w:lang w:val="fr-FR"/>
        </w:rPr>
        <w:t>conséquente</w:t>
      </w:r>
      <w:r w:rsidR="00772717" w:rsidRPr="00440D05">
        <w:rPr>
          <w:lang w:val="fr-FR"/>
        </w:rPr>
        <w:t xml:space="preserve"> qui se reconstitue grâce aux résultats de ses opérations.</w:t>
      </w:r>
      <w:r w:rsidR="00C4154F" w:rsidRPr="00440D05">
        <w:rPr>
          <w:lang w:val="fr-FR"/>
        </w:rPr>
        <w:t xml:space="preserve">  </w:t>
      </w:r>
      <w:r w:rsidR="00772717" w:rsidRPr="00440D05">
        <w:rPr>
          <w:lang w:val="fr-FR"/>
        </w:rPr>
        <w:t>Toutefois, l</w:t>
      </w:r>
      <w:r w:rsidR="00741B59" w:rsidRPr="00440D05">
        <w:rPr>
          <w:lang w:val="fr-FR"/>
        </w:rPr>
        <w:t>’</w:t>
      </w:r>
      <w:r w:rsidR="00772717" w:rsidRPr="00440D05">
        <w:rPr>
          <w:lang w:val="fr-FR"/>
        </w:rPr>
        <w:t xml:space="preserve">un des objectifs </w:t>
      </w:r>
      <w:r w:rsidRPr="00440D05">
        <w:rPr>
          <w:lang w:val="fr-FR"/>
        </w:rPr>
        <w:t>du</w:t>
      </w:r>
      <w:r w:rsidR="00772717" w:rsidRPr="00440D05">
        <w:rPr>
          <w:lang w:val="fr-FR"/>
        </w:rPr>
        <w:t xml:space="preserve"> montant recommandé pour</w:t>
      </w:r>
      <w:r w:rsidR="00741B59" w:rsidRPr="00440D05">
        <w:rPr>
          <w:lang w:val="fr-FR"/>
        </w:rPr>
        <w:t xml:space="preserve"> les FRR</w:t>
      </w:r>
      <w:r w:rsidR="00772717" w:rsidRPr="00440D05">
        <w:rPr>
          <w:lang w:val="fr-FR"/>
        </w:rPr>
        <w:t xml:space="preserve"> est de faire en sorte que l</w:t>
      </w:r>
      <w:r w:rsidR="00741B59" w:rsidRPr="00440D05">
        <w:rPr>
          <w:lang w:val="fr-FR"/>
        </w:rPr>
        <w:t>’</w:t>
      </w:r>
      <w:r w:rsidR="00772717" w:rsidRPr="00440D05">
        <w:rPr>
          <w:lang w:val="fr-FR"/>
        </w:rPr>
        <w:t xml:space="preserve">Organisation </w:t>
      </w:r>
      <w:r w:rsidRPr="00440D05">
        <w:rPr>
          <w:lang w:val="fr-FR"/>
        </w:rPr>
        <w:t>soit</w:t>
      </w:r>
      <w:r w:rsidR="00772717" w:rsidRPr="00440D05">
        <w:rPr>
          <w:lang w:val="fr-FR"/>
        </w:rPr>
        <w:t xml:space="preserve"> en mesure de </w:t>
      </w:r>
      <w:r w:rsidR="00BD7F4B" w:rsidRPr="00440D05">
        <w:rPr>
          <w:lang w:val="fr-FR"/>
        </w:rPr>
        <w:t>satisfaire</w:t>
      </w:r>
      <w:r w:rsidR="00772717" w:rsidRPr="00440D05">
        <w:rPr>
          <w:lang w:val="fr-FR"/>
        </w:rPr>
        <w:t xml:space="preserve"> à ses obligations à court terme.</w:t>
      </w:r>
      <w:r w:rsidR="00B82951" w:rsidRPr="00440D05">
        <w:rPr>
          <w:lang w:val="fr-FR"/>
        </w:rPr>
        <w:t xml:space="preserve"> </w:t>
      </w:r>
      <w:r w:rsidRPr="00440D05">
        <w:rPr>
          <w:lang w:val="fr-FR"/>
        </w:rPr>
        <w:t xml:space="preserve"> </w:t>
      </w:r>
      <w:r w:rsidR="00772717" w:rsidRPr="00440D05">
        <w:rPr>
          <w:lang w:val="fr-FR"/>
        </w:rPr>
        <w:t xml:space="preserve">Le montant recommandé des réserves, </w:t>
      </w:r>
      <w:r w:rsidR="00741B59" w:rsidRPr="00440D05">
        <w:rPr>
          <w:lang w:val="fr-FR"/>
        </w:rPr>
        <w:t>y compris</w:t>
      </w:r>
      <w:r w:rsidR="00772717" w:rsidRPr="00440D05">
        <w:rPr>
          <w:lang w:val="fr-FR"/>
        </w:rPr>
        <w:t xml:space="preserve"> les fonds de roulement, sera détenu dans la mesure du possible </w:t>
      </w:r>
      <w:r w:rsidRPr="00440D05">
        <w:rPr>
          <w:lang w:val="fr-FR"/>
        </w:rPr>
        <w:t xml:space="preserve">sous forme de trésorerie ou de </w:t>
      </w:r>
      <w:r w:rsidR="00772717" w:rsidRPr="00440D05">
        <w:rPr>
          <w:lang w:val="fr-FR"/>
        </w:rPr>
        <w:t>positions pouvant être liquidées à court terme, à coût faible ou nul, et qui so</w:t>
      </w:r>
      <w:r w:rsidR="00DC6D33" w:rsidRPr="00440D05">
        <w:rPr>
          <w:lang w:val="fr-FR"/>
        </w:rPr>
        <w:t>ie</w:t>
      </w:r>
      <w:r w:rsidR="00772717" w:rsidRPr="00440D05">
        <w:rPr>
          <w:lang w:val="fr-FR"/>
        </w:rPr>
        <w:t>nt conformes à la politique en v</w:t>
      </w:r>
      <w:r w:rsidRPr="00440D05">
        <w:rPr>
          <w:lang w:val="fr-FR"/>
        </w:rPr>
        <w:t>igueur en matière de placements.</w:t>
      </w:r>
      <w:r w:rsidR="00C3714C" w:rsidRPr="00440D05">
        <w:rPr>
          <w:lang w:val="fr-FR"/>
        </w:rPr>
        <w:t xml:space="preserve">  </w:t>
      </w:r>
      <w:r w:rsidR="00072524" w:rsidRPr="00440D05">
        <w:rPr>
          <w:lang w:val="fr-FR"/>
        </w:rPr>
        <w:t>La mesure dans laquelle le montant des réserve</w:t>
      </w:r>
      <w:r w:rsidR="00B93827" w:rsidRPr="00440D05">
        <w:rPr>
          <w:lang w:val="fr-FR"/>
        </w:rPr>
        <w:t>s</w:t>
      </w:r>
      <w:r w:rsidR="00072524" w:rsidRPr="00440D05">
        <w:rPr>
          <w:lang w:val="fr-FR"/>
        </w:rPr>
        <w:t xml:space="preserve"> pourra être détenu en espèce</w:t>
      </w:r>
      <w:r w:rsidR="00B93827" w:rsidRPr="00440D05">
        <w:rPr>
          <w:lang w:val="fr-FR"/>
        </w:rPr>
        <w:t>s</w:t>
      </w:r>
      <w:r w:rsidR="00072524" w:rsidRPr="00440D05">
        <w:rPr>
          <w:lang w:val="fr-FR"/>
        </w:rPr>
        <w:t xml:space="preserve"> ou autres liquidités sera déterminé</w:t>
      </w:r>
      <w:r w:rsidR="00B93827" w:rsidRPr="00440D05">
        <w:rPr>
          <w:lang w:val="fr-FR"/>
        </w:rPr>
        <w:t>e</w:t>
      </w:r>
      <w:r w:rsidR="00072524" w:rsidRPr="00440D05">
        <w:rPr>
          <w:lang w:val="fr-FR"/>
        </w:rPr>
        <w:t xml:space="preserve"> par les taux d</w:t>
      </w:r>
      <w:r w:rsidR="00741B59" w:rsidRPr="00440D05">
        <w:rPr>
          <w:lang w:val="fr-FR"/>
        </w:rPr>
        <w:t>’</w:t>
      </w:r>
      <w:r w:rsidR="00072524" w:rsidRPr="00440D05">
        <w:rPr>
          <w:lang w:val="fr-FR"/>
        </w:rPr>
        <w:t xml:space="preserve">intérêt négatifs, </w:t>
      </w:r>
      <w:r w:rsidR="00B93827" w:rsidRPr="00440D05">
        <w:rPr>
          <w:lang w:val="fr-FR"/>
        </w:rPr>
        <w:t xml:space="preserve">par </w:t>
      </w:r>
      <w:r w:rsidR="00072524" w:rsidRPr="00440D05">
        <w:rPr>
          <w:lang w:val="fr-FR"/>
        </w:rPr>
        <w:t>les seuils que les institutions bancaires pourront accorder à l</w:t>
      </w:r>
      <w:r w:rsidR="00741B59" w:rsidRPr="00440D05">
        <w:rPr>
          <w:lang w:val="fr-FR"/>
        </w:rPr>
        <w:t>’</w:t>
      </w:r>
      <w:r w:rsidR="00072524" w:rsidRPr="00440D05">
        <w:rPr>
          <w:lang w:val="fr-FR"/>
        </w:rPr>
        <w:t xml:space="preserve">OMPI (en </w:t>
      </w:r>
      <w:r w:rsidR="00BD7F4B" w:rsidRPr="00440D05">
        <w:rPr>
          <w:lang w:val="fr-FR"/>
        </w:rPr>
        <w:t>deçà</w:t>
      </w:r>
      <w:r w:rsidR="00072524" w:rsidRPr="00440D05">
        <w:rPr>
          <w:lang w:val="fr-FR"/>
        </w:rPr>
        <w:t xml:space="preserve"> desquels nos dépôts ne seront pas frappés de taux d</w:t>
      </w:r>
      <w:r w:rsidR="00741B59" w:rsidRPr="00440D05">
        <w:rPr>
          <w:lang w:val="fr-FR"/>
        </w:rPr>
        <w:t>’</w:t>
      </w:r>
      <w:r w:rsidR="00072524" w:rsidRPr="00440D05">
        <w:rPr>
          <w:lang w:val="fr-FR"/>
        </w:rPr>
        <w:t xml:space="preserve">intérêt négatifs) et </w:t>
      </w:r>
      <w:r w:rsidR="00B93827" w:rsidRPr="00440D05">
        <w:rPr>
          <w:lang w:val="fr-FR"/>
        </w:rPr>
        <w:t xml:space="preserve">par </w:t>
      </w:r>
      <w:r w:rsidR="00072524" w:rsidRPr="00440D05">
        <w:rPr>
          <w:lang w:val="fr-FR"/>
        </w:rPr>
        <w:t>la politique en matière de placements.</w:t>
      </w:r>
    </w:p>
    <w:p w:rsidR="007E598D" w:rsidRPr="00440D05" w:rsidRDefault="007E598D" w:rsidP="007E598D">
      <w:pPr>
        <w:rPr>
          <w:lang w:val="fr-FR"/>
        </w:rPr>
      </w:pPr>
    </w:p>
    <w:p w:rsidR="00741B59" w:rsidRPr="00440D05" w:rsidRDefault="00B93827" w:rsidP="001A2204">
      <w:pPr>
        <w:pStyle w:val="ONUMFS"/>
        <w:numPr>
          <w:ilvl w:val="0"/>
          <w:numId w:val="0"/>
        </w:numPr>
        <w:rPr>
          <w:b/>
          <w:lang w:val="fr-FR"/>
        </w:rPr>
      </w:pPr>
      <w:r w:rsidRPr="00440D05">
        <w:rPr>
          <w:b/>
          <w:lang w:val="fr-FR"/>
        </w:rPr>
        <w:t>II.</w:t>
      </w:r>
      <w:r w:rsidR="00001620" w:rsidRPr="00440D05">
        <w:rPr>
          <w:b/>
          <w:lang w:val="fr-FR"/>
        </w:rPr>
        <w:t> </w:t>
      </w:r>
      <w:r w:rsidR="00072524" w:rsidRPr="00440D05">
        <w:rPr>
          <w:b/>
          <w:lang w:val="fr-FR"/>
        </w:rPr>
        <w:t>C</w:t>
      </w:r>
      <w:r w:rsidR="00072524" w:rsidRPr="00440D05">
        <w:rPr>
          <w:b/>
          <w:lang w:val="fr-FR"/>
        </w:rPr>
        <w:tab/>
      </w:r>
      <w:r w:rsidR="00997FFE" w:rsidRPr="00440D05">
        <w:rPr>
          <w:b/>
          <w:lang w:val="fr-FR"/>
        </w:rPr>
        <w:t>I</w:t>
      </w:r>
      <w:r w:rsidR="00DC6D33" w:rsidRPr="00440D05">
        <w:rPr>
          <w:b/>
          <w:lang w:val="fr-FR"/>
        </w:rPr>
        <w:t>nformation</w:t>
      </w:r>
      <w:r w:rsidR="00072524" w:rsidRPr="00440D05">
        <w:rPr>
          <w:b/>
          <w:lang w:val="fr-FR"/>
        </w:rPr>
        <w:t xml:space="preserve"> sur les réserves</w:t>
      </w:r>
    </w:p>
    <w:p w:rsidR="00BB0058" w:rsidRPr="00440D05" w:rsidRDefault="00072524" w:rsidP="001A2204">
      <w:pPr>
        <w:pStyle w:val="ONUMFS"/>
        <w:rPr>
          <w:lang w:val="fr-FR"/>
        </w:rPr>
      </w:pPr>
      <w:r w:rsidRPr="00440D05">
        <w:rPr>
          <w:lang w:val="fr-FR"/>
        </w:rPr>
        <w:t xml:space="preserve">Les FRR sont essentiels pour la planification financière et </w:t>
      </w:r>
      <w:r w:rsidR="00DC6D33" w:rsidRPr="00440D05">
        <w:rPr>
          <w:lang w:val="fr-FR"/>
        </w:rPr>
        <w:t>la</w:t>
      </w:r>
      <w:r w:rsidRPr="00440D05">
        <w:rPr>
          <w:lang w:val="fr-FR"/>
        </w:rPr>
        <w:t xml:space="preserve"> gestion de l</w:t>
      </w:r>
      <w:r w:rsidR="00741B59" w:rsidRPr="00440D05">
        <w:rPr>
          <w:lang w:val="fr-FR"/>
        </w:rPr>
        <w:t>’</w:t>
      </w:r>
      <w:r w:rsidR="005605CB" w:rsidRPr="00440D05">
        <w:rPr>
          <w:lang w:val="fr-FR"/>
        </w:rPr>
        <w:t>OMPI,</w:t>
      </w:r>
      <w:r w:rsidRPr="00440D05">
        <w:rPr>
          <w:lang w:val="fr-FR"/>
        </w:rPr>
        <w:t xml:space="preserve"> et la communication d</w:t>
      </w:r>
      <w:r w:rsidR="005605CB" w:rsidRPr="00440D05">
        <w:rPr>
          <w:lang w:val="fr-FR"/>
        </w:rPr>
        <w:t xml:space="preserve">es </w:t>
      </w:r>
      <w:r w:rsidRPr="00440D05">
        <w:rPr>
          <w:lang w:val="fr-FR"/>
        </w:rPr>
        <w:t xml:space="preserve">informations à ce </w:t>
      </w:r>
      <w:r w:rsidR="005605CB" w:rsidRPr="00440D05">
        <w:rPr>
          <w:lang w:val="fr-FR"/>
        </w:rPr>
        <w:t xml:space="preserve">sujet </w:t>
      </w:r>
      <w:r w:rsidRPr="00440D05">
        <w:rPr>
          <w:lang w:val="fr-FR"/>
        </w:rPr>
        <w:t>fait partie intégrante du programme et budget biennal, des états financiers et d</w:t>
      </w:r>
      <w:r w:rsidR="00454ED6" w:rsidRPr="00440D05">
        <w:rPr>
          <w:lang w:val="fr-FR"/>
        </w:rPr>
        <w:t>u rapport de gestion financière</w:t>
      </w:r>
      <w:r w:rsidRPr="00440D05">
        <w:rPr>
          <w:lang w:val="fr-FR"/>
        </w:rPr>
        <w:t>.</w:t>
      </w:r>
    </w:p>
    <w:p w:rsidR="00BB0058" w:rsidRPr="00440D05" w:rsidRDefault="004F61FA" w:rsidP="001A2204">
      <w:pPr>
        <w:pStyle w:val="ONUMFS"/>
        <w:rPr>
          <w:lang w:val="fr-FR"/>
        </w:rPr>
      </w:pPr>
      <w:r w:rsidRPr="00440D05">
        <w:rPr>
          <w:lang w:val="fr-FR"/>
        </w:rPr>
        <w:t>Le programme et budget biennal de l</w:t>
      </w:r>
      <w:r w:rsidR="00741B59" w:rsidRPr="00440D05">
        <w:rPr>
          <w:lang w:val="fr-FR"/>
        </w:rPr>
        <w:t>’</w:t>
      </w:r>
      <w:r w:rsidRPr="00440D05">
        <w:rPr>
          <w:lang w:val="fr-FR"/>
        </w:rPr>
        <w:t xml:space="preserve">OMPI </w:t>
      </w:r>
      <w:r w:rsidR="00A409B9" w:rsidRPr="00440D05">
        <w:rPr>
          <w:lang w:val="fr-FR"/>
        </w:rPr>
        <w:t>définit</w:t>
      </w:r>
      <w:r w:rsidRPr="00440D05">
        <w:rPr>
          <w:lang w:val="fr-FR"/>
        </w:rPr>
        <w:t xml:space="preserve"> un scénario concernant les recettes, les dépenses et les </w:t>
      </w:r>
      <w:r w:rsidR="00BD7F4B" w:rsidRPr="00440D05">
        <w:rPr>
          <w:lang w:val="fr-FR"/>
        </w:rPr>
        <w:t>résultats</w:t>
      </w:r>
      <w:r w:rsidRPr="00440D05">
        <w:rPr>
          <w:lang w:val="fr-FR"/>
        </w:rPr>
        <w:t xml:space="preserve"> par union.</w:t>
      </w:r>
    </w:p>
    <w:p w:rsidR="00BB0058" w:rsidRPr="00440D05" w:rsidRDefault="004F61FA" w:rsidP="001A2204">
      <w:pPr>
        <w:pStyle w:val="ONUMFS"/>
        <w:rPr>
          <w:lang w:val="fr-FR"/>
        </w:rPr>
      </w:pPr>
      <w:r w:rsidRPr="00440D05">
        <w:rPr>
          <w:lang w:val="fr-FR"/>
        </w:rPr>
        <w:t>Il est rendu compte des réserves (actifs nets) dans l</w:t>
      </w:r>
      <w:r w:rsidR="00741B59" w:rsidRPr="00440D05">
        <w:rPr>
          <w:lang w:val="fr-FR"/>
        </w:rPr>
        <w:t>’</w:t>
      </w:r>
      <w:r w:rsidRPr="00440D05">
        <w:rPr>
          <w:lang w:val="fr-FR"/>
        </w:rPr>
        <w:t>état financier I de l</w:t>
      </w:r>
      <w:r w:rsidR="00741B59" w:rsidRPr="00440D05">
        <w:rPr>
          <w:lang w:val="fr-FR"/>
        </w:rPr>
        <w:t>’</w:t>
      </w:r>
      <w:r w:rsidRPr="00440D05">
        <w:rPr>
          <w:lang w:val="fr-FR"/>
        </w:rPr>
        <w:t>Organisation, qui est l</w:t>
      </w:r>
      <w:r w:rsidR="00741B59" w:rsidRPr="00440D05">
        <w:rPr>
          <w:lang w:val="fr-FR"/>
        </w:rPr>
        <w:t>’</w:t>
      </w:r>
      <w:r w:rsidRPr="00440D05">
        <w:rPr>
          <w:lang w:val="fr-FR"/>
        </w:rPr>
        <w:t>état de la situation financière, et dans les notes qui l</w:t>
      </w:r>
      <w:r w:rsidR="00741B59" w:rsidRPr="00440D05">
        <w:rPr>
          <w:lang w:val="fr-FR"/>
        </w:rPr>
        <w:t>’</w:t>
      </w:r>
      <w:r w:rsidRPr="00440D05">
        <w:rPr>
          <w:lang w:val="fr-FR"/>
        </w:rPr>
        <w:t>accompagnent.</w:t>
      </w:r>
      <w:r w:rsidR="00C3714C" w:rsidRPr="00440D05">
        <w:rPr>
          <w:lang w:val="fr-FR"/>
        </w:rPr>
        <w:t xml:space="preserve">  </w:t>
      </w:r>
      <w:r w:rsidR="00985628" w:rsidRPr="00440D05">
        <w:rPr>
          <w:lang w:val="fr-FR"/>
        </w:rPr>
        <w:t>Selon les états financiers, les actifs nets de l</w:t>
      </w:r>
      <w:r w:rsidR="00741B59" w:rsidRPr="00440D05">
        <w:rPr>
          <w:lang w:val="fr-FR"/>
        </w:rPr>
        <w:t>’</w:t>
      </w:r>
      <w:r w:rsidR="00985628" w:rsidRPr="00440D05">
        <w:rPr>
          <w:lang w:val="fr-FR"/>
        </w:rPr>
        <w:t xml:space="preserve">OMPI comprennent les réserves (excédents cumulés et </w:t>
      </w:r>
      <w:r w:rsidR="00114C90" w:rsidRPr="00440D05">
        <w:rPr>
          <w:lang w:val="fr-FR"/>
        </w:rPr>
        <w:t xml:space="preserve">écart de </w:t>
      </w:r>
      <w:r w:rsidR="00985628" w:rsidRPr="00440D05">
        <w:rPr>
          <w:lang w:val="fr-FR"/>
        </w:rPr>
        <w:t>réévaluation) et les fonds de roulement.</w:t>
      </w:r>
      <w:r w:rsidR="00C3714C" w:rsidRPr="00440D05">
        <w:rPr>
          <w:lang w:val="fr-FR"/>
        </w:rPr>
        <w:t xml:space="preserve">  </w:t>
      </w:r>
      <w:r w:rsidR="00985628" w:rsidRPr="00440D05">
        <w:rPr>
          <w:lang w:val="fr-FR"/>
        </w:rPr>
        <w:t xml:space="preserve">Les fonds de roulement, qui ont été établis en vertu des traités régissant chacune des unions, restent </w:t>
      </w:r>
      <w:r w:rsidR="00997FFE" w:rsidRPr="00440D05">
        <w:rPr>
          <w:lang w:val="fr-FR"/>
        </w:rPr>
        <w:t>financés</w:t>
      </w:r>
      <w:r w:rsidR="00985628" w:rsidRPr="00440D05">
        <w:rPr>
          <w:lang w:val="fr-FR"/>
        </w:rPr>
        <w:t xml:space="preserve"> au moyen de contributions et sont détenus par l</w:t>
      </w:r>
      <w:r w:rsidR="00741B59" w:rsidRPr="00440D05">
        <w:rPr>
          <w:lang w:val="fr-FR"/>
        </w:rPr>
        <w:t>’</w:t>
      </w:r>
      <w:r w:rsidR="00985628" w:rsidRPr="00440D05">
        <w:rPr>
          <w:lang w:val="fr-FR"/>
        </w:rPr>
        <w:t>OMPI pour le compte des États membres des différentes unions.</w:t>
      </w:r>
      <w:r w:rsidR="00C3714C" w:rsidRPr="00440D05">
        <w:rPr>
          <w:lang w:val="fr-FR"/>
        </w:rPr>
        <w:t xml:space="preserve">  </w:t>
      </w:r>
      <w:r w:rsidR="00487A47" w:rsidRPr="00440D05">
        <w:rPr>
          <w:lang w:val="fr-FR"/>
        </w:rPr>
        <w:t xml:space="preserve">Ils </w:t>
      </w:r>
      <w:r w:rsidR="00997FFE" w:rsidRPr="00440D05">
        <w:rPr>
          <w:lang w:val="fr-FR"/>
        </w:rPr>
        <w:t>sont</w:t>
      </w:r>
      <w:r w:rsidR="00985628" w:rsidRPr="00440D05">
        <w:rPr>
          <w:lang w:val="fr-FR"/>
        </w:rPr>
        <w:t xml:space="preserve"> disponibles pour affectation, sur décision des assemblées des unions, en cas de déficit temporaire de trésorerie.</w:t>
      </w:r>
    </w:p>
    <w:p w:rsidR="00BB0058" w:rsidRPr="00440D05" w:rsidRDefault="00985628" w:rsidP="001A2204">
      <w:pPr>
        <w:pStyle w:val="ONUMFS"/>
        <w:rPr>
          <w:lang w:val="fr-FR"/>
        </w:rPr>
      </w:pPr>
      <w:r w:rsidRPr="00440D05">
        <w:rPr>
          <w:lang w:val="fr-FR"/>
        </w:rPr>
        <w:lastRenderedPageBreak/>
        <w:t>Suite aux recommandations d</w:t>
      </w:r>
      <w:r w:rsidR="00741B59" w:rsidRPr="00440D05">
        <w:rPr>
          <w:lang w:val="fr-FR"/>
        </w:rPr>
        <w:t>’</w:t>
      </w:r>
      <w:r w:rsidRPr="00440D05">
        <w:rPr>
          <w:lang w:val="fr-FR"/>
        </w:rPr>
        <w:t>audit émanant du vérificateur externe des comptes concernant la création d</w:t>
      </w:r>
      <w:r w:rsidR="00741B59" w:rsidRPr="00440D05">
        <w:rPr>
          <w:lang w:val="fr-FR"/>
        </w:rPr>
        <w:t>’</w:t>
      </w:r>
      <w:r w:rsidRPr="00440D05">
        <w:rPr>
          <w:lang w:val="fr-FR"/>
        </w:rPr>
        <w:t>une réserve distincte pour le financement de projets, il est proposé d</w:t>
      </w:r>
      <w:r w:rsidR="00741B59" w:rsidRPr="00440D05">
        <w:rPr>
          <w:lang w:val="fr-FR"/>
        </w:rPr>
        <w:t>’</w:t>
      </w:r>
      <w:r w:rsidRPr="00440D05">
        <w:rPr>
          <w:lang w:val="fr-FR"/>
        </w:rPr>
        <w:t>améliorer la communication d</w:t>
      </w:r>
      <w:r w:rsidR="00741B59" w:rsidRPr="00440D05">
        <w:rPr>
          <w:lang w:val="fr-FR"/>
        </w:rPr>
        <w:t>’</w:t>
      </w:r>
      <w:r w:rsidRPr="00440D05">
        <w:rPr>
          <w:lang w:val="fr-FR"/>
        </w:rPr>
        <w:t>informations sur les réserves de l</w:t>
      </w:r>
      <w:r w:rsidR="00741B59" w:rsidRPr="00440D05">
        <w:rPr>
          <w:lang w:val="fr-FR"/>
        </w:rPr>
        <w:t>’</w:t>
      </w:r>
      <w:r w:rsidRPr="00440D05">
        <w:rPr>
          <w:lang w:val="fr-FR"/>
        </w:rPr>
        <w:t>OMPI.</w:t>
      </w:r>
      <w:r w:rsidR="00C3714C" w:rsidRPr="00440D05">
        <w:rPr>
          <w:lang w:val="fr-FR"/>
        </w:rPr>
        <w:t xml:space="preserve">  </w:t>
      </w:r>
      <w:r w:rsidR="007E2A73" w:rsidRPr="00440D05">
        <w:rPr>
          <w:lang w:val="fr-FR"/>
        </w:rPr>
        <w:t xml:space="preserve">Ces améliorations apparaîtront à la fois </w:t>
      </w:r>
      <w:r w:rsidR="00997FFE" w:rsidRPr="00440D05">
        <w:rPr>
          <w:lang w:val="fr-FR"/>
        </w:rPr>
        <w:t>dans</w:t>
      </w:r>
      <w:r w:rsidR="007E2A73" w:rsidRPr="00440D05">
        <w:rPr>
          <w:lang w:val="fr-FR"/>
        </w:rPr>
        <w:t xml:space="preserve"> l</w:t>
      </w:r>
      <w:r w:rsidR="00741B59" w:rsidRPr="00440D05">
        <w:rPr>
          <w:lang w:val="fr-FR"/>
        </w:rPr>
        <w:t>’</w:t>
      </w:r>
      <w:r w:rsidR="007E2A73" w:rsidRPr="00440D05">
        <w:rPr>
          <w:lang w:val="fr-FR"/>
        </w:rPr>
        <w:t xml:space="preserve">état de la situation financière et dans les notes proprement dites, </w:t>
      </w:r>
      <w:r w:rsidR="00741B59" w:rsidRPr="00440D05">
        <w:rPr>
          <w:lang w:val="fr-FR"/>
        </w:rPr>
        <w:t>à savoir</w:t>
      </w:r>
      <w:r w:rsidR="007E2A73" w:rsidRPr="00440D05">
        <w:rPr>
          <w:lang w:val="fr-FR"/>
        </w:rPr>
        <w:t xml:space="preserve"> celle qui est actuellement la note 21.  La proposition consiste à créer une réserve </w:t>
      </w:r>
      <w:r w:rsidR="004A5EE7" w:rsidRPr="00440D05">
        <w:rPr>
          <w:lang w:val="fr-FR"/>
        </w:rPr>
        <w:t>distincte</w:t>
      </w:r>
      <w:r w:rsidR="007E2A73" w:rsidRPr="00440D05">
        <w:rPr>
          <w:lang w:val="fr-FR"/>
        </w:rPr>
        <w:t>, dénommée réserve pour projets spéciaux, qui contiendrait les crédits alloués aux projets à financer au moyen des</w:t>
      </w:r>
      <w:r w:rsidR="004303A4" w:rsidRPr="00440D05">
        <w:rPr>
          <w:lang w:val="fr-FR"/>
        </w:rPr>
        <w:t xml:space="preserve"> réserves, déduction faite des dépenses </w:t>
      </w:r>
      <w:r w:rsidR="007E2A73" w:rsidRPr="00440D05">
        <w:rPr>
          <w:lang w:val="fr-FR"/>
        </w:rPr>
        <w:t>cumulées.</w:t>
      </w:r>
      <w:r w:rsidR="00C3714C" w:rsidRPr="00440D05">
        <w:rPr>
          <w:lang w:val="fr-FR"/>
        </w:rPr>
        <w:t xml:space="preserve">  </w:t>
      </w:r>
      <w:r w:rsidR="007E2A73" w:rsidRPr="00440D05">
        <w:rPr>
          <w:lang w:val="fr-FR"/>
        </w:rPr>
        <w:t>Le solde de la réserve représenterait les montants restant à utiliser pour les projets déjà approuvés.</w:t>
      </w:r>
      <w:r w:rsidR="00C3714C" w:rsidRPr="00440D05">
        <w:rPr>
          <w:lang w:val="fr-FR"/>
        </w:rPr>
        <w:t xml:space="preserve">  </w:t>
      </w:r>
      <w:r w:rsidR="00B60F4D" w:rsidRPr="00440D05">
        <w:rPr>
          <w:lang w:val="fr-FR"/>
        </w:rPr>
        <w:t>Les montants immobilisés concernant les projets seraient crédités aux excédents</w:t>
      </w:r>
      <w:proofErr w:type="gramStart"/>
      <w:r w:rsidR="00B60F4D" w:rsidRPr="00440D05">
        <w:rPr>
          <w:lang w:val="fr-FR"/>
        </w:rPr>
        <w:t>/(</w:t>
      </w:r>
      <w:proofErr w:type="gramEnd"/>
      <w:r w:rsidR="00B60F4D" w:rsidRPr="00440D05">
        <w:rPr>
          <w:lang w:val="fr-FR"/>
        </w:rPr>
        <w:t>déficits) cumulés.</w:t>
      </w:r>
    </w:p>
    <w:p w:rsidR="00BB0058" w:rsidRPr="00440D05" w:rsidRDefault="00B60F4D" w:rsidP="001A2204">
      <w:pPr>
        <w:pStyle w:val="ONUMFS"/>
        <w:rPr>
          <w:lang w:val="fr-FR"/>
        </w:rPr>
      </w:pPr>
      <w:r w:rsidRPr="00440D05">
        <w:rPr>
          <w:lang w:val="fr-FR"/>
        </w:rPr>
        <w:t>Le tableau</w:t>
      </w:r>
      <w:r w:rsidR="00654232" w:rsidRPr="00440D05">
        <w:rPr>
          <w:lang w:val="fr-FR"/>
        </w:rPr>
        <w:t> </w:t>
      </w:r>
      <w:r w:rsidRPr="00440D05">
        <w:rPr>
          <w:lang w:val="fr-FR"/>
        </w:rPr>
        <w:t>1 ci</w:t>
      </w:r>
      <w:r w:rsidR="00001620" w:rsidRPr="00440D05">
        <w:rPr>
          <w:lang w:val="fr-FR"/>
        </w:rPr>
        <w:noBreakHyphen/>
      </w:r>
      <w:r w:rsidRPr="00440D05">
        <w:rPr>
          <w:lang w:val="fr-FR"/>
        </w:rPr>
        <w:t xml:space="preserve">dessous montre à quoi la </w:t>
      </w:r>
      <w:r w:rsidR="00A81954">
        <w:rPr>
          <w:lang w:val="fr-FR"/>
        </w:rPr>
        <w:t>note </w:t>
      </w:r>
      <w:r w:rsidRPr="00440D05">
        <w:rPr>
          <w:lang w:val="fr-FR"/>
        </w:rPr>
        <w:t>21 aurait ressemblé dans les états financiers de</w:t>
      </w:r>
      <w:r w:rsidR="00654232" w:rsidRPr="00440D05">
        <w:rPr>
          <w:lang w:val="fr-FR"/>
        </w:rPr>
        <w:t> </w:t>
      </w:r>
      <w:r w:rsidRPr="00440D05">
        <w:rPr>
          <w:lang w:val="fr-FR"/>
        </w:rPr>
        <w:t>2014 si la réserve pour projets spéciaux avait été créée en</w:t>
      </w:r>
      <w:r w:rsidR="00654232" w:rsidRPr="00440D05">
        <w:rPr>
          <w:lang w:val="fr-FR"/>
        </w:rPr>
        <w:t> </w:t>
      </w:r>
      <w:r w:rsidRPr="00440D05">
        <w:rPr>
          <w:lang w:val="fr-FR"/>
        </w:rPr>
        <w:t>2014.</w:t>
      </w:r>
    </w:p>
    <w:p w:rsidR="00BB0058" w:rsidRPr="00440D05" w:rsidRDefault="00B60F4D" w:rsidP="00B60F4D">
      <w:pPr>
        <w:jc w:val="center"/>
        <w:rPr>
          <w:b/>
          <w:lang w:val="fr-FR"/>
        </w:rPr>
      </w:pPr>
      <w:r w:rsidRPr="00440D05">
        <w:rPr>
          <w:b/>
          <w:lang w:val="fr-FR"/>
        </w:rPr>
        <w:t>Tableau</w:t>
      </w:r>
      <w:r w:rsidR="00654232" w:rsidRPr="00440D05">
        <w:rPr>
          <w:b/>
          <w:lang w:val="fr-FR"/>
        </w:rPr>
        <w:t> </w:t>
      </w:r>
      <w:r w:rsidRPr="00440D05">
        <w:rPr>
          <w:b/>
          <w:lang w:val="fr-FR"/>
        </w:rPr>
        <w:t>1</w:t>
      </w:r>
    </w:p>
    <w:p w:rsidR="00BB0058" w:rsidRPr="00440D05" w:rsidRDefault="00BB0058" w:rsidP="007E3FFD">
      <w:pPr>
        <w:rPr>
          <w:sz w:val="14"/>
          <w:lang w:val="fr-FR"/>
        </w:rPr>
      </w:pPr>
    </w:p>
    <w:p w:rsidR="00BB0058" w:rsidRPr="00440D05" w:rsidRDefault="00B60F4D" w:rsidP="00B60F4D">
      <w:pPr>
        <w:ind w:firstLine="426"/>
        <w:jc w:val="center"/>
        <w:rPr>
          <w:lang w:val="fr-FR"/>
        </w:rPr>
      </w:pPr>
      <w:r w:rsidRPr="00440D05">
        <w:rPr>
          <w:lang w:val="fr-FR"/>
        </w:rPr>
        <w:t>Note n°</w:t>
      </w:r>
      <w:r w:rsidR="00654232" w:rsidRPr="00440D05">
        <w:rPr>
          <w:lang w:val="fr-FR"/>
        </w:rPr>
        <w:t> </w:t>
      </w:r>
      <w:r w:rsidRPr="00440D05">
        <w:rPr>
          <w:lang w:val="fr-FR"/>
        </w:rPr>
        <w:t>21</w:t>
      </w:r>
      <w:r w:rsidR="00654232" w:rsidRPr="00440D05">
        <w:rPr>
          <w:lang w:val="fr-FR"/>
        </w:rPr>
        <w:t> </w:t>
      </w:r>
      <w:r w:rsidRPr="00440D05">
        <w:rPr>
          <w:lang w:val="fr-FR"/>
        </w:rPr>
        <w:t>: Réserves et solde des fonds</w:t>
      </w:r>
    </w:p>
    <w:p w:rsidR="002C7765" w:rsidRPr="00440D05" w:rsidRDefault="002C7765" w:rsidP="00B60F4D">
      <w:pPr>
        <w:ind w:firstLine="426"/>
        <w:jc w:val="center"/>
        <w:rPr>
          <w:lang w:val="fr-FR"/>
        </w:rPr>
      </w:pPr>
    </w:p>
    <w:p w:rsidR="00BB0058" w:rsidRPr="00440D05" w:rsidRDefault="002C7765" w:rsidP="007E3FFD">
      <w:pPr>
        <w:jc w:val="center"/>
        <w:rPr>
          <w:lang w:val="fr-FR"/>
        </w:rPr>
      </w:pPr>
      <w:r w:rsidRPr="00440D05">
        <w:rPr>
          <w:noProof/>
        </w:rPr>
        <w:drawing>
          <wp:inline distT="0" distB="0" distL="0" distR="0" wp14:anchorId="068B9CE9" wp14:editId="350F49AC">
            <wp:extent cx="5940425" cy="2369907"/>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369907"/>
                    </a:xfrm>
                    <a:prstGeom prst="rect">
                      <a:avLst/>
                    </a:prstGeom>
                    <a:noFill/>
                    <a:ln>
                      <a:noFill/>
                    </a:ln>
                  </pic:spPr>
                </pic:pic>
              </a:graphicData>
            </a:graphic>
          </wp:inline>
        </w:drawing>
      </w:r>
    </w:p>
    <w:p w:rsidR="00BB0058" w:rsidRDefault="00BB0058" w:rsidP="007E3FFD">
      <w:pPr>
        <w:rPr>
          <w:lang w:val="fr-FR"/>
        </w:rPr>
      </w:pPr>
    </w:p>
    <w:p w:rsidR="00680AD8" w:rsidRPr="00440D05" w:rsidRDefault="00680AD8" w:rsidP="007E3FFD">
      <w:pPr>
        <w:rPr>
          <w:lang w:val="fr-FR"/>
        </w:rPr>
      </w:pPr>
    </w:p>
    <w:p w:rsidR="00BB0058" w:rsidRPr="00440D05" w:rsidRDefault="00B60F4D" w:rsidP="001A2204">
      <w:pPr>
        <w:pStyle w:val="ONUMFS"/>
        <w:rPr>
          <w:lang w:val="fr-FR"/>
        </w:rPr>
      </w:pPr>
      <w:r w:rsidRPr="00440D05">
        <w:rPr>
          <w:lang w:val="fr-FR"/>
        </w:rPr>
        <w:t>Ce tableau fait clairement apparaître le solde des montants alloués aux projets à fin décembre 2013 et les dépenses connexes (35,2</w:t>
      </w:r>
      <w:r w:rsidR="00654232" w:rsidRPr="00440D05">
        <w:rPr>
          <w:lang w:val="fr-FR"/>
        </w:rPr>
        <w:t> </w:t>
      </w:r>
      <w:r w:rsidRPr="00440D05">
        <w:rPr>
          <w:lang w:val="fr-FR"/>
        </w:rPr>
        <w:t>millions de francs suisses) consenties pour ces projets durant l</w:t>
      </w:r>
      <w:r w:rsidR="00741B59" w:rsidRPr="00440D05">
        <w:rPr>
          <w:lang w:val="fr-FR"/>
        </w:rPr>
        <w:t>’</w:t>
      </w:r>
      <w:r w:rsidRPr="00440D05">
        <w:rPr>
          <w:lang w:val="fr-FR"/>
        </w:rPr>
        <w:t>année 2014.</w:t>
      </w:r>
      <w:r w:rsidR="00C3714C" w:rsidRPr="00440D05">
        <w:rPr>
          <w:lang w:val="fr-FR"/>
        </w:rPr>
        <w:t xml:space="preserve">  </w:t>
      </w:r>
      <w:r w:rsidRPr="00440D05">
        <w:rPr>
          <w:lang w:val="fr-FR"/>
        </w:rPr>
        <w:t>Une partie de ces dépenses a été incorporée au coût d</w:t>
      </w:r>
      <w:r w:rsidR="00741B59" w:rsidRPr="00440D05">
        <w:rPr>
          <w:lang w:val="fr-FR"/>
        </w:rPr>
        <w:t>’</w:t>
      </w:r>
      <w:r w:rsidRPr="00440D05">
        <w:rPr>
          <w:lang w:val="fr-FR"/>
        </w:rPr>
        <w:t>un actif conformément aux normes</w:t>
      </w:r>
      <w:r w:rsidR="00654232" w:rsidRPr="00440D05">
        <w:rPr>
          <w:lang w:val="fr-FR"/>
        </w:rPr>
        <w:t> </w:t>
      </w:r>
      <w:r w:rsidRPr="00440D05">
        <w:rPr>
          <w:lang w:val="fr-FR"/>
        </w:rPr>
        <w:t>IPSAS (29,1 millions de francs suisses) et ce montant est porté au crédit des excédents cumulés.</w:t>
      </w:r>
      <w:r w:rsidR="00C3714C" w:rsidRPr="00440D05">
        <w:rPr>
          <w:lang w:val="fr-FR"/>
        </w:rPr>
        <w:t xml:space="preserve">  </w:t>
      </w:r>
      <w:r w:rsidRPr="00440D05">
        <w:rPr>
          <w:lang w:val="fr-FR"/>
        </w:rPr>
        <w:t xml:space="preserve">Le solde de 27,2 millions de francs suisses à </w:t>
      </w:r>
      <w:r w:rsidR="00A81954">
        <w:rPr>
          <w:lang w:val="fr-FR"/>
        </w:rPr>
        <w:t>fin </w:t>
      </w:r>
      <w:r w:rsidRPr="00440D05">
        <w:rPr>
          <w:lang w:val="fr-FR"/>
        </w:rPr>
        <w:t>2014 représente les montants restant à utiliser pour les projets déjà approuvés.</w:t>
      </w:r>
    </w:p>
    <w:p w:rsidR="00BB0058" w:rsidRPr="00440D05" w:rsidRDefault="00C71FC5" w:rsidP="001A2204">
      <w:pPr>
        <w:pStyle w:val="ONUMFS"/>
        <w:rPr>
          <w:lang w:val="fr-FR"/>
        </w:rPr>
      </w:pPr>
      <w:r w:rsidRPr="00440D05">
        <w:rPr>
          <w:lang w:val="fr-FR"/>
        </w:rPr>
        <w:t xml:space="preserve">La </w:t>
      </w:r>
      <w:r w:rsidR="00BD7F4B" w:rsidRPr="00440D05">
        <w:rPr>
          <w:lang w:val="fr-FR"/>
        </w:rPr>
        <w:t>réserve</w:t>
      </w:r>
      <w:r w:rsidRPr="00440D05">
        <w:rPr>
          <w:lang w:val="fr-FR"/>
        </w:rPr>
        <w:t xml:space="preserve"> pour projets spéciaux sera également présentée dans l</w:t>
      </w:r>
      <w:r w:rsidR="00741B59" w:rsidRPr="00440D05">
        <w:rPr>
          <w:lang w:val="fr-FR"/>
        </w:rPr>
        <w:t>’</w:t>
      </w:r>
      <w:r w:rsidRPr="00440D05">
        <w:rPr>
          <w:lang w:val="fr-FR"/>
        </w:rPr>
        <w:t>état de la situation financière, ainsi qu</w:t>
      </w:r>
      <w:r w:rsidR="00741B59" w:rsidRPr="00440D05">
        <w:rPr>
          <w:lang w:val="fr-FR"/>
        </w:rPr>
        <w:t>’</w:t>
      </w:r>
      <w:r w:rsidRPr="00440D05">
        <w:rPr>
          <w:lang w:val="fr-FR"/>
        </w:rPr>
        <w:t xml:space="preserve">illustré dans le tableau 2 qui montre comment </w:t>
      </w:r>
      <w:r w:rsidR="004C59D2" w:rsidRPr="00440D05">
        <w:rPr>
          <w:lang w:val="fr-FR"/>
        </w:rPr>
        <w:t>cette</w:t>
      </w:r>
      <w:r w:rsidRPr="00440D05">
        <w:rPr>
          <w:lang w:val="fr-FR"/>
        </w:rPr>
        <w:t xml:space="preserve"> réserve aurait été présentée dans les états financiers de</w:t>
      </w:r>
      <w:r w:rsidR="00654232" w:rsidRPr="00440D05">
        <w:rPr>
          <w:lang w:val="fr-FR"/>
        </w:rPr>
        <w:t> </w:t>
      </w:r>
      <w:r w:rsidRPr="00440D05">
        <w:rPr>
          <w:lang w:val="fr-FR"/>
        </w:rPr>
        <w:t>2014.</w:t>
      </w:r>
    </w:p>
    <w:p w:rsidR="00BB0058" w:rsidRPr="00680AD8" w:rsidRDefault="00BB0058" w:rsidP="00680AD8"/>
    <w:p w:rsidR="00BB0058" w:rsidRPr="00440D05" w:rsidRDefault="00C71FC5" w:rsidP="00C71FC5">
      <w:pPr>
        <w:keepNext/>
        <w:keepLines/>
        <w:jc w:val="center"/>
        <w:rPr>
          <w:b/>
          <w:lang w:val="fr-FR"/>
        </w:rPr>
      </w:pPr>
      <w:r w:rsidRPr="00440D05">
        <w:rPr>
          <w:b/>
          <w:lang w:val="fr-FR"/>
        </w:rPr>
        <w:lastRenderedPageBreak/>
        <w:t>Tableau</w:t>
      </w:r>
      <w:r w:rsidR="00654232" w:rsidRPr="00440D05">
        <w:rPr>
          <w:b/>
          <w:lang w:val="fr-FR"/>
        </w:rPr>
        <w:t> </w:t>
      </w:r>
      <w:r w:rsidRPr="00440D05">
        <w:rPr>
          <w:b/>
          <w:lang w:val="fr-FR"/>
        </w:rPr>
        <w:t>2</w:t>
      </w:r>
    </w:p>
    <w:p w:rsidR="00BB0058" w:rsidRPr="00440D05" w:rsidRDefault="00BB0058" w:rsidP="007E3FFD">
      <w:pPr>
        <w:keepNext/>
        <w:keepLines/>
        <w:jc w:val="center"/>
        <w:rPr>
          <w:sz w:val="18"/>
          <w:lang w:val="fr-FR"/>
        </w:rPr>
      </w:pPr>
    </w:p>
    <w:p w:rsidR="00BB0058" w:rsidRPr="00440D05" w:rsidRDefault="00C71FC5" w:rsidP="00C71FC5">
      <w:pPr>
        <w:keepNext/>
        <w:keepLines/>
        <w:jc w:val="center"/>
        <w:rPr>
          <w:lang w:val="fr-FR"/>
        </w:rPr>
      </w:pPr>
      <w:r w:rsidRPr="00440D05">
        <w:rPr>
          <w:lang w:val="fr-FR"/>
        </w:rPr>
        <w:t>Extrait de l</w:t>
      </w:r>
      <w:r w:rsidR="00741B59" w:rsidRPr="00440D05">
        <w:rPr>
          <w:lang w:val="fr-FR"/>
        </w:rPr>
        <w:t>’</w:t>
      </w:r>
      <w:r w:rsidRPr="00440D05">
        <w:rPr>
          <w:lang w:val="fr-FR"/>
        </w:rPr>
        <w:t xml:space="preserve">état </w:t>
      </w:r>
      <w:r w:rsidR="004C59D2" w:rsidRPr="00440D05">
        <w:rPr>
          <w:lang w:val="fr-FR"/>
        </w:rPr>
        <w:t>I</w:t>
      </w:r>
      <w:r w:rsidR="00654232" w:rsidRPr="00440D05">
        <w:rPr>
          <w:lang w:val="fr-FR"/>
        </w:rPr>
        <w:t> </w:t>
      </w:r>
      <w:r w:rsidRPr="00440D05">
        <w:rPr>
          <w:lang w:val="fr-FR"/>
        </w:rPr>
        <w:t>: État de la situation financière</w:t>
      </w:r>
    </w:p>
    <w:p w:rsidR="00BB0058" w:rsidRPr="00440D05" w:rsidRDefault="00BB0058" w:rsidP="007E3FFD">
      <w:pPr>
        <w:keepNext/>
        <w:keepLines/>
        <w:rPr>
          <w:lang w:val="fr-FR"/>
        </w:rPr>
      </w:pPr>
    </w:p>
    <w:p w:rsidR="00BB0058" w:rsidRPr="00440D05" w:rsidRDefault="002C7765" w:rsidP="007E3FFD">
      <w:pPr>
        <w:keepNext/>
        <w:keepLines/>
        <w:jc w:val="center"/>
        <w:rPr>
          <w:lang w:val="fr-FR"/>
        </w:rPr>
      </w:pPr>
      <w:r w:rsidRPr="00440D05">
        <w:rPr>
          <w:noProof/>
        </w:rPr>
        <w:drawing>
          <wp:inline distT="0" distB="0" distL="0" distR="0" wp14:anchorId="268A19B6" wp14:editId="1B0926DF">
            <wp:extent cx="4825365" cy="23202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5365" cy="2320290"/>
                    </a:xfrm>
                    <a:prstGeom prst="rect">
                      <a:avLst/>
                    </a:prstGeom>
                    <a:noFill/>
                    <a:ln>
                      <a:noFill/>
                    </a:ln>
                  </pic:spPr>
                </pic:pic>
              </a:graphicData>
            </a:graphic>
          </wp:inline>
        </w:drawing>
      </w:r>
    </w:p>
    <w:p w:rsidR="00BB0058" w:rsidRPr="00440D05" w:rsidRDefault="00BB0058" w:rsidP="007E3FFD">
      <w:pPr>
        <w:pStyle w:val="ONUME"/>
        <w:widowControl w:val="0"/>
        <w:numPr>
          <w:ilvl w:val="0"/>
          <w:numId w:val="0"/>
        </w:numPr>
        <w:spacing w:after="0"/>
        <w:rPr>
          <w:lang w:val="fr-FR"/>
        </w:rPr>
      </w:pPr>
    </w:p>
    <w:p w:rsidR="001A2204" w:rsidRPr="00440D05" w:rsidRDefault="00C71FC5" w:rsidP="001A2204">
      <w:pPr>
        <w:pStyle w:val="ONUMFS"/>
        <w:rPr>
          <w:lang w:val="fr-FR"/>
        </w:rPr>
      </w:pPr>
      <w:r w:rsidRPr="00440D05">
        <w:rPr>
          <w:lang w:val="fr-FR"/>
        </w:rPr>
        <w:t>L</w:t>
      </w:r>
      <w:r w:rsidR="00741B59" w:rsidRPr="00440D05">
        <w:rPr>
          <w:lang w:val="fr-FR"/>
        </w:rPr>
        <w:t>’</w:t>
      </w:r>
      <w:r w:rsidRPr="00440D05">
        <w:rPr>
          <w:lang w:val="fr-FR"/>
        </w:rPr>
        <w:t>établissement de rapports sur l</w:t>
      </w:r>
      <w:r w:rsidR="00741B59" w:rsidRPr="00440D05">
        <w:rPr>
          <w:lang w:val="fr-FR"/>
        </w:rPr>
        <w:t>’</w:t>
      </w:r>
      <w:r w:rsidRPr="00440D05">
        <w:rPr>
          <w:lang w:val="fr-FR"/>
        </w:rPr>
        <w:t>état d</w:t>
      </w:r>
      <w:r w:rsidR="00741B59" w:rsidRPr="00440D05">
        <w:rPr>
          <w:lang w:val="fr-FR"/>
        </w:rPr>
        <w:t>’</w:t>
      </w:r>
      <w:r w:rsidRPr="00440D05">
        <w:rPr>
          <w:lang w:val="fr-FR"/>
        </w:rPr>
        <w:t xml:space="preserve">avancement des projets financés au moyen des réserves sera effectué conformément aux décisions prises par les assemblées des États membres </w:t>
      </w:r>
      <w:r w:rsidR="00BD7F4B" w:rsidRPr="00440D05">
        <w:rPr>
          <w:lang w:val="fr-FR"/>
        </w:rPr>
        <w:t>lors</w:t>
      </w:r>
      <w:r w:rsidRPr="00440D05">
        <w:rPr>
          <w:lang w:val="fr-FR"/>
        </w:rPr>
        <w:t xml:space="preserve"> de l</w:t>
      </w:r>
      <w:r w:rsidR="00741B59" w:rsidRPr="00440D05">
        <w:rPr>
          <w:lang w:val="fr-FR"/>
        </w:rPr>
        <w:t>’</w:t>
      </w:r>
      <w:r w:rsidRPr="00440D05">
        <w:rPr>
          <w:lang w:val="fr-FR"/>
        </w:rPr>
        <w:t>approbation de ces projets.</w:t>
      </w:r>
      <w:r w:rsidR="00C3714C" w:rsidRPr="00440D05">
        <w:rPr>
          <w:lang w:val="fr-FR"/>
        </w:rPr>
        <w:t xml:space="preserve">  </w:t>
      </w:r>
      <w:r w:rsidRPr="00440D05">
        <w:rPr>
          <w:lang w:val="fr-FR"/>
        </w:rPr>
        <w:t>En ce qui concerne l</w:t>
      </w:r>
      <w:r w:rsidR="00741B59" w:rsidRPr="00440D05">
        <w:rPr>
          <w:lang w:val="fr-FR"/>
        </w:rPr>
        <w:t>’</w:t>
      </w:r>
      <w:r w:rsidRPr="00440D05">
        <w:rPr>
          <w:lang w:val="fr-FR"/>
        </w:rPr>
        <w:t>information financière, la proposition consiste à faire en sorte que les états financiers reflètent dans l</w:t>
      </w:r>
      <w:r w:rsidR="00741B59" w:rsidRPr="00440D05">
        <w:rPr>
          <w:lang w:val="fr-FR"/>
        </w:rPr>
        <w:t>’</w:t>
      </w:r>
      <w:r w:rsidRPr="00440D05">
        <w:rPr>
          <w:lang w:val="fr-FR"/>
        </w:rPr>
        <w:t>état de la situation financière et dans la note intitulée Réserves solde des</w:t>
      </w:r>
      <w:r w:rsidR="00651ACB" w:rsidRPr="00440D05">
        <w:rPr>
          <w:lang w:val="fr-FR"/>
        </w:rPr>
        <w:t xml:space="preserve"> fonds (actuellement, la note n</w:t>
      </w:r>
      <w:r w:rsidR="00001620" w:rsidRPr="00440D05">
        <w:rPr>
          <w:lang w:val="fr-FR"/>
        </w:rPr>
        <w:t>° </w:t>
      </w:r>
      <w:r w:rsidRPr="00440D05">
        <w:rPr>
          <w:lang w:val="fr-FR"/>
        </w:rPr>
        <w:t xml:space="preserve">21) le solde de la réserve pour projets spéciaux et </w:t>
      </w:r>
      <w:r w:rsidR="00651ACB" w:rsidRPr="00440D05">
        <w:rPr>
          <w:lang w:val="fr-FR"/>
        </w:rPr>
        <w:t xml:space="preserve">les </w:t>
      </w:r>
      <w:r w:rsidRPr="00440D05">
        <w:rPr>
          <w:lang w:val="fr-FR"/>
        </w:rPr>
        <w:t xml:space="preserve">mouvements </w:t>
      </w:r>
      <w:r w:rsidR="00651ACB" w:rsidRPr="00440D05">
        <w:rPr>
          <w:lang w:val="fr-FR"/>
        </w:rPr>
        <w:t xml:space="preserve">de </w:t>
      </w:r>
      <w:r w:rsidRPr="00440D05">
        <w:rPr>
          <w:lang w:val="fr-FR"/>
        </w:rPr>
        <w:t>la réserve durant l</w:t>
      </w:r>
      <w:r w:rsidR="00741B59" w:rsidRPr="00440D05">
        <w:rPr>
          <w:lang w:val="fr-FR"/>
        </w:rPr>
        <w:t>’</w:t>
      </w:r>
      <w:r w:rsidRPr="00440D05">
        <w:rPr>
          <w:lang w:val="fr-FR"/>
        </w:rPr>
        <w:t>année, comme indiqué ci</w:t>
      </w:r>
      <w:r w:rsidR="00001620" w:rsidRPr="00440D05">
        <w:rPr>
          <w:lang w:val="fr-FR"/>
        </w:rPr>
        <w:noBreakHyphen/>
      </w:r>
      <w:r w:rsidRPr="00440D05">
        <w:rPr>
          <w:lang w:val="fr-FR"/>
        </w:rPr>
        <w:t>dessus, avec effet à compter du 3</w:t>
      </w:r>
      <w:r w:rsidR="00741B59" w:rsidRPr="00440D05">
        <w:rPr>
          <w:lang w:val="fr-FR"/>
        </w:rPr>
        <w:t>1 décembre</w:t>
      </w:r>
      <w:r w:rsidRPr="00440D05">
        <w:rPr>
          <w:lang w:val="fr-FR"/>
        </w:rPr>
        <w:t> 2015.</w:t>
      </w:r>
      <w:r w:rsidR="00E96C8A" w:rsidRPr="00440D05">
        <w:rPr>
          <w:lang w:val="fr-FR"/>
        </w:rPr>
        <w:t xml:space="preserve"> </w:t>
      </w:r>
      <w:r w:rsidR="007E3FFD" w:rsidRPr="00440D05">
        <w:rPr>
          <w:lang w:val="fr-FR"/>
        </w:rPr>
        <w:t xml:space="preserve"> </w:t>
      </w:r>
      <w:r w:rsidRPr="00440D05">
        <w:rPr>
          <w:lang w:val="fr-FR"/>
        </w:rPr>
        <w:t>Cette proposition a été débattue en détail avec les vérificateurs externes.</w:t>
      </w:r>
    </w:p>
    <w:p w:rsidR="001A2204" w:rsidRPr="00440D05" w:rsidRDefault="000A1731" w:rsidP="001A2204">
      <w:pPr>
        <w:pStyle w:val="ONUMFS"/>
        <w:rPr>
          <w:lang w:val="fr-FR"/>
        </w:rPr>
      </w:pPr>
      <w:r w:rsidRPr="00440D05">
        <w:rPr>
          <w:lang w:val="fr-FR"/>
        </w:rPr>
        <w:t xml:space="preserve">Les états financiers comprennent également un rapport sur les recettes, les dépenses et les réserves par segment, </w:t>
      </w:r>
      <w:r w:rsidR="00741B59" w:rsidRPr="00440D05">
        <w:rPr>
          <w:lang w:val="fr-FR"/>
        </w:rPr>
        <w:t>à savoir</w:t>
      </w:r>
      <w:r w:rsidRPr="00440D05">
        <w:rPr>
          <w:lang w:val="fr-FR"/>
        </w:rPr>
        <w:t>, dans le cas de l</w:t>
      </w:r>
      <w:r w:rsidR="00741B59" w:rsidRPr="00440D05">
        <w:rPr>
          <w:lang w:val="fr-FR"/>
        </w:rPr>
        <w:t>’</w:t>
      </w:r>
      <w:r w:rsidRPr="00440D05">
        <w:rPr>
          <w:lang w:val="fr-FR"/>
        </w:rPr>
        <w:t xml:space="preserve">OMPI, </w:t>
      </w:r>
      <w:r w:rsidR="00651ACB" w:rsidRPr="00440D05">
        <w:rPr>
          <w:lang w:val="fr-FR"/>
        </w:rPr>
        <w:t>les</w:t>
      </w:r>
      <w:r w:rsidRPr="00440D05">
        <w:rPr>
          <w:lang w:val="fr-FR"/>
        </w:rPr>
        <w:t xml:space="preserve"> unions.</w:t>
      </w:r>
      <w:r w:rsidR="00C3714C" w:rsidRPr="00440D05">
        <w:rPr>
          <w:lang w:val="fr-FR"/>
        </w:rPr>
        <w:t xml:space="preserve"> </w:t>
      </w:r>
      <w:r w:rsidR="00D30D00" w:rsidRPr="00440D05">
        <w:rPr>
          <w:lang w:val="fr-FR"/>
        </w:rPr>
        <w:t xml:space="preserve"> Les actifs et passifs de l</w:t>
      </w:r>
      <w:r w:rsidR="00741B59" w:rsidRPr="00440D05">
        <w:rPr>
          <w:lang w:val="fr-FR"/>
        </w:rPr>
        <w:t>’</w:t>
      </w:r>
      <w:r w:rsidR="00D30D00" w:rsidRPr="00440D05">
        <w:rPr>
          <w:lang w:val="fr-FR"/>
        </w:rPr>
        <w:t>OMPI sont détenus par l</w:t>
      </w:r>
      <w:r w:rsidR="00741B59" w:rsidRPr="00440D05">
        <w:rPr>
          <w:lang w:val="fr-FR"/>
        </w:rPr>
        <w:t>’</w:t>
      </w:r>
      <w:r w:rsidR="00D30D00" w:rsidRPr="00440D05">
        <w:rPr>
          <w:lang w:val="fr-FR"/>
        </w:rPr>
        <w:t>Organisation dans son ensemble et n</w:t>
      </w:r>
      <w:r w:rsidR="00741B59" w:rsidRPr="00440D05">
        <w:rPr>
          <w:lang w:val="fr-FR"/>
        </w:rPr>
        <w:t>’</w:t>
      </w:r>
      <w:r w:rsidR="00D30D00" w:rsidRPr="00440D05">
        <w:rPr>
          <w:lang w:val="fr-FR"/>
        </w:rPr>
        <w:t>appartiennent pas aux différentes unions, à l</w:t>
      </w:r>
      <w:r w:rsidR="00741B59" w:rsidRPr="00440D05">
        <w:rPr>
          <w:lang w:val="fr-FR"/>
        </w:rPr>
        <w:t>’</w:t>
      </w:r>
      <w:r w:rsidR="00D30D00" w:rsidRPr="00440D05">
        <w:rPr>
          <w:lang w:val="fr-FR"/>
        </w:rPr>
        <w:t>exception de l</w:t>
      </w:r>
      <w:r w:rsidR="00741B59" w:rsidRPr="00440D05">
        <w:rPr>
          <w:lang w:val="fr-FR"/>
        </w:rPr>
        <w:t>’</w:t>
      </w:r>
      <w:r w:rsidR="00D30D00" w:rsidRPr="00440D05">
        <w:rPr>
          <w:lang w:val="fr-FR"/>
        </w:rPr>
        <w:t>immeuble de placement détenu par l</w:t>
      </w:r>
      <w:r w:rsidR="00741B59" w:rsidRPr="00440D05">
        <w:rPr>
          <w:lang w:val="fr-FR"/>
        </w:rPr>
        <w:t>’</w:t>
      </w:r>
      <w:r w:rsidR="00D30D00" w:rsidRPr="00440D05">
        <w:rPr>
          <w:lang w:val="fr-FR"/>
        </w:rPr>
        <w:t>Union de Madrid.</w:t>
      </w:r>
      <w:r w:rsidR="00B02EDD" w:rsidRPr="00440D05">
        <w:rPr>
          <w:lang w:val="fr-FR"/>
        </w:rPr>
        <w:t xml:space="preserve"> </w:t>
      </w:r>
      <w:r w:rsidR="00C3714C" w:rsidRPr="00440D05">
        <w:rPr>
          <w:lang w:val="fr-FR"/>
        </w:rPr>
        <w:t xml:space="preserve"> </w:t>
      </w:r>
      <w:r w:rsidR="00D30D00" w:rsidRPr="00440D05">
        <w:rPr>
          <w:lang w:val="fr-FR"/>
        </w:rPr>
        <w:t>C</w:t>
      </w:r>
      <w:r w:rsidR="00741B59" w:rsidRPr="00440D05">
        <w:rPr>
          <w:lang w:val="fr-FR"/>
        </w:rPr>
        <w:t>’</w:t>
      </w:r>
      <w:r w:rsidR="00D30D00" w:rsidRPr="00440D05">
        <w:rPr>
          <w:lang w:val="fr-FR"/>
        </w:rPr>
        <w:t>est pourquoi seuls les actifs nets qui comprennent des fonds de roulement et de réserve sont présentés par segment, ou par union.</w:t>
      </w:r>
      <w:r w:rsidR="00C3714C" w:rsidRPr="00440D05">
        <w:rPr>
          <w:lang w:val="fr-FR"/>
        </w:rPr>
        <w:t xml:space="preserve">  </w:t>
      </w:r>
      <w:r w:rsidR="00D30D00" w:rsidRPr="00440D05">
        <w:rPr>
          <w:lang w:val="fr-FR"/>
        </w:rPr>
        <w:t>Le rapport de gestion financière de l</w:t>
      </w:r>
      <w:r w:rsidR="00741B59" w:rsidRPr="00440D05">
        <w:rPr>
          <w:lang w:val="fr-FR"/>
        </w:rPr>
        <w:t>’</w:t>
      </w:r>
      <w:r w:rsidR="00D30D00" w:rsidRPr="00440D05">
        <w:rPr>
          <w:lang w:val="fr-FR"/>
        </w:rPr>
        <w:t xml:space="preserve">OMPI présente un résumé détaillé de la performance financière pour chaque exercice biennal par union dans la partie intitulée </w:t>
      </w:r>
      <w:r w:rsidR="00116BF1" w:rsidRPr="00440D05">
        <w:rPr>
          <w:lang w:val="fr-FR"/>
        </w:rPr>
        <w:t>“</w:t>
      </w:r>
      <w:r w:rsidR="00D30D00" w:rsidRPr="00440D05">
        <w:rPr>
          <w:lang w:val="fr-FR"/>
        </w:rPr>
        <w:t>Résumé des résultats par union</w:t>
      </w:r>
      <w:r w:rsidR="00116BF1" w:rsidRPr="00440D05">
        <w:rPr>
          <w:lang w:val="fr-FR"/>
        </w:rPr>
        <w:t>”</w:t>
      </w:r>
      <w:r w:rsidR="00D30D00" w:rsidRPr="00440D05">
        <w:rPr>
          <w:lang w:val="fr-FR"/>
        </w:rPr>
        <w:t>.</w:t>
      </w:r>
      <w:r w:rsidR="00C3714C" w:rsidRPr="00440D05">
        <w:rPr>
          <w:lang w:val="fr-FR"/>
        </w:rPr>
        <w:t xml:space="preserve"> </w:t>
      </w:r>
      <w:r w:rsidR="00AF6ACE" w:rsidRPr="00440D05">
        <w:rPr>
          <w:lang w:val="fr-FR"/>
        </w:rPr>
        <w:t xml:space="preserve"> </w:t>
      </w:r>
      <w:r w:rsidR="00D30D00" w:rsidRPr="00440D05">
        <w:rPr>
          <w:lang w:val="fr-FR"/>
        </w:rPr>
        <w:t>Ce résumé porte également sur</w:t>
      </w:r>
      <w:r w:rsidR="00741B59" w:rsidRPr="00440D05">
        <w:rPr>
          <w:lang w:val="fr-FR"/>
        </w:rPr>
        <w:t xml:space="preserve"> les FRR</w:t>
      </w:r>
      <w:r w:rsidR="00D30D00" w:rsidRPr="00440D05">
        <w:rPr>
          <w:lang w:val="fr-FR"/>
        </w:rPr>
        <w:t xml:space="preserve"> à la fin</w:t>
      </w:r>
      <w:r w:rsidR="00AF6ACE" w:rsidRPr="00440D05">
        <w:rPr>
          <w:lang w:val="fr-FR"/>
        </w:rPr>
        <w:t xml:space="preserve"> d</w:t>
      </w:r>
      <w:r w:rsidR="00D30D00" w:rsidRPr="00440D05">
        <w:rPr>
          <w:lang w:val="fr-FR"/>
        </w:rPr>
        <w:t>e l</w:t>
      </w:r>
      <w:r w:rsidR="00741B59" w:rsidRPr="00440D05">
        <w:rPr>
          <w:lang w:val="fr-FR"/>
        </w:rPr>
        <w:t>’</w:t>
      </w:r>
      <w:r w:rsidR="00D30D00" w:rsidRPr="00440D05">
        <w:rPr>
          <w:lang w:val="fr-FR"/>
        </w:rPr>
        <w:t>exercice biennal.</w:t>
      </w:r>
    </w:p>
    <w:p w:rsidR="007E598D" w:rsidRPr="00440D05" w:rsidRDefault="007E598D" w:rsidP="007E598D">
      <w:pPr>
        <w:rPr>
          <w:lang w:val="fr-FR"/>
        </w:rPr>
      </w:pPr>
    </w:p>
    <w:p w:rsidR="001A2204" w:rsidRPr="00440D05" w:rsidRDefault="00651ACB" w:rsidP="001A2204">
      <w:pPr>
        <w:pStyle w:val="ONUMFS"/>
        <w:numPr>
          <w:ilvl w:val="0"/>
          <w:numId w:val="0"/>
        </w:numPr>
        <w:rPr>
          <w:b/>
          <w:lang w:val="fr-FR"/>
        </w:rPr>
      </w:pPr>
      <w:r w:rsidRPr="00440D05">
        <w:rPr>
          <w:b/>
          <w:lang w:val="fr-FR"/>
        </w:rPr>
        <w:t>II.</w:t>
      </w:r>
      <w:r w:rsidR="00001620" w:rsidRPr="00440D05">
        <w:rPr>
          <w:b/>
          <w:lang w:val="fr-FR"/>
        </w:rPr>
        <w:t> </w:t>
      </w:r>
      <w:r w:rsidR="00021BDB" w:rsidRPr="00440D05">
        <w:rPr>
          <w:b/>
          <w:lang w:val="fr-FR"/>
        </w:rPr>
        <w:t>D</w:t>
      </w:r>
      <w:r w:rsidR="00021BDB" w:rsidRPr="00440D05">
        <w:rPr>
          <w:b/>
          <w:lang w:val="fr-FR"/>
        </w:rPr>
        <w:tab/>
      </w:r>
      <w:r w:rsidRPr="00440D05">
        <w:rPr>
          <w:b/>
          <w:lang w:val="fr-FR"/>
        </w:rPr>
        <w:t>U</w:t>
      </w:r>
      <w:r w:rsidR="00021BDB" w:rsidRPr="00440D05">
        <w:rPr>
          <w:b/>
          <w:lang w:val="fr-FR"/>
        </w:rPr>
        <w:t>tilisation des réserves – Principes et mécanisme d</w:t>
      </w:r>
      <w:r w:rsidR="00741B59" w:rsidRPr="00440D05">
        <w:rPr>
          <w:b/>
          <w:lang w:val="fr-FR"/>
        </w:rPr>
        <w:t>’</w:t>
      </w:r>
      <w:r w:rsidR="00021BDB" w:rsidRPr="00440D05">
        <w:rPr>
          <w:b/>
          <w:lang w:val="fr-FR"/>
        </w:rPr>
        <w:t>approbation</w:t>
      </w:r>
    </w:p>
    <w:p w:rsidR="001A2204" w:rsidRPr="00440D05" w:rsidRDefault="00021BDB" w:rsidP="001A2204">
      <w:pPr>
        <w:pStyle w:val="ONUMFS"/>
        <w:rPr>
          <w:lang w:val="fr-FR"/>
        </w:rPr>
      </w:pPr>
      <w:r w:rsidRPr="00440D05">
        <w:rPr>
          <w:lang w:val="fr-FR"/>
        </w:rPr>
        <w:t>L</w:t>
      </w:r>
      <w:r w:rsidR="00741B59" w:rsidRPr="00440D05">
        <w:rPr>
          <w:lang w:val="fr-FR"/>
        </w:rPr>
        <w:t>’</w:t>
      </w:r>
      <w:r w:rsidRPr="00440D05">
        <w:rPr>
          <w:lang w:val="fr-FR"/>
        </w:rPr>
        <w:t>utilisation des réserves est régie en premier lieu par les principes énoncés dans le Règlement financier et le règlement d</w:t>
      </w:r>
      <w:r w:rsidR="00741B59" w:rsidRPr="00440D05">
        <w:rPr>
          <w:lang w:val="fr-FR"/>
        </w:rPr>
        <w:t>’</w:t>
      </w:r>
      <w:r w:rsidRPr="00440D05">
        <w:rPr>
          <w:lang w:val="fr-FR"/>
        </w:rPr>
        <w:t>exécution du Règlement financier de l</w:t>
      </w:r>
      <w:r w:rsidR="00741B59" w:rsidRPr="00440D05">
        <w:rPr>
          <w:lang w:val="fr-FR"/>
        </w:rPr>
        <w:t>’</w:t>
      </w:r>
      <w:r w:rsidRPr="00440D05">
        <w:rPr>
          <w:lang w:val="fr-FR"/>
        </w:rPr>
        <w:t>OMPI.</w:t>
      </w:r>
    </w:p>
    <w:p w:rsidR="001A2204" w:rsidRPr="00440D05" w:rsidRDefault="00021BDB" w:rsidP="001A2204">
      <w:pPr>
        <w:pStyle w:val="ONUMFS"/>
        <w:rPr>
          <w:lang w:val="fr-FR"/>
        </w:rPr>
      </w:pPr>
      <w:r w:rsidRPr="00440D05">
        <w:rPr>
          <w:lang w:val="fr-FR"/>
        </w:rPr>
        <w:t>Conformément au cadre réglementaire de l</w:t>
      </w:r>
      <w:r w:rsidR="00741B59" w:rsidRPr="00440D05">
        <w:rPr>
          <w:lang w:val="fr-FR"/>
        </w:rPr>
        <w:t>’</w:t>
      </w:r>
      <w:r w:rsidRPr="00440D05">
        <w:rPr>
          <w:lang w:val="fr-FR"/>
        </w:rPr>
        <w:t>OMPI, la série révisée de principes à appliquer pour l</w:t>
      </w:r>
      <w:r w:rsidR="00741B59" w:rsidRPr="00440D05">
        <w:rPr>
          <w:lang w:val="fr-FR"/>
        </w:rPr>
        <w:t>’</w:t>
      </w:r>
      <w:r w:rsidRPr="00440D05">
        <w:rPr>
          <w:lang w:val="fr-FR"/>
        </w:rPr>
        <w:t>utilisation des réserves est présentée ci</w:t>
      </w:r>
      <w:r w:rsidR="00001620" w:rsidRPr="00440D05">
        <w:rPr>
          <w:lang w:val="fr-FR"/>
        </w:rPr>
        <w:noBreakHyphen/>
      </w:r>
      <w:r w:rsidRPr="00440D05">
        <w:rPr>
          <w:lang w:val="fr-FR"/>
        </w:rPr>
        <w:t>dessous.</w:t>
      </w:r>
      <w:r w:rsidR="00C3714C" w:rsidRPr="00440D05">
        <w:rPr>
          <w:lang w:val="fr-FR"/>
        </w:rPr>
        <w:t xml:space="preserve"> </w:t>
      </w:r>
      <w:r w:rsidR="00745D07" w:rsidRPr="00440D05">
        <w:rPr>
          <w:lang w:val="fr-FR"/>
        </w:rPr>
        <w:t xml:space="preserve"> </w:t>
      </w:r>
      <w:r w:rsidRPr="00440D05">
        <w:rPr>
          <w:lang w:val="fr-FR"/>
        </w:rPr>
        <w:t>Ces révisions sont motivées par les principes de la gestion du risque financier et de la viabilité financière et par la demande pressante de plusieurs États membres concernant la nécessité de limiter strictement l</w:t>
      </w:r>
      <w:r w:rsidR="00741B59" w:rsidRPr="00440D05">
        <w:rPr>
          <w:lang w:val="fr-FR"/>
        </w:rPr>
        <w:t>’</w:t>
      </w:r>
      <w:r w:rsidRPr="00440D05">
        <w:rPr>
          <w:lang w:val="fr-FR"/>
        </w:rPr>
        <w:t>utilisation des réserves à des dépenses ponctuelles et extraordinaires.</w:t>
      </w:r>
      <w:r w:rsidR="00745D07" w:rsidRPr="00440D05">
        <w:rPr>
          <w:lang w:val="fr-FR"/>
        </w:rPr>
        <w:t xml:space="preserve"> </w:t>
      </w:r>
      <w:r w:rsidR="00615B12" w:rsidRPr="00440D05">
        <w:rPr>
          <w:lang w:val="fr-FR"/>
        </w:rPr>
        <w:t xml:space="preserve"> </w:t>
      </w:r>
      <w:r w:rsidRPr="00440D05">
        <w:rPr>
          <w:lang w:val="fr-FR"/>
        </w:rPr>
        <w:t>Les révisions proposées établissent :</w:t>
      </w:r>
    </w:p>
    <w:p w:rsidR="00BB0058" w:rsidRPr="00440D05" w:rsidRDefault="00021BDB" w:rsidP="007E598D">
      <w:pPr>
        <w:pStyle w:val="ONUMFS"/>
        <w:numPr>
          <w:ilvl w:val="2"/>
          <w:numId w:val="40"/>
        </w:numPr>
        <w:rPr>
          <w:lang w:val="fr-FR"/>
        </w:rPr>
      </w:pPr>
      <w:r w:rsidRPr="00440D05">
        <w:rPr>
          <w:lang w:val="fr-FR"/>
        </w:rPr>
        <w:t>une définition plus stricte des réserves disponibles;</w:t>
      </w:r>
    </w:p>
    <w:p w:rsidR="00BB0058" w:rsidRPr="00440D05" w:rsidRDefault="00021BDB" w:rsidP="007E598D">
      <w:pPr>
        <w:pStyle w:val="ONUMFS"/>
        <w:numPr>
          <w:ilvl w:val="2"/>
          <w:numId w:val="40"/>
        </w:numPr>
        <w:rPr>
          <w:lang w:val="fr-FR"/>
        </w:rPr>
      </w:pPr>
      <w:r w:rsidRPr="00440D05">
        <w:rPr>
          <w:lang w:val="fr-FR"/>
        </w:rPr>
        <w:t>une définition plus stricte et plus claire des types et des catégories de projets dont le financement au titre des réserves peut être proposé;  et</w:t>
      </w:r>
    </w:p>
    <w:p w:rsidR="001A2204" w:rsidRPr="00440D05" w:rsidRDefault="001D33DB" w:rsidP="007E598D">
      <w:pPr>
        <w:pStyle w:val="ONUMFS"/>
        <w:numPr>
          <w:ilvl w:val="2"/>
          <w:numId w:val="40"/>
        </w:numPr>
        <w:rPr>
          <w:lang w:val="fr-FR"/>
        </w:rPr>
      </w:pPr>
      <w:r w:rsidRPr="00440D05">
        <w:rPr>
          <w:lang w:val="fr-FR"/>
        </w:rPr>
        <w:lastRenderedPageBreak/>
        <w:t>des indications plus claires sur les principaux paramètres à inclure dans les propositions d</w:t>
      </w:r>
      <w:r w:rsidR="00741B59" w:rsidRPr="00440D05">
        <w:rPr>
          <w:lang w:val="fr-FR"/>
        </w:rPr>
        <w:t>’</w:t>
      </w:r>
      <w:r w:rsidRPr="00440D05">
        <w:rPr>
          <w:lang w:val="fr-FR"/>
        </w:rPr>
        <w:t>utilisation des réserves, ainsi qu</w:t>
      </w:r>
      <w:r w:rsidR="00741B59" w:rsidRPr="00440D05">
        <w:rPr>
          <w:lang w:val="fr-FR"/>
        </w:rPr>
        <w:t>’</w:t>
      </w:r>
      <w:r w:rsidRPr="00440D05">
        <w:rPr>
          <w:lang w:val="fr-FR"/>
        </w:rPr>
        <w:t xml:space="preserve">une prise en considération plus </w:t>
      </w:r>
      <w:r w:rsidR="00745D07" w:rsidRPr="00440D05">
        <w:rPr>
          <w:lang w:val="fr-FR"/>
        </w:rPr>
        <w:t>exhaustive</w:t>
      </w:r>
      <w:r w:rsidRPr="00440D05">
        <w:rPr>
          <w:lang w:val="fr-FR"/>
        </w:rPr>
        <w:t xml:space="preserve"> des coûts de projet comprenant non seulement l</w:t>
      </w:r>
      <w:r w:rsidR="00741B59" w:rsidRPr="00440D05">
        <w:rPr>
          <w:lang w:val="fr-FR"/>
        </w:rPr>
        <w:t>’</w:t>
      </w:r>
      <w:r w:rsidRPr="00440D05">
        <w:rPr>
          <w:lang w:val="fr-FR"/>
        </w:rPr>
        <w:t>intégralité des coûts sur la durée de vie du projet mais également une indication claire des dépenses récurrentes auxquelles l</w:t>
      </w:r>
      <w:r w:rsidR="00741B59" w:rsidRPr="00440D05">
        <w:rPr>
          <w:lang w:val="fr-FR"/>
        </w:rPr>
        <w:t>’</w:t>
      </w:r>
      <w:r w:rsidRPr="00440D05">
        <w:rPr>
          <w:lang w:val="fr-FR"/>
        </w:rPr>
        <w:t>Organisation sera engagée une fois le projet achevé.</w:t>
      </w:r>
      <w:r w:rsidR="00E96C8A" w:rsidRPr="00440D05">
        <w:rPr>
          <w:lang w:val="fr-FR"/>
        </w:rPr>
        <w:t xml:space="preserve"> </w:t>
      </w:r>
      <w:r w:rsidR="00745D07" w:rsidRPr="00440D05">
        <w:rPr>
          <w:lang w:val="fr-FR"/>
        </w:rPr>
        <w:t xml:space="preserve"> Ce principe</w:t>
      </w:r>
      <w:r w:rsidRPr="00440D05">
        <w:rPr>
          <w:lang w:val="fr-FR"/>
        </w:rPr>
        <w:t xml:space="preserve"> répond également aux observations et recommandations formulées par les vérificateurs externes des comptes.</w:t>
      </w:r>
    </w:p>
    <w:p w:rsidR="001A2204" w:rsidRPr="00440D05" w:rsidRDefault="001D33DB" w:rsidP="001A2204">
      <w:pPr>
        <w:pStyle w:val="ONUMFS"/>
        <w:rPr>
          <w:lang w:val="fr-FR"/>
        </w:rPr>
      </w:pPr>
      <w:r w:rsidRPr="00440D05">
        <w:rPr>
          <w:lang w:val="fr-FR"/>
        </w:rPr>
        <w:t>L</w:t>
      </w:r>
      <w:r w:rsidR="00741B59" w:rsidRPr="00440D05">
        <w:rPr>
          <w:lang w:val="fr-FR"/>
        </w:rPr>
        <w:t>’</w:t>
      </w:r>
      <w:r w:rsidRPr="00440D05">
        <w:rPr>
          <w:lang w:val="fr-FR"/>
        </w:rPr>
        <w:t>utilisation principale du montant recommandé des réserves de l</w:t>
      </w:r>
      <w:r w:rsidR="00741B59" w:rsidRPr="00440D05">
        <w:rPr>
          <w:lang w:val="fr-FR"/>
        </w:rPr>
        <w:t>’</w:t>
      </w:r>
      <w:r w:rsidRPr="00440D05">
        <w:rPr>
          <w:lang w:val="fr-FR"/>
        </w:rPr>
        <w:t>Organisation reste le financement des déficits éventuels au cours d</w:t>
      </w:r>
      <w:r w:rsidR="00741B59" w:rsidRPr="00440D05">
        <w:rPr>
          <w:lang w:val="fr-FR"/>
        </w:rPr>
        <w:t>’</w:t>
      </w:r>
      <w:r w:rsidRPr="00440D05">
        <w:rPr>
          <w:lang w:val="fr-FR"/>
        </w:rPr>
        <w:t>un exercice biennal si les recettes devaient chuter au point de devenir inférieures aux dépenses effectives.</w:t>
      </w:r>
      <w:r w:rsidR="00C3714C" w:rsidRPr="00440D05">
        <w:rPr>
          <w:lang w:val="fr-FR"/>
        </w:rPr>
        <w:t xml:space="preserve">  </w:t>
      </w:r>
      <w:r w:rsidRPr="00440D05">
        <w:rPr>
          <w:lang w:val="fr-FR"/>
        </w:rPr>
        <w:t>Les fonds de réserve et de roulement de l</w:t>
      </w:r>
      <w:r w:rsidR="00741B59" w:rsidRPr="00440D05">
        <w:rPr>
          <w:lang w:val="fr-FR"/>
        </w:rPr>
        <w:t>’</w:t>
      </w:r>
      <w:r w:rsidRPr="00440D05">
        <w:rPr>
          <w:lang w:val="fr-FR"/>
        </w:rPr>
        <w:t>OMPI sont toujours restés au</w:t>
      </w:r>
      <w:r w:rsidR="00001620" w:rsidRPr="00440D05">
        <w:rPr>
          <w:lang w:val="fr-FR"/>
        </w:rPr>
        <w:noBreakHyphen/>
      </w:r>
      <w:r w:rsidRPr="00440D05">
        <w:rPr>
          <w:lang w:val="fr-FR"/>
        </w:rPr>
        <w:t>dessus du montant recommandé (voir ci</w:t>
      </w:r>
      <w:r w:rsidR="00001620" w:rsidRPr="00440D05">
        <w:rPr>
          <w:lang w:val="fr-FR"/>
        </w:rPr>
        <w:noBreakHyphen/>
      </w:r>
      <w:r w:rsidRPr="00440D05">
        <w:rPr>
          <w:lang w:val="fr-FR"/>
        </w:rPr>
        <w:t xml:space="preserve">après le diagramme intitulé </w:t>
      </w:r>
      <w:r w:rsidR="00116BF1" w:rsidRPr="00440D05">
        <w:rPr>
          <w:lang w:val="fr-FR"/>
        </w:rPr>
        <w:t>“</w:t>
      </w:r>
      <w:r w:rsidRPr="00440D05">
        <w:rPr>
          <w:lang w:val="fr-FR"/>
        </w:rPr>
        <w:t>Évolution de la situation financière de l</w:t>
      </w:r>
      <w:r w:rsidR="00741B59" w:rsidRPr="00440D05">
        <w:rPr>
          <w:lang w:val="fr-FR"/>
        </w:rPr>
        <w:t>’</w:t>
      </w:r>
      <w:r w:rsidRPr="00440D05">
        <w:rPr>
          <w:lang w:val="fr-FR"/>
        </w:rPr>
        <w:t>O</w:t>
      </w:r>
      <w:r w:rsidR="00745D07" w:rsidRPr="00440D05">
        <w:rPr>
          <w:lang w:val="fr-FR"/>
        </w:rPr>
        <w:t>MPI au cours de la période</w:t>
      </w:r>
      <w:r w:rsidR="00654232" w:rsidRPr="00440D05">
        <w:rPr>
          <w:lang w:val="fr-FR"/>
        </w:rPr>
        <w:t> </w:t>
      </w:r>
      <w:r w:rsidR="00745D07" w:rsidRPr="00440D05">
        <w:rPr>
          <w:lang w:val="fr-FR"/>
        </w:rPr>
        <w:t>1998</w:t>
      </w:r>
      <w:r w:rsidR="00001620" w:rsidRPr="00440D05">
        <w:rPr>
          <w:lang w:val="fr-FR"/>
        </w:rPr>
        <w:noBreakHyphen/>
      </w:r>
      <w:r w:rsidRPr="00440D05">
        <w:rPr>
          <w:lang w:val="fr-FR"/>
        </w:rPr>
        <w:t>2014</w:t>
      </w:r>
      <w:r w:rsidR="00116BF1" w:rsidRPr="00440D05">
        <w:rPr>
          <w:lang w:val="fr-FR"/>
        </w:rPr>
        <w:t>”</w:t>
      </w:r>
      <w:r w:rsidRPr="00440D05">
        <w:rPr>
          <w:lang w:val="fr-FR"/>
        </w:rPr>
        <w:t>).</w:t>
      </w:r>
    </w:p>
    <w:p w:rsidR="001A2204" w:rsidRPr="00440D05" w:rsidRDefault="001D33DB" w:rsidP="001A2204">
      <w:pPr>
        <w:pStyle w:val="ONUMFS"/>
        <w:rPr>
          <w:lang w:val="fr-FR"/>
        </w:rPr>
      </w:pPr>
      <w:r w:rsidRPr="00440D05">
        <w:rPr>
          <w:bCs/>
          <w:lang w:val="fr-FR"/>
        </w:rPr>
        <w:t>En</w:t>
      </w:r>
      <w:r w:rsidR="00654232" w:rsidRPr="00440D05">
        <w:rPr>
          <w:bCs/>
          <w:lang w:val="fr-FR"/>
        </w:rPr>
        <w:t> </w:t>
      </w:r>
      <w:r w:rsidRPr="00440D05">
        <w:rPr>
          <w:bCs/>
          <w:lang w:val="fr-FR"/>
        </w:rPr>
        <w:t>2000, il a été décidé que le Directeur général ou les États membres pourraient proposer pour approbation à l</w:t>
      </w:r>
      <w:r w:rsidR="00741B59" w:rsidRPr="00440D05">
        <w:rPr>
          <w:bCs/>
          <w:lang w:val="fr-FR"/>
        </w:rPr>
        <w:t>’</w:t>
      </w:r>
      <w:r w:rsidR="00ED1E81" w:rsidRPr="00440D05">
        <w:rPr>
          <w:bCs/>
          <w:lang w:val="fr-FR"/>
        </w:rPr>
        <w:t>Assemblée</w:t>
      </w:r>
      <w:r w:rsidRPr="00440D05">
        <w:rPr>
          <w:bCs/>
          <w:lang w:val="fr-FR"/>
        </w:rPr>
        <w:t xml:space="preserve"> générale de l</w:t>
      </w:r>
      <w:r w:rsidR="00741B59" w:rsidRPr="00440D05">
        <w:rPr>
          <w:bCs/>
          <w:lang w:val="fr-FR"/>
        </w:rPr>
        <w:t>’</w:t>
      </w:r>
      <w:r w:rsidRPr="00440D05">
        <w:rPr>
          <w:bCs/>
          <w:lang w:val="fr-FR"/>
        </w:rPr>
        <w:t>OMPI ou à l</w:t>
      </w:r>
      <w:r w:rsidR="00741B59" w:rsidRPr="00440D05">
        <w:rPr>
          <w:bCs/>
          <w:lang w:val="fr-FR"/>
        </w:rPr>
        <w:t>’</w:t>
      </w:r>
      <w:r w:rsidRPr="00440D05">
        <w:rPr>
          <w:bCs/>
          <w:lang w:val="fr-FR"/>
        </w:rPr>
        <w:t>assemblée de l</w:t>
      </w:r>
      <w:r w:rsidR="00741B59" w:rsidRPr="00440D05">
        <w:rPr>
          <w:bCs/>
          <w:lang w:val="fr-FR"/>
        </w:rPr>
        <w:t>’</w:t>
      </w:r>
      <w:r w:rsidRPr="00440D05">
        <w:rPr>
          <w:bCs/>
          <w:lang w:val="fr-FR"/>
        </w:rPr>
        <w:t>union concernée, selon le cas, des activités de projet à financer au moyen de l</w:t>
      </w:r>
      <w:r w:rsidR="00741B59" w:rsidRPr="00440D05">
        <w:rPr>
          <w:bCs/>
          <w:lang w:val="fr-FR"/>
        </w:rPr>
        <w:t>’</w:t>
      </w:r>
      <w:r w:rsidRPr="00440D05">
        <w:rPr>
          <w:bCs/>
          <w:lang w:val="fr-FR"/>
        </w:rPr>
        <w:t>excédent disponible.</w:t>
      </w:r>
      <w:r w:rsidR="00C3714C" w:rsidRPr="00440D05">
        <w:rPr>
          <w:bCs/>
          <w:lang w:val="fr-FR"/>
        </w:rPr>
        <w:t xml:space="preserve"> </w:t>
      </w:r>
      <w:r w:rsidR="00540129" w:rsidRPr="00440D05">
        <w:rPr>
          <w:bCs/>
          <w:lang w:val="fr-FR"/>
        </w:rPr>
        <w:t xml:space="preserve"> </w:t>
      </w:r>
      <w:r w:rsidRPr="00440D05">
        <w:rPr>
          <w:bCs/>
          <w:lang w:val="fr-FR"/>
        </w:rPr>
        <w:t>En</w:t>
      </w:r>
      <w:r w:rsidR="00654232" w:rsidRPr="00440D05">
        <w:rPr>
          <w:bCs/>
          <w:lang w:val="fr-FR"/>
        </w:rPr>
        <w:t> </w:t>
      </w:r>
      <w:r w:rsidRPr="00440D05">
        <w:rPr>
          <w:bCs/>
          <w:lang w:val="fr-FR"/>
        </w:rPr>
        <w:t xml:space="preserve">2010, les États membres ont </w:t>
      </w:r>
      <w:r w:rsidR="00BD7F4B" w:rsidRPr="00440D05">
        <w:rPr>
          <w:bCs/>
          <w:lang w:val="fr-FR"/>
        </w:rPr>
        <w:t>approuvé</w:t>
      </w:r>
      <w:r w:rsidRPr="00440D05">
        <w:rPr>
          <w:bCs/>
          <w:lang w:val="fr-FR"/>
        </w:rPr>
        <w:t xml:space="preserve"> une série de principes pour l</w:t>
      </w:r>
      <w:r w:rsidR="00741B59" w:rsidRPr="00440D05">
        <w:rPr>
          <w:bCs/>
          <w:lang w:val="fr-FR"/>
        </w:rPr>
        <w:t>’</w:t>
      </w:r>
      <w:r w:rsidRPr="00440D05">
        <w:rPr>
          <w:bCs/>
          <w:lang w:val="fr-FR"/>
        </w:rPr>
        <w:t xml:space="preserve">utilisation des réserves (voir le </w:t>
      </w:r>
      <w:r w:rsidR="00A81954">
        <w:rPr>
          <w:bCs/>
          <w:lang w:val="fr-FR"/>
        </w:rPr>
        <w:t xml:space="preserve">document </w:t>
      </w:r>
      <w:r w:rsidRPr="00440D05">
        <w:rPr>
          <w:bCs/>
          <w:lang w:val="fr-FR"/>
        </w:rPr>
        <w:t>WO/PBC/15/7/</w:t>
      </w:r>
      <w:proofErr w:type="spellStart"/>
      <w:r w:rsidRPr="00440D05">
        <w:rPr>
          <w:bCs/>
          <w:lang w:val="fr-FR"/>
        </w:rPr>
        <w:t>R</w:t>
      </w:r>
      <w:r w:rsidR="00001620" w:rsidRPr="00440D05">
        <w:rPr>
          <w:bCs/>
          <w:lang w:val="fr-FR"/>
        </w:rPr>
        <w:t>ev</w:t>
      </w:r>
      <w:proofErr w:type="spellEnd"/>
      <w:r w:rsidR="00001620" w:rsidRPr="00440D05">
        <w:rPr>
          <w:bCs/>
          <w:lang w:val="fr-FR"/>
        </w:rPr>
        <w:t>.</w:t>
      </w:r>
      <w:r w:rsidRPr="00440D05">
        <w:rPr>
          <w:bCs/>
          <w:lang w:val="fr-FR"/>
        </w:rPr>
        <w:t>).</w:t>
      </w:r>
      <w:r w:rsidR="00374A8E" w:rsidRPr="00440D05">
        <w:rPr>
          <w:bCs/>
          <w:lang w:val="fr-FR"/>
        </w:rPr>
        <w:t xml:space="preserve"> </w:t>
      </w:r>
      <w:r w:rsidR="00ED1E81" w:rsidRPr="00440D05">
        <w:rPr>
          <w:bCs/>
          <w:lang w:val="fr-FR"/>
        </w:rPr>
        <w:t xml:space="preserve"> </w:t>
      </w:r>
      <w:r w:rsidR="00184C72" w:rsidRPr="00440D05">
        <w:rPr>
          <w:bCs/>
          <w:lang w:val="fr-FR"/>
        </w:rPr>
        <w:t>Les paragraphes suivant</w:t>
      </w:r>
      <w:r w:rsidR="00ED1E81" w:rsidRPr="00440D05">
        <w:rPr>
          <w:bCs/>
          <w:lang w:val="fr-FR"/>
        </w:rPr>
        <w:t>s</w:t>
      </w:r>
      <w:r w:rsidR="00184C72" w:rsidRPr="00440D05">
        <w:rPr>
          <w:bCs/>
          <w:lang w:val="fr-FR"/>
        </w:rPr>
        <w:t xml:space="preserve"> présentent les principes révisés qui guideront l</w:t>
      </w:r>
      <w:r w:rsidR="00741B59" w:rsidRPr="00440D05">
        <w:rPr>
          <w:bCs/>
          <w:lang w:val="fr-FR"/>
        </w:rPr>
        <w:t>’</w:t>
      </w:r>
      <w:r w:rsidR="00184C72" w:rsidRPr="00440D05">
        <w:rPr>
          <w:bCs/>
          <w:lang w:val="fr-FR"/>
        </w:rPr>
        <w:t>utilisation des réserves.</w:t>
      </w:r>
    </w:p>
    <w:p w:rsidR="001A2204" w:rsidRPr="00440D05" w:rsidRDefault="0046565F" w:rsidP="001A2204">
      <w:pPr>
        <w:pStyle w:val="ONUMFS"/>
        <w:rPr>
          <w:lang w:val="fr-FR"/>
        </w:rPr>
      </w:pPr>
      <w:r w:rsidRPr="00440D05">
        <w:rPr>
          <w:lang w:val="fr-FR"/>
        </w:rPr>
        <w:t>Dans ses propositions relatives à l</w:t>
      </w:r>
      <w:r w:rsidR="00741B59" w:rsidRPr="00440D05">
        <w:rPr>
          <w:lang w:val="fr-FR"/>
        </w:rPr>
        <w:t>’</w:t>
      </w:r>
      <w:r w:rsidRPr="00440D05">
        <w:rPr>
          <w:lang w:val="fr-FR"/>
        </w:rPr>
        <w:t>utilisation des réserves, l</w:t>
      </w:r>
      <w:r w:rsidR="00741B59" w:rsidRPr="00440D05">
        <w:rPr>
          <w:lang w:val="fr-FR"/>
        </w:rPr>
        <w:t>’</w:t>
      </w:r>
      <w:r w:rsidRPr="00440D05">
        <w:rPr>
          <w:lang w:val="fr-FR"/>
        </w:rPr>
        <w:t>Organisation doit veiller à ce que cette utilisation ne fasse pas tomber le niveau</w:t>
      </w:r>
      <w:r w:rsidR="00741B59" w:rsidRPr="00440D05">
        <w:rPr>
          <w:lang w:val="fr-FR"/>
        </w:rPr>
        <w:t xml:space="preserve"> des FRR</w:t>
      </w:r>
      <w:r w:rsidRPr="00440D05">
        <w:rPr>
          <w:lang w:val="fr-FR"/>
        </w:rPr>
        <w:t xml:space="preserve"> en dessous du montant recommandé.</w:t>
      </w:r>
      <w:r w:rsidR="00C3714C" w:rsidRPr="00440D05">
        <w:rPr>
          <w:lang w:val="fr-FR"/>
        </w:rPr>
        <w:t xml:space="preserve"> </w:t>
      </w:r>
      <w:r w:rsidR="00FD5ED8" w:rsidRPr="00440D05">
        <w:rPr>
          <w:lang w:val="fr-FR"/>
        </w:rPr>
        <w:t xml:space="preserve"> </w:t>
      </w:r>
      <w:r w:rsidR="006A04ED" w:rsidRPr="00440D05">
        <w:rPr>
          <w:lang w:val="fr-FR"/>
        </w:rPr>
        <w:t>D</w:t>
      </w:r>
      <w:r w:rsidR="00741B59" w:rsidRPr="00440D05">
        <w:rPr>
          <w:lang w:val="fr-FR"/>
        </w:rPr>
        <w:t>’</w:t>
      </w:r>
      <w:r w:rsidR="006A04ED" w:rsidRPr="00440D05">
        <w:rPr>
          <w:lang w:val="fr-FR"/>
        </w:rPr>
        <w:t>où</w:t>
      </w:r>
      <w:r w:rsidRPr="00440D05">
        <w:rPr>
          <w:lang w:val="fr-FR"/>
        </w:rPr>
        <w:t xml:space="preserve"> le premier principe</w:t>
      </w:r>
      <w:r w:rsidR="006A04ED" w:rsidRPr="00440D05">
        <w:rPr>
          <w:lang w:val="fr-FR"/>
        </w:rPr>
        <w:t xml:space="preserve">, </w:t>
      </w:r>
      <w:r w:rsidR="006E417D" w:rsidRPr="00440D05">
        <w:rPr>
          <w:lang w:val="fr-FR"/>
        </w:rPr>
        <w:t xml:space="preserve">comme </w:t>
      </w:r>
      <w:r w:rsidRPr="00440D05">
        <w:rPr>
          <w:lang w:val="fr-FR"/>
        </w:rPr>
        <w:t>indiqué ci</w:t>
      </w:r>
      <w:r w:rsidR="00001620" w:rsidRPr="00440D05">
        <w:rPr>
          <w:lang w:val="fr-FR"/>
        </w:rPr>
        <w:noBreakHyphen/>
      </w:r>
      <w:r w:rsidRPr="00440D05">
        <w:rPr>
          <w:lang w:val="fr-FR"/>
        </w:rPr>
        <w:t>dessous.</w:t>
      </w:r>
    </w:p>
    <w:p w:rsidR="001A2204" w:rsidRPr="00440D05" w:rsidRDefault="0046565F" w:rsidP="007E598D">
      <w:pPr>
        <w:pStyle w:val="ONUMFS"/>
        <w:numPr>
          <w:ilvl w:val="0"/>
          <w:numId w:val="0"/>
        </w:numPr>
        <w:ind w:left="567"/>
        <w:rPr>
          <w:b/>
          <w:i/>
          <w:lang w:val="fr-FR"/>
        </w:rPr>
      </w:pPr>
      <w:r w:rsidRPr="00440D05">
        <w:rPr>
          <w:b/>
          <w:i/>
          <w:lang w:val="fr-FR"/>
        </w:rPr>
        <w:t xml:space="preserve">PRINCIPE </w:t>
      </w:r>
      <w:r w:rsidR="00ED1E81" w:rsidRPr="00440D05">
        <w:rPr>
          <w:b/>
          <w:i/>
          <w:lang w:val="fr-FR"/>
        </w:rPr>
        <w:t>N</w:t>
      </w:r>
      <w:r w:rsidRPr="00440D05">
        <w:rPr>
          <w:b/>
          <w:i/>
          <w:lang w:val="fr-FR"/>
        </w:rPr>
        <w:t>° 1</w:t>
      </w:r>
      <w:r w:rsidR="00654232" w:rsidRPr="00440D05">
        <w:rPr>
          <w:b/>
          <w:i/>
          <w:lang w:val="fr-FR"/>
        </w:rPr>
        <w:t> </w:t>
      </w:r>
      <w:r w:rsidRPr="00440D05">
        <w:rPr>
          <w:b/>
          <w:i/>
          <w:lang w:val="fr-FR"/>
        </w:rPr>
        <w:t>: Les propositions concernant l</w:t>
      </w:r>
      <w:r w:rsidR="00741B59" w:rsidRPr="00440D05">
        <w:rPr>
          <w:b/>
          <w:i/>
          <w:lang w:val="fr-FR"/>
        </w:rPr>
        <w:t>’</w:t>
      </w:r>
      <w:r w:rsidRPr="00440D05">
        <w:rPr>
          <w:b/>
          <w:i/>
          <w:lang w:val="fr-FR"/>
        </w:rPr>
        <w:t>utilisation</w:t>
      </w:r>
      <w:r w:rsidR="00741B59" w:rsidRPr="00440D05">
        <w:rPr>
          <w:b/>
          <w:i/>
          <w:lang w:val="fr-FR"/>
        </w:rPr>
        <w:t xml:space="preserve"> des FRR</w:t>
      </w:r>
      <w:r w:rsidRPr="00440D05">
        <w:rPr>
          <w:b/>
          <w:i/>
          <w:lang w:val="fr-FR"/>
        </w:rPr>
        <w:t xml:space="preserve"> ne devraient s</w:t>
      </w:r>
      <w:r w:rsidR="00741B59" w:rsidRPr="00440D05">
        <w:rPr>
          <w:b/>
          <w:i/>
          <w:lang w:val="fr-FR"/>
        </w:rPr>
        <w:t>’</w:t>
      </w:r>
      <w:r w:rsidRPr="00440D05">
        <w:rPr>
          <w:b/>
          <w:i/>
          <w:lang w:val="fr-FR"/>
        </w:rPr>
        <w:t>appliquer qu</w:t>
      </w:r>
      <w:r w:rsidR="00741B59" w:rsidRPr="00440D05">
        <w:rPr>
          <w:b/>
          <w:i/>
          <w:lang w:val="fr-FR"/>
        </w:rPr>
        <w:t>’</w:t>
      </w:r>
      <w:r w:rsidRPr="00440D05">
        <w:rPr>
          <w:b/>
          <w:i/>
          <w:lang w:val="fr-FR"/>
        </w:rPr>
        <w:t>aux montants disponibles dans le cadre</w:t>
      </w:r>
      <w:r w:rsidR="00741B59" w:rsidRPr="00440D05">
        <w:rPr>
          <w:b/>
          <w:i/>
          <w:lang w:val="fr-FR"/>
        </w:rPr>
        <w:t xml:space="preserve"> des FRR</w:t>
      </w:r>
      <w:r w:rsidRPr="00440D05">
        <w:rPr>
          <w:b/>
          <w:i/>
          <w:lang w:val="fr-FR"/>
        </w:rPr>
        <w:t xml:space="preserve"> </w:t>
      </w:r>
      <w:r w:rsidR="006E417D" w:rsidRPr="00440D05">
        <w:rPr>
          <w:b/>
          <w:i/>
          <w:lang w:val="fr-FR"/>
        </w:rPr>
        <w:t>en sus</w:t>
      </w:r>
      <w:r w:rsidR="006A04ED" w:rsidRPr="00440D05">
        <w:rPr>
          <w:b/>
          <w:i/>
          <w:lang w:val="fr-FR"/>
        </w:rPr>
        <w:t xml:space="preserve"> du</w:t>
      </w:r>
      <w:r w:rsidRPr="00440D05">
        <w:rPr>
          <w:b/>
          <w:i/>
          <w:lang w:val="fr-FR"/>
        </w:rPr>
        <w:t xml:space="preserve"> montant recommandé </w:t>
      </w:r>
      <w:r w:rsidR="006A04ED" w:rsidRPr="00440D05">
        <w:rPr>
          <w:b/>
          <w:i/>
          <w:lang w:val="fr-FR"/>
        </w:rPr>
        <w:t xml:space="preserve">imposé </w:t>
      </w:r>
      <w:r w:rsidRPr="00440D05">
        <w:rPr>
          <w:b/>
          <w:i/>
          <w:lang w:val="fr-FR"/>
        </w:rPr>
        <w:t>par la politique de l</w:t>
      </w:r>
      <w:r w:rsidR="00741B59" w:rsidRPr="00440D05">
        <w:rPr>
          <w:b/>
          <w:i/>
          <w:lang w:val="fr-FR"/>
        </w:rPr>
        <w:t>’</w:t>
      </w:r>
      <w:r w:rsidRPr="00440D05">
        <w:rPr>
          <w:b/>
          <w:i/>
          <w:lang w:val="fr-FR"/>
        </w:rPr>
        <w:t>OMPI relative aux réserves.</w:t>
      </w:r>
      <w:r w:rsidR="00540129" w:rsidRPr="00440D05">
        <w:rPr>
          <w:b/>
          <w:i/>
          <w:lang w:val="fr-FR"/>
        </w:rPr>
        <w:t xml:space="preserve">  </w:t>
      </w:r>
      <w:r w:rsidRPr="00440D05">
        <w:rPr>
          <w:b/>
          <w:i/>
          <w:lang w:val="fr-FR"/>
        </w:rPr>
        <w:t>Ce principe s</w:t>
      </w:r>
      <w:r w:rsidR="00741B59" w:rsidRPr="00440D05">
        <w:rPr>
          <w:b/>
          <w:i/>
          <w:lang w:val="fr-FR"/>
        </w:rPr>
        <w:t>’</w:t>
      </w:r>
      <w:r w:rsidRPr="00440D05">
        <w:rPr>
          <w:b/>
          <w:i/>
          <w:lang w:val="fr-FR"/>
        </w:rPr>
        <w:t>applique à chaque union et à l</w:t>
      </w:r>
      <w:r w:rsidR="00741B59" w:rsidRPr="00440D05">
        <w:rPr>
          <w:b/>
          <w:i/>
          <w:lang w:val="fr-FR"/>
        </w:rPr>
        <w:t>’</w:t>
      </w:r>
      <w:r w:rsidRPr="00440D05">
        <w:rPr>
          <w:b/>
          <w:i/>
          <w:lang w:val="fr-FR"/>
        </w:rPr>
        <w:t>Organisation dans son ensemble.</w:t>
      </w:r>
    </w:p>
    <w:p w:rsidR="001A2204" w:rsidRPr="00440D05" w:rsidRDefault="0046565F" w:rsidP="001A2204">
      <w:pPr>
        <w:pStyle w:val="ONUMFS"/>
        <w:rPr>
          <w:lang w:val="fr-FR"/>
        </w:rPr>
      </w:pPr>
      <w:r w:rsidRPr="00440D05">
        <w:rPr>
          <w:lang w:val="fr-FR"/>
        </w:rPr>
        <w:t>Le calcul des sommes disponibles en sus du montant recommandé doit être clair, transparent et prudent.</w:t>
      </w:r>
      <w:r w:rsidR="00C3714C" w:rsidRPr="00440D05">
        <w:rPr>
          <w:lang w:val="fr-FR"/>
        </w:rPr>
        <w:t xml:space="preserve"> </w:t>
      </w:r>
      <w:r w:rsidR="006E417D" w:rsidRPr="00440D05">
        <w:rPr>
          <w:lang w:val="fr-FR"/>
        </w:rPr>
        <w:t xml:space="preserve"> D</w:t>
      </w:r>
      <w:r w:rsidR="00741B59" w:rsidRPr="00440D05">
        <w:rPr>
          <w:lang w:val="fr-FR"/>
        </w:rPr>
        <w:t>’</w:t>
      </w:r>
      <w:r w:rsidR="006E417D" w:rsidRPr="00440D05">
        <w:rPr>
          <w:lang w:val="fr-FR"/>
        </w:rPr>
        <w:t>où</w:t>
      </w:r>
      <w:r w:rsidRPr="00440D05">
        <w:rPr>
          <w:lang w:val="fr-FR"/>
        </w:rPr>
        <w:t xml:space="preserve"> le deuxième principe pour l</w:t>
      </w:r>
      <w:r w:rsidR="00741B59" w:rsidRPr="00440D05">
        <w:rPr>
          <w:lang w:val="fr-FR"/>
        </w:rPr>
        <w:t>’</w:t>
      </w:r>
      <w:r w:rsidRPr="00440D05">
        <w:rPr>
          <w:lang w:val="fr-FR"/>
        </w:rPr>
        <w:t>utilisation des réserves prévoyant une approche claire et plus prudente pour le calcul des réserves disponibles</w:t>
      </w:r>
      <w:r w:rsidR="006E417D" w:rsidRPr="00440D05">
        <w:rPr>
          <w:lang w:val="fr-FR"/>
        </w:rPr>
        <w:t>, comme</w:t>
      </w:r>
      <w:r w:rsidRPr="00440D05">
        <w:rPr>
          <w:lang w:val="fr-FR"/>
        </w:rPr>
        <w:t xml:space="preserve"> indiqué ci</w:t>
      </w:r>
      <w:r w:rsidR="00001620" w:rsidRPr="00440D05">
        <w:rPr>
          <w:lang w:val="fr-FR"/>
        </w:rPr>
        <w:noBreakHyphen/>
      </w:r>
      <w:r w:rsidRPr="00440D05">
        <w:rPr>
          <w:lang w:val="fr-FR"/>
        </w:rPr>
        <w:t>dessous.</w:t>
      </w:r>
    </w:p>
    <w:p w:rsidR="001A2204" w:rsidRPr="00440D05" w:rsidRDefault="005B12AC" w:rsidP="007E598D">
      <w:pPr>
        <w:pStyle w:val="ONUMFS"/>
        <w:numPr>
          <w:ilvl w:val="0"/>
          <w:numId w:val="0"/>
        </w:numPr>
        <w:ind w:left="567"/>
        <w:rPr>
          <w:b/>
          <w:i/>
          <w:lang w:val="fr-FR"/>
        </w:rPr>
      </w:pPr>
      <w:r w:rsidRPr="00440D05">
        <w:rPr>
          <w:b/>
          <w:i/>
          <w:lang w:val="fr-FR"/>
        </w:rPr>
        <w:t>PRINCIPE N° 2 : Le calcul des réserves disponibles sera fondé sur les informations relatives</w:t>
      </w:r>
      <w:r w:rsidR="00741B59" w:rsidRPr="00440D05">
        <w:rPr>
          <w:b/>
          <w:i/>
          <w:lang w:val="fr-FR"/>
        </w:rPr>
        <w:t xml:space="preserve"> aux FRR</w:t>
      </w:r>
      <w:r w:rsidRPr="00440D05">
        <w:rPr>
          <w:b/>
          <w:i/>
          <w:lang w:val="fr-FR"/>
        </w:rPr>
        <w:t xml:space="preserve"> figurant dans les états financiers les plus récents et doit prendre dûment en considération les dépenses effectives, engagées et prévues au titre des réserves pour le ou les exercices sur lesquels s</w:t>
      </w:r>
      <w:r w:rsidR="00741B59" w:rsidRPr="00440D05">
        <w:rPr>
          <w:b/>
          <w:i/>
          <w:lang w:val="fr-FR"/>
        </w:rPr>
        <w:t>’</w:t>
      </w:r>
      <w:r w:rsidRPr="00440D05">
        <w:rPr>
          <w:b/>
          <w:i/>
          <w:lang w:val="fr-FR"/>
        </w:rPr>
        <w:t xml:space="preserve">étendra la mise en </w:t>
      </w:r>
      <w:r w:rsidR="004A5EE7" w:rsidRPr="00440D05">
        <w:rPr>
          <w:b/>
          <w:i/>
          <w:lang w:val="fr-FR"/>
        </w:rPr>
        <w:t>œuvre</w:t>
      </w:r>
      <w:r w:rsidRPr="00440D05">
        <w:rPr>
          <w:b/>
          <w:i/>
          <w:lang w:val="fr-FR"/>
        </w:rPr>
        <w:t xml:space="preserve"> du projet proposé.</w:t>
      </w:r>
      <w:r w:rsidR="00C3714C" w:rsidRPr="00440D05">
        <w:rPr>
          <w:b/>
          <w:i/>
          <w:lang w:val="fr-FR"/>
        </w:rPr>
        <w:t xml:space="preserve">  </w:t>
      </w:r>
      <w:r w:rsidRPr="00440D05">
        <w:rPr>
          <w:b/>
          <w:i/>
          <w:lang w:val="fr-FR"/>
        </w:rPr>
        <w:t>L</w:t>
      </w:r>
      <w:r w:rsidR="00741B59" w:rsidRPr="00440D05">
        <w:rPr>
          <w:b/>
          <w:i/>
          <w:lang w:val="fr-FR"/>
        </w:rPr>
        <w:t>’</w:t>
      </w:r>
      <w:r w:rsidR="004E2D75" w:rsidRPr="00440D05">
        <w:rPr>
          <w:b/>
          <w:i/>
          <w:lang w:val="fr-FR"/>
        </w:rPr>
        <w:t xml:space="preserve">écart de </w:t>
      </w:r>
      <w:r w:rsidRPr="00440D05">
        <w:rPr>
          <w:b/>
          <w:i/>
          <w:lang w:val="fr-FR"/>
        </w:rPr>
        <w:t>réévaluation (revalorisation du terrain sur lequel est construit le nouveau bâtiment) et les fonds de roulement (qui ont été établis au moyen des contributions des États membres) ne sont pas comptabilisés dans le montant disponible en sus du montant recommandé</w:t>
      </w:r>
      <w:r w:rsidR="00741B59" w:rsidRPr="00440D05">
        <w:rPr>
          <w:b/>
          <w:i/>
          <w:lang w:val="fr-FR"/>
        </w:rPr>
        <w:t xml:space="preserve"> des FRR</w:t>
      </w:r>
      <w:r w:rsidRPr="00440D05">
        <w:rPr>
          <w:b/>
          <w:i/>
          <w:lang w:val="fr-FR"/>
        </w:rPr>
        <w:t>.</w:t>
      </w:r>
    </w:p>
    <w:p w:rsidR="001A2204" w:rsidRPr="00440D05" w:rsidRDefault="005B12AC" w:rsidP="001A2204">
      <w:pPr>
        <w:pStyle w:val="ONUMFS"/>
        <w:rPr>
          <w:lang w:val="fr-FR"/>
        </w:rPr>
      </w:pPr>
      <w:r w:rsidRPr="00440D05">
        <w:rPr>
          <w:lang w:val="fr-FR"/>
        </w:rPr>
        <w:t>Les réserves de l</w:t>
      </w:r>
      <w:r w:rsidR="00741B59" w:rsidRPr="00440D05">
        <w:rPr>
          <w:lang w:val="fr-FR"/>
        </w:rPr>
        <w:t>’</w:t>
      </w:r>
      <w:r w:rsidRPr="00440D05">
        <w:rPr>
          <w:lang w:val="fr-FR"/>
        </w:rPr>
        <w:t>Organisation sont nécessaires pour couvrir un déficit au cours d</w:t>
      </w:r>
      <w:r w:rsidR="00741B59" w:rsidRPr="00440D05">
        <w:rPr>
          <w:lang w:val="fr-FR"/>
        </w:rPr>
        <w:t>’</w:t>
      </w:r>
      <w:r w:rsidRPr="00440D05">
        <w:rPr>
          <w:lang w:val="fr-FR"/>
        </w:rPr>
        <w:t>un exercice biennal donné si les dépenses effectives dépassent les recettes effectives et ne doivent donc pas être utilisées pour gonfler les ressources disponibles pour les dépenses de fonctionnement et récurrentes.</w:t>
      </w:r>
      <w:r w:rsidR="00C3714C" w:rsidRPr="00440D05">
        <w:rPr>
          <w:lang w:val="fr-FR"/>
        </w:rPr>
        <w:t xml:space="preserve">  </w:t>
      </w:r>
      <w:r w:rsidRPr="00440D05">
        <w:rPr>
          <w:lang w:val="fr-FR"/>
        </w:rPr>
        <w:t>Les déficits programmés donnent une fausse impression de disponibilité de ressources sur le long terme et peuvent conduire à la prise d</w:t>
      </w:r>
      <w:r w:rsidR="00741B59" w:rsidRPr="00440D05">
        <w:rPr>
          <w:lang w:val="fr-FR"/>
        </w:rPr>
        <w:t>’</w:t>
      </w:r>
      <w:r w:rsidRPr="00440D05">
        <w:rPr>
          <w:lang w:val="fr-FR"/>
        </w:rPr>
        <w:t>engagements à plus long terme (par exemple, en matière de ressources en personnel) avec des fonds disponibles à court terme ou à titre extraordinaire.</w:t>
      </w:r>
      <w:r w:rsidR="00C3714C" w:rsidRPr="00440D05">
        <w:rPr>
          <w:lang w:val="fr-FR"/>
        </w:rPr>
        <w:t xml:space="preserve">  </w:t>
      </w:r>
      <w:r w:rsidRPr="00440D05">
        <w:rPr>
          <w:lang w:val="fr-FR"/>
        </w:rPr>
        <w:t xml:space="preserve">Il convient de souligner que </w:t>
      </w:r>
      <w:r w:rsidR="006E417D" w:rsidRPr="00440D05">
        <w:rPr>
          <w:lang w:val="fr-FR"/>
        </w:rPr>
        <w:t xml:space="preserve">les </w:t>
      </w:r>
      <w:r w:rsidRPr="00440D05">
        <w:rPr>
          <w:lang w:val="fr-FR"/>
        </w:rPr>
        <w:t>deux tiers environ des coûts de l</w:t>
      </w:r>
      <w:r w:rsidR="00741B59" w:rsidRPr="00440D05">
        <w:rPr>
          <w:lang w:val="fr-FR"/>
        </w:rPr>
        <w:t>’</w:t>
      </w:r>
      <w:r w:rsidRPr="00440D05">
        <w:rPr>
          <w:lang w:val="fr-FR"/>
        </w:rPr>
        <w:t>OMPI sont des dépenses de personnel, ce qui pourrait représenter un risque important pour l</w:t>
      </w:r>
      <w:r w:rsidR="00741B59" w:rsidRPr="00440D05">
        <w:rPr>
          <w:lang w:val="fr-FR"/>
        </w:rPr>
        <w:t>’</w:t>
      </w:r>
      <w:r w:rsidRPr="00440D05">
        <w:rPr>
          <w:lang w:val="fr-FR"/>
        </w:rPr>
        <w:t>Organisation.</w:t>
      </w:r>
      <w:r w:rsidR="00C3714C" w:rsidRPr="00440D05">
        <w:rPr>
          <w:lang w:val="fr-FR"/>
        </w:rPr>
        <w:t xml:space="preserve">  </w:t>
      </w:r>
      <w:r w:rsidR="006E417D" w:rsidRPr="00440D05">
        <w:rPr>
          <w:lang w:val="fr-FR"/>
        </w:rPr>
        <w:t>D</w:t>
      </w:r>
      <w:r w:rsidR="00741B59" w:rsidRPr="00440D05">
        <w:rPr>
          <w:lang w:val="fr-FR"/>
        </w:rPr>
        <w:t>’</w:t>
      </w:r>
      <w:r w:rsidR="006E417D" w:rsidRPr="00440D05">
        <w:rPr>
          <w:lang w:val="fr-FR"/>
        </w:rPr>
        <w:t>où</w:t>
      </w:r>
      <w:r w:rsidRPr="00440D05">
        <w:rPr>
          <w:lang w:val="fr-FR"/>
        </w:rPr>
        <w:t xml:space="preserve"> le troisième principe sur lequel reposent les propositions concernant l</w:t>
      </w:r>
      <w:r w:rsidR="00741B59" w:rsidRPr="00440D05">
        <w:rPr>
          <w:lang w:val="fr-FR"/>
        </w:rPr>
        <w:t>’</w:t>
      </w:r>
      <w:r w:rsidRPr="00440D05">
        <w:rPr>
          <w:lang w:val="fr-FR"/>
        </w:rPr>
        <w:t>utilisation des réserves</w:t>
      </w:r>
      <w:r w:rsidR="006E417D" w:rsidRPr="00440D05">
        <w:rPr>
          <w:lang w:val="fr-FR"/>
        </w:rPr>
        <w:t xml:space="preserve">, comme indiqué </w:t>
      </w:r>
      <w:r w:rsidR="00866A6C" w:rsidRPr="00440D05">
        <w:rPr>
          <w:lang w:val="fr-FR"/>
        </w:rPr>
        <w:t>ci</w:t>
      </w:r>
      <w:r w:rsidR="00001620" w:rsidRPr="00440D05">
        <w:rPr>
          <w:lang w:val="fr-FR"/>
        </w:rPr>
        <w:noBreakHyphen/>
      </w:r>
      <w:r w:rsidR="00866A6C" w:rsidRPr="00440D05">
        <w:rPr>
          <w:lang w:val="fr-FR"/>
        </w:rPr>
        <w:t>dessous</w:t>
      </w:r>
      <w:r w:rsidRPr="00440D05">
        <w:rPr>
          <w:lang w:val="fr-FR"/>
        </w:rPr>
        <w:t>.</w:t>
      </w:r>
    </w:p>
    <w:p w:rsidR="001A2204" w:rsidRPr="00440D05" w:rsidRDefault="00562121" w:rsidP="007E598D">
      <w:pPr>
        <w:pStyle w:val="ONUMFS"/>
        <w:numPr>
          <w:ilvl w:val="0"/>
          <w:numId w:val="0"/>
        </w:numPr>
        <w:ind w:left="567"/>
        <w:rPr>
          <w:b/>
          <w:i/>
          <w:lang w:val="fr-FR"/>
        </w:rPr>
      </w:pPr>
      <w:r w:rsidRPr="00440D05">
        <w:rPr>
          <w:b/>
          <w:i/>
          <w:lang w:val="fr-FR"/>
        </w:rPr>
        <w:lastRenderedPageBreak/>
        <w:t>PRINCIPE N° 3</w:t>
      </w:r>
      <w:r w:rsidR="00654232" w:rsidRPr="00440D05">
        <w:rPr>
          <w:b/>
          <w:i/>
          <w:lang w:val="fr-FR"/>
        </w:rPr>
        <w:t> </w:t>
      </w:r>
      <w:r w:rsidRPr="00440D05">
        <w:rPr>
          <w:b/>
          <w:i/>
          <w:lang w:val="fr-FR"/>
        </w:rPr>
        <w:t>: L</w:t>
      </w:r>
      <w:r w:rsidR="00E61636" w:rsidRPr="00440D05">
        <w:rPr>
          <w:b/>
          <w:i/>
          <w:lang w:val="fr-FR"/>
        </w:rPr>
        <w:t>es propositions d</w:t>
      </w:r>
      <w:r w:rsidR="00741B59" w:rsidRPr="00440D05">
        <w:rPr>
          <w:b/>
          <w:i/>
          <w:lang w:val="fr-FR"/>
        </w:rPr>
        <w:t>’</w:t>
      </w:r>
      <w:r w:rsidR="00E61636" w:rsidRPr="00440D05">
        <w:rPr>
          <w:b/>
          <w:i/>
          <w:lang w:val="fr-FR"/>
        </w:rPr>
        <w:t>utilisation des réserves doivent porter sur des projets et des dépenses extraordinaires et ponctuels et, à titre exceptionnel, sur des initiatives stratégiques si les assemblées des unions de l</w:t>
      </w:r>
      <w:r w:rsidR="00741B59" w:rsidRPr="00440D05">
        <w:rPr>
          <w:b/>
          <w:i/>
          <w:lang w:val="fr-FR"/>
        </w:rPr>
        <w:t>’</w:t>
      </w:r>
      <w:r w:rsidR="00E61636" w:rsidRPr="00440D05">
        <w:rPr>
          <w:b/>
          <w:i/>
          <w:lang w:val="fr-FR"/>
        </w:rPr>
        <w:t>OMPI en décident ainsi.  Les projets d</w:t>
      </w:r>
      <w:r w:rsidR="00741B59" w:rsidRPr="00440D05">
        <w:rPr>
          <w:b/>
          <w:i/>
          <w:lang w:val="fr-FR"/>
        </w:rPr>
        <w:t>’</w:t>
      </w:r>
      <w:r w:rsidR="00E61636" w:rsidRPr="00440D05">
        <w:rPr>
          <w:b/>
          <w:i/>
          <w:lang w:val="fr-FR"/>
        </w:rPr>
        <w:t>équipement sont normalement définis dans un plan</w:t>
      </w:r>
      <w:r w:rsidR="00001620" w:rsidRPr="00440D05">
        <w:rPr>
          <w:b/>
          <w:i/>
          <w:lang w:val="fr-FR"/>
        </w:rPr>
        <w:noBreakHyphen/>
      </w:r>
      <w:r w:rsidR="00E61636" w:rsidRPr="00440D05">
        <w:rPr>
          <w:b/>
          <w:i/>
          <w:lang w:val="fr-FR"/>
        </w:rPr>
        <w:t>cadre à long terme en tant que projets de construction/rénovation ou projets dans le domaine des technologies de l</w:t>
      </w:r>
      <w:r w:rsidR="00741B59" w:rsidRPr="00440D05">
        <w:rPr>
          <w:b/>
          <w:i/>
          <w:lang w:val="fr-FR"/>
        </w:rPr>
        <w:t>’</w:t>
      </w:r>
      <w:r w:rsidR="00E61636" w:rsidRPr="00440D05">
        <w:rPr>
          <w:b/>
          <w:i/>
          <w:lang w:val="fr-FR"/>
        </w:rPr>
        <w:t>information et de la communication qui sont nécessaires pour maintenir les installations et les systèmes de l</w:t>
      </w:r>
      <w:r w:rsidR="00741B59" w:rsidRPr="00440D05">
        <w:rPr>
          <w:b/>
          <w:i/>
          <w:lang w:val="fr-FR"/>
        </w:rPr>
        <w:t>’</w:t>
      </w:r>
      <w:r w:rsidR="00E61636" w:rsidRPr="00440D05">
        <w:rPr>
          <w:b/>
          <w:i/>
          <w:lang w:val="fr-FR"/>
        </w:rPr>
        <w:t xml:space="preserve">Organisation en adéquation avec sa mission </w:t>
      </w:r>
      <w:r w:rsidRPr="00440D05">
        <w:rPr>
          <w:b/>
          <w:i/>
          <w:lang w:val="fr-FR"/>
        </w:rPr>
        <w:t>moyennant</w:t>
      </w:r>
      <w:r w:rsidR="00E61636" w:rsidRPr="00440D05">
        <w:rPr>
          <w:b/>
          <w:i/>
          <w:lang w:val="fr-FR"/>
        </w:rPr>
        <w:t xml:space="preserve"> de</w:t>
      </w:r>
      <w:r w:rsidRPr="00440D05">
        <w:rPr>
          <w:b/>
          <w:i/>
          <w:lang w:val="fr-FR"/>
        </w:rPr>
        <w:t>s</w:t>
      </w:r>
      <w:r w:rsidR="00E61636" w:rsidRPr="00440D05">
        <w:rPr>
          <w:b/>
          <w:i/>
          <w:lang w:val="fr-FR"/>
        </w:rPr>
        <w:t xml:space="preserve"> travaux d</w:t>
      </w:r>
      <w:r w:rsidR="00741B59" w:rsidRPr="00440D05">
        <w:rPr>
          <w:b/>
          <w:i/>
          <w:lang w:val="fr-FR"/>
        </w:rPr>
        <w:t>’</w:t>
      </w:r>
      <w:r w:rsidR="00E61636" w:rsidRPr="00440D05">
        <w:rPr>
          <w:b/>
          <w:i/>
          <w:lang w:val="fr-FR"/>
        </w:rPr>
        <w:t>agrandissement ou d</w:t>
      </w:r>
      <w:r w:rsidR="00741B59" w:rsidRPr="00440D05">
        <w:rPr>
          <w:b/>
          <w:i/>
          <w:lang w:val="fr-FR"/>
        </w:rPr>
        <w:t>’</w:t>
      </w:r>
      <w:r w:rsidR="00E61636" w:rsidRPr="00440D05">
        <w:rPr>
          <w:b/>
          <w:i/>
          <w:lang w:val="fr-FR"/>
        </w:rPr>
        <w:t>équipement</w:t>
      </w:r>
      <w:r w:rsidRPr="00440D05">
        <w:rPr>
          <w:b/>
          <w:i/>
          <w:lang w:val="fr-FR"/>
        </w:rPr>
        <w:t xml:space="preserve"> majeurs</w:t>
      </w:r>
      <w:r w:rsidR="00E61636" w:rsidRPr="00440D05">
        <w:rPr>
          <w:b/>
          <w:i/>
          <w:lang w:val="fr-FR"/>
        </w:rPr>
        <w:t>.</w:t>
      </w:r>
    </w:p>
    <w:p w:rsidR="001A2204" w:rsidRPr="00440D05" w:rsidRDefault="00E61636" w:rsidP="001A2204">
      <w:pPr>
        <w:pStyle w:val="ONUMFS"/>
        <w:rPr>
          <w:lang w:val="fr-FR"/>
        </w:rPr>
      </w:pPr>
      <w:r w:rsidRPr="00440D05">
        <w:rPr>
          <w:lang w:val="fr-FR"/>
        </w:rPr>
        <w:t xml:space="preserve">Les projets financés au moyen des réserves peuvent avoir une incidence négative sur les niveaux de </w:t>
      </w:r>
      <w:r w:rsidR="00834282" w:rsidRPr="00440D05">
        <w:rPr>
          <w:lang w:val="fr-FR"/>
        </w:rPr>
        <w:t xml:space="preserve">trésorerie disponibles au titre </w:t>
      </w:r>
      <w:r w:rsidRPr="00440D05">
        <w:rPr>
          <w:lang w:val="fr-FR"/>
        </w:rPr>
        <w:t>des réserves.</w:t>
      </w:r>
      <w:r w:rsidR="00C3714C" w:rsidRPr="00440D05">
        <w:rPr>
          <w:lang w:val="fr-FR"/>
        </w:rPr>
        <w:t xml:space="preserve"> </w:t>
      </w:r>
      <w:r w:rsidR="00562121" w:rsidRPr="00440D05">
        <w:rPr>
          <w:lang w:val="fr-FR"/>
        </w:rPr>
        <w:t xml:space="preserve"> </w:t>
      </w:r>
      <w:r w:rsidRPr="00440D05">
        <w:rPr>
          <w:lang w:val="fr-FR"/>
        </w:rPr>
        <w:t xml:space="preserve">En outre, une fois achevés, </w:t>
      </w:r>
      <w:r w:rsidR="00562121" w:rsidRPr="00440D05">
        <w:rPr>
          <w:lang w:val="fr-FR"/>
        </w:rPr>
        <w:t xml:space="preserve">ces projets </w:t>
      </w:r>
      <w:r w:rsidRPr="00440D05">
        <w:rPr>
          <w:lang w:val="fr-FR"/>
        </w:rPr>
        <w:t>entraîneront certain</w:t>
      </w:r>
      <w:r w:rsidR="0065692E" w:rsidRPr="00440D05">
        <w:rPr>
          <w:lang w:val="fr-FR"/>
        </w:rPr>
        <w:t>es</w:t>
      </w:r>
      <w:r w:rsidRPr="00440D05">
        <w:rPr>
          <w:lang w:val="fr-FR"/>
        </w:rPr>
        <w:t xml:space="preserve"> dépenses </w:t>
      </w:r>
      <w:r w:rsidR="00BD7F4B" w:rsidRPr="00440D05">
        <w:rPr>
          <w:lang w:val="fr-FR"/>
        </w:rPr>
        <w:t>récurrentes</w:t>
      </w:r>
      <w:r w:rsidRPr="00440D05">
        <w:rPr>
          <w:lang w:val="fr-FR"/>
        </w:rPr>
        <w:t>.</w:t>
      </w:r>
      <w:r w:rsidR="00C3714C" w:rsidRPr="00440D05">
        <w:rPr>
          <w:lang w:val="fr-FR"/>
        </w:rPr>
        <w:t xml:space="preserve"> </w:t>
      </w:r>
      <w:r w:rsidR="00562121" w:rsidRPr="00440D05">
        <w:rPr>
          <w:lang w:val="fr-FR"/>
        </w:rPr>
        <w:t xml:space="preserve"> </w:t>
      </w:r>
      <w:r w:rsidRPr="00440D05">
        <w:rPr>
          <w:lang w:val="fr-FR"/>
        </w:rPr>
        <w:t>Les décisions des États membres concernant l</w:t>
      </w:r>
      <w:r w:rsidR="00741B59" w:rsidRPr="00440D05">
        <w:rPr>
          <w:lang w:val="fr-FR"/>
        </w:rPr>
        <w:t>’</w:t>
      </w:r>
      <w:r w:rsidRPr="00440D05">
        <w:rPr>
          <w:lang w:val="fr-FR"/>
        </w:rPr>
        <w:t xml:space="preserve">utilisation des réserves devront se fonder sur des informations exhaustives et </w:t>
      </w:r>
      <w:r w:rsidR="00562121" w:rsidRPr="00440D05">
        <w:rPr>
          <w:lang w:val="fr-FR"/>
        </w:rPr>
        <w:t xml:space="preserve">une </w:t>
      </w:r>
      <w:r w:rsidR="00662B14" w:rsidRPr="00440D05">
        <w:rPr>
          <w:lang w:val="fr-FR"/>
        </w:rPr>
        <w:t>compréhension approfondie</w:t>
      </w:r>
      <w:r w:rsidRPr="00440D05">
        <w:rPr>
          <w:lang w:val="fr-FR"/>
        </w:rPr>
        <w:t xml:space="preserve"> de </w:t>
      </w:r>
      <w:r w:rsidR="0065692E" w:rsidRPr="00440D05">
        <w:rPr>
          <w:lang w:val="fr-FR"/>
        </w:rPr>
        <w:t>son</w:t>
      </w:r>
      <w:r w:rsidRPr="00440D05">
        <w:rPr>
          <w:lang w:val="fr-FR"/>
        </w:rPr>
        <w:t xml:space="preserve"> incidence sur la gestion financière de l</w:t>
      </w:r>
      <w:r w:rsidR="00741B59" w:rsidRPr="00440D05">
        <w:rPr>
          <w:lang w:val="fr-FR"/>
        </w:rPr>
        <w:t>’</w:t>
      </w:r>
      <w:r w:rsidRPr="00440D05">
        <w:rPr>
          <w:lang w:val="fr-FR"/>
        </w:rPr>
        <w:t>Organisation.</w:t>
      </w:r>
      <w:r w:rsidR="009009FA" w:rsidRPr="00440D05">
        <w:rPr>
          <w:lang w:val="fr-FR"/>
        </w:rPr>
        <w:t xml:space="preserve"> </w:t>
      </w:r>
      <w:r w:rsidR="00C3714C" w:rsidRPr="00440D05">
        <w:rPr>
          <w:lang w:val="fr-FR"/>
        </w:rPr>
        <w:t xml:space="preserve"> </w:t>
      </w:r>
      <w:r w:rsidR="00662B14" w:rsidRPr="00440D05">
        <w:rPr>
          <w:lang w:val="fr-FR"/>
        </w:rPr>
        <w:t>D</w:t>
      </w:r>
      <w:r w:rsidR="00741B59" w:rsidRPr="00440D05">
        <w:rPr>
          <w:lang w:val="fr-FR"/>
        </w:rPr>
        <w:t>’</w:t>
      </w:r>
      <w:r w:rsidR="00662B14" w:rsidRPr="00440D05">
        <w:rPr>
          <w:lang w:val="fr-FR"/>
        </w:rPr>
        <w:t>où</w:t>
      </w:r>
      <w:r w:rsidRPr="00440D05">
        <w:rPr>
          <w:lang w:val="fr-FR"/>
        </w:rPr>
        <w:t xml:space="preserve"> le quatrième principe applicable aux propositions d</w:t>
      </w:r>
      <w:r w:rsidR="00741B59" w:rsidRPr="00440D05">
        <w:rPr>
          <w:lang w:val="fr-FR"/>
        </w:rPr>
        <w:t>’</w:t>
      </w:r>
      <w:r w:rsidRPr="00440D05">
        <w:rPr>
          <w:lang w:val="fr-FR"/>
        </w:rPr>
        <w:t>utilisation des réserves</w:t>
      </w:r>
      <w:r w:rsidR="00662B14" w:rsidRPr="00440D05">
        <w:rPr>
          <w:lang w:val="fr-FR"/>
        </w:rPr>
        <w:t>, comme indiqué ci</w:t>
      </w:r>
      <w:r w:rsidR="00001620" w:rsidRPr="00440D05">
        <w:rPr>
          <w:lang w:val="fr-FR"/>
        </w:rPr>
        <w:noBreakHyphen/>
      </w:r>
      <w:r w:rsidR="00662B14" w:rsidRPr="00440D05">
        <w:rPr>
          <w:lang w:val="fr-FR"/>
        </w:rPr>
        <w:t>dessous</w:t>
      </w:r>
      <w:r w:rsidRPr="00440D05">
        <w:rPr>
          <w:lang w:val="fr-FR"/>
        </w:rPr>
        <w:t> :</w:t>
      </w:r>
    </w:p>
    <w:p w:rsidR="001A2204" w:rsidRPr="00440D05" w:rsidRDefault="00BB0058" w:rsidP="007E598D">
      <w:pPr>
        <w:pStyle w:val="ONUMFS"/>
        <w:numPr>
          <w:ilvl w:val="0"/>
          <w:numId w:val="0"/>
        </w:numPr>
        <w:ind w:left="567"/>
        <w:rPr>
          <w:b/>
          <w:i/>
          <w:lang w:val="fr-FR"/>
        </w:rPr>
      </w:pPr>
      <w:r w:rsidRPr="00440D05">
        <w:rPr>
          <w:b/>
          <w:i/>
          <w:lang w:val="fr-FR"/>
        </w:rPr>
        <w:t>PRINCIPE N° 4</w:t>
      </w:r>
      <w:r w:rsidR="00654232" w:rsidRPr="00440D05">
        <w:rPr>
          <w:b/>
          <w:i/>
          <w:lang w:val="fr-FR"/>
        </w:rPr>
        <w:t> </w:t>
      </w:r>
      <w:r w:rsidRPr="00440D05">
        <w:rPr>
          <w:b/>
          <w:i/>
          <w:lang w:val="fr-FR"/>
        </w:rPr>
        <w:t>: Les propositions d</w:t>
      </w:r>
      <w:r w:rsidR="00741B59" w:rsidRPr="00440D05">
        <w:rPr>
          <w:b/>
          <w:i/>
          <w:lang w:val="fr-FR"/>
        </w:rPr>
        <w:t>’</w:t>
      </w:r>
      <w:r w:rsidRPr="00440D05">
        <w:rPr>
          <w:b/>
          <w:i/>
          <w:lang w:val="fr-FR"/>
        </w:rPr>
        <w:t>utilisation des réserves doivent être établies de manière exhaustive et comprendre des informations sur l</w:t>
      </w:r>
      <w:r w:rsidR="00741B59" w:rsidRPr="00440D05">
        <w:rPr>
          <w:b/>
          <w:i/>
          <w:lang w:val="fr-FR"/>
        </w:rPr>
        <w:t>’</w:t>
      </w:r>
      <w:r w:rsidRPr="00440D05">
        <w:rPr>
          <w:b/>
          <w:i/>
          <w:lang w:val="fr-FR"/>
        </w:rPr>
        <w:t>intégralité des coûts sur le cycle de vie des projets, les avantages escomptés (qui peuvent être financiers ou de nature qualitative), les dépenses récurrentes que l</w:t>
      </w:r>
      <w:r w:rsidR="00741B59" w:rsidRPr="00440D05">
        <w:rPr>
          <w:b/>
          <w:i/>
          <w:lang w:val="fr-FR"/>
        </w:rPr>
        <w:t>’</w:t>
      </w:r>
      <w:r w:rsidRPr="00440D05">
        <w:rPr>
          <w:b/>
          <w:i/>
          <w:lang w:val="fr-FR"/>
        </w:rPr>
        <w:t xml:space="preserve">Organisation sera tenue de financer </w:t>
      </w:r>
      <w:r w:rsidR="00834282" w:rsidRPr="00440D05">
        <w:rPr>
          <w:b/>
          <w:i/>
          <w:lang w:val="fr-FR"/>
        </w:rPr>
        <w:t>au titre du budget ordinaire au</w:t>
      </w:r>
      <w:r w:rsidRPr="00440D05">
        <w:rPr>
          <w:b/>
          <w:i/>
          <w:lang w:val="fr-FR"/>
        </w:rPr>
        <w:t xml:space="preserve"> cours des exercices biennaux ultérieurs et l</w:t>
      </w:r>
      <w:r w:rsidR="00741B59" w:rsidRPr="00440D05">
        <w:rPr>
          <w:b/>
          <w:i/>
          <w:lang w:val="fr-FR"/>
        </w:rPr>
        <w:t>’</w:t>
      </w:r>
      <w:r w:rsidRPr="00440D05">
        <w:rPr>
          <w:b/>
          <w:i/>
          <w:lang w:val="fr-FR"/>
        </w:rPr>
        <w:t xml:space="preserve">incidence sur les flux </w:t>
      </w:r>
      <w:r w:rsidR="0065692E" w:rsidRPr="00440D05">
        <w:rPr>
          <w:b/>
          <w:i/>
          <w:lang w:val="fr-FR"/>
        </w:rPr>
        <w:t xml:space="preserve">et niveaux </w:t>
      </w:r>
      <w:r w:rsidRPr="00440D05">
        <w:rPr>
          <w:b/>
          <w:i/>
          <w:lang w:val="fr-FR"/>
        </w:rPr>
        <w:t>de trésorerie des réserves.</w:t>
      </w:r>
    </w:p>
    <w:p w:rsidR="001A2204" w:rsidRPr="00440D05" w:rsidRDefault="00BB0058" w:rsidP="001A2204">
      <w:pPr>
        <w:pStyle w:val="ONUMFS"/>
        <w:rPr>
          <w:lang w:val="fr-FR"/>
        </w:rPr>
      </w:pPr>
      <w:r w:rsidRPr="00440D05">
        <w:rPr>
          <w:lang w:val="fr-FR"/>
        </w:rPr>
        <w:t xml:space="preserve">À la différence des projets et activités financés </w:t>
      </w:r>
      <w:r w:rsidR="00834282" w:rsidRPr="00440D05">
        <w:rPr>
          <w:lang w:val="fr-FR"/>
        </w:rPr>
        <w:t xml:space="preserve">au moyen du </w:t>
      </w:r>
      <w:r w:rsidRPr="00440D05">
        <w:rPr>
          <w:lang w:val="fr-FR"/>
        </w:rPr>
        <w:t xml:space="preserve">budget ordinaire, dont les dotations sont disponibles uniquement </w:t>
      </w:r>
      <w:r w:rsidR="00C115E4" w:rsidRPr="00440D05">
        <w:rPr>
          <w:lang w:val="fr-FR"/>
        </w:rPr>
        <w:t>pendant</w:t>
      </w:r>
      <w:r w:rsidRPr="00440D05">
        <w:rPr>
          <w:lang w:val="fr-FR"/>
        </w:rPr>
        <w:t xml:space="preserve"> l</w:t>
      </w:r>
      <w:r w:rsidR="00741B59" w:rsidRPr="00440D05">
        <w:rPr>
          <w:lang w:val="fr-FR"/>
        </w:rPr>
        <w:t>’</w:t>
      </w:r>
      <w:r w:rsidRPr="00440D05">
        <w:rPr>
          <w:lang w:val="fr-FR"/>
        </w:rPr>
        <w:t>exercice biennal pour lequel elles ont été approuvées, les projets financés au moyen des réserves de l</w:t>
      </w:r>
      <w:r w:rsidR="00741B59" w:rsidRPr="00440D05">
        <w:rPr>
          <w:lang w:val="fr-FR"/>
        </w:rPr>
        <w:t>’</w:t>
      </w:r>
      <w:r w:rsidRPr="00440D05">
        <w:rPr>
          <w:lang w:val="fr-FR"/>
        </w:rPr>
        <w:t>Organisation, ainsi qu</w:t>
      </w:r>
      <w:r w:rsidR="00741B59" w:rsidRPr="00440D05">
        <w:rPr>
          <w:lang w:val="fr-FR"/>
        </w:rPr>
        <w:t>’</w:t>
      </w:r>
      <w:r w:rsidRPr="00440D05">
        <w:rPr>
          <w:lang w:val="fr-FR"/>
        </w:rPr>
        <w:t>il est indiqué dans le principe n° 4, peuvent s</w:t>
      </w:r>
      <w:r w:rsidR="00741B59" w:rsidRPr="00440D05">
        <w:rPr>
          <w:lang w:val="fr-FR"/>
        </w:rPr>
        <w:t>’</w:t>
      </w:r>
      <w:r w:rsidRPr="00440D05">
        <w:rPr>
          <w:lang w:val="fr-FR"/>
        </w:rPr>
        <w:t>étendre sur plusieurs exercices biennaux et il convient de s</w:t>
      </w:r>
      <w:r w:rsidR="00741B59" w:rsidRPr="00440D05">
        <w:rPr>
          <w:lang w:val="fr-FR"/>
        </w:rPr>
        <w:t>’</w:t>
      </w:r>
      <w:r w:rsidRPr="00440D05">
        <w:rPr>
          <w:lang w:val="fr-FR"/>
        </w:rPr>
        <w:t>assurer que le financement pour les projets approuvés reste disponible pour toute la durée du projet ou de l</w:t>
      </w:r>
      <w:r w:rsidR="00741B59" w:rsidRPr="00440D05">
        <w:rPr>
          <w:lang w:val="fr-FR"/>
        </w:rPr>
        <w:t>’</w:t>
      </w:r>
      <w:r w:rsidRPr="00440D05">
        <w:rPr>
          <w:lang w:val="fr-FR"/>
        </w:rPr>
        <w:t>initiative approuvée par les États membres.</w:t>
      </w:r>
      <w:r w:rsidR="00E917EE" w:rsidRPr="00440D05">
        <w:rPr>
          <w:lang w:val="fr-FR"/>
        </w:rPr>
        <w:t xml:space="preserve"> </w:t>
      </w:r>
      <w:r w:rsidR="00C115E4" w:rsidRPr="00440D05">
        <w:rPr>
          <w:lang w:val="fr-FR"/>
        </w:rPr>
        <w:t xml:space="preserve"> </w:t>
      </w:r>
      <w:r w:rsidRPr="00440D05">
        <w:rPr>
          <w:lang w:val="fr-FR"/>
        </w:rPr>
        <w:t>Il s</w:t>
      </w:r>
      <w:r w:rsidR="00741B59" w:rsidRPr="00440D05">
        <w:rPr>
          <w:lang w:val="fr-FR"/>
        </w:rPr>
        <w:t>’</w:t>
      </w:r>
      <w:r w:rsidRPr="00440D05">
        <w:rPr>
          <w:lang w:val="fr-FR"/>
        </w:rPr>
        <w:t xml:space="preserve">agit de faire en sorte que les projets approuvés </w:t>
      </w:r>
      <w:r w:rsidR="00540611" w:rsidRPr="00440D05">
        <w:rPr>
          <w:lang w:val="fr-FR"/>
        </w:rPr>
        <w:t>arrivent</w:t>
      </w:r>
      <w:r w:rsidRPr="00440D05">
        <w:rPr>
          <w:lang w:val="fr-FR"/>
        </w:rPr>
        <w:t xml:space="preserve"> effectivement </w:t>
      </w:r>
      <w:r w:rsidR="00540611" w:rsidRPr="00440D05">
        <w:rPr>
          <w:lang w:val="fr-FR"/>
        </w:rPr>
        <w:t>à terme</w:t>
      </w:r>
      <w:r w:rsidRPr="00440D05">
        <w:rPr>
          <w:lang w:val="fr-FR"/>
        </w:rPr>
        <w:t>.</w:t>
      </w:r>
      <w:r w:rsidR="009009FA" w:rsidRPr="00440D05">
        <w:rPr>
          <w:lang w:val="fr-FR"/>
        </w:rPr>
        <w:t xml:space="preserve"> </w:t>
      </w:r>
      <w:r w:rsidR="00C3714C" w:rsidRPr="00440D05">
        <w:rPr>
          <w:lang w:val="fr-FR"/>
        </w:rPr>
        <w:t xml:space="preserve"> </w:t>
      </w:r>
      <w:r w:rsidR="00E279B8" w:rsidRPr="00440D05">
        <w:rPr>
          <w:lang w:val="fr-FR"/>
        </w:rPr>
        <w:t>D</w:t>
      </w:r>
      <w:r w:rsidR="00741B59" w:rsidRPr="00440D05">
        <w:rPr>
          <w:lang w:val="fr-FR"/>
        </w:rPr>
        <w:t>’</w:t>
      </w:r>
      <w:r w:rsidR="00E279B8" w:rsidRPr="00440D05">
        <w:rPr>
          <w:lang w:val="fr-FR"/>
        </w:rPr>
        <w:t>où</w:t>
      </w:r>
      <w:r w:rsidRPr="00440D05">
        <w:rPr>
          <w:lang w:val="fr-FR"/>
        </w:rPr>
        <w:t xml:space="preserve"> le cinquième principe </w:t>
      </w:r>
      <w:r w:rsidR="00E279B8" w:rsidRPr="00440D05">
        <w:rPr>
          <w:lang w:val="fr-FR"/>
        </w:rPr>
        <w:t>applicable aux</w:t>
      </w:r>
      <w:r w:rsidRPr="00440D05">
        <w:rPr>
          <w:lang w:val="fr-FR"/>
        </w:rPr>
        <w:t xml:space="preserve"> propositions concernant l</w:t>
      </w:r>
      <w:r w:rsidR="00741B59" w:rsidRPr="00440D05">
        <w:rPr>
          <w:lang w:val="fr-FR"/>
        </w:rPr>
        <w:t>’</w:t>
      </w:r>
      <w:r w:rsidRPr="00440D05">
        <w:rPr>
          <w:lang w:val="fr-FR"/>
        </w:rPr>
        <w:t>utilisation des réserves</w:t>
      </w:r>
      <w:r w:rsidR="00E279B8" w:rsidRPr="00440D05">
        <w:rPr>
          <w:lang w:val="fr-FR"/>
        </w:rPr>
        <w:t>, comme indiqué ci</w:t>
      </w:r>
      <w:r w:rsidR="00001620" w:rsidRPr="00440D05">
        <w:rPr>
          <w:lang w:val="fr-FR"/>
        </w:rPr>
        <w:noBreakHyphen/>
      </w:r>
      <w:r w:rsidR="00E279B8" w:rsidRPr="00440D05">
        <w:rPr>
          <w:lang w:val="fr-FR"/>
        </w:rPr>
        <w:t>dessous</w:t>
      </w:r>
      <w:r w:rsidRPr="00440D05">
        <w:rPr>
          <w:lang w:val="fr-FR"/>
        </w:rPr>
        <w:t>.</w:t>
      </w:r>
    </w:p>
    <w:p w:rsidR="001A2204" w:rsidRPr="00440D05" w:rsidRDefault="00BB0058" w:rsidP="007E598D">
      <w:pPr>
        <w:pStyle w:val="ONUMFS"/>
        <w:numPr>
          <w:ilvl w:val="0"/>
          <w:numId w:val="0"/>
        </w:numPr>
        <w:ind w:left="567"/>
        <w:rPr>
          <w:b/>
          <w:i/>
          <w:lang w:val="fr-FR"/>
        </w:rPr>
      </w:pPr>
      <w:r w:rsidRPr="00440D05">
        <w:rPr>
          <w:b/>
          <w:i/>
          <w:lang w:val="fr-FR"/>
        </w:rPr>
        <w:t>PRINCIPE N° 5</w:t>
      </w:r>
      <w:r w:rsidR="00654232" w:rsidRPr="00440D05">
        <w:rPr>
          <w:b/>
          <w:i/>
          <w:lang w:val="fr-FR"/>
        </w:rPr>
        <w:t> </w:t>
      </w:r>
      <w:r w:rsidRPr="00440D05">
        <w:rPr>
          <w:b/>
          <w:i/>
          <w:lang w:val="fr-FR"/>
        </w:rPr>
        <w:t>: Les propositions concernant l</w:t>
      </w:r>
      <w:r w:rsidR="00741B59" w:rsidRPr="00440D05">
        <w:rPr>
          <w:b/>
          <w:i/>
          <w:lang w:val="fr-FR"/>
        </w:rPr>
        <w:t>’</w:t>
      </w:r>
      <w:r w:rsidRPr="00440D05">
        <w:rPr>
          <w:b/>
          <w:i/>
          <w:lang w:val="fr-FR"/>
        </w:rPr>
        <w:t>utilisation des réserves peuvent porter sur des projets et des activités qui dépassent le cadre de l</w:t>
      </w:r>
      <w:r w:rsidR="00741B59" w:rsidRPr="00440D05">
        <w:rPr>
          <w:b/>
          <w:i/>
          <w:lang w:val="fr-FR"/>
        </w:rPr>
        <w:t>’</w:t>
      </w:r>
      <w:r w:rsidRPr="00440D05">
        <w:rPr>
          <w:b/>
          <w:i/>
          <w:lang w:val="fr-FR"/>
        </w:rPr>
        <w:t>exercice financier biennal de l</w:t>
      </w:r>
      <w:r w:rsidR="00741B59" w:rsidRPr="00440D05">
        <w:rPr>
          <w:b/>
          <w:i/>
          <w:lang w:val="fr-FR"/>
        </w:rPr>
        <w:t>’</w:t>
      </w:r>
      <w:r w:rsidRPr="00440D05">
        <w:rPr>
          <w:b/>
          <w:i/>
          <w:lang w:val="fr-FR"/>
        </w:rPr>
        <w:t>Organisation, et peuvent s</w:t>
      </w:r>
      <w:r w:rsidR="00741B59" w:rsidRPr="00440D05">
        <w:rPr>
          <w:b/>
          <w:i/>
          <w:lang w:val="fr-FR"/>
        </w:rPr>
        <w:t>’</w:t>
      </w:r>
      <w:r w:rsidRPr="00440D05">
        <w:rPr>
          <w:b/>
          <w:i/>
          <w:lang w:val="fr-FR"/>
        </w:rPr>
        <w:t>étendre sur plusieurs exercices biennaux ou durer plus d</w:t>
      </w:r>
      <w:r w:rsidR="00741B59" w:rsidRPr="00440D05">
        <w:rPr>
          <w:b/>
          <w:i/>
          <w:lang w:val="fr-FR"/>
        </w:rPr>
        <w:t>’</w:t>
      </w:r>
      <w:r w:rsidRPr="00440D05">
        <w:rPr>
          <w:b/>
          <w:i/>
          <w:lang w:val="fr-FR"/>
        </w:rPr>
        <w:t>un exercice biennal.</w:t>
      </w:r>
    </w:p>
    <w:p w:rsidR="007E598D" w:rsidRPr="00440D05" w:rsidRDefault="007E598D" w:rsidP="007E598D">
      <w:pPr>
        <w:rPr>
          <w:lang w:val="fr-FR"/>
        </w:rPr>
      </w:pPr>
    </w:p>
    <w:p w:rsidR="001A2204" w:rsidRPr="00440D05" w:rsidRDefault="00EF5C8A" w:rsidP="007E598D">
      <w:pPr>
        <w:pStyle w:val="ONUMFS"/>
        <w:keepNext/>
        <w:keepLines/>
        <w:numPr>
          <w:ilvl w:val="0"/>
          <w:numId w:val="0"/>
        </w:numPr>
        <w:rPr>
          <w:b/>
          <w:lang w:val="fr-FR"/>
        </w:rPr>
      </w:pPr>
      <w:r w:rsidRPr="00440D05">
        <w:rPr>
          <w:b/>
          <w:lang w:val="fr-FR"/>
        </w:rPr>
        <w:lastRenderedPageBreak/>
        <w:t>III</w:t>
      </w:r>
      <w:r w:rsidR="00A81954">
        <w:rPr>
          <w:b/>
          <w:lang w:val="fr-FR"/>
        </w:rPr>
        <w:t>. </w:t>
      </w:r>
      <w:r w:rsidR="00BB0058" w:rsidRPr="00440D05">
        <w:rPr>
          <w:b/>
          <w:lang w:val="fr-FR"/>
        </w:rPr>
        <w:t>B</w:t>
      </w:r>
      <w:r w:rsidR="00BB0058" w:rsidRPr="00440D05">
        <w:rPr>
          <w:b/>
          <w:lang w:val="fr-FR"/>
        </w:rPr>
        <w:tab/>
        <w:t>Mécanisme d</w:t>
      </w:r>
      <w:r w:rsidR="00741B59" w:rsidRPr="00440D05">
        <w:rPr>
          <w:b/>
          <w:lang w:val="fr-FR"/>
        </w:rPr>
        <w:t>’</w:t>
      </w:r>
      <w:r w:rsidR="00BB0058" w:rsidRPr="00440D05">
        <w:rPr>
          <w:b/>
          <w:lang w:val="fr-FR"/>
        </w:rPr>
        <w:t>approbation des propositions concernant l</w:t>
      </w:r>
      <w:r w:rsidR="00741B59" w:rsidRPr="00440D05">
        <w:rPr>
          <w:b/>
          <w:lang w:val="fr-FR"/>
        </w:rPr>
        <w:t>’</w:t>
      </w:r>
      <w:r w:rsidR="00BB0058" w:rsidRPr="00440D05">
        <w:rPr>
          <w:b/>
          <w:lang w:val="fr-FR"/>
        </w:rPr>
        <w:t>utilisation des réserves</w:t>
      </w:r>
    </w:p>
    <w:p w:rsidR="00741B59" w:rsidRPr="00440D05" w:rsidRDefault="00BB0058" w:rsidP="007E598D">
      <w:pPr>
        <w:pStyle w:val="ONUMFS"/>
        <w:keepNext/>
        <w:keepLines/>
        <w:rPr>
          <w:bCs/>
          <w:lang w:val="fr-FR"/>
        </w:rPr>
      </w:pPr>
      <w:r w:rsidRPr="00440D05">
        <w:rPr>
          <w:bCs/>
          <w:lang w:val="fr-FR"/>
        </w:rPr>
        <w:t>Les propositions concernant l</w:t>
      </w:r>
      <w:r w:rsidR="00741B59" w:rsidRPr="00440D05">
        <w:rPr>
          <w:bCs/>
          <w:lang w:val="fr-FR"/>
        </w:rPr>
        <w:t>’</w:t>
      </w:r>
      <w:r w:rsidRPr="00440D05">
        <w:rPr>
          <w:bCs/>
          <w:lang w:val="fr-FR"/>
        </w:rPr>
        <w:t>utilisation des réserves disponibles de l</w:t>
      </w:r>
      <w:r w:rsidR="00741B59" w:rsidRPr="00440D05">
        <w:rPr>
          <w:bCs/>
          <w:lang w:val="fr-FR"/>
        </w:rPr>
        <w:t>’</w:t>
      </w:r>
      <w:r w:rsidRPr="00440D05">
        <w:rPr>
          <w:bCs/>
          <w:lang w:val="fr-FR"/>
        </w:rPr>
        <w:t>Organisatio</w:t>
      </w:r>
      <w:r w:rsidR="00EF5C8A" w:rsidRPr="00440D05">
        <w:rPr>
          <w:bCs/>
          <w:lang w:val="fr-FR"/>
        </w:rPr>
        <w:t>n peuvent être soumises par le D</w:t>
      </w:r>
      <w:r w:rsidRPr="00440D05">
        <w:rPr>
          <w:bCs/>
          <w:lang w:val="fr-FR"/>
        </w:rPr>
        <w:t>irecteur général ou les États membres aux assemblées des États membres et des unions, chacune pour ce qui la concerne.</w:t>
      </w:r>
    </w:p>
    <w:p w:rsidR="00BB0058" w:rsidRPr="00440D05" w:rsidRDefault="00BB0058" w:rsidP="007E598D">
      <w:pPr>
        <w:keepNext/>
        <w:keepLines/>
        <w:ind w:left="567" w:right="616"/>
        <w:rPr>
          <w:lang w:val="fr-FR"/>
        </w:rPr>
      </w:pPr>
    </w:p>
    <w:p w:rsidR="00741B59" w:rsidRPr="00440D05" w:rsidRDefault="00EF5C8A" w:rsidP="00BB0058">
      <w:pPr>
        <w:keepNext/>
        <w:keepLines/>
        <w:ind w:left="567" w:right="616"/>
        <w:rPr>
          <w:b/>
          <w:bCs/>
          <w:i/>
          <w:lang w:val="fr-FR"/>
        </w:rPr>
      </w:pPr>
      <w:r w:rsidRPr="00440D05">
        <w:rPr>
          <w:b/>
          <w:bCs/>
          <w:i/>
          <w:lang w:val="fr-FR"/>
        </w:rPr>
        <w:t>MÉCANISME D</w:t>
      </w:r>
      <w:r w:rsidR="00741B59" w:rsidRPr="00440D05">
        <w:rPr>
          <w:b/>
          <w:bCs/>
          <w:i/>
          <w:lang w:val="fr-FR"/>
        </w:rPr>
        <w:t>’</w:t>
      </w:r>
      <w:r w:rsidRPr="00440D05">
        <w:rPr>
          <w:b/>
          <w:bCs/>
          <w:i/>
          <w:lang w:val="fr-FR"/>
        </w:rPr>
        <w:t>APPROBATION</w:t>
      </w:r>
      <w:r w:rsidR="00654232" w:rsidRPr="00440D05">
        <w:rPr>
          <w:b/>
          <w:bCs/>
          <w:i/>
          <w:lang w:val="fr-FR"/>
        </w:rPr>
        <w:t> </w:t>
      </w:r>
      <w:r w:rsidRPr="00440D05">
        <w:rPr>
          <w:b/>
          <w:bCs/>
          <w:i/>
          <w:lang w:val="fr-FR"/>
        </w:rPr>
        <w:t>:</w:t>
      </w:r>
    </w:p>
    <w:p w:rsidR="00BB0058" w:rsidRPr="00440D05" w:rsidRDefault="00BB0058" w:rsidP="007E3FFD">
      <w:pPr>
        <w:keepNext/>
        <w:keepLines/>
        <w:ind w:left="567" w:right="616"/>
        <w:rPr>
          <w:b/>
          <w:bCs/>
          <w:i/>
          <w:lang w:val="fr-FR"/>
        </w:rPr>
      </w:pPr>
    </w:p>
    <w:p w:rsidR="00741B59" w:rsidRPr="00440D05" w:rsidRDefault="00BB0058" w:rsidP="00BB0058">
      <w:pPr>
        <w:keepNext/>
        <w:keepLines/>
        <w:ind w:left="567" w:right="616"/>
        <w:rPr>
          <w:b/>
          <w:bCs/>
          <w:i/>
          <w:lang w:val="fr-FR"/>
        </w:rPr>
      </w:pPr>
      <w:r w:rsidRPr="00440D05">
        <w:rPr>
          <w:b/>
          <w:bCs/>
          <w:i/>
          <w:lang w:val="fr-FR"/>
        </w:rPr>
        <w:t>Les propositions concernant l</w:t>
      </w:r>
      <w:r w:rsidR="00741B59" w:rsidRPr="00440D05">
        <w:rPr>
          <w:b/>
          <w:bCs/>
          <w:i/>
          <w:lang w:val="fr-FR"/>
        </w:rPr>
        <w:t>’</w:t>
      </w:r>
      <w:r w:rsidRPr="00440D05">
        <w:rPr>
          <w:b/>
          <w:bCs/>
          <w:i/>
          <w:lang w:val="fr-FR"/>
        </w:rPr>
        <w:t>utilisation des réserve</w:t>
      </w:r>
      <w:r w:rsidR="00402953" w:rsidRPr="00440D05">
        <w:rPr>
          <w:b/>
          <w:bCs/>
          <w:i/>
          <w:lang w:val="fr-FR"/>
        </w:rPr>
        <w:t>s peuvent être soumises par le D</w:t>
      </w:r>
      <w:r w:rsidRPr="00440D05">
        <w:rPr>
          <w:b/>
          <w:bCs/>
          <w:i/>
          <w:lang w:val="fr-FR"/>
        </w:rPr>
        <w:t xml:space="preserve">irecteur général ou les États membres </w:t>
      </w:r>
      <w:r w:rsidR="00402953" w:rsidRPr="00440D05">
        <w:rPr>
          <w:b/>
          <w:bCs/>
          <w:i/>
          <w:lang w:val="fr-FR"/>
        </w:rPr>
        <w:t>de l</w:t>
      </w:r>
      <w:r w:rsidR="00741B59" w:rsidRPr="00440D05">
        <w:rPr>
          <w:b/>
          <w:bCs/>
          <w:i/>
          <w:lang w:val="fr-FR"/>
        </w:rPr>
        <w:t>’</w:t>
      </w:r>
      <w:r w:rsidR="00402953" w:rsidRPr="00440D05">
        <w:rPr>
          <w:b/>
          <w:bCs/>
          <w:i/>
          <w:lang w:val="fr-FR"/>
        </w:rPr>
        <w:t xml:space="preserve">OMPI </w:t>
      </w:r>
      <w:r w:rsidRPr="00440D05">
        <w:rPr>
          <w:b/>
          <w:bCs/>
          <w:i/>
          <w:lang w:val="fr-FR"/>
        </w:rPr>
        <w:t>par l</w:t>
      </w:r>
      <w:r w:rsidR="00741B59" w:rsidRPr="00440D05">
        <w:rPr>
          <w:b/>
          <w:bCs/>
          <w:i/>
          <w:lang w:val="fr-FR"/>
        </w:rPr>
        <w:t>’</w:t>
      </w:r>
      <w:r w:rsidRPr="00440D05">
        <w:rPr>
          <w:b/>
          <w:bCs/>
          <w:i/>
          <w:lang w:val="fr-FR"/>
        </w:rPr>
        <w:t>intermédiaire</w:t>
      </w:r>
      <w:r w:rsidR="00741B59" w:rsidRPr="00440D05">
        <w:rPr>
          <w:b/>
          <w:bCs/>
          <w:i/>
          <w:lang w:val="fr-FR"/>
        </w:rPr>
        <w:t xml:space="preserve"> du PBC</w:t>
      </w:r>
      <w:r w:rsidRPr="00440D05">
        <w:rPr>
          <w:b/>
          <w:bCs/>
          <w:i/>
          <w:lang w:val="fr-FR"/>
        </w:rPr>
        <w:t xml:space="preserve"> aux assemblées des États membres et des unions, chacune pour ce qui la concerne.</w:t>
      </w:r>
      <w:r w:rsidR="00C3714C" w:rsidRPr="00440D05">
        <w:rPr>
          <w:b/>
          <w:bCs/>
          <w:i/>
          <w:lang w:val="fr-FR"/>
        </w:rPr>
        <w:t xml:space="preserve">  </w:t>
      </w:r>
      <w:r w:rsidRPr="00440D05">
        <w:rPr>
          <w:b/>
          <w:bCs/>
          <w:i/>
          <w:lang w:val="fr-FR"/>
        </w:rPr>
        <w:t>Ces propositions doivent être établies conformément aux principes applicables à l</w:t>
      </w:r>
      <w:r w:rsidR="00741B59" w:rsidRPr="00440D05">
        <w:rPr>
          <w:b/>
          <w:bCs/>
          <w:i/>
          <w:lang w:val="fr-FR"/>
        </w:rPr>
        <w:t>’</w:t>
      </w:r>
      <w:r w:rsidRPr="00440D05">
        <w:rPr>
          <w:b/>
          <w:bCs/>
          <w:i/>
          <w:lang w:val="fr-FR"/>
        </w:rPr>
        <w:t>utilisation des réserves.</w:t>
      </w:r>
    </w:p>
    <w:p w:rsidR="00BB0058" w:rsidRPr="00440D05" w:rsidRDefault="00BB0058" w:rsidP="007E3FFD">
      <w:pPr>
        <w:keepNext/>
        <w:keepLines/>
        <w:ind w:left="567" w:right="616"/>
        <w:rPr>
          <w:b/>
          <w:bCs/>
          <w:i/>
          <w:lang w:val="fr-FR"/>
        </w:rPr>
      </w:pPr>
    </w:p>
    <w:p w:rsidR="00741B59" w:rsidRPr="00440D05" w:rsidRDefault="00BB0058" w:rsidP="00BB0058">
      <w:pPr>
        <w:keepNext/>
        <w:keepLines/>
        <w:ind w:left="567" w:right="616"/>
        <w:rPr>
          <w:b/>
          <w:bCs/>
          <w:i/>
          <w:lang w:val="fr-FR"/>
        </w:rPr>
      </w:pPr>
      <w:r w:rsidRPr="00440D05">
        <w:rPr>
          <w:b/>
          <w:bCs/>
          <w:i/>
          <w:lang w:val="fr-FR"/>
        </w:rPr>
        <w:t>Dans le cadre de l</w:t>
      </w:r>
      <w:r w:rsidR="00741B59" w:rsidRPr="00440D05">
        <w:rPr>
          <w:b/>
          <w:bCs/>
          <w:i/>
          <w:lang w:val="fr-FR"/>
        </w:rPr>
        <w:t>’</w:t>
      </w:r>
      <w:r w:rsidRPr="00440D05">
        <w:rPr>
          <w:b/>
          <w:bCs/>
          <w:i/>
          <w:lang w:val="fr-FR"/>
        </w:rPr>
        <w:t>Union de Madrid, où toute utilisation des excédents d</w:t>
      </w:r>
      <w:r w:rsidR="00741B59" w:rsidRPr="00440D05">
        <w:rPr>
          <w:b/>
          <w:bCs/>
          <w:i/>
          <w:lang w:val="fr-FR"/>
        </w:rPr>
        <w:t>’</w:t>
      </w:r>
      <w:r w:rsidRPr="00440D05">
        <w:rPr>
          <w:b/>
          <w:bCs/>
          <w:i/>
          <w:lang w:val="fr-FR"/>
        </w:rPr>
        <w:t>un exercice biennal est régie par l</w:t>
      </w:r>
      <w:r w:rsidR="00741B59" w:rsidRPr="00440D05">
        <w:rPr>
          <w:b/>
          <w:bCs/>
          <w:i/>
          <w:lang w:val="fr-FR"/>
        </w:rPr>
        <w:t>’</w:t>
      </w:r>
      <w:r w:rsidRPr="00440D05">
        <w:rPr>
          <w:b/>
          <w:bCs/>
          <w:i/>
          <w:lang w:val="fr-FR"/>
        </w:rPr>
        <w:t>article 8.4) de l</w:t>
      </w:r>
      <w:r w:rsidR="00741B59" w:rsidRPr="00440D05">
        <w:rPr>
          <w:b/>
          <w:bCs/>
          <w:i/>
          <w:lang w:val="fr-FR"/>
        </w:rPr>
        <w:t>’</w:t>
      </w:r>
      <w:r w:rsidRPr="00440D05">
        <w:rPr>
          <w:b/>
          <w:bCs/>
          <w:i/>
          <w:lang w:val="fr-FR"/>
        </w:rPr>
        <w:t>Arrangement et du Protocole de Madrid, la proposition concernant l</w:t>
      </w:r>
      <w:r w:rsidR="00741B59" w:rsidRPr="00440D05">
        <w:rPr>
          <w:b/>
          <w:bCs/>
          <w:i/>
          <w:lang w:val="fr-FR"/>
        </w:rPr>
        <w:t>’</w:t>
      </w:r>
      <w:r w:rsidRPr="00440D05">
        <w:rPr>
          <w:b/>
          <w:bCs/>
          <w:i/>
          <w:lang w:val="fr-FR"/>
        </w:rPr>
        <w:t>utilisation de</w:t>
      </w:r>
      <w:r w:rsidR="00402953" w:rsidRPr="00440D05">
        <w:rPr>
          <w:b/>
          <w:bCs/>
          <w:i/>
          <w:lang w:val="fr-FR"/>
        </w:rPr>
        <w:t xml:space="preserve">s </w:t>
      </w:r>
      <w:r w:rsidRPr="00440D05">
        <w:rPr>
          <w:b/>
          <w:bCs/>
          <w:i/>
          <w:lang w:val="fr-FR"/>
        </w:rPr>
        <w:t>excédent</w:t>
      </w:r>
      <w:r w:rsidR="00402953" w:rsidRPr="00440D05">
        <w:rPr>
          <w:b/>
          <w:bCs/>
          <w:i/>
          <w:lang w:val="fr-FR"/>
        </w:rPr>
        <w:t>s</w:t>
      </w:r>
      <w:r w:rsidRPr="00440D05">
        <w:rPr>
          <w:b/>
          <w:bCs/>
          <w:i/>
          <w:lang w:val="fr-FR"/>
        </w:rPr>
        <w:t xml:space="preserve"> ou des </w:t>
      </w:r>
      <w:r w:rsidR="00402953" w:rsidRPr="00440D05">
        <w:rPr>
          <w:b/>
          <w:bCs/>
          <w:i/>
          <w:lang w:val="fr-FR"/>
        </w:rPr>
        <w:t>montants</w:t>
      </w:r>
      <w:r w:rsidR="00741B59" w:rsidRPr="00440D05">
        <w:rPr>
          <w:b/>
          <w:bCs/>
          <w:i/>
          <w:lang w:val="fr-FR"/>
        </w:rPr>
        <w:t xml:space="preserve"> des FRR</w:t>
      </w:r>
      <w:r w:rsidRPr="00440D05">
        <w:rPr>
          <w:b/>
          <w:bCs/>
          <w:i/>
          <w:lang w:val="fr-FR"/>
        </w:rPr>
        <w:t xml:space="preserve"> </w:t>
      </w:r>
      <w:r w:rsidR="00402953" w:rsidRPr="00440D05">
        <w:rPr>
          <w:b/>
          <w:bCs/>
          <w:i/>
          <w:lang w:val="fr-FR"/>
        </w:rPr>
        <w:t xml:space="preserve">en sus du </w:t>
      </w:r>
      <w:r w:rsidRPr="00440D05">
        <w:rPr>
          <w:b/>
          <w:bCs/>
          <w:i/>
          <w:lang w:val="fr-FR"/>
        </w:rPr>
        <w:t xml:space="preserve">montant recommandé </w:t>
      </w:r>
      <w:r w:rsidR="00402953" w:rsidRPr="00440D05">
        <w:rPr>
          <w:b/>
          <w:bCs/>
          <w:i/>
          <w:lang w:val="fr-FR"/>
        </w:rPr>
        <w:t xml:space="preserve">imposé </w:t>
      </w:r>
      <w:r w:rsidRPr="00440D05">
        <w:rPr>
          <w:b/>
          <w:bCs/>
          <w:i/>
          <w:lang w:val="fr-FR"/>
        </w:rPr>
        <w:t>par la politique relative aux réserves est soumise par le Directeur général à l</w:t>
      </w:r>
      <w:r w:rsidR="00741B59" w:rsidRPr="00440D05">
        <w:rPr>
          <w:b/>
          <w:bCs/>
          <w:i/>
          <w:lang w:val="fr-FR"/>
        </w:rPr>
        <w:t>’</w:t>
      </w:r>
      <w:r w:rsidRPr="00440D05">
        <w:rPr>
          <w:b/>
          <w:bCs/>
          <w:i/>
          <w:lang w:val="fr-FR"/>
        </w:rPr>
        <w:t>Assemblée de l</w:t>
      </w:r>
      <w:r w:rsidR="00741B59" w:rsidRPr="00440D05">
        <w:rPr>
          <w:b/>
          <w:bCs/>
          <w:i/>
          <w:lang w:val="fr-FR"/>
        </w:rPr>
        <w:t>’</w:t>
      </w:r>
      <w:r w:rsidRPr="00440D05">
        <w:rPr>
          <w:b/>
          <w:bCs/>
          <w:i/>
          <w:lang w:val="fr-FR"/>
        </w:rPr>
        <w:t>Union de Madrid.</w:t>
      </w:r>
    </w:p>
    <w:p w:rsidR="00BB0058" w:rsidRPr="00440D05" w:rsidRDefault="00BB0058" w:rsidP="007E3FFD">
      <w:pPr>
        <w:ind w:left="567" w:right="616"/>
        <w:rPr>
          <w:u w:val="single"/>
          <w:lang w:val="fr-FR"/>
        </w:rPr>
      </w:pPr>
    </w:p>
    <w:p w:rsidR="00FD5ED8" w:rsidRPr="00440D05" w:rsidRDefault="00FD5ED8" w:rsidP="00FD5ED8">
      <w:pPr>
        <w:pStyle w:val="Endofdocument"/>
        <w:ind w:left="0"/>
        <w:rPr>
          <w:lang w:val="fr-FR"/>
        </w:rPr>
        <w:sectPr w:rsidR="00FD5ED8" w:rsidRPr="00440D05" w:rsidSect="00237644">
          <w:headerReference w:type="default" r:id="rId16"/>
          <w:headerReference w:type="first" r:id="rId17"/>
          <w:footerReference w:type="first" r:id="rId18"/>
          <w:pgSz w:w="11907" w:h="16839" w:code="9"/>
          <w:pgMar w:top="567" w:right="1134" w:bottom="1247" w:left="1418" w:header="624" w:footer="720" w:gutter="0"/>
          <w:pgNumType w:start="1"/>
          <w:cols w:space="720"/>
          <w:titlePg/>
          <w:docGrid w:linePitch="360"/>
        </w:sectPr>
      </w:pPr>
    </w:p>
    <w:p w:rsidR="00BB0058" w:rsidRPr="00440D05" w:rsidRDefault="00BB0058" w:rsidP="00BB0058">
      <w:pPr>
        <w:pStyle w:val="Endofdocument"/>
        <w:ind w:left="0"/>
        <w:jc w:val="center"/>
        <w:rPr>
          <w:b/>
          <w:lang w:val="fr-FR"/>
        </w:rPr>
      </w:pPr>
      <w:r w:rsidRPr="00440D05">
        <w:rPr>
          <w:b/>
          <w:lang w:val="fr-FR"/>
        </w:rPr>
        <w:lastRenderedPageBreak/>
        <w:t>ÉVOLUTION DE LA SITUATION FINANCIÈRE DE L</w:t>
      </w:r>
      <w:r w:rsidR="00741B59" w:rsidRPr="00440D05">
        <w:rPr>
          <w:b/>
          <w:lang w:val="fr-FR"/>
        </w:rPr>
        <w:t>’</w:t>
      </w:r>
      <w:r w:rsidRPr="00440D05">
        <w:rPr>
          <w:b/>
          <w:lang w:val="fr-FR"/>
        </w:rPr>
        <w:t xml:space="preserve">OMPI AU COURS DE LA </w:t>
      </w:r>
      <w:r w:rsidR="00A81954">
        <w:rPr>
          <w:b/>
          <w:lang w:val="fr-FR"/>
        </w:rPr>
        <w:t xml:space="preserve">PÉRIODE </w:t>
      </w:r>
      <w:r w:rsidRPr="00440D05">
        <w:rPr>
          <w:b/>
          <w:lang w:val="fr-FR"/>
        </w:rPr>
        <w:t>1998</w:t>
      </w:r>
      <w:r w:rsidR="00001620" w:rsidRPr="00440D05">
        <w:rPr>
          <w:b/>
          <w:lang w:val="fr-FR"/>
        </w:rPr>
        <w:noBreakHyphen/>
      </w:r>
      <w:r w:rsidRPr="00440D05">
        <w:rPr>
          <w:b/>
          <w:lang w:val="fr-FR"/>
        </w:rPr>
        <w:t>2014</w:t>
      </w:r>
    </w:p>
    <w:p w:rsidR="00BB0058" w:rsidRPr="00440D05" w:rsidRDefault="00BB0058" w:rsidP="00FD5ED8">
      <w:pPr>
        <w:pStyle w:val="Endofdocument"/>
        <w:ind w:left="0"/>
        <w:rPr>
          <w:lang w:val="fr-FR"/>
        </w:rPr>
      </w:pPr>
    </w:p>
    <w:p w:rsidR="00BB0058" w:rsidRPr="00440D05" w:rsidRDefault="002C7765" w:rsidP="00FD5ED8">
      <w:pPr>
        <w:pStyle w:val="Endofdocument"/>
        <w:ind w:left="0"/>
        <w:rPr>
          <w:lang w:val="fr-FR"/>
        </w:rPr>
      </w:pPr>
      <w:r w:rsidRPr="00440D05">
        <w:rPr>
          <w:noProof/>
        </w:rPr>
        <w:drawing>
          <wp:inline distT="0" distB="0" distL="0" distR="0" wp14:anchorId="492504FD" wp14:editId="2C3D3ECB">
            <wp:extent cx="8510400" cy="4634299"/>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10400" cy="4634299"/>
                    </a:xfrm>
                    <a:prstGeom prst="rect">
                      <a:avLst/>
                    </a:prstGeom>
                    <a:noFill/>
                    <a:ln>
                      <a:noFill/>
                    </a:ln>
                  </pic:spPr>
                </pic:pic>
              </a:graphicData>
            </a:graphic>
          </wp:inline>
        </w:drawing>
      </w:r>
    </w:p>
    <w:p w:rsidR="00BB0058" w:rsidRPr="00440D05" w:rsidRDefault="00BB0058" w:rsidP="00FD5ED8">
      <w:pPr>
        <w:pStyle w:val="Endofdocument"/>
        <w:ind w:left="0"/>
        <w:rPr>
          <w:lang w:val="fr-FR"/>
        </w:rPr>
      </w:pPr>
    </w:p>
    <w:p w:rsidR="00BB0058" w:rsidRPr="00440D05" w:rsidRDefault="00BB0058" w:rsidP="00FD5ED8">
      <w:pPr>
        <w:pStyle w:val="Endofdocument"/>
        <w:ind w:left="0"/>
        <w:rPr>
          <w:lang w:val="fr-FR"/>
        </w:rPr>
      </w:pPr>
    </w:p>
    <w:p w:rsidR="00BB0058" w:rsidRPr="00440D05" w:rsidRDefault="00BB0058" w:rsidP="00FD5ED8">
      <w:pPr>
        <w:pStyle w:val="Endofdocument"/>
        <w:ind w:left="0"/>
        <w:rPr>
          <w:lang w:val="fr-FR"/>
        </w:rPr>
      </w:pPr>
    </w:p>
    <w:p w:rsidR="00BB0058" w:rsidRPr="00440D05" w:rsidRDefault="00BB0058" w:rsidP="00BB0058">
      <w:pPr>
        <w:pStyle w:val="Endofdocument"/>
        <w:ind w:left="10574" w:firstLine="226"/>
        <w:rPr>
          <w:lang w:val="fr-FR"/>
        </w:rPr>
      </w:pPr>
      <w:r w:rsidRPr="00440D05">
        <w:rPr>
          <w:lang w:val="fr-FR"/>
        </w:rPr>
        <w:t>[L</w:t>
      </w:r>
      <w:r w:rsidR="00741B59" w:rsidRPr="00440D05">
        <w:rPr>
          <w:lang w:val="fr-FR"/>
        </w:rPr>
        <w:t>’</w:t>
      </w:r>
      <w:r w:rsidRPr="00440D05">
        <w:rPr>
          <w:lang w:val="fr-FR"/>
        </w:rPr>
        <w:t>annexe</w:t>
      </w:r>
      <w:r w:rsidR="00654232" w:rsidRPr="00440D05">
        <w:rPr>
          <w:lang w:val="fr-FR"/>
        </w:rPr>
        <w:t> </w:t>
      </w:r>
      <w:r w:rsidRPr="00440D05">
        <w:rPr>
          <w:lang w:val="fr-FR"/>
        </w:rPr>
        <w:t>II suit]</w:t>
      </w:r>
    </w:p>
    <w:p w:rsidR="00BB0058" w:rsidRPr="00440D05" w:rsidRDefault="00BB0058" w:rsidP="007E3FFD">
      <w:pPr>
        <w:pStyle w:val="Endofdocument"/>
        <w:rPr>
          <w:lang w:val="fr-FR"/>
        </w:rPr>
      </w:pPr>
    </w:p>
    <w:p w:rsidR="00106225" w:rsidRPr="00440D05" w:rsidRDefault="00106225" w:rsidP="007E3FFD">
      <w:pPr>
        <w:pStyle w:val="Endofdocument"/>
        <w:rPr>
          <w:lang w:val="fr-FR"/>
        </w:rPr>
        <w:sectPr w:rsidR="00106225" w:rsidRPr="00440D05" w:rsidSect="00237644">
          <w:headerReference w:type="first" r:id="rId20"/>
          <w:footerReference w:type="first" r:id="rId21"/>
          <w:pgSz w:w="16839" w:h="11907" w:orient="landscape" w:code="9"/>
          <w:pgMar w:top="1134" w:right="1134" w:bottom="1134" w:left="1418" w:header="624" w:footer="720" w:gutter="0"/>
          <w:cols w:space="720"/>
          <w:titlePg/>
          <w:docGrid w:linePitch="360"/>
        </w:sectPr>
      </w:pPr>
    </w:p>
    <w:p w:rsidR="00BB0058" w:rsidRPr="00440D05" w:rsidRDefault="00BB0058" w:rsidP="00BB0058">
      <w:pPr>
        <w:rPr>
          <w:b/>
          <w:lang w:val="fr-FR"/>
        </w:rPr>
      </w:pPr>
      <w:r w:rsidRPr="00440D05">
        <w:rPr>
          <w:b/>
          <w:lang w:val="fr-FR"/>
        </w:rPr>
        <w:lastRenderedPageBreak/>
        <w:t>VENTILATION DES FONDS DE ROULEMENT DE L</w:t>
      </w:r>
      <w:r w:rsidR="00741B59" w:rsidRPr="00440D05">
        <w:rPr>
          <w:b/>
          <w:lang w:val="fr-FR"/>
        </w:rPr>
        <w:t>’</w:t>
      </w:r>
      <w:r w:rsidRPr="00440D05">
        <w:rPr>
          <w:b/>
          <w:lang w:val="fr-FR"/>
        </w:rPr>
        <w:t xml:space="preserve">UNION DU PCT </w:t>
      </w:r>
      <w:r w:rsidR="00680AD8">
        <w:rPr>
          <w:b/>
          <w:lang w:val="fr-FR"/>
        </w:rPr>
        <w:br/>
      </w:r>
      <w:r w:rsidRPr="00440D05">
        <w:rPr>
          <w:b/>
          <w:lang w:val="fr-FR"/>
        </w:rPr>
        <w:t>PAR ÉTAT MEMBRE</w:t>
      </w:r>
    </w:p>
    <w:p w:rsidR="00DD02E1" w:rsidRPr="00440D05" w:rsidRDefault="00DD02E1" w:rsidP="00332680">
      <w:pPr>
        <w:rPr>
          <w:lang w:val="fr-FR"/>
        </w:rPr>
      </w:pPr>
    </w:p>
    <w:tbl>
      <w:tblPr>
        <w:tblW w:w="555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29"/>
        <w:gridCol w:w="2425"/>
      </w:tblGrid>
      <w:tr w:rsidR="00771648" w:rsidRPr="00440D05" w:rsidTr="00771648">
        <w:trPr>
          <w:cantSplit/>
          <w:trHeight w:val="255"/>
          <w:tblHeader/>
          <w:jc w:val="center"/>
        </w:trPr>
        <w:tc>
          <w:tcPr>
            <w:tcW w:w="3129" w:type="dxa"/>
            <w:vMerge w:val="restart"/>
            <w:tcBorders>
              <w:top w:val="single" w:sz="4" w:space="0" w:color="auto"/>
              <w:bottom w:val="single" w:sz="4" w:space="0" w:color="auto"/>
            </w:tcBorders>
            <w:shd w:val="clear" w:color="000000" w:fill="C5D9F1"/>
            <w:vAlign w:val="center"/>
            <w:hideMark/>
          </w:tcPr>
          <w:p w:rsidR="00771648" w:rsidRPr="00440D05" w:rsidRDefault="00771648" w:rsidP="00637B5A">
            <w:pPr>
              <w:jc w:val="center"/>
              <w:rPr>
                <w:b/>
                <w:bCs/>
                <w:sz w:val="20"/>
                <w:u w:val="single"/>
                <w:lang w:val="fr-FR"/>
              </w:rPr>
            </w:pPr>
            <w:r w:rsidRPr="00440D05">
              <w:rPr>
                <w:b/>
                <w:bCs/>
                <w:sz w:val="20"/>
                <w:u w:val="single"/>
                <w:lang w:val="fr-FR"/>
              </w:rPr>
              <w:t>État membre</w:t>
            </w:r>
          </w:p>
        </w:tc>
        <w:tc>
          <w:tcPr>
            <w:tcW w:w="2425" w:type="dxa"/>
            <w:vMerge w:val="restart"/>
            <w:tcBorders>
              <w:top w:val="single" w:sz="4" w:space="0" w:color="auto"/>
              <w:bottom w:val="single" w:sz="4" w:space="0" w:color="auto"/>
            </w:tcBorders>
            <w:shd w:val="clear" w:color="000000" w:fill="C5D9F1"/>
            <w:vAlign w:val="center"/>
            <w:hideMark/>
          </w:tcPr>
          <w:p w:rsidR="00771648" w:rsidRPr="00440D05" w:rsidRDefault="00771648" w:rsidP="00637B5A">
            <w:pPr>
              <w:jc w:val="center"/>
              <w:rPr>
                <w:b/>
                <w:bCs/>
                <w:sz w:val="20"/>
                <w:u w:val="single"/>
                <w:lang w:val="fr-FR"/>
              </w:rPr>
            </w:pPr>
            <w:r w:rsidRPr="00440D05">
              <w:rPr>
                <w:b/>
                <w:bCs/>
                <w:sz w:val="20"/>
                <w:u w:val="single"/>
                <w:lang w:val="fr-FR"/>
              </w:rPr>
              <w:t>Fonds de roulement du PCT</w:t>
            </w:r>
          </w:p>
        </w:tc>
      </w:tr>
      <w:tr w:rsidR="00771648" w:rsidRPr="00440D05" w:rsidTr="00771648">
        <w:trPr>
          <w:cantSplit/>
          <w:trHeight w:val="255"/>
          <w:tblHeader/>
          <w:jc w:val="center"/>
        </w:trPr>
        <w:tc>
          <w:tcPr>
            <w:tcW w:w="3129" w:type="dxa"/>
            <w:vMerge/>
            <w:tcBorders>
              <w:top w:val="nil"/>
              <w:bottom w:val="single" w:sz="4" w:space="0" w:color="auto"/>
            </w:tcBorders>
            <w:vAlign w:val="center"/>
            <w:hideMark/>
          </w:tcPr>
          <w:p w:rsidR="00771648" w:rsidRPr="00440D05" w:rsidRDefault="00771648" w:rsidP="00637B5A">
            <w:pPr>
              <w:rPr>
                <w:b/>
                <w:bCs/>
                <w:sz w:val="20"/>
                <w:u w:val="single"/>
                <w:lang w:val="fr-FR"/>
              </w:rPr>
            </w:pPr>
          </w:p>
        </w:tc>
        <w:tc>
          <w:tcPr>
            <w:tcW w:w="2425" w:type="dxa"/>
            <w:vMerge/>
            <w:tcBorders>
              <w:top w:val="nil"/>
              <w:bottom w:val="single" w:sz="4" w:space="0" w:color="auto"/>
            </w:tcBorders>
            <w:vAlign w:val="center"/>
            <w:hideMark/>
          </w:tcPr>
          <w:p w:rsidR="00771648" w:rsidRPr="00440D05" w:rsidRDefault="00771648" w:rsidP="00637B5A">
            <w:pPr>
              <w:rPr>
                <w:b/>
                <w:bCs/>
                <w:sz w:val="20"/>
                <w:u w:val="single"/>
                <w:lang w:val="fr-FR"/>
              </w:rPr>
            </w:pPr>
          </w:p>
        </w:tc>
      </w:tr>
      <w:tr w:rsidR="00771648" w:rsidRPr="00440D05" w:rsidTr="00771648">
        <w:trPr>
          <w:cantSplit/>
          <w:trHeight w:val="255"/>
          <w:tblHeader/>
          <w:jc w:val="center"/>
        </w:trPr>
        <w:tc>
          <w:tcPr>
            <w:tcW w:w="3129" w:type="dxa"/>
            <w:tcBorders>
              <w:top w:val="single" w:sz="4" w:space="0" w:color="auto"/>
            </w:tcBorders>
            <w:shd w:val="clear" w:color="000000" w:fill="FFFFFF"/>
            <w:noWrap/>
            <w:vAlign w:val="bottom"/>
            <w:hideMark/>
          </w:tcPr>
          <w:p w:rsidR="00771648" w:rsidRPr="00440D05" w:rsidRDefault="00771648" w:rsidP="00637B5A">
            <w:pPr>
              <w:jc w:val="center"/>
              <w:rPr>
                <w:sz w:val="20"/>
                <w:lang w:val="fr-FR"/>
              </w:rPr>
            </w:pPr>
            <w:r w:rsidRPr="00440D05">
              <w:rPr>
                <w:sz w:val="20"/>
                <w:lang w:val="fr-FR"/>
              </w:rPr>
              <w:t xml:space="preserve"> </w:t>
            </w:r>
          </w:p>
        </w:tc>
        <w:tc>
          <w:tcPr>
            <w:tcW w:w="2425" w:type="dxa"/>
            <w:tcBorders>
              <w:top w:val="single" w:sz="4" w:space="0" w:color="auto"/>
            </w:tcBorders>
            <w:shd w:val="clear" w:color="000000" w:fill="FFFFFF"/>
            <w:noWrap/>
            <w:vAlign w:val="bottom"/>
            <w:hideMark/>
          </w:tcPr>
          <w:p w:rsidR="00771648" w:rsidRPr="00440D05" w:rsidRDefault="00771648" w:rsidP="00637B5A">
            <w:pPr>
              <w:rPr>
                <w:sz w:val="20"/>
                <w:lang w:val="fr-FR"/>
              </w:rPr>
            </w:pPr>
            <w:r w:rsidRPr="00440D05">
              <w:rPr>
                <w:sz w:val="20"/>
                <w:lang w:val="fr-FR"/>
              </w:rPr>
              <w:t xml:space="preserve">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Afrique du Sud</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Algérie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Allemagne</w:t>
            </w:r>
          </w:p>
        </w:tc>
        <w:tc>
          <w:tcPr>
            <w:tcW w:w="2425" w:type="dxa"/>
            <w:shd w:val="clear" w:color="auto" w:fill="auto"/>
            <w:noWrap/>
            <w:vAlign w:val="bottom"/>
            <w:hideMark/>
          </w:tcPr>
          <w:p w:rsidR="00771648" w:rsidRPr="00440D05" w:rsidRDefault="00771648" w:rsidP="00771648">
            <w:pPr>
              <w:jc w:val="right"/>
              <w:rPr>
                <w:sz w:val="20"/>
                <w:lang w:val="fr-FR"/>
              </w:rPr>
            </w:pPr>
            <w:r w:rsidRPr="00440D05">
              <w:rPr>
                <w:sz w:val="20"/>
                <w:lang w:val="fr-FR"/>
              </w:rPr>
              <w:t xml:space="preserve">                  222 900,00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Argentine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Australie</w:t>
            </w:r>
          </w:p>
        </w:tc>
        <w:tc>
          <w:tcPr>
            <w:tcW w:w="2425" w:type="dxa"/>
            <w:shd w:val="clear" w:color="auto" w:fill="auto"/>
            <w:noWrap/>
            <w:vAlign w:val="bottom"/>
            <w:hideMark/>
          </w:tcPr>
          <w:p w:rsidR="00771648" w:rsidRPr="00440D05" w:rsidRDefault="00771648" w:rsidP="00771648">
            <w:pPr>
              <w:jc w:val="right"/>
              <w:rPr>
                <w:sz w:val="20"/>
                <w:lang w:val="fr-FR"/>
              </w:rPr>
            </w:pPr>
            <w:r w:rsidRPr="00440D05">
              <w:rPr>
                <w:sz w:val="20"/>
                <w:lang w:val="fr-FR"/>
              </w:rPr>
              <w:t xml:space="preserve">                    91 000,00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Autriche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19 250,00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Bahamas</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Barbade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Belgique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9 800,00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Bénin</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Brésil</w:t>
            </w:r>
          </w:p>
        </w:tc>
        <w:tc>
          <w:tcPr>
            <w:tcW w:w="2425" w:type="dxa"/>
            <w:shd w:val="clear" w:color="auto" w:fill="auto"/>
            <w:noWrap/>
            <w:vAlign w:val="bottom"/>
            <w:hideMark/>
          </w:tcPr>
          <w:p w:rsidR="00771648" w:rsidRPr="00440D05" w:rsidRDefault="00771648" w:rsidP="00771648">
            <w:pPr>
              <w:jc w:val="right"/>
              <w:rPr>
                <w:sz w:val="20"/>
                <w:lang w:val="fr-FR"/>
              </w:rPr>
            </w:pPr>
            <w:r w:rsidRPr="00440D05">
              <w:rPr>
                <w:sz w:val="20"/>
                <w:lang w:val="fr-FR"/>
              </w:rPr>
              <w:t xml:space="preserve">                      4 200,00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Bulgarie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200,00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Burkina Faso</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Burundi</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Cameroun</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Canada</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Chili</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Chine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Chypre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Congo</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Costa Rica</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Côte d’Ivoire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Cuba</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Danemark</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41 000,00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Égypte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Espagne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États</w:t>
            </w:r>
            <w:r w:rsidRPr="00440D05">
              <w:rPr>
                <w:sz w:val="20"/>
                <w:lang w:val="fr-FR"/>
              </w:rPr>
              <w:noBreakHyphen/>
              <w:t>Unis d’Amérique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754 900,00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Fédération de Russie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24 750,00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Fidji</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Finlande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34 200,00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France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110 700,00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Gabon</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Ghana</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Grèce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Guinée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Haïti</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Hongrie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22 150,00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Inde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Indonésie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Iran (République islamique d’)</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Iraq</w:t>
            </w:r>
          </w:p>
        </w:tc>
        <w:tc>
          <w:tcPr>
            <w:tcW w:w="2425" w:type="dxa"/>
            <w:shd w:val="clear" w:color="auto" w:fill="auto"/>
            <w:noWrap/>
            <w:vAlign w:val="bottom"/>
          </w:tcPr>
          <w:p w:rsidR="00771648" w:rsidRPr="00440D05" w:rsidRDefault="00A81954" w:rsidP="00637B5A">
            <w:pPr>
              <w:jc w:val="right"/>
              <w:rPr>
                <w:sz w:val="20"/>
                <w:lang w:val="fr-FR"/>
              </w:rPr>
            </w:pPr>
            <w:r w:rsidRPr="00440D05">
              <w:rPr>
                <w:sz w:val="20"/>
                <w:lang w:val="fr-FR"/>
              </w:rPr>
              <w:t xml:space="preserve">                               –</w:t>
            </w:r>
            <w:r>
              <w:rPr>
                <w:sz w:val="20"/>
                <w:lang w:val="fr-FR"/>
              </w:rPr>
              <w:t xml:space="preserve">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Irlande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Islande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Israël</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Italie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16 500,00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Japon</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194 600,00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Jordanie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Kenya</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lastRenderedPageBreak/>
              <w:t>Liban</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Libye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Liechtenstein</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1 500,00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Luxembourg</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650,00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Madagascar</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Malawi</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Mali</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Malte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Maroc</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Maurice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Mauritanie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50,00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Mexique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Monaco</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200,00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Mongolie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Niger</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Nigéria</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Norvège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21 750,00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Nouvelle</w:t>
            </w:r>
            <w:r w:rsidRPr="00440D05">
              <w:rPr>
                <w:sz w:val="20"/>
                <w:lang w:val="fr-FR"/>
              </w:rPr>
              <w:noBreakHyphen/>
              <w:t>Zélande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Ouganda</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Pakistan</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Pays</w:t>
            </w:r>
            <w:r w:rsidRPr="00440D05">
              <w:rPr>
                <w:sz w:val="20"/>
                <w:lang w:val="fr-FR"/>
              </w:rPr>
              <w:noBreakHyphen/>
              <w:t>Bas</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20 350,00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Philippines</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Pologne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Portugal</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République arabe syrienne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République centrafricaine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République de Corée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3 700,00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République démocratique du Congo</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République dominicaine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République populaire démocratique de Corée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République tchèque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République</w:t>
            </w:r>
            <w:r w:rsidRPr="00440D05">
              <w:rPr>
                <w:sz w:val="20"/>
                <w:lang w:val="fr-FR"/>
              </w:rPr>
              <w:noBreakHyphen/>
              <w:t>Unie de Tanzanie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Roumanie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550,00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Royaume</w:t>
            </w:r>
            <w:r w:rsidRPr="00440D05">
              <w:rPr>
                <w:sz w:val="20"/>
                <w:lang w:val="fr-FR"/>
              </w:rPr>
              <w:noBreakHyphen/>
              <w:t>Uni</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168 000,00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Rwanda</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Saint</w:t>
            </w:r>
            <w:r w:rsidRPr="00440D05">
              <w:rPr>
                <w:sz w:val="20"/>
                <w:lang w:val="fr-FR"/>
              </w:rPr>
              <w:noBreakHyphen/>
              <w:t>Marin</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Saint</w:t>
            </w:r>
            <w:r w:rsidRPr="00440D05">
              <w:rPr>
                <w:sz w:val="20"/>
                <w:lang w:val="fr-FR"/>
              </w:rPr>
              <w:noBreakHyphen/>
              <w:t>Siège</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Sénégal</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Slovaquie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Soudan</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Sri Lanka</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300,00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Suède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162 800,00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Suisse</w:t>
            </w:r>
          </w:p>
        </w:tc>
        <w:tc>
          <w:tcPr>
            <w:tcW w:w="2425" w:type="dxa"/>
            <w:shd w:val="clear" w:color="auto" w:fill="auto"/>
            <w:noWrap/>
            <w:vAlign w:val="bottom"/>
          </w:tcPr>
          <w:p w:rsidR="00771648" w:rsidRPr="00440D05" w:rsidRDefault="00771648" w:rsidP="00771648">
            <w:pPr>
              <w:jc w:val="right"/>
              <w:rPr>
                <w:sz w:val="20"/>
                <w:lang w:val="fr-FR"/>
              </w:rPr>
            </w:pPr>
            <w:r w:rsidRPr="00440D05">
              <w:rPr>
                <w:sz w:val="20"/>
                <w:lang w:val="fr-FR"/>
              </w:rPr>
              <w:t xml:space="preserve">                    74 000,00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Suriname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hideMark/>
          </w:tcPr>
          <w:p w:rsidR="00771648" w:rsidRPr="00440D05" w:rsidRDefault="00771648" w:rsidP="00637B5A">
            <w:pPr>
              <w:rPr>
                <w:sz w:val="20"/>
                <w:lang w:val="fr-FR"/>
              </w:rPr>
            </w:pPr>
            <w:r w:rsidRPr="00440D05">
              <w:rPr>
                <w:sz w:val="20"/>
                <w:lang w:val="fr-FR"/>
              </w:rPr>
              <w:t>Tchad</w:t>
            </w:r>
          </w:p>
        </w:tc>
        <w:tc>
          <w:tcPr>
            <w:tcW w:w="2425" w:type="dxa"/>
            <w:shd w:val="clear" w:color="auto" w:fill="auto"/>
            <w:noWrap/>
            <w:vAlign w:val="bottom"/>
            <w:hideMark/>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Thaïlande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Togo</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Trinité</w:t>
            </w:r>
            <w:r w:rsidRPr="00440D05">
              <w:rPr>
                <w:sz w:val="20"/>
                <w:lang w:val="fr-FR"/>
              </w:rPr>
              <w:noBreakHyphen/>
              <w:t>et</w:t>
            </w:r>
            <w:r w:rsidRPr="00440D05">
              <w:rPr>
                <w:sz w:val="20"/>
                <w:lang w:val="fr-FR"/>
              </w:rPr>
              <w:noBreakHyphen/>
              <w:t>Tobago</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Tunisie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Turquie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lastRenderedPageBreak/>
              <w:t>Uruguay</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Venezuela (République bolivarienne du)</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Viet Nam</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shd w:val="clear" w:color="auto" w:fill="auto"/>
            <w:noWrap/>
            <w:vAlign w:val="bottom"/>
          </w:tcPr>
          <w:p w:rsidR="00771648" w:rsidRPr="00440D05" w:rsidRDefault="00771648" w:rsidP="00637B5A">
            <w:pPr>
              <w:rPr>
                <w:sz w:val="20"/>
                <w:lang w:val="fr-FR"/>
              </w:rPr>
            </w:pPr>
            <w:r w:rsidRPr="00440D05">
              <w:rPr>
                <w:sz w:val="20"/>
                <w:lang w:val="fr-FR"/>
              </w:rPr>
              <w:t>Zambie</w:t>
            </w:r>
          </w:p>
        </w:tc>
        <w:tc>
          <w:tcPr>
            <w:tcW w:w="2425" w:type="dxa"/>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771648" w:rsidRPr="00440D05" w:rsidTr="00771648">
        <w:trPr>
          <w:trHeight w:val="255"/>
          <w:jc w:val="center"/>
        </w:trPr>
        <w:tc>
          <w:tcPr>
            <w:tcW w:w="3129" w:type="dxa"/>
            <w:tcBorders>
              <w:bottom w:val="single" w:sz="4" w:space="0" w:color="auto"/>
            </w:tcBorders>
            <w:shd w:val="clear" w:color="auto" w:fill="auto"/>
            <w:noWrap/>
            <w:vAlign w:val="bottom"/>
          </w:tcPr>
          <w:p w:rsidR="00771648" w:rsidRPr="00440D05" w:rsidRDefault="00771648" w:rsidP="00637B5A">
            <w:pPr>
              <w:rPr>
                <w:sz w:val="20"/>
                <w:lang w:val="fr-FR"/>
              </w:rPr>
            </w:pPr>
            <w:r w:rsidRPr="00440D05">
              <w:rPr>
                <w:sz w:val="20"/>
                <w:lang w:val="fr-FR"/>
              </w:rPr>
              <w:t>Zimbabwe</w:t>
            </w:r>
          </w:p>
        </w:tc>
        <w:tc>
          <w:tcPr>
            <w:tcW w:w="2425" w:type="dxa"/>
            <w:tcBorders>
              <w:bottom w:val="single" w:sz="4" w:space="0" w:color="auto"/>
            </w:tcBorders>
            <w:shd w:val="clear" w:color="auto" w:fill="auto"/>
            <w:noWrap/>
            <w:vAlign w:val="bottom"/>
          </w:tcPr>
          <w:p w:rsidR="00771648" w:rsidRPr="00440D05" w:rsidRDefault="00771648" w:rsidP="00637B5A">
            <w:pPr>
              <w:jc w:val="right"/>
              <w:rPr>
                <w:sz w:val="20"/>
                <w:lang w:val="fr-FR"/>
              </w:rPr>
            </w:pPr>
            <w:r w:rsidRPr="00440D05">
              <w:rPr>
                <w:sz w:val="20"/>
                <w:lang w:val="fr-FR"/>
              </w:rPr>
              <w:t xml:space="preserve">                               –   </w:t>
            </w:r>
          </w:p>
        </w:tc>
      </w:tr>
      <w:tr w:rsidR="00332680" w:rsidRPr="00440D05" w:rsidTr="00771648">
        <w:trPr>
          <w:trHeight w:val="255"/>
          <w:jc w:val="center"/>
        </w:trPr>
        <w:tc>
          <w:tcPr>
            <w:tcW w:w="3129" w:type="dxa"/>
            <w:tcBorders>
              <w:top w:val="single" w:sz="4" w:space="0" w:color="auto"/>
              <w:bottom w:val="nil"/>
            </w:tcBorders>
            <w:shd w:val="clear" w:color="000000" w:fill="C5D9F1"/>
            <w:noWrap/>
            <w:vAlign w:val="bottom"/>
            <w:hideMark/>
          </w:tcPr>
          <w:p w:rsidR="00332680" w:rsidRPr="00440D05" w:rsidRDefault="00332680" w:rsidP="00332680">
            <w:pPr>
              <w:rPr>
                <w:sz w:val="20"/>
                <w:lang w:val="fr-FR"/>
              </w:rPr>
            </w:pPr>
            <w:r w:rsidRPr="00440D05">
              <w:rPr>
                <w:sz w:val="20"/>
                <w:lang w:val="fr-FR"/>
              </w:rPr>
              <w:t> </w:t>
            </w:r>
          </w:p>
        </w:tc>
        <w:tc>
          <w:tcPr>
            <w:tcW w:w="2420" w:type="dxa"/>
            <w:tcBorders>
              <w:top w:val="single" w:sz="4" w:space="0" w:color="auto"/>
              <w:bottom w:val="nil"/>
            </w:tcBorders>
            <w:shd w:val="clear" w:color="000000" w:fill="C5D9F1"/>
            <w:noWrap/>
            <w:vAlign w:val="bottom"/>
            <w:hideMark/>
          </w:tcPr>
          <w:p w:rsidR="00332680" w:rsidRPr="00440D05" w:rsidRDefault="00332680" w:rsidP="00332680">
            <w:pPr>
              <w:rPr>
                <w:sz w:val="20"/>
                <w:lang w:val="fr-FR"/>
              </w:rPr>
            </w:pPr>
            <w:r w:rsidRPr="00440D05">
              <w:rPr>
                <w:sz w:val="20"/>
                <w:lang w:val="fr-FR"/>
              </w:rPr>
              <w:t> </w:t>
            </w:r>
          </w:p>
        </w:tc>
      </w:tr>
      <w:tr w:rsidR="00332680" w:rsidRPr="00440D05" w:rsidTr="00771648">
        <w:trPr>
          <w:trHeight w:val="487"/>
          <w:jc w:val="center"/>
        </w:trPr>
        <w:tc>
          <w:tcPr>
            <w:tcW w:w="3129" w:type="dxa"/>
            <w:tcBorders>
              <w:top w:val="nil"/>
              <w:bottom w:val="single" w:sz="4" w:space="0" w:color="auto"/>
            </w:tcBorders>
            <w:shd w:val="clear" w:color="000000" w:fill="C5D9F1"/>
            <w:noWrap/>
            <w:hideMark/>
          </w:tcPr>
          <w:p w:rsidR="00332680" w:rsidRPr="00440D05" w:rsidRDefault="00332680" w:rsidP="00332680">
            <w:pPr>
              <w:rPr>
                <w:b/>
                <w:sz w:val="20"/>
                <w:lang w:val="fr-FR"/>
              </w:rPr>
            </w:pPr>
            <w:r w:rsidRPr="00440D05">
              <w:rPr>
                <w:b/>
                <w:sz w:val="20"/>
                <w:lang w:val="fr-FR"/>
              </w:rPr>
              <w:t>TOTAL</w:t>
            </w:r>
          </w:p>
        </w:tc>
        <w:tc>
          <w:tcPr>
            <w:tcW w:w="2420" w:type="dxa"/>
            <w:tcBorders>
              <w:top w:val="nil"/>
              <w:bottom w:val="single" w:sz="4" w:space="0" w:color="auto"/>
            </w:tcBorders>
            <w:shd w:val="clear" w:color="000000" w:fill="C5D9F1"/>
            <w:noWrap/>
            <w:hideMark/>
          </w:tcPr>
          <w:p w:rsidR="00332680" w:rsidRPr="00440D05" w:rsidRDefault="00203988" w:rsidP="00DD02E1">
            <w:pPr>
              <w:jc w:val="right"/>
              <w:rPr>
                <w:b/>
                <w:sz w:val="20"/>
                <w:lang w:val="fr-FR"/>
              </w:rPr>
            </w:pPr>
            <w:r w:rsidRPr="00440D05">
              <w:rPr>
                <w:b/>
                <w:sz w:val="20"/>
                <w:lang w:val="fr-FR"/>
              </w:rPr>
              <w:t>2 000 000,</w:t>
            </w:r>
            <w:r w:rsidR="00332680" w:rsidRPr="00440D05">
              <w:rPr>
                <w:b/>
                <w:sz w:val="20"/>
                <w:lang w:val="fr-FR"/>
              </w:rPr>
              <w:t xml:space="preserve">00 </w:t>
            </w:r>
          </w:p>
        </w:tc>
      </w:tr>
    </w:tbl>
    <w:p w:rsidR="00BB0058" w:rsidRPr="00440D05" w:rsidRDefault="00BB0058" w:rsidP="002C7765">
      <w:pPr>
        <w:pStyle w:val="Endofdocument"/>
        <w:rPr>
          <w:lang w:val="fr-FR"/>
        </w:rPr>
      </w:pPr>
    </w:p>
    <w:p w:rsidR="00BB0058" w:rsidRPr="00440D05" w:rsidRDefault="00BB0058" w:rsidP="002C7765">
      <w:pPr>
        <w:pStyle w:val="Endofdocument"/>
        <w:rPr>
          <w:lang w:val="fr-FR"/>
        </w:rPr>
      </w:pPr>
    </w:p>
    <w:p w:rsidR="00BB0058" w:rsidRPr="00440D05" w:rsidRDefault="00BB0058" w:rsidP="002C7765">
      <w:pPr>
        <w:pStyle w:val="Endofdocument"/>
        <w:rPr>
          <w:lang w:val="fr-FR"/>
        </w:rPr>
      </w:pPr>
    </w:p>
    <w:p w:rsidR="00BB0058" w:rsidRPr="00440D05" w:rsidRDefault="00BB0058" w:rsidP="002C7765">
      <w:pPr>
        <w:pStyle w:val="Endofdocument"/>
        <w:rPr>
          <w:lang w:val="fr-FR"/>
        </w:rPr>
      </w:pPr>
      <w:r w:rsidRPr="00440D05">
        <w:rPr>
          <w:lang w:val="fr-FR"/>
        </w:rPr>
        <w:t>[Fin de l</w:t>
      </w:r>
      <w:r w:rsidR="00741B59" w:rsidRPr="00440D05">
        <w:rPr>
          <w:lang w:val="fr-FR"/>
        </w:rPr>
        <w:t>’</w:t>
      </w:r>
      <w:r w:rsidRPr="00440D05">
        <w:rPr>
          <w:lang w:val="fr-FR"/>
        </w:rPr>
        <w:t>annexe</w:t>
      </w:r>
      <w:r w:rsidR="00001620" w:rsidRPr="00440D05">
        <w:rPr>
          <w:lang w:val="fr-FR"/>
        </w:rPr>
        <w:t> </w:t>
      </w:r>
      <w:r w:rsidRPr="00440D05">
        <w:rPr>
          <w:lang w:val="fr-FR"/>
        </w:rPr>
        <w:t>II et du document]</w:t>
      </w:r>
    </w:p>
    <w:p w:rsidR="00BB0058" w:rsidRPr="00440D05" w:rsidRDefault="00BB0058" w:rsidP="00C0178F">
      <w:pPr>
        <w:rPr>
          <w:lang w:val="fr-FR"/>
        </w:rPr>
      </w:pPr>
    </w:p>
    <w:p w:rsidR="00BB0058" w:rsidRPr="00440D05" w:rsidRDefault="00BB0058" w:rsidP="00C0178F">
      <w:pPr>
        <w:rPr>
          <w:lang w:val="fr-FR"/>
        </w:rPr>
      </w:pPr>
    </w:p>
    <w:sectPr w:rsidR="00BB0058" w:rsidRPr="00440D05" w:rsidSect="00237644">
      <w:headerReference w:type="default" r:id="rId22"/>
      <w:headerReference w:type="first" r:id="rId23"/>
      <w:footerReference w:type="first" r:id="rId24"/>
      <w:pgSz w:w="11907" w:h="16839" w:code="9"/>
      <w:pgMar w:top="567" w:right="1134" w:bottom="1418" w:left="1418" w:header="62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620" w:rsidRDefault="00001620">
      <w:r>
        <w:separator/>
      </w:r>
    </w:p>
  </w:endnote>
  <w:endnote w:type="continuationSeparator" w:id="0">
    <w:p w:rsidR="00001620" w:rsidRDefault="00001620">
      <w:r>
        <w:continuationSeparator/>
      </w:r>
    </w:p>
  </w:endnote>
  <w:endnote w:type="continuationNotice" w:id="1">
    <w:p w:rsidR="00001620" w:rsidRDefault="00001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Default="00001620" w:rsidP="001674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D10">
      <w:rPr>
        <w:rStyle w:val="PageNumber"/>
        <w:noProof/>
      </w:rPr>
      <w:t>9</w:t>
    </w:r>
    <w:r>
      <w:rPr>
        <w:rStyle w:val="PageNumber"/>
      </w:rPr>
      <w:fldChar w:fldCharType="end"/>
    </w:r>
  </w:p>
  <w:p w:rsidR="00001620" w:rsidRDefault="00001620" w:rsidP="001674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04" w:rsidRPr="001A2204" w:rsidRDefault="001A2204" w:rsidP="001A2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04" w:rsidRPr="001A2204" w:rsidRDefault="001A2204" w:rsidP="001A22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04" w:rsidRPr="001A2204" w:rsidRDefault="001A2204" w:rsidP="001A2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620" w:rsidRDefault="00001620">
      <w:r>
        <w:separator/>
      </w:r>
    </w:p>
  </w:footnote>
  <w:footnote w:type="continuationSeparator" w:id="0">
    <w:p w:rsidR="00001620" w:rsidRDefault="00001620">
      <w:r>
        <w:continuationSeparator/>
      </w:r>
    </w:p>
  </w:footnote>
  <w:footnote w:type="continuationNotice" w:id="1">
    <w:p w:rsidR="00001620" w:rsidRDefault="00001620"/>
  </w:footnote>
  <w:footnote w:id="2">
    <w:p w:rsidR="00001620" w:rsidRPr="00BD7F4B" w:rsidRDefault="00001620" w:rsidP="008373CE">
      <w:pPr>
        <w:pStyle w:val="FootnoteText"/>
        <w:rPr>
          <w:lang w:val="fr-FR"/>
        </w:rPr>
      </w:pPr>
      <w:r w:rsidRPr="00BD7F4B">
        <w:rPr>
          <w:rStyle w:val="FootnoteReference"/>
        </w:rPr>
        <w:footnoteRef/>
      </w:r>
      <w:r w:rsidRPr="00BD7F4B">
        <w:t xml:space="preserve"> </w:t>
      </w:r>
      <w:r w:rsidR="001A2204">
        <w:rPr>
          <w:lang w:val="fr-FR"/>
        </w:rPr>
        <w:tab/>
        <w:t>Document A/35/6 de </w:t>
      </w:r>
      <w:r w:rsidRPr="00BD7F4B">
        <w:rPr>
          <w:lang w:val="fr-FR"/>
        </w:rPr>
        <w:t>2000 (proposition concernant la politique relative aux réserves).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Default="00001620">
    <w:pPr>
      <w:pStyle w:val="Header"/>
      <w:jc w:val="right"/>
    </w:pPr>
    <w:r>
      <w:t>WO/PBC/23/8</w:t>
    </w:r>
  </w:p>
  <w:p w:rsidR="00001620" w:rsidRDefault="00001620">
    <w:pPr>
      <w:pStyle w:val="Header"/>
      <w:jc w:val="right"/>
    </w:pPr>
    <w:proofErr w:type="gramStart"/>
    <w:r>
      <w:t>page</w:t>
    </w:r>
    <w:proofErr w:type="gramEnd"/>
    <w:r>
      <w:t xml:space="preserve"> </w:t>
    </w:r>
    <w:sdt>
      <w:sdtPr>
        <w:id w:val="-334305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24B9C">
          <w:rPr>
            <w:noProof/>
          </w:rPr>
          <w:t>3</w:t>
        </w:r>
        <w:r>
          <w:rPr>
            <w:noProof/>
          </w:rPr>
          <w:fldChar w:fldCharType="end"/>
        </w:r>
      </w:sdtContent>
    </w:sdt>
  </w:p>
  <w:p w:rsidR="00001620" w:rsidRDefault="00001620" w:rsidP="0000162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Default="00001620" w:rsidP="00332680">
    <w:pPr>
      <w:jc w:val="right"/>
    </w:pPr>
    <w:bookmarkStart w:id="6" w:name="Code2"/>
    <w:bookmarkEnd w:id="6"/>
    <w:r>
      <w:t>WO/PBC/23/8</w:t>
    </w:r>
  </w:p>
  <w:p w:rsidR="00001620" w:rsidRDefault="00001620" w:rsidP="00332680">
    <w:pPr>
      <w:jc w:val="right"/>
    </w:pPr>
    <w:proofErr w:type="spellStart"/>
    <w:r>
      <w:t>Annexe</w:t>
    </w:r>
    <w:proofErr w:type="spellEnd"/>
    <w:r>
      <w:t xml:space="preserve"> I, page </w:t>
    </w:r>
    <w:r>
      <w:fldChar w:fldCharType="begin"/>
    </w:r>
    <w:r>
      <w:instrText xml:space="preserve"> PAGE  \* MERGEFORMAT </w:instrText>
    </w:r>
    <w:r>
      <w:fldChar w:fldCharType="separate"/>
    </w:r>
    <w:r w:rsidR="00024B9C">
      <w:rPr>
        <w:noProof/>
      </w:rPr>
      <w:t>9</w:t>
    </w:r>
    <w:r>
      <w:fldChar w:fldCharType="end"/>
    </w:r>
  </w:p>
  <w:p w:rsidR="00001620" w:rsidRDefault="00001620" w:rsidP="0033268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Default="00001620" w:rsidP="00C948D8">
    <w:pPr>
      <w:jc w:val="right"/>
    </w:pPr>
    <w:r>
      <w:t>WO/PBC/23/8</w:t>
    </w:r>
  </w:p>
  <w:p w:rsidR="00001620" w:rsidRDefault="00001620" w:rsidP="00C948D8">
    <w:pPr>
      <w:pStyle w:val="Header"/>
      <w:jc w:val="right"/>
    </w:pPr>
    <w:r>
      <w:t>ANNEXE I</w:t>
    </w:r>
  </w:p>
  <w:p w:rsidR="00001620" w:rsidRDefault="00001620" w:rsidP="00C948D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Default="00001620" w:rsidP="00C948D8">
    <w:pPr>
      <w:jc w:val="right"/>
    </w:pPr>
    <w:r>
      <w:t>WO/PBC/23/8</w:t>
    </w:r>
  </w:p>
  <w:p w:rsidR="00001620" w:rsidRDefault="00001620" w:rsidP="00C948D8">
    <w:pPr>
      <w:pStyle w:val="Header"/>
      <w:jc w:val="right"/>
    </w:pPr>
    <w:proofErr w:type="spellStart"/>
    <w:r>
      <w:t>Annexe</w:t>
    </w:r>
    <w:proofErr w:type="spellEnd"/>
    <w:r>
      <w:t> I, page </w:t>
    </w:r>
    <w:r>
      <w:fldChar w:fldCharType="begin"/>
    </w:r>
    <w:r>
      <w:instrText>PAGE   \* MERGEFORMAT</w:instrText>
    </w:r>
    <w:r>
      <w:fldChar w:fldCharType="separate"/>
    </w:r>
    <w:r w:rsidR="00024B9C" w:rsidRPr="00024B9C">
      <w:rPr>
        <w:noProof/>
        <w:lang w:val="fr-FR"/>
      </w:rPr>
      <w:t>10</w:t>
    </w:r>
    <w:r>
      <w:fldChar w:fldCharType="end"/>
    </w:r>
  </w:p>
  <w:p w:rsidR="00001620" w:rsidRDefault="00001620" w:rsidP="00C948D8">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Pr="00DD02E1" w:rsidRDefault="00001620" w:rsidP="00332680">
    <w:pPr>
      <w:jc w:val="right"/>
      <w:rPr>
        <w:lang w:val="fr-FR"/>
      </w:rPr>
    </w:pPr>
    <w:r w:rsidRPr="00DD02E1">
      <w:rPr>
        <w:lang w:val="fr-FR"/>
      </w:rPr>
      <w:t>WO/PBC/23/8</w:t>
    </w:r>
  </w:p>
  <w:p w:rsidR="00001620" w:rsidRPr="00DD02E1" w:rsidRDefault="00001620" w:rsidP="00332680">
    <w:pPr>
      <w:jc w:val="right"/>
      <w:rPr>
        <w:lang w:val="fr-FR"/>
      </w:rPr>
    </w:pPr>
    <w:r w:rsidRPr="00DD02E1">
      <w:rPr>
        <w:lang w:val="fr-FR"/>
      </w:rPr>
      <w:t>Annex</w:t>
    </w:r>
    <w:r>
      <w:rPr>
        <w:lang w:val="fr-FR"/>
      </w:rPr>
      <w:t>e </w:t>
    </w:r>
    <w:r w:rsidRPr="00DD02E1">
      <w:rPr>
        <w:lang w:val="fr-FR"/>
      </w:rPr>
      <w:t xml:space="preserve">II, page </w:t>
    </w:r>
    <w:r>
      <w:fldChar w:fldCharType="begin"/>
    </w:r>
    <w:r w:rsidRPr="00DD02E1">
      <w:rPr>
        <w:lang w:val="fr-FR"/>
      </w:rPr>
      <w:instrText xml:space="preserve"> PAGE  \* MERGEFORMAT </w:instrText>
    </w:r>
    <w:r>
      <w:fldChar w:fldCharType="separate"/>
    </w:r>
    <w:r w:rsidR="00024B9C">
      <w:rPr>
        <w:noProof/>
        <w:lang w:val="fr-FR"/>
      </w:rPr>
      <w:t>3</w:t>
    </w:r>
    <w:r>
      <w:fldChar w:fldCharType="end"/>
    </w:r>
  </w:p>
  <w:p w:rsidR="00001620" w:rsidRPr="00DD02E1" w:rsidRDefault="00001620" w:rsidP="00332680">
    <w:pP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20" w:rsidRDefault="00001620" w:rsidP="00C948D8">
    <w:pPr>
      <w:jc w:val="right"/>
    </w:pPr>
    <w:r>
      <w:t>WO/PBC/23/8</w:t>
    </w:r>
  </w:p>
  <w:p w:rsidR="00001620" w:rsidRDefault="00001620" w:rsidP="00C948D8">
    <w:pPr>
      <w:pStyle w:val="Header"/>
      <w:jc w:val="right"/>
    </w:pPr>
    <w:r>
      <w:t>ANNEXE II</w:t>
    </w:r>
  </w:p>
  <w:p w:rsidR="00001620" w:rsidRDefault="00001620" w:rsidP="00C948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2549272"/>
    <w:lvl w:ilvl="0">
      <w:start w:val="1"/>
      <w:numFmt w:val="decimal"/>
      <w:lvlText w:val="%1."/>
      <w:lvlJc w:val="left"/>
      <w:pPr>
        <w:tabs>
          <w:tab w:val="num" w:pos="360"/>
        </w:tabs>
        <w:ind w:left="360" w:hanging="360"/>
      </w:pPr>
    </w:lvl>
  </w:abstractNum>
  <w:abstractNum w:abstractNumId="1">
    <w:nsid w:val="03D665A8"/>
    <w:multiLevelType w:val="multilevel"/>
    <w:tmpl w:val="4290E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4167E43"/>
    <w:multiLevelType w:val="hybridMultilevel"/>
    <w:tmpl w:val="28C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131D0A"/>
    <w:multiLevelType w:val="hybridMultilevel"/>
    <w:tmpl w:val="7DD25286"/>
    <w:lvl w:ilvl="0" w:tplc="2EF033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263D1"/>
    <w:multiLevelType w:val="hybridMultilevel"/>
    <w:tmpl w:val="C3A6530A"/>
    <w:lvl w:ilvl="0" w:tplc="4B1826D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0BA564C"/>
    <w:multiLevelType w:val="hybridMultilevel"/>
    <w:tmpl w:val="C208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927C0"/>
    <w:multiLevelType w:val="hybridMultilevel"/>
    <w:tmpl w:val="3432F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34ACD"/>
    <w:multiLevelType w:val="hybridMultilevel"/>
    <w:tmpl w:val="D6389A70"/>
    <w:lvl w:ilvl="0" w:tplc="D82C9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62E11"/>
    <w:multiLevelType w:val="hybridMultilevel"/>
    <w:tmpl w:val="F0F6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C42773"/>
    <w:multiLevelType w:val="hybridMultilevel"/>
    <w:tmpl w:val="14C883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88099C"/>
    <w:multiLevelType w:val="hybridMultilevel"/>
    <w:tmpl w:val="9F68C1B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2">
    <w:nsid w:val="22670310"/>
    <w:multiLevelType w:val="hybridMultilevel"/>
    <w:tmpl w:val="00C28280"/>
    <w:lvl w:ilvl="0" w:tplc="F1F4E3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2E4262"/>
    <w:multiLevelType w:val="hybridMultilevel"/>
    <w:tmpl w:val="C0A8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0297A"/>
    <w:multiLevelType w:val="hybridMultilevel"/>
    <w:tmpl w:val="4614F2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C6BF7"/>
    <w:multiLevelType w:val="hybridMultilevel"/>
    <w:tmpl w:val="17C89BB8"/>
    <w:lvl w:ilvl="0" w:tplc="0256EF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37F4755"/>
    <w:multiLevelType w:val="hybridMultilevel"/>
    <w:tmpl w:val="BA9212FE"/>
    <w:lvl w:ilvl="0" w:tplc="0409000F">
      <w:start w:val="10"/>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61D1A"/>
    <w:multiLevelType w:val="hybridMultilevel"/>
    <w:tmpl w:val="79D2F09E"/>
    <w:lvl w:ilvl="0" w:tplc="4FC0DC50">
      <w:start w:val="12"/>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nsid w:val="37FB57F9"/>
    <w:multiLevelType w:val="hybridMultilevel"/>
    <w:tmpl w:val="28BE614A"/>
    <w:lvl w:ilvl="0" w:tplc="70B06C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F467C"/>
    <w:multiLevelType w:val="hybridMultilevel"/>
    <w:tmpl w:val="7EC61026"/>
    <w:lvl w:ilvl="0" w:tplc="5518DE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2D22C5E"/>
    <w:multiLevelType w:val="hybridMultilevel"/>
    <w:tmpl w:val="B97AFB9A"/>
    <w:lvl w:ilvl="0" w:tplc="BB401EE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DAB6061"/>
    <w:multiLevelType w:val="hybridMultilevel"/>
    <w:tmpl w:val="D03C483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BC534F"/>
    <w:multiLevelType w:val="hybridMultilevel"/>
    <w:tmpl w:val="3BE8AB5E"/>
    <w:lvl w:ilvl="0" w:tplc="E0FEED2C">
      <w:start w:val="9"/>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nsid w:val="5C9C0F03"/>
    <w:multiLevelType w:val="hybridMultilevel"/>
    <w:tmpl w:val="B7D617A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EF5018"/>
    <w:multiLevelType w:val="hybridMultilevel"/>
    <w:tmpl w:val="6B981510"/>
    <w:lvl w:ilvl="0" w:tplc="F3CA130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551097"/>
    <w:multiLevelType w:val="hybridMultilevel"/>
    <w:tmpl w:val="25349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E7C6D"/>
    <w:multiLevelType w:val="hybridMultilevel"/>
    <w:tmpl w:val="164EFE3C"/>
    <w:lvl w:ilvl="0" w:tplc="7C428C4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938645E"/>
    <w:multiLevelType w:val="multilevel"/>
    <w:tmpl w:val="8B0CF3DE"/>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hanging="567"/>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3612E0C"/>
    <w:multiLevelType w:val="hybridMultilevel"/>
    <w:tmpl w:val="65025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A420EB9"/>
    <w:multiLevelType w:val="hybridMultilevel"/>
    <w:tmpl w:val="2C1220A6"/>
    <w:lvl w:ilvl="0" w:tplc="D480D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8"/>
  </w:num>
  <w:num w:numId="4">
    <w:abstractNumId w:val="13"/>
  </w:num>
  <w:num w:numId="5">
    <w:abstractNumId w:val="9"/>
  </w:num>
  <w:num w:numId="6">
    <w:abstractNumId w:val="21"/>
  </w:num>
  <w:num w:numId="7">
    <w:abstractNumId w:val="11"/>
  </w:num>
  <w:num w:numId="8">
    <w:abstractNumId w:val="22"/>
  </w:num>
  <w:num w:numId="9">
    <w:abstractNumId w:val="2"/>
  </w:num>
  <w:num w:numId="10">
    <w:abstractNumId w:val="30"/>
  </w:num>
  <w:num w:numId="11">
    <w:abstractNumId w:val="23"/>
  </w:num>
  <w:num w:numId="12">
    <w:abstractNumId w:val="16"/>
  </w:num>
  <w:num w:numId="13">
    <w:abstractNumId w:val="17"/>
  </w:num>
  <w:num w:numId="14">
    <w:abstractNumId w:val="6"/>
  </w:num>
  <w:num w:numId="15">
    <w:abstractNumId w:val="4"/>
  </w:num>
  <w:num w:numId="16">
    <w:abstractNumId w:val="18"/>
  </w:num>
  <w:num w:numId="17">
    <w:abstractNumId w:val="10"/>
  </w:num>
  <w:num w:numId="18">
    <w:abstractNumId w:val="27"/>
  </w:num>
  <w:num w:numId="19">
    <w:abstractNumId w:val="25"/>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2"/>
  </w:num>
  <w:num w:numId="24">
    <w:abstractNumId w:val="5"/>
  </w:num>
  <w:num w:numId="25">
    <w:abstractNumId w:val="19"/>
  </w:num>
  <w:num w:numId="26">
    <w:abstractNumId w:val="28"/>
  </w:num>
  <w:num w:numId="27">
    <w:abstractNumId w:val="15"/>
  </w:num>
  <w:num w:numId="28">
    <w:abstractNumId w:val="20"/>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2"/>
  </w:num>
  <w:num w:numId="36">
    <w:abstractNumId w:val="26"/>
  </w:num>
  <w:num w:numId="37">
    <w:abstractNumId w:val="0"/>
  </w:num>
  <w:num w:numId="38">
    <w:abstractNumId w:val="24"/>
  </w:num>
  <w:num w:numId="39">
    <w:abstractNumId w:val="31"/>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148"/>
  <w:proofState w:spelling="clean" w:grammar="clean"/>
  <w:defaultTabStop w:val="56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Budget and Finance\Meetings|Budget and Finance\Other|Budget and Finance\Publications|Administrative\Meetings|Administrative\Other|Administrative\Publications"/>
    <w:docVar w:name="TextBaseURL" w:val="empty"/>
    <w:docVar w:name="UILng" w:val="en"/>
  </w:docVars>
  <w:rsids>
    <w:rsidRoot w:val="00F35DA8"/>
    <w:rsid w:val="00001620"/>
    <w:rsid w:val="00011CFB"/>
    <w:rsid w:val="00021BDB"/>
    <w:rsid w:val="00024B9C"/>
    <w:rsid w:val="0007116B"/>
    <w:rsid w:val="00072524"/>
    <w:rsid w:val="00073DCA"/>
    <w:rsid w:val="00076E48"/>
    <w:rsid w:val="000A14B5"/>
    <w:rsid w:val="000A1731"/>
    <w:rsid w:val="000A50DF"/>
    <w:rsid w:val="000E4E10"/>
    <w:rsid w:val="00106225"/>
    <w:rsid w:val="001101E8"/>
    <w:rsid w:val="00114C90"/>
    <w:rsid w:val="00114F86"/>
    <w:rsid w:val="00116BF1"/>
    <w:rsid w:val="00160D65"/>
    <w:rsid w:val="00167405"/>
    <w:rsid w:val="001705BB"/>
    <w:rsid w:val="00184C72"/>
    <w:rsid w:val="00196B3A"/>
    <w:rsid w:val="001A2204"/>
    <w:rsid w:val="001A3402"/>
    <w:rsid w:val="001B0465"/>
    <w:rsid w:val="001B4C5E"/>
    <w:rsid w:val="001B57AF"/>
    <w:rsid w:val="001D33DB"/>
    <w:rsid w:val="001D6B5B"/>
    <w:rsid w:val="001E7021"/>
    <w:rsid w:val="001F178C"/>
    <w:rsid w:val="00203988"/>
    <w:rsid w:val="00221626"/>
    <w:rsid w:val="002337E9"/>
    <w:rsid w:val="00236D7A"/>
    <w:rsid w:val="00237644"/>
    <w:rsid w:val="002771BB"/>
    <w:rsid w:val="002A6B44"/>
    <w:rsid w:val="002C3132"/>
    <w:rsid w:val="002C7765"/>
    <w:rsid w:val="002E2D6D"/>
    <w:rsid w:val="00301877"/>
    <w:rsid w:val="0031468B"/>
    <w:rsid w:val="00332680"/>
    <w:rsid w:val="003467F7"/>
    <w:rsid w:val="00374A8E"/>
    <w:rsid w:val="00396A4C"/>
    <w:rsid w:val="003A57EA"/>
    <w:rsid w:val="003B4559"/>
    <w:rsid w:val="003F46F3"/>
    <w:rsid w:val="003F6191"/>
    <w:rsid w:val="00400A8E"/>
    <w:rsid w:val="00402953"/>
    <w:rsid w:val="0040388C"/>
    <w:rsid w:val="00421ED4"/>
    <w:rsid w:val="0042565A"/>
    <w:rsid w:val="004303A4"/>
    <w:rsid w:val="00436A19"/>
    <w:rsid w:val="00440D05"/>
    <w:rsid w:val="00454ED6"/>
    <w:rsid w:val="00461630"/>
    <w:rsid w:val="0046565F"/>
    <w:rsid w:val="0047580B"/>
    <w:rsid w:val="00483ECC"/>
    <w:rsid w:val="00484536"/>
    <w:rsid w:val="00484CF4"/>
    <w:rsid w:val="00487A47"/>
    <w:rsid w:val="00495E29"/>
    <w:rsid w:val="00497A16"/>
    <w:rsid w:val="004A5EE7"/>
    <w:rsid w:val="004C59D2"/>
    <w:rsid w:val="004D0064"/>
    <w:rsid w:val="004D5B56"/>
    <w:rsid w:val="004E2D75"/>
    <w:rsid w:val="004F2962"/>
    <w:rsid w:val="004F61FA"/>
    <w:rsid w:val="004F6B9D"/>
    <w:rsid w:val="00516936"/>
    <w:rsid w:val="00517A1C"/>
    <w:rsid w:val="005247AA"/>
    <w:rsid w:val="00540129"/>
    <w:rsid w:val="00540611"/>
    <w:rsid w:val="005426B8"/>
    <w:rsid w:val="00543C94"/>
    <w:rsid w:val="00552D9C"/>
    <w:rsid w:val="005605CB"/>
    <w:rsid w:val="00562121"/>
    <w:rsid w:val="00586AFC"/>
    <w:rsid w:val="00594553"/>
    <w:rsid w:val="005B12AC"/>
    <w:rsid w:val="005C1890"/>
    <w:rsid w:val="005C4BCB"/>
    <w:rsid w:val="005C74E9"/>
    <w:rsid w:val="005D5A9D"/>
    <w:rsid w:val="005E2D65"/>
    <w:rsid w:val="005F1C80"/>
    <w:rsid w:val="005F35BF"/>
    <w:rsid w:val="005F5C22"/>
    <w:rsid w:val="00615B12"/>
    <w:rsid w:val="00644DE4"/>
    <w:rsid w:val="00651ACB"/>
    <w:rsid w:val="00654232"/>
    <w:rsid w:val="0065692E"/>
    <w:rsid w:val="00662029"/>
    <w:rsid w:val="00662B14"/>
    <w:rsid w:val="00680AD8"/>
    <w:rsid w:val="00687B8C"/>
    <w:rsid w:val="006A04ED"/>
    <w:rsid w:val="006A1CB3"/>
    <w:rsid w:val="006E417D"/>
    <w:rsid w:val="0073251A"/>
    <w:rsid w:val="00741B59"/>
    <w:rsid w:val="00745D07"/>
    <w:rsid w:val="00765E02"/>
    <w:rsid w:val="007703D8"/>
    <w:rsid w:val="00771648"/>
    <w:rsid w:val="00772717"/>
    <w:rsid w:val="0077582D"/>
    <w:rsid w:val="00776D10"/>
    <w:rsid w:val="007D0A91"/>
    <w:rsid w:val="007D3203"/>
    <w:rsid w:val="007E2A73"/>
    <w:rsid w:val="007E3FFD"/>
    <w:rsid w:val="007E598D"/>
    <w:rsid w:val="00834282"/>
    <w:rsid w:val="008373CE"/>
    <w:rsid w:val="00866A6C"/>
    <w:rsid w:val="00870D3E"/>
    <w:rsid w:val="00893232"/>
    <w:rsid w:val="00894830"/>
    <w:rsid w:val="008C7A8A"/>
    <w:rsid w:val="008F7DDF"/>
    <w:rsid w:val="009009FA"/>
    <w:rsid w:val="00900E95"/>
    <w:rsid w:val="00926DE4"/>
    <w:rsid w:val="00971428"/>
    <w:rsid w:val="00985628"/>
    <w:rsid w:val="00997FFE"/>
    <w:rsid w:val="009A673B"/>
    <w:rsid w:val="009B4EAA"/>
    <w:rsid w:val="00A27505"/>
    <w:rsid w:val="00A409B9"/>
    <w:rsid w:val="00A81954"/>
    <w:rsid w:val="00A94682"/>
    <w:rsid w:val="00AC4C6B"/>
    <w:rsid w:val="00AF1A14"/>
    <w:rsid w:val="00AF5DF7"/>
    <w:rsid w:val="00AF6ACE"/>
    <w:rsid w:val="00B02EDD"/>
    <w:rsid w:val="00B127C5"/>
    <w:rsid w:val="00B25B05"/>
    <w:rsid w:val="00B53DAD"/>
    <w:rsid w:val="00B60F4D"/>
    <w:rsid w:val="00B82951"/>
    <w:rsid w:val="00B90E40"/>
    <w:rsid w:val="00B93827"/>
    <w:rsid w:val="00B941A7"/>
    <w:rsid w:val="00BB0058"/>
    <w:rsid w:val="00BD7F4B"/>
    <w:rsid w:val="00BF7B83"/>
    <w:rsid w:val="00C0178F"/>
    <w:rsid w:val="00C115E4"/>
    <w:rsid w:val="00C15614"/>
    <w:rsid w:val="00C3714C"/>
    <w:rsid w:val="00C41136"/>
    <w:rsid w:val="00C4154F"/>
    <w:rsid w:val="00C61C4B"/>
    <w:rsid w:val="00C6364B"/>
    <w:rsid w:val="00C66330"/>
    <w:rsid w:val="00C71FC5"/>
    <w:rsid w:val="00C818CA"/>
    <w:rsid w:val="00C948D8"/>
    <w:rsid w:val="00CA3F3F"/>
    <w:rsid w:val="00CC5C7C"/>
    <w:rsid w:val="00CD20B0"/>
    <w:rsid w:val="00D17541"/>
    <w:rsid w:val="00D21B9B"/>
    <w:rsid w:val="00D30D00"/>
    <w:rsid w:val="00D327D4"/>
    <w:rsid w:val="00D3650E"/>
    <w:rsid w:val="00D51954"/>
    <w:rsid w:val="00D60490"/>
    <w:rsid w:val="00D62055"/>
    <w:rsid w:val="00D707CE"/>
    <w:rsid w:val="00DC6D33"/>
    <w:rsid w:val="00DD02E1"/>
    <w:rsid w:val="00DF76CB"/>
    <w:rsid w:val="00E01A62"/>
    <w:rsid w:val="00E20C29"/>
    <w:rsid w:val="00E279B8"/>
    <w:rsid w:val="00E61636"/>
    <w:rsid w:val="00E91772"/>
    <w:rsid w:val="00E917EE"/>
    <w:rsid w:val="00E93802"/>
    <w:rsid w:val="00E96C8A"/>
    <w:rsid w:val="00EA1C32"/>
    <w:rsid w:val="00EA44F6"/>
    <w:rsid w:val="00EB63DA"/>
    <w:rsid w:val="00EC639E"/>
    <w:rsid w:val="00ED1E81"/>
    <w:rsid w:val="00EE253E"/>
    <w:rsid w:val="00EE6A68"/>
    <w:rsid w:val="00EE72BF"/>
    <w:rsid w:val="00EF5C8A"/>
    <w:rsid w:val="00F03EAF"/>
    <w:rsid w:val="00F059DF"/>
    <w:rsid w:val="00F1074E"/>
    <w:rsid w:val="00F35DA8"/>
    <w:rsid w:val="00F651DA"/>
    <w:rsid w:val="00F93E80"/>
    <w:rsid w:val="00FC2793"/>
    <w:rsid w:val="00FC5470"/>
    <w:rsid w:val="00FC713D"/>
    <w:rsid w:val="00FD5ED8"/>
    <w:rsid w:val="00FE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20"/>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00162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001620"/>
    <w:pPr>
      <w:keepNext/>
      <w:spacing w:before="240" w:after="60"/>
      <w:outlineLvl w:val="1"/>
    </w:pPr>
    <w:rPr>
      <w:rFonts w:eastAsia="SimSun"/>
      <w:bCs/>
      <w:iCs/>
      <w:caps/>
      <w:szCs w:val="28"/>
    </w:rPr>
  </w:style>
  <w:style w:type="paragraph" w:styleId="Heading3">
    <w:name w:val="heading 3"/>
    <w:basedOn w:val="Normal"/>
    <w:next w:val="Normal"/>
    <w:link w:val="Heading3Char"/>
    <w:qFormat/>
    <w:rsid w:val="0000162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00162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1620"/>
    <w:pPr>
      <w:tabs>
        <w:tab w:val="center" w:pos="4320"/>
        <w:tab w:val="right" w:pos="8640"/>
      </w:tabs>
    </w:pPr>
  </w:style>
  <w:style w:type="character" w:customStyle="1" w:styleId="FooterChar">
    <w:name w:val="Footer Char"/>
    <w:basedOn w:val="DefaultParagraphFont"/>
    <w:link w:val="Footer"/>
    <w:rsid w:val="00F35DA8"/>
    <w:rPr>
      <w:rFonts w:ascii="Arial" w:eastAsia="Times New Roman" w:hAnsi="Arial" w:cs="Arial"/>
      <w:szCs w:val="20"/>
    </w:rPr>
  </w:style>
  <w:style w:type="paragraph" w:customStyle="1" w:styleId="ONUME">
    <w:name w:val="ONUM E"/>
    <w:basedOn w:val="BodyText"/>
    <w:link w:val="ONUMEChar"/>
    <w:rsid w:val="00001620"/>
    <w:pPr>
      <w:numPr>
        <w:numId w:val="39"/>
      </w:numPr>
    </w:pPr>
  </w:style>
  <w:style w:type="character" w:customStyle="1" w:styleId="ONUMEChar">
    <w:name w:val="ONUM E Char"/>
    <w:link w:val="ONUME"/>
    <w:rsid w:val="00F35DA8"/>
    <w:rPr>
      <w:rFonts w:ascii="Arial" w:eastAsia="Times New Roman" w:hAnsi="Arial" w:cs="Arial"/>
      <w:szCs w:val="20"/>
    </w:rPr>
  </w:style>
  <w:style w:type="paragraph" w:styleId="ListParagraph">
    <w:name w:val="List Paragraph"/>
    <w:basedOn w:val="Normal"/>
    <w:uiPriority w:val="34"/>
    <w:qFormat/>
    <w:rsid w:val="00F35DA8"/>
    <w:pPr>
      <w:ind w:left="720"/>
      <w:contextualSpacing/>
    </w:pPr>
  </w:style>
  <w:style w:type="paragraph" w:customStyle="1" w:styleId="Endofdocument">
    <w:name w:val="End of document"/>
    <w:basedOn w:val="Normal"/>
    <w:rsid w:val="00001620"/>
    <w:pPr>
      <w:ind w:left="5534"/>
    </w:pPr>
    <w:rPr>
      <w:rFonts w:cs="Times New Roman"/>
    </w:rPr>
  </w:style>
  <w:style w:type="character" w:styleId="PageNumber">
    <w:name w:val="page number"/>
    <w:basedOn w:val="DefaultParagraphFont"/>
    <w:rsid w:val="00F35DA8"/>
  </w:style>
  <w:style w:type="paragraph" w:styleId="BodyText">
    <w:name w:val="Body Text"/>
    <w:basedOn w:val="Normal"/>
    <w:link w:val="BodyTextChar"/>
    <w:rsid w:val="00001620"/>
    <w:pPr>
      <w:spacing w:after="220"/>
    </w:pPr>
  </w:style>
  <w:style w:type="character" w:customStyle="1" w:styleId="BodyTextChar">
    <w:name w:val="Body Text Char"/>
    <w:basedOn w:val="DefaultParagraphFont"/>
    <w:link w:val="BodyText"/>
    <w:rsid w:val="00F35DA8"/>
    <w:rPr>
      <w:rFonts w:ascii="Arial" w:eastAsia="Times New Roman" w:hAnsi="Arial" w:cs="Arial"/>
      <w:szCs w:val="20"/>
    </w:rPr>
  </w:style>
  <w:style w:type="paragraph" w:styleId="BalloonText">
    <w:name w:val="Balloon Text"/>
    <w:basedOn w:val="Normal"/>
    <w:link w:val="BalloonTextChar"/>
    <w:uiPriority w:val="99"/>
    <w:semiHidden/>
    <w:unhideWhenUsed/>
    <w:rsid w:val="00F35DA8"/>
    <w:rPr>
      <w:rFonts w:ascii="Tahoma" w:hAnsi="Tahoma" w:cs="Tahoma"/>
      <w:sz w:val="16"/>
      <w:szCs w:val="16"/>
    </w:rPr>
  </w:style>
  <w:style w:type="character" w:customStyle="1" w:styleId="BalloonTextChar">
    <w:name w:val="Balloon Text Char"/>
    <w:basedOn w:val="DefaultParagraphFont"/>
    <w:link w:val="BalloonText"/>
    <w:uiPriority w:val="99"/>
    <w:semiHidden/>
    <w:rsid w:val="00F35DA8"/>
    <w:rPr>
      <w:rFonts w:ascii="Tahoma" w:eastAsia="SimSun" w:hAnsi="Tahoma" w:cs="Tahoma"/>
      <w:sz w:val="16"/>
      <w:szCs w:val="16"/>
      <w:lang w:eastAsia="zh-CN"/>
    </w:rPr>
  </w:style>
  <w:style w:type="paragraph" w:styleId="Header">
    <w:name w:val="header"/>
    <w:basedOn w:val="Normal"/>
    <w:link w:val="HeaderChar"/>
    <w:rsid w:val="00001620"/>
    <w:pPr>
      <w:tabs>
        <w:tab w:val="center" w:pos="4536"/>
        <w:tab w:val="right" w:pos="9072"/>
      </w:tabs>
    </w:pPr>
  </w:style>
  <w:style w:type="character" w:customStyle="1" w:styleId="HeaderChar">
    <w:name w:val="Header Char"/>
    <w:basedOn w:val="DefaultParagraphFont"/>
    <w:link w:val="Header"/>
    <w:rsid w:val="004D5B56"/>
    <w:rPr>
      <w:rFonts w:ascii="Arial" w:eastAsia="Times New Roman" w:hAnsi="Arial" w:cs="Arial"/>
      <w:szCs w:val="20"/>
    </w:rPr>
  </w:style>
  <w:style w:type="paragraph" w:styleId="CommentText">
    <w:name w:val="annotation text"/>
    <w:basedOn w:val="Normal"/>
    <w:link w:val="CommentTextChar"/>
    <w:semiHidden/>
    <w:rsid w:val="00001620"/>
    <w:rPr>
      <w:sz w:val="18"/>
    </w:rPr>
  </w:style>
  <w:style w:type="character" w:customStyle="1" w:styleId="CommentTextChar">
    <w:name w:val="Comment Text Char"/>
    <w:basedOn w:val="DefaultParagraphFont"/>
    <w:link w:val="CommentText"/>
    <w:semiHidden/>
    <w:rsid w:val="00C3714C"/>
    <w:rPr>
      <w:rFonts w:ascii="Arial" w:eastAsia="Times New Roman" w:hAnsi="Arial" w:cs="Arial"/>
      <w:sz w:val="18"/>
      <w:szCs w:val="20"/>
    </w:rPr>
  </w:style>
  <w:style w:type="paragraph" w:styleId="FootnoteText">
    <w:name w:val="footnote text"/>
    <w:basedOn w:val="Normal"/>
    <w:link w:val="FootnoteTextChar"/>
    <w:semiHidden/>
    <w:rsid w:val="00001620"/>
    <w:rPr>
      <w:sz w:val="18"/>
    </w:rPr>
  </w:style>
  <w:style w:type="character" w:customStyle="1" w:styleId="FootnoteTextChar">
    <w:name w:val="Footnote Text Char"/>
    <w:basedOn w:val="DefaultParagraphFont"/>
    <w:link w:val="FootnoteText"/>
    <w:semiHidden/>
    <w:rsid w:val="00C3714C"/>
    <w:rPr>
      <w:rFonts w:ascii="Arial" w:eastAsia="Times New Roman" w:hAnsi="Arial" w:cs="Arial"/>
      <w:sz w:val="18"/>
      <w:szCs w:val="20"/>
    </w:rPr>
  </w:style>
  <w:style w:type="character" w:styleId="FootnoteReference">
    <w:name w:val="footnote reference"/>
    <w:basedOn w:val="DefaultParagraphFont"/>
    <w:rsid w:val="00C3714C"/>
    <w:rPr>
      <w:vertAlign w:val="superscript"/>
    </w:rPr>
  </w:style>
  <w:style w:type="character" w:styleId="Hyperlink">
    <w:name w:val="Hyperlink"/>
    <w:basedOn w:val="DefaultParagraphFont"/>
    <w:rsid w:val="00C3714C"/>
    <w:rPr>
      <w:color w:val="003399"/>
      <w:u w:val="single"/>
    </w:rPr>
  </w:style>
  <w:style w:type="character" w:styleId="CommentReference">
    <w:name w:val="annotation reference"/>
    <w:basedOn w:val="DefaultParagraphFont"/>
    <w:rsid w:val="00C3714C"/>
    <w:rPr>
      <w:sz w:val="16"/>
      <w:szCs w:val="16"/>
    </w:rPr>
  </w:style>
  <w:style w:type="paragraph" w:styleId="CommentSubject">
    <w:name w:val="annotation subject"/>
    <w:basedOn w:val="CommentText"/>
    <w:next w:val="CommentText"/>
    <w:link w:val="CommentSubjectChar"/>
    <w:uiPriority w:val="99"/>
    <w:semiHidden/>
    <w:unhideWhenUsed/>
    <w:rsid w:val="00484CF4"/>
    <w:rPr>
      <w:b/>
      <w:bCs/>
      <w:sz w:val="20"/>
    </w:rPr>
  </w:style>
  <w:style w:type="character" w:customStyle="1" w:styleId="CommentSubjectChar">
    <w:name w:val="Comment Subject Char"/>
    <w:basedOn w:val="CommentTextChar"/>
    <w:link w:val="CommentSubject"/>
    <w:uiPriority w:val="99"/>
    <w:semiHidden/>
    <w:rsid w:val="00484CF4"/>
    <w:rPr>
      <w:rFonts w:ascii="Arial" w:eastAsia="SimSun" w:hAnsi="Arial" w:cs="Arial"/>
      <w:b/>
      <w:bCs/>
      <w:sz w:val="20"/>
      <w:szCs w:val="20"/>
      <w:lang w:eastAsia="zh-CN"/>
    </w:rPr>
  </w:style>
  <w:style w:type="paragraph" w:styleId="Caption">
    <w:name w:val="caption"/>
    <w:basedOn w:val="Normal"/>
    <w:next w:val="Normal"/>
    <w:qFormat/>
    <w:rsid w:val="00001620"/>
    <w:rPr>
      <w:b/>
      <w:bCs/>
      <w:sz w:val="18"/>
    </w:rPr>
  </w:style>
  <w:style w:type="paragraph" w:styleId="EndnoteText">
    <w:name w:val="endnote text"/>
    <w:basedOn w:val="Normal"/>
    <w:link w:val="EndnoteTextChar"/>
    <w:semiHidden/>
    <w:rsid w:val="00001620"/>
    <w:rPr>
      <w:sz w:val="18"/>
    </w:rPr>
  </w:style>
  <w:style w:type="character" w:customStyle="1" w:styleId="EndnoteTextChar">
    <w:name w:val="Endnote Text Char"/>
    <w:basedOn w:val="DefaultParagraphFont"/>
    <w:link w:val="EndnoteText"/>
    <w:semiHidden/>
    <w:rsid w:val="00001620"/>
    <w:rPr>
      <w:rFonts w:ascii="Arial" w:eastAsia="Times New Roman" w:hAnsi="Arial" w:cs="Arial"/>
      <w:sz w:val="18"/>
      <w:szCs w:val="20"/>
    </w:rPr>
  </w:style>
  <w:style w:type="character" w:customStyle="1" w:styleId="Heading1Char">
    <w:name w:val="Heading 1 Char"/>
    <w:basedOn w:val="DefaultParagraphFont"/>
    <w:link w:val="Heading1"/>
    <w:rsid w:val="00001620"/>
    <w:rPr>
      <w:rFonts w:ascii="Arial" w:eastAsia="SimSun" w:hAnsi="Arial" w:cs="Arial"/>
      <w:b/>
      <w:bCs/>
      <w:caps/>
      <w:kern w:val="32"/>
      <w:szCs w:val="32"/>
    </w:rPr>
  </w:style>
  <w:style w:type="character" w:customStyle="1" w:styleId="Heading2Char">
    <w:name w:val="Heading 2 Char"/>
    <w:basedOn w:val="DefaultParagraphFont"/>
    <w:link w:val="Heading2"/>
    <w:rsid w:val="00001620"/>
    <w:rPr>
      <w:rFonts w:ascii="Arial" w:eastAsia="SimSun" w:hAnsi="Arial" w:cs="Arial"/>
      <w:bCs/>
      <w:iCs/>
      <w:caps/>
      <w:szCs w:val="28"/>
    </w:rPr>
  </w:style>
  <w:style w:type="character" w:customStyle="1" w:styleId="Heading3Char">
    <w:name w:val="Heading 3 Char"/>
    <w:basedOn w:val="DefaultParagraphFont"/>
    <w:link w:val="Heading3"/>
    <w:rsid w:val="00001620"/>
    <w:rPr>
      <w:rFonts w:ascii="Arial" w:eastAsia="SimSun" w:hAnsi="Arial" w:cs="Arial"/>
      <w:bCs/>
      <w:szCs w:val="26"/>
      <w:u w:val="single"/>
    </w:rPr>
  </w:style>
  <w:style w:type="character" w:customStyle="1" w:styleId="Heading4Char">
    <w:name w:val="Heading 4 Char"/>
    <w:basedOn w:val="DefaultParagraphFont"/>
    <w:link w:val="Heading4"/>
    <w:rsid w:val="00001620"/>
    <w:rPr>
      <w:rFonts w:ascii="Arial" w:eastAsia="SimSun" w:hAnsi="Arial" w:cs="Arial"/>
      <w:bCs/>
      <w:i/>
      <w:szCs w:val="28"/>
    </w:rPr>
  </w:style>
  <w:style w:type="paragraph" w:styleId="ListNumber">
    <w:name w:val="List Number"/>
    <w:basedOn w:val="Normal"/>
    <w:semiHidden/>
    <w:rsid w:val="00001620"/>
    <w:pPr>
      <w:numPr>
        <w:numId w:val="38"/>
      </w:numPr>
    </w:pPr>
  </w:style>
  <w:style w:type="paragraph" w:customStyle="1" w:styleId="ONUMFS">
    <w:name w:val="ONUM FS"/>
    <w:basedOn w:val="BodyText"/>
    <w:rsid w:val="00001620"/>
    <w:pPr>
      <w:numPr>
        <w:numId w:val="40"/>
      </w:numPr>
    </w:pPr>
  </w:style>
  <w:style w:type="paragraph" w:styleId="Salutation">
    <w:name w:val="Salutation"/>
    <w:basedOn w:val="Normal"/>
    <w:next w:val="Normal"/>
    <w:link w:val="SalutationChar"/>
    <w:semiHidden/>
    <w:rsid w:val="00001620"/>
  </w:style>
  <w:style w:type="character" w:customStyle="1" w:styleId="SalutationChar">
    <w:name w:val="Salutation Char"/>
    <w:basedOn w:val="DefaultParagraphFont"/>
    <w:link w:val="Salutation"/>
    <w:semiHidden/>
    <w:rsid w:val="00001620"/>
    <w:rPr>
      <w:rFonts w:ascii="Arial" w:eastAsia="Times New Roman" w:hAnsi="Arial" w:cs="Arial"/>
      <w:szCs w:val="20"/>
    </w:rPr>
  </w:style>
  <w:style w:type="paragraph" w:styleId="Signature">
    <w:name w:val="Signature"/>
    <w:basedOn w:val="Normal"/>
    <w:link w:val="SignatureChar"/>
    <w:semiHidden/>
    <w:rsid w:val="00001620"/>
    <w:pPr>
      <w:ind w:left="5250"/>
    </w:pPr>
  </w:style>
  <w:style w:type="character" w:customStyle="1" w:styleId="SignatureChar">
    <w:name w:val="Signature Char"/>
    <w:basedOn w:val="DefaultParagraphFont"/>
    <w:link w:val="Signature"/>
    <w:semiHidden/>
    <w:rsid w:val="00001620"/>
    <w:rPr>
      <w:rFonts w:ascii="Arial" w:eastAsia="Times New Roman" w:hAnsi="Arial" w:cs="Arial"/>
      <w:szCs w:val="20"/>
    </w:rPr>
  </w:style>
  <w:style w:type="character" w:styleId="FollowedHyperlink">
    <w:name w:val="FollowedHyperlink"/>
    <w:basedOn w:val="DefaultParagraphFont"/>
    <w:uiPriority w:val="99"/>
    <w:semiHidden/>
    <w:unhideWhenUsed/>
    <w:rsid w:val="001A22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20"/>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00162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001620"/>
    <w:pPr>
      <w:keepNext/>
      <w:spacing w:before="240" w:after="60"/>
      <w:outlineLvl w:val="1"/>
    </w:pPr>
    <w:rPr>
      <w:rFonts w:eastAsia="SimSun"/>
      <w:bCs/>
      <w:iCs/>
      <w:caps/>
      <w:szCs w:val="28"/>
    </w:rPr>
  </w:style>
  <w:style w:type="paragraph" w:styleId="Heading3">
    <w:name w:val="heading 3"/>
    <w:basedOn w:val="Normal"/>
    <w:next w:val="Normal"/>
    <w:link w:val="Heading3Char"/>
    <w:qFormat/>
    <w:rsid w:val="0000162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00162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1620"/>
    <w:pPr>
      <w:tabs>
        <w:tab w:val="center" w:pos="4320"/>
        <w:tab w:val="right" w:pos="8640"/>
      </w:tabs>
    </w:pPr>
  </w:style>
  <w:style w:type="character" w:customStyle="1" w:styleId="FooterChar">
    <w:name w:val="Footer Char"/>
    <w:basedOn w:val="DefaultParagraphFont"/>
    <w:link w:val="Footer"/>
    <w:rsid w:val="00F35DA8"/>
    <w:rPr>
      <w:rFonts w:ascii="Arial" w:eastAsia="Times New Roman" w:hAnsi="Arial" w:cs="Arial"/>
      <w:szCs w:val="20"/>
    </w:rPr>
  </w:style>
  <w:style w:type="paragraph" w:customStyle="1" w:styleId="ONUME">
    <w:name w:val="ONUM E"/>
    <w:basedOn w:val="BodyText"/>
    <w:link w:val="ONUMEChar"/>
    <w:rsid w:val="00001620"/>
    <w:pPr>
      <w:numPr>
        <w:numId w:val="39"/>
      </w:numPr>
    </w:pPr>
  </w:style>
  <w:style w:type="character" w:customStyle="1" w:styleId="ONUMEChar">
    <w:name w:val="ONUM E Char"/>
    <w:link w:val="ONUME"/>
    <w:rsid w:val="00F35DA8"/>
    <w:rPr>
      <w:rFonts w:ascii="Arial" w:eastAsia="Times New Roman" w:hAnsi="Arial" w:cs="Arial"/>
      <w:szCs w:val="20"/>
    </w:rPr>
  </w:style>
  <w:style w:type="paragraph" w:styleId="ListParagraph">
    <w:name w:val="List Paragraph"/>
    <w:basedOn w:val="Normal"/>
    <w:uiPriority w:val="34"/>
    <w:qFormat/>
    <w:rsid w:val="00F35DA8"/>
    <w:pPr>
      <w:ind w:left="720"/>
      <w:contextualSpacing/>
    </w:pPr>
  </w:style>
  <w:style w:type="paragraph" w:customStyle="1" w:styleId="Endofdocument">
    <w:name w:val="End of document"/>
    <w:basedOn w:val="Normal"/>
    <w:rsid w:val="00001620"/>
    <w:pPr>
      <w:ind w:left="5534"/>
    </w:pPr>
    <w:rPr>
      <w:rFonts w:cs="Times New Roman"/>
    </w:rPr>
  </w:style>
  <w:style w:type="character" w:styleId="PageNumber">
    <w:name w:val="page number"/>
    <w:basedOn w:val="DefaultParagraphFont"/>
    <w:rsid w:val="00F35DA8"/>
  </w:style>
  <w:style w:type="paragraph" w:styleId="BodyText">
    <w:name w:val="Body Text"/>
    <w:basedOn w:val="Normal"/>
    <w:link w:val="BodyTextChar"/>
    <w:rsid w:val="00001620"/>
    <w:pPr>
      <w:spacing w:after="220"/>
    </w:pPr>
  </w:style>
  <w:style w:type="character" w:customStyle="1" w:styleId="BodyTextChar">
    <w:name w:val="Body Text Char"/>
    <w:basedOn w:val="DefaultParagraphFont"/>
    <w:link w:val="BodyText"/>
    <w:rsid w:val="00F35DA8"/>
    <w:rPr>
      <w:rFonts w:ascii="Arial" w:eastAsia="Times New Roman" w:hAnsi="Arial" w:cs="Arial"/>
      <w:szCs w:val="20"/>
    </w:rPr>
  </w:style>
  <w:style w:type="paragraph" w:styleId="BalloonText">
    <w:name w:val="Balloon Text"/>
    <w:basedOn w:val="Normal"/>
    <w:link w:val="BalloonTextChar"/>
    <w:uiPriority w:val="99"/>
    <w:semiHidden/>
    <w:unhideWhenUsed/>
    <w:rsid w:val="00F35DA8"/>
    <w:rPr>
      <w:rFonts w:ascii="Tahoma" w:hAnsi="Tahoma" w:cs="Tahoma"/>
      <w:sz w:val="16"/>
      <w:szCs w:val="16"/>
    </w:rPr>
  </w:style>
  <w:style w:type="character" w:customStyle="1" w:styleId="BalloonTextChar">
    <w:name w:val="Balloon Text Char"/>
    <w:basedOn w:val="DefaultParagraphFont"/>
    <w:link w:val="BalloonText"/>
    <w:uiPriority w:val="99"/>
    <w:semiHidden/>
    <w:rsid w:val="00F35DA8"/>
    <w:rPr>
      <w:rFonts w:ascii="Tahoma" w:eastAsia="SimSun" w:hAnsi="Tahoma" w:cs="Tahoma"/>
      <w:sz w:val="16"/>
      <w:szCs w:val="16"/>
      <w:lang w:eastAsia="zh-CN"/>
    </w:rPr>
  </w:style>
  <w:style w:type="paragraph" w:styleId="Header">
    <w:name w:val="header"/>
    <w:basedOn w:val="Normal"/>
    <w:link w:val="HeaderChar"/>
    <w:rsid w:val="00001620"/>
    <w:pPr>
      <w:tabs>
        <w:tab w:val="center" w:pos="4536"/>
        <w:tab w:val="right" w:pos="9072"/>
      </w:tabs>
    </w:pPr>
  </w:style>
  <w:style w:type="character" w:customStyle="1" w:styleId="HeaderChar">
    <w:name w:val="Header Char"/>
    <w:basedOn w:val="DefaultParagraphFont"/>
    <w:link w:val="Header"/>
    <w:rsid w:val="004D5B56"/>
    <w:rPr>
      <w:rFonts w:ascii="Arial" w:eastAsia="Times New Roman" w:hAnsi="Arial" w:cs="Arial"/>
      <w:szCs w:val="20"/>
    </w:rPr>
  </w:style>
  <w:style w:type="paragraph" w:styleId="CommentText">
    <w:name w:val="annotation text"/>
    <w:basedOn w:val="Normal"/>
    <w:link w:val="CommentTextChar"/>
    <w:semiHidden/>
    <w:rsid w:val="00001620"/>
    <w:rPr>
      <w:sz w:val="18"/>
    </w:rPr>
  </w:style>
  <w:style w:type="character" w:customStyle="1" w:styleId="CommentTextChar">
    <w:name w:val="Comment Text Char"/>
    <w:basedOn w:val="DefaultParagraphFont"/>
    <w:link w:val="CommentText"/>
    <w:semiHidden/>
    <w:rsid w:val="00C3714C"/>
    <w:rPr>
      <w:rFonts w:ascii="Arial" w:eastAsia="Times New Roman" w:hAnsi="Arial" w:cs="Arial"/>
      <w:sz w:val="18"/>
      <w:szCs w:val="20"/>
    </w:rPr>
  </w:style>
  <w:style w:type="paragraph" w:styleId="FootnoteText">
    <w:name w:val="footnote text"/>
    <w:basedOn w:val="Normal"/>
    <w:link w:val="FootnoteTextChar"/>
    <w:semiHidden/>
    <w:rsid w:val="00001620"/>
    <w:rPr>
      <w:sz w:val="18"/>
    </w:rPr>
  </w:style>
  <w:style w:type="character" w:customStyle="1" w:styleId="FootnoteTextChar">
    <w:name w:val="Footnote Text Char"/>
    <w:basedOn w:val="DefaultParagraphFont"/>
    <w:link w:val="FootnoteText"/>
    <w:semiHidden/>
    <w:rsid w:val="00C3714C"/>
    <w:rPr>
      <w:rFonts w:ascii="Arial" w:eastAsia="Times New Roman" w:hAnsi="Arial" w:cs="Arial"/>
      <w:sz w:val="18"/>
      <w:szCs w:val="20"/>
    </w:rPr>
  </w:style>
  <w:style w:type="character" w:styleId="FootnoteReference">
    <w:name w:val="footnote reference"/>
    <w:basedOn w:val="DefaultParagraphFont"/>
    <w:rsid w:val="00C3714C"/>
    <w:rPr>
      <w:vertAlign w:val="superscript"/>
    </w:rPr>
  </w:style>
  <w:style w:type="character" w:styleId="Hyperlink">
    <w:name w:val="Hyperlink"/>
    <w:basedOn w:val="DefaultParagraphFont"/>
    <w:rsid w:val="00C3714C"/>
    <w:rPr>
      <w:color w:val="003399"/>
      <w:u w:val="single"/>
    </w:rPr>
  </w:style>
  <w:style w:type="character" w:styleId="CommentReference">
    <w:name w:val="annotation reference"/>
    <w:basedOn w:val="DefaultParagraphFont"/>
    <w:rsid w:val="00C3714C"/>
    <w:rPr>
      <w:sz w:val="16"/>
      <w:szCs w:val="16"/>
    </w:rPr>
  </w:style>
  <w:style w:type="paragraph" w:styleId="CommentSubject">
    <w:name w:val="annotation subject"/>
    <w:basedOn w:val="CommentText"/>
    <w:next w:val="CommentText"/>
    <w:link w:val="CommentSubjectChar"/>
    <w:uiPriority w:val="99"/>
    <w:semiHidden/>
    <w:unhideWhenUsed/>
    <w:rsid w:val="00484CF4"/>
    <w:rPr>
      <w:b/>
      <w:bCs/>
      <w:sz w:val="20"/>
    </w:rPr>
  </w:style>
  <w:style w:type="character" w:customStyle="1" w:styleId="CommentSubjectChar">
    <w:name w:val="Comment Subject Char"/>
    <w:basedOn w:val="CommentTextChar"/>
    <w:link w:val="CommentSubject"/>
    <w:uiPriority w:val="99"/>
    <w:semiHidden/>
    <w:rsid w:val="00484CF4"/>
    <w:rPr>
      <w:rFonts w:ascii="Arial" w:eastAsia="SimSun" w:hAnsi="Arial" w:cs="Arial"/>
      <w:b/>
      <w:bCs/>
      <w:sz w:val="20"/>
      <w:szCs w:val="20"/>
      <w:lang w:eastAsia="zh-CN"/>
    </w:rPr>
  </w:style>
  <w:style w:type="paragraph" w:styleId="Caption">
    <w:name w:val="caption"/>
    <w:basedOn w:val="Normal"/>
    <w:next w:val="Normal"/>
    <w:qFormat/>
    <w:rsid w:val="00001620"/>
    <w:rPr>
      <w:b/>
      <w:bCs/>
      <w:sz w:val="18"/>
    </w:rPr>
  </w:style>
  <w:style w:type="paragraph" w:styleId="EndnoteText">
    <w:name w:val="endnote text"/>
    <w:basedOn w:val="Normal"/>
    <w:link w:val="EndnoteTextChar"/>
    <w:semiHidden/>
    <w:rsid w:val="00001620"/>
    <w:rPr>
      <w:sz w:val="18"/>
    </w:rPr>
  </w:style>
  <w:style w:type="character" w:customStyle="1" w:styleId="EndnoteTextChar">
    <w:name w:val="Endnote Text Char"/>
    <w:basedOn w:val="DefaultParagraphFont"/>
    <w:link w:val="EndnoteText"/>
    <w:semiHidden/>
    <w:rsid w:val="00001620"/>
    <w:rPr>
      <w:rFonts w:ascii="Arial" w:eastAsia="Times New Roman" w:hAnsi="Arial" w:cs="Arial"/>
      <w:sz w:val="18"/>
      <w:szCs w:val="20"/>
    </w:rPr>
  </w:style>
  <w:style w:type="character" w:customStyle="1" w:styleId="Heading1Char">
    <w:name w:val="Heading 1 Char"/>
    <w:basedOn w:val="DefaultParagraphFont"/>
    <w:link w:val="Heading1"/>
    <w:rsid w:val="00001620"/>
    <w:rPr>
      <w:rFonts w:ascii="Arial" w:eastAsia="SimSun" w:hAnsi="Arial" w:cs="Arial"/>
      <w:b/>
      <w:bCs/>
      <w:caps/>
      <w:kern w:val="32"/>
      <w:szCs w:val="32"/>
    </w:rPr>
  </w:style>
  <w:style w:type="character" w:customStyle="1" w:styleId="Heading2Char">
    <w:name w:val="Heading 2 Char"/>
    <w:basedOn w:val="DefaultParagraphFont"/>
    <w:link w:val="Heading2"/>
    <w:rsid w:val="00001620"/>
    <w:rPr>
      <w:rFonts w:ascii="Arial" w:eastAsia="SimSun" w:hAnsi="Arial" w:cs="Arial"/>
      <w:bCs/>
      <w:iCs/>
      <w:caps/>
      <w:szCs w:val="28"/>
    </w:rPr>
  </w:style>
  <w:style w:type="character" w:customStyle="1" w:styleId="Heading3Char">
    <w:name w:val="Heading 3 Char"/>
    <w:basedOn w:val="DefaultParagraphFont"/>
    <w:link w:val="Heading3"/>
    <w:rsid w:val="00001620"/>
    <w:rPr>
      <w:rFonts w:ascii="Arial" w:eastAsia="SimSun" w:hAnsi="Arial" w:cs="Arial"/>
      <w:bCs/>
      <w:szCs w:val="26"/>
      <w:u w:val="single"/>
    </w:rPr>
  </w:style>
  <w:style w:type="character" w:customStyle="1" w:styleId="Heading4Char">
    <w:name w:val="Heading 4 Char"/>
    <w:basedOn w:val="DefaultParagraphFont"/>
    <w:link w:val="Heading4"/>
    <w:rsid w:val="00001620"/>
    <w:rPr>
      <w:rFonts w:ascii="Arial" w:eastAsia="SimSun" w:hAnsi="Arial" w:cs="Arial"/>
      <w:bCs/>
      <w:i/>
      <w:szCs w:val="28"/>
    </w:rPr>
  </w:style>
  <w:style w:type="paragraph" w:styleId="ListNumber">
    <w:name w:val="List Number"/>
    <w:basedOn w:val="Normal"/>
    <w:semiHidden/>
    <w:rsid w:val="00001620"/>
    <w:pPr>
      <w:numPr>
        <w:numId w:val="38"/>
      </w:numPr>
    </w:pPr>
  </w:style>
  <w:style w:type="paragraph" w:customStyle="1" w:styleId="ONUMFS">
    <w:name w:val="ONUM FS"/>
    <w:basedOn w:val="BodyText"/>
    <w:rsid w:val="00001620"/>
    <w:pPr>
      <w:numPr>
        <w:numId w:val="40"/>
      </w:numPr>
    </w:pPr>
  </w:style>
  <w:style w:type="paragraph" w:styleId="Salutation">
    <w:name w:val="Salutation"/>
    <w:basedOn w:val="Normal"/>
    <w:next w:val="Normal"/>
    <w:link w:val="SalutationChar"/>
    <w:semiHidden/>
    <w:rsid w:val="00001620"/>
  </w:style>
  <w:style w:type="character" w:customStyle="1" w:styleId="SalutationChar">
    <w:name w:val="Salutation Char"/>
    <w:basedOn w:val="DefaultParagraphFont"/>
    <w:link w:val="Salutation"/>
    <w:semiHidden/>
    <w:rsid w:val="00001620"/>
    <w:rPr>
      <w:rFonts w:ascii="Arial" w:eastAsia="Times New Roman" w:hAnsi="Arial" w:cs="Arial"/>
      <w:szCs w:val="20"/>
    </w:rPr>
  </w:style>
  <w:style w:type="paragraph" w:styleId="Signature">
    <w:name w:val="Signature"/>
    <w:basedOn w:val="Normal"/>
    <w:link w:val="SignatureChar"/>
    <w:semiHidden/>
    <w:rsid w:val="00001620"/>
    <w:pPr>
      <w:ind w:left="5250"/>
    </w:pPr>
  </w:style>
  <w:style w:type="character" w:customStyle="1" w:styleId="SignatureChar">
    <w:name w:val="Signature Char"/>
    <w:basedOn w:val="DefaultParagraphFont"/>
    <w:link w:val="Signature"/>
    <w:semiHidden/>
    <w:rsid w:val="00001620"/>
    <w:rPr>
      <w:rFonts w:ascii="Arial" w:eastAsia="Times New Roman" w:hAnsi="Arial" w:cs="Arial"/>
      <w:szCs w:val="20"/>
    </w:rPr>
  </w:style>
  <w:style w:type="character" w:styleId="FollowedHyperlink">
    <w:name w:val="FollowedHyperlink"/>
    <w:basedOn w:val="DefaultParagraphFont"/>
    <w:uiPriority w:val="99"/>
    <w:semiHidden/>
    <w:unhideWhenUsed/>
    <w:rsid w:val="001A22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7368">
      <w:bodyDiv w:val="1"/>
      <w:marLeft w:val="0"/>
      <w:marRight w:val="0"/>
      <w:marTop w:val="0"/>
      <w:marBottom w:val="0"/>
      <w:divBdr>
        <w:top w:val="none" w:sz="0" w:space="0" w:color="auto"/>
        <w:left w:val="none" w:sz="0" w:space="0" w:color="auto"/>
        <w:bottom w:val="none" w:sz="0" w:space="0" w:color="auto"/>
        <w:right w:val="none" w:sz="0" w:space="0" w:color="auto"/>
      </w:divBdr>
    </w:div>
    <w:div w:id="885675626">
      <w:bodyDiv w:val="1"/>
      <w:marLeft w:val="0"/>
      <w:marRight w:val="0"/>
      <w:marTop w:val="0"/>
      <w:marBottom w:val="0"/>
      <w:divBdr>
        <w:top w:val="none" w:sz="0" w:space="0" w:color="auto"/>
        <w:left w:val="none" w:sz="0" w:space="0" w:color="auto"/>
        <w:bottom w:val="none" w:sz="0" w:space="0" w:color="auto"/>
        <w:right w:val="none" w:sz="0" w:space="0" w:color="auto"/>
      </w:divBdr>
    </w:div>
    <w:div w:id="18318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adrid/en/legal_texts/trtdocs_wo016.htm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ipo.int/madrid/en/legal_texts/trtdocs_wo016.html"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76FA-4EB8-4CC3-A8F5-DBB1C634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5538</Words>
  <Characters>31573</Characters>
  <Application>Microsoft Office Word</Application>
  <DocSecurity>6</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NARAYANASWAMY Chitra</dc:creator>
  <cp:keywords>JCH/ko</cp:keywords>
  <cp:lastModifiedBy>DOYON Geneviève</cp:lastModifiedBy>
  <cp:revision>2</cp:revision>
  <cp:lastPrinted>2015-06-22T08:57:00Z</cp:lastPrinted>
  <dcterms:created xsi:type="dcterms:W3CDTF">2015-06-22T10:04:00Z</dcterms:created>
  <dcterms:modified xsi:type="dcterms:W3CDTF">2015-06-22T10:04:00Z</dcterms:modified>
</cp:coreProperties>
</file>