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E6476" w:rsidRPr="004E6476" w:rsidTr="00410790">
        <w:tc>
          <w:tcPr>
            <w:tcW w:w="4513" w:type="dxa"/>
            <w:tcBorders>
              <w:bottom w:val="single" w:sz="4" w:space="0" w:color="auto"/>
            </w:tcBorders>
            <w:tcMar>
              <w:bottom w:w="170" w:type="dxa"/>
            </w:tcMar>
          </w:tcPr>
          <w:p w:rsidR="00540C3E" w:rsidRPr="004E6476" w:rsidRDefault="00540C3E" w:rsidP="007B6919">
            <w:pPr>
              <w:rPr>
                <w:lang w:val="fr-FR"/>
              </w:rPr>
            </w:pPr>
            <w:bookmarkStart w:id="0" w:name="_GoBack"/>
            <w:bookmarkEnd w:id="0"/>
          </w:p>
        </w:tc>
        <w:tc>
          <w:tcPr>
            <w:tcW w:w="4337" w:type="dxa"/>
            <w:tcBorders>
              <w:bottom w:val="single" w:sz="4" w:space="0" w:color="auto"/>
            </w:tcBorders>
            <w:tcMar>
              <w:left w:w="0" w:type="dxa"/>
              <w:right w:w="0" w:type="dxa"/>
            </w:tcMar>
          </w:tcPr>
          <w:p w:rsidR="00540C3E" w:rsidRPr="004E6476" w:rsidRDefault="00540C3E" w:rsidP="007B6919">
            <w:pPr>
              <w:rPr>
                <w:lang w:val="fr-FR"/>
              </w:rPr>
            </w:pPr>
            <w:r w:rsidRPr="004E6476">
              <w:rPr>
                <w:noProof/>
                <w:lang w:eastAsia="en-US"/>
              </w:rPr>
              <w:drawing>
                <wp:inline distT="0" distB="0" distL="0" distR="0" wp14:anchorId="5ECDF2D3" wp14:editId="1DE97A2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40C3E" w:rsidRPr="004E6476" w:rsidRDefault="00540C3E" w:rsidP="007B6919">
            <w:pPr>
              <w:jc w:val="right"/>
              <w:rPr>
                <w:lang w:val="fr-FR"/>
              </w:rPr>
            </w:pPr>
            <w:r w:rsidRPr="004E6476">
              <w:rPr>
                <w:b/>
                <w:sz w:val="40"/>
                <w:szCs w:val="40"/>
                <w:lang w:val="fr-FR"/>
              </w:rPr>
              <w:t>F</w:t>
            </w:r>
          </w:p>
        </w:tc>
      </w:tr>
      <w:tr w:rsidR="004E6476" w:rsidRPr="004E6476" w:rsidTr="007B6919">
        <w:trPr>
          <w:trHeight w:hRule="exact" w:val="340"/>
        </w:trPr>
        <w:tc>
          <w:tcPr>
            <w:tcW w:w="9356" w:type="dxa"/>
            <w:gridSpan w:val="3"/>
            <w:tcBorders>
              <w:top w:val="single" w:sz="4" w:space="0" w:color="auto"/>
            </w:tcBorders>
            <w:tcMar>
              <w:top w:w="170" w:type="dxa"/>
              <w:left w:w="0" w:type="dxa"/>
              <w:right w:w="0" w:type="dxa"/>
            </w:tcMar>
            <w:vAlign w:val="bottom"/>
          </w:tcPr>
          <w:p w:rsidR="00540C3E" w:rsidRPr="004E6476" w:rsidRDefault="00540C3E" w:rsidP="007B6919">
            <w:pPr>
              <w:jc w:val="right"/>
              <w:rPr>
                <w:rFonts w:ascii="Arial Black" w:hAnsi="Arial Black"/>
                <w:caps/>
                <w:sz w:val="15"/>
                <w:lang w:val="fr-FR"/>
              </w:rPr>
            </w:pPr>
            <w:r w:rsidRPr="004E6476">
              <w:rPr>
                <w:rFonts w:ascii="Arial Black" w:hAnsi="Arial Black"/>
                <w:caps/>
                <w:sz w:val="15"/>
                <w:lang w:val="fr-FR"/>
              </w:rPr>
              <w:t>WO/PBC/22/</w:t>
            </w:r>
            <w:bookmarkStart w:id="1" w:name="Code"/>
            <w:bookmarkEnd w:id="1"/>
            <w:r w:rsidRPr="004E6476">
              <w:rPr>
                <w:rFonts w:ascii="Arial Black" w:hAnsi="Arial Black"/>
                <w:caps/>
                <w:sz w:val="15"/>
                <w:lang w:val="fr-FR"/>
              </w:rPr>
              <w:t xml:space="preserve">27 </w:t>
            </w:r>
          </w:p>
        </w:tc>
      </w:tr>
      <w:tr w:rsidR="004E6476" w:rsidRPr="004E6476" w:rsidTr="007B6919">
        <w:trPr>
          <w:trHeight w:hRule="exact" w:val="170"/>
        </w:trPr>
        <w:tc>
          <w:tcPr>
            <w:tcW w:w="9356" w:type="dxa"/>
            <w:gridSpan w:val="3"/>
            <w:noWrap/>
            <w:tcMar>
              <w:left w:w="0" w:type="dxa"/>
              <w:right w:w="0" w:type="dxa"/>
            </w:tcMar>
            <w:vAlign w:val="bottom"/>
          </w:tcPr>
          <w:p w:rsidR="00540C3E" w:rsidRPr="004E6476" w:rsidRDefault="00540C3E" w:rsidP="007B6919">
            <w:pPr>
              <w:jc w:val="right"/>
              <w:rPr>
                <w:rFonts w:ascii="Arial Black" w:hAnsi="Arial Black"/>
                <w:caps/>
                <w:sz w:val="15"/>
                <w:lang w:val="fr-FR"/>
              </w:rPr>
            </w:pPr>
            <w:r w:rsidRPr="004E6476">
              <w:rPr>
                <w:rFonts w:ascii="Arial Black" w:hAnsi="Arial Black"/>
                <w:caps/>
                <w:sz w:val="15"/>
                <w:lang w:val="fr-FR"/>
              </w:rPr>
              <w:t>ORIGINAL</w:t>
            </w:r>
            <w:r w:rsidR="000007E7" w:rsidRPr="004E6476">
              <w:rPr>
                <w:rFonts w:ascii="Arial Black" w:hAnsi="Arial Black"/>
                <w:caps/>
                <w:sz w:val="15"/>
                <w:lang w:val="fr-FR"/>
              </w:rPr>
              <w:t> </w:t>
            </w:r>
            <w:r w:rsidRPr="004E6476">
              <w:rPr>
                <w:rFonts w:ascii="Arial Black" w:hAnsi="Arial Black"/>
                <w:caps/>
                <w:sz w:val="15"/>
                <w:lang w:val="fr-FR"/>
              </w:rPr>
              <w:t xml:space="preserve">: </w:t>
            </w:r>
            <w:bookmarkStart w:id="2" w:name="Original"/>
            <w:bookmarkEnd w:id="2"/>
            <w:r w:rsidRPr="004E6476">
              <w:rPr>
                <w:rFonts w:ascii="Arial Black" w:hAnsi="Arial Black"/>
                <w:caps/>
                <w:sz w:val="15"/>
                <w:lang w:val="fr-FR"/>
              </w:rPr>
              <w:t>anglais</w:t>
            </w:r>
          </w:p>
        </w:tc>
      </w:tr>
      <w:tr w:rsidR="004E6476" w:rsidRPr="004E6476" w:rsidTr="007B6919">
        <w:trPr>
          <w:trHeight w:hRule="exact" w:val="198"/>
        </w:trPr>
        <w:tc>
          <w:tcPr>
            <w:tcW w:w="9356" w:type="dxa"/>
            <w:gridSpan w:val="3"/>
            <w:tcMar>
              <w:left w:w="0" w:type="dxa"/>
              <w:right w:w="0" w:type="dxa"/>
            </w:tcMar>
            <w:vAlign w:val="bottom"/>
          </w:tcPr>
          <w:p w:rsidR="00540C3E" w:rsidRPr="004E6476" w:rsidRDefault="00540C3E" w:rsidP="007B6919">
            <w:pPr>
              <w:jc w:val="right"/>
              <w:rPr>
                <w:rFonts w:ascii="Arial Black" w:hAnsi="Arial Black"/>
                <w:caps/>
                <w:sz w:val="15"/>
                <w:lang w:val="fr-FR"/>
              </w:rPr>
            </w:pPr>
            <w:r w:rsidRPr="004E6476">
              <w:rPr>
                <w:rFonts w:ascii="Arial Black" w:hAnsi="Arial Black"/>
                <w:caps/>
                <w:sz w:val="15"/>
                <w:lang w:val="fr-FR"/>
              </w:rPr>
              <w:t>DATE</w:t>
            </w:r>
            <w:r w:rsidR="000007E7" w:rsidRPr="004E6476">
              <w:rPr>
                <w:rFonts w:ascii="Arial Black" w:hAnsi="Arial Black"/>
                <w:caps/>
                <w:sz w:val="15"/>
                <w:lang w:val="fr-FR"/>
              </w:rPr>
              <w:t> </w:t>
            </w:r>
            <w:r w:rsidRPr="004E6476">
              <w:rPr>
                <w:rFonts w:ascii="Arial Black" w:hAnsi="Arial Black"/>
                <w:caps/>
                <w:sz w:val="15"/>
                <w:lang w:val="fr-FR"/>
              </w:rPr>
              <w:t>: 25 juillet 2014</w:t>
            </w:r>
          </w:p>
        </w:tc>
      </w:tr>
    </w:tbl>
    <w:p w:rsidR="00540C3E" w:rsidRPr="004E6476" w:rsidRDefault="00540C3E" w:rsidP="00540C3E">
      <w:pPr>
        <w:rPr>
          <w:lang w:val="fr-FR"/>
        </w:rPr>
      </w:pPr>
    </w:p>
    <w:p w:rsidR="00540C3E" w:rsidRPr="004E6476" w:rsidRDefault="00540C3E" w:rsidP="00540C3E">
      <w:pPr>
        <w:rPr>
          <w:lang w:val="fr-FR"/>
        </w:rPr>
      </w:pPr>
    </w:p>
    <w:p w:rsidR="00540C3E" w:rsidRPr="004E6476" w:rsidRDefault="00540C3E" w:rsidP="00540C3E">
      <w:pPr>
        <w:rPr>
          <w:lang w:val="fr-FR"/>
        </w:rPr>
      </w:pPr>
    </w:p>
    <w:p w:rsidR="00540C3E" w:rsidRPr="004E6476" w:rsidRDefault="00540C3E" w:rsidP="00540C3E">
      <w:pPr>
        <w:rPr>
          <w:lang w:val="fr-FR"/>
        </w:rPr>
      </w:pPr>
    </w:p>
    <w:p w:rsidR="00540C3E" w:rsidRPr="004E6476" w:rsidRDefault="00540C3E" w:rsidP="00540C3E">
      <w:pPr>
        <w:rPr>
          <w:lang w:val="fr-FR"/>
        </w:rPr>
      </w:pPr>
    </w:p>
    <w:p w:rsidR="00540C3E" w:rsidRPr="004E6476" w:rsidRDefault="00540C3E" w:rsidP="00540C3E">
      <w:pPr>
        <w:rPr>
          <w:b/>
          <w:sz w:val="28"/>
          <w:szCs w:val="28"/>
          <w:lang w:val="fr-FR"/>
        </w:rPr>
      </w:pPr>
      <w:r w:rsidRPr="004E6476">
        <w:rPr>
          <w:b/>
          <w:sz w:val="28"/>
          <w:szCs w:val="28"/>
          <w:lang w:val="fr-FR"/>
        </w:rPr>
        <w:t>Comit</w:t>
      </w:r>
      <w:r w:rsidRPr="004E6476">
        <w:rPr>
          <w:rFonts w:cs="Simplified Arabic"/>
          <w:b/>
          <w:sz w:val="28"/>
          <w:szCs w:val="28"/>
          <w:lang w:val="fr-FR"/>
        </w:rPr>
        <w:t>é</w:t>
      </w:r>
      <w:r w:rsidRPr="004E6476">
        <w:rPr>
          <w:b/>
          <w:sz w:val="28"/>
          <w:szCs w:val="28"/>
          <w:lang w:val="fr-FR"/>
        </w:rPr>
        <w:t xml:space="preserve"> du programme et budget</w:t>
      </w:r>
    </w:p>
    <w:p w:rsidR="00540C3E" w:rsidRPr="004E6476" w:rsidRDefault="00540C3E" w:rsidP="00540C3E">
      <w:pPr>
        <w:rPr>
          <w:lang w:val="fr-FR"/>
        </w:rPr>
      </w:pPr>
    </w:p>
    <w:p w:rsidR="00540C3E" w:rsidRPr="004E6476" w:rsidRDefault="00540C3E" w:rsidP="00540C3E">
      <w:pPr>
        <w:rPr>
          <w:lang w:val="fr-FR"/>
        </w:rPr>
      </w:pPr>
    </w:p>
    <w:p w:rsidR="00540C3E" w:rsidRPr="004E6476" w:rsidRDefault="00540C3E" w:rsidP="00540C3E">
      <w:pPr>
        <w:rPr>
          <w:b/>
          <w:sz w:val="24"/>
          <w:szCs w:val="24"/>
          <w:lang w:val="fr-FR"/>
        </w:rPr>
      </w:pPr>
      <w:r w:rsidRPr="004E6476">
        <w:rPr>
          <w:b/>
          <w:bCs/>
          <w:sz w:val="24"/>
          <w:szCs w:val="24"/>
          <w:lang w:val="fr-FR"/>
        </w:rPr>
        <w:t>Vingt</w:t>
      </w:r>
      <w:r w:rsidR="00387092" w:rsidRPr="004E6476">
        <w:rPr>
          <w:b/>
          <w:bCs/>
          <w:sz w:val="24"/>
          <w:szCs w:val="24"/>
          <w:lang w:val="fr-FR"/>
        </w:rPr>
        <w:noBreakHyphen/>
      </w:r>
      <w:r w:rsidRPr="004E6476">
        <w:rPr>
          <w:b/>
          <w:bCs/>
          <w:sz w:val="24"/>
          <w:szCs w:val="24"/>
          <w:lang w:val="fr-FR"/>
        </w:rPr>
        <w:t>deuxième</w:t>
      </w:r>
      <w:r w:rsidR="000007E7" w:rsidRPr="004E6476">
        <w:rPr>
          <w:b/>
          <w:bCs/>
          <w:sz w:val="24"/>
          <w:szCs w:val="24"/>
          <w:lang w:val="fr-FR"/>
        </w:rPr>
        <w:t> </w:t>
      </w:r>
      <w:r w:rsidRPr="004E6476">
        <w:rPr>
          <w:b/>
          <w:bCs/>
          <w:sz w:val="24"/>
          <w:szCs w:val="24"/>
          <w:lang w:val="fr-FR"/>
        </w:rPr>
        <w:t>se</w:t>
      </w:r>
      <w:r w:rsidRPr="004E6476">
        <w:rPr>
          <w:b/>
          <w:sz w:val="24"/>
          <w:szCs w:val="24"/>
          <w:lang w:val="fr-FR"/>
        </w:rPr>
        <w:t>ssion</w:t>
      </w:r>
    </w:p>
    <w:p w:rsidR="00540C3E" w:rsidRPr="004E6476" w:rsidRDefault="00540C3E" w:rsidP="00540C3E">
      <w:pPr>
        <w:rPr>
          <w:lang w:val="fr-FR"/>
        </w:rPr>
      </w:pPr>
      <w:r w:rsidRPr="004E6476">
        <w:rPr>
          <w:b/>
          <w:sz w:val="24"/>
          <w:szCs w:val="24"/>
          <w:lang w:val="fr-FR"/>
        </w:rPr>
        <w:t>Genève, 1</w:t>
      </w:r>
      <w:r w:rsidRPr="004E6476">
        <w:rPr>
          <w:b/>
          <w:sz w:val="24"/>
          <w:szCs w:val="24"/>
          <w:vertAlign w:val="superscript"/>
          <w:lang w:val="fr-FR"/>
        </w:rPr>
        <w:t>er</w:t>
      </w:r>
      <w:r w:rsidRPr="004E6476">
        <w:rPr>
          <w:b/>
          <w:sz w:val="24"/>
          <w:szCs w:val="24"/>
          <w:lang w:val="fr-FR"/>
        </w:rPr>
        <w:t> – 5 septembre 2014</w:t>
      </w:r>
    </w:p>
    <w:p w:rsidR="00540C3E" w:rsidRPr="004E6476" w:rsidRDefault="00540C3E" w:rsidP="00540C3E">
      <w:pPr>
        <w:rPr>
          <w:lang w:val="fr-FR"/>
        </w:rPr>
      </w:pPr>
    </w:p>
    <w:p w:rsidR="00540C3E" w:rsidRPr="004E6476" w:rsidRDefault="00540C3E" w:rsidP="00540C3E">
      <w:pPr>
        <w:rPr>
          <w:lang w:val="fr-FR"/>
        </w:rPr>
      </w:pPr>
    </w:p>
    <w:p w:rsidR="00FB7FE5" w:rsidRPr="004E6476" w:rsidRDefault="00DA353A" w:rsidP="008B2CC1">
      <w:pPr>
        <w:rPr>
          <w:caps/>
          <w:sz w:val="24"/>
          <w:lang w:val="fr-FR"/>
        </w:rPr>
      </w:pPr>
      <w:r w:rsidRPr="004E6476">
        <w:rPr>
          <w:caps/>
          <w:szCs w:val="22"/>
          <w:lang w:val="fr-FR"/>
        </w:rPr>
        <w:t>Proposition de réforme et d’amélioration de</w:t>
      </w:r>
      <w:r w:rsidR="00EC3EF9" w:rsidRPr="004E6476">
        <w:rPr>
          <w:caps/>
          <w:szCs w:val="22"/>
          <w:lang w:val="fr-FR"/>
        </w:rPr>
        <w:t>s</w:t>
      </w:r>
      <w:r w:rsidRPr="004E6476">
        <w:rPr>
          <w:caps/>
          <w:szCs w:val="22"/>
          <w:lang w:val="fr-FR"/>
        </w:rPr>
        <w:t xml:space="preserve"> rapports sur l’exécution du programme et budget et </w:t>
      </w:r>
      <w:r w:rsidR="00EC3EF9" w:rsidRPr="004E6476">
        <w:rPr>
          <w:caps/>
          <w:szCs w:val="22"/>
          <w:lang w:val="fr-FR"/>
        </w:rPr>
        <w:t>des rapports financiers</w:t>
      </w:r>
    </w:p>
    <w:p w:rsidR="00FB7FE5" w:rsidRPr="004E6476" w:rsidRDefault="00FB7FE5" w:rsidP="008B2CC1">
      <w:pPr>
        <w:rPr>
          <w:lang w:val="fr-FR"/>
        </w:rPr>
      </w:pPr>
    </w:p>
    <w:p w:rsidR="00FB7FE5" w:rsidRPr="004E6476" w:rsidRDefault="002F47C3" w:rsidP="002F47C3">
      <w:pPr>
        <w:rPr>
          <w:i/>
          <w:lang w:val="fr-FR"/>
        </w:rPr>
      </w:pPr>
      <w:bookmarkStart w:id="3" w:name="Prepared"/>
      <w:bookmarkEnd w:id="3"/>
      <w:r w:rsidRPr="004E6476">
        <w:rPr>
          <w:i/>
          <w:lang w:val="fr-FR"/>
        </w:rPr>
        <w:t xml:space="preserve">Document </w:t>
      </w:r>
      <w:r w:rsidR="00DA353A" w:rsidRPr="004E6476">
        <w:rPr>
          <w:i/>
          <w:lang w:val="fr-FR"/>
        </w:rPr>
        <w:t xml:space="preserve">établi par le </w:t>
      </w:r>
      <w:r w:rsidRPr="004E6476">
        <w:rPr>
          <w:i/>
          <w:lang w:val="fr-FR"/>
        </w:rPr>
        <w:t>Secr</w:t>
      </w:r>
      <w:r w:rsidR="00DA353A" w:rsidRPr="004E6476">
        <w:rPr>
          <w:i/>
          <w:lang w:val="fr-FR"/>
        </w:rPr>
        <w:t>é</w:t>
      </w:r>
      <w:r w:rsidRPr="004E6476">
        <w:rPr>
          <w:i/>
          <w:lang w:val="fr-FR"/>
        </w:rPr>
        <w:t>tariat</w:t>
      </w:r>
    </w:p>
    <w:p w:rsidR="00FB7FE5" w:rsidRPr="004E6476" w:rsidRDefault="00FB7FE5">
      <w:pPr>
        <w:rPr>
          <w:lang w:val="fr-FR"/>
        </w:rPr>
      </w:pPr>
    </w:p>
    <w:p w:rsidR="00FB7FE5" w:rsidRPr="004E6476" w:rsidRDefault="00FB7FE5">
      <w:pPr>
        <w:rPr>
          <w:lang w:val="fr-FR"/>
        </w:rPr>
      </w:pPr>
    </w:p>
    <w:p w:rsidR="00FB7FE5" w:rsidRPr="004E6476" w:rsidRDefault="00FB7FE5">
      <w:pPr>
        <w:rPr>
          <w:lang w:val="fr-FR"/>
        </w:rPr>
      </w:pPr>
    </w:p>
    <w:p w:rsidR="00FB7FE5" w:rsidRPr="004E6476" w:rsidRDefault="00FB7FE5" w:rsidP="0053057A">
      <w:pPr>
        <w:rPr>
          <w:lang w:val="fr-FR"/>
        </w:rPr>
      </w:pPr>
    </w:p>
    <w:p w:rsidR="00FB7FE5" w:rsidRPr="004E6476" w:rsidRDefault="000F328A" w:rsidP="009534A7">
      <w:pPr>
        <w:pStyle w:val="Heading1"/>
        <w:rPr>
          <w:lang w:val="fr-FR"/>
        </w:rPr>
      </w:pPr>
      <w:r w:rsidRPr="004E6476">
        <w:rPr>
          <w:lang w:val="fr-FR"/>
        </w:rPr>
        <w:t>I.</w:t>
      </w:r>
      <w:r w:rsidRPr="004E6476">
        <w:rPr>
          <w:lang w:val="fr-FR"/>
        </w:rPr>
        <w:tab/>
      </w:r>
      <w:r w:rsidR="00387092" w:rsidRPr="004E6476">
        <w:rPr>
          <w:lang w:val="fr-FR"/>
        </w:rPr>
        <w:t>Introduction</w:t>
      </w:r>
    </w:p>
    <w:p w:rsidR="00FB7FE5" w:rsidRPr="004E6476" w:rsidRDefault="00FB7FE5" w:rsidP="009534A7">
      <w:pPr>
        <w:rPr>
          <w:lang w:val="fr-FR"/>
        </w:rPr>
      </w:pPr>
    </w:p>
    <w:p w:rsidR="00387092" w:rsidRPr="004E6476" w:rsidRDefault="00167AE3" w:rsidP="009534A7">
      <w:pPr>
        <w:pStyle w:val="ONUMFS"/>
        <w:rPr>
          <w:lang w:val="fr-FR"/>
        </w:rPr>
      </w:pPr>
      <w:r w:rsidRPr="004E6476">
        <w:rPr>
          <w:lang w:val="fr-FR"/>
        </w:rPr>
        <w:t xml:space="preserve">Le Secrétariat cherche </w:t>
      </w:r>
      <w:r w:rsidR="0000799F" w:rsidRPr="004E6476">
        <w:rPr>
          <w:lang w:val="fr-FR"/>
        </w:rPr>
        <w:t>en permanence des moyens d</w:t>
      </w:r>
      <w:r w:rsidR="00540C3E" w:rsidRPr="004E6476">
        <w:rPr>
          <w:lang w:val="fr-FR"/>
        </w:rPr>
        <w:t>’</w:t>
      </w:r>
      <w:r w:rsidRPr="004E6476">
        <w:rPr>
          <w:lang w:val="fr-FR"/>
        </w:rPr>
        <w:t>améliorer la qualité, la transparence, l</w:t>
      </w:r>
      <w:r w:rsidR="00540C3E" w:rsidRPr="004E6476">
        <w:rPr>
          <w:lang w:val="fr-FR"/>
        </w:rPr>
        <w:t>’</w:t>
      </w:r>
      <w:r w:rsidRPr="004E6476">
        <w:rPr>
          <w:lang w:val="fr-FR"/>
        </w:rPr>
        <w:t>exhaustivité et la lisibilité des informations et des rapports qu</w:t>
      </w:r>
      <w:r w:rsidR="00540C3E" w:rsidRPr="004E6476">
        <w:rPr>
          <w:lang w:val="fr-FR"/>
        </w:rPr>
        <w:t>’</w:t>
      </w:r>
      <w:r w:rsidRPr="004E6476">
        <w:rPr>
          <w:lang w:val="fr-FR"/>
        </w:rPr>
        <w:t xml:space="preserve">il transmet </w:t>
      </w:r>
      <w:r w:rsidR="0000799F" w:rsidRPr="004E6476">
        <w:rPr>
          <w:lang w:val="fr-FR"/>
        </w:rPr>
        <w:t>à ses</w:t>
      </w:r>
      <w:r w:rsidRPr="004E6476">
        <w:rPr>
          <w:lang w:val="fr-FR"/>
        </w:rPr>
        <w:t xml:space="preserve"> parties prenantes et aux États membres.</w:t>
      </w:r>
    </w:p>
    <w:p w:rsidR="00387092" w:rsidRPr="004E6476" w:rsidRDefault="008835D1" w:rsidP="009534A7">
      <w:pPr>
        <w:pStyle w:val="ONUMFS"/>
        <w:rPr>
          <w:lang w:val="fr-FR"/>
        </w:rPr>
      </w:pPr>
      <w:r w:rsidRPr="004E6476">
        <w:rPr>
          <w:lang w:val="fr-FR"/>
        </w:rPr>
        <w:t>Dans ce contexte, l</w:t>
      </w:r>
      <w:r w:rsidR="001B01A7" w:rsidRPr="004E6476">
        <w:rPr>
          <w:lang w:val="fr-FR"/>
        </w:rPr>
        <w:t>’établissement de</w:t>
      </w:r>
      <w:r w:rsidRPr="004E6476">
        <w:rPr>
          <w:lang w:val="fr-FR"/>
        </w:rPr>
        <w:t xml:space="preserve"> rapports financiers et </w:t>
      </w:r>
      <w:r w:rsidR="001B01A7" w:rsidRPr="004E6476">
        <w:rPr>
          <w:lang w:val="fr-FR"/>
        </w:rPr>
        <w:t>d</w:t>
      </w:r>
      <w:r w:rsidRPr="004E6476">
        <w:rPr>
          <w:lang w:val="fr-FR"/>
        </w:rPr>
        <w:t xml:space="preserve">e rapports </w:t>
      </w:r>
      <w:r w:rsidR="001B01A7" w:rsidRPr="004E6476">
        <w:rPr>
          <w:lang w:val="fr-FR"/>
        </w:rPr>
        <w:t>d’</w:t>
      </w:r>
      <w:r w:rsidRPr="004E6476">
        <w:rPr>
          <w:lang w:val="fr-FR"/>
        </w:rPr>
        <w:t xml:space="preserve">exécution par le Secrétariat constitue </w:t>
      </w:r>
      <w:r w:rsidR="001B01A7" w:rsidRPr="004E6476">
        <w:rPr>
          <w:lang w:val="fr-FR"/>
        </w:rPr>
        <w:t>un</w:t>
      </w:r>
      <w:r w:rsidRPr="004E6476">
        <w:rPr>
          <w:lang w:val="fr-FR"/>
        </w:rPr>
        <w:t xml:space="preserve"> élément essentiel de</w:t>
      </w:r>
      <w:r w:rsidR="001B01A7" w:rsidRPr="004E6476">
        <w:rPr>
          <w:lang w:val="fr-FR"/>
        </w:rPr>
        <w:t xml:space="preserve"> la procédure </w:t>
      </w:r>
      <w:r w:rsidR="00EC3EF9" w:rsidRPr="004E6476">
        <w:rPr>
          <w:lang w:val="fr-FR"/>
        </w:rPr>
        <w:t xml:space="preserve">annuelle et biennale </w:t>
      </w:r>
      <w:r w:rsidR="001B01A7" w:rsidRPr="004E6476">
        <w:rPr>
          <w:lang w:val="fr-FR"/>
        </w:rPr>
        <w:t>de reddition de comptes</w:t>
      </w:r>
      <w:r w:rsidRPr="004E6476">
        <w:rPr>
          <w:lang w:val="fr-FR"/>
        </w:rPr>
        <w:t>.</w:t>
      </w:r>
      <w:r w:rsidR="00E41133" w:rsidRPr="004E6476">
        <w:rPr>
          <w:lang w:val="fr-FR"/>
        </w:rPr>
        <w:t xml:space="preserve"> </w:t>
      </w:r>
      <w:r w:rsidR="00D80E46" w:rsidRPr="004E6476">
        <w:rPr>
          <w:lang w:val="fr-FR"/>
        </w:rPr>
        <w:t xml:space="preserve"> </w:t>
      </w:r>
      <w:r w:rsidR="00D13882" w:rsidRPr="004E6476">
        <w:rPr>
          <w:lang w:val="fr-FR"/>
        </w:rPr>
        <w:t>Ces dernières années, un certain nombre d</w:t>
      </w:r>
      <w:r w:rsidR="00540C3E" w:rsidRPr="004E6476">
        <w:rPr>
          <w:lang w:val="fr-FR"/>
        </w:rPr>
        <w:t>’</w:t>
      </w:r>
      <w:r w:rsidRPr="004E6476">
        <w:rPr>
          <w:lang w:val="fr-FR"/>
        </w:rPr>
        <w:t xml:space="preserve">améliorations ont été </w:t>
      </w:r>
      <w:r w:rsidR="001B01A7" w:rsidRPr="004E6476">
        <w:rPr>
          <w:lang w:val="fr-FR"/>
        </w:rPr>
        <w:t>mises en œuvre</w:t>
      </w:r>
      <w:r w:rsidRPr="004E6476">
        <w:rPr>
          <w:lang w:val="fr-FR"/>
        </w:rPr>
        <w:t>, en réponse aux demandes des États membres et à la lumière de l</w:t>
      </w:r>
      <w:r w:rsidR="00540C3E" w:rsidRPr="004E6476">
        <w:rPr>
          <w:lang w:val="fr-FR"/>
        </w:rPr>
        <w:t>’</w:t>
      </w:r>
      <w:r w:rsidRPr="004E6476">
        <w:rPr>
          <w:lang w:val="fr-FR"/>
        </w:rPr>
        <w:t>expérience acquise par le Secrétariat dans le dialogue sur l</w:t>
      </w:r>
      <w:r w:rsidR="00540C3E" w:rsidRPr="004E6476">
        <w:rPr>
          <w:lang w:val="fr-FR"/>
        </w:rPr>
        <w:t>’</w:t>
      </w:r>
      <w:r w:rsidRPr="004E6476">
        <w:rPr>
          <w:lang w:val="fr-FR"/>
        </w:rPr>
        <w:t xml:space="preserve">exécution du programme </w:t>
      </w:r>
      <w:r w:rsidR="001B01A7" w:rsidRPr="004E6476">
        <w:rPr>
          <w:lang w:val="fr-FR"/>
        </w:rPr>
        <w:t xml:space="preserve">et budget </w:t>
      </w:r>
      <w:r w:rsidR="00D80E46" w:rsidRPr="004E6476">
        <w:rPr>
          <w:lang w:val="fr-FR"/>
        </w:rPr>
        <w:t>durant les</w:t>
      </w:r>
      <w:r w:rsidRPr="004E6476">
        <w:rPr>
          <w:lang w:val="fr-FR"/>
        </w:rPr>
        <w:t xml:space="preserve"> sessions du Comité du programme et budget (PBC).</w:t>
      </w:r>
      <w:r w:rsidR="00927312" w:rsidRPr="004E6476">
        <w:rPr>
          <w:lang w:val="fr-FR"/>
        </w:rPr>
        <w:t xml:space="preserve"> </w:t>
      </w:r>
      <w:r w:rsidR="00E41133" w:rsidRPr="004E6476">
        <w:rPr>
          <w:lang w:val="fr-FR"/>
        </w:rPr>
        <w:t xml:space="preserve"> </w:t>
      </w:r>
      <w:r w:rsidR="00131808" w:rsidRPr="004E6476">
        <w:rPr>
          <w:lang w:val="fr-FR"/>
        </w:rPr>
        <w:t>En accord avec sa politique d</w:t>
      </w:r>
      <w:r w:rsidR="00540C3E" w:rsidRPr="004E6476">
        <w:rPr>
          <w:lang w:val="fr-FR"/>
        </w:rPr>
        <w:t>’</w:t>
      </w:r>
      <w:r w:rsidR="00131808" w:rsidRPr="004E6476">
        <w:rPr>
          <w:lang w:val="fr-FR"/>
        </w:rPr>
        <w:t>amélioration continue et afin d</w:t>
      </w:r>
      <w:r w:rsidR="00540C3E" w:rsidRPr="004E6476">
        <w:rPr>
          <w:lang w:val="fr-FR"/>
        </w:rPr>
        <w:t>’</w:t>
      </w:r>
      <w:r w:rsidR="00131808" w:rsidRPr="004E6476">
        <w:rPr>
          <w:lang w:val="fr-FR"/>
        </w:rPr>
        <w:t>améliorer la qualité et l</w:t>
      </w:r>
      <w:r w:rsidR="00540C3E" w:rsidRPr="004E6476">
        <w:rPr>
          <w:lang w:val="fr-FR"/>
        </w:rPr>
        <w:t>’</w:t>
      </w:r>
      <w:r w:rsidR="00131808" w:rsidRPr="004E6476">
        <w:rPr>
          <w:lang w:val="fr-FR"/>
        </w:rPr>
        <w:t>efficacité du processus de reddition de comptes sans perdre d</w:t>
      </w:r>
      <w:r w:rsidR="00540C3E" w:rsidRPr="004E6476">
        <w:rPr>
          <w:lang w:val="fr-FR"/>
        </w:rPr>
        <w:t>’</w:t>
      </w:r>
      <w:r w:rsidR="00131808" w:rsidRPr="004E6476">
        <w:rPr>
          <w:lang w:val="fr-FR"/>
        </w:rPr>
        <w:t xml:space="preserve">éléments dans les informations transmises, le Secrétariat a revu le contenu et le format des </w:t>
      </w:r>
      <w:r w:rsidR="00D13882" w:rsidRPr="004E6476">
        <w:rPr>
          <w:lang w:val="fr-FR"/>
        </w:rPr>
        <w:t>di</w:t>
      </w:r>
      <w:r w:rsidR="001B01A7" w:rsidRPr="004E6476">
        <w:rPr>
          <w:lang w:val="fr-FR"/>
        </w:rPr>
        <w:t xml:space="preserve">vers </w:t>
      </w:r>
      <w:r w:rsidR="00131808" w:rsidRPr="004E6476">
        <w:rPr>
          <w:lang w:val="fr-FR"/>
        </w:rPr>
        <w:t xml:space="preserve">rapports </w:t>
      </w:r>
      <w:r w:rsidR="001B01A7" w:rsidRPr="004E6476">
        <w:rPr>
          <w:lang w:val="fr-FR"/>
        </w:rPr>
        <w:t>sur la gestion financière</w:t>
      </w:r>
      <w:r w:rsidR="00131808" w:rsidRPr="004E6476">
        <w:rPr>
          <w:lang w:val="fr-FR"/>
        </w:rPr>
        <w:t xml:space="preserve"> et l</w:t>
      </w:r>
      <w:r w:rsidR="00540C3E" w:rsidRPr="004E6476">
        <w:rPr>
          <w:lang w:val="fr-FR"/>
        </w:rPr>
        <w:t>’</w:t>
      </w:r>
      <w:r w:rsidR="00131808" w:rsidRPr="004E6476">
        <w:rPr>
          <w:lang w:val="fr-FR"/>
        </w:rPr>
        <w:t xml:space="preserve">exécution du programme </w:t>
      </w:r>
      <w:r w:rsidR="001B01A7" w:rsidRPr="004E6476">
        <w:rPr>
          <w:lang w:val="fr-FR"/>
        </w:rPr>
        <w:t xml:space="preserve">et budget </w:t>
      </w:r>
      <w:r w:rsidR="00131808" w:rsidRPr="004E6476">
        <w:rPr>
          <w:lang w:val="fr-FR"/>
        </w:rPr>
        <w:t>pour l</w:t>
      </w:r>
      <w:r w:rsidR="00540C3E" w:rsidRPr="004E6476">
        <w:rPr>
          <w:lang w:val="fr-FR"/>
        </w:rPr>
        <w:t>’</w:t>
      </w:r>
      <w:r w:rsidR="00131808" w:rsidRPr="004E6476">
        <w:rPr>
          <w:lang w:val="fr-FR"/>
        </w:rPr>
        <w:t>exercice biennal 2012</w:t>
      </w:r>
      <w:r w:rsidR="00387092" w:rsidRPr="004E6476">
        <w:rPr>
          <w:lang w:val="fr-FR"/>
        </w:rPr>
        <w:noBreakHyphen/>
      </w:r>
      <w:r w:rsidR="00131808" w:rsidRPr="004E6476">
        <w:rPr>
          <w:lang w:val="fr-FR"/>
        </w:rPr>
        <w:t>2013, établis pour la présente session du comité, et a examiné les moyens de les simplifier.</w:t>
      </w:r>
    </w:p>
    <w:p w:rsidR="00387092" w:rsidRPr="004E6476" w:rsidRDefault="00131808" w:rsidP="009534A7">
      <w:pPr>
        <w:pStyle w:val="ONUMFS"/>
        <w:rPr>
          <w:lang w:val="fr-FR"/>
        </w:rPr>
      </w:pPr>
      <w:r w:rsidRPr="004E6476">
        <w:rPr>
          <w:lang w:val="fr-FR"/>
        </w:rPr>
        <w:t>Les résultats de cet ex</w:t>
      </w:r>
      <w:r w:rsidR="00D13882" w:rsidRPr="004E6476">
        <w:rPr>
          <w:lang w:val="fr-FR"/>
        </w:rPr>
        <w:t>ercice</w:t>
      </w:r>
      <w:r w:rsidRPr="004E6476">
        <w:rPr>
          <w:lang w:val="fr-FR"/>
        </w:rPr>
        <w:t xml:space="preserve"> ont été partagés avec l</w:t>
      </w:r>
      <w:r w:rsidR="00540C3E" w:rsidRPr="004E6476">
        <w:rPr>
          <w:lang w:val="fr-FR"/>
        </w:rPr>
        <w:t>’</w:t>
      </w:r>
      <w:r w:rsidR="00D80E46" w:rsidRPr="004E6476">
        <w:rPr>
          <w:lang w:val="fr-FR"/>
        </w:rPr>
        <w:t>O</w:t>
      </w:r>
      <w:r w:rsidRPr="004E6476">
        <w:rPr>
          <w:lang w:val="fr-FR"/>
        </w:rPr>
        <w:t>rgane consultatif indépendant de surveillance (OCIS) à l</w:t>
      </w:r>
      <w:r w:rsidR="00540C3E" w:rsidRPr="004E6476">
        <w:rPr>
          <w:lang w:val="fr-FR"/>
        </w:rPr>
        <w:t>’</w:t>
      </w:r>
      <w:r w:rsidRPr="004E6476">
        <w:rPr>
          <w:lang w:val="fr-FR"/>
        </w:rPr>
        <w:t>initiative du Secrétariat</w:t>
      </w:r>
      <w:r w:rsidR="00D13882" w:rsidRPr="004E6476">
        <w:rPr>
          <w:lang w:val="fr-FR"/>
        </w:rPr>
        <w:t>,</w:t>
      </w:r>
      <w:r w:rsidRPr="004E6476">
        <w:rPr>
          <w:lang w:val="fr-FR"/>
        </w:rPr>
        <w:t xml:space="preserve"> dans le cadre d</w:t>
      </w:r>
      <w:r w:rsidR="00540C3E" w:rsidRPr="004E6476">
        <w:rPr>
          <w:lang w:val="fr-FR"/>
        </w:rPr>
        <w:t>’</w:t>
      </w:r>
      <w:r w:rsidRPr="004E6476">
        <w:rPr>
          <w:lang w:val="fr-FR"/>
        </w:rPr>
        <w:t>un bref exposé de haut niveau.</w:t>
      </w:r>
      <w:r w:rsidR="00437281" w:rsidRPr="004E6476">
        <w:rPr>
          <w:lang w:val="fr-FR"/>
        </w:rPr>
        <w:t xml:space="preserve"> </w:t>
      </w:r>
      <w:r w:rsidR="00F37106" w:rsidRPr="004E6476">
        <w:rPr>
          <w:lang w:val="fr-FR"/>
        </w:rPr>
        <w:t xml:space="preserve"> </w:t>
      </w:r>
      <w:r w:rsidR="00D80E46" w:rsidRPr="004E6476">
        <w:rPr>
          <w:lang w:val="fr-FR"/>
        </w:rPr>
        <w:t>L</w:t>
      </w:r>
      <w:r w:rsidR="00540C3E" w:rsidRPr="004E6476">
        <w:rPr>
          <w:lang w:val="fr-FR"/>
        </w:rPr>
        <w:t>’</w:t>
      </w:r>
      <w:r w:rsidR="00D80E46" w:rsidRPr="004E6476">
        <w:rPr>
          <w:lang w:val="fr-FR"/>
        </w:rPr>
        <w:t>OCIS s</w:t>
      </w:r>
      <w:r w:rsidR="00540C3E" w:rsidRPr="004E6476">
        <w:rPr>
          <w:lang w:val="fr-FR"/>
        </w:rPr>
        <w:t>’</w:t>
      </w:r>
      <w:r w:rsidR="00D80E46" w:rsidRPr="004E6476">
        <w:rPr>
          <w:lang w:val="fr-FR"/>
        </w:rPr>
        <w:t>est félicité de l</w:t>
      </w:r>
      <w:r w:rsidR="00540C3E" w:rsidRPr="004E6476">
        <w:rPr>
          <w:lang w:val="fr-FR"/>
        </w:rPr>
        <w:t>’</w:t>
      </w:r>
      <w:r w:rsidR="00D80E46" w:rsidRPr="004E6476">
        <w:rPr>
          <w:lang w:val="fr-FR"/>
        </w:rPr>
        <w:t>initiative prise pour améliorer l</w:t>
      </w:r>
      <w:r w:rsidR="00540C3E" w:rsidRPr="004E6476">
        <w:rPr>
          <w:lang w:val="fr-FR"/>
        </w:rPr>
        <w:t>’</w:t>
      </w:r>
      <w:r w:rsidR="00D13882" w:rsidRPr="004E6476">
        <w:rPr>
          <w:lang w:val="fr-FR"/>
        </w:rPr>
        <w:t xml:space="preserve">établissement de </w:t>
      </w:r>
      <w:r w:rsidR="00D80E46" w:rsidRPr="004E6476">
        <w:rPr>
          <w:lang w:val="fr-FR"/>
        </w:rPr>
        <w:t xml:space="preserve">rapports </w:t>
      </w:r>
      <w:r w:rsidR="00D13882" w:rsidRPr="004E6476">
        <w:rPr>
          <w:lang w:val="fr-FR"/>
        </w:rPr>
        <w:t>par le</w:t>
      </w:r>
      <w:r w:rsidR="00D80E46" w:rsidRPr="004E6476">
        <w:rPr>
          <w:lang w:val="fr-FR"/>
        </w:rPr>
        <w:t xml:space="preserve"> Secrétariat et </w:t>
      </w:r>
      <w:r w:rsidR="00D13882" w:rsidRPr="004E6476">
        <w:rPr>
          <w:lang w:val="fr-FR"/>
        </w:rPr>
        <w:t>a</w:t>
      </w:r>
      <w:r w:rsidR="00D80E46" w:rsidRPr="004E6476">
        <w:rPr>
          <w:lang w:val="fr-FR"/>
        </w:rPr>
        <w:t xml:space="preserve"> convenu avec la direction qu</w:t>
      </w:r>
      <w:r w:rsidR="00540C3E" w:rsidRPr="004E6476">
        <w:rPr>
          <w:lang w:val="fr-FR"/>
        </w:rPr>
        <w:t>’</w:t>
      </w:r>
      <w:r w:rsidR="00D80E46" w:rsidRPr="004E6476">
        <w:rPr>
          <w:lang w:val="fr-FR"/>
        </w:rPr>
        <w:t>une telle proposition devrait être développée.</w:t>
      </w:r>
    </w:p>
    <w:p w:rsidR="00540C3E" w:rsidRPr="004E6476" w:rsidRDefault="00D80E46" w:rsidP="009534A7">
      <w:pPr>
        <w:pStyle w:val="ONUMFS"/>
        <w:rPr>
          <w:lang w:val="fr-FR"/>
        </w:rPr>
      </w:pPr>
      <w:r w:rsidRPr="004E6476">
        <w:rPr>
          <w:lang w:val="fr-FR"/>
        </w:rPr>
        <w:lastRenderedPageBreak/>
        <w:t>Le présent document a été établi afin de présenter</w:t>
      </w:r>
      <w:r w:rsidR="00540C3E" w:rsidRPr="004E6476">
        <w:rPr>
          <w:lang w:val="fr-FR"/>
        </w:rPr>
        <w:t xml:space="preserve"> au PBC</w:t>
      </w:r>
      <w:r w:rsidRPr="004E6476">
        <w:rPr>
          <w:lang w:val="fr-FR"/>
        </w:rPr>
        <w:t xml:space="preserve"> les possibilités d</w:t>
      </w:r>
      <w:r w:rsidR="00540C3E" w:rsidRPr="004E6476">
        <w:rPr>
          <w:lang w:val="fr-FR"/>
        </w:rPr>
        <w:t>’</w:t>
      </w:r>
      <w:r w:rsidRPr="004E6476">
        <w:rPr>
          <w:lang w:val="fr-FR"/>
        </w:rPr>
        <w:t>amélioration des rapports sur l</w:t>
      </w:r>
      <w:r w:rsidR="00540C3E" w:rsidRPr="004E6476">
        <w:rPr>
          <w:lang w:val="fr-FR"/>
        </w:rPr>
        <w:t>’</w:t>
      </w:r>
      <w:r w:rsidRPr="004E6476">
        <w:rPr>
          <w:lang w:val="fr-FR"/>
        </w:rPr>
        <w:t xml:space="preserve">exécution du programme </w:t>
      </w:r>
      <w:r w:rsidR="001B01A7" w:rsidRPr="004E6476">
        <w:rPr>
          <w:lang w:val="fr-FR"/>
        </w:rPr>
        <w:t xml:space="preserve">et budget </w:t>
      </w:r>
      <w:r w:rsidRPr="004E6476">
        <w:rPr>
          <w:lang w:val="fr-FR"/>
        </w:rPr>
        <w:t xml:space="preserve">et </w:t>
      </w:r>
      <w:r w:rsidR="001B01A7" w:rsidRPr="004E6476">
        <w:rPr>
          <w:lang w:val="fr-FR"/>
        </w:rPr>
        <w:t>la gestion f</w:t>
      </w:r>
      <w:r w:rsidRPr="004E6476">
        <w:rPr>
          <w:lang w:val="fr-FR"/>
        </w:rPr>
        <w:t>inanci</w:t>
      </w:r>
      <w:r w:rsidR="001B01A7" w:rsidRPr="004E6476">
        <w:rPr>
          <w:lang w:val="fr-FR"/>
        </w:rPr>
        <w:t>ère</w:t>
      </w:r>
      <w:r w:rsidRPr="004E6476">
        <w:rPr>
          <w:lang w:val="fr-FR"/>
        </w:rPr>
        <w:t xml:space="preserve"> et </w:t>
      </w:r>
      <w:r w:rsidR="00D13882" w:rsidRPr="004E6476">
        <w:rPr>
          <w:lang w:val="fr-FR"/>
        </w:rPr>
        <w:t xml:space="preserve">afin </w:t>
      </w:r>
      <w:r w:rsidRPr="004E6476">
        <w:rPr>
          <w:lang w:val="fr-FR"/>
        </w:rPr>
        <w:t>d</w:t>
      </w:r>
      <w:r w:rsidR="00540C3E" w:rsidRPr="004E6476">
        <w:rPr>
          <w:lang w:val="fr-FR"/>
        </w:rPr>
        <w:t>’</w:t>
      </w:r>
      <w:r w:rsidRPr="004E6476">
        <w:rPr>
          <w:lang w:val="fr-FR"/>
        </w:rPr>
        <w:t>obtenir sa contribution pour guider l</w:t>
      </w:r>
      <w:r w:rsidR="00540C3E" w:rsidRPr="004E6476">
        <w:rPr>
          <w:lang w:val="fr-FR"/>
        </w:rPr>
        <w:t>’</w:t>
      </w:r>
      <w:r w:rsidRPr="004E6476">
        <w:rPr>
          <w:lang w:val="fr-FR"/>
        </w:rPr>
        <w:t>élaboration d</w:t>
      </w:r>
      <w:r w:rsidR="00540C3E" w:rsidRPr="004E6476">
        <w:rPr>
          <w:lang w:val="fr-FR"/>
        </w:rPr>
        <w:t>’</w:t>
      </w:r>
      <w:r w:rsidRPr="004E6476">
        <w:rPr>
          <w:lang w:val="fr-FR"/>
        </w:rPr>
        <w:t>une proposition plus détaillée.</w:t>
      </w:r>
    </w:p>
    <w:p w:rsidR="00FB7FE5" w:rsidRPr="004E6476" w:rsidRDefault="00D80E46" w:rsidP="009534A7">
      <w:pPr>
        <w:pStyle w:val="Heading1"/>
        <w:rPr>
          <w:lang w:val="fr-FR"/>
        </w:rPr>
      </w:pPr>
      <w:r w:rsidRPr="004E6476">
        <w:rPr>
          <w:lang w:val="fr-FR"/>
        </w:rPr>
        <w:t>II.</w:t>
      </w:r>
      <w:r w:rsidR="00387092" w:rsidRPr="004E6476">
        <w:rPr>
          <w:lang w:val="fr-FR"/>
        </w:rPr>
        <w:tab/>
        <w:t xml:space="preserve">établissement des rapports sur l’exécution du programme </w:t>
      </w:r>
      <w:r w:rsidR="00EC3EF9" w:rsidRPr="004E6476">
        <w:rPr>
          <w:lang w:val="fr-FR"/>
        </w:rPr>
        <w:t>et </w:t>
      </w:r>
      <w:r w:rsidR="001B01A7" w:rsidRPr="004E6476">
        <w:rPr>
          <w:lang w:val="fr-FR"/>
        </w:rPr>
        <w:t xml:space="preserve">budget </w:t>
      </w:r>
      <w:r w:rsidR="00387092" w:rsidRPr="004E6476">
        <w:rPr>
          <w:lang w:val="fr-FR"/>
        </w:rPr>
        <w:t xml:space="preserve">et </w:t>
      </w:r>
      <w:r w:rsidR="00EC3EF9" w:rsidRPr="004E6476">
        <w:rPr>
          <w:lang w:val="fr-FR"/>
        </w:rPr>
        <w:t>des rapports financiers</w:t>
      </w:r>
    </w:p>
    <w:p w:rsidR="00FB7FE5" w:rsidRPr="004E6476" w:rsidRDefault="00FB7FE5" w:rsidP="009534A7">
      <w:pPr>
        <w:rPr>
          <w:lang w:val="fr-FR"/>
        </w:rPr>
      </w:pPr>
    </w:p>
    <w:p w:rsidR="00FB7FE5" w:rsidRPr="004E6476" w:rsidRDefault="00C07776" w:rsidP="009534A7">
      <w:pPr>
        <w:pStyle w:val="ONUMFS"/>
        <w:rPr>
          <w:lang w:val="fr-FR"/>
        </w:rPr>
      </w:pPr>
      <w:r w:rsidRPr="004E6476">
        <w:rPr>
          <w:lang w:val="fr-FR"/>
        </w:rPr>
        <w:t>L</w:t>
      </w:r>
      <w:r w:rsidR="00EC3EF9" w:rsidRPr="004E6476">
        <w:rPr>
          <w:lang w:val="fr-FR"/>
        </w:rPr>
        <w:t>a démarche</w:t>
      </w:r>
      <w:r w:rsidRPr="004E6476">
        <w:rPr>
          <w:lang w:val="fr-FR"/>
        </w:rPr>
        <w:t xml:space="preserve"> actuellement </w:t>
      </w:r>
      <w:r w:rsidR="00EC3EF9" w:rsidRPr="004E6476">
        <w:rPr>
          <w:lang w:val="fr-FR"/>
        </w:rPr>
        <w:t>suivie</w:t>
      </w:r>
      <w:r w:rsidRPr="004E6476">
        <w:rPr>
          <w:lang w:val="fr-FR"/>
        </w:rPr>
        <w:t xml:space="preserve"> par l</w:t>
      </w:r>
      <w:r w:rsidR="00540C3E" w:rsidRPr="004E6476">
        <w:rPr>
          <w:lang w:val="fr-FR"/>
        </w:rPr>
        <w:t>’</w:t>
      </w:r>
      <w:r w:rsidRPr="004E6476">
        <w:rPr>
          <w:lang w:val="fr-FR"/>
        </w:rPr>
        <w:t>Organisat</w:t>
      </w:r>
      <w:r w:rsidR="00EE6A99" w:rsidRPr="004E6476">
        <w:rPr>
          <w:lang w:val="fr-FR"/>
        </w:rPr>
        <w:t>i</w:t>
      </w:r>
      <w:r w:rsidRPr="004E6476">
        <w:rPr>
          <w:lang w:val="fr-FR"/>
        </w:rPr>
        <w:t>on pour l</w:t>
      </w:r>
      <w:r w:rsidR="00540C3E" w:rsidRPr="004E6476">
        <w:rPr>
          <w:lang w:val="fr-FR"/>
        </w:rPr>
        <w:t>’</w:t>
      </w:r>
      <w:r w:rsidRPr="004E6476">
        <w:rPr>
          <w:lang w:val="fr-FR"/>
        </w:rPr>
        <w:t>établissement des rapports sur l</w:t>
      </w:r>
      <w:r w:rsidR="00540C3E" w:rsidRPr="004E6476">
        <w:rPr>
          <w:lang w:val="fr-FR"/>
        </w:rPr>
        <w:t>’</w:t>
      </w:r>
      <w:r w:rsidRPr="004E6476">
        <w:rPr>
          <w:lang w:val="fr-FR"/>
        </w:rPr>
        <w:t xml:space="preserve">exécution du programme </w:t>
      </w:r>
      <w:r w:rsidR="00012FB3" w:rsidRPr="004E6476">
        <w:rPr>
          <w:lang w:val="fr-FR"/>
        </w:rPr>
        <w:t xml:space="preserve">et budget </w:t>
      </w:r>
      <w:r w:rsidRPr="004E6476">
        <w:rPr>
          <w:lang w:val="fr-FR"/>
        </w:rPr>
        <w:t xml:space="preserve">et </w:t>
      </w:r>
      <w:r w:rsidR="00EC3EF9" w:rsidRPr="004E6476">
        <w:rPr>
          <w:lang w:val="fr-FR"/>
        </w:rPr>
        <w:t>des rapports</w:t>
      </w:r>
      <w:r w:rsidRPr="004E6476">
        <w:rPr>
          <w:lang w:val="fr-FR"/>
        </w:rPr>
        <w:t xml:space="preserve"> financi</w:t>
      </w:r>
      <w:r w:rsidR="00EC3EF9" w:rsidRPr="004E6476">
        <w:rPr>
          <w:lang w:val="fr-FR"/>
        </w:rPr>
        <w:t>ers</w:t>
      </w:r>
      <w:r w:rsidRPr="004E6476">
        <w:rPr>
          <w:lang w:val="fr-FR"/>
        </w:rPr>
        <w:t xml:space="preserve"> au cours d</w:t>
      </w:r>
      <w:r w:rsidR="00540C3E" w:rsidRPr="004E6476">
        <w:rPr>
          <w:lang w:val="fr-FR"/>
        </w:rPr>
        <w:t>’</w:t>
      </w:r>
      <w:r w:rsidRPr="004E6476">
        <w:rPr>
          <w:lang w:val="fr-FR"/>
        </w:rPr>
        <w:t>un exercice biennal repose sur plusieurs documents</w:t>
      </w:r>
      <w:r w:rsidR="000007E7" w:rsidRPr="004E6476">
        <w:rPr>
          <w:lang w:val="fr-FR"/>
        </w:rPr>
        <w:t> </w:t>
      </w:r>
      <w:r w:rsidRPr="004E6476">
        <w:rPr>
          <w:lang w:val="fr-FR"/>
        </w:rPr>
        <w:t>:</w:t>
      </w:r>
    </w:p>
    <w:p w:rsidR="00FB7FE5" w:rsidRPr="004E6476" w:rsidRDefault="00EE6A99" w:rsidP="009534A7">
      <w:pPr>
        <w:pStyle w:val="Heading4"/>
      </w:pPr>
      <w:r w:rsidRPr="004E6476">
        <w:t>Planification</w:t>
      </w:r>
    </w:p>
    <w:p w:rsidR="00FB7FE5" w:rsidRPr="004E6476" w:rsidRDefault="00FB7FE5" w:rsidP="009534A7">
      <w:pPr>
        <w:rPr>
          <w:lang w:val="fr-FR"/>
        </w:rPr>
      </w:pPr>
    </w:p>
    <w:p w:rsidR="00387092" w:rsidRPr="004E6476" w:rsidRDefault="00EE6A99" w:rsidP="009534A7">
      <w:pPr>
        <w:pStyle w:val="ONUMFS"/>
        <w:numPr>
          <w:ilvl w:val="1"/>
          <w:numId w:val="6"/>
        </w:numPr>
        <w:rPr>
          <w:lang w:val="fr-FR"/>
        </w:rPr>
      </w:pPr>
      <w:r w:rsidRPr="004E6476">
        <w:rPr>
          <w:lang w:val="fr-FR"/>
        </w:rPr>
        <w:t xml:space="preserve">Le </w:t>
      </w:r>
      <w:r w:rsidRPr="004E6476">
        <w:rPr>
          <w:u w:val="single"/>
          <w:lang w:val="fr-FR"/>
        </w:rPr>
        <w:t>Pro</w:t>
      </w:r>
      <w:r w:rsidR="00B20DBE" w:rsidRPr="004E6476">
        <w:rPr>
          <w:u w:val="single"/>
          <w:lang w:val="fr-FR"/>
        </w:rPr>
        <w:t>g</w:t>
      </w:r>
      <w:r w:rsidRPr="004E6476">
        <w:rPr>
          <w:u w:val="single"/>
          <w:lang w:val="fr-FR"/>
        </w:rPr>
        <w:t>ramme et budget</w:t>
      </w:r>
      <w:r w:rsidRPr="004E6476">
        <w:rPr>
          <w:lang w:val="fr-FR"/>
        </w:rPr>
        <w:t xml:space="preserve"> soumis à l</w:t>
      </w:r>
      <w:r w:rsidR="00540C3E" w:rsidRPr="004E6476">
        <w:rPr>
          <w:lang w:val="fr-FR"/>
        </w:rPr>
        <w:t>’</w:t>
      </w:r>
      <w:r w:rsidRPr="004E6476">
        <w:rPr>
          <w:lang w:val="fr-FR"/>
        </w:rPr>
        <w:t>approbation des États membres à chaque exercice biennal constitue le</w:t>
      </w:r>
      <w:r w:rsidR="00D13882" w:rsidRPr="004E6476">
        <w:rPr>
          <w:lang w:val="fr-FR"/>
        </w:rPr>
        <w:t xml:space="preserve"> cadre,</w:t>
      </w:r>
      <w:r w:rsidRPr="004E6476">
        <w:rPr>
          <w:lang w:val="fr-FR"/>
        </w:rPr>
        <w:t xml:space="preserve"> en matière de programme et de budget, sur lequel s</w:t>
      </w:r>
      <w:r w:rsidR="00540C3E" w:rsidRPr="004E6476">
        <w:rPr>
          <w:lang w:val="fr-FR"/>
        </w:rPr>
        <w:t>’</w:t>
      </w:r>
      <w:r w:rsidRPr="004E6476">
        <w:rPr>
          <w:lang w:val="fr-FR"/>
        </w:rPr>
        <w:t xml:space="preserve">appuie la mise en </w:t>
      </w:r>
      <w:r w:rsidR="00B20DBE" w:rsidRPr="004E6476">
        <w:rPr>
          <w:lang w:val="fr-FR"/>
        </w:rPr>
        <w:t>œ</w:t>
      </w:r>
      <w:r w:rsidRPr="004E6476">
        <w:rPr>
          <w:lang w:val="fr-FR"/>
        </w:rPr>
        <w:t>uvre des activités de l</w:t>
      </w:r>
      <w:r w:rsidR="00540C3E" w:rsidRPr="004E6476">
        <w:rPr>
          <w:lang w:val="fr-FR"/>
        </w:rPr>
        <w:t>’</w:t>
      </w:r>
      <w:r w:rsidRPr="004E6476">
        <w:rPr>
          <w:lang w:val="fr-FR"/>
        </w:rPr>
        <w:t>OMPI et la réalisation des résultats escomptés, conformément au chapitre</w:t>
      </w:r>
      <w:r w:rsidR="000007E7" w:rsidRPr="004E6476">
        <w:rPr>
          <w:lang w:val="fr-FR"/>
        </w:rPr>
        <w:t> </w:t>
      </w:r>
      <w:r w:rsidRPr="004E6476">
        <w:rPr>
          <w:lang w:val="fr-FR"/>
        </w:rPr>
        <w:t>II du Règlement financier et de son règlement d</w:t>
      </w:r>
      <w:r w:rsidR="00540C3E" w:rsidRPr="004E6476">
        <w:rPr>
          <w:lang w:val="fr-FR"/>
        </w:rPr>
        <w:t>’</w:t>
      </w:r>
      <w:r w:rsidRPr="004E6476">
        <w:rPr>
          <w:lang w:val="fr-FR"/>
        </w:rPr>
        <w:t>exécution.</w:t>
      </w:r>
      <w:r w:rsidR="00350B30" w:rsidRPr="004E6476">
        <w:rPr>
          <w:lang w:val="fr-FR"/>
        </w:rPr>
        <w:t xml:space="preserve">  </w:t>
      </w:r>
      <w:r w:rsidRPr="004E6476">
        <w:rPr>
          <w:lang w:val="fr-FR"/>
        </w:rPr>
        <w:t>Il s</w:t>
      </w:r>
      <w:r w:rsidR="00540C3E" w:rsidRPr="004E6476">
        <w:rPr>
          <w:lang w:val="fr-FR"/>
        </w:rPr>
        <w:t>’</w:t>
      </w:r>
      <w:r w:rsidRPr="004E6476">
        <w:rPr>
          <w:lang w:val="fr-FR"/>
        </w:rPr>
        <w:t>agit d</w:t>
      </w:r>
      <w:r w:rsidR="00540C3E" w:rsidRPr="004E6476">
        <w:rPr>
          <w:lang w:val="fr-FR"/>
        </w:rPr>
        <w:t>’</w:t>
      </w:r>
      <w:r w:rsidRPr="004E6476">
        <w:rPr>
          <w:lang w:val="fr-FR"/>
        </w:rPr>
        <w:t>un document de planification qui sert de base à l</w:t>
      </w:r>
      <w:r w:rsidR="00540C3E" w:rsidRPr="004E6476">
        <w:rPr>
          <w:lang w:val="fr-FR"/>
        </w:rPr>
        <w:t>’</w:t>
      </w:r>
      <w:r w:rsidRPr="004E6476">
        <w:rPr>
          <w:lang w:val="fr-FR"/>
        </w:rPr>
        <w:t xml:space="preserve">établissement de </w:t>
      </w:r>
      <w:r w:rsidR="00D13882" w:rsidRPr="004E6476">
        <w:rPr>
          <w:lang w:val="fr-FR"/>
        </w:rPr>
        <w:t>l</w:t>
      </w:r>
      <w:r w:rsidR="00540C3E" w:rsidRPr="004E6476">
        <w:rPr>
          <w:lang w:val="fr-FR"/>
        </w:rPr>
        <w:t>’</w:t>
      </w:r>
      <w:r w:rsidR="00D13882" w:rsidRPr="004E6476">
        <w:rPr>
          <w:lang w:val="fr-FR"/>
        </w:rPr>
        <w:t>ensemble des</w:t>
      </w:r>
      <w:r w:rsidRPr="004E6476">
        <w:rPr>
          <w:lang w:val="fr-FR"/>
        </w:rPr>
        <w:t xml:space="preserve"> rapports sur l</w:t>
      </w:r>
      <w:r w:rsidR="00540C3E" w:rsidRPr="004E6476">
        <w:rPr>
          <w:lang w:val="fr-FR"/>
        </w:rPr>
        <w:t>’</w:t>
      </w:r>
      <w:r w:rsidRPr="004E6476">
        <w:rPr>
          <w:lang w:val="fr-FR"/>
        </w:rPr>
        <w:t xml:space="preserve">exécution du programme </w:t>
      </w:r>
      <w:r w:rsidR="00EC3EF9" w:rsidRPr="004E6476">
        <w:rPr>
          <w:lang w:val="fr-FR"/>
        </w:rPr>
        <w:t xml:space="preserve">et budget </w:t>
      </w:r>
      <w:r w:rsidRPr="004E6476">
        <w:rPr>
          <w:lang w:val="fr-FR"/>
        </w:rPr>
        <w:t xml:space="preserve">et </w:t>
      </w:r>
      <w:r w:rsidR="00EC3EF9" w:rsidRPr="004E6476">
        <w:rPr>
          <w:lang w:val="fr-FR"/>
        </w:rPr>
        <w:t xml:space="preserve">des </w:t>
      </w:r>
      <w:r w:rsidRPr="004E6476">
        <w:rPr>
          <w:lang w:val="fr-FR"/>
        </w:rPr>
        <w:t>rapports financiers.</w:t>
      </w:r>
    </w:p>
    <w:p w:rsidR="00387092" w:rsidRPr="004E6476" w:rsidRDefault="00012FB3" w:rsidP="009534A7">
      <w:pPr>
        <w:pStyle w:val="Heading4"/>
      </w:pPr>
      <w:r w:rsidRPr="004E6476">
        <w:t>Reddition de comptes</w:t>
      </w:r>
    </w:p>
    <w:p w:rsidR="00387092" w:rsidRPr="004E6476" w:rsidRDefault="00387092" w:rsidP="009534A7">
      <w:pPr>
        <w:rPr>
          <w:lang w:val="fr-FR"/>
        </w:rPr>
      </w:pPr>
    </w:p>
    <w:p w:rsidR="00387092" w:rsidRPr="004E6476" w:rsidRDefault="009C024C" w:rsidP="009534A7">
      <w:pPr>
        <w:pStyle w:val="ONUMFS"/>
        <w:numPr>
          <w:ilvl w:val="1"/>
          <w:numId w:val="6"/>
        </w:numPr>
        <w:rPr>
          <w:u w:val="single"/>
          <w:lang w:val="fr-FR"/>
        </w:rPr>
      </w:pPr>
      <w:r w:rsidRPr="004E6476">
        <w:rPr>
          <w:lang w:val="fr-FR"/>
        </w:rPr>
        <w:t xml:space="preserve">Le </w:t>
      </w:r>
      <w:r w:rsidRPr="004E6476">
        <w:rPr>
          <w:u w:val="single"/>
          <w:lang w:val="fr-FR"/>
        </w:rPr>
        <w:t>Rapport sur l</w:t>
      </w:r>
      <w:r w:rsidR="00540C3E" w:rsidRPr="004E6476">
        <w:rPr>
          <w:u w:val="single"/>
          <w:lang w:val="fr-FR"/>
        </w:rPr>
        <w:t>’</w:t>
      </w:r>
      <w:r w:rsidRPr="004E6476">
        <w:rPr>
          <w:u w:val="single"/>
          <w:lang w:val="fr-FR"/>
        </w:rPr>
        <w:t>exécution du programme</w:t>
      </w:r>
      <w:r w:rsidRPr="004E6476">
        <w:rPr>
          <w:lang w:val="fr-FR"/>
        </w:rPr>
        <w:t xml:space="preserve"> est un rapport établi à la fin de l</w:t>
      </w:r>
      <w:r w:rsidR="00540C3E" w:rsidRPr="004E6476">
        <w:rPr>
          <w:lang w:val="fr-FR"/>
        </w:rPr>
        <w:t>’</w:t>
      </w:r>
      <w:r w:rsidRPr="004E6476">
        <w:rPr>
          <w:lang w:val="fr-FR"/>
        </w:rPr>
        <w:t xml:space="preserve">exercice biennal, qui évalue la réalisation des résultats escomptés sur la base des ressources approuvées dans le </w:t>
      </w:r>
      <w:r w:rsidR="00012FB3" w:rsidRPr="004E6476">
        <w:rPr>
          <w:lang w:val="fr-FR"/>
        </w:rPr>
        <w:t>p</w:t>
      </w:r>
      <w:r w:rsidRPr="004E6476">
        <w:rPr>
          <w:lang w:val="fr-FR"/>
        </w:rPr>
        <w:t xml:space="preserve">rogramme et budget </w:t>
      </w:r>
      <w:r w:rsidR="00EC3EF9" w:rsidRPr="004E6476">
        <w:rPr>
          <w:lang w:val="fr-FR"/>
        </w:rPr>
        <w:t xml:space="preserve">et </w:t>
      </w:r>
      <w:r w:rsidR="00012FB3" w:rsidRPr="004E6476">
        <w:rPr>
          <w:lang w:val="fr-FR"/>
        </w:rPr>
        <w:t>au moyen</w:t>
      </w:r>
      <w:r w:rsidRPr="004E6476">
        <w:rPr>
          <w:lang w:val="fr-FR"/>
        </w:rPr>
        <w:t xml:space="preserve"> des indicateurs d</w:t>
      </w:r>
      <w:r w:rsidR="00540C3E" w:rsidRPr="004E6476">
        <w:rPr>
          <w:lang w:val="fr-FR"/>
        </w:rPr>
        <w:t>’</w:t>
      </w:r>
      <w:r w:rsidRPr="004E6476">
        <w:rPr>
          <w:lang w:val="fr-FR"/>
        </w:rPr>
        <w:t>exécution, conformément à l</w:t>
      </w:r>
      <w:r w:rsidR="00540C3E" w:rsidRPr="004E6476">
        <w:rPr>
          <w:lang w:val="fr-FR"/>
        </w:rPr>
        <w:t>’</w:t>
      </w:r>
      <w:r w:rsidRPr="004E6476">
        <w:rPr>
          <w:lang w:val="fr-FR"/>
        </w:rPr>
        <w:t>article</w:t>
      </w:r>
      <w:r w:rsidR="000007E7" w:rsidRPr="004E6476">
        <w:rPr>
          <w:lang w:val="fr-FR"/>
        </w:rPr>
        <w:t> </w:t>
      </w:r>
      <w:r w:rsidRPr="004E6476">
        <w:rPr>
          <w:lang w:val="fr-FR"/>
        </w:rPr>
        <w:t>2.14 du Règlement financier.  Le rapport annuel sur l</w:t>
      </w:r>
      <w:r w:rsidR="00540C3E" w:rsidRPr="004E6476">
        <w:rPr>
          <w:lang w:val="fr-FR"/>
        </w:rPr>
        <w:t>’</w:t>
      </w:r>
      <w:r w:rsidRPr="004E6476">
        <w:rPr>
          <w:lang w:val="fr-FR"/>
        </w:rPr>
        <w:t>exécution du programme fait état des progrès accomplis en vue de la réalisation des résultats escomptés à la fin de la première année de l</w:t>
      </w:r>
      <w:r w:rsidR="00540C3E" w:rsidRPr="004E6476">
        <w:rPr>
          <w:lang w:val="fr-FR"/>
        </w:rPr>
        <w:t>’</w:t>
      </w:r>
      <w:r w:rsidRPr="004E6476">
        <w:rPr>
          <w:lang w:val="fr-FR"/>
        </w:rPr>
        <w:t>exercice.</w:t>
      </w:r>
    </w:p>
    <w:p w:rsidR="00387092" w:rsidRPr="004E6476" w:rsidRDefault="009C024C" w:rsidP="009534A7">
      <w:pPr>
        <w:pStyle w:val="ONUMFS"/>
        <w:numPr>
          <w:ilvl w:val="1"/>
          <w:numId w:val="6"/>
        </w:numPr>
        <w:rPr>
          <w:u w:val="single"/>
          <w:lang w:val="fr-FR"/>
        </w:rPr>
      </w:pPr>
      <w:r w:rsidRPr="004E6476">
        <w:rPr>
          <w:lang w:val="fr-FR"/>
        </w:rPr>
        <w:t xml:space="preserve">Les </w:t>
      </w:r>
      <w:r w:rsidRPr="004E6476">
        <w:rPr>
          <w:u w:val="single"/>
          <w:lang w:val="fr-FR"/>
        </w:rPr>
        <w:t>états financiers</w:t>
      </w:r>
      <w:r w:rsidRPr="004E6476">
        <w:rPr>
          <w:lang w:val="fr-FR"/>
        </w:rPr>
        <w:t xml:space="preserve"> sont établis sur une base annuelle, conformément aux normes comptables du système des </w:t>
      </w:r>
      <w:r w:rsidR="00540C3E" w:rsidRPr="004E6476">
        <w:rPr>
          <w:lang w:val="fr-FR"/>
        </w:rPr>
        <w:t>Nations Unies</w:t>
      </w:r>
      <w:r w:rsidRPr="004E6476">
        <w:rPr>
          <w:lang w:val="fr-FR"/>
        </w:rPr>
        <w:t xml:space="preserve"> (normes</w:t>
      </w:r>
      <w:r w:rsidR="000007E7" w:rsidRPr="004E6476">
        <w:rPr>
          <w:lang w:val="fr-FR"/>
        </w:rPr>
        <w:t> </w:t>
      </w:r>
      <w:r w:rsidRPr="004E6476">
        <w:rPr>
          <w:lang w:val="fr-FR"/>
        </w:rPr>
        <w:t>IPSAS depuis</w:t>
      </w:r>
      <w:r w:rsidR="000007E7" w:rsidRPr="004E6476">
        <w:rPr>
          <w:lang w:val="fr-FR"/>
        </w:rPr>
        <w:t> </w:t>
      </w:r>
      <w:r w:rsidRPr="004E6476">
        <w:rPr>
          <w:lang w:val="fr-FR"/>
        </w:rPr>
        <w:t>2010) et à la règle</w:t>
      </w:r>
      <w:r w:rsidR="000007E7" w:rsidRPr="004E6476">
        <w:rPr>
          <w:lang w:val="fr-FR"/>
        </w:rPr>
        <w:t> </w:t>
      </w:r>
      <w:r w:rsidRPr="004E6476">
        <w:rPr>
          <w:lang w:val="fr-FR"/>
        </w:rPr>
        <w:t>106.3 du règlement d</w:t>
      </w:r>
      <w:r w:rsidR="00540C3E" w:rsidRPr="004E6476">
        <w:rPr>
          <w:lang w:val="fr-FR"/>
        </w:rPr>
        <w:t>’</w:t>
      </w:r>
      <w:r w:rsidRPr="004E6476">
        <w:rPr>
          <w:lang w:val="fr-FR"/>
        </w:rPr>
        <w:t>exécution du Règlement financier.</w:t>
      </w:r>
    </w:p>
    <w:p w:rsidR="00387092" w:rsidRPr="004E6476" w:rsidRDefault="00FB7FE5" w:rsidP="009534A7">
      <w:pPr>
        <w:pStyle w:val="ONUMFS"/>
        <w:numPr>
          <w:ilvl w:val="1"/>
          <w:numId w:val="6"/>
        </w:numPr>
        <w:rPr>
          <w:u w:val="single"/>
          <w:lang w:val="fr-FR"/>
        </w:rPr>
      </w:pPr>
      <w:r w:rsidRPr="004E6476">
        <w:rPr>
          <w:lang w:val="fr-FR"/>
        </w:rPr>
        <w:t xml:space="preserve">Le </w:t>
      </w:r>
      <w:r w:rsidRPr="004E6476">
        <w:rPr>
          <w:u w:val="single"/>
          <w:lang w:val="fr-FR"/>
        </w:rPr>
        <w:t xml:space="preserve">Rapport de gestion financière </w:t>
      </w:r>
      <w:r w:rsidRPr="004E6476">
        <w:rPr>
          <w:lang w:val="fr-FR"/>
        </w:rPr>
        <w:t>est transmis</w:t>
      </w:r>
      <w:r w:rsidR="00540C3E" w:rsidRPr="004E6476">
        <w:rPr>
          <w:lang w:val="fr-FR"/>
        </w:rPr>
        <w:t xml:space="preserve"> au PBC</w:t>
      </w:r>
      <w:r w:rsidRPr="004E6476">
        <w:rPr>
          <w:lang w:val="fr-FR"/>
        </w:rPr>
        <w:t xml:space="preserve"> conformément à l</w:t>
      </w:r>
      <w:r w:rsidR="00540C3E" w:rsidRPr="004E6476">
        <w:rPr>
          <w:lang w:val="fr-FR"/>
        </w:rPr>
        <w:t>’</w:t>
      </w:r>
      <w:r w:rsidRPr="004E6476">
        <w:rPr>
          <w:lang w:val="fr-FR"/>
        </w:rPr>
        <w:t>article 6.6 du Règlement financier.  Il fait la synthèse des résultats financiers</w:t>
      </w:r>
      <w:r w:rsidR="00D13882" w:rsidRPr="004E6476">
        <w:rPr>
          <w:lang w:val="fr-FR"/>
        </w:rPr>
        <w:t xml:space="preserve"> obtenus par</w:t>
      </w:r>
      <w:r w:rsidRPr="004E6476">
        <w:rPr>
          <w:lang w:val="fr-FR"/>
        </w:rPr>
        <w:t xml:space="preserve"> l</w:t>
      </w:r>
      <w:r w:rsidR="00540C3E" w:rsidRPr="004E6476">
        <w:rPr>
          <w:lang w:val="fr-FR"/>
        </w:rPr>
        <w:t>’</w:t>
      </w:r>
      <w:r w:rsidRPr="004E6476">
        <w:rPr>
          <w:lang w:val="fr-FR"/>
        </w:rPr>
        <w:t>Organisation pendant l</w:t>
      </w:r>
      <w:r w:rsidR="00540C3E" w:rsidRPr="004E6476">
        <w:rPr>
          <w:lang w:val="fr-FR"/>
        </w:rPr>
        <w:t>’</w:t>
      </w:r>
      <w:r w:rsidRPr="004E6476">
        <w:rPr>
          <w:lang w:val="fr-FR"/>
        </w:rPr>
        <w:t xml:space="preserve">exercice biennal </w:t>
      </w:r>
      <w:r w:rsidR="00D13882" w:rsidRPr="004E6476">
        <w:rPr>
          <w:lang w:val="fr-FR"/>
        </w:rPr>
        <w:t>par rapport au</w:t>
      </w:r>
      <w:r w:rsidRPr="004E6476">
        <w:rPr>
          <w:lang w:val="fr-FR"/>
        </w:rPr>
        <w:t xml:space="preserve"> budget établi </w:t>
      </w:r>
      <w:r w:rsidR="00012FB3" w:rsidRPr="004E6476">
        <w:rPr>
          <w:lang w:val="fr-FR"/>
        </w:rPr>
        <w:t xml:space="preserve">pour cet exercice </w:t>
      </w:r>
      <w:r w:rsidRPr="004E6476">
        <w:rPr>
          <w:lang w:val="fr-FR"/>
        </w:rPr>
        <w:t>(base budgétaire).</w:t>
      </w:r>
      <w:r w:rsidR="00DA5472" w:rsidRPr="004E6476">
        <w:rPr>
          <w:lang w:val="fr-FR"/>
        </w:rPr>
        <w:t xml:space="preserve"> </w:t>
      </w:r>
      <w:r w:rsidR="00B256D2" w:rsidRPr="004E6476">
        <w:rPr>
          <w:lang w:val="fr-FR"/>
        </w:rPr>
        <w:t xml:space="preserve"> </w:t>
      </w:r>
      <w:r w:rsidRPr="004E6476">
        <w:rPr>
          <w:lang w:val="fr-FR"/>
        </w:rPr>
        <w:t xml:space="preserve">Il contient </w:t>
      </w:r>
      <w:r w:rsidR="00D13882" w:rsidRPr="004E6476">
        <w:rPr>
          <w:lang w:val="fr-FR"/>
        </w:rPr>
        <w:t xml:space="preserve">également </w:t>
      </w:r>
      <w:r w:rsidRPr="004E6476">
        <w:rPr>
          <w:lang w:val="fr-FR"/>
        </w:rPr>
        <w:t>des informations sur l</w:t>
      </w:r>
      <w:r w:rsidR="00012FB3" w:rsidRPr="004E6476">
        <w:rPr>
          <w:lang w:val="fr-FR"/>
        </w:rPr>
        <w:t>a performance</w:t>
      </w:r>
      <w:r w:rsidRPr="004E6476">
        <w:rPr>
          <w:lang w:val="fr-FR"/>
        </w:rPr>
        <w:t xml:space="preserve"> financi</w:t>
      </w:r>
      <w:r w:rsidR="00012FB3" w:rsidRPr="004E6476">
        <w:rPr>
          <w:lang w:val="fr-FR"/>
        </w:rPr>
        <w:t>è</w:t>
      </w:r>
      <w:r w:rsidRPr="004E6476">
        <w:rPr>
          <w:lang w:val="fr-FR"/>
        </w:rPr>
        <w:t>r</w:t>
      </w:r>
      <w:r w:rsidR="00012FB3" w:rsidRPr="004E6476">
        <w:rPr>
          <w:lang w:val="fr-FR"/>
        </w:rPr>
        <w:t>e</w:t>
      </w:r>
      <w:r w:rsidRPr="004E6476">
        <w:rPr>
          <w:lang w:val="fr-FR"/>
        </w:rPr>
        <w:t xml:space="preserve"> de l</w:t>
      </w:r>
      <w:r w:rsidR="00540C3E" w:rsidRPr="004E6476">
        <w:rPr>
          <w:lang w:val="fr-FR"/>
        </w:rPr>
        <w:t>’</w:t>
      </w:r>
      <w:r w:rsidRPr="004E6476">
        <w:rPr>
          <w:lang w:val="fr-FR"/>
        </w:rPr>
        <w:t>Organisation et sa situation financière à la fin de chaque exercice biennal.</w:t>
      </w:r>
    </w:p>
    <w:p w:rsidR="00540C3E" w:rsidRPr="004E6476" w:rsidRDefault="00914935" w:rsidP="009534A7">
      <w:pPr>
        <w:pStyle w:val="ONUMFS"/>
        <w:numPr>
          <w:ilvl w:val="1"/>
          <w:numId w:val="6"/>
        </w:numPr>
        <w:rPr>
          <w:lang w:val="fr-FR"/>
        </w:rPr>
      </w:pPr>
      <w:r w:rsidRPr="004E6476">
        <w:rPr>
          <w:u w:val="single"/>
          <w:lang w:val="fr-FR"/>
        </w:rPr>
        <w:t>Autres documents connexes</w:t>
      </w:r>
      <w:r w:rsidR="000007E7" w:rsidRPr="004E6476">
        <w:rPr>
          <w:lang w:val="fr-FR"/>
        </w:rPr>
        <w:t> </w:t>
      </w:r>
      <w:r w:rsidRPr="004E6476">
        <w:rPr>
          <w:lang w:val="fr-FR"/>
        </w:rPr>
        <w:t>: en plus des documents susmentionnés, d</w:t>
      </w:r>
      <w:r w:rsidR="00540C3E" w:rsidRPr="004E6476">
        <w:rPr>
          <w:lang w:val="fr-FR"/>
        </w:rPr>
        <w:t>’</w:t>
      </w:r>
      <w:r w:rsidRPr="004E6476">
        <w:rPr>
          <w:lang w:val="fr-FR"/>
        </w:rPr>
        <w:t>autres rapports sont régulièrement soumis aux États membres, notamment des rapports sur l</w:t>
      </w:r>
      <w:r w:rsidR="00540C3E" w:rsidRPr="004E6476">
        <w:rPr>
          <w:lang w:val="fr-FR"/>
        </w:rPr>
        <w:t>’</w:t>
      </w:r>
      <w:r w:rsidR="005A75B3" w:rsidRPr="004E6476">
        <w:rPr>
          <w:lang w:val="fr-FR"/>
        </w:rPr>
        <w:t>utilisation d</w:t>
      </w:r>
      <w:r w:rsidRPr="004E6476">
        <w:rPr>
          <w:lang w:val="fr-FR"/>
        </w:rPr>
        <w:t>es réserves de l</w:t>
      </w:r>
      <w:r w:rsidR="00540C3E" w:rsidRPr="004E6476">
        <w:rPr>
          <w:lang w:val="fr-FR"/>
        </w:rPr>
        <w:t>’</w:t>
      </w:r>
      <w:r w:rsidRPr="004E6476">
        <w:rPr>
          <w:lang w:val="fr-FR"/>
        </w:rPr>
        <w:t xml:space="preserve">Organisation et les </w:t>
      </w:r>
      <w:r w:rsidR="005A75B3" w:rsidRPr="004E6476">
        <w:rPr>
          <w:lang w:val="fr-FR"/>
        </w:rPr>
        <w:t>gains d</w:t>
      </w:r>
      <w:r w:rsidR="00540C3E" w:rsidRPr="004E6476">
        <w:rPr>
          <w:lang w:val="fr-FR"/>
        </w:rPr>
        <w:t>’</w:t>
      </w:r>
      <w:r w:rsidR="005A75B3" w:rsidRPr="004E6476">
        <w:rPr>
          <w:lang w:val="fr-FR"/>
        </w:rPr>
        <w:t>efficacité</w:t>
      </w:r>
      <w:r w:rsidRPr="004E6476">
        <w:rPr>
          <w:lang w:val="fr-FR"/>
        </w:rPr>
        <w:t>.</w:t>
      </w:r>
      <w:r w:rsidR="00D75E61" w:rsidRPr="004E6476">
        <w:rPr>
          <w:lang w:val="fr-FR"/>
        </w:rPr>
        <w:t xml:space="preserve"> </w:t>
      </w:r>
      <w:r w:rsidR="002540C6" w:rsidRPr="004E6476">
        <w:rPr>
          <w:lang w:val="fr-FR"/>
        </w:rPr>
        <w:t xml:space="preserve"> </w:t>
      </w:r>
      <w:r w:rsidRPr="004E6476">
        <w:rPr>
          <w:lang w:val="fr-FR"/>
        </w:rPr>
        <w:t>Pour la présente session</w:t>
      </w:r>
      <w:r w:rsidR="00540C3E" w:rsidRPr="004E6476">
        <w:rPr>
          <w:lang w:val="fr-FR"/>
        </w:rPr>
        <w:t xml:space="preserve"> du PBC</w:t>
      </w:r>
      <w:r w:rsidRPr="004E6476">
        <w:rPr>
          <w:lang w:val="fr-FR"/>
        </w:rPr>
        <w:t xml:space="preserve">, les </w:t>
      </w:r>
      <w:r w:rsidR="005A75B3" w:rsidRPr="004E6476">
        <w:rPr>
          <w:lang w:val="fr-FR"/>
        </w:rPr>
        <w:t xml:space="preserve">éléments concernant </w:t>
      </w:r>
      <w:r w:rsidRPr="004E6476">
        <w:rPr>
          <w:lang w:val="fr-FR"/>
        </w:rPr>
        <w:t>l</w:t>
      </w:r>
      <w:r w:rsidR="005A75B3" w:rsidRPr="004E6476">
        <w:rPr>
          <w:lang w:val="fr-FR"/>
        </w:rPr>
        <w:t>es gains d</w:t>
      </w:r>
      <w:r w:rsidR="00540C3E" w:rsidRPr="004E6476">
        <w:rPr>
          <w:lang w:val="fr-FR"/>
        </w:rPr>
        <w:t>’</w:t>
      </w:r>
      <w:r w:rsidR="005A75B3" w:rsidRPr="004E6476">
        <w:rPr>
          <w:lang w:val="fr-FR"/>
        </w:rPr>
        <w:t xml:space="preserve">efficacité </w:t>
      </w:r>
      <w:r w:rsidRPr="004E6476">
        <w:rPr>
          <w:lang w:val="fr-FR"/>
        </w:rPr>
        <w:t>sont inclus dans le Rapport sur l</w:t>
      </w:r>
      <w:r w:rsidR="00540C3E" w:rsidRPr="004E6476">
        <w:rPr>
          <w:lang w:val="fr-FR"/>
        </w:rPr>
        <w:t>’</w:t>
      </w:r>
      <w:r w:rsidRPr="004E6476">
        <w:rPr>
          <w:lang w:val="fr-FR"/>
        </w:rPr>
        <w:t>exécution du programme pour</w:t>
      </w:r>
      <w:r w:rsidR="000007E7" w:rsidRPr="004E6476">
        <w:rPr>
          <w:lang w:val="fr-FR"/>
        </w:rPr>
        <w:t> </w:t>
      </w:r>
      <w:r w:rsidRPr="004E6476">
        <w:rPr>
          <w:lang w:val="fr-FR"/>
        </w:rPr>
        <w:t>2012</w:t>
      </w:r>
      <w:r w:rsidR="00387092" w:rsidRPr="004E6476">
        <w:rPr>
          <w:lang w:val="fr-FR"/>
        </w:rPr>
        <w:noBreakHyphen/>
      </w:r>
      <w:r w:rsidRPr="004E6476">
        <w:rPr>
          <w:lang w:val="fr-FR"/>
        </w:rPr>
        <w:t xml:space="preserve">2013 </w:t>
      </w:r>
      <w:r w:rsidR="00012FB3" w:rsidRPr="004E6476">
        <w:rPr>
          <w:lang w:val="fr-FR"/>
        </w:rPr>
        <w:t>puisqu’ils</w:t>
      </w:r>
      <w:r w:rsidRPr="004E6476">
        <w:rPr>
          <w:lang w:val="fr-FR"/>
        </w:rPr>
        <w:t xml:space="preserve"> font partie intégrante de </w:t>
      </w:r>
      <w:r w:rsidR="00012FB3" w:rsidRPr="004E6476">
        <w:rPr>
          <w:lang w:val="fr-FR"/>
        </w:rPr>
        <w:t xml:space="preserve">l’évaluation relative à la mise en œuvre et </w:t>
      </w:r>
      <w:r w:rsidRPr="004E6476">
        <w:rPr>
          <w:lang w:val="fr-FR"/>
        </w:rPr>
        <w:t>l</w:t>
      </w:r>
      <w:r w:rsidR="00540C3E" w:rsidRPr="004E6476">
        <w:rPr>
          <w:lang w:val="fr-FR"/>
        </w:rPr>
        <w:t>’</w:t>
      </w:r>
      <w:r w:rsidRPr="004E6476">
        <w:rPr>
          <w:lang w:val="fr-FR"/>
        </w:rPr>
        <w:t>exécution du programme.</w:t>
      </w:r>
      <w:r w:rsidR="002540C6" w:rsidRPr="004E6476">
        <w:rPr>
          <w:lang w:val="fr-FR"/>
        </w:rPr>
        <w:t xml:space="preserve">  </w:t>
      </w:r>
      <w:r w:rsidRPr="004E6476">
        <w:rPr>
          <w:lang w:val="fr-FR"/>
        </w:rPr>
        <w:t>De même, les éléments concernant l</w:t>
      </w:r>
      <w:r w:rsidR="00540C3E" w:rsidRPr="004E6476">
        <w:rPr>
          <w:lang w:val="fr-FR"/>
        </w:rPr>
        <w:t>’</w:t>
      </w:r>
      <w:r w:rsidRPr="004E6476">
        <w:rPr>
          <w:lang w:val="fr-FR"/>
        </w:rPr>
        <w:t>utilisation des r</w:t>
      </w:r>
      <w:r w:rsidR="005A75B3" w:rsidRPr="004E6476">
        <w:rPr>
          <w:lang w:val="fr-FR"/>
        </w:rPr>
        <w:t>éserves ont été inclus dans le R</w:t>
      </w:r>
      <w:r w:rsidRPr="004E6476">
        <w:rPr>
          <w:lang w:val="fr-FR"/>
        </w:rPr>
        <w:t>a</w:t>
      </w:r>
      <w:r w:rsidR="005A75B3" w:rsidRPr="004E6476">
        <w:rPr>
          <w:lang w:val="fr-FR"/>
        </w:rPr>
        <w:t xml:space="preserve">pport de gestion financière </w:t>
      </w:r>
      <w:r w:rsidR="00012FB3" w:rsidRPr="004E6476">
        <w:rPr>
          <w:lang w:val="fr-FR"/>
        </w:rPr>
        <w:t>puisqu’ils</w:t>
      </w:r>
      <w:r w:rsidR="005A75B3" w:rsidRPr="004E6476">
        <w:rPr>
          <w:lang w:val="fr-FR"/>
        </w:rPr>
        <w:t xml:space="preserve"> </w:t>
      </w:r>
      <w:r w:rsidRPr="004E6476">
        <w:rPr>
          <w:lang w:val="fr-FR"/>
        </w:rPr>
        <w:t xml:space="preserve">font partie intégrante des rapports </w:t>
      </w:r>
      <w:r w:rsidR="005A75B3" w:rsidRPr="004E6476">
        <w:rPr>
          <w:lang w:val="fr-FR"/>
        </w:rPr>
        <w:t>établis sur la</w:t>
      </w:r>
      <w:r w:rsidRPr="004E6476">
        <w:rPr>
          <w:lang w:val="fr-FR"/>
        </w:rPr>
        <w:t xml:space="preserve"> gestion financière.</w:t>
      </w:r>
    </w:p>
    <w:p w:rsidR="00FB7FE5" w:rsidRPr="004E6476" w:rsidRDefault="00AA0C07" w:rsidP="009534A7">
      <w:pPr>
        <w:pStyle w:val="Heading1"/>
        <w:rPr>
          <w:lang w:val="fr-FR"/>
        </w:rPr>
      </w:pPr>
      <w:r w:rsidRPr="004E6476">
        <w:rPr>
          <w:lang w:val="fr-FR"/>
        </w:rPr>
        <w:t>III.</w:t>
      </w:r>
      <w:r w:rsidRPr="004E6476">
        <w:rPr>
          <w:lang w:val="fr-FR"/>
        </w:rPr>
        <w:tab/>
      </w:r>
      <w:r w:rsidR="00EC3EF9" w:rsidRPr="004E6476">
        <w:rPr>
          <w:lang w:val="fr-FR"/>
        </w:rPr>
        <w:t>Principaux enjeux</w:t>
      </w:r>
    </w:p>
    <w:p w:rsidR="00387092" w:rsidRPr="004E6476" w:rsidRDefault="00387092" w:rsidP="009534A7">
      <w:pPr>
        <w:rPr>
          <w:lang w:val="fr-FR"/>
        </w:rPr>
      </w:pPr>
    </w:p>
    <w:p w:rsidR="00540C3E" w:rsidRPr="004E6476" w:rsidRDefault="00914935" w:rsidP="009534A7">
      <w:pPr>
        <w:pStyle w:val="ONUMFS"/>
        <w:rPr>
          <w:lang w:val="fr-FR"/>
        </w:rPr>
      </w:pPr>
      <w:r w:rsidRPr="004E6476">
        <w:rPr>
          <w:lang w:val="fr-FR"/>
        </w:rPr>
        <w:t>L</w:t>
      </w:r>
      <w:r w:rsidR="00540C3E" w:rsidRPr="004E6476">
        <w:rPr>
          <w:lang w:val="fr-FR"/>
        </w:rPr>
        <w:t>’</w:t>
      </w:r>
      <w:r w:rsidRPr="004E6476">
        <w:rPr>
          <w:lang w:val="fr-FR"/>
        </w:rPr>
        <w:t xml:space="preserve">analyse menée par le Secrétariat sur le contenu de ces rapports a mis en lumière des doublons et des chevauchements </w:t>
      </w:r>
      <w:r w:rsidR="005A75B3" w:rsidRPr="004E6476">
        <w:rPr>
          <w:lang w:val="fr-FR"/>
        </w:rPr>
        <w:t>entre</w:t>
      </w:r>
      <w:r w:rsidRPr="004E6476">
        <w:rPr>
          <w:lang w:val="fr-FR"/>
        </w:rPr>
        <w:t xml:space="preserve"> les informations </w:t>
      </w:r>
      <w:r w:rsidR="00012FB3" w:rsidRPr="004E6476">
        <w:rPr>
          <w:lang w:val="fr-FR"/>
        </w:rPr>
        <w:t>contenu</w:t>
      </w:r>
      <w:r w:rsidRPr="004E6476">
        <w:rPr>
          <w:lang w:val="fr-FR"/>
        </w:rPr>
        <w:t xml:space="preserve">es dans le Rapport de gestion financière et </w:t>
      </w:r>
      <w:r w:rsidR="005A75B3" w:rsidRPr="004E6476">
        <w:rPr>
          <w:lang w:val="fr-FR"/>
        </w:rPr>
        <w:t>celles contenues dans le</w:t>
      </w:r>
      <w:r w:rsidRPr="004E6476">
        <w:rPr>
          <w:lang w:val="fr-FR"/>
        </w:rPr>
        <w:t xml:space="preserve"> Rapport sur l</w:t>
      </w:r>
      <w:r w:rsidR="00540C3E" w:rsidRPr="004E6476">
        <w:rPr>
          <w:lang w:val="fr-FR"/>
        </w:rPr>
        <w:t>’</w:t>
      </w:r>
      <w:r w:rsidRPr="004E6476">
        <w:rPr>
          <w:lang w:val="fr-FR"/>
        </w:rPr>
        <w:t>exécution du programme, ainsi que des doublons et des chevauchements considérables entre le Rapport de gestion financière et les états financiers.</w:t>
      </w:r>
    </w:p>
    <w:p w:rsidR="00FB7FE5" w:rsidRPr="004E6476" w:rsidRDefault="00DC6876" w:rsidP="00DC6876">
      <w:pPr>
        <w:pStyle w:val="ONUMFS"/>
        <w:rPr>
          <w:lang w:val="fr-FR"/>
        </w:rPr>
      </w:pPr>
      <w:r w:rsidRPr="00DC6876">
        <w:rPr>
          <w:noProof/>
          <w:highlight w:val="yellow"/>
          <w:lang w:eastAsia="en-US"/>
        </w:rPr>
        <w:drawing>
          <wp:anchor distT="0" distB="0" distL="114300" distR="114300" simplePos="0" relativeHeight="251658240" behindDoc="0" locked="0" layoutInCell="1" allowOverlap="1" wp14:anchorId="39CEA623" wp14:editId="47C84D74">
            <wp:simplePos x="0" y="0"/>
            <wp:positionH relativeFrom="column">
              <wp:posOffset>7620</wp:posOffset>
            </wp:positionH>
            <wp:positionV relativeFrom="paragraph">
              <wp:posOffset>857250</wp:posOffset>
            </wp:positionV>
            <wp:extent cx="5940425" cy="26098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935" w:rsidRPr="004E6476">
        <w:rPr>
          <w:lang w:val="fr-FR"/>
        </w:rPr>
        <w:t>L</w:t>
      </w:r>
      <w:r w:rsidR="00540C3E" w:rsidRPr="004E6476">
        <w:rPr>
          <w:lang w:val="fr-FR"/>
        </w:rPr>
        <w:t>’</w:t>
      </w:r>
      <w:r w:rsidR="00914935" w:rsidRPr="004E6476">
        <w:rPr>
          <w:lang w:val="fr-FR"/>
        </w:rPr>
        <w:t>analyse détaillée du contenu de ces documents est joint en annexe.</w:t>
      </w:r>
      <w:r w:rsidR="00E94630" w:rsidRPr="004E6476">
        <w:rPr>
          <w:lang w:val="fr-FR"/>
        </w:rPr>
        <w:t xml:space="preserve"> </w:t>
      </w:r>
      <w:r w:rsidR="00F37106" w:rsidRPr="004E6476">
        <w:rPr>
          <w:lang w:val="fr-FR"/>
        </w:rPr>
        <w:t xml:space="preserve"> </w:t>
      </w:r>
      <w:r w:rsidR="000E22E9" w:rsidRPr="004E6476">
        <w:rPr>
          <w:lang w:val="fr-FR"/>
        </w:rPr>
        <w:t xml:space="preserve">Les doublons et chevauchements </w:t>
      </w:r>
      <w:r w:rsidR="0080068A" w:rsidRPr="004E6476">
        <w:rPr>
          <w:lang w:val="fr-FR"/>
        </w:rPr>
        <w:t>entraînent</w:t>
      </w:r>
      <w:r w:rsidR="000E22E9" w:rsidRPr="004E6476">
        <w:rPr>
          <w:lang w:val="fr-FR"/>
        </w:rPr>
        <w:t xml:space="preserve"> une surcharge d</w:t>
      </w:r>
      <w:r w:rsidR="00540C3E" w:rsidRPr="004E6476">
        <w:rPr>
          <w:lang w:val="fr-FR"/>
        </w:rPr>
        <w:t>’</w:t>
      </w:r>
      <w:r w:rsidR="000E22E9" w:rsidRPr="004E6476">
        <w:rPr>
          <w:lang w:val="fr-FR"/>
        </w:rPr>
        <w:t xml:space="preserve">informations pour les utilisateurs de ces rapports, une multiplication des efforts </w:t>
      </w:r>
      <w:r w:rsidR="005A75B3" w:rsidRPr="004E6476">
        <w:rPr>
          <w:lang w:val="fr-FR"/>
        </w:rPr>
        <w:t xml:space="preserve">nécessaires </w:t>
      </w:r>
      <w:r w:rsidR="000E22E9" w:rsidRPr="004E6476">
        <w:rPr>
          <w:lang w:val="fr-FR"/>
        </w:rPr>
        <w:t>pour coordonner l</w:t>
      </w:r>
      <w:r w:rsidR="00540C3E" w:rsidRPr="004E6476">
        <w:rPr>
          <w:lang w:val="fr-FR"/>
        </w:rPr>
        <w:t>’</w:t>
      </w:r>
      <w:r w:rsidR="000E22E9" w:rsidRPr="004E6476">
        <w:rPr>
          <w:lang w:val="fr-FR"/>
        </w:rPr>
        <w:t>élaboration des documents et</w:t>
      </w:r>
      <w:r w:rsidR="005A75B3" w:rsidRPr="004E6476">
        <w:rPr>
          <w:lang w:val="fr-FR"/>
        </w:rPr>
        <w:t xml:space="preserve"> une augmentation</w:t>
      </w:r>
      <w:r w:rsidR="000E22E9" w:rsidRPr="004E6476">
        <w:rPr>
          <w:lang w:val="fr-FR"/>
        </w:rPr>
        <w:t xml:space="preserve"> des efforts et des coûts </w:t>
      </w:r>
      <w:r w:rsidR="00012FB3" w:rsidRPr="004E6476">
        <w:rPr>
          <w:lang w:val="fr-FR"/>
        </w:rPr>
        <w:t xml:space="preserve">en matière </w:t>
      </w:r>
      <w:r w:rsidR="005A75B3" w:rsidRPr="004E6476">
        <w:rPr>
          <w:lang w:val="fr-FR"/>
        </w:rPr>
        <w:t>de</w:t>
      </w:r>
      <w:r w:rsidR="000E22E9" w:rsidRPr="004E6476">
        <w:rPr>
          <w:lang w:val="fr-FR"/>
        </w:rPr>
        <w:t xml:space="preserve"> traduction et </w:t>
      </w:r>
      <w:r w:rsidR="005A75B3" w:rsidRPr="004E6476">
        <w:rPr>
          <w:lang w:val="fr-FR"/>
        </w:rPr>
        <w:t>de</w:t>
      </w:r>
      <w:r w:rsidR="000E22E9" w:rsidRPr="004E6476">
        <w:rPr>
          <w:lang w:val="fr-FR"/>
        </w:rPr>
        <w:t xml:space="preserve"> publication.</w:t>
      </w:r>
    </w:p>
    <w:p w:rsidR="00FB7FE5" w:rsidRPr="009534A7" w:rsidRDefault="00FB7FE5" w:rsidP="009534A7">
      <w:pPr>
        <w:rPr>
          <w:b/>
          <w:highlight w:val="yellow"/>
          <w:lang w:val="fr-FR"/>
        </w:rPr>
      </w:pPr>
    </w:p>
    <w:p w:rsidR="00FB7FE5" w:rsidRPr="004E6476" w:rsidRDefault="000E22E9" w:rsidP="009534A7">
      <w:pPr>
        <w:pStyle w:val="ONUMFS"/>
        <w:rPr>
          <w:lang w:val="fr-FR"/>
        </w:rPr>
      </w:pPr>
      <w:r w:rsidRPr="004E6476">
        <w:rPr>
          <w:lang w:val="fr-FR"/>
        </w:rPr>
        <w:t>La situation tient notamment aux raisons suivantes</w:t>
      </w:r>
      <w:r w:rsidR="000007E7" w:rsidRPr="004E6476">
        <w:rPr>
          <w:lang w:val="fr-FR"/>
        </w:rPr>
        <w:t> </w:t>
      </w:r>
      <w:r w:rsidRPr="004E6476">
        <w:rPr>
          <w:lang w:val="fr-FR"/>
        </w:rPr>
        <w:t>:</w:t>
      </w:r>
    </w:p>
    <w:p w:rsidR="00FB7FE5" w:rsidRPr="004E6476" w:rsidRDefault="0044297A" w:rsidP="009534A7">
      <w:pPr>
        <w:pStyle w:val="ONUMFS"/>
        <w:numPr>
          <w:ilvl w:val="2"/>
          <w:numId w:val="6"/>
        </w:numPr>
        <w:rPr>
          <w:lang w:val="fr-FR"/>
        </w:rPr>
      </w:pPr>
      <w:r w:rsidRPr="004E6476">
        <w:rPr>
          <w:lang w:val="fr-FR"/>
        </w:rPr>
        <w:t>a</w:t>
      </w:r>
      <w:r w:rsidR="00A25E8E" w:rsidRPr="004E6476">
        <w:rPr>
          <w:lang w:val="fr-FR"/>
        </w:rPr>
        <w:t>fin d</w:t>
      </w:r>
      <w:r w:rsidR="00540C3E" w:rsidRPr="004E6476">
        <w:rPr>
          <w:lang w:val="fr-FR"/>
        </w:rPr>
        <w:t>’</w:t>
      </w:r>
      <w:r w:rsidR="00A25E8E" w:rsidRPr="004E6476">
        <w:rPr>
          <w:lang w:val="fr-FR"/>
        </w:rPr>
        <w:t>établir des rapports plus exhaustifs à l</w:t>
      </w:r>
      <w:r w:rsidR="00540C3E" w:rsidRPr="004E6476">
        <w:rPr>
          <w:lang w:val="fr-FR"/>
        </w:rPr>
        <w:t>’</w:t>
      </w:r>
      <w:r w:rsidR="00A25E8E" w:rsidRPr="004E6476">
        <w:rPr>
          <w:lang w:val="fr-FR"/>
        </w:rPr>
        <w:t>intention des États membres</w:t>
      </w:r>
      <w:r w:rsidRPr="004E6476">
        <w:rPr>
          <w:lang w:val="fr-FR"/>
        </w:rPr>
        <w:t>,</w:t>
      </w:r>
      <w:r w:rsidR="00A25E8E" w:rsidRPr="004E6476">
        <w:rPr>
          <w:lang w:val="fr-FR"/>
        </w:rPr>
        <w:t xml:space="preserve"> </w:t>
      </w:r>
      <w:r w:rsidRPr="004E6476">
        <w:rPr>
          <w:lang w:val="fr-FR"/>
        </w:rPr>
        <w:t>en</w:t>
      </w:r>
      <w:r w:rsidR="00A25E8E" w:rsidRPr="004E6476">
        <w:rPr>
          <w:lang w:val="fr-FR"/>
        </w:rPr>
        <w:t xml:space="preserve"> </w:t>
      </w:r>
      <w:r w:rsidRPr="004E6476">
        <w:rPr>
          <w:lang w:val="fr-FR"/>
        </w:rPr>
        <w:t>vue d</w:t>
      </w:r>
      <w:r w:rsidR="00540C3E" w:rsidRPr="004E6476">
        <w:rPr>
          <w:lang w:val="fr-FR"/>
        </w:rPr>
        <w:t>’</w:t>
      </w:r>
      <w:r w:rsidR="00A25E8E" w:rsidRPr="004E6476">
        <w:rPr>
          <w:lang w:val="fr-FR"/>
        </w:rPr>
        <w:t>une évaluation pertinente de l</w:t>
      </w:r>
      <w:r w:rsidR="00540C3E" w:rsidRPr="004E6476">
        <w:rPr>
          <w:lang w:val="fr-FR"/>
        </w:rPr>
        <w:t>’</w:t>
      </w:r>
      <w:r w:rsidR="00A25E8E" w:rsidRPr="004E6476">
        <w:rPr>
          <w:lang w:val="fr-FR"/>
        </w:rPr>
        <w:t>exécution du programme</w:t>
      </w:r>
      <w:r w:rsidR="00DB2959" w:rsidRPr="004E6476">
        <w:rPr>
          <w:lang w:val="fr-FR"/>
        </w:rPr>
        <w:t xml:space="preserve"> et du budget</w:t>
      </w:r>
      <w:r w:rsidR="00A25E8E" w:rsidRPr="004E6476">
        <w:rPr>
          <w:lang w:val="fr-FR"/>
        </w:rPr>
        <w:t xml:space="preserve">, le Secrétariat </w:t>
      </w:r>
      <w:r w:rsidR="001B6849" w:rsidRPr="004E6476">
        <w:rPr>
          <w:lang w:val="fr-FR"/>
        </w:rPr>
        <w:t xml:space="preserve">a graduellement </w:t>
      </w:r>
      <w:r w:rsidR="00A25E8E" w:rsidRPr="004E6476">
        <w:rPr>
          <w:lang w:val="fr-FR"/>
        </w:rPr>
        <w:t>int</w:t>
      </w:r>
      <w:r w:rsidR="001B6849" w:rsidRPr="004E6476">
        <w:rPr>
          <w:lang w:val="fr-FR"/>
        </w:rPr>
        <w:t>é</w:t>
      </w:r>
      <w:r w:rsidR="00A25E8E" w:rsidRPr="004E6476">
        <w:rPr>
          <w:lang w:val="fr-FR"/>
        </w:rPr>
        <w:t>gr</w:t>
      </w:r>
      <w:r w:rsidR="001B6849" w:rsidRPr="004E6476">
        <w:rPr>
          <w:lang w:val="fr-FR"/>
        </w:rPr>
        <w:t>é</w:t>
      </w:r>
      <w:r w:rsidR="00A25E8E" w:rsidRPr="004E6476">
        <w:rPr>
          <w:lang w:val="fr-FR"/>
        </w:rPr>
        <w:t xml:space="preserve"> de plus en plus </w:t>
      </w:r>
      <w:r w:rsidR="009E1713" w:rsidRPr="004E6476">
        <w:rPr>
          <w:lang w:val="fr-FR"/>
        </w:rPr>
        <w:t>d</w:t>
      </w:r>
      <w:r w:rsidR="00540C3E" w:rsidRPr="004E6476">
        <w:rPr>
          <w:lang w:val="fr-FR"/>
        </w:rPr>
        <w:t>’</w:t>
      </w:r>
      <w:r w:rsidR="009E1713" w:rsidRPr="004E6476">
        <w:rPr>
          <w:lang w:val="fr-FR"/>
        </w:rPr>
        <w:t>éléments relatifs au</w:t>
      </w:r>
      <w:r w:rsidR="00A25E8E" w:rsidRPr="004E6476">
        <w:rPr>
          <w:lang w:val="fr-FR"/>
        </w:rPr>
        <w:t xml:space="preserve"> programme et </w:t>
      </w:r>
      <w:r w:rsidR="009E1713" w:rsidRPr="004E6476">
        <w:rPr>
          <w:lang w:val="fr-FR"/>
        </w:rPr>
        <w:t>au</w:t>
      </w:r>
      <w:r w:rsidR="00A25E8E" w:rsidRPr="004E6476">
        <w:rPr>
          <w:lang w:val="fr-FR"/>
        </w:rPr>
        <w:t xml:space="preserve"> budget dans le Rapport sur l</w:t>
      </w:r>
      <w:r w:rsidR="00540C3E" w:rsidRPr="004E6476">
        <w:rPr>
          <w:lang w:val="fr-FR"/>
        </w:rPr>
        <w:t>’</w:t>
      </w:r>
      <w:r w:rsidR="00A25E8E" w:rsidRPr="004E6476">
        <w:rPr>
          <w:lang w:val="fr-FR"/>
        </w:rPr>
        <w:t>exécution du programme.  L</w:t>
      </w:r>
      <w:r w:rsidR="00540C3E" w:rsidRPr="004E6476">
        <w:rPr>
          <w:lang w:val="fr-FR"/>
        </w:rPr>
        <w:t>’</w:t>
      </w:r>
      <w:r w:rsidR="00A25E8E" w:rsidRPr="004E6476">
        <w:rPr>
          <w:lang w:val="fr-FR"/>
        </w:rPr>
        <w:t>intégration de ces données avait également été recommandée</w:t>
      </w:r>
      <w:r w:rsidR="009E1713" w:rsidRPr="004E6476">
        <w:rPr>
          <w:lang w:val="fr-FR"/>
        </w:rPr>
        <w:t xml:space="preserve"> par</w:t>
      </w:r>
      <w:r w:rsidR="00A25E8E" w:rsidRPr="004E6476">
        <w:rPr>
          <w:lang w:val="fr-FR"/>
        </w:rPr>
        <w:t xml:space="preserve"> le Comité d</w:t>
      </w:r>
      <w:r w:rsidR="00540C3E" w:rsidRPr="004E6476">
        <w:rPr>
          <w:lang w:val="fr-FR"/>
        </w:rPr>
        <w:t>’</w:t>
      </w:r>
      <w:r w:rsidR="00A25E8E" w:rsidRPr="004E6476">
        <w:rPr>
          <w:lang w:val="fr-FR"/>
        </w:rPr>
        <w:t>audit afin de renforcer la gestion axée sur les résultats.</w:t>
      </w:r>
      <w:r w:rsidR="00F37106" w:rsidRPr="004E6476">
        <w:rPr>
          <w:lang w:val="fr-FR"/>
        </w:rPr>
        <w:t xml:space="preserve"> </w:t>
      </w:r>
      <w:r w:rsidR="00761291" w:rsidRPr="004E6476">
        <w:rPr>
          <w:lang w:val="fr-FR"/>
        </w:rPr>
        <w:t xml:space="preserve"> </w:t>
      </w:r>
      <w:r w:rsidR="001B6849" w:rsidRPr="004E6476">
        <w:rPr>
          <w:lang w:val="fr-FR"/>
        </w:rPr>
        <w:t>En conséquence, le</w:t>
      </w:r>
      <w:r w:rsidR="00A25E8E" w:rsidRPr="004E6476">
        <w:rPr>
          <w:lang w:val="fr-FR"/>
        </w:rPr>
        <w:t xml:space="preserve"> Rapport biennal sur l</w:t>
      </w:r>
      <w:r w:rsidR="00540C3E" w:rsidRPr="004E6476">
        <w:rPr>
          <w:lang w:val="fr-FR"/>
        </w:rPr>
        <w:t>’</w:t>
      </w:r>
      <w:r w:rsidR="00A25E8E" w:rsidRPr="004E6476">
        <w:rPr>
          <w:lang w:val="fr-FR"/>
        </w:rPr>
        <w:t>exécution du programme comprend d</w:t>
      </w:r>
      <w:r w:rsidR="009E1713" w:rsidRPr="004E6476">
        <w:rPr>
          <w:lang w:val="fr-FR"/>
        </w:rPr>
        <w:t>ésormais d</w:t>
      </w:r>
      <w:r w:rsidR="00A25E8E" w:rsidRPr="004E6476">
        <w:rPr>
          <w:lang w:val="fr-FR"/>
        </w:rPr>
        <w:t>es informations sur l</w:t>
      </w:r>
      <w:r w:rsidR="00540C3E" w:rsidRPr="004E6476">
        <w:rPr>
          <w:lang w:val="fr-FR"/>
        </w:rPr>
        <w:t>’</w:t>
      </w:r>
      <w:r w:rsidR="00A25E8E" w:rsidRPr="004E6476">
        <w:rPr>
          <w:lang w:val="fr-FR"/>
        </w:rPr>
        <w:t>utilisation du budget par programme (</w:t>
      </w:r>
      <w:r w:rsidR="009E1713" w:rsidRPr="004E6476">
        <w:rPr>
          <w:lang w:val="fr-FR"/>
        </w:rPr>
        <w:t>et par</w:t>
      </w:r>
      <w:r w:rsidR="00A25E8E" w:rsidRPr="004E6476">
        <w:rPr>
          <w:lang w:val="fr-FR"/>
        </w:rPr>
        <w:t xml:space="preserve"> résultat)</w:t>
      </w:r>
      <w:r w:rsidR="009E1713" w:rsidRPr="004E6476">
        <w:rPr>
          <w:lang w:val="fr-FR"/>
        </w:rPr>
        <w:t xml:space="preserve"> ainsi qu</w:t>
      </w:r>
      <w:r w:rsidR="00540C3E" w:rsidRPr="004E6476">
        <w:rPr>
          <w:lang w:val="fr-FR"/>
        </w:rPr>
        <w:t>’</w:t>
      </w:r>
      <w:r w:rsidR="009E1713" w:rsidRPr="004E6476">
        <w:rPr>
          <w:lang w:val="fr-FR"/>
        </w:rPr>
        <w:t>une analyse</w:t>
      </w:r>
      <w:r w:rsidR="00A25E8E" w:rsidRPr="004E6476">
        <w:rPr>
          <w:lang w:val="fr-FR"/>
        </w:rPr>
        <w:t>, ce qui fait double emploi avec le Rapport de gestion financière</w:t>
      </w:r>
      <w:r w:rsidR="009E1713" w:rsidRPr="004E6476">
        <w:rPr>
          <w:lang w:val="fr-FR"/>
        </w:rPr>
        <w:t>;</w:t>
      </w:r>
    </w:p>
    <w:p w:rsidR="00FB7FE5" w:rsidRPr="004E6476" w:rsidRDefault="009E1713" w:rsidP="009534A7">
      <w:pPr>
        <w:pStyle w:val="ONUMFS"/>
        <w:numPr>
          <w:ilvl w:val="2"/>
          <w:numId w:val="6"/>
        </w:numPr>
        <w:rPr>
          <w:lang w:val="fr-FR"/>
        </w:rPr>
      </w:pPr>
      <w:r w:rsidRPr="004E6476">
        <w:rPr>
          <w:lang w:val="fr-FR"/>
        </w:rPr>
        <w:t>c</w:t>
      </w:r>
      <w:r w:rsidR="006371E5" w:rsidRPr="004E6476">
        <w:rPr>
          <w:lang w:val="fr-FR"/>
        </w:rPr>
        <w:t>onformément aux normes</w:t>
      </w:r>
      <w:r w:rsidR="000007E7" w:rsidRPr="004E6476">
        <w:rPr>
          <w:lang w:val="fr-FR"/>
        </w:rPr>
        <w:t> </w:t>
      </w:r>
      <w:r w:rsidR="006371E5" w:rsidRPr="004E6476">
        <w:rPr>
          <w:lang w:val="fr-FR"/>
        </w:rPr>
        <w:t xml:space="preserve">IPSAS et à la position exprimée en </w:t>
      </w:r>
      <w:r w:rsidR="00540C3E" w:rsidRPr="004E6476">
        <w:rPr>
          <w:lang w:val="fr-FR"/>
        </w:rPr>
        <w:t>juillet 20</w:t>
      </w:r>
      <w:r w:rsidR="006371E5" w:rsidRPr="004E6476">
        <w:rPr>
          <w:lang w:val="fr-FR"/>
        </w:rPr>
        <w:t xml:space="preserve">13 par le Conseil des normes comptables internationales du secteur public (IPSASB), qui a recommandé que </w:t>
      </w:r>
      <w:r w:rsidR="000007E7" w:rsidRPr="004E6476">
        <w:rPr>
          <w:lang w:val="fr-FR"/>
        </w:rPr>
        <w:t>“</w:t>
      </w:r>
      <w:r w:rsidR="006371E5" w:rsidRPr="004E6476">
        <w:rPr>
          <w:lang w:val="fr-FR"/>
        </w:rPr>
        <w:t>l</w:t>
      </w:r>
      <w:r w:rsidR="00540C3E" w:rsidRPr="004E6476">
        <w:rPr>
          <w:lang w:val="fr-FR"/>
        </w:rPr>
        <w:t>’</w:t>
      </w:r>
      <w:r w:rsidR="006371E5" w:rsidRPr="004E6476">
        <w:rPr>
          <w:lang w:val="fr-FR"/>
        </w:rPr>
        <w:t>information, dans l</w:t>
      </w:r>
      <w:r w:rsidR="00540C3E" w:rsidRPr="004E6476">
        <w:rPr>
          <w:lang w:val="fr-FR"/>
        </w:rPr>
        <w:t>’</w:t>
      </w:r>
      <w:r w:rsidR="006371E5" w:rsidRPr="004E6476">
        <w:rPr>
          <w:lang w:val="fr-FR"/>
        </w:rPr>
        <w:t>examen et l</w:t>
      </w:r>
      <w:r w:rsidR="00540C3E" w:rsidRPr="004E6476">
        <w:rPr>
          <w:lang w:val="fr-FR"/>
        </w:rPr>
        <w:t>’</w:t>
      </w:r>
      <w:r w:rsidR="006371E5" w:rsidRPr="004E6476">
        <w:rPr>
          <w:lang w:val="fr-FR"/>
        </w:rPr>
        <w:t xml:space="preserve">analyse des états financiers, </w:t>
      </w:r>
      <w:r w:rsidR="001B6849" w:rsidRPr="004E6476">
        <w:rPr>
          <w:lang w:val="fr-FR"/>
        </w:rPr>
        <w:t>répond</w:t>
      </w:r>
      <w:r w:rsidRPr="004E6476">
        <w:rPr>
          <w:lang w:val="fr-FR"/>
        </w:rPr>
        <w:t>e</w:t>
      </w:r>
      <w:r w:rsidR="006371E5" w:rsidRPr="004E6476">
        <w:rPr>
          <w:lang w:val="fr-FR"/>
        </w:rPr>
        <w:t xml:space="preserve"> aux caractéristiques qualitatives de l</w:t>
      </w:r>
      <w:r w:rsidR="00540C3E" w:rsidRPr="004E6476">
        <w:rPr>
          <w:lang w:val="fr-FR"/>
        </w:rPr>
        <w:t>’</w:t>
      </w:r>
      <w:r w:rsidR="006371E5" w:rsidRPr="004E6476">
        <w:rPr>
          <w:lang w:val="fr-FR"/>
        </w:rPr>
        <w:t xml:space="preserve">information financière, compte tenu des contraintes </w:t>
      </w:r>
      <w:r w:rsidR="00D91C7C" w:rsidRPr="004E6476">
        <w:rPr>
          <w:lang w:val="fr-FR"/>
        </w:rPr>
        <w:t>pesant sur</w:t>
      </w:r>
      <w:r w:rsidR="006371E5" w:rsidRPr="004E6476">
        <w:rPr>
          <w:lang w:val="fr-FR"/>
        </w:rPr>
        <w:t xml:space="preserve"> l</w:t>
      </w:r>
      <w:r w:rsidR="00D91C7C" w:rsidRPr="004E6476">
        <w:rPr>
          <w:lang w:val="fr-FR"/>
        </w:rPr>
        <w:t xml:space="preserve">es </w:t>
      </w:r>
      <w:r w:rsidR="006371E5" w:rsidRPr="004E6476">
        <w:rPr>
          <w:lang w:val="fr-FR"/>
        </w:rPr>
        <w:t>information</w:t>
      </w:r>
      <w:r w:rsidR="00D91C7C" w:rsidRPr="004E6476">
        <w:rPr>
          <w:lang w:val="fr-FR"/>
        </w:rPr>
        <w:t>s</w:t>
      </w:r>
      <w:r w:rsidR="006371E5" w:rsidRPr="004E6476">
        <w:rPr>
          <w:lang w:val="fr-FR"/>
        </w:rPr>
        <w:t xml:space="preserve"> </w:t>
      </w:r>
      <w:r w:rsidR="00D91C7C" w:rsidRPr="004E6476">
        <w:rPr>
          <w:lang w:val="fr-FR"/>
        </w:rPr>
        <w:t xml:space="preserve">incluses </w:t>
      </w:r>
      <w:r w:rsidR="006371E5" w:rsidRPr="004E6476">
        <w:rPr>
          <w:lang w:val="fr-FR"/>
        </w:rPr>
        <w:t xml:space="preserve">dans les </w:t>
      </w:r>
      <w:r w:rsidRPr="004E6476">
        <w:rPr>
          <w:lang w:val="fr-FR"/>
        </w:rPr>
        <w:t>rapports</w:t>
      </w:r>
      <w:r w:rsidR="006371E5" w:rsidRPr="004E6476">
        <w:rPr>
          <w:lang w:val="fr-FR"/>
        </w:rPr>
        <w:t xml:space="preserve"> financiers à usage général</w:t>
      </w:r>
      <w:r w:rsidR="000007E7" w:rsidRPr="004E6476">
        <w:rPr>
          <w:lang w:val="fr-FR"/>
        </w:rPr>
        <w:t>”</w:t>
      </w:r>
      <w:r w:rsidR="006371E5" w:rsidRPr="004E6476">
        <w:rPr>
          <w:lang w:val="fr-FR"/>
        </w:rPr>
        <w:t xml:space="preserve">, les états financiers qui, en vertu des normes UNSAS, </w:t>
      </w:r>
      <w:r w:rsidR="00D91C7C" w:rsidRPr="004E6476">
        <w:rPr>
          <w:lang w:val="fr-FR"/>
        </w:rPr>
        <w:t>se</w:t>
      </w:r>
      <w:r w:rsidR="006371E5" w:rsidRPr="004E6476">
        <w:rPr>
          <w:lang w:val="fr-FR"/>
        </w:rPr>
        <w:t xml:space="preserve"> limit</w:t>
      </w:r>
      <w:r w:rsidR="00D91C7C" w:rsidRPr="004E6476">
        <w:rPr>
          <w:lang w:val="fr-FR"/>
        </w:rPr>
        <w:t>aient à des</w:t>
      </w:r>
      <w:r w:rsidR="006371E5" w:rsidRPr="004E6476">
        <w:rPr>
          <w:lang w:val="fr-FR"/>
        </w:rPr>
        <w:t xml:space="preserve"> rapports et</w:t>
      </w:r>
      <w:r w:rsidR="00D91C7C" w:rsidRPr="004E6476">
        <w:rPr>
          <w:lang w:val="fr-FR"/>
        </w:rPr>
        <w:t xml:space="preserve"> </w:t>
      </w:r>
      <w:r w:rsidR="006371E5" w:rsidRPr="004E6476">
        <w:rPr>
          <w:lang w:val="fr-FR"/>
        </w:rPr>
        <w:t>tableaux financiers, ont été étoffés et contiennent désormais une analyse des recettes et des dépenses.</w:t>
      </w:r>
      <w:r w:rsidR="00761291" w:rsidRPr="004E6476">
        <w:rPr>
          <w:lang w:val="fr-FR"/>
        </w:rPr>
        <w:t xml:space="preserve"> </w:t>
      </w:r>
      <w:r w:rsidR="00F37106" w:rsidRPr="004E6476">
        <w:rPr>
          <w:lang w:val="fr-FR"/>
        </w:rPr>
        <w:t xml:space="preserve"> </w:t>
      </w:r>
      <w:r w:rsidR="006371E5" w:rsidRPr="004E6476">
        <w:rPr>
          <w:lang w:val="fr-FR"/>
        </w:rPr>
        <w:t>Bien que l</w:t>
      </w:r>
      <w:r w:rsidR="00540C3E" w:rsidRPr="004E6476">
        <w:rPr>
          <w:lang w:val="fr-FR"/>
        </w:rPr>
        <w:t>’</w:t>
      </w:r>
      <w:r w:rsidR="006371E5" w:rsidRPr="004E6476">
        <w:rPr>
          <w:lang w:val="fr-FR"/>
        </w:rPr>
        <w:t>analyse contenue dans les états financiers soit effectuée sur une base IPSAS et que celle contenue dans le Rapport de gestion financière repose sur une base budgétaire, il existe un doublon, du point de vue des utilisateurs</w:t>
      </w:r>
      <w:r w:rsidR="001B6849" w:rsidRPr="004E6476">
        <w:rPr>
          <w:lang w:val="fr-FR"/>
        </w:rPr>
        <w:t>,</w:t>
      </w:r>
      <w:r w:rsidR="006371E5" w:rsidRPr="004E6476">
        <w:rPr>
          <w:lang w:val="fr-FR"/>
        </w:rPr>
        <w:t xml:space="preserve"> entre les états financiers et le Rapport de gestion financière.</w:t>
      </w:r>
    </w:p>
    <w:p w:rsidR="00FB7FE5" w:rsidRPr="004E6476" w:rsidRDefault="001B6849" w:rsidP="009534A7">
      <w:pPr>
        <w:pStyle w:val="ONUMFS"/>
        <w:rPr>
          <w:lang w:val="fr-FR"/>
        </w:rPr>
      </w:pPr>
      <w:r w:rsidRPr="004E6476">
        <w:rPr>
          <w:lang w:val="fr-FR"/>
        </w:rPr>
        <w:t>C</w:t>
      </w:r>
      <w:r w:rsidR="006371E5" w:rsidRPr="004E6476">
        <w:rPr>
          <w:lang w:val="fr-FR"/>
        </w:rPr>
        <w:t xml:space="preserve">es documents, toutes langues confondues, </w:t>
      </w:r>
      <w:r w:rsidRPr="004E6476">
        <w:rPr>
          <w:lang w:val="fr-FR"/>
        </w:rPr>
        <w:t xml:space="preserve">correspondent à un total </w:t>
      </w:r>
      <w:r w:rsidR="006371E5" w:rsidRPr="004E6476">
        <w:rPr>
          <w:lang w:val="fr-FR"/>
        </w:rPr>
        <w:t xml:space="preserve">de </w:t>
      </w:r>
      <w:r w:rsidR="000007E7" w:rsidRPr="004E6476">
        <w:rPr>
          <w:lang w:val="fr-FR"/>
        </w:rPr>
        <w:t>2115</w:t>
      </w:r>
      <w:r w:rsidRPr="004E6476">
        <w:rPr>
          <w:lang w:val="fr-FR"/>
        </w:rPr>
        <w:t xml:space="preserve"> pages </w:t>
      </w:r>
      <w:r w:rsidR="006371E5" w:rsidRPr="004E6476">
        <w:rPr>
          <w:lang w:val="fr-FR"/>
        </w:rPr>
        <w:t>pour l</w:t>
      </w:r>
      <w:r w:rsidR="00540C3E" w:rsidRPr="004E6476">
        <w:rPr>
          <w:lang w:val="fr-FR"/>
        </w:rPr>
        <w:t>’</w:t>
      </w:r>
      <w:r w:rsidR="006371E5" w:rsidRPr="004E6476">
        <w:rPr>
          <w:lang w:val="fr-FR"/>
        </w:rPr>
        <w:t>exercice biennal</w:t>
      </w:r>
      <w:r w:rsidR="000007E7" w:rsidRPr="004E6476">
        <w:rPr>
          <w:lang w:val="fr-FR"/>
        </w:rPr>
        <w:t> </w:t>
      </w:r>
      <w:r w:rsidR="006371E5" w:rsidRPr="004E6476">
        <w:rPr>
          <w:lang w:val="fr-FR"/>
        </w:rPr>
        <w:t>2010</w:t>
      </w:r>
      <w:r w:rsidR="00387092" w:rsidRPr="004E6476">
        <w:rPr>
          <w:lang w:val="fr-FR"/>
        </w:rPr>
        <w:noBreakHyphen/>
      </w:r>
      <w:r w:rsidR="006371E5" w:rsidRPr="004E6476">
        <w:rPr>
          <w:lang w:val="fr-FR"/>
        </w:rPr>
        <w:t>2011 et d</w:t>
      </w:r>
      <w:r w:rsidR="00540C3E" w:rsidRPr="004E6476">
        <w:rPr>
          <w:lang w:val="fr-FR"/>
        </w:rPr>
        <w:t>’</w:t>
      </w:r>
      <w:r w:rsidR="006371E5" w:rsidRPr="004E6476">
        <w:rPr>
          <w:lang w:val="fr-FR"/>
        </w:rPr>
        <w:t xml:space="preserve">environ </w:t>
      </w:r>
      <w:r w:rsidR="000007E7" w:rsidRPr="004E6476">
        <w:rPr>
          <w:lang w:val="fr-FR"/>
        </w:rPr>
        <w:t>2758</w:t>
      </w:r>
      <w:r w:rsidRPr="004E6476">
        <w:rPr>
          <w:lang w:val="fr-FR"/>
        </w:rPr>
        <w:t xml:space="preserve"> pages </w:t>
      </w:r>
      <w:r w:rsidR="006371E5" w:rsidRPr="004E6476">
        <w:rPr>
          <w:lang w:val="fr-FR"/>
        </w:rPr>
        <w:t>pour l</w:t>
      </w:r>
      <w:r w:rsidR="00540C3E" w:rsidRPr="004E6476">
        <w:rPr>
          <w:lang w:val="fr-FR"/>
        </w:rPr>
        <w:t>’</w:t>
      </w:r>
      <w:r w:rsidR="006371E5" w:rsidRPr="004E6476">
        <w:rPr>
          <w:lang w:val="fr-FR"/>
        </w:rPr>
        <w:t>exercice biennal</w:t>
      </w:r>
      <w:r w:rsidR="000007E7" w:rsidRPr="004E6476">
        <w:rPr>
          <w:lang w:val="fr-FR"/>
        </w:rPr>
        <w:t> </w:t>
      </w:r>
      <w:r w:rsidR="006371E5" w:rsidRPr="004E6476">
        <w:rPr>
          <w:lang w:val="fr-FR"/>
        </w:rPr>
        <w:t>2012</w:t>
      </w:r>
      <w:r w:rsidR="00387092" w:rsidRPr="004E6476">
        <w:rPr>
          <w:lang w:val="fr-FR"/>
        </w:rPr>
        <w:noBreakHyphen/>
      </w:r>
      <w:r w:rsidR="006371E5" w:rsidRPr="004E6476">
        <w:rPr>
          <w:lang w:val="fr-FR"/>
        </w:rPr>
        <w:t>2013.</w:t>
      </w:r>
      <w:r w:rsidR="00F56C83" w:rsidRPr="004E6476">
        <w:rPr>
          <w:lang w:val="fr-FR"/>
        </w:rPr>
        <w:t xml:space="preserve"> </w:t>
      </w:r>
      <w:r w:rsidR="00C317B6" w:rsidRPr="004E6476">
        <w:rPr>
          <w:lang w:val="fr-FR"/>
        </w:rPr>
        <w:t xml:space="preserve"> </w:t>
      </w:r>
      <w:r w:rsidR="006371E5" w:rsidRPr="004E6476">
        <w:rPr>
          <w:lang w:val="fr-FR"/>
        </w:rPr>
        <w:t>Selon une estimation initiale, les doublons concerneraient entre 20% et 30% du contenu.</w:t>
      </w:r>
    </w:p>
    <w:p w:rsidR="00FB7FE5" w:rsidRPr="004E6476" w:rsidRDefault="00387092" w:rsidP="00DC014C">
      <w:pPr>
        <w:pStyle w:val="Heading1"/>
        <w:keepLines/>
        <w:rPr>
          <w:lang w:val="fr-FR"/>
        </w:rPr>
      </w:pPr>
      <w:r w:rsidRPr="004E6476">
        <w:rPr>
          <w:lang w:val="fr-FR"/>
        </w:rPr>
        <w:t>IV.</w:t>
      </w:r>
      <w:r w:rsidRPr="004E6476">
        <w:rPr>
          <w:lang w:val="fr-FR"/>
        </w:rPr>
        <w:tab/>
        <w:t>Amélioration de la reddition de comptes</w:t>
      </w:r>
    </w:p>
    <w:p w:rsidR="00387092" w:rsidRPr="004E6476" w:rsidRDefault="00387092" w:rsidP="00DC014C">
      <w:pPr>
        <w:keepNext/>
        <w:keepLines/>
        <w:rPr>
          <w:lang w:val="fr-FR"/>
        </w:rPr>
      </w:pPr>
    </w:p>
    <w:p w:rsidR="00540C3E" w:rsidRPr="004E6476" w:rsidRDefault="00F57E24" w:rsidP="00DC014C">
      <w:pPr>
        <w:pStyle w:val="ONUMFS"/>
        <w:keepNext/>
        <w:keepLines/>
        <w:rPr>
          <w:lang w:val="fr-FR"/>
        </w:rPr>
      </w:pPr>
      <w:r w:rsidRPr="004E6476">
        <w:rPr>
          <w:lang w:val="fr-FR"/>
        </w:rPr>
        <w:t>Les conclusions de cette analyse indiquent une réelle possibilité d</w:t>
      </w:r>
      <w:r w:rsidR="00540C3E" w:rsidRPr="004E6476">
        <w:rPr>
          <w:lang w:val="fr-FR"/>
        </w:rPr>
        <w:t>’</w:t>
      </w:r>
      <w:r w:rsidRPr="004E6476">
        <w:rPr>
          <w:lang w:val="fr-FR"/>
        </w:rPr>
        <w:t xml:space="preserve">améliorer </w:t>
      </w:r>
      <w:r w:rsidR="00B85BA1" w:rsidRPr="004E6476">
        <w:rPr>
          <w:lang w:val="fr-FR"/>
        </w:rPr>
        <w:t>la reddition de comptes aux</w:t>
      </w:r>
      <w:r w:rsidRPr="004E6476">
        <w:rPr>
          <w:lang w:val="fr-FR"/>
        </w:rPr>
        <w:t xml:space="preserve"> </w:t>
      </w:r>
      <w:r w:rsidR="00B85BA1" w:rsidRPr="004E6476">
        <w:rPr>
          <w:lang w:val="fr-FR"/>
        </w:rPr>
        <w:t>É</w:t>
      </w:r>
      <w:r w:rsidRPr="004E6476">
        <w:rPr>
          <w:lang w:val="fr-FR"/>
        </w:rPr>
        <w:t>tats membres</w:t>
      </w:r>
      <w:r w:rsidR="00B85BA1" w:rsidRPr="004E6476">
        <w:rPr>
          <w:lang w:val="fr-FR"/>
        </w:rPr>
        <w:t xml:space="preserve"> sur une base biennale</w:t>
      </w:r>
      <w:r w:rsidRPr="004E6476">
        <w:rPr>
          <w:lang w:val="fr-FR"/>
        </w:rPr>
        <w:t>, avec la diffusion d</w:t>
      </w:r>
      <w:r w:rsidR="00540C3E" w:rsidRPr="004E6476">
        <w:rPr>
          <w:lang w:val="fr-FR"/>
        </w:rPr>
        <w:t>’</w:t>
      </w:r>
      <w:r w:rsidRPr="004E6476">
        <w:rPr>
          <w:lang w:val="fr-FR"/>
        </w:rPr>
        <w:t xml:space="preserve">un rapport </w:t>
      </w:r>
      <w:r w:rsidR="00B37CCE" w:rsidRPr="004E6476">
        <w:rPr>
          <w:lang w:val="fr-FR"/>
        </w:rPr>
        <w:t xml:space="preserve">biennal </w:t>
      </w:r>
      <w:r w:rsidR="006C0ABD" w:rsidRPr="004E6476">
        <w:rPr>
          <w:lang w:val="fr-FR"/>
        </w:rPr>
        <w:t>d</w:t>
      </w:r>
      <w:r w:rsidR="00540C3E" w:rsidRPr="004E6476">
        <w:rPr>
          <w:lang w:val="fr-FR"/>
        </w:rPr>
        <w:t>’</w:t>
      </w:r>
      <w:r w:rsidR="00B85BA1" w:rsidRPr="004E6476">
        <w:rPr>
          <w:lang w:val="fr-FR"/>
        </w:rPr>
        <w:t>exécution</w:t>
      </w:r>
      <w:r w:rsidR="00F57B31" w:rsidRPr="004E6476">
        <w:rPr>
          <w:lang w:val="fr-FR"/>
        </w:rPr>
        <w:t xml:space="preserve">, </w:t>
      </w:r>
      <w:r w:rsidRPr="004E6476">
        <w:rPr>
          <w:lang w:val="fr-FR"/>
        </w:rPr>
        <w:t xml:space="preserve">qui serait exhaustif et regrouperait </w:t>
      </w:r>
      <w:r w:rsidR="00B85BA1" w:rsidRPr="004E6476">
        <w:rPr>
          <w:lang w:val="fr-FR"/>
        </w:rPr>
        <w:t>au sein d</w:t>
      </w:r>
      <w:r w:rsidR="00540C3E" w:rsidRPr="004E6476">
        <w:rPr>
          <w:lang w:val="fr-FR"/>
        </w:rPr>
        <w:t>’</w:t>
      </w:r>
      <w:r w:rsidRPr="004E6476">
        <w:rPr>
          <w:lang w:val="fr-FR"/>
        </w:rPr>
        <w:t xml:space="preserve">un même rapport les informations actuellement réparties entre le </w:t>
      </w:r>
      <w:r w:rsidR="00D91C7C" w:rsidRPr="004E6476">
        <w:rPr>
          <w:lang w:val="fr-FR"/>
        </w:rPr>
        <w:t>R</w:t>
      </w:r>
      <w:r w:rsidRPr="004E6476">
        <w:rPr>
          <w:lang w:val="fr-FR"/>
        </w:rPr>
        <w:t>apport biennal sur l</w:t>
      </w:r>
      <w:r w:rsidR="00540C3E" w:rsidRPr="004E6476">
        <w:rPr>
          <w:lang w:val="fr-FR"/>
        </w:rPr>
        <w:t>’</w:t>
      </w:r>
      <w:r w:rsidRPr="004E6476">
        <w:rPr>
          <w:lang w:val="fr-FR"/>
        </w:rPr>
        <w:t xml:space="preserve">exécution du programme et le Rapport de gestion financière.  Le format et la présentation de ce nouveau rapport </w:t>
      </w:r>
      <w:r w:rsidR="0080068A" w:rsidRPr="004E6476">
        <w:rPr>
          <w:lang w:val="fr-FR"/>
        </w:rPr>
        <w:t>seraient</w:t>
      </w:r>
      <w:r w:rsidRPr="004E6476">
        <w:rPr>
          <w:lang w:val="fr-FR"/>
        </w:rPr>
        <w:t xml:space="preserve"> plus </w:t>
      </w:r>
      <w:r w:rsidR="0080068A" w:rsidRPr="004E6476">
        <w:rPr>
          <w:lang w:val="fr-FR"/>
        </w:rPr>
        <w:t>conviviaux</w:t>
      </w:r>
      <w:r w:rsidRPr="004E6476">
        <w:rPr>
          <w:lang w:val="fr-FR"/>
        </w:rPr>
        <w:t xml:space="preserve"> et </w:t>
      </w:r>
      <w:r w:rsidR="0080068A" w:rsidRPr="004E6476">
        <w:rPr>
          <w:lang w:val="fr-FR"/>
        </w:rPr>
        <w:t>accessibles</w:t>
      </w:r>
      <w:r w:rsidRPr="004E6476">
        <w:rPr>
          <w:lang w:val="fr-FR"/>
        </w:rPr>
        <w:t>.</w:t>
      </w:r>
      <w:r w:rsidR="00F72A01" w:rsidRPr="004E6476">
        <w:rPr>
          <w:lang w:val="fr-FR"/>
        </w:rPr>
        <w:t xml:space="preserve">  </w:t>
      </w:r>
      <w:r w:rsidRPr="004E6476">
        <w:rPr>
          <w:lang w:val="fr-FR"/>
        </w:rPr>
        <w:t xml:space="preserve">Les principes fondamentaux </w:t>
      </w:r>
      <w:r w:rsidR="001B6849" w:rsidRPr="004E6476">
        <w:rPr>
          <w:lang w:val="fr-FR"/>
        </w:rPr>
        <w:t>sur lesquels pourra s’appuyer le</w:t>
      </w:r>
      <w:r w:rsidRPr="004E6476">
        <w:rPr>
          <w:lang w:val="fr-FR"/>
        </w:rPr>
        <w:t xml:space="preserve"> Secrétariat pour élabor</w:t>
      </w:r>
      <w:r w:rsidR="001B6849" w:rsidRPr="004E6476">
        <w:rPr>
          <w:lang w:val="fr-FR"/>
        </w:rPr>
        <w:t xml:space="preserve">er </w:t>
      </w:r>
      <w:r w:rsidRPr="004E6476">
        <w:rPr>
          <w:lang w:val="fr-FR"/>
        </w:rPr>
        <w:t xml:space="preserve">la proposition </w:t>
      </w:r>
      <w:r w:rsidR="00B85BA1" w:rsidRPr="004E6476">
        <w:rPr>
          <w:lang w:val="fr-FR"/>
        </w:rPr>
        <w:t>relative à ce</w:t>
      </w:r>
      <w:r w:rsidRPr="004E6476">
        <w:rPr>
          <w:lang w:val="fr-FR"/>
        </w:rPr>
        <w:t xml:space="preserve"> rapport </w:t>
      </w:r>
      <w:r w:rsidR="001B6849" w:rsidRPr="004E6476">
        <w:rPr>
          <w:lang w:val="fr-FR"/>
        </w:rPr>
        <w:t>viseront</w:t>
      </w:r>
      <w:r w:rsidRPr="004E6476">
        <w:rPr>
          <w:lang w:val="fr-FR"/>
        </w:rPr>
        <w:t xml:space="preserve"> le maintien ou le renforcement du niveau de divulgation, le plein respect du cadre réglementaire (Règlement financier et règlement d</w:t>
      </w:r>
      <w:r w:rsidR="00540C3E" w:rsidRPr="004E6476">
        <w:rPr>
          <w:lang w:val="fr-FR"/>
        </w:rPr>
        <w:t>’</w:t>
      </w:r>
      <w:r w:rsidRPr="004E6476">
        <w:rPr>
          <w:lang w:val="fr-FR"/>
        </w:rPr>
        <w:t>exécution du Règlement financier) et l</w:t>
      </w:r>
      <w:r w:rsidR="00540C3E" w:rsidRPr="004E6476">
        <w:rPr>
          <w:lang w:val="fr-FR"/>
        </w:rPr>
        <w:t>’</w:t>
      </w:r>
      <w:r w:rsidRPr="004E6476">
        <w:rPr>
          <w:lang w:val="fr-FR"/>
        </w:rPr>
        <w:t>élimination des doublons.</w:t>
      </w:r>
    </w:p>
    <w:p w:rsidR="00540C3E" w:rsidRPr="004E6476" w:rsidRDefault="002B599B" w:rsidP="009534A7">
      <w:pPr>
        <w:pStyle w:val="ONUMFS"/>
        <w:rPr>
          <w:lang w:val="fr-FR"/>
        </w:rPr>
      </w:pPr>
      <w:r w:rsidRPr="004E6476">
        <w:rPr>
          <w:lang w:val="fr-FR"/>
        </w:rPr>
        <w:t>Les états financiers annuels produits à la fin de chaque année de l</w:t>
      </w:r>
      <w:r w:rsidR="00540C3E" w:rsidRPr="004E6476">
        <w:rPr>
          <w:lang w:val="fr-FR"/>
        </w:rPr>
        <w:t>’</w:t>
      </w:r>
      <w:r w:rsidRPr="004E6476">
        <w:rPr>
          <w:lang w:val="fr-FR"/>
        </w:rPr>
        <w:t xml:space="preserve">exercice biennal, qui sont </w:t>
      </w:r>
      <w:r w:rsidR="001B6849" w:rsidRPr="004E6476">
        <w:rPr>
          <w:lang w:val="fr-FR"/>
        </w:rPr>
        <w:t>utilisés pour</w:t>
      </w:r>
      <w:r w:rsidRPr="004E6476">
        <w:rPr>
          <w:lang w:val="fr-FR"/>
        </w:rPr>
        <w:t xml:space="preserve"> l</w:t>
      </w:r>
      <w:r w:rsidR="00540C3E" w:rsidRPr="004E6476">
        <w:rPr>
          <w:lang w:val="fr-FR"/>
        </w:rPr>
        <w:t>’</w:t>
      </w:r>
      <w:r w:rsidRPr="004E6476">
        <w:rPr>
          <w:lang w:val="fr-FR"/>
        </w:rPr>
        <w:t xml:space="preserve">audit des états financiers effectué par les vérificateurs </w:t>
      </w:r>
      <w:r w:rsidR="000735EA" w:rsidRPr="004E6476">
        <w:rPr>
          <w:lang w:val="fr-FR"/>
        </w:rPr>
        <w:t>externes des comptes</w:t>
      </w:r>
      <w:r w:rsidRPr="004E6476">
        <w:rPr>
          <w:lang w:val="fr-FR"/>
        </w:rPr>
        <w:t>, doivent continuer d</w:t>
      </w:r>
      <w:r w:rsidR="00540C3E" w:rsidRPr="004E6476">
        <w:rPr>
          <w:lang w:val="fr-FR"/>
        </w:rPr>
        <w:t>’</w:t>
      </w:r>
      <w:r w:rsidRPr="004E6476">
        <w:rPr>
          <w:lang w:val="fr-FR"/>
        </w:rPr>
        <w:t>être produits conformément aux normes IPSAS.  Les changements et améliorations</w:t>
      </w:r>
      <w:r w:rsidR="00B85BA1" w:rsidRPr="004E6476">
        <w:rPr>
          <w:lang w:val="fr-FR"/>
        </w:rPr>
        <w:t xml:space="preserve"> à apporter à</w:t>
      </w:r>
      <w:r w:rsidRPr="004E6476">
        <w:rPr>
          <w:lang w:val="fr-FR"/>
        </w:rPr>
        <w:t xml:space="preserve"> ces états financiers annuels, le cas échéant, seront proposés après consultation des vérificateurs </w:t>
      </w:r>
      <w:r w:rsidR="000735EA" w:rsidRPr="004E6476">
        <w:rPr>
          <w:lang w:val="fr-FR"/>
        </w:rPr>
        <w:t>externes des comptes</w:t>
      </w:r>
      <w:r w:rsidRPr="004E6476">
        <w:rPr>
          <w:lang w:val="fr-FR"/>
        </w:rPr>
        <w:t>.</w:t>
      </w:r>
    </w:p>
    <w:p w:rsidR="00FB7FE5" w:rsidRPr="004E6476" w:rsidRDefault="002B599B" w:rsidP="009534A7">
      <w:pPr>
        <w:pStyle w:val="ONUMFS"/>
        <w:rPr>
          <w:lang w:val="fr-FR"/>
        </w:rPr>
      </w:pPr>
      <w:r w:rsidRPr="004E6476">
        <w:rPr>
          <w:lang w:val="fr-FR"/>
        </w:rPr>
        <w:t>Le Rapport sur l</w:t>
      </w:r>
      <w:r w:rsidR="00540C3E" w:rsidRPr="004E6476">
        <w:rPr>
          <w:lang w:val="fr-FR"/>
        </w:rPr>
        <w:t>’</w:t>
      </w:r>
      <w:r w:rsidRPr="004E6476">
        <w:rPr>
          <w:lang w:val="fr-FR"/>
        </w:rPr>
        <w:t>e</w:t>
      </w:r>
      <w:r w:rsidR="00B37CCE" w:rsidRPr="004E6476">
        <w:rPr>
          <w:lang w:val="fr-FR"/>
        </w:rPr>
        <w:t xml:space="preserve">xécution du programme soumis à </w:t>
      </w:r>
      <w:r w:rsidRPr="004E6476">
        <w:rPr>
          <w:lang w:val="fr-FR"/>
        </w:rPr>
        <w:t>la fin de la première année de l</w:t>
      </w:r>
      <w:r w:rsidR="00540C3E" w:rsidRPr="004E6476">
        <w:rPr>
          <w:lang w:val="fr-FR"/>
        </w:rPr>
        <w:t>’</w:t>
      </w:r>
      <w:r w:rsidRPr="004E6476">
        <w:rPr>
          <w:lang w:val="fr-FR"/>
        </w:rPr>
        <w:t>exercice biennal, qui illustre les progrès accomplis en vue d</w:t>
      </w:r>
      <w:r w:rsidR="00540C3E" w:rsidRPr="004E6476">
        <w:rPr>
          <w:lang w:val="fr-FR"/>
        </w:rPr>
        <w:t>’</w:t>
      </w:r>
      <w:r w:rsidRPr="004E6476">
        <w:rPr>
          <w:lang w:val="fr-FR"/>
        </w:rPr>
        <w:t xml:space="preserve">atteindre les résultats escomptés, sera maintenu </w:t>
      </w:r>
      <w:r w:rsidR="00B37CCE" w:rsidRPr="004E6476">
        <w:rPr>
          <w:lang w:val="fr-FR"/>
        </w:rPr>
        <w:t>avec des</w:t>
      </w:r>
      <w:r w:rsidRPr="004E6476">
        <w:rPr>
          <w:lang w:val="fr-FR"/>
        </w:rPr>
        <w:t xml:space="preserve"> changements </w:t>
      </w:r>
      <w:r w:rsidR="00B37CCE" w:rsidRPr="004E6476">
        <w:rPr>
          <w:lang w:val="fr-FR"/>
        </w:rPr>
        <w:t>qui se limiteront</w:t>
      </w:r>
      <w:r w:rsidRPr="004E6476">
        <w:rPr>
          <w:lang w:val="fr-FR"/>
        </w:rPr>
        <w:t xml:space="preserve"> à ceux qu</w:t>
      </w:r>
      <w:r w:rsidR="00540C3E" w:rsidRPr="004E6476">
        <w:rPr>
          <w:lang w:val="fr-FR"/>
        </w:rPr>
        <w:t>’</w:t>
      </w:r>
      <w:r w:rsidRPr="004E6476">
        <w:rPr>
          <w:lang w:val="fr-FR"/>
        </w:rPr>
        <w:t>il est nécessaire d</w:t>
      </w:r>
      <w:r w:rsidR="00540C3E" w:rsidRPr="004E6476">
        <w:rPr>
          <w:lang w:val="fr-FR"/>
        </w:rPr>
        <w:t>’</w:t>
      </w:r>
      <w:r w:rsidRPr="004E6476">
        <w:rPr>
          <w:lang w:val="fr-FR"/>
        </w:rPr>
        <w:t xml:space="preserve">apporter pour assurer la cohérence </w:t>
      </w:r>
      <w:r w:rsidR="0080068A" w:rsidRPr="004E6476">
        <w:rPr>
          <w:lang w:val="fr-FR"/>
        </w:rPr>
        <w:t>et</w:t>
      </w:r>
      <w:r w:rsidRPr="004E6476">
        <w:rPr>
          <w:lang w:val="fr-FR"/>
        </w:rPr>
        <w:t xml:space="preserve"> la conformité avec le rapport </w:t>
      </w:r>
      <w:r w:rsidR="00B37CCE" w:rsidRPr="004E6476">
        <w:rPr>
          <w:lang w:val="fr-FR"/>
        </w:rPr>
        <w:t>biennal d</w:t>
      </w:r>
      <w:r w:rsidR="00540C3E" w:rsidRPr="004E6476">
        <w:rPr>
          <w:lang w:val="fr-FR"/>
        </w:rPr>
        <w:t>’</w:t>
      </w:r>
      <w:r w:rsidR="00B37CCE" w:rsidRPr="004E6476">
        <w:rPr>
          <w:lang w:val="fr-FR"/>
        </w:rPr>
        <w:t xml:space="preserve">exécution </w:t>
      </w:r>
      <w:r w:rsidRPr="004E6476">
        <w:rPr>
          <w:lang w:val="fr-FR"/>
        </w:rPr>
        <w:t>proposé</w:t>
      </w:r>
    </w:p>
    <w:p w:rsidR="00FB7FE5" w:rsidRPr="004E6476" w:rsidRDefault="00B37CCE" w:rsidP="009534A7">
      <w:pPr>
        <w:pStyle w:val="ONUMFS"/>
        <w:rPr>
          <w:lang w:val="fr-FR"/>
        </w:rPr>
      </w:pPr>
      <w:r w:rsidRPr="004E6476">
        <w:rPr>
          <w:lang w:val="fr-FR"/>
        </w:rPr>
        <w:t xml:space="preserve">La méthode à suivre pour </w:t>
      </w:r>
      <w:r w:rsidR="00902306" w:rsidRPr="004E6476">
        <w:rPr>
          <w:lang w:val="fr-FR"/>
        </w:rPr>
        <w:t xml:space="preserve">atteindre cet objectif </w:t>
      </w:r>
      <w:r w:rsidR="001B6849" w:rsidRPr="004E6476">
        <w:rPr>
          <w:lang w:val="fr-FR"/>
        </w:rPr>
        <w:t>se fonde sur</w:t>
      </w:r>
      <w:r w:rsidRPr="004E6476">
        <w:rPr>
          <w:lang w:val="fr-FR"/>
        </w:rPr>
        <w:t xml:space="preserve"> les étapes suivantes</w:t>
      </w:r>
      <w:r w:rsidR="000007E7" w:rsidRPr="004E6476">
        <w:rPr>
          <w:lang w:val="fr-FR"/>
        </w:rPr>
        <w:t> </w:t>
      </w:r>
      <w:r w:rsidRPr="004E6476">
        <w:rPr>
          <w:lang w:val="fr-FR"/>
        </w:rPr>
        <w:t>:</w:t>
      </w:r>
    </w:p>
    <w:p w:rsidR="00FB7FE5" w:rsidRPr="004E6476" w:rsidRDefault="00902306" w:rsidP="009534A7">
      <w:pPr>
        <w:pStyle w:val="ONUMFS"/>
        <w:numPr>
          <w:ilvl w:val="2"/>
          <w:numId w:val="6"/>
        </w:numPr>
        <w:rPr>
          <w:lang w:val="fr-FR"/>
        </w:rPr>
      </w:pPr>
      <w:r w:rsidRPr="004E6476">
        <w:rPr>
          <w:lang w:val="fr-FR"/>
        </w:rPr>
        <w:t>diffusion d</w:t>
      </w:r>
      <w:r w:rsidR="00540C3E" w:rsidRPr="004E6476">
        <w:rPr>
          <w:lang w:val="fr-FR"/>
        </w:rPr>
        <w:t>’</w:t>
      </w:r>
      <w:r w:rsidRPr="004E6476">
        <w:rPr>
          <w:lang w:val="fr-FR"/>
        </w:rPr>
        <w:t>un questionnaire auprès des États membres pour obtenir des informations sur le contenu, l</w:t>
      </w:r>
      <w:r w:rsidR="00540C3E" w:rsidRPr="004E6476">
        <w:rPr>
          <w:lang w:val="fr-FR"/>
        </w:rPr>
        <w:t>’</w:t>
      </w:r>
      <w:r w:rsidRPr="004E6476">
        <w:rPr>
          <w:lang w:val="fr-FR"/>
        </w:rPr>
        <w:t>usage et la présentation de l</w:t>
      </w:r>
      <w:r w:rsidR="00540C3E" w:rsidRPr="004E6476">
        <w:rPr>
          <w:lang w:val="fr-FR"/>
        </w:rPr>
        <w:t>’</w:t>
      </w:r>
      <w:r w:rsidRPr="004E6476">
        <w:rPr>
          <w:lang w:val="fr-FR"/>
        </w:rPr>
        <w:t>information dans les rapports existants;</w:t>
      </w:r>
    </w:p>
    <w:p w:rsidR="00FB7FE5" w:rsidRPr="004E6476" w:rsidRDefault="00F57B31" w:rsidP="009534A7">
      <w:pPr>
        <w:pStyle w:val="ONUMFS"/>
        <w:numPr>
          <w:ilvl w:val="2"/>
          <w:numId w:val="6"/>
        </w:numPr>
        <w:rPr>
          <w:lang w:val="fr-FR"/>
        </w:rPr>
      </w:pPr>
      <w:r w:rsidRPr="004E6476">
        <w:rPr>
          <w:lang w:val="fr-FR"/>
        </w:rPr>
        <w:t xml:space="preserve">analyse en profondeur du contenu, du format et de la présentation de </w:t>
      </w:r>
      <w:r w:rsidR="001B6849" w:rsidRPr="004E6476">
        <w:rPr>
          <w:lang w:val="fr-FR"/>
        </w:rPr>
        <w:t>l’</w:t>
      </w:r>
      <w:r w:rsidRPr="004E6476">
        <w:rPr>
          <w:lang w:val="fr-FR"/>
        </w:rPr>
        <w:t xml:space="preserve">information financière et </w:t>
      </w:r>
      <w:r w:rsidR="005C591E" w:rsidRPr="004E6476">
        <w:rPr>
          <w:lang w:val="fr-FR"/>
        </w:rPr>
        <w:t xml:space="preserve">de </w:t>
      </w:r>
      <w:r w:rsidR="001B6849" w:rsidRPr="004E6476">
        <w:rPr>
          <w:lang w:val="fr-FR"/>
        </w:rPr>
        <w:t>l’</w:t>
      </w:r>
      <w:r w:rsidRPr="004E6476">
        <w:rPr>
          <w:lang w:val="fr-FR"/>
        </w:rPr>
        <w:t>information sur l</w:t>
      </w:r>
      <w:r w:rsidR="00540C3E" w:rsidRPr="004E6476">
        <w:rPr>
          <w:lang w:val="fr-FR"/>
        </w:rPr>
        <w:t>’</w:t>
      </w:r>
      <w:r w:rsidRPr="004E6476">
        <w:rPr>
          <w:lang w:val="fr-FR"/>
        </w:rPr>
        <w:t xml:space="preserve">exécution du </w:t>
      </w:r>
      <w:r w:rsidR="005C591E" w:rsidRPr="004E6476">
        <w:rPr>
          <w:lang w:val="fr-FR"/>
        </w:rPr>
        <w:t xml:space="preserve">programme et </w:t>
      </w:r>
      <w:r w:rsidRPr="004E6476">
        <w:rPr>
          <w:lang w:val="fr-FR"/>
        </w:rPr>
        <w:t>budget contenue dans tous les rapports transmis aux États membres</w:t>
      </w:r>
      <w:r w:rsidR="00391D4A" w:rsidRPr="004E6476">
        <w:rPr>
          <w:lang w:val="fr-FR"/>
        </w:rPr>
        <w:t>;</w:t>
      </w:r>
    </w:p>
    <w:p w:rsidR="00FB7FE5" w:rsidRPr="004E6476" w:rsidRDefault="00F57B31" w:rsidP="009534A7">
      <w:pPr>
        <w:pStyle w:val="ONUMFS"/>
        <w:numPr>
          <w:ilvl w:val="2"/>
          <w:numId w:val="6"/>
        </w:numPr>
        <w:rPr>
          <w:lang w:val="fr-FR"/>
        </w:rPr>
      </w:pPr>
      <w:r w:rsidRPr="004E6476">
        <w:rPr>
          <w:lang w:val="fr-FR"/>
        </w:rPr>
        <w:t>sur la base des informations reçues de la part des États membres et de l</w:t>
      </w:r>
      <w:r w:rsidR="00540C3E" w:rsidRPr="004E6476">
        <w:rPr>
          <w:lang w:val="fr-FR"/>
        </w:rPr>
        <w:t>’</w:t>
      </w:r>
      <w:r w:rsidRPr="004E6476">
        <w:rPr>
          <w:lang w:val="fr-FR"/>
        </w:rPr>
        <w:t>analyse réalisée, élaboration d</w:t>
      </w:r>
      <w:r w:rsidR="00540C3E" w:rsidRPr="004E6476">
        <w:rPr>
          <w:lang w:val="fr-FR"/>
        </w:rPr>
        <w:t>’</w:t>
      </w:r>
      <w:r w:rsidRPr="004E6476">
        <w:rPr>
          <w:lang w:val="fr-FR"/>
        </w:rPr>
        <w:t xml:space="preserve">une proposition détaillée </w:t>
      </w:r>
      <w:r w:rsidR="005C591E" w:rsidRPr="004E6476">
        <w:rPr>
          <w:lang w:val="fr-FR"/>
        </w:rPr>
        <w:t xml:space="preserve">relative à un rapport biennal d’exécution </w:t>
      </w:r>
      <w:r w:rsidRPr="004E6476">
        <w:rPr>
          <w:lang w:val="fr-FR"/>
        </w:rPr>
        <w:t>qui comprendrait des</w:t>
      </w:r>
      <w:r w:rsidR="004C35D4" w:rsidRPr="004E6476">
        <w:rPr>
          <w:lang w:val="fr-FR"/>
        </w:rPr>
        <w:t xml:space="preserve"> </w:t>
      </w:r>
      <w:r w:rsidRPr="004E6476">
        <w:rPr>
          <w:lang w:val="fr-FR"/>
        </w:rPr>
        <w:t xml:space="preserve">informations sur le </w:t>
      </w:r>
      <w:r w:rsidR="004C35D4" w:rsidRPr="004E6476">
        <w:rPr>
          <w:lang w:val="fr-FR"/>
        </w:rPr>
        <w:t>programm</w:t>
      </w:r>
      <w:r w:rsidRPr="004E6476">
        <w:rPr>
          <w:lang w:val="fr-FR"/>
        </w:rPr>
        <w:t>e et</w:t>
      </w:r>
      <w:r w:rsidR="004C35D4" w:rsidRPr="004E6476">
        <w:rPr>
          <w:lang w:val="fr-FR"/>
        </w:rPr>
        <w:t xml:space="preserve"> budget </w:t>
      </w:r>
      <w:r w:rsidRPr="004E6476">
        <w:rPr>
          <w:lang w:val="fr-FR"/>
        </w:rPr>
        <w:t xml:space="preserve">ainsi que des </w:t>
      </w:r>
      <w:r w:rsidR="005C591E" w:rsidRPr="004E6476">
        <w:rPr>
          <w:lang w:val="fr-FR"/>
        </w:rPr>
        <w:t>donnée</w:t>
      </w:r>
      <w:r w:rsidRPr="004E6476">
        <w:rPr>
          <w:lang w:val="fr-FR"/>
        </w:rPr>
        <w:t>s financières</w:t>
      </w:r>
      <w:r w:rsidR="004C35D4" w:rsidRPr="004E6476">
        <w:rPr>
          <w:lang w:val="fr-FR"/>
        </w:rPr>
        <w:t xml:space="preserve">; </w:t>
      </w:r>
      <w:r w:rsidR="004813A2" w:rsidRPr="004E6476">
        <w:rPr>
          <w:lang w:val="fr-FR"/>
        </w:rPr>
        <w:t xml:space="preserve"> </w:t>
      </w:r>
      <w:r w:rsidRPr="004E6476">
        <w:rPr>
          <w:lang w:val="fr-FR"/>
        </w:rPr>
        <w:t>cette</w:t>
      </w:r>
      <w:r w:rsidR="004C35D4" w:rsidRPr="004E6476">
        <w:rPr>
          <w:lang w:val="fr-FR"/>
        </w:rPr>
        <w:t xml:space="preserve"> </w:t>
      </w:r>
      <w:r w:rsidRPr="004E6476">
        <w:rPr>
          <w:lang w:val="fr-FR"/>
        </w:rPr>
        <w:t>proposition co</w:t>
      </w:r>
      <w:r w:rsidR="005C591E" w:rsidRPr="004E6476">
        <w:rPr>
          <w:lang w:val="fr-FR"/>
        </w:rPr>
        <w:t>ntiendrai</w:t>
      </w:r>
      <w:r w:rsidRPr="004E6476">
        <w:rPr>
          <w:lang w:val="fr-FR"/>
        </w:rPr>
        <w:t>t une table des matières détaillée</w:t>
      </w:r>
      <w:r w:rsidR="004C35D4" w:rsidRPr="004E6476">
        <w:rPr>
          <w:lang w:val="fr-FR"/>
        </w:rPr>
        <w:t xml:space="preserve"> </w:t>
      </w:r>
      <w:r w:rsidRPr="004E6476">
        <w:rPr>
          <w:lang w:val="fr-FR"/>
        </w:rPr>
        <w:t>et un modèle de</w:t>
      </w:r>
      <w:r w:rsidR="004C35D4" w:rsidRPr="004E6476">
        <w:rPr>
          <w:lang w:val="fr-FR"/>
        </w:rPr>
        <w:t xml:space="preserve"> r</w:t>
      </w:r>
      <w:r w:rsidRPr="004E6476">
        <w:rPr>
          <w:lang w:val="fr-FR"/>
        </w:rPr>
        <w:t>ap</w:t>
      </w:r>
      <w:r w:rsidR="004C35D4" w:rsidRPr="004E6476">
        <w:rPr>
          <w:lang w:val="fr-FR"/>
        </w:rPr>
        <w:t>port</w:t>
      </w:r>
      <w:r w:rsidRPr="004E6476">
        <w:rPr>
          <w:lang w:val="fr-FR"/>
        </w:rPr>
        <w:t>, afin que les États membres puissent en évalue</w:t>
      </w:r>
      <w:r w:rsidR="005C591E" w:rsidRPr="004E6476">
        <w:rPr>
          <w:lang w:val="fr-FR"/>
        </w:rPr>
        <w:t>r la présentation et le contenu;</w:t>
      </w:r>
    </w:p>
    <w:p w:rsidR="00FB7FE5" w:rsidRPr="004E6476" w:rsidRDefault="00F57B31" w:rsidP="009534A7">
      <w:pPr>
        <w:pStyle w:val="ONUMFS"/>
        <w:numPr>
          <w:ilvl w:val="2"/>
          <w:numId w:val="6"/>
        </w:numPr>
        <w:rPr>
          <w:lang w:val="fr-FR"/>
        </w:rPr>
      </w:pPr>
      <w:r w:rsidRPr="004E6476">
        <w:rPr>
          <w:lang w:val="fr-FR"/>
        </w:rPr>
        <w:t>soumission de la proposition à l</w:t>
      </w:r>
      <w:r w:rsidR="00540C3E" w:rsidRPr="004E6476">
        <w:rPr>
          <w:lang w:val="fr-FR"/>
        </w:rPr>
        <w:t>’</w:t>
      </w:r>
      <w:r w:rsidRPr="004E6476">
        <w:rPr>
          <w:lang w:val="fr-FR"/>
        </w:rPr>
        <w:t xml:space="preserve">examen des États membres à la </w:t>
      </w:r>
      <w:r w:rsidR="005C591E" w:rsidRPr="004E6476">
        <w:rPr>
          <w:lang w:val="fr-FR"/>
        </w:rPr>
        <w:t xml:space="preserve">prochaine </w:t>
      </w:r>
      <w:r w:rsidRPr="004E6476">
        <w:rPr>
          <w:lang w:val="fr-FR"/>
        </w:rPr>
        <w:t>session du comité.</w:t>
      </w:r>
    </w:p>
    <w:p w:rsidR="00540C3E" w:rsidRPr="004E6476" w:rsidRDefault="00387092" w:rsidP="009534A7">
      <w:pPr>
        <w:pStyle w:val="Heading1"/>
        <w:rPr>
          <w:lang w:val="fr-FR"/>
        </w:rPr>
      </w:pPr>
      <w:r w:rsidRPr="004E6476">
        <w:rPr>
          <w:lang w:val="fr-FR"/>
        </w:rPr>
        <w:t>V.</w:t>
      </w:r>
      <w:r w:rsidRPr="004E6476">
        <w:rPr>
          <w:lang w:val="fr-FR"/>
        </w:rPr>
        <w:tab/>
        <w:t>Avantages</w:t>
      </w:r>
    </w:p>
    <w:p w:rsidR="00387092" w:rsidRPr="004E6476" w:rsidRDefault="00387092" w:rsidP="009534A7">
      <w:pPr>
        <w:rPr>
          <w:lang w:val="fr-FR"/>
        </w:rPr>
      </w:pPr>
    </w:p>
    <w:p w:rsidR="00FB7FE5" w:rsidRPr="004E6476" w:rsidRDefault="006C0ABD" w:rsidP="009534A7">
      <w:pPr>
        <w:pStyle w:val="ONUMFS"/>
        <w:rPr>
          <w:lang w:val="fr-FR"/>
        </w:rPr>
      </w:pPr>
      <w:r w:rsidRPr="004E6476">
        <w:rPr>
          <w:lang w:val="fr-FR"/>
        </w:rPr>
        <w:t>L</w:t>
      </w:r>
      <w:r w:rsidR="00540C3E" w:rsidRPr="004E6476">
        <w:rPr>
          <w:lang w:val="fr-FR"/>
        </w:rPr>
        <w:t>’</w:t>
      </w:r>
      <w:r w:rsidRPr="004E6476">
        <w:rPr>
          <w:lang w:val="fr-FR"/>
        </w:rPr>
        <w:t>intégration d</w:t>
      </w:r>
      <w:r w:rsidR="00540C3E" w:rsidRPr="004E6476">
        <w:rPr>
          <w:lang w:val="fr-FR"/>
        </w:rPr>
        <w:t>’</w:t>
      </w:r>
      <w:r w:rsidRPr="004E6476">
        <w:rPr>
          <w:lang w:val="fr-FR"/>
        </w:rPr>
        <w:t xml:space="preserve">informations sur le programme et budget ainsi que des </w:t>
      </w:r>
      <w:r w:rsidR="005C591E" w:rsidRPr="004E6476">
        <w:rPr>
          <w:lang w:val="fr-FR"/>
        </w:rPr>
        <w:t>données</w:t>
      </w:r>
      <w:r w:rsidRPr="004E6476">
        <w:rPr>
          <w:lang w:val="fr-FR"/>
        </w:rPr>
        <w:t xml:space="preserve"> financières pertinentes dans un </w:t>
      </w:r>
      <w:r w:rsidR="00DB2959" w:rsidRPr="004E6476">
        <w:rPr>
          <w:lang w:val="fr-FR"/>
        </w:rPr>
        <w:t>r</w:t>
      </w:r>
      <w:r w:rsidRPr="004E6476">
        <w:rPr>
          <w:lang w:val="fr-FR"/>
        </w:rPr>
        <w:t>apport biennal d</w:t>
      </w:r>
      <w:r w:rsidR="00540C3E" w:rsidRPr="004E6476">
        <w:rPr>
          <w:lang w:val="fr-FR"/>
        </w:rPr>
        <w:t>’</w:t>
      </w:r>
      <w:r w:rsidRPr="004E6476">
        <w:rPr>
          <w:lang w:val="fr-FR"/>
        </w:rPr>
        <w:t>exécution exhaustif permettra aux États membres d</w:t>
      </w:r>
      <w:r w:rsidR="00540C3E" w:rsidRPr="004E6476">
        <w:rPr>
          <w:lang w:val="fr-FR"/>
        </w:rPr>
        <w:t>’</w:t>
      </w:r>
      <w:r w:rsidRPr="004E6476">
        <w:rPr>
          <w:lang w:val="fr-FR"/>
        </w:rPr>
        <w:t>évaluer l</w:t>
      </w:r>
      <w:r w:rsidR="00540C3E" w:rsidRPr="004E6476">
        <w:rPr>
          <w:lang w:val="fr-FR"/>
        </w:rPr>
        <w:t>’</w:t>
      </w:r>
      <w:r w:rsidRPr="004E6476">
        <w:rPr>
          <w:lang w:val="fr-FR"/>
        </w:rPr>
        <w:t xml:space="preserve">exécution du programme et budget et la gestion financière </w:t>
      </w:r>
      <w:r w:rsidR="005C591E" w:rsidRPr="004E6476">
        <w:rPr>
          <w:lang w:val="fr-FR"/>
        </w:rPr>
        <w:t xml:space="preserve">par l’Organisation </w:t>
      </w:r>
      <w:r w:rsidRPr="004E6476">
        <w:rPr>
          <w:lang w:val="fr-FR"/>
        </w:rPr>
        <w:t>d</w:t>
      </w:r>
      <w:r w:rsidR="00540C3E" w:rsidRPr="004E6476">
        <w:rPr>
          <w:lang w:val="fr-FR"/>
        </w:rPr>
        <w:t>’</w:t>
      </w:r>
      <w:r w:rsidRPr="004E6476">
        <w:rPr>
          <w:lang w:val="fr-FR"/>
        </w:rPr>
        <w:t xml:space="preserve">une manière globale, ce qui renforcera encore la gestion axée sur les résultats et le dialogue sur </w:t>
      </w:r>
      <w:r w:rsidR="00DB2959" w:rsidRPr="004E6476">
        <w:rPr>
          <w:lang w:val="fr-FR"/>
        </w:rPr>
        <w:t>l’exécution du programme et budget par</w:t>
      </w:r>
      <w:r w:rsidRPr="004E6476">
        <w:rPr>
          <w:lang w:val="fr-FR"/>
        </w:rPr>
        <w:t xml:space="preserve"> l</w:t>
      </w:r>
      <w:r w:rsidR="00540C3E" w:rsidRPr="004E6476">
        <w:rPr>
          <w:lang w:val="fr-FR"/>
        </w:rPr>
        <w:t>’</w:t>
      </w:r>
      <w:r w:rsidRPr="004E6476">
        <w:rPr>
          <w:lang w:val="fr-FR"/>
        </w:rPr>
        <w:t>Organisation.</w:t>
      </w:r>
    </w:p>
    <w:p w:rsidR="00FB7FE5" w:rsidRPr="004E6476" w:rsidRDefault="006C0ABD" w:rsidP="009534A7">
      <w:pPr>
        <w:pStyle w:val="ONUMFS"/>
        <w:rPr>
          <w:lang w:val="fr-FR"/>
        </w:rPr>
      </w:pPr>
      <w:r w:rsidRPr="004E6476">
        <w:rPr>
          <w:lang w:val="fr-FR"/>
        </w:rPr>
        <w:t>La présentation et le format des rapports seront améliorés grâce aux informations reçues des États membres</w:t>
      </w:r>
      <w:r w:rsidR="005C591E" w:rsidRPr="004E6476">
        <w:rPr>
          <w:lang w:val="fr-FR"/>
        </w:rPr>
        <w:t xml:space="preserve"> dans le cadre d</w:t>
      </w:r>
      <w:r w:rsidR="00DB2959" w:rsidRPr="004E6476">
        <w:rPr>
          <w:lang w:val="fr-FR"/>
        </w:rPr>
        <w:t>u</w:t>
      </w:r>
      <w:r w:rsidR="005C591E" w:rsidRPr="004E6476">
        <w:rPr>
          <w:lang w:val="fr-FR"/>
        </w:rPr>
        <w:t xml:space="preserve"> questionnaire</w:t>
      </w:r>
      <w:r w:rsidRPr="004E6476">
        <w:rPr>
          <w:lang w:val="fr-FR"/>
        </w:rPr>
        <w:t>.</w:t>
      </w:r>
    </w:p>
    <w:p w:rsidR="00FB7FE5" w:rsidRPr="004E6476" w:rsidRDefault="006C0ABD" w:rsidP="009534A7">
      <w:pPr>
        <w:pStyle w:val="ONUMFS"/>
        <w:rPr>
          <w:lang w:val="fr-FR"/>
        </w:rPr>
      </w:pPr>
      <w:r w:rsidRPr="004E6476">
        <w:rPr>
          <w:lang w:val="fr-FR"/>
        </w:rPr>
        <w:t>L</w:t>
      </w:r>
      <w:r w:rsidR="00540C3E" w:rsidRPr="004E6476">
        <w:rPr>
          <w:lang w:val="fr-FR"/>
        </w:rPr>
        <w:t>’</w:t>
      </w:r>
      <w:r w:rsidRPr="004E6476">
        <w:rPr>
          <w:lang w:val="fr-FR"/>
        </w:rPr>
        <w:t>élimination des doublons et la réduction du nombre total de publications se traduiront par des économies dans les domaines de la traduction et de la production.</w:t>
      </w:r>
    </w:p>
    <w:p w:rsidR="00FB7FE5" w:rsidRPr="004E6476" w:rsidRDefault="009F0307" w:rsidP="009534A7">
      <w:pPr>
        <w:pStyle w:val="ONUMFS"/>
        <w:rPr>
          <w:lang w:val="fr-FR"/>
        </w:rPr>
      </w:pPr>
      <w:r w:rsidRPr="004E6476">
        <w:rPr>
          <w:lang w:val="fr-FR"/>
        </w:rPr>
        <w:t>Des avantages potentiels pourraient découler d</w:t>
      </w:r>
      <w:r w:rsidR="00540C3E" w:rsidRPr="004E6476">
        <w:rPr>
          <w:lang w:val="fr-FR"/>
        </w:rPr>
        <w:t>’</w:t>
      </w:r>
      <w:r w:rsidRPr="004E6476">
        <w:rPr>
          <w:lang w:val="fr-FR"/>
        </w:rPr>
        <w:t xml:space="preserve">un </w:t>
      </w:r>
      <w:r w:rsidR="005C591E" w:rsidRPr="004E6476">
        <w:rPr>
          <w:lang w:val="fr-FR"/>
        </w:rPr>
        <w:t>programme</w:t>
      </w:r>
      <w:r w:rsidRPr="004E6476">
        <w:rPr>
          <w:lang w:val="fr-FR"/>
        </w:rPr>
        <w:t xml:space="preserve"> simplifié pour le Comité du programme et budget, du fait du passage à un mode de reddition de comptes global et intégré.</w:t>
      </w:r>
    </w:p>
    <w:p w:rsidR="00FB7FE5" w:rsidRPr="004E6476" w:rsidRDefault="009F0307" w:rsidP="009534A7">
      <w:pPr>
        <w:pStyle w:val="ONUMFS"/>
        <w:rPr>
          <w:lang w:val="fr-FR"/>
        </w:rPr>
      </w:pPr>
      <w:r w:rsidRPr="004E6476">
        <w:rPr>
          <w:lang w:val="fr-FR"/>
        </w:rPr>
        <w:t>Les efforts que devra déployer le Secrétariat pour élaborer les rapports seront moins</w:t>
      </w:r>
      <w:r w:rsidR="005C591E" w:rsidRPr="004E6476">
        <w:rPr>
          <w:lang w:val="fr-FR"/>
        </w:rPr>
        <w:t xml:space="preserve"> importants</w:t>
      </w:r>
      <w:r w:rsidRPr="004E6476">
        <w:rPr>
          <w:lang w:val="fr-FR"/>
        </w:rPr>
        <w:t>.</w:t>
      </w:r>
    </w:p>
    <w:p w:rsidR="00FB7FE5" w:rsidRPr="004E6476" w:rsidRDefault="009F0307" w:rsidP="009534A7">
      <w:pPr>
        <w:pStyle w:val="ONUMFS"/>
        <w:rPr>
          <w:lang w:val="fr-FR"/>
        </w:rPr>
      </w:pPr>
      <w:r w:rsidRPr="004E6476">
        <w:rPr>
          <w:lang w:val="fr-FR"/>
        </w:rPr>
        <w:t>Il est proposé de formuler la décision dans le paragraphe suivant.</w:t>
      </w:r>
    </w:p>
    <w:p w:rsidR="00540C3E" w:rsidRPr="004E6476" w:rsidRDefault="009F0307" w:rsidP="009534A7">
      <w:pPr>
        <w:pStyle w:val="ONUMFS"/>
        <w:tabs>
          <w:tab w:val="left" w:pos="6237"/>
        </w:tabs>
        <w:ind w:left="5533"/>
        <w:rPr>
          <w:i/>
          <w:lang w:val="fr-FR"/>
        </w:rPr>
      </w:pPr>
      <w:r w:rsidRPr="004E6476">
        <w:rPr>
          <w:i/>
          <w:lang w:val="fr-FR"/>
        </w:rPr>
        <w:t>Le Comité du programme et budget, après avoir examiné le document WO/PBC/22/27</w:t>
      </w:r>
      <w:r w:rsidR="000007E7" w:rsidRPr="004E6476">
        <w:rPr>
          <w:i/>
          <w:lang w:val="fr-FR"/>
        </w:rPr>
        <w:t> </w:t>
      </w:r>
      <w:r w:rsidRPr="004E6476">
        <w:rPr>
          <w:i/>
          <w:lang w:val="fr-FR"/>
        </w:rPr>
        <w:t>:</w:t>
      </w:r>
    </w:p>
    <w:p w:rsidR="00540C3E" w:rsidRPr="004E6476" w:rsidRDefault="009F0307" w:rsidP="009534A7">
      <w:pPr>
        <w:pStyle w:val="ONUMFS"/>
        <w:numPr>
          <w:ilvl w:val="2"/>
          <w:numId w:val="6"/>
        </w:numPr>
        <w:tabs>
          <w:tab w:val="left" w:pos="6237"/>
        </w:tabs>
        <w:ind w:left="5533"/>
        <w:rPr>
          <w:i/>
          <w:lang w:val="fr-FR"/>
        </w:rPr>
      </w:pPr>
      <w:r w:rsidRPr="004E6476">
        <w:rPr>
          <w:i/>
          <w:lang w:val="fr-FR"/>
        </w:rPr>
        <w:t>a reconnu la possibilité d</w:t>
      </w:r>
      <w:r w:rsidR="00540C3E" w:rsidRPr="004E6476">
        <w:rPr>
          <w:i/>
          <w:lang w:val="fr-FR"/>
        </w:rPr>
        <w:t>’</w:t>
      </w:r>
      <w:r w:rsidRPr="004E6476">
        <w:rPr>
          <w:i/>
          <w:lang w:val="fr-FR"/>
        </w:rPr>
        <w:t>améliorer la reddition de comptes relative au programme et budget et à la gestion financière;</w:t>
      </w:r>
    </w:p>
    <w:p w:rsidR="00FB7FE5" w:rsidRPr="004E6476" w:rsidRDefault="009F0307" w:rsidP="009534A7">
      <w:pPr>
        <w:pStyle w:val="ONUMFS"/>
        <w:numPr>
          <w:ilvl w:val="2"/>
          <w:numId w:val="6"/>
        </w:numPr>
        <w:tabs>
          <w:tab w:val="left" w:pos="6237"/>
        </w:tabs>
        <w:ind w:left="5533"/>
        <w:rPr>
          <w:i/>
          <w:lang w:val="fr-FR"/>
        </w:rPr>
      </w:pPr>
      <w:r w:rsidRPr="004E6476">
        <w:rPr>
          <w:i/>
          <w:lang w:val="fr-FR"/>
        </w:rPr>
        <w:t>s</w:t>
      </w:r>
      <w:r w:rsidR="00540C3E" w:rsidRPr="004E6476">
        <w:rPr>
          <w:i/>
          <w:lang w:val="fr-FR"/>
        </w:rPr>
        <w:t>’</w:t>
      </w:r>
      <w:r w:rsidRPr="004E6476">
        <w:rPr>
          <w:i/>
          <w:lang w:val="fr-FR"/>
        </w:rPr>
        <w:t>est félicité de la proposition du Secrétariat d</w:t>
      </w:r>
      <w:r w:rsidR="005C591E" w:rsidRPr="004E6476">
        <w:rPr>
          <w:i/>
          <w:lang w:val="fr-FR"/>
        </w:rPr>
        <w:t>’établir</w:t>
      </w:r>
      <w:r w:rsidRPr="004E6476">
        <w:rPr>
          <w:i/>
          <w:lang w:val="fr-FR"/>
        </w:rPr>
        <w:t xml:space="preserve"> un rapport biennal d</w:t>
      </w:r>
      <w:r w:rsidR="00540C3E" w:rsidRPr="004E6476">
        <w:rPr>
          <w:i/>
          <w:lang w:val="fr-FR"/>
        </w:rPr>
        <w:t>’</w:t>
      </w:r>
      <w:r w:rsidRPr="004E6476">
        <w:rPr>
          <w:i/>
          <w:lang w:val="fr-FR"/>
        </w:rPr>
        <w:t>exécution qui soit global et intégré;</w:t>
      </w:r>
    </w:p>
    <w:p w:rsidR="00FB7FE5" w:rsidRPr="004E6476" w:rsidRDefault="009F0307" w:rsidP="009534A7">
      <w:pPr>
        <w:pStyle w:val="ONUMFS"/>
        <w:numPr>
          <w:ilvl w:val="2"/>
          <w:numId w:val="6"/>
        </w:numPr>
        <w:tabs>
          <w:tab w:val="left" w:pos="6237"/>
        </w:tabs>
        <w:ind w:left="5533"/>
        <w:rPr>
          <w:i/>
          <w:lang w:val="fr-FR"/>
        </w:rPr>
      </w:pPr>
      <w:r w:rsidRPr="004E6476">
        <w:rPr>
          <w:i/>
          <w:lang w:val="fr-FR"/>
        </w:rPr>
        <w:t>a demandé au Secrétariat de soumettre une proposition détaillée sur le format et le contenu d</w:t>
      </w:r>
      <w:r w:rsidR="00540C3E" w:rsidRPr="004E6476">
        <w:rPr>
          <w:i/>
          <w:lang w:val="fr-FR"/>
        </w:rPr>
        <w:t>’</w:t>
      </w:r>
      <w:r w:rsidRPr="004E6476">
        <w:rPr>
          <w:i/>
          <w:lang w:val="fr-FR"/>
        </w:rPr>
        <w:t xml:space="preserve">un tel rapport à sa prochaine session, compte tenu des </w:t>
      </w:r>
      <w:r w:rsidR="005C591E" w:rsidRPr="004E6476">
        <w:rPr>
          <w:i/>
          <w:lang w:val="fr-FR"/>
        </w:rPr>
        <w:t>observations reçues</w:t>
      </w:r>
      <w:r w:rsidRPr="004E6476">
        <w:rPr>
          <w:i/>
          <w:lang w:val="fr-FR"/>
        </w:rPr>
        <w:t xml:space="preserve"> des États membres </w:t>
      </w:r>
      <w:r w:rsidR="005C591E" w:rsidRPr="004E6476">
        <w:rPr>
          <w:i/>
          <w:lang w:val="fr-FR"/>
        </w:rPr>
        <w:t>dans le cadre d’un</w:t>
      </w:r>
      <w:r w:rsidRPr="004E6476">
        <w:rPr>
          <w:i/>
          <w:lang w:val="fr-FR"/>
        </w:rPr>
        <w:t xml:space="preserve"> questionnaire</w:t>
      </w:r>
      <w:r w:rsidR="005C591E" w:rsidRPr="004E6476">
        <w:rPr>
          <w:i/>
          <w:lang w:val="fr-FR"/>
        </w:rPr>
        <w:t xml:space="preserve"> structuré</w:t>
      </w:r>
      <w:r w:rsidRPr="004E6476">
        <w:rPr>
          <w:i/>
          <w:lang w:val="fr-FR"/>
        </w:rPr>
        <w:t>.</w:t>
      </w:r>
    </w:p>
    <w:p w:rsidR="00387092" w:rsidRPr="004E6476" w:rsidRDefault="00387092" w:rsidP="00DC014C">
      <w:pPr>
        <w:pStyle w:val="Endofdocument-Annex"/>
        <w:rPr>
          <w:lang w:val="fr-FR"/>
        </w:rPr>
      </w:pPr>
    </w:p>
    <w:p w:rsidR="00387092" w:rsidRPr="004E6476" w:rsidRDefault="00387092" w:rsidP="00DC014C">
      <w:pPr>
        <w:pStyle w:val="Endofdocument-Annex"/>
        <w:rPr>
          <w:lang w:val="fr-FR"/>
        </w:rPr>
      </w:pPr>
    </w:p>
    <w:p w:rsidR="00FB7FE5" w:rsidRPr="004E6476" w:rsidRDefault="009F0307" w:rsidP="009534A7">
      <w:pPr>
        <w:pStyle w:val="ONUME"/>
        <w:numPr>
          <w:ilvl w:val="0"/>
          <w:numId w:val="0"/>
        </w:numPr>
        <w:ind w:left="5533"/>
        <w:rPr>
          <w:lang w:val="fr-FR"/>
        </w:rPr>
      </w:pPr>
      <w:r w:rsidRPr="004E6476">
        <w:rPr>
          <w:lang w:val="fr-FR"/>
        </w:rPr>
        <w:t>[L</w:t>
      </w:r>
      <w:r w:rsidR="00540C3E" w:rsidRPr="004E6476">
        <w:rPr>
          <w:lang w:val="fr-FR"/>
        </w:rPr>
        <w:t>’</w:t>
      </w:r>
      <w:r w:rsidRPr="004E6476">
        <w:rPr>
          <w:lang w:val="fr-FR"/>
        </w:rPr>
        <w:t>annexe suit]</w:t>
      </w:r>
    </w:p>
    <w:p w:rsidR="002B7D28" w:rsidRPr="004E6476" w:rsidRDefault="002B7D28" w:rsidP="009534A7">
      <w:pPr>
        <w:pStyle w:val="ONUME"/>
        <w:numPr>
          <w:ilvl w:val="0"/>
          <w:numId w:val="0"/>
        </w:numPr>
        <w:ind w:left="5533"/>
        <w:rPr>
          <w:i/>
          <w:lang w:val="fr-FR"/>
        </w:rPr>
        <w:sectPr w:rsidR="002B7D28" w:rsidRPr="004E6476" w:rsidSect="00410790">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FB7FE5" w:rsidRPr="004E6476" w:rsidRDefault="005C591E" w:rsidP="009534A7">
      <w:pPr>
        <w:jc w:val="center"/>
        <w:rPr>
          <w:b/>
          <w:lang w:val="fr-FR" w:eastAsia="en-US"/>
        </w:rPr>
      </w:pPr>
      <w:r w:rsidRPr="004E6476">
        <w:rPr>
          <w:b/>
          <w:lang w:val="fr-FR" w:eastAsia="en-US"/>
        </w:rPr>
        <w:t xml:space="preserve">Répartition de l’information dans le Rapport de gestion financière, les états financiers et le Rapport sur l’exécution du programme </w:t>
      </w:r>
      <w:r w:rsidR="00DC014C">
        <w:rPr>
          <w:b/>
          <w:lang w:val="fr-FR" w:eastAsia="en-US"/>
        </w:rPr>
        <w:br/>
      </w:r>
      <w:r w:rsidRPr="004E6476">
        <w:rPr>
          <w:b/>
          <w:lang w:val="fr-FR" w:eastAsia="en-US"/>
        </w:rPr>
        <w:t>et doublons entre le Rapport de gestion financière et d’autres documents</w:t>
      </w:r>
    </w:p>
    <w:p w:rsidR="002B7D28" w:rsidRPr="004E6476" w:rsidRDefault="002B7D28" w:rsidP="009534A7">
      <w:pPr>
        <w:jc w:val="center"/>
        <w:rPr>
          <w:lang w:val="fr-FR" w:eastAsia="en-US"/>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00" w:firstRow="0" w:lastRow="0" w:firstColumn="0" w:lastColumn="0" w:noHBand="0" w:noVBand="0"/>
      </w:tblPr>
      <w:tblGrid>
        <w:gridCol w:w="3559"/>
        <w:gridCol w:w="1655"/>
        <w:gridCol w:w="2605"/>
        <w:gridCol w:w="3872"/>
        <w:gridCol w:w="2192"/>
        <w:gridCol w:w="1755"/>
      </w:tblGrid>
      <w:tr w:rsidR="004E6476" w:rsidRPr="004E6476" w:rsidTr="00387092">
        <w:trPr>
          <w:cantSplit/>
          <w:tblHeader/>
        </w:trPr>
        <w:tc>
          <w:tcPr>
            <w:tcW w:w="1138" w:type="pct"/>
            <w:tcBorders>
              <w:top w:val="single" w:sz="4" w:space="0" w:color="808080" w:themeColor="background1" w:themeShade="80"/>
              <w:left w:val="nil"/>
              <w:bottom w:val="single" w:sz="4" w:space="0" w:color="808080" w:themeColor="background1" w:themeShade="80"/>
            </w:tcBorders>
          </w:tcPr>
          <w:p w:rsidR="002B7D28" w:rsidRPr="004E6476" w:rsidRDefault="002B7D28" w:rsidP="009534A7">
            <w:pPr>
              <w:autoSpaceDE w:val="0"/>
              <w:autoSpaceDN w:val="0"/>
              <w:adjustRightInd w:val="0"/>
              <w:spacing w:before="120" w:after="120"/>
              <w:rPr>
                <w:rFonts w:eastAsia="Times New Roman"/>
                <w:bCs/>
                <w:sz w:val="16"/>
                <w:szCs w:val="16"/>
                <w:lang w:val="fr-FR" w:eastAsia="en-US"/>
              </w:rPr>
            </w:pPr>
            <w:r w:rsidRPr="004E6476">
              <w:rPr>
                <w:rFonts w:eastAsia="Times New Roman"/>
                <w:bCs/>
                <w:sz w:val="16"/>
                <w:szCs w:val="16"/>
                <w:lang w:val="fr-FR" w:eastAsia="en-US"/>
              </w:rPr>
              <w:t>Information</w:t>
            </w:r>
            <w:r w:rsidR="009F0307" w:rsidRPr="004E6476">
              <w:rPr>
                <w:rFonts w:eastAsia="Times New Roman"/>
                <w:bCs/>
                <w:sz w:val="16"/>
                <w:szCs w:val="16"/>
                <w:lang w:val="fr-FR" w:eastAsia="en-US"/>
              </w:rPr>
              <w:t>s</w:t>
            </w:r>
            <w:r w:rsidRPr="004E6476">
              <w:rPr>
                <w:rFonts w:eastAsia="Times New Roman"/>
                <w:bCs/>
                <w:sz w:val="16"/>
                <w:szCs w:val="16"/>
                <w:lang w:val="fr-FR" w:eastAsia="en-US"/>
              </w:rPr>
              <w:t xml:space="preserve"> </w:t>
            </w:r>
            <w:r w:rsidR="009F0307" w:rsidRPr="004E6476">
              <w:rPr>
                <w:rFonts w:eastAsia="Times New Roman"/>
                <w:bCs/>
                <w:sz w:val="16"/>
                <w:szCs w:val="16"/>
                <w:lang w:val="fr-FR" w:eastAsia="en-US"/>
              </w:rPr>
              <w:t xml:space="preserve">figurant uniquement dans le </w:t>
            </w:r>
            <w:r w:rsidR="009F0307" w:rsidRPr="004E6476">
              <w:rPr>
                <w:bCs/>
                <w:sz w:val="16"/>
                <w:szCs w:val="16"/>
                <w:lang w:val="fr-FR"/>
              </w:rPr>
              <w:t>Rapport de gestion financière</w:t>
            </w:r>
          </w:p>
        </w:tc>
        <w:tc>
          <w:tcPr>
            <w:tcW w:w="529" w:type="pct"/>
            <w:tcBorders>
              <w:top w:val="single" w:sz="4" w:space="0" w:color="808080" w:themeColor="background1" w:themeShade="80"/>
              <w:bottom w:val="single" w:sz="4" w:space="0" w:color="808080" w:themeColor="background1" w:themeShade="80"/>
            </w:tcBorders>
            <w:shd w:val="clear" w:color="auto" w:fill="FFFFFF"/>
          </w:tcPr>
          <w:p w:rsidR="002B7D28" w:rsidRPr="004E6476" w:rsidRDefault="009F0307" w:rsidP="009534A7">
            <w:pPr>
              <w:autoSpaceDE w:val="0"/>
              <w:autoSpaceDN w:val="0"/>
              <w:adjustRightInd w:val="0"/>
              <w:spacing w:after="120"/>
              <w:rPr>
                <w:rFonts w:eastAsia="Times New Roman"/>
                <w:bCs/>
                <w:sz w:val="16"/>
                <w:szCs w:val="16"/>
                <w:lang w:val="fr-FR" w:eastAsia="en-US"/>
              </w:rPr>
            </w:pPr>
            <w:r w:rsidRPr="004E6476">
              <w:rPr>
                <w:rFonts w:eastAsia="Times New Roman"/>
                <w:bCs/>
                <w:sz w:val="16"/>
                <w:szCs w:val="16"/>
                <w:lang w:val="fr-FR" w:eastAsia="en-US"/>
              </w:rPr>
              <w:t>Informations figurant uniquement dans les états financiers</w:t>
            </w:r>
          </w:p>
        </w:tc>
        <w:tc>
          <w:tcPr>
            <w:tcW w:w="833" w:type="pct"/>
            <w:tcBorders>
              <w:top w:val="single" w:sz="4" w:space="0" w:color="808080" w:themeColor="background1" w:themeShade="80"/>
              <w:bottom w:val="single" w:sz="4" w:space="0" w:color="808080" w:themeColor="background1" w:themeShade="80"/>
            </w:tcBorders>
            <w:shd w:val="clear" w:color="auto" w:fill="FFFFFF"/>
          </w:tcPr>
          <w:p w:rsidR="002B7D28" w:rsidRPr="004E6476" w:rsidRDefault="009F0307" w:rsidP="009534A7">
            <w:pPr>
              <w:autoSpaceDE w:val="0"/>
              <w:autoSpaceDN w:val="0"/>
              <w:adjustRightInd w:val="0"/>
              <w:spacing w:after="120"/>
              <w:rPr>
                <w:rFonts w:eastAsia="Times New Roman"/>
                <w:bCs/>
                <w:sz w:val="16"/>
                <w:szCs w:val="16"/>
                <w:lang w:val="fr-FR" w:eastAsia="en-US"/>
              </w:rPr>
            </w:pPr>
            <w:r w:rsidRPr="004E6476">
              <w:rPr>
                <w:rFonts w:eastAsia="Times New Roman"/>
                <w:bCs/>
                <w:sz w:val="16"/>
                <w:szCs w:val="16"/>
                <w:lang w:val="fr-FR" w:eastAsia="en-US"/>
              </w:rPr>
              <w:t xml:space="preserve">Informations figurant uniquement dans le </w:t>
            </w:r>
            <w:r w:rsidRPr="004E6476">
              <w:rPr>
                <w:bCs/>
                <w:sz w:val="16"/>
                <w:szCs w:val="16"/>
                <w:lang w:val="fr-FR"/>
              </w:rPr>
              <w:t>Rapport sur l</w:t>
            </w:r>
            <w:r w:rsidR="00540C3E" w:rsidRPr="004E6476">
              <w:rPr>
                <w:bCs/>
                <w:sz w:val="16"/>
                <w:szCs w:val="16"/>
                <w:lang w:val="fr-FR"/>
              </w:rPr>
              <w:t>’</w:t>
            </w:r>
            <w:r w:rsidRPr="004E6476">
              <w:rPr>
                <w:bCs/>
                <w:sz w:val="16"/>
                <w:szCs w:val="16"/>
                <w:lang w:val="fr-FR"/>
              </w:rPr>
              <w:t>exécution du programme</w:t>
            </w:r>
          </w:p>
        </w:tc>
        <w:tc>
          <w:tcPr>
            <w:tcW w:w="1238" w:type="pct"/>
            <w:tcBorders>
              <w:top w:val="single" w:sz="4" w:space="0" w:color="808080" w:themeColor="background1" w:themeShade="80"/>
              <w:bottom w:val="single" w:sz="4" w:space="0" w:color="808080" w:themeColor="background1" w:themeShade="80"/>
            </w:tcBorders>
            <w:shd w:val="clear" w:color="auto" w:fill="B6DDE8" w:themeFill="accent5" w:themeFillTint="66"/>
          </w:tcPr>
          <w:p w:rsidR="002B7D28" w:rsidRPr="004E6476" w:rsidRDefault="005C591E" w:rsidP="009534A7">
            <w:pPr>
              <w:autoSpaceDE w:val="0"/>
              <w:autoSpaceDN w:val="0"/>
              <w:adjustRightInd w:val="0"/>
              <w:spacing w:before="120" w:after="120"/>
              <w:rPr>
                <w:rFonts w:eastAsia="Times New Roman"/>
                <w:bCs/>
                <w:sz w:val="16"/>
                <w:szCs w:val="16"/>
                <w:lang w:val="fr-FR" w:eastAsia="en-US"/>
              </w:rPr>
            </w:pPr>
            <w:r w:rsidRPr="004E6476">
              <w:rPr>
                <w:rFonts w:eastAsia="Times New Roman"/>
                <w:bCs/>
                <w:sz w:val="16"/>
                <w:szCs w:val="16"/>
                <w:lang w:val="fr-FR" w:eastAsia="en-US"/>
              </w:rPr>
              <w:t>Doublon</w:t>
            </w:r>
            <w:r w:rsidR="009F0307" w:rsidRPr="004E6476">
              <w:rPr>
                <w:rFonts w:eastAsia="Times New Roman"/>
                <w:bCs/>
                <w:sz w:val="16"/>
                <w:szCs w:val="16"/>
                <w:lang w:val="fr-FR" w:eastAsia="en-US"/>
              </w:rPr>
              <w:t>s entre le</w:t>
            </w:r>
            <w:r w:rsidR="002B7D28" w:rsidRPr="004E6476">
              <w:rPr>
                <w:rFonts w:eastAsia="Times New Roman"/>
                <w:bCs/>
                <w:sz w:val="16"/>
                <w:szCs w:val="16"/>
                <w:lang w:val="fr-FR" w:eastAsia="en-US"/>
              </w:rPr>
              <w:t xml:space="preserve"> </w:t>
            </w:r>
            <w:r w:rsidR="009F0307" w:rsidRPr="004E6476">
              <w:rPr>
                <w:bCs/>
                <w:sz w:val="16"/>
                <w:szCs w:val="16"/>
                <w:lang w:val="fr-FR"/>
              </w:rPr>
              <w:t>Rapport de gestion financière</w:t>
            </w:r>
            <w:r w:rsidR="009F0307" w:rsidRPr="004E6476">
              <w:rPr>
                <w:rFonts w:eastAsia="Times New Roman"/>
                <w:bCs/>
                <w:sz w:val="16"/>
                <w:szCs w:val="16"/>
                <w:lang w:val="fr-FR" w:eastAsia="en-US"/>
              </w:rPr>
              <w:t xml:space="preserve"> et les états financiers</w:t>
            </w:r>
            <w:r w:rsidR="000C6327" w:rsidRPr="004E6476">
              <w:rPr>
                <w:rStyle w:val="FootnoteReference"/>
                <w:rFonts w:eastAsia="Times New Roman"/>
                <w:bCs/>
                <w:sz w:val="16"/>
                <w:szCs w:val="16"/>
                <w:lang w:val="fr-FR" w:eastAsia="en-US"/>
              </w:rPr>
              <w:footnoteReference w:id="2"/>
            </w:r>
            <w:r w:rsidR="000007E7" w:rsidRPr="004E6476">
              <w:rPr>
                <w:rStyle w:val="FootnoteReference"/>
                <w:rFonts w:eastAsia="Times New Roman"/>
                <w:bCs/>
                <w:sz w:val="16"/>
                <w:szCs w:val="16"/>
                <w:lang w:val="fr-FR" w:eastAsia="en-US"/>
              </w:rPr>
              <w:t xml:space="preserve"> </w:t>
            </w:r>
          </w:p>
        </w:tc>
        <w:tc>
          <w:tcPr>
            <w:tcW w:w="701" w:type="pct"/>
            <w:tcBorders>
              <w:top w:val="single" w:sz="4" w:space="0" w:color="808080" w:themeColor="background1" w:themeShade="80"/>
              <w:bottom w:val="single" w:sz="4" w:space="0" w:color="808080" w:themeColor="background1" w:themeShade="80"/>
            </w:tcBorders>
            <w:shd w:val="clear" w:color="auto" w:fill="FDE9D9" w:themeFill="accent6" w:themeFillTint="33"/>
          </w:tcPr>
          <w:p w:rsidR="002B7D28" w:rsidRPr="004E6476" w:rsidRDefault="005C591E" w:rsidP="009534A7">
            <w:pPr>
              <w:autoSpaceDE w:val="0"/>
              <w:autoSpaceDN w:val="0"/>
              <w:adjustRightInd w:val="0"/>
              <w:spacing w:before="120" w:after="120"/>
              <w:rPr>
                <w:rFonts w:eastAsia="Times New Roman"/>
                <w:bCs/>
                <w:spacing w:val="-2"/>
                <w:sz w:val="16"/>
                <w:szCs w:val="16"/>
                <w:lang w:val="fr-FR" w:eastAsia="en-US"/>
              </w:rPr>
            </w:pPr>
            <w:r w:rsidRPr="004E6476">
              <w:rPr>
                <w:rFonts w:eastAsia="Times New Roman"/>
                <w:bCs/>
                <w:sz w:val="16"/>
                <w:szCs w:val="16"/>
                <w:lang w:val="fr-FR" w:eastAsia="en-US"/>
              </w:rPr>
              <w:t>Doublon</w:t>
            </w:r>
            <w:r w:rsidR="009F0307" w:rsidRPr="004E6476">
              <w:rPr>
                <w:rFonts w:eastAsia="Times New Roman"/>
                <w:bCs/>
                <w:sz w:val="16"/>
                <w:szCs w:val="16"/>
                <w:lang w:val="fr-FR" w:eastAsia="en-US"/>
              </w:rPr>
              <w:t xml:space="preserve">s entre le </w:t>
            </w:r>
            <w:r w:rsidR="009F0307" w:rsidRPr="004E6476">
              <w:rPr>
                <w:bCs/>
                <w:sz w:val="16"/>
                <w:szCs w:val="16"/>
                <w:lang w:val="fr-FR"/>
              </w:rPr>
              <w:t>Rapport de gestion financière</w:t>
            </w:r>
            <w:r w:rsidR="009F0307" w:rsidRPr="004E6476">
              <w:rPr>
                <w:rFonts w:eastAsia="Times New Roman"/>
                <w:bCs/>
                <w:sz w:val="16"/>
                <w:szCs w:val="16"/>
                <w:lang w:val="fr-FR" w:eastAsia="en-US"/>
              </w:rPr>
              <w:t xml:space="preserve"> et d</w:t>
            </w:r>
            <w:r w:rsidR="00540C3E" w:rsidRPr="004E6476">
              <w:rPr>
                <w:rFonts w:eastAsia="Times New Roman"/>
                <w:bCs/>
                <w:sz w:val="16"/>
                <w:szCs w:val="16"/>
                <w:lang w:val="fr-FR" w:eastAsia="en-US"/>
              </w:rPr>
              <w:t>’</w:t>
            </w:r>
            <w:r w:rsidR="009F0307" w:rsidRPr="004E6476">
              <w:rPr>
                <w:rFonts w:eastAsia="Times New Roman"/>
                <w:bCs/>
                <w:sz w:val="16"/>
                <w:szCs w:val="16"/>
                <w:lang w:val="fr-FR" w:eastAsia="en-US"/>
              </w:rPr>
              <w:t xml:space="preserve">autres </w:t>
            </w:r>
            <w:r w:rsidR="002B7D28" w:rsidRPr="004E6476">
              <w:rPr>
                <w:rFonts w:eastAsia="Times New Roman"/>
                <w:bCs/>
                <w:spacing w:val="-2"/>
                <w:sz w:val="16"/>
                <w:szCs w:val="16"/>
                <w:lang w:val="fr-FR" w:eastAsia="en-US"/>
              </w:rPr>
              <w:t>documents</w:t>
            </w:r>
          </w:p>
        </w:tc>
        <w:tc>
          <w:tcPr>
            <w:tcW w:w="561" w:type="pct"/>
            <w:tcBorders>
              <w:top w:val="single" w:sz="4" w:space="0" w:color="808080" w:themeColor="background1" w:themeShade="80"/>
              <w:bottom w:val="single" w:sz="4" w:space="0" w:color="808080" w:themeColor="background1" w:themeShade="80"/>
              <w:right w:val="nil"/>
            </w:tcBorders>
            <w:shd w:val="clear" w:color="auto" w:fill="FFFFCC"/>
          </w:tcPr>
          <w:p w:rsidR="002B7D28" w:rsidRPr="004E6476" w:rsidRDefault="005C591E" w:rsidP="009534A7">
            <w:pPr>
              <w:autoSpaceDE w:val="0"/>
              <w:autoSpaceDN w:val="0"/>
              <w:adjustRightInd w:val="0"/>
              <w:spacing w:before="120" w:after="120"/>
              <w:rPr>
                <w:rFonts w:eastAsia="Times New Roman"/>
                <w:bCs/>
                <w:sz w:val="16"/>
                <w:szCs w:val="16"/>
                <w:lang w:val="fr-FR" w:eastAsia="en-US"/>
              </w:rPr>
            </w:pPr>
            <w:r w:rsidRPr="004E6476">
              <w:rPr>
                <w:rFonts w:eastAsia="Times New Roman"/>
                <w:bCs/>
                <w:sz w:val="16"/>
                <w:szCs w:val="16"/>
                <w:lang w:val="fr-FR" w:eastAsia="en-US"/>
              </w:rPr>
              <w:t>Doublon</w:t>
            </w:r>
            <w:r w:rsidR="009F0307" w:rsidRPr="004E6476">
              <w:rPr>
                <w:rFonts w:eastAsia="Times New Roman"/>
                <w:bCs/>
                <w:sz w:val="16"/>
                <w:szCs w:val="16"/>
                <w:lang w:val="fr-FR" w:eastAsia="en-US"/>
              </w:rPr>
              <w:t xml:space="preserve">s entre le </w:t>
            </w:r>
            <w:r w:rsidR="009F0307" w:rsidRPr="004E6476">
              <w:rPr>
                <w:bCs/>
                <w:sz w:val="16"/>
                <w:szCs w:val="16"/>
                <w:lang w:val="fr-FR"/>
              </w:rPr>
              <w:t>Rapport de gestion financière</w:t>
            </w:r>
            <w:r w:rsidR="009F0307" w:rsidRPr="004E6476">
              <w:rPr>
                <w:rFonts w:eastAsia="Times New Roman"/>
                <w:bCs/>
                <w:sz w:val="16"/>
                <w:szCs w:val="16"/>
                <w:lang w:val="fr-FR" w:eastAsia="en-US"/>
              </w:rPr>
              <w:t xml:space="preserve"> et le </w:t>
            </w:r>
            <w:r w:rsidR="009F0307" w:rsidRPr="004E6476">
              <w:rPr>
                <w:bCs/>
                <w:sz w:val="16"/>
                <w:szCs w:val="16"/>
                <w:lang w:val="fr-FR"/>
              </w:rPr>
              <w:t>Rapport sur l</w:t>
            </w:r>
            <w:r w:rsidR="00540C3E" w:rsidRPr="004E6476">
              <w:rPr>
                <w:bCs/>
                <w:sz w:val="16"/>
                <w:szCs w:val="16"/>
                <w:lang w:val="fr-FR"/>
              </w:rPr>
              <w:t>’</w:t>
            </w:r>
            <w:r w:rsidR="009F0307" w:rsidRPr="004E6476">
              <w:rPr>
                <w:bCs/>
                <w:sz w:val="16"/>
                <w:szCs w:val="16"/>
                <w:lang w:val="fr-FR"/>
              </w:rPr>
              <w:t>exécution du programme</w:t>
            </w:r>
          </w:p>
        </w:tc>
      </w:tr>
      <w:tr w:rsidR="004E6476" w:rsidRPr="004E6476" w:rsidTr="00387092">
        <w:trPr>
          <w:cantSplit/>
        </w:trPr>
        <w:tc>
          <w:tcPr>
            <w:tcW w:w="1138" w:type="pct"/>
            <w:tcBorders>
              <w:top w:val="single" w:sz="4" w:space="0" w:color="808080" w:themeColor="background1" w:themeShade="80"/>
              <w:left w:val="nil"/>
            </w:tcBorders>
          </w:tcPr>
          <w:p w:rsidR="002B7D28" w:rsidRPr="004E6476" w:rsidRDefault="009F0307" w:rsidP="009534A7">
            <w:pPr>
              <w:autoSpaceDE w:val="0"/>
              <w:autoSpaceDN w:val="0"/>
              <w:adjustRightInd w:val="0"/>
              <w:spacing w:before="120"/>
              <w:rPr>
                <w:rFonts w:eastAsia="Times New Roman"/>
                <w:b/>
                <w:bCs/>
                <w:sz w:val="16"/>
                <w:szCs w:val="16"/>
                <w:u w:val="single"/>
                <w:lang w:val="fr-FR" w:eastAsia="en-US"/>
              </w:rPr>
            </w:pPr>
            <w:r w:rsidRPr="004E6476">
              <w:rPr>
                <w:rFonts w:eastAsia="Times New Roman"/>
                <w:b/>
                <w:bCs/>
                <w:sz w:val="16"/>
                <w:szCs w:val="16"/>
                <w:u w:val="single"/>
                <w:lang w:val="fr-FR" w:eastAsia="en-US"/>
              </w:rPr>
              <w:t>Résumé des résultats par union</w:t>
            </w:r>
          </w:p>
        </w:tc>
        <w:tc>
          <w:tcPr>
            <w:tcW w:w="529" w:type="pct"/>
            <w:tcBorders>
              <w:top w:val="single" w:sz="4" w:space="0" w:color="808080" w:themeColor="background1" w:themeShade="80"/>
            </w:tcBorders>
            <w:shd w:val="clear" w:color="auto" w:fill="FFFFFF"/>
          </w:tcPr>
          <w:p w:rsidR="002B7D28" w:rsidRPr="004E6476" w:rsidRDefault="002B7D28" w:rsidP="009534A7">
            <w:pPr>
              <w:autoSpaceDE w:val="0"/>
              <w:autoSpaceDN w:val="0"/>
              <w:adjustRightInd w:val="0"/>
              <w:spacing w:before="120"/>
              <w:rPr>
                <w:rFonts w:eastAsia="Times New Roman"/>
                <w:bCs/>
                <w:sz w:val="16"/>
                <w:szCs w:val="16"/>
                <w:lang w:val="fr-FR" w:eastAsia="en-US"/>
              </w:rPr>
            </w:pPr>
          </w:p>
        </w:tc>
        <w:tc>
          <w:tcPr>
            <w:tcW w:w="833" w:type="pct"/>
            <w:tcBorders>
              <w:top w:val="single" w:sz="4" w:space="0" w:color="808080" w:themeColor="background1" w:themeShade="80"/>
            </w:tcBorders>
            <w:shd w:val="clear" w:color="auto" w:fill="FFFFFF"/>
          </w:tcPr>
          <w:p w:rsidR="002B7D28" w:rsidRPr="004E6476" w:rsidRDefault="002B7D28" w:rsidP="009534A7">
            <w:pPr>
              <w:autoSpaceDE w:val="0"/>
              <w:autoSpaceDN w:val="0"/>
              <w:adjustRightInd w:val="0"/>
              <w:spacing w:before="120"/>
              <w:rPr>
                <w:rFonts w:eastAsia="Times New Roman"/>
                <w:bCs/>
                <w:sz w:val="16"/>
                <w:szCs w:val="16"/>
                <w:lang w:val="fr-FR" w:eastAsia="en-US"/>
              </w:rPr>
            </w:pPr>
          </w:p>
        </w:tc>
        <w:tc>
          <w:tcPr>
            <w:tcW w:w="1238" w:type="pct"/>
            <w:tcBorders>
              <w:top w:val="single" w:sz="4" w:space="0" w:color="808080" w:themeColor="background1" w:themeShade="80"/>
            </w:tcBorders>
            <w:shd w:val="clear" w:color="auto" w:fill="B6DDE8" w:themeFill="accent5" w:themeFillTint="66"/>
          </w:tcPr>
          <w:p w:rsidR="002B7D28" w:rsidRPr="004E6476" w:rsidRDefault="009F0307" w:rsidP="009534A7">
            <w:pPr>
              <w:autoSpaceDE w:val="0"/>
              <w:autoSpaceDN w:val="0"/>
              <w:adjustRightInd w:val="0"/>
              <w:spacing w:before="120"/>
              <w:rPr>
                <w:rFonts w:eastAsia="Times New Roman"/>
                <w:bCs/>
                <w:sz w:val="16"/>
                <w:szCs w:val="16"/>
                <w:lang w:val="fr-FR" w:eastAsia="en-US"/>
              </w:rPr>
            </w:pPr>
            <w:r w:rsidRPr="004E6476">
              <w:rPr>
                <w:rFonts w:eastAsia="Times New Roman"/>
                <w:bCs/>
                <w:sz w:val="16"/>
                <w:szCs w:val="16"/>
                <w:lang w:val="fr-FR" w:eastAsia="en-US"/>
              </w:rPr>
              <w:t>Ré</w:t>
            </w:r>
            <w:r w:rsidR="001B02E6" w:rsidRPr="004E6476">
              <w:rPr>
                <w:rFonts w:eastAsia="Times New Roman"/>
                <w:bCs/>
                <w:sz w:val="16"/>
                <w:szCs w:val="16"/>
                <w:lang w:val="fr-FR" w:eastAsia="en-US"/>
              </w:rPr>
              <w:t>sultats par u</w:t>
            </w:r>
            <w:r w:rsidRPr="004E6476">
              <w:rPr>
                <w:rFonts w:eastAsia="Times New Roman"/>
                <w:bCs/>
                <w:sz w:val="16"/>
                <w:szCs w:val="16"/>
                <w:lang w:val="fr-FR" w:eastAsia="en-US"/>
              </w:rPr>
              <w:t>nion</w:t>
            </w:r>
          </w:p>
        </w:tc>
        <w:tc>
          <w:tcPr>
            <w:tcW w:w="701" w:type="pct"/>
            <w:tcBorders>
              <w:top w:val="single" w:sz="4" w:space="0" w:color="808080" w:themeColor="background1" w:themeShade="80"/>
            </w:tcBorders>
            <w:shd w:val="clear" w:color="auto" w:fill="FDE9D9" w:themeFill="accent6" w:themeFillTint="33"/>
          </w:tcPr>
          <w:p w:rsidR="002B7D28" w:rsidRPr="004E6476" w:rsidRDefault="002B7D28" w:rsidP="009534A7">
            <w:pPr>
              <w:autoSpaceDE w:val="0"/>
              <w:autoSpaceDN w:val="0"/>
              <w:adjustRightInd w:val="0"/>
              <w:spacing w:before="120"/>
              <w:rPr>
                <w:rFonts w:eastAsia="Times New Roman"/>
                <w:bCs/>
                <w:sz w:val="16"/>
                <w:szCs w:val="16"/>
                <w:lang w:val="fr-FR" w:eastAsia="en-US"/>
              </w:rPr>
            </w:pPr>
          </w:p>
        </w:tc>
        <w:tc>
          <w:tcPr>
            <w:tcW w:w="561" w:type="pct"/>
            <w:tcBorders>
              <w:top w:val="single" w:sz="4" w:space="0" w:color="808080" w:themeColor="background1" w:themeShade="80"/>
              <w:right w:val="nil"/>
            </w:tcBorders>
            <w:shd w:val="clear" w:color="auto" w:fill="FFFFCC"/>
          </w:tcPr>
          <w:p w:rsidR="002B7D28" w:rsidRPr="004E6476" w:rsidRDefault="002B7D28" w:rsidP="009534A7">
            <w:pPr>
              <w:autoSpaceDE w:val="0"/>
              <w:autoSpaceDN w:val="0"/>
              <w:adjustRightInd w:val="0"/>
              <w:spacing w:before="12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jc w:val="right"/>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1B02E6"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Montant des fonds de réserve et de roulement par union en fin d</w:t>
            </w:r>
            <w:r w:rsidR="00540C3E" w:rsidRPr="004E6476">
              <w:rPr>
                <w:rFonts w:eastAsia="Times New Roman"/>
                <w:bCs/>
                <w:sz w:val="16"/>
                <w:szCs w:val="16"/>
                <w:lang w:val="fr-FR" w:eastAsia="en-US"/>
              </w:rPr>
              <w:t>’</w:t>
            </w:r>
            <w:r w:rsidRPr="004E6476">
              <w:rPr>
                <w:rFonts w:eastAsia="Times New Roman"/>
                <w:bCs/>
                <w:sz w:val="16"/>
                <w:szCs w:val="16"/>
                <w:lang w:val="fr-FR" w:eastAsia="en-US"/>
              </w:rPr>
              <w:t>année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jc w:val="right"/>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1B02E6"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Recettes et dépenses par union </w:t>
            </w:r>
            <w:r w:rsidR="00387092" w:rsidRPr="004E6476">
              <w:rPr>
                <w:rFonts w:eastAsia="Times New Roman"/>
                <w:bCs/>
                <w:sz w:val="16"/>
                <w:szCs w:val="16"/>
                <w:lang w:val="fr-FR" w:eastAsia="en-US"/>
              </w:rPr>
              <w:t>–</w:t>
            </w:r>
            <w:r w:rsidRPr="004E6476">
              <w:rPr>
                <w:rFonts w:eastAsia="Times New Roman"/>
                <w:bCs/>
                <w:sz w:val="16"/>
                <w:szCs w:val="16"/>
                <w:lang w:val="fr-FR" w:eastAsia="en-US"/>
              </w:rPr>
              <w:t xml:space="preserve"> fin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 (base budgétaire)</w:t>
            </w:r>
          </w:p>
        </w:tc>
        <w:tc>
          <w:tcPr>
            <w:tcW w:w="701" w:type="pct"/>
            <w:shd w:val="clear" w:color="auto" w:fill="FDE9D9" w:themeFill="accent6" w:themeFillTint="33"/>
          </w:tcPr>
          <w:p w:rsidR="002B7D28" w:rsidRPr="004E6476" w:rsidRDefault="00D64AF8"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Crédits à prélever sur les réserves</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
                <w:bCs/>
                <w:sz w:val="16"/>
                <w:szCs w:val="16"/>
                <w:u w:val="single"/>
                <w:lang w:val="fr-FR" w:eastAsia="en-US"/>
              </w:rPr>
            </w:pPr>
            <w:r w:rsidRPr="004E6476">
              <w:rPr>
                <w:rFonts w:eastAsia="Times New Roman"/>
                <w:b/>
                <w:bCs/>
                <w:sz w:val="16"/>
                <w:szCs w:val="16"/>
                <w:u w:val="single"/>
                <w:lang w:val="fr-FR" w:eastAsia="en-US"/>
              </w:rPr>
              <w:t>Budget</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461E61"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Postes et effectifs, par programme </w:t>
            </w:r>
            <w:r w:rsidR="00387092" w:rsidRPr="004E6476">
              <w:rPr>
                <w:rFonts w:eastAsia="Times New Roman"/>
                <w:bCs/>
                <w:sz w:val="16"/>
                <w:szCs w:val="16"/>
                <w:lang w:val="fr-FR" w:eastAsia="en-US"/>
              </w:rPr>
              <w:t>–</w:t>
            </w:r>
            <w:r w:rsidRPr="004E6476">
              <w:rPr>
                <w:rFonts w:eastAsia="Times New Roman"/>
                <w:bCs/>
                <w:sz w:val="16"/>
                <w:szCs w:val="16"/>
                <w:lang w:val="fr-FR" w:eastAsia="en-US"/>
              </w:rPr>
              <w:t xml:space="preserve"> 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461E61"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Budget approuvé et virements par programme – exercice biennal </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461E61"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Postes et effectifs pour les fonds fiduciaires et les projets financés par les réserves – 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461E61" w:rsidP="009534A7">
            <w:pPr>
              <w:autoSpaceDE w:val="0"/>
              <w:autoSpaceDN w:val="0"/>
              <w:adjustRightInd w:val="0"/>
              <w:spacing w:before="60"/>
              <w:rPr>
                <w:rFonts w:eastAsia="Times New Roman"/>
                <w:b/>
                <w:bCs/>
                <w:sz w:val="16"/>
                <w:szCs w:val="16"/>
                <w:u w:val="single"/>
                <w:lang w:val="fr-FR" w:eastAsia="en-US"/>
              </w:rPr>
            </w:pPr>
            <w:r w:rsidRPr="004E6476">
              <w:rPr>
                <w:rFonts w:eastAsia="Times New Roman"/>
                <w:b/>
                <w:bCs/>
                <w:sz w:val="16"/>
                <w:szCs w:val="16"/>
                <w:u w:val="single"/>
                <w:lang w:val="fr-FR" w:eastAsia="en-US"/>
              </w:rPr>
              <w:t>Dépenses</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461E61"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Dépenses par objet de dépense </w:t>
            </w:r>
            <w:r w:rsidR="00387092" w:rsidRPr="004E6476">
              <w:rPr>
                <w:rFonts w:eastAsia="Times New Roman"/>
                <w:bCs/>
                <w:sz w:val="16"/>
                <w:szCs w:val="16"/>
                <w:lang w:val="fr-FR" w:eastAsia="en-US"/>
              </w:rPr>
              <w:t>–</w:t>
            </w:r>
            <w:r w:rsidRPr="004E6476">
              <w:rPr>
                <w:rFonts w:eastAsia="Times New Roman"/>
                <w:bCs/>
                <w:sz w:val="16"/>
                <w:szCs w:val="16"/>
                <w:lang w:val="fr-FR" w:eastAsia="en-US"/>
              </w:rPr>
              <w:t xml:space="preserve"> exercice biennal </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Budget et dépenses par programme – exercice biennal </w:t>
            </w: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u w:val="single"/>
                <w:lang w:val="fr-FR" w:eastAsia="en-US"/>
              </w:rPr>
            </w:pPr>
            <w:r w:rsidRPr="004E6476">
              <w:rPr>
                <w:rFonts w:eastAsia="Times New Roman"/>
                <w:bCs/>
                <w:sz w:val="16"/>
                <w:szCs w:val="16"/>
                <w:u w:val="single"/>
                <w:lang w:val="fr-FR" w:eastAsia="en-US"/>
              </w:rPr>
              <w:t>Res</w:t>
            </w:r>
            <w:r w:rsidR="00931854" w:rsidRPr="004E6476">
              <w:rPr>
                <w:rFonts w:eastAsia="Times New Roman"/>
                <w:bCs/>
                <w:sz w:val="16"/>
                <w:szCs w:val="16"/>
                <w:u w:val="single"/>
                <w:lang w:val="fr-FR" w:eastAsia="en-US"/>
              </w:rPr>
              <w:t>s</w:t>
            </w:r>
            <w:r w:rsidRPr="004E6476">
              <w:rPr>
                <w:rFonts w:eastAsia="Times New Roman"/>
                <w:bCs/>
                <w:sz w:val="16"/>
                <w:szCs w:val="16"/>
                <w:u w:val="single"/>
                <w:lang w:val="fr-FR" w:eastAsia="en-US"/>
              </w:rPr>
              <w:t>ources</w:t>
            </w:r>
            <w:r w:rsidR="00931854" w:rsidRPr="004E6476">
              <w:rPr>
                <w:rFonts w:eastAsia="Times New Roman"/>
                <w:bCs/>
                <w:sz w:val="16"/>
                <w:szCs w:val="16"/>
                <w:u w:val="single"/>
                <w:lang w:val="fr-FR" w:eastAsia="en-US"/>
              </w:rPr>
              <w:t xml:space="preserve"> en personnel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w:t>
            </w:r>
            <w:r w:rsidR="00477BAA" w:rsidRPr="004E6476">
              <w:rPr>
                <w:rFonts w:eastAsia="Times New Roman"/>
                <w:bCs/>
                <w:sz w:val="16"/>
                <w:szCs w:val="16"/>
                <w:lang w:val="fr-FR" w:eastAsia="en-US"/>
              </w:rPr>
              <w:t xml:space="preserve">volution </w:t>
            </w:r>
            <w:r w:rsidRPr="004E6476">
              <w:rPr>
                <w:rFonts w:eastAsia="Times New Roman"/>
                <w:bCs/>
                <w:sz w:val="16"/>
                <w:szCs w:val="16"/>
                <w:lang w:val="fr-FR" w:eastAsia="en-US"/>
              </w:rPr>
              <w:t>des dépenses par année</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Dépenses par rapport au b</w:t>
            </w:r>
            <w:r w:rsidR="002B7D28" w:rsidRPr="004E6476">
              <w:rPr>
                <w:rFonts w:eastAsia="Times New Roman"/>
                <w:bCs/>
                <w:sz w:val="16"/>
                <w:szCs w:val="16"/>
                <w:lang w:val="fr-FR" w:eastAsia="en-US"/>
              </w:rPr>
              <w:t>udget</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u w:val="single"/>
                <w:lang w:val="fr-FR" w:eastAsia="en-US"/>
              </w:rPr>
            </w:pPr>
            <w:r w:rsidRPr="004E6476">
              <w:rPr>
                <w:rFonts w:eastAsia="Times New Roman"/>
                <w:bCs/>
                <w:sz w:val="16"/>
                <w:szCs w:val="16"/>
                <w:u w:val="single"/>
                <w:lang w:val="fr-FR" w:eastAsia="en-US"/>
              </w:rPr>
              <w:t>Voyages et bourses</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Évolution des dépenses par année</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Dépenses par rapport au budget</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u w:val="single"/>
                <w:lang w:val="fr-FR" w:eastAsia="en-US"/>
              </w:rPr>
            </w:pPr>
            <w:r w:rsidRPr="004E6476">
              <w:rPr>
                <w:rFonts w:eastAsia="Times New Roman"/>
                <w:bCs/>
                <w:sz w:val="16"/>
                <w:szCs w:val="16"/>
                <w:u w:val="single"/>
                <w:lang w:val="fr-FR" w:eastAsia="en-US"/>
              </w:rPr>
              <w:t>Services</w:t>
            </w:r>
            <w:r w:rsidR="00931854" w:rsidRPr="004E6476">
              <w:rPr>
                <w:rFonts w:eastAsia="Times New Roman"/>
                <w:bCs/>
                <w:sz w:val="16"/>
                <w:szCs w:val="16"/>
                <w:u w:val="single"/>
                <w:lang w:val="fr-FR" w:eastAsia="en-US"/>
              </w:rPr>
              <w:t xml:space="preserve"> contractuels</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Évolution des dépenses par année</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Dépenses par rapport au budget</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u w:val="single"/>
                <w:lang w:val="fr-FR" w:eastAsia="en-US"/>
              </w:rPr>
            </w:pPr>
            <w:r w:rsidRPr="004E6476">
              <w:rPr>
                <w:rFonts w:eastAsia="Times New Roman"/>
                <w:bCs/>
                <w:sz w:val="16"/>
                <w:szCs w:val="16"/>
                <w:u w:val="single"/>
                <w:lang w:val="fr-FR" w:eastAsia="en-US"/>
              </w:rPr>
              <w:t>Dépenses de fonctionnement</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Évolution des dépenses par année</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tabs>
                <w:tab w:val="left" w:pos="2331"/>
              </w:tabs>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Dépenses par rapport au budget</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u w:val="single"/>
                <w:lang w:val="fr-FR" w:eastAsia="en-US"/>
              </w:rPr>
            </w:pPr>
            <w:r w:rsidRPr="004E6476">
              <w:rPr>
                <w:rFonts w:eastAsia="Times New Roman"/>
                <w:bCs/>
                <w:sz w:val="16"/>
                <w:szCs w:val="16"/>
                <w:u w:val="single"/>
                <w:lang w:val="fr-FR" w:eastAsia="en-US"/>
              </w:rPr>
              <w:t>Matériel et fournitures</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Évolution des dépenses par année</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Dépenses par rapport au budget</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DC014C" w:rsidRPr="004E6476" w:rsidTr="00387092">
        <w:trPr>
          <w:cantSplit/>
        </w:trPr>
        <w:tc>
          <w:tcPr>
            <w:tcW w:w="1138" w:type="pct"/>
            <w:tcBorders>
              <w:left w:val="nil"/>
            </w:tcBorders>
          </w:tcPr>
          <w:p w:rsidR="00DC014C" w:rsidRPr="004E6476" w:rsidRDefault="00DC014C" w:rsidP="009534A7">
            <w:pPr>
              <w:autoSpaceDE w:val="0"/>
              <w:autoSpaceDN w:val="0"/>
              <w:adjustRightInd w:val="0"/>
              <w:spacing w:before="60"/>
              <w:rPr>
                <w:rFonts w:eastAsia="Times New Roman"/>
                <w:b/>
                <w:bCs/>
                <w:sz w:val="16"/>
                <w:szCs w:val="16"/>
                <w:u w:val="single"/>
                <w:lang w:val="fr-FR" w:eastAsia="en-US"/>
              </w:rPr>
            </w:pPr>
          </w:p>
        </w:tc>
        <w:tc>
          <w:tcPr>
            <w:tcW w:w="529" w:type="pct"/>
            <w:shd w:val="clear" w:color="auto" w:fill="FFFFFF"/>
          </w:tcPr>
          <w:p w:rsidR="00DC014C" w:rsidRPr="004E6476" w:rsidRDefault="00DC014C"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DC014C" w:rsidRPr="004E6476" w:rsidRDefault="00DC014C"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DC014C" w:rsidRPr="004E6476" w:rsidRDefault="00DC014C"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DC014C" w:rsidRPr="004E6476" w:rsidRDefault="00DC014C"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DC014C" w:rsidRPr="004E6476" w:rsidRDefault="00DC014C"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31854" w:rsidP="009534A7">
            <w:pPr>
              <w:autoSpaceDE w:val="0"/>
              <w:autoSpaceDN w:val="0"/>
              <w:adjustRightInd w:val="0"/>
              <w:spacing w:before="60"/>
              <w:rPr>
                <w:rFonts w:eastAsia="Times New Roman"/>
                <w:b/>
                <w:bCs/>
                <w:sz w:val="16"/>
                <w:szCs w:val="16"/>
                <w:u w:val="single"/>
                <w:lang w:val="fr-FR" w:eastAsia="en-US"/>
              </w:rPr>
            </w:pPr>
            <w:r w:rsidRPr="004E6476">
              <w:rPr>
                <w:rFonts w:eastAsia="Times New Roman"/>
                <w:b/>
                <w:bCs/>
                <w:sz w:val="16"/>
                <w:szCs w:val="16"/>
                <w:u w:val="single"/>
                <w:lang w:val="fr-FR" w:eastAsia="en-US"/>
              </w:rPr>
              <w:t>Recettes</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Recettes</w:t>
            </w:r>
            <w:r w:rsidR="002B7D28" w:rsidRPr="004E6476">
              <w:rPr>
                <w:rFonts w:eastAsia="Times New Roman"/>
                <w:bCs/>
                <w:sz w:val="16"/>
                <w:szCs w:val="16"/>
                <w:lang w:val="fr-FR" w:eastAsia="en-US"/>
              </w:rPr>
              <w:t xml:space="preserve"> </w:t>
            </w:r>
          </w:p>
        </w:tc>
        <w:tc>
          <w:tcPr>
            <w:tcW w:w="701" w:type="pct"/>
            <w:shd w:val="clear" w:color="auto" w:fill="FDE9D9" w:themeFill="accent6" w:themeFillTint="33"/>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Utilisation des réserves</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FB7FE5" w:rsidRPr="004E6476" w:rsidRDefault="00FB7FE5" w:rsidP="009534A7">
            <w:pPr>
              <w:autoSpaceDE w:val="0"/>
              <w:autoSpaceDN w:val="0"/>
              <w:adjustRightInd w:val="0"/>
              <w:spacing w:before="60"/>
              <w:rPr>
                <w:rFonts w:eastAsia="Times New Roman"/>
                <w:bCs/>
                <w:sz w:val="16"/>
                <w:szCs w:val="16"/>
                <w:lang w:val="fr-FR" w:eastAsia="en-US"/>
              </w:rPr>
            </w:pPr>
          </w:p>
          <w:p w:rsidR="00477BAA"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Risques financiers</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FB7FE5" w:rsidRPr="004E6476" w:rsidRDefault="00FB7FE5" w:rsidP="009534A7">
            <w:pPr>
              <w:autoSpaceDE w:val="0"/>
              <w:autoSpaceDN w:val="0"/>
              <w:adjustRightInd w:val="0"/>
              <w:spacing w:before="60"/>
              <w:rPr>
                <w:rFonts w:eastAsia="Times New Roman"/>
                <w:bCs/>
                <w:sz w:val="16"/>
                <w:szCs w:val="16"/>
                <w:lang w:val="fr-FR" w:eastAsia="en-US"/>
              </w:rPr>
            </w:pPr>
          </w:p>
          <w:p w:rsidR="00477BAA"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Placements pour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w:t>
            </w:r>
            <w:r w:rsidR="001E6694" w:rsidRPr="004E6476">
              <w:rPr>
                <w:rFonts w:eastAsia="Times New Roman"/>
                <w:bCs/>
                <w:sz w:val="16"/>
                <w:szCs w:val="16"/>
                <w:lang w:val="fr-FR" w:eastAsia="en-US"/>
              </w:rPr>
              <w:t xml:space="preserve"> </w:t>
            </w:r>
            <w:r w:rsidRPr="004E6476">
              <w:rPr>
                <w:rFonts w:eastAsia="Times New Roman"/>
                <w:bCs/>
                <w:sz w:val="16"/>
                <w:szCs w:val="16"/>
                <w:lang w:val="fr-FR" w:eastAsia="en-US"/>
              </w:rPr>
              <w:t>biennal</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FB7FE5" w:rsidRPr="004E6476" w:rsidRDefault="00FB7FE5" w:rsidP="009534A7">
            <w:pPr>
              <w:autoSpaceDE w:val="0"/>
              <w:autoSpaceDN w:val="0"/>
              <w:adjustRightInd w:val="0"/>
              <w:spacing w:before="60"/>
              <w:rPr>
                <w:rFonts w:eastAsia="Times New Roman"/>
                <w:bCs/>
                <w:sz w:val="16"/>
                <w:szCs w:val="16"/>
                <w:lang w:val="fr-FR" w:eastAsia="en-US"/>
              </w:rPr>
            </w:pPr>
          </w:p>
          <w:p w:rsidR="001E6694"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Placements </w:t>
            </w:r>
            <w:r w:rsidR="001E6694" w:rsidRPr="004E6476">
              <w:rPr>
                <w:rFonts w:eastAsia="Times New Roman"/>
                <w:bCs/>
                <w:sz w:val="16"/>
                <w:szCs w:val="16"/>
                <w:lang w:val="fr-FR" w:eastAsia="en-US"/>
              </w:rPr>
              <w:t>(</w:t>
            </w:r>
            <w:r w:rsidRPr="004E6476">
              <w:rPr>
                <w:rFonts w:eastAsia="Times New Roman"/>
                <w:bCs/>
                <w:sz w:val="16"/>
                <w:szCs w:val="16"/>
                <w:lang w:val="fr-FR" w:eastAsia="en-US"/>
              </w:rPr>
              <w:t>chaque année de</w:t>
            </w:r>
            <w:r w:rsidR="001E6694" w:rsidRPr="004E6476">
              <w:rPr>
                <w:rFonts w:eastAsia="Times New Roman"/>
                <w:bCs/>
                <w:sz w:val="16"/>
                <w:szCs w:val="16"/>
                <w:lang w:val="fr-FR" w:eastAsia="en-US"/>
              </w:rPr>
              <w:t xml:space="preserve"> </w:t>
            </w:r>
            <w:r w:rsidRPr="004E6476">
              <w:rPr>
                <w:rFonts w:eastAsia="Times New Roman"/>
                <w:bCs/>
                <w:sz w:val="16"/>
                <w:szCs w:val="16"/>
                <w:lang w:val="fr-FR" w:eastAsia="en-US"/>
              </w:rPr>
              <w:t>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 examiné</w:t>
            </w:r>
            <w:r w:rsidR="001E6694" w:rsidRPr="004E6476">
              <w:rPr>
                <w:rFonts w:eastAsia="Times New Roman"/>
                <w:bCs/>
                <w:sz w:val="16"/>
                <w:szCs w:val="16"/>
                <w:lang w:val="fr-FR" w:eastAsia="en-US"/>
              </w:rPr>
              <w:t>)</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 la situation financière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 la performance financière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des variations des actifs nets</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des flux de trésorerie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État de comparaison des montants budgétaires et des montants réels </w:t>
            </w:r>
            <w:r w:rsidR="002B7D28" w:rsidRPr="004E6476">
              <w:rPr>
                <w:rFonts w:eastAsia="Times New Roman"/>
                <w:bCs/>
                <w:sz w:val="16"/>
                <w:szCs w:val="16"/>
                <w:lang w:val="fr-FR" w:eastAsia="en-US"/>
              </w:rPr>
              <w:t>– Re</w:t>
            </w:r>
            <w:r w:rsidRPr="004E6476">
              <w:rPr>
                <w:rFonts w:eastAsia="Times New Roman"/>
                <w:bCs/>
                <w:sz w:val="16"/>
                <w:szCs w:val="16"/>
                <w:lang w:val="fr-FR" w:eastAsia="en-US"/>
              </w:rPr>
              <w:t>cettes</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B65BFD"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État de comparaison des montants budgétaires et des montants réels </w:t>
            </w:r>
            <w:r w:rsidR="002B7D28" w:rsidRPr="004E6476">
              <w:rPr>
                <w:rFonts w:eastAsia="Times New Roman"/>
                <w:bCs/>
                <w:sz w:val="16"/>
                <w:szCs w:val="16"/>
                <w:lang w:val="fr-FR" w:eastAsia="en-US"/>
              </w:rPr>
              <w:t xml:space="preserve">– </w:t>
            </w:r>
            <w:proofErr w:type="gramStart"/>
            <w:r w:rsidRPr="004E6476">
              <w:rPr>
                <w:rFonts w:eastAsia="Times New Roman"/>
                <w:bCs/>
                <w:sz w:val="16"/>
                <w:szCs w:val="16"/>
                <w:lang w:val="fr-FR" w:eastAsia="en-US"/>
              </w:rPr>
              <w:t>Dé</w:t>
            </w:r>
            <w:r w:rsidR="002B7D28" w:rsidRPr="004E6476">
              <w:rPr>
                <w:rFonts w:eastAsia="Times New Roman"/>
                <w:bCs/>
                <w:sz w:val="16"/>
                <w:szCs w:val="16"/>
                <w:lang w:val="fr-FR" w:eastAsia="en-US"/>
              </w:rPr>
              <w:t>pense</w:t>
            </w:r>
            <w:r w:rsidR="005C591E" w:rsidRPr="004E6476">
              <w:rPr>
                <w:rFonts w:eastAsia="Times New Roman"/>
                <w:bCs/>
                <w:sz w:val="16"/>
                <w:szCs w:val="16"/>
                <w:lang w:val="fr-FR" w:eastAsia="en-US"/>
              </w:rPr>
              <w:t>s</w:t>
            </w:r>
            <w:proofErr w:type="gramEnd"/>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Analyse de l</w:t>
            </w:r>
            <w:r w:rsidR="00540C3E" w:rsidRPr="004E6476">
              <w:rPr>
                <w:rFonts w:eastAsia="Times New Roman"/>
                <w:bCs/>
                <w:sz w:val="16"/>
                <w:szCs w:val="16"/>
                <w:lang w:val="fr-FR" w:eastAsia="en-US"/>
              </w:rPr>
              <w:t>’</w:t>
            </w:r>
            <w:r w:rsidRPr="004E6476">
              <w:rPr>
                <w:rFonts w:eastAsia="Times New Roman"/>
                <w:bCs/>
                <w:sz w:val="16"/>
                <w:szCs w:val="16"/>
                <w:lang w:val="fr-FR" w:eastAsia="en-US"/>
              </w:rPr>
              <w:t>état de la situation financière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Analyse de l</w:t>
            </w:r>
            <w:r w:rsidR="00540C3E" w:rsidRPr="004E6476">
              <w:rPr>
                <w:rFonts w:eastAsia="Times New Roman"/>
                <w:bCs/>
                <w:sz w:val="16"/>
                <w:szCs w:val="16"/>
                <w:lang w:val="fr-FR" w:eastAsia="en-US"/>
              </w:rPr>
              <w:t>’</w:t>
            </w:r>
            <w:r w:rsidRPr="004E6476">
              <w:rPr>
                <w:rFonts w:eastAsia="Times New Roman"/>
                <w:bCs/>
                <w:sz w:val="16"/>
                <w:szCs w:val="16"/>
                <w:lang w:val="fr-FR" w:eastAsia="en-US"/>
              </w:rPr>
              <w:t>état de la performance financière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 la situation financière par u</w:t>
            </w:r>
            <w:r w:rsidR="002B7D28" w:rsidRPr="004E6476">
              <w:rPr>
                <w:rFonts w:eastAsia="Times New Roman"/>
                <w:bCs/>
                <w:sz w:val="16"/>
                <w:szCs w:val="16"/>
                <w:lang w:val="fr-FR" w:eastAsia="en-US"/>
              </w:rPr>
              <w:t>nit</w:t>
            </w:r>
            <w:r w:rsidRPr="004E6476">
              <w:rPr>
                <w:rFonts w:eastAsia="Times New Roman"/>
                <w:bCs/>
                <w:sz w:val="16"/>
                <w:szCs w:val="16"/>
                <w:lang w:val="fr-FR" w:eastAsia="en-US"/>
              </w:rPr>
              <w:t xml:space="preserve">é </w:t>
            </w:r>
            <w:r w:rsidR="00343333" w:rsidRPr="004E6476">
              <w:rPr>
                <w:rFonts w:eastAsia="Times New Roman"/>
                <w:bCs/>
                <w:sz w:val="16"/>
                <w:szCs w:val="16"/>
                <w:lang w:val="fr-FR" w:eastAsia="en-US"/>
              </w:rPr>
              <w:t>fonctionnelle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31854"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État de la performance financière par unité </w:t>
            </w:r>
            <w:r w:rsidR="00343333" w:rsidRPr="004E6476">
              <w:rPr>
                <w:rFonts w:eastAsia="Times New Roman"/>
                <w:bCs/>
                <w:sz w:val="16"/>
                <w:szCs w:val="16"/>
                <w:lang w:val="fr-FR" w:eastAsia="en-US"/>
              </w:rPr>
              <w:t>fonctionnelle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1E6694" w:rsidRPr="004E6476" w:rsidRDefault="002B7D28"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Contributions </w:t>
            </w:r>
            <w:r w:rsidR="00931854" w:rsidRPr="004E6476">
              <w:rPr>
                <w:rFonts w:eastAsia="Times New Roman"/>
                <w:bCs/>
                <w:sz w:val="16"/>
                <w:szCs w:val="16"/>
                <w:lang w:val="fr-FR" w:eastAsia="en-US"/>
              </w:rPr>
              <w:t>et fonds de roulement</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1E6694" w:rsidRPr="004E6476" w:rsidRDefault="009A1853" w:rsidP="009534A7">
            <w:pPr>
              <w:autoSpaceDE w:val="0"/>
              <w:autoSpaceDN w:val="0"/>
              <w:adjustRightInd w:val="0"/>
              <w:spacing w:before="60"/>
              <w:rPr>
                <w:rFonts w:eastAsia="Times New Roman"/>
                <w:bCs/>
                <w:sz w:val="16"/>
                <w:szCs w:val="16"/>
                <w:lang w:val="fr-FR" w:eastAsia="en-US"/>
              </w:rPr>
            </w:pPr>
            <w:r w:rsidRPr="004E6476">
              <w:rPr>
                <w:bCs/>
                <w:sz w:val="16"/>
                <w:szCs w:val="16"/>
                <w:lang w:val="fr-FR"/>
              </w:rPr>
              <w:t>Contributions selon le système de contribution unique</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1E6694" w:rsidRPr="004E6476" w:rsidRDefault="009A1853" w:rsidP="009534A7">
            <w:pPr>
              <w:autoSpaceDE w:val="0"/>
              <w:autoSpaceDN w:val="0"/>
              <w:adjustRightInd w:val="0"/>
              <w:spacing w:before="60"/>
              <w:rPr>
                <w:rFonts w:eastAsia="Times New Roman"/>
                <w:bCs/>
                <w:sz w:val="16"/>
                <w:szCs w:val="16"/>
                <w:lang w:val="fr-FR" w:eastAsia="en-US"/>
              </w:rPr>
            </w:pPr>
            <w:r w:rsidRPr="004E6476">
              <w:rPr>
                <w:bCs/>
                <w:sz w:val="16"/>
                <w:szCs w:val="16"/>
                <w:lang w:val="fr-FR"/>
              </w:rPr>
              <w:t>Contributions à recouvrer au 31 décembre</w:t>
            </w:r>
            <w:r w:rsidRPr="004E6476">
              <w:rPr>
                <w:rFonts w:eastAsia="Times New Roman"/>
                <w:bCs/>
                <w:sz w:val="16"/>
                <w:szCs w:val="16"/>
                <w:lang w:val="fr-FR" w:eastAsia="en-US"/>
              </w:rPr>
              <w:t xml:space="preserve"> </w:t>
            </w:r>
            <w:r w:rsidR="002B7D28" w:rsidRPr="004E6476">
              <w:rPr>
                <w:rFonts w:eastAsia="Times New Roman"/>
                <w:bCs/>
                <w:sz w:val="16"/>
                <w:szCs w:val="16"/>
                <w:lang w:val="fr-FR" w:eastAsia="en-US"/>
              </w:rPr>
              <w:t>(</w:t>
            </w:r>
            <w:r w:rsidRPr="004E6476">
              <w:rPr>
                <w:rFonts w:eastAsia="Times New Roman"/>
                <w:bCs/>
                <w:sz w:val="16"/>
                <w:szCs w:val="16"/>
                <w:lang w:val="fr-FR" w:eastAsia="en-US"/>
              </w:rPr>
              <w:t>fin de</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et</w:t>
            </w:r>
            <w:r w:rsidR="002B7D28" w:rsidRPr="004E6476">
              <w:rPr>
                <w:rFonts w:eastAsia="Times New Roman"/>
                <w:bCs/>
                <w:sz w:val="16"/>
                <w:szCs w:val="16"/>
                <w:lang w:val="fr-FR" w:eastAsia="en-US"/>
              </w:rPr>
              <w:t xml:space="preserve"> </w:t>
            </w:r>
            <w:r w:rsidRPr="004E6476">
              <w:rPr>
                <w:bCs/>
                <w:sz w:val="16"/>
                <w:szCs w:val="16"/>
                <w:lang w:val="fr-FR"/>
              </w:rPr>
              <w:t>arriérés de contributions des pays les moins avancés (PMA</w:t>
            </w:r>
            <w:r w:rsidR="002B7D28" w:rsidRPr="004E6476">
              <w:rPr>
                <w:rFonts w:eastAsia="Times New Roman"/>
                <w:bCs/>
                <w:sz w:val="16"/>
                <w:szCs w:val="16"/>
                <w:lang w:val="fr-FR" w:eastAsia="en-US"/>
              </w:rPr>
              <w:t xml:space="preserve">) </w:t>
            </w:r>
            <w:r w:rsidRPr="004E6476">
              <w:rPr>
                <w:bCs/>
                <w:sz w:val="16"/>
                <w:szCs w:val="16"/>
                <w:lang w:val="fr-FR"/>
              </w:rPr>
              <w:t>détenteurs d</w:t>
            </w:r>
            <w:r w:rsidR="00540C3E" w:rsidRPr="004E6476">
              <w:rPr>
                <w:bCs/>
                <w:sz w:val="16"/>
                <w:szCs w:val="16"/>
                <w:lang w:val="fr-FR"/>
              </w:rPr>
              <w:t>’</w:t>
            </w:r>
            <w:r w:rsidRPr="004E6476">
              <w:rPr>
                <w:bCs/>
                <w:sz w:val="16"/>
                <w:szCs w:val="16"/>
                <w:lang w:val="fr-FR"/>
              </w:rPr>
              <w:t>un compte spécial (gelé)</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1E6694" w:rsidRPr="004E6476" w:rsidRDefault="009A1853" w:rsidP="009534A7">
            <w:pPr>
              <w:autoSpaceDE w:val="0"/>
              <w:autoSpaceDN w:val="0"/>
              <w:adjustRightInd w:val="0"/>
              <w:spacing w:before="60"/>
              <w:rPr>
                <w:rFonts w:eastAsia="Times New Roman"/>
                <w:bCs/>
                <w:sz w:val="16"/>
                <w:szCs w:val="16"/>
                <w:lang w:val="fr-FR" w:eastAsia="en-US"/>
              </w:rPr>
            </w:pPr>
            <w:r w:rsidRPr="004E6476">
              <w:rPr>
                <w:bCs/>
                <w:sz w:val="16"/>
                <w:szCs w:val="16"/>
                <w:lang w:val="fr-FR"/>
              </w:rPr>
              <w:t>Contributions reçues d</w:t>
            </w:r>
            <w:r w:rsidR="00540C3E" w:rsidRPr="004E6476">
              <w:rPr>
                <w:bCs/>
                <w:sz w:val="16"/>
                <w:szCs w:val="16"/>
                <w:lang w:val="fr-FR"/>
              </w:rPr>
              <w:t>’</w:t>
            </w:r>
            <w:r w:rsidRPr="004E6476">
              <w:rPr>
                <w:bCs/>
                <w:sz w:val="16"/>
                <w:szCs w:val="16"/>
                <w:lang w:val="fr-FR"/>
              </w:rPr>
              <w:t>avance</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bCs/>
                <w:sz w:val="16"/>
                <w:szCs w:val="16"/>
                <w:lang w:val="fr-FR"/>
              </w:rPr>
              <w:t>Fonds de roulement au 3</w:t>
            </w:r>
            <w:r w:rsidR="00540C3E" w:rsidRPr="004E6476">
              <w:rPr>
                <w:bCs/>
                <w:sz w:val="16"/>
                <w:szCs w:val="16"/>
                <w:lang w:val="fr-FR"/>
              </w:rPr>
              <w:t>1 décembre</w:t>
            </w:r>
            <w:r w:rsidRPr="004E6476">
              <w:rPr>
                <w:sz w:val="16"/>
                <w:lang w:val="fr-FR"/>
              </w:rPr>
              <w:t xml:space="preserve"> </w:t>
            </w:r>
            <w:r w:rsidRPr="004E6476">
              <w:rPr>
                <w:rFonts w:eastAsia="Times New Roman"/>
                <w:bCs/>
                <w:sz w:val="16"/>
                <w:szCs w:val="16"/>
                <w:lang w:val="fr-FR" w:eastAsia="en-US"/>
              </w:rPr>
              <w:t>(fin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r w:rsidR="002B7D28" w:rsidRPr="004E6476">
              <w:rPr>
                <w:rFonts w:eastAsia="Times New Roman"/>
                <w:bCs/>
                <w:sz w:val="16"/>
                <w:szCs w:val="16"/>
                <w:lang w:val="fr-FR" w:eastAsia="en-US"/>
              </w:rPr>
              <w:t>)</w:t>
            </w: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DC014C">
            <w:pPr>
              <w:tabs>
                <w:tab w:val="center" w:leader="dot" w:pos="5670"/>
                <w:tab w:val="right" w:leader="dot" w:pos="7938"/>
                <w:tab w:val="right" w:pos="8222"/>
                <w:tab w:val="right" w:pos="8789"/>
              </w:tabs>
              <w:rPr>
                <w:rFonts w:eastAsia="Times New Roman"/>
                <w:bCs/>
                <w:sz w:val="16"/>
                <w:szCs w:val="16"/>
                <w:lang w:val="fr-FR" w:eastAsia="en-US"/>
              </w:rPr>
            </w:pPr>
            <w:r w:rsidRPr="004E6476">
              <w:rPr>
                <w:bCs/>
                <w:sz w:val="16"/>
                <w:szCs w:val="16"/>
                <w:lang w:val="fr-FR"/>
              </w:rPr>
              <w:t xml:space="preserve">Répartition Madrid et </w:t>
            </w:r>
            <w:r w:rsidR="00540C3E" w:rsidRPr="004E6476">
              <w:rPr>
                <w:bCs/>
                <w:sz w:val="16"/>
                <w:szCs w:val="16"/>
                <w:lang w:val="fr-FR"/>
              </w:rPr>
              <w:t>La Haye</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Union de Madrid</w:t>
            </w:r>
            <w:r w:rsidRPr="004E6476">
              <w:rPr>
                <w:sz w:val="20"/>
                <w:lang w:val="fr-FR"/>
              </w:rPr>
              <w:t xml:space="preserve"> </w:t>
            </w:r>
            <w:r w:rsidR="002B7D28" w:rsidRPr="004E6476">
              <w:rPr>
                <w:rFonts w:eastAsia="Times New Roman"/>
                <w:bCs/>
                <w:sz w:val="16"/>
                <w:szCs w:val="16"/>
                <w:lang w:val="fr-FR" w:eastAsia="en-US"/>
              </w:rPr>
              <w:t xml:space="preserve">– </w:t>
            </w:r>
            <w:r w:rsidRPr="004E6476">
              <w:rPr>
                <w:sz w:val="16"/>
                <w:szCs w:val="16"/>
                <w:lang w:val="fr-FR"/>
              </w:rPr>
              <w:t xml:space="preserve">Émoluments supplémentaires </w:t>
            </w:r>
            <w:r w:rsidRPr="004E6476">
              <w:rPr>
                <w:rFonts w:eastAsia="Times New Roman"/>
                <w:bCs/>
                <w:sz w:val="16"/>
                <w:szCs w:val="16"/>
                <w:lang w:val="fr-FR" w:eastAsia="en-US"/>
              </w:rPr>
              <w:t>–</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première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Madrid </w:t>
            </w:r>
            <w:r w:rsidR="002B7D28" w:rsidRPr="004E6476">
              <w:rPr>
                <w:rFonts w:eastAsia="Times New Roman"/>
                <w:bCs/>
                <w:sz w:val="16"/>
                <w:szCs w:val="16"/>
                <w:lang w:val="fr-FR" w:eastAsia="en-US"/>
              </w:rPr>
              <w:t xml:space="preserve">– </w:t>
            </w:r>
            <w:r w:rsidRPr="004E6476">
              <w:rPr>
                <w:sz w:val="16"/>
                <w:szCs w:val="16"/>
                <w:lang w:val="fr-FR"/>
              </w:rPr>
              <w:t>Compléments d</w:t>
            </w:r>
            <w:r w:rsidR="00540C3E" w:rsidRPr="004E6476">
              <w:rPr>
                <w:sz w:val="16"/>
                <w:szCs w:val="16"/>
                <w:lang w:val="fr-FR"/>
              </w:rPr>
              <w:t>’</w:t>
            </w:r>
            <w:r w:rsidRPr="004E6476">
              <w:rPr>
                <w:sz w:val="16"/>
                <w:szCs w:val="16"/>
                <w:lang w:val="fr-FR"/>
              </w:rPr>
              <w:t xml:space="preserve">émoluments </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première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Madrid </w:t>
            </w:r>
            <w:r w:rsidR="002B7D28" w:rsidRPr="004E6476">
              <w:rPr>
                <w:rFonts w:eastAsia="Times New Roman"/>
                <w:bCs/>
                <w:sz w:val="16"/>
                <w:szCs w:val="16"/>
                <w:lang w:val="fr-FR" w:eastAsia="en-US"/>
              </w:rPr>
              <w:t xml:space="preserve">– </w:t>
            </w:r>
            <w:r w:rsidRPr="004E6476">
              <w:rPr>
                <w:sz w:val="16"/>
                <w:szCs w:val="16"/>
                <w:lang w:val="fr-FR"/>
              </w:rPr>
              <w:t xml:space="preserve">Total des émoluments </w:t>
            </w:r>
            <w:r w:rsidR="00387092" w:rsidRPr="004E6476">
              <w:rPr>
                <w:sz w:val="16"/>
                <w:szCs w:val="16"/>
                <w:lang w:val="fr-FR"/>
              </w:rPr>
              <w:t>–</w:t>
            </w:r>
            <w:r w:rsidR="002B7D28" w:rsidRPr="004E6476">
              <w:rPr>
                <w:sz w:val="16"/>
                <w:lang w:val="fr-FR"/>
              </w:rPr>
              <w:t xml:space="preserve"> </w:t>
            </w:r>
            <w:r w:rsidRPr="004E6476">
              <w:rPr>
                <w:rFonts w:eastAsia="Times New Roman"/>
                <w:bCs/>
                <w:sz w:val="16"/>
                <w:szCs w:val="16"/>
                <w:lang w:val="fr-FR" w:eastAsia="en-US"/>
              </w:rPr>
              <w:t>première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Madrid </w:t>
            </w:r>
            <w:r w:rsidR="002B7D28" w:rsidRPr="004E6476">
              <w:rPr>
                <w:rFonts w:eastAsia="Times New Roman"/>
                <w:bCs/>
                <w:sz w:val="16"/>
                <w:szCs w:val="16"/>
                <w:lang w:val="fr-FR" w:eastAsia="en-US"/>
              </w:rPr>
              <w:t xml:space="preserve">– </w:t>
            </w:r>
            <w:r w:rsidRPr="004E6476">
              <w:rPr>
                <w:sz w:val="16"/>
                <w:szCs w:val="16"/>
                <w:lang w:val="fr-FR"/>
              </w:rPr>
              <w:t xml:space="preserve">Émoluments supplémentaires </w:t>
            </w:r>
            <w:r w:rsidR="00387092" w:rsidRPr="004E6476">
              <w:rPr>
                <w:sz w:val="16"/>
                <w:szCs w:val="16"/>
                <w:lang w:val="fr-FR"/>
              </w:rPr>
              <w:t>–</w:t>
            </w:r>
            <w:r w:rsidR="002B7D28" w:rsidRPr="004E6476">
              <w:rPr>
                <w:sz w:val="16"/>
                <w:lang w:val="fr-FR"/>
              </w:rPr>
              <w:t xml:space="preserve"> </w:t>
            </w:r>
            <w:r w:rsidRPr="004E6476">
              <w:rPr>
                <w:rFonts w:eastAsia="Times New Roman"/>
                <w:bCs/>
                <w:sz w:val="16"/>
                <w:szCs w:val="16"/>
                <w:lang w:val="fr-FR" w:eastAsia="en-US"/>
              </w:rPr>
              <w:t>deuxième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Madrid </w:t>
            </w:r>
            <w:r w:rsidR="002B7D28" w:rsidRPr="004E6476">
              <w:rPr>
                <w:rFonts w:eastAsia="Times New Roman"/>
                <w:bCs/>
                <w:sz w:val="16"/>
                <w:szCs w:val="16"/>
                <w:lang w:val="fr-FR" w:eastAsia="en-US"/>
              </w:rPr>
              <w:t xml:space="preserve">– </w:t>
            </w:r>
            <w:r w:rsidRPr="004E6476">
              <w:rPr>
                <w:sz w:val="16"/>
                <w:szCs w:val="16"/>
                <w:lang w:val="fr-FR"/>
              </w:rPr>
              <w:t>Compléments d</w:t>
            </w:r>
            <w:r w:rsidR="00540C3E" w:rsidRPr="004E6476">
              <w:rPr>
                <w:sz w:val="16"/>
                <w:szCs w:val="16"/>
                <w:lang w:val="fr-FR"/>
              </w:rPr>
              <w:t>’</w:t>
            </w:r>
            <w:r w:rsidRPr="004E6476">
              <w:rPr>
                <w:sz w:val="16"/>
                <w:szCs w:val="16"/>
                <w:lang w:val="fr-FR"/>
              </w:rPr>
              <w:t>émoluments</w:t>
            </w:r>
            <w:r w:rsidRPr="004E6476">
              <w:rPr>
                <w:rFonts w:eastAsia="Times New Roman"/>
                <w:bCs/>
                <w:sz w:val="16"/>
                <w:szCs w:val="16"/>
                <w:lang w:val="fr-FR" w:eastAsia="en-US"/>
              </w:rPr>
              <w:t xml:space="preserve"> </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deuxième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Madrid </w:t>
            </w:r>
            <w:r w:rsidR="002B7D28" w:rsidRPr="004E6476">
              <w:rPr>
                <w:rFonts w:eastAsia="Times New Roman"/>
                <w:bCs/>
                <w:sz w:val="16"/>
                <w:szCs w:val="16"/>
                <w:lang w:val="fr-FR" w:eastAsia="en-US"/>
              </w:rPr>
              <w:t xml:space="preserve">– </w:t>
            </w:r>
            <w:r w:rsidRPr="004E6476">
              <w:rPr>
                <w:sz w:val="16"/>
                <w:szCs w:val="16"/>
                <w:lang w:val="fr-FR"/>
              </w:rPr>
              <w:t xml:space="preserve">Total des émoluments </w:t>
            </w:r>
            <w:r w:rsidR="00387092" w:rsidRPr="004E6476">
              <w:rPr>
                <w:sz w:val="16"/>
                <w:szCs w:val="16"/>
                <w:lang w:val="fr-FR"/>
              </w:rPr>
              <w:t>–</w:t>
            </w:r>
            <w:r w:rsidR="002B7D28" w:rsidRPr="004E6476">
              <w:rPr>
                <w:sz w:val="16"/>
                <w:lang w:val="fr-FR"/>
              </w:rPr>
              <w:t xml:space="preserve"> </w:t>
            </w:r>
            <w:r w:rsidRPr="004E6476">
              <w:rPr>
                <w:rFonts w:eastAsia="Times New Roman"/>
                <w:bCs/>
                <w:sz w:val="16"/>
                <w:szCs w:val="16"/>
                <w:lang w:val="fr-FR" w:eastAsia="en-US"/>
              </w:rPr>
              <w:t>deuxième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Protocole relatif à l</w:t>
            </w:r>
            <w:r w:rsidR="00540C3E" w:rsidRPr="004E6476">
              <w:rPr>
                <w:sz w:val="16"/>
                <w:szCs w:val="16"/>
                <w:lang w:val="fr-FR"/>
              </w:rPr>
              <w:t>’</w:t>
            </w:r>
            <w:r w:rsidRPr="004E6476">
              <w:rPr>
                <w:sz w:val="16"/>
                <w:szCs w:val="16"/>
                <w:lang w:val="fr-FR"/>
              </w:rPr>
              <w:t xml:space="preserve">Arrangement de Madrid </w:t>
            </w:r>
            <w:r w:rsidR="002B7D28" w:rsidRPr="004E6476">
              <w:rPr>
                <w:rFonts w:eastAsia="Times New Roman"/>
                <w:bCs/>
                <w:sz w:val="16"/>
                <w:szCs w:val="16"/>
                <w:lang w:val="fr-FR" w:eastAsia="en-US"/>
              </w:rPr>
              <w:t xml:space="preserve">– </w:t>
            </w:r>
            <w:r w:rsidRPr="004E6476">
              <w:rPr>
                <w:sz w:val="16"/>
                <w:szCs w:val="16"/>
                <w:lang w:val="fr-FR"/>
              </w:rPr>
              <w:t xml:space="preserve">Taxes individuelles </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première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Protocole relatif à l</w:t>
            </w:r>
            <w:r w:rsidR="00540C3E" w:rsidRPr="004E6476">
              <w:rPr>
                <w:sz w:val="16"/>
                <w:szCs w:val="16"/>
                <w:lang w:val="fr-FR"/>
              </w:rPr>
              <w:t>’</w:t>
            </w:r>
            <w:r w:rsidRPr="004E6476">
              <w:rPr>
                <w:sz w:val="16"/>
                <w:szCs w:val="16"/>
                <w:lang w:val="fr-FR"/>
              </w:rPr>
              <w:t xml:space="preserve">Arrangement de Madrid </w:t>
            </w:r>
            <w:r w:rsidRPr="004E6476">
              <w:rPr>
                <w:rFonts w:eastAsia="Times New Roman"/>
                <w:bCs/>
                <w:sz w:val="16"/>
                <w:szCs w:val="16"/>
                <w:lang w:val="fr-FR" w:eastAsia="en-US"/>
              </w:rPr>
              <w:t xml:space="preserve">– </w:t>
            </w:r>
            <w:r w:rsidRPr="004E6476">
              <w:rPr>
                <w:sz w:val="16"/>
                <w:szCs w:val="16"/>
                <w:lang w:val="fr-FR"/>
              </w:rPr>
              <w:t xml:space="preserve">Taxes individuelles </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deuxième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Madrid </w:t>
            </w:r>
            <w:r w:rsidR="002B7D28" w:rsidRPr="004E6476">
              <w:rPr>
                <w:rFonts w:eastAsia="Times New Roman"/>
                <w:bCs/>
                <w:sz w:val="16"/>
                <w:szCs w:val="16"/>
                <w:lang w:val="fr-FR" w:eastAsia="en-US"/>
              </w:rPr>
              <w:t xml:space="preserve">– </w:t>
            </w:r>
            <w:r w:rsidRPr="004E6476">
              <w:rPr>
                <w:bCs/>
                <w:sz w:val="16"/>
                <w:szCs w:val="16"/>
                <w:lang w:val="fr-FR"/>
              </w:rPr>
              <w:t>Paiement effectué selon la règle</w:t>
            </w:r>
            <w:r w:rsidR="000007E7" w:rsidRPr="004E6476">
              <w:rPr>
                <w:bCs/>
                <w:sz w:val="16"/>
                <w:szCs w:val="16"/>
                <w:lang w:val="fr-FR"/>
              </w:rPr>
              <w:t> </w:t>
            </w:r>
            <w:r w:rsidRPr="004E6476">
              <w:rPr>
                <w:bCs/>
                <w:sz w:val="16"/>
                <w:szCs w:val="16"/>
                <w:lang w:val="fr-FR"/>
              </w:rPr>
              <w:t xml:space="preserve">39 du </w:t>
            </w:r>
            <w:r w:rsidR="000007E7" w:rsidRPr="004E6476">
              <w:rPr>
                <w:bCs/>
                <w:sz w:val="16"/>
                <w:szCs w:val="16"/>
                <w:lang w:val="fr-FR"/>
              </w:rPr>
              <w:t>Règlement</w:t>
            </w:r>
            <w:r w:rsidRPr="004E6476">
              <w:rPr>
                <w:bCs/>
                <w:sz w:val="16"/>
                <w:szCs w:val="16"/>
                <w:lang w:val="fr-FR"/>
              </w:rPr>
              <w:t xml:space="preserve"> d</w:t>
            </w:r>
            <w:r w:rsidR="00540C3E" w:rsidRPr="004E6476">
              <w:rPr>
                <w:bCs/>
                <w:sz w:val="16"/>
                <w:szCs w:val="16"/>
                <w:lang w:val="fr-FR"/>
              </w:rPr>
              <w:t>’</w:t>
            </w:r>
            <w:r w:rsidRPr="004E6476">
              <w:rPr>
                <w:bCs/>
                <w:sz w:val="16"/>
                <w:szCs w:val="16"/>
                <w:lang w:val="fr-FR"/>
              </w:rPr>
              <w:t>exécution commun</w:t>
            </w:r>
            <w:r w:rsidRPr="004E6476">
              <w:rPr>
                <w:rFonts w:eastAsia="Times New Roman"/>
                <w:bCs/>
                <w:sz w:val="16"/>
                <w:szCs w:val="16"/>
                <w:lang w:val="fr-FR" w:eastAsia="en-US"/>
              </w:rPr>
              <w:t xml:space="preserve"> </w:t>
            </w:r>
            <w:r w:rsidRPr="004E6476">
              <w:rPr>
                <w:bCs/>
                <w:sz w:val="16"/>
                <w:szCs w:val="16"/>
                <w:lang w:val="fr-FR"/>
              </w:rPr>
              <w:t>à l</w:t>
            </w:r>
            <w:r w:rsidR="00540C3E" w:rsidRPr="004E6476">
              <w:rPr>
                <w:bCs/>
                <w:sz w:val="16"/>
                <w:szCs w:val="16"/>
                <w:lang w:val="fr-FR"/>
              </w:rPr>
              <w:t>’</w:t>
            </w:r>
            <w:r w:rsidRPr="004E6476">
              <w:rPr>
                <w:bCs/>
                <w:sz w:val="16"/>
                <w:szCs w:val="16"/>
                <w:lang w:val="fr-FR"/>
              </w:rPr>
              <w:t xml:space="preserve">Arrangement de Madrid et au </w:t>
            </w:r>
            <w:r w:rsidRPr="004E6476">
              <w:rPr>
                <w:sz w:val="16"/>
                <w:szCs w:val="16"/>
                <w:lang w:val="fr-FR"/>
              </w:rPr>
              <w:t>Protocole</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w:t>
            </w:r>
            <w:r w:rsidR="00540C3E" w:rsidRPr="004E6476">
              <w:rPr>
                <w:sz w:val="16"/>
                <w:szCs w:val="16"/>
                <w:lang w:val="fr-FR"/>
              </w:rPr>
              <w:t>La Haye</w:t>
            </w:r>
            <w:r w:rsidRPr="004E6476">
              <w:rPr>
                <w:sz w:val="16"/>
                <w:szCs w:val="16"/>
                <w:lang w:val="fr-FR"/>
              </w:rPr>
              <w:t xml:space="preserve"> </w:t>
            </w:r>
            <w:r w:rsidR="002B7D28" w:rsidRPr="004E6476">
              <w:rPr>
                <w:rFonts w:eastAsia="Times New Roman"/>
                <w:bCs/>
                <w:sz w:val="16"/>
                <w:szCs w:val="16"/>
                <w:lang w:val="fr-FR" w:eastAsia="en-US"/>
              </w:rPr>
              <w:t xml:space="preserve">– </w:t>
            </w:r>
            <w:r w:rsidRPr="004E6476">
              <w:rPr>
                <w:sz w:val="16"/>
                <w:szCs w:val="16"/>
                <w:lang w:val="fr-FR"/>
              </w:rPr>
              <w:t xml:space="preserve">Taxes étatiques et taxes de désignation </w:t>
            </w:r>
            <w:r w:rsidR="00387092" w:rsidRPr="004E6476">
              <w:rPr>
                <w:sz w:val="16"/>
                <w:szCs w:val="16"/>
                <w:lang w:val="fr-FR"/>
              </w:rPr>
              <w:t>–</w:t>
            </w:r>
            <w:r w:rsidR="002B7D28" w:rsidRPr="004E6476">
              <w:rPr>
                <w:sz w:val="16"/>
                <w:lang w:val="fr-FR"/>
              </w:rPr>
              <w:t xml:space="preserve"> </w:t>
            </w:r>
            <w:r w:rsidRPr="004E6476">
              <w:rPr>
                <w:rFonts w:eastAsia="Times New Roman"/>
                <w:bCs/>
                <w:sz w:val="16"/>
                <w:szCs w:val="16"/>
                <w:lang w:val="fr-FR" w:eastAsia="en-US"/>
              </w:rPr>
              <w:t>première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 xml:space="preserve">Union de </w:t>
            </w:r>
            <w:r w:rsidR="00540C3E" w:rsidRPr="004E6476">
              <w:rPr>
                <w:sz w:val="16"/>
                <w:szCs w:val="16"/>
                <w:lang w:val="fr-FR"/>
              </w:rPr>
              <w:t>La Haye</w:t>
            </w:r>
            <w:r w:rsidRPr="004E6476">
              <w:rPr>
                <w:sz w:val="16"/>
                <w:szCs w:val="16"/>
                <w:lang w:val="fr-FR"/>
              </w:rPr>
              <w:t xml:space="preserve"> </w:t>
            </w:r>
            <w:r w:rsidR="002B7D28" w:rsidRPr="004E6476">
              <w:rPr>
                <w:rFonts w:eastAsia="Times New Roman"/>
                <w:bCs/>
                <w:sz w:val="16"/>
                <w:szCs w:val="16"/>
                <w:lang w:val="fr-FR" w:eastAsia="en-US"/>
              </w:rPr>
              <w:t xml:space="preserve">– </w:t>
            </w:r>
            <w:r w:rsidRPr="004E6476">
              <w:rPr>
                <w:sz w:val="16"/>
                <w:szCs w:val="16"/>
                <w:lang w:val="fr-FR"/>
              </w:rPr>
              <w:t>Taxes étatiques et taxes de désignation</w:t>
            </w:r>
            <w:r w:rsidR="002B7D28" w:rsidRPr="004E6476">
              <w:rPr>
                <w:rFonts w:eastAsia="Times New Roman"/>
                <w:bCs/>
                <w:sz w:val="16"/>
                <w:szCs w:val="16"/>
                <w:lang w:val="fr-FR" w:eastAsia="en-US"/>
              </w:rPr>
              <w:t xml:space="preserve"> – </w:t>
            </w:r>
            <w:r w:rsidRPr="004E6476">
              <w:rPr>
                <w:rFonts w:eastAsia="Times New Roman"/>
                <w:bCs/>
                <w:sz w:val="16"/>
                <w:szCs w:val="16"/>
                <w:lang w:val="fr-FR" w:eastAsia="en-US"/>
              </w:rPr>
              <w:t>deuxième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Union</w:t>
            </w:r>
            <w:r w:rsidR="009F5FAD" w:rsidRPr="004E6476">
              <w:rPr>
                <w:sz w:val="16"/>
                <w:szCs w:val="16"/>
                <w:lang w:val="fr-FR"/>
              </w:rPr>
              <w:t>s</w:t>
            </w:r>
            <w:r w:rsidRPr="004E6476">
              <w:rPr>
                <w:sz w:val="16"/>
                <w:szCs w:val="16"/>
                <w:lang w:val="fr-FR"/>
              </w:rPr>
              <w:t xml:space="preserve"> de Madrid et de </w:t>
            </w:r>
            <w:r w:rsidR="00540C3E" w:rsidRPr="004E6476">
              <w:rPr>
                <w:sz w:val="16"/>
                <w:szCs w:val="16"/>
                <w:lang w:val="fr-FR"/>
              </w:rPr>
              <w:t>La Haye</w:t>
            </w:r>
            <w:r w:rsidRPr="004E6476">
              <w:rPr>
                <w:sz w:val="16"/>
                <w:szCs w:val="16"/>
                <w:lang w:val="fr-FR"/>
              </w:rPr>
              <w:t xml:space="preserve"> </w:t>
            </w:r>
            <w:r w:rsidR="002B7D28" w:rsidRPr="004E6476">
              <w:rPr>
                <w:rFonts w:eastAsia="Times New Roman"/>
                <w:bCs/>
                <w:sz w:val="16"/>
                <w:szCs w:val="16"/>
                <w:lang w:val="fr-FR" w:eastAsia="en-US"/>
              </w:rPr>
              <w:t xml:space="preserve">– </w:t>
            </w:r>
            <w:r w:rsidRPr="004E6476">
              <w:rPr>
                <w:sz w:val="16"/>
                <w:szCs w:val="16"/>
                <w:lang w:val="fr-FR"/>
              </w:rPr>
              <w:t xml:space="preserve">Répartition </w:t>
            </w:r>
            <w:r w:rsidRPr="004E6476">
              <w:rPr>
                <w:rFonts w:eastAsia="Times New Roman"/>
                <w:bCs/>
                <w:sz w:val="16"/>
                <w:szCs w:val="16"/>
                <w:lang w:val="fr-FR" w:eastAsia="en-US"/>
              </w:rPr>
              <w:t>première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Union</w:t>
            </w:r>
            <w:r w:rsidR="009F5FAD" w:rsidRPr="004E6476">
              <w:rPr>
                <w:sz w:val="16"/>
                <w:szCs w:val="16"/>
                <w:lang w:val="fr-FR"/>
              </w:rPr>
              <w:t>s</w:t>
            </w:r>
            <w:r w:rsidRPr="004E6476">
              <w:rPr>
                <w:sz w:val="16"/>
                <w:szCs w:val="16"/>
                <w:lang w:val="fr-FR"/>
              </w:rPr>
              <w:t xml:space="preserve"> de Madrid et de </w:t>
            </w:r>
            <w:r w:rsidR="00540C3E" w:rsidRPr="004E6476">
              <w:rPr>
                <w:sz w:val="16"/>
                <w:szCs w:val="16"/>
                <w:lang w:val="fr-FR"/>
              </w:rPr>
              <w:t>La Haye</w:t>
            </w:r>
            <w:r w:rsidRPr="004E6476">
              <w:rPr>
                <w:sz w:val="16"/>
                <w:szCs w:val="16"/>
                <w:lang w:val="fr-FR"/>
              </w:rPr>
              <w:t xml:space="preserve"> </w:t>
            </w:r>
            <w:r w:rsidR="002B7D28" w:rsidRPr="004E6476">
              <w:rPr>
                <w:rFonts w:eastAsia="Times New Roman"/>
                <w:bCs/>
                <w:sz w:val="16"/>
                <w:szCs w:val="16"/>
                <w:lang w:val="fr-FR" w:eastAsia="en-US"/>
              </w:rPr>
              <w:t xml:space="preserve">– </w:t>
            </w:r>
            <w:r w:rsidRPr="004E6476">
              <w:rPr>
                <w:sz w:val="16"/>
                <w:szCs w:val="16"/>
                <w:lang w:val="fr-FR"/>
              </w:rPr>
              <w:t xml:space="preserve">Répartition </w:t>
            </w:r>
            <w:r w:rsidRPr="004E6476">
              <w:rPr>
                <w:rFonts w:eastAsia="Times New Roman"/>
                <w:bCs/>
                <w:sz w:val="16"/>
                <w:szCs w:val="16"/>
                <w:lang w:val="fr-FR" w:eastAsia="en-US"/>
              </w:rPr>
              <w:t>deuxième année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9A1853" w:rsidP="009534A7">
            <w:pPr>
              <w:autoSpaceDE w:val="0"/>
              <w:autoSpaceDN w:val="0"/>
              <w:adjustRightInd w:val="0"/>
              <w:spacing w:before="60"/>
              <w:rPr>
                <w:rFonts w:eastAsia="Times New Roman"/>
                <w:bCs/>
                <w:sz w:val="16"/>
                <w:szCs w:val="16"/>
                <w:lang w:val="fr-FR" w:eastAsia="en-US"/>
              </w:rPr>
            </w:pPr>
            <w:r w:rsidRPr="004E6476">
              <w:rPr>
                <w:sz w:val="16"/>
                <w:szCs w:val="16"/>
                <w:lang w:val="fr-FR"/>
              </w:rPr>
              <w:t>Union</w:t>
            </w:r>
            <w:r w:rsidR="009F5FAD" w:rsidRPr="004E6476">
              <w:rPr>
                <w:sz w:val="16"/>
                <w:szCs w:val="16"/>
                <w:lang w:val="fr-FR"/>
              </w:rPr>
              <w:t>s</w:t>
            </w:r>
            <w:r w:rsidRPr="004E6476">
              <w:rPr>
                <w:sz w:val="16"/>
                <w:szCs w:val="16"/>
                <w:lang w:val="fr-FR"/>
              </w:rPr>
              <w:t xml:space="preserve"> de Madrid et de </w:t>
            </w:r>
            <w:r w:rsidR="00540C3E" w:rsidRPr="004E6476">
              <w:rPr>
                <w:sz w:val="16"/>
                <w:szCs w:val="16"/>
                <w:lang w:val="fr-FR"/>
              </w:rPr>
              <w:t>La Haye</w:t>
            </w:r>
            <w:r w:rsidRPr="004E6476">
              <w:rPr>
                <w:sz w:val="16"/>
                <w:szCs w:val="16"/>
                <w:lang w:val="fr-FR"/>
              </w:rPr>
              <w:t xml:space="preserve"> </w:t>
            </w:r>
            <w:r w:rsidR="002B7D28" w:rsidRPr="004E6476">
              <w:rPr>
                <w:rFonts w:eastAsia="Times New Roman"/>
                <w:bCs/>
                <w:sz w:val="16"/>
                <w:szCs w:val="16"/>
                <w:lang w:val="fr-FR" w:eastAsia="en-US"/>
              </w:rPr>
              <w:t>– R</w:t>
            </w:r>
            <w:r w:rsidRPr="004E6476">
              <w:rPr>
                <w:rFonts w:eastAsia="Times New Roman"/>
                <w:bCs/>
                <w:sz w:val="16"/>
                <w:szCs w:val="16"/>
                <w:lang w:val="fr-FR" w:eastAsia="en-US"/>
              </w:rPr>
              <w:t>éc</w:t>
            </w:r>
            <w:r w:rsidR="002B7D28" w:rsidRPr="004E6476">
              <w:rPr>
                <w:rFonts w:eastAsia="Times New Roman"/>
                <w:bCs/>
                <w:sz w:val="16"/>
                <w:szCs w:val="16"/>
                <w:lang w:val="fr-FR" w:eastAsia="en-US"/>
              </w:rPr>
              <w:t>apitulation (</w:t>
            </w:r>
            <w:r w:rsidR="009F5FAD" w:rsidRPr="004E6476">
              <w:rPr>
                <w:rFonts w:eastAsia="Times New Roman"/>
                <w:bCs/>
                <w:sz w:val="16"/>
                <w:szCs w:val="16"/>
                <w:lang w:val="fr-FR" w:eastAsia="en-US"/>
              </w:rPr>
              <w:t>exercice biennal</w:t>
            </w:r>
            <w:r w:rsidR="002B7D28" w:rsidRPr="004E6476">
              <w:rPr>
                <w:rFonts w:eastAsia="Times New Roman"/>
                <w:bCs/>
                <w:sz w:val="16"/>
                <w:szCs w:val="16"/>
                <w:lang w:val="fr-FR" w:eastAsia="en-US"/>
              </w:rPr>
              <w:t>)</w:t>
            </w: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9F5FAD" w:rsidP="009534A7">
            <w:pPr>
              <w:autoSpaceDE w:val="0"/>
              <w:autoSpaceDN w:val="0"/>
              <w:adjustRightInd w:val="0"/>
              <w:spacing w:before="60"/>
              <w:rPr>
                <w:rFonts w:eastAsia="Times New Roman"/>
                <w:bCs/>
                <w:sz w:val="16"/>
                <w:szCs w:val="16"/>
                <w:lang w:val="fr-FR" w:eastAsia="en-US"/>
              </w:rPr>
            </w:pPr>
            <w:r w:rsidRPr="004E6476">
              <w:rPr>
                <w:sz w:val="16"/>
                <w:szCs w:val="16"/>
                <w:lang w:val="fr-FR"/>
              </w:rPr>
              <w:t>Fonds fiduciaire</w:t>
            </w: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9F5FAD"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Résumé des réalisations pendant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9F5FAD"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Exécution du programme, par </w:t>
            </w:r>
            <w:r w:rsidR="002B7D28" w:rsidRPr="004E6476">
              <w:rPr>
                <w:rFonts w:eastAsia="Times New Roman"/>
                <w:bCs/>
                <w:sz w:val="16"/>
                <w:szCs w:val="16"/>
                <w:lang w:val="fr-FR" w:eastAsia="en-US"/>
              </w:rPr>
              <w:t>program</w:t>
            </w:r>
            <w:r w:rsidRPr="004E6476">
              <w:rPr>
                <w:rFonts w:eastAsia="Times New Roman"/>
                <w:bCs/>
                <w:sz w:val="16"/>
                <w:szCs w:val="16"/>
                <w:lang w:val="fr-FR" w:eastAsia="en-US"/>
              </w:rPr>
              <w:t>me, pour</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9F5FAD"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Dépenses liées aux activités de</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dé</w:t>
            </w:r>
            <w:r w:rsidR="002B7D28" w:rsidRPr="004E6476">
              <w:rPr>
                <w:rFonts w:eastAsia="Times New Roman"/>
                <w:bCs/>
                <w:sz w:val="16"/>
                <w:szCs w:val="16"/>
                <w:lang w:val="fr-FR" w:eastAsia="en-US"/>
              </w:rPr>
              <w:t>velop</w:t>
            </w:r>
            <w:r w:rsidRPr="004E6476">
              <w:rPr>
                <w:rFonts w:eastAsia="Times New Roman"/>
                <w:bCs/>
                <w:sz w:val="16"/>
                <w:szCs w:val="16"/>
                <w:lang w:val="fr-FR" w:eastAsia="en-US"/>
              </w:rPr>
              <w:t>pe</w:t>
            </w:r>
            <w:r w:rsidR="002B7D28" w:rsidRPr="004E6476">
              <w:rPr>
                <w:rFonts w:eastAsia="Times New Roman"/>
                <w:bCs/>
                <w:sz w:val="16"/>
                <w:szCs w:val="16"/>
                <w:lang w:val="fr-FR" w:eastAsia="en-US"/>
              </w:rPr>
              <w:t xml:space="preserve">ment </w:t>
            </w: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833" w:type="pct"/>
            <w:shd w:val="clear" w:color="auto" w:fill="FFFFFF"/>
          </w:tcPr>
          <w:p w:rsidR="002B7D28" w:rsidRPr="004E6476" w:rsidRDefault="009F5FAD" w:rsidP="009534A7">
            <w:pPr>
              <w:autoSpaceDE w:val="0"/>
              <w:autoSpaceDN w:val="0"/>
              <w:adjustRightInd w:val="0"/>
              <w:spacing w:before="60"/>
              <w:rPr>
                <w:rFonts w:eastAsia="Times New Roman"/>
                <w:bCs/>
                <w:sz w:val="16"/>
                <w:szCs w:val="16"/>
                <w:lang w:val="fr-FR" w:eastAsia="en-US"/>
              </w:rPr>
            </w:pPr>
            <w:r w:rsidRPr="004E6476">
              <w:rPr>
                <w:sz w:val="16"/>
                <w:szCs w:val="16"/>
                <w:lang w:val="fr-FR"/>
              </w:rPr>
              <w:t>Mise en œuvre du Fonds fiduciaire</w:t>
            </w:r>
            <w:r w:rsidRPr="004E6476">
              <w:rPr>
                <w:rFonts w:eastAsia="Times New Roman"/>
                <w:bCs/>
                <w:sz w:val="16"/>
                <w:szCs w:val="16"/>
                <w:lang w:val="fr-FR" w:eastAsia="en-US"/>
              </w:rPr>
              <w:t xml:space="preserve"> </w:t>
            </w:r>
            <w:r w:rsidR="002B7D28" w:rsidRPr="004E6476">
              <w:rPr>
                <w:rFonts w:eastAsia="Times New Roman"/>
                <w:bCs/>
                <w:sz w:val="16"/>
                <w:szCs w:val="16"/>
                <w:lang w:val="fr-FR" w:eastAsia="en-US"/>
              </w:rPr>
              <w:t>(</w:t>
            </w:r>
            <w:r w:rsidRPr="004E6476">
              <w:rPr>
                <w:rFonts w:eastAsia="Times New Roman"/>
                <w:bCs/>
                <w:sz w:val="16"/>
                <w:szCs w:val="16"/>
                <w:lang w:val="fr-FR" w:eastAsia="en-US"/>
              </w:rPr>
              <w:t>fin de l</w:t>
            </w:r>
            <w:r w:rsidR="00540C3E" w:rsidRPr="004E6476">
              <w:rPr>
                <w:rFonts w:eastAsia="Times New Roman"/>
                <w:bCs/>
                <w:sz w:val="16"/>
                <w:szCs w:val="16"/>
                <w:lang w:val="fr-FR" w:eastAsia="en-US"/>
              </w:rPr>
              <w:t>’</w:t>
            </w:r>
            <w:r w:rsidRPr="004E6476">
              <w:rPr>
                <w:rFonts w:eastAsia="Times New Roman"/>
                <w:bCs/>
                <w:sz w:val="16"/>
                <w:szCs w:val="16"/>
                <w:lang w:val="fr-FR" w:eastAsia="en-US"/>
              </w:rPr>
              <w:t>exercice biennal</w:t>
            </w:r>
            <w:r w:rsidR="002B7D28" w:rsidRPr="004E6476">
              <w:rPr>
                <w:rFonts w:eastAsia="Times New Roman"/>
                <w:bCs/>
                <w:sz w:val="16"/>
                <w:szCs w:val="16"/>
                <w:lang w:val="fr-FR" w:eastAsia="en-US"/>
              </w:rPr>
              <w:t>)</w:t>
            </w: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keepNext/>
              <w:keepLines/>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9F5FAD" w:rsidP="009534A7">
            <w:pPr>
              <w:keepNext/>
              <w:keepLines/>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État </w:t>
            </w:r>
            <w:r w:rsidR="009A1853" w:rsidRPr="004E6476">
              <w:rPr>
                <w:rFonts w:eastAsia="Times New Roman"/>
                <w:bCs/>
                <w:sz w:val="16"/>
                <w:szCs w:val="16"/>
                <w:lang w:val="fr-FR" w:eastAsia="en-US"/>
              </w:rPr>
              <w:t>f</w:t>
            </w:r>
            <w:r w:rsidR="002B7D28" w:rsidRPr="004E6476">
              <w:rPr>
                <w:rFonts w:eastAsia="Times New Roman"/>
                <w:bCs/>
                <w:sz w:val="16"/>
                <w:szCs w:val="16"/>
                <w:lang w:val="fr-FR" w:eastAsia="en-US"/>
              </w:rPr>
              <w:t>inanci</w:t>
            </w:r>
            <w:r w:rsidR="009A1853" w:rsidRPr="004E6476">
              <w:rPr>
                <w:rFonts w:eastAsia="Times New Roman"/>
                <w:bCs/>
                <w:sz w:val="16"/>
                <w:szCs w:val="16"/>
                <w:lang w:val="fr-FR" w:eastAsia="en-US"/>
              </w:rPr>
              <w:t>er</w:t>
            </w:r>
            <w:r w:rsidR="002B7D28" w:rsidRPr="004E6476">
              <w:rPr>
                <w:rFonts w:eastAsia="Times New Roman"/>
                <w:bCs/>
                <w:sz w:val="16"/>
                <w:szCs w:val="16"/>
                <w:lang w:val="fr-FR" w:eastAsia="en-US"/>
              </w:rPr>
              <w:t xml:space="preserve"> Discussion </w:t>
            </w:r>
            <w:r w:rsidR="00343333" w:rsidRPr="004E6476">
              <w:rPr>
                <w:rFonts w:eastAsia="Times New Roman"/>
                <w:bCs/>
                <w:sz w:val="16"/>
                <w:szCs w:val="16"/>
                <w:lang w:val="fr-FR" w:eastAsia="en-US"/>
              </w:rPr>
              <w:t>et</w:t>
            </w:r>
            <w:r w:rsidR="002B7D28" w:rsidRPr="004E6476">
              <w:rPr>
                <w:rFonts w:eastAsia="Times New Roman"/>
                <w:bCs/>
                <w:sz w:val="16"/>
                <w:szCs w:val="16"/>
                <w:lang w:val="fr-FR" w:eastAsia="en-US"/>
              </w:rPr>
              <w:t xml:space="preserve"> </w:t>
            </w:r>
            <w:r w:rsidR="00343333" w:rsidRPr="004E6476">
              <w:rPr>
                <w:rFonts w:eastAsia="Times New Roman"/>
                <w:bCs/>
                <w:sz w:val="16"/>
                <w:szCs w:val="16"/>
                <w:lang w:val="fr-FR" w:eastAsia="en-US"/>
              </w:rPr>
              <w:t>an</w:t>
            </w:r>
            <w:r w:rsidR="002B7D28" w:rsidRPr="004E6476">
              <w:rPr>
                <w:rFonts w:eastAsia="Times New Roman"/>
                <w:bCs/>
                <w:sz w:val="16"/>
                <w:szCs w:val="16"/>
                <w:lang w:val="fr-FR" w:eastAsia="en-US"/>
              </w:rPr>
              <w:t>aly</w:t>
            </w:r>
            <w:r w:rsidR="00343333" w:rsidRPr="004E6476">
              <w:rPr>
                <w:rFonts w:eastAsia="Times New Roman"/>
                <w:bCs/>
                <w:sz w:val="16"/>
                <w:szCs w:val="16"/>
                <w:lang w:val="fr-FR" w:eastAsia="en-US"/>
              </w:rPr>
              <w:t>se</w:t>
            </w:r>
          </w:p>
        </w:tc>
        <w:tc>
          <w:tcPr>
            <w:tcW w:w="833" w:type="pct"/>
            <w:shd w:val="clear" w:color="auto" w:fill="FFFFFF"/>
          </w:tcPr>
          <w:p w:rsidR="002B7D28" w:rsidRPr="004E6476" w:rsidRDefault="002B7D28" w:rsidP="009534A7">
            <w:pPr>
              <w:keepNext/>
              <w:keepLines/>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keepNext/>
              <w:keepLines/>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keepNext/>
              <w:keepLines/>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keepNext/>
              <w:keepLines/>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343333"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 la situation financière</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343333"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 la performance financière</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343333"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des variations des actifs nets</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343333"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des flux de trésorerie</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343333"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État de comparaison des montants budgétaires et des </w:t>
            </w:r>
            <w:r w:rsidR="005C591E" w:rsidRPr="004E6476">
              <w:rPr>
                <w:sz w:val="16"/>
                <w:szCs w:val="16"/>
                <w:lang w:val="fr-FR"/>
              </w:rPr>
              <w:t>montants réels</w:t>
            </w:r>
            <w:r w:rsidR="009F5FAD" w:rsidRPr="004E6476">
              <w:rPr>
                <w:sz w:val="16"/>
                <w:szCs w:val="16"/>
                <w:lang w:val="fr-FR"/>
              </w:rPr>
              <w:t xml:space="preserve"> </w:t>
            </w:r>
            <w:r w:rsidR="002B7D28" w:rsidRPr="004E6476">
              <w:rPr>
                <w:rFonts w:eastAsia="Times New Roman"/>
                <w:bCs/>
                <w:sz w:val="16"/>
                <w:szCs w:val="16"/>
                <w:lang w:val="fr-FR" w:eastAsia="en-US"/>
              </w:rPr>
              <w:t xml:space="preserve">– </w:t>
            </w:r>
            <w:r w:rsidRPr="004E6476">
              <w:rPr>
                <w:rFonts w:eastAsia="Times New Roman"/>
                <w:bCs/>
                <w:sz w:val="16"/>
                <w:szCs w:val="16"/>
                <w:lang w:val="fr-FR" w:eastAsia="en-US"/>
              </w:rPr>
              <w:t>r</w:t>
            </w:r>
            <w:r w:rsidR="009F5FAD" w:rsidRPr="004E6476">
              <w:rPr>
                <w:rFonts w:eastAsia="Times New Roman"/>
                <w:bCs/>
                <w:sz w:val="16"/>
                <w:szCs w:val="16"/>
                <w:lang w:val="fr-FR" w:eastAsia="en-US"/>
              </w:rPr>
              <w:t>ecettes</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B65BFD"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9F5FAD"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État de comparaison des montants budgétaires et des montants réels </w:t>
            </w:r>
            <w:r w:rsidR="002B7D28" w:rsidRPr="004E6476">
              <w:rPr>
                <w:rFonts w:eastAsia="Times New Roman"/>
                <w:bCs/>
                <w:sz w:val="16"/>
                <w:szCs w:val="16"/>
                <w:lang w:val="fr-FR" w:eastAsia="en-US"/>
              </w:rPr>
              <w:t xml:space="preserve">– </w:t>
            </w:r>
            <w:proofErr w:type="gramStart"/>
            <w:r w:rsidRPr="004E6476">
              <w:rPr>
                <w:rFonts w:eastAsia="Times New Roman"/>
                <w:bCs/>
                <w:sz w:val="16"/>
                <w:szCs w:val="16"/>
                <w:lang w:val="fr-FR" w:eastAsia="en-US"/>
              </w:rPr>
              <w:t>dépenses</w:t>
            </w:r>
            <w:proofErr w:type="gramEnd"/>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343333"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 la situation financière par unité fonctionnelle</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DC014C"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État de la performance financière par unité fonctionnelle</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shd w:val="clear" w:color="auto" w:fill="FFFFFF"/>
          </w:tcPr>
          <w:p w:rsidR="002B7D28" w:rsidRPr="004E6476" w:rsidRDefault="00343333"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Comptes spéciaux par c</w:t>
            </w:r>
            <w:r w:rsidR="002B7D28" w:rsidRPr="004E6476">
              <w:rPr>
                <w:rFonts w:eastAsia="Times New Roman"/>
                <w:bCs/>
                <w:sz w:val="16"/>
                <w:szCs w:val="16"/>
                <w:lang w:val="fr-FR" w:eastAsia="en-US"/>
              </w:rPr>
              <w:t>ontributions</w:t>
            </w:r>
            <w:r w:rsidRPr="004E6476">
              <w:rPr>
                <w:rFonts w:eastAsia="Times New Roman"/>
                <w:bCs/>
                <w:sz w:val="16"/>
                <w:szCs w:val="16"/>
                <w:lang w:val="fr-FR" w:eastAsia="en-US"/>
              </w:rPr>
              <w:t xml:space="preserve"> des donateurs</w:t>
            </w:r>
          </w:p>
        </w:tc>
        <w:tc>
          <w:tcPr>
            <w:tcW w:w="833" w:type="pct"/>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r w:rsidR="004E6476" w:rsidRPr="004E6476" w:rsidTr="00387092">
        <w:trPr>
          <w:cantSplit/>
        </w:trPr>
        <w:tc>
          <w:tcPr>
            <w:tcW w:w="1138" w:type="pct"/>
            <w:tcBorders>
              <w:left w:val="nil"/>
              <w:bottom w:val="single" w:sz="4" w:space="0" w:color="808080" w:themeColor="background1" w:themeShade="80"/>
            </w:tcBorders>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29" w:type="pct"/>
            <w:tcBorders>
              <w:bottom w:val="single" w:sz="4" w:space="0" w:color="808080" w:themeColor="background1" w:themeShade="80"/>
            </w:tcBorders>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r w:rsidRPr="004E6476">
              <w:rPr>
                <w:rFonts w:eastAsia="Times New Roman"/>
                <w:bCs/>
                <w:sz w:val="16"/>
                <w:szCs w:val="16"/>
                <w:lang w:val="fr-FR" w:eastAsia="en-US"/>
              </w:rPr>
              <w:t xml:space="preserve">Notes </w:t>
            </w:r>
            <w:r w:rsidR="00343333" w:rsidRPr="004E6476">
              <w:rPr>
                <w:rFonts w:eastAsia="Times New Roman"/>
                <w:bCs/>
                <w:sz w:val="16"/>
                <w:szCs w:val="16"/>
                <w:lang w:val="fr-FR" w:eastAsia="en-US"/>
              </w:rPr>
              <w:t>relatives aux états f</w:t>
            </w:r>
            <w:r w:rsidRPr="004E6476">
              <w:rPr>
                <w:rFonts w:eastAsia="Times New Roman"/>
                <w:bCs/>
                <w:sz w:val="16"/>
                <w:szCs w:val="16"/>
                <w:lang w:val="fr-FR" w:eastAsia="en-US"/>
              </w:rPr>
              <w:t>inanci</w:t>
            </w:r>
            <w:r w:rsidR="00343333" w:rsidRPr="004E6476">
              <w:rPr>
                <w:rFonts w:eastAsia="Times New Roman"/>
                <w:bCs/>
                <w:sz w:val="16"/>
                <w:szCs w:val="16"/>
                <w:lang w:val="fr-FR" w:eastAsia="en-US"/>
              </w:rPr>
              <w:t>ers</w:t>
            </w:r>
          </w:p>
        </w:tc>
        <w:tc>
          <w:tcPr>
            <w:tcW w:w="833" w:type="pct"/>
            <w:tcBorders>
              <w:bottom w:val="single" w:sz="4" w:space="0" w:color="808080" w:themeColor="background1" w:themeShade="80"/>
            </w:tcBorders>
            <w:shd w:val="clear" w:color="auto" w:fill="FFFFFF"/>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1238" w:type="pct"/>
            <w:tcBorders>
              <w:bottom w:val="single" w:sz="4" w:space="0" w:color="808080" w:themeColor="background1" w:themeShade="80"/>
            </w:tcBorders>
            <w:shd w:val="clear" w:color="auto" w:fill="B6DDE8" w:themeFill="accent5" w:themeFillTint="66"/>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701" w:type="pct"/>
            <w:tcBorders>
              <w:bottom w:val="single" w:sz="4" w:space="0" w:color="808080" w:themeColor="background1" w:themeShade="80"/>
            </w:tcBorders>
            <w:shd w:val="clear" w:color="auto" w:fill="FDE9D9" w:themeFill="accent6" w:themeFillTint="33"/>
          </w:tcPr>
          <w:p w:rsidR="002B7D28" w:rsidRPr="004E6476" w:rsidRDefault="002B7D28" w:rsidP="009534A7">
            <w:pPr>
              <w:autoSpaceDE w:val="0"/>
              <w:autoSpaceDN w:val="0"/>
              <w:adjustRightInd w:val="0"/>
              <w:spacing w:before="60"/>
              <w:rPr>
                <w:rFonts w:eastAsia="Times New Roman"/>
                <w:bCs/>
                <w:sz w:val="16"/>
                <w:szCs w:val="16"/>
                <w:lang w:val="fr-FR" w:eastAsia="en-US"/>
              </w:rPr>
            </w:pPr>
          </w:p>
        </w:tc>
        <w:tc>
          <w:tcPr>
            <w:tcW w:w="561" w:type="pct"/>
            <w:tcBorders>
              <w:bottom w:val="single" w:sz="4" w:space="0" w:color="808080" w:themeColor="background1" w:themeShade="80"/>
              <w:right w:val="nil"/>
            </w:tcBorders>
            <w:shd w:val="clear" w:color="auto" w:fill="FFFFCC"/>
          </w:tcPr>
          <w:p w:rsidR="002B7D28" w:rsidRPr="004E6476" w:rsidRDefault="002B7D28" w:rsidP="009534A7">
            <w:pPr>
              <w:autoSpaceDE w:val="0"/>
              <w:autoSpaceDN w:val="0"/>
              <w:adjustRightInd w:val="0"/>
              <w:spacing w:before="60"/>
              <w:rPr>
                <w:rFonts w:eastAsia="Times New Roman"/>
                <w:bCs/>
                <w:sz w:val="16"/>
                <w:szCs w:val="16"/>
                <w:lang w:val="fr-FR" w:eastAsia="en-US"/>
              </w:rPr>
            </w:pPr>
          </w:p>
        </w:tc>
      </w:tr>
    </w:tbl>
    <w:p w:rsidR="00FB7FE5" w:rsidRPr="004E6476" w:rsidRDefault="00DC014C" w:rsidP="00DC014C">
      <w:pPr>
        <w:tabs>
          <w:tab w:val="left" w:pos="8931"/>
        </w:tabs>
        <w:autoSpaceDE w:val="0"/>
        <w:autoSpaceDN w:val="0"/>
        <w:adjustRightInd w:val="0"/>
        <w:ind w:left="78"/>
        <w:rPr>
          <w:lang w:val="fr-FR"/>
        </w:rPr>
      </w:pPr>
      <w:r>
        <w:rPr>
          <w:lang w:val="fr-FR"/>
        </w:rPr>
        <w:tab/>
      </w:r>
    </w:p>
    <w:p w:rsidR="00FB7FE5" w:rsidRDefault="002B7D28" w:rsidP="009534A7">
      <w:pPr>
        <w:tabs>
          <w:tab w:val="left" w:pos="8931"/>
        </w:tabs>
        <w:autoSpaceDE w:val="0"/>
        <w:autoSpaceDN w:val="0"/>
        <w:adjustRightInd w:val="0"/>
        <w:ind w:left="78"/>
        <w:rPr>
          <w:lang w:val="fr-FR"/>
        </w:rPr>
      </w:pPr>
      <w:r w:rsidRPr="004E6476">
        <w:rPr>
          <w:lang w:val="fr-FR"/>
        </w:rPr>
        <w:tab/>
      </w:r>
    </w:p>
    <w:p w:rsidR="00DC014C" w:rsidRPr="004E6476" w:rsidRDefault="00DC014C" w:rsidP="009534A7">
      <w:pPr>
        <w:tabs>
          <w:tab w:val="left" w:pos="8931"/>
        </w:tabs>
        <w:autoSpaceDE w:val="0"/>
        <w:autoSpaceDN w:val="0"/>
        <w:adjustRightInd w:val="0"/>
        <w:ind w:left="78"/>
        <w:rPr>
          <w:lang w:val="fr-FR"/>
        </w:rPr>
      </w:pPr>
      <w:r>
        <w:rPr>
          <w:lang w:val="fr-FR"/>
        </w:rPr>
        <w:tab/>
      </w:r>
    </w:p>
    <w:p w:rsidR="00FB7FE5" w:rsidRPr="004E6476" w:rsidRDefault="00676EB6" w:rsidP="009534A7">
      <w:pPr>
        <w:tabs>
          <w:tab w:val="left" w:pos="8931"/>
        </w:tabs>
        <w:autoSpaceDE w:val="0"/>
        <w:autoSpaceDN w:val="0"/>
        <w:adjustRightInd w:val="0"/>
        <w:ind w:left="78"/>
        <w:rPr>
          <w:lang w:val="fr-FR"/>
        </w:rPr>
      </w:pPr>
      <w:r w:rsidRPr="004E6476">
        <w:rPr>
          <w:lang w:val="fr-FR"/>
        </w:rPr>
        <w:tab/>
      </w:r>
      <w:r w:rsidR="002B7D28" w:rsidRPr="004E6476">
        <w:rPr>
          <w:lang w:val="fr-FR"/>
        </w:rPr>
        <w:t>[</w:t>
      </w:r>
      <w:r w:rsidR="009A1853" w:rsidRPr="004E6476">
        <w:rPr>
          <w:lang w:val="fr-FR"/>
        </w:rPr>
        <w:t>Fin de l</w:t>
      </w:r>
      <w:r w:rsidR="00540C3E" w:rsidRPr="004E6476">
        <w:rPr>
          <w:lang w:val="fr-FR"/>
        </w:rPr>
        <w:t>’</w:t>
      </w:r>
      <w:r w:rsidR="009A1853" w:rsidRPr="004E6476">
        <w:rPr>
          <w:lang w:val="fr-FR"/>
        </w:rPr>
        <w:t>a</w:t>
      </w:r>
      <w:r w:rsidR="002B7D28" w:rsidRPr="004E6476">
        <w:rPr>
          <w:lang w:val="fr-FR"/>
        </w:rPr>
        <w:t>nnex</w:t>
      </w:r>
      <w:r w:rsidR="009A1853" w:rsidRPr="004E6476">
        <w:rPr>
          <w:lang w:val="fr-FR"/>
        </w:rPr>
        <w:t>e et du</w:t>
      </w:r>
      <w:r w:rsidR="002B7D28" w:rsidRPr="004E6476">
        <w:rPr>
          <w:lang w:val="fr-FR"/>
        </w:rPr>
        <w:t xml:space="preserve"> document]</w:t>
      </w:r>
    </w:p>
    <w:p w:rsidR="00F37106" w:rsidRPr="004E6476" w:rsidRDefault="00F37106" w:rsidP="00DC014C">
      <w:pPr>
        <w:tabs>
          <w:tab w:val="left" w:pos="8931"/>
        </w:tabs>
        <w:autoSpaceDE w:val="0"/>
        <w:autoSpaceDN w:val="0"/>
        <w:adjustRightInd w:val="0"/>
        <w:rPr>
          <w:lang w:val="fr-FR"/>
        </w:rPr>
      </w:pPr>
    </w:p>
    <w:sectPr w:rsidR="00F37106" w:rsidRPr="004E6476" w:rsidSect="00410790">
      <w:headerReference w:type="default" r:id="rId14"/>
      <w:headerReference w:type="first" r:id="rId15"/>
      <w:footerReference w:type="first" r:id="rId16"/>
      <w:endnotePr>
        <w:numFmt w:val="decimal"/>
      </w:endnotePr>
      <w:pgSz w:w="16840" w:h="11907" w:orient="landscape" w:code="9"/>
      <w:pgMar w:top="1418" w:right="567" w:bottom="1134" w:left="851"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07" w:rsidRDefault="009F0307">
      <w:r>
        <w:separator/>
      </w:r>
    </w:p>
  </w:endnote>
  <w:endnote w:type="continuationSeparator" w:id="0">
    <w:p w:rsidR="009F0307" w:rsidRDefault="009F0307" w:rsidP="003B38C1">
      <w:r>
        <w:separator/>
      </w:r>
    </w:p>
    <w:p w:rsidR="009F0307" w:rsidRPr="003B38C1" w:rsidRDefault="009F0307" w:rsidP="003B38C1">
      <w:pPr>
        <w:spacing w:after="60"/>
        <w:rPr>
          <w:sz w:val="17"/>
        </w:rPr>
      </w:pPr>
      <w:r>
        <w:rPr>
          <w:sz w:val="17"/>
        </w:rPr>
        <w:t>[Endnote continued from previous page]</w:t>
      </w:r>
    </w:p>
  </w:endnote>
  <w:endnote w:type="continuationNotice" w:id="1">
    <w:p w:rsidR="009F0307" w:rsidRPr="003B38C1" w:rsidRDefault="009F03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92" w:rsidRPr="00387092" w:rsidRDefault="00387092" w:rsidP="00387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07" w:rsidRDefault="009F0307">
      <w:r>
        <w:separator/>
      </w:r>
    </w:p>
  </w:footnote>
  <w:footnote w:type="continuationSeparator" w:id="0">
    <w:p w:rsidR="009F0307" w:rsidRDefault="009F0307" w:rsidP="008B60B2">
      <w:r>
        <w:separator/>
      </w:r>
    </w:p>
    <w:p w:rsidR="009F0307" w:rsidRPr="00ED77FB" w:rsidRDefault="009F0307" w:rsidP="008B60B2">
      <w:pPr>
        <w:spacing w:after="60"/>
        <w:rPr>
          <w:sz w:val="17"/>
          <w:szCs w:val="17"/>
        </w:rPr>
      </w:pPr>
      <w:r w:rsidRPr="00ED77FB">
        <w:rPr>
          <w:sz w:val="17"/>
          <w:szCs w:val="17"/>
        </w:rPr>
        <w:t>[Footnote continued from previous page]</w:t>
      </w:r>
    </w:p>
  </w:footnote>
  <w:footnote w:type="continuationNotice" w:id="1">
    <w:p w:rsidR="009F0307" w:rsidRPr="00ED77FB" w:rsidRDefault="009F0307" w:rsidP="008B60B2">
      <w:pPr>
        <w:spacing w:before="60"/>
        <w:jc w:val="right"/>
        <w:rPr>
          <w:sz w:val="17"/>
          <w:szCs w:val="17"/>
        </w:rPr>
      </w:pPr>
      <w:r w:rsidRPr="00ED77FB">
        <w:rPr>
          <w:sz w:val="17"/>
          <w:szCs w:val="17"/>
        </w:rPr>
        <w:t>[Footnote continued on next page]</w:t>
      </w:r>
    </w:p>
  </w:footnote>
  <w:footnote w:id="2">
    <w:p w:rsidR="009F0307" w:rsidRPr="00DC014C" w:rsidRDefault="009F0307" w:rsidP="009F0307">
      <w:pPr>
        <w:pStyle w:val="FootnoteText"/>
        <w:rPr>
          <w:sz w:val="16"/>
          <w:szCs w:val="16"/>
          <w:lang w:val="fr-CH"/>
        </w:rPr>
      </w:pPr>
      <w:r w:rsidRPr="00DC014C">
        <w:rPr>
          <w:rStyle w:val="FootnoteReference"/>
          <w:sz w:val="16"/>
          <w:szCs w:val="16"/>
        </w:rPr>
        <w:footnoteRef/>
      </w:r>
      <w:r w:rsidR="00DC014C">
        <w:rPr>
          <w:color w:val="000000"/>
          <w:sz w:val="16"/>
          <w:szCs w:val="16"/>
          <w:lang w:val="fr-CH"/>
        </w:rPr>
        <w:t xml:space="preserve"> </w:t>
      </w:r>
      <w:r w:rsidR="00DC014C">
        <w:rPr>
          <w:color w:val="000000"/>
          <w:sz w:val="16"/>
          <w:szCs w:val="16"/>
          <w:lang w:val="fr-CH"/>
        </w:rPr>
        <w:tab/>
      </w:r>
      <w:r w:rsidRPr="00DC014C">
        <w:rPr>
          <w:color w:val="000000"/>
          <w:sz w:val="16"/>
          <w:szCs w:val="16"/>
          <w:lang w:val="fr-CH"/>
        </w:rPr>
        <w:t xml:space="preserve">Les discussions et analyses dans les états financiers </w:t>
      </w:r>
      <w:r w:rsidR="005C591E" w:rsidRPr="00DC014C">
        <w:rPr>
          <w:color w:val="000000"/>
          <w:sz w:val="16"/>
          <w:szCs w:val="16"/>
          <w:lang w:val="fr-CH"/>
        </w:rPr>
        <w:t>reposent</w:t>
      </w:r>
      <w:r w:rsidRPr="00DC014C">
        <w:rPr>
          <w:color w:val="000000"/>
          <w:sz w:val="16"/>
          <w:szCs w:val="16"/>
          <w:lang w:val="fr-CH"/>
        </w:rPr>
        <w:t xml:space="preserve"> sur une base IPSAS</w:t>
      </w:r>
      <w:r w:rsidR="00DC014C">
        <w:rPr>
          <w:color w:val="000000"/>
          <w:sz w:val="16"/>
          <w:szCs w:val="16"/>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307" w:rsidRDefault="009F0307" w:rsidP="00477D6B">
    <w:pPr>
      <w:jc w:val="right"/>
    </w:pPr>
    <w:bookmarkStart w:id="4" w:name="Code2"/>
    <w:bookmarkEnd w:id="4"/>
    <w:r>
      <w:t>WO/PBC/22/27</w:t>
    </w:r>
  </w:p>
  <w:p w:rsidR="009F0307" w:rsidRDefault="009F0307" w:rsidP="00477D6B">
    <w:pPr>
      <w:jc w:val="right"/>
    </w:pPr>
    <w:proofErr w:type="gramStart"/>
    <w:r>
      <w:t>page</w:t>
    </w:r>
    <w:proofErr w:type="gramEnd"/>
    <w:r>
      <w:t xml:space="preserve"> </w:t>
    </w:r>
    <w:r>
      <w:fldChar w:fldCharType="begin"/>
    </w:r>
    <w:r>
      <w:instrText xml:space="preserve"> PAGE  \* MERGEFORMAT </w:instrText>
    </w:r>
    <w:r>
      <w:fldChar w:fldCharType="separate"/>
    </w:r>
    <w:r w:rsidR="00B65BFD">
      <w:rPr>
        <w:noProof/>
      </w:rPr>
      <w:t>5</w:t>
    </w:r>
    <w:r>
      <w:fldChar w:fldCharType="end"/>
    </w:r>
  </w:p>
  <w:p w:rsidR="009F0307" w:rsidRDefault="009F030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307" w:rsidRDefault="009F0307" w:rsidP="00676EB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307" w:rsidRDefault="009F0307" w:rsidP="00477D6B">
    <w:pPr>
      <w:jc w:val="right"/>
    </w:pPr>
    <w:r>
      <w:t>WO/PBC/22/27</w:t>
    </w:r>
  </w:p>
  <w:p w:rsidR="009F0307" w:rsidRDefault="009F0307" w:rsidP="00477D6B">
    <w:pPr>
      <w:jc w:val="right"/>
    </w:pPr>
    <w:proofErr w:type="spellStart"/>
    <w:r>
      <w:t>Annex</w:t>
    </w:r>
    <w:r w:rsidR="00931854">
      <w:t>e</w:t>
    </w:r>
    <w:proofErr w:type="spellEnd"/>
    <w:r>
      <w:t xml:space="preserve">, page </w:t>
    </w:r>
    <w:r>
      <w:fldChar w:fldCharType="begin"/>
    </w:r>
    <w:r>
      <w:instrText xml:space="preserve"> PAGE  \* MERGEFORMAT </w:instrText>
    </w:r>
    <w:r>
      <w:fldChar w:fldCharType="separate"/>
    </w:r>
    <w:r w:rsidR="00B65BFD">
      <w:rPr>
        <w:noProof/>
      </w:rPr>
      <w:t>5</w:t>
    </w:r>
    <w:r>
      <w:fldChar w:fldCharType="end"/>
    </w:r>
  </w:p>
  <w:p w:rsidR="009F0307" w:rsidRDefault="009F0307"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307" w:rsidRDefault="009F0307" w:rsidP="00676EB6">
    <w:pPr>
      <w:pStyle w:val="Header"/>
      <w:jc w:val="right"/>
    </w:pPr>
    <w:r>
      <w:t>WO/PBC/22/27</w:t>
    </w:r>
  </w:p>
  <w:p w:rsidR="009F0307" w:rsidRDefault="009F0307" w:rsidP="00676EB6">
    <w:pPr>
      <w:pStyle w:val="Header"/>
      <w:jc w:val="right"/>
    </w:pPr>
    <w:r>
      <w:t>ANNEXE</w:t>
    </w:r>
  </w:p>
  <w:p w:rsidR="00387092" w:rsidRDefault="00387092" w:rsidP="00676E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0C6C4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2B22C3"/>
    <w:multiLevelType w:val="hybridMultilevel"/>
    <w:tmpl w:val="7B6C5B52"/>
    <w:lvl w:ilvl="0" w:tplc="9C027A1C">
      <w:start w:val="1"/>
      <w:numFmt w:val="lowerRoman"/>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nsid w:val="0B4755AE"/>
    <w:multiLevelType w:val="hybridMultilevel"/>
    <w:tmpl w:val="D22425F0"/>
    <w:lvl w:ilvl="0" w:tplc="85F2348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C86636"/>
    <w:multiLevelType w:val="hybridMultilevel"/>
    <w:tmpl w:val="3168BB38"/>
    <w:lvl w:ilvl="0" w:tplc="EAB26EE8">
      <w:start w:val="1"/>
      <w:numFmt w:val="lowerRoman"/>
      <w:lvlText w:val="(%1)"/>
      <w:lvlJc w:val="right"/>
      <w:pPr>
        <w:ind w:left="6253" w:hanging="720"/>
      </w:pPr>
      <w:rPr>
        <w:rFonts w:hint="default"/>
        <w:b w:val="0"/>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211963"/>
    <w:multiLevelType w:val="hybridMultilevel"/>
    <w:tmpl w:val="1F16E12A"/>
    <w:lvl w:ilvl="0" w:tplc="9C027A1C">
      <w:start w:val="1"/>
      <w:numFmt w:val="lowerRoman"/>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nsid w:val="32EE17BC"/>
    <w:multiLevelType w:val="hybridMultilevel"/>
    <w:tmpl w:val="FF1C9C6A"/>
    <w:lvl w:ilvl="0" w:tplc="85F2348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066E09"/>
    <w:multiLevelType w:val="hybridMultilevel"/>
    <w:tmpl w:val="3F841C4A"/>
    <w:lvl w:ilvl="0" w:tplc="9C027A1C">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40338"/>
    <w:multiLevelType w:val="hybridMultilevel"/>
    <w:tmpl w:val="4CF6E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592251"/>
    <w:multiLevelType w:val="multilevel"/>
    <w:tmpl w:val="4A5E8396"/>
    <w:lvl w:ilvl="0">
      <w:start w:val="1"/>
      <w:numFmt w:val="lowerRoman"/>
      <w:lvlText w:val="%1)"/>
      <w:lvlJc w:val="left"/>
      <w:pPr>
        <w:ind w:left="720" w:hanging="72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F027F0"/>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AD268CD"/>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2774AD6"/>
    <w:multiLevelType w:val="hybridMultilevel"/>
    <w:tmpl w:val="8C087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24054"/>
    <w:multiLevelType w:val="hybridMultilevel"/>
    <w:tmpl w:val="7A5CB848"/>
    <w:lvl w:ilvl="0" w:tplc="18D4F94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A4A753D"/>
    <w:multiLevelType w:val="hybridMultilevel"/>
    <w:tmpl w:val="F47E2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18E18B5"/>
    <w:multiLevelType w:val="hybridMultilevel"/>
    <w:tmpl w:val="FAC294A8"/>
    <w:lvl w:ilvl="0" w:tplc="85F2348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1CC6BBA"/>
    <w:multiLevelType w:val="hybridMultilevel"/>
    <w:tmpl w:val="070C9CA6"/>
    <w:lvl w:ilvl="0" w:tplc="9C027A1C">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1412AD"/>
    <w:multiLevelType w:val="hybridMultilevel"/>
    <w:tmpl w:val="3BEAE652"/>
    <w:lvl w:ilvl="0" w:tplc="85F2348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4"/>
  </w:num>
  <w:num w:numId="8">
    <w:abstractNumId w:val="2"/>
  </w:num>
  <w:num w:numId="9">
    <w:abstractNumId w:val="7"/>
  </w:num>
  <w:num w:numId="10">
    <w:abstractNumId w:val="9"/>
  </w:num>
  <w:num w:numId="11">
    <w:abstractNumId w:val="20"/>
  </w:num>
  <w:num w:numId="12">
    <w:abstractNumId w:val="17"/>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8"/>
    </w:lvlOverride>
  </w:num>
  <w:num w:numId="17">
    <w:abstractNumId w:val="5"/>
  </w:num>
  <w:num w:numId="18">
    <w:abstractNumId w:val="11"/>
  </w:num>
  <w:num w:numId="19">
    <w:abstractNumId w:val="1"/>
    <w:lvlOverride w:ilvl="0">
      <w:startOverride w:val="6"/>
    </w:lvlOverride>
  </w:num>
  <w:num w:numId="20">
    <w:abstractNumId w:val="10"/>
  </w:num>
  <w:num w:numId="21">
    <w:abstractNumId w:val="16"/>
  </w:num>
  <w:num w:numId="22">
    <w:abstractNumId w:val="1"/>
  </w:num>
  <w:num w:numId="23">
    <w:abstractNumId w:val="1"/>
  </w:num>
  <w:num w:numId="2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8"/>
  </w:num>
  <w:num w:numId="34">
    <w:abstractNumId w:val="19"/>
  </w:num>
  <w:num w:numId="35">
    <w:abstractNumId w:val="21"/>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Budget and Finance\Meetings|Budget and Finance\Other|Budget and Finance\Publications|Administrative\Meetings|Administrative\Other|Administrative\Publications|Copyright\Meetings|Copyright\Other|Copyright\Publications|Glossaries\EN-FR|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CTS\Test|WorkspaceETS\Test|WorkspaceRTS\Test|WorkspaceSTS\Draft\34550|WorkspaceSTS\Draft\34619|WorkspaceSTS\Draft\AmparoBou"/>
    <w:docVar w:name="TextBaseURL" w:val="empty"/>
    <w:docVar w:name="UILng" w:val="en"/>
  </w:docVars>
  <w:rsids>
    <w:rsidRoot w:val="002F47C3"/>
    <w:rsid w:val="000007E7"/>
    <w:rsid w:val="0000799F"/>
    <w:rsid w:val="00012FB3"/>
    <w:rsid w:val="000218DD"/>
    <w:rsid w:val="00032A99"/>
    <w:rsid w:val="00040F8F"/>
    <w:rsid w:val="00043CAA"/>
    <w:rsid w:val="000735EA"/>
    <w:rsid w:val="00075432"/>
    <w:rsid w:val="00076CB7"/>
    <w:rsid w:val="000968ED"/>
    <w:rsid w:val="000C6327"/>
    <w:rsid w:val="000D4A6C"/>
    <w:rsid w:val="000E0A7E"/>
    <w:rsid w:val="000E22E9"/>
    <w:rsid w:val="000E37BE"/>
    <w:rsid w:val="000E7754"/>
    <w:rsid w:val="000F328A"/>
    <w:rsid w:val="000F5E56"/>
    <w:rsid w:val="001078E4"/>
    <w:rsid w:val="00122E44"/>
    <w:rsid w:val="001303CA"/>
    <w:rsid w:val="00131808"/>
    <w:rsid w:val="001362EE"/>
    <w:rsid w:val="00167AE3"/>
    <w:rsid w:val="001832A6"/>
    <w:rsid w:val="001A7EA6"/>
    <w:rsid w:val="001B01A7"/>
    <w:rsid w:val="001B02E6"/>
    <w:rsid w:val="001B6849"/>
    <w:rsid w:val="001D39C7"/>
    <w:rsid w:val="001E0B20"/>
    <w:rsid w:val="001E6694"/>
    <w:rsid w:val="001E7535"/>
    <w:rsid w:val="002054F2"/>
    <w:rsid w:val="0021423C"/>
    <w:rsid w:val="0021448F"/>
    <w:rsid w:val="0021479B"/>
    <w:rsid w:val="00215664"/>
    <w:rsid w:val="0024170B"/>
    <w:rsid w:val="00244145"/>
    <w:rsid w:val="002540C6"/>
    <w:rsid w:val="00256100"/>
    <w:rsid w:val="002634C4"/>
    <w:rsid w:val="002767B7"/>
    <w:rsid w:val="00281AD1"/>
    <w:rsid w:val="002928D3"/>
    <w:rsid w:val="002A2A93"/>
    <w:rsid w:val="002B599B"/>
    <w:rsid w:val="002B7D28"/>
    <w:rsid w:val="002C586D"/>
    <w:rsid w:val="002C7BDF"/>
    <w:rsid w:val="002D3B4F"/>
    <w:rsid w:val="002E1F4F"/>
    <w:rsid w:val="002F093D"/>
    <w:rsid w:val="002F1FE6"/>
    <w:rsid w:val="002F47C3"/>
    <w:rsid w:val="002F4E68"/>
    <w:rsid w:val="00312F7F"/>
    <w:rsid w:val="00323FFE"/>
    <w:rsid w:val="00324C5A"/>
    <w:rsid w:val="0032632C"/>
    <w:rsid w:val="00343333"/>
    <w:rsid w:val="00350B30"/>
    <w:rsid w:val="00361450"/>
    <w:rsid w:val="003673CF"/>
    <w:rsid w:val="00377E4E"/>
    <w:rsid w:val="003845C1"/>
    <w:rsid w:val="00387092"/>
    <w:rsid w:val="00391D4A"/>
    <w:rsid w:val="003A017F"/>
    <w:rsid w:val="003A0550"/>
    <w:rsid w:val="003A61EF"/>
    <w:rsid w:val="003A6F89"/>
    <w:rsid w:val="003B38C1"/>
    <w:rsid w:val="003D3F50"/>
    <w:rsid w:val="003F493C"/>
    <w:rsid w:val="00410790"/>
    <w:rsid w:val="00415DE0"/>
    <w:rsid w:val="00423E3E"/>
    <w:rsid w:val="00427AF4"/>
    <w:rsid w:val="004328E8"/>
    <w:rsid w:val="00434807"/>
    <w:rsid w:val="00437281"/>
    <w:rsid w:val="00440671"/>
    <w:rsid w:val="0044297A"/>
    <w:rsid w:val="00460DF0"/>
    <w:rsid w:val="00461E61"/>
    <w:rsid w:val="004647DA"/>
    <w:rsid w:val="00474062"/>
    <w:rsid w:val="00477BAA"/>
    <w:rsid w:val="00477D6B"/>
    <w:rsid w:val="004813A2"/>
    <w:rsid w:val="004C1906"/>
    <w:rsid w:val="004C35D4"/>
    <w:rsid w:val="004C4E68"/>
    <w:rsid w:val="004E61B8"/>
    <w:rsid w:val="004E6476"/>
    <w:rsid w:val="004F0CC4"/>
    <w:rsid w:val="004F1B55"/>
    <w:rsid w:val="005019FF"/>
    <w:rsid w:val="0051239D"/>
    <w:rsid w:val="00527A33"/>
    <w:rsid w:val="0053057A"/>
    <w:rsid w:val="00534924"/>
    <w:rsid w:val="00535323"/>
    <w:rsid w:val="00536E63"/>
    <w:rsid w:val="00540C3E"/>
    <w:rsid w:val="0054370F"/>
    <w:rsid w:val="00546D99"/>
    <w:rsid w:val="00551070"/>
    <w:rsid w:val="005558A8"/>
    <w:rsid w:val="00560A29"/>
    <w:rsid w:val="00566C1B"/>
    <w:rsid w:val="00583BD4"/>
    <w:rsid w:val="00591CA6"/>
    <w:rsid w:val="00591FB1"/>
    <w:rsid w:val="005A75B3"/>
    <w:rsid w:val="005B0159"/>
    <w:rsid w:val="005B0A3E"/>
    <w:rsid w:val="005C591E"/>
    <w:rsid w:val="005C6649"/>
    <w:rsid w:val="005D0E0E"/>
    <w:rsid w:val="005D2F72"/>
    <w:rsid w:val="005E5262"/>
    <w:rsid w:val="005F2D2C"/>
    <w:rsid w:val="00605827"/>
    <w:rsid w:val="00606AAE"/>
    <w:rsid w:val="00617896"/>
    <w:rsid w:val="006179CE"/>
    <w:rsid w:val="00623030"/>
    <w:rsid w:val="006323BD"/>
    <w:rsid w:val="006371E5"/>
    <w:rsid w:val="0064109B"/>
    <w:rsid w:val="00642097"/>
    <w:rsid w:val="00646050"/>
    <w:rsid w:val="00656EDF"/>
    <w:rsid w:val="006713CA"/>
    <w:rsid w:val="00674DCC"/>
    <w:rsid w:val="00676C5C"/>
    <w:rsid w:val="00676EB6"/>
    <w:rsid w:val="00695787"/>
    <w:rsid w:val="006A25EE"/>
    <w:rsid w:val="006C0ABD"/>
    <w:rsid w:val="006D4357"/>
    <w:rsid w:val="006D637A"/>
    <w:rsid w:val="00710A08"/>
    <w:rsid w:val="00732D92"/>
    <w:rsid w:val="007349D5"/>
    <w:rsid w:val="00747698"/>
    <w:rsid w:val="00761291"/>
    <w:rsid w:val="00785567"/>
    <w:rsid w:val="007861D4"/>
    <w:rsid w:val="00786997"/>
    <w:rsid w:val="00787D03"/>
    <w:rsid w:val="00791C49"/>
    <w:rsid w:val="007970EA"/>
    <w:rsid w:val="007C2719"/>
    <w:rsid w:val="007D1613"/>
    <w:rsid w:val="007D75CA"/>
    <w:rsid w:val="0080068A"/>
    <w:rsid w:val="00807FB5"/>
    <w:rsid w:val="008208E6"/>
    <w:rsid w:val="00827E8D"/>
    <w:rsid w:val="008504D4"/>
    <w:rsid w:val="00852561"/>
    <w:rsid w:val="008835D1"/>
    <w:rsid w:val="008869A0"/>
    <w:rsid w:val="0089701F"/>
    <w:rsid w:val="008A6210"/>
    <w:rsid w:val="008B2CC1"/>
    <w:rsid w:val="008B60B2"/>
    <w:rsid w:val="008E2AA6"/>
    <w:rsid w:val="008E3822"/>
    <w:rsid w:val="008E5EC2"/>
    <w:rsid w:val="008F1C87"/>
    <w:rsid w:val="008F419B"/>
    <w:rsid w:val="008F4779"/>
    <w:rsid w:val="00902306"/>
    <w:rsid w:val="0090731E"/>
    <w:rsid w:val="00914935"/>
    <w:rsid w:val="00916EE2"/>
    <w:rsid w:val="00925AD3"/>
    <w:rsid w:val="00927312"/>
    <w:rsid w:val="00931854"/>
    <w:rsid w:val="00951989"/>
    <w:rsid w:val="009534A7"/>
    <w:rsid w:val="00966A22"/>
    <w:rsid w:val="0096722F"/>
    <w:rsid w:val="00980843"/>
    <w:rsid w:val="009A1853"/>
    <w:rsid w:val="009A6759"/>
    <w:rsid w:val="009B1C89"/>
    <w:rsid w:val="009C024C"/>
    <w:rsid w:val="009C4662"/>
    <w:rsid w:val="009C7BB3"/>
    <w:rsid w:val="009E1713"/>
    <w:rsid w:val="009E2791"/>
    <w:rsid w:val="009E3F6F"/>
    <w:rsid w:val="009F0307"/>
    <w:rsid w:val="009F499F"/>
    <w:rsid w:val="009F5925"/>
    <w:rsid w:val="009F5D6E"/>
    <w:rsid w:val="009F5FAD"/>
    <w:rsid w:val="00A25E8E"/>
    <w:rsid w:val="00A27D5E"/>
    <w:rsid w:val="00A40716"/>
    <w:rsid w:val="00A42DAF"/>
    <w:rsid w:val="00A45BD8"/>
    <w:rsid w:val="00A60F87"/>
    <w:rsid w:val="00A869B7"/>
    <w:rsid w:val="00AA0C07"/>
    <w:rsid w:val="00AA2E79"/>
    <w:rsid w:val="00AC178D"/>
    <w:rsid w:val="00AC205C"/>
    <w:rsid w:val="00AC6915"/>
    <w:rsid w:val="00AE1710"/>
    <w:rsid w:val="00AF0A6B"/>
    <w:rsid w:val="00AF5CBB"/>
    <w:rsid w:val="00B05A69"/>
    <w:rsid w:val="00B1716C"/>
    <w:rsid w:val="00B20DBE"/>
    <w:rsid w:val="00B228FA"/>
    <w:rsid w:val="00B256D2"/>
    <w:rsid w:val="00B30859"/>
    <w:rsid w:val="00B32ACB"/>
    <w:rsid w:val="00B37CCE"/>
    <w:rsid w:val="00B554FA"/>
    <w:rsid w:val="00B6226E"/>
    <w:rsid w:val="00B65A9D"/>
    <w:rsid w:val="00B65BFD"/>
    <w:rsid w:val="00B7636F"/>
    <w:rsid w:val="00B85BA1"/>
    <w:rsid w:val="00B92F1B"/>
    <w:rsid w:val="00B9734B"/>
    <w:rsid w:val="00BD4855"/>
    <w:rsid w:val="00C07776"/>
    <w:rsid w:val="00C11BFE"/>
    <w:rsid w:val="00C30473"/>
    <w:rsid w:val="00C317B6"/>
    <w:rsid w:val="00C31D29"/>
    <w:rsid w:val="00C4430C"/>
    <w:rsid w:val="00C92A83"/>
    <w:rsid w:val="00CA6982"/>
    <w:rsid w:val="00CE5A06"/>
    <w:rsid w:val="00CF301B"/>
    <w:rsid w:val="00D13882"/>
    <w:rsid w:val="00D26815"/>
    <w:rsid w:val="00D377E9"/>
    <w:rsid w:val="00D40225"/>
    <w:rsid w:val="00D45252"/>
    <w:rsid w:val="00D57246"/>
    <w:rsid w:val="00D64AF8"/>
    <w:rsid w:val="00D67007"/>
    <w:rsid w:val="00D71B4D"/>
    <w:rsid w:val="00D75E61"/>
    <w:rsid w:val="00D77F85"/>
    <w:rsid w:val="00D80E46"/>
    <w:rsid w:val="00D84218"/>
    <w:rsid w:val="00D91C7C"/>
    <w:rsid w:val="00D93D55"/>
    <w:rsid w:val="00DA353A"/>
    <w:rsid w:val="00DA5472"/>
    <w:rsid w:val="00DA5E54"/>
    <w:rsid w:val="00DB2959"/>
    <w:rsid w:val="00DC014C"/>
    <w:rsid w:val="00DC4BE6"/>
    <w:rsid w:val="00DC6876"/>
    <w:rsid w:val="00DD2446"/>
    <w:rsid w:val="00DE0A31"/>
    <w:rsid w:val="00DE7CC0"/>
    <w:rsid w:val="00E335FE"/>
    <w:rsid w:val="00E40CBA"/>
    <w:rsid w:val="00E41133"/>
    <w:rsid w:val="00E94630"/>
    <w:rsid w:val="00E95A7A"/>
    <w:rsid w:val="00EB33C7"/>
    <w:rsid w:val="00EC3EF9"/>
    <w:rsid w:val="00EC4E49"/>
    <w:rsid w:val="00EC7D07"/>
    <w:rsid w:val="00ED0657"/>
    <w:rsid w:val="00ED77FB"/>
    <w:rsid w:val="00EE45FA"/>
    <w:rsid w:val="00EE6A99"/>
    <w:rsid w:val="00F00343"/>
    <w:rsid w:val="00F02E00"/>
    <w:rsid w:val="00F1123B"/>
    <w:rsid w:val="00F1169B"/>
    <w:rsid w:val="00F30125"/>
    <w:rsid w:val="00F37106"/>
    <w:rsid w:val="00F46CC8"/>
    <w:rsid w:val="00F56C83"/>
    <w:rsid w:val="00F57B31"/>
    <w:rsid w:val="00F57E24"/>
    <w:rsid w:val="00F66152"/>
    <w:rsid w:val="00F72A01"/>
    <w:rsid w:val="00FA2419"/>
    <w:rsid w:val="00FB7FE5"/>
    <w:rsid w:val="00FE0D70"/>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387092"/>
    <w:pPr>
      <w:keepNext/>
      <w:spacing w:before="240" w:after="60"/>
      <w:ind w:firstLine="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F47C3"/>
    <w:rPr>
      <w:rFonts w:ascii="Tahoma" w:hAnsi="Tahoma" w:cs="Tahoma"/>
      <w:sz w:val="16"/>
      <w:szCs w:val="16"/>
    </w:rPr>
  </w:style>
  <w:style w:type="character" w:customStyle="1" w:styleId="BalloonTextChar">
    <w:name w:val="Balloon Text Char"/>
    <w:basedOn w:val="DefaultParagraphFont"/>
    <w:link w:val="BalloonText"/>
    <w:rsid w:val="002F47C3"/>
    <w:rPr>
      <w:rFonts w:ascii="Tahoma" w:eastAsia="SimSun" w:hAnsi="Tahoma" w:cs="Tahoma"/>
      <w:sz w:val="16"/>
      <w:szCs w:val="16"/>
      <w:lang w:eastAsia="zh-CN"/>
    </w:rPr>
  </w:style>
  <w:style w:type="paragraph" w:styleId="ListParagraph">
    <w:name w:val="List Paragraph"/>
    <w:basedOn w:val="Normal"/>
    <w:uiPriority w:val="34"/>
    <w:qFormat/>
    <w:rsid w:val="000F328A"/>
    <w:pPr>
      <w:ind w:left="720"/>
      <w:contextualSpacing/>
    </w:pPr>
  </w:style>
  <w:style w:type="character" w:styleId="CommentReference">
    <w:name w:val="annotation reference"/>
    <w:basedOn w:val="DefaultParagraphFont"/>
    <w:rsid w:val="009F5D6E"/>
    <w:rPr>
      <w:sz w:val="16"/>
      <w:szCs w:val="16"/>
    </w:rPr>
  </w:style>
  <w:style w:type="paragraph" w:styleId="CommentSubject">
    <w:name w:val="annotation subject"/>
    <w:basedOn w:val="CommentText"/>
    <w:next w:val="CommentText"/>
    <w:link w:val="CommentSubjectChar"/>
    <w:rsid w:val="009F5D6E"/>
    <w:rPr>
      <w:b/>
      <w:bCs/>
      <w:sz w:val="20"/>
    </w:rPr>
  </w:style>
  <w:style w:type="character" w:customStyle="1" w:styleId="CommentTextChar">
    <w:name w:val="Comment Text Char"/>
    <w:basedOn w:val="DefaultParagraphFont"/>
    <w:link w:val="CommentText"/>
    <w:semiHidden/>
    <w:rsid w:val="009F5D6E"/>
    <w:rPr>
      <w:rFonts w:ascii="Arial" w:eastAsia="SimSun" w:hAnsi="Arial" w:cs="Arial"/>
      <w:sz w:val="18"/>
      <w:lang w:eastAsia="zh-CN"/>
    </w:rPr>
  </w:style>
  <w:style w:type="character" w:customStyle="1" w:styleId="CommentSubjectChar">
    <w:name w:val="Comment Subject Char"/>
    <w:basedOn w:val="CommentTextChar"/>
    <w:link w:val="CommentSubject"/>
    <w:rsid w:val="009F5D6E"/>
    <w:rPr>
      <w:rFonts w:ascii="Arial" w:eastAsia="SimSun" w:hAnsi="Arial" w:cs="Arial"/>
      <w:b/>
      <w:bCs/>
      <w:sz w:val="18"/>
      <w:lang w:eastAsia="zh-CN"/>
    </w:rPr>
  </w:style>
  <w:style w:type="character" w:styleId="FootnoteReference">
    <w:name w:val="footnote reference"/>
    <w:basedOn w:val="DefaultParagraphFont"/>
    <w:rsid w:val="000C6327"/>
    <w:rPr>
      <w:vertAlign w:val="superscript"/>
    </w:rPr>
  </w:style>
  <w:style w:type="paragraph" w:styleId="NormalWeb">
    <w:name w:val="Normal (Web)"/>
    <w:basedOn w:val="Normal"/>
    <w:uiPriority w:val="99"/>
    <w:unhideWhenUsed/>
    <w:rsid w:val="001078E4"/>
    <w:pPr>
      <w:spacing w:before="100" w:beforeAutospacing="1" w:after="100" w:afterAutospacing="1"/>
    </w:pPr>
    <w:rPr>
      <w:rFonts w:ascii="Times New Roman" w:eastAsiaTheme="minorEastAsia" w:hAnsi="Times New Roman" w:cs="Times New Roman"/>
      <w:sz w:val="24"/>
      <w:szCs w:val="24"/>
      <w:lang w:eastAsia="en-US"/>
    </w:rPr>
  </w:style>
  <w:style w:type="table" w:styleId="TableGrid">
    <w:name w:val="Table Grid"/>
    <w:basedOn w:val="TableNormal"/>
    <w:rsid w:val="006A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870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387092"/>
    <w:pPr>
      <w:keepNext/>
      <w:spacing w:before="240" w:after="60"/>
      <w:ind w:firstLine="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F47C3"/>
    <w:rPr>
      <w:rFonts w:ascii="Tahoma" w:hAnsi="Tahoma" w:cs="Tahoma"/>
      <w:sz w:val="16"/>
      <w:szCs w:val="16"/>
    </w:rPr>
  </w:style>
  <w:style w:type="character" w:customStyle="1" w:styleId="BalloonTextChar">
    <w:name w:val="Balloon Text Char"/>
    <w:basedOn w:val="DefaultParagraphFont"/>
    <w:link w:val="BalloonText"/>
    <w:rsid w:val="002F47C3"/>
    <w:rPr>
      <w:rFonts w:ascii="Tahoma" w:eastAsia="SimSun" w:hAnsi="Tahoma" w:cs="Tahoma"/>
      <w:sz w:val="16"/>
      <w:szCs w:val="16"/>
      <w:lang w:eastAsia="zh-CN"/>
    </w:rPr>
  </w:style>
  <w:style w:type="paragraph" w:styleId="ListParagraph">
    <w:name w:val="List Paragraph"/>
    <w:basedOn w:val="Normal"/>
    <w:uiPriority w:val="34"/>
    <w:qFormat/>
    <w:rsid w:val="000F328A"/>
    <w:pPr>
      <w:ind w:left="720"/>
      <w:contextualSpacing/>
    </w:pPr>
  </w:style>
  <w:style w:type="character" w:styleId="CommentReference">
    <w:name w:val="annotation reference"/>
    <w:basedOn w:val="DefaultParagraphFont"/>
    <w:rsid w:val="009F5D6E"/>
    <w:rPr>
      <w:sz w:val="16"/>
      <w:szCs w:val="16"/>
    </w:rPr>
  </w:style>
  <w:style w:type="paragraph" w:styleId="CommentSubject">
    <w:name w:val="annotation subject"/>
    <w:basedOn w:val="CommentText"/>
    <w:next w:val="CommentText"/>
    <w:link w:val="CommentSubjectChar"/>
    <w:rsid w:val="009F5D6E"/>
    <w:rPr>
      <w:b/>
      <w:bCs/>
      <w:sz w:val="20"/>
    </w:rPr>
  </w:style>
  <w:style w:type="character" w:customStyle="1" w:styleId="CommentTextChar">
    <w:name w:val="Comment Text Char"/>
    <w:basedOn w:val="DefaultParagraphFont"/>
    <w:link w:val="CommentText"/>
    <w:semiHidden/>
    <w:rsid w:val="009F5D6E"/>
    <w:rPr>
      <w:rFonts w:ascii="Arial" w:eastAsia="SimSun" w:hAnsi="Arial" w:cs="Arial"/>
      <w:sz w:val="18"/>
      <w:lang w:eastAsia="zh-CN"/>
    </w:rPr>
  </w:style>
  <w:style w:type="character" w:customStyle="1" w:styleId="CommentSubjectChar">
    <w:name w:val="Comment Subject Char"/>
    <w:basedOn w:val="CommentTextChar"/>
    <w:link w:val="CommentSubject"/>
    <w:rsid w:val="009F5D6E"/>
    <w:rPr>
      <w:rFonts w:ascii="Arial" w:eastAsia="SimSun" w:hAnsi="Arial" w:cs="Arial"/>
      <w:b/>
      <w:bCs/>
      <w:sz w:val="18"/>
      <w:lang w:eastAsia="zh-CN"/>
    </w:rPr>
  </w:style>
  <w:style w:type="character" w:styleId="FootnoteReference">
    <w:name w:val="footnote reference"/>
    <w:basedOn w:val="DefaultParagraphFont"/>
    <w:rsid w:val="000C6327"/>
    <w:rPr>
      <w:vertAlign w:val="superscript"/>
    </w:rPr>
  </w:style>
  <w:style w:type="paragraph" w:styleId="NormalWeb">
    <w:name w:val="Normal (Web)"/>
    <w:basedOn w:val="Normal"/>
    <w:uiPriority w:val="99"/>
    <w:unhideWhenUsed/>
    <w:rsid w:val="001078E4"/>
    <w:pPr>
      <w:spacing w:before="100" w:beforeAutospacing="1" w:after="100" w:afterAutospacing="1"/>
    </w:pPr>
    <w:rPr>
      <w:rFonts w:ascii="Times New Roman" w:eastAsiaTheme="minorEastAsia" w:hAnsi="Times New Roman" w:cs="Times New Roman"/>
      <w:sz w:val="24"/>
      <w:szCs w:val="24"/>
      <w:lang w:eastAsia="en-US"/>
    </w:rPr>
  </w:style>
  <w:style w:type="table" w:styleId="TableGrid">
    <w:name w:val="Table Grid"/>
    <w:basedOn w:val="TableNormal"/>
    <w:rsid w:val="006A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87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FA26-D729-463C-A23F-96C7DC9C6E82}">
  <ds:schemaRefs>
    <ds:schemaRef ds:uri="http://schemas.openxmlformats.org/officeDocument/2006/bibliography"/>
  </ds:schemaRefs>
</ds:datastoreItem>
</file>

<file path=customXml/itemProps2.xml><?xml version="1.0" encoding="utf-8"?>
<ds:datastoreItem xmlns:ds="http://schemas.openxmlformats.org/officeDocument/2006/customXml" ds:itemID="{1ED3D545-CE5F-47E4-B36F-2CFEB81C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2448</Words>
  <Characters>14499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HOWARD Emily</dc:creator>
  <cp:keywords>NGG/sc/ko</cp:keywords>
  <cp:lastModifiedBy>DOYON Geneviève</cp:lastModifiedBy>
  <cp:revision>2</cp:revision>
  <cp:lastPrinted>2014-08-07T12:11:00Z</cp:lastPrinted>
  <dcterms:created xsi:type="dcterms:W3CDTF">2014-08-07T12:55:00Z</dcterms:created>
  <dcterms:modified xsi:type="dcterms:W3CDTF">2014-08-07T12:55:00Z</dcterms:modified>
</cp:coreProperties>
</file>