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7006D" w:rsidRPr="00D7006D" w:rsidTr="00CB6F73">
        <w:tc>
          <w:tcPr>
            <w:tcW w:w="4513" w:type="dxa"/>
            <w:tcBorders>
              <w:bottom w:val="single" w:sz="4" w:space="0" w:color="auto"/>
            </w:tcBorders>
            <w:tcMar>
              <w:bottom w:w="170" w:type="dxa"/>
            </w:tcMar>
          </w:tcPr>
          <w:p w:rsidR="00921902" w:rsidRPr="00D7006D" w:rsidRDefault="00921902" w:rsidP="006C7F66">
            <w:pPr>
              <w:pStyle w:val="ONUMFS"/>
              <w:numPr>
                <w:ilvl w:val="0"/>
                <w:numId w:val="0"/>
              </w:numPr>
              <w:rPr>
                <w:lang w:val="fr-FR"/>
              </w:rPr>
            </w:pPr>
            <w:bookmarkStart w:id="0" w:name="_GoBack"/>
            <w:bookmarkEnd w:id="0"/>
          </w:p>
        </w:tc>
        <w:tc>
          <w:tcPr>
            <w:tcW w:w="4337" w:type="dxa"/>
            <w:tcBorders>
              <w:bottom w:val="single" w:sz="4" w:space="0" w:color="auto"/>
            </w:tcBorders>
            <w:tcMar>
              <w:left w:w="0" w:type="dxa"/>
              <w:right w:w="0" w:type="dxa"/>
            </w:tcMar>
          </w:tcPr>
          <w:p w:rsidR="00921902" w:rsidRPr="00D7006D" w:rsidRDefault="00921902" w:rsidP="006C7F66">
            <w:pPr>
              <w:rPr>
                <w:lang w:val="fr-FR"/>
              </w:rPr>
            </w:pPr>
            <w:r w:rsidRPr="00D7006D">
              <w:rPr>
                <w:noProof/>
                <w:lang w:eastAsia="en-US"/>
              </w:rPr>
              <w:drawing>
                <wp:inline distT="0" distB="0" distL="0" distR="0" wp14:anchorId="659DAFE1" wp14:editId="6D71439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21902" w:rsidRPr="00D7006D" w:rsidRDefault="00921902" w:rsidP="006C7F66">
            <w:pPr>
              <w:jc w:val="right"/>
              <w:rPr>
                <w:lang w:val="fr-FR"/>
              </w:rPr>
            </w:pPr>
            <w:r w:rsidRPr="00D7006D">
              <w:rPr>
                <w:b/>
                <w:sz w:val="40"/>
                <w:szCs w:val="40"/>
                <w:lang w:val="fr-FR"/>
              </w:rPr>
              <w:t>F</w:t>
            </w:r>
          </w:p>
        </w:tc>
      </w:tr>
      <w:tr w:rsidR="00D7006D" w:rsidRPr="00D7006D" w:rsidTr="006C7F66">
        <w:trPr>
          <w:trHeight w:hRule="exact" w:val="340"/>
        </w:trPr>
        <w:tc>
          <w:tcPr>
            <w:tcW w:w="9356" w:type="dxa"/>
            <w:gridSpan w:val="3"/>
            <w:tcBorders>
              <w:top w:val="single" w:sz="4" w:space="0" w:color="auto"/>
            </w:tcBorders>
            <w:tcMar>
              <w:top w:w="170" w:type="dxa"/>
              <w:left w:w="0" w:type="dxa"/>
              <w:right w:w="0" w:type="dxa"/>
            </w:tcMar>
            <w:vAlign w:val="bottom"/>
          </w:tcPr>
          <w:p w:rsidR="00921902" w:rsidRPr="00D7006D" w:rsidRDefault="00921902" w:rsidP="00770E5B">
            <w:pPr>
              <w:jc w:val="right"/>
              <w:rPr>
                <w:rFonts w:ascii="Arial Black" w:hAnsi="Arial Black"/>
                <w:caps/>
                <w:sz w:val="15"/>
                <w:lang w:val="fr-FR"/>
              </w:rPr>
            </w:pPr>
            <w:r w:rsidRPr="00D7006D">
              <w:rPr>
                <w:rFonts w:ascii="Arial Black" w:hAnsi="Arial Black"/>
                <w:caps/>
                <w:sz w:val="15"/>
                <w:lang w:val="fr-FR"/>
              </w:rPr>
              <w:t>WO/PBC/22/</w:t>
            </w:r>
            <w:bookmarkStart w:id="1" w:name="Code"/>
            <w:bookmarkEnd w:id="1"/>
            <w:r w:rsidRPr="00D7006D">
              <w:rPr>
                <w:rFonts w:ascii="Arial Black" w:hAnsi="Arial Black"/>
                <w:caps/>
                <w:sz w:val="15"/>
                <w:lang w:val="fr-FR"/>
              </w:rPr>
              <w:t>2</w:t>
            </w:r>
            <w:r w:rsidR="00770E5B" w:rsidRPr="00D7006D">
              <w:rPr>
                <w:rFonts w:ascii="Arial Black" w:hAnsi="Arial Black"/>
                <w:caps/>
                <w:sz w:val="15"/>
                <w:lang w:val="fr-FR"/>
              </w:rPr>
              <w:t>5</w:t>
            </w:r>
            <w:r w:rsidRPr="00D7006D">
              <w:rPr>
                <w:rFonts w:ascii="Arial Black" w:hAnsi="Arial Black"/>
                <w:caps/>
                <w:sz w:val="15"/>
                <w:lang w:val="fr-FR"/>
              </w:rPr>
              <w:t xml:space="preserve"> </w:t>
            </w:r>
          </w:p>
        </w:tc>
      </w:tr>
      <w:tr w:rsidR="00D7006D" w:rsidRPr="00D7006D" w:rsidTr="006C7F66">
        <w:trPr>
          <w:trHeight w:hRule="exact" w:val="170"/>
        </w:trPr>
        <w:tc>
          <w:tcPr>
            <w:tcW w:w="9356" w:type="dxa"/>
            <w:gridSpan w:val="3"/>
            <w:noWrap/>
            <w:tcMar>
              <w:left w:w="0" w:type="dxa"/>
              <w:right w:w="0" w:type="dxa"/>
            </w:tcMar>
            <w:vAlign w:val="bottom"/>
          </w:tcPr>
          <w:p w:rsidR="00921902" w:rsidRPr="00D7006D" w:rsidRDefault="00921902" w:rsidP="006C7F66">
            <w:pPr>
              <w:jc w:val="right"/>
              <w:rPr>
                <w:rFonts w:ascii="Arial Black" w:hAnsi="Arial Black"/>
                <w:caps/>
                <w:sz w:val="15"/>
                <w:lang w:val="fr-FR"/>
              </w:rPr>
            </w:pPr>
            <w:r w:rsidRPr="00D7006D">
              <w:rPr>
                <w:rFonts w:ascii="Arial Black" w:hAnsi="Arial Black"/>
                <w:caps/>
                <w:sz w:val="15"/>
                <w:lang w:val="fr-FR"/>
              </w:rPr>
              <w:t xml:space="preserve">ORIGINAL : </w:t>
            </w:r>
            <w:bookmarkStart w:id="2" w:name="Original"/>
            <w:bookmarkEnd w:id="2"/>
            <w:r w:rsidRPr="00D7006D">
              <w:rPr>
                <w:rFonts w:ascii="Arial Black" w:hAnsi="Arial Black"/>
                <w:caps/>
                <w:sz w:val="15"/>
                <w:lang w:val="fr-FR"/>
              </w:rPr>
              <w:t>anglais</w:t>
            </w:r>
          </w:p>
        </w:tc>
      </w:tr>
      <w:tr w:rsidR="00D7006D" w:rsidRPr="00D7006D" w:rsidTr="006C7F66">
        <w:trPr>
          <w:trHeight w:hRule="exact" w:val="198"/>
        </w:trPr>
        <w:tc>
          <w:tcPr>
            <w:tcW w:w="9356" w:type="dxa"/>
            <w:gridSpan w:val="3"/>
            <w:tcMar>
              <w:left w:w="0" w:type="dxa"/>
              <w:right w:w="0" w:type="dxa"/>
            </w:tcMar>
            <w:vAlign w:val="bottom"/>
          </w:tcPr>
          <w:p w:rsidR="00921902" w:rsidRPr="00D7006D" w:rsidRDefault="00770E5B" w:rsidP="00770E5B">
            <w:pPr>
              <w:jc w:val="right"/>
              <w:rPr>
                <w:rFonts w:ascii="Arial Black" w:hAnsi="Arial Black"/>
                <w:caps/>
                <w:sz w:val="15"/>
                <w:lang w:val="fr-FR"/>
              </w:rPr>
            </w:pPr>
            <w:r w:rsidRPr="00D7006D">
              <w:rPr>
                <w:rFonts w:ascii="Arial Black" w:hAnsi="Arial Black"/>
                <w:caps/>
                <w:sz w:val="15"/>
                <w:lang w:val="fr-FR"/>
              </w:rPr>
              <w:t>DATE : 23</w:t>
            </w:r>
            <w:r w:rsidR="00921902" w:rsidRPr="00D7006D">
              <w:rPr>
                <w:rFonts w:ascii="Arial Black" w:hAnsi="Arial Black"/>
                <w:caps/>
                <w:sz w:val="15"/>
                <w:lang w:val="fr-FR"/>
              </w:rPr>
              <w:t> juillet 2014</w:t>
            </w:r>
          </w:p>
        </w:tc>
      </w:tr>
    </w:tbl>
    <w:p w:rsidR="00921902" w:rsidRPr="00D7006D" w:rsidRDefault="00921902" w:rsidP="00921902">
      <w:pPr>
        <w:rPr>
          <w:lang w:val="fr-FR"/>
        </w:rPr>
      </w:pPr>
    </w:p>
    <w:p w:rsidR="00921902" w:rsidRPr="00D7006D" w:rsidRDefault="00921902" w:rsidP="00921902">
      <w:pPr>
        <w:rPr>
          <w:lang w:val="fr-FR"/>
        </w:rPr>
      </w:pPr>
    </w:p>
    <w:p w:rsidR="00921902" w:rsidRPr="00D7006D" w:rsidRDefault="00921902" w:rsidP="00921902">
      <w:pPr>
        <w:rPr>
          <w:lang w:val="fr-FR"/>
        </w:rPr>
      </w:pPr>
    </w:p>
    <w:p w:rsidR="00921902" w:rsidRPr="00D7006D" w:rsidRDefault="00921902" w:rsidP="00921902">
      <w:pPr>
        <w:rPr>
          <w:lang w:val="fr-FR"/>
        </w:rPr>
      </w:pPr>
    </w:p>
    <w:p w:rsidR="00921902" w:rsidRPr="00D7006D" w:rsidRDefault="00921902" w:rsidP="00921902">
      <w:pPr>
        <w:rPr>
          <w:lang w:val="fr-FR"/>
        </w:rPr>
      </w:pPr>
    </w:p>
    <w:p w:rsidR="00921902" w:rsidRPr="00D7006D" w:rsidRDefault="00921902" w:rsidP="00921902">
      <w:pPr>
        <w:rPr>
          <w:b/>
          <w:sz w:val="28"/>
          <w:szCs w:val="28"/>
          <w:lang w:val="fr-FR"/>
        </w:rPr>
      </w:pPr>
      <w:r w:rsidRPr="00D7006D">
        <w:rPr>
          <w:b/>
          <w:sz w:val="28"/>
          <w:szCs w:val="28"/>
          <w:lang w:val="fr-FR"/>
        </w:rPr>
        <w:t>Comit</w:t>
      </w:r>
      <w:r w:rsidRPr="00D7006D">
        <w:rPr>
          <w:rFonts w:cs="Simplified Arabic"/>
          <w:b/>
          <w:sz w:val="28"/>
          <w:szCs w:val="28"/>
          <w:lang w:val="fr-FR"/>
        </w:rPr>
        <w:t>é</w:t>
      </w:r>
      <w:r w:rsidRPr="00D7006D">
        <w:rPr>
          <w:b/>
          <w:sz w:val="28"/>
          <w:szCs w:val="28"/>
          <w:lang w:val="fr-FR"/>
        </w:rPr>
        <w:t xml:space="preserve"> du programme et budget</w:t>
      </w:r>
    </w:p>
    <w:p w:rsidR="00921902" w:rsidRPr="00D7006D" w:rsidRDefault="00921902" w:rsidP="00921902">
      <w:pPr>
        <w:rPr>
          <w:lang w:val="fr-FR"/>
        </w:rPr>
      </w:pPr>
    </w:p>
    <w:p w:rsidR="00921902" w:rsidRPr="00D7006D" w:rsidRDefault="00921902" w:rsidP="00921902">
      <w:pPr>
        <w:rPr>
          <w:lang w:val="fr-FR"/>
        </w:rPr>
      </w:pPr>
    </w:p>
    <w:p w:rsidR="00921902" w:rsidRPr="00D7006D" w:rsidRDefault="00921902" w:rsidP="00921902">
      <w:pPr>
        <w:rPr>
          <w:b/>
          <w:sz w:val="24"/>
          <w:szCs w:val="24"/>
          <w:lang w:val="fr-FR"/>
        </w:rPr>
      </w:pPr>
      <w:r w:rsidRPr="00D7006D">
        <w:rPr>
          <w:b/>
          <w:bCs/>
          <w:sz w:val="24"/>
          <w:szCs w:val="24"/>
          <w:lang w:val="fr-FR"/>
        </w:rPr>
        <w:t>Vingt</w:t>
      </w:r>
      <w:r w:rsidR="00770E5B" w:rsidRPr="00D7006D">
        <w:rPr>
          <w:b/>
          <w:bCs/>
          <w:sz w:val="24"/>
          <w:szCs w:val="24"/>
          <w:lang w:val="fr-FR"/>
        </w:rPr>
        <w:noBreakHyphen/>
      </w:r>
      <w:r w:rsidRPr="00D7006D">
        <w:rPr>
          <w:b/>
          <w:bCs/>
          <w:sz w:val="24"/>
          <w:szCs w:val="24"/>
          <w:lang w:val="fr-FR"/>
        </w:rPr>
        <w:t>deuxième</w:t>
      </w:r>
      <w:r w:rsidR="00D75ABD" w:rsidRPr="00D7006D">
        <w:rPr>
          <w:b/>
          <w:bCs/>
          <w:sz w:val="24"/>
          <w:szCs w:val="24"/>
          <w:lang w:val="fr-FR"/>
        </w:rPr>
        <w:t> </w:t>
      </w:r>
      <w:r w:rsidRPr="00D7006D">
        <w:rPr>
          <w:b/>
          <w:bCs/>
          <w:sz w:val="24"/>
          <w:szCs w:val="24"/>
          <w:lang w:val="fr-FR"/>
        </w:rPr>
        <w:t>se</w:t>
      </w:r>
      <w:r w:rsidRPr="00D7006D">
        <w:rPr>
          <w:b/>
          <w:sz w:val="24"/>
          <w:szCs w:val="24"/>
          <w:lang w:val="fr-FR"/>
        </w:rPr>
        <w:t>ssion</w:t>
      </w:r>
    </w:p>
    <w:p w:rsidR="00921902" w:rsidRPr="00D7006D" w:rsidRDefault="00921902" w:rsidP="00921902">
      <w:pPr>
        <w:rPr>
          <w:lang w:val="fr-FR"/>
        </w:rPr>
      </w:pPr>
      <w:r w:rsidRPr="00D7006D">
        <w:rPr>
          <w:b/>
          <w:sz w:val="24"/>
          <w:szCs w:val="24"/>
          <w:lang w:val="fr-FR"/>
        </w:rPr>
        <w:t xml:space="preserve">Genève, </w:t>
      </w:r>
      <w:r w:rsidR="00CB6F73" w:rsidRPr="00D7006D">
        <w:rPr>
          <w:b/>
          <w:sz w:val="24"/>
          <w:szCs w:val="24"/>
          <w:lang w:val="fr-FR"/>
        </w:rPr>
        <w:t>1</w:t>
      </w:r>
      <w:r w:rsidR="00CB6F73" w:rsidRPr="00D7006D">
        <w:rPr>
          <w:b/>
          <w:sz w:val="24"/>
          <w:szCs w:val="24"/>
          <w:vertAlign w:val="superscript"/>
          <w:lang w:val="fr-FR"/>
        </w:rPr>
        <w:t>er</w:t>
      </w:r>
      <w:r w:rsidR="00CB6F73" w:rsidRPr="00D7006D">
        <w:rPr>
          <w:b/>
          <w:sz w:val="24"/>
          <w:szCs w:val="24"/>
          <w:lang w:val="fr-FR"/>
        </w:rPr>
        <w:t> </w:t>
      </w:r>
      <w:r w:rsidRPr="00D7006D">
        <w:rPr>
          <w:b/>
          <w:sz w:val="24"/>
          <w:szCs w:val="24"/>
          <w:lang w:val="fr-FR"/>
        </w:rPr>
        <w:t>– 5 septembre 2014</w:t>
      </w:r>
    </w:p>
    <w:p w:rsidR="00921902" w:rsidRPr="00D7006D" w:rsidRDefault="00921902" w:rsidP="00921902">
      <w:pPr>
        <w:rPr>
          <w:lang w:val="fr-FR"/>
        </w:rPr>
      </w:pPr>
    </w:p>
    <w:p w:rsidR="00921902" w:rsidRPr="00D7006D" w:rsidRDefault="00921902" w:rsidP="00921902">
      <w:pPr>
        <w:rPr>
          <w:lang w:val="fr-FR"/>
        </w:rPr>
      </w:pPr>
    </w:p>
    <w:p w:rsidR="00E00028" w:rsidRPr="00D7006D" w:rsidRDefault="00FF3783" w:rsidP="00FF3783">
      <w:pPr>
        <w:rPr>
          <w:caps/>
          <w:sz w:val="24"/>
          <w:lang w:val="fr-FR"/>
        </w:rPr>
      </w:pPr>
      <w:r w:rsidRPr="00D7006D">
        <w:rPr>
          <w:caps/>
          <w:sz w:val="24"/>
          <w:lang w:val="fr-FR"/>
        </w:rPr>
        <w:t>bureaux extérieurs</w:t>
      </w:r>
    </w:p>
    <w:p w:rsidR="00E00028" w:rsidRPr="00D7006D" w:rsidRDefault="00E00028" w:rsidP="008B2CC1">
      <w:pPr>
        <w:rPr>
          <w:lang w:val="fr-FR"/>
        </w:rPr>
      </w:pPr>
    </w:p>
    <w:p w:rsidR="00E00028" w:rsidRPr="00D7006D" w:rsidRDefault="00FF3783" w:rsidP="00FF3783">
      <w:pPr>
        <w:rPr>
          <w:i/>
          <w:lang w:val="fr-FR"/>
        </w:rPr>
      </w:pPr>
      <w:r w:rsidRPr="00D7006D">
        <w:rPr>
          <w:i/>
          <w:lang w:val="fr-FR"/>
        </w:rPr>
        <w:t>Document établi par le Secrétariat</w:t>
      </w:r>
    </w:p>
    <w:p w:rsidR="00E00028" w:rsidRPr="00D7006D" w:rsidRDefault="00E00028">
      <w:pPr>
        <w:rPr>
          <w:lang w:val="fr-FR"/>
        </w:rPr>
      </w:pPr>
    </w:p>
    <w:p w:rsidR="00E00028" w:rsidRPr="00D7006D" w:rsidRDefault="00E00028" w:rsidP="00E8301A">
      <w:pPr>
        <w:rPr>
          <w:b/>
          <w:bCs/>
          <w:lang w:val="fr-FR"/>
        </w:rPr>
      </w:pPr>
    </w:p>
    <w:p w:rsidR="00E00028" w:rsidRPr="00D7006D" w:rsidRDefault="00E00028" w:rsidP="00E8301A">
      <w:pPr>
        <w:rPr>
          <w:b/>
          <w:bCs/>
          <w:lang w:val="fr-FR"/>
        </w:rPr>
      </w:pPr>
    </w:p>
    <w:p w:rsidR="00E00028" w:rsidRPr="00D7006D" w:rsidRDefault="00E00028" w:rsidP="00E8301A">
      <w:pPr>
        <w:rPr>
          <w:b/>
          <w:bCs/>
          <w:lang w:val="fr-FR"/>
        </w:rPr>
      </w:pPr>
    </w:p>
    <w:p w:rsidR="00E00028" w:rsidRPr="00D7006D" w:rsidRDefault="007B40E8" w:rsidP="00921902">
      <w:pPr>
        <w:pStyle w:val="ONUMFS"/>
        <w:rPr>
          <w:lang w:val="fr-FR"/>
        </w:rPr>
      </w:pPr>
      <w:r w:rsidRPr="00D7006D">
        <w:rPr>
          <w:lang w:val="fr-FR"/>
        </w:rPr>
        <w:t>Il est rappelé qu</w:t>
      </w:r>
      <w:r w:rsidR="00843EEE">
        <w:rPr>
          <w:lang w:val="fr-FR"/>
        </w:rPr>
        <w:t>e, à leur</w:t>
      </w:r>
      <w:r w:rsidRPr="00D7006D">
        <w:rPr>
          <w:lang w:val="fr-FR"/>
        </w:rPr>
        <w:t xml:space="preserve"> cinqu</w:t>
      </w:r>
      <w:r w:rsidR="002020BA" w:rsidRPr="00D7006D">
        <w:rPr>
          <w:lang w:val="fr-FR"/>
        </w:rPr>
        <w:t>ante</w:t>
      </w:r>
      <w:r w:rsidR="00770E5B" w:rsidRPr="00D7006D">
        <w:rPr>
          <w:lang w:val="fr-FR"/>
        </w:rPr>
        <w:noBreakHyphen/>
      </w:r>
      <w:r w:rsidR="002020BA" w:rsidRPr="00D7006D">
        <w:rPr>
          <w:lang w:val="fr-FR"/>
        </w:rPr>
        <w:t>deuxième série de réunions</w:t>
      </w:r>
      <w:r w:rsidR="00843EEE">
        <w:rPr>
          <w:lang w:val="fr-FR"/>
        </w:rPr>
        <w:t>, l</w:t>
      </w:r>
      <w:r w:rsidRPr="00D7006D">
        <w:rPr>
          <w:lang w:val="fr-FR"/>
        </w:rPr>
        <w:t>es assemblées des États membres de l</w:t>
      </w:r>
      <w:r w:rsidR="00CB6F73" w:rsidRPr="00D7006D">
        <w:rPr>
          <w:lang w:val="fr-FR"/>
        </w:rPr>
        <w:t>’</w:t>
      </w:r>
      <w:r w:rsidRPr="00D7006D">
        <w:rPr>
          <w:lang w:val="fr-FR"/>
        </w:rPr>
        <w:t>OMPI et des unions administrées par l</w:t>
      </w:r>
      <w:r w:rsidR="00CB6F73" w:rsidRPr="00D7006D">
        <w:rPr>
          <w:lang w:val="fr-FR"/>
        </w:rPr>
        <w:t>’</w:t>
      </w:r>
      <w:r w:rsidRPr="00D7006D">
        <w:rPr>
          <w:lang w:val="fr-FR"/>
        </w:rPr>
        <w:t>OMPI, chacune pour ce qui la concerne, ont décidé de poursuivre les consultations à participation non limitée, sous la direction de la présidente de l</w:t>
      </w:r>
      <w:r w:rsidR="00CB6F73" w:rsidRPr="00D7006D">
        <w:rPr>
          <w:lang w:val="fr-FR"/>
        </w:rPr>
        <w:t>’</w:t>
      </w:r>
      <w:r w:rsidRPr="00D7006D">
        <w:rPr>
          <w:lang w:val="fr-FR"/>
        </w:rPr>
        <w:t>Assemblée générale, au sujet des principes directeurs généraux proposés concernant les bureaux extérieurs de l</w:t>
      </w:r>
      <w:r w:rsidR="00CB6F73" w:rsidRPr="00D7006D">
        <w:rPr>
          <w:lang w:val="fr-FR"/>
        </w:rPr>
        <w:t>’</w:t>
      </w:r>
      <w:r w:rsidRPr="00D7006D">
        <w:rPr>
          <w:lang w:val="fr-FR"/>
        </w:rPr>
        <w:t>OMPI, qui figurent à l</w:t>
      </w:r>
      <w:r w:rsidR="00CB6F73" w:rsidRPr="00D7006D">
        <w:rPr>
          <w:lang w:val="fr-FR"/>
        </w:rPr>
        <w:t>’</w:t>
      </w:r>
      <w:r w:rsidRPr="00D7006D">
        <w:rPr>
          <w:lang w:val="fr-FR"/>
        </w:rPr>
        <w:t>annexe du document A/52/5, et de la création de bureaux extérieurs de l</w:t>
      </w:r>
      <w:r w:rsidR="00CB6F73" w:rsidRPr="00D7006D">
        <w:rPr>
          <w:lang w:val="fr-FR"/>
        </w:rPr>
        <w:t>’</w:t>
      </w:r>
      <w:r w:rsidRPr="00D7006D">
        <w:rPr>
          <w:lang w:val="fr-FR"/>
        </w:rPr>
        <w:t>OMPI, compte tenu de toutes les propositions, documents connexes y compris, mais pas exclusivement, les documents soumis à la cinquante et unième série de réunions des assemblées au titre du point 14 de l</w:t>
      </w:r>
      <w:r w:rsidR="00CB6F73" w:rsidRPr="00D7006D">
        <w:rPr>
          <w:lang w:val="fr-FR"/>
        </w:rPr>
        <w:t>’</w:t>
      </w:r>
      <w:r w:rsidRPr="00D7006D">
        <w:rPr>
          <w:lang w:val="fr-FR"/>
        </w:rPr>
        <w:t>ordre du jour et à la cinquante</w:t>
      </w:r>
      <w:r w:rsidR="00770E5B" w:rsidRPr="00D7006D">
        <w:rPr>
          <w:lang w:val="fr-FR"/>
        </w:rPr>
        <w:noBreakHyphen/>
      </w:r>
      <w:r w:rsidRPr="00D7006D">
        <w:rPr>
          <w:lang w:val="fr-FR"/>
        </w:rPr>
        <w:t>deuxième série de réunions des assemblées au titre du point 5 de l</w:t>
      </w:r>
      <w:r w:rsidR="00CB6F73" w:rsidRPr="00D7006D">
        <w:rPr>
          <w:lang w:val="fr-FR"/>
        </w:rPr>
        <w:t>’</w:t>
      </w:r>
      <w:r w:rsidRPr="00D7006D">
        <w:rPr>
          <w:lang w:val="fr-FR"/>
        </w:rPr>
        <w:t>ordre du jour, et positions et préoccupations, y compris sur le processus, exprimées par les États membres aux sessions du Comité du programme et budget (PBC) et des assemblées, pour examen et recommandation par le PBC et décision de l</w:t>
      </w:r>
      <w:r w:rsidR="00CB6F73" w:rsidRPr="00D7006D">
        <w:rPr>
          <w:lang w:val="fr-FR"/>
        </w:rPr>
        <w:t>’</w:t>
      </w:r>
      <w:r w:rsidRPr="00D7006D">
        <w:rPr>
          <w:lang w:val="fr-FR"/>
        </w:rPr>
        <w:t>Assemblée générale prévue pour septembre 2014</w:t>
      </w:r>
      <w:r w:rsidR="00921902" w:rsidRPr="00D7006D">
        <w:rPr>
          <w:lang w:val="fr-FR"/>
        </w:rPr>
        <w:t xml:space="preserve"> (voir paragraphe </w:t>
      </w:r>
      <w:r w:rsidRPr="00D7006D">
        <w:rPr>
          <w:lang w:val="fr-FR"/>
        </w:rPr>
        <w:t>112 du document A/52/6).</w:t>
      </w:r>
    </w:p>
    <w:p w:rsidR="00CB6F73" w:rsidRPr="00D7006D" w:rsidRDefault="00E00028" w:rsidP="00843EEE">
      <w:pPr>
        <w:pStyle w:val="ONUMFS"/>
        <w:rPr>
          <w:lang w:val="fr-FR"/>
        </w:rPr>
      </w:pPr>
      <w:r w:rsidRPr="00D7006D">
        <w:rPr>
          <w:lang w:val="fr-FR"/>
        </w:rPr>
        <w:t>L</w:t>
      </w:r>
      <w:r w:rsidR="002020BA" w:rsidRPr="00D7006D">
        <w:rPr>
          <w:lang w:val="fr-FR"/>
        </w:rPr>
        <w:t>a</w:t>
      </w:r>
      <w:r w:rsidRPr="00D7006D">
        <w:rPr>
          <w:lang w:val="fr-FR"/>
        </w:rPr>
        <w:t xml:space="preserve"> président</w:t>
      </w:r>
      <w:r w:rsidR="002020BA" w:rsidRPr="00D7006D">
        <w:rPr>
          <w:lang w:val="fr-FR"/>
        </w:rPr>
        <w:t>e</w:t>
      </w:r>
      <w:r w:rsidRPr="00D7006D">
        <w:rPr>
          <w:lang w:val="fr-FR"/>
        </w:rPr>
        <w:t xml:space="preserve"> de l</w:t>
      </w:r>
      <w:r w:rsidR="00CB6F73" w:rsidRPr="00D7006D">
        <w:rPr>
          <w:lang w:val="fr-FR"/>
        </w:rPr>
        <w:t>’</w:t>
      </w:r>
      <w:r w:rsidRPr="00D7006D">
        <w:rPr>
          <w:lang w:val="fr-FR"/>
        </w:rPr>
        <w:t>Assemblée générale a demandé à l</w:t>
      </w:r>
      <w:r w:rsidR="00CB6F73" w:rsidRPr="00D7006D">
        <w:rPr>
          <w:lang w:val="fr-FR"/>
        </w:rPr>
        <w:t>’</w:t>
      </w:r>
      <w:r w:rsidR="00C249B4" w:rsidRPr="00D7006D">
        <w:rPr>
          <w:lang w:val="fr-FR"/>
        </w:rPr>
        <w:t>A</w:t>
      </w:r>
      <w:r w:rsidRPr="00D7006D">
        <w:rPr>
          <w:lang w:val="fr-FR"/>
        </w:rPr>
        <w:t>mbassadeur de l</w:t>
      </w:r>
      <w:r w:rsidR="00CB6F73" w:rsidRPr="00D7006D">
        <w:rPr>
          <w:lang w:val="fr-FR"/>
        </w:rPr>
        <w:t>’</w:t>
      </w:r>
      <w:r w:rsidRPr="00D7006D">
        <w:rPr>
          <w:lang w:val="fr-FR"/>
        </w:rPr>
        <w:t>Allemagne, M. </w:t>
      </w:r>
      <w:proofErr w:type="spellStart"/>
      <w:r w:rsidRPr="00D7006D">
        <w:rPr>
          <w:lang w:val="fr-FR"/>
        </w:rPr>
        <w:t>Fitchen</w:t>
      </w:r>
      <w:proofErr w:type="spellEnd"/>
      <w:r w:rsidRPr="00D7006D">
        <w:rPr>
          <w:lang w:val="fr-FR"/>
        </w:rPr>
        <w:t>, de faire office de facilitateur pour les consultations relati</w:t>
      </w:r>
      <w:r w:rsidR="002020BA" w:rsidRPr="00D7006D">
        <w:rPr>
          <w:lang w:val="fr-FR"/>
        </w:rPr>
        <w:t>ves</w:t>
      </w:r>
      <w:r w:rsidRPr="00D7006D">
        <w:rPr>
          <w:lang w:val="fr-FR"/>
        </w:rPr>
        <w:t xml:space="preserve"> aux bureaux extérieurs de l</w:t>
      </w:r>
      <w:r w:rsidR="00CB6F73" w:rsidRPr="00D7006D">
        <w:rPr>
          <w:lang w:val="fr-FR"/>
        </w:rPr>
        <w:t>’</w:t>
      </w:r>
      <w:r w:rsidRPr="00D7006D">
        <w:rPr>
          <w:lang w:val="fr-FR"/>
        </w:rPr>
        <w:t>OMPI.</w:t>
      </w:r>
      <w:r w:rsidR="00D7259F" w:rsidRPr="00D7006D">
        <w:rPr>
          <w:lang w:val="fr-FR"/>
        </w:rPr>
        <w:t xml:space="preserve">  </w:t>
      </w:r>
      <w:r w:rsidRPr="00D7006D">
        <w:rPr>
          <w:lang w:val="fr-FR"/>
        </w:rPr>
        <w:t>À l</w:t>
      </w:r>
      <w:r w:rsidR="00CB6F73" w:rsidRPr="00D7006D">
        <w:rPr>
          <w:lang w:val="fr-FR"/>
        </w:rPr>
        <w:t>’</w:t>
      </w:r>
      <w:r w:rsidRPr="00D7006D">
        <w:rPr>
          <w:lang w:val="fr-FR"/>
        </w:rPr>
        <w:t>issue de huit</w:t>
      </w:r>
      <w:r w:rsidR="00D75ABD" w:rsidRPr="00D7006D">
        <w:rPr>
          <w:lang w:val="fr-FR"/>
        </w:rPr>
        <w:t> </w:t>
      </w:r>
      <w:r w:rsidRPr="00D7006D">
        <w:rPr>
          <w:lang w:val="fr-FR"/>
        </w:rPr>
        <w:t xml:space="preserve">consultations à participation non limitée organisées entre mai et </w:t>
      </w:r>
      <w:r w:rsidR="00CB6F73" w:rsidRPr="00D7006D">
        <w:rPr>
          <w:lang w:val="fr-FR"/>
        </w:rPr>
        <w:t>juillet 20</w:t>
      </w:r>
      <w:r w:rsidRPr="00D7006D">
        <w:rPr>
          <w:lang w:val="fr-FR"/>
        </w:rPr>
        <w:t xml:space="preserve">14, le facilitateur a </w:t>
      </w:r>
      <w:r w:rsidR="00843EEE">
        <w:rPr>
          <w:lang w:val="fr-FR"/>
        </w:rPr>
        <w:t>transmis</w:t>
      </w:r>
      <w:r w:rsidR="00033FF0" w:rsidRPr="00D7006D">
        <w:rPr>
          <w:lang w:val="fr-FR"/>
        </w:rPr>
        <w:t xml:space="preserve"> le document ci</w:t>
      </w:r>
      <w:r w:rsidR="00770E5B" w:rsidRPr="00D7006D">
        <w:rPr>
          <w:lang w:val="fr-FR"/>
        </w:rPr>
        <w:noBreakHyphen/>
      </w:r>
      <w:r w:rsidR="00033FF0" w:rsidRPr="00D7006D">
        <w:rPr>
          <w:lang w:val="fr-FR"/>
        </w:rPr>
        <w:t>joint à la</w:t>
      </w:r>
      <w:r w:rsidRPr="00D7006D">
        <w:rPr>
          <w:lang w:val="fr-FR"/>
        </w:rPr>
        <w:t xml:space="preserve"> président</w:t>
      </w:r>
      <w:r w:rsidR="00033FF0" w:rsidRPr="00D7006D">
        <w:rPr>
          <w:lang w:val="fr-FR"/>
        </w:rPr>
        <w:t>e</w:t>
      </w:r>
      <w:r w:rsidRPr="00D7006D">
        <w:rPr>
          <w:lang w:val="fr-FR"/>
        </w:rPr>
        <w:t xml:space="preserve"> de l</w:t>
      </w:r>
      <w:r w:rsidR="00CB6F73" w:rsidRPr="00D7006D">
        <w:rPr>
          <w:lang w:val="fr-FR"/>
        </w:rPr>
        <w:t>’</w:t>
      </w:r>
      <w:r w:rsidRPr="00D7006D">
        <w:rPr>
          <w:lang w:val="fr-FR"/>
        </w:rPr>
        <w:t xml:space="preserve">Assemblée générale </w:t>
      </w:r>
      <w:r w:rsidR="00843EEE">
        <w:rPr>
          <w:lang w:val="fr-FR"/>
        </w:rPr>
        <w:t>le</w:t>
      </w:r>
      <w:r w:rsidRPr="00D7006D">
        <w:rPr>
          <w:lang w:val="fr-FR"/>
        </w:rPr>
        <w:t xml:space="preserve"> 1</w:t>
      </w:r>
      <w:r w:rsidR="00CB6F73" w:rsidRPr="00D7006D">
        <w:rPr>
          <w:lang w:val="fr-FR"/>
        </w:rPr>
        <w:t>1 juillet 20</w:t>
      </w:r>
      <w:r w:rsidRPr="00D7006D">
        <w:rPr>
          <w:lang w:val="fr-FR"/>
        </w:rPr>
        <w:t>14.</w:t>
      </w:r>
    </w:p>
    <w:p w:rsidR="00E00028" w:rsidRPr="00D7006D" w:rsidRDefault="00CC2753" w:rsidP="00843EEE">
      <w:pPr>
        <w:pStyle w:val="ONUMFS"/>
        <w:ind w:left="5533"/>
        <w:rPr>
          <w:i/>
          <w:lang w:val="fr-FR"/>
        </w:rPr>
      </w:pPr>
      <w:r w:rsidRPr="00D7006D">
        <w:rPr>
          <w:i/>
          <w:lang w:val="fr-FR"/>
        </w:rPr>
        <w:t>Le Comité du programme et budget est invité à examiner la version ci</w:t>
      </w:r>
      <w:r w:rsidR="00770E5B" w:rsidRPr="00D7006D">
        <w:rPr>
          <w:i/>
          <w:lang w:val="fr-FR"/>
        </w:rPr>
        <w:noBreakHyphen/>
      </w:r>
      <w:r w:rsidRPr="00D7006D">
        <w:rPr>
          <w:i/>
          <w:lang w:val="fr-FR"/>
        </w:rPr>
        <w:t xml:space="preserve">jointe du projet de principes directeurs et à faire des </w:t>
      </w:r>
      <w:r w:rsidR="00DF64FF" w:rsidRPr="00D7006D">
        <w:rPr>
          <w:i/>
          <w:lang w:val="fr-FR"/>
        </w:rPr>
        <w:t>recommandations</w:t>
      </w:r>
      <w:r w:rsidRPr="00D7006D">
        <w:rPr>
          <w:i/>
          <w:lang w:val="fr-FR"/>
        </w:rPr>
        <w:t xml:space="preserve"> à l</w:t>
      </w:r>
      <w:r w:rsidR="00CB6F73" w:rsidRPr="00D7006D">
        <w:rPr>
          <w:i/>
          <w:lang w:val="fr-FR"/>
        </w:rPr>
        <w:t>’</w:t>
      </w:r>
      <w:r w:rsidRPr="00D7006D">
        <w:rPr>
          <w:i/>
          <w:lang w:val="fr-FR"/>
        </w:rPr>
        <w:t>Assemblée générale.</w:t>
      </w:r>
    </w:p>
    <w:p w:rsidR="00E00028" w:rsidRPr="00D7006D" w:rsidRDefault="00CC2753" w:rsidP="00CC2753">
      <w:pPr>
        <w:pStyle w:val="ONUME"/>
        <w:keepNext/>
        <w:keepLines/>
        <w:numPr>
          <w:ilvl w:val="0"/>
          <w:numId w:val="0"/>
        </w:numPr>
        <w:tabs>
          <w:tab w:val="left" w:pos="6096"/>
        </w:tabs>
        <w:ind w:left="5533"/>
        <w:rPr>
          <w:lang w:val="fr-FR"/>
        </w:rPr>
      </w:pPr>
      <w:r w:rsidRPr="00D7006D">
        <w:rPr>
          <w:lang w:val="fr-FR"/>
        </w:rPr>
        <w:t>[Le projet de principes directeurs suit]</w:t>
      </w:r>
    </w:p>
    <w:p w:rsidR="00E8301A" w:rsidRPr="00D7006D" w:rsidRDefault="00E8301A" w:rsidP="002B3620">
      <w:pPr>
        <w:tabs>
          <w:tab w:val="left" w:pos="5580"/>
        </w:tabs>
        <w:rPr>
          <w:lang w:val="fr-FR"/>
        </w:rPr>
        <w:sectPr w:rsidR="00E8301A" w:rsidRPr="00D7006D" w:rsidSect="00CB6F73">
          <w:headerReference w:type="default" r:id="rId11"/>
          <w:endnotePr>
            <w:numFmt w:val="decimal"/>
          </w:endnotePr>
          <w:pgSz w:w="11907" w:h="16840" w:code="9"/>
          <w:pgMar w:top="567" w:right="1134" w:bottom="1191" w:left="1418" w:header="510" w:footer="851" w:gutter="0"/>
          <w:cols w:space="720"/>
          <w:titlePg/>
          <w:docGrid w:linePitch="299"/>
        </w:sectPr>
      </w:pPr>
    </w:p>
    <w:p w:rsidR="00CC2753" w:rsidRPr="00D7006D" w:rsidRDefault="00CC2753" w:rsidP="00CC2753">
      <w:pPr>
        <w:keepNext/>
        <w:keepLines/>
        <w:tabs>
          <w:tab w:val="left" w:pos="3780"/>
        </w:tabs>
        <w:autoSpaceDE w:val="0"/>
        <w:autoSpaceDN w:val="0"/>
        <w:adjustRightInd w:val="0"/>
        <w:rPr>
          <w:rFonts w:eastAsia="Times New Roman"/>
          <w:i/>
          <w:szCs w:val="24"/>
          <w:lang w:val="fr-FR" w:eastAsia="en-US"/>
        </w:rPr>
      </w:pPr>
      <w:r w:rsidRPr="00D7006D">
        <w:rPr>
          <w:rFonts w:eastAsia="Times New Roman"/>
          <w:i/>
          <w:szCs w:val="24"/>
          <w:lang w:val="fr-FR" w:eastAsia="en-US"/>
        </w:rPr>
        <w:lastRenderedPageBreak/>
        <w:t>Facilitateur</w:t>
      </w:r>
      <w:r w:rsidRPr="00D7006D">
        <w:rPr>
          <w:rFonts w:eastAsia="Times New Roman"/>
          <w:i/>
          <w:szCs w:val="24"/>
          <w:lang w:val="fr-FR" w:eastAsia="en-US"/>
        </w:rPr>
        <w:tab/>
      </w:r>
      <w:r w:rsidRPr="00D7006D">
        <w:rPr>
          <w:rFonts w:eastAsia="Times New Roman"/>
          <w:i/>
          <w:szCs w:val="24"/>
          <w:lang w:val="fr-FR" w:eastAsia="en-US"/>
        </w:rPr>
        <w:tab/>
      </w:r>
      <w:r w:rsidRPr="00D7006D">
        <w:rPr>
          <w:rFonts w:eastAsia="Times New Roman"/>
          <w:i/>
          <w:szCs w:val="24"/>
          <w:lang w:val="fr-FR" w:eastAsia="en-US"/>
        </w:rPr>
        <w:tab/>
      </w:r>
      <w:r w:rsidRPr="00D7006D">
        <w:rPr>
          <w:rFonts w:eastAsia="Times New Roman"/>
          <w:i/>
          <w:szCs w:val="24"/>
          <w:lang w:val="fr-FR" w:eastAsia="en-US"/>
        </w:rPr>
        <w:tab/>
      </w:r>
      <w:r w:rsidRPr="00D7006D">
        <w:rPr>
          <w:rFonts w:eastAsia="Times New Roman"/>
          <w:i/>
          <w:szCs w:val="24"/>
          <w:lang w:val="fr-FR" w:eastAsia="en-US"/>
        </w:rPr>
        <w:tab/>
        <w:t>11 juillet 2014, 18h15</w:t>
      </w:r>
    </w:p>
    <w:p w:rsidR="00CC2753" w:rsidRPr="00D7006D" w:rsidRDefault="00CC2753" w:rsidP="00CC2753">
      <w:pPr>
        <w:keepNext/>
        <w:keepLines/>
        <w:tabs>
          <w:tab w:val="left" w:pos="3780"/>
        </w:tabs>
        <w:autoSpaceDE w:val="0"/>
        <w:autoSpaceDN w:val="0"/>
        <w:adjustRightInd w:val="0"/>
        <w:rPr>
          <w:rFonts w:eastAsia="Times New Roman"/>
          <w:i/>
          <w:szCs w:val="24"/>
          <w:lang w:val="fr-FR" w:eastAsia="en-US"/>
        </w:rPr>
      </w:pPr>
    </w:p>
    <w:p w:rsidR="00CC2753" w:rsidRPr="00D7006D" w:rsidRDefault="00CC2753" w:rsidP="00CC2753">
      <w:pPr>
        <w:keepNext/>
        <w:keepLines/>
        <w:tabs>
          <w:tab w:val="left" w:pos="3780"/>
        </w:tabs>
        <w:autoSpaceDE w:val="0"/>
        <w:autoSpaceDN w:val="0"/>
        <w:adjustRightInd w:val="0"/>
        <w:rPr>
          <w:rFonts w:eastAsia="Times New Roman"/>
          <w:i/>
          <w:szCs w:val="24"/>
          <w:lang w:val="fr-FR" w:eastAsia="en-US"/>
        </w:rPr>
      </w:pPr>
    </w:p>
    <w:p w:rsidR="00CC2753" w:rsidRPr="00D7006D" w:rsidRDefault="00CC2753" w:rsidP="00CC2753">
      <w:pPr>
        <w:keepNext/>
        <w:keepLines/>
        <w:tabs>
          <w:tab w:val="left" w:pos="3780"/>
        </w:tabs>
        <w:autoSpaceDE w:val="0"/>
        <w:autoSpaceDN w:val="0"/>
        <w:adjustRightInd w:val="0"/>
        <w:jc w:val="center"/>
        <w:rPr>
          <w:rFonts w:eastAsia="Times New Roman"/>
          <w:b/>
          <w:szCs w:val="22"/>
          <w:lang w:val="fr-FR" w:eastAsia="en-US"/>
        </w:rPr>
      </w:pPr>
    </w:p>
    <w:p w:rsidR="00CC2753" w:rsidRPr="00D7006D" w:rsidRDefault="00306638" w:rsidP="00CC2753">
      <w:pPr>
        <w:keepNext/>
        <w:keepLines/>
        <w:tabs>
          <w:tab w:val="left" w:pos="3780"/>
        </w:tabs>
        <w:autoSpaceDE w:val="0"/>
        <w:autoSpaceDN w:val="0"/>
        <w:adjustRightInd w:val="0"/>
        <w:jc w:val="center"/>
        <w:rPr>
          <w:rFonts w:eastAsia="Times New Roman"/>
          <w:b/>
          <w:sz w:val="28"/>
          <w:szCs w:val="28"/>
          <w:lang w:val="fr-FR" w:eastAsia="en-US"/>
        </w:rPr>
      </w:pPr>
      <w:r w:rsidRPr="00D7006D">
        <w:rPr>
          <w:rFonts w:eastAsia="Times New Roman"/>
          <w:b/>
          <w:sz w:val="28"/>
          <w:szCs w:val="28"/>
          <w:lang w:val="fr-FR" w:eastAsia="en-US"/>
        </w:rPr>
        <w:t xml:space="preserve">PROJET DE </w:t>
      </w:r>
      <w:r w:rsidR="00CC2753" w:rsidRPr="00D7006D">
        <w:rPr>
          <w:rFonts w:eastAsia="Times New Roman"/>
          <w:b/>
          <w:sz w:val="28"/>
          <w:szCs w:val="28"/>
          <w:lang w:val="fr-FR" w:eastAsia="en-US"/>
        </w:rPr>
        <w:t>PRINCIPES DIRECTEURS CONCERNANT</w:t>
      </w:r>
    </w:p>
    <w:p w:rsidR="00CC2753" w:rsidRPr="00D7006D" w:rsidRDefault="00CC2753" w:rsidP="00CC2753">
      <w:pPr>
        <w:keepNext/>
        <w:keepLines/>
        <w:tabs>
          <w:tab w:val="left" w:pos="3780"/>
        </w:tabs>
        <w:autoSpaceDE w:val="0"/>
        <w:autoSpaceDN w:val="0"/>
        <w:adjustRightInd w:val="0"/>
        <w:jc w:val="center"/>
        <w:rPr>
          <w:rFonts w:eastAsia="Times New Roman"/>
          <w:b/>
          <w:sz w:val="28"/>
          <w:szCs w:val="28"/>
          <w:lang w:val="fr-FR" w:eastAsia="en-US"/>
        </w:rPr>
      </w:pPr>
      <w:r w:rsidRPr="00D7006D">
        <w:rPr>
          <w:rFonts w:eastAsia="Times New Roman"/>
          <w:b/>
          <w:sz w:val="28"/>
          <w:szCs w:val="28"/>
          <w:lang w:val="fr-FR" w:eastAsia="en-US"/>
        </w:rPr>
        <w:t>LES BUREAUX EXTÉRIEURS DE L</w:t>
      </w:r>
      <w:r w:rsidR="00CB6F73" w:rsidRPr="00D7006D">
        <w:rPr>
          <w:rFonts w:eastAsia="Times New Roman"/>
          <w:b/>
          <w:sz w:val="28"/>
          <w:szCs w:val="28"/>
          <w:lang w:val="fr-FR" w:eastAsia="en-US"/>
        </w:rPr>
        <w:t>’</w:t>
      </w:r>
      <w:r w:rsidRPr="00D7006D">
        <w:rPr>
          <w:rFonts w:eastAsia="Times New Roman"/>
          <w:b/>
          <w:sz w:val="28"/>
          <w:szCs w:val="28"/>
          <w:lang w:val="fr-FR" w:eastAsia="en-US"/>
        </w:rPr>
        <w:t>OMPI</w:t>
      </w:r>
    </w:p>
    <w:p w:rsidR="00CC2753" w:rsidRPr="00D7006D" w:rsidRDefault="00CC2753" w:rsidP="00CC2753">
      <w:pPr>
        <w:keepNext/>
        <w:keepLines/>
        <w:tabs>
          <w:tab w:val="left" w:pos="3780"/>
        </w:tabs>
        <w:autoSpaceDE w:val="0"/>
        <w:autoSpaceDN w:val="0"/>
        <w:adjustRightInd w:val="0"/>
        <w:jc w:val="center"/>
        <w:rPr>
          <w:rFonts w:eastAsia="Times New Roman"/>
          <w:szCs w:val="22"/>
          <w:lang w:val="fr-FR" w:eastAsia="en-US"/>
        </w:rPr>
      </w:pPr>
    </w:p>
    <w:p w:rsidR="00CC2753" w:rsidRPr="00D7006D" w:rsidRDefault="00CC2753" w:rsidP="00CC2753">
      <w:pPr>
        <w:jc w:val="both"/>
        <w:rPr>
          <w:szCs w:val="22"/>
          <w:lang w:val="fr-FR"/>
        </w:rPr>
      </w:pPr>
    </w:p>
    <w:p w:rsidR="00CC2753" w:rsidRPr="00D7006D" w:rsidRDefault="00CC2753" w:rsidP="00CC2753">
      <w:pPr>
        <w:rPr>
          <w:szCs w:val="22"/>
          <w:lang w:val="fr-FR"/>
        </w:rPr>
      </w:pPr>
      <w:r w:rsidRPr="00D7006D">
        <w:rPr>
          <w:szCs w:val="22"/>
          <w:lang w:val="fr-FR"/>
        </w:rPr>
        <w:t>1.</w:t>
      </w:r>
      <w:r w:rsidRPr="00D7006D">
        <w:rPr>
          <w:szCs w:val="22"/>
          <w:lang w:val="fr-FR"/>
        </w:rPr>
        <w:tab/>
        <w:t>Les principes ci</w:t>
      </w:r>
      <w:r w:rsidR="00770E5B" w:rsidRPr="00D7006D">
        <w:rPr>
          <w:szCs w:val="22"/>
          <w:lang w:val="fr-FR"/>
        </w:rPr>
        <w:noBreakHyphen/>
      </w:r>
      <w:r w:rsidRPr="00D7006D">
        <w:rPr>
          <w:szCs w:val="22"/>
          <w:lang w:val="fr-FR"/>
        </w:rPr>
        <w:t>après orienteront l</w:t>
      </w:r>
      <w:r w:rsidR="00CB6F73" w:rsidRPr="00D7006D">
        <w:rPr>
          <w:szCs w:val="22"/>
          <w:lang w:val="fr-FR"/>
        </w:rPr>
        <w:t>’</w:t>
      </w:r>
      <w:r w:rsidRPr="00D7006D">
        <w:rPr>
          <w:szCs w:val="22"/>
          <w:lang w:val="fr-FR"/>
        </w:rPr>
        <w:t>action du Secrétariat de l</w:t>
      </w:r>
      <w:r w:rsidR="00CB6F73" w:rsidRPr="00D7006D">
        <w:rPr>
          <w:szCs w:val="22"/>
          <w:lang w:val="fr-FR"/>
        </w:rPr>
        <w:t>’</w:t>
      </w:r>
      <w:r w:rsidRPr="00D7006D">
        <w:rPr>
          <w:szCs w:val="22"/>
          <w:lang w:val="fr-FR"/>
        </w:rPr>
        <w:t xml:space="preserve">OMPI et le processus </w:t>
      </w:r>
      <w:r w:rsidR="00843EEE">
        <w:rPr>
          <w:szCs w:val="22"/>
          <w:lang w:val="fr-FR"/>
        </w:rPr>
        <w:t>de décision</w:t>
      </w:r>
      <w:r w:rsidRPr="00D7006D">
        <w:rPr>
          <w:szCs w:val="22"/>
          <w:lang w:val="fr-FR"/>
        </w:rPr>
        <w:t xml:space="preserve"> des États membres concernant l</w:t>
      </w:r>
      <w:r w:rsidR="00CB6F73" w:rsidRPr="00D7006D">
        <w:rPr>
          <w:szCs w:val="22"/>
          <w:lang w:val="fr-FR"/>
        </w:rPr>
        <w:t>’</w:t>
      </w:r>
      <w:r w:rsidRPr="00D7006D">
        <w:rPr>
          <w:szCs w:val="22"/>
          <w:lang w:val="fr-FR"/>
        </w:rPr>
        <w:t>établissement d</w:t>
      </w:r>
      <w:r w:rsidR="00CB6F73" w:rsidRPr="00D7006D">
        <w:rPr>
          <w:szCs w:val="22"/>
          <w:lang w:val="fr-FR"/>
        </w:rPr>
        <w:t>’</w:t>
      </w:r>
      <w:r w:rsidRPr="00D7006D">
        <w:rPr>
          <w:szCs w:val="22"/>
          <w:lang w:val="fr-FR"/>
        </w:rPr>
        <w:t>un réseau de bureaux extérieurs de l</w:t>
      </w:r>
      <w:r w:rsidR="00CB6F73" w:rsidRPr="00D7006D">
        <w:rPr>
          <w:szCs w:val="22"/>
          <w:lang w:val="fr-FR"/>
        </w:rPr>
        <w:t>’</w:t>
      </w:r>
      <w:r w:rsidRPr="00D7006D">
        <w:rPr>
          <w:szCs w:val="22"/>
          <w:lang w:val="fr-FR"/>
        </w:rPr>
        <w:t>OMPI viable, [de taille adéquate mais limité], qui apporte clairement une valeur ajoutée à l</w:t>
      </w:r>
      <w:r w:rsidR="00CB6F73" w:rsidRPr="00D7006D">
        <w:rPr>
          <w:szCs w:val="22"/>
          <w:lang w:val="fr-FR"/>
        </w:rPr>
        <w:t>’</w:t>
      </w:r>
      <w:r w:rsidRPr="00D7006D">
        <w:rPr>
          <w:szCs w:val="22"/>
          <w:lang w:val="fr-FR"/>
        </w:rPr>
        <w:t>exécution des programmes conformément au cadre de résultats proposé dans le programme et budget et accroisse leur caractère rationnel et leur efficacité, en coordination et en parfaite complémentarité avec le siège de l</w:t>
      </w:r>
      <w:r w:rsidR="00CB6F73" w:rsidRPr="00D7006D">
        <w:rPr>
          <w:szCs w:val="22"/>
          <w:lang w:val="fr-FR"/>
        </w:rPr>
        <w:t>’</w:t>
      </w:r>
      <w:r w:rsidRPr="00D7006D">
        <w:rPr>
          <w:szCs w:val="22"/>
          <w:lang w:val="fr-FR"/>
        </w:rPr>
        <w:t>OMPI et d</w:t>
      </w:r>
      <w:r w:rsidR="00CB6F73" w:rsidRPr="00D7006D">
        <w:rPr>
          <w:szCs w:val="22"/>
          <w:lang w:val="fr-FR"/>
        </w:rPr>
        <w:t>’</w:t>
      </w:r>
      <w:r w:rsidRPr="00D7006D">
        <w:rPr>
          <w:szCs w:val="22"/>
          <w:lang w:val="fr-FR"/>
        </w:rPr>
        <w:t>une manière qui n</w:t>
      </w:r>
      <w:r w:rsidR="00CB6F73" w:rsidRPr="00D7006D">
        <w:rPr>
          <w:szCs w:val="22"/>
          <w:lang w:val="fr-FR"/>
        </w:rPr>
        <w:t>’</w:t>
      </w:r>
      <w:r w:rsidRPr="00D7006D">
        <w:rPr>
          <w:szCs w:val="22"/>
          <w:lang w:val="fr-FR"/>
        </w:rPr>
        <w:t>aurait pas été possible au moyen des opérations menées uniquement au siège.</w:t>
      </w:r>
    </w:p>
    <w:p w:rsidR="00CC2753" w:rsidRPr="00D7006D" w:rsidRDefault="00CC2753" w:rsidP="00CC2753">
      <w:pPr>
        <w:rPr>
          <w:szCs w:val="22"/>
          <w:lang w:val="fr-FR"/>
        </w:rPr>
      </w:pPr>
    </w:p>
    <w:p w:rsidR="00CC2753" w:rsidRPr="00D7006D" w:rsidRDefault="00CC2753" w:rsidP="00CC2753">
      <w:pPr>
        <w:rPr>
          <w:szCs w:val="22"/>
          <w:lang w:val="fr-FR"/>
        </w:rPr>
      </w:pPr>
    </w:p>
    <w:p w:rsidR="00CC2753" w:rsidRPr="00D7006D" w:rsidRDefault="00CC2753" w:rsidP="00CC2753">
      <w:pPr>
        <w:pStyle w:val="ListParagraph"/>
        <w:numPr>
          <w:ilvl w:val="0"/>
          <w:numId w:val="46"/>
        </w:numPr>
        <w:ind w:hanging="720"/>
        <w:rPr>
          <w:b/>
          <w:sz w:val="24"/>
          <w:szCs w:val="24"/>
          <w:lang w:val="fr-FR"/>
        </w:rPr>
      </w:pPr>
      <w:r w:rsidRPr="00D7006D">
        <w:rPr>
          <w:b/>
          <w:sz w:val="24"/>
          <w:szCs w:val="24"/>
          <w:lang w:val="fr-FR"/>
        </w:rPr>
        <w:t xml:space="preserve">Transparence des procédures et du </w:t>
      </w:r>
      <w:r w:rsidR="00843EEE">
        <w:rPr>
          <w:b/>
          <w:sz w:val="24"/>
          <w:szCs w:val="24"/>
          <w:lang w:val="fr-FR"/>
        </w:rPr>
        <w:t>processus de déci</w:t>
      </w:r>
      <w:r w:rsidRPr="00D7006D">
        <w:rPr>
          <w:b/>
          <w:sz w:val="24"/>
          <w:szCs w:val="24"/>
          <w:lang w:val="fr-FR"/>
        </w:rPr>
        <w:t>sion des États membres concernant l</w:t>
      </w:r>
      <w:r w:rsidR="00CB6F73" w:rsidRPr="00D7006D">
        <w:rPr>
          <w:b/>
          <w:sz w:val="24"/>
          <w:szCs w:val="24"/>
          <w:lang w:val="fr-FR"/>
        </w:rPr>
        <w:t>’</w:t>
      </w:r>
      <w:r w:rsidRPr="00D7006D">
        <w:rPr>
          <w:b/>
          <w:sz w:val="24"/>
          <w:szCs w:val="24"/>
          <w:lang w:val="fr-FR"/>
        </w:rPr>
        <w:t>ouverture de nouveaux bureaux extérieurs</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2.</w:t>
      </w:r>
      <w:r w:rsidRPr="00D7006D">
        <w:rPr>
          <w:szCs w:val="22"/>
          <w:lang w:val="fr-FR"/>
        </w:rPr>
        <w:tab/>
        <w:t>Tout État membre qui souhaite accueillir un bureau extérieur en sa capacité nationale, ou au nom d</w:t>
      </w:r>
      <w:r w:rsidR="00CB6F73" w:rsidRPr="00D7006D">
        <w:rPr>
          <w:szCs w:val="22"/>
          <w:lang w:val="fr-FR"/>
        </w:rPr>
        <w:t>’</w:t>
      </w:r>
      <w:r w:rsidRPr="00D7006D">
        <w:rPr>
          <w:szCs w:val="22"/>
          <w:lang w:val="fr-FR"/>
        </w:rPr>
        <w:t>un groupe de pays ou d</w:t>
      </w:r>
      <w:r w:rsidR="00CB6F73" w:rsidRPr="00D7006D">
        <w:rPr>
          <w:szCs w:val="22"/>
          <w:lang w:val="fr-FR"/>
        </w:rPr>
        <w:t>’</w:t>
      </w:r>
      <w:r w:rsidRPr="00D7006D">
        <w:rPr>
          <w:szCs w:val="22"/>
          <w:lang w:val="fr-FR"/>
        </w:rPr>
        <w:t>un groupe régional, s</w:t>
      </w:r>
      <w:r w:rsidR="00CB6F73" w:rsidRPr="00D7006D">
        <w:rPr>
          <w:szCs w:val="22"/>
          <w:lang w:val="fr-FR"/>
        </w:rPr>
        <w:t>’</w:t>
      </w:r>
      <w:r w:rsidRPr="00D7006D">
        <w:rPr>
          <w:szCs w:val="22"/>
          <w:lang w:val="fr-FR"/>
        </w:rPr>
        <w:t>il en est décidé ainsi par ses membres, en informe le président de l</w:t>
      </w:r>
      <w:r w:rsidR="00CB6F73" w:rsidRPr="00D7006D">
        <w:rPr>
          <w:szCs w:val="22"/>
          <w:lang w:val="fr-FR"/>
        </w:rPr>
        <w:t>’</w:t>
      </w:r>
      <w:r w:rsidRPr="00D7006D">
        <w:rPr>
          <w:szCs w:val="22"/>
          <w:lang w:val="fr-FR"/>
        </w:rPr>
        <w:t>Assemblée générale et le Directeur général par écrit.</w:t>
      </w:r>
      <w:r w:rsidRPr="00D7006D">
        <w:rPr>
          <w:lang w:val="fr-FR"/>
        </w:rPr>
        <w:t xml:space="preserve">  </w:t>
      </w:r>
      <w:r w:rsidRPr="00D7006D">
        <w:rPr>
          <w:szCs w:val="22"/>
          <w:lang w:val="fr-FR"/>
        </w:rPr>
        <w:t>Le président de l</w:t>
      </w:r>
      <w:r w:rsidR="00CB6F73" w:rsidRPr="00D7006D">
        <w:rPr>
          <w:szCs w:val="22"/>
          <w:lang w:val="fr-FR"/>
        </w:rPr>
        <w:t>’</w:t>
      </w:r>
      <w:r w:rsidRPr="00D7006D">
        <w:rPr>
          <w:szCs w:val="22"/>
          <w:lang w:val="fr-FR"/>
        </w:rPr>
        <w:t>Assemblée générale avise les États membres sans délai de la réception d</w:t>
      </w:r>
      <w:r w:rsidR="00CB6F73" w:rsidRPr="00D7006D">
        <w:rPr>
          <w:szCs w:val="22"/>
          <w:lang w:val="fr-FR"/>
        </w:rPr>
        <w:t>’</w:t>
      </w:r>
      <w:r w:rsidRPr="00D7006D">
        <w:rPr>
          <w:szCs w:val="22"/>
          <w:lang w:val="fr-FR"/>
        </w:rPr>
        <w:t>une telle notification.</w:t>
      </w:r>
      <w:r w:rsidRPr="00D7006D">
        <w:rPr>
          <w:lang w:val="fr-FR"/>
        </w:rPr>
        <w:t xml:space="preserve">  </w:t>
      </w:r>
      <w:r w:rsidRPr="00D7006D">
        <w:rPr>
          <w:szCs w:val="22"/>
          <w:lang w:val="fr-FR"/>
        </w:rPr>
        <w:t>Le présent paragraphe ne s</w:t>
      </w:r>
      <w:r w:rsidR="00CB6F73" w:rsidRPr="00D7006D">
        <w:rPr>
          <w:szCs w:val="22"/>
          <w:lang w:val="fr-FR"/>
        </w:rPr>
        <w:t>’</w:t>
      </w:r>
      <w:r w:rsidRPr="00D7006D">
        <w:rPr>
          <w:szCs w:val="22"/>
          <w:lang w:val="fr-FR"/>
        </w:rPr>
        <w:t>applique pas aux États membres qui ont déjà déposé une notification écrite, en leur capacité nationale, ou au nom d</w:t>
      </w:r>
      <w:r w:rsidR="00CB6F73" w:rsidRPr="00D7006D">
        <w:rPr>
          <w:szCs w:val="22"/>
          <w:lang w:val="fr-FR"/>
        </w:rPr>
        <w:t>’</w:t>
      </w:r>
      <w:r w:rsidRPr="00D7006D">
        <w:rPr>
          <w:szCs w:val="22"/>
          <w:lang w:val="fr-FR"/>
        </w:rPr>
        <w:t>un groupe de pays ou d</w:t>
      </w:r>
      <w:r w:rsidR="00CB6F73" w:rsidRPr="00D7006D">
        <w:rPr>
          <w:szCs w:val="22"/>
          <w:lang w:val="fr-FR"/>
        </w:rPr>
        <w:t>’</w:t>
      </w:r>
      <w:r w:rsidRPr="00D7006D">
        <w:rPr>
          <w:szCs w:val="22"/>
          <w:lang w:val="fr-FR"/>
        </w:rPr>
        <w:t>un groupe régional.</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3.</w:t>
      </w:r>
      <w:r w:rsidRPr="00D7006D">
        <w:rPr>
          <w:szCs w:val="22"/>
          <w:lang w:val="fr-FR"/>
        </w:rPr>
        <w:tab/>
        <w:t>Tout État membre souhaitant accueillir un bureau extérieur en sa capacité nationale, ou au nom d</w:t>
      </w:r>
      <w:r w:rsidR="00CB6F73" w:rsidRPr="00D7006D">
        <w:rPr>
          <w:szCs w:val="22"/>
          <w:lang w:val="fr-FR"/>
        </w:rPr>
        <w:t>’</w:t>
      </w:r>
      <w:r w:rsidRPr="00D7006D">
        <w:rPr>
          <w:szCs w:val="22"/>
          <w:lang w:val="fr-FR"/>
        </w:rPr>
        <w:t>un groupe de pays ou d</w:t>
      </w:r>
      <w:r w:rsidR="00CB6F73" w:rsidRPr="00D7006D">
        <w:rPr>
          <w:szCs w:val="22"/>
          <w:lang w:val="fr-FR"/>
        </w:rPr>
        <w:t>’</w:t>
      </w:r>
      <w:r w:rsidRPr="00D7006D">
        <w:rPr>
          <w:szCs w:val="22"/>
          <w:lang w:val="fr-FR"/>
        </w:rPr>
        <w:t>un groupe régional, s</w:t>
      </w:r>
      <w:r w:rsidR="00CB6F73" w:rsidRPr="00D7006D">
        <w:rPr>
          <w:szCs w:val="22"/>
          <w:lang w:val="fr-FR"/>
        </w:rPr>
        <w:t>’</w:t>
      </w:r>
      <w:r w:rsidRPr="00D7006D">
        <w:rPr>
          <w:szCs w:val="22"/>
          <w:lang w:val="fr-FR"/>
        </w:rPr>
        <w:t>il en est décidé ainsi par ses membres, soumet par l</w:t>
      </w:r>
      <w:r w:rsidR="00CB6F73" w:rsidRPr="00D7006D">
        <w:rPr>
          <w:szCs w:val="22"/>
          <w:lang w:val="fr-FR"/>
        </w:rPr>
        <w:t>’</w:t>
      </w:r>
      <w:r w:rsidRPr="00D7006D">
        <w:rPr>
          <w:szCs w:val="22"/>
          <w:lang w:val="fr-FR"/>
        </w:rPr>
        <w:t>intermédiaire du Directeur général une proposition pour examen par le Comité du programme et budget (PBC).</w:t>
      </w:r>
      <w:r w:rsidRPr="00D7006D">
        <w:rPr>
          <w:lang w:val="fr-FR"/>
        </w:rPr>
        <w:t xml:space="preserve">  </w:t>
      </w:r>
      <w:r w:rsidRPr="00D7006D">
        <w:rPr>
          <w:szCs w:val="22"/>
          <w:lang w:val="fr-FR"/>
        </w:rPr>
        <w:t>L</w:t>
      </w:r>
      <w:r w:rsidR="00CB6F73" w:rsidRPr="00D7006D">
        <w:rPr>
          <w:szCs w:val="22"/>
          <w:lang w:val="fr-FR"/>
        </w:rPr>
        <w:t>’</w:t>
      </w:r>
      <w:r w:rsidRPr="00D7006D">
        <w:rPr>
          <w:szCs w:val="22"/>
          <w:lang w:val="fr-FR"/>
        </w:rPr>
        <w:t>État membre peut solliciter l</w:t>
      </w:r>
      <w:r w:rsidR="00CB6F73" w:rsidRPr="00D7006D">
        <w:rPr>
          <w:szCs w:val="22"/>
          <w:lang w:val="fr-FR"/>
        </w:rPr>
        <w:t>’</w:t>
      </w:r>
      <w:r w:rsidRPr="00D7006D">
        <w:rPr>
          <w:szCs w:val="22"/>
          <w:lang w:val="fr-FR"/>
        </w:rPr>
        <w:t>assistance du Secrétariat pour établir cette proposition.  Le Secrétariat transmet au PBC la notification et la proposition reçues de l</w:t>
      </w:r>
      <w:r w:rsidR="00CB6F73" w:rsidRPr="00D7006D">
        <w:rPr>
          <w:szCs w:val="22"/>
          <w:lang w:val="fr-FR"/>
        </w:rPr>
        <w:t>’</w:t>
      </w:r>
      <w:r w:rsidRPr="00D7006D">
        <w:rPr>
          <w:szCs w:val="22"/>
          <w:lang w:val="fr-FR"/>
        </w:rPr>
        <w:t>État membre.</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3</w:t>
      </w:r>
      <w:r w:rsidRPr="00D7006D">
        <w:rPr>
          <w:i/>
          <w:szCs w:val="22"/>
          <w:lang w:val="fr-FR"/>
        </w:rPr>
        <w:t>bis</w:t>
      </w:r>
      <w:r w:rsidRPr="00D7006D">
        <w:rPr>
          <w:szCs w:val="22"/>
          <w:lang w:val="fr-FR"/>
        </w:rPr>
        <w:t>.</w:t>
      </w:r>
      <w:r w:rsidRPr="00D7006D">
        <w:rPr>
          <w:szCs w:val="22"/>
          <w:lang w:val="fr-FR"/>
        </w:rPr>
        <w:tab/>
        <w:t>Le Secrétariat présente au PBC un rapport distinct, factuel [technique] sur [la faisabilité du] nouveau bureau extérieur proposé et sa conformité avec les présents principes directeurs.  Le document doit aussi contenir des informations en rapport avec l</w:t>
      </w:r>
      <w:r w:rsidR="00CB6F73" w:rsidRPr="00D7006D">
        <w:rPr>
          <w:szCs w:val="22"/>
          <w:lang w:val="fr-FR"/>
        </w:rPr>
        <w:t>’</w:t>
      </w:r>
      <w:r w:rsidRPr="00D7006D">
        <w:rPr>
          <w:szCs w:val="22"/>
          <w:lang w:val="fr-FR"/>
        </w:rPr>
        <w:t>examen des paragraphes 10</w:t>
      </w:r>
      <w:r w:rsidRPr="00D7006D">
        <w:rPr>
          <w:i/>
          <w:szCs w:val="22"/>
          <w:lang w:val="fr-FR"/>
        </w:rPr>
        <w:t>bis</w:t>
      </w:r>
      <w:r w:rsidRPr="00D7006D">
        <w:rPr>
          <w:szCs w:val="22"/>
          <w:lang w:val="fr-FR"/>
        </w:rPr>
        <w:t xml:space="preserve"> et 17.  Le PBC examine la proposition et le document en vue de toute recommandation à l</w:t>
      </w:r>
      <w:r w:rsidR="00CB6F73" w:rsidRPr="00D7006D">
        <w:rPr>
          <w:szCs w:val="22"/>
          <w:lang w:val="fr-FR"/>
        </w:rPr>
        <w:t>’</w:t>
      </w:r>
      <w:r w:rsidRPr="00D7006D">
        <w:rPr>
          <w:szCs w:val="22"/>
          <w:lang w:val="fr-FR"/>
        </w:rPr>
        <w:t>Assemblée générale.</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4.</w:t>
      </w:r>
      <w:r w:rsidRPr="00D7006D">
        <w:rPr>
          <w:szCs w:val="22"/>
          <w:lang w:val="fr-FR"/>
        </w:rPr>
        <w:tab/>
        <w:t>L</w:t>
      </w:r>
      <w:r w:rsidR="00CB6F73" w:rsidRPr="00D7006D">
        <w:rPr>
          <w:szCs w:val="22"/>
          <w:lang w:val="fr-FR"/>
        </w:rPr>
        <w:t>’</w:t>
      </w:r>
      <w:r w:rsidRPr="00D7006D">
        <w:rPr>
          <w:szCs w:val="22"/>
          <w:lang w:val="fr-FR"/>
        </w:rPr>
        <w:t>Assemblée générale examine le rapport du PBC, en tenant compte des recommandations, en vue de prendre une décision finale sur l</w:t>
      </w:r>
      <w:r w:rsidR="00CB6F73" w:rsidRPr="00D7006D">
        <w:rPr>
          <w:szCs w:val="22"/>
          <w:lang w:val="fr-FR"/>
        </w:rPr>
        <w:t>’</w:t>
      </w:r>
      <w:r w:rsidRPr="00D7006D">
        <w:rPr>
          <w:szCs w:val="22"/>
          <w:lang w:val="fr-FR"/>
        </w:rPr>
        <w:t>ouverture du nouveau bureau extérieur.</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5.</w:t>
      </w:r>
      <w:r w:rsidRPr="00D7006D">
        <w:rPr>
          <w:szCs w:val="22"/>
          <w:lang w:val="fr-FR"/>
        </w:rPr>
        <w:tab/>
        <w:t>Si l</w:t>
      </w:r>
      <w:r w:rsidR="00CB6F73" w:rsidRPr="00D7006D">
        <w:rPr>
          <w:szCs w:val="22"/>
          <w:lang w:val="fr-FR"/>
        </w:rPr>
        <w:t>’</w:t>
      </w:r>
      <w:r w:rsidRPr="00D7006D">
        <w:rPr>
          <w:szCs w:val="22"/>
          <w:lang w:val="fr-FR"/>
        </w:rPr>
        <w:t>Assemblée générale approuve l</w:t>
      </w:r>
      <w:r w:rsidR="00CB6F73" w:rsidRPr="00D7006D">
        <w:rPr>
          <w:szCs w:val="22"/>
          <w:lang w:val="fr-FR"/>
        </w:rPr>
        <w:t>’</w:t>
      </w:r>
      <w:r w:rsidRPr="00D7006D">
        <w:rPr>
          <w:szCs w:val="22"/>
          <w:lang w:val="fr-FR"/>
        </w:rPr>
        <w:t>ouverture d</w:t>
      </w:r>
      <w:r w:rsidR="00CB6F73" w:rsidRPr="00D7006D">
        <w:rPr>
          <w:szCs w:val="22"/>
          <w:lang w:val="fr-FR"/>
        </w:rPr>
        <w:t>’</w:t>
      </w:r>
      <w:r w:rsidRPr="00D7006D">
        <w:rPr>
          <w:szCs w:val="22"/>
          <w:lang w:val="fr-FR"/>
        </w:rPr>
        <w:t>un nouveau bureau extérieur, le Comité de coordination examine pour approbation un projet d</w:t>
      </w:r>
      <w:r w:rsidR="00CB6F73" w:rsidRPr="00D7006D">
        <w:rPr>
          <w:szCs w:val="22"/>
          <w:lang w:val="fr-FR"/>
        </w:rPr>
        <w:t>’</w:t>
      </w:r>
      <w:r w:rsidRPr="00D7006D">
        <w:rPr>
          <w:szCs w:val="22"/>
          <w:lang w:val="fr-FR"/>
        </w:rPr>
        <w:t>accord entre le Directeur général, au nom de l</w:t>
      </w:r>
      <w:r w:rsidR="00CB6F73" w:rsidRPr="00D7006D">
        <w:rPr>
          <w:szCs w:val="22"/>
          <w:lang w:val="fr-FR"/>
        </w:rPr>
        <w:t>’</w:t>
      </w:r>
      <w:r w:rsidRPr="00D7006D">
        <w:rPr>
          <w:szCs w:val="22"/>
          <w:lang w:val="fr-FR"/>
        </w:rPr>
        <w:t>OMPI, et le pays hôte, conformément à l</w:t>
      </w:r>
      <w:r w:rsidR="00CB6F73" w:rsidRPr="00D7006D">
        <w:rPr>
          <w:szCs w:val="22"/>
          <w:lang w:val="fr-FR"/>
        </w:rPr>
        <w:t>’</w:t>
      </w:r>
      <w:r w:rsidRPr="00D7006D">
        <w:rPr>
          <w:szCs w:val="22"/>
          <w:lang w:val="fr-FR"/>
        </w:rPr>
        <w:t>article 12 de la Convention instituant l</w:t>
      </w:r>
      <w:r w:rsidR="00CB6F73" w:rsidRPr="00D7006D">
        <w:rPr>
          <w:szCs w:val="22"/>
          <w:lang w:val="fr-FR"/>
        </w:rPr>
        <w:t>’</w:t>
      </w:r>
      <w:r w:rsidRPr="00D7006D">
        <w:rPr>
          <w:szCs w:val="22"/>
          <w:lang w:val="fr-FR"/>
        </w:rPr>
        <w:t>OMPI.</w:t>
      </w:r>
    </w:p>
    <w:p w:rsidR="00CC2753" w:rsidRPr="00D7006D" w:rsidRDefault="00CC2753" w:rsidP="00CC2753">
      <w:pPr>
        <w:rPr>
          <w:szCs w:val="22"/>
          <w:lang w:val="fr-FR"/>
        </w:rPr>
      </w:pPr>
    </w:p>
    <w:p w:rsidR="00CC2753" w:rsidRPr="00D7006D" w:rsidRDefault="00CC2753" w:rsidP="00CC2753">
      <w:pPr>
        <w:spacing w:after="200" w:line="276" w:lineRule="auto"/>
        <w:rPr>
          <w:b/>
          <w:sz w:val="24"/>
          <w:szCs w:val="24"/>
          <w:lang w:val="fr-FR"/>
        </w:rPr>
      </w:pPr>
      <w:r w:rsidRPr="00D7006D">
        <w:rPr>
          <w:b/>
          <w:sz w:val="24"/>
          <w:szCs w:val="24"/>
          <w:lang w:val="fr-FR"/>
        </w:rPr>
        <w:br w:type="page"/>
      </w:r>
    </w:p>
    <w:p w:rsidR="00CC2753" w:rsidRPr="00D7006D" w:rsidRDefault="00CC2753" w:rsidP="00CC2753">
      <w:pPr>
        <w:pStyle w:val="ListParagraph"/>
        <w:numPr>
          <w:ilvl w:val="0"/>
          <w:numId w:val="46"/>
        </w:numPr>
        <w:ind w:hanging="720"/>
        <w:rPr>
          <w:b/>
          <w:sz w:val="24"/>
          <w:szCs w:val="24"/>
          <w:lang w:val="fr-FR"/>
        </w:rPr>
      </w:pPr>
      <w:r w:rsidRPr="00D7006D">
        <w:rPr>
          <w:b/>
          <w:sz w:val="24"/>
          <w:szCs w:val="24"/>
          <w:lang w:val="fr-FR"/>
        </w:rPr>
        <w:lastRenderedPageBreak/>
        <w:t>Justification de l</w:t>
      </w:r>
      <w:r w:rsidR="00CB6F73" w:rsidRPr="00D7006D">
        <w:rPr>
          <w:b/>
          <w:sz w:val="24"/>
          <w:szCs w:val="24"/>
          <w:lang w:val="fr-FR"/>
        </w:rPr>
        <w:t>’</w:t>
      </w:r>
      <w:r w:rsidRPr="00D7006D">
        <w:rPr>
          <w:b/>
          <w:sz w:val="24"/>
          <w:szCs w:val="24"/>
          <w:lang w:val="fr-FR"/>
        </w:rPr>
        <w:t>ouverture de bureaux extérieurs</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6.</w:t>
      </w:r>
      <w:r w:rsidRPr="00D7006D">
        <w:rPr>
          <w:szCs w:val="22"/>
          <w:lang w:val="fr-FR"/>
        </w:rPr>
        <w:tab/>
        <w:t>La proposition visée au paragraphe 3 doit indiquer la raison d</w:t>
      </w:r>
      <w:r w:rsidR="00CB6F73" w:rsidRPr="00D7006D">
        <w:rPr>
          <w:szCs w:val="22"/>
          <w:lang w:val="fr-FR"/>
        </w:rPr>
        <w:t>’</w:t>
      </w:r>
      <w:r w:rsidRPr="00D7006D">
        <w:rPr>
          <w:szCs w:val="22"/>
          <w:lang w:val="fr-FR"/>
        </w:rPr>
        <w:t>être de l</w:t>
      </w:r>
      <w:r w:rsidR="00CB6F73" w:rsidRPr="00D7006D">
        <w:rPr>
          <w:szCs w:val="22"/>
          <w:lang w:val="fr-FR"/>
        </w:rPr>
        <w:t>’</w:t>
      </w:r>
      <w:r w:rsidRPr="00D7006D">
        <w:rPr>
          <w:szCs w:val="22"/>
          <w:lang w:val="fr-FR"/>
        </w:rPr>
        <w:t>ouverture du bureau extérieur et proposer un mandat dans lequel seraient précisés les besoins, les objectifs et le champ d</w:t>
      </w:r>
      <w:r w:rsidR="00CB6F73" w:rsidRPr="00D7006D">
        <w:rPr>
          <w:szCs w:val="22"/>
          <w:lang w:val="fr-FR"/>
        </w:rPr>
        <w:t>’</w:t>
      </w:r>
      <w:r w:rsidRPr="00D7006D">
        <w:rPr>
          <w:szCs w:val="22"/>
          <w:lang w:val="fr-FR"/>
        </w:rPr>
        <w:t>activités proposé, y compris au niveau régional, le cas échéant;  elle doit également indiquer la valeur ajoutée qu</w:t>
      </w:r>
      <w:r w:rsidR="00CB6F73" w:rsidRPr="00D7006D">
        <w:rPr>
          <w:szCs w:val="22"/>
          <w:lang w:val="fr-FR"/>
        </w:rPr>
        <w:t>’</w:t>
      </w:r>
      <w:r w:rsidRPr="00D7006D">
        <w:rPr>
          <w:szCs w:val="22"/>
          <w:lang w:val="fr-FR"/>
        </w:rPr>
        <w:t>il représente pour l</w:t>
      </w:r>
      <w:r w:rsidR="00CB6F73" w:rsidRPr="00D7006D">
        <w:rPr>
          <w:szCs w:val="22"/>
          <w:lang w:val="fr-FR"/>
        </w:rPr>
        <w:t>’</w:t>
      </w:r>
      <w:r w:rsidRPr="00D7006D">
        <w:rPr>
          <w:szCs w:val="22"/>
          <w:lang w:val="fr-FR"/>
        </w:rPr>
        <w:t>exécution des programmes de l</w:t>
      </w:r>
      <w:r w:rsidR="00CB6F73" w:rsidRPr="00D7006D">
        <w:rPr>
          <w:szCs w:val="22"/>
          <w:lang w:val="fr-FR"/>
        </w:rPr>
        <w:t>’</w:t>
      </w:r>
      <w:r w:rsidRPr="00D7006D">
        <w:rPr>
          <w:szCs w:val="22"/>
          <w:lang w:val="fr-FR"/>
        </w:rPr>
        <w:t>Organisation, compte tenu en particulier des éléments visés aux sections D et E.</w:t>
      </w:r>
    </w:p>
    <w:p w:rsidR="00CC2753" w:rsidRPr="00D7006D" w:rsidRDefault="00CC2753" w:rsidP="00CC2753">
      <w:pPr>
        <w:rPr>
          <w:strike/>
          <w:szCs w:val="22"/>
          <w:lang w:val="fr-FR"/>
        </w:rPr>
      </w:pPr>
    </w:p>
    <w:p w:rsidR="00CC2753" w:rsidRPr="00D7006D" w:rsidRDefault="00CC2753" w:rsidP="00CC2753">
      <w:pPr>
        <w:rPr>
          <w:szCs w:val="22"/>
          <w:lang w:val="fr-FR"/>
        </w:rPr>
      </w:pPr>
      <w:r w:rsidRPr="00D7006D">
        <w:rPr>
          <w:szCs w:val="22"/>
          <w:lang w:val="fr-FR"/>
        </w:rPr>
        <w:t>7.</w:t>
      </w:r>
      <w:r w:rsidRPr="00D7006D">
        <w:rPr>
          <w:szCs w:val="22"/>
          <w:lang w:val="fr-FR"/>
        </w:rPr>
        <w:tab/>
        <w:t>Étant entendu que le mandat de chaque bureau extérieur, défini par les États membres de l</w:t>
      </w:r>
      <w:r w:rsidR="00CB6F73" w:rsidRPr="00D7006D">
        <w:rPr>
          <w:szCs w:val="22"/>
          <w:lang w:val="fr-FR"/>
        </w:rPr>
        <w:t>’</w:t>
      </w:r>
      <w:r w:rsidRPr="00D7006D">
        <w:rPr>
          <w:szCs w:val="22"/>
          <w:lang w:val="fr-FR"/>
        </w:rPr>
        <w:t>OMPI, peut être distinct, les activités de base des bureaux extérieurs peuvent comprendre les éléments suivants :</w:t>
      </w:r>
    </w:p>
    <w:p w:rsidR="00CC2753" w:rsidRPr="00D7006D" w:rsidRDefault="00CC2753" w:rsidP="00CC2753">
      <w:pPr>
        <w:rPr>
          <w:szCs w:val="22"/>
          <w:lang w:val="fr-FR"/>
        </w:rPr>
      </w:pPr>
    </w:p>
    <w:p w:rsidR="00CC2753" w:rsidRPr="00D7006D" w:rsidRDefault="00CC2753" w:rsidP="00CC2753">
      <w:pPr>
        <w:pStyle w:val="ListParagraph"/>
        <w:numPr>
          <w:ilvl w:val="0"/>
          <w:numId w:val="47"/>
        </w:numPr>
        <w:rPr>
          <w:szCs w:val="22"/>
          <w:lang w:val="fr-FR"/>
        </w:rPr>
      </w:pPr>
      <w:r w:rsidRPr="00D7006D">
        <w:rPr>
          <w:szCs w:val="22"/>
          <w:lang w:val="fr-FR"/>
        </w:rPr>
        <w:t>collaboration avec l</w:t>
      </w:r>
      <w:r w:rsidR="00CB6F73" w:rsidRPr="00D7006D">
        <w:rPr>
          <w:szCs w:val="22"/>
          <w:lang w:val="fr-FR"/>
        </w:rPr>
        <w:t>’</w:t>
      </w:r>
      <w:r w:rsidRPr="00D7006D">
        <w:rPr>
          <w:szCs w:val="22"/>
          <w:lang w:val="fr-FR"/>
        </w:rPr>
        <w:t>office national de propriété intellectuelle en vue d</w:t>
      </w:r>
      <w:r w:rsidR="00CB6F73" w:rsidRPr="00D7006D">
        <w:rPr>
          <w:szCs w:val="22"/>
          <w:lang w:val="fr-FR"/>
        </w:rPr>
        <w:t>’</w:t>
      </w:r>
      <w:r w:rsidRPr="00D7006D">
        <w:rPr>
          <w:szCs w:val="22"/>
          <w:lang w:val="fr-FR"/>
        </w:rPr>
        <w:t>appuyer et de faire progresser l</w:t>
      </w:r>
      <w:r w:rsidR="00CB6F73" w:rsidRPr="00D7006D">
        <w:rPr>
          <w:szCs w:val="22"/>
          <w:lang w:val="fr-FR"/>
        </w:rPr>
        <w:t>’</w:t>
      </w:r>
      <w:r w:rsidRPr="00D7006D">
        <w:rPr>
          <w:szCs w:val="22"/>
          <w:lang w:val="fr-FR"/>
        </w:rPr>
        <w:t>exécution des programmes de l</w:t>
      </w:r>
      <w:r w:rsidR="00CB6F73" w:rsidRPr="00D7006D">
        <w:rPr>
          <w:szCs w:val="22"/>
          <w:lang w:val="fr-FR"/>
        </w:rPr>
        <w:t>’</w:t>
      </w:r>
      <w:r w:rsidRPr="00D7006D">
        <w:rPr>
          <w:szCs w:val="22"/>
          <w:lang w:val="fr-FR"/>
        </w:rPr>
        <w:t>Organisation;</w:t>
      </w:r>
    </w:p>
    <w:p w:rsidR="00CC2753" w:rsidRPr="00D7006D" w:rsidRDefault="00CC2753" w:rsidP="00CC2753">
      <w:pPr>
        <w:ind w:left="720" w:hanging="360"/>
        <w:rPr>
          <w:szCs w:val="22"/>
          <w:lang w:val="fr-FR"/>
        </w:rPr>
      </w:pPr>
    </w:p>
    <w:p w:rsidR="00CC2753" w:rsidRPr="00D7006D" w:rsidRDefault="00CC2753" w:rsidP="00CC2753">
      <w:pPr>
        <w:pStyle w:val="ListParagraph"/>
        <w:numPr>
          <w:ilvl w:val="0"/>
          <w:numId w:val="47"/>
        </w:numPr>
        <w:rPr>
          <w:szCs w:val="22"/>
          <w:lang w:val="fr-FR"/>
        </w:rPr>
      </w:pPr>
      <w:r w:rsidRPr="00D7006D">
        <w:rPr>
          <w:szCs w:val="22"/>
          <w:lang w:val="fr-FR"/>
        </w:rPr>
        <w:t>renforcement de l</w:t>
      </w:r>
      <w:r w:rsidR="00CB6F73" w:rsidRPr="00D7006D">
        <w:rPr>
          <w:szCs w:val="22"/>
          <w:lang w:val="fr-FR"/>
        </w:rPr>
        <w:t>’</w:t>
      </w:r>
      <w:r w:rsidRPr="00D7006D">
        <w:rPr>
          <w:szCs w:val="22"/>
          <w:lang w:val="fr-FR"/>
        </w:rPr>
        <w:t>innovation et de la créativité grâce, notamment, à la promotion de l</w:t>
      </w:r>
      <w:r w:rsidR="00CB6F73" w:rsidRPr="00D7006D">
        <w:rPr>
          <w:szCs w:val="22"/>
          <w:lang w:val="fr-FR"/>
        </w:rPr>
        <w:t>’</w:t>
      </w:r>
      <w:r w:rsidRPr="00D7006D">
        <w:rPr>
          <w:szCs w:val="22"/>
          <w:lang w:val="fr-FR"/>
        </w:rPr>
        <w:t>utilisation effective des services de propriété intellectuelle;</w:t>
      </w:r>
    </w:p>
    <w:p w:rsidR="00CC2753" w:rsidRPr="00D7006D" w:rsidRDefault="00CC2753" w:rsidP="00CC2753">
      <w:pPr>
        <w:ind w:left="720" w:hanging="360"/>
        <w:rPr>
          <w:szCs w:val="22"/>
          <w:lang w:val="fr-FR"/>
        </w:rPr>
      </w:pPr>
    </w:p>
    <w:p w:rsidR="00CC2753" w:rsidRPr="00D7006D" w:rsidRDefault="00CC2753" w:rsidP="00CC2753">
      <w:pPr>
        <w:pStyle w:val="ListParagraph"/>
        <w:numPr>
          <w:ilvl w:val="0"/>
          <w:numId w:val="47"/>
        </w:numPr>
        <w:rPr>
          <w:szCs w:val="22"/>
          <w:lang w:val="fr-FR"/>
        </w:rPr>
      </w:pPr>
      <w:r w:rsidRPr="00D7006D">
        <w:rPr>
          <w:szCs w:val="22"/>
          <w:lang w:val="fr-FR"/>
        </w:rPr>
        <w:t>sensibilisation du public à la propriété intellectuelle, promotion de la compréhension et du respect de la propriété intellectuelle;</w:t>
      </w:r>
    </w:p>
    <w:p w:rsidR="00CC2753" w:rsidRPr="00D7006D" w:rsidRDefault="00CC2753" w:rsidP="00CC2753">
      <w:pPr>
        <w:ind w:left="720" w:hanging="360"/>
        <w:rPr>
          <w:szCs w:val="22"/>
          <w:lang w:val="fr-FR"/>
        </w:rPr>
      </w:pPr>
    </w:p>
    <w:p w:rsidR="00CC2753" w:rsidRPr="00D7006D" w:rsidRDefault="00CC2753" w:rsidP="00CC2753">
      <w:pPr>
        <w:pStyle w:val="ListParagraph"/>
        <w:numPr>
          <w:ilvl w:val="0"/>
          <w:numId w:val="47"/>
        </w:numPr>
        <w:rPr>
          <w:szCs w:val="22"/>
          <w:lang w:val="fr-FR"/>
        </w:rPr>
      </w:pPr>
      <w:r w:rsidRPr="00D7006D">
        <w:rPr>
          <w:szCs w:val="22"/>
          <w:lang w:val="fr-FR"/>
        </w:rPr>
        <w:t>prestation de services clients aux utilisateurs des services mondiaux de propriété intellectuelle, y compris les traités et conventions administrés par l</w:t>
      </w:r>
      <w:r w:rsidR="00CB6F73" w:rsidRPr="00D7006D">
        <w:rPr>
          <w:szCs w:val="22"/>
          <w:lang w:val="fr-FR"/>
        </w:rPr>
        <w:t>’</w:t>
      </w:r>
      <w:r w:rsidRPr="00D7006D">
        <w:rPr>
          <w:szCs w:val="22"/>
          <w:lang w:val="fr-FR"/>
        </w:rPr>
        <w:t>OMPI;</w:t>
      </w:r>
    </w:p>
    <w:p w:rsidR="00CC2753" w:rsidRPr="00D7006D" w:rsidRDefault="00CC2753" w:rsidP="00CC2753">
      <w:pPr>
        <w:ind w:left="720" w:hanging="360"/>
        <w:rPr>
          <w:szCs w:val="22"/>
          <w:lang w:val="fr-FR"/>
        </w:rPr>
      </w:pPr>
    </w:p>
    <w:p w:rsidR="00CC2753" w:rsidRPr="00D7006D" w:rsidRDefault="00CC2753" w:rsidP="00CC2753">
      <w:pPr>
        <w:pStyle w:val="ListParagraph"/>
        <w:numPr>
          <w:ilvl w:val="0"/>
          <w:numId w:val="47"/>
        </w:numPr>
        <w:rPr>
          <w:szCs w:val="22"/>
          <w:lang w:val="fr-FR"/>
        </w:rPr>
      </w:pPr>
      <w:r w:rsidRPr="00D7006D">
        <w:rPr>
          <w:szCs w:val="22"/>
          <w:lang w:val="fr-FR"/>
        </w:rPr>
        <w:t>aide à l</w:t>
      </w:r>
      <w:r w:rsidR="00CB6F73" w:rsidRPr="00D7006D">
        <w:rPr>
          <w:szCs w:val="22"/>
          <w:lang w:val="fr-FR"/>
        </w:rPr>
        <w:t>’</w:t>
      </w:r>
      <w:r w:rsidRPr="00D7006D">
        <w:rPr>
          <w:szCs w:val="22"/>
          <w:lang w:val="fr-FR"/>
        </w:rPr>
        <w:t>utilisation de la propriété intellectuelle au service de la promotion de la mise au point et du transfert de technologie;</w:t>
      </w:r>
    </w:p>
    <w:p w:rsidR="00CC2753" w:rsidRPr="00D7006D" w:rsidRDefault="00CC2753" w:rsidP="00CC2753">
      <w:pPr>
        <w:pStyle w:val="ListParagraph"/>
        <w:rPr>
          <w:szCs w:val="22"/>
          <w:lang w:val="fr-FR"/>
        </w:rPr>
      </w:pPr>
    </w:p>
    <w:p w:rsidR="00CC2753" w:rsidRPr="00D7006D" w:rsidRDefault="00CC2753" w:rsidP="00CC2753">
      <w:pPr>
        <w:pStyle w:val="ListParagraph"/>
        <w:numPr>
          <w:ilvl w:val="0"/>
          <w:numId w:val="47"/>
        </w:numPr>
        <w:rPr>
          <w:szCs w:val="22"/>
          <w:lang w:val="fr-FR"/>
        </w:rPr>
      </w:pPr>
      <w:r w:rsidRPr="00D7006D">
        <w:rPr>
          <w:szCs w:val="22"/>
          <w:lang w:val="fr-FR"/>
        </w:rPr>
        <w:t>fourniture d</w:t>
      </w:r>
      <w:r w:rsidR="00CB6F73" w:rsidRPr="00D7006D">
        <w:rPr>
          <w:szCs w:val="22"/>
          <w:lang w:val="fr-FR"/>
        </w:rPr>
        <w:t>’</w:t>
      </w:r>
      <w:r w:rsidRPr="00D7006D">
        <w:rPr>
          <w:szCs w:val="22"/>
          <w:lang w:val="fr-FR"/>
        </w:rPr>
        <w:t>un appui politique et technique aux offices nationaux de propriété intellectuelle aux fins du renforcement de l</w:t>
      </w:r>
      <w:r w:rsidR="00CB6F73" w:rsidRPr="00D7006D">
        <w:rPr>
          <w:szCs w:val="22"/>
          <w:lang w:val="fr-FR"/>
        </w:rPr>
        <w:t>’</w:t>
      </w:r>
      <w:r w:rsidRPr="00D7006D">
        <w:rPr>
          <w:szCs w:val="22"/>
          <w:lang w:val="fr-FR"/>
        </w:rPr>
        <w:t>utilisation de la propriété intellectuelle;</w:t>
      </w:r>
    </w:p>
    <w:p w:rsidR="00CC2753" w:rsidRPr="00D7006D" w:rsidRDefault="00CC2753" w:rsidP="00CC2753">
      <w:pPr>
        <w:ind w:left="720" w:hanging="360"/>
        <w:rPr>
          <w:szCs w:val="22"/>
          <w:lang w:val="fr-FR"/>
        </w:rPr>
      </w:pPr>
    </w:p>
    <w:p w:rsidR="00CC2753" w:rsidRPr="00D7006D" w:rsidRDefault="00CC2753" w:rsidP="00CC2753">
      <w:pPr>
        <w:pStyle w:val="ListParagraph"/>
        <w:numPr>
          <w:ilvl w:val="0"/>
          <w:numId w:val="47"/>
        </w:numPr>
        <w:rPr>
          <w:szCs w:val="22"/>
          <w:lang w:val="fr-FR"/>
        </w:rPr>
      </w:pPr>
      <w:r w:rsidRPr="00D7006D">
        <w:rPr>
          <w:szCs w:val="22"/>
          <w:lang w:val="fr-FR"/>
        </w:rPr>
        <w:t>sous réserve de l</w:t>
      </w:r>
      <w:r w:rsidR="00CB6F73" w:rsidRPr="00D7006D">
        <w:rPr>
          <w:szCs w:val="22"/>
          <w:lang w:val="fr-FR"/>
        </w:rPr>
        <w:t>’</w:t>
      </w:r>
      <w:r w:rsidRPr="00D7006D">
        <w:rPr>
          <w:szCs w:val="22"/>
          <w:lang w:val="fr-FR"/>
        </w:rPr>
        <w:t>accord du PBC, l</w:t>
      </w:r>
      <w:r w:rsidR="00CB6F73" w:rsidRPr="00D7006D">
        <w:rPr>
          <w:szCs w:val="22"/>
          <w:lang w:val="fr-FR"/>
        </w:rPr>
        <w:t>’</w:t>
      </w:r>
      <w:r w:rsidRPr="00D7006D">
        <w:rPr>
          <w:szCs w:val="22"/>
          <w:lang w:val="fr-FR"/>
        </w:rPr>
        <w:t>OMPI peut étudier la possibilité de la mise en œuvre par un bureau extérieur d</w:t>
      </w:r>
      <w:r w:rsidR="00CB6F73" w:rsidRPr="00D7006D">
        <w:rPr>
          <w:szCs w:val="22"/>
          <w:lang w:val="fr-FR"/>
        </w:rPr>
        <w:t>’</w:t>
      </w:r>
      <w:r w:rsidRPr="00D7006D">
        <w:rPr>
          <w:szCs w:val="22"/>
          <w:lang w:val="fr-FR"/>
        </w:rPr>
        <w:t>autres activités présentant un intérêt pour les États membres de l</w:t>
      </w:r>
      <w:r w:rsidR="00CB6F73" w:rsidRPr="00D7006D">
        <w:rPr>
          <w:szCs w:val="22"/>
          <w:lang w:val="fr-FR"/>
        </w:rPr>
        <w:t>’</w:t>
      </w:r>
      <w:r w:rsidRPr="00D7006D">
        <w:rPr>
          <w:szCs w:val="22"/>
          <w:lang w:val="fr-FR"/>
        </w:rPr>
        <w:t>OMPI.</w:t>
      </w:r>
    </w:p>
    <w:p w:rsidR="00CC2753" w:rsidRPr="00D7006D" w:rsidRDefault="00CC2753" w:rsidP="00CC2753">
      <w:pPr>
        <w:ind w:left="360" w:hanging="360"/>
        <w:rPr>
          <w:szCs w:val="22"/>
          <w:lang w:val="fr-FR"/>
        </w:rPr>
      </w:pPr>
    </w:p>
    <w:p w:rsidR="00CC2753" w:rsidRPr="00D7006D" w:rsidRDefault="00CC2753" w:rsidP="00CC2753">
      <w:pPr>
        <w:rPr>
          <w:szCs w:val="22"/>
          <w:lang w:val="fr-FR"/>
        </w:rPr>
      </w:pPr>
      <w:r w:rsidRPr="00D7006D">
        <w:rPr>
          <w:szCs w:val="22"/>
          <w:lang w:val="fr-FR"/>
        </w:rPr>
        <w:t>8.</w:t>
      </w:r>
      <w:r w:rsidRPr="00D7006D">
        <w:rPr>
          <w:szCs w:val="22"/>
          <w:lang w:val="fr-FR"/>
        </w:rPr>
        <w:tab/>
        <w:t>Les bureaux extérieurs de l</w:t>
      </w:r>
      <w:r w:rsidR="00CB6F73" w:rsidRPr="00D7006D">
        <w:rPr>
          <w:szCs w:val="22"/>
          <w:lang w:val="fr-FR"/>
        </w:rPr>
        <w:t>’</w:t>
      </w:r>
      <w:r w:rsidRPr="00D7006D">
        <w:rPr>
          <w:szCs w:val="22"/>
          <w:lang w:val="fr-FR"/>
        </w:rPr>
        <w:t>OMPI n</w:t>
      </w:r>
      <w:r w:rsidR="00CB6F73" w:rsidRPr="00D7006D">
        <w:rPr>
          <w:szCs w:val="22"/>
          <w:lang w:val="fr-FR"/>
        </w:rPr>
        <w:t>’</w:t>
      </w:r>
      <w:r w:rsidRPr="00D7006D">
        <w:rPr>
          <w:szCs w:val="22"/>
          <w:lang w:val="fr-FR"/>
        </w:rPr>
        <w:t>exercent aucune activité relative à l</w:t>
      </w:r>
      <w:r w:rsidR="00CB6F73" w:rsidRPr="00D7006D">
        <w:rPr>
          <w:szCs w:val="22"/>
          <w:lang w:val="fr-FR"/>
        </w:rPr>
        <w:t>’</w:t>
      </w:r>
      <w:r w:rsidRPr="00D7006D">
        <w:rPr>
          <w:szCs w:val="22"/>
          <w:lang w:val="fr-FR"/>
        </w:rPr>
        <w:t>instruction</w:t>
      </w:r>
      <w:r w:rsidRPr="00D7006D">
        <w:rPr>
          <w:rStyle w:val="FootnoteReference"/>
          <w:szCs w:val="22"/>
          <w:lang w:val="fr-FR"/>
        </w:rPr>
        <w:footnoteReference w:id="2"/>
      </w:r>
      <w:r w:rsidRPr="00D7006D">
        <w:rPr>
          <w:szCs w:val="22"/>
          <w:lang w:val="fr-FR"/>
        </w:rPr>
        <w:t xml:space="preserve"> des demandes internationales déposées dans le cadre des systèmes du PCT, de Madrid ou de La Haye, ni aucune transaction financière liée à ces demandes.</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9.</w:t>
      </w:r>
      <w:r w:rsidRPr="00D7006D">
        <w:rPr>
          <w:szCs w:val="22"/>
          <w:lang w:val="fr-FR"/>
        </w:rPr>
        <w:tab/>
        <w:t>Les bureaux extérieurs peuvent mener des activités complémentaires de celles exercées par les administrations nationales chargées de la propriété intellectuelle, mais ne sauraient assumer des responsabilités relevant essentiellement de ces dernières.</w:t>
      </w:r>
    </w:p>
    <w:p w:rsidR="00CC2753" w:rsidRPr="00D7006D" w:rsidRDefault="00CC2753" w:rsidP="00CC2753">
      <w:pPr>
        <w:rPr>
          <w:szCs w:val="22"/>
          <w:lang w:val="fr-FR"/>
        </w:rPr>
      </w:pPr>
    </w:p>
    <w:p w:rsidR="00CC2753" w:rsidRPr="00D7006D" w:rsidRDefault="00CC2753" w:rsidP="00CC2753">
      <w:pPr>
        <w:rPr>
          <w:szCs w:val="22"/>
          <w:lang w:val="fr-FR"/>
        </w:rPr>
      </w:pPr>
    </w:p>
    <w:p w:rsidR="00CC2753" w:rsidRPr="00D7006D" w:rsidRDefault="00CC2753" w:rsidP="00CC2753">
      <w:pPr>
        <w:pStyle w:val="ListParagraph"/>
        <w:numPr>
          <w:ilvl w:val="0"/>
          <w:numId w:val="46"/>
        </w:numPr>
        <w:ind w:hanging="720"/>
        <w:rPr>
          <w:b/>
          <w:sz w:val="24"/>
          <w:szCs w:val="24"/>
          <w:lang w:val="fr-FR"/>
        </w:rPr>
      </w:pPr>
      <w:r w:rsidRPr="00D7006D">
        <w:rPr>
          <w:b/>
          <w:sz w:val="24"/>
          <w:szCs w:val="24"/>
          <w:lang w:val="fr-FR"/>
        </w:rPr>
        <w:t>Activité régionale</w:t>
      </w:r>
    </w:p>
    <w:p w:rsidR="00CC2753" w:rsidRPr="00D7006D" w:rsidRDefault="00CC2753" w:rsidP="00CC2753">
      <w:pPr>
        <w:rPr>
          <w:sz w:val="24"/>
          <w:szCs w:val="24"/>
          <w:lang w:val="fr-FR"/>
        </w:rPr>
      </w:pPr>
    </w:p>
    <w:p w:rsidR="00CC2753" w:rsidRPr="00D7006D" w:rsidRDefault="00CC2753" w:rsidP="00CC2753">
      <w:pPr>
        <w:pStyle w:val="CommentText"/>
        <w:rPr>
          <w:sz w:val="22"/>
          <w:szCs w:val="22"/>
          <w:lang w:val="fr-FR"/>
        </w:rPr>
      </w:pPr>
      <w:r w:rsidRPr="00D7006D">
        <w:rPr>
          <w:sz w:val="22"/>
          <w:szCs w:val="22"/>
          <w:lang w:val="fr-FR"/>
        </w:rPr>
        <w:t>10.</w:t>
      </w:r>
      <w:r w:rsidRPr="00D7006D">
        <w:rPr>
          <w:sz w:val="22"/>
          <w:szCs w:val="22"/>
          <w:lang w:val="fr-FR"/>
        </w:rPr>
        <w:tab/>
        <w:t>Le mandat d</w:t>
      </w:r>
      <w:r w:rsidR="00CB6F73" w:rsidRPr="00D7006D">
        <w:rPr>
          <w:sz w:val="22"/>
          <w:szCs w:val="22"/>
          <w:lang w:val="fr-FR"/>
        </w:rPr>
        <w:t>’</w:t>
      </w:r>
      <w:r w:rsidRPr="00D7006D">
        <w:rPr>
          <w:sz w:val="22"/>
          <w:szCs w:val="22"/>
          <w:lang w:val="fr-FR"/>
        </w:rPr>
        <w:t>un bureau extérieur peut comprendre la conduite d</w:t>
      </w:r>
      <w:r w:rsidR="00CB6F73" w:rsidRPr="00D7006D">
        <w:rPr>
          <w:sz w:val="22"/>
          <w:szCs w:val="22"/>
          <w:lang w:val="fr-FR"/>
        </w:rPr>
        <w:t>’</w:t>
      </w:r>
      <w:r w:rsidRPr="00D7006D">
        <w:rPr>
          <w:sz w:val="22"/>
          <w:szCs w:val="22"/>
          <w:lang w:val="fr-FR"/>
        </w:rPr>
        <w:t>activités analogues à celles définies au paragraphe 7, en conformité avec le programme de l</w:t>
      </w:r>
      <w:r w:rsidR="00CB6F73" w:rsidRPr="00D7006D">
        <w:rPr>
          <w:sz w:val="22"/>
          <w:szCs w:val="22"/>
          <w:lang w:val="fr-FR"/>
        </w:rPr>
        <w:t>’</w:t>
      </w:r>
      <w:r w:rsidRPr="00D7006D">
        <w:rPr>
          <w:sz w:val="22"/>
          <w:szCs w:val="22"/>
          <w:lang w:val="fr-FR"/>
        </w:rPr>
        <w:t>OMPI qui a été approuvé dans un groupe de pays ou un groupe régional et aux fins de son renforcement, si les pays qui seront couverts par le bureau extérieur en ont convenu ainsi.</w:t>
      </w:r>
    </w:p>
    <w:p w:rsidR="00CC2753" w:rsidRPr="00D7006D" w:rsidRDefault="00CC2753" w:rsidP="00CC2753">
      <w:pPr>
        <w:pStyle w:val="CommentText"/>
        <w:rPr>
          <w:sz w:val="22"/>
          <w:szCs w:val="22"/>
          <w:lang w:val="fr-FR"/>
        </w:rPr>
      </w:pPr>
    </w:p>
    <w:p w:rsidR="00CC2753" w:rsidRPr="00D7006D" w:rsidRDefault="00CC2753" w:rsidP="00CC2753">
      <w:pPr>
        <w:pStyle w:val="CommentText"/>
        <w:rPr>
          <w:sz w:val="22"/>
          <w:szCs w:val="22"/>
          <w:lang w:val="fr-FR"/>
        </w:rPr>
      </w:pPr>
      <w:r w:rsidRPr="00D7006D">
        <w:rPr>
          <w:sz w:val="22"/>
          <w:szCs w:val="22"/>
          <w:lang w:val="fr-FR"/>
        </w:rPr>
        <w:lastRenderedPageBreak/>
        <w:t>10</w:t>
      </w:r>
      <w:r w:rsidRPr="00D7006D">
        <w:rPr>
          <w:i/>
          <w:sz w:val="22"/>
          <w:szCs w:val="22"/>
          <w:lang w:val="fr-FR"/>
        </w:rPr>
        <w:t>bis</w:t>
      </w:r>
      <w:r w:rsidRPr="00D7006D">
        <w:rPr>
          <w:sz w:val="22"/>
          <w:szCs w:val="22"/>
          <w:lang w:val="fr-FR"/>
        </w:rPr>
        <w:t>.</w:t>
      </w:r>
      <w:r w:rsidRPr="00D7006D">
        <w:rPr>
          <w:sz w:val="22"/>
          <w:szCs w:val="22"/>
          <w:lang w:val="fr-FR"/>
        </w:rPr>
        <w:tab/>
        <w:t>Ces activités ne doivent pas porter atteinte aux droits de tout autre pays de la même région au regard de la mise en œuvre des activités ordinaires du programme de l</w:t>
      </w:r>
      <w:r w:rsidR="00CB6F73" w:rsidRPr="00D7006D">
        <w:rPr>
          <w:sz w:val="22"/>
          <w:szCs w:val="22"/>
          <w:lang w:val="fr-FR"/>
        </w:rPr>
        <w:t>’</w:t>
      </w:r>
      <w:r w:rsidRPr="00D7006D">
        <w:rPr>
          <w:sz w:val="22"/>
          <w:szCs w:val="22"/>
          <w:lang w:val="fr-FR"/>
        </w:rPr>
        <w:t>Organisation, notamment au niveau national, y compris en ce qui concerne la fourniture de toute assistance juridique ou technique à ces pays directement par le siège de l</w:t>
      </w:r>
      <w:r w:rsidR="00CB6F73" w:rsidRPr="00D7006D">
        <w:rPr>
          <w:sz w:val="22"/>
          <w:szCs w:val="22"/>
          <w:lang w:val="fr-FR"/>
        </w:rPr>
        <w:t>’</w:t>
      </w:r>
      <w:r w:rsidRPr="00D7006D">
        <w:rPr>
          <w:sz w:val="22"/>
          <w:szCs w:val="22"/>
          <w:lang w:val="fr-FR"/>
        </w:rPr>
        <w:t>OMPI.</w:t>
      </w:r>
    </w:p>
    <w:p w:rsidR="00CC2753" w:rsidRPr="00D7006D" w:rsidRDefault="00CC2753" w:rsidP="00CC2753">
      <w:pPr>
        <w:rPr>
          <w:szCs w:val="22"/>
          <w:lang w:val="fr-FR"/>
        </w:rPr>
      </w:pPr>
    </w:p>
    <w:p w:rsidR="00CC2753" w:rsidRPr="00D7006D" w:rsidRDefault="00CC2753" w:rsidP="00CC2753">
      <w:pPr>
        <w:rPr>
          <w:szCs w:val="22"/>
          <w:lang w:val="fr-FR"/>
        </w:rPr>
      </w:pPr>
    </w:p>
    <w:p w:rsidR="00CC2753" w:rsidRPr="00D7006D" w:rsidRDefault="00CC2753" w:rsidP="00CC2753">
      <w:pPr>
        <w:pStyle w:val="ListParagraph"/>
        <w:numPr>
          <w:ilvl w:val="0"/>
          <w:numId w:val="46"/>
        </w:numPr>
        <w:ind w:hanging="720"/>
        <w:rPr>
          <w:b/>
          <w:sz w:val="24"/>
          <w:szCs w:val="24"/>
          <w:lang w:val="fr-FR"/>
        </w:rPr>
      </w:pPr>
      <w:r w:rsidRPr="00D7006D">
        <w:rPr>
          <w:b/>
          <w:sz w:val="24"/>
          <w:szCs w:val="24"/>
          <w:lang w:val="fr-FR"/>
        </w:rPr>
        <w:t>Viabilité financière et budgétaire</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11.</w:t>
      </w:r>
      <w:r w:rsidRPr="00D7006D">
        <w:rPr>
          <w:szCs w:val="22"/>
          <w:lang w:val="fr-FR"/>
        </w:rPr>
        <w:tab/>
        <w:t>Compte tenu des différences de niveau de développement des États membres et de la nécessité de préserver des ressources pour les bureaux régionaux sans préjudice des droits des États membres ayant choisi de traiter directement avec le siège de l</w:t>
      </w:r>
      <w:r w:rsidR="00CB6F73" w:rsidRPr="00D7006D">
        <w:rPr>
          <w:szCs w:val="22"/>
          <w:lang w:val="fr-FR"/>
        </w:rPr>
        <w:t>’</w:t>
      </w:r>
      <w:r w:rsidRPr="00D7006D">
        <w:rPr>
          <w:szCs w:val="22"/>
          <w:lang w:val="fr-FR"/>
        </w:rPr>
        <w:t>OMPI, le paragraphe 3</w:t>
      </w:r>
      <w:r w:rsidRPr="00D7006D">
        <w:rPr>
          <w:i/>
          <w:szCs w:val="22"/>
          <w:lang w:val="fr-FR"/>
        </w:rPr>
        <w:t>bis</w:t>
      </w:r>
      <w:r w:rsidRPr="00D7006D">
        <w:rPr>
          <w:szCs w:val="22"/>
          <w:lang w:val="fr-FR"/>
        </w:rPr>
        <w:t xml:space="preserve"> du rapport étudie, sur </w:t>
      </w:r>
      <w:proofErr w:type="gramStart"/>
      <w:r w:rsidRPr="00D7006D">
        <w:rPr>
          <w:szCs w:val="22"/>
          <w:lang w:val="fr-FR"/>
        </w:rPr>
        <w:t>la base de données précises</w:t>
      </w:r>
      <w:proofErr w:type="gramEnd"/>
      <w:r w:rsidRPr="00D7006D">
        <w:rPr>
          <w:szCs w:val="22"/>
          <w:lang w:val="fr-FR"/>
        </w:rPr>
        <w:t>, la faisabilité technique du bureau extérieur proposé en prenant en considération les éléments suivants :</w:t>
      </w:r>
    </w:p>
    <w:p w:rsidR="00CC2753" w:rsidRPr="00D7006D" w:rsidRDefault="00CC2753" w:rsidP="00CC2753">
      <w:pPr>
        <w:rPr>
          <w:szCs w:val="22"/>
          <w:lang w:val="fr-FR"/>
        </w:rPr>
      </w:pPr>
    </w:p>
    <w:p w:rsidR="00CC2753" w:rsidRPr="00D7006D" w:rsidRDefault="00CC2753" w:rsidP="00CC2753">
      <w:pPr>
        <w:pStyle w:val="ListParagraph"/>
        <w:numPr>
          <w:ilvl w:val="0"/>
          <w:numId w:val="48"/>
        </w:numPr>
        <w:rPr>
          <w:szCs w:val="22"/>
          <w:lang w:val="fr-FR"/>
        </w:rPr>
      </w:pPr>
      <w:r w:rsidRPr="00D7006D">
        <w:rPr>
          <w:szCs w:val="22"/>
          <w:lang w:val="fr-FR"/>
        </w:rPr>
        <w:t>les incidences budgétaires de l</w:t>
      </w:r>
      <w:r w:rsidR="00CB6F73" w:rsidRPr="00D7006D">
        <w:rPr>
          <w:szCs w:val="22"/>
          <w:lang w:val="fr-FR"/>
        </w:rPr>
        <w:t>’</w:t>
      </w:r>
      <w:r w:rsidRPr="00D7006D">
        <w:rPr>
          <w:szCs w:val="22"/>
          <w:lang w:val="fr-FR"/>
        </w:rPr>
        <w:t>établissement du bureau extérieur, y compris sa viabilité financière et budgétaire et ses coûts récurrents;</w:t>
      </w:r>
    </w:p>
    <w:p w:rsidR="00CC2753" w:rsidRPr="00D7006D" w:rsidRDefault="00CC2753" w:rsidP="00CC2753">
      <w:pPr>
        <w:ind w:left="684" w:hanging="342"/>
        <w:rPr>
          <w:szCs w:val="22"/>
          <w:lang w:val="fr-FR"/>
        </w:rPr>
      </w:pPr>
    </w:p>
    <w:p w:rsidR="00CC2753" w:rsidRPr="00D7006D" w:rsidRDefault="00CC2753" w:rsidP="00CC2753">
      <w:pPr>
        <w:pStyle w:val="ListParagraph"/>
        <w:numPr>
          <w:ilvl w:val="0"/>
          <w:numId w:val="48"/>
        </w:numPr>
        <w:rPr>
          <w:szCs w:val="22"/>
          <w:lang w:val="fr-FR"/>
        </w:rPr>
      </w:pPr>
      <w:r w:rsidRPr="00D7006D">
        <w:rPr>
          <w:szCs w:val="22"/>
          <w:lang w:val="fr-FR"/>
        </w:rPr>
        <w:t>les gains d</w:t>
      </w:r>
      <w:r w:rsidR="00CB6F73" w:rsidRPr="00D7006D">
        <w:rPr>
          <w:szCs w:val="22"/>
          <w:lang w:val="fr-FR"/>
        </w:rPr>
        <w:t>’</w:t>
      </w:r>
      <w:r w:rsidRPr="00D7006D">
        <w:rPr>
          <w:szCs w:val="22"/>
          <w:lang w:val="fr-FR"/>
        </w:rPr>
        <w:t>efficacité possibles par rapport à l</w:t>
      </w:r>
      <w:r w:rsidR="00CB6F73" w:rsidRPr="00D7006D">
        <w:rPr>
          <w:szCs w:val="22"/>
          <w:lang w:val="fr-FR"/>
        </w:rPr>
        <w:t>’</w:t>
      </w:r>
      <w:r w:rsidRPr="00D7006D">
        <w:rPr>
          <w:szCs w:val="22"/>
          <w:lang w:val="fr-FR"/>
        </w:rPr>
        <w:t>activité proposée du bureau extérieur.</w:t>
      </w:r>
    </w:p>
    <w:p w:rsidR="00CC2753" w:rsidRPr="00D7006D" w:rsidRDefault="00CC2753" w:rsidP="00CC2753">
      <w:pPr>
        <w:ind w:left="342" w:hanging="342"/>
        <w:rPr>
          <w:szCs w:val="22"/>
          <w:lang w:val="fr-FR"/>
        </w:rPr>
      </w:pPr>
    </w:p>
    <w:p w:rsidR="00CC2753" w:rsidRPr="00D7006D" w:rsidRDefault="00CC2753" w:rsidP="00CC2753">
      <w:pPr>
        <w:rPr>
          <w:szCs w:val="22"/>
          <w:lang w:val="fr-FR"/>
        </w:rPr>
      </w:pPr>
      <w:r w:rsidRPr="00D7006D">
        <w:rPr>
          <w:szCs w:val="22"/>
          <w:lang w:val="fr-FR"/>
        </w:rPr>
        <w:t>Le paragraphe 3</w:t>
      </w:r>
      <w:r w:rsidRPr="00D7006D">
        <w:rPr>
          <w:i/>
          <w:szCs w:val="22"/>
          <w:lang w:val="fr-FR"/>
        </w:rPr>
        <w:t>bis</w:t>
      </w:r>
      <w:r w:rsidRPr="00D7006D">
        <w:rPr>
          <w:szCs w:val="22"/>
          <w:lang w:val="fr-FR"/>
        </w:rPr>
        <w:t xml:space="preserve"> du rapport est sans préjudice de la décision politique finale susceptible d</w:t>
      </w:r>
      <w:r w:rsidR="00CB6F73" w:rsidRPr="00D7006D">
        <w:rPr>
          <w:szCs w:val="22"/>
          <w:lang w:val="fr-FR"/>
        </w:rPr>
        <w:t>’</w:t>
      </w:r>
      <w:r w:rsidRPr="00D7006D">
        <w:rPr>
          <w:szCs w:val="22"/>
          <w:lang w:val="fr-FR"/>
        </w:rPr>
        <w:t>être adoptée par les États membres concernant toute proposition d</w:t>
      </w:r>
      <w:r w:rsidR="00CB6F73" w:rsidRPr="00D7006D">
        <w:rPr>
          <w:szCs w:val="22"/>
          <w:lang w:val="fr-FR"/>
        </w:rPr>
        <w:t>’</w:t>
      </w:r>
      <w:r w:rsidRPr="00D7006D">
        <w:rPr>
          <w:szCs w:val="22"/>
          <w:lang w:val="fr-FR"/>
        </w:rPr>
        <w:t>accueillir un bureau extérieur de l</w:t>
      </w:r>
      <w:r w:rsidR="00CB6F73" w:rsidRPr="00D7006D">
        <w:rPr>
          <w:szCs w:val="22"/>
          <w:lang w:val="fr-FR"/>
        </w:rPr>
        <w:t>’</w:t>
      </w:r>
      <w:r w:rsidRPr="00D7006D">
        <w:rPr>
          <w:szCs w:val="22"/>
          <w:lang w:val="fr-FR"/>
        </w:rPr>
        <w:t>OMPI.</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11</w:t>
      </w:r>
      <w:r w:rsidRPr="00D7006D">
        <w:rPr>
          <w:i/>
          <w:szCs w:val="22"/>
          <w:lang w:val="fr-FR"/>
        </w:rPr>
        <w:t>bis</w:t>
      </w:r>
      <w:r w:rsidRPr="00D7006D">
        <w:rPr>
          <w:szCs w:val="22"/>
          <w:lang w:val="fr-FR"/>
        </w:rPr>
        <w:t>.</w:t>
      </w:r>
      <w:r w:rsidRPr="00D7006D">
        <w:rPr>
          <w:szCs w:val="22"/>
          <w:lang w:val="fr-FR"/>
        </w:rPr>
        <w:tab/>
        <w:t>Le financement des bureaux extérieurs autre que celui fourni par le pays hôte ou un autre pays souhaitant contribuer au fonctionnement du bureau extérieur en question n</w:t>
      </w:r>
      <w:r w:rsidR="00CB6F73" w:rsidRPr="00D7006D">
        <w:rPr>
          <w:szCs w:val="22"/>
          <w:lang w:val="fr-FR"/>
        </w:rPr>
        <w:t>’</w:t>
      </w:r>
      <w:r w:rsidRPr="00D7006D">
        <w:rPr>
          <w:szCs w:val="22"/>
          <w:lang w:val="fr-FR"/>
        </w:rPr>
        <w:t>impose pas une charge financière supplémentaire pour les États membres en plus de l</w:t>
      </w:r>
      <w:r w:rsidR="00CB6F73" w:rsidRPr="00D7006D">
        <w:rPr>
          <w:szCs w:val="22"/>
          <w:lang w:val="fr-FR"/>
        </w:rPr>
        <w:t>’</w:t>
      </w:r>
      <w:r w:rsidRPr="00D7006D">
        <w:rPr>
          <w:szCs w:val="22"/>
          <w:lang w:val="fr-FR"/>
        </w:rPr>
        <w:t>allocation au titre du budget ordinaire approuvé.</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12.</w:t>
      </w:r>
      <w:r w:rsidRPr="00D7006D">
        <w:rPr>
          <w:szCs w:val="22"/>
          <w:lang w:val="fr-FR"/>
        </w:rPr>
        <w:tab/>
        <w:t>La capacité à maintenir la viabilité financière et budgétaire du réseau de bureaux extérieurs de l</w:t>
      </w:r>
      <w:r w:rsidR="00CB6F73" w:rsidRPr="00D7006D">
        <w:rPr>
          <w:szCs w:val="22"/>
          <w:lang w:val="fr-FR"/>
        </w:rPr>
        <w:t>’</w:t>
      </w:r>
      <w:r w:rsidRPr="00D7006D">
        <w:rPr>
          <w:szCs w:val="22"/>
          <w:lang w:val="fr-FR"/>
        </w:rPr>
        <w:t>OMPI dépendra de sa contribution à l</w:t>
      </w:r>
      <w:r w:rsidR="00CB6F73" w:rsidRPr="00D7006D">
        <w:rPr>
          <w:szCs w:val="22"/>
          <w:lang w:val="fr-FR"/>
        </w:rPr>
        <w:t>’</w:t>
      </w:r>
      <w:r w:rsidRPr="00D7006D">
        <w:rPr>
          <w:szCs w:val="22"/>
          <w:lang w:val="fr-FR"/>
        </w:rPr>
        <w:t>obtention des résultats des programmes, de la rentabilité de son fonctionnement et de la situation financière de l</w:t>
      </w:r>
      <w:r w:rsidR="00CB6F73" w:rsidRPr="00D7006D">
        <w:rPr>
          <w:szCs w:val="22"/>
          <w:lang w:val="fr-FR"/>
        </w:rPr>
        <w:t>’</w:t>
      </w:r>
      <w:r w:rsidRPr="00D7006D">
        <w:rPr>
          <w:szCs w:val="22"/>
          <w:lang w:val="fr-FR"/>
        </w:rPr>
        <w:t>Organisation, et le Secrétariat devra tenir les États membres dûment informés de cette question.</w:t>
      </w:r>
    </w:p>
    <w:p w:rsidR="00CC2753" w:rsidRPr="00D7006D" w:rsidRDefault="00CC2753" w:rsidP="00CC2753">
      <w:pPr>
        <w:rPr>
          <w:szCs w:val="22"/>
          <w:lang w:val="fr-FR"/>
        </w:rPr>
      </w:pPr>
    </w:p>
    <w:p w:rsidR="00CC2753" w:rsidRPr="00D7006D" w:rsidRDefault="00CC2753" w:rsidP="00CC2753">
      <w:pPr>
        <w:rPr>
          <w:szCs w:val="22"/>
          <w:lang w:val="fr-FR"/>
        </w:rPr>
      </w:pPr>
    </w:p>
    <w:p w:rsidR="00CC2753" w:rsidRPr="00D7006D" w:rsidRDefault="00CC2753" w:rsidP="00CC2753">
      <w:pPr>
        <w:pStyle w:val="ListParagraph"/>
        <w:numPr>
          <w:ilvl w:val="0"/>
          <w:numId w:val="46"/>
        </w:numPr>
        <w:ind w:hanging="720"/>
        <w:rPr>
          <w:b/>
          <w:sz w:val="24"/>
          <w:szCs w:val="24"/>
          <w:lang w:val="fr-FR"/>
        </w:rPr>
      </w:pPr>
      <w:r w:rsidRPr="00D7006D">
        <w:rPr>
          <w:b/>
          <w:sz w:val="24"/>
          <w:szCs w:val="24"/>
          <w:lang w:val="fr-FR"/>
        </w:rPr>
        <w:t>Aspects géographiques/Situation</w:t>
      </w:r>
    </w:p>
    <w:p w:rsidR="00CC2753" w:rsidRPr="00D7006D" w:rsidRDefault="00CC2753" w:rsidP="00CC2753">
      <w:pPr>
        <w:rPr>
          <w:szCs w:val="22"/>
          <w:lang w:val="fr-FR"/>
        </w:rPr>
      </w:pPr>
    </w:p>
    <w:p w:rsidR="00CC2753" w:rsidRPr="00D7006D" w:rsidRDefault="00CC2753" w:rsidP="00CC2753">
      <w:pPr>
        <w:spacing w:line="240" w:lineRule="atLeast"/>
        <w:ind w:right="102"/>
        <w:rPr>
          <w:szCs w:val="22"/>
          <w:lang w:val="fr-FR"/>
        </w:rPr>
      </w:pPr>
      <w:r w:rsidRPr="00D7006D">
        <w:rPr>
          <w:szCs w:val="22"/>
          <w:lang w:val="fr-FR"/>
        </w:rPr>
        <w:t>13.</w:t>
      </w:r>
      <w:r w:rsidRPr="00D7006D">
        <w:rPr>
          <w:szCs w:val="22"/>
          <w:lang w:val="fr-FR"/>
        </w:rPr>
        <w:tab/>
        <w:t>Il convient de tenir dûment compte du principe de répartition géographique durable, équitable et rationnelle des futurs bureaux extérieurs.  Le domaine d</w:t>
      </w:r>
      <w:r w:rsidR="00CB6F73" w:rsidRPr="00D7006D">
        <w:rPr>
          <w:szCs w:val="22"/>
          <w:lang w:val="fr-FR"/>
        </w:rPr>
        <w:t>’</w:t>
      </w:r>
      <w:r w:rsidRPr="00D7006D">
        <w:rPr>
          <w:szCs w:val="22"/>
          <w:lang w:val="fr-FR"/>
        </w:rPr>
        <w:t>intervention géographique de chaque bureau extérieur doit être clairement défini.</w:t>
      </w:r>
    </w:p>
    <w:p w:rsidR="00CC2753" w:rsidRPr="00D7006D" w:rsidRDefault="00CC2753" w:rsidP="00CC2753">
      <w:pPr>
        <w:spacing w:line="240" w:lineRule="atLeast"/>
        <w:ind w:right="102"/>
        <w:rPr>
          <w:szCs w:val="22"/>
          <w:lang w:val="fr-FR"/>
        </w:rPr>
      </w:pPr>
    </w:p>
    <w:p w:rsidR="00CC2753" w:rsidRPr="00D7006D" w:rsidRDefault="00CC2753" w:rsidP="00CC2753">
      <w:pPr>
        <w:spacing w:line="240" w:lineRule="atLeast"/>
        <w:ind w:right="102"/>
        <w:rPr>
          <w:szCs w:val="22"/>
          <w:lang w:val="fr-FR"/>
        </w:rPr>
      </w:pPr>
      <w:r w:rsidRPr="00D7006D">
        <w:rPr>
          <w:szCs w:val="22"/>
          <w:lang w:val="fr-FR"/>
        </w:rPr>
        <w:t>14.</w:t>
      </w:r>
      <w:r w:rsidRPr="00D7006D">
        <w:rPr>
          <w:szCs w:val="22"/>
          <w:lang w:val="fr-FR"/>
        </w:rPr>
        <w:tab/>
        <w:t>Il convient de tenir dûment compte des aspects liés au développement, des régions où il n</w:t>
      </w:r>
      <w:r w:rsidR="00CB6F73" w:rsidRPr="00D7006D">
        <w:rPr>
          <w:szCs w:val="22"/>
          <w:lang w:val="fr-FR"/>
        </w:rPr>
        <w:t>’</w:t>
      </w:r>
      <w:r w:rsidRPr="00D7006D">
        <w:rPr>
          <w:szCs w:val="22"/>
          <w:lang w:val="fr-FR"/>
        </w:rPr>
        <w:t>existe aucun bureau extérieur ou de la répartition des utilisateurs des services mondiaux de propriété intellectuelle de premier plan de l</w:t>
      </w:r>
      <w:r w:rsidR="00CB6F73" w:rsidRPr="00D7006D">
        <w:rPr>
          <w:szCs w:val="22"/>
          <w:lang w:val="fr-FR"/>
        </w:rPr>
        <w:t>’</w:t>
      </w:r>
      <w:r w:rsidRPr="00D7006D">
        <w:rPr>
          <w:szCs w:val="22"/>
          <w:lang w:val="fr-FR"/>
        </w:rPr>
        <w:t>OMPI.</w:t>
      </w:r>
    </w:p>
    <w:p w:rsidR="00CC2753" w:rsidRPr="00D7006D" w:rsidRDefault="00CC2753" w:rsidP="00CC2753">
      <w:pPr>
        <w:spacing w:line="240" w:lineRule="atLeast"/>
        <w:ind w:right="102"/>
        <w:rPr>
          <w:szCs w:val="22"/>
          <w:lang w:val="fr-FR"/>
        </w:rPr>
      </w:pPr>
    </w:p>
    <w:p w:rsidR="00CC2753" w:rsidRPr="00D7006D" w:rsidRDefault="00CC2753" w:rsidP="00CC2753">
      <w:pPr>
        <w:spacing w:line="240" w:lineRule="atLeast"/>
        <w:ind w:right="102"/>
        <w:rPr>
          <w:szCs w:val="22"/>
          <w:lang w:val="fr-FR"/>
        </w:rPr>
      </w:pPr>
      <w:r w:rsidRPr="00D7006D">
        <w:rPr>
          <w:szCs w:val="22"/>
          <w:lang w:val="fr-FR"/>
        </w:rPr>
        <w:t>15.</w:t>
      </w:r>
      <w:r w:rsidRPr="00D7006D">
        <w:rPr>
          <w:szCs w:val="22"/>
          <w:lang w:val="fr-FR"/>
        </w:rPr>
        <w:tab/>
        <w:t>La présence d</w:t>
      </w:r>
      <w:r w:rsidR="00CB6F73" w:rsidRPr="00D7006D">
        <w:rPr>
          <w:szCs w:val="22"/>
          <w:lang w:val="fr-FR"/>
        </w:rPr>
        <w:t>’</w:t>
      </w:r>
      <w:r w:rsidRPr="00D7006D">
        <w:rPr>
          <w:szCs w:val="22"/>
          <w:lang w:val="fr-FR"/>
        </w:rPr>
        <w:t>un bureau extérieur dans une région, voire dans un pays voisin, ne constitue pas en soi un motif de rejet d</w:t>
      </w:r>
      <w:r w:rsidR="00CB6F73" w:rsidRPr="00D7006D">
        <w:rPr>
          <w:szCs w:val="22"/>
          <w:lang w:val="fr-FR"/>
        </w:rPr>
        <w:t>’</w:t>
      </w:r>
      <w:r w:rsidRPr="00D7006D">
        <w:rPr>
          <w:szCs w:val="22"/>
          <w:lang w:val="fr-FR"/>
        </w:rPr>
        <w:t>une demande présentée par un État membre de cette région pour examen et décision par l</w:t>
      </w:r>
      <w:r w:rsidR="00CB6F73" w:rsidRPr="00D7006D">
        <w:rPr>
          <w:szCs w:val="22"/>
          <w:lang w:val="fr-FR"/>
        </w:rPr>
        <w:t>’</w:t>
      </w:r>
      <w:r w:rsidRPr="00D7006D">
        <w:rPr>
          <w:szCs w:val="22"/>
          <w:lang w:val="fr-FR"/>
        </w:rPr>
        <w:t>Assemblée générale.</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16.</w:t>
      </w:r>
      <w:r w:rsidRPr="00D7006D">
        <w:rPr>
          <w:szCs w:val="22"/>
          <w:lang w:val="fr-FR"/>
        </w:rPr>
        <w:tab/>
        <w:t>L</w:t>
      </w:r>
      <w:r w:rsidR="00CB6F73" w:rsidRPr="00D7006D">
        <w:rPr>
          <w:szCs w:val="22"/>
          <w:lang w:val="fr-FR"/>
        </w:rPr>
        <w:t>’</w:t>
      </w:r>
      <w:r w:rsidRPr="00D7006D">
        <w:rPr>
          <w:szCs w:val="22"/>
          <w:lang w:val="fr-FR"/>
        </w:rPr>
        <w:t>ouverture d</w:t>
      </w:r>
      <w:r w:rsidR="00CB6F73" w:rsidRPr="00D7006D">
        <w:rPr>
          <w:szCs w:val="22"/>
          <w:lang w:val="fr-FR"/>
        </w:rPr>
        <w:t>’</w:t>
      </w:r>
      <w:r w:rsidRPr="00D7006D">
        <w:rPr>
          <w:szCs w:val="22"/>
          <w:lang w:val="fr-FR"/>
        </w:rPr>
        <w:t>un nouveau bureau extérieur est sans préjudice du droit d</w:t>
      </w:r>
      <w:r w:rsidR="00CB6F73" w:rsidRPr="00D7006D">
        <w:rPr>
          <w:szCs w:val="22"/>
          <w:lang w:val="fr-FR"/>
        </w:rPr>
        <w:t>’</w:t>
      </w:r>
      <w:r w:rsidRPr="00D7006D">
        <w:rPr>
          <w:szCs w:val="22"/>
          <w:lang w:val="fr-FR"/>
        </w:rPr>
        <w:t>un bureau extérieur existant de mener des activités approuvées au titre des programmes de l</w:t>
      </w:r>
      <w:r w:rsidR="00CB6F73" w:rsidRPr="00D7006D">
        <w:rPr>
          <w:szCs w:val="22"/>
          <w:lang w:val="fr-FR"/>
        </w:rPr>
        <w:t>’</w:t>
      </w:r>
      <w:r w:rsidRPr="00D7006D">
        <w:rPr>
          <w:szCs w:val="22"/>
          <w:lang w:val="fr-FR"/>
        </w:rPr>
        <w:t>OMPI dans son pays hôte ou dans un groupe de pays ou un groupe régional, conformément aux modalités convenues avec les États membres concernés.</w:t>
      </w:r>
    </w:p>
    <w:p w:rsidR="00CC2753" w:rsidRPr="00D7006D" w:rsidRDefault="00CC2753" w:rsidP="00CC2753">
      <w:pPr>
        <w:rPr>
          <w:szCs w:val="22"/>
          <w:lang w:val="fr-FR"/>
        </w:rPr>
      </w:pPr>
    </w:p>
    <w:p w:rsidR="00CC2753" w:rsidRPr="00D7006D" w:rsidRDefault="00CC2753" w:rsidP="00CC2753">
      <w:pPr>
        <w:pStyle w:val="CommentText"/>
        <w:rPr>
          <w:sz w:val="22"/>
          <w:szCs w:val="22"/>
          <w:lang w:val="fr-FR"/>
        </w:rPr>
      </w:pPr>
      <w:r w:rsidRPr="00D7006D">
        <w:rPr>
          <w:sz w:val="22"/>
          <w:szCs w:val="22"/>
          <w:lang w:val="fr-FR"/>
        </w:rPr>
        <w:lastRenderedPageBreak/>
        <w:t>17.</w:t>
      </w:r>
      <w:r w:rsidRPr="00D7006D">
        <w:rPr>
          <w:sz w:val="22"/>
          <w:szCs w:val="22"/>
          <w:lang w:val="fr-FR"/>
        </w:rPr>
        <w:tab/>
        <w:t>L</w:t>
      </w:r>
      <w:r w:rsidR="00CB6F73" w:rsidRPr="00D7006D">
        <w:rPr>
          <w:sz w:val="22"/>
          <w:szCs w:val="22"/>
          <w:lang w:val="fr-FR"/>
        </w:rPr>
        <w:t>’</w:t>
      </w:r>
      <w:r w:rsidRPr="00D7006D">
        <w:rPr>
          <w:sz w:val="22"/>
          <w:szCs w:val="22"/>
          <w:lang w:val="fr-FR"/>
        </w:rPr>
        <w:t>ouverture d</w:t>
      </w:r>
      <w:r w:rsidR="00CB6F73" w:rsidRPr="00D7006D">
        <w:rPr>
          <w:sz w:val="22"/>
          <w:szCs w:val="22"/>
          <w:lang w:val="fr-FR"/>
        </w:rPr>
        <w:t>’</w:t>
      </w:r>
      <w:r w:rsidRPr="00D7006D">
        <w:rPr>
          <w:sz w:val="22"/>
          <w:szCs w:val="22"/>
          <w:lang w:val="fr-FR"/>
        </w:rPr>
        <w:t>un bureau extérieur dans un État membre est sans préjudice des droits des autres États membres situés dans la même zone géographique et des relations établies avec le siège de l</w:t>
      </w:r>
      <w:r w:rsidR="00CB6F73" w:rsidRPr="00D7006D">
        <w:rPr>
          <w:sz w:val="22"/>
          <w:szCs w:val="22"/>
          <w:lang w:val="fr-FR"/>
        </w:rPr>
        <w:t>’</w:t>
      </w:r>
      <w:r w:rsidRPr="00D7006D">
        <w:rPr>
          <w:sz w:val="22"/>
          <w:szCs w:val="22"/>
          <w:lang w:val="fr-FR"/>
        </w:rPr>
        <w:t>OMPI.</w:t>
      </w:r>
    </w:p>
    <w:p w:rsidR="00CC2753" w:rsidRPr="00D7006D" w:rsidRDefault="00CC2753" w:rsidP="00CC2753">
      <w:pPr>
        <w:pStyle w:val="CommentText"/>
        <w:rPr>
          <w:sz w:val="22"/>
          <w:szCs w:val="22"/>
          <w:lang w:val="fr-FR"/>
        </w:rPr>
      </w:pPr>
    </w:p>
    <w:p w:rsidR="00CC2753" w:rsidRPr="00D7006D" w:rsidRDefault="00CC2753" w:rsidP="00CC2753">
      <w:pPr>
        <w:pStyle w:val="CommentText"/>
        <w:rPr>
          <w:sz w:val="22"/>
          <w:szCs w:val="22"/>
          <w:lang w:val="fr-FR"/>
        </w:rPr>
      </w:pPr>
    </w:p>
    <w:p w:rsidR="00CC2753" w:rsidRPr="00D7006D" w:rsidRDefault="00CC2753" w:rsidP="00CC2753">
      <w:pPr>
        <w:pStyle w:val="ListParagraph"/>
        <w:numPr>
          <w:ilvl w:val="0"/>
          <w:numId w:val="46"/>
        </w:numPr>
        <w:ind w:hanging="720"/>
        <w:rPr>
          <w:b/>
          <w:sz w:val="24"/>
          <w:szCs w:val="24"/>
          <w:lang w:val="fr-FR"/>
        </w:rPr>
      </w:pPr>
      <w:r w:rsidRPr="00D7006D">
        <w:rPr>
          <w:b/>
          <w:sz w:val="24"/>
          <w:szCs w:val="24"/>
          <w:lang w:val="fr-FR"/>
        </w:rPr>
        <w:t>Reddition de comptes et établissement de rapports par les bureaux extérieurs</w:t>
      </w:r>
    </w:p>
    <w:p w:rsidR="00CC2753" w:rsidRPr="00D7006D" w:rsidRDefault="00CC2753" w:rsidP="00CC2753">
      <w:pPr>
        <w:rPr>
          <w:szCs w:val="22"/>
          <w:lang w:val="fr-FR"/>
        </w:rPr>
      </w:pPr>
    </w:p>
    <w:p w:rsidR="00CC2753" w:rsidRPr="00D7006D" w:rsidRDefault="00CC2753" w:rsidP="00CC2753">
      <w:pPr>
        <w:spacing w:line="240" w:lineRule="atLeast"/>
        <w:ind w:right="102"/>
        <w:rPr>
          <w:szCs w:val="22"/>
          <w:lang w:val="fr-FR"/>
        </w:rPr>
      </w:pPr>
      <w:r w:rsidRPr="00D7006D">
        <w:rPr>
          <w:szCs w:val="22"/>
          <w:lang w:val="fr-FR"/>
        </w:rPr>
        <w:t>18.</w:t>
      </w:r>
      <w:r w:rsidRPr="00D7006D">
        <w:rPr>
          <w:szCs w:val="22"/>
          <w:lang w:val="fr-FR"/>
        </w:rPr>
        <w:tab/>
        <w:t>Les bureaux extérieurs font tous partie intégrante du cadre réglementaire et de gestion axée sur les résultats mis en œuvre par l</w:t>
      </w:r>
      <w:r w:rsidR="00CB6F73" w:rsidRPr="00D7006D">
        <w:rPr>
          <w:szCs w:val="22"/>
          <w:lang w:val="fr-FR"/>
        </w:rPr>
        <w:t>’</w:t>
      </w:r>
      <w:r w:rsidRPr="00D7006D">
        <w:rPr>
          <w:szCs w:val="22"/>
          <w:lang w:val="fr-FR"/>
        </w:rPr>
        <w:t>OMPI.  Dès lors qu</w:t>
      </w:r>
      <w:r w:rsidR="00CB6F73" w:rsidRPr="00D7006D">
        <w:rPr>
          <w:szCs w:val="22"/>
          <w:lang w:val="fr-FR"/>
        </w:rPr>
        <w:t>’</w:t>
      </w:r>
      <w:r w:rsidRPr="00D7006D">
        <w:rPr>
          <w:szCs w:val="22"/>
          <w:lang w:val="fr-FR"/>
        </w:rPr>
        <w:t>un bureau extérieur est créé et qu</w:t>
      </w:r>
      <w:r w:rsidR="00CB6F73" w:rsidRPr="00D7006D">
        <w:rPr>
          <w:szCs w:val="22"/>
          <w:lang w:val="fr-FR"/>
        </w:rPr>
        <w:t>’</w:t>
      </w:r>
      <w:r w:rsidRPr="00D7006D">
        <w:rPr>
          <w:szCs w:val="22"/>
          <w:lang w:val="fr-FR"/>
        </w:rPr>
        <w:t>il est opérationnel, ses résultats et activités font l</w:t>
      </w:r>
      <w:r w:rsidR="00CB6F73" w:rsidRPr="00D7006D">
        <w:rPr>
          <w:szCs w:val="22"/>
          <w:lang w:val="fr-FR"/>
        </w:rPr>
        <w:t>’</w:t>
      </w:r>
      <w:r w:rsidRPr="00D7006D">
        <w:rPr>
          <w:szCs w:val="22"/>
          <w:lang w:val="fr-FR"/>
        </w:rPr>
        <w:t>objet d</w:t>
      </w:r>
      <w:r w:rsidR="00CB6F73" w:rsidRPr="00D7006D">
        <w:rPr>
          <w:szCs w:val="22"/>
          <w:lang w:val="fr-FR"/>
        </w:rPr>
        <w:t>’</w:t>
      </w:r>
      <w:r w:rsidRPr="00D7006D">
        <w:rPr>
          <w:szCs w:val="22"/>
          <w:lang w:val="fr-FR"/>
        </w:rPr>
        <w:t>un suivi et d</w:t>
      </w:r>
      <w:r w:rsidR="00CB6F73" w:rsidRPr="00D7006D">
        <w:rPr>
          <w:szCs w:val="22"/>
          <w:lang w:val="fr-FR"/>
        </w:rPr>
        <w:t>’</w:t>
      </w:r>
      <w:r w:rsidRPr="00D7006D">
        <w:rPr>
          <w:szCs w:val="22"/>
          <w:lang w:val="fr-FR"/>
        </w:rPr>
        <w:t>une évaluation sur la base des indicateurs d</w:t>
      </w:r>
      <w:r w:rsidR="00CB6F73" w:rsidRPr="00D7006D">
        <w:rPr>
          <w:szCs w:val="22"/>
          <w:lang w:val="fr-FR"/>
        </w:rPr>
        <w:t>’</w:t>
      </w:r>
      <w:r w:rsidRPr="00D7006D">
        <w:rPr>
          <w:szCs w:val="22"/>
          <w:lang w:val="fr-FR"/>
        </w:rPr>
        <w:t>exécution et des objectifs, puis il en est rendu compte au PBC, qui transmet ensuite ses recommandations à l</w:t>
      </w:r>
      <w:r w:rsidR="00CB6F73" w:rsidRPr="00D7006D">
        <w:rPr>
          <w:szCs w:val="22"/>
          <w:lang w:val="fr-FR"/>
        </w:rPr>
        <w:t>’</w:t>
      </w:r>
      <w:r w:rsidRPr="00D7006D">
        <w:rPr>
          <w:szCs w:val="22"/>
          <w:lang w:val="fr-FR"/>
        </w:rPr>
        <w:t>Assemblée générale, selon qu</w:t>
      </w:r>
      <w:r w:rsidR="00CB6F73" w:rsidRPr="00D7006D">
        <w:rPr>
          <w:szCs w:val="22"/>
          <w:lang w:val="fr-FR"/>
        </w:rPr>
        <w:t>’</w:t>
      </w:r>
      <w:r w:rsidRPr="00D7006D">
        <w:rPr>
          <w:szCs w:val="22"/>
          <w:lang w:val="fr-FR"/>
        </w:rPr>
        <w:t>il convient.</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19.</w:t>
      </w:r>
      <w:r w:rsidRPr="00D7006D">
        <w:rPr>
          <w:szCs w:val="22"/>
          <w:lang w:val="fr-FR"/>
        </w:rPr>
        <w:tab/>
        <w:t>L</w:t>
      </w:r>
      <w:r w:rsidR="00CB6F73" w:rsidRPr="00D7006D">
        <w:rPr>
          <w:szCs w:val="22"/>
          <w:lang w:val="fr-FR"/>
        </w:rPr>
        <w:t>’</w:t>
      </w:r>
      <w:r w:rsidRPr="00D7006D">
        <w:rPr>
          <w:szCs w:val="22"/>
          <w:lang w:val="fr-FR"/>
        </w:rPr>
        <w:t>OMPI fournit directement à tous ses bureaux extérieurs le matériel informatique nécessaire dans le cadre de ses procédures normales.</w:t>
      </w:r>
    </w:p>
    <w:p w:rsidR="00CC2753" w:rsidRPr="00D7006D" w:rsidRDefault="00CC2753" w:rsidP="00CC2753">
      <w:pPr>
        <w:rPr>
          <w:szCs w:val="22"/>
          <w:lang w:val="fr-FR"/>
        </w:rPr>
      </w:pPr>
    </w:p>
    <w:p w:rsidR="00CC2753" w:rsidRPr="00D7006D" w:rsidRDefault="00CC2753" w:rsidP="00CC2753">
      <w:pPr>
        <w:rPr>
          <w:szCs w:val="22"/>
          <w:lang w:val="fr-FR"/>
        </w:rPr>
      </w:pPr>
    </w:p>
    <w:p w:rsidR="00CC2753" w:rsidRPr="00D7006D" w:rsidRDefault="00CC2753" w:rsidP="00CC2753">
      <w:pPr>
        <w:pStyle w:val="ListParagraph"/>
        <w:numPr>
          <w:ilvl w:val="0"/>
          <w:numId w:val="46"/>
        </w:numPr>
        <w:ind w:hanging="720"/>
        <w:rPr>
          <w:b/>
          <w:sz w:val="24"/>
          <w:szCs w:val="24"/>
          <w:lang w:val="fr-FR"/>
        </w:rPr>
      </w:pPr>
      <w:r w:rsidRPr="00D7006D">
        <w:rPr>
          <w:b/>
          <w:sz w:val="24"/>
          <w:szCs w:val="24"/>
          <w:lang w:val="fr-FR"/>
        </w:rPr>
        <w:t>Mise en œuvre et révision</w:t>
      </w:r>
    </w:p>
    <w:p w:rsidR="00CC2753" w:rsidRPr="00D7006D" w:rsidRDefault="00CC2753" w:rsidP="00CC2753">
      <w:pPr>
        <w:rPr>
          <w:sz w:val="24"/>
          <w:szCs w:val="24"/>
          <w:lang w:val="fr-FR"/>
        </w:rPr>
      </w:pPr>
    </w:p>
    <w:p w:rsidR="00CC2753" w:rsidRPr="00D7006D" w:rsidRDefault="00CC2753" w:rsidP="00CC2753">
      <w:pPr>
        <w:rPr>
          <w:szCs w:val="22"/>
          <w:lang w:val="fr-FR"/>
        </w:rPr>
      </w:pPr>
      <w:r w:rsidRPr="00D7006D">
        <w:rPr>
          <w:szCs w:val="22"/>
          <w:lang w:val="fr-FR"/>
        </w:rPr>
        <w:t>20.</w:t>
      </w:r>
      <w:r w:rsidRPr="00D7006D">
        <w:rPr>
          <w:szCs w:val="22"/>
          <w:lang w:val="fr-FR"/>
        </w:rPr>
        <w:tab/>
        <w:t>Les présents principes directeurs sont applicables à tous les bureaux extérieurs existants et futurs.</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21.</w:t>
      </w:r>
      <w:r w:rsidRPr="00D7006D">
        <w:rPr>
          <w:szCs w:val="22"/>
          <w:lang w:val="fr-FR"/>
        </w:rPr>
        <w:tab/>
        <w:t>Afin de tenir compte de l</w:t>
      </w:r>
      <w:r w:rsidR="00CB6F73" w:rsidRPr="00D7006D">
        <w:rPr>
          <w:szCs w:val="22"/>
          <w:lang w:val="fr-FR"/>
        </w:rPr>
        <w:t>’</w:t>
      </w:r>
      <w:r w:rsidRPr="00D7006D">
        <w:rPr>
          <w:szCs w:val="22"/>
          <w:lang w:val="fr-FR"/>
        </w:rPr>
        <w:t>évolution des besoins opérationnels de l</w:t>
      </w:r>
      <w:r w:rsidR="00CB6F73" w:rsidRPr="00D7006D">
        <w:rPr>
          <w:szCs w:val="22"/>
          <w:lang w:val="fr-FR"/>
        </w:rPr>
        <w:t>’</w:t>
      </w:r>
      <w:r w:rsidRPr="00D7006D">
        <w:rPr>
          <w:szCs w:val="22"/>
          <w:lang w:val="fr-FR"/>
        </w:rPr>
        <w:t>OMPI, les présents principes directeurs seront révisés et approuvés sur décision de l</w:t>
      </w:r>
      <w:r w:rsidR="00CB6F73" w:rsidRPr="00D7006D">
        <w:rPr>
          <w:szCs w:val="22"/>
          <w:lang w:val="fr-FR"/>
        </w:rPr>
        <w:t>’</w:t>
      </w:r>
      <w:r w:rsidRPr="00D7006D">
        <w:rPr>
          <w:szCs w:val="22"/>
          <w:lang w:val="fr-FR"/>
        </w:rPr>
        <w:t>Assemblée générale.</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lang w:val="fr-FR"/>
        </w:rPr>
        <w:t>[22.</w:t>
      </w:r>
      <w:r w:rsidRPr="00D7006D">
        <w:rPr>
          <w:szCs w:val="22"/>
          <w:lang w:val="fr-FR"/>
        </w:rPr>
        <w:tab/>
        <w:t>Évaluation / estimation du fonctionnement du réseau de bureaux extérieurs</w:t>
      </w:r>
    </w:p>
    <w:p w:rsidR="00CC2753" w:rsidRPr="00D7006D" w:rsidRDefault="00CC2753" w:rsidP="00CC2753">
      <w:pPr>
        <w:rPr>
          <w:rFonts w:ascii="Times New Roman" w:hAnsi="Times New Roman" w:cs="Times New Roman"/>
          <w:b/>
          <w:szCs w:val="22"/>
          <w:lang w:val="fr-FR" w:eastAsia="ja-JP"/>
        </w:rPr>
      </w:pPr>
    </w:p>
    <w:p w:rsidR="00CC2753" w:rsidRPr="00D7006D" w:rsidRDefault="00CC2753" w:rsidP="00CC2753">
      <w:pPr>
        <w:jc w:val="center"/>
        <w:rPr>
          <w:szCs w:val="22"/>
          <w:lang w:val="fr-FR"/>
        </w:rPr>
      </w:pPr>
    </w:p>
    <w:p w:rsidR="00CC2753" w:rsidRPr="00D7006D" w:rsidRDefault="00CC2753" w:rsidP="00CC2753">
      <w:pPr>
        <w:rPr>
          <w:szCs w:val="22"/>
          <w:lang w:val="fr-FR"/>
        </w:rPr>
      </w:pPr>
      <w:r w:rsidRPr="00D7006D">
        <w:rPr>
          <w:szCs w:val="22"/>
          <w:u w:val="single"/>
          <w:lang w:val="fr-FR"/>
        </w:rPr>
        <w:t>Groupe des pays africains </w:t>
      </w:r>
      <w:r w:rsidRPr="00D7006D">
        <w:rPr>
          <w:u w:val="single"/>
          <w:lang w:val="fr-FR"/>
        </w:rPr>
        <w:t>:</w:t>
      </w:r>
      <w:r w:rsidRPr="00D7006D">
        <w:rPr>
          <w:szCs w:val="22"/>
          <w:lang w:val="fr-FR"/>
        </w:rPr>
        <w:t xml:space="preserve"> “Le PBC examinera l</w:t>
      </w:r>
      <w:r w:rsidR="00CB6F73" w:rsidRPr="00D7006D">
        <w:rPr>
          <w:szCs w:val="22"/>
          <w:lang w:val="fr-FR"/>
        </w:rPr>
        <w:t>’</w:t>
      </w:r>
      <w:r w:rsidRPr="00D7006D">
        <w:rPr>
          <w:szCs w:val="22"/>
          <w:lang w:val="fr-FR"/>
        </w:rPr>
        <w:t>ensemble du réseau des bureaux extérieurs.</w:t>
      </w:r>
      <w:r w:rsidRPr="00D7006D">
        <w:rPr>
          <w:lang w:val="fr-FR"/>
        </w:rPr>
        <w:t xml:space="preserve">  </w:t>
      </w:r>
      <w:r w:rsidRPr="00D7006D">
        <w:rPr>
          <w:szCs w:val="22"/>
          <w:lang w:val="fr-FR"/>
        </w:rPr>
        <w:t>Le calendrier et le mandat de cet examen seront décidés par le PBC en fonction de la disponibilité des ressources nécessaires et du budget alloué”</w:t>
      </w:r>
      <w:r w:rsidR="00921902" w:rsidRPr="00D7006D">
        <w:rPr>
          <w:szCs w:val="22"/>
          <w:lang w:val="fr-FR"/>
        </w:rPr>
        <w:t>.</w:t>
      </w:r>
    </w:p>
    <w:p w:rsidR="00CC2753" w:rsidRPr="00D7006D" w:rsidRDefault="00CC2753" w:rsidP="00CC2753">
      <w:pPr>
        <w:rPr>
          <w:szCs w:val="22"/>
          <w:lang w:val="fr-FR"/>
        </w:rPr>
      </w:pPr>
    </w:p>
    <w:p w:rsidR="00CC2753" w:rsidRPr="00D7006D" w:rsidRDefault="00CC2753" w:rsidP="00CC2753">
      <w:pPr>
        <w:rPr>
          <w:rFonts w:cs="Times New Roman"/>
          <w:szCs w:val="22"/>
          <w:lang w:val="fr-FR" w:eastAsia="ja-JP"/>
        </w:rPr>
      </w:pPr>
      <w:r w:rsidRPr="00D7006D">
        <w:rPr>
          <w:rFonts w:cs="Times New Roman"/>
          <w:szCs w:val="22"/>
          <w:u w:val="single"/>
          <w:lang w:val="fr-FR" w:eastAsia="ja-JP"/>
        </w:rPr>
        <w:t>Groupe B</w:t>
      </w:r>
      <w:r w:rsidRPr="00D7006D">
        <w:rPr>
          <w:rFonts w:cs="Times New Roman"/>
          <w:szCs w:val="22"/>
          <w:lang w:val="fr-FR" w:eastAsia="ja-JP"/>
        </w:rPr>
        <w:t> </w:t>
      </w:r>
      <w:r w:rsidRPr="00D7006D">
        <w:rPr>
          <w:lang w:val="fr-FR"/>
        </w:rPr>
        <w:t>:</w:t>
      </w:r>
      <w:r w:rsidRPr="00D7006D">
        <w:rPr>
          <w:rFonts w:cs="Times New Roman"/>
          <w:szCs w:val="22"/>
          <w:lang w:val="fr-FR" w:eastAsia="ja-JP"/>
        </w:rPr>
        <w:t xml:space="preserve"> “i) </w:t>
      </w:r>
      <w:r w:rsidR="00770E5B" w:rsidRPr="00D7006D">
        <w:rPr>
          <w:rFonts w:cs="Times New Roman"/>
          <w:szCs w:val="22"/>
          <w:lang w:val="fr-FR" w:eastAsia="ja-JP"/>
        </w:rPr>
        <w:tab/>
      </w:r>
      <w:r w:rsidRPr="00D7006D">
        <w:rPr>
          <w:rFonts w:cs="Times New Roman"/>
          <w:szCs w:val="22"/>
          <w:lang w:val="fr-FR" w:eastAsia="ja-JP"/>
        </w:rPr>
        <w:t>Compte tenu de la capacité limitée de l</w:t>
      </w:r>
      <w:r w:rsidR="00CB6F73" w:rsidRPr="00D7006D">
        <w:rPr>
          <w:rFonts w:cs="Times New Roman"/>
          <w:szCs w:val="22"/>
          <w:lang w:val="fr-FR" w:eastAsia="ja-JP"/>
        </w:rPr>
        <w:t>’</w:t>
      </w:r>
      <w:r w:rsidRPr="00D7006D">
        <w:rPr>
          <w:rFonts w:cs="Times New Roman"/>
          <w:szCs w:val="22"/>
          <w:lang w:val="fr-FR" w:eastAsia="ja-JP"/>
        </w:rPr>
        <w:t>Organisation concernant l</w:t>
      </w:r>
      <w:r w:rsidR="00CB6F73" w:rsidRPr="00D7006D">
        <w:rPr>
          <w:rFonts w:cs="Times New Roman"/>
          <w:szCs w:val="22"/>
          <w:lang w:val="fr-FR" w:eastAsia="ja-JP"/>
        </w:rPr>
        <w:t>’</w:t>
      </w:r>
      <w:r w:rsidRPr="00D7006D">
        <w:rPr>
          <w:rFonts w:cs="Times New Roman"/>
          <w:szCs w:val="22"/>
          <w:lang w:val="fr-FR" w:eastAsia="ja-JP"/>
        </w:rPr>
        <w:t>ouverture de nouveaux bureaux extérieurs, et le fait que celle</w:t>
      </w:r>
      <w:r w:rsidR="00770E5B" w:rsidRPr="00D7006D">
        <w:rPr>
          <w:rFonts w:cs="Times New Roman"/>
          <w:szCs w:val="22"/>
          <w:lang w:val="fr-FR" w:eastAsia="ja-JP"/>
        </w:rPr>
        <w:noBreakHyphen/>
      </w:r>
      <w:r w:rsidRPr="00D7006D">
        <w:rPr>
          <w:rFonts w:cs="Times New Roman"/>
          <w:szCs w:val="22"/>
          <w:lang w:val="fr-FR" w:eastAsia="ja-JP"/>
        </w:rPr>
        <w:t>ci doit se faire de façon progressive et avec prudence, pas plus de deux nouveaux bureaux extérieurs seront ouverts par exercice biennal, pour les exercices biennaux 2014</w:t>
      </w:r>
      <w:r w:rsidR="00770E5B" w:rsidRPr="00D7006D">
        <w:rPr>
          <w:rFonts w:cs="Times New Roman"/>
          <w:szCs w:val="22"/>
          <w:lang w:val="fr-FR" w:eastAsia="ja-JP"/>
        </w:rPr>
        <w:noBreakHyphen/>
      </w:r>
      <w:r w:rsidRPr="00D7006D">
        <w:rPr>
          <w:rFonts w:cs="Times New Roman"/>
          <w:szCs w:val="22"/>
          <w:lang w:val="fr-FR" w:eastAsia="ja-JP"/>
        </w:rPr>
        <w:t>2015, 2016</w:t>
      </w:r>
      <w:r w:rsidR="00770E5B" w:rsidRPr="00D7006D">
        <w:rPr>
          <w:rFonts w:cs="Times New Roman"/>
          <w:szCs w:val="22"/>
          <w:lang w:val="fr-FR" w:eastAsia="ja-JP"/>
        </w:rPr>
        <w:noBreakHyphen/>
      </w:r>
      <w:r w:rsidRPr="00D7006D">
        <w:rPr>
          <w:rFonts w:cs="Times New Roman"/>
          <w:szCs w:val="22"/>
          <w:lang w:val="fr-FR" w:eastAsia="ja-JP"/>
        </w:rPr>
        <w:t>2017 et 2018</w:t>
      </w:r>
      <w:r w:rsidR="00770E5B" w:rsidRPr="00D7006D">
        <w:rPr>
          <w:rFonts w:cs="Times New Roman"/>
          <w:szCs w:val="22"/>
          <w:lang w:val="fr-FR" w:eastAsia="ja-JP"/>
        </w:rPr>
        <w:noBreakHyphen/>
      </w:r>
      <w:r w:rsidRPr="00D7006D">
        <w:rPr>
          <w:rFonts w:cs="Times New Roman"/>
          <w:szCs w:val="22"/>
          <w:lang w:val="fr-FR" w:eastAsia="ja-JP"/>
        </w:rPr>
        <w:t>2019.</w:t>
      </w:r>
    </w:p>
    <w:p w:rsidR="00CC2753" w:rsidRPr="00D7006D" w:rsidRDefault="00CC2753" w:rsidP="00CC2753">
      <w:pPr>
        <w:rPr>
          <w:rFonts w:cs="Times New Roman"/>
          <w:szCs w:val="22"/>
          <w:lang w:val="fr-FR" w:eastAsia="ja-JP"/>
        </w:rPr>
      </w:pPr>
    </w:p>
    <w:p w:rsidR="00CC2753" w:rsidRPr="00D7006D" w:rsidRDefault="00921902" w:rsidP="00921902">
      <w:pPr>
        <w:ind w:left="567"/>
        <w:rPr>
          <w:rFonts w:cs="Times New Roman"/>
          <w:szCs w:val="22"/>
          <w:lang w:val="fr-FR" w:eastAsia="ja-JP"/>
        </w:rPr>
      </w:pPr>
      <w:r w:rsidRPr="00D7006D">
        <w:rPr>
          <w:rFonts w:cs="Times New Roman"/>
          <w:szCs w:val="22"/>
          <w:lang w:val="fr-FR" w:eastAsia="ja-JP"/>
        </w:rPr>
        <w:t>“</w:t>
      </w:r>
      <w:r w:rsidR="00CC2753" w:rsidRPr="00D7006D">
        <w:rPr>
          <w:rFonts w:cs="Times New Roman"/>
          <w:szCs w:val="22"/>
          <w:lang w:val="fr-FR" w:eastAsia="ja-JP"/>
        </w:rPr>
        <w:t xml:space="preserve">ii) </w:t>
      </w:r>
      <w:r w:rsidR="00770E5B" w:rsidRPr="00D7006D">
        <w:rPr>
          <w:rFonts w:cs="Times New Roman"/>
          <w:szCs w:val="22"/>
          <w:lang w:val="fr-FR" w:eastAsia="ja-JP"/>
        </w:rPr>
        <w:tab/>
      </w:r>
      <w:r w:rsidR="00CC2753" w:rsidRPr="00D7006D">
        <w:rPr>
          <w:rFonts w:cs="Times New Roman"/>
          <w:szCs w:val="22"/>
          <w:lang w:val="fr-FR" w:eastAsia="ja-JP"/>
        </w:rPr>
        <w:t>Pour que l</w:t>
      </w:r>
      <w:r w:rsidR="00CB6F73" w:rsidRPr="00D7006D">
        <w:rPr>
          <w:rFonts w:cs="Times New Roman"/>
          <w:szCs w:val="22"/>
          <w:lang w:val="fr-FR" w:eastAsia="ja-JP"/>
        </w:rPr>
        <w:t>’</w:t>
      </w:r>
      <w:r w:rsidR="00CC2753" w:rsidRPr="00D7006D">
        <w:rPr>
          <w:rFonts w:cs="Times New Roman"/>
          <w:szCs w:val="22"/>
          <w:lang w:val="fr-FR" w:eastAsia="ja-JP"/>
        </w:rPr>
        <w:t>OMPI puisse absorber et mettre en œuvre les nouveaux bureaux extérieurs, aucun nouveau bureau extérieur ne sera ouvert durant l</w:t>
      </w:r>
      <w:r w:rsidR="00CB6F73" w:rsidRPr="00D7006D">
        <w:rPr>
          <w:rFonts w:cs="Times New Roman"/>
          <w:szCs w:val="22"/>
          <w:lang w:val="fr-FR" w:eastAsia="ja-JP"/>
        </w:rPr>
        <w:t>’</w:t>
      </w:r>
      <w:r w:rsidR="00CC2753" w:rsidRPr="00D7006D">
        <w:rPr>
          <w:rFonts w:cs="Times New Roman"/>
          <w:szCs w:val="22"/>
          <w:lang w:val="fr-FR" w:eastAsia="ja-JP"/>
        </w:rPr>
        <w:t>exercice biennal 2020</w:t>
      </w:r>
      <w:r w:rsidR="00770E5B" w:rsidRPr="00D7006D">
        <w:rPr>
          <w:rFonts w:cs="Times New Roman"/>
          <w:szCs w:val="22"/>
          <w:lang w:val="fr-FR" w:eastAsia="ja-JP"/>
        </w:rPr>
        <w:noBreakHyphen/>
      </w:r>
      <w:r w:rsidR="00CC2753" w:rsidRPr="00D7006D">
        <w:rPr>
          <w:rFonts w:cs="Times New Roman"/>
          <w:szCs w:val="22"/>
          <w:lang w:val="fr-FR" w:eastAsia="ja-JP"/>
        </w:rPr>
        <w:t>2021 et ultérieurement tant que le PBC et l</w:t>
      </w:r>
      <w:r w:rsidR="00CB6F73" w:rsidRPr="00D7006D">
        <w:rPr>
          <w:rFonts w:cs="Times New Roman"/>
          <w:szCs w:val="22"/>
          <w:lang w:val="fr-FR" w:eastAsia="ja-JP"/>
        </w:rPr>
        <w:t>’</w:t>
      </w:r>
      <w:r w:rsidR="00CC2753" w:rsidRPr="00D7006D">
        <w:rPr>
          <w:rFonts w:cs="Times New Roman"/>
          <w:szCs w:val="22"/>
          <w:lang w:val="fr-FR" w:eastAsia="ja-JP"/>
        </w:rPr>
        <w:t>Assemblée générale n</w:t>
      </w:r>
      <w:r w:rsidR="00CB6F73" w:rsidRPr="00D7006D">
        <w:rPr>
          <w:rFonts w:cs="Times New Roman"/>
          <w:szCs w:val="22"/>
          <w:lang w:val="fr-FR" w:eastAsia="ja-JP"/>
        </w:rPr>
        <w:t>’</w:t>
      </w:r>
      <w:r w:rsidR="00CC2753" w:rsidRPr="00D7006D">
        <w:rPr>
          <w:rFonts w:cs="Times New Roman"/>
          <w:szCs w:val="22"/>
          <w:lang w:val="fr-FR" w:eastAsia="ja-JP"/>
        </w:rPr>
        <w:t>auront pas examiné les conclusions et les recommandations d</w:t>
      </w:r>
      <w:r w:rsidR="00CB6F73" w:rsidRPr="00D7006D">
        <w:rPr>
          <w:rFonts w:cs="Times New Roman"/>
          <w:szCs w:val="22"/>
          <w:lang w:val="fr-FR" w:eastAsia="ja-JP"/>
        </w:rPr>
        <w:t>’</w:t>
      </w:r>
      <w:r w:rsidR="00CC2753" w:rsidRPr="00D7006D">
        <w:rPr>
          <w:rFonts w:cs="Times New Roman"/>
          <w:szCs w:val="22"/>
          <w:lang w:val="fr-FR" w:eastAsia="ja-JP"/>
        </w:rPr>
        <w:t>une évaluation externe indépendante du réseau de bureaux extérieurs existants et pris une nouvelle décision concernant la taille du réseau.</w:t>
      </w:r>
    </w:p>
    <w:p w:rsidR="00CC2753" w:rsidRPr="00D7006D" w:rsidRDefault="00CC2753" w:rsidP="00CC2753">
      <w:pPr>
        <w:rPr>
          <w:rFonts w:cs="Times New Roman"/>
          <w:szCs w:val="22"/>
          <w:lang w:val="fr-FR" w:eastAsia="ja-JP"/>
        </w:rPr>
      </w:pPr>
    </w:p>
    <w:p w:rsidR="00CC2753" w:rsidRPr="00D7006D" w:rsidRDefault="00921902" w:rsidP="00921902">
      <w:pPr>
        <w:ind w:left="567"/>
        <w:rPr>
          <w:szCs w:val="22"/>
          <w:lang w:val="fr-FR"/>
        </w:rPr>
      </w:pPr>
      <w:r w:rsidRPr="00D7006D">
        <w:rPr>
          <w:rFonts w:cs="Times New Roman"/>
          <w:szCs w:val="22"/>
          <w:lang w:val="fr-FR" w:eastAsia="ja-JP"/>
        </w:rPr>
        <w:t>“</w:t>
      </w:r>
      <w:r w:rsidR="00CC2753" w:rsidRPr="00D7006D">
        <w:rPr>
          <w:rFonts w:cs="Times New Roman"/>
          <w:szCs w:val="22"/>
          <w:lang w:val="fr-FR" w:eastAsia="ja-JP"/>
        </w:rPr>
        <w:t xml:space="preserve">iii) </w:t>
      </w:r>
      <w:r w:rsidR="00770E5B" w:rsidRPr="00D7006D">
        <w:rPr>
          <w:rFonts w:cs="Times New Roman"/>
          <w:szCs w:val="22"/>
          <w:lang w:val="fr-FR" w:eastAsia="ja-JP"/>
        </w:rPr>
        <w:tab/>
      </w:r>
      <w:r w:rsidR="00CC2753" w:rsidRPr="00D7006D">
        <w:rPr>
          <w:rFonts w:cs="Times New Roman"/>
          <w:szCs w:val="22"/>
          <w:lang w:val="fr-FR" w:eastAsia="ja-JP"/>
        </w:rPr>
        <w:t>L</w:t>
      </w:r>
      <w:r w:rsidR="00CB6F73" w:rsidRPr="00D7006D">
        <w:rPr>
          <w:rFonts w:cs="Times New Roman"/>
          <w:szCs w:val="22"/>
          <w:lang w:val="fr-FR" w:eastAsia="ja-JP"/>
        </w:rPr>
        <w:t>’</w:t>
      </w:r>
      <w:r w:rsidR="00CC2753" w:rsidRPr="00D7006D">
        <w:rPr>
          <w:rFonts w:cs="Times New Roman"/>
          <w:szCs w:val="22"/>
          <w:lang w:val="fr-FR" w:eastAsia="ja-JP"/>
        </w:rPr>
        <w:t>évaluation, qui sera menée à la fin de l</w:t>
      </w:r>
      <w:r w:rsidR="00CB6F73" w:rsidRPr="00D7006D">
        <w:rPr>
          <w:rFonts w:cs="Times New Roman"/>
          <w:szCs w:val="22"/>
          <w:lang w:val="fr-FR" w:eastAsia="ja-JP"/>
        </w:rPr>
        <w:t>’</w:t>
      </w:r>
      <w:r w:rsidR="00CC2753" w:rsidRPr="00D7006D">
        <w:rPr>
          <w:rFonts w:cs="Times New Roman"/>
          <w:szCs w:val="22"/>
          <w:lang w:val="fr-FR" w:eastAsia="ja-JP"/>
        </w:rPr>
        <w:t>exercice biennal 2020</w:t>
      </w:r>
      <w:r w:rsidR="00770E5B" w:rsidRPr="00D7006D">
        <w:rPr>
          <w:rFonts w:cs="Times New Roman"/>
          <w:szCs w:val="22"/>
          <w:lang w:val="fr-FR" w:eastAsia="ja-JP"/>
        </w:rPr>
        <w:noBreakHyphen/>
      </w:r>
      <w:r w:rsidR="00CC2753" w:rsidRPr="00D7006D">
        <w:rPr>
          <w:rFonts w:cs="Times New Roman"/>
          <w:szCs w:val="22"/>
          <w:lang w:val="fr-FR" w:eastAsia="ja-JP"/>
        </w:rPr>
        <w:t>2021, évaluera dans quelle mesure le réseau dans son ensemble remplit ses objectifs prioritaires consistant à apporter clairement une valeur ajoutée à la réalisation des objectifs stratégiques de l</w:t>
      </w:r>
      <w:r w:rsidR="00CB6F73" w:rsidRPr="00D7006D">
        <w:rPr>
          <w:rFonts w:cs="Times New Roman"/>
          <w:szCs w:val="22"/>
          <w:lang w:val="fr-FR" w:eastAsia="ja-JP"/>
        </w:rPr>
        <w:t>’</w:t>
      </w:r>
      <w:r w:rsidR="00CC2753" w:rsidRPr="00D7006D">
        <w:rPr>
          <w:rFonts w:cs="Times New Roman"/>
          <w:szCs w:val="22"/>
          <w:lang w:val="fr-FR" w:eastAsia="ja-JP"/>
        </w:rPr>
        <w:t>Organisation et à accroître leur caractère rationnel et leur efficacité, en coordination et en parfaite complémentarité avec le siège de l</w:t>
      </w:r>
      <w:r w:rsidR="00CB6F73" w:rsidRPr="00D7006D">
        <w:rPr>
          <w:rFonts w:cs="Times New Roman"/>
          <w:szCs w:val="22"/>
          <w:lang w:val="fr-FR" w:eastAsia="ja-JP"/>
        </w:rPr>
        <w:t>’</w:t>
      </w:r>
      <w:r w:rsidR="00CC2753" w:rsidRPr="00D7006D">
        <w:rPr>
          <w:rFonts w:cs="Times New Roman"/>
          <w:szCs w:val="22"/>
          <w:lang w:val="fr-FR" w:eastAsia="ja-JP"/>
        </w:rPr>
        <w:t>OMPI et d</w:t>
      </w:r>
      <w:r w:rsidR="00CB6F73" w:rsidRPr="00D7006D">
        <w:rPr>
          <w:rFonts w:cs="Times New Roman"/>
          <w:szCs w:val="22"/>
          <w:lang w:val="fr-FR" w:eastAsia="ja-JP"/>
        </w:rPr>
        <w:t>’</w:t>
      </w:r>
      <w:r w:rsidR="00CC2753" w:rsidRPr="00D7006D">
        <w:rPr>
          <w:rFonts w:cs="Times New Roman"/>
          <w:szCs w:val="22"/>
          <w:lang w:val="fr-FR" w:eastAsia="ja-JP"/>
        </w:rPr>
        <w:t>une manière qui n</w:t>
      </w:r>
      <w:r w:rsidR="00CB6F73" w:rsidRPr="00D7006D">
        <w:rPr>
          <w:rFonts w:cs="Times New Roman"/>
          <w:szCs w:val="22"/>
          <w:lang w:val="fr-FR" w:eastAsia="ja-JP"/>
        </w:rPr>
        <w:t>’</w:t>
      </w:r>
      <w:r w:rsidR="00CC2753" w:rsidRPr="00D7006D">
        <w:rPr>
          <w:rFonts w:cs="Times New Roman"/>
          <w:szCs w:val="22"/>
          <w:lang w:val="fr-FR" w:eastAsia="ja-JP"/>
        </w:rPr>
        <w:t>aurait pas été possible au moyen des opération</w:t>
      </w:r>
      <w:r w:rsidRPr="00D7006D">
        <w:rPr>
          <w:rFonts w:cs="Times New Roman"/>
          <w:szCs w:val="22"/>
          <w:lang w:val="fr-FR" w:eastAsia="ja-JP"/>
        </w:rPr>
        <w:t>s menées uniquement au siège”.</w:t>
      </w:r>
    </w:p>
    <w:p w:rsidR="00CC2753" w:rsidRPr="00D7006D" w:rsidRDefault="00CC2753" w:rsidP="00CC2753">
      <w:pPr>
        <w:rPr>
          <w:szCs w:val="22"/>
          <w:lang w:val="fr-FR"/>
        </w:rPr>
      </w:pPr>
    </w:p>
    <w:p w:rsidR="00CC2753" w:rsidRPr="00D7006D" w:rsidRDefault="00CC2753" w:rsidP="00CC2753">
      <w:pPr>
        <w:rPr>
          <w:szCs w:val="22"/>
          <w:lang w:val="fr-FR"/>
        </w:rPr>
      </w:pPr>
      <w:r w:rsidRPr="00D7006D">
        <w:rPr>
          <w:szCs w:val="22"/>
          <w:u w:val="single"/>
          <w:lang w:val="fr-FR"/>
        </w:rPr>
        <w:t>Chili/Mexique/Panama </w:t>
      </w:r>
      <w:r w:rsidRPr="00D7006D">
        <w:rPr>
          <w:u w:val="single"/>
          <w:lang w:val="fr-FR"/>
        </w:rPr>
        <w:t>:</w:t>
      </w:r>
      <w:r w:rsidRPr="00D7006D">
        <w:rPr>
          <w:szCs w:val="22"/>
          <w:lang w:val="fr-FR"/>
        </w:rPr>
        <w:t xml:space="preserve"> </w:t>
      </w:r>
      <w:r w:rsidR="00921902" w:rsidRPr="00D7006D">
        <w:rPr>
          <w:szCs w:val="22"/>
          <w:lang w:val="fr-FR"/>
        </w:rPr>
        <w:t>“</w:t>
      </w:r>
      <w:r w:rsidRPr="00D7006D">
        <w:rPr>
          <w:szCs w:val="22"/>
          <w:lang w:val="fr-FR"/>
        </w:rPr>
        <w:t>Le PBC examinera la question de la taille et de l</w:t>
      </w:r>
      <w:r w:rsidR="00CB6F73" w:rsidRPr="00D7006D">
        <w:rPr>
          <w:szCs w:val="22"/>
          <w:lang w:val="fr-FR"/>
        </w:rPr>
        <w:t>’</w:t>
      </w:r>
      <w:r w:rsidRPr="00D7006D">
        <w:rPr>
          <w:szCs w:val="22"/>
          <w:lang w:val="fr-FR"/>
        </w:rPr>
        <w:t>exécution de l</w:t>
      </w:r>
      <w:r w:rsidR="00CB6F73" w:rsidRPr="00D7006D">
        <w:rPr>
          <w:szCs w:val="22"/>
          <w:lang w:val="fr-FR"/>
        </w:rPr>
        <w:t>’</w:t>
      </w:r>
      <w:r w:rsidRPr="00D7006D">
        <w:rPr>
          <w:szCs w:val="22"/>
          <w:lang w:val="fr-FR"/>
        </w:rPr>
        <w:t>ensemble du réseau de bureaux extérieurs après l</w:t>
      </w:r>
      <w:r w:rsidR="00CB6F73" w:rsidRPr="00D7006D">
        <w:rPr>
          <w:szCs w:val="22"/>
          <w:lang w:val="fr-FR"/>
        </w:rPr>
        <w:t>’</w:t>
      </w:r>
      <w:r w:rsidRPr="00D7006D">
        <w:rPr>
          <w:szCs w:val="22"/>
          <w:lang w:val="fr-FR"/>
        </w:rPr>
        <w:t>adoption des présents principes directeurs, à un moment qu</w:t>
      </w:r>
      <w:r w:rsidR="00CB6F73" w:rsidRPr="00D7006D">
        <w:rPr>
          <w:szCs w:val="22"/>
          <w:lang w:val="fr-FR"/>
        </w:rPr>
        <w:t>’</w:t>
      </w:r>
      <w:r w:rsidRPr="00D7006D">
        <w:rPr>
          <w:szCs w:val="22"/>
          <w:lang w:val="fr-FR"/>
        </w:rPr>
        <w:t>il déterminera lui</w:t>
      </w:r>
      <w:r w:rsidR="00770E5B" w:rsidRPr="00D7006D">
        <w:rPr>
          <w:szCs w:val="22"/>
          <w:lang w:val="fr-FR"/>
        </w:rPr>
        <w:noBreakHyphen/>
      </w:r>
      <w:r w:rsidRPr="00D7006D">
        <w:rPr>
          <w:szCs w:val="22"/>
          <w:lang w:val="fr-FR"/>
        </w:rPr>
        <w:t xml:space="preserve">même et, en fonction des résultats de cet examen, il prendra </w:t>
      </w:r>
      <w:r w:rsidRPr="00D7006D">
        <w:rPr>
          <w:szCs w:val="22"/>
          <w:lang w:val="fr-FR"/>
        </w:rPr>
        <w:lastRenderedPageBreak/>
        <w:t>les décisions nécessaires pour que le réseau fonctionne de manière efficace et atteigne ses objectifs</w:t>
      </w:r>
      <w:r w:rsidR="00D75ABD" w:rsidRPr="00D7006D">
        <w:rPr>
          <w:szCs w:val="22"/>
          <w:lang w:val="fr-FR"/>
        </w:rPr>
        <w:t>”</w:t>
      </w:r>
      <w:r w:rsidRPr="00D7006D">
        <w:rPr>
          <w:szCs w:val="22"/>
          <w:lang w:val="fr-FR"/>
        </w:rPr>
        <w:t>]</w:t>
      </w:r>
      <w:r w:rsidR="00C249B4" w:rsidRPr="00D7006D">
        <w:rPr>
          <w:szCs w:val="22"/>
          <w:lang w:val="fr-FR"/>
        </w:rPr>
        <w:t>.</w:t>
      </w:r>
    </w:p>
    <w:p w:rsidR="00CC2753" w:rsidRPr="00D7006D" w:rsidRDefault="00CC2753" w:rsidP="00CC2753">
      <w:pPr>
        <w:rPr>
          <w:szCs w:val="22"/>
          <w:u w:val="single"/>
          <w:lang w:val="fr-FR"/>
        </w:rPr>
      </w:pPr>
    </w:p>
    <w:p w:rsidR="00CC2753" w:rsidRPr="00D7006D" w:rsidRDefault="00CC2753" w:rsidP="00CC2753">
      <w:pPr>
        <w:rPr>
          <w:i/>
          <w:szCs w:val="22"/>
          <w:lang w:val="fr-FR"/>
        </w:rPr>
      </w:pPr>
    </w:p>
    <w:p w:rsidR="00CC2753" w:rsidRPr="00D7006D" w:rsidRDefault="00CC2753" w:rsidP="00CC2753">
      <w:pPr>
        <w:rPr>
          <w:i/>
          <w:szCs w:val="22"/>
          <w:lang w:val="fr-FR"/>
        </w:rPr>
      </w:pPr>
    </w:p>
    <w:p w:rsidR="002928D3" w:rsidRPr="00D7006D" w:rsidRDefault="00177CA3" w:rsidP="00177CA3">
      <w:pPr>
        <w:keepNext/>
        <w:keepLines/>
        <w:tabs>
          <w:tab w:val="left" w:pos="5387"/>
        </w:tabs>
        <w:autoSpaceDE w:val="0"/>
        <w:autoSpaceDN w:val="0"/>
        <w:adjustRightInd w:val="0"/>
        <w:rPr>
          <w:lang w:val="fr-FR"/>
        </w:rPr>
      </w:pPr>
      <w:r w:rsidRPr="00D7006D">
        <w:rPr>
          <w:lang w:val="fr-FR"/>
        </w:rPr>
        <w:tab/>
        <w:t>[Fin du document]</w:t>
      </w:r>
    </w:p>
    <w:sectPr w:rsidR="002928D3" w:rsidRPr="00D7006D" w:rsidSect="00CB6F73">
      <w:head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22" w:rsidRDefault="00220122">
      <w:r>
        <w:separator/>
      </w:r>
    </w:p>
  </w:endnote>
  <w:endnote w:type="continuationSeparator" w:id="0">
    <w:p w:rsidR="00220122" w:rsidRDefault="00220122" w:rsidP="003B38C1">
      <w:r>
        <w:separator/>
      </w:r>
    </w:p>
    <w:p w:rsidR="00220122" w:rsidRPr="003B38C1" w:rsidRDefault="00220122" w:rsidP="003B38C1">
      <w:pPr>
        <w:spacing w:after="60"/>
        <w:rPr>
          <w:sz w:val="17"/>
        </w:rPr>
      </w:pPr>
      <w:r>
        <w:rPr>
          <w:sz w:val="17"/>
        </w:rPr>
        <w:t>[Endnote continued from previous page]</w:t>
      </w:r>
    </w:p>
  </w:endnote>
  <w:endnote w:type="continuationNotice" w:id="1">
    <w:p w:rsidR="00220122" w:rsidRPr="003B38C1" w:rsidRDefault="002201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Default="0093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22" w:rsidRDefault="00220122">
      <w:r>
        <w:separator/>
      </w:r>
    </w:p>
  </w:footnote>
  <w:footnote w:type="continuationSeparator" w:id="0">
    <w:p w:rsidR="00220122" w:rsidRDefault="00220122" w:rsidP="008B60B2">
      <w:r>
        <w:separator/>
      </w:r>
    </w:p>
    <w:p w:rsidR="00220122" w:rsidRPr="00ED77FB" w:rsidRDefault="00220122" w:rsidP="008B60B2">
      <w:pPr>
        <w:spacing w:after="60"/>
        <w:rPr>
          <w:sz w:val="17"/>
          <w:szCs w:val="17"/>
        </w:rPr>
      </w:pPr>
      <w:r w:rsidRPr="00ED77FB">
        <w:rPr>
          <w:sz w:val="17"/>
          <w:szCs w:val="17"/>
        </w:rPr>
        <w:t>[Footnote continued from previous page]</w:t>
      </w:r>
    </w:p>
  </w:footnote>
  <w:footnote w:type="continuationNotice" w:id="1">
    <w:p w:rsidR="00220122" w:rsidRPr="00ED77FB" w:rsidRDefault="00220122" w:rsidP="008B60B2">
      <w:pPr>
        <w:spacing w:before="60"/>
        <w:jc w:val="right"/>
        <w:rPr>
          <w:sz w:val="17"/>
          <w:szCs w:val="17"/>
        </w:rPr>
      </w:pPr>
      <w:r w:rsidRPr="00ED77FB">
        <w:rPr>
          <w:sz w:val="17"/>
          <w:szCs w:val="17"/>
        </w:rPr>
        <w:t>[Footnote continued on next page]</w:t>
      </w:r>
    </w:p>
  </w:footnote>
  <w:footnote w:id="2">
    <w:p w:rsidR="00CC2753" w:rsidRPr="00C249B4" w:rsidRDefault="00CC2753" w:rsidP="00CC2753">
      <w:pPr>
        <w:pStyle w:val="FootnoteText"/>
        <w:rPr>
          <w:sz w:val="20"/>
          <w:lang w:val="fr-CH"/>
        </w:rPr>
      </w:pPr>
      <w:r w:rsidRPr="00C249B4">
        <w:rPr>
          <w:rStyle w:val="FootnoteReference"/>
          <w:sz w:val="20"/>
        </w:rPr>
        <w:footnoteRef/>
      </w:r>
      <w:r w:rsidRPr="00C249B4">
        <w:rPr>
          <w:sz w:val="20"/>
          <w:lang w:val="fr-CH"/>
        </w:rPr>
        <w:t xml:space="preserve"> </w:t>
      </w:r>
      <w:r w:rsidRPr="00C249B4">
        <w:rPr>
          <w:sz w:val="20"/>
          <w:lang w:val="fr-CH"/>
        </w:rPr>
        <w:tab/>
        <w:t>Par exemple, la réception, la transmission, l'examen de forme, la recherche et l'examen quant au fond, le traitement, la publication, la cession ou le transfert de droits dans le cadre de licences, le renouvellement ou la conservation.</w:t>
      </w:r>
    </w:p>
    <w:p w:rsidR="00CC2753" w:rsidRPr="00C249B4" w:rsidRDefault="00CC2753" w:rsidP="00CC2753">
      <w:pPr>
        <w:pStyle w:val="FootnoteText"/>
        <w:rPr>
          <w:sz w:val="20"/>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1A" w:rsidRPr="00F273C1" w:rsidRDefault="00E8301A" w:rsidP="002E38E1">
    <w:pPr>
      <w:ind w:left="1080"/>
      <w:jc w:val="right"/>
      <w:rPr>
        <w:lang w:val="fr-CH"/>
      </w:rPr>
    </w:pPr>
    <w:r w:rsidRPr="00F273C1">
      <w:rPr>
        <w:lang w:val="fr-CH"/>
      </w:rPr>
      <w:t>WO/PBC/</w:t>
    </w:r>
    <w:r w:rsidR="007B1A0B">
      <w:rPr>
        <w:lang w:val="fr-CH"/>
      </w:rPr>
      <w:t>22</w:t>
    </w:r>
    <w:r w:rsidRPr="00F273C1">
      <w:rPr>
        <w:lang w:val="fr-CH"/>
      </w:rPr>
      <w:t>/</w:t>
    </w:r>
    <w:r w:rsidR="0080326F">
      <w:rPr>
        <w:lang w:val="fr-CH"/>
      </w:rPr>
      <w:t>25</w:t>
    </w:r>
  </w:p>
  <w:p w:rsidR="00E8301A" w:rsidRPr="00F273C1" w:rsidRDefault="00E8301A" w:rsidP="00477D6B">
    <w:pPr>
      <w:jc w:val="right"/>
      <w:rPr>
        <w:lang w:val="fr-CH"/>
      </w:rPr>
    </w:pPr>
    <w:proofErr w:type="gramStart"/>
    <w:r w:rsidRPr="00F273C1">
      <w:rPr>
        <w:lang w:val="fr-CH"/>
      </w:rPr>
      <w:t>page</w:t>
    </w:r>
    <w:proofErr w:type="gramEnd"/>
    <w:r w:rsidRPr="00F273C1">
      <w:rPr>
        <w:lang w:val="fr-CH"/>
      </w:rPr>
      <w:t xml:space="preserve"> </w:t>
    </w:r>
    <w:r>
      <w:fldChar w:fldCharType="begin"/>
    </w:r>
    <w:r w:rsidRPr="00F273C1">
      <w:rPr>
        <w:lang w:val="fr-CH"/>
      </w:rPr>
      <w:instrText xml:space="preserve"> PAGE  \* MERGEFORMAT </w:instrText>
    </w:r>
    <w:r>
      <w:fldChar w:fldCharType="separate"/>
    </w:r>
    <w:r w:rsidR="00E830B3">
      <w:rPr>
        <w:noProof/>
        <w:lang w:val="fr-CH"/>
      </w:rPr>
      <w:t>2</w:t>
    </w:r>
    <w:r>
      <w:fldChar w:fldCharType="end"/>
    </w:r>
  </w:p>
  <w:p w:rsidR="00E8301A" w:rsidRDefault="00E8301A"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8301A" w:rsidP="00477D6B">
    <w:pPr>
      <w:jc w:val="right"/>
    </w:pPr>
    <w:bookmarkStart w:id="3" w:name="Code2"/>
    <w:bookmarkEnd w:id="3"/>
    <w:r>
      <w:t>WO/PBC/22/</w:t>
    </w:r>
    <w:r w:rsidR="00546BA6">
      <w:t>25</w:t>
    </w:r>
  </w:p>
  <w:p w:rsidR="00EC4E49" w:rsidRDefault="009310E9" w:rsidP="00477D6B">
    <w:pPr>
      <w:jc w:val="right"/>
    </w:pPr>
    <w:proofErr w:type="gramStart"/>
    <w:r w:rsidRPr="00F273C1">
      <w:rPr>
        <w:lang w:val="fr-CH"/>
      </w:rPr>
      <w:t>page</w:t>
    </w:r>
    <w:proofErr w:type="gramEnd"/>
    <w:r w:rsidRPr="00F273C1">
      <w:rPr>
        <w:lang w:val="fr-CH"/>
      </w:rPr>
      <w:t xml:space="preserve"> </w:t>
    </w:r>
    <w:r>
      <w:fldChar w:fldCharType="begin"/>
    </w:r>
    <w:r w:rsidRPr="00F273C1">
      <w:rPr>
        <w:lang w:val="fr-CH"/>
      </w:rPr>
      <w:instrText xml:space="preserve"> PAGE  \* MERGEFORMAT </w:instrText>
    </w:r>
    <w:r>
      <w:fldChar w:fldCharType="separate"/>
    </w:r>
    <w:r w:rsidR="00E830B3">
      <w:rPr>
        <w:noProof/>
        <w:lang w:val="fr-CH"/>
      </w:rPr>
      <w:t>3</w:t>
    </w:r>
    <w:r>
      <w:fldChar w:fldCharType="end"/>
    </w:r>
    <w:r>
      <w:t xml:space="preserve"> </w:t>
    </w:r>
  </w:p>
  <w:p w:rsidR="006E39C5" w:rsidRDefault="006E39C5" w:rsidP="0092190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Pr="00F273C1" w:rsidRDefault="009310E9" w:rsidP="009310E9">
    <w:pPr>
      <w:ind w:left="1080"/>
      <w:jc w:val="right"/>
      <w:rPr>
        <w:lang w:val="fr-CH"/>
      </w:rPr>
    </w:pPr>
    <w:r w:rsidRPr="00F273C1">
      <w:rPr>
        <w:lang w:val="fr-CH"/>
      </w:rPr>
      <w:t>WO/PBC/</w:t>
    </w:r>
    <w:r>
      <w:rPr>
        <w:lang w:val="fr-CH"/>
      </w:rPr>
      <w:t>22</w:t>
    </w:r>
    <w:r w:rsidRPr="00F273C1">
      <w:rPr>
        <w:lang w:val="fr-CH"/>
      </w:rPr>
      <w:t>/</w:t>
    </w:r>
    <w:r w:rsidR="00586D65">
      <w:rPr>
        <w:lang w:val="fr-CH"/>
      </w:rPr>
      <w:t>25</w:t>
    </w:r>
  </w:p>
  <w:p w:rsidR="00586D65" w:rsidRPr="00F273C1" w:rsidRDefault="00586D65" w:rsidP="00586D65">
    <w:pPr>
      <w:jc w:val="right"/>
      <w:rPr>
        <w:lang w:val="fr-CH"/>
      </w:rPr>
    </w:pPr>
    <w:proofErr w:type="gramStart"/>
    <w:r w:rsidRPr="00F273C1">
      <w:rPr>
        <w:lang w:val="fr-CH"/>
      </w:rPr>
      <w:t>page</w:t>
    </w:r>
    <w:proofErr w:type="gramEnd"/>
    <w:r w:rsidRPr="00F273C1">
      <w:rPr>
        <w:lang w:val="fr-CH"/>
      </w:rPr>
      <w:t xml:space="preserve"> </w:t>
    </w:r>
    <w:r>
      <w:fldChar w:fldCharType="begin"/>
    </w:r>
    <w:r w:rsidRPr="00F273C1">
      <w:rPr>
        <w:lang w:val="fr-CH"/>
      </w:rPr>
      <w:instrText xml:space="preserve"> PAGE  \* MERGEFORMAT </w:instrText>
    </w:r>
    <w:r>
      <w:fldChar w:fldCharType="separate"/>
    </w:r>
    <w:r w:rsidR="00E830B3">
      <w:rPr>
        <w:noProof/>
        <w:lang w:val="fr-CH"/>
      </w:rPr>
      <w:t>2</w:t>
    </w:r>
    <w:r>
      <w:fldChar w:fldCharType="end"/>
    </w:r>
  </w:p>
  <w:p w:rsidR="009310E9" w:rsidRPr="00F273C1" w:rsidRDefault="009310E9" w:rsidP="009310E9">
    <w:pPr>
      <w:jc w:val="right"/>
      <w:rPr>
        <w:lang w:val="fr-CH"/>
      </w:rPr>
    </w:pPr>
  </w:p>
  <w:p w:rsidR="009310E9" w:rsidRDefault="00931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7E68810"/>
    <w:lvl w:ilvl="0">
      <w:start w:val="1"/>
      <w:numFmt w:val="decimal"/>
      <w:lvlRestart w:val="0"/>
      <w:pStyle w:val="ONUME"/>
      <w:lvlText w:val="%1."/>
      <w:lvlJc w:val="left"/>
      <w:pPr>
        <w:tabs>
          <w:tab w:val="num" w:pos="709"/>
        </w:tabs>
        <w:ind w:left="142" w:firstLine="0"/>
      </w:pPr>
      <w:rPr>
        <w:rFonts w:hint="default"/>
        <w:b w:val="0"/>
        <w:i w:val="0"/>
        <w:strike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D3739B8"/>
    <w:multiLevelType w:val="hybridMultilevel"/>
    <w:tmpl w:val="215C4C26"/>
    <w:lvl w:ilvl="0" w:tplc="04090015">
      <w:start w:val="1"/>
      <w:numFmt w:val="upp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023CA6"/>
    <w:multiLevelType w:val="hybridMultilevel"/>
    <w:tmpl w:val="A17214DE"/>
    <w:lvl w:ilvl="0" w:tplc="E5160758">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365442"/>
    <w:multiLevelType w:val="hybridMultilevel"/>
    <w:tmpl w:val="DB40AF7C"/>
    <w:lvl w:ilvl="0" w:tplc="D82464D6">
      <w:start w:val="1"/>
      <w:numFmt w:val="lowerRoman"/>
      <w:lvlText w:val="%1)"/>
      <w:lvlJc w:val="left"/>
      <w:pPr>
        <w:ind w:left="1077" w:hanging="720"/>
      </w:pPr>
      <w:rPr>
        <w:color w:val="000000"/>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8">
    <w:nsid w:val="6994133E"/>
    <w:multiLevelType w:val="hybridMultilevel"/>
    <w:tmpl w:val="E24CFBDA"/>
    <w:lvl w:ilvl="0" w:tplc="A830CDE8">
      <w:start w:val="1"/>
      <w:numFmt w:val="lowerRoman"/>
      <w:lvlText w:val="%1)"/>
      <w:lvlJc w:val="left"/>
      <w:pPr>
        <w:ind w:left="1077" w:hanging="720"/>
      </w:pPr>
      <w:rPr>
        <w:color w:val="auto"/>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num w:numId="1">
    <w:abstractNumId w:val="5"/>
  </w:num>
  <w:num w:numId="2">
    <w:abstractNumId w:val="0"/>
  </w:num>
  <w:num w:numId="3">
    <w:abstractNumId w:val="2"/>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1"/>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UPOV_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Patents\Meetings|Patents\Other|Patents\Publications|Trademarks\Meetings|Trademarks\Other|Trademarks\Publications|IP in General\Academy|IP in General\Arbitration and Mediation|IP in General\Meetings|IP in General\Other|IP in General\Press Room|IP in General\Publications|UPOV\Meetings|UPOV\Other|UPOV\Publications|UPOV\Technical Guidelines"/>
    <w:docVar w:name="TextBaseURL" w:val="empty"/>
    <w:docVar w:name="UILng" w:val="en"/>
  </w:docVars>
  <w:rsids>
    <w:rsidRoot w:val="00E8301A"/>
    <w:rsid w:val="00033FF0"/>
    <w:rsid w:val="00036B74"/>
    <w:rsid w:val="00043CAA"/>
    <w:rsid w:val="00051DBD"/>
    <w:rsid w:val="00070FED"/>
    <w:rsid w:val="00075432"/>
    <w:rsid w:val="000929B3"/>
    <w:rsid w:val="000968ED"/>
    <w:rsid w:val="000970D4"/>
    <w:rsid w:val="000F3B6C"/>
    <w:rsid w:val="000F5E56"/>
    <w:rsid w:val="0011289E"/>
    <w:rsid w:val="001202D6"/>
    <w:rsid w:val="001357D4"/>
    <w:rsid w:val="001362EE"/>
    <w:rsid w:val="00141D03"/>
    <w:rsid w:val="001530CB"/>
    <w:rsid w:val="0016191E"/>
    <w:rsid w:val="0016286C"/>
    <w:rsid w:val="001745D8"/>
    <w:rsid w:val="00177CA3"/>
    <w:rsid w:val="00181771"/>
    <w:rsid w:val="001832A6"/>
    <w:rsid w:val="00194ED5"/>
    <w:rsid w:val="001E17DB"/>
    <w:rsid w:val="001E382F"/>
    <w:rsid w:val="001E4B2F"/>
    <w:rsid w:val="002020BA"/>
    <w:rsid w:val="00220122"/>
    <w:rsid w:val="002326E0"/>
    <w:rsid w:val="00234435"/>
    <w:rsid w:val="00236FBD"/>
    <w:rsid w:val="00241779"/>
    <w:rsid w:val="00246BE1"/>
    <w:rsid w:val="00246E84"/>
    <w:rsid w:val="0025306C"/>
    <w:rsid w:val="002634C4"/>
    <w:rsid w:val="00271678"/>
    <w:rsid w:val="00276FB8"/>
    <w:rsid w:val="002777F6"/>
    <w:rsid w:val="00282C43"/>
    <w:rsid w:val="002928D3"/>
    <w:rsid w:val="00294748"/>
    <w:rsid w:val="002969F9"/>
    <w:rsid w:val="002B3620"/>
    <w:rsid w:val="002B6620"/>
    <w:rsid w:val="002C2E10"/>
    <w:rsid w:val="002D5EF6"/>
    <w:rsid w:val="002F1FE6"/>
    <w:rsid w:val="002F4E68"/>
    <w:rsid w:val="00306638"/>
    <w:rsid w:val="00312F7F"/>
    <w:rsid w:val="00316C1F"/>
    <w:rsid w:val="003375BD"/>
    <w:rsid w:val="00342C14"/>
    <w:rsid w:val="00361450"/>
    <w:rsid w:val="003673CF"/>
    <w:rsid w:val="003800FD"/>
    <w:rsid w:val="00383DF1"/>
    <w:rsid w:val="003845C1"/>
    <w:rsid w:val="00385542"/>
    <w:rsid w:val="003A0B5E"/>
    <w:rsid w:val="003A5D98"/>
    <w:rsid w:val="003A6F89"/>
    <w:rsid w:val="003B38C1"/>
    <w:rsid w:val="003C23E1"/>
    <w:rsid w:val="003E0E41"/>
    <w:rsid w:val="003E4578"/>
    <w:rsid w:val="003F3896"/>
    <w:rsid w:val="00411532"/>
    <w:rsid w:val="00414784"/>
    <w:rsid w:val="00423E3E"/>
    <w:rsid w:val="00427AF4"/>
    <w:rsid w:val="0043388E"/>
    <w:rsid w:val="0044732C"/>
    <w:rsid w:val="00461AA2"/>
    <w:rsid w:val="004647DA"/>
    <w:rsid w:val="00474062"/>
    <w:rsid w:val="00477D6B"/>
    <w:rsid w:val="00482F3E"/>
    <w:rsid w:val="00485570"/>
    <w:rsid w:val="0049571B"/>
    <w:rsid w:val="004B7775"/>
    <w:rsid w:val="004C77FF"/>
    <w:rsid w:val="004F1EAB"/>
    <w:rsid w:val="005019FF"/>
    <w:rsid w:val="0053057A"/>
    <w:rsid w:val="00534A63"/>
    <w:rsid w:val="00546BA6"/>
    <w:rsid w:val="00560A29"/>
    <w:rsid w:val="00560AAF"/>
    <w:rsid w:val="0057677C"/>
    <w:rsid w:val="00586D65"/>
    <w:rsid w:val="00591AC2"/>
    <w:rsid w:val="005C6649"/>
    <w:rsid w:val="005D3C70"/>
    <w:rsid w:val="005E0C1D"/>
    <w:rsid w:val="00605827"/>
    <w:rsid w:val="00625F56"/>
    <w:rsid w:val="00630B21"/>
    <w:rsid w:val="00645A3C"/>
    <w:rsid w:val="00646050"/>
    <w:rsid w:val="006713CA"/>
    <w:rsid w:val="00673967"/>
    <w:rsid w:val="00676C5C"/>
    <w:rsid w:val="006A20C4"/>
    <w:rsid w:val="006B0192"/>
    <w:rsid w:val="006B54EB"/>
    <w:rsid w:val="006C0616"/>
    <w:rsid w:val="006E39C5"/>
    <w:rsid w:val="00713417"/>
    <w:rsid w:val="00741B37"/>
    <w:rsid w:val="0076134B"/>
    <w:rsid w:val="00770E5B"/>
    <w:rsid w:val="007726BD"/>
    <w:rsid w:val="007733FA"/>
    <w:rsid w:val="00787AEB"/>
    <w:rsid w:val="007B1A0B"/>
    <w:rsid w:val="007B2DAB"/>
    <w:rsid w:val="007B40E8"/>
    <w:rsid w:val="007D1613"/>
    <w:rsid w:val="0080326F"/>
    <w:rsid w:val="00813255"/>
    <w:rsid w:val="008142B7"/>
    <w:rsid w:val="00834F6F"/>
    <w:rsid w:val="00843EEE"/>
    <w:rsid w:val="00856734"/>
    <w:rsid w:val="008717CC"/>
    <w:rsid w:val="0087323B"/>
    <w:rsid w:val="00886220"/>
    <w:rsid w:val="00886498"/>
    <w:rsid w:val="008B14D0"/>
    <w:rsid w:val="008B2CC1"/>
    <w:rsid w:val="008B4FEA"/>
    <w:rsid w:val="008B60B2"/>
    <w:rsid w:val="008C2842"/>
    <w:rsid w:val="008C2A83"/>
    <w:rsid w:val="008E268A"/>
    <w:rsid w:val="008F62A3"/>
    <w:rsid w:val="008F7A14"/>
    <w:rsid w:val="00901C0F"/>
    <w:rsid w:val="0090731E"/>
    <w:rsid w:val="0091637F"/>
    <w:rsid w:val="00916C82"/>
    <w:rsid w:val="00916EE2"/>
    <w:rsid w:val="00921902"/>
    <w:rsid w:val="009310E9"/>
    <w:rsid w:val="0093217C"/>
    <w:rsid w:val="00941B14"/>
    <w:rsid w:val="00942C55"/>
    <w:rsid w:val="00966A22"/>
    <w:rsid w:val="0096722F"/>
    <w:rsid w:val="00970D77"/>
    <w:rsid w:val="00980843"/>
    <w:rsid w:val="009A6DD6"/>
    <w:rsid w:val="009B00C0"/>
    <w:rsid w:val="009B1C1D"/>
    <w:rsid w:val="009C44A6"/>
    <w:rsid w:val="009C4662"/>
    <w:rsid w:val="009C7647"/>
    <w:rsid w:val="009E2791"/>
    <w:rsid w:val="009E3F6F"/>
    <w:rsid w:val="009E59C7"/>
    <w:rsid w:val="009F499F"/>
    <w:rsid w:val="00A40716"/>
    <w:rsid w:val="00A42DAF"/>
    <w:rsid w:val="00A45BD8"/>
    <w:rsid w:val="00A73E60"/>
    <w:rsid w:val="00A869B7"/>
    <w:rsid w:val="00A87581"/>
    <w:rsid w:val="00AC205C"/>
    <w:rsid w:val="00AC3FF4"/>
    <w:rsid w:val="00AE77C7"/>
    <w:rsid w:val="00AF0A6B"/>
    <w:rsid w:val="00B05A69"/>
    <w:rsid w:val="00B15F90"/>
    <w:rsid w:val="00B3017D"/>
    <w:rsid w:val="00B34C0C"/>
    <w:rsid w:val="00B4381B"/>
    <w:rsid w:val="00B52211"/>
    <w:rsid w:val="00B9734B"/>
    <w:rsid w:val="00BA6226"/>
    <w:rsid w:val="00BC757E"/>
    <w:rsid w:val="00BE740A"/>
    <w:rsid w:val="00C11BFE"/>
    <w:rsid w:val="00C249B4"/>
    <w:rsid w:val="00C44FE9"/>
    <w:rsid w:val="00C64D6A"/>
    <w:rsid w:val="00C6674A"/>
    <w:rsid w:val="00C71351"/>
    <w:rsid w:val="00C75312"/>
    <w:rsid w:val="00CB6F73"/>
    <w:rsid w:val="00CC2753"/>
    <w:rsid w:val="00CC2BC9"/>
    <w:rsid w:val="00CC6AE4"/>
    <w:rsid w:val="00D242EA"/>
    <w:rsid w:val="00D4356E"/>
    <w:rsid w:val="00D45252"/>
    <w:rsid w:val="00D576CB"/>
    <w:rsid w:val="00D7006D"/>
    <w:rsid w:val="00D71B4D"/>
    <w:rsid w:val="00D7259F"/>
    <w:rsid w:val="00D75ABD"/>
    <w:rsid w:val="00D800A9"/>
    <w:rsid w:val="00D93D55"/>
    <w:rsid w:val="00DA1A6A"/>
    <w:rsid w:val="00DA5D07"/>
    <w:rsid w:val="00DB4E2B"/>
    <w:rsid w:val="00DF64FF"/>
    <w:rsid w:val="00E00028"/>
    <w:rsid w:val="00E26955"/>
    <w:rsid w:val="00E335FE"/>
    <w:rsid w:val="00E35720"/>
    <w:rsid w:val="00E50B1C"/>
    <w:rsid w:val="00E76FE8"/>
    <w:rsid w:val="00E8301A"/>
    <w:rsid w:val="00E830B3"/>
    <w:rsid w:val="00EA1AE7"/>
    <w:rsid w:val="00EA2D72"/>
    <w:rsid w:val="00EA7B6C"/>
    <w:rsid w:val="00EC2C8B"/>
    <w:rsid w:val="00EC2F0F"/>
    <w:rsid w:val="00EC4E49"/>
    <w:rsid w:val="00ED56A6"/>
    <w:rsid w:val="00ED77FB"/>
    <w:rsid w:val="00EE45FA"/>
    <w:rsid w:val="00EF5402"/>
    <w:rsid w:val="00F101CD"/>
    <w:rsid w:val="00F40D54"/>
    <w:rsid w:val="00F438D3"/>
    <w:rsid w:val="00F56810"/>
    <w:rsid w:val="00F57C66"/>
    <w:rsid w:val="00F63931"/>
    <w:rsid w:val="00F66152"/>
    <w:rsid w:val="00F94B3B"/>
    <w:rsid w:val="00FA2893"/>
    <w:rsid w:val="00FB4C75"/>
    <w:rsid w:val="00FB7FF8"/>
    <w:rsid w:val="00FC293C"/>
    <w:rsid w:val="00FC4858"/>
    <w:rsid w:val="00FE2279"/>
    <w:rsid w:val="00FF3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301A"/>
    <w:rPr>
      <w:rFonts w:ascii="Tahoma" w:hAnsi="Tahoma" w:cs="Tahoma"/>
      <w:sz w:val="16"/>
      <w:szCs w:val="16"/>
    </w:rPr>
  </w:style>
  <w:style w:type="character" w:customStyle="1" w:styleId="BalloonTextChar">
    <w:name w:val="Balloon Text Char"/>
    <w:basedOn w:val="DefaultParagraphFont"/>
    <w:link w:val="BalloonText"/>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E8301A"/>
    <w:rPr>
      <w:sz w:val="16"/>
      <w:szCs w:val="16"/>
    </w:rPr>
  </w:style>
  <w:style w:type="character" w:customStyle="1" w:styleId="CommentTextChar">
    <w:name w:val="Comment Text Char"/>
    <w:basedOn w:val="DefaultParagraphFont"/>
    <w:link w:val="CommentText"/>
    <w:uiPriority w:val="99"/>
    <w:rsid w:val="00E8301A"/>
    <w:rPr>
      <w:rFonts w:ascii="Arial" w:eastAsia="SimSun" w:hAnsi="Arial" w:cs="Arial"/>
      <w:sz w:val="18"/>
      <w:lang w:eastAsia="zh-CN"/>
    </w:rPr>
  </w:style>
  <w:style w:type="paragraph" w:styleId="ListParagraph">
    <w:name w:val="List Paragraph"/>
    <w:basedOn w:val="Normal"/>
    <w:uiPriority w:val="34"/>
    <w:qFormat/>
    <w:rsid w:val="00E8301A"/>
    <w:pPr>
      <w:ind w:left="720"/>
      <w:contextualSpacing/>
    </w:pPr>
  </w:style>
  <w:style w:type="table" w:styleId="TableGrid">
    <w:name w:val="Table Grid"/>
    <w:basedOn w:val="TableNormal"/>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E8301A"/>
    <w:rPr>
      <w:vertAlign w:val="superscript"/>
    </w:rPr>
  </w:style>
  <w:style w:type="paragraph" w:styleId="CommentSubject">
    <w:name w:val="annotation subject"/>
    <w:basedOn w:val="CommentText"/>
    <w:next w:val="CommentText"/>
    <w:link w:val="CommentSubjectChar"/>
    <w:rsid w:val="0044732C"/>
    <w:rPr>
      <w:b/>
      <w:bCs/>
      <w:sz w:val="20"/>
    </w:rPr>
  </w:style>
  <w:style w:type="character" w:customStyle="1" w:styleId="CommentSubjectChar">
    <w:name w:val="Comment Subject Char"/>
    <w:basedOn w:val="CommentTextChar"/>
    <w:link w:val="CommentSubject"/>
    <w:rsid w:val="0044732C"/>
    <w:rPr>
      <w:rFonts w:ascii="Arial" w:eastAsia="SimSun" w:hAnsi="Arial" w:cs="Arial"/>
      <w:b/>
      <w:bCs/>
      <w:sz w:val="18"/>
      <w:lang w:eastAsia="zh-CN"/>
    </w:rPr>
  </w:style>
  <w:style w:type="character" w:customStyle="1" w:styleId="FootnoteTextChar">
    <w:name w:val="Footnote Text Char"/>
    <w:basedOn w:val="DefaultParagraphFont"/>
    <w:link w:val="FootnoteText"/>
    <w:uiPriority w:val="99"/>
    <w:semiHidden/>
    <w:rsid w:val="008E268A"/>
    <w:rPr>
      <w:rFonts w:ascii="Arial" w:eastAsia="SimSun" w:hAnsi="Arial" w:cs="Arial"/>
      <w:sz w:val="18"/>
      <w:lang w:eastAsia="zh-CN"/>
    </w:rPr>
  </w:style>
  <w:style w:type="character" w:styleId="Hyperlink">
    <w:name w:val="Hyperlink"/>
    <w:basedOn w:val="DefaultParagraphFont"/>
    <w:rsid w:val="00770E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301A"/>
    <w:rPr>
      <w:rFonts w:ascii="Tahoma" w:hAnsi="Tahoma" w:cs="Tahoma"/>
      <w:sz w:val="16"/>
      <w:szCs w:val="16"/>
    </w:rPr>
  </w:style>
  <w:style w:type="character" w:customStyle="1" w:styleId="BalloonTextChar">
    <w:name w:val="Balloon Text Char"/>
    <w:basedOn w:val="DefaultParagraphFont"/>
    <w:link w:val="BalloonText"/>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E8301A"/>
    <w:rPr>
      <w:sz w:val="16"/>
      <w:szCs w:val="16"/>
    </w:rPr>
  </w:style>
  <w:style w:type="character" w:customStyle="1" w:styleId="CommentTextChar">
    <w:name w:val="Comment Text Char"/>
    <w:basedOn w:val="DefaultParagraphFont"/>
    <w:link w:val="CommentText"/>
    <w:uiPriority w:val="99"/>
    <w:rsid w:val="00E8301A"/>
    <w:rPr>
      <w:rFonts w:ascii="Arial" w:eastAsia="SimSun" w:hAnsi="Arial" w:cs="Arial"/>
      <w:sz w:val="18"/>
      <w:lang w:eastAsia="zh-CN"/>
    </w:rPr>
  </w:style>
  <w:style w:type="paragraph" w:styleId="ListParagraph">
    <w:name w:val="List Paragraph"/>
    <w:basedOn w:val="Normal"/>
    <w:uiPriority w:val="34"/>
    <w:qFormat/>
    <w:rsid w:val="00E8301A"/>
    <w:pPr>
      <w:ind w:left="720"/>
      <w:contextualSpacing/>
    </w:pPr>
  </w:style>
  <w:style w:type="table" w:styleId="TableGrid">
    <w:name w:val="Table Grid"/>
    <w:basedOn w:val="TableNormal"/>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E8301A"/>
    <w:rPr>
      <w:vertAlign w:val="superscript"/>
    </w:rPr>
  </w:style>
  <w:style w:type="paragraph" w:styleId="CommentSubject">
    <w:name w:val="annotation subject"/>
    <w:basedOn w:val="CommentText"/>
    <w:next w:val="CommentText"/>
    <w:link w:val="CommentSubjectChar"/>
    <w:rsid w:val="0044732C"/>
    <w:rPr>
      <w:b/>
      <w:bCs/>
      <w:sz w:val="20"/>
    </w:rPr>
  </w:style>
  <w:style w:type="character" w:customStyle="1" w:styleId="CommentSubjectChar">
    <w:name w:val="Comment Subject Char"/>
    <w:basedOn w:val="CommentTextChar"/>
    <w:link w:val="CommentSubject"/>
    <w:rsid w:val="0044732C"/>
    <w:rPr>
      <w:rFonts w:ascii="Arial" w:eastAsia="SimSun" w:hAnsi="Arial" w:cs="Arial"/>
      <w:b/>
      <w:bCs/>
      <w:sz w:val="18"/>
      <w:lang w:eastAsia="zh-CN"/>
    </w:rPr>
  </w:style>
  <w:style w:type="character" w:customStyle="1" w:styleId="FootnoteTextChar">
    <w:name w:val="Footnote Text Char"/>
    <w:basedOn w:val="DefaultParagraphFont"/>
    <w:link w:val="FootnoteText"/>
    <w:uiPriority w:val="99"/>
    <w:semiHidden/>
    <w:rsid w:val="008E268A"/>
    <w:rPr>
      <w:rFonts w:ascii="Arial" w:eastAsia="SimSun" w:hAnsi="Arial" w:cs="Arial"/>
      <w:sz w:val="18"/>
      <w:lang w:eastAsia="zh-CN"/>
    </w:rPr>
  </w:style>
  <w:style w:type="character" w:styleId="Hyperlink">
    <w:name w:val="Hyperlink"/>
    <w:basedOn w:val="DefaultParagraphFont"/>
    <w:rsid w:val="00770E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9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8A28-2BB3-4CDD-A98E-15CBBC0241CB}">
  <ds:schemaRefs>
    <ds:schemaRef ds:uri="http://schemas.openxmlformats.org/officeDocument/2006/bibliography"/>
  </ds:schemaRefs>
</ds:datastoreItem>
</file>

<file path=customXml/itemProps2.xml><?xml version="1.0" encoding="utf-8"?>
<ds:datastoreItem xmlns:ds="http://schemas.openxmlformats.org/officeDocument/2006/customXml" ds:itemID="{ED8615FB-001D-4798-AE04-795D5F48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85</TotalTime>
  <Pages>6</Pages>
  <Words>2056</Words>
  <Characters>11508</Characters>
  <Application>Microsoft Office Word</Application>
  <DocSecurity>0</DocSecurity>
  <Lines>311</Lines>
  <Paragraphs>81</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HOWARD Emily</dc:creator>
  <cp:keywords>CL/mhf</cp:keywords>
  <cp:lastModifiedBy>NETTER Iza</cp:lastModifiedBy>
  <cp:revision>28</cp:revision>
  <cp:lastPrinted>2014-07-30T13:09:00Z</cp:lastPrinted>
  <dcterms:created xsi:type="dcterms:W3CDTF">2014-07-30T11:19:00Z</dcterms:created>
  <dcterms:modified xsi:type="dcterms:W3CDTF">2014-07-30T13:22:00Z</dcterms:modified>
</cp:coreProperties>
</file>