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060EE" w:rsidRPr="001060EE" w:rsidTr="00AF702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F7028" w:rsidRPr="001060EE" w:rsidRDefault="00AF7028" w:rsidP="00762DEE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7028" w:rsidRPr="001060EE" w:rsidRDefault="00AF7028" w:rsidP="00762DEE">
            <w:pPr>
              <w:rPr>
                <w:lang w:val="fr-FR"/>
              </w:rPr>
            </w:pPr>
            <w:r w:rsidRPr="001060EE">
              <w:rPr>
                <w:noProof/>
                <w:lang w:eastAsia="en-US"/>
              </w:rPr>
              <w:drawing>
                <wp:inline distT="0" distB="0" distL="0" distR="0" wp14:anchorId="4C2BE930" wp14:editId="4B9DB27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7028" w:rsidRPr="001060EE" w:rsidRDefault="00AF7028" w:rsidP="00762DEE">
            <w:pPr>
              <w:jc w:val="right"/>
              <w:rPr>
                <w:lang w:val="fr-FR"/>
              </w:rPr>
            </w:pPr>
            <w:r w:rsidRPr="001060E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060EE" w:rsidRPr="001060EE" w:rsidTr="00762DE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F7028" w:rsidRPr="001060EE" w:rsidRDefault="00AF7028" w:rsidP="00AF702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060EE">
              <w:rPr>
                <w:rFonts w:ascii="Arial Black" w:hAnsi="Arial Black"/>
                <w:caps/>
                <w:sz w:val="15"/>
                <w:lang w:val="fr-FR"/>
              </w:rPr>
              <w:t>WO/PBC/22/</w:t>
            </w:r>
            <w:bookmarkStart w:id="1" w:name="Code"/>
            <w:bookmarkEnd w:id="1"/>
            <w:r w:rsidRPr="001060EE">
              <w:rPr>
                <w:rFonts w:ascii="Arial Black" w:hAnsi="Arial Black"/>
                <w:caps/>
                <w:sz w:val="15"/>
                <w:lang w:val="fr-FR"/>
              </w:rPr>
              <w:t xml:space="preserve">24 </w:t>
            </w:r>
          </w:p>
        </w:tc>
      </w:tr>
      <w:tr w:rsidR="001060EE" w:rsidRPr="001060EE" w:rsidTr="00762DE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F7028" w:rsidRPr="001060EE" w:rsidRDefault="00AF7028" w:rsidP="00762DE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060EE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1060EE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1060EE" w:rsidRPr="001060EE" w:rsidTr="00762DE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F7028" w:rsidRPr="001060EE" w:rsidRDefault="00AF7028" w:rsidP="00AF702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060EE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3" w:name="Date"/>
            <w:bookmarkEnd w:id="3"/>
            <w:r w:rsidRPr="001060EE">
              <w:rPr>
                <w:rFonts w:ascii="Arial Black" w:hAnsi="Arial Black"/>
                <w:caps/>
                <w:sz w:val="15"/>
                <w:lang w:val="fr-FR"/>
              </w:rPr>
              <w:t>12 AOÛT 2014</w:t>
            </w:r>
          </w:p>
        </w:tc>
      </w:tr>
    </w:tbl>
    <w:p w:rsidR="00AF7028" w:rsidRPr="001060EE" w:rsidRDefault="00AF7028" w:rsidP="00AF7028">
      <w:pPr>
        <w:rPr>
          <w:lang w:val="fr-FR"/>
        </w:rPr>
      </w:pPr>
    </w:p>
    <w:p w:rsidR="00AF7028" w:rsidRPr="001060EE" w:rsidRDefault="00AF7028" w:rsidP="00AF7028">
      <w:pPr>
        <w:rPr>
          <w:lang w:val="fr-FR"/>
        </w:rPr>
      </w:pPr>
    </w:p>
    <w:p w:rsidR="00AF7028" w:rsidRPr="001060EE" w:rsidRDefault="00AF7028" w:rsidP="00AF7028">
      <w:pPr>
        <w:rPr>
          <w:lang w:val="fr-FR"/>
        </w:rPr>
      </w:pPr>
    </w:p>
    <w:p w:rsidR="00AF7028" w:rsidRPr="001060EE" w:rsidRDefault="00AF7028" w:rsidP="00AF7028">
      <w:pPr>
        <w:rPr>
          <w:lang w:val="fr-FR"/>
        </w:rPr>
      </w:pPr>
    </w:p>
    <w:p w:rsidR="00AF7028" w:rsidRPr="001060EE" w:rsidRDefault="00AF7028" w:rsidP="00AF7028">
      <w:pPr>
        <w:rPr>
          <w:lang w:val="fr-FR"/>
        </w:rPr>
      </w:pPr>
    </w:p>
    <w:p w:rsidR="00AF7028" w:rsidRPr="001060EE" w:rsidRDefault="00AF7028" w:rsidP="00AF7028">
      <w:pPr>
        <w:rPr>
          <w:b/>
          <w:sz w:val="28"/>
          <w:szCs w:val="28"/>
          <w:lang w:val="fr-FR"/>
        </w:rPr>
      </w:pPr>
      <w:r w:rsidRPr="001060EE">
        <w:rPr>
          <w:b/>
          <w:sz w:val="28"/>
          <w:szCs w:val="28"/>
          <w:lang w:val="fr-FR"/>
        </w:rPr>
        <w:t>Comit</w:t>
      </w:r>
      <w:r w:rsidRPr="001060EE">
        <w:rPr>
          <w:rFonts w:cs="Simplified Arabic"/>
          <w:b/>
          <w:sz w:val="28"/>
          <w:szCs w:val="28"/>
          <w:lang w:val="fr-FR"/>
        </w:rPr>
        <w:t>é</w:t>
      </w:r>
      <w:r w:rsidRPr="001060EE">
        <w:rPr>
          <w:b/>
          <w:sz w:val="28"/>
          <w:szCs w:val="28"/>
          <w:lang w:val="fr-FR"/>
        </w:rPr>
        <w:t xml:space="preserve"> du programme et budget</w:t>
      </w:r>
    </w:p>
    <w:p w:rsidR="00AF7028" w:rsidRPr="001060EE" w:rsidRDefault="00AF7028" w:rsidP="00AF7028">
      <w:pPr>
        <w:rPr>
          <w:lang w:val="fr-FR"/>
        </w:rPr>
      </w:pPr>
    </w:p>
    <w:p w:rsidR="00AF7028" w:rsidRPr="001060EE" w:rsidRDefault="00AF7028" w:rsidP="00AF7028">
      <w:pPr>
        <w:rPr>
          <w:lang w:val="fr-FR"/>
        </w:rPr>
      </w:pPr>
    </w:p>
    <w:p w:rsidR="00AF7028" w:rsidRPr="001060EE" w:rsidRDefault="00AF7028" w:rsidP="00AF7028">
      <w:pPr>
        <w:rPr>
          <w:b/>
          <w:sz w:val="24"/>
          <w:szCs w:val="24"/>
          <w:lang w:val="fr-FR"/>
        </w:rPr>
      </w:pPr>
      <w:r w:rsidRPr="001060EE">
        <w:rPr>
          <w:b/>
          <w:bCs/>
          <w:sz w:val="24"/>
          <w:szCs w:val="24"/>
          <w:lang w:val="fr-FR"/>
        </w:rPr>
        <w:t>Vingt</w:t>
      </w:r>
      <w:r w:rsidR="001060EE" w:rsidRPr="001060EE">
        <w:rPr>
          <w:b/>
          <w:bCs/>
          <w:sz w:val="24"/>
          <w:szCs w:val="24"/>
          <w:lang w:val="fr-FR"/>
        </w:rPr>
        <w:noBreakHyphen/>
      </w:r>
      <w:r w:rsidRPr="001060EE">
        <w:rPr>
          <w:b/>
          <w:bCs/>
          <w:sz w:val="24"/>
          <w:szCs w:val="24"/>
          <w:lang w:val="fr-FR"/>
        </w:rPr>
        <w:t>deuxième</w:t>
      </w:r>
      <w:r w:rsidR="003D4AF4" w:rsidRPr="001060EE">
        <w:rPr>
          <w:b/>
          <w:bCs/>
          <w:sz w:val="24"/>
          <w:szCs w:val="24"/>
          <w:lang w:val="fr-FR"/>
        </w:rPr>
        <w:t> </w:t>
      </w:r>
      <w:r w:rsidRPr="001060EE">
        <w:rPr>
          <w:b/>
          <w:bCs/>
          <w:sz w:val="24"/>
          <w:szCs w:val="24"/>
          <w:lang w:val="fr-FR"/>
        </w:rPr>
        <w:t>se</w:t>
      </w:r>
      <w:r w:rsidRPr="001060EE">
        <w:rPr>
          <w:b/>
          <w:sz w:val="24"/>
          <w:szCs w:val="24"/>
          <w:lang w:val="fr-FR"/>
        </w:rPr>
        <w:t>ssion</w:t>
      </w:r>
    </w:p>
    <w:p w:rsidR="00AF7028" w:rsidRPr="001060EE" w:rsidRDefault="00AF7028" w:rsidP="00AF7028">
      <w:pPr>
        <w:rPr>
          <w:lang w:val="fr-FR"/>
        </w:rPr>
      </w:pPr>
      <w:r w:rsidRPr="001060EE">
        <w:rPr>
          <w:b/>
          <w:sz w:val="24"/>
          <w:szCs w:val="24"/>
          <w:lang w:val="fr-FR"/>
        </w:rPr>
        <w:t>Genève, 1</w:t>
      </w:r>
      <w:r w:rsidRPr="001060EE">
        <w:rPr>
          <w:b/>
          <w:sz w:val="24"/>
          <w:szCs w:val="24"/>
          <w:vertAlign w:val="superscript"/>
          <w:lang w:val="fr-FR"/>
        </w:rPr>
        <w:t>er</w:t>
      </w:r>
      <w:r w:rsidRPr="001060EE">
        <w:rPr>
          <w:b/>
          <w:sz w:val="24"/>
          <w:szCs w:val="24"/>
          <w:lang w:val="fr-FR"/>
        </w:rPr>
        <w:t> – 5 septembre 2014</w:t>
      </w:r>
    </w:p>
    <w:p w:rsidR="00AF7028" w:rsidRPr="001060EE" w:rsidRDefault="00AF7028" w:rsidP="00AF7028">
      <w:pPr>
        <w:rPr>
          <w:lang w:val="fr-FR"/>
        </w:rPr>
      </w:pPr>
    </w:p>
    <w:p w:rsidR="00AF7028" w:rsidRPr="001060EE" w:rsidRDefault="00AF7028" w:rsidP="00AF7028">
      <w:pPr>
        <w:rPr>
          <w:lang w:val="fr-FR"/>
        </w:rPr>
      </w:pPr>
    </w:p>
    <w:p w:rsidR="00AF7028" w:rsidRPr="001060EE" w:rsidRDefault="00AF7028" w:rsidP="00AF7028">
      <w:pPr>
        <w:rPr>
          <w:lang w:val="fr-FR"/>
        </w:rPr>
      </w:pPr>
    </w:p>
    <w:p w:rsidR="00AF7028" w:rsidRPr="001060EE" w:rsidRDefault="00ED7E3A" w:rsidP="00FA4B6F">
      <w:pPr>
        <w:pStyle w:val="Default"/>
        <w:spacing w:after="60"/>
        <w:rPr>
          <w:color w:val="auto"/>
          <w:lang w:val="fr-FR"/>
        </w:rPr>
      </w:pPr>
      <w:r w:rsidRPr="001060EE">
        <w:rPr>
          <w:color w:val="auto"/>
          <w:lang w:val="fr-FR"/>
        </w:rPr>
        <w:t>PARTICIPATION DE REPRÉSENTANTS DES COMMUNAUTÉS AUTOCHTONES ET LOCALES ACCRÉDITÉES AUX TRAVAUX DU COMITÉ INTERGOUVERNEMENTAL DE LA PROPRIÉTÉ INTELLECTUELLE RELATIVE AUX RESSOURCES GÉNÉTIQUES, AUX SAVOIRS TRADITIONNELS ET AU FOLKLORE (IGC)</w:t>
      </w:r>
      <w:r w:rsidR="003D4AF4" w:rsidRPr="001060EE">
        <w:rPr>
          <w:color w:val="auto"/>
          <w:lang w:val="fr-FR"/>
        </w:rPr>
        <w:t> </w:t>
      </w:r>
      <w:r w:rsidRPr="001060EE">
        <w:rPr>
          <w:color w:val="auto"/>
          <w:lang w:val="fr-FR"/>
        </w:rPr>
        <w:t>: PROPOSITION EN FAVEUR D</w:t>
      </w:r>
      <w:r w:rsidR="00AF7028" w:rsidRPr="001060EE">
        <w:rPr>
          <w:color w:val="auto"/>
          <w:lang w:val="fr-FR"/>
        </w:rPr>
        <w:t>’</w:t>
      </w:r>
      <w:r w:rsidRPr="001060EE">
        <w:rPr>
          <w:color w:val="auto"/>
          <w:lang w:val="fr-FR"/>
        </w:rPr>
        <w:t>UN FINANCEMENT SUBSIDIAIRE AU TITRE DU BUDGET ORDINAIRE DE L</w:t>
      </w:r>
      <w:r w:rsidR="00AF7028" w:rsidRPr="001060EE">
        <w:rPr>
          <w:color w:val="auto"/>
          <w:lang w:val="fr-FR"/>
        </w:rPr>
        <w:t>’</w:t>
      </w:r>
      <w:r w:rsidRPr="001060EE">
        <w:rPr>
          <w:color w:val="auto"/>
          <w:lang w:val="fr-FR"/>
        </w:rPr>
        <w:t>OMPI</w:t>
      </w:r>
    </w:p>
    <w:p w:rsidR="00FA4B6F" w:rsidRPr="001060EE" w:rsidRDefault="00FA4B6F" w:rsidP="002133B0">
      <w:pPr>
        <w:pStyle w:val="Default"/>
        <w:rPr>
          <w:rFonts w:eastAsia="Times New Roman"/>
          <w:color w:val="auto"/>
          <w:sz w:val="22"/>
          <w:szCs w:val="22"/>
          <w:lang w:val="fr-FR" w:eastAsia="en-US"/>
        </w:rPr>
      </w:pPr>
    </w:p>
    <w:p w:rsidR="00AF7028" w:rsidRPr="001060EE" w:rsidRDefault="00FA4B6F" w:rsidP="00FA4B6F">
      <w:pPr>
        <w:pStyle w:val="Default"/>
        <w:numPr>
          <w:ilvl w:val="0"/>
          <w:numId w:val="10"/>
        </w:numPr>
        <w:ind w:left="0" w:firstLine="0"/>
        <w:rPr>
          <w:rFonts w:eastAsia="Times New Roman"/>
          <w:color w:val="auto"/>
          <w:sz w:val="22"/>
          <w:szCs w:val="22"/>
          <w:lang w:val="fr-FR" w:eastAsia="en-US"/>
        </w:rPr>
      </w:pPr>
      <w:r w:rsidRPr="001060EE">
        <w:rPr>
          <w:rFonts w:eastAsia="Times New Roman"/>
          <w:color w:val="auto"/>
          <w:sz w:val="22"/>
          <w:szCs w:val="22"/>
          <w:lang w:val="fr-FR" w:eastAsia="en-US"/>
        </w:rPr>
        <w:t>Les délégations de l</w:t>
      </w:r>
      <w:r w:rsidR="00AF7028" w:rsidRPr="001060EE">
        <w:rPr>
          <w:rFonts w:eastAsia="Times New Roman"/>
          <w:color w:val="auto"/>
          <w:sz w:val="22"/>
          <w:szCs w:val="22"/>
          <w:lang w:val="fr-FR" w:eastAsia="en-US"/>
        </w:rPr>
        <w:t>’</w:t>
      </w:r>
      <w:r w:rsidRPr="001060EE">
        <w:rPr>
          <w:rFonts w:eastAsia="Times New Roman"/>
          <w:color w:val="auto"/>
          <w:sz w:val="22"/>
          <w:szCs w:val="22"/>
          <w:lang w:val="fr-FR" w:eastAsia="en-US"/>
        </w:rPr>
        <w:t>Australie, de la Finlande, de la Nouvelle</w:t>
      </w:r>
      <w:r w:rsidR="001060EE" w:rsidRPr="001060EE">
        <w:rPr>
          <w:rFonts w:eastAsia="Times New Roman"/>
          <w:color w:val="auto"/>
          <w:sz w:val="22"/>
          <w:szCs w:val="22"/>
          <w:lang w:val="fr-FR" w:eastAsia="en-US"/>
        </w:rPr>
        <w:noBreakHyphen/>
      </w:r>
      <w:r w:rsidRPr="001060EE">
        <w:rPr>
          <w:rFonts w:eastAsia="Times New Roman"/>
          <w:color w:val="auto"/>
          <w:sz w:val="22"/>
          <w:szCs w:val="22"/>
          <w:lang w:val="fr-FR" w:eastAsia="en-US"/>
        </w:rPr>
        <w:t>Zélande, du Saint</w:t>
      </w:r>
      <w:r w:rsidR="001060EE" w:rsidRPr="001060EE">
        <w:rPr>
          <w:rFonts w:eastAsia="Times New Roman"/>
          <w:color w:val="auto"/>
          <w:sz w:val="22"/>
          <w:szCs w:val="22"/>
          <w:lang w:val="fr-FR" w:eastAsia="en-US"/>
        </w:rPr>
        <w:noBreakHyphen/>
      </w:r>
      <w:r w:rsidRPr="001060EE">
        <w:rPr>
          <w:rFonts w:eastAsia="Times New Roman"/>
          <w:color w:val="auto"/>
          <w:sz w:val="22"/>
          <w:szCs w:val="22"/>
          <w:lang w:val="fr-FR" w:eastAsia="en-US"/>
        </w:rPr>
        <w:t>Siège et de la Suisse ont présenté la proposition ci</w:t>
      </w:r>
      <w:r w:rsidR="001060EE" w:rsidRPr="001060EE">
        <w:rPr>
          <w:rFonts w:eastAsia="Times New Roman"/>
          <w:color w:val="auto"/>
          <w:sz w:val="22"/>
          <w:szCs w:val="22"/>
          <w:lang w:val="fr-FR" w:eastAsia="en-US"/>
        </w:rPr>
        <w:noBreakHyphen/>
      </w:r>
      <w:r w:rsidRPr="001060EE">
        <w:rPr>
          <w:rFonts w:eastAsia="Times New Roman"/>
          <w:color w:val="auto"/>
          <w:sz w:val="22"/>
          <w:szCs w:val="22"/>
          <w:lang w:val="fr-FR" w:eastAsia="en-US"/>
        </w:rPr>
        <w:t>jointe, en demandant qu</w:t>
      </w:r>
      <w:r w:rsidR="00AF7028" w:rsidRPr="001060EE">
        <w:rPr>
          <w:rFonts w:eastAsia="Times New Roman"/>
          <w:color w:val="auto"/>
          <w:sz w:val="22"/>
          <w:szCs w:val="22"/>
          <w:lang w:val="fr-FR" w:eastAsia="en-US"/>
        </w:rPr>
        <w:t>’</w:t>
      </w:r>
      <w:r w:rsidRPr="001060EE">
        <w:rPr>
          <w:rFonts w:eastAsia="Times New Roman"/>
          <w:color w:val="auto"/>
          <w:sz w:val="22"/>
          <w:szCs w:val="22"/>
          <w:lang w:val="fr-FR" w:eastAsia="en-US"/>
        </w:rPr>
        <w:t>elle soit publiée en tant que document officiel de la vingt</w:t>
      </w:r>
      <w:r w:rsidR="001060EE" w:rsidRPr="001060EE">
        <w:rPr>
          <w:rFonts w:eastAsia="Times New Roman"/>
          <w:color w:val="auto"/>
          <w:sz w:val="22"/>
          <w:szCs w:val="22"/>
          <w:lang w:val="fr-FR" w:eastAsia="en-US"/>
        </w:rPr>
        <w:noBreakHyphen/>
      </w:r>
      <w:r w:rsidRPr="001060EE">
        <w:rPr>
          <w:rFonts w:eastAsia="Times New Roman"/>
          <w:color w:val="auto"/>
          <w:sz w:val="22"/>
          <w:szCs w:val="22"/>
          <w:lang w:val="fr-FR" w:eastAsia="en-US"/>
        </w:rPr>
        <w:t>deuxième</w:t>
      </w:r>
      <w:r w:rsidR="003D4AF4" w:rsidRPr="001060EE">
        <w:rPr>
          <w:rFonts w:eastAsia="Times New Roman"/>
          <w:color w:val="auto"/>
          <w:sz w:val="22"/>
          <w:szCs w:val="22"/>
          <w:lang w:val="fr-FR" w:eastAsia="en-US"/>
        </w:rPr>
        <w:t> </w:t>
      </w:r>
      <w:r w:rsidRPr="001060EE">
        <w:rPr>
          <w:rFonts w:eastAsia="Times New Roman"/>
          <w:color w:val="auto"/>
          <w:sz w:val="22"/>
          <w:szCs w:val="22"/>
          <w:lang w:val="fr-FR" w:eastAsia="en-US"/>
        </w:rPr>
        <w:t>session du Comité du programme et budget (PBC).</w:t>
      </w:r>
    </w:p>
    <w:p w:rsidR="00FA4B6F" w:rsidRPr="001060EE" w:rsidRDefault="00FA4B6F" w:rsidP="008C7173">
      <w:pPr>
        <w:rPr>
          <w:lang w:val="fr-FR"/>
        </w:rPr>
      </w:pPr>
    </w:p>
    <w:p w:rsidR="00FA4B6F" w:rsidRPr="001060EE" w:rsidRDefault="00FA4B6F" w:rsidP="008B2CC1">
      <w:pPr>
        <w:rPr>
          <w:i/>
          <w:lang w:val="fr-FR"/>
        </w:rPr>
      </w:pPr>
      <w:bookmarkStart w:id="4" w:name="Prepared"/>
      <w:bookmarkEnd w:id="4"/>
    </w:p>
    <w:p w:rsidR="00FA4B6F" w:rsidRPr="001060EE" w:rsidRDefault="00FA4B6F">
      <w:pPr>
        <w:rPr>
          <w:lang w:val="fr-FR"/>
        </w:rPr>
      </w:pPr>
    </w:p>
    <w:p w:rsidR="00FA4B6F" w:rsidRPr="001060EE" w:rsidRDefault="00FA4B6F" w:rsidP="00FA4B6F">
      <w:pPr>
        <w:pStyle w:val="Endofdocument-Annex"/>
        <w:rPr>
          <w:lang w:val="fr-FR"/>
        </w:rPr>
      </w:pPr>
      <w:r w:rsidRPr="001060EE">
        <w:rPr>
          <w:lang w:val="fr-FR"/>
        </w:rPr>
        <w:t>[La proposition des délégations de l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Australie, de la Finlande, de la Nouvelle</w:t>
      </w:r>
      <w:r w:rsidR="001060EE" w:rsidRPr="001060EE">
        <w:rPr>
          <w:lang w:val="fr-FR"/>
        </w:rPr>
        <w:noBreakHyphen/>
      </w:r>
      <w:r w:rsidRPr="001060EE">
        <w:rPr>
          <w:lang w:val="fr-FR"/>
        </w:rPr>
        <w:t>Zélande, du Saint</w:t>
      </w:r>
      <w:r w:rsidR="001060EE" w:rsidRPr="001060EE">
        <w:rPr>
          <w:lang w:val="fr-FR"/>
        </w:rPr>
        <w:noBreakHyphen/>
      </w:r>
      <w:r w:rsidRPr="001060EE">
        <w:rPr>
          <w:lang w:val="fr-FR"/>
        </w:rPr>
        <w:t>Siège et de la Suisse suit]</w:t>
      </w:r>
    </w:p>
    <w:p w:rsidR="00FA4B6F" w:rsidRPr="001060EE" w:rsidRDefault="00FA4B6F">
      <w:pPr>
        <w:rPr>
          <w:lang w:val="fr-FR"/>
        </w:rPr>
      </w:pPr>
    </w:p>
    <w:p w:rsidR="00FA4B6F" w:rsidRPr="001060EE" w:rsidRDefault="00FA4B6F" w:rsidP="0053057A">
      <w:pPr>
        <w:rPr>
          <w:lang w:val="fr-FR"/>
        </w:rPr>
      </w:pPr>
    </w:p>
    <w:p w:rsidR="00FA4B6F" w:rsidRPr="001060EE" w:rsidRDefault="00FA4B6F" w:rsidP="0053057A">
      <w:pPr>
        <w:rPr>
          <w:lang w:val="fr-FR"/>
        </w:rPr>
      </w:pPr>
    </w:p>
    <w:p w:rsidR="00FA4B6F" w:rsidRPr="001060EE" w:rsidRDefault="00CC0D2F">
      <w:pPr>
        <w:rPr>
          <w:lang w:val="fr-FR"/>
        </w:rPr>
      </w:pPr>
      <w:r w:rsidRPr="001060EE">
        <w:rPr>
          <w:lang w:val="fr-FR"/>
        </w:rPr>
        <w:br w:type="page"/>
      </w:r>
    </w:p>
    <w:p w:rsidR="00FA4B6F" w:rsidRPr="001060EE" w:rsidRDefault="00882D23" w:rsidP="00882D23">
      <w:pPr>
        <w:jc w:val="right"/>
        <w:rPr>
          <w:rStyle w:val="hps"/>
          <w:lang w:val="fr-FR"/>
        </w:rPr>
      </w:pPr>
      <w:r w:rsidRPr="001060EE">
        <w:rPr>
          <w:rStyle w:val="hps"/>
          <w:lang w:val="fr-FR"/>
        </w:rPr>
        <w:lastRenderedPageBreak/>
        <w:t>[ORIGINAL : ANGLAIS]</w:t>
      </w:r>
    </w:p>
    <w:p w:rsidR="00FA4B6F" w:rsidRPr="001060EE" w:rsidRDefault="00FA4B6F" w:rsidP="002133B0">
      <w:pPr>
        <w:pStyle w:val="Default"/>
        <w:spacing w:after="60"/>
        <w:jc w:val="center"/>
        <w:rPr>
          <w:b/>
          <w:color w:val="auto"/>
          <w:sz w:val="22"/>
          <w:szCs w:val="22"/>
          <w:lang w:val="fr-FR"/>
        </w:rPr>
      </w:pPr>
    </w:p>
    <w:p w:rsidR="00FA4B6F" w:rsidRPr="001060EE" w:rsidRDefault="00FA4B6F" w:rsidP="002133B0">
      <w:pPr>
        <w:pStyle w:val="Default"/>
        <w:spacing w:after="60"/>
        <w:jc w:val="center"/>
        <w:rPr>
          <w:b/>
          <w:color w:val="auto"/>
          <w:sz w:val="22"/>
          <w:szCs w:val="22"/>
          <w:lang w:val="fr-FR"/>
        </w:rPr>
      </w:pPr>
    </w:p>
    <w:p w:rsidR="00FA4B6F" w:rsidRPr="001060EE" w:rsidRDefault="00ED7E3A" w:rsidP="00882D23">
      <w:pPr>
        <w:pStyle w:val="Default"/>
        <w:jc w:val="center"/>
        <w:rPr>
          <w:b/>
          <w:color w:val="auto"/>
          <w:sz w:val="22"/>
          <w:szCs w:val="22"/>
          <w:lang w:val="fr-FR"/>
        </w:rPr>
      </w:pPr>
      <w:r w:rsidRPr="001060EE">
        <w:rPr>
          <w:b/>
          <w:color w:val="auto"/>
          <w:sz w:val="22"/>
          <w:szCs w:val="22"/>
          <w:lang w:val="fr-FR"/>
        </w:rPr>
        <w:t>PARTICIPATION DE REPRÉSENTANTS DES COMMUNAUTÉS AUTOCHTONES ET LOCALES ACCRÉDITÉES AUX TRAVAU</w:t>
      </w:r>
      <w:r w:rsidR="001060EE">
        <w:rPr>
          <w:b/>
          <w:color w:val="auto"/>
          <w:sz w:val="22"/>
          <w:szCs w:val="22"/>
          <w:lang w:val="fr-FR"/>
        </w:rPr>
        <w:t>X DU COMITÉ INTERGOUVERNEMENTAL</w:t>
      </w:r>
      <w:r w:rsidR="001060EE">
        <w:rPr>
          <w:b/>
          <w:color w:val="auto"/>
          <w:sz w:val="22"/>
          <w:szCs w:val="22"/>
          <w:lang w:val="fr-FR"/>
        </w:rPr>
        <w:br/>
      </w:r>
      <w:r w:rsidRPr="001060EE">
        <w:rPr>
          <w:b/>
          <w:color w:val="auto"/>
          <w:sz w:val="22"/>
          <w:szCs w:val="22"/>
          <w:lang w:val="fr-FR"/>
        </w:rPr>
        <w:t>DE LA PROPRIÉTÉ INTELLECTUELLE RELA</w:t>
      </w:r>
      <w:r w:rsidR="001060EE">
        <w:rPr>
          <w:b/>
          <w:color w:val="auto"/>
          <w:sz w:val="22"/>
          <w:szCs w:val="22"/>
          <w:lang w:val="fr-FR"/>
        </w:rPr>
        <w:t>TIVE AUX RESSOURCES GÉNÉTIQUES</w:t>
      </w:r>
      <w:proofErr w:type="gramStart"/>
      <w:r w:rsidR="001060EE">
        <w:rPr>
          <w:b/>
          <w:color w:val="auto"/>
          <w:sz w:val="22"/>
          <w:szCs w:val="22"/>
          <w:lang w:val="fr-FR"/>
        </w:rPr>
        <w:t>,</w:t>
      </w:r>
      <w:proofErr w:type="gramEnd"/>
      <w:r w:rsidR="001060EE">
        <w:rPr>
          <w:b/>
          <w:color w:val="auto"/>
          <w:sz w:val="22"/>
          <w:szCs w:val="22"/>
          <w:lang w:val="fr-FR"/>
        </w:rPr>
        <w:br/>
      </w:r>
      <w:r w:rsidRPr="001060EE">
        <w:rPr>
          <w:b/>
          <w:color w:val="auto"/>
          <w:sz w:val="22"/>
          <w:szCs w:val="22"/>
          <w:lang w:val="fr-FR"/>
        </w:rPr>
        <w:t>AUX SAVOIRS TRADITIONNELS ET AU FOLKLORE (IGC)</w:t>
      </w:r>
      <w:r w:rsidR="003D4AF4" w:rsidRPr="001060EE">
        <w:rPr>
          <w:b/>
          <w:color w:val="auto"/>
          <w:sz w:val="22"/>
          <w:szCs w:val="22"/>
          <w:lang w:val="fr-FR"/>
        </w:rPr>
        <w:t> </w:t>
      </w:r>
      <w:r w:rsidRPr="001060EE">
        <w:rPr>
          <w:b/>
          <w:color w:val="auto"/>
          <w:sz w:val="22"/>
          <w:szCs w:val="22"/>
          <w:lang w:val="fr-FR"/>
        </w:rPr>
        <w:t>: PROPOSITION EN FAVEUR D</w:t>
      </w:r>
      <w:r w:rsidR="00AF7028" w:rsidRPr="001060EE">
        <w:rPr>
          <w:b/>
          <w:color w:val="auto"/>
          <w:sz w:val="22"/>
          <w:szCs w:val="22"/>
          <w:lang w:val="fr-FR"/>
        </w:rPr>
        <w:t>’</w:t>
      </w:r>
      <w:r w:rsidRPr="001060EE">
        <w:rPr>
          <w:b/>
          <w:color w:val="auto"/>
          <w:sz w:val="22"/>
          <w:szCs w:val="22"/>
          <w:lang w:val="fr-FR"/>
        </w:rPr>
        <w:t>UN FINANCEMENT SUBSIDIAIRE AU TITRE DU BUDGET ORDINAIRE DE L</w:t>
      </w:r>
      <w:r w:rsidR="00AF7028" w:rsidRPr="001060EE">
        <w:rPr>
          <w:b/>
          <w:color w:val="auto"/>
          <w:sz w:val="22"/>
          <w:szCs w:val="22"/>
          <w:lang w:val="fr-FR"/>
        </w:rPr>
        <w:t>’</w:t>
      </w:r>
      <w:r w:rsidRPr="001060EE">
        <w:rPr>
          <w:b/>
          <w:color w:val="auto"/>
          <w:sz w:val="22"/>
          <w:szCs w:val="22"/>
          <w:lang w:val="fr-FR"/>
        </w:rPr>
        <w:t>OMPI</w:t>
      </w:r>
    </w:p>
    <w:p w:rsidR="00FA4B6F" w:rsidRPr="001060EE" w:rsidRDefault="00FA4B6F" w:rsidP="00B34316">
      <w:pPr>
        <w:pStyle w:val="Default"/>
        <w:jc w:val="center"/>
        <w:rPr>
          <w:iCs/>
          <w:color w:val="auto"/>
          <w:sz w:val="22"/>
          <w:szCs w:val="22"/>
          <w:lang w:val="fr-FR"/>
        </w:rPr>
      </w:pPr>
    </w:p>
    <w:p w:rsidR="00FA4B6F" w:rsidRPr="001060EE" w:rsidRDefault="00FA4B6F" w:rsidP="00B34316">
      <w:pPr>
        <w:pStyle w:val="Default"/>
        <w:jc w:val="both"/>
        <w:rPr>
          <w:iCs/>
          <w:color w:val="auto"/>
          <w:sz w:val="22"/>
          <w:szCs w:val="22"/>
          <w:lang w:val="fr-FR"/>
        </w:rPr>
      </w:pPr>
    </w:p>
    <w:p w:rsidR="00AF7028" w:rsidRPr="001060EE" w:rsidRDefault="00882D23" w:rsidP="001060EE">
      <w:pPr>
        <w:pStyle w:val="ONUMFS"/>
        <w:rPr>
          <w:lang w:val="fr-FR"/>
        </w:rPr>
      </w:pPr>
      <w:r w:rsidRPr="001060EE">
        <w:rPr>
          <w:lang w:val="fr-FR"/>
        </w:rPr>
        <w:t>Depuis sa création en</w:t>
      </w:r>
      <w:r w:rsidR="003D4AF4" w:rsidRPr="001060EE">
        <w:rPr>
          <w:lang w:val="fr-FR"/>
        </w:rPr>
        <w:t> </w:t>
      </w:r>
      <w:r w:rsidRPr="001060EE">
        <w:rPr>
          <w:lang w:val="fr-FR"/>
        </w:rPr>
        <w:t>2005, le Fonds de contributions volontaires de l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OMPI pour les communautés autochtones et locales accréditées (ci</w:t>
      </w:r>
      <w:r w:rsidR="001060EE" w:rsidRPr="001060EE">
        <w:rPr>
          <w:lang w:val="fr-FR"/>
        </w:rPr>
        <w:noBreakHyphen/>
      </w:r>
      <w:r w:rsidRPr="001060EE">
        <w:rPr>
          <w:lang w:val="fr-FR"/>
        </w:rPr>
        <w:t xml:space="preserve">après dénommé </w:t>
      </w:r>
      <w:r w:rsidR="008D071D" w:rsidRPr="001060EE">
        <w:rPr>
          <w:lang w:val="fr-FR"/>
        </w:rPr>
        <w:t>“</w:t>
      </w:r>
      <w:r w:rsidRPr="001060EE">
        <w:rPr>
          <w:lang w:val="fr-FR"/>
        </w:rPr>
        <w:t>Fonds</w:t>
      </w:r>
      <w:r w:rsidR="008D071D" w:rsidRPr="001060EE">
        <w:rPr>
          <w:lang w:val="fr-FR"/>
        </w:rPr>
        <w:t>”</w:t>
      </w:r>
      <w:r w:rsidRPr="001060EE">
        <w:rPr>
          <w:lang w:val="fr-FR"/>
        </w:rPr>
        <w:t>)</w:t>
      </w:r>
      <w:r w:rsidRPr="001060EE">
        <w:rPr>
          <w:rStyle w:val="FootnoteReference"/>
          <w:szCs w:val="22"/>
          <w:lang w:val="fr-FR"/>
        </w:rPr>
        <w:footnoteReference w:id="2"/>
      </w:r>
      <w:r w:rsidRPr="001060EE">
        <w:rPr>
          <w:lang w:val="fr-FR"/>
        </w:rPr>
        <w:t xml:space="preserve"> a bénéficié d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une série de contributions des donateurs suivants (dans l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ordre chronologique)</w:t>
      </w:r>
      <w:r w:rsidR="003D4AF4" w:rsidRPr="001060EE">
        <w:rPr>
          <w:lang w:val="fr-FR"/>
        </w:rPr>
        <w:t> </w:t>
      </w:r>
      <w:r w:rsidRPr="001060EE">
        <w:rPr>
          <w:lang w:val="fr-FR"/>
        </w:rPr>
        <w:t>: Programme suédois pour la biodiversité internationale (</w:t>
      </w:r>
      <w:proofErr w:type="spellStart"/>
      <w:r w:rsidRPr="001060EE">
        <w:rPr>
          <w:lang w:val="fr-FR"/>
        </w:rPr>
        <w:t>SwedBio</w:t>
      </w:r>
      <w:proofErr w:type="spellEnd"/>
      <w:r w:rsidRPr="001060EE">
        <w:rPr>
          <w:lang w:val="fr-FR"/>
        </w:rPr>
        <w:t>/CBM), France, Fonds Christensen, Suisse (Institut fédéral suisse de la propriété intellectuelle), Afrique du Sud, Norvège, donateur anonyme, Australie (2) et Nouvelle</w:t>
      </w:r>
      <w:r w:rsidR="001060EE" w:rsidRPr="001060EE">
        <w:rPr>
          <w:lang w:val="fr-FR"/>
        </w:rPr>
        <w:noBreakHyphen/>
      </w:r>
      <w:r w:rsidRPr="001060EE">
        <w:rPr>
          <w:lang w:val="fr-FR"/>
        </w:rPr>
        <w:t>Zélande.</w:t>
      </w:r>
      <w:r w:rsidR="0062336F" w:rsidRPr="001060EE">
        <w:rPr>
          <w:lang w:val="fr-FR"/>
        </w:rPr>
        <w:t xml:space="preserve"> </w:t>
      </w:r>
      <w:r w:rsidR="00B34316" w:rsidRPr="001060EE">
        <w:rPr>
          <w:lang w:val="fr-FR"/>
        </w:rPr>
        <w:t xml:space="preserve"> </w:t>
      </w:r>
      <w:r w:rsidRPr="001060EE">
        <w:rPr>
          <w:lang w:val="fr-FR"/>
        </w:rPr>
        <w:t>Ces contributions ont permis au Fonds de contributions volontaires de financer la participation de représentants des communautés autochtones et locales accréditées jusqu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à la vingt</w:t>
      </w:r>
      <w:r w:rsidR="001060EE" w:rsidRPr="001060EE">
        <w:rPr>
          <w:lang w:val="fr-FR"/>
        </w:rPr>
        <w:noBreakHyphen/>
      </w:r>
      <w:r w:rsidRPr="001060EE">
        <w:rPr>
          <w:lang w:val="fr-FR"/>
        </w:rPr>
        <w:t>sixième</w:t>
      </w:r>
      <w:r w:rsidR="003D4AF4" w:rsidRPr="001060EE">
        <w:rPr>
          <w:lang w:val="fr-FR"/>
        </w:rPr>
        <w:t> </w:t>
      </w:r>
      <w:r w:rsidRPr="001060EE">
        <w:rPr>
          <w:lang w:val="fr-FR"/>
        </w:rPr>
        <w:t>session du Comité intergouvernemental de la propriété intellectuelle relative aux ressources génétiques, aux savoirs traditionnels et au folklore (IGC).</w:t>
      </w:r>
    </w:p>
    <w:p w:rsidR="00AF7028" w:rsidRPr="001060EE" w:rsidRDefault="00020222" w:rsidP="001060EE">
      <w:pPr>
        <w:pStyle w:val="ONUMFS"/>
        <w:rPr>
          <w:lang w:val="fr-FR"/>
        </w:rPr>
      </w:pPr>
      <w:r w:rsidRPr="001060EE">
        <w:rPr>
          <w:lang w:val="fr-FR"/>
        </w:rPr>
        <w:t>Ainsi qu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 xml:space="preserve">il est indiqué au paragraphe 1 du </w:t>
      </w:r>
      <w:r w:rsidR="0062336F" w:rsidRPr="001060EE">
        <w:rPr>
          <w:lang w:val="fr-FR"/>
        </w:rPr>
        <w:t xml:space="preserve">document WIPO/GRTKF/IC/28/3, </w:t>
      </w:r>
      <w:r w:rsidRPr="001060EE">
        <w:rPr>
          <w:lang w:val="fr-FR"/>
        </w:rPr>
        <w:t>le montant disponible au titre du Fonds s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 xml:space="preserve">élevait à </w:t>
      </w:r>
      <w:r w:rsidR="0062336F" w:rsidRPr="001060EE">
        <w:rPr>
          <w:lang w:val="fr-FR"/>
        </w:rPr>
        <w:t>803</w:t>
      </w:r>
      <w:r w:rsidRPr="001060EE">
        <w:rPr>
          <w:lang w:val="fr-FR"/>
        </w:rPr>
        <w:t>,</w:t>
      </w:r>
      <w:r w:rsidR="0062336F" w:rsidRPr="001060EE">
        <w:rPr>
          <w:lang w:val="fr-FR"/>
        </w:rPr>
        <w:t>20</w:t>
      </w:r>
      <w:r w:rsidR="003D4AF4" w:rsidRPr="001060EE">
        <w:rPr>
          <w:lang w:val="fr-FR"/>
        </w:rPr>
        <w:t> </w:t>
      </w:r>
      <w:r w:rsidR="0062336F" w:rsidRPr="001060EE">
        <w:rPr>
          <w:lang w:val="fr-FR"/>
        </w:rPr>
        <w:t xml:space="preserve">francs </w:t>
      </w:r>
      <w:r w:rsidRPr="001060EE">
        <w:rPr>
          <w:lang w:val="fr-FR"/>
        </w:rPr>
        <w:t xml:space="preserve">suisses au </w:t>
      </w:r>
      <w:r w:rsidR="0062336F" w:rsidRPr="001060EE">
        <w:rPr>
          <w:lang w:val="fr-FR"/>
        </w:rPr>
        <w:t>28</w:t>
      </w:r>
      <w:r w:rsidRPr="001060EE">
        <w:rPr>
          <w:lang w:val="fr-FR"/>
        </w:rPr>
        <w:t> mai </w:t>
      </w:r>
      <w:r w:rsidR="0062336F" w:rsidRPr="001060EE">
        <w:rPr>
          <w:lang w:val="fr-FR"/>
        </w:rPr>
        <w:t>2014</w:t>
      </w:r>
      <w:r w:rsidRPr="001060EE">
        <w:rPr>
          <w:lang w:val="fr-FR"/>
        </w:rPr>
        <w:t xml:space="preserve"> et reste inchangé à ce jour, hormis quelques ajustements mineurs découlant des frais et intérêts bancaires, nonobstant les appels répétés du Directeur général de l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OMPI et du président de l</w:t>
      </w:r>
      <w:r w:rsidR="00AF7028" w:rsidRPr="001060EE">
        <w:rPr>
          <w:lang w:val="fr-FR"/>
        </w:rPr>
        <w:t>’</w:t>
      </w:r>
      <w:r w:rsidR="0062336F" w:rsidRPr="001060EE">
        <w:rPr>
          <w:lang w:val="fr-FR"/>
        </w:rPr>
        <w:t xml:space="preserve">IGC </w:t>
      </w:r>
      <w:r w:rsidRPr="001060EE">
        <w:rPr>
          <w:lang w:val="fr-FR"/>
        </w:rPr>
        <w:t>invitant les États membres à verser des contributions</w:t>
      </w:r>
      <w:r w:rsidR="0062336F" w:rsidRPr="001060EE">
        <w:rPr>
          <w:lang w:val="fr-FR"/>
        </w:rPr>
        <w:t xml:space="preserve">. </w:t>
      </w:r>
      <w:r w:rsidR="00B34316" w:rsidRPr="001060EE">
        <w:rPr>
          <w:lang w:val="fr-FR"/>
        </w:rPr>
        <w:t xml:space="preserve"> </w:t>
      </w:r>
      <w:r w:rsidR="001060EE" w:rsidRPr="001060EE">
        <w:rPr>
          <w:lang w:val="fr-FR"/>
        </w:rPr>
        <w:t>À moins que le F</w:t>
      </w:r>
      <w:r w:rsidR="002C2ED3" w:rsidRPr="001060EE">
        <w:rPr>
          <w:lang w:val="fr-FR"/>
        </w:rPr>
        <w:t xml:space="preserve">onds ne soit prochainement </w:t>
      </w:r>
      <w:r w:rsidR="001060EE" w:rsidRPr="001060EE">
        <w:rPr>
          <w:lang w:val="fr-FR"/>
        </w:rPr>
        <w:t>renfloué</w:t>
      </w:r>
      <w:r w:rsidR="002C2ED3" w:rsidRPr="001060EE">
        <w:rPr>
          <w:lang w:val="fr-FR"/>
        </w:rPr>
        <w:t xml:space="preserve"> par de nouvelles contributions volontaires, il demeurera impossible de financer la </w:t>
      </w:r>
      <w:r w:rsidR="0062336F" w:rsidRPr="001060EE">
        <w:rPr>
          <w:lang w:val="fr-FR"/>
        </w:rPr>
        <w:t xml:space="preserve">participation </w:t>
      </w:r>
      <w:r w:rsidR="002C2ED3" w:rsidRPr="001060EE">
        <w:rPr>
          <w:lang w:val="fr-FR"/>
        </w:rPr>
        <w:t>aux travaux de l</w:t>
      </w:r>
      <w:r w:rsidR="00AF7028" w:rsidRPr="001060EE">
        <w:rPr>
          <w:lang w:val="fr-FR"/>
        </w:rPr>
        <w:t>’</w:t>
      </w:r>
      <w:r w:rsidR="0062336F" w:rsidRPr="001060EE">
        <w:rPr>
          <w:lang w:val="fr-FR"/>
        </w:rPr>
        <w:t xml:space="preserve">IGC </w:t>
      </w:r>
      <w:r w:rsidR="002C2ED3" w:rsidRPr="001060EE">
        <w:rPr>
          <w:lang w:val="fr-FR"/>
        </w:rPr>
        <w:t>des représentants des communautés autochtones et locales accréditées susceptibles d</w:t>
      </w:r>
      <w:r w:rsidR="00AF7028" w:rsidRPr="001060EE">
        <w:rPr>
          <w:lang w:val="fr-FR"/>
        </w:rPr>
        <w:t>’</w:t>
      </w:r>
      <w:r w:rsidR="002C2ED3" w:rsidRPr="001060EE">
        <w:rPr>
          <w:lang w:val="fr-FR"/>
        </w:rPr>
        <w:t>être sélectionnés par le Conseil consultatif du Fonds</w:t>
      </w:r>
      <w:r w:rsidR="0062336F" w:rsidRPr="001060EE">
        <w:rPr>
          <w:lang w:val="fr-FR"/>
        </w:rPr>
        <w:t xml:space="preserve">. </w:t>
      </w:r>
      <w:r w:rsidR="00B34316" w:rsidRPr="001060EE">
        <w:rPr>
          <w:lang w:val="fr-FR"/>
        </w:rPr>
        <w:t xml:space="preserve"> </w:t>
      </w:r>
      <w:r w:rsidR="004070D5" w:rsidRPr="001060EE">
        <w:rPr>
          <w:lang w:val="fr-FR"/>
        </w:rPr>
        <w:t>Cette situation est regrettable compte tenu de l</w:t>
      </w:r>
      <w:r w:rsidR="00AF7028" w:rsidRPr="001060EE">
        <w:rPr>
          <w:lang w:val="fr-FR"/>
        </w:rPr>
        <w:t>’</w:t>
      </w:r>
      <w:r w:rsidR="004070D5" w:rsidRPr="001060EE">
        <w:rPr>
          <w:lang w:val="fr-FR"/>
        </w:rPr>
        <w:t>importante contribution que les représentants des communautés autochtones et locales ont apportée aux négociations de l</w:t>
      </w:r>
      <w:r w:rsidR="00AF7028" w:rsidRPr="001060EE">
        <w:rPr>
          <w:lang w:val="fr-FR"/>
        </w:rPr>
        <w:t>’</w:t>
      </w:r>
      <w:r w:rsidR="004070D5" w:rsidRPr="001060EE">
        <w:rPr>
          <w:lang w:val="fr-FR"/>
        </w:rPr>
        <w:t>IGC</w:t>
      </w:r>
      <w:r w:rsidR="0062336F" w:rsidRPr="001060EE">
        <w:rPr>
          <w:lang w:val="fr-FR"/>
        </w:rPr>
        <w:t xml:space="preserve">. </w:t>
      </w:r>
      <w:r w:rsidR="00B34316" w:rsidRPr="001060EE">
        <w:rPr>
          <w:lang w:val="fr-FR"/>
        </w:rPr>
        <w:t xml:space="preserve"> </w:t>
      </w:r>
      <w:r w:rsidR="001A24B3" w:rsidRPr="001060EE">
        <w:rPr>
          <w:lang w:val="fr-FR"/>
        </w:rPr>
        <w:t>Leur participation</w:t>
      </w:r>
      <w:r w:rsidR="0062336F" w:rsidRPr="001060EE">
        <w:rPr>
          <w:lang w:val="fr-FR"/>
        </w:rPr>
        <w:t xml:space="preserve"> active</w:t>
      </w:r>
      <w:r w:rsidR="001A24B3" w:rsidRPr="001060EE">
        <w:rPr>
          <w:lang w:val="fr-FR"/>
        </w:rPr>
        <w:t xml:space="preserve"> </w:t>
      </w:r>
      <w:r w:rsidR="00792A61" w:rsidRPr="001060EE">
        <w:rPr>
          <w:lang w:val="fr-FR"/>
        </w:rPr>
        <w:t>a inspiré et enrichi les travaux du comité et renforcé la transparence et la crédibilité du processus de l</w:t>
      </w:r>
      <w:r w:rsidR="00AF7028" w:rsidRPr="001060EE">
        <w:rPr>
          <w:lang w:val="fr-FR"/>
        </w:rPr>
        <w:t>’</w:t>
      </w:r>
      <w:r w:rsidR="0062336F" w:rsidRPr="001060EE">
        <w:rPr>
          <w:lang w:val="fr-FR"/>
        </w:rPr>
        <w:t>IGC.</w:t>
      </w:r>
    </w:p>
    <w:p w:rsidR="00AF7028" w:rsidRPr="001060EE" w:rsidRDefault="008416DC" w:rsidP="001060EE">
      <w:pPr>
        <w:pStyle w:val="ONUMFS"/>
        <w:rPr>
          <w:lang w:val="fr-FR"/>
        </w:rPr>
      </w:pPr>
      <w:r w:rsidRPr="001060EE">
        <w:rPr>
          <w:lang w:val="fr-FR"/>
        </w:rPr>
        <w:t xml:space="preserve">Du fait de la complexité et de la longueur des négociations, </w:t>
      </w:r>
      <w:r w:rsidR="001060EE" w:rsidRPr="001060EE">
        <w:rPr>
          <w:lang w:val="fr-FR"/>
        </w:rPr>
        <w:t>conjuguées</w:t>
      </w:r>
      <w:r w:rsidRPr="001060EE">
        <w:rPr>
          <w:lang w:val="fr-FR"/>
        </w:rPr>
        <w:t xml:space="preserve"> au caractère discrétionnaire et irrégulier des contributions volontaires, il a été difficile pour les donateurs potentiels d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assurer et de maintenir un niveau de ressources adéquat au titre du Fonds</w:t>
      </w:r>
      <w:r w:rsidR="0062336F" w:rsidRPr="001060EE">
        <w:rPr>
          <w:lang w:val="fr-FR"/>
        </w:rPr>
        <w:t>.</w:t>
      </w:r>
    </w:p>
    <w:p w:rsidR="00FA4B6F" w:rsidRPr="001060EE" w:rsidRDefault="009804FB" w:rsidP="001060EE">
      <w:pPr>
        <w:pStyle w:val="ONUMFS"/>
        <w:rPr>
          <w:lang w:val="fr-FR"/>
        </w:rPr>
      </w:pPr>
      <w:r w:rsidRPr="001060EE">
        <w:rPr>
          <w:lang w:val="fr-FR"/>
        </w:rPr>
        <w:t>Compte tenu de la si</w:t>
      </w:r>
      <w:r w:rsidR="001060EE" w:rsidRPr="001060EE">
        <w:rPr>
          <w:lang w:val="fr-FR"/>
        </w:rPr>
        <w:t>tuation financière actuelle du F</w:t>
      </w:r>
      <w:r w:rsidRPr="001060EE">
        <w:rPr>
          <w:lang w:val="fr-FR"/>
        </w:rPr>
        <w:t>onds et de l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 xml:space="preserve">importance que revêt la poursuite de la </w:t>
      </w:r>
      <w:r w:rsidR="0062336F" w:rsidRPr="001060EE">
        <w:rPr>
          <w:lang w:val="fr-FR"/>
        </w:rPr>
        <w:t xml:space="preserve">participation </w:t>
      </w:r>
      <w:r w:rsidRPr="001060EE">
        <w:rPr>
          <w:lang w:val="fr-FR"/>
        </w:rPr>
        <w:t>de représentants des communautés autochtones et locales aux négociations de manière à contribuer à l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obtention des résultats prévus au titre du programme </w:t>
      </w:r>
      <w:r w:rsidR="0062336F" w:rsidRPr="001060EE">
        <w:rPr>
          <w:lang w:val="fr-FR"/>
        </w:rPr>
        <w:t>4 (</w:t>
      </w:r>
      <w:r w:rsidRPr="001060EE">
        <w:rPr>
          <w:i/>
          <w:lang w:val="fr-FR"/>
        </w:rPr>
        <w:t>Savoirs traditionnels, expressions culturelles traditionnelles et ressources génétiques</w:t>
      </w:r>
      <w:r w:rsidR="0062336F" w:rsidRPr="001060EE">
        <w:rPr>
          <w:i/>
          <w:lang w:val="fr-FR"/>
        </w:rPr>
        <w:t xml:space="preserve">) </w:t>
      </w:r>
      <w:r w:rsidRPr="001060EE">
        <w:rPr>
          <w:lang w:val="fr-FR"/>
        </w:rPr>
        <w:t>du programme et budget approuvé pour l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exercice biennal </w:t>
      </w:r>
      <w:r w:rsidR="0062336F" w:rsidRPr="001060EE">
        <w:rPr>
          <w:lang w:val="fr-FR"/>
        </w:rPr>
        <w:t>2014</w:t>
      </w:r>
      <w:r w:rsidR="001060EE" w:rsidRPr="001060EE">
        <w:rPr>
          <w:lang w:val="fr-FR"/>
        </w:rPr>
        <w:noBreakHyphen/>
      </w:r>
      <w:r w:rsidRPr="001060EE">
        <w:rPr>
          <w:lang w:val="fr-FR"/>
        </w:rPr>
        <w:t>20</w:t>
      </w:r>
      <w:r w:rsidR="0062336F" w:rsidRPr="001060EE">
        <w:rPr>
          <w:lang w:val="fr-FR"/>
        </w:rPr>
        <w:t>15</w:t>
      </w:r>
      <w:r w:rsidR="0062336F" w:rsidRPr="001060EE">
        <w:rPr>
          <w:rStyle w:val="FootnoteReference"/>
          <w:szCs w:val="22"/>
          <w:lang w:val="fr-FR"/>
        </w:rPr>
        <w:footnoteReference w:id="3"/>
      </w:r>
      <w:r w:rsidR="0062336F" w:rsidRPr="001060EE">
        <w:rPr>
          <w:lang w:val="fr-FR"/>
        </w:rPr>
        <w:t xml:space="preserve"> </w:t>
      </w:r>
      <w:r w:rsidRPr="001060EE">
        <w:rPr>
          <w:lang w:val="fr-FR"/>
        </w:rPr>
        <w:t>et à préserver la crédibilité et la pertinence du processus de l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IGC</w:t>
      </w:r>
      <w:r w:rsidR="0062336F" w:rsidRPr="001060EE">
        <w:rPr>
          <w:lang w:val="fr-FR"/>
        </w:rPr>
        <w:t xml:space="preserve">, </w:t>
      </w:r>
      <w:r w:rsidRPr="001060EE">
        <w:rPr>
          <w:lang w:val="fr-FR"/>
        </w:rPr>
        <w:t>les délégations de l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Australie</w:t>
      </w:r>
      <w:r w:rsidR="0062336F" w:rsidRPr="001060EE">
        <w:rPr>
          <w:lang w:val="fr-FR"/>
        </w:rPr>
        <w:t xml:space="preserve">, </w:t>
      </w:r>
      <w:r w:rsidRPr="001060EE">
        <w:rPr>
          <w:lang w:val="fr-FR"/>
        </w:rPr>
        <w:t xml:space="preserve">de la </w:t>
      </w:r>
      <w:r w:rsidR="0062336F" w:rsidRPr="001060EE">
        <w:rPr>
          <w:lang w:val="fr-FR"/>
        </w:rPr>
        <w:t>Finland</w:t>
      </w:r>
      <w:r w:rsidRPr="001060EE">
        <w:rPr>
          <w:lang w:val="fr-FR"/>
        </w:rPr>
        <w:t>e</w:t>
      </w:r>
      <w:r w:rsidR="0062336F" w:rsidRPr="001060EE">
        <w:rPr>
          <w:lang w:val="fr-FR"/>
        </w:rPr>
        <w:t xml:space="preserve">, </w:t>
      </w:r>
      <w:r w:rsidRPr="001060EE">
        <w:rPr>
          <w:lang w:val="fr-FR"/>
        </w:rPr>
        <w:t>de la Nouvelle</w:t>
      </w:r>
      <w:r w:rsidR="001060EE" w:rsidRPr="001060EE">
        <w:rPr>
          <w:lang w:val="fr-FR"/>
        </w:rPr>
        <w:noBreakHyphen/>
      </w:r>
      <w:r w:rsidRPr="001060EE">
        <w:rPr>
          <w:lang w:val="fr-FR"/>
        </w:rPr>
        <w:t>Zélande, du Saint</w:t>
      </w:r>
      <w:r w:rsidR="001060EE" w:rsidRPr="001060EE">
        <w:rPr>
          <w:lang w:val="fr-FR"/>
        </w:rPr>
        <w:noBreakHyphen/>
      </w:r>
      <w:r w:rsidRPr="001060EE">
        <w:rPr>
          <w:lang w:val="fr-FR"/>
        </w:rPr>
        <w:t xml:space="preserve">Siège et de la Suisse </w:t>
      </w:r>
      <w:r w:rsidR="002E0B13" w:rsidRPr="001060EE">
        <w:rPr>
          <w:lang w:val="fr-FR"/>
        </w:rPr>
        <w:t>proposent, pour examen par l</w:t>
      </w:r>
      <w:r w:rsidR="00AF7028" w:rsidRPr="001060EE">
        <w:rPr>
          <w:lang w:val="fr-FR"/>
        </w:rPr>
        <w:t>’</w:t>
      </w:r>
      <w:r w:rsidR="002E0B13" w:rsidRPr="001060EE">
        <w:rPr>
          <w:lang w:val="fr-FR"/>
        </w:rPr>
        <w:t>IGC, de recommander aux assemblées des États membres de l</w:t>
      </w:r>
      <w:r w:rsidR="00AF7028" w:rsidRPr="001060EE">
        <w:rPr>
          <w:lang w:val="fr-FR"/>
        </w:rPr>
        <w:t>’</w:t>
      </w:r>
      <w:r w:rsidR="002E0B13" w:rsidRPr="001060EE">
        <w:rPr>
          <w:lang w:val="fr-FR"/>
        </w:rPr>
        <w:t>OMPI, en septembre </w:t>
      </w:r>
      <w:r w:rsidR="0062336F" w:rsidRPr="001060EE">
        <w:rPr>
          <w:lang w:val="fr-FR"/>
        </w:rPr>
        <w:t>2014</w:t>
      </w:r>
      <w:r w:rsidR="002E0B13" w:rsidRPr="001060EE">
        <w:rPr>
          <w:lang w:val="fr-FR"/>
        </w:rPr>
        <w:t>, que le programme et budget approuvé pour l</w:t>
      </w:r>
      <w:r w:rsidR="00AF7028" w:rsidRPr="001060EE">
        <w:rPr>
          <w:lang w:val="fr-FR"/>
        </w:rPr>
        <w:t>’</w:t>
      </w:r>
      <w:r w:rsidR="002E0B13" w:rsidRPr="001060EE">
        <w:rPr>
          <w:lang w:val="fr-FR"/>
        </w:rPr>
        <w:t>exercice biennal 2014</w:t>
      </w:r>
      <w:r w:rsidR="001060EE" w:rsidRPr="001060EE">
        <w:rPr>
          <w:lang w:val="fr-FR"/>
        </w:rPr>
        <w:noBreakHyphen/>
      </w:r>
      <w:r w:rsidR="002E0B13" w:rsidRPr="001060EE">
        <w:rPr>
          <w:lang w:val="fr-FR"/>
        </w:rPr>
        <w:t>2015</w:t>
      </w:r>
      <w:r w:rsidR="0062336F" w:rsidRPr="001060EE">
        <w:rPr>
          <w:lang w:val="fr-FR"/>
        </w:rPr>
        <w:t xml:space="preserve">, </w:t>
      </w:r>
      <w:r w:rsidR="00C74C73" w:rsidRPr="001060EE">
        <w:rPr>
          <w:lang w:val="fr-FR"/>
        </w:rPr>
        <w:t>tel que régi par le Règlement financier et le règlement d</w:t>
      </w:r>
      <w:r w:rsidR="00AF7028" w:rsidRPr="001060EE">
        <w:rPr>
          <w:lang w:val="fr-FR"/>
        </w:rPr>
        <w:t>’</w:t>
      </w:r>
      <w:r w:rsidR="00C74C73" w:rsidRPr="001060EE">
        <w:rPr>
          <w:lang w:val="fr-FR"/>
        </w:rPr>
        <w:t>exécution du Règlement financier de l</w:t>
      </w:r>
      <w:r w:rsidR="00AF7028" w:rsidRPr="001060EE">
        <w:rPr>
          <w:lang w:val="fr-FR"/>
        </w:rPr>
        <w:t>’</w:t>
      </w:r>
      <w:r w:rsidR="00C74C73" w:rsidRPr="001060EE">
        <w:rPr>
          <w:lang w:val="fr-FR"/>
        </w:rPr>
        <w:t>OMPI, tienne compte</w:t>
      </w:r>
      <w:r w:rsidR="0062336F" w:rsidRPr="001060EE">
        <w:rPr>
          <w:lang w:val="fr-FR"/>
        </w:rPr>
        <w:t xml:space="preserve">, </w:t>
      </w:r>
      <w:r w:rsidR="00C74C73" w:rsidRPr="001060EE">
        <w:rPr>
          <w:lang w:val="fr-FR"/>
        </w:rPr>
        <w:t>dans le cadre des ressources existantes, des dépenses relatives à la</w:t>
      </w:r>
      <w:r w:rsidR="0062336F" w:rsidRPr="001060EE">
        <w:rPr>
          <w:lang w:val="fr-FR"/>
        </w:rPr>
        <w:t xml:space="preserve"> participation </w:t>
      </w:r>
      <w:r w:rsidR="00C74C73" w:rsidRPr="001060EE">
        <w:rPr>
          <w:lang w:val="fr-FR"/>
        </w:rPr>
        <w:t>de représentants des communautés autochtones et locales</w:t>
      </w:r>
      <w:r w:rsidR="001060EE" w:rsidRPr="001060EE">
        <w:rPr>
          <w:lang w:val="fr-FR"/>
        </w:rPr>
        <w:t xml:space="preserve"> accréditées</w:t>
      </w:r>
      <w:r w:rsidR="00C74C73" w:rsidRPr="001060EE">
        <w:rPr>
          <w:lang w:val="fr-FR"/>
        </w:rPr>
        <w:t xml:space="preserve"> aux travaux de l</w:t>
      </w:r>
      <w:r w:rsidR="00AF7028" w:rsidRPr="001060EE">
        <w:rPr>
          <w:lang w:val="fr-FR"/>
        </w:rPr>
        <w:t>’</w:t>
      </w:r>
      <w:r w:rsidR="0062336F" w:rsidRPr="001060EE">
        <w:rPr>
          <w:lang w:val="fr-FR"/>
        </w:rPr>
        <w:t xml:space="preserve">IGC </w:t>
      </w:r>
      <w:r w:rsidR="00C74C73" w:rsidRPr="001060EE">
        <w:rPr>
          <w:lang w:val="fr-FR"/>
        </w:rPr>
        <w:lastRenderedPageBreak/>
        <w:t>en</w:t>
      </w:r>
      <w:r w:rsidR="003D4AF4" w:rsidRPr="001060EE">
        <w:rPr>
          <w:lang w:val="fr-FR"/>
        </w:rPr>
        <w:t> </w:t>
      </w:r>
      <w:r w:rsidR="0062336F" w:rsidRPr="001060EE">
        <w:rPr>
          <w:lang w:val="fr-FR"/>
        </w:rPr>
        <w:t xml:space="preserve">2015 </w:t>
      </w:r>
      <w:r w:rsidR="00C74C73" w:rsidRPr="001060EE">
        <w:rPr>
          <w:lang w:val="fr-FR"/>
        </w:rPr>
        <w:t>à concurrence d</w:t>
      </w:r>
      <w:r w:rsidR="00AF7028" w:rsidRPr="001060EE">
        <w:rPr>
          <w:lang w:val="fr-FR"/>
        </w:rPr>
        <w:t>’</w:t>
      </w:r>
      <w:r w:rsidR="00C74C73" w:rsidRPr="001060EE">
        <w:rPr>
          <w:lang w:val="fr-FR"/>
        </w:rPr>
        <w:t>un montant de 60 </w:t>
      </w:r>
      <w:r w:rsidR="0062336F" w:rsidRPr="001060EE">
        <w:rPr>
          <w:lang w:val="fr-FR"/>
        </w:rPr>
        <w:t>000</w:t>
      </w:r>
      <w:r w:rsidR="003D4AF4" w:rsidRPr="001060EE">
        <w:rPr>
          <w:lang w:val="fr-FR"/>
        </w:rPr>
        <w:t> </w:t>
      </w:r>
      <w:r w:rsidR="0062336F" w:rsidRPr="001060EE">
        <w:rPr>
          <w:lang w:val="fr-FR"/>
        </w:rPr>
        <w:t>francs</w:t>
      </w:r>
      <w:r w:rsidR="00C74C73" w:rsidRPr="001060EE">
        <w:rPr>
          <w:lang w:val="fr-FR"/>
        </w:rPr>
        <w:t xml:space="preserve"> suisses</w:t>
      </w:r>
      <w:r w:rsidR="0062336F" w:rsidRPr="001060EE">
        <w:rPr>
          <w:lang w:val="fr-FR"/>
        </w:rPr>
        <w:t xml:space="preserve">. </w:t>
      </w:r>
      <w:r w:rsidR="00B34316" w:rsidRPr="001060EE">
        <w:rPr>
          <w:lang w:val="fr-FR"/>
        </w:rPr>
        <w:t xml:space="preserve"> </w:t>
      </w:r>
      <w:r w:rsidR="00C74C73" w:rsidRPr="001060EE">
        <w:rPr>
          <w:lang w:val="fr-FR"/>
        </w:rPr>
        <w:t>Ce montant serait imputé au programme </w:t>
      </w:r>
      <w:r w:rsidR="0062336F" w:rsidRPr="001060EE">
        <w:rPr>
          <w:lang w:val="fr-FR"/>
        </w:rPr>
        <w:t xml:space="preserve">4, </w:t>
      </w:r>
      <w:r w:rsidR="00C74C73" w:rsidRPr="001060EE">
        <w:rPr>
          <w:lang w:val="fr-FR"/>
        </w:rPr>
        <w:t>sans augmentation du budget existant et, si possible, financé au moyen des économies ou gains d</w:t>
      </w:r>
      <w:r w:rsidR="00AF7028" w:rsidRPr="001060EE">
        <w:rPr>
          <w:lang w:val="fr-FR"/>
        </w:rPr>
        <w:t>’</w:t>
      </w:r>
      <w:r w:rsidR="00C74C73" w:rsidRPr="001060EE">
        <w:rPr>
          <w:lang w:val="fr-FR"/>
        </w:rPr>
        <w:t xml:space="preserve">efficacité </w:t>
      </w:r>
      <w:r w:rsidR="001060EE" w:rsidRPr="001060EE">
        <w:rPr>
          <w:lang w:val="fr-FR"/>
        </w:rPr>
        <w:t>prévus</w:t>
      </w:r>
      <w:r w:rsidR="0062336F" w:rsidRPr="001060EE">
        <w:rPr>
          <w:lang w:val="fr-FR"/>
        </w:rPr>
        <w:t>.</w:t>
      </w:r>
    </w:p>
    <w:p w:rsidR="00FA4B6F" w:rsidRPr="001060EE" w:rsidRDefault="005F12D3" w:rsidP="001060EE">
      <w:pPr>
        <w:pStyle w:val="ONUMFS"/>
        <w:rPr>
          <w:lang w:val="fr-FR"/>
        </w:rPr>
      </w:pPr>
      <w:r w:rsidRPr="001060EE">
        <w:rPr>
          <w:lang w:val="fr-FR"/>
        </w:rPr>
        <w:t>Compte tenu de la</w:t>
      </w:r>
      <w:r w:rsidR="0062336F" w:rsidRPr="001060EE">
        <w:rPr>
          <w:lang w:val="fr-FR"/>
        </w:rPr>
        <w:t xml:space="preserve"> nature </w:t>
      </w:r>
      <w:r w:rsidRPr="001060EE">
        <w:rPr>
          <w:lang w:val="fr-FR"/>
        </w:rPr>
        <w:t>subsidiaire du financement à prélever sur le budget ordinaire de l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 xml:space="preserve">OMPI, le montant susmentionné sera utilisé par le Directeur général pour financer la </w:t>
      </w:r>
      <w:r w:rsidR="0062336F" w:rsidRPr="001060EE">
        <w:rPr>
          <w:lang w:val="fr-FR"/>
        </w:rPr>
        <w:t xml:space="preserve">participation </w:t>
      </w:r>
      <w:r w:rsidRPr="001060EE">
        <w:rPr>
          <w:lang w:val="fr-FR"/>
        </w:rPr>
        <w:t>de représentants des communautés autochtones et locales accréditées, aux conditions suivantes </w:t>
      </w:r>
      <w:r w:rsidR="0062336F" w:rsidRPr="001060EE">
        <w:rPr>
          <w:lang w:val="fr-FR"/>
        </w:rPr>
        <w:t>:</w:t>
      </w:r>
    </w:p>
    <w:p w:rsidR="00AF7028" w:rsidRPr="001060EE" w:rsidRDefault="00B34316" w:rsidP="00B34316">
      <w:pPr>
        <w:pStyle w:val="Default"/>
        <w:tabs>
          <w:tab w:val="left" w:pos="1134"/>
        </w:tabs>
        <w:ind w:left="567"/>
        <w:rPr>
          <w:color w:val="auto"/>
          <w:sz w:val="22"/>
          <w:szCs w:val="22"/>
          <w:lang w:val="fr-FR"/>
        </w:rPr>
      </w:pPr>
      <w:r w:rsidRPr="001060EE">
        <w:rPr>
          <w:color w:val="auto"/>
          <w:sz w:val="22"/>
          <w:szCs w:val="22"/>
          <w:lang w:val="fr-FR"/>
        </w:rPr>
        <w:t>a)</w:t>
      </w:r>
      <w:r w:rsidR="005F12D3" w:rsidRPr="001060EE">
        <w:rPr>
          <w:color w:val="auto"/>
          <w:sz w:val="22"/>
          <w:szCs w:val="22"/>
          <w:lang w:val="fr-FR"/>
        </w:rPr>
        <w:tab/>
        <w:t>uniquement dans le</w:t>
      </w:r>
      <w:r w:rsidR="00E41537" w:rsidRPr="001060EE">
        <w:rPr>
          <w:color w:val="auto"/>
          <w:sz w:val="22"/>
          <w:szCs w:val="22"/>
          <w:lang w:val="fr-FR"/>
        </w:rPr>
        <w:t xml:space="preserve">s cas où les ressources du Fonds ne permettent pas de financer la </w:t>
      </w:r>
      <w:r w:rsidR="0062336F" w:rsidRPr="001060EE">
        <w:rPr>
          <w:color w:val="auto"/>
          <w:sz w:val="22"/>
          <w:szCs w:val="22"/>
          <w:lang w:val="fr-FR"/>
        </w:rPr>
        <w:t xml:space="preserve">participation </w:t>
      </w:r>
      <w:r w:rsidR="00E41537" w:rsidRPr="001060EE">
        <w:rPr>
          <w:color w:val="auto"/>
          <w:sz w:val="22"/>
          <w:szCs w:val="22"/>
          <w:lang w:val="fr-FR"/>
        </w:rPr>
        <w:t>d</w:t>
      </w:r>
      <w:r w:rsidR="00AF7028" w:rsidRPr="001060EE">
        <w:rPr>
          <w:color w:val="auto"/>
          <w:sz w:val="22"/>
          <w:szCs w:val="22"/>
          <w:lang w:val="fr-FR"/>
        </w:rPr>
        <w:t>’</w:t>
      </w:r>
      <w:r w:rsidR="00E41537" w:rsidRPr="001060EE">
        <w:rPr>
          <w:color w:val="auto"/>
          <w:sz w:val="22"/>
          <w:szCs w:val="22"/>
          <w:lang w:val="fr-FR"/>
        </w:rPr>
        <w:t>un candidat recommandé à une session de l</w:t>
      </w:r>
      <w:r w:rsidR="00AF7028" w:rsidRPr="001060EE">
        <w:rPr>
          <w:color w:val="auto"/>
          <w:sz w:val="22"/>
          <w:szCs w:val="22"/>
          <w:lang w:val="fr-FR"/>
        </w:rPr>
        <w:t>’</w:t>
      </w:r>
      <w:r w:rsidR="0062336F" w:rsidRPr="001060EE">
        <w:rPr>
          <w:color w:val="auto"/>
          <w:sz w:val="22"/>
          <w:szCs w:val="22"/>
          <w:lang w:val="fr-FR"/>
        </w:rPr>
        <w:t xml:space="preserve">IGC </w:t>
      </w:r>
      <w:r w:rsidR="00E41537" w:rsidRPr="001060EE">
        <w:rPr>
          <w:color w:val="auto"/>
          <w:sz w:val="22"/>
          <w:szCs w:val="22"/>
          <w:lang w:val="fr-FR"/>
        </w:rPr>
        <w:t xml:space="preserve">au moins </w:t>
      </w:r>
      <w:r w:rsidR="0062336F" w:rsidRPr="001060EE">
        <w:rPr>
          <w:color w:val="auto"/>
          <w:sz w:val="22"/>
          <w:szCs w:val="22"/>
          <w:lang w:val="fr-FR"/>
        </w:rPr>
        <w:t xml:space="preserve">30 </w:t>
      </w:r>
      <w:r w:rsidR="00E41537" w:rsidRPr="001060EE">
        <w:rPr>
          <w:color w:val="auto"/>
          <w:sz w:val="22"/>
          <w:szCs w:val="22"/>
          <w:lang w:val="fr-FR"/>
        </w:rPr>
        <w:t>jours avant ladite session</w:t>
      </w:r>
      <w:r w:rsidR="008D071D" w:rsidRPr="001060EE">
        <w:rPr>
          <w:color w:val="auto"/>
          <w:sz w:val="22"/>
          <w:szCs w:val="22"/>
          <w:lang w:val="fr-FR"/>
        </w:rPr>
        <w:t>;</w:t>
      </w:r>
      <w:r w:rsidR="00E41537" w:rsidRPr="001060EE">
        <w:rPr>
          <w:color w:val="auto"/>
          <w:sz w:val="22"/>
          <w:szCs w:val="22"/>
          <w:lang w:val="fr-FR"/>
        </w:rPr>
        <w:t xml:space="preserve">  et</w:t>
      </w:r>
    </w:p>
    <w:p w:rsidR="00FA4B6F" w:rsidRPr="001060EE" w:rsidRDefault="00FA4B6F" w:rsidP="00B34316">
      <w:pPr>
        <w:pStyle w:val="Default"/>
        <w:tabs>
          <w:tab w:val="left" w:pos="1134"/>
        </w:tabs>
        <w:ind w:left="567"/>
        <w:rPr>
          <w:color w:val="auto"/>
          <w:sz w:val="22"/>
          <w:szCs w:val="22"/>
          <w:lang w:val="fr-FR"/>
        </w:rPr>
      </w:pPr>
    </w:p>
    <w:p w:rsidR="00FA4B6F" w:rsidRPr="001060EE" w:rsidRDefault="0062336F" w:rsidP="00B34316">
      <w:pPr>
        <w:pStyle w:val="Default"/>
        <w:tabs>
          <w:tab w:val="left" w:pos="1134"/>
        </w:tabs>
        <w:ind w:left="567"/>
        <w:rPr>
          <w:color w:val="auto"/>
          <w:sz w:val="22"/>
          <w:szCs w:val="22"/>
          <w:lang w:val="fr-FR"/>
        </w:rPr>
      </w:pPr>
      <w:r w:rsidRPr="001060EE">
        <w:rPr>
          <w:color w:val="auto"/>
          <w:sz w:val="22"/>
          <w:szCs w:val="22"/>
          <w:lang w:val="fr-FR"/>
        </w:rPr>
        <w:t>b)</w:t>
      </w:r>
      <w:r w:rsidRPr="001060EE">
        <w:rPr>
          <w:color w:val="auto"/>
          <w:sz w:val="22"/>
          <w:szCs w:val="22"/>
          <w:lang w:val="fr-FR"/>
        </w:rPr>
        <w:tab/>
      </w:r>
      <w:r w:rsidR="00E41537" w:rsidRPr="001060EE">
        <w:rPr>
          <w:color w:val="auto"/>
          <w:sz w:val="22"/>
          <w:szCs w:val="22"/>
          <w:lang w:val="fr-FR"/>
        </w:rPr>
        <w:t>uniquement pour donner suite à la recommandation contraignante que le Conseil consultatif adoptera à cet égard, conformément au règlement du Fonds, en vue de cette session de l</w:t>
      </w:r>
      <w:r w:rsidR="00AF7028" w:rsidRPr="001060EE">
        <w:rPr>
          <w:color w:val="auto"/>
          <w:sz w:val="22"/>
          <w:szCs w:val="22"/>
          <w:lang w:val="fr-FR"/>
        </w:rPr>
        <w:t>’</w:t>
      </w:r>
      <w:r w:rsidRPr="001060EE">
        <w:rPr>
          <w:color w:val="auto"/>
          <w:sz w:val="22"/>
          <w:szCs w:val="22"/>
          <w:lang w:val="fr-FR"/>
        </w:rPr>
        <w:t>IGC.</w:t>
      </w:r>
    </w:p>
    <w:p w:rsidR="00FA4B6F" w:rsidRPr="001060EE" w:rsidRDefault="00FA4B6F" w:rsidP="00B34316">
      <w:pPr>
        <w:pStyle w:val="Default"/>
        <w:tabs>
          <w:tab w:val="left" w:pos="284"/>
        </w:tabs>
        <w:rPr>
          <w:color w:val="auto"/>
          <w:sz w:val="22"/>
          <w:szCs w:val="22"/>
          <w:lang w:val="fr-FR"/>
        </w:rPr>
      </w:pPr>
    </w:p>
    <w:p w:rsidR="00AF7028" w:rsidRPr="001060EE" w:rsidRDefault="0062336F" w:rsidP="001060EE">
      <w:pPr>
        <w:pStyle w:val="ONUMFS"/>
        <w:rPr>
          <w:lang w:val="fr-FR"/>
        </w:rPr>
      </w:pPr>
      <w:r w:rsidRPr="001060EE">
        <w:rPr>
          <w:lang w:val="fr-FR"/>
        </w:rPr>
        <w:t>I</w:t>
      </w:r>
      <w:r w:rsidR="009F7384" w:rsidRPr="001060EE">
        <w:rPr>
          <w:lang w:val="fr-FR"/>
        </w:rPr>
        <w:t xml:space="preserve">l est entendu que la présente proposition ne créera pas de précédent étant donné que les dépenses imputées aux ressources existantes </w:t>
      </w:r>
      <w:r w:rsidR="001060EE" w:rsidRPr="001060EE">
        <w:rPr>
          <w:lang w:val="fr-FR"/>
        </w:rPr>
        <w:t>inscrites a</w:t>
      </w:r>
      <w:r w:rsidR="009F7384" w:rsidRPr="001060EE">
        <w:rPr>
          <w:lang w:val="fr-FR"/>
        </w:rPr>
        <w:t>u budget ordinaire seront utilisées exclusivement en conformité avec les recommandations contraignantes du Conseil consultatif du Fonds</w:t>
      </w:r>
      <w:r w:rsidRPr="001060EE">
        <w:rPr>
          <w:lang w:val="fr-FR"/>
        </w:rPr>
        <w:t xml:space="preserve">, </w:t>
      </w:r>
      <w:r w:rsidR="009F7384" w:rsidRPr="001060EE">
        <w:rPr>
          <w:lang w:val="fr-FR"/>
        </w:rPr>
        <w:t>qui a été établi compte tenu de la nature particulière de l</w:t>
      </w:r>
      <w:r w:rsidR="00AF7028" w:rsidRPr="001060EE">
        <w:rPr>
          <w:lang w:val="fr-FR"/>
        </w:rPr>
        <w:t>’</w:t>
      </w:r>
      <w:r w:rsidR="009F7384" w:rsidRPr="001060EE">
        <w:rPr>
          <w:lang w:val="fr-FR"/>
        </w:rPr>
        <w:t xml:space="preserve">IGC et de son mandat ainsi que de la </w:t>
      </w:r>
      <w:r w:rsidRPr="001060EE">
        <w:rPr>
          <w:lang w:val="fr-FR"/>
        </w:rPr>
        <w:t xml:space="preserve">vocation </w:t>
      </w:r>
      <w:r w:rsidR="009F7384" w:rsidRPr="001060EE">
        <w:rPr>
          <w:lang w:val="fr-FR"/>
        </w:rPr>
        <w:t>particulière du Fonds et de son règlement</w:t>
      </w:r>
      <w:r w:rsidRPr="001060EE">
        <w:rPr>
          <w:lang w:val="fr-FR"/>
        </w:rPr>
        <w:t>.</w:t>
      </w:r>
      <w:r w:rsidR="00B34316" w:rsidRPr="001060EE">
        <w:rPr>
          <w:lang w:val="fr-FR"/>
        </w:rPr>
        <w:t xml:space="preserve"> </w:t>
      </w:r>
      <w:r w:rsidRPr="001060EE">
        <w:rPr>
          <w:lang w:val="fr-FR"/>
        </w:rPr>
        <w:t xml:space="preserve"> </w:t>
      </w:r>
      <w:r w:rsidR="009F7384" w:rsidRPr="001060EE">
        <w:rPr>
          <w:lang w:val="fr-FR"/>
        </w:rPr>
        <w:t>Pour être sélectionnés en vue de bénéficier d</w:t>
      </w:r>
      <w:r w:rsidR="00AF7028" w:rsidRPr="001060EE">
        <w:rPr>
          <w:lang w:val="fr-FR"/>
        </w:rPr>
        <w:t>’</w:t>
      </w:r>
      <w:r w:rsidR="009F7384" w:rsidRPr="001060EE">
        <w:rPr>
          <w:lang w:val="fr-FR"/>
        </w:rPr>
        <w:t xml:space="preserve">un financement, les représentants des communautés autochtones et locales accréditées doivent </w:t>
      </w:r>
      <w:r w:rsidR="007F66D1" w:rsidRPr="001060EE">
        <w:rPr>
          <w:lang w:val="fr-FR"/>
        </w:rPr>
        <w:t>satisfaire à</w:t>
      </w:r>
      <w:r w:rsidR="009F7384" w:rsidRPr="001060EE">
        <w:rPr>
          <w:lang w:val="fr-FR"/>
        </w:rPr>
        <w:t xml:space="preserve"> une série de critère</w:t>
      </w:r>
      <w:r w:rsidR="007F66D1" w:rsidRPr="001060EE">
        <w:rPr>
          <w:lang w:val="fr-FR"/>
        </w:rPr>
        <w:t>s</w:t>
      </w:r>
      <w:r w:rsidRPr="001060EE">
        <w:rPr>
          <w:rStyle w:val="FootnoteReference"/>
          <w:szCs w:val="22"/>
          <w:lang w:val="fr-FR"/>
        </w:rPr>
        <w:footnoteReference w:id="4"/>
      </w:r>
      <w:r w:rsidR="007F66D1" w:rsidRPr="001060EE">
        <w:rPr>
          <w:lang w:val="fr-FR"/>
        </w:rPr>
        <w:t xml:space="preserve"> appliqués par le Conseil consultatif conformément au règlement du Fonds</w:t>
      </w:r>
      <w:r w:rsidRPr="001060EE">
        <w:rPr>
          <w:lang w:val="fr-FR"/>
        </w:rPr>
        <w:t>.</w:t>
      </w:r>
    </w:p>
    <w:p w:rsidR="00AF7028" w:rsidRPr="001060EE" w:rsidRDefault="007F66D1" w:rsidP="001060EE">
      <w:pPr>
        <w:pStyle w:val="ONUMFS"/>
        <w:rPr>
          <w:lang w:val="fr-FR"/>
        </w:rPr>
      </w:pPr>
      <w:r w:rsidRPr="001060EE">
        <w:rPr>
          <w:lang w:val="fr-FR"/>
        </w:rPr>
        <w:t>Les crédits qu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il est proposé d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allouer au Fonds serai</w:t>
      </w:r>
      <w:r w:rsidR="001060EE" w:rsidRPr="001060EE">
        <w:rPr>
          <w:lang w:val="fr-FR"/>
        </w:rPr>
        <w:t>en</w:t>
      </w:r>
      <w:r w:rsidRPr="001060EE">
        <w:rPr>
          <w:lang w:val="fr-FR"/>
        </w:rPr>
        <w:t>t soumis aux obligations en matière de présentation de rapports applicables au programme et budget afin d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assurer la transparence</w:t>
      </w:r>
      <w:r w:rsidR="0062336F" w:rsidRPr="001060EE">
        <w:rPr>
          <w:lang w:val="fr-FR"/>
        </w:rPr>
        <w:t xml:space="preserve">, </w:t>
      </w:r>
      <w:r w:rsidRPr="001060EE">
        <w:rPr>
          <w:lang w:val="fr-FR"/>
        </w:rPr>
        <w:t>y</w:t>
      </w:r>
      <w:r w:rsidR="003D4AF4" w:rsidRPr="001060EE">
        <w:rPr>
          <w:lang w:val="fr-FR"/>
        </w:rPr>
        <w:t> </w:t>
      </w:r>
      <w:r w:rsidRPr="001060EE">
        <w:rPr>
          <w:lang w:val="fr-FR"/>
        </w:rPr>
        <w:t xml:space="preserve">compris </w:t>
      </w:r>
      <w:r w:rsidR="00EB6366">
        <w:rPr>
          <w:lang w:val="fr-FR"/>
        </w:rPr>
        <w:t>l</w:t>
      </w:r>
      <w:r w:rsidRPr="001060EE">
        <w:rPr>
          <w:lang w:val="fr-FR"/>
        </w:rPr>
        <w:t xml:space="preserve">eur </w:t>
      </w:r>
      <w:r w:rsidR="0062336F" w:rsidRPr="001060EE">
        <w:rPr>
          <w:lang w:val="fr-FR"/>
        </w:rPr>
        <w:t xml:space="preserve">inclusion </w:t>
      </w:r>
      <w:r w:rsidRPr="001060EE">
        <w:rPr>
          <w:lang w:val="fr-FR"/>
        </w:rPr>
        <w:t>expresse dans le rapport sur l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exécution du programme, conformément au Règlement financier et à son règlement d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exécution</w:t>
      </w:r>
      <w:r w:rsidR="0062336F" w:rsidRPr="001060EE">
        <w:rPr>
          <w:lang w:val="fr-FR"/>
        </w:rPr>
        <w:t xml:space="preserve">. </w:t>
      </w:r>
      <w:r w:rsidR="00B34316" w:rsidRPr="001060EE">
        <w:rPr>
          <w:lang w:val="fr-FR"/>
        </w:rPr>
        <w:t xml:space="preserve"> </w:t>
      </w:r>
      <w:r w:rsidR="001060EE">
        <w:rPr>
          <w:lang w:val="fr-FR"/>
        </w:rPr>
        <w:t>En </w:t>
      </w:r>
      <w:r w:rsidRPr="001060EE">
        <w:rPr>
          <w:lang w:val="fr-FR"/>
        </w:rPr>
        <w:t>outre, le Directeur général ferait état de toute utilisation d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un tel financement subsidiaire au titre du budget ordinaire dans les notes d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information qu</w:t>
      </w:r>
      <w:r w:rsidR="00AF7028" w:rsidRPr="001060EE">
        <w:rPr>
          <w:lang w:val="fr-FR"/>
        </w:rPr>
        <w:t>’</w:t>
      </w:r>
      <w:r w:rsidRPr="001060EE">
        <w:rPr>
          <w:lang w:val="fr-FR"/>
        </w:rPr>
        <w:t>il doit soumettre périodiquement à l</w:t>
      </w:r>
      <w:r w:rsidR="00AF7028" w:rsidRPr="001060EE">
        <w:rPr>
          <w:lang w:val="fr-FR"/>
        </w:rPr>
        <w:t>’</w:t>
      </w:r>
      <w:r w:rsidR="0062336F" w:rsidRPr="001060EE">
        <w:rPr>
          <w:lang w:val="fr-FR"/>
        </w:rPr>
        <w:t xml:space="preserve">IGC </w:t>
      </w:r>
      <w:r w:rsidRPr="001060EE">
        <w:rPr>
          <w:lang w:val="fr-FR"/>
        </w:rPr>
        <w:t>en vertu du règlement du Fonds et conformément aux recomma</w:t>
      </w:r>
      <w:r w:rsidR="0062336F" w:rsidRPr="001060EE">
        <w:rPr>
          <w:lang w:val="fr-FR"/>
        </w:rPr>
        <w:t xml:space="preserve">ndations </w:t>
      </w:r>
      <w:r w:rsidRPr="001060EE">
        <w:rPr>
          <w:lang w:val="fr-FR"/>
        </w:rPr>
        <w:t>contraignantes formulées par le Conseil consultatif du Fonds</w:t>
      </w:r>
      <w:r w:rsidR="0062336F" w:rsidRPr="001060EE">
        <w:rPr>
          <w:lang w:val="fr-FR"/>
        </w:rPr>
        <w:t>.</w:t>
      </w:r>
    </w:p>
    <w:p w:rsidR="00FA4B6F" w:rsidRPr="001060EE" w:rsidRDefault="007F66D1" w:rsidP="001060EE">
      <w:pPr>
        <w:pStyle w:val="ONUMFS"/>
        <w:rPr>
          <w:lang w:val="fr-FR"/>
        </w:rPr>
      </w:pPr>
      <w:r w:rsidRPr="001060EE">
        <w:rPr>
          <w:lang w:val="fr-FR"/>
        </w:rPr>
        <w:t>Le</w:t>
      </w:r>
      <w:r w:rsidR="0062336F" w:rsidRPr="001060EE">
        <w:rPr>
          <w:lang w:val="fr-FR"/>
        </w:rPr>
        <w:t xml:space="preserve"> paragraph</w:t>
      </w:r>
      <w:r w:rsidRPr="001060EE">
        <w:rPr>
          <w:lang w:val="fr-FR"/>
        </w:rPr>
        <w:t>e de décision ci</w:t>
      </w:r>
      <w:r w:rsidR="001060EE" w:rsidRPr="001060EE">
        <w:rPr>
          <w:lang w:val="fr-FR"/>
        </w:rPr>
        <w:noBreakHyphen/>
      </w:r>
      <w:r w:rsidRPr="001060EE">
        <w:rPr>
          <w:lang w:val="fr-FR"/>
        </w:rPr>
        <w:t>après est proposé</w:t>
      </w:r>
      <w:r w:rsidR="0062336F" w:rsidRPr="001060EE">
        <w:rPr>
          <w:lang w:val="fr-FR"/>
        </w:rPr>
        <w:t>.</w:t>
      </w:r>
    </w:p>
    <w:p w:rsidR="00FA4B6F" w:rsidRDefault="00471978" w:rsidP="0065742C">
      <w:pPr>
        <w:pStyle w:val="ONUMFS"/>
        <w:spacing w:after="0"/>
        <w:ind w:left="5534"/>
        <w:rPr>
          <w:i/>
          <w:lang w:val="fr-FR"/>
        </w:rPr>
      </w:pPr>
      <w:r w:rsidRPr="001060EE">
        <w:rPr>
          <w:i/>
          <w:lang w:val="fr-FR"/>
        </w:rPr>
        <w:t>Le Comité du programme et budget a examiné la proposition figurant aux paragraphes </w:t>
      </w:r>
      <w:r w:rsidR="0062336F" w:rsidRPr="001060EE">
        <w:rPr>
          <w:i/>
          <w:lang w:val="fr-FR"/>
        </w:rPr>
        <w:t xml:space="preserve">4 </w:t>
      </w:r>
      <w:r w:rsidRPr="001060EE">
        <w:rPr>
          <w:i/>
          <w:lang w:val="fr-FR"/>
        </w:rPr>
        <w:t xml:space="preserve">et </w:t>
      </w:r>
      <w:r w:rsidR="0062336F" w:rsidRPr="001060EE">
        <w:rPr>
          <w:i/>
          <w:lang w:val="fr-FR"/>
        </w:rPr>
        <w:t xml:space="preserve">5 </w:t>
      </w:r>
      <w:r w:rsidRPr="001060EE">
        <w:rPr>
          <w:i/>
          <w:lang w:val="fr-FR"/>
        </w:rPr>
        <w:t>et a recommandé son approbation par les assemblées des États membres de l</w:t>
      </w:r>
      <w:r w:rsidR="00AF7028" w:rsidRPr="001060EE">
        <w:rPr>
          <w:i/>
          <w:lang w:val="fr-FR"/>
        </w:rPr>
        <w:t>’</w:t>
      </w:r>
      <w:r w:rsidRPr="001060EE">
        <w:rPr>
          <w:i/>
          <w:lang w:val="fr-FR"/>
        </w:rPr>
        <w:t>OMPI et des unions, chacune pour ce qui la concerne</w:t>
      </w:r>
      <w:r w:rsidR="0062336F" w:rsidRPr="001060EE">
        <w:rPr>
          <w:i/>
          <w:lang w:val="fr-FR"/>
        </w:rPr>
        <w:t>.</w:t>
      </w:r>
    </w:p>
    <w:p w:rsidR="001060EE" w:rsidRDefault="001060EE" w:rsidP="001060EE">
      <w:pPr>
        <w:pStyle w:val="ONUMFS"/>
        <w:numPr>
          <w:ilvl w:val="0"/>
          <w:numId w:val="0"/>
        </w:numPr>
        <w:spacing w:after="0"/>
        <w:rPr>
          <w:i/>
          <w:lang w:val="fr-FR"/>
        </w:rPr>
      </w:pPr>
    </w:p>
    <w:p w:rsidR="001060EE" w:rsidRDefault="001060EE" w:rsidP="001060EE">
      <w:pPr>
        <w:pStyle w:val="ONUMFS"/>
        <w:numPr>
          <w:ilvl w:val="0"/>
          <w:numId w:val="0"/>
        </w:numPr>
        <w:spacing w:after="0"/>
        <w:rPr>
          <w:i/>
          <w:lang w:val="fr-FR"/>
        </w:rPr>
      </w:pPr>
    </w:p>
    <w:p w:rsidR="001060EE" w:rsidRPr="001060EE" w:rsidRDefault="001060EE" w:rsidP="001060EE">
      <w:pPr>
        <w:pStyle w:val="ONUMFS"/>
        <w:numPr>
          <w:ilvl w:val="0"/>
          <w:numId w:val="0"/>
        </w:numPr>
        <w:spacing w:after="0"/>
        <w:rPr>
          <w:i/>
          <w:lang w:val="fr-FR"/>
        </w:rPr>
      </w:pPr>
    </w:p>
    <w:p w:rsidR="00FA4B6F" w:rsidRPr="001060EE" w:rsidRDefault="00CC0D2F" w:rsidP="0065742C">
      <w:pPr>
        <w:pStyle w:val="Endofdocument-Annex"/>
        <w:ind w:left="5540" w:hanging="6"/>
        <w:rPr>
          <w:lang w:val="fr-FR"/>
        </w:rPr>
      </w:pPr>
      <w:r w:rsidRPr="001060EE">
        <w:rPr>
          <w:lang w:val="fr-FR"/>
        </w:rPr>
        <w:t>[</w:t>
      </w:r>
      <w:r w:rsidR="00471978" w:rsidRPr="001060EE">
        <w:rPr>
          <w:lang w:val="fr-FR"/>
        </w:rPr>
        <w:t>Fin du</w:t>
      </w:r>
      <w:r w:rsidRPr="001060EE">
        <w:rPr>
          <w:lang w:val="fr-FR"/>
        </w:rPr>
        <w:t xml:space="preserve"> document]</w:t>
      </w:r>
    </w:p>
    <w:sectPr w:rsidR="00FA4B6F" w:rsidRPr="001060EE" w:rsidSect="00AF7028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73" w:rsidRDefault="008C7173">
      <w:r>
        <w:separator/>
      </w:r>
    </w:p>
  </w:endnote>
  <w:endnote w:type="continuationSeparator" w:id="0">
    <w:p w:rsidR="008C7173" w:rsidRDefault="008C7173" w:rsidP="003B38C1">
      <w:r>
        <w:separator/>
      </w:r>
    </w:p>
    <w:p w:rsidR="008C7173" w:rsidRPr="003B38C1" w:rsidRDefault="008C717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C7173" w:rsidRPr="003B38C1" w:rsidRDefault="008C717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73" w:rsidRDefault="008C7173">
      <w:r>
        <w:separator/>
      </w:r>
    </w:p>
  </w:footnote>
  <w:footnote w:type="continuationSeparator" w:id="0">
    <w:p w:rsidR="008C7173" w:rsidRDefault="008C7173" w:rsidP="008B60B2">
      <w:r>
        <w:separator/>
      </w:r>
    </w:p>
    <w:p w:rsidR="008C7173" w:rsidRPr="00ED77FB" w:rsidRDefault="008C717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C7173" w:rsidRPr="00ED77FB" w:rsidRDefault="008C717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82D23" w:rsidRPr="00505014" w:rsidRDefault="00882D23">
      <w:pPr>
        <w:pStyle w:val="FootnoteText"/>
        <w:rPr>
          <w:lang w:val="fr-FR"/>
        </w:rPr>
      </w:pPr>
      <w:r w:rsidRPr="00505014">
        <w:rPr>
          <w:rStyle w:val="FootnoteReference"/>
          <w:lang w:val="fr-FR"/>
        </w:rPr>
        <w:footnoteRef/>
      </w:r>
      <w:r w:rsidRPr="00505014">
        <w:rPr>
          <w:lang w:val="fr-FR"/>
        </w:rPr>
        <w:t xml:space="preserve"> </w:t>
      </w:r>
      <w:r w:rsidRPr="00505014">
        <w:rPr>
          <w:lang w:val="fr-FR"/>
        </w:rPr>
        <w:tab/>
      </w:r>
      <w:r w:rsidR="00505014">
        <w:rPr>
          <w:lang w:val="fr-FR"/>
        </w:rPr>
        <w:t>Voir le règlement du Fonds, approuvé par l’Assemblée générale de l’OMPI à sa trente-deuxième </w:t>
      </w:r>
      <w:r w:rsidRPr="00505014">
        <w:rPr>
          <w:lang w:val="fr-FR"/>
        </w:rPr>
        <w:t xml:space="preserve">session </w:t>
      </w:r>
      <w:r w:rsidR="00505014">
        <w:rPr>
          <w:lang w:val="fr-FR"/>
        </w:rPr>
        <w:t xml:space="preserve">et modifié à sa trente-neuvième </w:t>
      </w:r>
      <w:r w:rsidRPr="00505014">
        <w:rPr>
          <w:lang w:val="fr-FR"/>
        </w:rPr>
        <w:t xml:space="preserve">session (documents WO/GA/32/6 </w:t>
      </w:r>
      <w:r w:rsidR="00505014">
        <w:rPr>
          <w:lang w:val="fr-FR"/>
        </w:rPr>
        <w:t xml:space="preserve">et </w:t>
      </w:r>
      <w:r w:rsidRPr="00505014">
        <w:rPr>
          <w:lang w:val="fr-FR"/>
        </w:rPr>
        <w:t>WO/GA/39/11);  http://www.wipo.int/tk/en/igc/participation.html.</w:t>
      </w:r>
    </w:p>
  </w:footnote>
  <w:footnote w:id="3">
    <w:p w:rsidR="0062336F" w:rsidRPr="00505014" w:rsidRDefault="0062336F" w:rsidP="00F9185C">
      <w:pPr>
        <w:pStyle w:val="FootnoteText"/>
        <w:ind w:left="142" w:hanging="142"/>
        <w:rPr>
          <w:szCs w:val="18"/>
          <w:lang w:val="fr-FR"/>
        </w:rPr>
      </w:pPr>
      <w:r w:rsidRPr="00505014">
        <w:rPr>
          <w:rStyle w:val="FootnoteReference"/>
          <w:szCs w:val="18"/>
          <w:lang w:val="fr-FR"/>
        </w:rPr>
        <w:footnoteRef/>
      </w:r>
      <w:r w:rsidRPr="00505014">
        <w:rPr>
          <w:szCs w:val="18"/>
          <w:lang w:val="fr-FR"/>
        </w:rPr>
        <w:t xml:space="preserve"> </w:t>
      </w:r>
      <w:r w:rsidRPr="00505014">
        <w:rPr>
          <w:szCs w:val="18"/>
          <w:lang w:val="fr-FR"/>
        </w:rPr>
        <w:tab/>
      </w:r>
      <w:r w:rsidR="001060EE">
        <w:rPr>
          <w:szCs w:val="18"/>
          <w:lang w:val="fr-FR"/>
        </w:rPr>
        <w:tab/>
      </w:r>
      <w:r w:rsidR="00505014">
        <w:rPr>
          <w:szCs w:val="18"/>
          <w:lang w:val="fr-FR"/>
        </w:rPr>
        <w:t>Publication de l’OMPI n° </w:t>
      </w:r>
      <w:r w:rsidRPr="00505014">
        <w:rPr>
          <w:szCs w:val="18"/>
          <w:lang w:val="fr-FR"/>
        </w:rPr>
        <w:t>360E/PB14/15.</w:t>
      </w:r>
    </w:p>
  </w:footnote>
  <w:footnote w:id="4">
    <w:p w:rsidR="0062336F" w:rsidRPr="00505014" w:rsidRDefault="0062336F" w:rsidP="00F9185C">
      <w:pPr>
        <w:pStyle w:val="FootnoteText"/>
        <w:ind w:left="142" w:hanging="142"/>
        <w:jc w:val="both"/>
        <w:rPr>
          <w:szCs w:val="18"/>
          <w:lang w:val="fr-FR"/>
        </w:rPr>
      </w:pPr>
      <w:r w:rsidRPr="00505014">
        <w:rPr>
          <w:rStyle w:val="FootnoteReference"/>
          <w:szCs w:val="18"/>
          <w:lang w:val="fr-FR"/>
        </w:rPr>
        <w:footnoteRef/>
      </w:r>
      <w:r w:rsidRPr="00505014">
        <w:rPr>
          <w:szCs w:val="18"/>
          <w:lang w:val="fr-FR"/>
        </w:rPr>
        <w:t xml:space="preserve"> </w:t>
      </w:r>
      <w:r w:rsidRPr="00505014">
        <w:rPr>
          <w:szCs w:val="18"/>
          <w:lang w:val="fr-FR"/>
        </w:rPr>
        <w:tab/>
      </w:r>
      <w:r w:rsidR="001060EE">
        <w:rPr>
          <w:szCs w:val="18"/>
          <w:lang w:val="fr-FR"/>
        </w:rPr>
        <w:tab/>
      </w:r>
      <w:r w:rsidR="00471978" w:rsidRPr="00505014">
        <w:rPr>
          <w:szCs w:val="18"/>
          <w:lang w:val="fr-FR"/>
        </w:rPr>
        <w:t xml:space="preserve">Voir le </w:t>
      </w:r>
      <w:r w:rsidRPr="00505014">
        <w:rPr>
          <w:szCs w:val="18"/>
          <w:lang w:val="fr-FR"/>
        </w:rPr>
        <w:t>paragraph</w:t>
      </w:r>
      <w:r w:rsidR="00471978" w:rsidRPr="00505014">
        <w:rPr>
          <w:szCs w:val="18"/>
          <w:lang w:val="fr-FR"/>
        </w:rPr>
        <w:t>e</w:t>
      </w:r>
      <w:r w:rsidRPr="00505014">
        <w:rPr>
          <w:szCs w:val="18"/>
          <w:lang w:val="fr-FR"/>
        </w:rPr>
        <w:t xml:space="preserve"> 5 </w:t>
      </w:r>
      <w:r w:rsidR="00471978" w:rsidRPr="00505014">
        <w:rPr>
          <w:szCs w:val="18"/>
          <w:lang w:val="fr-FR"/>
        </w:rPr>
        <w:t>du règlement du Fonds</w:t>
      </w:r>
      <w:r w:rsidRPr="00505014">
        <w:rPr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C7173" w:rsidP="00477D6B">
    <w:pPr>
      <w:jc w:val="right"/>
    </w:pPr>
    <w:bookmarkStart w:id="5" w:name="Code2"/>
    <w:bookmarkEnd w:id="5"/>
    <w:r>
      <w:t>WO/PBC/22/2</w:t>
    </w:r>
    <w:r w:rsidR="00A95135">
      <w:t>4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408BF">
      <w:rPr>
        <w:noProof/>
      </w:rPr>
      <w:t>2</w:t>
    </w:r>
    <w:r>
      <w:fldChar w:fldCharType="end"/>
    </w:r>
  </w:p>
  <w:p w:rsidR="00CC0D2F" w:rsidRDefault="00CC0D2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763F2"/>
    <w:multiLevelType w:val="hybridMultilevel"/>
    <w:tmpl w:val="090C78A8"/>
    <w:lvl w:ilvl="0" w:tplc="21340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B322815"/>
    <w:multiLevelType w:val="hybridMultilevel"/>
    <w:tmpl w:val="DA904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A25F0A"/>
    <w:multiLevelType w:val="hybridMultilevel"/>
    <w:tmpl w:val="5B24E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B953076"/>
    <w:multiLevelType w:val="hybridMultilevel"/>
    <w:tmpl w:val="91CE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"/>
    <w:docVar w:name="TermBaseURL" w:val="empty"/>
    <w:docVar w:name="TextBases" w:val="WorkspaceFTS\EN-FR\Administratif|WorkspaceFTS\EN-FR\Assemblées|WorkspaceFTS\EN-FR\Divers|WorkspaceFTS\EN-FR\WO_CC|WorkspaceFTS\EN-FR\WO_GA|WorkspaceFTS\EN-FR\WO_PBC|Glossaries\EN-FR|Patents\Meetings|Patents\Other|Patents\Publications|Treaties\Model Laws|Treaties\Other Laws and Agreements|Treaties\WIPO-administered|Administrative\Meetings|Administrative\Other|Administrative\Publications|Budget and Finance\Meetings|Budget and Finance\Other|Budget and Finance\Publications"/>
    <w:docVar w:name="TextBaseURL" w:val="empty"/>
    <w:docVar w:name="UILng" w:val="en"/>
  </w:docVars>
  <w:rsids>
    <w:rsidRoot w:val="008C7173"/>
    <w:rsid w:val="00020222"/>
    <w:rsid w:val="00043CAA"/>
    <w:rsid w:val="00075432"/>
    <w:rsid w:val="000968ED"/>
    <w:rsid w:val="000B3FAB"/>
    <w:rsid w:val="000F5E56"/>
    <w:rsid w:val="001060EE"/>
    <w:rsid w:val="001362EE"/>
    <w:rsid w:val="001832A6"/>
    <w:rsid w:val="001A24B3"/>
    <w:rsid w:val="002133B0"/>
    <w:rsid w:val="0022176C"/>
    <w:rsid w:val="002222B6"/>
    <w:rsid w:val="0023713C"/>
    <w:rsid w:val="002634C4"/>
    <w:rsid w:val="002928D3"/>
    <w:rsid w:val="002C2ED3"/>
    <w:rsid w:val="002E0B13"/>
    <w:rsid w:val="002F1FE6"/>
    <w:rsid w:val="002F4E68"/>
    <w:rsid w:val="00312F7F"/>
    <w:rsid w:val="00361450"/>
    <w:rsid w:val="003673CF"/>
    <w:rsid w:val="003845C1"/>
    <w:rsid w:val="003A6F89"/>
    <w:rsid w:val="003B38C1"/>
    <w:rsid w:val="003D4AF4"/>
    <w:rsid w:val="004070D5"/>
    <w:rsid w:val="00423E3E"/>
    <w:rsid w:val="00427AF4"/>
    <w:rsid w:val="004408BF"/>
    <w:rsid w:val="00445EC6"/>
    <w:rsid w:val="004647DA"/>
    <w:rsid w:val="00471978"/>
    <w:rsid w:val="00474062"/>
    <w:rsid w:val="00477D6B"/>
    <w:rsid w:val="004A5CA5"/>
    <w:rsid w:val="005019FF"/>
    <w:rsid w:val="00502C3B"/>
    <w:rsid w:val="00505014"/>
    <w:rsid w:val="0053057A"/>
    <w:rsid w:val="00560A29"/>
    <w:rsid w:val="005801B2"/>
    <w:rsid w:val="005C6649"/>
    <w:rsid w:val="005F12D3"/>
    <w:rsid w:val="00605827"/>
    <w:rsid w:val="0062336F"/>
    <w:rsid w:val="00625918"/>
    <w:rsid w:val="00646050"/>
    <w:rsid w:val="0065742C"/>
    <w:rsid w:val="006713CA"/>
    <w:rsid w:val="00676C5C"/>
    <w:rsid w:val="007177D3"/>
    <w:rsid w:val="00790ECF"/>
    <w:rsid w:val="00792A61"/>
    <w:rsid w:val="007D1613"/>
    <w:rsid w:val="007F66D1"/>
    <w:rsid w:val="008416DC"/>
    <w:rsid w:val="00882D23"/>
    <w:rsid w:val="008B2CC1"/>
    <w:rsid w:val="008B60B2"/>
    <w:rsid w:val="008C7173"/>
    <w:rsid w:val="008D071D"/>
    <w:rsid w:val="0090731E"/>
    <w:rsid w:val="00916EE2"/>
    <w:rsid w:val="00966A22"/>
    <w:rsid w:val="0096722F"/>
    <w:rsid w:val="009804FB"/>
    <w:rsid w:val="00980843"/>
    <w:rsid w:val="009C4662"/>
    <w:rsid w:val="009E2791"/>
    <w:rsid w:val="009E3F6F"/>
    <w:rsid w:val="009E4770"/>
    <w:rsid w:val="009F499F"/>
    <w:rsid w:val="009F7384"/>
    <w:rsid w:val="00A40716"/>
    <w:rsid w:val="00A42DAF"/>
    <w:rsid w:val="00A45BD8"/>
    <w:rsid w:val="00A869B7"/>
    <w:rsid w:val="00A95135"/>
    <w:rsid w:val="00AC205C"/>
    <w:rsid w:val="00AF0A6B"/>
    <w:rsid w:val="00AF7028"/>
    <w:rsid w:val="00B05A69"/>
    <w:rsid w:val="00B11E6F"/>
    <w:rsid w:val="00B268E0"/>
    <w:rsid w:val="00B34316"/>
    <w:rsid w:val="00B9734B"/>
    <w:rsid w:val="00BE3994"/>
    <w:rsid w:val="00C11BFE"/>
    <w:rsid w:val="00C2783C"/>
    <w:rsid w:val="00C74C73"/>
    <w:rsid w:val="00CC0D2F"/>
    <w:rsid w:val="00D45252"/>
    <w:rsid w:val="00D71B4D"/>
    <w:rsid w:val="00D93D55"/>
    <w:rsid w:val="00E335FE"/>
    <w:rsid w:val="00E41537"/>
    <w:rsid w:val="00E768CC"/>
    <w:rsid w:val="00EB4E4C"/>
    <w:rsid w:val="00EB6366"/>
    <w:rsid w:val="00EC4E49"/>
    <w:rsid w:val="00ED77FB"/>
    <w:rsid w:val="00ED7E3A"/>
    <w:rsid w:val="00EE45FA"/>
    <w:rsid w:val="00F014B5"/>
    <w:rsid w:val="00F66152"/>
    <w:rsid w:val="00F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ps">
    <w:name w:val="hps"/>
    <w:rsid w:val="00CC0D2F"/>
  </w:style>
  <w:style w:type="paragraph" w:styleId="ListParagraph">
    <w:name w:val="List Paragraph"/>
    <w:basedOn w:val="Normal"/>
    <w:uiPriority w:val="34"/>
    <w:qFormat/>
    <w:rsid w:val="00CC0D2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ES" w:eastAsia="en-US"/>
    </w:rPr>
  </w:style>
  <w:style w:type="paragraph" w:styleId="BalloonText">
    <w:name w:val="Balloon Text"/>
    <w:basedOn w:val="Normal"/>
    <w:link w:val="BalloonTextChar"/>
    <w:rsid w:val="00623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336F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2336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36F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6233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33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ps">
    <w:name w:val="hps"/>
    <w:rsid w:val="00CC0D2F"/>
  </w:style>
  <w:style w:type="paragraph" w:styleId="ListParagraph">
    <w:name w:val="List Paragraph"/>
    <w:basedOn w:val="Normal"/>
    <w:uiPriority w:val="34"/>
    <w:qFormat/>
    <w:rsid w:val="00CC0D2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ES" w:eastAsia="en-US"/>
    </w:rPr>
  </w:style>
  <w:style w:type="paragraph" w:styleId="BalloonText">
    <w:name w:val="Balloon Text"/>
    <w:basedOn w:val="Normal"/>
    <w:link w:val="BalloonTextChar"/>
    <w:rsid w:val="00623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336F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2336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36F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6233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3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46F3-7B37-44E8-9A05-B5951B955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D4D34-09CD-4AC5-A345-8E7208E7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1</TotalTime>
  <Pages>3</Pages>
  <Words>1018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NETTER Iza</dc:creator>
  <cp:keywords>JCH/mhf</cp:keywords>
  <cp:lastModifiedBy>DOYON Geneviève</cp:lastModifiedBy>
  <cp:revision>3</cp:revision>
  <cp:lastPrinted>2014-08-12T14:09:00Z</cp:lastPrinted>
  <dcterms:created xsi:type="dcterms:W3CDTF">2014-08-13T07:25:00Z</dcterms:created>
  <dcterms:modified xsi:type="dcterms:W3CDTF">2014-08-21T06:41:00Z</dcterms:modified>
</cp:coreProperties>
</file>