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F2DA8" w:rsidRPr="00CD6F0D" w:rsidTr="0009382D">
        <w:tc>
          <w:tcPr>
            <w:tcW w:w="4513" w:type="dxa"/>
            <w:tcBorders>
              <w:bottom w:val="single" w:sz="4" w:space="0" w:color="auto"/>
            </w:tcBorders>
            <w:tcMar>
              <w:bottom w:w="170" w:type="dxa"/>
            </w:tcMar>
          </w:tcPr>
          <w:p w:rsidR="00FF2DA8" w:rsidRPr="00CD6F0D" w:rsidRDefault="00FF2DA8" w:rsidP="0009382D">
            <w:bookmarkStart w:id="0" w:name="TitleOfDoc"/>
            <w:bookmarkEnd w:id="0"/>
          </w:p>
        </w:tc>
        <w:tc>
          <w:tcPr>
            <w:tcW w:w="4337" w:type="dxa"/>
            <w:tcBorders>
              <w:bottom w:val="single" w:sz="4" w:space="0" w:color="auto"/>
            </w:tcBorders>
            <w:tcMar>
              <w:left w:w="0" w:type="dxa"/>
              <w:right w:w="0" w:type="dxa"/>
            </w:tcMar>
          </w:tcPr>
          <w:p w:rsidR="00FF2DA8" w:rsidRPr="00CD6F0D" w:rsidRDefault="00FF2DA8" w:rsidP="0009382D">
            <w:r w:rsidRPr="00CD6F0D">
              <w:rPr>
                <w:noProof/>
                <w:lang w:val="en-US" w:eastAsia="en-US"/>
              </w:rPr>
              <w:drawing>
                <wp:inline distT="0" distB="0" distL="0" distR="0" wp14:anchorId="41C7A6D2" wp14:editId="23579EA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F2DA8" w:rsidRPr="00CD6F0D" w:rsidRDefault="00FF2DA8" w:rsidP="0009382D">
            <w:pPr>
              <w:jc w:val="right"/>
            </w:pPr>
            <w:r w:rsidRPr="00CD6F0D">
              <w:rPr>
                <w:b/>
                <w:sz w:val="40"/>
                <w:szCs w:val="40"/>
              </w:rPr>
              <w:t>F</w:t>
            </w:r>
          </w:p>
        </w:tc>
      </w:tr>
      <w:tr w:rsidR="00FF2DA8" w:rsidRPr="00CD6F0D" w:rsidTr="0009382D">
        <w:trPr>
          <w:trHeight w:hRule="exact" w:val="340"/>
        </w:trPr>
        <w:tc>
          <w:tcPr>
            <w:tcW w:w="9356" w:type="dxa"/>
            <w:gridSpan w:val="3"/>
            <w:tcBorders>
              <w:top w:val="single" w:sz="4" w:space="0" w:color="auto"/>
            </w:tcBorders>
            <w:tcMar>
              <w:top w:w="170" w:type="dxa"/>
              <w:left w:w="0" w:type="dxa"/>
              <w:right w:w="0" w:type="dxa"/>
            </w:tcMar>
            <w:vAlign w:val="bottom"/>
          </w:tcPr>
          <w:p w:rsidR="00FF2DA8" w:rsidRPr="00CD6F0D" w:rsidRDefault="00FF2DA8" w:rsidP="0009382D">
            <w:pPr>
              <w:jc w:val="right"/>
              <w:rPr>
                <w:rFonts w:ascii="Arial Black" w:hAnsi="Arial Black"/>
                <w:caps/>
                <w:sz w:val="15"/>
              </w:rPr>
            </w:pPr>
            <w:r w:rsidRPr="00CD6F0D">
              <w:rPr>
                <w:rFonts w:ascii="Arial Black" w:hAnsi="Arial Black"/>
                <w:caps/>
                <w:sz w:val="15"/>
              </w:rPr>
              <w:t>WO/PBC/22/</w:t>
            </w:r>
            <w:bookmarkStart w:id="1" w:name="Code"/>
            <w:bookmarkEnd w:id="1"/>
            <w:r w:rsidRPr="00CD6F0D">
              <w:rPr>
                <w:rFonts w:ascii="Arial Black" w:hAnsi="Arial Black"/>
                <w:caps/>
                <w:sz w:val="15"/>
              </w:rPr>
              <w:t xml:space="preserve">19 </w:t>
            </w:r>
          </w:p>
        </w:tc>
      </w:tr>
      <w:tr w:rsidR="00FF2DA8" w:rsidRPr="00CD6F0D" w:rsidTr="0009382D">
        <w:trPr>
          <w:trHeight w:hRule="exact" w:val="170"/>
        </w:trPr>
        <w:tc>
          <w:tcPr>
            <w:tcW w:w="9356" w:type="dxa"/>
            <w:gridSpan w:val="3"/>
            <w:noWrap/>
            <w:tcMar>
              <w:left w:w="0" w:type="dxa"/>
              <w:right w:w="0" w:type="dxa"/>
            </w:tcMar>
            <w:vAlign w:val="bottom"/>
          </w:tcPr>
          <w:p w:rsidR="00FF2DA8" w:rsidRPr="00CD6F0D" w:rsidRDefault="00FF2DA8" w:rsidP="00FF2DA8">
            <w:pPr>
              <w:jc w:val="right"/>
              <w:rPr>
                <w:rFonts w:ascii="Arial Black" w:hAnsi="Arial Black"/>
                <w:caps/>
                <w:sz w:val="15"/>
              </w:rPr>
            </w:pPr>
            <w:r w:rsidRPr="00CD6F0D">
              <w:rPr>
                <w:rFonts w:ascii="Arial Black" w:hAnsi="Arial Black"/>
                <w:caps/>
                <w:sz w:val="15"/>
              </w:rPr>
              <w:t>ORIGINAL</w:t>
            </w:r>
            <w:r w:rsidR="00EF5CBC" w:rsidRPr="00CD6F0D">
              <w:rPr>
                <w:rFonts w:ascii="Arial Black" w:hAnsi="Arial Black"/>
                <w:caps/>
                <w:sz w:val="15"/>
              </w:rPr>
              <w:t> </w:t>
            </w:r>
            <w:r w:rsidRPr="00CD6F0D">
              <w:rPr>
                <w:rFonts w:ascii="Arial Black" w:hAnsi="Arial Black"/>
                <w:caps/>
                <w:sz w:val="15"/>
              </w:rPr>
              <w:t xml:space="preserve">: </w:t>
            </w:r>
            <w:bookmarkStart w:id="2" w:name="Original"/>
            <w:bookmarkEnd w:id="2"/>
            <w:r w:rsidRPr="00CD6F0D">
              <w:rPr>
                <w:rFonts w:ascii="Arial Black" w:hAnsi="Arial Black"/>
                <w:caps/>
                <w:sz w:val="15"/>
              </w:rPr>
              <w:t>anglais</w:t>
            </w:r>
          </w:p>
        </w:tc>
      </w:tr>
      <w:tr w:rsidR="00FF2DA8" w:rsidRPr="00CD6F0D" w:rsidTr="0009382D">
        <w:trPr>
          <w:trHeight w:hRule="exact" w:val="198"/>
        </w:trPr>
        <w:tc>
          <w:tcPr>
            <w:tcW w:w="9356" w:type="dxa"/>
            <w:gridSpan w:val="3"/>
            <w:tcMar>
              <w:left w:w="0" w:type="dxa"/>
              <w:right w:w="0" w:type="dxa"/>
            </w:tcMar>
            <w:vAlign w:val="bottom"/>
          </w:tcPr>
          <w:p w:rsidR="00FF2DA8" w:rsidRPr="00CD6F0D" w:rsidRDefault="00FF2DA8" w:rsidP="0009382D">
            <w:pPr>
              <w:jc w:val="right"/>
              <w:rPr>
                <w:rFonts w:ascii="Arial Black" w:hAnsi="Arial Black"/>
                <w:caps/>
                <w:sz w:val="15"/>
              </w:rPr>
            </w:pPr>
            <w:r w:rsidRPr="00CD6F0D">
              <w:rPr>
                <w:rFonts w:ascii="Arial Black" w:hAnsi="Arial Black"/>
                <w:caps/>
                <w:sz w:val="15"/>
              </w:rPr>
              <w:t>DATE</w:t>
            </w:r>
            <w:r w:rsidR="00EF5CBC" w:rsidRPr="00CD6F0D">
              <w:rPr>
                <w:rFonts w:ascii="Arial Black" w:hAnsi="Arial Black"/>
                <w:caps/>
                <w:sz w:val="15"/>
              </w:rPr>
              <w:t> </w:t>
            </w:r>
            <w:r w:rsidRPr="00CD6F0D">
              <w:rPr>
                <w:rFonts w:ascii="Arial Black" w:hAnsi="Arial Black"/>
                <w:caps/>
                <w:sz w:val="15"/>
              </w:rPr>
              <w:t xml:space="preserve">: </w:t>
            </w:r>
            <w:bookmarkStart w:id="3" w:name="Date"/>
            <w:bookmarkEnd w:id="3"/>
            <w:r w:rsidRPr="00CD6F0D">
              <w:rPr>
                <w:rFonts w:ascii="Arial Black" w:hAnsi="Arial Black"/>
                <w:caps/>
                <w:sz w:val="15"/>
              </w:rPr>
              <w:t>17 juillet 2014</w:t>
            </w:r>
          </w:p>
        </w:tc>
      </w:tr>
    </w:tbl>
    <w:p w:rsidR="00FF2DA8" w:rsidRPr="00CD6F0D" w:rsidRDefault="00FF2DA8" w:rsidP="00FF2DA8"/>
    <w:p w:rsidR="00FF2DA8" w:rsidRPr="00CD6F0D" w:rsidRDefault="00FF2DA8" w:rsidP="00FF2DA8"/>
    <w:p w:rsidR="00FF2DA8" w:rsidRPr="00CD6F0D" w:rsidRDefault="00FF2DA8" w:rsidP="00FF2DA8"/>
    <w:p w:rsidR="00FF2DA8" w:rsidRPr="00CD6F0D" w:rsidRDefault="00FF2DA8" w:rsidP="00FF2DA8"/>
    <w:p w:rsidR="00FF2DA8" w:rsidRPr="00CD6F0D" w:rsidRDefault="00FF2DA8" w:rsidP="00FF2DA8"/>
    <w:p w:rsidR="00FF2DA8" w:rsidRPr="00CD6F0D" w:rsidRDefault="00FF2DA8" w:rsidP="00FF2DA8">
      <w:pPr>
        <w:rPr>
          <w:b/>
          <w:sz w:val="28"/>
          <w:szCs w:val="28"/>
        </w:rPr>
      </w:pPr>
      <w:r w:rsidRPr="00CD6F0D">
        <w:rPr>
          <w:b/>
          <w:sz w:val="28"/>
          <w:szCs w:val="28"/>
        </w:rPr>
        <w:t>Comit</w:t>
      </w:r>
      <w:r w:rsidRPr="00CD6F0D">
        <w:rPr>
          <w:rFonts w:cs="Simplified Arabic"/>
          <w:b/>
          <w:sz w:val="28"/>
          <w:szCs w:val="28"/>
        </w:rPr>
        <w:t>é</w:t>
      </w:r>
      <w:r w:rsidRPr="00CD6F0D">
        <w:rPr>
          <w:b/>
          <w:sz w:val="28"/>
          <w:szCs w:val="28"/>
        </w:rPr>
        <w:t xml:space="preserve"> du programme et budget</w:t>
      </w:r>
    </w:p>
    <w:p w:rsidR="00FF2DA8" w:rsidRPr="00CD6F0D" w:rsidRDefault="00FF2DA8" w:rsidP="00FF2DA8"/>
    <w:p w:rsidR="00FF2DA8" w:rsidRPr="00CD6F0D" w:rsidRDefault="00FF2DA8" w:rsidP="00FF2DA8"/>
    <w:p w:rsidR="00FF2DA8" w:rsidRPr="00CD6F0D" w:rsidRDefault="00FF2DA8" w:rsidP="00FF2DA8">
      <w:pPr>
        <w:rPr>
          <w:b/>
          <w:sz w:val="24"/>
          <w:szCs w:val="24"/>
        </w:rPr>
      </w:pPr>
      <w:r w:rsidRPr="00CD6F0D">
        <w:rPr>
          <w:b/>
          <w:bCs/>
          <w:sz w:val="24"/>
          <w:szCs w:val="24"/>
        </w:rPr>
        <w:t>Vingt</w:t>
      </w:r>
      <w:r w:rsidR="00E35368" w:rsidRPr="00CD6F0D">
        <w:rPr>
          <w:b/>
          <w:bCs/>
          <w:sz w:val="24"/>
          <w:szCs w:val="24"/>
        </w:rPr>
        <w:noBreakHyphen/>
      </w:r>
      <w:r w:rsidRPr="00CD6F0D">
        <w:rPr>
          <w:b/>
          <w:bCs/>
          <w:sz w:val="24"/>
          <w:szCs w:val="24"/>
        </w:rPr>
        <w:t>deuxième</w:t>
      </w:r>
      <w:r w:rsidR="00EF5CBC" w:rsidRPr="00CD6F0D">
        <w:rPr>
          <w:b/>
          <w:bCs/>
          <w:sz w:val="24"/>
          <w:szCs w:val="24"/>
        </w:rPr>
        <w:t> </w:t>
      </w:r>
      <w:r w:rsidRPr="00CD6F0D">
        <w:rPr>
          <w:b/>
          <w:bCs/>
          <w:sz w:val="24"/>
          <w:szCs w:val="24"/>
        </w:rPr>
        <w:t>se</w:t>
      </w:r>
      <w:r w:rsidRPr="00CD6F0D">
        <w:rPr>
          <w:b/>
          <w:sz w:val="24"/>
          <w:szCs w:val="24"/>
        </w:rPr>
        <w:t>ssion</w:t>
      </w:r>
    </w:p>
    <w:p w:rsidR="00FF2DA8" w:rsidRPr="00CD6F0D" w:rsidRDefault="00FF2DA8" w:rsidP="00FF2DA8">
      <w:r w:rsidRPr="00CD6F0D">
        <w:rPr>
          <w:b/>
          <w:sz w:val="24"/>
          <w:szCs w:val="24"/>
        </w:rPr>
        <w:t>Genève, 1</w:t>
      </w:r>
      <w:r w:rsidRPr="00CD6F0D">
        <w:rPr>
          <w:b/>
          <w:sz w:val="24"/>
          <w:szCs w:val="24"/>
          <w:vertAlign w:val="superscript"/>
        </w:rPr>
        <w:t>er</w:t>
      </w:r>
      <w:r w:rsidRPr="00CD6F0D">
        <w:rPr>
          <w:b/>
          <w:sz w:val="24"/>
          <w:szCs w:val="24"/>
        </w:rPr>
        <w:t> – 5 septembre 2014</w:t>
      </w:r>
    </w:p>
    <w:p w:rsidR="00FF2DA8" w:rsidRPr="00CD6F0D" w:rsidRDefault="00FF2DA8" w:rsidP="00FF2DA8"/>
    <w:p w:rsidR="00FF2DA8" w:rsidRPr="00CD6F0D" w:rsidRDefault="00FF2DA8" w:rsidP="00FF2DA8"/>
    <w:p w:rsidR="00D63FC0" w:rsidRPr="00CD6F0D" w:rsidRDefault="008E232B" w:rsidP="008E232B">
      <w:pPr>
        <w:rPr>
          <w:caps/>
          <w:sz w:val="24"/>
        </w:rPr>
      </w:pPr>
      <w:r w:rsidRPr="00CD6F0D">
        <w:rPr>
          <w:caps/>
          <w:sz w:val="24"/>
        </w:rPr>
        <w:t>PROPOSITION DE modification de la Politique en matière de</w:t>
      </w:r>
      <w:r w:rsidR="005E183E">
        <w:rPr>
          <w:caps/>
          <w:sz w:val="24"/>
        </w:rPr>
        <w:t> </w:t>
      </w:r>
      <w:r w:rsidRPr="00CD6F0D">
        <w:rPr>
          <w:caps/>
          <w:sz w:val="24"/>
        </w:rPr>
        <w:t>placements</w:t>
      </w:r>
    </w:p>
    <w:p w:rsidR="00D63FC0" w:rsidRPr="00CD6F0D" w:rsidRDefault="00D63FC0" w:rsidP="008B2CC1"/>
    <w:p w:rsidR="00D63FC0" w:rsidRPr="00CD6F0D" w:rsidRDefault="008E232B" w:rsidP="008E232B">
      <w:pPr>
        <w:rPr>
          <w:i/>
        </w:rPr>
      </w:pPr>
      <w:bookmarkStart w:id="4" w:name="Prepared"/>
      <w:bookmarkEnd w:id="4"/>
      <w:r w:rsidRPr="00CD6F0D">
        <w:rPr>
          <w:i/>
        </w:rPr>
        <w:t>Document établi par le Secrétariat</w:t>
      </w:r>
    </w:p>
    <w:p w:rsidR="00D63FC0" w:rsidRPr="00CD6F0D" w:rsidRDefault="00D63FC0"/>
    <w:p w:rsidR="00D63FC0" w:rsidRPr="00CD6F0D" w:rsidRDefault="00D63FC0"/>
    <w:p w:rsidR="00D63FC0" w:rsidRPr="00CD6F0D" w:rsidRDefault="00D63FC0"/>
    <w:p w:rsidR="00D63FC0" w:rsidRPr="00CD6F0D" w:rsidRDefault="00FF2DA8" w:rsidP="00FF2DA8">
      <w:pPr>
        <w:pStyle w:val="Heading1"/>
      </w:pPr>
      <w:r w:rsidRPr="00CD6F0D">
        <w:t>Rappel</w:t>
      </w:r>
    </w:p>
    <w:p w:rsidR="00D63FC0" w:rsidRPr="00CD6F0D" w:rsidRDefault="00D63FC0" w:rsidP="00FF2DA8"/>
    <w:p w:rsidR="00D63FC0" w:rsidRPr="00CD6F0D" w:rsidRDefault="00CE73C1" w:rsidP="00FF2DA8">
      <w:pPr>
        <w:pStyle w:val="ONUMFS"/>
      </w:pPr>
      <w:r w:rsidRPr="00CD6F0D">
        <w:t xml:space="preserve">En </w:t>
      </w:r>
      <w:r w:rsidR="00FF2DA8" w:rsidRPr="00CD6F0D">
        <w:t>septembre 20</w:t>
      </w:r>
      <w:r w:rsidRPr="00CD6F0D">
        <w:t xml:space="preserve">10, une politique en matière de placements a été </w:t>
      </w:r>
      <w:r w:rsidR="006A6D33" w:rsidRPr="00CD6F0D">
        <w:t>présentée</w:t>
      </w:r>
      <w:r w:rsidRPr="00CD6F0D">
        <w:t xml:space="preserve"> </w:t>
      </w:r>
      <w:r w:rsidR="009A7C71" w:rsidRPr="00CD6F0D">
        <w:t xml:space="preserve">pour la première fois </w:t>
      </w:r>
      <w:r w:rsidRPr="00CD6F0D">
        <w:t>au Comi</w:t>
      </w:r>
      <w:r w:rsidR="00EE2541" w:rsidRPr="00CD6F0D">
        <w:t>té du programme et budget (PBC)</w:t>
      </w:r>
      <w:r w:rsidRPr="00CD6F0D">
        <w:t xml:space="preserve"> conformément à l</w:t>
      </w:r>
      <w:r w:rsidR="00FF2DA8" w:rsidRPr="00CD6F0D">
        <w:t>’</w:t>
      </w:r>
      <w:r w:rsidRPr="00CD6F0D">
        <w:t>article 4.10 du Règlement financier (document WO/PBC/15/8).</w:t>
      </w:r>
      <w:r w:rsidR="006466E1" w:rsidRPr="00CD6F0D">
        <w:t xml:space="preserve">  </w:t>
      </w:r>
      <w:r w:rsidRPr="00CD6F0D">
        <w:t xml:space="preserve">Le comité a examiné le document et </w:t>
      </w:r>
      <w:r w:rsidR="00EF5CBC" w:rsidRPr="00CD6F0D">
        <w:t>“</w:t>
      </w:r>
      <w:r w:rsidRPr="00CD6F0D">
        <w:t>demandé au Secrétariat de présenter une proposition remaniée pour une session future du PBC, compte tenu des observations et des commentaires formulés par les États membres</w:t>
      </w:r>
      <w:r w:rsidR="00EF5CBC" w:rsidRPr="00CD6F0D">
        <w:t>”.</w:t>
      </w:r>
      <w:r w:rsidR="0048297C" w:rsidRPr="00CD6F0D">
        <w:t xml:space="preserve">  </w:t>
      </w:r>
      <w:r w:rsidR="009A7C71" w:rsidRPr="00CD6F0D">
        <w:t xml:space="preserve">Ces observations et commentaires </w:t>
      </w:r>
      <w:r w:rsidR="00E96F5B">
        <w:t>ont</w:t>
      </w:r>
      <w:r w:rsidR="009A7C71" w:rsidRPr="00CD6F0D">
        <w:t xml:space="preserve"> principalement </w:t>
      </w:r>
      <w:r w:rsidR="00E96F5B">
        <w:t xml:space="preserve">porté </w:t>
      </w:r>
      <w:r w:rsidR="009A7C71" w:rsidRPr="00CD6F0D">
        <w:t xml:space="preserve">sur </w:t>
      </w:r>
      <w:r w:rsidR="00EE2541" w:rsidRPr="00CD6F0D">
        <w:t>une</w:t>
      </w:r>
      <w:r w:rsidR="009A7C71" w:rsidRPr="00CD6F0D">
        <w:t xml:space="preserve"> réticence à utiliser des gestionnaires de placements extérieurs ou à investir l</w:t>
      </w:r>
      <w:r w:rsidR="004E3879" w:rsidRPr="00CD6F0D">
        <w:t xml:space="preserve">es </w:t>
      </w:r>
      <w:r w:rsidR="00553083" w:rsidRPr="00CD6F0D">
        <w:t>liquidités</w:t>
      </w:r>
      <w:r w:rsidR="009A7C71" w:rsidRPr="00CD6F0D">
        <w:t xml:space="preserve"> disponible</w:t>
      </w:r>
      <w:r w:rsidR="004E3879" w:rsidRPr="00CD6F0D">
        <w:t>s</w:t>
      </w:r>
      <w:r w:rsidR="009A7C71" w:rsidRPr="00CD6F0D">
        <w:t xml:space="preserve">, </w:t>
      </w:r>
      <w:r w:rsidR="004E3879" w:rsidRPr="00CD6F0D">
        <w:t xml:space="preserve">qui ne sont pas nécessaires pour </w:t>
      </w:r>
      <w:r w:rsidR="009A7C71" w:rsidRPr="00CD6F0D">
        <w:t xml:space="preserve">les opérations courantes ou les projets financés par les réserves, avec un horizon de placement </w:t>
      </w:r>
      <w:r w:rsidR="00553083" w:rsidRPr="00CD6F0D">
        <w:t>n</w:t>
      </w:r>
      <w:r w:rsidR="00FF2DA8" w:rsidRPr="00CD6F0D">
        <w:t>’</w:t>
      </w:r>
      <w:r w:rsidR="00553083" w:rsidRPr="00CD6F0D">
        <w:t>excédant pas</w:t>
      </w:r>
      <w:r w:rsidR="009A7C71" w:rsidRPr="00CD6F0D">
        <w:t xml:space="preserve"> deux</w:t>
      </w:r>
      <w:r w:rsidR="00EF5CBC" w:rsidRPr="00CD6F0D">
        <w:t> </w:t>
      </w:r>
      <w:r w:rsidR="009A7C71" w:rsidRPr="00CD6F0D">
        <w:t>ans</w:t>
      </w:r>
      <w:r w:rsidR="00787D22" w:rsidRPr="00CD6F0D">
        <w:t xml:space="preserve">, </w:t>
      </w:r>
      <w:r w:rsidR="009A7C71" w:rsidRPr="00CD6F0D">
        <w:t xml:space="preserve">et </w:t>
      </w:r>
      <w:r w:rsidR="008A6631" w:rsidRPr="00CD6F0D">
        <w:t>sur la volonté</w:t>
      </w:r>
      <w:r w:rsidR="009A7C71" w:rsidRPr="00CD6F0D">
        <w:t xml:space="preserve"> de tenir compte </w:t>
      </w:r>
      <w:r w:rsidR="009D698F" w:rsidRPr="00CD6F0D">
        <w:t xml:space="preserve">des </w:t>
      </w:r>
      <w:r w:rsidR="009A7C71" w:rsidRPr="00CD6F0D">
        <w:t xml:space="preserve">principes du Pacte </w:t>
      </w:r>
      <w:r w:rsidR="003C4DA3">
        <w:t>mondial</w:t>
      </w:r>
      <w:r w:rsidR="009A7C71" w:rsidRPr="00CD6F0D">
        <w:t xml:space="preserve"> des </w:t>
      </w:r>
      <w:r w:rsidR="00FF2DA8" w:rsidRPr="00CD6F0D">
        <w:t>Nations Unies</w:t>
      </w:r>
      <w:r w:rsidR="00E96F5B">
        <w:t xml:space="preserve"> pour ce qui concerne les placements</w:t>
      </w:r>
      <w:r w:rsidR="009A7C71" w:rsidRPr="00CD6F0D">
        <w:t>.</w:t>
      </w:r>
    </w:p>
    <w:p w:rsidR="00D63FC0" w:rsidRPr="00CD6F0D" w:rsidRDefault="008A6631" w:rsidP="00FF2DA8">
      <w:pPr>
        <w:pStyle w:val="ONUMFS"/>
      </w:pPr>
      <w:r w:rsidRPr="00CD6F0D">
        <w:t xml:space="preserve">La politique a été modifiée en conséquence et la version </w:t>
      </w:r>
      <w:r w:rsidR="00553083" w:rsidRPr="00CD6F0D">
        <w:t>remaniée</w:t>
      </w:r>
      <w:r w:rsidRPr="00CD6F0D">
        <w:t xml:space="preserve"> a été présentée</w:t>
      </w:r>
      <w:r w:rsidR="00FF2DA8" w:rsidRPr="00CD6F0D">
        <w:t xml:space="preserve"> au PBC</w:t>
      </w:r>
      <w:r w:rsidRPr="00CD6F0D">
        <w:t xml:space="preserve"> à l</w:t>
      </w:r>
      <w:r w:rsidR="00FF2DA8" w:rsidRPr="00CD6F0D">
        <w:t>’</w:t>
      </w:r>
      <w:r w:rsidRPr="00CD6F0D">
        <w:t>occasion de ses deux</w:t>
      </w:r>
      <w:r w:rsidR="00EF5CBC" w:rsidRPr="00CD6F0D">
        <w:t> </w:t>
      </w:r>
      <w:r w:rsidRPr="00CD6F0D">
        <w:t>sessions de</w:t>
      </w:r>
      <w:r w:rsidR="00EF5CBC" w:rsidRPr="00CD6F0D">
        <w:t> </w:t>
      </w:r>
      <w:r w:rsidRPr="00CD6F0D">
        <w:t>2011 (document WO/PBC/17/6), pour une approbation finale par les assemblées à leur quarante</w:t>
      </w:r>
      <w:r w:rsidR="00E35368" w:rsidRPr="00CD6F0D">
        <w:noBreakHyphen/>
      </w:r>
      <w:r w:rsidRPr="00CD6F0D">
        <w:t>neuvième</w:t>
      </w:r>
      <w:r w:rsidR="00EF5CBC" w:rsidRPr="00CD6F0D">
        <w:t> </w:t>
      </w:r>
      <w:r w:rsidRPr="00CD6F0D">
        <w:t>session à l</w:t>
      </w:r>
      <w:r w:rsidR="00FF2DA8" w:rsidRPr="00CD6F0D">
        <w:t>’</w:t>
      </w:r>
      <w:r w:rsidRPr="00CD6F0D">
        <w:t>automne 2011.</w:t>
      </w:r>
      <w:r w:rsidR="00817DB4" w:rsidRPr="00CD6F0D">
        <w:t xml:space="preserve">  </w:t>
      </w:r>
      <w:r w:rsidR="009D698F" w:rsidRPr="00CD6F0D">
        <w:t>Ce</w:t>
      </w:r>
      <w:r w:rsidR="00E96F5B">
        <w:t> </w:t>
      </w:r>
      <w:r w:rsidR="009D698F" w:rsidRPr="00CD6F0D">
        <w:t xml:space="preserve">deuxième document </w:t>
      </w:r>
      <w:r w:rsidRPr="00CD6F0D">
        <w:t>(annexe I) tenait compte des modifications suivantes apportées à la politique</w:t>
      </w:r>
      <w:r w:rsidR="00EF5CBC" w:rsidRPr="00CD6F0D">
        <w:t> </w:t>
      </w:r>
      <w:r w:rsidRPr="00CD6F0D">
        <w:t>:</w:t>
      </w:r>
    </w:p>
    <w:p w:rsidR="00D63FC0" w:rsidRPr="00CD6F0D" w:rsidRDefault="006A6D33" w:rsidP="00FF2DA8">
      <w:pPr>
        <w:pStyle w:val="ONUMFS"/>
        <w:numPr>
          <w:ilvl w:val="1"/>
          <w:numId w:val="3"/>
        </w:numPr>
      </w:pPr>
      <w:r w:rsidRPr="00CD6F0D">
        <w:t>insertion</w:t>
      </w:r>
      <w:r w:rsidR="009D698F" w:rsidRPr="00CD6F0D">
        <w:t xml:space="preserve"> d</w:t>
      </w:r>
      <w:r w:rsidR="00FF2DA8" w:rsidRPr="00CD6F0D">
        <w:t>’</w:t>
      </w:r>
      <w:r w:rsidR="009D698F" w:rsidRPr="00CD6F0D">
        <w:t xml:space="preserve">une référence précise au fait que les </w:t>
      </w:r>
      <w:r w:rsidR="00553083" w:rsidRPr="00CD6F0D">
        <w:rPr>
          <w:rStyle w:val="Emphasis"/>
          <w:b w:val="0"/>
          <w:color w:val="222222"/>
        </w:rPr>
        <w:t>réserves excédentaires</w:t>
      </w:r>
      <w:r w:rsidR="00553083" w:rsidRPr="00CD6F0D">
        <w:rPr>
          <w:rStyle w:val="st"/>
          <w:color w:val="222222"/>
        </w:rPr>
        <w:t xml:space="preserve"> </w:t>
      </w:r>
      <w:r w:rsidR="009D698F" w:rsidRPr="00CD6F0D">
        <w:t>en francs suisses</w:t>
      </w:r>
      <w:r w:rsidR="00E96F5B">
        <w:t xml:space="preserve"> sans utilisation immédiate seraie</w:t>
      </w:r>
      <w:r w:rsidR="009D698F" w:rsidRPr="00CD6F0D">
        <w:t>nt placées en dépôt auprès de la Banque nationale suisse</w:t>
      </w:r>
      <w:r w:rsidR="003C4DA3">
        <w:t xml:space="preserve"> (BNS)</w:t>
      </w:r>
      <w:r w:rsidR="009D698F" w:rsidRPr="00CD6F0D">
        <w:t>, à moins que des taux de rendement plus élevés puissent être obtenus d</w:t>
      </w:r>
      <w:r w:rsidR="00FF2DA8" w:rsidRPr="00CD6F0D">
        <w:t>’</w:t>
      </w:r>
      <w:r w:rsidR="009D698F" w:rsidRPr="00CD6F0D">
        <w:t xml:space="preserve">autres banques </w:t>
      </w:r>
      <w:r w:rsidR="00553083" w:rsidRPr="00CD6F0D">
        <w:t>créditées de</w:t>
      </w:r>
      <w:r w:rsidR="009D698F" w:rsidRPr="00CD6F0D">
        <w:t xml:space="preserve"> la notation requise (c</w:t>
      </w:r>
      <w:r w:rsidR="00FF2DA8" w:rsidRPr="00CD6F0D">
        <w:t>’</w:t>
      </w:r>
      <w:r w:rsidR="009D698F" w:rsidRPr="00CD6F0D">
        <w:t>est</w:t>
      </w:r>
      <w:r w:rsidR="00E35368" w:rsidRPr="00CD6F0D">
        <w:noBreakHyphen/>
      </w:r>
      <w:r w:rsidR="009D698F" w:rsidRPr="00CD6F0D">
        <w:t>à</w:t>
      </w:r>
      <w:r w:rsidR="00E35368" w:rsidRPr="00CD6F0D">
        <w:noBreakHyphen/>
      </w:r>
      <w:r w:rsidR="009D698F" w:rsidRPr="00CD6F0D">
        <w:t>dire l</w:t>
      </w:r>
      <w:r w:rsidR="00FF2DA8" w:rsidRPr="00CD6F0D">
        <w:t>’</w:t>
      </w:r>
      <w:r w:rsidR="009D698F" w:rsidRPr="00CD6F0D">
        <w:t xml:space="preserve">équivalent de </w:t>
      </w:r>
      <w:r w:rsidR="00A162B0" w:rsidRPr="00CD6F0D">
        <w:t>AA</w:t>
      </w:r>
      <w:r w:rsidR="00A162B0" w:rsidRPr="00CD6F0D">
        <w:noBreakHyphen/>
      </w:r>
      <w:bookmarkStart w:id="5" w:name="_GoBack"/>
      <w:bookmarkEnd w:id="5"/>
      <w:r w:rsidR="009D698F" w:rsidRPr="00CD6F0D">
        <w:t xml:space="preserve"> selon Standard &amp;</w:t>
      </w:r>
      <w:r w:rsidR="00E35368" w:rsidRPr="00CD6F0D">
        <w:t> </w:t>
      </w:r>
      <w:proofErr w:type="spellStart"/>
      <w:r w:rsidR="009D698F" w:rsidRPr="00CD6F0D">
        <w:t>Poor</w:t>
      </w:r>
      <w:r w:rsidR="00FF2DA8" w:rsidRPr="00CD6F0D">
        <w:t>’</w:t>
      </w:r>
      <w:r w:rsidR="009D698F" w:rsidRPr="00CD6F0D">
        <w:t>s</w:t>
      </w:r>
      <w:proofErr w:type="spellEnd"/>
      <w:r w:rsidR="009D698F" w:rsidRPr="00CD6F0D">
        <w:t xml:space="preserve"> et Aa3 selon Moody);</w:t>
      </w:r>
    </w:p>
    <w:p w:rsidR="00D63FC0" w:rsidRPr="00CD6F0D" w:rsidRDefault="009D698F" w:rsidP="00FF2DA8">
      <w:pPr>
        <w:pStyle w:val="ONUMFS"/>
        <w:numPr>
          <w:ilvl w:val="1"/>
          <w:numId w:val="3"/>
        </w:numPr>
      </w:pPr>
      <w:r w:rsidRPr="00CD6F0D">
        <w:lastRenderedPageBreak/>
        <w:t>élimination de toute référence à l</w:t>
      </w:r>
      <w:r w:rsidR="00FF2DA8" w:rsidRPr="00CD6F0D">
        <w:t>’</w:t>
      </w:r>
      <w:r w:rsidRPr="00CD6F0D">
        <w:t xml:space="preserve">utilisation de gestionnaires de placements extérieurs; </w:t>
      </w:r>
      <w:r w:rsidR="00EF5CBC" w:rsidRPr="00CD6F0D">
        <w:t xml:space="preserve"> </w:t>
      </w:r>
      <w:r w:rsidRPr="00CD6F0D">
        <w:t>et</w:t>
      </w:r>
    </w:p>
    <w:p w:rsidR="00FF2DA8" w:rsidRPr="00CD6F0D" w:rsidRDefault="009D698F" w:rsidP="00FF2DA8">
      <w:pPr>
        <w:pStyle w:val="ONUMFS"/>
        <w:numPr>
          <w:ilvl w:val="1"/>
          <w:numId w:val="3"/>
        </w:numPr>
      </w:pPr>
      <w:r w:rsidRPr="00CD6F0D">
        <w:t>mention de l</w:t>
      </w:r>
      <w:r w:rsidR="00FF2DA8" w:rsidRPr="00CD6F0D">
        <w:t>’</w:t>
      </w:r>
      <w:r w:rsidRPr="00CD6F0D">
        <w:t xml:space="preserve">obligation, pour les </w:t>
      </w:r>
      <w:r w:rsidR="0037011E" w:rsidRPr="00CD6F0D">
        <w:t>partenaires financiers de l</w:t>
      </w:r>
      <w:r w:rsidR="00FF2DA8" w:rsidRPr="00CD6F0D">
        <w:t>’</w:t>
      </w:r>
      <w:r w:rsidR="0037011E" w:rsidRPr="00CD6F0D">
        <w:t>OMPI autre</w:t>
      </w:r>
      <w:r w:rsidR="006A6D33" w:rsidRPr="00CD6F0D">
        <w:t xml:space="preserve">s que </w:t>
      </w:r>
      <w:r w:rsidR="004E3879" w:rsidRPr="00CD6F0D">
        <w:t>ceux</w:t>
      </w:r>
      <w:r w:rsidRPr="00CD6F0D">
        <w:t xml:space="preserve"> exposés au risque souverain (</w:t>
      </w:r>
      <w:r w:rsidR="0037011E" w:rsidRPr="00CD6F0D">
        <w:t xml:space="preserve">comme la </w:t>
      </w:r>
      <w:r w:rsidRPr="00CD6F0D">
        <w:t>Banque nation</w:t>
      </w:r>
      <w:r w:rsidR="006A6D33" w:rsidRPr="00CD6F0D">
        <w:t xml:space="preserve">ale suisse), de satisfaire aux </w:t>
      </w:r>
      <w:r w:rsidR="0056474F">
        <w:t>10 </w:t>
      </w:r>
      <w:r w:rsidRPr="00CD6F0D">
        <w:t xml:space="preserve">principes énoncés dans le Pacte </w:t>
      </w:r>
      <w:r w:rsidR="003C4DA3">
        <w:t>mondial</w:t>
      </w:r>
      <w:r w:rsidRPr="00CD6F0D">
        <w:t xml:space="preserve"> des </w:t>
      </w:r>
      <w:r w:rsidR="00FF2DA8" w:rsidRPr="00CD6F0D">
        <w:t>Nations Unies</w:t>
      </w:r>
      <w:r w:rsidRPr="00CD6F0D">
        <w:t>.</w:t>
      </w:r>
    </w:p>
    <w:p w:rsidR="00D63FC0" w:rsidRPr="00CD6F0D" w:rsidRDefault="009D698F" w:rsidP="00FF2DA8">
      <w:pPr>
        <w:pStyle w:val="ONUMFS"/>
      </w:pPr>
      <w:r w:rsidRPr="00CD6F0D">
        <w:t>Cette politique r</w:t>
      </w:r>
      <w:r w:rsidR="0037011E" w:rsidRPr="00CD6F0D">
        <w:t>emani</w:t>
      </w:r>
      <w:r w:rsidRPr="00CD6F0D">
        <w:t>ée, plus simple dans son contenu que la version présentée en</w:t>
      </w:r>
      <w:r w:rsidR="00EF5CBC" w:rsidRPr="00CD6F0D">
        <w:t> </w:t>
      </w:r>
      <w:r w:rsidRPr="00CD6F0D">
        <w:t>2010, tient fidèlement compte de la pratique actuelle.</w:t>
      </w:r>
    </w:p>
    <w:p w:rsidR="00D63FC0" w:rsidRPr="00CD6F0D" w:rsidRDefault="00B978A1" w:rsidP="00FF2DA8">
      <w:pPr>
        <w:pStyle w:val="ONUMFS"/>
      </w:pPr>
      <w:r w:rsidRPr="00CD6F0D">
        <w:t xml:space="preserve">Suite aux </w:t>
      </w:r>
      <w:r w:rsidR="00754834" w:rsidRPr="00CD6F0D">
        <w:t>faits nouveaux</w:t>
      </w:r>
      <w:r w:rsidRPr="00CD6F0D">
        <w:t xml:space="preserve"> présentés ci</w:t>
      </w:r>
      <w:r w:rsidR="00E35368" w:rsidRPr="00CD6F0D">
        <w:noBreakHyphen/>
      </w:r>
      <w:r w:rsidRPr="00CD6F0D">
        <w:t>dessous, le Secrétariat a mis au point une série de propositions qui seront complétées sur la base des informations reçues des États membres.</w:t>
      </w:r>
    </w:p>
    <w:p w:rsidR="00D63FC0" w:rsidRPr="00CD6F0D" w:rsidRDefault="00E35368" w:rsidP="00E35368">
      <w:pPr>
        <w:pStyle w:val="Heading1"/>
      </w:pPr>
      <w:r w:rsidRPr="00CD6F0D">
        <w:t>Faits nouveaux</w:t>
      </w:r>
    </w:p>
    <w:p w:rsidR="00FF2DA8" w:rsidRPr="00CD6F0D" w:rsidRDefault="0037011E" w:rsidP="00E35368">
      <w:pPr>
        <w:pStyle w:val="Heading3"/>
      </w:pPr>
      <w:r w:rsidRPr="00CD6F0D">
        <w:t>Compte bancaire de</w:t>
      </w:r>
      <w:r w:rsidR="006A6D33" w:rsidRPr="00CD6F0D">
        <w:t xml:space="preserve"> l</w:t>
      </w:r>
      <w:r w:rsidR="00FF2DA8" w:rsidRPr="00CD6F0D">
        <w:t>’</w:t>
      </w:r>
      <w:r w:rsidR="006A6D33" w:rsidRPr="00CD6F0D">
        <w:t>OMPI</w:t>
      </w:r>
    </w:p>
    <w:p w:rsidR="00D63FC0" w:rsidRPr="00CD6F0D" w:rsidRDefault="00D63FC0"/>
    <w:p w:rsidR="00D63FC0" w:rsidRPr="00CD6F0D" w:rsidRDefault="009B1674" w:rsidP="00E35368">
      <w:pPr>
        <w:pStyle w:val="ONUMFS"/>
      </w:pPr>
      <w:r w:rsidRPr="00CD6F0D">
        <w:t xml:space="preserve">Dans une lettre datée du </w:t>
      </w:r>
      <w:r w:rsidR="00FF2DA8" w:rsidRPr="00CD6F0D">
        <w:t>9 avril 20</w:t>
      </w:r>
      <w:r w:rsidRPr="00CD6F0D">
        <w:t>14, la Banque nationale suisse a informé le Directeur général de l</w:t>
      </w:r>
      <w:r w:rsidR="00FF2DA8" w:rsidRPr="00CD6F0D">
        <w:t>’</w:t>
      </w:r>
      <w:r w:rsidRPr="00CD6F0D">
        <w:t xml:space="preserve">OMPI que, </w:t>
      </w:r>
      <w:r w:rsidR="004E3879" w:rsidRPr="00CD6F0D">
        <w:t>compte tenu de</w:t>
      </w:r>
      <w:r w:rsidR="0037011E" w:rsidRPr="00CD6F0D">
        <w:t xml:space="preserve"> l</w:t>
      </w:r>
      <w:r w:rsidR="00FF2DA8" w:rsidRPr="00CD6F0D">
        <w:t>’</w:t>
      </w:r>
      <w:r w:rsidR="0037011E" w:rsidRPr="00CD6F0D">
        <w:t>introduction par l</w:t>
      </w:r>
      <w:r w:rsidR="00FF2DA8" w:rsidRPr="00CD6F0D">
        <w:t>’</w:t>
      </w:r>
      <w:r w:rsidR="0037011E" w:rsidRPr="00CD6F0D">
        <w:t>A</w:t>
      </w:r>
      <w:r w:rsidRPr="00CD6F0D">
        <w:t>dministration fédérale des finances de nouvelles règles concernant l</w:t>
      </w:r>
      <w:r w:rsidR="00FF2DA8" w:rsidRPr="00CD6F0D">
        <w:t>’</w:t>
      </w:r>
      <w:r w:rsidRPr="00CD6F0D">
        <w:t>ouverture et la gestion des comptes de dépôt, l</w:t>
      </w:r>
      <w:r w:rsidR="00FF2DA8" w:rsidRPr="00CD6F0D">
        <w:t>’</w:t>
      </w:r>
      <w:r w:rsidRPr="00CD6F0D">
        <w:t xml:space="preserve">OMPI ne pourrait plus détenir de </w:t>
      </w:r>
      <w:r w:rsidR="0037011E" w:rsidRPr="00CD6F0D">
        <w:t xml:space="preserve">tels </w:t>
      </w:r>
      <w:r w:rsidRPr="00CD6F0D">
        <w:t>comptes auprès de</w:t>
      </w:r>
      <w:r w:rsidR="00FF2DA8" w:rsidRPr="00CD6F0D">
        <w:t xml:space="preserve"> la BNS</w:t>
      </w:r>
      <w:r w:rsidRPr="00CD6F0D">
        <w:t xml:space="preserve">.  Des notifications similaires ont également été </w:t>
      </w:r>
      <w:r w:rsidR="0037011E" w:rsidRPr="00CD6F0D">
        <w:t>adressées à</w:t>
      </w:r>
      <w:r w:rsidRPr="00CD6F0D">
        <w:t xml:space="preserve"> l</w:t>
      </w:r>
      <w:r w:rsidR="00FF2DA8" w:rsidRPr="00CD6F0D">
        <w:t>’</w:t>
      </w:r>
      <w:r w:rsidRPr="00CD6F0D">
        <w:t>Union internationale des télécommunications (UIT) et</w:t>
      </w:r>
      <w:r w:rsidR="0037011E" w:rsidRPr="00CD6F0D">
        <w:t xml:space="preserve"> à</w:t>
      </w:r>
      <w:r w:rsidRPr="00CD6F0D">
        <w:t xml:space="preserve"> l</w:t>
      </w:r>
      <w:r w:rsidR="00FF2DA8" w:rsidRPr="00CD6F0D">
        <w:t>’</w:t>
      </w:r>
      <w:r w:rsidRPr="00CD6F0D">
        <w:t>Union postale universelle (UPU).</w:t>
      </w:r>
      <w:r w:rsidR="00E25FA0" w:rsidRPr="00CD6F0D">
        <w:t xml:space="preserve"> </w:t>
      </w:r>
      <w:r w:rsidR="00416863" w:rsidRPr="00CD6F0D">
        <w:t xml:space="preserve"> </w:t>
      </w:r>
      <w:r w:rsidR="00EE1205" w:rsidRPr="00CD6F0D">
        <w:t xml:space="preserve">Afin de faciliter </w:t>
      </w:r>
      <w:r w:rsidR="00754834" w:rsidRPr="00CD6F0D">
        <w:t>à l</w:t>
      </w:r>
      <w:r w:rsidR="00FF2DA8" w:rsidRPr="00CD6F0D">
        <w:t>’</w:t>
      </w:r>
      <w:r w:rsidR="00754834" w:rsidRPr="00CD6F0D">
        <w:t xml:space="preserve">OMPI </w:t>
      </w:r>
      <w:r w:rsidR="00EE1205" w:rsidRPr="00CD6F0D">
        <w:t>le choix d</w:t>
      </w:r>
      <w:r w:rsidR="00FF2DA8" w:rsidRPr="00CD6F0D">
        <w:t>’</w:t>
      </w:r>
      <w:r w:rsidR="00EE1205" w:rsidRPr="00CD6F0D">
        <w:t xml:space="preserve">autres </w:t>
      </w:r>
      <w:r w:rsidR="0037011E" w:rsidRPr="00CD6F0D">
        <w:t>partenaires</w:t>
      </w:r>
      <w:r w:rsidR="00EE1205" w:rsidRPr="00CD6F0D">
        <w:t xml:space="preserve"> pour</w:t>
      </w:r>
      <w:r w:rsidR="00754834" w:rsidRPr="00CD6F0D">
        <w:t xml:space="preserve"> s</w:t>
      </w:r>
      <w:r w:rsidR="00EE1205" w:rsidRPr="00CD6F0D">
        <w:t>es placements,</w:t>
      </w:r>
      <w:r w:rsidR="00FF2DA8" w:rsidRPr="00CD6F0D">
        <w:t xml:space="preserve"> la BNS</w:t>
      </w:r>
      <w:r w:rsidR="00754834" w:rsidRPr="00CD6F0D">
        <w:t xml:space="preserve"> a décidé d</w:t>
      </w:r>
      <w:r w:rsidR="00FF2DA8" w:rsidRPr="00CD6F0D">
        <w:t>’</w:t>
      </w:r>
      <w:r w:rsidR="00754834" w:rsidRPr="00CD6F0D">
        <w:t>accorder à l</w:t>
      </w:r>
      <w:r w:rsidR="00FF2DA8" w:rsidRPr="00CD6F0D">
        <w:t>’</w:t>
      </w:r>
      <w:r w:rsidR="00754834" w:rsidRPr="00CD6F0D">
        <w:t>Organisation</w:t>
      </w:r>
      <w:r w:rsidR="00EE1205" w:rsidRPr="00CD6F0D">
        <w:t xml:space="preserve"> une période de transition qui se terminera</w:t>
      </w:r>
      <w:r w:rsidR="0037011E" w:rsidRPr="00CD6F0D">
        <w:t xml:space="preserve"> à la</w:t>
      </w:r>
      <w:r w:rsidR="00EE1205" w:rsidRPr="00CD6F0D">
        <w:t xml:space="preserve"> fin </w:t>
      </w:r>
      <w:r w:rsidR="0037011E" w:rsidRPr="00CD6F0D">
        <w:t>de l</w:t>
      </w:r>
      <w:r w:rsidR="00FF2DA8" w:rsidRPr="00CD6F0D">
        <w:t>’</w:t>
      </w:r>
      <w:r w:rsidR="0037011E" w:rsidRPr="00CD6F0D">
        <w:t xml:space="preserve">année </w:t>
      </w:r>
      <w:r w:rsidR="00EE1205" w:rsidRPr="00CD6F0D">
        <w:t>2015.</w:t>
      </w:r>
      <w:r w:rsidR="00416863" w:rsidRPr="00CD6F0D">
        <w:t xml:space="preserve">  </w:t>
      </w:r>
      <w:r w:rsidR="001F23AF" w:rsidRPr="00CD6F0D">
        <w:t>L</w:t>
      </w:r>
      <w:r w:rsidR="00FF2DA8" w:rsidRPr="00CD6F0D">
        <w:t>’</w:t>
      </w:r>
      <w:r w:rsidR="001F23AF" w:rsidRPr="00CD6F0D">
        <w:t>OMPI est donc priée de donner à</w:t>
      </w:r>
      <w:r w:rsidR="00FF2DA8" w:rsidRPr="00CD6F0D">
        <w:t xml:space="preserve"> la BNS</w:t>
      </w:r>
      <w:r w:rsidR="001F23AF" w:rsidRPr="00CD6F0D">
        <w:t xml:space="preserve"> ses instructions concernant le transfert de ses dépôts et la clôture ultérieure de ses comptes au plus tard le </w:t>
      </w:r>
      <w:r w:rsidR="00FF2DA8" w:rsidRPr="00CD6F0D">
        <w:t>1</w:t>
      </w:r>
      <w:r w:rsidR="00FF2DA8" w:rsidRPr="00CD6F0D">
        <w:rPr>
          <w:vertAlign w:val="superscript"/>
        </w:rPr>
        <w:t>er</w:t>
      </w:r>
      <w:r w:rsidR="00FF2DA8" w:rsidRPr="00CD6F0D">
        <w:t> décembre 20</w:t>
      </w:r>
      <w:r w:rsidR="001F23AF" w:rsidRPr="00CD6F0D">
        <w:t>15.</w:t>
      </w:r>
    </w:p>
    <w:p w:rsidR="00FF2DA8" w:rsidRPr="00CD6F0D" w:rsidRDefault="001F23AF" w:rsidP="00E35368">
      <w:pPr>
        <w:pStyle w:val="ONUMFS"/>
      </w:pPr>
      <w:r w:rsidRPr="00CD6F0D">
        <w:t>Le Directeur général est en discussion avec les autorités suisses à ce sujet.</w:t>
      </w:r>
      <w:r w:rsidR="00C43AF0" w:rsidRPr="00CD6F0D">
        <w:t xml:space="preserve">  </w:t>
      </w:r>
      <w:r w:rsidRPr="00CD6F0D">
        <w:t>Cette évolution est lourde de conséquence</w:t>
      </w:r>
      <w:r w:rsidR="004E3879" w:rsidRPr="00CD6F0D">
        <w:t>s</w:t>
      </w:r>
      <w:r w:rsidRPr="00CD6F0D">
        <w:t xml:space="preserve"> pour l</w:t>
      </w:r>
      <w:r w:rsidR="00FF2DA8" w:rsidRPr="00CD6F0D">
        <w:t>’</w:t>
      </w:r>
      <w:r w:rsidRPr="00CD6F0D">
        <w:t>Organisation, comme indiqué ci</w:t>
      </w:r>
      <w:r w:rsidR="00E35368" w:rsidRPr="00CD6F0D">
        <w:noBreakHyphen/>
      </w:r>
      <w:r w:rsidRPr="00CD6F0D">
        <w:t>après.</w:t>
      </w:r>
    </w:p>
    <w:p w:rsidR="00D63FC0" w:rsidRPr="00CD6F0D" w:rsidRDefault="00E35368" w:rsidP="00E35368">
      <w:pPr>
        <w:pStyle w:val="Heading1"/>
      </w:pPr>
      <w:r w:rsidRPr="00CD6F0D">
        <w:t>Politique de l’OMPI en matière de placements</w:t>
      </w:r>
    </w:p>
    <w:p w:rsidR="00D63FC0" w:rsidRPr="00CD6F0D" w:rsidRDefault="00843ABE" w:rsidP="00E35368">
      <w:pPr>
        <w:pStyle w:val="Heading3"/>
      </w:pPr>
      <w:r w:rsidRPr="00CD6F0D">
        <w:t>Notation</w:t>
      </w:r>
    </w:p>
    <w:p w:rsidR="00E35368" w:rsidRPr="00CD6F0D" w:rsidRDefault="00E35368" w:rsidP="00E35368"/>
    <w:p w:rsidR="00D63FC0" w:rsidRPr="00CD6F0D" w:rsidRDefault="00177B49" w:rsidP="00E35368">
      <w:pPr>
        <w:pStyle w:val="ONUMFS"/>
      </w:pPr>
      <w:r w:rsidRPr="00CD6F0D">
        <w:t>Ainsi que l</w:t>
      </w:r>
      <w:r w:rsidR="00FF2DA8" w:rsidRPr="00CD6F0D">
        <w:t>’</w:t>
      </w:r>
      <w:r w:rsidRPr="00CD6F0D">
        <w:t>indique le</w:t>
      </w:r>
      <w:r w:rsidR="006B7892" w:rsidRPr="00CD6F0D">
        <w:t xml:space="preserve"> paragraph</w:t>
      </w:r>
      <w:r w:rsidRPr="00CD6F0D">
        <w:t>e</w:t>
      </w:r>
      <w:r w:rsidR="00EF5CBC" w:rsidRPr="00CD6F0D">
        <w:t> </w:t>
      </w:r>
      <w:r w:rsidR="006B7892" w:rsidRPr="00CD6F0D">
        <w:t xml:space="preserve">2, </w:t>
      </w:r>
      <w:r w:rsidRPr="00CD6F0D">
        <w:t>cette</w:t>
      </w:r>
      <w:r w:rsidR="006B7892" w:rsidRPr="00CD6F0D">
        <w:t xml:space="preserve"> poli</w:t>
      </w:r>
      <w:r w:rsidRPr="00CD6F0D">
        <w:t xml:space="preserve">tique </w:t>
      </w:r>
      <w:r w:rsidR="004E3879" w:rsidRPr="00CD6F0D">
        <w:t>stipule que</w:t>
      </w:r>
      <w:r w:rsidR="006B7892" w:rsidRPr="00CD6F0D">
        <w:t xml:space="preserve"> </w:t>
      </w:r>
      <w:r w:rsidRPr="00CD6F0D">
        <w:t>tous les placements en francs suisses</w:t>
      </w:r>
      <w:r w:rsidR="004E3879" w:rsidRPr="00CD6F0D">
        <w:t xml:space="preserve"> doivent être effectués</w:t>
      </w:r>
      <w:r w:rsidR="006B7892" w:rsidRPr="00CD6F0D">
        <w:t xml:space="preserve"> “</w:t>
      </w:r>
      <w:r w:rsidRPr="00CD6F0D">
        <w:t>auprès de la BNS pour autant que le taux proposé soit supérieur à celui disponible auprès de banques commerciales possédant une notation satisfaisante</w:t>
      </w:r>
      <w:r w:rsidR="006B7892" w:rsidRPr="00CD6F0D">
        <w:t xml:space="preserve">”.  </w:t>
      </w:r>
      <w:r w:rsidRPr="00CD6F0D">
        <w:t>Par ailleurs</w:t>
      </w:r>
      <w:r w:rsidR="006B7892" w:rsidRPr="00CD6F0D">
        <w:t xml:space="preserve">, </w:t>
      </w:r>
      <w:r w:rsidR="004E3879" w:rsidRPr="00CD6F0D">
        <w:t xml:space="preserve">elle précise </w:t>
      </w:r>
      <w:r w:rsidRPr="00CD6F0D">
        <w:t>que les</w:t>
      </w:r>
      <w:r w:rsidR="006B7892" w:rsidRPr="00CD6F0D">
        <w:t xml:space="preserve"> </w:t>
      </w:r>
      <w:r w:rsidRPr="00CD6F0D">
        <w:t>placements autres que ceux effectués auprès de</w:t>
      </w:r>
      <w:r w:rsidR="00FF2DA8" w:rsidRPr="00CD6F0D">
        <w:t xml:space="preserve"> la BNS</w:t>
      </w:r>
      <w:r w:rsidRPr="00CD6F0D">
        <w:t xml:space="preserve"> </w:t>
      </w:r>
      <w:r w:rsidR="006B7892" w:rsidRPr="00CD6F0D">
        <w:t>“</w:t>
      </w:r>
      <w:r w:rsidRPr="00CD6F0D">
        <w:t>se limitent aux fonds du marché monétaire et aux dépôts à terme auprès de banques notées AA</w:t>
      </w:r>
      <w:r w:rsidR="00E35368" w:rsidRPr="00CD6F0D">
        <w:noBreakHyphen/>
      </w:r>
      <w:r w:rsidRPr="00CD6F0D">
        <w:t>, Aa3 ou plus</w:t>
      </w:r>
      <w:r w:rsidR="0056474F">
        <w:t>…</w:t>
      </w:r>
      <w:r w:rsidR="006B7892" w:rsidRPr="00CD6F0D">
        <w:t>”</w:t>
      </w:r>
      <w:r w:rsidR="00791E9A" w:rsidRPr="00CD6F0D">
        <w:t>.</w:t>
      </w:r>
    </w:p>
    <w:p w:rsidR="00D63FC0" w:rsidRPr="00CD6F0D" w:rsidRDefault="00BF3295" w:rsidP="00E35368">
      <w:pPr>
        <w:pStyle w:val="ONUMFS"/>
      </w:pPr>
      <w:r w:rsidRPr="00CD6F0D">
        <w:t>Le tableau</w:t>
      </w:r>
      <w:r w:rsidR="00EF5CBC" w:rsidRPr="00CD6F0D">
        <w:t> </w:t>
      </w:r>
      <w:r w:rsidRPr="00CD6F0D">
        <w:t xml:space="preserve">1 </w:t>
      </w:r>
      <w:r w:rsidR="00843ABE" w:rsidRPr="00CD6F0D">
        <w:t>présente</w:t>
      </w:r>
      <w:r w:rsidRPr="00CD6F0D">
        <w:t xml:space="preserve"> les taux d</w:t>
      </w:r>
      <w:r w:rsidR="00FF2DA8" w:rsidRPr="00CD6F0D">
        <w:t>’</w:t>
      </w:r>
      <w:r w:rsidRPr="00CD6F0D">
        <w:t xml:space="preserve">intérêt </w:t>
      </w:r>
      <w:r w:rsidR="00843ABE" w:rsidRPr="00CD6F0D">
        <w:t>servis</w:t>
      </w:r>
      <w:r w:rsidRPr="00CD6F0D">
        <w:t xml:space="preserve"> par</w:t>
      </w:r>
      <w:r w:rsidR="00FF2DA8" w:rsidRPr="00CD6F0D">
        <w:t xml:space="preserve"> la BNS</w:t>
      </w:r>
      <w:r w:rsidRPr="00CD6F0D">
        <w:t xml:space="preserve"> depuis </w:t>
      </w:r>
      <w:r w:rsidR="00FF2DA8" w:rsidRPr="00CD6F0D">
        <w:t>janvier 20</w:t>
      </w:r>
      <w:r w:rsidRPr="00CD6F0D">
        <w:t>09 et les compare avec les taux de rémunération</w:t>
      </w:r>
      <w:r w:rsidR="00F3182E" w:rsidRPr="00CD6F0D">
        <w:t xml:space="preserve"> </w:t>
      </w:r>
      <w:r w:rsidRPr="00CD6F0D">
        <w:t xml:space="preserve">des dépôts </w:t>
      </w:r>
      <w:r w:rsidR="00843ABE" w:rsidRPr="00CD6F0D">
        <w:t>sur six</w:t>
      </w:r>
      <w:r w:rsidR="00EF5CBC" w:rsidRPr="00CD6F0D">
        <w:t> </w:t>
      </w:r>
      <w:r w:rsidR="00843ABE" w:rsidRPr="00CD6F0D">
        <w:t>mois proposés</w:t>
      </w:r>
      <w:r w:rsidRPr="00CD6F0D">
        <w:t xml:space="preserve"> par le Crédit Suisse (notation à long terme </w:t>
      </w:r>
      <w:proofErr w:type="gramStart"/>
      <w:r w:rsidRPr="00CD6F0D">
        <w:t>de A/A1</w:t>
      </w:r>
      <w:proofErr w:type="gramEnd"/>
      <w:r w:rsidRPr="00CD6F0D">
        <w:t>).</w:t>
      </w:r>
      <w:r w:rsidR="005976A6" w:rsidRPr="00CD6F0D">
        <w:t xml:space="preserve">  </w:t>
      </w:r>
      <w:r w:rsidRPr="00CD6F0D">
        <w:t xml:space="preserve">Les taux </w:t>
      </w:r>
      <w:r w:rsidR="00843ABE" w:rsidRPr="00CD6F0D">
        <w:t xml:space="preserve">proposés </w:t>
      </w:r>
      <w:r w:rsidRPr="00CD6F0D">
        <w:t xml:space="preserve">par le Crédit Suisse sont comparables à ceux </w:t>
      </w:r>
      <w:r w:rsidR="00843ABE" w:rsidRPr="00CD6F0D">
        <w:t>servis par les</w:t>
      </w:r>
      <w:r w:rsidRPr="00CD6F0D">
        <w:t xml:space="preserve"> autres banques au cours de la même période.</w:t>
      </w:r>
    </w:p>
    <w:p w:rsidR="00E35368" w:rsidRPr="00CD6F0D" w:rsidRDefault="00E35368">
      <w:r w:rsidRPr="00CD6F0D">
        <w:br w:type="page"/>
      </w:r>
    </w:p>
    <w:p w:rsidR="00D63FC0" w:rsidRPr="00CD6F0D" w:rsidRDefault="00C2471B" w:rsidP="00E35368">
      <w:pPr>
        <w:jc w:val="center"/>
      </w:pPr>
      <w:r w:rsidRPr="00CD6F0D">
        <w:lastRenderedPageBreak/>
        <w:t>Table</w:t>
      </w:r>
      <w:r w:rsidR="00BA3D90" w:rsidRPr="00CD6F0D">
        <w:t>au</w:t>
      </w:r>
      <w:r w:rsidR="00EF5CBC" w:rsidRPr="00CD6F0D">
        <w:t> </w:t>
      </w:r>
      <w:r w:rsidRPr="00CD6F0D">
        <w:t>1</w:t>
      </w:r>
    </w:p>
    <w:p w:rsidR="00E35368" w:rsidRPr="00CD6F0D" w:rsidRDefault="00E35368" w:rsidP="00E35368">
      <w:pPr>
        <w:jc w:val="center"/>
      </w:pPr>
    </w:p>
    <w:p w:rsidR="00E35368" w:rsidRPr="00CD6F0D" w:rsidRDefault="00E96F5B" w:rsidP="00E35368">
      <w:pPr>
        <w:jc w:val="center"/>
      </w:pPr>
      <w:r w:rsidRPr="00E96F5B">
        <w:rPr>
          <w:noProof/>
          <w:lang w:val="en-US" w:eastAsia="en-US"/>
        </w:rPr>
        <w:drawing>
          <wp:inline distT="0" distB="0" distL="0" distR="0">
            <wp:extent cx="4916794" cy="52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6794" cy="5220000"/>
                    </a:xfrm>
                    <a:prstGeom prst="rect">
                      <a:avLst/>
                    </a:prstGeom>
                    <a:noFill/>
                    <a:ln>
                      <a:noFill/>
                    </a:ln>
                  </pic:spPr>
                </pic:pic>
              </a:graphicData>
            </a:graphic>
          </wp:inline>
        </w:drawing>
      </w:r>
    </w:p>
    <w:p w:rsidR="00D63FC0" w:rsidRPr="00CD6F0D" w:rsidRDefault="00D63FC0" w:rsidP="00E35368"/>
    <w:p w:rsidR="00FF2DA8" w:rsidRPr="00CD6F0D" w:rsidRDefault="002C51F0" w:rsidP="00E35368">
      <w:pPr>
        <w:pStyle w:val="ONUMFS"/>
      </w:pPr>
      <w:r w:rsidRPr="00CD6F0D">
        <w:t xml:space="preserve">Il ressort du tableau que les taux </w:t>
      </w:r>
      <w:r w:rsidR="00843ABE" w:rsidRPr="00CD6F0D">
        <w:t>servis</w:t>
      </w:r>
      <w:r w:rsidRPr="00CD6F0D">
        <w:t xml:space="preserve"> par</w:t>
      </w:r>
      <w:r w:rsidR="00FF2DA8" w:rsidRPr="00CD6F0D">
        <w:t xml:space="preserve"> la BNS</w:t>
      </w:r>
      <w:r w:rsidRPr="00CD6F0D">
        <w:t xml:space="preserve"> ont toujours été </w:t>
      </w:r>
      <w:r w:rsidR="00EF3499" w:rsidRPr="00CD6F0D">
        <w:t>supérieurs à</w:t>
      </w:r>
      <w:r w:rsidRPr="00CD6F0D">
        <w:t xml:space="preserve"> ceux </w:t>
      </w:r>
      <w:r w:rsidR="00EF3499" w:rsidRPr="00CD6F0D">
        <w:t>disponibles ailleurs</w:t>
      </w:r>
      <w:r w:rsidRPr="00CD6F0D">
        <w:t>.</w:t>
      </w:r>
      <w:r w:rsidR="00791E9A" w:rsidRPr="00CD6F0D">
        <w:t xml:space="preserve">  </w:t>
      </w:r>
      <w:r w:rsidR="00EF3499" w:rsidRPr="00CD6F0D">
        <w:t>En outre, les banques commerciales</w:t>
      </w:r>
      <w:r w:rsidR="00BC0C97" w:rsidRPr="00CD6F0D">
        <w:t xml:space="preserve"> </w:t>
      </w:r>
      <w:r w:rsidR="00EF3499" w:rsidRPr="00CD6F0D">
        <w:t xml:space="preserve">ont </w:t>
      </w:r>
      <w:r w:rsidR="00BC0C97" w:rsidRPr="00CD6F0D">
        <w:t xml:space="preserve">été </w:t>
      </w:r>
      <w:r w:rsidR="00EF3499" w:rsidRPr="00CD6F0D">
        <w:t>incapables de rivaliser avec les rendements proposés par</w:t>
      </w:r>
      <w:r w:rsidR="00FF2DA8" w:rsidRPr="00CD6F0D">
        <w:t xml:space="preserve"> la BNS</w:t>
      </w:r>
      <w:r w:rsidR="00EF3499" w:rsidRPr="00CD6F0D">
        <w:t xml:space="preserve">, </w:t>
      </w:r>
      <w:r w:rsidR="00BC0C97" w:rsidRPr="00CD6F0D">
        <w:t>et les partenaires bancaires de</w:t>
      </w:r>
      <w:r w:rsidR="00EF3499" w:rsidRPr="00CD6F0D">
        <w:t xml:space="preserve"> l</w:t>
      </w:r>
      <w:r w:rsidR="00FF2DA8" w:rsidRPr="00CD6F0D">
        <w:t>’</w:t>
      </w:r>
      <w:r w:rsidR="00EF3499" w:rsidRPr="00CD6F0D">
        <w:t xml:space="preserve">OMPI </w:t>
      </w:r>
      <w:r w:rsidR="00BC0C97" w:rsidRPr="00CD6F0D">
        <w:t>ne sont pas crédité</w:t>
      </w:r>
      <w:r w:rsidR="00EF3499" w:rsidRPr="00CD6F0D">
        <w:t>s de la notation exigée par la politique de l</w:t>
      </w:r>
      <w:r w:rsidR="00FF2DA8" w:rsidRPr="00CD6F0D">
        <w:t>’</w:t>
      </w:r>
      <w:r w:rsidR="00EF3499" w:rsidRPr="00CD6F0D">
        <w:t>OMPI en matière de placements (tableau</w:t>
      </w:r>
      <w:r w:rsidR="00EF5CBC" w:rsidRPr="00CD6F0D">
        <w:t> </w:t>
      </w:r>
      <w:r w:rsidR="00EF3499" w:rsidRPr="00CD6F0D">
        <w:t>2).</w:t>
      </w:r>
    </w:p>
    <w:p w:rsidR="00614B7E" w:rsidRPr="00CD6F0D" w:rsidRDefault="00614B7E">
      <w:r w:rsidRPr="00CD6F0D">
        <w:br w:type="page"/>
      </w:r>
    </w:p>
    <w:p w:rsidR="00D63FC0" w:rsidRPr="00CD6F0D" w:rsidRDefault="00EF3499" w:rsidP="00E35368">
      <w:pPr>
        <w:jc w:val="center"/>
      </w:pPr>
      <w:r w:rsidRPr="00CD6F0D">
        <w:t>Tableau</w:t>
      </w:r>
      <w:r w:rsidR="00EF5CBC" w:rsidRPr="00CD6F0D">
        <w:t> </w:t>
      </w:r>
      <w:r w:rsidRPr="00CD6F0D">
        <w:t>2</w:t>
      </w:r>
    </w:p>
    <w:p w:rsidR="00D63FC0" w:rsidRPr="00CD6F0D" w:rsidRDefault="00D63FC0" w:rsidP="00E35368"/>
    <w:p w:rsidR="00D63FC0" w:rsidRPr="00CD6F0D" w:rsidRDefault="005E183E" w:rsidP="00614B7E">
      <w:pPr>
        <w:jc w:val="center"/>
      </w:pPr>
      <w:r w:rsidRPr="005E183E">
        <w:rPr>
          <w:noProof/>
          <w:lang w:val="en-US" w:eastAsia="en-US"/>
        </w:rPr>
        <w:drawing>
          <wp:inline distT="0" distB="0" distL="0" distR="0">
            <wp:extent cx="3942272" cy="4596224"/>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2405" cy="4596379"/>
                    </a:xfrm>
                    <a:prstGeom prst="rect">
                      <a:avLst/>
                    </a:prstGeom>
                    <a:noFill/>
                    <a:ln>
                      <a:noFill/>
                    </a:ln>
                  </pic:spPr>
                </pic:pic>
              </a:graphicData>
            </a:graphic>
          </wp:inline>
        </w:drawing>
      </w:r>
    </w:p>
    <w:p w:rsidR="00D63FC0" w:rsidRPr="00CD6F0D" w:rsidRDefault="00D63FC0" w:rsidP="00E35368"/>
    <w:p w:rsidR="00FF2DA8" w:rsidRPr="00CD6F0D" w:rsidRDefault="00555E26" w:rsidP="00614B7E">
      <w:pPr>
        <w:pStyle w:val="ONUMFS"/>
      </w:pPr>
      <w:r w:rsidRPr="00CD6F0D">
        <w:t>Une solution possible serait d</w:t>
      </w:r>
      <w:r w:rsidR="00FF2DA8" w:rsidRPr="00CD6F0D">
        <w:t>’</w:t>
      </w:r>
      <w:r w:rsidR="00E04B5A" w:rsidRPr="00CD6F0D">
        <w:t xml:space="preserve">instaurer </w:t>
      </w:r>
      <w:r w:rsidRPr="00CD6F0D">
        <w:t>des relations avec d</w:t>
      </w:r>
      <w:r w:rsidR="00FF2DA8" w:rsidRPr="00CD6F0D">
        <w:t>’</w:t>
      </w:r>
      <w:r w:rsidRPr="00CD6F0D">
        <w:t>autres banques qui satisfont au critère de notation requis.</w:t>
      </w:r>
      <w:r w:rsidR="00DB5303" w:rsidRPr="00CD6F0D">
        <w:t xml:space="preserve">  </w:t>
      </w:r>
      <w:r w:rsidR="0087616C" w:rsidRPr="00CD6F0D">
        <w:t>À</w:t>
      </w:r>
      <w:r w:rsidRPr="00CD6F0D">
        <w:t xml:space="preserve"> cet égard, il </w:t>
      </w:r>
      <w:r w:rsidR="00E04B5A" w:rsidRPr="00CD6F0D">
        <w:t>est</w:t>
      </w:r>
      <w:r w:rsidRPr="00CD6F0D">
        <w:t xml:space="preserve"> utile d</w:t>
      </w:r>
      <w:r w:rsidR="00FF2DA8" w:rsidRPr="00CD6F0D">
        <w:t>’</w:t>
      </w:r>
      <w:r w:rsidRPr="00CD6F0D">
        <w:t>examiner l</w:t>
      </w:r>
      <w:r w:rsidR="00FF2DA8" w:rsidRPr="00CD6F0D">
        <w:t>’</w:t>
      </w:r>
      <w:r w:rsidRPr="00CD6F0D">
        <w:t>expérience d</w:t>
      </w:r>
      <w:r w:rsidR="00FF2DA8" w:rsidRPr="00CD6F0D">
        <w:t>’</w:t>
      </w:r>
      <w:r w:rsidRPr="00CD6F0D">
        <w:t xml:space="preserve">autres </w:t>
      </w:r>
      <w:r w:rsidR="00E04B5A" w:rsidRPr="00CD6F0D">
        <w:t>institutions</w:t>
      </w:r>
      <w:r w:rsidRPr="00CD6F0D">
        <w:t xml:space="preserve"> et organisations.</w:t>
      </w:r>
      <w:r w:rsidR="00DB5303" w:rsidRPr="00CD6F0D">
        <w:t xml:space="preserve">  </w:t>
      </w:r>
      <w:r w:rsidR="0087616C" w:rsidRPr="00CD6F0D">
        <w:t xml:space="preserve">Puisque la majorité des institutions mènent leurs opérations en dollars américains ou en euros, </w:t>
      </w:r>
      <w:r w:rsidR="00E04B5A" w:rsidRPr="00CD6F0D">
        <w:t xml:space="preserve">rares sont les </w:t>
      </w:r>
      <w:r w:rsidR="0087616C" w:rsidRPr="00CD6F0D">
        <w:t xml:space="preserve">institutions spécialisées des </w:t>
      </w:r>
      <w:r w:rsidR="00FF2DA8" w:rsidRPr="00CD6F0D">
        <w:t>Nations Unies</w:t>
      </w:r>
      <w:r w:rsidR="0087616C" w:rsidRPr="00CD6F0D">
        <w:t xml:space="preserve"> </w:t>
      </w:r>
      <w:r w:rsidR="00E96F5B">
        <w:t xml:space="preserve">qui </w:t>
      </w:r>
      <w:r w:rsidR="00E04B5A" w:rsidRPr="00CD6F0D">
        <w:t>disposent d</w:t>
      </w:r>
      <w:r w:rsidR="00FF2DA8" w:rsidRPr="00CD6F0D">
        <w:t>’</w:t>
      </w:r>
      <w:r w:rsidR="0087616C" w:rsidRPr="00CD6F0D">
        <w:t xml:space="preserve">un excédent </w:t>
      </w:r>
      <w:r w:rsidR="00E04B5A" w:rsidRPr="00CD6F0D">
        <w:t>de</w:t>
      </w:r>
      <w:r w:rsidR="0087616C" w:rsidRPr="00CD6F0D">
        <w:t xml:space="preserve"> francs suisses</w:t>
      </w:r>
      <w:r w:rsidR="00E04B5A" w:rsidRPr="00CD6F0D">
        <w:t xml:space="preserve"> à investir</w:t>
      </w:r>
      <w:r w:rsidR="0087616C" w:rsidRPr="00CD6F0D">
        <w:t>.</w:t>
      </w:r>
      <w:r w:rsidR="00385FDE" w:rsidRPr="00CD6F0D">
        <w:t xml:space="preserve">  </w:t>
      </w:r>
      <w:r w:rsidR="0087616C" w:rsidRPr="00CD6F0D">
        <w:t xml:space="preserve">Cependant, </w:t>
      </w:r>
      <w:r w:rsidR="00E04B5A" w:rsidRPr="00CD6F0D">
        <w:t>il ressort de l</w:t>
      </w:r>
      <w:r w:rsidR="00FF2DA8" w:rsidRPr="00CD6F0D">
        <w:t>’</w:t>
      </w:r>
      <w:r w:rsidR="00E04B5A" w:rsidRPr="00CD6F0D">
        <w:t>expérience</w:t>
      </w:r>
      <w:r w:rsidR="0087616C" w:rsidRPr="00CD6F0D">
        <w:t xml:space="preserve"> de deux</w:t>
      </w:r>
      <w:r w:rsidR="00EF5CBC" w:rsidRPr="00CD6F0D">
        <w:t> </w:t>
      </w:r>
      <w:r w:rsidR="0087616C" w:rsidRPr="00CD6F0D">
        <w:t>institutions qui utilisent et investissent des francs suisses, l</w:t>
      </w:r>
      <w:r w:rsidR="00FF2DA8" w:rsidRPr="00CD6F0D">
        <w:t>’</w:t>
      </w:r>
      <w:r w:rsidR="0087616C" w:rsidRPr="00CD6F0D">
        <w:t>Organisation météorologique mondiale (OMM) et l</w:t>
      </w:r>
      <w:r w:rsidR="00FF2DA8" w:rsidRPr="00CD6F0D">
        <w:t>’</w:t>
      </w:r>
      <w:r w:rsidR="0087616C" w:rsidRPr="00CD6F0D">
        <w:t>Organisation internationale du Travail (OIT),</w:t>
      </w:r>
      <w:r w:rsidR="00E96F5B">
        <w:t xml:space="preserve"> que</w:t>
      </w:r>
      <w:r w:rsidR="0087616C" w:rsidRPr="00CD6F0D">
        <w:t xml:space="preserve"> </w:t>
      </w:r>
      <w:r w:rsidR="0056474F">
        <w:t>seuls</w:t>
      </w:r>
      <w:r w:rsidR="0087616C" w:rsidRPr="00CD6F0D">
        <w:t xml:space="preserve"> </w:t>
      </w:r>
      <w:r w:rsidR="00E04B5A" w:rsidRPr="00CD6F0D">
        <w:t>très peu d</w:t>
      </w:r>
      <w:r w:rsidR="00FF2DA8" w:rsidRPr="00CD6F0D">
        <w:t>’</w:t>
      </w:r>
      <w:r w:rsidR="00E04B5A" w:rsidRPr="00CD6F0D">
        <w:t>établissements</w:t>
      </w:r>
      <w:r w:rsidR="0087616C" w:rsidRPr="00CD6F0D">
        <w:t xml:space="preserve"> financiers </w:t>
      </w:r>
      <w:r w:rsidR="00E04B5A" w:rsidRPr="00CD6F0D">
        <w:t>sont</w:t>
      </w:r>
      <w:r w:rsidR="0087616C" w:rsidRPr="00CD6F0D">
        <w:t xml:space="preserve"> actuellement prêts à accepter et à rémunérer </w:t>
      </w:r>
      <w:r w:rsidR="00E96F5B">
        <w:t>d</w:t>
      </w:r>
      <w:r w:rsidR="0087616C" w:rsidRPr="00CD6F0D">
        <w:t xml:space="preserve">es dépôts en francs suisses, et que </w:t>
      </w:r>
      <w:r w:rsidR="00E04B5A" w:rsidRPr="00CD6F0D">
        <w:t>ceux qui existent ont</w:t>
      </w:r>
      <w:r w:rsidR="0087616C" w:rsidRPr="00CD6F0D">
        <w:t xml:space="preserve"> leur siège en Suisse.</w:t>
      </w:r>
      <w:r w:rsidR="00DB5303" w:rsidRPr="00CD6F0D">
        <w:t xml:space="preserve"> </w:t>
      </w:r>
      <w:r w:rsidR="00385FDE" w:rsidRPr="00CD6F0D">
        <w:t xml:space="preserve"> </w:t>
      </w:r>
      <w:r w:rsidR="001F29AC" w:rsidRPr="00CD6F0D">
        <w:t>L</w:t>
      </w:r>
      <w:r w:rsidR="00FF2DA8" w:rsidRPr="00CD6F0D">
        <w:t>’</w:t>
      </w:r>
      <w:r w:rsidR="001F29AC" w:rsidRPr="00CD6F0D">
        <w:t>annexe II donne un aperçu des rendements récemment obtenus par l</w:t>
      </w:r>
      <w:r w:rsidR="00FF2DA8" w:rsidRPr="00CD6F0D">
        <w:t>’</w:t>
      </w:r>
      <w:r w:rsidR="001F29AC" w:rsidRPr="00CD6F0D">
        <w:t>OMM et l</w:t>
      </w:r>
      <w:r w:rsidR="00FF2DA8" w:rsidRPr="00CD6F0D">
        <w:t>’</w:t>
      </w:r>
      <w:r w:rsidR="001F29AC" w:rsidRPr="00CD6F0D">
        <w:t>OIT, ainsi que ceux obtenus par deux</w:t>
      </w:r>
      <w:r w:rsidR="00EF5CBC" w:rsidRPr="00CD6F0D">
        <w:t> </w:t>
      </w:r>
      <w:r w:rsidR="001F29AC" w:rsidRPr="00CD6F0D">
        <w:t>autres organisations qui effectuent des placements en francs suisses, l</w:t>
      </w:r>
      <w:r w:rsidR="00FF2DA8" w:rsidRPr="00CD6F0D">
        <w:t>’</w:t>
      </w:r>
      <w:r w:rsidR="001F29AC" w:rsidRPr="00CD6F0D">
        <w:t>Organisation mondiale du commerce (OMC) et La Mutuelle (un fonds sans but lucratif qui a pour objectif de favoriser l</w:t>
      </w:r>
      <w:r w:rsidR="00FF2DA8" w:rsidRPr="00CD6F0D">
        <w:t>’</w:t>
      </w:r>
      <w:r w:rsidR="001F29AC" w:rsidRPr="00CD6F0D">
        <w:t>entraide entre les fonctionnaires de l</w:t>
      </w:r>
      <w:r w:rsidR="00FF2DA8" w:rsidRPr="00CD6F0D">
        <w:t>’</w:t>
      </w:r>
      <w:r w:rsidR="001F29AC" w:rsidRPr="00CD6F0D">
        <w:t xml:space="preserve">Office des </w:t>
      </w:r>
      <w:r w:rsidR="00FF2DA8" w:rsidRPr="00CD6F0D">
        <w:t>Nations Unies</w:t>
      </w:r>
      <w:r w:rsidR="001F29AC" w:rsidRPr="00CD6F0D">
        <w:t xml:space="preserve"> et des institutions spécialisées des </w:t>
      </w:r>
      <w:r w:rsidR="00FF2DA8" w:rsidRPr="00CD6F0D">
        <w:t>Nations Unies</w:t>
      </w:r>
      <w:r w:rsidR="001F29AC" w:rsidRPr="00CD6F0D">
        <w:t xml:space="preserve"> à Genève).</w:t>
      </w:r>
      <w:r w:rsidR="00DA7CC0" w:rsidRPr="00CD6F0D">
        <w:t xml:space="preserve"> </w:t>
      </w:r>
      <w:r w:rsidR="00385FDE" w:rsidRPr="00CD6F0D">
        <w:t xml:space="preserve"> Les rendements obtenus</w:t>
      </w:r>
      <w:r w:rsidR="00E04B5A" w:rsidRPr="00CD6F0D">
        <w:t xml:space="preserve"> l</w:t>
      </w:r>
      <w:r w:rsidR="00FF2DA8" w:rsidRPr="00CD6F0D">
        <w:t>’</w:t>
      </w:r>
      <w:r w:rsidR="00E04B5A" w:rsidRPr="00CD6F0D">
        <w:t xml:space="preserve">ont été </w:t>
      </w:r>
      <w:r w:rsidR="00385FDE" w:rsidRPr="00CD6F0D">
        <w:t xml:space="preserve">pour des dépôts </w:t>
      </w:r>
      <w:r w:rsidR="00E04B5A" w:rsidRPr="00CD6F0D">
        <w:t xml:space="preserve">effectués </w:t>
      </w:r>
      <w:r w:rsidR="00385FDE" w:rsidRPr="00CD6F0D">
        <w:t>auprès de banques commerciales comme UBS, le Crédit Suisse et</w:t>
      </w:r>
      <w:r w:rsidR="00FF2DA8" w:rsidRPr="00CD6F0D">
        <w:t xml:space="preserve"> la BCG</w:t>
      </w:r>
      <w:r w:rsidR="00385FDE" w:rsidRPr="00CD6F0D">
        <w:t xml:space="preserve">E, ou encore la </w:t>
      </w:r>
      <w:r w:rsidR="00E04B5A" w:rsidRPr="00CD6F0D">
        <w:t>P</w:t>
      </w:r>
      <w:r w:rsidR="00385FDE" w:rsidRPr="00CD6F0D">
        <w:t>oste suisse.</w:t>
      </w:r>
      <w:r w:rsidR="00E04B5A" w:rsidRPr="00CD6F0D">
        <w:t xml:space="preserve">  </w:t>
      </w:r>
      <w:r w:rsidR="00385FDE" w:rsidRPr="00CD6F0D">
        <w:t>L</w:t>
      </w:r>
      <w:r w:rsidR="00FF2DA8" w:rsidRPr="00CD6F0D">
        <w:t>’</w:t>
      </w:r>
      <w:r w:rsidR="00385FDE" w:rsidRPr="00CD6F0D">
        <w:t xml:space="preserve">OMM et </w:t>
      </w:r>
      <w:r w:rsidR="00E04B5A" w:rsidRPr="00CD6F0D">
        <w:t>l</w:t>
      </w:r>
      <w:r w:rsidR="00FF2DA8" w:rsidRPr="00CD6F0D">
        <w:t>’</w:t>
      </w:r>
      <w:r w:rsidR="00E04B5A" w:rsidRPr="00CD6F0D">
        <w:t>O</w:t>
      </w:r>
      <w:r w:rsidR="00385FDE" w:rsidRPr="00CD6F0D">
        <w:t>IT ont indiqué qu</w:t>
      </w:r>
      <w:r w:rsidR="00FF2DA8" w:rsidRPr="00CD6F0D">
        <w:t>’</w:t>
      </w:r>
      <w:r w:rsidR="00E04B5A" w:rsidRPr="00CD6F0D">
        <w:t>elles</w:t>
      </w:r>
      <w:r w:rsidR="00385FDE" w:rsidRPr="00CD6F0D">
        <w:t xml:space="preserve"> avaient essayé d</w:t>
      </w:r>
      <w:r w:rsidR="00FF2DA8" w:rsidRPr="00CD6F0D">
        <w:t>’</w:t>
      </w:r>
      <w:r w:rsidR="00385FDE" w:rsidRPr="00CD6F0D">
        <w:t>effectuer des placements auprès de banques à l</w:t>
      </w:r>
      <w:r w:rsidR="00FF2DA8" w:rsidRPr="00CD6F0D">
        <w:t>’</w:t>
      </w:r>
      <w:r w:rsidR="00385FDE" w:rsidRPr="00CD6F0D">
        <w:t>étranger mais sans succès.</w:t>
      </w:r>
      <w:r w:rsidR="00314DEB" w:rsidRPr="00CD6F0D">
        <w:t xml:space="preserve"> </w:t>
      </w:r>
      <w:r w:rsidR="00385FDE" w:rsidRPr="00CD6F0D">
        <w:t xml:space="preserve"> Ainsi, l</w:t>
      </w:r>
      <w:r w:rsidR="00FF2DA8" w:rsidRPr="00CD6F0D">
        <w:t>’</w:t>
      </w:r>
      <w:r w:rsidR="00385FDE" w:rsidRPr="00CD6F0D">
        <w:t>OMM, dans une tentative de diversification des risques, est parvenue à placer des fonds auprès de St</w:t>
      </w:r>
      <w:r w:rsidR="00E04B5A" w:rsidRPr="00CD6F0D">
        <w:t xml:space="preserve">andard </w:t>
      </w:r>
      <w:proofErr w:type="spellStart"/>
      <w:r w:rsidR="00E04B5A" w:rsidRPr="00CD6F0D">
        <w:t>Chartered</w:t>
      </w:r>
      <w:proofErr w:type="spellEnd"/>
      <w:r w:rsidR="00E04B5A" w:rsidRPr="00CD6F0D">
        <w:t xml:space="preserve"> au Royaume</w:t>
      </w:r>
      <w:r w:rsidR="00E35368" w:rsidRPr="00CD6F0D">
        <w:noBreakHyphen/>
      </w:r>
      <w:r w:rsidR="00E04B5A" w:rsidRPr="00CD6F0D">
        <w:t xml:space="preserve">Uni, </w:t>
      </w:r>
      <w:r w:rsidR="00385FDE" w:rsidRPr="00CD6F0D">
        <w:t>mais sans rémunération.</w:t>
      </w:r>
    </w:p>
    <w:p w:rsidR="00D63FC0" w:rsidRPr="00CD6F0D" w:rsidRDefault="00687FF1" w:rsidP="00614B7E">
      <w:pPr>
        <w:pStyle w:val="ONUMFS"/>
      </w:pPr>
      <w:r w:rsidRPr="00CD6F0D">
        <w:t>Si l</w:t>
      </w:r>
      <w:r w:rsidR="00FF2DA8" w:rsidRPr="00CD6F0D">
        <w:t>’</w:t>
      </w:r>
      <w:r w:rsidRPr="00CD6F0D">
        <w:t>OMPI souhaite que ses comptes de dépôt soient productifs d</w:t>
      </w:r>
      <w:r w:rsidR="00FF2DA8" w:rsidRPr="00CD6F0D">
        <w:t>’</w:t>
      </w:r>
      <w:r w:rsidRPr="00CD6F0D">
        <w:t xml:space="preserve">intérêts, même aux faibles taux actuellement </w:t>
      </w:r>
      <w:r w:rsidR="00E04B5A" w:rsidRPr="00CD6F0D">
        <w:t>disponibles</w:t>
      </w:r>
      <w:r w:rsidRPr="00CD6F0D">
        <w:t>, elle</w:t>
      </w:r>
      <w:r w:rsidR="00E04B5A" w:rsidRPr="00CD6F0D">
        <w:t xml:space="preserve"> semble</w:t>
      </w:r>
      <w:r w:rsidRPr="00CD6F0D">
        <w:t xml:space="preserve"> n</w:t>
      </w:r>
      <w:r w:rsidR="00FF2DA8" w:rsidRPr="00CD6F0D">
        <w:t>’</w:t>
      </w:r>
      <w:r w:rsidRPr="00CD6F0D">
        <w:t>a</w:t>
      </w:r>
      <w:r w:rsidR="00E04B5A" w:rsidRPr="00CD6F0D">
        <w:t>voir</w:t>
      </w:r>
      <w:r w:rsidRPr="00CD6F0D">
        <w:t xml:space="preserve"> d</w:t>
      </w:r>
      <w:r w:rsidR="00FF2DA8" w:rsidRPr="00CD6F0D">
        <w:t>’</w:t>
      </w:r>
      <w:r w:rsidRPr="00CD6F0D">
        <w:t>autre choix que de placer son argent auprès de banques commerciales suisses, ce qui nécessitera de revoir à la baisse la notation </w:t>
      </w:r>
      <w:r w:rsidR="00E04B5A" w:rsidRPr="00CD6F0D">
        <w:t>indiquée dans</w:t>
      </w:r>
      <w:r w:rsidRPr="00CD6F0D">
        <w:t xml:space="preserve"> la politique.</w:t>
      </w:r>
      <w:r w:rsidR="00CA4EAD" w:rsidRPr="00CD6F0D">
        <w:t xml:space="preserve">  </w:t>
      </w:r>
      <w:r w:rsidR="00E04B5A" w:rsidRPr="00CD6F0D">
        <w:t>Les fonds</w:t>
      </w:r>
      <w:r w:rsidRPr="00CD6F0D">
        <w:t xml:space="preserve"> pourrai</w:t>
      </w:r>
      <w:r w:rsidR="00E04B5A" w:rsidRPr="00CD6F0D">
        <w:t>en</w:t>
      </w:r>
      <w:r w:rsidRPr="00CD6F0D">
        <w:t>t aussi être placé</w:t>
      </w:r>
      <w:r w:rsidR="00E04B5A" w:rsidRPr="00CD6F0D">
        <w:t>s</w:t>
      </w:r>
      <w:r w:rsidRPr="00CD6F0D">
        <w:t xml:space="preserve"> auprès de la </w:t>
      </w:r>
      <w:r w:rsidR="00E04B5A" w:rsidRPr="00CD6F0D">
        <w:t>P</w:t>
      </w:r>
      <w:r w:rsidRPr="00CD6F0D">
        <w:t xml:space="preserve">oste suisse (Swiss Post Finance AG), qui est créditée de la notation A+ (Standard and </w:t>
      </w:r>
      <w:proofErr w:type="spellStart"/>
      <w:r w:rsidRPr="00CD6F0D">
        <w:t>Poor</w:t>
      </w:r>
      <w:r w:rsidR="00FF2DA8" w:rsidRPr="00CD6F0D">
        <w:t>’</w:t>
      </w:r>
      <w:r w:rsidRPr="00CD6F0D">
        <w:t>s</w:t>
      </w:r>
      <w:proofErr w:type="spellEnd"/>
      <w:r w:rsidRPr="00CD6F0D">
        <w:t>) et qui bénéficie de l</w:t>
      </w:r>
      <w:r w:rsidR="00FF2DA8" w:rsidRPr="00CD6F0D">
        <w:t>’</w:t>
      </w:r>
      <w:r w:rsidRPr="00CD6F0D">
        <w:t xml:space="preserve">appui de </w:t>
      </w:r>
      <w:r w:rsidR="0048249E" w:rsidRPr="00CD6F0D">
        <w:t>l</w:t>
      </w:r>
      <w:r w:rsidRPr="00CD6F0D">
        <w:t>a Confédération suisse.</w:t>
      </w:r>
      <w:r w:rsidR="00CA4EAD" w:rsidRPr="00CD6F0D">
        <w:t xml:space="preserve"> </w:t>
      </w:r>
      <w:r w:rsidR="00AD4BDF" w:rsidRPr="00CD6F0D">
        <w:t xml:space="preserve"> </w:t>
      </w:r>
      <w:r w:rsidR="00E04B5A" w:rsidRPr="00CD6F0D">
        <w:t xml:space="preserve">Cependant, cette institution </w:t>
      </w:r>
      <w:r w:rsidRPr="00CD6F0D">
        <w:t>prévoit un plafond pour les montants qu</w:t>
      </w:r>
      <w:r w:rsidR="00FF2DA8" w:rsidRPr="00CD6F0D">
        <w:t>’</w:t>
      </w:r>
      <w:r w:rsidRPr="00CD6F0D">
        <w:t>elle accepte en dépôt (voir l</w:t>
      </w:r>
      <w:r w:rsidR="00FF2DA8" w:rsidRPr="00CD6F0D">
        <w:t>’</w:t>
      </w:r>
      <w:r w:rsidRPr="00CD6F0D">
        <w:t xml:space="preserve">annexe I pour les limites imposées </w:t>
      </w:r>
      <w:r w:rsidR="00E04B5A" w:rsidRPr="00CD6F0D">
        <w:t>à l</w:t>
      </w:r>
      <w:r w:rsidR="00FF2DA8" w:rsidRPr="00CD6F0D">
        <w:t>’</w:t>
      </w:r>
      <w:r w:rsidR="00E04B5A" w:rsidRPr="00CD6F0D">
        <w:t>OIT</w:t>
      </w:r>
      <w:r w:rsidRPr="00CD6F0D">
        <w:t xml:space="preserve"> et à l</w:t>
      </w:r>
      <w:r w:rsidR="00FF2DA8" w:rsidRPr="00CD6F0D">
        <w:t>’</w:t>
      </w:r>
      <w:r w:rsidRPr="00CD6F0D">
        <w:t>OMM).</w:t>
      </w:r>
      <w:r w:rsidR="00C81A71" w:rsidRPr="00CD6F0D">
        <w:t xml:space="preserve">  </w:t>
      </w:r>
      <w:r w:rsidR="00E96F5B">
        <w:t>D</w:t>
      </w:r>
      <w:r w:rsidRPr="00CD6F0D">
        <w:t xml:space="preserve">es notations inférieures </w:t>
      </w:r>
      <w:r w:rsidR="00E96F5B">
        <w:t xml:space="preserve">seront également nécessaires </w:t>
      </w:r>
      <w:r w:rsidRPr="00CD6F0D">
        <w:t>si les fonds détenus en fiducie doivent être placés et rémunérés.</w:t>
      </w:r>
    </w:p>
    <w:p w:rsidR="00FF2DA8" w:rsidRPr="00CD6F0D" w:rsidRDefault="00385FDE" w:rsidP="00614B7E">
      <w:pPr>
        <w:pStyle w:val="ONUMFS"/>
      </w:pPr>
      <w:r w:rsidRPr="00CD6F0D">
        <w:t xml:space="preserve">En conséquence, il est proposé </w:t>
      </w:r>
      <w:r w:rsidR="00213543" w:rsidRPr="00CD6F0D">
        <w:t>de revoir à la baisse</w:t>
      </w:r>
      <w:r w:rsidRPr="00CD6F0D">
        <w:t xml:space="preserve"> les notation</w:t>
      </w:r>
      <w:r w:rsidR="00E04B5A" w:rsidRPr="00CD6F0D">
        <w:t>s acceptables</w:t>
      </w:r>
      <w:r w:rsidRPr="00CD6F0D">
        <w:t xml:space="preserve"> à long terme et de tenir compte de leur équivalent à court terme, </w:t>
      </w:r>
      <w:r w:rsidR="00FF2DA8" w:rsidRPr="00CD6F0D">
        <w:t>à savoir</w:t>
      </w:r>
      <w:r w:rsidR="00EF5CBC" w:rsidRPr="00CD6F0D">
        <w:t> </w:t>
      </w:r>
      <w:r w:rsidRPr="00CD6F0D">
        <w:t>:</w:t>
      </w:r>
    </w:p>
    <w:p w:rsidR="00D63FC0" w:rsidRPr="00CD6F0D" w:rsidRDefault="00CA4EAD" w:rsidP="00614B7E">
      <w:pPr>
        <w:jc w:val="center"/>
      </w:pPr>
      <w:r w:rsidRPr="00CD6F0D">
        <w:t>Table</w:t>
      </w:r>
      <w:r w:rsidR="00385FDE" w:rsidRPr="00CD6F0D">
        <w:t>au</w:t>
      </w:r>
      <w:r w:rsidR="00EF5CBC" w:rsidRPr="00CD6F0D">
        <w:t> </w:t>
      </w:r>
      <w:r w:rsidRPr="00CD6F0D">
        <w:t>3</w:t>
      </w:r>
    </w:p>
    <w:p w:rsidR="00D63FC0" w:rsidRPr="00CD6F0D" w:rsidRDefault="00D63FC0" w:rsidP="00614B7E">
      <w:pPr>
        <w:jc w:val="center"/>
        <w:rPr>
          <w:u w:val="single"/>
        </w:rPr>
      </w:pPr>
    </w:p>
    <w:p w:rsidR="00614B7E" w:rsidRPr="00CD6F0D" w:rsidRDefault="00614B7E" w:rsidP="00614B7E">
      <w:pPr>
        <w:jc w:val="center"/>
        <w:rPr>
          <w:u w:val="single"/>
        </w:rPr>
      </w:pPr>
      <w:r w:rsidRPr="00CD6F0D">
        <w:rPr>
          <w:noProof/>
          <w:lang w:val="en-US" w:eastAsia="en-US"/>
        </w:rPr>
        <w:drawing>
          <wp:inline distT="0" distB="0" distL="0" distR="0" wp14:anchorId="6CCA9F51" wp14:editId="344EC895">
            <wp:extent cx="3591560" cy="116332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1560" cy="1163320"/>
                    </a:xfrm>
                    <a:prstGeom prst="rect">
                      <a:avLst/>
                    </a:prstGeom>
                    <a:noFill/>
                    <a:ln>
                      <a:noFill/>
                    </a:ln>
                  </pic:spPr>
                </pic:pic>
              </a:graphicData>
            </a:graphic>
          </wp:inline>
        </w:drawing>
      </w:r>
    </w:p>
    <w:p w:rsidR="00D63FC0" w:rsidRPr="00CD6F0D" w:rsidRDefault="00D63FC0" w:rsidP="00614B7E"/>
    <w:p w:rsidR="00D63FC0" w:rsidRPr="00CD6F0D" w:rsidRDefault="000A33ED" w:rsidP="00614B7E">
      <w:pPr>
        <w:pStyle w:val="ONUMFS"/>
      </w:pPr>
      <w:r w:rsidRPr="00CD6F0D">
        <w:t>Pour être accept</w:t>
      </w:r>
      <w:r w:rsidR="00213543" w:rsidRPr="00CD6F0D">
        <w:t>able</w:t>
      </w:r>
      <w:r w:rsidRPr="00CD6F0D">
        <w:t xml:space="preserve">s, les </w:t>
      </w:r>
      <w:r w:rsidR="00213543" w:rsidRPr="00CD6F0D">
        <w:t>institutions</w:t>
      </w:r>
      <w:r w:rsidRPr="00CD6F0D">
        <w:t xml:space="preserve"> financ</w:t>
      </w:r>
      <w:r w:rsidR="00213543" w:rsidRPr="00CD6F0D">
        <w:t>iè</w:t>
      </w:r>
      <w:r w:rsidRPr="00CD6F0D">
        <w:t>r</w:t>
      </w:r>
      <w:r w:rsidR="00213543" w:rsidRPr="00CD6F0D">
        <w:t>e</w:t>
      </w:r>
      <w:r w:rsidRPr="00CD6F0D">
        <w:t>s devraient satisfaire aux deux</w:t>
      </w:r>
      <w:r w:rsidR="00EF5CBC" w:rsidRPr="00CD6F0D">
        <w:t> </w:t>
      </w:r>
      <w:r w:rsidRPr="00CD6F0D">
        <w:t>notations stipulées (à long</w:t>
      </w:r>
      <w:r w:rsidR="00213543" w:rsidRPr="00CD6F0D">
        <w:t xml:space="preserve"> terme</w:t>
      </w:r>
      <w:r w:rsidRPr="00CD6F0D">
        <w:t xml:space="preserve"> ou </w:t>
      </w:r>
      <w:r w:rsidR="00213543" w:rsidRPr="00CD6F0D">
        <w:t xml:space="preserve">à </w:t>
      </w:r>
      <w:r w:rsidRPr="00CD6F0D">
        <w:t>court terme), ce qui signifie qu</w:t>
      </w:r>
      <w:r w:rsidR="00FF2DA8" w:rsidRPr="00CD6F0D">
        <w:t>’</w:t>
      </w:r>
      <w:r w:rsidRPr="00CD6F0D">
        <w:t xml:space="preserve">un placement à long terme pourrait être effectué </w:t>
      </w:r>
      <w:r w:rsidR="00213543" w:rsidRPr="00CD6F0D">
        <w:t xml:space="preserve">uniquement </w:t>
      </w:r>
      <w:r w:rsidRPr="00CD6F0D">
        <w:t>auprès d</w:t>
      </w:r>
      <w:r w:rsidR="00FF2DA8" w:rsidRPr="00CD6F0D">
        <w:t>’</w:t>
      </w:r>
      <w:r w:rsidRPr="00CD6F0D">
        <w:t xml:space="preserve">un établissement </w:t>
      </w:r>
      <w:r w:rsidR="00213543" w:rsidRPr="00CD6F0D">
        <w:t>crédité, au minimum, à la fois de</w:t>
      </w:r>
      <w:r w:rsidRPr="00CD6F0D">
        <w:t xml:space="preserve"> la notation A et A2.</w:t>
      </w:r>
    </w:p>
    <w:p w:rsidR="00D63FC0" w:rsidRPr="00CD6F0D" w:rsidRDefault="004F497F" w:rsidP="00614B7E">
      <w:pPr>
        <w:pStyle w:val="ONUMFS"/>
      </w:pPr>
      <w:r w:rsidRPr="00CD6F0D">
        <w:t>L</w:t>
      </w:r>
      <w:r w:rsidR="00FF2DA8" w:rsidRPr="00CD6F0D">
        <w:t>’</w:t>
      </w:r>
      <w:r w:rsidRPr="00CD6F0D">
        <w:t>insertion de la notation à court terme est proposée pour deux</w:t>
      </w:r>
      <w:r w:rsidR="00EF5CBC" w:rsidRPr="00CD6F0D">
        <w:t> </w:t>
      </w:r>
      <w:r w:rsidRPr="00CD6F0D">
        <w:t>raisons</w:t>
      </w:r>
      <w:r w:rsidR="00EF5CBC" w:rsidRPr="00CD6F0D">
        <w:t> </w:t>
      </w:r>
      <w:r w:rsidRPr="00CD6F0D">
        <w:t>: 1)</w:t>
      </w:r>
      <w:r w:rsidR="00E35368" w:rsidRPr="00CD6F0D">
        <w:t> </w:t>
      </w:r>
      <w:r w:rsidRPr="00CD6F0D">
        <w:t>ce type de notation indique la probabilité d</w:t>
      </w:r>
      <w:r w:rsidR="00FF2DA8" w:rsidRPr="00CD6F0D">
        <w:t>’</w:t>
      </w:r>
      <w:r w:rsidRPr="00CD6F0D">
        <w:t>un</w:t>
      </w:r>
      <w:r w:rsidR="00E96F5B">
        <w:t>e</w:t>
      </w:r>
      <w:r w:rsidRPr="00CD6F0D">
        <w:t xml:space="preserve"> </w:t>
      </w:r>
      <w:r w:rsidR="00E96F5B">
        <w:t xml:space="preserve">défaillance </w:t>
      </w:r>
      <w:r w:rsidRPr="00CD6F0D">
        <w:t>dans l</w:t>
      </w:r>
      <w:r w:rsidR="00FF2DA8" w:rsidRPr="00CD6F0D">
        <w:t>’</w:t>
      </w:r>
      <w:r w:rsidRPr="00CD6F0D">
        <w:t>année et, puisque tous les dépôts de l</w:t>
      </w:r>
      <w:r w:rsidR="00FF2DA8" w:rsidRPr="00CD6F0D">
        <w:t>’</w:t>
      </w:r>
      <w:r w:rsidRPr="00CD6F0D">
        <w:t>OMPI sont actuellement effectués pour des durées inférieures à 12</w:t>
      </w:r>
      <w:r w:rsidR="00E35368" w:rsidRPr="00CD6F0D">
        <w:t> </w:t>
      </w:r>
      <w:r w:rsidRPr="00CD6F0D">
        <w:t>mois, il semb</w:t>
      </w:r>
      <w:r w:rsidR="00213543" w:rsidRPr="00CD6F0D">
        <w:t>l</w:t>
      </w:r>
      <w:r w:rsidRPr="00CD6F0D">
        <w:t>e approprié d</w:t>
      </w:r>
      <w:r w:rsidR="00FF2DA8" w:rsidRPr="00CD6F0D">
        <w:t>’</w:t>
      </w:r>
      <w:r w:rsidRPr="00CD6F0D">
        <w:t>utiliser une notation à court terme;  2)</w:t>
      </w:r>
      <w:r w:rsidR="00E35368" w:rsidRPr="00CD6F0D">
        <w:t> </w:t>
      </w:r>
      <w:r w:rsidR="00213543" w:rsidRPr="00CD6F0D">
        <w:t>les institutions financières sont parfois créditées d</w:t>
      </w:r>
      <w:r w:rsidR="00FF2DA8" w:rsidRPr="00CD6F0D">
        <w:t>’</w:t>
      </w:r>
      <w:r w:rsidR="00213543" w:rsidRPr="00CD6F0D">
        <w:t xml:space="preserve">une </w:t>
      </w:r>
      <w:r w:rsidRPr="00CD6F0D">
        <w:t xml:space="preserve">notation à court terme </w:t>
      </w:r>
      <w:r w:rsidR="00213543" w:rsidRPr="00CD6F0D">
        <w:t>qui e</w:t>
      </w:r>
      <w:r w:rsidRPr="00CD6F0D">
        <w:t xml:space="preserve">st </w:t>
      </w:r>
      <w:r w:rsidR="00213543" w:rsidRPr="00CD6F0D">
        <w:t xml:space="preserve">relativement </w:t>
      </w:r>
      <w:r w:rsidRPr="00CD6F0D">
        <w:t>meilleure que son équivalent à long terme.</w:t>
      </w:r>
      <w:r w:rsidR="00607690" w:rsidRPr="00CD6F0D">
        <w:t xml:space="preserve">  </w:t>
      </w:r>
      <w:r w:rsidRPr="00CD6F0D">
        <w:t>C</w:t>
      </w:r>
      <w:r w:rsidR="00FF2DA8" w:rsidRPr="00CD6F0D">
        <w:t>’</w:t>
      </w:r>
      <w:r w:rsidRPr="00CD6F0D">
        <w:t xml:space="preserve">est </w:t>
      </w:r>
      <w:r w:rsidR="00213543" w:rsidRPr="00CD6F0D">
        <w:t xml:space="preserve">le cas pour la Société Générale, </w:t>
      </w:r>
      <w:r w:rsidRPr="00CD6F0D">
        <w:t>dont la notation à court terme (P1) peut êtr</w:t>
      </w:r>
      <w:r w:rsidR="00213543" w:rsidRPr="00CD6F0D">
        <w:t>e considérée comme l</w:t>
      </w:r>
      <w:r w:rsidR="00FF2DA8" w:rsidRPr="00CD6F0D">
        <w:t>’</w:t>
      </w:r>
      <w:r w:rsidR="00213543" w:rsidRPr="00CD6F0D">
        <w:t>équivalent</w:t>
      </w:r>
      <w:r w:rsidRPr="00CD6F0D">
        <w:t xml:space="preserve"> de la </w:t>
      </w:r>
      <w:r w:rsidR="0056474F">
        <w:t>notation </w:t>
      </w:r>
      <w:r w:rsidRPr="00CD6F0D">
        <w:t>Aa3 à long terme exigée par la politique.</w:t>
      </w:r>
    </w:p>
    <w:p w:rsidR="00D63FC0" w:rsidRPr="00CD6F0D" w:rsidRDefault="004F497F" w:rsidP="00614B7E">
      <w:pPr>
        <w:pStyle w:val="ONUMFS"/>
      </w:pPr>
      <w:r w:rsidRPr="00CD6F0D">
        <w:t xml:space="preserve">Un examen des politiques suivies par les autres institutions en matière de </w:t>
      </w:r>
      <w:r w:rsidR="00213543" w:rsidRPr="00CD6F0D">
        <w:t xml:space="preserve">placements a révélé que beaucoup </w:t>
      </w:r>
      <w:r w:rsidRPr="00CD6F0D">
        <w:t>font la distinction entre placements à court</w:t>
      </w:r>
      <w:r w:rsidR="00E96F5B">
        <w:t xml:space="preserve"> terme</w:t>
      </w:r>
      <w:r w:rsidRPr="00CD6F0D">
        <w:t xml:space="preserve"> et </w:t>
      </w:r>
      <w:r w:rsidR="00E96F5B">
        <w:t>placement</w:t>
      </w:r>
      <w:r w:rsidR="00247B3C">
        <w:t>s</w:t>
      </w:r>
      <w:r w:rsidR="00E96F5B">
        <w:t xml:space="preserve"> à </w:t>
      </w:r>
      <w:r w:rsidRPr="00CD6F0D">
        <w:t>long terme, bien qu</w:t>
      </w:r>
      <w:r w:rsidR="00FF2DA8" w:rsidRPr="00CD6F0D">
        <w:t>’</w:t>
      </w:r>
      <w:r w:rsidRPr="00CD6F0D">
        <w:t>il n</w:t>
      </w:r>
      <w:r w:rsidR="00FF2DA8" w:rsidRPr="00CD6F0D">
        <w:t>’</w:t>
      </w:r>
      <w:r w:rsidRPr="00CD6F0D">
        <w:t>existe aucune définition systématique de ce qui constitue le court terme.</w:t>
      </w:r>
      <w:r w:rsidR="00C01249" w:rsidRPr="00CD6F0D">
        <w:t xml:space="preserve">  </w:t>
      </w:r>
      <w:r w:rsidRPr="00CD6F0D">
        <w:t>Pour certaines institutions, il peut s</w:t>
      </w:r>
      <w:r w:rsidR="00FF2DA8" w:rsidRPr="00CD6F0D">
        <w:t>’</w:t>
      </w:r>
      <w:r w:rsidRPr="00CD6F0D">
        <w:t>agir d</w:t>
      </w:r>
      <w:r w:rsidR="00FF2DA8" w:rsidRPr="00CD6F0D">
        <w:t>’</w:t>
      </w:r>
      <w:r w:rsidRPr="00CD6F0D">
        <w:t xml:space="preserve">une période </w:t>
      </w:r>
      <w:r w:rsidR="00213543" w:rsidRPr="00CD6F0D">
        <w:t>de</w:t>
      </w:r>
      <w:r w:rsidRPr="00CD6F0D">
        <w:t xml:space="preserve"> trois</w:t>
      </w:r>
      <w:r w:rsidR="00EF5CBC" w:rsidRPr="00CD6F0D">
        <w:t> </w:t>
      </w:r>
      <w:r w:rsidRPr="00CD6F0D">
        <w:t>mois mais pour d</w:t>
      </w:r>
      <w:r w:rsidR="00FF2DA8" w:rsidRPr="00CD6F0D">
        <w:t>’</w:t>
      </w:r>
      <w:r w:rsidRPr="00CD6F0D">
        <w:t>autres il va s</w:t>
      </w:r>
      <w:r w:rsidR="00FF2DA8" w:rsidRPr="00CD6F0D">
        <w:t>’</w:t>
      </w:r>
      <w:r w:rsidRPr="00CD6F0D">
        <w:t>agir d</w:t>
      </w:r>
      <w:r w:rsidR="00FF2DA8" w:rsidRPr="00CD6F0D">
        <w:t>’</w:t>
      </w:r>
      <w:r w:rsidRPr="00CD6F0D">
        <w:t>une année.</w:t>
      </w:r>
      <w:r w:rsidR="00C01249" w:rsidRPr="00CD6F0D">
        <w:t xml:space="preserve">  </w:t>
      </w:r>
      <w:r w:rsidR="00A35079" w:rsidRPr="00CD6F0D">
        <w:t>Pour l</w:t>
      </w:r>
      <w:r w:rsidR="00FF2DA8" w:rsidRPr="00CD6F0D">
        <w:t>’</w:t>
      </w:r>
      <w:r w:rsidR="00A35079" w:rsidRPr="00CD6F0D">
        <w:t>OMPI, il est proposé que les placements jusqu</w:t>
      </w:r>
      <w:r w:rsidR="00FF2DA8" w:rsidRPr="00CD6F0D">
        <w:t>’</w:t>
      </w:r>
      <w:r w:rsidR="00A35079" w:rsidRPr="00CD6F0D">
        <w:t>à six</w:t>
      </w:r>
      <w:r w:rsidR="00EF5CBC" w:rsidRPr="00CD6F0D">
        <w:t> </w:t>
      </w:r>
      <w:r w:rsidR="00A35079" w:rsidRPr="00CD6F0D">
        <w:t>mois soient considérés comme des placements à court terme.</w:t>
      </w:r>
    </w:p>
    <w:p w:rsidR="00D63FC0" w:rsidRPr="00CD6F0D" w:rsidRDefault="00A35079" w:rsidP="00614B7E">
      <w:pPr>
        <w:pStyle w:val="Heading3"/>
      </w:pPr>
      <w:r w:rsidRPr="00CD6F0D">
        <w:t>Diversification des institutions financières</w:t>
      </w:r>
    </w:p>
    <w:p w:rsidR="00614B7E" w:rsidRPr="00CD6F0D" w:rsidRDefault="00614B7E" w:rsidP="00614B7E"/>
    <w:p w:rsidR="00D63FC0" w:rsidRPr="00CD6F0D" w:rsidRDefault="00B723F2" w:rsidP="00614B7E">
      <w:pPr>
        <w:pStyle w:val="ONUMFS"/>
      </w:pPr>
      <w:r w:rsidRPr="00CD6F0D">
        <w:t>La politique en matière de placements préconise une diversification</w:t>
      </w:r>
      <w:r w:rsidR="00213543" w:rsidRPr="00CD6F0D">
        <w:t xml:space="preserve"> adéquate</w:t>
      </w:r>
      <w:r w:rsidRPr="00CD6F0D">
        <w:t xml:space="preserve"> des institutions financières, </w:t>
      </w:r>
      <w:r w:rsidR="00213543" w:rsidRPr="00CD6F0D">
        <w:t>ʺ</w:t>
      </w:r>
      <w:r w:rsidRPr="00CD6F0D">
        <w:t>en veillant à ce que 10% au maximum des placements soient confiés au même moment à une même institution, à l</w:t>
      </w:r>
      <w:r w:rsidR="00FF2DA8" w:rsidRPr="00CD6F0D">
        <w:t>’</w:t>
      </w:r>
      <w:r w:rsidRPr="00CD6F0D">
        <w:t>exception des placements auprès d</w:t>
      </w:r>
      <w:r w:rsidR="00FF2DA8" w:rsidRPr="00CD6F0D">
        <w:t>’</w:t>
      </w:r>
      <w:r w:rsidRPr="00CD6F0D">
        <w:t>institutions à risque souverain et à notation AAA/</w:t>
      </w:r>
      <w:proofErr w:type="spellStart"/>
      <w:r w:rsidRPr="00CD6F0D">
        <w:t>Aaa</w:t>
      </w:r>
      <w:proofErr w:type="spellEnd"/>
      <w:r w:rsidRPr="00CD6F0D">
        <w:t xml:space="preserve"> pour lesquelles il n</w:t>
      </w:r>
      <w:r w:rsidR="00FF2DA8" w:rsidRPr="00CD6F0D">
        <w:t>’</w:t>
      </w:r>
      <w:r w:rsidRPr="00CD6F0D">
        <w:t>y a ni restriction ni limite</w:t>
      </w:r>
      <w:r w:rsidR="00213543" w:rsidRPr="00CD6F0D">
        <w:t>ʺ</w:t>
      </w:r>
      <w:r w:rsidRPr="00CD6F0D">
        <w:t>.</w:t>
      </w:r>
      <w:r w:rsidR="001E4F96" w:rsidRPr="00CD6F0D">
        <w:t xml:space="preserve">  </w:t>
      </w:r>
      <w:r w:rsidRPr="00CD6F0D">
        <w:t>Ainsi qu</w:t>
      </w:r>
      <w:r w:rsidR="00FF2DA8" w:rsidRPr="00CD6F0D">
        <w:t>’</w:t>
      </w:r>
      <w:r w:rsidRPr="00CD6F0D">
        <w:t xml:space="preserve">il est expliqué </w:t>
      </w:r>
      <w:r w:rsidR="00213543" w:rsidRPr="00CD6F0D">
        <w:t>dans le</w:t>
      </w:r>
      <w:r w:rsidRPr="00CD6F0D">
        <w:t xml:space="preserve"> paragraphe</w:t>
      </w:r>
      <w:r w:rsidR="00EF5CBC" w:rsidRPr="00CD6F0D">
        <w:t> </w:t>
      </w:r>
      <w:r w:rsidRPr="00CD6F0D">
        <w:t>10, il s</w:t>
      </w:r>
      <w:r w:rsidR="00FF2DA8" w:rsidRPr="00CD6F0D">
        <w:t>’</w:t>
      </w:r>
      <w:r w:rsidRPr="00CD6F0D">
        <w:t>avère actuellement impossible de faire des dépôts en francs suisses auprès d</w:t>
      </w:r>
      <w:r w:rsidR="00FF2DA8" w:rsidRPr="00CD6F0D">
        <w:t>’</w:t>
      </w:r>
      <w:r w:rsidRPr="00CD6F0D">
        <w:t>une banque étrangère et de percevoir des intérêts.</w:t>
      </w:r>
      <w:r w:rsidR="00A07E83" w:rsidRPr="00CD6F0D">
        <w:t xml:space="preserve">  </w:t>
      </w:r>
      <w:r w:rsidRPr="00CD6F0D">
        <w:t>Par ailleurs, l</w:t>
      </w:r>
      <w:r w:rsidR="00FF2DA8" w:rsidRPr="00CD6F0D">
        <w:t>’</w:t>
      </w:r>
      <w:r w:rsidRPr="00CD6F0D">
        <w:t>expérience de l</w:t>
      </w:r>
      <w:r w:rsidR="00FF2DA8" w:rsidRPr="00CD6F0D">
        <w:t>’</w:t>
      </w:r>
      <w:r w:rsidRPr="00CD6F0D">
        <w:t>OIT et de l</w:t>
      </w:r>
      <w:r w:rsidR="00FF2DA8" w:rsidRPr="00CD6F0D">
        <w:t>’</w:t>
      </w:r>
      <w:r w:rsidRPr="00CD6F0D">
        <w:t>OMM a révélé combien il était difficile de trouver un nombre suffisant d</w:t>
      </w:r>
      <w:r w:rsidR="00FF2DA8" w:rsidRPr="00CD6F0D">
        <w:t>’</w:t>
      </w:r>
      <w:r w:rsidRPr="00CD6F0D">
        <w:t xml:space="preserve">institutions en Suisse </w:t>
      </w:r>
      <w:r w:rsidR="00213543" w:rsidRPr="00CD6F0D">
        <w:t>pour</w:t>
      </w:r>
      <w:r w:rsidR="00742E84" w:rsidRPr="00CD6F0D">
        <w:t xml:space="preserve"> assurer une</w:t>
      </w:r>
      <w:r w:rsidRPr="00CD6F0D">
        <w:t xml:space="preserve"> </w:t>
      </w:r>
      <w:r w:rsidR="00742E84" w:rsidRPr="00CD6F0D">
        <w:t>diversification adéquate d</w:t>
      </w:r>
      <w:r w:rsidRPr="00CD6F0D">
        <w:t>es risques.</w:t>
      </w:r>
      <w:r w:rsidR="00A07E83" w:rsidRPr="00CD6F0D">
        <w:t xml:space="preserve">  </w:t>
      </w:r>
      <w:r w:rsidRPr="00CD6F0D">
        <w:t>Comme la politique de l</w:t>
      </w:r>
      <w:r w:rsidR="00FF2DA8" w:rsidRPr="00CD6F0D">
        <w:t>’</w:t>
      </w:r>
      <w:r w:rsidRPr="00CD6F0D">
        <w:t>OMPI, la politique de placement</w:t>
      </w:r>
      <w:r w:rsidR="00213543" w:rsidRPr="00CD6F0D">
        <w:t>s</w:t>
      </w:r>
      <w:r w:rsidRPr="00CD6F0D">
        <w:t xml:space="preserve"> de l</w:t>
      </w:r>
      <w:r w:rsidR="00FF2DA8" w:rsidRPr="00CD6F0D">
        <w:t>’</w:t>
      </w:r>
      <w:r w:rsidRPr="00CD6F0D">
        <w:t xml:space="preserve">OIT </w:t>
      </w:r>
      <w:r w:rsidR="00213543" w:rsidRPr="00CD6F0D">
        <w:t>indique qu</w:t>
      </w:r>
      <w:r w:rsidR="00FF2DA8" w:rsidRPr="00CD6F0D">
        <w:t>’</w:t>
      </w:r>
      <w:r w:rsidR="00213543" w:rsidRPr="00CD6F0D">
        <w:t>il est</w:t>
      </w:r>
      <w:r w:rsidRPr="00CD6F0D">
        <w:t xml:space="preserve"> nécess</w:t>
      </w:r>
      <w:r w:rsidR="00213543" w:rsidRPr="00CD6F0D">
        <w:t>a</w:t>
      </w:r>
      <w:r w:rsidRPr="00CD6F0D">
        <w:t>i</w:t>
      </w:r>
      <w:r w:rsidR="00213543" w:rsidRPr="00CD6F0D">
        <w:t>re</w:t>
      </w:r>
      <w:r w:rsidRPr="00CD6F0D">
        <w:t xml:space="preserve"> de répartir les risques liés aux placements entre au moins </w:t>
      </w:r>
      <w:r w:rsidR="00EF5CBC" w:rsidRPr="00CD6F0D">
        <w:t>10 </w:t>
      </w:r>
      <w:r w:rsidRPr="00CD6F0D">
        <w:t>institutions mais, pour qu</w:t>
      </w:r>
      <w:r w:rsidR="00FF2DA8" w:rsidRPr="00CD6F0D">
        <w:t>’</w:t>
      </w:r>
      <w:r w:rsidRPr="00CD6F0D">
        <w:t xml:space="preserve">il soit possible de percevoir des intérêts sur tous </w:t>
      </w:r>
      <w:r w:rsidR="00213543" w:rsidRPr="00CD6F0D">
        <w:t>l</w:t>
      </w:r>
      <w:r w:rsidRPr="00CD6F0D">
        <w:t>es placements en dépôt, le contrôleur</w:t>
      </w:r>
      <w:r w:rsidR="00742E84" w:rsidRPr="00CD6F0D">
        <w:t xml:space="preserve"> a instauré une dérogation</w:t>
      </w:r>
      <w:r w:rsidRPr="00CD6F0D">
        <w:t>, qui permet à la section de la trésorerie de l</w:t>
      </w:r>
      <w:r w:rsidR="00FF2DA8" w:rsidRPr="00CD6F0D">
        <w:t>’</w:t>
      </w:r>
      <w:r w:rsidRPr="00CD6F0D">
        <w:t xml:space="preserve">OIT de répartir </w:t>
      </w:r>
      <w:r w:rsidR="00742E84" w:rsidRPr="00CD6F0D">
        <w:t>l</w:t>
      </w:r>
      <w:r w:rsidRPr="00CD6F0D">
        <w:t xml:space="preserve">es </w:t>
      </w:r>
      <w:r w:rsidR="00213543" w:rsidRPr="00CD6F0D">
        <w:t>dépôts en espèces</w:t>
      </w:r>
      <w:r w:rsidRPr="00CD6F0D">
        <w:t xml:space="preserve"> entre trois</w:t>
      </w:r>
      <w:r w:rsidR="00EF5CBC" w:rsidRPr="00CD6F0D">
        <w:t> </w:t>
      </w:r>
      <w:r w:rsidRPr="00CD6F0D">
        <w:t>institutions seulement.</w:t>
      </w:r>
    </w:p>
    <w:p w:rsidR="00FF2DA8" w:rsidRPr="00CD6F0D" w:rsidRDefault="00FF44B0" w:rsidP="00614B7E">
      <w:pPr>
        <w:pStyle w:val="ONUMFS"/>
      </w:pPr>
      <w:r w:rsidRPr="00CD6F0D">
        <w:t xml:space="preserve">Afin de </w:t>
      </w:r>
      <w:r w:rsidR="00742E84" w:rsidRPr="00CD6F0D">
        <w:t>résoudre</w:t>
      </w:r>
      <w:r w:rsidRPr="00CD6F0D">
        <w:t xml:space="preserve"> ce problème, l</w:t>
      </w:r>
      <w:r w:rsidR="00FF2DA8" w:rsidRPr="00CD6F0D">
        <w:t>’</w:t>
      </w:r>
      <w:r w:rsidRPr="00CD6F0D">
        <w:t>OMPI pourrait tenter d</w:t>
      </w:r>
      <w:r w:rsidR="00FF2DA8" w:rsidRPr="00CD6F0D">
        <w:t>’</w:t>
      </w:r>
      <w:r w:rsidRPr="00CD6F0D">
        <w:t>a</w:t>
      </w:r>
      <w:r w:rsidR="00742E84" w:rsidRPr="00CD6F0D">
        <w:t>ccroît</w:t>
      </w:r>
      <w:r w:rsidRPr="00CD6F0D">
        <w:t>r</w:t>
      </w:r>
      <w:r w:rsidR="00742E84" w:rsidRPr="00CD6F0D">
        <w:t>e</w:t>
      </w:r>
      <w:r w:rsidRPr="00CD6F0D">
        <w:t xml:space="preserve"> le nombre de ses partenaires bancaires pour y inclure les banques qui n</w:t>
      </w:r>
      <w:r w:rsidR="00FF2DA8" w:rsidRPr="00CD6F0D">
        <w:t>’</w:t>
      </w:r>
      <w:r w:rsidRPr="00CD6F0D">
        <w:t>offrent aujourd</w:t>
      </w:r>
      <w:r w:rsidR="00FF2DA8" w:rsidRPr="00CD6F0D">
        <w:t>’</w:t>
      </w:r>
      <w:r w:rsidRPr="00CD6F0D">
        <w:t>hui aucune rémunération pour les dépôts en francs suisses, en acceptant qu</w:t>
      </w:r>
      <w:r w:rsidR="00FF2DA8" w:rsidRPr="00CD6F0D">
        <w:t>’</w:t>
      </w:r>
      <w:r w:rsidRPr="00CD6F0D">
        <w:t xml:space="preserve">aucun intérêt ne sera perçu, et pourrait </w:t>
      </w:r>
      <w:r w:rsidR="00742E84" w:rsidRPr="00CD6F0D">
        <w:t>également établir</w:t>
      </w:r>
      <w:r w:rsidRPr="00CD6F0D">
        <w:t xml:space="preserve"> une relation avec la </w:t>
      </w:r>
      <w:r w:rsidR="00742E84" w:rsidRPr="00CD6F0D">
        <w:t>P</w:t>
      </w:r>
      <w:r w:rsidRPr="00CD6F0D">
        <w:t>oste suisse comme cela a déjà été proposé.</w:t>
      </w:r>
      <w:r w:rsidR="00C81A71" w:rsidRPr="00CD6F0D">
        <w:t xml:space="preserve">  </w:t>
      </w:r>
      <w:r w:rsidRPr="00CD6F0D">
        <w:t xml:space="preserve">Par ailleurs, le contrôleur pourrait être habilité à </w:t>
      </w:r>
      <w:r w:rsidR="00742E84" w:rsidRPr="00CD6F0D">
        <w:t>déroger à</w:t>
      </w:r>
      <w:r w:rsidRPr="00CD6F0D">
        <w:t xml:space="preserve"> cette section de la politique, en fonction des conditions en vigueur sur les marchés monétaires en francs suisses.</w:t>
      </w:r>
    </w:p>
    <w:p w:rsidR="00D63FC0" w:rsidRPr="00CD6F0D" w:rsidRDefault="00742E84" w:rsidP="00614B7E">
      <w:pPr>
        <w:pStyle w:val="Heading3"/>
      </w:pPr>
      <w:r w:rsidRPr="00CD6F0D">
        <w:t>Point de référence</w:t>
      </w:r>
    </w:p>
    <w:p w:rsidR="00614B7E" w:rsidRPr="00CD6F0D" w:rsidRDefault="00614B7E" w:rsidP="00614B7E"/>
    <w:p w:rsidR="00D63FC0" w:rsidRPr="00CD6F0D" w:rsidRDefault="00FF44B0" w:rsidP="00614B7E">
      <w:pPr>
        <w:pStyle w:val="ONUMFS"/>
      </w:pPr>
      <w:r w:rsidRPr="00CD6F0D">
        <w:t>La politique fixe une valeur de référence équivalente au</w:t>
      </w:r>
      <w:r w:rsidR="00742E84" w:rsidRPr="00CD6F0D">
        <w:t>x</w:t>
      </w:r>
      <w:r w:rsidRPr="00CD6F0D">
        <w:t xml:space="preserve"> taux de rendement obtenu</w:t>
      </w:r>
      <w:r w:rsidR="00742E84" w:rsidRPr="00CD6F0D">
        <w:t>s</w:t>
      </w:r>
      <w:r w:rsidRPr="00CD6F0D">
        <w:t xml:space="preserve"> pour les dépôts auprès de</w:t>
      </w:r>
      <w:r w:rsidR="00FF2DA8" w:rsidRPr="00CD6F0D">
        <w:t xml:space="preserve"> la BNS</w:t>
      </w:r>
      <w:r w:rsidRPr="00CD6F0D">
        <w:t xml:space="preserve">.  Cette valeur ne </w:t>
      </w:r>
      <w:r w:rsidR="00742E84" w:rsidRPr="00CD6F0D">
        <w:t>va</w:t>
      </w:r>
      <w:r w:rsidRPr="00CD6F0D">
        <w:t xml:space="preserve"> plus </w:t>
      </w:r>
      <w:r w:rsidR="00742E84" w:rsidRPr="00CD6F0D">
        <w:t>être valable</w:t>
      </w:r>
      <w:r w:rsidRPr="00CD6F0D">
        <w:t xml:space="preserve"> </w:t>
      </w:r>
      <w:r w:rsidR="00742E84" w:rsidRPr="00CD6F0D">
        <w:t>puis</w:t>
      </w:r>
      <w:r w:rsidRPr="00CD6F0D">
        <w:t>que le</w:t>
      </w:r>
      <w:r w:rsidR="00742E84" w:rsidRPr="00CD6F0D">
        <w:t>s</w:t>
      </w:r>
      <w:r w:rsidRPr="00CD6F0D">
        <w:t xml:space="preserve"> rendement</w:t>
      </w:r>
      <w:r w:rsidR="00742E84" w:rsidRPr="00CD6F0D">
        <w:t>s</w:t>
      </w:r>
      <w:r w:rsidRPr="00CD6F0D">
        <w:t xml:space="preserve"> de</w:t>
      </w:r>
      <w:r w:rsidR="00FF2DA8" w:rsidRPr="00CD6F0D">
        <w:t xml:space="preserve"> la BNS</w:t>
      </w:r>
      <w:r w:rsidRPr="00CD6F0D">
        <w:t xml:space="preserve"> </w:t>
      </w:r>
      <w:r w:rsidR="00742E84" w:rsidRPr="00CD6F0D">
        <w:t>se sont</w:t>
      </w:r>
      <w:r w:rsidRPr="00CD6F0D">
        <w:t xml:space="preserve"> avéré</w:t>
      </w:r>
      <w:r w:rsidR="00742E84" w:rsidRPr="00CD6F0D">
        <w:t>s</w:t>
      </w:r>
      <w:r w:rsidRPr="00CD6F0D">
        <w:t xml:space="preserve"> systématiquement supérieur</w:t>
      </w:r>
      <w:r w:rsidR="00742E84" w:rsidRPr="00CD6F0D">
        <w:t>s</w:t>
      </w:r>
      <w:r w:rsidRPr="00CD6F0D">
        <w:t xml:space="preserve"> aux t</w:t>
      </w:r>
      <w:r w:rsidR="00742E84" w:rsidRPr="00CD6F0D">
        <w:t>aux pratiqués sur le marché et du fait que l</w:t>
      </w:r>
      <w:r w:rsidR="00FF2DA8" w:rsidRPr="00CD6F0D">
        <w:t>’</w:t>
      </w:r>
      <w:r w:rsidR="00742E84" w:rsidRPr="00CD6F0D">
        <w:t>OMPI n</w:t>
      </w:r>
      <w:r w:rsidR="00FF2DA8" w:rsidRPr="00CD6F0D">
        <w:t>’</w:t>
      </w:r>
      <w:r w:rsidR="00742E84" w:rsidRPr="00CD6F0D">
        <w:t xml:space="preserve">aura plus accès à ces </w:t>
      </w:r>
      <w:r w:rsidRPr="00CD6F0D">
        <w:t xml:space="preserve">informations.  Les travaux de recherche menés </w:t>
      </w:r>
      <w:r w:rsidR="00742E84" w:rsidRPr="00CD6F0D">
        <w:t>auprès</w:t>
      </w:r>
      <w:r w:rsidRPr="00CD6F0D">
        <w:t xml:space="preserve"> d</w:t>
      </w:r>
      <w:r w:rsidR="00FF2DA8" w:rsidRPr="00CD6F0D">
        <w:t>’</w:t>
      </w:r>
      <w:r w:rsidRPr="00CD6F0D">
        <w:t>autres institutions n</w:t>
      </w:r>
      <w:r w:rsidR="00FF2DA8" w:rsidRPr="00CD6F0D">
        <w:t>’</w:t>
      </w:r>
      <w:r w:rsidRPr="00CD6F0D">
        <w:t xml:space="preserve">ont à ce jour révélé </w:t>
      </w:r>
      <w:r w:rsidR="00742E84" w:rsidRPr="00CD6F0D">
        <w:t>aucun</w:t>
      </w:r>
      <w:r w:rsidRPr="00CD6F0D">
        <w:t>e valeur de référence po</w:t>
      </w:r>
      <w:r w:rsidR="00742E84" w:rsidRPr="00CD6F0D">
        <w:t xml:space="preserve">ur les dépôts en francs suisses, </w:t>
      </w:r>
      <w:r w:rsidRPr="00CD6F0D">
        <w:t xml:space="preserve">mais il est proposé de poursuivre ces travaux afin de </w:t>
      </w:r>
      <w:r w:rsidR="00742E84" w:rsidRPr="00CD6F0D">
        <w:t>disposer d</w:t>
      </w:r>
      <w:r w:rsidR="00FF2DA8" w:rsidRPr="00CD6F0D">
        <w:t>’</w:t>
      </w:r>
      <w:r w:rsidRPr="00CD6F0D">
        <w:t>une référence adéquate.</w:t>
      </w:r>
    </w:p>
    <w:p w:rsidR="00D63FC0" w:rsidRPr="00CD6F0D" w:rsidRDefault="00614B7E" w:rsidP="00614B7E">
      <w:pPr>
        <w:pStyle w:val="Heading1"/>
      </w:pPr>
      <w:r w:rsidRPr="00CD6F0D">
        <w:t>Politique de gestion des risques liés aux partenaires financiers</w:t>
      </w:r>
    </w:p>
    <w:p w:rsidR="00D63FC0" w:rsidRPr="00CD6F0D" w:rsidRDefault="00D63FC0" w:rsidP="00614B7E"/>
    <w:p w:rsidR="00FF2DA8" w:rsidRPr="00CD6F0D" w:rsidRDefault="003D5897" w:rsidP="00614B7E">
      <w:pPr>
        <w:pStyle w:val="ONUMFS"/>
      </w:pPr>
      <w:r w:rsidRPr="00CD6F0D">
        <w:t>En</w:t>
      </w:r>
      <w:r w:rsidR="00EF5CBC" w:rsidRPr="00CD6F0D">
        <w:t> </w:t>
      </w:r>
      <w:r w:rsidRPr="00CD6F0D">
        <w:t>2013, l</w:t>
      </w:r>
      <w:r w:rsidR="00FF2DA8" w:rsidRPr="00CD6F0D">
        <w:t>’</w:t>
      </w:r>
      <w:r w:rsidRPr="00CD6F0D">
        <w:t>Organisation a commandé l</w:t>
      </w:r>
      <w:r w:rsidR="00FF2DA8" w:rsidRPr="00CD6F0D">
        <w:t>’</w:t>
      </w:r>
      <w:r w:rsidRPr="00CD6F0D">
        <w:t>élaboration d</w:t>
      </w:r>
      <w:r w:rsidR="00FF2DA8" w:rsidRPr="00CD6F0D">
        <w:t>’</w:t>
      </w:r>
      <w:r w:rsidRPr="00CD6F0D">
        <w:t xml:space="preserve">une étude sur ses pratiques en matière de trésorerie et de gestion de la trésorerie, </w:t>
      </w:r>
      <w:r w:rsidR="00742E84" w:rsidRPr="00CD6F0D">
        <w:t>en vue de l</w:t>
      </w:r>
      <w:r w:rsidR="00FF2DA8" w:rsidRPr="00CD6F0D">
        <w:t>’</w:t>
      </w:r>
      <w:r w:rsidR="00742E84" w:rsidRPr="00CD6F0D">
        <w:t>établissement d</w:t>
      </w:r>
      <w:r w:rsidR="00FF2DA8" w:rsidRPr="00CD6F0D">
        <w:t>’</w:t>
      </w:r>
      <w:r w:rsidRPr="00CD6F0D">
        <w:t>une politique dans ce domaine.</w:t>
      </w:r>
      <w:r w:rsidR="00C81A71" w:rsidRPr="00CD6F0D">
        <w:t xml:space="preserve">  </w:t>
      </w:r>
      <w:r w:rsidR="00DA7243" w:rsidRPr="00CD6F0D">
        <w:t>Une procédure d</w:t>
      </w:r>
      <w:r w:rsidR="00FF2DA8" w:rsidRPr="00CD6F0D">
        <w:t>’</w:t>
      </w:r>
      <w:r w:rsidR="00DA7243" w:rsidRPr="00CD6F0D">
        <w:t>appel à propos</w:t>
      </w:r>
      <w:r w:rsidR="009E29F0" w:rsidRPr="00CD6F0D">
        <w:t>itions (13/063) a été organisée et la</w:t>
      </w:r>
      <w:r w:rsidR="00DA7243" w:rsidRPr="00CD6F0D">
        <w:t xml:space="preserve"> </w:t>
      </w:r>
      <w:r w:rsidR="009E29F0" w:rsidRPr="00CD6F0D">
        <w:t xml:space="preserve">proposition de FTI </w:t>
      </w:r>
      <w:proofErr w:type="spellStart"/>
      <w:r w:rsidR="009E29F0" w:rsidRPr="00CD6F0D">
        <w:t>Treasury</w:t>
      </w:r>
      <w:proofErr w:type="spellEnd"/>
      <w:r w:rsidR="009E29F0" w:rsidRPr="00CD6F0D">
        <w:t>, une société de consultants, a été retenue.  L</w:t>
      </w:r>
      <w:r w:rsidR="00DA7243" w:rsidRPr="00CD6F0D">
        <w:t xml:space="preserve">es travaux de cette société se sont déroulés entre </w:t>
      </w:r>
      <w:r w:rsidR="00FF2DA8" w:rsidRPr="00CD6F0D">
        <w:t>novembre 20</w:t>
      </w:r>
      <w:r w:rsidR="00DA7243" w:rsidRPr="00CD6F0D">
        <w:t xml:space="preserve">13 et </w:t>
      </w:r>
      <w:r w:rsidR="00FF2DA8" w:rsidRPr="00CD6F0D">
        <w:t>mars 20</w:t>
      </w:r>
      <w:r w:rsidR="00DA7243" w:rsidRPr="00CD6F0D">
        <w:t>14.</w:t>
      </w:r>
      <w:r w:rsidR="00EA4EAE" w:rsidRPr="00CD6F0D">
        <w:t xml:space="preserve">  </w:t>
      </w:r>
      <w:r w:rsidR="00DA7243" w:rsidRPr="00CD6F0D">
        <w:t xml:space="preserve">La politique de trésorerie qui a été </w:t>
      </w:r>
      <w:r w:rsidR="00742E84" w:rsidRPr="00CD6F0D">
        <w:t>élaborée</w:t>
      </w:r>
      <w:r w:rsidR="00DA7243" w:rsidRPr="00CD6F0D">
        <w:t xml:space="preserve"> contient toute une série de </w:t>
      </w:r>
      <w:r w:rsidR="00E15266" w:rsidRPr="00CD6F0D">
        <w:t xml:space="preserve">déclarations de </w:t>
      </w:r>
      <w:r w:rsidR="0056474F">
        <w:t>principes</w:t>
      </w:r>
      <w:r w:rsidR="00DA7243" w:rsidRPr="00CD6F0D">
        <w:t xml:space="preserve">, dont beaucoup ne </w:t>
      </w:r>
      <w:r w:rsidR="00E661F5" w:rsidRPr="00CD6F0D">
        <w:t>nécessitent</w:t>
      </w:r>
      <w:r w:rsidR="00DA7243" w:rsidRPr="00CD6F0D">
        <w:t xml:space="preserve"> pas l</w:t>
      </w:r>
      <w:r w:rsidR="00FF2DA8" w:rsidRPr="00CD6F0D">
        <w:t>’</w:t>
      </w:r>
      <w:r w:rsidR="00DA7243" w:rsidRPr="00CD6F0D">
        <w:t>approbati</w:t>
      </w:r>
      <w:r w:rsidR="00E661F5" w:rsidRPr="00CD6F0D">
        <w:t>on des É</w:t>
      </w:r>
      <w:r w:rsidR="00DA7243" w:rsidRPr="00CD6F0D">
        <w:t xml:space="preserve">tats membres car </w:t>
      </w:r>
      <w:r w:rsidR="00E15266" w:rsidRPr="00CD6F0D">
        <w:t>elles</w:t>
      </w:r>
      <w:r w:rsidR="00DA7243" w:rsidRPr="00CD6F0D">
        <w:t xml:space="preserve"> s</w:t>
      </w:r>
      <w:r w:rsidR="00FF2DA8" w:rsidRPr="00CD6F0D">
        <w:t>’</w:t>
      </w:r>
      <w:r w:rsidR="00DA7243" w:rsidRPr="00CD6F0D">
        <w:t>app</w:t>
      </w:r>
      <w:r w:rsidR="00290F3D" w:rsidRPr="00CD6F0D">
        <w:t>ui</w:t>
      </w:r>
      <w:r w:rsidR="00DA7243" w:rsidRPr="00CD6F0D">
        <w:t xml:space="preserve">ent sur des politiques et des pratiques qui ont été approuvées antérieurement </w:t>
      </w:r>
      <w:r w:rsidR="00290F3D" w:rsidRPr="00CD6F0D">
        <w:t>pour</w:t>
      </w:r>
      <w:r w:rsidR="00E661F5" w:rsidRPr="00CD6F0D">
        <w:t xml:space="preserve"> d</w:t>
      </w:r>
      <w:r w:rsidR="00FF2DA8" w:rsidRPr="00CD6F0D">
        <w:t>’</w:t>
      </w:r>
      <w:r w:rsidR="00E661F5" w:rsidRPr="00CD6F0D">
        <w:t xml:space="preserve">autres documents, </w:t>
      </w:r>
      <w:r w:rsidR="00DA7243" w:rsidRPr="00CD6F0D">
        <w:t>comme le Règlement financier et son règlement d</w:t>
      </w:r>
      <w:r w:rsidR="00FF2DA8" w:rsidRPr="00CD6F0D">
        <w:t>’</w:t>
      </w:r>
      <w:r w:rsidR="00DA7243" w:rsidRPr="00CD6F0D">
        <w:t>exécution.</w:t>
      </w:r>
      <w:r w:rsidR="003B5CC5" w:rsidRPr="00CD6F0D">
        <w:t xml:space="preserve">  </w:t>
      </w:r>
      <w:r w:rsidR="007D14AC" w:rsidRPr="00CD6F0D">
        <w:t>Toutefois, l</w:t>
      </w:r>
      <w:r w:rsidR="00FF2DA8" w:rsidRPr="00CD6F0D">
        <w:t>’</w:t>
      </w:r>
      <w:r w:rsidR="007D14AC" w:rsidRPr="00CD6F0D">
        <w:t>une des politiques qui doit être soumise à approbation est la politique de gestion des risques liés aux partenaires financiers (</w:t>
      </w:r>
      <w:r w:rsidR="0056474F">
        <w:t>annexe </w:t>
      </w:r>
      <w:r w:rsidR="007D14AC" w:rsidRPr="00CD6F0D">
        <w:t>2).</w:t>
      </w:r>
    </w:p>
    <w:p w:rsidR="00D63FC0" w:rsidRPr="00CD6F0D" w:rsidRDefault="004F54C6" w:rsidP="00614B7E">
      <w:pPr>
        <w:pStyle w:val="ONUMFS"/>
      </w:pPr>
      <w:r w:rsidRPr="00CD6F0D">
        <w:t>Il existe un lien solide entre cette politique et la politique en matière de placements</w:t>
      </w:r>
      <w:r w:rsidR="00E661F5" w:rsidRPr="00CD6F0D">
        <w:t>,</w:t>
      </w:r>
      <w:r w:rsidRPr="00CD6F0D">
        <w:t xml:space="preserve"> car la politique de gestion des risques liés aux partenaires financiers renvoie aux notations acceptables à la fois pour les partenaires de placement</w:t>
      </w:r>
      <w:r w:rsidR="00E15266" w:rsidRPr="00CD6F0D">
        <w:t>s</w:t>
      </w:r>
      <w:r w:rsidRPr="00CD6F0D">
        <w:t xml:space="preserve"> et</w:t>
      </w:r>
      <w:r w:rsidR="00E661F5" w:rsidRPr="00CD6F0D">
        <w:t xml:space="preserve"> pour</w:t>
      </w:r>
      <w:r w:rsidRPr="00CD6F0D">
        <w:t xml:space="preserve"> les partenaires qui effectuent des opérations bancaires (comme la g</w:t>
      </w:r>
      <w:r w:rsidR="00E661F5" w:rsidRPr="00CD6F0D">
        <w:t>estion des comptes courants et l</w:t>
      </w:r>
      <w:r w:rsidRPr="00CD6F0D">
        <w:t>es transactions au moyen de ces comptes).</w:t>
      </w:r>
      <w:r w:rsidR="00EA4EAE" w:rsidRPr="00CD6F0D">
        <w:t xml:space="preserve">  </w:t>
      </w:r>
      <w:r w:rsidR="00E15266" w:rsidRPr="00CD6F0D">
        <w:t>La</w:t>
      </w:r>
      <w:r w:rsidR="00654017" w:rsidRPr="00CD6F0D">
        <w:t xml:space="preserve"> notation d</w:t>
      </w:r>
      <w:r w:rsidR="00E661F5" w:rsidRPr="00CD6F0D">
        <w:t>ont doivent être crédités le</w:t>
      </w:r>
      <w:r w:rsidR="00654017" w:rsidRPr="00CD6F0D">
        <w:t xml:space="preserve">s partenaires de placements doit </w:t>
      </w:r>
      <w:r w:rsidR="00E15266" w:rsidRPr="00CD6F0D">
        <w:t xml:space="preserve">nécessairement être </w:t>
      </w:r>
      <w:r w:rsidR="00E661F5" w:rsidRPr="00CD6F0D">
        <w:t>supérieure à</w:t>
      </w:r>
      <w:r w:rsidR="00E15266" w:rsidRPr="00CD6F0D">
        <w:t xml:space="preserve"> celle </w:t>
      </w:r>
      <w:r w:rsidR="00E661F5" w:rsidRPr="00CD6F0D">
        <w:t>dont bénéficient les institutions</w:t>
      </w:r>
      <w:r w:rsidR="00654017" w:rsidRPr="00CD6F0D">
        <w:t xml:space="preserve"> qui effectuent des opérations </w:t>
      </w:r>
      <w:r w:rsidR="00E661F5" w:rsidRPr="00CD6F0D">
        <w:t>courantes</w:t>
      </w:r>
      <w:r w:rsidR="00654017" w:rsidRPr="00CD6F0D">
        <w:t xml:space="preserve"> car les montants</w:t>
      </w:r>
      <w:r w:rsidR="00E661F5" w:rsidRPr="00CD6F0D">
        <w:t xml:space="preserve"> qui sont</w:t>
      </w:r>
      <w:r w:rsidR="00654017" w:rsidRPr="00CD6F0D">
        <w:t xml:space="preserve"> investis</w:t>
      </w:r>
      <w:r w:rsidR="00E661F5" w:rsidRPr="00CD6F0D">
        <w:t xml:space="preserve"> auprès de ces partenaires</w:t>
      </w:r>
      <w:r w:rsidR="00E15266" w:rsidRPr="00CD6F0D">
        <w:t xml:space="preserve"> </w:t>
      </w:r>
      <w:r w:rsidR="00654017" w:rsidRPr="00CD6F0D">
        <w:t xml:space="preserve">sont </w:t>
      </w:r>
      <w:r w:rsidR="00E661F5" w:rsidRPr="00CD6F0D">
        <w:t xml:space="preserve">généralement </w:t>
      </w:r>
      <w:r w:rsidR="00654017" w:rsidRPr="00CD6F0D">
        <w:t xml:space="preserve">supérieurs </w:t>
      </w:r>
      <w:r w:rsidR="00E661F5" w:rsidRPr="00CD6F0D">
        <w:t>et détenus</w:t>
      </w:r>
      <w:r w:rsidR="00E15266" w:rsidRPr="00CD6F0D">
        <w:t xml:space="preserve"> </w:t>
      </w:r>
      <w:r w:rsidR="00654017" w:rsidRPr="00CD6F0D">
        <w:t>p</w:t>
      </w:r>
      <w:r w:rsidR="00E661F5" w:rsidRPr="00CD6F0D">
        <w:t>endant</w:t>
      </w:r>
      <w:r w:rsidR="00654017" w:rsidRPr="00CD6F0D">
        <w:t xml:space="preserve"> des périodes plus longues.</w:t>
      </w:r>
      <w:r w:rsidR="00E63A34" w:rsidRPr="00CD6F0D">
        <w:t xml:space="preserve">  </w:t>
      </w:r>
      <w:r w:rsidR="00654017" w:rsidRPr="00CD6F0D">
        <w:t xml:space="preserve">Les notations indiquées pour </w:t>
      </w:r>
      <w:r w:rsidR="00E15266" w:rsidRPr="00CD6F0D">
        <w:t>ces</w:t>
      </w:r>
      <w:r w:rsidR="00654017" w:rsidRPr="00CD6F0D">
        <w:t xml:space="preserve"> deux</w:t>
      </w:r>
      <w:r w:rsidR="00EF5CBC" w:rsidRPr="00CD6F0D">
        <w:t> </w:t>
      </w:r>
      <w:r w:rsidR="00654017" w:rsidRPr="00CD6F0D">
        <w:t xml:space="preserve">types </w:t>
      </w:r>
      <w:r w:rsidR="00E661F5" w:rsidRPr="00CD6F0D">
        <w:t>d</w:t>
      </w:r>
      <w:r w:rsidR="00FF2DA8" w:rsidRPr="00CD6F0D">
        <w:t>’</w:t>
      </w:r>
      <w:r w:rsidR="00E661F5" w:rsidRPr="00CD6F0D">
        <w:t>institutions</w:t>
      </w:r>
      <w:r w:rsidR="00654017" w:rsidRPr="00CD6F0D">
        <w:t xml:space="preserve"> vont devoir être ajustées afin de tenir compte de la modification proposée dans la notation minimale exigée pour les partenaires de placements.</w:t>
      </w:r>
    </w:p>
    <w:p w:rsidR="00D63FC0" w:rsidRPr="00CD6F0D" w:rsidRDefault="00E15266" w:rsidP="00614B7E">
      <w:pPr>
        <w:pStyle w:val="ONUMFS"/>
      </w:pPr>
      <w:r w:rsidRPr="00CD6F0D">
        <w:t>La proposition consiste donc à tenir compte de la notation suggérée pour les partenaires de placements (tableau</w:t>
      </w:r>
      <w:r w:rsidR="00EF5CBC" w:rsidRPr="00CD6F0D">
        <w:t> </w:t>
      </w:r>
      <w:r w:rsidRPr="00CD6F0D">
        <w:t>2) et à faire de la notation BBB</w:t>
      </w:r>
      <w:r w:rsidR="00E35368" w:rsidRPr="00CD6F0D">
        <w:noBreakHyphen/>
      </w:r>
      <w:r w:rsidRPr="00CD6F0D">
        <w:t>/BAA3 (à long terme) la notation minimale exigée pour les banques chargées des opérations courantes.</w:t>
      </w:r>
      <w:r w:rsidR="006241E3" w:rsidRPr="00CD6F0D">
        <w:t xml:space="preserve">  </w:t>
      </w:r>
      <w:r w:rsidR="00240203" w:rsidRPr="00CD6F0D">
        <w:t xml:space="preserve">Par ailleurs, </w:t>
      </w:r>
      <w:r w:rsidR="00124AA4" w:rsidRPr="00CD6F0D">
        <w:t xml:space="preserve">le passage suivant de la politique va devoir être actualisé : </w:t>
      </w:r>
      <w:r w:rsidR="00EF5CBC" w:rsidRPr="00CD6F0D">
        <w:t>“</w:t>
      </w:r>
      <w:r w:rsidR="00240203" w:rsidRPr="00CD6F0D">
        <w:t xml:space="preserve">le </w:t>
      </w:r>
      <w:r w:rsidR="002F0634" w:rsidRPr="00CD6F0D">
        <w:t xml:space="preserve">risque </w:t>
      </w:r>
      <w:r w:rsidR="00E96F5B">
        <w:t>de crédit lié</w:t>
      </w:r>
      <w:r w:rsidR="002F0634" w:rsidRPr="00CD6F0D">
        <w:t xml:space="preserve"> aux partenaires </w:t>
      </w:r>
      <w:r w:rsidR="00E96F5B">
        <w:t>financiers, pour les</w:t>
      </w:r>
      <w:r w:rsidR="00240203" w:rsidRPr="00CD6F0D">
        <w:t xml:space="preserve"> placements</w:t>
      </w:r>
      <w:r w:rsidR="00E96F5B">
        <w:t>,</w:t>
      </w:r>
      <w:r w:rsidR="00240203" w:rsidRPr="00CD6F0D">
        <w:t xml:space="preserve"> </w:t>
      </w:r>
      <w:r w:rsidR="005E183E">
        <w:t>est couvert par</w:t>
      </w:r>
      <w:r w:rsidR="00240203" w:rsidRPr="00CD6F0D">
        <w:t xml:space="preserve"> la politique en matière de placements qui a été approuvée par les assemblées des États membres le </w:t>
      </w:r>
      <w:r w:rsidR="00FF2DA8" w:rsidRPr="00CD6F0D">
        <w:t>5 octobre 20</w:t>
      </w:r>
      <w:r w:rsidR="002F0634" w:rsidRPr="00CD6F0D">
        <w:t>11</w:t>
      </w:r>
      <w:r w:rsidR="00EF5CBC" w:rsidRPr="00CD6F0D">
        <w:t>”</w:t>
      </w:r>
      <w:r w:rsidR="00240203" w:rsidRPr="00CD6F0D">
        <w:t>.</w:t>
      </w:r>
    </w:p>
    <w:p w:rsidR="00D63FC0" w:rsidRPr="00CD6F0D" w:rsidRDefault="00614B7E" w:rsidP="00614B7E">
      <w:pPr>
        <w:pStyle w:val="Heading1"/>
      </w:pPr>
      <w:r w:rsidRPr="00CD6F0D">
        <w:t>Taux de rendement</w:t>
      </w:r>
    </w:p>
    <w:p w:rsidR="00D63FC0" w:rsidRPr="00CD6F0D" w:rsidRDefault="00D63FC0" w:rsidP="00614B7E"/>
    <w:p w:rsidR="00614B7E" w:rsidRPr="00CD6F0D" w:rsidRDefault="00124AA4" w:rsidP="00614B7E">
      <w:pPr>
        <w:pStyle w:val="ONUMFS"/>
      </w:pPr>
      <w:r w:rsidRPr="00CD6F0D">
        <w:t>La politique de l</w:t>
      </w:r>
      <w:r w:rsidR="00FF2DA8" w:rsidRPr="00CD6F0D">
        <w:t>’</w:t>
      </w:r>
      <w:r w:rsidRPr="00CD6F0D">
        <w:t>OMPI en matière de placements stipule que</w:t>
      </w:r>
      <w:r w:rsidR="00EF5CBC" w:rsidRPr="00CD6F0D">
        <w:t> :</w:t>
      </w:r>
      <w:r w:rsidRPr="00CD6F0D">
        <w:t xml:space="preserve"> </w:t>
      </w:r>
      <w:r w:rsidR="00EF5CBC" w:rsidRPr="00CD6F0D">
        <w:t>“</w:t>
      </w:r>
      <w:r w:rsidRPr="00CD6F0D">
        <w:t>Par ordre d</w:t>
      </w:r>
      <w:r w:rsidR="00FF2DA8" w:rsidRPr="00CD6F0D">
        <w:t>’</w:t>
      </w:r>
      <w:r w:rsidRPr="00CD6F0D">
        <w:t>importance, les principaux objectifs de gestion en matière de placements de l</w:t>
      </w:r>
      <w:r w:rsidR="00FF2DA8" w:rsidRPr="00CD6F0D">
        <w:t>’</w:t>
      </w:r>
      <w:r w:rsidRPr="00CD6F0D">
        <w:t>Organisation sont i) la préservation du capital;  ii) la conservation de liquidités et iii) le taux de rendement compte tenu des contraintes découlant des points i) et ii).</w:t>
      </w:r>
      <w:r w:rsidR="00EF5CBC" w:rsidRPr="00CD6F0D">
        <w:t>”</w:t>
      </w:r>
    </w:p>
    <w:p w:rsidR="00614B7E" w:rsidRPr="00CD6F0D" w:rsidRDefault="00DE0117" w:rsidP="00614B7E">
      <w:pPr>
        <w:pStyle w:val="ONUMFS"/>
      </w:pPr>
      <w:r w:rsidRPr="00CD6F0D">
        <w:t>Comme indiqué dans le tableau</w:t>
      </w:r>
      <w:r w:rsidR="00EF5CBC" w:rsidRPr="00CD6F0D">
        <w:t> </w:t>
      </w:r>
      <w:r w:rsidRPr="00CD6F0D">
        <w:t>1,</w:t>
      </w:r>
      <w:r w:rsidR="00FF2DA8" w:rsidRPr="00CD6F0D">
        <w:t xml:space="preserve"> la BNS</w:t>
      </w:r>
      <w:r w:rsidRPr="00CD6F0D">
        <w:t xml:space="preserve"> offre à l</w:t>
      </w:r>
      <w:r w:rsidR="00FF2DA8" w:rsidRPr="00CD6F0D">
        <w:t>’</w:t>
      </w:r>
      <w:r w:rsidRPr="00CD6F0D">
        <w:t>OMPI, depuis plus de six</w:t>
      </w:r>
      <w:r w:rsidR="00EF5CBC" w:rsidRPr="00CD6F0D">
        <w:t> </w:t>
      </w:r>
      <w:r w:rsidRPr="00CD6F0D">
        <w:t>ans, des taux d</w:t>
      </w:r>
      <w:r w:rsidR="00FF2DA8" w:rsidRPr="00CD6F0D">
        <w:t>’</w:t>
      </w:r>
      <w:r w:rsidR="0056474F">
        <w:t>intérêt</w:t>
      </w:r>
      <w:r w:rsidRPr="00CD6F0D">
        <w:t xml:space="preserve"> plus élevés que les taux servis par les banques commerciales et il apparaît donc clairement que les revenus des investissements chuteront lorsque l</w:t>
      </w:r>
      <w:r w:rsidR="00FF2DA8" w:rsidRPr="00CD6F0D">
        <w:t>’</w:t>
      </w:r>
      <w:r w:rsidRPr="00CD6F0D">
        <w:t xml:space="preserve">Organisation ne pourra plus </w:t>
      </w:r>
      <w:r w:rsidR="002F0634" w:rsidRPr="00CD6F0D">
        <w:t xml:space="preserve">effectuer ses placements </w:t>
      </w:r>
      <w:r w:rsidRPr="00CD6F0D">
        <w:t>auprès de</w:t>
      </w:r>
      <w:r w:rsidR="00FF2DA8" w:rsidRPr="00CD6F0D">
        <w:t xml:space="preserve"> la BNS</w:t>
      </w:r>
      <w:r w:rsidRPr="00CD6F0D">
        <w:t xml:space="preserve"> et devra, à la place, dép</w:t>
      </w:r>
      <w:r w:rsidR="002F0634" w:rsidRPr="00CD6F0D">
        <w:t>o</w:t>
      </w:r>
      <w:r w:rsidRPr="00CD6F0D">
        <w:t>s</w:t>
      </w:r>
      <w:r w:rsidR="002F0634" w:rsidRPr="00CD6F0D">
        <w:t>er les fonds</w:t>
      </w:r>
      <w:r w:rsidRPr="00CD6F0D">
        <w:t xml:space="preserve"> auprès de banques commerciales.</w:t>
      </w:r>
      <w:r w:rsidR="00C43AF0" w:rsidRPr="00CD6F0D">
        <w:t xml:space="preserve">  </w:t>
      </w:r>
      <w:r w:rsidRPr="00CD6F0D">
        <w:t>Ainsi, en</w:t>
      </w:r>
      <w:r w:rsidR="00EF5CBC" w:rsidRPr="00CD6F0D">
        <w:t> </w:t>
      </w:r>
      <w:r w:rsidRPr="00CD6F0D">
        <w:t>2013, l</w:t>
      </w:r>
      <w:r w:rsidR="00FF2DA8" w:rsidRPr="00CD6F0D">
        <w:t>’</w:t>
      </w:r>
      <w:r w:rsidRPr="00CD6F0D">
        <w:t>OMPI a obtenu 1,89</w:t>
      </w:r>
      <w:r w:rsidR="00EF5CBC" w:rsidRPr="00CD6F0D">
        <w:t> </w:t>
      </w:r>
      <w:r w:rsidRPr="00CD6F0D">
        <w:t>million de francs suisses de ses dépôts auprès de</w:t>
      </w:r>
      <w:r w:rsidR="00FF2DA8" w:rsidRPr="00CD6F0D">
        <w:t xml:space="preserve"> la BNS</w:t>
      </w:r>
      <w:r w:rsidRPr="00CD6F0D">
        <w:t>.  Si, au cours de cette période, l</w:t>
      </w:r>
      <w:r w:rsidR="00FF2DA8" w:rsidRPr="00CD6F0D">
        <w:t>’</w:t>
      </w:r>
      <w:r w:rsidRPr="00CD6F0D">
        <w:t xml:space="preserve">OMPI avait </w:t>
      </w:r>
      <w:r w:rsidR="002F0634" w:rsidRPr="00CD6F0D">
        <w:t>placé</w:t>
      </w:r>
      <w:r w:rsidRPr="00CD6F0D">
        <w:t xml:space="preserve"> ses fonds auprès du Crédit Suisse au</w:t>
      </w:r>
      <w:r w:rsidR="002F0634" w:rsidRPr="00CD6F0D">
        <w:t>x</w:t>
      </w:r>
      <w:r w:rsidRPr="00CD6F0D">
        <w:t xml:space="preserve"> taux indiqué</w:t>
      </w:r>
      <w:r w:rsidR="002F0634" w:rsidRPr="00CD6F0D">
        <w:t>s</w:t>
      </w:r>
      <w:r w:rsidRPr="00CD6F0D">
        <w:t xml:space="preserve"> dans le tableau 1, elle n</w:t>
      </w:r>
      <w:r w:rsidR="00FF2DA8" w:rsidRPr="00CD6F0D">
        <w:t>’</w:t>
      </w:r>
      <w:r w:rsidRPr="00CD6F0D">
        <w:t>aurait perçu que 265</w:t>
      </w:r>
      <w:r w:rsidR="00EF5CBC" w:rsidRPr="00CD6F0D">
        <w:t> </w:t>
      </w:r>
      <w:r w:rsidRPr="00CD6F0D">
        <w:t>060</w:t>
      </w:r>
      <w:r w:rsidR="00EF5CBC" w:rsidRPr="00CD6F0D">
        <w:t> </w:t>
      </w:r>
      <w:r w:rsidRPr="00CD6F0D">
        <w:t>francs suisses.</w:t>
      </w:r>
      <w:r w:rsidR="00C43AF0" w:rsidRPr="00CD6F0D">
        <w:t xml:space="preserve"> </w:t>
      </w:r>
      <w:r w:rsidR="002F0634" w:rsidRPr="00CD6F0D">
        <w:t xml:space="preserve"> </w:t>
      </w:r>
      <w:r w:rsidR="00E96F5B">
        <w:t>Par ailleurs</w:t>
      </w:r>
      <w:r w:rsidRPr="00CD6F0D">
        <w:t>, si l</w:t>
      </w:r>
      <w:r w:rsidR="00FF2DA8" w:rsidRPr="00CD6F0D">
        <w:t>’</w:t>
      </w:r>
      <w:r w:rsidRPr="00CD6F0D">
        <w:t xml:space="preserve">OMPI avait </w:t>
      </w:r>
      <w:r w:rsidR="002F0634" w:rsidRPr="00CD6F0D">
        <w:t>effectué les</w:t>
      </w:r>
      <w:r w:rsidRPr="00CD6F0D">
        <w:t xml:space="preserve"> mêmes placements que l</w:t>
      </w:r>
      <w:r w:rsidR="00FF2DA8" w:rsidRPr="00CD6F0D">
        <w:t>’</w:t>
      </w:r>
      <w:r w:rsidRPr="00CD6F0D">
        <w:t>OIT, avec un montant maximal de 38</w:t>
      </w:r>
      <w:r w:rsidR="00EF5CBC" w:rsidRPr="00CD6F0D">
        <w:t> </w:t>
      </w:r>
      <w:r w:rsidRPr="00CD6F0D">
        <w:t xml:space="preserve">millions de francs suisses détenus à la </w:t>
      </w:r>
      <w:r w:rsidR="002F0634" w:rsidRPr="00CD6F0D">
        <w:t>P</w:t>
      </w:r>
      <w:r w:rsidRPr="00CD6F0D">
        <w:t xml:space="preserve">oste suisse et le reste </w:t>
      </w:r>
      <w:r w:rsidR="002F0634" w:rsidRPr="00CD6F0D">
        <w:t xml:space="preserve">sur un compte de </w:t>
      </w:r>
      <w:r w:rsidRPr="00CD6F0D">
        <w:t xml:space="preserve">dépôt sur </w:t>
      </w:r>
      <w:r w:rsidR="0056474F">
        <w:t>13 </w:t>
      </w:r>
      <w:r w:rsidRPr="00CD6F0D">
        <w:t xml:space="preserve">mois </w:t>
      </w:r>
      <w:r w:rsidR="002F0634" w:rsidRPr="00CD6F0D">
        <w:t>au</w:t>
      </w:r>
      <w:r w:rsidRPr="00CD6F0D">
        <w:t xml:space="preserve"> Crédit Suisse, elle aurait obtenu 847</w:t>
      </w:r>
      <w:r w:rsidR="00EF5CBC" w:rsidRPr="00CD6F0D">
        <w:t> </w:t>
      </w:r>
      <w:r w:rsidRPr="00CD6F0D">
        <w:t>748</w:t>
      </w:r>
      <w:r w:rsidR="00EF5CBC" w:rsidRPr="00CD6F0D">
        <w:t> </w:t>
      </w:r>
      <w:r w:rsidRPr="00CD6F0D">
        <w:t xml:space="preserve">francs suisses, </w:t>
      </w:r>
      <w:r w:rsidR="00E96F5B">
        <w:t xml:space="preserve">un montant inférieur aux </w:t>
      </w:r>
      <w:r w:rsidRPr="00CD6F0D">
        <w:t>revenus</w:t>
      </w:r>
      <w:r w:rsidR="00D56095" w:rsidRPr="00CD6F0D">
        <w:t xml:space="preserve"> tirés</w:t>
      </w:r>
      <w:r w:rsidRPr="00CD6F0D">
        <w:t xml:space="preserve"> de ses investissements.</w:t>
      </w:r>
    </w:p>
    <w:p w:rsidR="00614B7E" w:rsidRPr="00CD6F0D" w:rsidRDefault="00DE0117" w:rsidP="00614B7E">
      <w:pPr>
        <w:pStyle w:val="ONUMFS"/>
        <w:rPr>
          <w:rStyle w:val="ListParagraphChar"/>
        </w:rPr>
      </w:pPr>
      <w:r w:rsidRPr="00CD6F0D">
        <w:rPr>
          <w:rStyle w:val="ListParagraphChar"/>
        </w:rPr>
        <w:t>Pour tenter de maintenir (ou d</w:t>
      </w:r>
      <w:r w:rsidR="00FF2DA8" w:rsidRPr="00CD6F0D">
        <w:rPr>
          <w:rStyle w:val="ListParagraphChar"/>
        </w:rPr>
        <w:t>’</w:t>
      </w:r>
      <w:r w:rsidRPr="00CD6F0D">
        <w:rPr>
          <w:rStyle w:val="ListParagraphChar"/>
        </w:rPr>
        <w:t xml:space="preserve">améliorer) le niveau des revenus tirés des investissements, </w:t>
      </w:r>
      <w:r w:rsidR="00D56095" w:rsidRPr="00CD6F0D">
        <w:rPr>
          <w:rStyle w:val="ListParagraphChar"/>
        </w:rPr>
        <w:t>l</w:t>
      </w:r>
      <w:r w:rsidR="00FF2DA8" w:rsidRPr="00CD6F0D">
        <w:rPr>
          <w:rStyle w:val="ListParagraphChar"/>
        </w:rPr>
        <w:t>’</w:t>
      </w:r>
      <w:r w:rsidR="00D56095" w:rsidRPr="00CD6F0D">
        <w:rPr>
          <w:rStyle w:val="ListParagraphChar"/>
        </w:rPr>
        <w:t xml:space="preserve">Organisation devra adopter une nouvelle </w:t>
      </w:r>
      <w:r w:rsidRPr="00CD6F0D">
        <w:rPr>
          <w:rStyle w:val="ListParagraphChar"/>
        </w:rPr>
        <w:t xml:space="preserve">approche. </w:t>
      </w:r>
      <w:r w:rsidR="00E674EC" w:rsidRPr="00CD6F0D">
        <w:rPr>
          <w:rStyle w:val="ListParagraphChar"/>
        </w:rPr>
        <w:t xml:space="preserve"> </w:t>
      </w:r>
      <w:r w:rsidRPr="00CD6F0D">
        <w:rPr>
          <w:rStyle w:val="ListParagraphChar"/>
        </w:rPr>
        <w:t>Pour cela</w:t>
      </w:r>
      <w:r w:rsidR="00D56095" w:rsidRPr="00CD6F0D">
        <w:rPr>
          <w:rStyle w:val="ListParagraphChar"/>
        </w:rPr>
        <w:t>,</w:t>
      </w:r>
      <w:r w:rsidRPr="00CD6F0D">
        <w:rPr>
          <w:rStyle w:val="ListParagraphChar"/>
        </w:rPr>
        <w:t xml:space="preserve"> elle pourrait</w:t>
      </w:r>
      <w:r w:rsidR="00EF5CBC" w:rsidRPr="00CD6F0D">
        <w:rPr>
          <w:rStyle w:val="ListParagraphChar"/>
        </w:rPr>
        <w:t> </w:t>
      </w:r>
      <w:r w:rsidRPr="00CD6F0D">
        <w:rPr>
          <w:rStyle w:val="ListParagraphChar"/>
        </w:rPr>
        <w:t>: 1) investir dans des produits qui ne sont actuellement pas autorisés par la politique (</w:t>
      </w:r>
      <w:r w:rsidR="00D56095" w:rsidRPr="00CD6F0D">
        <w:rPr>
          <w:rStyle w:val="ListParagraphChar"/>
        </w:rPr>
        <w:t>et qui peuvent s</w:t>
      </w:r>
      <w:r w:rsidR="00FF2DA8" w:rsidRPr="00CD6F0D">
        <w:rPr>
          <w:rStyle w:val="ListParagraphChar"/>
        </w:rPr>
        <w:t>’</w:t>
      </w:r>
      <w:r w:rsidR="00D56095" w:rsidRPr="00CD6F0D">
        <w:rPr>
          <w:rStyle w:val="ListParagraphChar"/>
        </w:rPr>
        <w:t>accompagner d</w:t>
      </w:r>
      <w:r w:rsidR="00FF2DA8" w:rsidRPr="00CD6F0D">
        <w:rPr>
          <w:rStyle w:val="ListParagraphChar"/>
        </w:rPr>
        <w:t>’</w:t>
      </w:r>
      <w:r w:rsidR="00D56095" w:rsidRPr="00CD6F0D">
        <w:rPr>
          <w:rStyle w:val="ListParagraphChar"/>
        </w:rPr>
        <w:t>un</w:t>
      </w:r>
      <w:r w:rsidRPr="00CD6F0D">
        <w:rPr>
          <w:rStyle w:val="ListParagraphChar"/>
        </w:rPr>
        <w:t xml:space="preserve"> risque </w:t>
      </w:r>
      <w:r w:rsidR="00D56095" w:rsidRPr="00CD6F0D">
        <w:rPr>
          <w:rStyle w:val="ListParagraphChar"/>
        </w:rPr>
        <w:t>plus élevé</w:t>
      </w:r>
      <w:r w:rsidRPr="00CD6F0D">
        <w:rPr>
          <w:rStyle w:val="ListParagraphChar"/>
        </w:rPr>
        <w:t>) ou 2)</w:t>
      </w:r>
      <w:r w:rsidR="00D56095" w:rsidRPr="00CD6F0D">
        <w:rPr>
          <w:rStyle w:val="ListParagraphChar"/>
        </w:rPr>
        <w:t xml:space="preserve"> effectuer des</w:t>
      </w:r>
      <w:r w:rsidRPr="00CD6F0D">
        <w:rPr>
          <w:rStyle w:val="ListParagraphChar"/>
        </w:rPr>
        <w:t xml:space="preserve"> place</w:t>
      </w:r>
      <w:r w:rsidR="00D56095" w:rsidRPr="00CD6F0D">
        <w:rPr>
          <w:rStyle w:val="ListParagraphChar"/>
        </w:rPr>
        <w:t xml:space="preserve">ments </w:t>
      </w:r>
      <w:r w:rsidRPr="00CD6F0D">
        <w:rPr>
          <w:rStyle w:val="ListParagraphChar"/>
        </w:rPr>
        <w:t xml:space="preserve">pour des périodes plus longues (ce qui réduirait les liquidités </w:t>
      </w:r>
      <w:r w:rsidR="00D56095" w:rsidRPr="00CD6F0D">
        <w:rPr>
          <w:rStyle w:val="ListParagraphChar"/>
        </w:rPr>
        <w:t>à</w:t>
      </w:r>
      <w:r w:rsidRPr="00CD6F0D">
        <w:rPr>
          <w:rStyle w:val="ListParagraphChar"/>
        </w:rPr>
        <w:t xml:space="preserve"> court terme) ou 3) suivre les deux</w:t>
      </w:r>
      <w:r w:rsidR="00EF5CBC" w:rsidRPr="00CD6F0D">
        <w:rPr>
          <w:rStyle w:val="ListParagraphChar"/>
        </w:rPr>
        <w:t> </w:t>
      </w:r>
      <w:r w:rsidRPr="00CD6F0D">
        <w:rPr>
          <w:rStyle w:val="ListParagraphChar"/>
        </w:rPr>
        <w:t>options.</w:t>
      </w:r>
    </w:p>
    <w:p w:rsidR="00614B7E" w:rsidRPr="00CD6F0D" w:rsidRDefault="00D56095" w:rsidP="00614B7E">
      <w:pPr>
        <w:pStyle w:val="ONUMFS"/>
      </w:pPr>
      <w:r w:rsidRPr="00CD6F0D">
        <w:t>Pour un</w:t>
      </w:r>
      <w:r w:rsidR="00BA0C50" w:rsidRPr="00CD6F0D">
        <w:t xml:space="preserve"> tel changement de stratégie</w:t>
      </w:r>
      <w:r w:rsidRPr="00CD6F0D">
        <w:t>,</w:t>
      </w:r>
      <w:r w:rsidR="00BA0C50" w:rsidRPr="00CD6F0D">
        <w:t xml:space="preserve"> l</w:t>
      </w:r>
      <w:r w:rsidR="00FF2DA8" w:rsidRPr="00CD6F0D">
        <w:t>’</w:t>
      </w:r>
      <w:r w:rsidR="00BA0C50" w:rsidRPr="00CD6F0D">
        <w:t xml:space="preserve">Organisation </w:t>
      </w:r>
      <w:r w:rsidRPr="00CD6F0D">
        <w:t>aurait besoin</w:t>
      </w:r>
      <w:r w:rsidR="00BA0C50" w:rsidRPr="00CD6F0D">
        <w:t xml:space="preserve"> de compétences internes en matière de gestion des placements (qui n</w:t>
      </w:r>
      <w:r w:rsidR="00FF2DA8" w:rsidRPr="00CD6F0D">
        <w:t>’</w:t>
      </w:r>
      <w:r w:rsidR="00BA0C50" w:rsidRPr="00CD6F0D">
        <w:t xml:space="preserve">existent actuellement pas) ou </w:t>
      </w:r>
      <w:r w:rsidRPr="00CD6F0D">
        <w:t>d</w:t>
      </w:r>
      <w:r w:rsidR="00FF2DA8" w:rsidRPr="00CD6F0D">
        <w:t>’</w:t>
      </w:r>
      <w:r w:rsidRPr="00CD6F0D">
        <w:t>utiliser</w:t>
      </w:r>
      <w:r w:rsidR="00BA0C50" w:rsidRPr="00CD6F0D">
        <w:t xml:space="preserve"> de</w:t>
      </w:r>
      <w:r w:rsidRPr="00CD6F0D">
        <w:t>s</w:t>
      </w:r>
      <w:r w:rsidR="00BA0C50" w:rsidRPr="00CD6F0D">
        <w:t xml:space="preserve"> gestionnaires de fonds extérieurs </w:t>
      </w:r>
      <w:r w:rsidRPr="00CD6F0D">
        <w:t xml:space="preserve">tout en assurant </w:t>
      </w:r>
      <w:r w:rsidR="00BA0C50" w:rsidRPr="00CD6F0D">
        <w:t xml:space="preserve">un suivi étroit des flux de trésorerie, de </w:t>
      </w:r>
      <w:r w:rsidRPr="00CD6F0D">
        <w:t xml:space="preserve">manière à ne </w:t>
      </w:r>
      <w:r w:rsidR="00BA0C50" w:rsidRPr="00CD6F0D">
        <w:t>jamais</w:t>
      </w:r>
      <w:r w:rsidRPr="00CD6F0D">
        <w:t xml:space="preserve"> être</w:t>
      </w:r>
      <w:r w:rsidR="00BA0C50" w:rsidRPr="00CD6F0D">
        <w:t xml:space="preserve"> à court de liquidités.</w:t>
      </w:r>
    </w:p>
    <w:p w:rsidR="00614B7E" w:rsidRPr="00CD6F0D" w:rsidRDefault="00091F50" w:rsidP="00614B7E">
      <w:pPr>
        <w:pStyle w:val="ONUMFS"/>
      </w:pPr>
      <w:r w:rsidRPr="00CD6F0D">
        <w:t xml:space="preserve">Une étude des politiques en matière de placements des autres institutions du système des </w:t>
      </w:r>
      <w:r w:rsidR="00FF2DA8" w:rsidRPr="00CD6F0D">
        <w:t>Nations Unies</w:t>
      </w:r>
      <w:r w:rsidRPr="00CD6F0D">
        <w:t xml:space="preserve"> (</w:t>
      </w:r>
      <w:r w:rsidR="00D56095" w:rsidRPr="00CD6F0D">
        <w:t>y</w:t>
      </w:r>
      <w:r w:rsidR="00EF5CBC" w:rsidRPr="00CD6F0D">
        <w:t> </w:t>
      </w:r>
      <w:r w:rsidR="00D56095" w:rsidRPr="00CD6F0D">
        <w:t>compris</w:t>
      </w:r>
      <w:r w:rsidRPr="00CD6F0D">
        <w:t xml:space="preserve"> celles </w:t>
      </w:r>
      <w:r w:rsidR="00D56095" w:rsidRPr="00CD6F0D">
        <w:t>dont l</w:t>
      </w:r>
      <w:r w:rsidRPr="00CD6F0D">
        <w:t xml:space="preserve">es placements </w:t>
      </w:r>
      <w:r w:rsidR="00D56095" w:rsidRPr="00CD6F0D">
        <w:t xml:space="preserve">ne sont pas </w:t>
      </w:r>
      <w:r w:rsidRPr="00CD6F0D">
        <w:t xml:space="preserve">en francs suisses) révèle que </w:t>
      </w:r>
      <w:r w:rsidR="00E96F5B">
        <w:t>c</w:t>
      </w:r>
      <w:r w:rsidRPr="00CD6F0D">
        <w:t>es institutions investissent surtout dans des produits à revenu fixe comme les comptes à terme et les obligations.</w:t>
      </w:r>
      <w:r w:rsidR="00F2391F" w:rsidRPr="00CD6F0D">
        <w:t xml:space="preserve">  </w:t>
      </w:r>
      <w:r w:rsidRPr="00CD6F0D">
        <w:t xml:space="preserve">Toutefois, même </w:t>
      </w:r>
      <w:r w:rsidR="00D56095" w:rsidRPr="00CD6F0D">
        <w:t>si elles se limitent</w:t>
      </w:r>
      <w:r w:rsidRPr="00CD6F0D">
        <w:t xml:space="preserve"> à n</w:t>
      </w:r>
      <w:r w:rsidR="00FF2DA8" w:rsidRPr="00CD6F0D">
        <w:t>’</w:t>
      </w:r>
      <w:r w:rsidRPr="00CD6F0D">
        <w:t xml:space="preserve">utiliser que des produits à revenu fixe, </w:t>
      </w:r>
      <w:r w:rsidR="00D56095" w:rsidRPr="00CD6F0D">
        <w:t>de</w:t>
      </w:r>
      <w:r w:rsidRPr="00CD6F0D">
        <w:t xml:space="preserve"> nombre</w:t>
      </w:r>
      <w:r w:rsidR="00D56095" w:rsidRPr="00CD6F0D">
        <w:t xml:space="preserve">uses </w:t>
      </w:r>
      <w:r w:rsidRPr="00CD6F0D">
        <w:t xml:space="preserve">organisations </w:t>
      </w:r>
      <w:r w:rsidR="00D56095" w:rsidRPr="00CD6F0D">
        <w:t xml:space="preserve">peuvent </w:t>
      </w:r>
      <w:r w:rsidRPr="00CD6F0D">
        <w:t>investir dans une gamme de produits plus large que l</w:t>
      </w:r>
      <w:r w:rsidR="00FF2DA8" w:rsidRPr="00CD6F0D">
        <w:t>’</w:t>
      </w:r>
      <w:r w:rsidRPr="00CD6F0D">
        <w:t>OMPI.</w:t>
      </w:r>
    </w:p>
    <w:p w:rsidR="00D63FC0" w:rsidRPr="00CD6F0D" w:rsidRDefault="00F2391F" w:rsidP="00614B7E">
      <w:pPr>
        <w:pStyle w:val="ONUMFS"/>
      </w:pPr>
      <w:r w:rsidRPr="00CD6F0D">
        <w:t>L</w:t>
      </w:r>
      <w:r w:rsidR="00FF2DA8" w:rsidRPr="00CD6F0D">
        <w:t>’</w:t>
      </w:r>
      <w:r w:rsidRPr="00CD6F0D">
        <w:t>une des propositions vise donc à élargir la gamme des placements acceptables afin d</w:t>
      </w:r>
      <w:r w:rsidR="00FF2DA8" w:rsidRPr="00CD6F0D">
        <w:t>’</w:t>
      </w:r>
      <w:r w:rsidRPr="00CD6F0D">
        <w:t>y inclure des produits comme les obliga</w:t>
      </w:r>
      <w:r w:rsidR="00D56095" w:rsidRPr="00CD6F0D">
        <w:t>ti</w:t>
      </w:r>
      <w:r w:rsidRPr="00CD6F0D">
        <w:t>ons émises par les entités supranationales, les obligations à coupon zéro et les dépôts à capital garanti.</w:t>
      </w:r>
      <w:r w:rsidR="00142D7C" w:rsidRPr="00CD6F0D">
        <w:t xml:space="preserve">  </w:t>
      </w:r>
      <w:r w:rsidRPr="00CD6F0D">
        <w:t>Il sera</w:t>
      </w:r>
      <w:r w:rsidR="00D56095" w:rsidRPr="00CD6F0D">
        <w:t>it</w:t>
      </w:r>
      <w:r w:rsidRPr="00CD6F0D">
        <w:t xml:space="preserve"> nécessaire de </w:t>
      </w:r>
      <w:r w:rsidR="00D56095" w:rsidRPr="00CD6F0D">
        <w:t>recenser</w:t>
      </w:r>
      <w:r w:rsidRPr="00CD6F0D">
        <w:t xml:space="preserve"> </w:t>
      </w:r>
      <w:r w:rsidR="00D56095" w:rsidRPr="00CD6F0D">
        <w:t>d</w:t>
      </w:r>
      <w:r w:rsidR="00FF2DA8" w:rsidRPr="00CD6F0D">
        <w:t>’</w:t>
      </w:r>
      <w:r w:rsidRPr="00CD6F0D">
        <w:t xml:space="preserve">autres produits </w:t>
      </w:r>
      <w:r w:rsidR="00D56095" w:rsidRPr="00CD6F0D">
        <w:t>acceptables</w:t>
      </w:r>
      <w:r w:rsidRPr="00CD6F0D">
        <w:t>.</w:t>
      </w:r>
      <w:r w:rsidR="00D56095" w:rsidRPr="00CD6F0D">
        <w:t xml:space="preserve">  </w:t>
      </w:r>
      <w:r w:rsidRPr="00CD6F0D">
        <w:t>Une autre proposition concerne les empr</w:t>
      </w:r>
      <w:r w:rsidR="008E6E73" w:rsidRPr="00CD6F0D">
        <w:t>u</w:t>
      </w:r>
      <w:r w:rsidRPr="00CD6F0D">
        <w:t>nts de l</w:t>
      </w:r>
      <w:r w:rsidR="00FF2DA8" w:rsidRPr="00CD6F0D">
        <w:t>’</w:t>
      </w:r>
      <w:r w:rsidRPr="00CD6F0D">
        <w:t>OMPI.</w:t>
      </w:r>
      <w:r w:rsidR="006D415B" w:rsidRPr="00CD6F0D">
        <w:t xml:space="preserve">  </w:t>
      </w:r>
      <w:r w:rsidR="008E6E73" w:rsidRPr="00CD6F0D">
        <w:t>Compte tenu des disparités entre les taux d</w:t>
      </w:r>
      <w:r w:rsidR="00FF2DA8" w:rsidRPr="00CD6F0D">
        <w:t>’</w:t>
      </w:r>
      <w:r w:rsidR="008E6E73" w:rsidRPr="00CD6F0D">
        <w:t>intérêts payés sur les emprunts (l</w:t>
      </w:r>
      <w:r w:rsidR="00FF2DA8" w:rsidRPr="00CD6F0D">
        <w:t>’</w:t>
      </w:r>
      <w:r w:rsidR="008E6E73" w:rsidRPr="00CD6F0D">
        <w:t>OMPI est actuellement soumise à des taux compris entre 1,705% et 3,0725% pour le remboursement du prêt qui a permis de financer le nouveau bâtiment) et le</w:t>
      </w:r>
      <w:r w:rsidR="00D56095" w:rsidRPr="00CD6F0D">
        <w:t>s</w:t>
      </w:r>
      <w:r w:rsidR="008E6E73" w:rsidRPr="00CD6F0D">
        <w:t xml:space="preserve"> taux reçu</w:t>
      </w:r>
      <w:r w:rsidR="00D56095" w:rsidRPr="00CD6F0D">
        <w:t>s</w:t>
      </w:r>
      <w:r w:rsidR="008E6E73" w:rsidRPr="00CD6F0D">
        <w:t xml:space="preserve"> sur les placements, et du fait que ces disparités </w:t>
      </w:r>
      <w:r w:rsidR="00D56095" w:rsidRPr="00CD6F0D">
        <w:t>ne feront qu</w:t>
      </w:r>
      <w:r w:rsidR="00FF2DA8" w:rsidRPr="00CD6F0D">
        <w:t>’</w:t>
      </w:r>
      <w:r w:rsidR="008E6E73" w:rsidRPr="00CD6F0D">
        <w:t>augmenter</w:t>
      </w:r>
      <w:r w:rsidR="00D56095" w:rsidRPr="00CD6F0D">
        <w:t xml:space="preserve"> </w:t>
      </w:r>
      <w:r w:rsidR="008E6E73" w:rsidRPr="00CD6F0D">
        <w:t>lorsque l</w:t>
      </w:r>
      <w:r w:rsidR="00FF2DA8" w:rsidRPr="00CD6F0D">
        <w:t>’</w:t>
      </w:r>
      <w:r w:rsidR="008E6E73" w:rsidRPr="00CD6F0D">
        <w:t>arrangement entre l</w:t>
      </w:r>
      <w:r w:rsidR="00FF2DA8" w:rsidRPr="00CD6F0D">
        <w:t>’</w:t>
      </w:r>
      <w:r w:rsidR="008E6E73" w:rsidRPr="00CD6F0D">
        <w:t>OMPI et</w:t>
      </w:r>
      <w:r w:rsidR="00FF2DA8" w:rsidRPr="00CD6F0D">
        <w:t xml:space="preserve"> la BNS</w:t>
      </w:r>
      <w:r w:rsidR="008E6E73" w:rsidRPr="00CD6F0D">
        <w:t xml:space="preserve"> aura pris fin, une façon d</w:t>
      </w:r>
      <w:r w:rsidR="00FF2DA8" w:rsidRPr="00CD6F0D">
        <w:t>’</w:t>
      </w:r>
      <w:r w:rsidR="008E6E73" w:rsidRPr="00CD6F0D">
        <w:t>a</w:t>
      </w:r>
      <w:r w:rsidR="00D56095" w:rsidRPr="00CD6F0D">
        <w:t>méliorer</w:t>
      </w:r>
      <w:r w:rsidR="008E6E73" w:rsidRPr="00CD6F0D">
        <w:t xml:space="preserve"> la position nette </w:t>
      </w:r>
      <w:r w:rsidR="00D56095" w:rsidRPr="00CD6F0D">
        <w:t>de l</w:t>
      </w:r>
      <w:r w:rsidR="00FF2DA8" w:rsidRPr="00CD6F0D">
        <w:t>’</w:t>
      </w:r>
      <w:r w:rsidR="00D56095" w:rsidRPr="00CD6F0D">
        <w:t xml:space="preserve">Organisation </w:t>
      </w:r>
      <w:r w:rsidR="008E6E73" w:rsidRPr="00CD6F0D">
        <w:t>(intérêts payés moins intérêts reçus) serait d</w:t>
      </w:r>
      <w:r w:rsidR="00FF2DA8" w:rsidRPr="00CD6F0D">
        <w:t>’</w:t>
      </w:r>
      <w:r w:rsidR="008E6E73" w:rsidRPr="00CD6F0D">
        <w:t>utiliser les fonds destinés aux placements pour réduire le</w:t>
      </w:r>
      <w:r w:rsidR="00D56095" w:rsidRPr="00CD6F0D">
        <w:t xml:space="preserve"> montant de</w:t>
      </w:r>
      <w:r w:rsidR="008E6E73" w:rsidRPr="00CD6F0D">
        <w:t>s emprunts</w:t>
      </w:r>
      <w:r w:rsidR="008E6E73" w:rsidRPr="00CD6F0D">
        <w:rPr>
          <w:i/>
        </w:rPr>
        <w:t>.</w:t>
      </w:r>
      <w:r w:rsidR="003E589E" w:rsidRPr="00CD6F0D">
        <w:rPr>
          <w:i/>
        </w:rPr>
        <w:t xml:space="preserve">  </w:t>
      </w:r>
      <w:r w:rsidR="008E6E73" w:rsidRPr="00CD6F0D">
        <w:t>Si cette proposition était acceptée, l</w:t>
      </w:r>
      <w:r w:rsidR="00FF2DA8" w:rsidRPr="00CD6F0D">
        <w:t>’</w:t>
      </w:r>
      <w:r w:rsidR="008E6E73" w:rsidRPr="00CD6F0D">
        <w:t xml:space="preserve">OMPI tenterait de rembourser les </w:t>
      </w:r>
      <w:r w:rsidR="00D56095" w:rsidRPr="00CD6F0D">
        <w:t>sommes</w:t>
      </w:r>
      <w:r w:rsidR="008E6E73" w:rsidRPr="00CD6F0D">
        <w:t xml:space="preserve"> du</w:t>
      </w:r>
      <w:r w:rsidR="00D56095" w:rsidRPr="00CD6F0D">
        <w:t>e</w:t>
      </w:r>
      <w:r w:rsidR="008E6E73" w:rsidRPr="00CD6F0D">
        <w:t xml:space="preserve">s en </w:t>
      </w:r>
      <w:r w:rsidR="00FF2DA8" w:rsidRPr="00CD6F0D">
        <w:t>novembre 20</w:t>
      </w:r>
      <w:r w:rsidR="008E6E73" w:rsidRPr="00CD6F0D">
        <w:t>15 (24</w:t>
      </w:r>
      <w:r w:rsidR="00EF5CBC" w:rsidRPr="00CD6F0D">
        <w:t> </w:t>
      </w:r>
      <w:r w:rsidR="008E6E73" w:rsidRPr="00CD6F0D">
        <w:t xml:space="preserve">millions de francs suisses) et en </w:t>
      </w:r>
      <w:r w:rsidR="00FF2DA8" w:rsidRPr="00CD6F0D">
        <w:t>janvier 20</w:t>
      </w:r>
      <w:r w:rsidR="008E6E73" w:rsidRPr="00CD6F0D">
        <w:t>16 (16</w:t>
      </w:r>
      <w:r w:rsidR="00EF5CBC" w:rsidRPr="00CD6F0D">
        <w:t> </w:t>
      </w:r>
      <w:r w:rsidR="008E6E73" w:rsidRPr="00CD6F0D">
        <w:t>millions de francs suisses) plutôt que d</w:t>
      </w:r>
      <w:r w:rsidR="00FF2DA8" w:rsidRPr="00CD6F0D">
        <w:t>’</w:t>
      </w:r>
      <w:r w:rsidR="008E6E73" w:rsidRPr="00CD6F0D">
        <w:t>élargir les deux</w:t>
      </w:r>
      <w:r w:rsidR="00EF5CBC" w:rsidRPr="00CD6F0D">
        <w:t> </w:t>
      </w:r>
      <w:r w:rsidR="008E6E73" w:rsidRPr="00CD6F0D">
        <w:t xml:space="preserve">tranches de </w:t>
      </w:r>
      <w:r w:rsidR="008A508B" w:rsidRPr="00CD6F0D">
        <w:t>son emprunt</w:t>
      </w:r>
      <w:r w:rsidR="008E6E73" w:rsidRPr="00CD6F0D">
        <w:t xml:space="preserve"> et </w:t>
      </w:r>
      <w:r w:rsidR="00E96F5B">
        <w:t xml:space="preserve">elle </w:t>
      </w:r>
      <w:r w:rsidR="008E6E73" w:rsidRPr="00CD6F0D">
        <w:t>tenterait aussi de financer la salle de conférence grâce aux fonds disponibles pour les placements plutôt qu</w:t>
      </w:r>
      <w:r w:rsidR="00FF2DA8" w:rsidRPr="00CD6F0D">
        <w:t>’</w:t>
      </w:r>
      <w:r w:rsidR="008E6E73" w:rsidRPr="00CD6F0D">
        <w:t>en utilisant le prêt prévu à cette fin.</w:t>
      </w:r>
      <w:r w:rsidR="007E50A0" w:rsidRPr="00CD6F0D">
        <w:t xml:space="preserve">  </w:t>
      </w:r>
      <w:r w:rsidR="008E6E73" w:rsidRPr="00CD6F0D">
        <w:t>Clairement, cette stratégie ne pourrait être appliquée, en tout ou en partie, que si elle n</w:t>
      </w:r>
      <w:r w:rsidR="00FF2DA8" w:rsidRPr="00CD6F0D">
        <w:t>’</w:t>
      </w:r>
      <w:r w:rsidR="00614B7E" w:rsidRPr="00CD6F0D">
        <w:t>entraînait</w:t>
      </w:r>
      <w:r w:rsidR="008E6E73" w:rsidRPr="00CD6F0D">
        <w:t xml:space="preserve"> aucun problème de liquidités pour l</w:t>
      </w:r>
      <w:r w:rsidR="00FF2DA8" w:rsidRPr="00CD6F0D">
        <w:t>’</w:t>
      </w:r>
      <w:r w:rsidR="008E6E73" w:rsidRPr="00CD6F0D">
        <w:t>OMPI.</w:t>
      </w:r>
      <w:r w:rsidR="007D1F48" w:rsidRPr="00CD6F0D">
        <w:t xml:space="preserve"> </w:t>
      </w:r>
      <w:r w:rsidR="008A508B" w:rsidRPr="00CD6F0D">
        <w:t xml:space="preserve"> </w:t>
      </w:r>
      <w:r w:rsidR="00AA0558" w:rsidRPr="00CD6F0D">
        <w:rPr>
          <w:color w:val="000000"/>
        </w:rPr>
        <w:t xml:space="preserve">Pour ce faire, la Division des finances </w:t>
      </w:r>
      <w:r w:rsidR="00AA0558" w:rsidRPr="00CD6F0D">
        <w:t>continuerait de suivre les futurs flux de trésorerie de l</w:t>
      </w:r>
      <w:r w:rsidR="00FF2DA8" w:rsidRPr="00CD6F0D">
        <w:t>’</w:t>
      </w:r>
      <w:r w:rsidR="00AA0558" w:rsidRPr="00CD6F0D">
        <w:t>Organisation et de produire des états anticipés de la situation financière (bilans).</w:t>
      </w:r>
      <w:r w:rsidR="007D1F48" w:rsidRPr="00CD6F0D">
        <w:t xml:space="preserve"> </w:t>
      </w:r>
      <w:r w:rsidR="005733D2" w:rsidRPr="00CD6F0D">
        <w:t xml:space="preserve"> </w:t>
      </w:r>
      <w:r w:rsidR="00AA0558" w:rsidRPr="00CD6F0D">
        <w:t>Avec ces informations, la Division des finances</w:t>
      </w:r>
      <w:r w:rsidR="00D628AF" w:rsidRPr="00CD6F0D">
        <w:t xml:space="preserve"> pourra déterminer si les ratios </w:t>
      </w:r>
      <w:r w:rsidR="00AA0558" w:rsidRPr="00CD6F0D">
        <w:t>de liquidité adéquat</w:t>
      </w:r>
      <w:r w:rsidR="00D628AF" w:rsidRPr="00CD6F0D">
        <w:t>s</w:t>
      </w:r>
      <w:r w:rsidR="00AA0558" w:rsidRPr="00CD6F0D">
        <w:t xml:space="preserve"> (</w:t>
      </w:r>
      <w:r w:rsidR="00D628AF" w:rsidRPr="00CD6F0D">
        <w:t>ratio de liquidité générale et ratio de liquidité imm</w:t>
      </w:r>
      <w:r w:rsidR="00D628AF" w:rsidRPr="00CD6F0D">
        <w:rPr>
          <w:color w:val="000000"/>
        </w:rPr>
        <w:t>édiate</w:t>
      </w:r>
      <w:r w:rsidR="00AA0558" w:rsidRPr="00CD6F0D">
        <w:rPr>
          <w:color w:val="000000"/>
        </w:rPr>
        <w:t>)</w:t>
      </w:r>
      <w:r w:rsidR="00AA0558" w:rsidRPr="00CD6F0D">
        <w:rPr>
          <w:rStyle w:val="FootnoteReference"/>
          <w:color w:val="000000"/>
        </w:rPr>
        <w:footnoteReference w:id="2"/>
      </w:r>
      <w:r w:rsidR="00AA0558" w:rsidRPr="00CD6F0D">
        <w:rPr>
          <w:color w:val="000000"/>
        </w:rPr>
        <w:t xml:space="preserve"> pourrai</w:t>
      </w:r>
      <w:r w:rsidR="00D628AF" w:rsidRPr="00CD6F0D">
        <w:rPr>
          <w:color w:val="000000"/>
        </w:rPr>
        <w:t>en</w:t>
      </w:r>
      <w:r w:rsidR="00AA0558" w:rsidRPr="00CD6F0D">
        <w:rPr>
          <w:color w:val="000000"/>
        </w:rPr>
        <w:t>t être maintenu</w:t>
      </w:r>
      <w:r w:rsidR="00D628AF" w:rsidRPr="00CD6F0D">
        <w:rPr>
          <w:color w:val="000000"/>
        </w:rPr>
        <w:t>s</w:t>
      </w:r>
      <w:r w:rsidR="00AA0558" w:rsidRPr="00CD6F0D">
        <w:rPr>
          <w:color w:val="000000"/>
        </w:rPr>
        <w:t xml:space="preserve"> une fois cette stratégie adoptée.</w:t>
      </w:r>
      <w:r w:rsidR="007D1F48" w:rsidRPr="00CD6F0D">
        <w:rPr>
          <w:color w:val="000000"/>
        </w:rPr>
        <w:t xml:space="preserve"> </w:t>
      </w:r>
      <w:r w:rsidR="002E02EB" w:rsidRPr="00CD6F0D">
        <w:rPr>
          <w:color w:val="000000"/>
        </w:rPr>
        <w:t xml:space="preserve"> </w:t>
      </w:r>
      <w:r w:rsidR="00AA0558" w:rsidRPr="00CD6F0D">
        <w:rPr>
          <w:color w:val="000000"/>
        </w:rPr>
        <w:t>Les prévisions actuelles (jusqu</w:t>
      </w:r>
      <w:r w:rsidR="00FF2DA8" w:rsidRPr="00CD6F0D">
        <w:rPr>
          <w:color w:val="000000"/>
        </w:rPr>
        <w:t>’</w:t>
      </w:r>
      <w:r w:rsidR="00AA0558" w:rsidRPr="00CD6F0D">
        <w:rPr>
          <w:color w:val="000000"/>
        </w:rPr>
        <w:t>au 3</w:t>
      </w:r>
      <w:r w:rsidR="00FF2DA8" w:rsidRPr="00CD6F0D">
        <w:rPr>
          <w:color w:val="000000"/>
        </w:rPr>
        <w:t>1 décembre 20</w:t>
      </w:r>
      <w:r w:rsidR="00AA0558" w:rsidRPr="00CD6F0D">
        <w:rPr>
          <w:color w:val="000000"/>
        </w:rPr>
        <w:t xml:space="preserve">15) </w:t>
      </w:r>
      <w:r w:rsidR="00BD7F6F" w:rsidRPr="00CD6F0D">
        <w:rPr>
          <w:color w:val="000000"/>
        </w:rPr>
        <w:t>indiquent</w:t>
      </w:r>
      <w:r w:rsidR="00AA0558" w:rsidRPr="00CD6F0D">
        <w:rPr>
          <w:color w:val="000000"/>
        </w:rPr>
        <w:t xml:space="preserve"> que cela </w:t>
      </w:r>
      <w:r w:rsidR="00BD7F6F" w:rsidRPr="00CD6F0D">
        <w:rPr>
          <w:color w:val="000000"/>
        </w:rPr>
        <w:t>pourrait être</w:t>
      </w:r>
      <w:r w:rsidR="00AA0558" w:rsidRPr="00CD6F0D">
        <w:rPr>
          <w:color w:val="000000"/>
        </w:rPr>
        <w:t xml:space="preserve"> le cas.</w:t>
      </w:r>
    </w:p>
    <w:p w:rsidR="00D63FC0" w:rsidRPr="00CD6F0D" w:rsidRDefault="00614B7E" w:rsidP="00C870EC">
      <w:pPr>
        <w:pStyle w:val="Heading1"/>
      </w:pPr>
      <w:r w:rsidRPr="00CD6F0D">
        <w:t>Politique en matière de placements pour le financement de</w:t>
      </w:r>
      <w:r w:rsidR="00C870EC" w:rsidRPr="00CD6F0D">
        <w:t> </w:t>
      </w:r>
      <w:r w:rsidRPr="00CD6F0D">
        <w:t>l’assurance</w:t>
      </w:r>
      <w:r w:rsidRPr="00CD6F0D">
        <w:noBreakHyphen/>
        <w:t>maladie après cessation de service (</w:t>
      </w:r>
      <w:r w:rsidR="00C870EC" w:rsidRPr="00CD6F0D">
        <w:t>AMCS</w:t>
      </w:r>
      <w:r w:rsidRPr="00CD6F0D">
        <w:t>)</w:t>
      </w:r>
    </w:p>
    <w:p w:rsidR="00D63FC0" w:rsidRPr="00CD6F0D" w:rsidRDefault="00D63FC0"/>
    <w:p w:rsidR="00FF2DA8" w:rsidRPr="00CD6F0D" w:rsidRDefault="00EB22A8" w:rsidP="00C870EC">
      <w:pPr>
        <w:pStyle w:val="ONUMFS"/>
      </w:pPr>
      <w:r w:rsidRPr="00CD6F0D">
        <w:t>L</w:t>
      </w:r>
      <w:r w:rsidR="00FF2DA8" w:rsidRPr="00CD6F0D">
        <w:t>’</w:t>
      </w:r>
      <w:r w:rsidRPr="00CD6F0D">
        <w:t xml:space="preserve">étude sur la trésorerie menée par FTI </w:t>
      </w:r>
      <w:proofErr w:type="spellStart"/>
      <w:r w:rsidRPr="00CD6F0D">
        <w:t>Treasury</w:t>
      </w:r>
      <w:proofErr w:type="spellEnd"/>
      <w:r w:rsidRPr="00CD6F0D">
        <w:t xml:space="preserve"> a reconnu que le fonds destiné à l</w:t>
      </w:r>
      <w:r w:rsidR="00FF2DA8" w:rsidRPr="00CD6F0D">
        <w:t>’</w:t>
      </w:r>
      <w:r w:rsidRPr="00CD6F0D">
        <w:t>assurance</w:t>
      </w:r>
      <w:r w:rsidR="00E35368" w:rsidRPr="00CD6F0D">
        <w:noBreakHyphen/>
      </w:r>
      <w:r w:rsidRPr="00CD6F0D">
        <w:t xml:space="preserve">maladie après cessation de service était </w:t>
      </w:r>
      <w:r w:rsidR="00B36300" w:rsidRPr="00CD6F0D">
        <w:t>un fonds à long terme qui avait été établi</w:t>
      </w:r>
      <w:r w:rsidRPr="00CD6F0D">
        <w:t xml:space="preserve"> pour </w:t>
      </w:r>
      <w:r w:rsidR="00B36300" w:rsidRPr="00CD6F0D">
        <w:t>couvrir les prestations</w:t>
      </w:r>
      <w:r w:rsidRPr="00CD6F0D">
        <w:t xml:space="preserve"> à long</w:t>
      </w:r>
      <w:r w:rsidR="00B36300" w:rsidRPr="00CD6F0D">
        <w:t xml:space="preserve"> terme au bénéfice du personnel, qui existent de façon permanente </w:t>
      </w:r>
      <w:r w:rsidRPr="00CD6F0D">
        <w:t xml:space="preserve">et que, </w:t>
      </w:r>
      <w:r w:rsidR="00B36300" w:rsidRPr="00CD6F0D">
        <w:t>de ce fait</w:t>
      </w:r>
      <w:r w:rsidRPr="00CD6F0D">
        <w:t xml:space="preserve">, il avait le </w:t>
      </w:r>
      <w:r w:rsidR="00B36300" w:rsidRPr="00CD6F0D">
        <w:t>ʺ</w:t>
      </w:r>
      <w:r w:rsidRPr="00CD6F0D">
        <w:t>profil d</w:t>
      </w:r>
      <w:r w:rsidR="00FF2DA8" w:rsidRPr="00CD6F0D">
        <w:t>’</w:t>
      </w:r>
      <w:r w:rsidRPr="00CD6F0D">
        <w:t>un fonds de pension</w:t>
      </w:r>
      <w:r w:rsidR="00B36300" w:rsidRPr="00CD6F0D">
        <w:t>ʺ</w:t>
      </w:r>
      <w:r w:rsidRPr="00CD6F0D">
        <w:t>.</w:t>
      </w:r>
      <w:r w:rsidR="006C49BF" w:rsidRPr="00CD6F0D">
        <w:t xml:space="preserve">  </w:t>
      </w:r>
      <w:r w:rsidRPr="00CD6F0D">
        <w:t>En</w:t>
      </w:r>
      <w:r w:rsidR="00EF5CBC" w:rsidRPr="00CD6F0D">
        <w:t> </w:t>
      </w:r>
      <w:r w:rsidRPr="00CD6F0D">
        <w:t>2013, les États membres ont décidé de placer des fonds sur un compte bancaire séparé pour couvrir 50% d</w:t>
      </w:r>
      <w:r w:rsidR="00377D9F" w:rsidRPr="00CD6F0D">
        <w:t>u montant total d</w:t>
      </w:r>
      <w:r w:rsidRPr="00CD6F0D">
        <w:t>es</w:t>
      </w:r>
      <w:r w:rsidR="00377D9F" w:rsidRPr="00CD6F0D">
        <w:t xml:space="preserve"> engagements au titre des</w:t>
      </w:r>
      <w:r w:rsidRPr="00CD6F0D">
        <w:t xml:space="preserve"> prestations à long terme dues au personnel au 31 décembre 2013, et de compléter ce montant chaque année grâce au solde de la provision budgétaire correspondant à 6% de la masse salariale, déduction faite des prestations à long terme payées au personnel (document WO/PBC/20/6).</w:t>
      </w:r>
      <w:r w:rsidR="00183CB8" w:rsidRPr="00CD6F0D">
        <w:t xml:space="preserve">  </w:t>
      </w:r>
      <w:r w:rsidRPr="00CD6F0D">
        <w:t>Le solde de ce fonds, au 3</w:t>
      </w:r>
      <w:r w:rsidR="00FF2DA8" w:rsidRPr="00CD6F0D">
        <w:t>0 juin 20</w:t>
      </w:r>
      <w:r w:rsidRPr="00CD6F0D">
        <w:t>14, était de 84,4</w:t>
      </w:r>
      <w:r w:rsidR="00EF5CBC" w:rsidRPr="00CD6F0D">
        <w:t> </w:t>
      </w:r>
      <w:r w:rsidRPr="00CD6F0D">
        <w:t>millions de francs suisses actuellement en dépôt auprès de</w:t>
      </w:r>
      <w:r w:rsidR="00FF2DA8" w:rsidRPr="00CD6F0D">
        <w:t xml:space="preserve"> la BNS</w:t>
      </w:r>
      <w:r w:rsidRPr="00CD6F0D">
        <w:t>.</w:t>
      </w:r>
    </w:p>
    <w:p w:rsidR="00D63FC0" w:rsidRPr="00CD6F0D" w:rsidRDefault="00ED5275" w:rsidP="00C870EC">
      <w:pPr>
        <w:pStyle w:val="ONUMFS"/>
      </w:pPr>
      <w:r w:rsidRPr="00CD6F0D">
        <w:t>De l</w:t>
      </w:r>
      <w:r w:rsidR="00FF2DA8" w:rsidRPr="00CD6F0D">
        <w:t>’</w:t>
      </w:r>
      <w:r w:rsidRPr="00CD6F0D">
        <w:t>avis des consultants, toutes choses étant égales par ailleurs, les fonds initialement prévus (80,5</w:t>
      </w:r>
      <w:r w:rsidR="00EF5CBC" w:rsidRPr="00CD6F0D">
        <w:t> </w:t>
      </w:r>
      <w:r w:rsidRPr="00CD6F0D">
        <w:t>millions de francs suisses) doivent être rémunérés au taux de 2,3% par an pour maintenir leur part relative (c</w:t>
      </w:r>
      <w:r w:rsidR="00FF2DA8" w:rsidRPr="00CD6F0D">
        <w:t>’</w:t>
      </w:r>
      <w:r w:rsidRPr="00CD6F0D">
        <w:t>est</w:t>
      </w:r>
      <w:r w:rsidR="00E35368" w:rsidRPr="00CD6F0D">
        <w:noBreakHyphen/>
      </w:r>
      <w:r w:rsidRPr="00CD6F0D">
        <w:t>à</w:t>
      </w:r>
      <w:r w:rsidR="00E35368" w:rsidRPr="00CD6F0D">
        <w:noBreakHyphen/>
      </w:r>
      <w:r w:rsidR="00E96F5B">
        <w:t>dire 50% du montant des engagements</w:t>
      </w:r>
      <w:r w:rsidRPr="00CD6F0D">
        <w:t>).</w:t>
      </w:r>
      <w:r w:rsidR="00183CB8" w:rsidRPr="00CD6F0D">
        <w:t xml:space="preserve">  </w:t>
      </w:r>
      <w:r w:rsidRPr="00CD6F0D">
        <w:t>Des taux supérieurs permettraient évidemment d</w:t>
      </w:r>
      <w:r w:rsidR="00FF2DA8" w:rsidRPr="00CD6F0D">
        <w:t>’</w:t>
      </w:r>
      <w:r w:rsidRPr="00CD6F0D">
        <w:t xml:space="preserve">accroître cette part, de même que des taux inférieurs la </w:t>
      </w:r>
      <w:r w:rsidR="00395057" w:rsidRPr="00CD6F0D">
        <w:t>feraient diminuer</w:t>
      </w:r>
      <w:r w:rsidRPr="00CD6F0D">
        <w:t>.</w:t>
      </w:r>
      <w:r w:rsidR="00AD6650" w:rsidRPr="00CD6F0D">
        <w:t xml:space="preserve">  </w:t>
      </w:r>
      <w:r w:rsidRPr="00CD6F0D">
        <w:t>Un taux de 2,3% ne peut actuellement être obtenu ni sur les dépôts en banque (auprès de</w:t>
      </w:r>
      <w:r w:rsidR="00FF2DA8" w:rsidRPr="00CD6F0D">
        <w:t xml:space="preserve"> la BNS</w:t>
      </w:r>
      <w:r w:rsidRPr="00CD6F0D">
        <w:t xml:space="preserve"> ou ailleurs), ni par le biais de placement</w:t>
      </w:r>
      <w:r w:rsidR="00395057" w:rsidRPr="00CD6F0D">
        <w:t>s</w:t>
      </w:r>
      <w:r w:rsidRPr="00CD6F0D">
        <w:t xml:space="preserve"> dans des obligations de qualité.</w:t>
      </w:r>
      <w:r w:rsidR="007E50A0" w:rsidRPr="00CD6F0D">
        <w:t xml:space="preserve">  </w:t>
      </w:r>
      <w:r w:rsidRPr="00CD6F0D">
        <w:t>Les prévisions de</w:t>
      </w:r>
      <w:r w:rsidR="00FF2DA8" w:rsidRPr="00CD6F0D">
        <w:t xml:space="preserve"> la BNS</w:t>
      </w:r>
      <w:r w:rsidRPr="00CD6F0D">
        <w:t xml:space="preserve"> indiquent que des taux d</w:t>
      </w:r>
      <w:r w:rsidR="00FF2DA8" w:rsidRPr="00CD6F0D">
        <w:t>’</w:t>
      </w:r>
      <w:r w:rsidRPr="00CD6F0D">
        <w:t>intérêt inférieurs devraient p</w:t>
      </w:r>
      <w:r w:rsidR="00395057" w:rsidRPr="00CD6F0D">
        <w:t>révaloir</w:t>
      </w:r>
      <w:r w:rsidRPr="00CD6F0D">
        <w:t xml:space="preserve"> en Suisse dans un avenir proche.</w:t>
      </w:r>
      <w:r w:rsidR="007E50A0" w:rsidRPr="00CD6F0D">
        <w:t xml:space="preserve">  </w:t>
      </w:r>
      <w:r w:rsidR="00395057" w:rsidRPr="00CD6F0D">
        <w:t>À titre d</w:t>
      </w:r>
      <w:r w:rsidR="00FF2DA8" w:rsidRPr="00CD6F0D">
        <w:t>’</w:t>
      </w:r>
      <w:r w:rsidR="00395057" w:rsidRPr="00CD6F0D">
        <w:t xml:space="preserve">illustration, le rendement des obligations en francs suisses émises par la Confédération en </w:t>
      </w:r>
      <w:r w:rsidR="00FF2DA8" w:rsidRPr="00CD6F0D">
        <w:t>mai 20</w:t>
      </w:r>
      <w:r w:rsidR="00395057" w:rsidRPr="00CD6F0D">
        <w:t xml:space="preserve">14, avec une échéance de </w:t>
      </w:r>
      <w:r w:rsidR="0056474F">
        <w:t>30 </w:t>
      </w:r>
      <w:r w:rsidR="00395057" w:rsidRPr="00CD6F0D">
        <w:t>ans, ne sera que de 1,59%.</w:t>
      </w:r>
    </w:p>
    <w:p w:rsidR="00FF2DA8" w:rsidRPr="00CD6F0D" w:rsidRDefault="00395057" w:rsidP="00C870EC">
      <w:pPr>
        <w:pStyle w:val="ONUMFS"/>
      </w:pPr>
      <w:r w:rsidRPr="00CD6F0D">
        <w:t>Un choix doit être fait entre différents objectifs en ce qui concerne l</w:t>
      </w:r>
      <w:r w:rsidR="00FF2DA8" w:rsidRPr="00CD6F0D">
        <w:t>’</w:t>
      </w:r>
      <w:r w:rsidRPr="00CD6F0D">
        <w:t>assurance</w:t>
      </w:r>
      <w:r w:rsidR="00E35368" w:rsidRPr="00CD6F0D">
        <w:noBreakHyphen/>
      </w:r>
      <w:r w:rsidRPr="00CD6F0D">
        <w:t>maladie après cessation de service</w:t>
      </w:r>
      <w:r w:rsidR="00EF5CBC" w:rsidRPr="00CD6F0D">
        <w:t> </w:t>
      </w:r>
      <w:r w:rsidRPr="00CD6F0D">
        <w:t>:</w:t>
      </w:r>
    </w:p>
    <w:p w:rsidR="00D63FC0" w:rsidRPr="00CD6F0D" w:rsidRDefault="00395057" w:rsidP="00C870EC">
      <w:pPr>
        <w:pStyle w:val="ONUMFS"/>
        <w:numPr>
          <w:ilvl w:val="1"/>
          <w:numId w:val="3"/>
        </w:numPr>
      </w:pPr>
      <w:r w:rsidRPr="00CD6F0D">
        <w:t>s</w:t>
      </w:r>
      <w:r w:rsidR="00FF2DA8" w:rsidRPr="00CD6F0D">
        <w:t>’</w:t>
      </w:r>
      <w:r w:rsidRPr="00CD6F0D">
        <w:t>assurer que le capital est entièrement sécurisé en investissant uniquement dans des actifs à faible risque tels que les dépôts en banque et les obligations souveraines, en acceptant que cela s</w:t>
      </w:r>
      <w:r w:rsidR="00FF2DA8" w:rsidRPr="00CD6F0D">
        <w:t>’</w:t>
      </w:r>
      <w:r w:rsidRPr="00CD6F0D">
        <w:t>accompagnera de faibles rendements et d</w:t>
      </w:r>
      <w:r w:rsidR="00FF2DA8" w:rsidRPr="00CD6F0D">
        <w:t>’</w:t>
      </w:r>
      <w:r w:rsidRPr="00CD6F0D">
        <w:t>un risque d</w:t>
      </w:r>
      <w:r w:rsidR="00FF2DA8" w:rsidRPr="00CD6F0D">
        <w:t>’</w:t>
      </w:r>
      <w:r w:rsidRPr="00CD6F0D">
        <w:t>érosion de la valeur du capital avec le temps.</w:t>
      </w:r>
      <w:r w:rsidR="00FA1EE4" w:rsidRPr="00CD6F0D">
        <w:t xml:space="preserve">  </w:t>
      </w:r>
      <w:r w:rsidRPr="00CD6F0D">
        <w:t>Avec cette option, l</w:t>
      </w:r>
      <w:r w:rsidR="00FF2DA8" w:rsidRPr="00CD6F0D">
        <w:t>’</w:t>
      </w:r>
      <w:r w:rsidRPr="00CD6F0D">
        <w:t>OMPI pourrait être obligée d</w:t>
      </w:r>
      <w:r w:rsidR="00FF2DA8" w:rsidRPr="00CD6F0D">
        <w:t>’</w:t>
      </w:r>
      <w:r w:rsidRPr="00CD6F0D">
        <w:t xml:space="preserve">augmenter sa contribution annuelle pour dépasser la charge de 6% déduction faite des paiements, </w:t>
      </w:r>
      <w:r w:rsidR="00E2307C" w:rsidRPr="00CD6F0D">
        <w:t xml:space="preserve">non seulement </w:t>
      </w:r>
      <w:r w:rsidRPr="00CD6F0D">
        <w:t>du fait que le capital n</w:t>
      </w:r>
      <w:r w:rsidR="00FF2DA8" w:rsidRPr="00CD6F0D">
        <w:t>’</w:t>
      </w:r>
      <w:r w:rsidRPr="00CD6F0D">
        <w:t xml:space="preserve">évoluera pas au rythme de croissance des engagements, mais également </w:t>
      </w:r>
      <w:r w:rsidR="0069466A" w:rsidRPr="00CD6F0D">
        <w:t>parce</w:t>
      </w:r>
      <w:r w:rsidR="00E2307C" w:rsidRPr="00CD6F0D">
        <w:t xml:space="preserve"> qu</w:t>
      </w:r>
      <w:r w:rsidR="00FF2DA8" w:rsidRPr="00CD6F0D">
        <w:t>’</w:t>
      </w:r>
      <w:r w:rsidR="00E2307C" w:rsidRPr="00CD6F0D">
        <w:t xml:space="preserve">il sera </w:t>
      </w:r>
      <w:r w:rsidRPr="00CD6F0D">
        <w:t xml:space="preserve">difficile de maintenir </w:t>
      </w:r>
      <w:r w:rsidR="00E2307C" w:rsidRPr="00CD6F0D">
        <w:t>le taux de couverture actuel des</w:t>
      </w:r>
      <w:r w:rsidRPr="00CD6F0D">
        <w:t xml:space="preserve"> </w:t>
      </w:r>
      <w:r w:rsidR="00E96F5B">
        <w:t>engagements</w:t>
      </w:r>
      <w:r w:rsidR="00E2307C" w:rsidRPr="00CD6F0D">
        <w:t>;</w:t>
      </w:r>
    </w:p>
    <w:p w:rsidR="00FF2DA8" w:rsidRPr="00CD6F0D" w:rsidRDefault="00E2307C" w:rsidP="00C870EC">
      <w:pPr>
        <w:pStyle w:val="ONUMFS"/>
        <w:numPr>
          <w:ilvl w:val="1"/>
          <w:numId w:val="3"/>
        </w:numPr>
      </w:pPr>
      <w:r w:rsidRPr="00CD6F0D">
        <w:t xml:space="preserve">viser un rendement de 2,3% afin de maintenir une contribution proportionnée </w:t>
      </w:r>
      <w:r w:rsidR="0069466A" w:rsidRPr="00CD6F0D">
        <w:t>vis</w:t>
      </w:r>
      <w:r w:rsidR="00E35368" w:rsidRPr="00CD6F0D">
        <w:noBreakHyphen/>
      </w:r>
      <w:r w:rsidR="0069466A" w:rsidRPr="00CD6F0D">
        <w:t>à</w:t>
      </w:r>
      <w:r w:rsidR="00E35368" w:rsidRPr="00CD6F0D">
        <w:noBreakHyphen/>
      </w:r>
      <w:r w:rsidR="0069466A" w:rsidRPr="00CD6F0D">
        <w:t>vis d</w:t>
      </w:r>
      <w:r w:rsidRPr="00CD6F0D">
        <w:t xml:space="preserve">es </w:t>
      </w:r>
      <w:r w:rsidR="00E96F5B">
        <w:t>engagements</w:t>
      </w:r>
      <w:r w:rsidR="0069466A" w:rsidRPr="00CD6F0D">
        <w:t>.</w:t>
      </w:r>
      <w:r w:rsidR="00FA1EE4" w:rsidRPr="00CD6F0D">
        <w:t xml:space="preserve">  </w:t>
      </w:r>
      <w:r w:rsidRPr="00CD6F0D">
        <w:t xml:space="preserve">FTI </w:t>
      </w:r>
      <w:proofErr w:type="spellStart"/>
      <w:r w:rsidRPr="00CD6F0D">
        <w:t>Treasury</w:t>
      </w:r>
      <w:proofErr w:type="spellEnd"/>
      <w:r w:rsidRPr="00CD6F0D">
        <w:t xml:space="preserve"> est d</w:t>
      </w:r>
      <w:r w:rsidR="00FF2DA8" w:rsidRPr="00CD6F0D">
        <w:t>’</w:t>
      </w:r>
      <w:r w:rsidRPr="00CD6F0D">
        <w:t>avis qu</w:t>
      </w:r>
      <w:r w:rsidR="00FF2DA8" w:rsidRPr="00CD6F0D">
        <w:t>’</w:t>
      </w:r>
      <w:r w:rsidRPr="00CD6F0D">
        <w:t>un tel objectif nécessiterait un investissement dans des structures comme un fonds à rendement absolu, qui optimisent la sécurité du capital en visant des rendements précis.</w:t>
      </w:r>
      <w:r w:rsidR="00FA1EE4" w:rsidRPr="00CD6F0D">
        <w:t xml:space="preserve">  </w:t>
      </w:r>
      <w:r w:rsidRPr="00CD6F0D">
        <w:t>Ces rendements seraient complétés par la contribution annuelle</w:t>
      </w:r>
      <w:r w:rsidR="0069466A" w:rsidRPr="00CD6F0D">
        <w:t>,</w:t>
      </w:r>
      <w:r w:rsidRPr="00CD6F0D">
        <w:t xml:space="preserve"> et la part des </w:t>
      </w:r>
      <w:r w:rsidR="00E96F5B">
        <w:t>engagements</w:t>
      </w:r>
      <w:r w:rsidRPr="00CD6F0D">
        <w:t xml:space="preserve"> couverte par le fonds pourrait augmenter avec le temps</w:t>
      </w:r>
      <w:r w:rsidR="0056474F">
        <w:t>;</w:t>
      </w:r>
    </w:p>
    <w:p w:rsidR="00D63FC0" w:rsidRPr="00CD6F0D" w:rsidRDefault="00E2307C" w:rsidP="00C870EC">
      <w:pPr>
        <w:pStyle w:val="ONUMFS"/>
        <w:numPr>
          <w:ilvl w:val="1"/>
          <w:numId w:val="3"/>
        </w:numPr>
      </w:pPr>
      <w:r w:rsidRPr="00CD6F0D">
        <w:t>rechercher des rendements supérieurs mais accepter que cela s</w:t>
      </w:r>
      <w:r w:rsidR="00FF2DA8" w:rsidRPr="00CD6F0D">
        <w:t>’</w:t>
      </w:r>
      <w:r w:rsidRPr="00CD6F0D">
        <w:t>accompagne de risques également supérieurs.</w:t>
      </w:r>
      <w:r w:rsidR="00FA1EE4" w:rsidRPr="00CD6F0D">
        <w:t xml:space="preserve">  </w:t>
      </w:r>
      <w:r w:rsidRPr="00CD6F0D">
        <w:t>Il pourrait s</w:t>
      </w:r>
      <w:r w:rsidR="00FF2DA8" w:rsidRPr="00CD6F0D">
        <w:t>’</w:t>
      </w:r>
      <w:r w:rsidRPr="00CD6F0D">
        <w:t>agir d</w:t>
      </w:r>
      <w:r w:rsidR="00FF2DA8" w:rsidRPr="00CD6F0D">
        <w:t>’</w:t>
      </w:r>
      <w:r w:rsidRPr="00CD6F0D">
        <w:t>investir dans des catégories</w:t>
      </w:r>
      <w:r w:rsidR="0069466A" w:rsidRPr="00CD6F0D">
        <w:t xml:space="preserve"> d</w:t>
      </w:r>
      <w:r w:rsidR="00FF2DA8" w:rsidRPr="00CD6F0D">
        <w:t>’</w:t>
      </w:r>
      <w:r w:rsidRPr="00CD6F0D">
        <w:t>actifs dava</w:t>
      </w:r>
      <w:r w:rsidR="0069466A" w:rsidRPr="00CD6F0D">
        <w:t>ntage exposées au risque comme l</w:t>
      </w:r>
      <w:r w:rsidRPr="00CD6F0D">
        <w:t xml:space="preserve">es actions, </w:t>
      </w:r>
      <w:r w:rsidR="0069466A" w:rsidRPr="00CD6F0D">
        <w:t>l</w:t>
      </w:r>
      <w:r w:rsidRPr="00CD6F0D">
        <w:t xml:space="preserve">es biens immobiliers et des alternatives </w:t>
      </w:r>
      <w:r w:rsidR="0069466A" w:rsidRPr="00CD6F0D">
        <w:t>telles que l</w:t>
      </w:r>
      <w:r w:rsidRPr="00CD6F0D">
        <w:t>es matières premières, c</w:t>
      </w:r>
      <w:r w:rsidR="00FF2DA8" w:rsidRPr="00CD6F0D">
        <w:t>’</w:t>
      </w:r>
      <w:r w:rsidRPr="00CD6F0D">
        <w:t>est</w:t>
      </w:r>
      <w:r w:rsidR="00E35368" w:rsidRPr="00CD6F0D">
        <w:noBreakHyphen/>
      </w:r>
      <w:r w:rsidRPr="00CD6F0D">
        <w:t>à</w:t>
      </w:r>
      <w:r w:rsidR="00E35368" w:rsidRPr="00CD6F0D">
        <w:noBreakHyphen/>
      </w:r>
      <w:r w:rsidRPr="00CD6F0D">
        <w:t xml:space="preserve">dire des fonds plutôt que des immobilisations corporelles. </w:t>
      </w:r>
      <w:r w:rsidR="00FA1EE4" w:rsidRPr="00CD6F0D">
        <w:t xml:space="preserve"> </w:t>
      </w:r>
      <w:r w:rsidR="0069466A" w:rsidRPr="00CD6F0D">
        <w:t>L</w:t>
      </w:r>
      <w:r w:rsidR="00FF2DA8" w:rsidRPr="00CD6F0D">
        <w:t>’</w:t>
      </w:r>
      <w:r w:rsidR="0069466A" w:rsidRPr="00CD6F0D">
        <w:t>obtention de revenus supérieurs pour l</w:t>
      </w:r>
      <w:r w:rsidR="00FF2DA8" w:rsidRPr="00CD6F0D">
        <w:t>’</w:t>
      </w:r>
      <w:r w:rsidR="0069466A" w:rsidRPr="00CD6F0D">
        <w:t>assurance</w:t>
      </w:r>
      <w:r w:rsidR="00E35368" w:rsidRPr="00CD6F0D">
        <w:noBreakHyphen/>
      </w:r>
      <w:r w:rsidR="0069466A" w:rsidRPr="00CD6F0D">
        <w:t>maladie après cessation de service pourrait permettre à l</w:t>
      </w:r>
      <w:r w:rsidR="00FF2DA8" w:rsidRPr="00CD6F0D">
        <w:t>’</w:t>
      </w:r>
      <w:r w:rsidR="0069466A" w:rsidRPr="00CD6F0D">
        <w:t>Organisation de réduire le montant du fonds ou d</w:t>
      </w:r>
      <w:r w:rsidR="00FF2DA8" w:rsidRPr="00CD6F0D">
        <w:t>’</w:t>
      </w:r>
      <w:r w:rsidR="0069466A" w:rsidRPr="00CD6F0D">
        <w:t>éviter le besoin de le compléter avec la part non utilisée de la charge de 6% sur la masse salariale.</w:t>
      </w:r>
    </w:p>
    <w:p w:rsidR="00D63FC0" w:rsidRPr="00CD6F0D" w:rsidRDefault="0069466A" w:rsidP="00C870EC">
      <w:pPr>
        <w:pStyle w:val="ONUMFS"/>
      </w:pPr>
      <w:r w:rsidRPr="00CD6F0D">
        <w:t xml:space="preserve">Plusieurs institutions des </w:t>
      </w:r>
      <w:r w:rsidR="00FF2DA8" w:rsidRPr="00CD6F0D">
        <w:t>Nations Unies</w:t>
      </w:r>
      <w:r w:rsidRPr="00CD6F0D">
        <w:t xml:space="preserve"> ont commencé à financer leur</w:t>
      </w:r>
      <w:r w:rsidR="007E2BE3" w:rsidRPr="00CD6F0D">
        <w:t>s</w:t>
      </w:r>
      <w:r w:rsidRPr="00CD6F0D">
        <w:t xml:space="preserve"> engagement</w:t>
      </w:r>
      <w:r w:rsidR="007E2BE3" w:rsidRPr="00CD6F0D">
        <w:t>s</w:t>
      </w:r>
      <w:r w:rsidRPr="00CD6F0D">
        <w:t xml:space="preserve"> au titre de l</w:t>
      </w:r>
      <w:r w:rsidR="00FF2DA8" w:rsidRPr="00CD6F0D">
        <w:t>’</w:t>
      </w:r>
      <w:r w:rsidRPr="00CD6F0D">
        <w:t>AMCS et le tableau ci</w:t>
      </w:r>
      <w:r w:rsidR="00E35368" w:rsidRPr="00CD6F0D">
        <w:noBreakHyphen/>
      </w:r>
      <w:r w:rsidRPr="00CD6F0D">
        <w:t xml:space="preserve">dessous indique de quelle façon </w:t>
      </w:r>
      <w:r w:rsidR="007E2BE3" w:rsidRPr="00CD6F0D">
        <w:t>l</w:t>
      </w:r>
      <w:r w:rsidRPr="00CD6F0D">
        <w:t>es fonds ont été investis.</w:t>
      </w:r>
    </w:p>
    <w:p w:rsidR="00D63FC0" w:rsidRPr="00CD6F0D" w:rsidRDefault="00536DD5" w:rsidP="00C870EC">
      <w:pPr>
        <w:jc w:val="center"/>
      </w:pPr>
      <w:r w:rsidRPr="00CD6F0D">
        <w:t>Table</w:t>
      </w:r>
      <w:r w:rsidR="0069466A" w:rsidRPr="00CD6F0D">
        <w:t>au</w:t>
      </w:r>
      <w:r w:rsidR="00EF5CBC" w:rsidRPr="00CD6F0D">
        <w:t> </w:t>
      </w:r>
      <w:r w:rsidRPr="00CD6F0D">
        <w:t>4</w:t>
      </w:r>
    </w:p>
    <w:p w:rsidR="00D63FC0" w:rsidRPr="00CD6F0D" w:rsidRDefault="00D63FC0" w:rsidP="00C870EC">
      <w:pPr>
        <w:jc w:val="center"/>
        <w:rPr>
          <w:u w:val="single"/>
        </w:rPr>
      </w:pPr>
    </w:p>
    <w:p w:rsidR="00C870EC" w:rsidRPr="00CD6F0D" w:rsidRDefault="00E96F5B" w:rsidP="00C870EC">
      <w:pPr>
        <w:jc w:val="center"/>
        <w:rPr>
          <w:u w:val="single"/>
        </w:rPr>
      </w:pPr>
      <w:r w:rsidRPr="00E96F5B">
        <w:rPr>
          <w:noProof/>
          <w:lang w:val="en-US" w:eastAsia="en-US"/>
        </w:rPr>
        <w:drawing>
          <wp:inline distT="0" distB="0" distL="0" distR="0" wp14:anchorId="7A6D038F" wp14:editId="432E87C6">
            <wp:extent cx="5940425" cy="3978459"/>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978459"/>
                    </a:xfrm>
                    <a:prstGeom prst="rect">
                      <a:avLst/>
                    </a:prstGeom>
                    <a:noFill/>
                    <a:ln>
                      <a:noFill/>
                    </a:ln>
                  </pic:spPr>
                </pic:pic>
              </a:graphicData>
            </a:graphic>
          </wp:inline>
        </w:drawing>
      </w:r>
    </w:p>
    <w:p w:rsidR="00D63FC0" w:rsidRPr="00CD6F0D" w:rsidRDefault="00D63FC0" w:rsidP="00EA4EAE">
      <w:pPr>
        <w:rPr>
          <w:i/>
        </w:rPr>
      </w:pPr>
    </w:p>
    <w:p w:rsidR="00D63FC0" w:rsidRPr="00CD6F0D" w:rsidRDefault="00FE1815" w:rsidP="00C870EC">
      <w:pPr>
        <w:pStyle w:val="ONUMFS"/>
      </w:pPr>
      <w:r w:rsidRPr="00CD6F0D">
        <w:rPr>
          <w:color w:val="000000"/>
        </w:rPr>
        <w:t>L</w:t>
      </w:r>
      <w:r w:rsidR="00FF2DA8" w:rsidRPr="00CD6F0D">
        <w:rPr>
          <w:color w:val="000000"/>
        </w:rPr>
        <w:t>’</w:t>
      </w:r>
      <w:r w:rsidRPr="00CD6F0D">
        <w:rPr>
          <w:color w:val="000000"/>
        </w:rPr>
        <w:t>étude de la gestion actif</w:t>
      </w:r>
      <w:r w:rsidR="00E35368" w:rsidRPr="00CD6F0D">
        <w:rPr>
          <w:color w:val="000000"/>
        </w:rPr>
        <w:noBreakHyphen/>
      </w:r>
      <w:r w:rsidRPr="00CD6F0D">
        <w:rPr>
          <w:color w:val="000000"/>
        </w:rPr>
        <w:t xml:space="preserve">passif fait partie intégrante de la </w:t>
      </w:r>
      <w:r w:rsidRPr="00CD6F0D">
        <w:t>recherche d</w:t>
      </w:r>
      <w:r w:rsidR="00FF2DA8" w:rsidRPr="00CD6F0D">
        <w:t>’</w:t>
      </w:r>
      <w:r w:rsidRPr="00CD6F0D">
        <w:t>une stratégie de financement de l</w:t>
      </w:r>
      <w:r w:rsidR="00FF2DA8" w:rsidRPr="00CD6F0D">
        <w:t>’</w:t>
      </w:r>
      <w:r w:rsidRPr="00CD6F0D">
        <w:t xml:space="preserve">AMCS, le but étant de tenir compte des échéances </w:t>
      </w:r>
      <w:r w:rsidR="00477431" w:rsidRPr="00CD6F0D">
        <w:t>liées aux engagements dans</w:t>
      </w:r>
      <w:r w:rsidRPr="00CD6F0D">
        <w:t xml:space="preserve"> le choix des produits de placements.</w:t>
      </w:r>
      <w:r w:rsidR="00FA1EE4" w:rsidRPr="00CD6F0D">
        <w:t xml:space="preserve">  </w:t>
      </w:r>
      <w:r w:rsidR="00477431" w:rsidRPr="00CD6F0D">
        <w:t>Grâce à cette étude, l</w:t>
      </w:r>
      <w:r w:rsidR="00FF2DA8" w:rsidRPr="00CD6F0D">
        <w:t>’</w:t>
      </w:r>
      <w:r w:rsidRPr="00CD6F0D">
        <w:t xml:space="preserve">analyste </w:t>
      </w:r>
      <w:r w:rsidR="00477431" w:rsidRPr="00CD6F0D">
        <w:t>pourra déterminer</w:t>
      </w:r>
      <w:r w:rsidRPr="00CD6F0D">
        <w:t xml:space="preserve"> quelles catégories d</w:t>
      </w:r>
      <w:r w:rsidR="00FF2DA8" w:rsidRPr="00CD6F0D">
        <w:t>’</w:t>
      </w:r>
      <w:r w:rsidRPr="00CD6F0D">
        <w:t>actifs utiliser.</w:t>
      </w:r>
      <w:r w:rsidR="002747CF" w:rsidRPr="00CD6F0D">
        <w:t xml:space="preserve">  </w:t>
      </w:r>
      <w:r w:rsidRPr="00CD6F0D">
        <w:t>Une telle étude coûte entre 20</w:t>
      </w:r>
      <w:r w:rsidR="00EF5CBC" w:rsidRPr="00CD6F0D">
        <w:t> </w:t>
      </w:r>
      <w:r w:rsidRPr="00CD6F0D">
        <w:t>000 et 40</w:t>
      </w:r>
      <w:r w:rsidR="00EF5CBC" w:rsidRPr="00CD6F0D">
        <w:t> </w:t>
      </w:r>
      <w:r w:rsidRPr="00CD6F0D">
        <w:t>000</w:t>
      </w:r>
      <w:r w:rsidR="00EF5CBC" w:rsidRPr="00CD6F0D">
        <w:t> </w:t>
      </w:r>
      <w:r w:rsidRPr="00CD6F0D">
        <w:t>francs suisses.</w:t>
      </w:r>
    </w:p>
    <w:p w:rsidR="00FF2DA8" w:rsidRPr="00CD6F0D" w:rsidRDefault="00477431" w:rsidP="00C870EC">
      <w:pPr>
        <w:pStyle w:val="ONUMFS"/>
      </w:pPr>
      <w:r w:rsidRPr="00CD6F0D">
        <w:rPr>
          <w:color w:val="000000"/>
        </w:rPr>
        <w:t>Il est donc proposé de mener</w:t>
      </w:r>
      <w:r w:rsidR="00FE1815" w:rsidRPr="00CD6F0D">
        <w:rPr>
          <w:color w:val="000000"/>
        </w:rPr>
        <w:t xml:space="preserve"> une étude de la gestion actif</w:t>
      </w:r>
      <w:r w:rsidR="00E35368" w:rsidRPr="00CD6F0D">
        <w:rPr>
          <w:color w:val="000000"/>
        </w:rPr>
        <w:noBreakHyphen/>
      </w:r>
      <w:r w:rsidR="00FE1815" w:rsidRPr="00CD6F0D">
        <w:rPr>
          <w:color w:val="000000"/>
        </w:rPr>
        <w:t>passif puis d</w:t>
      </w:r>
      <w:r w:rsidR="00FF2DA8" w:rsidRPr="00CD6F0D">
        <w:rPr>
          <w:color w:val="000000"/>
        </w:rPr>
        <w:t>’</w:t>
      </w:r>
      <w:r w:rsidR="00FE1815" w:rsidRPr="00CD6F0D">
        <w:rPr>
          <w:color w:val="000000"/>
        </w:rPr>
        <w:t>élaborer une politique en matière de placements distincte pour l</w:t>
      </w:r>
      <w:r w:rsidR="00FF2DA8" w:rsidRPr="00CD6F0D">
        <w:rPr>
          <w:color w:val="000000"/>
        </w:rPr>
        <w:t>’</w:t>
      </w:r>
      <w:r w:rsidR="00FE1815" w:rsidRPr="00CD6F0D">
        <w:rPr>
          <w:color w:val="000000"/>
        </w:rPr>
        <w:t>AMCS, qui s</w:t>
      </w:r>
      <w:r w:rsidR="00FF2DA8" w:rsidRPr="00CD6F0D">
        <w:rPr>
          <w:color w:val="000000"/>
        </w:rPr>
        <w:t>’</w:t>
      </w:r>
      <w:r w:rsidR="00FE1815" w:rsidRPr="00CD6F0D">
        <w:rPr>
          <w:color w:val="000000"/>
        </w:rPr>
        <w:t xml:space="preserve">inspirerait de la pratique </w:t>
      </w:r>
      <w:r w:rsidR="006C0591" w:rsidRPr="00CD6F0D">
        <w:rPr>
          <w:color w:val="000000"/>
        </w:rPr>
        <w:t xml:space="preserve">suivie par </w:t>
      </w:r>
      <w:r w:rsidR="00FE1815" w:rsidRPr="00CD6F0D">
        <w:rPr>
          <w:color w:val="000000"/>
        </w:rPr>
        <w:t>d</w:t>
      </w:r>
      <w:r w:rsidR="00FF2DA8" w:rsidRPr="00CD6F0D">
        <w:rPr>
          <w:color w:val="000000"/>
        </w:rPr>
        <w:t>’</w:t>
      </w:r>
      <w:r w:rsidR="00FE1815" w:rsidRPr="00CD6F0D">
        <w:rPr>
          <w:color w:val="000000"/>
        </w:rPr>
        <w:t xml:space="preserve">autres organisations des </w:t>
      </w:r>
      <w:r w:rsidR="00FF2DA8" w:rsidRPr="00CD6F0D">
        <w:rPr>
          <w:color w:val="000000"/>
        </w:rPr>
        <w:t>Nations Unies</w:t>
      </w:r>
      <w:r w:rsidR="00FE1815" w:rsidRPr="00CD6F0D">
        <w:rPr>
          <w:color w:val="000000"/>
        </w:rPr>
        <w:t xml:space="preserve"> </w:t>
      </w:r>
      <w:r w:rsidR="006C0591" w:rsidRPr="00CD6F0D">
        <w:rPr>
          <w:color w:val="000000"/>
        </w:rPr>
        <w:t>qui ont</w:t>
      </w:r>
      <w:r w:rsidR="00FE1815" w:rsidRPr="00CD6F0D">
        <w:rPr>
          <w:color w:val="000000"/>
        </w:rPr>
        <w:t xml:space="preserve"> déjà </w:t>
      </w:r>
      <w:r w:rsidR="006C0591" w:rsidRPr="00CD6F0D">
        <w:rPr>
          <w:color w:val="000000"/>
        </w:rPr>
        <w:t>conçu</w:t>
      </w:r>
      <w:r w:rsidR="00FE1815" w:rsidRPr="00CD6F0D">
        <w:rPr>
          <w:color w:val="000000"/>
        </w:rPr>
        <w:t xml:space="preserve"> une stratégie </w:t>
      </w:r>
      <w:r w:rsidR="006C0591" w:rsidRPr="00CD6F0D">
        <w:rPr>
          <w:rStyle w:val="st"/>
          <w:color w:val="222222"/>
        </w:rPr>
        <w:t xml:space="preserve">de </w:t>
      </w:r>
      <w:r w:rsidR="006C0591" w:rsidRPr="00CD6F0D">
        <w:rPr>
          <w:rStyle w:val="Emphasis"/>
          <w:b w:val="0"/>
          <w:color w:val="222222"/>
        </w:rPr>
        <w:t>placements</w:t>
      </w:r>
      <w:r w:rsidR="006C0591" w:rsidRPr="00CD6F0D">
        <w:rPr>
          <w:rStyle w:val="st"/>
          <w:color w:val="222222"/>
        </w:rPr>
        <w:t xml:space="preserve"> </w:t>
      </w:r>
      <w:r w:rsidR="00FE1815" w:rsidRPr="00CD6F0D">
        <w:rPr>
          <w:color w:val="000000"/>
        </w:rPr>
        <w:t>pour l</w:t>
      </w:r>
      <w:r w:rsidR="00FF2DA8" w:rsidRPr="00CD6F0D">
        <w:rPr>
          <w:color w:val="000000"/>
        </w:rPr>
        <w:t>’</w:t>
      </w:r>
      <w:r w:rsidR="00FE1815" w:rsidRPr="00CD6F0D">
        <w:rPr>
          <w:color w:val="000000"/>
        </w:rPr>
        <w:t xml:space="preserve">AMCS ou qui sont en train de le faire.  </w:t>
      </w:r>
      <w:r w:rsidR="006C0591" w:rsidRPr="00CD6F0D">
        <w:rPr>
          <w:color w:val="000000"/>
        </w:rPr>
        <w:t>Avec une</w:t>
      </w:r>
      <w:r w:rsidR="00FE1815" w:rsidRPr="00CD6F0D">
        <w:rPr>
          <w:color w:val="000000"/>
        </w:rPr>
        <w:t xml:space="preserve"> telle politique</w:t>
      </w:r>
      <w:r w:rsidR="006C0591" w:rsidRPr="00CD6F0D">
        <w:rPr>
          <w:color w:val="000000"/>
        </w:rPr>
        <w:t>, il serait possible d</w:t>
      </w:r>
      <w:r w:rsidR="00FF2DA8" w:rsidRPr="00CD6F0D">
        <w:rPr>
          <w:color w:val="000000"/>
        </w:rPr>
        <w:t>’</w:t>
      </w:r>
      <w:r w:rsidR="006C0591" w:rsidRPr="00CD6F0D">
        <w:rPr>
          <w:color w:val="000000"/>
        </w:rPr>
        <w:t>utiliser</w:t>
      </w:r>
      <w:r w:rsidR="00FE1815" w:rsidRPr="00CD6F0D">
        <w:rPr>
          <w:color w:val="000000"/>
        </w:rPr>
        <w:t xml:space="preserve"> des produits de placements comme les actions, qui sont adaptés à un financement à long terme.</w:t>
      </w:r>
      <w:r w:rsidR="006C0591" w:rsidRPr="00CD6F0D">
        <w:rPr>
          <w:color w:val="000000"/>
        </w:rPr>
        <w:t xml:space="preserve">  Un autre produit envisageable est le</w:t>
      </w:r>
      <w:r w:rsidR="00FE1815" w:rsidRPr="00CD6F0D">
        <w:rPr>
          <w:color w:val="000000"/>
        </w:rPr>
        <w:t xml:space="preserve"> prêt </w:t>
      </w:r>
      <w:r w:rsidR="006C0591" w:rsidRPr="00CD6F0D">
        <w:rPr>
          <w:color w:val="000000"/>
        </w:rPr>
        <w:t>immobilier</w:t>
      </w:r>
      <w:r w:rsidR="00FE1815" w:rsidRPr="00CD6F0D">
        <w:rPr>
          <w:color w:val="000000"/>
        </w:rPr>
        <w:t xml:space="preserve"> pour les fonctionnaires, </w:t>
      </w:r>
      <w:r w:rsidR="006C0591" w:rsidRPr="00CD6F0D">
        <w:rPr>
          <w:color w:val="000000"/>
        </w:rPr>
        <w:t>qui permettrait aux</w:t>
      </w:r>
      <w:r w:rsidR="00FE1815" w:rsidRPr="00CD6F0D">
        <w:rPr>
          <w:color w:val="000000"/>
        </w:rPr>
        <w:t xml:space="preserve"> </w:t>
      </w:r>
      <w:r w:rsidR="006C0591" w:rsidRPr="00CD6F0D">
        <w:rPr>
          <w:color w:val="000000"/>
        </w:rPr>
        <w:t>fonctionnaires d</w:t>
      </w:r>
      <w:r w:rsidR="00FF2DA8" w:rsidRPr="00CD6F0D">
        <w:rPr>
          <w:color w:val="000000"/>
        </w:rPr>
        <w:t>’</w:t>
      </w:r>
      <w:r w:rsidR="00FE1815" w:rsidRPr="00CD6F0D">
        <w:rPr>
          <w:color w:val="000000"/>
        </w:rPr>
        <w:t>acheter une propriété à des conditions légèrement meilleures que celles proposées par les banques commerciales.</w:t>
      </w:r>
      <w:r w:rsidRPr="00CD6F0D">
        <w:rPr>
          <w:color w:val="000000"/>
        </w:rPr>
        <w:t xml:space="preserve">  Le fonds dédié à l</w:t>
      </w:r>
      <w:r w:rsidR="00FF2DA8" w:rsidRPr="00CD6F0D">
        <w:rPr>
          <w:color w:val="000000"/>
        </w:rPr>
        <w:t>’</w:t>
      </w:r>
      <w:r w:rsidRPr="00CD6F0D">
        <w:rPr>
          <w:color w:val="000000"/>
        </w:rPr>
        <w:t xml:space="preserve">AMCS pourrait profiter des </w:t>
      </w:r>
      <w:r w:rsidRPr="00CD6F0D">
        <w:t xml:space="preserve">intérêts perçus sur les </w:t>
      </w:r>
      <w:r w:rsidR="006C0591" w:rsidRPr="00CD6F0D">
        <w:t>prêts consentis</w:t>
      </w:r>
      <w:r w:rsidRPr="00CD6F0D">
        <w:t xml:space="preserve"> aux fonctionnaires à des taux bien supérieurs aux taux de rémunération des dépôts en banque.  L</w:t>
      </w:r>
      <w:r w:rsidR="00FF2DA8" w:rsidRPr="00CD6F0D">
        <w:t>’</w:t>
      </w:r>
      <w:r w:rsidRPr="00CD6F0D">
        <w:t xml:space="preserve">Office européen des brevets propose ce type de prêt </w:t>
      </w:r>
      <w:r w:rsidR="006C0591" w:rsidRPr="00CD6F0D">
        <w:t xml:space="preserve">immobilier </w:t>
      </w:r>
      <w:r w:rsidRPr="00CD6F0D">
        <w:t>et cett</w:t>
      </w:r>
      <w:r w:rsidR="006C0591" w:rsidRPr="00CD6F0D">
        <w:t>e possibilité pourrait être étu</w:t>
      </w:r>
      <w:r w:rsidRPr="00CD6F0D">
        <w:t>diée pour l</w:t>
      </w:r>
      <w:r w:rsidR="00FF2DA8" w:rsidRPr="00CD6F0D">
        <w:t>’</w:t>
      </w:r>
      <w:r w:rsidRPr="00CD6F0D">
        <w:t>OMPI.</w:t>
      </w:r>
    </w:p>
    <w:p w:rsidR="00D63FC0" w:rsidRPr="00CD6F0D" w:rsidRDefault="006C0591" w:rsidP="00C870EC">
      <w:pPr>
        <w:pStyle w:val="ONUMFS"/>
      </w:pPr>
      <w:r w:rsidRPr="00CD6F0D">
        <w:t>Il est proposé de formuler la décision dans le paragraphe suivant.</w:t>
      </w:r>
    </w:p>
    <w:p w:rsidR="00D63FC0" w:rsidRPr="00CD6F0D" w:rsidRDefault="006C0591" w:rsidP="00C870EC">
      <w:pPr>
        <w:pStyle w:val="ONUMFS"/>
        <w:ind w:left="5533"/>
        <w:rPr>
          <w:i/>
        </w:rPr>
      </w:pPr>
      <w:r w:rsidRPr="00CD6F0D">
        <w:rPr>
          <w:i/>
        </w:rPr>
        <w:t>Le Comité du programme et budget</w:t>
      </w:r>
    </w:p>
    <w:p w:rsidR="00D63FC0" w:rsidRPr="00CD6F0D" w:rsidRDefault="00477431" w:rsidP="00C870EC">
      <w:pPr>
        <w:pStyle w:val="ONUMFS"/>
        <w:numPr>
          <w:ilvl w:val="2"/>
          <w:numId w:val="3"/>
        </w:numPr>
        <w:tabs>
          <w:tab w:val="left" w:pos="6237"/>
        </w:tabs>
        <w:ind w:left="5533"/>
        <w:rPr>
          <w:i/>
        </w:rPr>
      </w:pPr>
      <w:r w:rsidRPr="00CD6F0D">
        <w:rPr>
          <w:i/>
          <w:color w:val="000000"/>
        </w:rPr>
        <w:t>a tenu compte de la nécessité de modifier la politique en matière de placements;  et</w:t>
      </w:r>
    </w:p>
    <w:p w:rsidR="00D63FC0" w:rsidRPr="00CD6F0D" w:rsidRDefault="00477431" w:rsidP="005E183E">
      <w:pPr>
        <w:pStyle w:val="ONUMFS"/>
        <w:keepNext/>
        <w:numPr>
          <w:ilvl w:val="2"/>
          <w:numId w:val="3"/>
        </w:numPr>
        <w:ind w:left="5533"/>
        <w:rPr>
          <w:i/>
        </w:rPr>
      </w:pPr>
      <w:r w:rsidRPr="00CD6F0D">
        <w:rPr>
          <w:i/>
          <w:color w:val="000000"/>
        </w:rPr>
        <w:t>a demandé au Secrétariat</w:t>
      </w:r>
      <w:r w:rsidR="00EF5CBC" w:rsidRPr="00CD6F0D">
        <w:rPr>
          <w:i/>
          <w:color w:val="000000"/>
        </w:rPr>
        <w:t> </w:t>
      </w:r>
      <w:r w:rsidRPr="00CD6F0D">
        <w:rPr>
          <w:i/>
          <w:color w:val="000000"/>
        </w:rPr>
        <w:t>:</w:t>
      </w:r>
    </w:p>
    <w:p w:rsidR="00FF2DA8" w:rsidRPr="00CD6F0D" w:rsidRDefault="006C0591" w:rsidP="00C870EC">
      <w:pPr>
        <w:pStyle w:val="ONUMFS"/>
        <w:numPr>
          <w:ilvl w:val="3"/>
          <w:numId w:val="23"/>
        </w:numPr>
        <w:ind w:left="6237"/>
        <w:rPr>
          <w:i/>
        </w:rPr>
      </w:pPr>
      <w:r w:rsidRPr="00CD6F0D">
        <w:rPr>
          <w:i/>
          <w:color w:val="000000"/>
        </w:rPr>
        <w:t>de présenter une proposition détaillée concernant une version révisée de la politique, à sa prochaine session, après examen et approbation du Comité consultatif des investissements;</w:t>
      </w:r>
    </w:p>
    <w:p w:rsidR="00D63FC0" w:rsidRPr="00CD6F0D" w:rsidRDefault="006C0591" w:rsidP="00C870EC">
      <w:pPr>
        <w:pStyle w:val="ONUMFS"/>
        <w:numPr>
          <w:ilvl w:val="3"/>
          <w:numId w:val="23"/>
        </w:numPr>
        <w:ind w:left="6237"/>
        <w:rPr>
          <w:i/>
        </w:rPr>
      </w:pPr>
      <w:r w:rsidRPr="00CD6F0D">
        <w:rPr>
          <w:i/>
          <w:color w:val="000000"/>
        </w:rPr>
        <w:t>de mener une étude de la gestion actif</w:t>
      </w:r>
      <w:r w:rsidR="00E35368" w:rsidRPr="00CD6F0D">
        <w:rPr>
          <w:i/>
          <w:color w:val="000000"/>
        </w:rPr>
        <w:noBreakHyphen/>
      </w:r>
      <w:r w:rsidRPr="00CD6F0D">
        <w:rPr>
          <w:i/>
          <w:color w:val="000000"/>
        </w:rPr>
        <w:t>passif et de présenter une politique en matière de placements spécialement destinée au financement de l</w:t>
      </w:r>
      <w:r w:rsidR="00FF2DA8" w:rsidRPr="00CD6F0D">
        <w:rPr>
          <w:i/>
          <w:color w:val="000000"/>
        </w:rPr>
        <w:t>’</w:t>
      </w:r>
      <w:r w:rsidRPr="00CD6F0D">
        <w:rPr>
          <w:i/>
          <w:color w:val="000000"/>
        </w:rPr>
        <w:t>AMCS, après examen et approbation du Comité consultatif des investissements;  et</w:t>
      </w:r>
    </w:p>
    <w:p w:rsidR="00FF2DA8" w:rsidRPr="00CD6F0D" w:rsidRDefault="00180E56" w:rsidP="00C870EC">
      <w:pPr>
        <w:pStyle w:val="ONUMFS"/>
        <w:numPr>
          <w:ilvl w:val="3"/>
          <w:numId w:val="23"/>
        </w:numPr>
        <w:ind w:left="6237"/>
        <w:rPr>
          <w:i/>
        </w:rPr>
      </w:pPr>
      <w:r w:rsidRPr="00CD6F0D">
        <w:rPr>
          <w:i/>
          <w:color w:val="000000"/>
        </w:rPr>
        <w:t>sous réserve de niveaux de liquidités suffisants, de financer la salle de conférence avec les fonds destinés aux placements plutôt qu</w:t>
      </w:r>
      <w:r w:rsidR="00FF2DA8" w:rsidRPr="00CD6F0D">
        <w:rPr>
          <w:i/>
          <w:color w:val="000000"/>
        </w:rPr>
        <w:t>’</w:t>
      </w:r>
      <w:r w:rsidRPr="00CD6F0D">
        <w:rPr>
          <w:i/>
          <w:color w:val="000000"/>
        </w:rPr>
        <w:t xml:space="preserve">en utilisant le prêt prévu à cet effet, ou </w:t>
      </w:r>
      <w:r w:rsidR="003C7FDC">
        <w:rPr>
          <w:i/>
          <w:color w:val="000000"/>
        </w:rPr>
        <w:t xml:space="preserve">de </w:t>
      </w:r>
      <w:r w:rsidRPr="00CD6F0D">
        <w:rPr>
          <w:i/>
          <w:color w:val="000000"/>
        </w:rPr>
        <w:t>procéder au remboursement de l</w:t>
      </w:r>
      <w:r w:rsidR="00FF2DA8" w:rsidRPr="00CD6F0D">
        <w:rPr>
          <w:i/>
          <w:color w:val="000000"/>
        </w:rPr>
        <w:t>’</w:t>
      </w:r>
      <w:r w:rsidRPr="00CD6F0D">
        <w:rPr>
          <w:i/>
          <w:color w:val="000000"/>
        </w:rPr>
        <w:t>emprunt souscrit pour le projet de nouvelle construction</w:t>
      </w:r>
      <w:r w:rsidR="003C7FDC">
        <w:rPr>
          <w:i/>
          <w:color w:val="000000"/>
        </w:rPr>
        <w:t xml:space="preserve"> (remboursement d’une tranche, due en</w:t>
      </w:r>
      <w:r w:rsidRPr="00CD6F0D">
        <w:rPr>
          <w:i/>
          <w:color w:val="000000"/>
        </w:rPr>
        <w:t xml:space="preserve"> </w:t>
      </w:r>
      <w:r w:rsidR="00FF2DA8" w:rsidRPr="00CD6F0D">
        <w:rPr>
          <w:i/>
          <w:color w:val="000000"/>
        </w:rPr>
        <w:t>novembre 20</w:t>
      </w:r>
      <w:r w:rsidRPr="00CD6F0D">
        <w:rPr>
          <w:i/>
          <w:color w:val="000000"/>
        </w:rPr>
        <w:t>15</w:t>
      </w:r>
      <w:r w:rsidR="003C7FDC">
        <w:rPr>
          <w:i/>
          <w:color w:val="000000"/>
        </w:rPr>
        <w:t>,</w:t>
      </w:r>
      <w:r w:rsidRPr="00CD6F0D">
        <w:rPr>
          <w:i/>
          <w:color w:val="000000"/>
        </w:rPr>
        <w:t xml:space="preserve"> ou </w:t>
      </w:r>
      <w:r w:rsidR="003C7FDC">
        <w:rPr>
          <w:i/>
          <w:color w:val="000000"/>
        </w:rPr>
        <w:t xml:space="preserve">des </w:t>
      </w:r>
      <w:r w:rsidRPr="00CD6F0D">
        <w:rPr>
          <w:i/>
          <w:color w:val="000000"/>
        </w:rPr>
        <w:t>deux</w:t>
      </w:r>
      <w:r w:rsidR="00EF5CBC" w:rsidRPr="00CD6F0D">
        <w:rPr>
          <w:i/>
          <w:color w:val="000000"/>
        </w:rPr>
        <w:t> </w:t>
      </w:r>
      <w:r w:rsidR="003C7FDC">
        <w:rPr>
          <w:i/>
          <w:color w:val="000000"/>
        </w:rPr>
        <w:t xml:space="preserve">tranches dues </w:t>
      </w:r>
      <w:r w:rsidRPr="00CD6F0D">
        <w:rPr>
          <w:i/>
          <w:color w:val="000000"/>
        </w:rPr>
        <w:t xml:space="preserve">en </w:t>
      </w:r>
      <w:r w:rsidR="00FF2DA8" w:rsidRPr="00CD6F0D">
        <w:rPr>
          <w:i/>
          <w:color w:val="000000"/>
        </w:rPr>
        <w:t>novembre 20</w:t>
      </w:r>
      <w:r w:rsidRPr="00CD6F0D">
        <w:rPr>
          <w:i/>
          <w:color w:val="000000"/>
        </w:rPr>
        <w:t xml:space="preserve">15 et </w:t>
      </w:r>
      <w:r w:rsidR="00FF2DA8" w:rsidRPr="00CD6F0D">
        <w:rPr>
          <w:i/>
          <w:color w:val="000000"/>
        </w:rPr>
        <w:t>janvier 20</w:t>
      </w:r>
      <w:r w:rsidRPr="00CD6F0D">
        <w:rPr>
          <w:i/>
          <w:color w:val="000000"/>
        </w:rPr>
        <w:t>16</w:t>
      </w:r>
      <w:r w:rsidR="003C7FDC">
        <w:rPr>
          <w:i/>
          <w:color w:val="000000"/>
        </w:rPr>
        <w:t>)</w:t>
      </w:r>
      <w:r w:rsidRPr="00CD6F0D">
        <w:rPr>
          <w:i/>
          <w:color w:val="000000"/>
        </w:rPr>
        <w:t>.</w:t>
      </w:r>
    </w:p>
    <w:p w:rsidR="00D63FC0" w:rsidRPr="00CD6F0D" w:rsidRDefault="00D63FC0" w:rsidP="00C870EC"/>
    <w:p w:rsidR="00C870EC" w:rsidRPr="00CD6F0D" w:rsidRDefault="00C870EC" w:rsidP="00C870EC"/>
    <w:p w:rsidR="00D63FC0" w:rsidRPr="00CD6F0D" w:rsidRDefault="00180E56" w:rsidP="00180E56">
      <w:pPr>
        <w:spacing w:line="276" w:lineRule="auto"/>
        <w:ind w:left="5533"/>
      </w:pPr>
      <w:r w:rsidRPr="00CD6F0D">
        <w:t>[Les annexes suivent]</w:t>
      </w:r>
    </w:p>
    <w:p w:rsidR="00C870EC" w:rsidRPr="00CD6F0D" w:rsidRDefault="00C870EC" w:rsidP="00C870EC"/>
    <w:p w:rsidR="00692655" w:rsidRPr="00CD6F0D" w:rsidRDefault="00692655" w:rsidP="00692655">
      <w:pPr>
        <w:spacing w:line="276" w:lineRule="auto"/>
        <w:ind w:left="5533"/>
        <w:sectPr w:rsidR="00692655" w:rsidRPr="00CD6F0D" w:rsidSect="00FF2DA8">
          <w:headerReference w:type="default" r:id="rId15"/>
          <w:endnotePr>
            <w:numFmt w:val="decimal"/>
          </w:endnotePr>
          <w:pgSz w:w="11906" w:h="16840" w:code="9"/>
          <w:pgMar w:top="567" w:right="1134" w:bottom="1417" w:left="1417" w:header="510" w:footer="1020" w:gutter="0"/>
          <w:cols w:space="720"/>
          <w:titlePg/>
          <w:docGrid w:linePitch="299"/>
        </w:sectPr>
      </w:pPr>
    </w:p>
    <w:p w:rsidR="00FF2DA8" w:rsidRPr="00CD6F0D" w:rsidRDefault="00C870EC" w:rsidP="00C870EC">
      <w:pPr>
        <w:pStyle w:val="Heading1"/>
        <w:rPr>
          <w:lang w:eastAsia="en-US"/>
        </w:rPr>
      </w:pPr>
      <w:r w:rsidRPr="00CD6F0D">
        <w:rPr>
          <w:lang w:eastAsia="en-US"/>
        </w:rPr>
        <w:t>Politique en matière de placements</w:t>
      </w:r>
    </w:p>
    <w:p w:rsidR="00FF2DA8" w:rsidRPr="00CD6F0D" w:rsidRDefault="00180E56" w:rsidP="00C870EC">
      <w:pPr>
        <w:pStyle w:val="Heading4"/>
        <w:rPr>
          <w:lang w:eastAsia="en-US"/>
        </w:rPr>
      </w:pPr>
      <w:r w:rsidRPr="00CD6F0D">
        <w:rPr>
          <w:lang w:eastAsia="en-US"/>
        </w:rPr>
        <w:t>Approuvée par les assemblées des États membres de l</w:t>
      </w:r>
      <w:r w:rsidR="00FF2DA8" w:rsidRPr="00CD6F0D">
        <w:rPr>
          <w:lang w:eastAsia="en-US"/>
        </w:rPr>
        <w:t>’</w:t>
      </w:r>
      <w:r w:rsidRPr="00CD6F0D">
        <w:rPr>
          <w:lang w:eastAsia="en-US"/>
        </w:rPr>
        <w:t>OMPI à leur quarante</w:t>
      </w:r>
      <w:r w:rsidR="00E35368" w:rsidRPr="00CD6F0D">
        <w:rPr>
          <w:lang w:eastAsia="en-US"/>
        </w:rPr>
        <w:noBreakHyphen/>
      </w:r>
      <w:r w:rsidRPr="00CD6F0D">
        <w:rPr>
          <w:lang w:eastAsia="en-US"/>
        </w:rPr>
        <w:t>neuvième série de réunions tenue du 2</w:t>
      </w:r>
      <w:r w:rsidR="00FF2DA8" w:rsidRPr="00CD6F0D">
        <w:rPr>
          <w:lang w:eastAsia="en-US"/>
        </w:rPr>
        <w:t>6 septembre</w:t>
      </w:r>
      <w:r w:rsidRPr="00CD6F0D">
        <w:rPr>
          <w:lang w:eastAsia="en-US"/>
        </w:rPr>
        <w:t xml:space="preserve"> au </w:t>
      </w:r>
      <w:r w:rsidR="00FF2DA8" w:rsidRPr="00CD6F0D">
        <w:rPr>
          <w:lang w:eastAsia="en-US"/>
        </w:rPr>
        <w:t>5 octobre 20</w:t>
      </w:r>
      <w:r w:rsidRPr="00CD6F0D">
        <w:rPr>
          <w:lang w:eastAsia="en-US"/>
        </w:rPr>
        <w:t>11</w:t>
      </w:r>
    </w:p>
    <w:p w:rsidR="00D63FC0" w:rsidRPr="00CD6F0D" w:rsidRDefault="00D63FC0" w:rsidP="00C870EC">
      <w:pPr>
        <w:rPr>
          <w:lang w:eastAsia="en-US"/>
        </w:rPr>
      </w:pPr>
    </w:p>
    <w:p w:rsidR="00CD6F0D" w:rsidRPr="00CD6F0D" w:rsidRDefault="00CD6F0D" w:rsidP="00CD6F0D">
      <w:pPr>
        <w:pStyle w:val="Heading3"/>
      </w:pPr>
      <w:r w:rsidRPr="00CD6F0D">
        <w:t>Pouvoirs</w:t>
      </w:r>
    </w:p>
    <w:p w:rsidR="00CD6F0D" w:rsidRPr="00CD6F0D" w:rsidRDefault="00CD6F0D" w:rsidP="00CD6F0D"/>
    <w:p w:rsidR="00CD6F0D" w:rsidRPr="00CD6F0D" w:rsidRDefault="00CD6F0D" w:rsidP="00CD6F0D">
      <w:pPr>
        <w:pStyle w:val="ONUMFS"/>
        <w:numPr>
          <w:ilvl w:val="0"/>
          <w:numId w:val="24"/>
        </w:numPr>
      </w:pPr>
      <w:r w:rsidRPr="00CD6F0D">
        <w:t xml:space="preserve">La présente politique en matière de placements est établie conformément à deux articles du Règlement financier, à savoir l’article 4.10 qui donne au directeur général le pouvoir de placer à court terme les fonds qui ne sont pas nécessaires pour faire face à des besoins immédiats conformément à la politique de placement de l’Organisation approuvée par les États membres, et l’article 4.11 qui lui donne le pouvoir de placer à long terme les sommes inscrites au crédit de l’Organisation conformément à la politique de placement de l’Organisation approuvée par les États membres.  Elle prend aussi en considération la règle 104.10a) du règlement d’exécution du Règlement financier qui délègue au contrôleur le pouvoir d’effectuer et de gérer avec prudence des placements conformément à la politique de placement approuvée par les États membres. </w:t>
      </w:r>
    </w:p>
    <w:p w:rsidR="00CD6F0D" w:rsidRPr="00CD6F0D" w:rsidRDefault="00CD6F0D" w:rsidP="00CD6F0D">
      <w:pPr>
        <w:pStyle w:val="Heading3"/>
      </w:pPr>
      <w:r w:rsidRPr="00CD6F0D">
        <w:t>Objectifs</w:t>
      </w:r>
    </w:p>
    <w:p w:rsidR="00CD6F0D" w:rsidRPr="00CD6F0D" w:rsidRDefault="00CD6F0D" w:rsidP="00CD6F0D"/>
    <w:p w:rsidR="00CD6F0D" w:rsidRPr="00CD6F0D" w:rsidRDefault="00CD6F0D" w:rsidP="00CD6F0D">
      <w:pPr>
        <w:pStyle w:val="ONUMFS"/>
      </w:pPr>
      <w:r w:rsidRPr="00CD6F0D">
        <w:t>Les objectifs de la politique en matière de placements sont fixés à la règle 104.10b) du règlement d’exécution, qui dispose que le contrôleur “veille à ce que les fonds soient détenus dans des monnaies et placés de façon à réduire les risques au minimum en conservant les liquidités nécessaires pour répondre aux besoins de trésorerie de l’Organisation”.  Par ordre d’importance, les principaux objectifs de gestion en matière de placements de l’Organisation sont i) la préservation du capital;  ii) la conservation de liquidités et iii) le taux de rendement compte tenu des contraintes découlant des points i) et ii).</w:t>
      </w:r>
    </w:p>
    <w:p w:rsidR="00CD6F0D" w:rsidRPr="00CD6F0D" w:rsidRDefault="00CD6F0D" w:rsidP="00CD6F0D">
      <w:pPr>
        <w:pStyle w:val="Heading3"/>
      </w:pPr>
      <w:r w:rsidRPr="00CD6F0D">
        <w:t>Diversification des institutions financières</w:t>
      </w:r>
    </w:p>
    <w:p w:rsidR="00CD6F0D" w:rsidRPr="00CD6F0D" w:rsidRDefault="00CD6F0D" w:rsidP="00CD6F0D"/>
    <w:p w:rsidR="00CD6F0D" w:rsidRPr="00CD6F0D" w:rsidRDefault="00CD6F0D" w:rsidP="00CD6F0D">
      <w:pPr>
        <w:pStyle w:val="ONUMFS"/>
      </w:pPr>
      <w:r w:rsidRPr="00CD6F0D">
        <w:t>La règle 104.12a) du règlement d’exécution dispose que “tous les placements sont effectués et administrés par l’intermédiaire d’établissements financiers reconnus désignés par le contrôleur”.  Il est procédé à une répartition des placements de l’Organisation entre plusieurs institutions, en veillant à ce que 10% au maximum de ces placements soient confiés au même moment à une même institution, à l’exception des placements auprès d’institutions à risque souverain et à notation AAA/</w:t>
      </w:r>
      <w:proofErr w:type="spellStart"/>
      <w:r w:rsidRPr="00CD6F0D">
        <w:t>Aaa</w:t>
      </w:r>
      <w:proofErr w:type="spellEnd"/>
      <w:r w:rsidRPr="00CD6F0D">
        <w:rPr>
          <w:rStyle w:val="FootnoteReference"/>
        </w:rPr>
        <w:footnoteReference w:id="3"/>
      </w:r>
      <w:r w:rsidRPr="00CD6F0D">
        <w:t xml:space="preserve"> pour lesquelles il n’y a ni restriction ni limite.  </w:t>
      </w:r>
    </w:p>
    <w:p w:rsidR="00CD6F0D" w:rsidRPr="00CD6F0D" w:rsidRDefault="00CD6F0D" w:rsidP="00CD6F0D">
      <w:pPr>
        <w:pStyle w:val="Heading3"/>
      </w:pPr>
      <w:r w:rsidRPr="00CD6F0D">
        <w:t>Monnaie des placements</w:t>
      </w:r>
    </w:p>
    <w:p w:rsidR="00CD6F0D" w:rsidRPr="00CD6F0D" w:rsidRDefault="00CD6F0D" w:rsidP="00CD6F0D"/>
    <w:p w:rsidR="00CD6F0D" w:rsidRPr="00CD6F0D" w:rsidRDefault="00CD6F0D" w:rsidP="00CD6F0D">
      <w:pPr>
        <w:pStyle w:val="ONUMFS"/>
        <w:rPr>
          <w:b/>
        </w:rPr>
      </w:pPr>
      <w:r w:rsidRPr="00CD6F0D">
        <w:t xml:space="preserve">La gestion du risque de change et de l’exposition à ce risque doit viser à les réduire le plus possible et à préserver la valeur des actifs libellés en francs suisses, monnaie dans laquelle le budget de l’Organisation est approuvé et les documents comptables établis.  Les placements à court, moyen et long terme doivent, dans la mesure du possible, être gérés par mise en adéquation des devises détenues, des prévisions d’entrées de trésorerie et des prévisions de sorties de fonds par monnaie et par période.  </w:t>
      </w:r>
    </w:p>
    <w:p w:rsidR="00CD6F0D" w:rsidRPr="00CD6F0D" w:rsidRDefault="00CD6F0D" w:rsidP="00CD6F0D">
      <w:pPr>
        <w:pStyle w:val="Heading3"/>
      </w:pPr>
      <w:r w:rsidRPr="00CD6F0D">
        <w:t>Point de référence</w:t>
      </w:r>
    </w:p>
    <w:p w:rsidR="00CD6F0D" w:rsidRPr="00CD6F0D" w:rsidRDefault="00CD6F0D" w:rsidP="00CD6F0D"/>
    <w:p w:rsidR="00CD6F0D" w:rsidRPr="00CD6F0D" w:rsidRDefault="00CD6F0D" w:rsidP="00CD6F0D">
      <w:pPr>
        <w:pStyle w:val="ONUMFS"/>
      </w:pPr>
      <w:r w:rsidRPr="00CD6F0D">
        <w:t>Toutes les catégories de liquidités sont gérées en interne en prenant comme référence, pour le franc suisse, le taux de rendement obtenu par l’Organisation pour ses dépôts auprès de la Banque nationale suisse;  pour l’euro, l’Euribor à trois mois;  et pour le dollar des États</w:t>
      </w:r>
      <w:r w:rsidRPr="00CD6F0D">
        <w:noBreakHyphen/>
        <w:t>Unis d’Amérique, le taux des bons du Trésor US à trois mois.</w:t>
      </w:r>
    </w:p>
    <w:p w:rsidR="00CD6F0D" w:rsidRPr="00CD6F0D" w:rsidRDefault="00CD6F0D" w:rsidP="00CD6F0D">
      <w:pPr>
        <w:pStyle w:val="Heading3"/>
      </w:pPr>
      <w:r w:rsidRPr="00CD6F0D">
        <w:t>Catégories de placements</w:t>
      </w:r>
    </w:p>
    <w:p w:rsidR="00CD6F0D" w:rsidRPr="00CD6F0D" w:rsidRDefault="00CD6F0D" w:rsidP="00CD6F0D"/>
    <w:p w:rsidR="00CD6F0D" w:rsidRPr="00CD6F0D" w:rsidRDefault="00CD6F0D" w:rsidP="00CD6F0D">
      <w:pPr>
        <w:pStyle w:val="ONUMFS"/>
      </w:pPr>
      <w:r w:rsidRPr="00CD6F0D">
        <w:t xml:space="preserve">Les placements sont effectués comme suit : </w:t>
      </w:r>
    </w:p>
    <w:p w:rsidR="00CD6F0D" w:rsidRPr="00CD6F0D" w:rsidRDefault="00CD6F0D" w:rsidP="00CD6F0D">
      <w:pPr>
        <w:pStyle w:val="ONUMFS"/>
        <w:numPr>
          <w:ilvl w:val="1"/>
          <w:numId w:val="3"/>
        </w:numPr>
      </w:pPr>
      <w:r w:rsidRPr="00CD6F0D">
        <w:t xml:space="preserve">Les placements en francs suisses au nom de l’OMPI sont effectués auprès de la BNS pour autant que le taux proposé soit supérieur à celui disponible auprès de banques commerciales possédant une notation satisfaisante.    </w:t>
      </w:r>
    </w:p>
    <w:p w:rsidR="00CD6F0D" w:rsidRPr="00CD6F0D" w:rsidRDefault="00CD6F0D" w:rsidP="00CD6F0D">
      <w:pPr>
        <w:pStyle w:val="ONUMFS"/>
        <w:numPr>
          <w:ilvl w:val="1"/>
          <w:numId w:val="3"/>
        </w:numPr>
      </w:pPr>
      <w:r w:rsidRPr="00CD6F0D">
        <w:t>Les placements autres que ceux effectués auprès de la Banque nationale suisse se limitent aux fonds du marché monétaire et aux dépôts à terme auprès de banques notées AA</w:t>
      </w:r>
      <w:r w:rsidRPr="00CD6F0D">
        <w:noBreakHyphen/>
        <w:t>, Aa3 ou plus et aux obligations d’entreprises ou d’État de première classe notées AA</w:t>
      </w:r>
      <w:r w:rsidRPr="00CD6F0D">
        <w:noBreakHyphen/>
        <w:t xml:space="preserve">, Aa3 ou plus.  </w:t>
      </w:r>
    </w:p>
    <w:p w:rsidR="00CD6F0D" w:rsidRPr="00CD6F0D" w:rsidRDefault="00CD6F0D" w:rsidP="00CD6F0D">
      <w:pPr>
        <w:pStyle w:val="ONUMFS"/>
        <w:numPr>
          <w:ilvl w:val="1"/>
          <w:numId w:val="3"/>
        </w:numPr>
      </w:pPr>
      <w:r w:rsidRPr="00CD6F0D">
        <w:t>Les fonds détenus en fiducie sont placés sous forme de fonds du marché monétaire et de dépôts à terme auprès de banques possédant une notation satisfaisante.</w:t>
      </w:r>
    </w:p>
    <w:p w:rsidR="00CD6F0D" w:rsidRPr="00CD6F0D" w:rsidRDefault="00CD6F0D" w:rsidP="00CD6F0D">
      <w:pPr>
        <w:pStyle w:val="ONUMFS"/>
      </w:pPr>
      <w:r w:rsidRPr="00CD6F0D">
        <w:t xml:space="preserve">Le placement sur des produits dérivés à des fins spéculatives </w:t>
      </w:r>
      <w:proofErr w:type="gramStart"/>
      <w:r w:rsidRPr="00CD6F0D">
        <w:t>ne sont</w:t>
      </w:r>
      <w:proofErr w:type="gramEnd"/>
      <w:r w:rsidRPr="00CD6F0D">
        <w:t xml:space="preserve"> pas autorisés.  Toutefois, lorsque les placements sont libellés dans d’autres monnaies que le franc suisse, le recours à des instruments de couverture pour minimiser le risque lié à la fluctuation de la monnaie de placement par rapport au franc suisse peut être autorisé par le directeur financier ou le contrôleur, après consultation du Comité consultatif pour les placements qui sera créé en interne par le Directeur général, afin d’éviter des rendements globaux négatifs.  </w:t>
      </w:r>
    </w:p>
    <w:p w:rsidR="00CD6F0D" w:rsidRPr="00CD6F0D" w:rsidRDefault="00CD6F0D" w:rsidP="00CD6F0D">
      <w:pPr>
        <w:pStyle w:val="ONUMFS"/>
      </w:pPr>
      <w:r w:rsidRPr="00CD6F0D">
        <w:t xml:space="preserve">Les placements sont gérés en interne par les Services des finances de l’Organisation avec l’approbation du directeur financier ou du contrôleur.  Les prévisions de flux de trésorerie pour chaque catégorie sont actualisées périodiquement de manière à garantir la disponibilité de fonds suffisants dans chaque catégorie afin de répondre aux besoins de liquidités.  </w:t>
      </w:r>
    </w:p>
    <w:p w:rsidR="00CD6F0D" w:rsidRPr="00CD6F0D" w:rsidRDefault="00CD6F0D" w:rsidP="00CD6F0D">
      <w:pPr>
        <w:pStyle w:val="ONUMFS"/>
      </w:pPr>
      <w:r w:rsidRPr="00CD6F0D">
        <w:t xml:space="preserve">Les placements de fonds de l’Organisation seront revus au moins une fois par an par le Comité consultatif pour les placements de manière à tenir compte de tout changement intervenu dans le modèle d’entreprise et la situation financière de l’Organisation.   </w:t>
      </w:r>
    </w:p>
    <w:p w:rsidR="00CD6F0D" w:rsidRPr="00CD6F0D" w:rsidRDefault="00CD6F0D" w:rsidP="00CD6F0D">
      <w:pPr>
        <w:pStyle w:val="Heading3"/>
      </w:pPr>
      <w:r w:rsidRPr="00CD6F0D">
        <w:t>Considérations éthiques</w:t>
      </w:r>
    </w:p>
    <w:p w:rsidR="00CD6F0D" w:rsidRPr="00CD6F0D" w:rsidRDefault="00CD6F0D" w:rsidP="00CD6F0D"/>
    <w:p w:rsidR="00CD6F0D" w:rsidRPr="00CD6F0D" w:rsidRDefault="00CD6F0D" w:rsidP="00CD6F0D">
      <w:pPr>
        <w:pStyle w:val="ONUMFS"/>
      </w:pPr>
      <w:r w:rsidRPr="00CD6F0D">
        <w:t xml:space="preserve">Les placements sur des obligations d’entreprises, des dépôts à terme et des fonds du marché monétaire doivent être effectués auprès d’entités qui ont adopté les </w:t>
      </w:r>
      <w:r w:rsidR="0056474F">
        <w:t>10 </w:t>
      </w:r>
      <w:r w:rsidRPr="00CD6F0D">
        <w:t>principes énoncés dans le Pacte</w:t>
      </w:r>
      <w:r w:rsidR="0056474F">
        <w:t xml:space="preserve"> m</w:t>
      </w:r>
      <w:r w:rsidRPr="00CD6F0D">
        <w:t>ondial des Nations Unies dans les domaines des droits de l’homme, des normes de travail, de l’environnement et de la lutte contre la corruption (</w:t>
      </w:r>
      <w:hyperlink r:id="rId16" w:history="1">
        <w:r w:rsidRPr="00CD6F0D">
          <w:rPr>
            <w:rStyle w:val="Hyperlink"/>
            <w:iCs/>
          </w:rPr>
          <w:t>www.unglobalcompact.org</w:t>
        </w:r>
      </w:hyperlink>
      <w:r w:rsidRPr="00CD6F0D">
        <w:t>).</w:t>
      </w:r>
    </w:p>
    <w:p w:rsidR="00D63FC0" w:rsidRPr="00CD6F0D" w:rsidRDefault="00D63FC0" w:rsidP="00CD6F0D">
      <w:pPr>
        <w:rPr>
          <w:lang w:eastAsia="en-US"/>
        </w:rPr>
      </w:pPr>
    </w:p>
    <w:p w:rsidR="00D63FC0" w:rsidRPr="00CD6F0D" w:rsidRDefault="00D63FC0" w:rsidP="00CD6F0D">
      <w:pPr>
        <w:rPr>
          <w:lang w:eastAsia="en-US"/>
        </w:rPr>
      </w:pPr>
    </w:p>
    <w:p w:rsidR="00EF3EBB" w:rsidRPr="00CD6F0D" w:rsidRDefault="00EF3EBB" w:rsidP="00405DB2">
      <w:pPr>
        <w:spacing w:line="276" w:lineRule="auto"/>
        <w:rPr>
          <w:rFonts w:eastAsia="Times New Roman"/>
          <w:szCs w:val="22"/>
          <w:lang w:eastAsia="en-US"/>
        </w:rPr>
        <w:sectPr w:rsidR="00EF3EBB" w:rsidRPr="00CD6F0D" w:rsidSect="00FF2DA8">
          <w:headerReference w:type="default" r:id="rId17"/>
          <w:headerReference w:type="first" r:id="rId18"/>
          <w:footerReference w:type="first" r:id="rId19"/>
          <w:footnotePr>
            <w:numRestart w:val="eachSect"/>
          </w:footnotePr>
          <w:endnotePr>
            <w:numFmt w:val="decimal"/>
          </w:endnotePr>
          <w:pgSz w:w="11906" w:h="16840" w:code="9"/>
          <w:pgMar w:top="567" w:right="1134" w:bottom="1417" w:left="1417" w:header="510" w:footer="1020" w:gutter="0"/>
          <w:pgNumType w:start="1"/>
          <w:cols w:space="720"/>
          <w:titlePg/>
          <w:docGrid w:linePitch="299"/>
        </w:sectPr>
      </w:pPr>
    </w:p>
    <w:tbl>
      <w:tblPr>
        <w:tblStyle w:val="TableGrid"/>
        <w:tblW w:w="5000" w:type="pct"/>
        <w:tblInd w:w="0" w:type="dxa"/>
        <w:tblLook w:val="01E0" w:firstRow="1" w:lastRow="1" w:firstColumn="1" w:lastColumn="1" w:noHBand="0" w:noVBand="0"/>
      </w:tblPr>
      <w:tblGrid>
        <w:gridCol w:w="1826"/>
        <w:gridCol w:w="1760"/>
        <w:gridCol w:w="1788"/>
        <w:gridCol w:w="1782"/>
        <w:gridCol w:w="1782"/>
        <w:gridCol w:w="2182"/>
        <w:gridCol w:w="3952"/>
      </w:tblGrid>
      <w:tr w:rsidR="00CD6F0D" w:rsidRPr="00CD6F0D" w:rsidTr="0009382D">
        <w:tc>
          <w:tcPr>
            <w:tcW w:w="1195" w:type="pct"/>
            <w:gridSpan w:val="2"/>
            <w:shd w:val="clear" w:color="auto" w:fill="FF7C80"/>
          </w:tcPr>
          <w:p w:rsidR="00CD6F0D" w:rsidRPr="00CD6F0D" w:rsidRDefault="00CD6F0D" w:rsidP="0009382D">
            <w:pPr>
              <w:tabs>
                <w:tab w:val="left" w:pos="5529"/>
              </w:tabs>
              <w:spacing w:after="0" w:line="240" w:lineRule="auto"/>
              <w:ind w:left="0"/>
              <w:jc w:val="center"/>
              <w:rPr>
                <w:sz w:val="20"/>
              </w:rPr>
            </w:pPr>
            <w:r w:rsidRPr="00CD6F0D">
              <w:rPr>
                <w:b/>
                <w:bCs/>
                <w:sz w:val="20"/>
              </w:rPr>
              <w:t>MOODY’S</w:t>
            </w:r>
          </w:p>
        </w:tc>
        <w:tc>
          <w:tcPr>
            <w:tcW w:w="1157" w:type="pct"/>
            <w:gridSpan w:val="2"/>
          </w:tcPr>
          <w:p w:rsidR="00CD6F0D" w:rsidRPr="00CD6F0D" w:rsidRDefault="00CD6F0D" w:rsidP="0009382D">
            <w:pPr>
              <w:tabs>
                <w:tab w:val="left" w:pos="5529"/>
              </w:tabs>
              <w:spacing w:after="0" w:line="240" w:lineRule="auto"/>
              <w:ind w:left="0"/>
              <w:jc w:val="center"/>
              <w:rPr>
                <w:sz w:val="20"/>
              </w:rPr>
            </w:pPr>
            <w:r w:rsidRPr="00CD6F0D">
              <w:rPr>
                <w:b/>
                <w:bCs/>
                <w:sz w:val="20"/>
              </w:rPr>
              <w:t>STANDARD &amp; POOR’S</w:t>
            </w:r>
          </w:p>
        </w:tc>
        <w:tc>
          <w:tcPr>
            <w:tcW w:w="1319" w:type="pct"/>
            <w:gridSpan w:val="2"/>
            <w:shd w:val="clear" w:color="auto" w:fill="3399FF"/>
          </w:tcPr>
          <w:p w:rsidR="00CD6F0D" w:rsidRPr="00CD6F0D" w:rsidRDefault="00CD6F0D" w:rsidP="0009382D">
            <w:pPr>
              <w:tabs>
                <w:tab w:val="left" w:pos="5529"/>
              </w:tabs>
              <w:spacing w:after="0" w:line="240" w:lineRule="auto"/>
              <w:ind w:left="0"/>
              <w:jc w:val="center"/>
              <w:rPr>
                <w:sz w:val="20"/>
              </w:rPr>
            </w:pPr>
            <w:r w:rsidRPr="00CD6F0D">
              <w:rPr>
                <w:b/>
                <w:bCs/>
                <w:sz w:val="20"/>
              </w:rPr>
              <w:t>FITCH</w:t>
            </w:r>
          </w:p>
        </w:tc>
        <w:tc>
          <w:tcPr>
            <w:tcW w:w="1329" w:type="pct"/>
            <w:tcBorders>
              <w:top w:val="nil"/>
              <w:bottom w:val="nil"/>
              <w:right w:val="nil"/>
            </w:tcBorders>
          </w:tcPr>
          <w:p w:rsidR="00CD6F0D" w:rsidRPr="00CD6F0D" w:rsidRDefault="00CD6F0D" w:rsidP="0009382D">
            <w:pPr>
              <w:tabs>
                <w:tab w:val="left" w:pos="5529"/>
              </w:tabs>
              <w:spacing w:after="0" w:line="240" w:lineRule="auto"/>
              <w:ind w:left="0"/>
              <w:jc w:val="center"/>
              <w:rPr>
                <w:sz w:val="20"/>
              </w:rPr>
            </w:pPr>
          </w:p>
        </w:tc>
      </w:tr>
      <w:tr w:rsidR="00CD6F0D" w:rsidRPr="00CD6F0D" w:rsidTr="0009382D">
        <w:trPr>
          <w:trHeight w:val="465"/>
        </w:trPr>
        <w:tc>
          <w:tcPr>
            <w:tcW w:w="624" w:type="pct"/>
            <w:tcBorders>
              <w:bottom w:val="nil"/>
            </w:tcBorders>
            <w:shd w:val="clear" w:color="auto" w:fill="FF7C80"/>
            <w:vAlign w:val="center"/>
          </w:tcPr>
          <w:p w:rsidR="00CD6F0D" w:rsidRPr="00CD6F0D" w:rsidRDefault="00CD6F0D" w:rsidP="0009382D">
            <w:pPr>
              <w:spacing w:after="0" w:line="240" w:lineRule="auto"/>
              <w:ind w:left="692"/>
              <w:jc w:val="center"/>
              <w:rPr>
                <w:b/>
                <w:bCs/>
                <w:sz w:val="20"/>
              </w:rPr>
            </w:pPr>
            <w:r w:rsidRPr="00CD6F0D">
              <w:rPr>
                <w:b/>
                <w:bCs/>
                <w:sz w:val="20"/>
              </w:rPr>
              <w:t>Long terme</w:t>
            </w:r>
          </w:p>
        </w:tc>
        <w:tc>
          <w:tcPr>
            <w:tcW w:w="571" w:type="pct"/>
            <w:shd w:val="clear" w:color="auto" w:fill="FFCCCC"/>
            <w:vAlign w:val="center"/>
          </w:tcPr>
          <w:p w:rsidR="00CD6F0D" w:rsidRPr="00CD6F0D" w:rsidRDefault="00CD6F0D" w:rsidP="0009382D">
            <w:pPr>
              <w:spacing w:after="0" w:line="240" w:lineRule="auto"/>
              <w:ind w:left="466"/>
              <w:jc w:val="center"/>
              <w:rPr>
                <w:b/>
                <w:bCs/>
                <w:sz w:val="20"/>
              </w:rPr>
            </w:pPr>
            <w:r w:rsidRPr="00CD6F0D">
              <w:rPr>
                <w:b/>
                <w:bCs/>
                <w:sz w:val="20"/>
              </w:rPr>
              <w:t>Court terme</w:t>
            </w:r>
          </w:p>
        </w:tc>
        <w:tc>
          <w:tcPr>
            <w:tcW w:w="579" w:type="pct"/>
            <w:shd w:val="clear" w:color="auto" w:fill="FFFF00"/>
            <w:vAlign w:val="center"/>
          </w:tcPr>
          <w:p w:rsidR="00CD6F0D" w:rsidRPr="00CD6F0D" w:rsidRDefault="00CD6F0D" w:rsidP="0009382D">
            <w:pPr>
              <w:spacing w:after="0" w:line="240" w:lineRule="auto"/>
              <w:ind w:left="692"/>
              <w:jc w:val="center"/>
              <w:rPr>
                <w:b/>
                <w:bCs/>
                <w:sz w:val="20"/>
              </w:rPr>
            </w:pPr>
            <w:r w:rsidRPr="00CD6F0D">
              <w:rPr>
                <w:b/>
                <w:bCs/>
                <w:sz w:val="20"/>
              </w:rPr>
              <w:t>Long</w:t>
            </w:r>
            <w:r w:rsidRPr="00CD6F0D">
              <w:rPr>
                <w:b/>
                <w:bCs/>
                <w:sz w:val="20"/>
              </w:rPr>
              <w:br/>
              <w:t>terme</w:t>
            </w:r>
          </w:p>
        </w:tc>
        <w:tc>
          <w:tcPr>
            <w:tcW w:w="578" w:type="pct"/>
            <w:shd w:val="clear" w:color="auto" w:fill="EBDA75"/>
            <w:vAlign w:val="center"/>
          </w:tcPr>
          <w:p w:rsidR="00CD6F0D" w:rsidRPr="00CD6F0D" w:rsidRDefault="00CD6F0D" w:rsidP="0009382D">
            <w:pPr>
              <w:spacing w:after="0" w:line="240" w:lineRule="auto"/>
              <w:jc w:val="center"/>
              <w:rPr>
                <w:b/>
                <w:bCs/>
                <w:sz w:val="20"/>
              </w:rPr>
            </w:pPr>
            <w:r w:rsidRPr="00CD6F0D">
              <w:rPr>
                <w:b/>
                <w:bCs/>
                <w:sz w:val="20"/>
              </w:rPr>
              <w:t>Court</w:t>
            </w:r>
            <w:r w:rsidRPr="00CD6F0D">
              <w:rPr>
                <w:b/>
                <w:bCs/>
                <w:sz w:val="20"/>
              </w:rPr>
              <w:br/>
              <w:t>terme</w:t>
            </w:r>
          </w:p>
        </w:tc>
        <w:tc>
          <w:tcPr>
            <w:tcW w:w="577" w:type="pct"/>
            <w:shd w:val="clear" w:color="auto" w:fill="3399FF"/>
            <w:vAlign w:val="center"/>
          </w:tcPr>
          <w:p w:rsidR="00CD6F0D" w:rsidRPr="00CD6F0D" w:rsidRDefault="00CD6F0D" w:rsidP="0009382D">
            <w:pPr>
              <w:spacing w:after="0" w:line="240" w:lineRule="auto"/>
              <w:jc w:val="center"/>
              <w:rPr>
                <w:b/>
                <w:bCs/>
                <w:sz w:val="20"/>
              </w:rPr>
            </w:pPr>
            <w:r w:rsidRPr="00CD6F0D">
              <w:rPr>
                <w:b/>
                <w:bCs/>
                <w:sz w:val="20"/>
              </w:rPr>
              <w:t>Long</w:t>
            </w:r>
            <w:r w:rsidRPr="00CD6F0D">
              <w:rPr>
                <w:b/>
                <w:bCs/>
                <w:sz w:val="20"/>
              </w:rPr>
              <w:br/>
              <w:t>terme</w:t>
            </w:r>
          </w:p>
        </w:tc>
        <w:tc>
          <w:tcPr>
            <w:tcW w:w="742" w:type="pct"/>
            <w:tcBorders>
              <w:bottom w:val="single" w:sz="4" w:space="0" w:color="auto"/>
            </w:tcBorders>
            <w:shd w:val="clear" w:color="auto" w:fill="CCFFFF"/>
            <w:vAlign w:val="center"/>
          </w:tcPr>
          <w:p w:rsidR="00CD6F0D" w:rsidRPr="00CD6F0D" w:rsidRDefault="0056474F" w:rsidP="0009382D">
            <w:pPr>
              <w:spacing w:after="0" w:line="240" w:lineRule="auto"/>
              <w:jc w:val="center"/>
              <w:rPr>
                <w:b/>
                <w:bCs/>
                <w:sz w:val="20"/>
              </w:rPr>
            </w:pPr>
            <w:r>
              <w:rPr>
                <w:b/>
                <w:bCs/>
                <w:sz w:val="20"/>
              </w:rPr>
              <w:t>Court terme</w:t>
            </w:r>
          </w:p>
        </w:tc>
        <w:tc>
          <w:tcPr>
            <w:tcW w:w="1329" w:type="pct"/>
            <w:tcBorders>
              <w:top w:val="nil"/>
              <w:bottom w:val="single" w:sz="4" w:space="0" w:color="auto"/>
              <w:right w:val="nil"/>
            </w:tcBorders>
          </w:tcPr>
          <w:p w:rsidR="00CD6F0D" w:rsidRPr="00CD6F0D" w:rsidRDefault="00CD6F0D" w:rsidP="0009382D">
            <w:pPr>
              <w:tabs>
                <w:tab w:val="left" w:pos="5529"/>
              </w:tabs>
              <w:spacing w:after="0" w:line="240" w:lineRule="auto"/>
              <w:ind w:left="0"/>
              <w:jc w:val="center"/>
              <w:rPr>
                <w:b/>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proofErr w:type="spellStart"/>
            <w:r w:rsidRPr="00CD6F0D">
              <w:rPr>
                <w:sz w:val="20"/>
              </w:rPr>
              <w:t>Aaa</w:t>
            </w:r>
            <w:proofErr w:type="spellEnd"/>
          </w:p>
        </w:tc>
        <w:tc>
          <w:tcPr>
            <w:tcW w:w="571" w:type="pct"/>
            <w:vMerge w:val="restart"/>
            <w:shd w:val="clear" w:color="auto" w:fill="FFCCCC"/>
            <w:vAlign w:val="center"/>
          </w:tcPr>
          <w:p w:rsidR="00CD6F0D" w:rsidRPr="00CD6F0D" w:rsidRDefault="00CD6F0D" w:rsidP="0009382D">
            <w:pPr>
              <w:spacing w:before="40" w:after="40" w:line="240" w:lineRule="auto"/>
              <w:jc w:val="center"/>
              <w:rPr>
                <w:sz w:val="20"/>
              </w:rPr>
            </w:pPr>
            <w:r w:rsidRPr="00CD6F0D">
              <w:rPr>
                <w:sz w:val="20"/>
              </w:rPr>
              <w:t>P</w:t>
            </w:r>
            <w:r w:rsidRPr="00CD6F0D">
              <w:rPr>
                <w:sz w:val="20"/>
              </w:rPr>
              <w:noBreakHyphen/>
              <w:t>1</w:t>
            </w: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AAA</w:t>
            </w:r>
          </w:p>
        </w:tc>
        <w:tc>
          <w:tcPr>
            <w:tcW w:w="578" w:type="pct"/>
            <w:vMerge w:val="restart"/>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A-1+</w:t>
            </w: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AAA</w:t>
            </w:r>
          </w:p>
        </w:tc>
        <w:tc>
          <w:tcPr>
            <w:tcW w:w="742" w:type="pct"/>
            <w:vMerge w:val="restart"/>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F1+</w:t>
            </w:r>
          </w:p>
        </w:tc>
        <w:tc>
          <w:tcPr>
            <w:tcW w:w="1329" w:type="pct"/>
            <w:shd w:val="clear" w:color="auto" w:fill="D1B29B"/>
          </w:tcPr>
          <w:p w:rsidR="00CD6F0D" w:rsidRPr="00CD6F0D" w:rsidRDefault="00CD6F0D" w:rsidP="0009382D">
            <w:pPr>
              <w:tabs>
                <w:tab w:val="left" w:pos="5529"/>
              </w:tabs>
              <w:spacing w:before="40" w:after="40" w:line="240" w:lineRule="auto"/>
              <w:ind w:left="0"/>
              <w:jc w:val="center"/>
              <w:rPr>
                <w:sz w:val="20"/>
              </w:rPr>
            </w:pPr>
            <w:r w:rsidRPr="00CD6F0D">
              <w:rPr>
                <w:sz w:val="20"/>
              </w:rPr>
              <w:t>Prime.  Sécurité maximale</w:t>
            </w: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Aa1</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AA+</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AA+</w:t>
            </w: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val="restart"/>
            <w:shd w:val="clear" w:color="auto" w:fill="D1B29B"/>
          </w:tcPr>
          <w:p w:rsidR="00CD6F0D" w:rsidRPr="00CD6F0D" w:rsidRDefault="00CD6F0D" w:rsidP="0009382D">
            <w:pPr>
              <w:tabs>
                <w:tab w:val="left" w:pos="5529"/>
              </w:tabs>
              <w:spacing w:before="40" w:after="40" w:line="240" w:lineRule="auto"/>
              <w:ind w:left="0"/>
              <w:jc w:val="center"/>
              <w:rPr>
                <w:sz w:val="20"/>
              </w:rPr>
            </w:pPr>
            <w:r w:rsidRPr="00CD6F0D">
              <w:rPr>
                <w:sz w:val="20"/>
              </w:rPr>
              <w:t>High grade.  Qualité haute ou bonne</w:t>
            </w: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Aa2</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AA</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AA</w:t>
            </w: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Aa3</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AA-</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AA-</w:t>
            </w: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A1</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A+</w:t>
            </w:r>
          </w:p>
        </w:tc>
        <w:tc>
          <w:tcPr>
            <w:tcW w:w="578" w:type="pct"/>
            <w:vMerge w:val="restart"/>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A-1</w:t>
            </w: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A+</w:t>
            </w:r>
          </w:p>
        </w:tc>
        <w:tc>
          <w:tcPr>
            <w:tcW w:w="742" w:type="pct"/>
            <w:vMerge w:val="restart"/>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F1</w:t>
            </w:r>
          </w:p>
        </w:tc>
        <w:tc>
          <w:tcPr>
            <w:tcW w:w="1329" w:type="pct"/>
            <w:vMerge w:val="restart"/>
            <w:shd w:val="clear" w:color="auto" w:fill="D1B29B"/>
          </w:tcPr>
          <w:p w:rsidR="00CD6F0D" w:rsidRPr="00CD6F0D" w:rsidRDefault="00CD6F0D" w:rsidP="0009382D">
            <w:pPr>
              <w:tabs>
                <w:tab w:val="left" w:pos="5529"/>
              </w:tabs>
              <w:spacing w:before="40" w:after="40" w:line="240" w:lineRule="auto"/>
              <w:ind w:left="0"/>
              <w:jc w:val="center"/>
              <w:rPr>
                <w:sz w:val="20"/>
              </w:rPr>
            </w:pPr>
            <w:proofErr w:type="spellStart"/>
            <w:r w:rsidRPr="00CD6F0D">
              <w:rPr>
                <w:sz w:val="20"/>
              </w:rPr>
              <w:t>Upper</w:t>
            </w:r>
            <w:proofErr w:type="spellEnd"/>
            <w:r w:rsidRPr="00CD6F0D">
              <w:rPr>
                <w:sz w:val="20"/>
              </w:rPr>
              <w:t xml:space="preserve"> medium grade.  Qualité moyenne</w:t>
            </w: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A2</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A</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A</w:t>
            </w: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A3</w:t>
            </w:r>
          </w:p>
        </w:tc>
        <w:tc>
          <w:tcPr>
            <w:tcW w:w="571" w:type="pct"/>
            <w:vMerge w:val="restart"/>
            <w:shd w:val="clear" w:color="auto" w:fill="FFCCCC"/>
            <w:vAlign w:val="center"/>
          </w:tcPr>
          <w:p w:rsidR="00CD6F0D" w:rsidRPr="00CD6F0D" w:rsidRDefault="00CD6F0D" w:rsidP="0009382D">
            <w:pPr>
              <w:spacing w:before="40" w:after="40" w:line="240" w:lineRule="auto"/>
              <w:jc w:val="center"/>
              <w:rPr>
                <w:sz w:val="20"/>
              </w:rPr>
            </w:pPr>
            <w:r w:rsidRPr="00CD6F0D">
              <w:rPr>
                <w:sz w:val="20"/>
              </w:rPr>
              <w:t>P</w:t>
            </w:r>
            <w:r w:rsidRPr="00CD6F0D">
              <w:rPr>
                <w:sz w:val="20"/>
              </w:rPr>
              <w:noBreakHyphen/>
              <w:t>2</w:t>
            </w: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A-</w:t>
            </w:r>
          </w:p>
        </w:tc>
        <w:tc>
          <w:tcPr>
            <w:tcW w:w="578" w:type="pct"/>
            <w:vMerge w:val="restart"/>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A-2</w:t>
            </w: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A-</w:t>
            </w:r>
          </w:p>
        </w:tc>
        <w:tc>
          <w:tcPr>
            <w:tcW w:w="742" w:type="pct"/>
            <w:vMerge w:val="restart"/>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F2</w:t>
            </w: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Baa1</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BBB+</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BBB+</w:t>
            </w: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val="restart"/>
            <w:shd w:val="clear" w:color="auto" w:fill="D1B29B"/>
          </w:tcPr>
          <w:p w:rsidR="00CD6F0D" w:rsidRPr="00CD6F0D" w:rsidRDefault="00CD6F0D" w:rsidP="0009382D">
            <w:pPr>
              <w:tabs>
                <w:tab w:val="left" w:pos="5529"/>
              </w:tabs>
              <w:spacing w:before="40" w:after="40" w:line="240" w:lineRule="auto"/>
              <w:ind w:left="0"/>
              <w:jc w:val="center"/>
              <w:rPr>
                <w:sz w:val="20"/>
              </w:rPr>
            </w:pPr>
            <w:proofErr w:type="spellStart"/>
            <w:r w:rsidRPr="00CD6F0D">
              <w:rPr>
                <w:sz w:val="20"/>
              </w:rPr>
              <w:t>Lower</w:t>
            </w:r>
            <w:proofErr w:type="spellEnd"/>
            <w:r w:rsidRPr="00CD6F0D">
              <w:rPr>
                <w:sz w:val="20"/>
              </w:rPr>
              <w:t xml:space="preserve"> medium grade.  Qualité moyenne inférieure.</w:t>
            </w: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Baa2</w:t>
            </w:r>
          </w:p>
        </w:tc>
        <w:tc>
          <w:tcPr>
            <w:tcW w:w="571" w:type="pct"/>
            <w:vMerge w:val="restart"/>
            <w:shd w:val="clear" w:color="auto" w:fill="FFCCCC"/>
            <w:vAlign w:val="center"/>
          </w:tcPr>
          <w:p w:rsidR="00CD6F0D" w:rsidRPr="00CD6F0D" w:rsidRDefault="00CD6F0D" w:rsidP="0009382D">
            <w:pPr>
              <w:spacing w:before="40" w:after="40" w:line="240" w:lineRule="auto"/>
              <w:jc w:val="center"/>
              <w:rPr>
                <w:sz w:val="20"/>
              </w:rPr>
            </w:pPr>
            <w:r w:rsidRPr="00CD6F0D">
              <w:rPr>
                <w:sz w:val="20"/>
              </w:rPr>
              <w:t>P</w:t>
            </w:r>
            <w:r w:rsidRPr="00CD6F0D">
              <w:rPr>
                <w:sz w:val="20"/>
              </w:rPr>
              <w:noBreakHyphen/>
              <w:t>3</w:t>
            </w: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BBB</w:t>
            </w:r>
          </w:p>
        </w:tc>
        <w:tc>
          <w:tcPr>
            <w:tcW w:w="578" w:type="pct"/>
            <w:vMerge w:val="restart"/>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A-3</w:t>
            </w: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BBB</w:t>
            </w:r>
          </w:p>
        </w:tc>
        <w:tc>
          <w:tcPr>
            <w:tcW w:w="742" w:type="pct"/>
            <w:vMerge w:val="restart"/>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F3</w:t>
            </w: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Baa3</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BBB-</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BBB-</w:t>
            </w: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Ba1</w:t>
            </w:r>
          </w:p>
        </w:tc>
        <w:tc>
          <w:tcPr>
            <w:tcW w:w="571" w:type="pct"/>
            <w:vMerge w:val="restart"/>
            <w:shd w:val="clear" w:color="auto" w:fill="FFCCCC"/>
            <w:vAlign w:val="center"/>
          </w:tcPr>
          <w:p w:rsidR="00CD6F0D" w:rsidRPr="00CD6F0D" w:rsidRDefault="00CD6F0D" w:rsidP="0009382D">
            <w:pPr>
              <w:spacing w:before="40" w:after="40" w:line="240" w:lineRule="auto"/>
              <w:jc w:val="center"/>
              <w:rPr>
                <w:sz w:val="20"/>
              </w:rPr>
            </w:pPr>
            <w:r w:rsidRPr="00CD6F0D">
              <w:rPr>
                <w:sz w:val="20"/>
              </w:rPr>
              <w:t>Not</w:t>
            </w:r>
            <w:r w:rsidRPr="00CD6F0D">
              <w:rPr>
                <w:sz w:val="20"/>
              </w:rPr>
              <w:br/>
              <w:t>Prime</w:t>
            </w: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BB+</w:t>
            </w:r>
          </w:p>
        </w:tc>
        <w:tc>
          <w:tcPr>
            <w:tcW w:w="578" w:type="pct"/>
            <w:vMerge w:val="restart"/>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B</w:t>
            </w: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BB+</w:t>
            </w:r>
          </w:p>
        </w:tc>
        <w:tc>
          <w:tcPr>
            <w:tcW w:w="742" w:type="pct"/>
            <w:vMerge w:val="restart"/>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B</w:t>
            </w:r>
          </w:p>
        </w:tc>
        <w:tc>
          <w:tcPr>
            <w:tcW w:w="1329" w:type="pct"/>
            <w:vMerge w:val="restart"/>
            <w:shd w:val="clear" w:color="auto" w:fill="D1B29B"/>
          </w:tcPr>
          <w:p w:rsidR="00CD6F0D" w:rsidRPr="00CD6F0D" w:rsidRDefault="00CD6F0D" w:rsidP="0009382D">
            <w:pPr>
              <w:tabs>
                <w:tab w:val="left" w:pos="5529"/>
              </w:tabs>
              <w:spacing w:before="40" w:after="40" w:line="240" w:lineRule="auto"/>
              <w:ind w:left="0"/>
              <w:jc w:val="center"/>
              <w:rPr>
                <w:sz w:val="20"/>
              </w:rPr>
            </w:pPr>
            <w:r w:rsidRPr="00CD6F0D">
              <w:rPr>
                <w:sz w:val="20"/>
              </w:rPr>
              <w:t>Non-</w:t>
            </w:r>
            <w:proofErr w:type="spellStart"/>
            <w:r w:rsidRPr="00CD6F0D">
              <w:rPr>
                <w:sz w:val="20"/>
              </w:rPr>
              <w:t>investment</w:t>
            </w:r>
            <w:proofErr w:type="spellEnd"/>
            <w:r w:rsidRPr="00CD6F0D">
              <w:rPr>
                <w:sz w:val="20"/>
              </w:rPr>
              <w:t xml:space="preserve"> grade</w:t>
            </w:r>
            <w:r w:rsidRPr="00CD6F0D">
              <w:rPr>
                <w:sz w:val="20"/>
              </w:rPr>
              <w:br/>
            </w:r>
            <w:proofErr w:type="spellStart"/>
            <w:r w:rsidRPr="00CD6F0D">
              <w:rPr>
                <w:sz w:val="20"/>
              </w:rPr>
              <w:t>speculative</w:t>
            </w:r>
            <w:proofErr w:type="spellEnd"/>
            <w:r w:rsidRPr="00CD6F0D">
              <w:rPr>
                <w:sz w:val="20"/>
              </w:rPr>
              <w:t>.  Spéculatif</w:t>
            </w: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Ba2</w:t>
            </w:r>
          </w:p>
        </w:tc>
        <w:tc>
          <w:tcPr>
            <w:tcW w:w="571" w:type="pct"/>
            <w:vMerge/>
            <w:shd w:val="clear" w:color="auto" w:fill="FFCCCC"/>
            <w:vAlign w:val="center"/>
          </w:tcPr>
          <w:p w:rsidR="00CD6F0D" w:rsidRPr="00CD6F0D" w:rsidRDefault="00CD6F0D" w:rsidP="0009382D">
            <w:pPr>
              <w:spacing w:before="40" w:after="40" w:line="240" w:lineRule="auto"/>
              <w:jc w:val="center"/>
              <w:rPr>
                <w:b/>
                <w:bCs/>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BB</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BB</w:t>
            </w: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Ba3</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BB-</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BB-</w:t>
            </w: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B1</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B+</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B+</w:t>
            </w: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val="restart"/>
            <w:shd w:val="clear" w:color="auto" w:fill="D1B29B"/>
          </w:tcPr>
          <w:p w:rsidR="00CD6F0D" w:rsidRPr="00CD6F0D" w:rsidRDefault="00CD6F0D" w:rsidP="0009382D">
            <w:pPr>
              <w:tabs>
                <w:tab w:val="left" w:pos="5529"/>
              </w:tabs>
              <w:spacing w:before="40" w:after="40" w:line="240" w:lineRule="auto"/>
              <w:ind w:left="0"/>
              <w:jc w:val="center"/>
              <w:rPr>
                <w:sz w:val="20"/>
              </w:rPr>
            </w:pPr>
            <w:proofErr w:type="spellStart"/>
            <w:r w:rsidRPr="00CD6F0D">
              <w:rPr>
                <w:sz w:val="20"/>
              </w:rPr>
              <w:t>Highly</w:t>
            </w:r>
            <w:proofErr w:type="spellEnd"/>
            <w:r w:rsidRPr="00CD6F0D">
              <w:rPr>
                <w:sz w:val="20"/>
              </w:rPr>
              <w:t xml:space="preserve"> </w:t>
            </w:r>
            <w:proofErr w:type="spellStart"/>
            <w:r w:rsidRPr="00CD6F0D">
              <w:rPr>
                <w:sz w:val="20"/>
              </w:rPr>
              <w:t>speculative</w:t>
            </w:r>
            <w:proofErr w:type="spellEnd"/>
            <w:r w:rsidRPr="00CD6F0D">
              <w:rPr>
                <w:sz w:val="20"/>
              </w:rPr>
              <w:t>.  Hautement spéculatif</w:t>
            </w: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B2</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B</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B</w:t>
            </w: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B3</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B-</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shd w:val="clear" w:color="auto" w:fill="3399FF"/>
            <w:vAlign w:val="center"/>
          </w:tcPr>
          <w:p w:rsidR="00CD6F0D" w:rsidRPr="00CD6F0D" w:rsidRDefault="00CD6F0D" w:rsidP="0009382D">
            <w:pPr>
              <w:spacing w:before="40" w:after="40" w:line="240" w:lineRule="auto"/>
              <w:jc w:val="center"/>
              <w:rPr>
                <w:sz w:val="20"/>
              </w:rPr>
            </w:pPr>
            <w:r w:rsidRPr="00CD6F0D">
              <w:rPr>
                <w:sz w:val="20"/>
              </w:rPr>
              <w:t>B-</w:t>
            </w: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Caa1</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CCC+</w:t>
            </w:r>
          </w:p>
          <w:p w:rsidR="00CD6F0D" w:rsidRPr="00CD6F0D" w:rsidRDefault="00CD6F0D" w:rsidP="0009382D">
            <w:pPr>
              <w:spacing w:before="40" w:after="40" w:line="240" w:lineRule="auto"/>
              <w:jc w:val="center"/>
              <w:rPr>
                <w:sz w:val="20"/>
              </w:rPr>
            </w:pPr>
          </w:p>
        </w:tc>
        <w:tc>
          <w:tcPr>
            <w:tcW w:w="578" w:type="pct"/>
            <w:vMerge w:val="restart"/>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C</w:t>
            </w:r>
          </w:p>
        </w:tc>
        <w:tc>
          <w:tcPr>
            <w:tcW w:w="577" w:type="pct"/>
            <w:vMerge w:val="restart"/>
            <w:shd w:val="clear" w:color="auto" w:fill="3399FF"/>
            <w:vAlign w:val="center"/>
          </w:tcPr>
          <w:p w:rsidR="00CD6F0D" w:rsidRPr="00CD6F0D" w:rsidRDefault="00CD6F0D" w:rsidP="0009382D">
            <w:pPr>
              <w:tabs>
                <w:tab w:val="left" w:pos="5529"/>
              </w:tabs>
              <w:spacing w:before="40" w:after="40" w:line="240" w:lineRule="auto"/>
              <w:ind w:left="0"/>
              <w:jc w:val="center"/>
              <w:rPr>
                <w:sz w:val="20"/>
              </w:rPr>
            </w:pPr>
            <w:r w:rsidRPr="00CD6F0D">
              <w:rPr>
                <w:sz w:val="20"/>
              </w:rPr>
              <w:t>CCC</w:t>
            </w:r>
          </w:p>
        </w:tc>
        <w:tc>
          <w:tcPr>
            <w:tcW w:w="742" w:type="pct"/>
            <w:vMerge w:val="restart"/>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C</w:t>
            </w:r>
          </w:p>
        </w:tc>
        <w:tc>
          <w:tcPr>
            <w:tcW w:w="1329" w:type="pct"/>
            <w:shd w:val="clear" w:color="auto" w:fill="D1B29B"/>
          </w:tcPr>
          <w:p w:rsidR="00CD6F0D" w:rsidRPr="00CD6F0D" w:rsidRDefault="00CD6F0D" w:rsidP="0009382D">
            <w:pPr>
              <w:tabs>
                <w:tab w:val="left" w:pos="5529"/>
              </w:tabs>
              <w:spacing w:before="40" w:after="40" w:line="240" w:lineRule="auto"/>
              <w:ind w:left="0"/>
              <w:jc w:val="center"/>
              <w:rPr>
                <w:sz w:val="20"/>
              </w:rPr>
            </w:pPr>
            <w:proofErr w:type="spellStart"/>
            <w:r w:rsidRPr="00CD6F0D">
              <w:rPr>
                <w:sz w:val="20"/>
              </w:rPr>
              <w:t>Substantial</w:t>
            </w:r>
            <w:proofErr w:type="spellEnd"/>
            <w:r w:rsidRPr="00CD6F0D">
              <w:rPr>
                <w:sz w:val="20"/>
              </w:rPr>
              <w:t xml:space="preserve"> </w:t>
            </w:r>
            <w:proofErr w:type="spellStart"/>
            <w:r w:rsidRPr="00CD6F0D">
              <w:rPr>
                <w:sz w:val="20"/>
              </w:rPr>
              <w:t>risks</w:t>
            </w:r>
            <w:proofErr w:type="spellEnd"/>
            <w:r w:rsidRPr="00CD6F0D">
              <w:rPr>
                <w:sz w:val="20"/>
              </w:rPr>
              <w:t>.  Risque substantiel</w:t>
            </w: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Caa2</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CCC</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vMerge/>
            <w:shd w:val="clear" w:color="auto" w:fill="3399FF"/>
          </w:tcPr>
          <w:p w:rsidR="00CD6F0D" w:rsidRPr="00CD6F0D" w:rsidRDefault="00CD6F0D" w:rsidP="0009382D">
            <w:pPr>
              <w:tabs>
                <w:tab w:val="left" w:pos="5529"/>
              </w:tabs>
              <w:spacing w:before="40" w:after="40" w:line="240" w:lineRule="auto"/>
              <w:ind w:left="0"/>
              <w:jc w:val="center"/>
              <w:rPr>
                <w:sz w:val="20"/>
              </w:rPr>
            </w:pP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shd w:val="clear" w:color="auto" w:fill="D1B29B"/>
          </w:tcPr>
          <w:p w:rsidR="00CD6F0D" w:rsidRPr="00CD6F0D" w:rsidRDefault="00CD6F0D" w:rsidP="0009382D">
            <w:pPr>
              <w:tabs>
                <w:tab w:val="left" w:pos="5529"/>
              </w:tabs>
              <w:spacing w:before="40" w:after="40" w:line="240" w:lineRule="auto"/>
              <w:ind w:left="0"/>
              <w:jc w:val="center"/>
              <w:rPr>
                <w:sz w:val="20"/>
              </w:rPr>
            </w:pPr>
            <w:proofErr w:type="spellStart"/>
            <w:r w:rsidRPr="00CD6F0D">
              <w:rPr>
                <w:sz w:val="20"/>
              </w:rPr>
              <w:t>Extremely</w:t>
            </w:r>
            <w:proofErr w:type="spellEnd"/>
            <w:r w:rsidRPr="00CD6F0D">
              <w:rPr>
                <w:sz w:val="20"/>
              </w:rPr>
              <w:t xml:space="preserve"> </w:t>
            </w:r>
            <w:proofErr w:type="spellStart"/>
            <w:r w:rsidRPr="00CD6F0D">
              <w:rPr>
                <w:sz w:val="20"/>
              </w:rPr>
              <w:t>speculative</w:t>
            </w:r>
            <w:proofErr w:type="spellEnd"/>
            <w:r w:rsidRPr="00CD6F0D">
              <w:rPr>
                <w:sz w:val="20"/>
              </w:rPr>
              <w:t>.  Extrêmement spéculatif</w:t>
            </w: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Caa3</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CCC-</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vMerge/>
            <w:shd w:val="clear" w:color="auto" w:fill="3399FF"/>
          </w:tcPr>
          <w:p w:rsidR="00CD6F0D" w:rsidRPr="00CD6F0D" w:rsidRDefault="00CD6F0D" w:rsidP="0009382D">
            <w:pPr>
              <w:tabs>
                <w:tab w:val="left" w:pos="5529"/>
              </w:tabs>
              <w:spacing w:before="40" w:after="40" w:line="240" w:lineRule="auto"/>
              <w:ind w:left="0"/>
              <w:jc w:val="center"/>
              <w:rPr>
                <w:sz w:val="20"/>
              </w:rPr>
            </w:pP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val="restart"/>
            <w:shd w:val="clear" w:color="auto" w:fill="D1B29B"/>
          </w:tcPr>
          <w:p w:rsidR="00CD6F0D" w:rsidRPr="00CD6F0D" w:rsidRDefault="00CD6F0D" w:rsidP="0009382D">
            <w:pPr>
              <w:tabs>
                <w:tab w:val="left" w:pos="5529"/>
              </w:tabs>
              <w:spacing w:before="40" w:after="40" w:line="240" w:lineRule="auto"/>
              <w:ind w:left="0"/>
              <w:jc w:val="center"/>
              <w:rPr>
                <w:sz w:val="20"/>
              </w:rPr>
            </w:pPr>
            <w:r w:rsidRPr="00A162B0">
              <w:rPr>
                <w:sz w:val="20"/>
                <w:lang w:val="en-US"/>
              </w:rPr>
              <w:t>In default with little</w:t>
            </w:r>
            <w:r w:rsidRPr="00A162B0">
              <w:rPr>
                <w:sz w:val="20"/>
                <w:lang w:val="en-US"/>
              </w:rPr>
              <w:br/>
              <w:t xml:space="preserve">prospect for recovery.  </w:t>
            </w:r>
            <w:proofErr w:type="spellStart"/>
            <w:r w:rsidRPr="00CD6F0D">
              <w:rPr>
                <w:sz w:val="20"/>
              </w:rPr>
              <w:t>Peut être</w:t>
            </w:r>
            <w:proofErr w:type="spellEnd"/>
            <w:r w:rsidRPr="00CD6F0D">
              <w:rPr>
                <w:sz w:val="20"/>
              </w:rPr>
              <w:t xml:space="preserve"> en défaut.</w:t>
            </w:r>
          </w:p>
        </w:tc>
      </w:tr>
      <w:tr w:rsidR="00CD6F0D" w:rsidRPr="00CD6F0D" w:rsidTr="0009382D">
        <w:tc>
          <w:tcPr>
            <w:tcW w:w="624" w:type="pct"/>
            <w:vMerge w:val="restar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Ca</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CC</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vMerge/>
            <w:shd w:val="clear" w:color="auto" w:fill="3399FF"/>
          </w:tcPr>
          <w:p w:rsidR="00CD6F0D" w:rsidRPr="00CD6F0D" w:rsidRDefault="00CD6F0D" w:rsidP="0009382D">
            <w:pPr>
              <w:tabs>
                <w:tab w:val="left" w:pos="5529"/>
              </w:tabs>
              <w:spacing w:before="40" w:after="40" w:line="240" w:lineRule="auto"/>
              <w:ind w:left="0"/>
              <w:jc w:val="center"/>
              <w:rPr>
                <w:sz w:val="20"/>
              </w:rPr>
            </w:pPr>
          </w:p>
        </w:tc>
        <w:tc>
          <w:tcPr>
            <w:tcW w:w="742" w:type="pct"/>
            <w:vMerge/>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vMerge/>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shd w:val="clear" w:color="auto" w:fill="FFFF00"/>
            <w:vAlign w:val="center"/>
          </w:tcPr>
          <w:p w:rsidR="00CD6F0D" w:rsidRPr="00CD6F0D" w:rsidRDefault="00CD6F0D" w:rsidP="0009382D">
            <w:pPr>
              <w:spacing w:before="40" w:after="40" w:line="240" w:lineRule="auto"/>
              <w:jc w:val="center"/>
              <w:rPr>
                <w:sz w:val="20"/>
              </w:rPr>
            </w:pPr>
            <w:r w:rsidRPr="00CD6F0D">
              <w:rPr>
                <w:sz w:val="20"/>
              </w:rPr>
              <w:t>C</w:t>
            </w:r>
          </w:p>
        </w:tc>
        <w:tc>
          <w:tcPr>
            <w:tcW w:w="578" w:type="pct"/>
            <w:vMerge/>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p>
        </w:tc>
        <w:tc>
          <w:tcPr>
            <w:tcW w:w="577" w:type="pct"/>
            <w:vMerge/>
            <w:tcBorders>
              <w:bottom w:val="single" w:sz="4" w:space="0" w:color="auto"/>
            </w:tcBorders>
            <w:shd w:val="clear" w:color="auto" w:fill="3399FF"/>
          </w:tcPr>
          <w:p w:rsidR="00CD6F0D" w:rsidRPr="00CD6F0D" w:rsidRDefault="00CD6F0D" w:rsidP="0009382D">
            <w:pPr>
              <w:tabs>
                <w:tab w:val="left" w:pos="5529"/>
              </w:tabs>
              <w:spacing w:before="40" w:after="40" w:line="240" w:lineRule="auto"/>
              <w:ind w:left="0"/>
              <w:jc w:val="center"/>
              <w:rPr>
                <w:sz w:val="20"/>
              </w:rPr>
            </w:pPr>
          </w:p>
        </w:tc>
        <w:tc>
          <w:tcPr>
            <w:tcW w:w="742" w:type="pct"/>
            <w:vMerge/>
            <w:tcBorders>
              <w:bottom w:val="single" w:sz="4" w:space="0" w:color="auto"/>
            </w:tcBorders>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p>
        </w:tc>
        <w:tc>
          <w:tcPr>
            <w:tcW w:w="1329" w:type="pct"/>
            <w:vMerge/>
            <w:shd w:val="clear" w:color="auto" w:fill="D1B29B"/>
          </w:tcPr>
          <w:p w:rsidR="00CD6F0D" w:rsidRPr="00CD6F0D" w:rsidRDefault="00CD6F0D" w:rsidP="0009382D">
            <w:pPr>
              <w:tabs>
                <w:tab w:val="left" w:pos="5529"/>
              </w:tabs>
              <w:spacing w:before="40" w:after="40" w:line="240" w:lineRule="auto"/>
              <w:ind w:left="0"/>
              <w:jc w:val="center"/>
              <w:rPr>
                <w:sz w:val="20"/>
              </w:rPr>
            </w:pPr>
          </w:p>
        </w:tc>
      </w:tr>
      <w:tr w:rsidR="00CD6F0D" w:rsidRPr="00CD6F0D" w:rsidTr="0009382D">
        <w:tc>
          <w:tcPr>
            <w:tcW w:w="624" w:type="pct"/>
            <w:tcBorders>
              <w:top w:val="nil"/>
              <w:bottom w:val="nil"/>
            </w:tcBorders>
            <w:shd w:val="clear" w:color="auto" w:fill="FF7C80"/>
            <w:vAlign w:val="center"/>
          </w:tcPr>
          <w:p w:rsidR="00CD6F0D" w:rsidRPr="00CD6F0D" w:rsidRDefault="00CD6F0D" w:rsidP="0009382D">
            <w:pPr>
              <w:spacing w:before="40" w:after="40" w:line="240" w:lineRule="auto"/>
              <w:jc w:val="center"/>
              <w:rPr>
                <w:sz w:val="20"/>
              </w:rPr>
            </w:pPr>
            <w:r w:rsidRPr="00CD6F0D">
              <w:rPr>
                <w:sz w:val="20"/>
              </w:rPr>
              <w:t>C</w:t>
            </w:r>
          </w:p>
        </w:tc>
        <w:tc>
          <w:tcPr>
            <w:tcW w:w="571" w:type="pct"/>
            <w:vMerge/>
            <w:shd w:val="clear" w:color="auto" w:fill="FFCCCC"/>
            <w:vAlign w:val="center"/>
          </w:tcPr>
          <w:p w:rsidR="00CD6F0D" w:rsidRPr="00CD6F0D" w:rsidRDefault="00CD6F0D" w:rsidP="0009382D">
            <w:pPr>
              <w:spacing w:before="40" w:after="40" w:line="240" w:lineRule="auto"/>
              <w:jc w:val="center"/>
              <w:rPr>
                <w:sz w:val="20"/>
              </w:rPr>
            </w:pPr>
          </w:p>
        </w:tc>
        <w:tc>
          <w:tcPr>
            <w:tcW w:w="579" w:type="pct"/>
            <w:vMerge w:val="restart"/>
            <w:shd w:val="clear" w:color="auto" w:fill="FFFF00"/>
            <w:vAlign w:val="center"/>
          </w:tcPr>
          <w:p w:rsidR="00CD6F0D" w:rsidRPr="00CD6F0D" w:rsidRDefault="00CD6F0D" w:rsidP="0009382D">
            <w:pPr>
              <w:spacing w:before="40" w:after="40" w:line="240" w:lineRule="auto"/>
              <w:jc w:val="center"/>
              <w:rPr>
                <w:sz w:val="20"/>
              </w:rPr>
            </w:pPr>
            <w:r w:rsidRPr="00CD6F0D">
              <w:rPr>
                <w:sz w:val="20"/>
              </w:rPr>
              <w:t>D</w:t>
            </w:r>
          </w:p>
        </w:tc>
        <w:tc>
          <w:tcPr>
            <w:tcW w:w="578" w:type="pct"/>
            <w:vMerge w:val="restart"/>
            <w:shd w:val="clear" w:color="auto" w:fill="EBDA75"/>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w:t>
            </w:r>
          </w:p>
        </w:tc>
        <w:tc>
          <w:tcPr>
            <w:tcW w:w="577" w:type="pct"/>
            <w:tcBorders>
              <w:bottom w:val="single" w:sz="4" w:space="0" w:color="auto"/>
            </w:tcBorders>
            <w:shd w:val="clear" w:color="auto" w:fill="3399FF"/>
          </w:tcPr>
          <w:p w:rsidR="00CD6F0D" w:rsidRPr="00CD6F0D" w:rsidRDefault="00CD6F0D" w:rsidP="0009382D">
            <w:pPr>
              <w:tabs>
                <w:tab w:val="left" w:pos="5529"/>
              </w:tabs>
              <w:spacing w:before="40" w:after="40" w:line="240" w:lineRule="auto"/>
              <w:ind w:left="0"/>
              <w:jc w:val="center"/>
              <w:rPr>
                <w:sz w:val="20"/>
              </w:rPr>
            </w:pPr>
            <w:r w:rsidRPr="00CD6F0D">
              <w:rPr>
                <w:sz w:val="20"/>
              </w:rPr>
              <w:t>DDD</w:t>
            </w:r>
          </w:p>
        </w:tc>
        <w:tc>
          <w:tcPr>
            <w:tcW w:w="742" w:type="pct"/>
            <w:vMerge w:val="restart"/>
            <w:shd w:val="clear" w:color="auto" w:fill="CCFFFF"/>
            <w:vAlign w:val="center"/>
          </w:tcPr>
          <w:p w:rsidR="00CD6F0D" w:rsidRPr="00CD6F0D" w:rsidRDefault="00CD6F0D" w:rsidP="0009382D">
            <w:pPr>
              <w:tabs>
                <w:tab w:val="left" w:pos="5529"/>
              </w:tabs>
              <w:spacing w:before="40" w:after="40" w:line="240" w:lineRule="auto"/>
              <w:ind w:left="0"/>
              <w:jc w:val="right"/>
              <w:rPr>
                <w:sz w:val="20"/>
              </w:rPr>
            </w:pPr>
            <w:r w:rsidRPr="00CD6F0D">
              <w:rPr>
                <w:sz w:val="20"/>
              </w:rPr>
              <w:t>/</w:t>
            </w:r>
          </w:p>
        </w:tc>
        <w:tc>
          <w:tcPr>
            <w:tcW w:w="1329" w:type="pct"/>
            <w:vMerge w:val="restart"/>
            <w:shd w:val="clear" w:color="auto" w:fill="D1B29B"/>
          </w:tcPr>
          <w:p w:rsidR="00CD6F0D" w:rsidRPr="00CD6F0D" w:rsidRDefault="00CD6F0D" w:rsidP="0009382D">
            <w:pPr>
              <w:tabs>
                <w:tab w:val="left" w:pos="5529"/>
              </w:tabs>
              <w:spacing w:before="40" w:after="40" w:line="240" w:lineRule="auto"/>
              <w:ind w:left="0"/>
              <w:jc w:val="center"/>
              <w:rPr>
                <w:sz w:val="20"/>
              </w:rPr>
            </w:pPr>
            <w:r w:rsidRPr="00CD6F0D">
              <w:rPr>
                <w:sz w:val="20"/>
              </w:rPr>
              <w:t>In default.  En défaut</w:t>
            </w:r>
          </w:p>
        </w:tc>
      </w:tr>
      <w:tr w:rsidR="00CD6F0D" w:rsidRPr="00CD6F0D" w:rsidTr="0009382D">
        <w:tc>
          <w:tcPr>
            <w:tcW w:w="624" w:type="pct"/>
            <w:tcBorders>
              <w:top w:val="nil"/>
            </w:tcBorders>
            <w:shd w:val="clear" w:color="auto" w:fill="FF7C80"/>
            <w:vAlign w:val="center"/>
          </w:tcPr>
          <w:p w:rsidR="00CD6F0D" w:rsidRPr="00CD6F0D" w:rsidRDefault="00CD6F0D" w:rsidP="0009382D">
            <w:pPr>
              <w:spacing w:after="0" w:line="240" w:lineRule="auto"/>
              <w:jc w:val="center"/>
              <w:rPr>
                <w:sz w:val="20"/>
              </w:rPr>
            </w:pPr>
          </w:p>
        </w:tc>
        <w:tc>
          <w:tcPr>
            <w:tcW w:w="571" w:type="pct"/>
            <w:vMerge/>
            <w:shd w:val="clear" w:color="auto" w:fill="FFCCCC"/>
            <w:vAlign w:val="center"/>
          </w:tcPr>
          <w:p w:rsidR="00CD6F0D" w:rsidRPr="00CD6F0D" w:rsidRDefault="00CD6F0D" w:rsidP="0009382D">
            <w:pPr>
              <w:spacing w:after="0" w:line="240" w:lineRule="auto"/>
              <w:jc w:val="center"/>
              <w:rPr>
                <w:sz w:val="20"/>
              </w:rPr>
            </w:pPr>
          </w:p>
        </w:tc>
        <w:tc>
          <w:tcPr>
            <w:tcW w:w="579" w:type="pct"/>
            <w:vMerge/>
            <w:shd w:val="clear" w:color="auto" w:fill="FFFF00"/>
            <w:vAlign w:val="center"/>
          </w:tcPr>
          <w:p w:rsidR="00CD6F0D" w:rsidRPr="00CD6F0D" w:rsidRDefault="00CD6F0D" w:rsidP="0009382D">
            <w:pPr>
              <w:spacing w:after="0" w:line="240" w:lineRule="auto"/>
              <w:jc w:val="center"/>
              <w:rPr>
                <w:sz w:val="20"/>
              </w:rPr>
            </w:pPr>
          </w:p>
        </w:tc>
        <w:tc>
          <w:tcPr>
            <w:tcW w:w="578" w:type="pct"/>
            <w:vMerge/>
            <w:shd w:val="clear" w:color="auto" w:fill="EBDA75"/>
          </w:tcPr>
          <w:p w:rsidR="00CD6F0D" w:rsidRPr="00CD6F0D" w:rsidRDefault="00CD6F0D" w:rsidP="0009382D">
            <w:pPr>
              <w:tabs>
                <w:tab w:val="left" w:pos="5529"/>
              </w:tabs>
              <w:spacing w:after="0" w:line="240" w:lineRule="auto"/>
              <w:ind w:left="0"/>
              <w:jc w:val="center"/>
              <w:rPr>
                <w:sz w:val="20"/>
              </w:rPr>
            </w:pPr>
          </w:p>
        </w:tc>
        <w:tc>
          <w:tcPr>
            <w:tcW w:w="577" w:type="pct"/>
            <w:shd w:val="clear" w:color="auto" w:fill="3399FF"/>
          </w:tcPr>
          <w:p w:rsidR="00CD6F0D" w:rsidRPr="00CD6F0D" w:rsidRDefault="00CD6F0D" w:rsidP="0009382D">
            <w:pPr>
              <w:tabs>
                <w:tab w:val="left" w:pos="5529"/>
              </w:tabs>
              <w:spacing w:after="0" w:line="240" w:lineRule="auto"/>
              <w:ind w:left="0"/>
              <w:jc w:val="center"/>
              <w:rPr>
                <w:sz w:val="20"/>
              </w:rPr>
            </w:pPr>
          </w:p>
        </w:tc>
        <w:tc>
          <w:tcPr>
            <w:tcW w:w="742" w:type="pct"/>
            <w:vMerge/>
            <w:shd w:val="clear" w:color="auto" w:fill="CCFFFF"/>
          </w:tcPr>
          <w:p w:rsidR="00CD6F0D" w:rsidRPr="00CD6F0D" w:rsidRDefault="00CD6F0D" w:rsidP="0009382D">
            <w:pPr>
              <w:tabs>
                <w:tab w:val="left" w:pos="5529"/>
              </w:tabs>
              <w:spacing w:after="0" w:line="240" w:lineRule="auto"/>
              <w:ind w:left="0"/>
              <w:jc w:val="center"/>
              <w:rPr>
                <w:sz w:val="20"/>
              </w:rPr>
            </w:pPr>
          </w:p>
        </w:tc>
        <w:tc>
          <w:tcPr>
            <w:tcW w:w="1329" w:type="pct"/>
            <w:vMerge/>
            <w:shd w:val="clear" w:color="auto" w:fill="D1B29B"/>
          </w:tcPr>
          <w:p w:rsidR="00CD6F0D" w:rsidRPr="00CD6F0D" w:rsidRDefault="00CD6F0D" w:rsidP="0009382D">
            <w:pPr>
              <w:tabs>
                <w:tab w:val="left" w:pos="5529"/>
              </w:tabs>
              <w:spacing w:after="0" w:line="240" w:lineRule="auto"/>
              <w:ind w:left="0"/>
              <w:jc w:val="center"/>
              <w:rPr>
                <w:sz w:val="20"/>
              </w:rPr>
            </w:pPr>
          </w:p>
        </w:tc>
      </w:tr>
    </w:tbl>
    <w:p w:rsidR="00D63FC0" w:rsidRPr="0056474F" w:rsidRDefault="00D63FC0" w:rsidP="00502A73">
      <w:pPr>
        <w:spacing w:line="276" w:lineRule="auto"/>
        <w:jc w:val="center"/>
        <w:rPr>
          <w:rFonts w:eastAsia="Times New Roman"/>
          <w:szCs w:val="22"/>
          <w:lang w:eastAsia="en-US"/>
        </w:rPr>
      </w:pPr>
    </w:p>
    <w:p w:rsidR="00EF3EBB" w:rsidRPr="0056474F" w:rsidRDefault="0056474F" w:rsidP="00405DB2">
      <w:pPr>
        <w:spacing w:line="276" w:lineRule="auto"/>
        <w:jc w:val="right"/>
        <w:rPr>
          <w:rFonts w:eastAsia="Times New Roman"/>
          <w:szCs w:val="22"/>
          <w:lang w:eastAsia="en-US"/>
        </w:rPr>
        <w:sectPr w:rsidR="00EF3EBB" w:rsidRPr="0056474F" w:rsidSect="00CD6F0D">
          <w:headerReference w:type="first" r:id="rId20"/>
          <w:endnotePr>
            <w:numFmt w:val="decimal"/>
          </w:endnotePr>
          <w:pgSz w:w="16840" w:h="11906" w:orient="landscape" w:code="9"/>
          <w:pgMar w:top="1417" w:right="567" w:bottom="1134" w:left="1417" w:header="510" w:footer="1020" w:gutter="0"/>
          <w:cols w:space="720"/>
          <w:titlePg/>
          <w:docGrid w:linePitch="299"/>
        </w:sectPr>
      </w:pPr>
      <w:r w:rsidRPr="0056474F">
        <w:rPr>
          <w:rFonts w:eastAsia="Times New Roman"/>
          <w:szCs w:val="22"/>
          <w:lang w:eastAsia="en-US"/>
        </w:rPr>
        <w:t>[</w:t>
      </w:r>
      <w:r w:rsidR="00CD6F0D" w:rsidRPr="0056474F">
        <w:rPr>
          <w:rFonts w:eastAsia="Times New Roman"/>
          <w:szCs w:val="22"/>
          <w:lang w:eastAsia="en-US"/>
        </w:rPr>
        <w:t>L’annexe II suit</w:t>
      </w:r>
      <w:r w:rsidRPr="0056474F">
        <w:rPr>
          <w:rFonts w:eastAsia="Times New Roman"/>
          <w:szCs w:val="22"/>
          <w:lang w:eastAsia="en-US"/>
        </w:rPr>
        <w:t>]</w:t>
      </w:r>
    </w:p>
    <w:p w:rsidR="00FF2DA8" w:rsidRPr="00CD6F0D" w:rsidRDefault="00CD6F0D" w:rsidP="00CD6F0D">
      <w:pPr>
        <w:pStyle w:val="Heading1"/>
      </w:pPr>
      <w:r w:rsidRPr="00CD6F0D">
        <w:t>Produits de placements autorisés et rendements récemment obtenus par les organisations qui effectuent des placements en francs suisses</w:t>
      </w:r>
    </w:p>
    <w:p w:rsidR="00D63FC0" w:rsidRPr="00CD6F0D" w:rsidRDefault="00D63FC0" w:rsidP="001241CE"/>
    <w:p w:rsidR="00D63FC0" w:rsidRDefault="00247B3C" w:rsidP="001241CE">
      <w:r w:rsidRPr="00247B3C">
        <w:rPr>
          <w:noProof/>
          <w:lang w:val="en-US" w:eastAsia="en-US"/>
        </w:rPr>
        <w:drawing>
          <wp:inline distT="0" distB="0" distL="0" distR="0" wp14:anchorId="5248B94C" wp14:editId="4AF98422">
            <wp:extent cx="5940425" cy="4959524"/>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4959524"/>
                    </a:xfrm>
                    <a:prstGeom prst="rect">
                      <a:avLst/>
                    </a:prstGeom>
                    <a:noFill/>
                    <a:ln>
                      <a:noFill/>
                    </a:ln>
                  </pic:spPr>
                </pic:pic>
              </a:graphicData>
            </a:graphic>
          </wp:inline>
        </w:drawing>
      </w:r>
    </w:p>
    <w:p w:rsidR="001241CE" w:rsidRDefault="001241CE" w:rsidP="001241CE"/>
    <w:p w:rsidR="005209E4" w:rsidRDefault="005209E4" w:rsidP="001241CE"/>
    <w:p w:rsidR="005209E4" w:rsidRDefault="005209E4">
      <w:pPr>
        <w:pStyle w:val="Endofdocument-Annex"/>
      </w:pPr>
      <w:r>
        <w:t>[L’annexe III suit]</w:t>
      </w:r>
    </w:p>
    <w:p w:rsidR="005209E4" w:rsidRDefault="005209E4" w:rsidP="001241CE"/>
    <w:p w:rsidR="001241CE" w:rsidRPr="00CD6F0D" w:rsidRDefault="001241CE" w:rsidP="001241CE"/>
    <w:p w:rsidR="00730621" w:rsidRPr="00CD6F0D" w:rsidRDefault="00730621" w:rsidP="00692655">
      <w:pPr>
        <w:spacing w:line="276" w:lineRule="auto"/>
        <w:sectPr w:rsidR="00730621" w:rsidRPr="00CD6F0D" w:rsidSect="00FF2DA8">
          <w:headerReference w:type="first" r:id="rId22"/>
          <w:footerReference w:type="first" r:id="rId23"/>
          <w:endnotePr>
            <w:numFmt w:val="decimal"/>
          </w:endnotePr>
          <w:pgSz w:w="11906" w:h="16840" w:code="9"/>
          <w:pgMar w:top="567" w:right="1134" w:bottom="1417" w:left="1417" w:header="510" w:footer="1020" w:gutter="0"/>
          <w:cols w:space="720"/>
          <w:titlePg/>
          <w:docGrid w:linePitch="299"/>
        </w:sectPr>
      </w:pPr>
    </w:p>
    <w:p w:rsidR="00B45B72" w:rsidRPr="0012327A" w:rsidRDefault="00B45B72" w:rsidP="00B45B72">
      <w:pPr>
        <w:pStyle w:val="ListParagraph"/>
        <w:numPr>
          <w:ilvl w:val="0"/>
          <w:numId w:val="0"/>
        </w:numPr>
        <w:tabs>
          <w:tab w:val="clear" w:pos="851"/>
          <w:tab w:val="clear" w:pos="1134"/>
        </w:tabs>
        <w:spacing w:before="0" w:after="0"/>
        <w:rPr>
          <w:b/>
          <w:caps/>
        </w:rPr>
      </w:pPr>
      <w:r w:rsidRPr="0012327A">
        <w:rPr>
          <w:b/>
          <w:caps/>
        </w:rPr>
        <w:t>risques liés aux partenaires financiers</w:t>
      </w:r>
    </w:p>
    <w:p w:rsidR="00B45B72" w:rsidRPr="0012327A" w:rsidRDefault="00B45B72" w:rsidP="00B45B72"/>
    <w:p w:rsidR="00B45B72" w:rsidRPr="0012327A" w:rsidRDefault="00B45B72" w:rsidP="00B45B72">
      <w:r w:rsidRPr="0012327A">
        <w:t>Le risque de crédit lié aux partenaires financiers, sur des actifs de trésorerie, se pose dans les cas de placements de trésorerie, d’</w:t>
      </w:r>
      <w:proofErr w:type="spellStart"/>
      <w:r w:rsidRPr="0012327A">
        <w:t>avoirs</w:t>
      </w:r>
      <w:proofErr w:type="spellEnd"/>
      <w:r w:rsidRPr="0012327A">
        <w:t xml:space="preserve"> en banque et d’opérations en monnaie étrangère.  </w:t>
      </w:r>
      <w:r w:rsidRPr="0012327A">
        <w:rPr>
          <w:color w:val="000000"/>
        </w:rPr>
        <w:t xml:space="preserve">La défaillance des partenaires </w:t>
      </w:r>
      <w:r>
        <w:rPr>
          <w:color w:val="000000"/>
        </w:rPr>
        <w:t>représente</w:t>
      </w:r>
      <w:r w:rsidRPr="0012327A">
        <w:rPr>
          <w:color w:val="000000"/>
        </w:rPr>
        <w:t xml:space="preserve"> un risque important pour l’Organisation.  La politique adoptée par l’OMPI pour gérer ce risque passe par une stratégie de diversification des risques, l’évaluation du risque de crédit et l’utilisation de limites de crédit.</w:t>
      </w:r>
    </w:p>
    <w:p w:rsidR="00B45B72" w:rsidRPr="0012327A" w:rsidRDefault="00B45B72" w:rsidP="00B45B72"/>
    <w:p w:rsidR="00B45B72" w:rsidRPr="0012327A" w:rsidRDefault="00B45B72" w:rsidP="00B45B72">
      <w:r w:rsidRPr="0012327A">
        <w:rPr>
          <w:color w:val="000000"/>
        </w:rPr>
        <w:t>Aux fins de la gestion des risques liés aux partenaires financiers, il convient de distinguer :</w:t>
      </w:r>
    </w:p>
    <w:p w:rsidR="00B45B72" w:rsidRPr="0012327A" w:rsidRDefault="00B45B72" w:rsidP="00B45B72"/>
    <w:p w:rsidR="00B45B72" w:rsidRPr="00B45B72" w:rsidRDefault="00B45B72" w:rsidP="00B45B72">
      <w:pPr>
        <w:pStyle w:val="ListParagraph"/>
        <w:numPr>
          <w:ilvl w:val="0"/>
          <w:numId w:val="25"/>
        </w:numPr>
        <w:tabs>
          <w:tab w:val="clear" w:pos="851"/>
        </w:tabs>
        <w:spacing w:before="0" w:after="0"/>
      </w:pPr>
      <w:r w:rsidRPr="00B45B72">
        <w:t>les partenaires de placements – liquidités et réserves excédentaires qui sont soumises aux paramètres approuvés de la politique de placement de la trésorerie;</w:t>
      </w:r>
    </w:p>
    <w:p w:rsidR="00B45B72" w:rsidRPr="00B45B72" w:rsidRDefault="00B45B72" w:rsidP="00B45B72"/>
    <w:p w:rsidR="00B45B72" w:rsidRDefault="00B45B72" w:rsidP="00B45B72">
      <w:pPr>
        <w:pStyle w:val="ListParagraph"/>
        <w:numPr>
          <w:ilvl w:val="0"/>
          <w:numId w:val="25"/>
        </w:numPr>
        <w:tabs>
          <w:tab w:val="clear" w:pos="851"/>
        </w:tabs>
        <w:spacing w:before="0" w:after="0"/>
      </w:pPr>
      <w:r w:rsidRPr="00B45B72">
        <w:t>les partenaires bancaires :</w:t>
      </w:r>
    </w:p>
    <w:p w:rsidR="00B45B72" w:rsidRPr="00B45B72" w:rsidRDefault="00B45B72" w:rsidP="00B45B72"/>
    <w:p w:rsidR="00B45B72" w:rsidRPr="00B45B72" w:rsidRDefault="00B45B72" w:rsidP="00B45B72">
      <w:pPr>
        <w:pStyle w:val="ListParagraph"/>
        <w:numPr>
          <w:ilvl w:val="0"/>
          <w:numId w:val="26"/>
        </w:numPr>
        <w:spacing w:before="0" w:after="0"/>
      </w:pPr>
      <w:r w:rsidRPr="00B45B72">
        <w:t>avoirs en banque – avoirs utilisés à des fins de liquidités pour satisfaire aux obligations de paiement lorsque celles</w:t>
      </w:r>
      <w:r w:rsidRPr="00B45B72">
        <w:noBreakHyphen/>
        <w:t>ci arrivent à échéance;</w:t>
      </w:r>
    </w:p>
    <w:p w:rsidR="00B45B72" w:rsidRPr="00B45B72" w:rsidRDefault="00B45B72" w:rsidP="00B45B72"/>
    <w:p w:rsidR="00B45B72" w:rsidRPr="00B45B72" w:rsidRDefault="00B45B72" w:rsidP="00B45B72">
      <w:pPr>
        <w:pStyle w:val="ListParagraph"/>
        <w:numPr>
          <w:ilvl w:val="0"/>
          <w:numId w:val="26"/>
        </w:numPr>
        <w:spacing w:before="0" w:after="0"/>
      </w:pPr>
      <w:r w:rsidRPr="00B45B72">
        <w:t>opérations en monnaie étrangère – la juste valeur, dans la monnaie, des instruments de couverture.</w:t>
      </w:r>
    </w:p>
    <w:p w:rsidR="00B45B72" w:rsidRPr="00B45B72" w:rsidRDefault="00B45B72" w:rsidP="00B45B72"/>
    <w:p w:rsidR="00B45B72" w:rsidRPr="00B45B72" w:rsidRDefault="00B45B72" w:rsidP="00B45B72">
      <w:pPr>
        <w:rPr>
          <w:b/>
          <w:i/>
        </w:rPr>
      </w:pPr>
      <w:r w:rsidRPr="00B45B72">
        <w:rPr>
          <w:b/>
          <w:i/>
        </w:rPr>
        <w:t xml:space="preserve">Le risque de crédit lié aux partenaires financiers, pour les placements, </w:t>
      </w:r>
      <w:r w:rsidR="005E183E">
        <w:rPr>
          <w:b/>
          <w:i/>
        </w:rPr>
        <w:t>est couvert par</w:t>
      </w:r>
      <w:r w:rsidRPr="00B45B72">
        <w:rPr>
          <w:b/>
          <w:i/>
        </w:rPr>
        <w:t xml:space="preserve"> la politique en matière de placements qui a été approuvée par les assemblées des États membres le 5 octobre 2011.</w:t>
      </w:r>
    </w:p>
    <w:p w:rsidR="00B45B72" w:rsidRPr="00B45B72" w:rsidRDefault="00B45B72" w:rsidP="00B45B72">
      <w:pPr>
        <w:rPr>
          <w:b/>
          <w:i/>
        </w:rPr>
      </w:pPr>
    </w:p>
    <w:p w:rsidR="00B45B72" w:rsidRPr="00B45B72" w:rsidRDefault="00B45B72" w:rsidP="00B45B72">
      <w:pPr>
        <w:rPr>
          <w:b/>
          <w:i/>
          <w:szCs w:val="22"/>
        </w:rPr>
      </w:pPr>
      <w:r w:rsidRPr="00B45B72">
        <w:rPr>
          <w:b/>
          <w:i/>
          <w:szCs w:val="22"/>
        </w:rPr>
        <w:t>La règle 104.2 du règlement d’exécution du Règlement financier stipule que le contrôleur désigne les banques dans lesquelles les fonds de l’Organisation doivent être déposés.</w:t>
      </w:r>
      <w:r w:rsidRPr="00B45B72">
        <w:rPr>
          <w:b/>
          <w:i/>
        </w:rPr>
        <w:t xml:space="preserve">  </w:t>
      </w:r>
      <w:r w:rsidRPr="00B45B72">
        <w:rPr>
          <w:b/>
          <w:i/>
          <w:szCs w:val="22"/>
        </w:rPr>
        <w:t>Il</w:t>
      </w:r>
      <w:r w:rsidR="005E183E">
        <w:rPr>
          <w:b/>
          <w:i/>
          <w:szCs w:val="22"/>
        </w:rPr>
        <w:t> détient des pouvoirs concernant</w:t>
      </w:r>
      <w:r w:rsidRPr="00B45B72">
        <w:rPr>
          <w:b/>
          <w:i/>
          <w:szCs w:val="22"/>
        </w:rPr>
        <w:t xml:space="preserve"> le risque de crédit pour les avoirs en banque et les opérations en monnaie étrangère.</w:t>
      </w:r>
    </w:p>
    <w:p w:rsidR="00B45B72" w:rsidRPr="00B45B72" w:rsidRDefault="00B45B72" w:rsidP="00B45B72">
      <w:pPr>
        <w:tabs>
          <w:tab w:val="left" w:pos="-1440"/>
          <w:tab w:val="left" w:pos="-720"/>
          <w:tab w:val="left" w:pos="0"/>
        </w:tabs>
        <w:suppressAutoHyphens/>
        <w:spacing w:line="240" w:lineRule="atLeast"/>
        <w:ind w:left="720" w:hanging="720"/>
        <w:jc w:val="both"/>
        <w:rPr>
          <w:bCs/>
          <w:i/>
          <w:szCs w:val="22"/>
          <w:u w:val="single"/>
        </w:rPr>
      </w:pPr>
    </w:p>
    <w:p w:rsidR="00B45B72" w:rsidRPr="00B45B72" w:rsidRDefault="00B45B72" w:rsidP="00B45B72">
      <w:pPr>
        <w:tabs>
          <w:tab w:val="left" w:pos="-1440"/>
          <w:tab w:val="left" w:pos="-720"/>
          <w:tab w:val="left" w:pos="0"/>
        </w:tabs>
        <w:suppressAutoHyphens/>
        <w:spacing w:line="240" w:lineRule="atLeast"/>
        <w:ind w:left="720" w:hanging="720"/>
        <w:jc w:val="both"/>
        <w:rPr>
          <w:bCs/>
          <w:i/>
          <w:szCs w:val="22"/>
          <w:u w:val="single"/>
        </w:rPr>
      </w:pPr>
      <w:r w:rsidRPr="00B45B72">
        <w:rPr>
          <w:bCs/>
          <w:i/>
          <w:szCs w:val="22"/>
          <w:u w:val="single"/>
        </w:rPr>
        <w:t>Déclarations de principe et dispositions</w:t>
      </w:r>
    </w:p>
    <w:p w:rsidR="00B45B72" w:rsidRDefault="00B45B72" w:rsidP="00B45B72">
      <w:pPr>
        <w:tabs>
          <w:tab w:val="left" w:pos="-1440"/>
          <w:tab w:val="left" w:pos="-720"/>
        </w:tabs>
        <w:suppressAutoHyphens/>
        <w:spacing w:line="240" w:lineRule="atLeast"/>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410"/>
        <w:gridCol w:w="7053"/>
      </w:tblGrid>
      <w:tr w:rsidR="00B45B72" w:rsidRPr="00B45B72" w:rsidTr="00962831">
        <w:trPr>
          <w:tblHeader/>
        </w:trPr>
        <w:tc>
          <w:tcPr>
            <w:tcW w:w="2410" w:type="dxa"/>
            <w:shd w:val="clear" w:color="auto" w:fill="000000"/>
          </w:tcPr>
          <w:p w:rsidR="00B45B72" w:rsidRPr="00B45B72" w:rsidRDefault="00B45B72" w:rsidP="00B45B72">
            <w:pPr>
              <w:tabs>
                <w:tab w:val="left" w:pos="-1440"/>
                <w:tab w:val="left" w:pos="-720"/>
              </w:tabs>
              <w:suppressAutoHyphens/>
              <w:spacing w:line="240" w:lineRule="atLeast"/>
              <w:rPr>
                <w:b/>
                <w:szCs w:val="22"/>
              </w:rPr>
            </w:pPr>
            <w:r w:rsidRPr="00B45B72">
              <w:rPr>
                <w:b/>
                <w:szCs w:val="22"/>
              </w:rPr>
              <w:t>Question de politique générale</w:t>
            </w:r>
          </w:p>
        </w:tc>
        <w:tc>
          <w:tcPr>
            <w:tcW w:w="7053" w:type="dxa"/>
            <w:shd w:val="clear" w:color="auto" w:fill="000000"/>
          </w:tcPr>
          <w:p w:rsidR="00B45B72" w:rsidRPr="00B45B72" w:rsidRDefault="00B45B72" w:rsidP="00B45B72">
            <w:pPr>
              <w:tabs>
                <w:tab w:val="left" w:pos="-1440"/>
                <w:tab w:val="left" w:pos="-720"/>
                <w:tab w:val="left" w:pos="0"/>
              </w:tabs>
              <w:suppressAutoHyphens/>
              <w:spacing w:line="240" w:lineRule="atLeast"/>
              <w:ind w:left="720" w:hanging="720"/>
              <w:jc w:val="both"/>
              <w:rPr>
                <w:b/>
                <w:szCs w:val="22"/>
              </w:rPr>
            </w:pPr>
            <w:r w:rsidRPr="00B45B72">
              <w:rPr>
                <w:b/>
                <w:bCs/>
                <w:szCs w:val="22"/>
              </w:rPr>
              <w:t>Déclaration de principe et disposition</w:t>
            </w:r>
          </w:p>
          <w:p w:rsidR="00B45B72" w:rsidRPr="00B45B72" w:rsidRDefault="00B45B72" w:rsidP="00B45B72">
            <w:pPr>
              <w:tabs>
                <w:tab w:val="left" w:pos="-1440"/>
                <w:tab w:val="left" w:pos="-720"/>
              </w:tabs>
              <w:suppressAutoHyphens/>
              <w:spacing w:line="240" w:lineRule="atLeast"/>
              <w:jc w:val="both"/>
              <w:rPr>
                <w:b/>
                <w:szCs w:val="22"/>
              </w:rPr>
            </w:pPr>
          </w:p>
        </w:tc>
      </w:tr>
      <w:tr w:rsidR="00B45B72" w:rsidRPr="00B45B72" w:rsidTr="00962831">
        <w:tc>
          <w:tcPr>
            <w:tcW w:w="2410" w:type="dxa"/>
            <w:shd w:val="clear" w:color="auto" w:fill="auto"/>
          </w:tcPr>
          <w:p w:rsidR="00B45B72" w:rsidRPr="00B45B72" w:rsidRDefault="00B45B72" w:rsidP="00B45B72">
            <w:r w:rsidRPr="00B45B72">
              <w:t>Notation des partenaires</w:t>
            </w:r>
          </w:p>
        </w:tc>
        <w:tc>
          <w:tcPr>
            <w:tcW w:w="7053" w:type="dxa"/>
            <w:shd w:val="clear" w:color="auto" w:fill="auto"/>
          </w:tcPr>
          <w:p w:rsidR="00B45B72" w:rsidRPr="00B45B72" w:rsidRDefault="00B45B72" w:rsidP="00B45B72">
            <w:pPr>
              <w:numPr>
                <w:ilvl w:val="0"/>
                <w:numId w:val="9"/>
              </w:numPr>
              <w:tabs>
                <w:tab w:val="left" w:pos="-1440"/>
                <w:tab w:val="left" w:pos="-720"/>
              </w:tabs>
              <w:suppressAutoHyphens/>
              <w:spacing w:line="240" w:lineRule="atLeast"/>
              <w:jc w:val="both"/>
              <w:rPr>
                <w:b/>
                <w:szCs w:val="22"/>
              </w:rPr>
            </w:pPr>
            <w:r w:rsidRPr="00B45B72">
              <w:rPr>
                <w:szCs w:val="22"/>
              </w:rPr>
              <w:t>L’OMPI effectuera des opérations uniquement avec les partenaires approuvés et avec ceux qui sont crédités des notations à long terme ci</w:t>
            </w:r>
            <w:r w:rsidRPr="00B45B72">
              <w:rPr>
                <w:szCs w:val="22"/>
              </w:rPr>
              <w:noBreakHyphen/>
              <w:t>après :</w:t>
            </w:r>
          </w:p>
          <w:p w:rsidR="00B45B72" w:rsidRPr="00B45B72" w:rsidRDefault="00B45B72" w:rsidP="00B45B72">
            <w:pPr>
              <w:tabs>
                <w:tab w:val="left" w:pos="-1440"/>
                <w:tab w:val="left" w:pos="-720"/>
              </w:tabs>
              <w:suppressAutoHyphens/>
              <w:spacing w:line="240" w:lineRule="atLeast"/>
              <w:ind w:left="284"/>
              <w:jc w:val="both"/>
              <w:rPr>
                <w:b/>
                <w:szCs w:val="22"/>
              </w:rPr>
            </w:pPr>
          </w:p>
          <w:p w:rsidR="00B45B72" w:rsidRPr="00B45B72" w:rsidRDefault="00B45B72" w:rsidP="00962831">
            <w:pPr>
              <w:numPr>
                <w:ilvl w:val="1"/>
                <w:numId w:val="9"/>
              </w:numPr>
              <w:tabs>
                <w:tab w:val="left" w:pos="-1440"/>
                <w:tab w:val="left" w:pos="-720"/>
              </w:tabs>
              <w:suppressAutoHyphens/>
              <w:spacing w:line="240" w:lineRule="atLeast"/>
              <w:ind w:left="568" w:hanging="284"/>
              <w:jc w:val="both"/>
              <w:rPr>
                <w:b/>
                <w:szCs w:val="22"/>
              </w:rPr>
            </w:pPr>
            <w:r w:rsidRPr="00B45B72">
              <w:rPr>
                <w:szCs w:val="22"/>
              </w:rPr>
              <w:t>partenaires de placement :</w:t>
            </w:r>
          </w:p>
          <w:p w:rsidR="00B45B72" w:rsidRDefault="00B45B72" w:rsidP="00962831">
            <w:pPr>
              <w:numPr>
                <w:ilvl w:val="2"/>
                <w:numId w:val="9"/>
              </w:numPr>
              <w:tabs>
                <w:tab w:val="left" w:pos="-1440"/>
                <w:tab w:val="left" w:pos="-720"/>
              </w:tabs>
              <w:suppressAutoHyphens/>
              <w:spacing w:line="240" w:lineRule="atLeast"/>
              <w:jc w:val="both"/>
              <w:rPr>
                <w:szCs w:val="22"/>
              </w:rPr>
            </w:pPr>
            <w:r w:rsidRPr="00B45B72">
              <w:rPr>
                <w:szCs w:val="22"/>
              </w:rPr>
              <w:t xml:space="preserve">notation minimale </w:t>
            </w:r>
            <w:proofErr w:type="gramStart"/>
            <w:r w:rsidRPr="00B45B72">
              <w:rPr>
                <w:szCs w:val="22"/>
              </w:rPr>
              <w:t>de AA</w:t>
            </w:r>
            <w:r w:rsidRPr="00B45B72">
              <w:rPr>
                <w:szCs w:val="22"/>
              </w:rPr>
              <w:noBreakHyphen/>
              <w:t>/Aa3</w:t>
            </w:r>
            <w:proofErr w:type="gramEnd"/>
          </w:p>
          <w:p w:rsidR="00B45B72" w:rsidRPr="00B45B72" w:rsidRDefault="00B45B72" w:rsidP="00B45B72">
            <w:pPr>
              <w:tabs>
                <w:tab w:val="left" w:pos="-1440"/>
                <w:tab w:val="left" w:pos="-720"/>
              </w:tabs>
              <w:suppressAutoHyphens/>
              <w:spacing w:line="240" w:lineRule="atLeast"/>
              <w:ind w:left="851"/>
              <w:jc w:val="both"/>
              <w:rPr>
                <w:szCs w:val="22"/>
              </w:rPr>
            </w:pPr>
          </w:p>
          <w:p w:rsidR="00B45B72" w:rsidRPr="00B45B72" w:rsidRDefault="00B45B72" w:rsidP="00962831">
            <w:pPr>
              <w:numPr>
                <w:ilvl w:val="1"/>
                <w:numId w:val="9"/>
              </w:numPr>
              <w:tabs>
                <w:tab w:val="left" w:pos="-1440"/>
                <w:tab w:val="left" w:pos="-720"/>
              </w:tabs>
              <w:suppressAutoHyphens/>
              <w:spacing w:line="240" w:lineRule="atLeast"/>
              <w:ind w:left="568" w:hanging="284"/>
              <w:jc w:val="both"/>
              <w:rPr>
                <w:szCs w:val="22"/>
              </w:rPr>
            </w:pPr>
            <w:r w:rsidRPr="00B45B72">
              <w:rPr>
                <w:szCs w:val="22"/>
              </w:rPr>
              <w:t>partenaires bancaires :</w:t>
            </w:r>
          </w:p>
          <w:p w:rsidR="00B45B72" w:rsidRPr="00B45B72" w:rsidRDefault="00B45B72" w:rsidP="00962831">
            <w:pPr>
              <w:numPr>
                <w:ilvl w:val="2"/>
                <w:numId w:val="9"/>
              </w:numPr>
              <w:suppressAutoHyphens/>
              <w:spacing w:line="240" w:lineRule="atLeast"/>
              <w:jc w:val="both"/>
              <w:rPr>
                <w:szCs w:val="22"/>
              </w:rPr>
            </w:pPr>
            <w:r w:rsidRPr="00B45B72">
              <w:rPr>
                <w:szCs w:val="22"/>
              </w:rPr>
              <w:t xml:space="preserve">notation minimale </w:t>
            </w:r>
            <w:proofErr w:type="gramStart"/>
            <w:r w:rsidRPr="00B45B72">
              <w:rPr>
                <w:szCs w:val="22"/>
              </w:rPr>
              <w:t>de A</w:t>
            </w:r>
            <w:r w:rsidRPr="00B45B72">
              <w:rPr>
                <w:szCs w:val="22"/>
              </w:rPr>
              <w:noBreakHyphen/>
              <w:t>/A3</w:t>
            </w:r>
            <w:proofErr w:type="gramEnd"/>
          </w:p>
          <w:p w:rsidR="00B45B72" w:rsidRPr="00B45B72" w:rsidRDefault="00B45B72" w:rsidP="00962831">
            <w:pPr>
              <w:numPr>
                <w:ilvl w:val="2"/>
                <w:numId w:val="9"/>
              </w:numPr>
              <w:suppressAutoHyphens/>
              <w:spacing w:line="240" w:lineRule="atLeast"/>
              <w:jc w:val="both"/>
              <w:rPr>
                <w:szCs w:val="22"/>
              </w:rPr>
            </w:pPr>
            <w:r w:rsidRPr="00B45B72">
              <w:rPr>
                <w:szCs w:val="22"/>
              </w:rPr>
              <w:t>ou exception en cas d’approbation par le Comité consultatif des investissements.</w:t>
            </w:r>
          </w:p>
          <w:p w:rsidR="00B45B72" w:rsidRPr="00B45B72" w:rsidRDefault="00B45B72" w:rsidP="00B45B72">
            <w:pPr>
              <w:tabs>
                <w:tab w:val="left" w:pos="-1440"/>
                <w:tab w:val="left" w:pos="-720"/>
              </w:tabs>
              <w:suppressAutoHyphens/>
              <w:spacing w:line="240" w:lineRule="atLeast"/>
              <w:ind w:left="252"/>
              <w:jc w:val="both"/>
              <w:rPr>
                <w:b/>
                <w:szCs w:val="22"/>
              </w:rPr>
            </w:pPr>
          </w:p>
          <w:p w:rsidR="00B45B72" w:rsidRPr="00B45B72" w:rsidRDefault="00B45B72" w:rsidP="00B45B72">
            <w:pPr>
              <w:numPr>
                <w:ilvl w:val="0"/>
                <w:numId w:val="9"/>
              </w:numPr>
              <w:tabs>
                <w:tab w:val="left" w:pos="-1440"/>
                <w:tab w:val="left" w:pos="-720"/>
              </w:tabs>
              <w:suppressAutoHyphens/>
              <w:spacing w:line="240" w:lineRule="atLeast"/>
              <w:jc w:val="both"/>
              <w:rPr>
                <w:szCs w:val="22"/>
              </w:rPr>
            </w:pPr>
            <w:r w:rsidRPr="00B45B72">
              <w:rPr>
                <w:szCs w:val="22"/>
              </w:rPr>
              <w:t xml:space="preserve">Les partenaires approuvés sont indiqués dans le </w:t>
            </w:r>
            <w:r w:rsidRPr="00B45B72">
              <w:rPr>
                <w:b/>
                <w:szCs w:val="22"/>
              </w:rPr>
              <w:t>tableau 5</w:t>
            </w:r>
          </w:p>
        </w:tc>
      </w:tr>
      <w:tr w:rsidR="00B45B72" w:rsidRPr="00B45B72" w:rsidTr="00962831">
        <w:trPr>
          <w:cantSplit/>
        </w:trPr>
        <w:tc>
          <w:tcPr>
            <w:tcW w:w="2410" w:type="dxa"/>
            <w:shd w:val="clear" w:color="auto" w:fill="auto"/>
          </w:tcPr>
          <w:p w:rsidR="00B45B72" w:rsidRPr="00B45B72" w:rsidRDefault="00B45B72" w:rsidP="00B45B72">
            <w:r w:rsidRPr="00B45B72">
              <w:t>Partenaires approuvés</w:t>
            </w:r>
          </w:p>
        </w:tc>
        <w:tc>
          <w:tcPr>
            <w:tcW w:w="7053" w:type="dxa"/>
            <w:shd w:val="clear" w:color="auto" w:fill="auto"/>
          </w:tcPr>
          <w:p w:rsidR="00B45B72" w:rsidRPr="00B45B72" w:rsidRDefault="00B45B72" w:rsidP="00B45B72">
            <w:pPr>
              <w:pStyle w:val="ListParagraph"/>
              <w:numPr>
                <w:ilvl w:val="0"/>
                <w:numId w:val="11"/>
              </w:numPr>
              <w:tabs>
                <w:tab w:val="clear" w:pos="851"/>
                <w:tab w:val="clear" w:pos="1134"/>
              </w:tabs>
              <w:spacing w:before="0" w:after="0"/>
              <w:contextualSpacing/>
              <w:rPr>
                <w:szCs w:val="22"/>
              </w:rPr>
            </w:pPr>
            <w:r w:rsidRPr="00B45B72">
              <w:rPr>
                <w:szCs w:val="22"/>
              </w:rPr>
              <w:t>Les opérations de trésorerie seront effectuées uniquement avec les partenaires approuvés qui satisfont aux critères minimaux définis dans la présente politique.</w:t>
            </w:r>
          </w:p>
          <w:p w:rsidR="00B45B72" w:rsidRPr="00B45B72" w:rsidRDefault="00B45B72" w:rsidP="00B45B72">
            <w:pPr>
              <w:tabs>
                <w:tab w:val="left" w:pos="-1440"/>
                <w:tab w:val="left" w:pos="-720"/>
              </w:tabs>
              <w:suppressAutoHyphens/>
              <w:spacing w:line="240" w:lineRule="atLeast"/>
              <w:ind w:left="252"/>
              <w:rPr>
                <w:szCs w:val="22"/>
              </w:rPr>
            </w:pPr>
          </w:p>
          <w:p w:rsidR="00B45B72" w:rsidRPr="00B45B72" w:rsidRDefault="00B45B72" w:rsidP="00B45B72">
            <w:pPr>
              <w:pStyle w:val="ListParagraph"/>
              <w:numPr>
                <w:ilvl w:val="0"/>
                <w:numId w:val="11"/>
              </w:numPr>
              <w:tabs>
                <w:tab w:val="clear" w:pos="851"/>
                <w:tab w:val="clear" w:pos="1134"/>
              </w:tabs>
              <w:spacing w:before="0" w:after="0"/>
              <w:contextualSpacing/>
              <w:rPr>
                <w:szCs w:val="22"/>
              </w:rPr>
            </w:pPr>
            <w:r w:rsidRPr="00B45B72">
              <w:rPr>
                <w:szCs w:val="22"/>
              </w:rPr>
              <w:t>Toutes les banques et tous les partenaires pour les opérations de change et les placements doivent avoir été préalablement approuvés par le Comité consultatif des investissements.</w:t>
            </w:r>
            <w:r w:rsidRPr="00B45B72">
              <w:t xml:space="preserve"> </w:t>
            </w:r>
            <w:r w:rsidRPr="00B45B72">
              <w:rPr>
                <w:szCs w:val="22"/>
              </w:rPr>
              <w:t xml:space="preserve"> </w:t>
            </w:r>
          </w:p>
        </w:tc>
      </w:tr>
      <w:tr w:rsidR="00B45B72" w:rsidRPr="00B45B72" w:rsidTr="00962831">
        <w:tc>
          <w:tcPr>
            <w:tcW w:w="2410" w:type="dxa"/>
            <w:shd w:val="clear" w:color="auto" w:fill="auto"/>
          </w:tcPr>
          <w:p w:rsidR="00B45B72" w:rsidRPr="00B45B72" w:rsidRDefault="00B45B72" w:rsidP="00B45B72">
            <w:r w:rsidRPr="00B45B72">
              <w:t>Niveau des contrats d’échange sur risque de crédit</w:t>
            </w:r>
          </w:p>
        </w:tc>
        <w:tc>
          <w:tcPr>
            <w:tcW w:w="7053" w:type="dxa"/>
            <w:shd w:val="clear" w:color="auto" w:fill="auto"/>
          </w:tcPr>
          <w:p w:rsidR="00B45B72" w:rsidRPr="00B45B72" w:rsidRDefault="00B45B72" w:rsidP="005E183E">
            <w:r w:rsidRPr="00B45B72">
              <w:t>Lorsqu’un taux aisément accessible est donné dans le cadre d’un contrat d’échange sur risque de crédit (sur Bloomberg ou Reuters), l’OMPI en tiendra compte pour évaluer le risque lié aux partenaires financiers</w:t>
            </w:r>
          </w:p>
          <w:p w:rsidR="00B45B72" w:rsidRPr="00B45B72" w:rsidRDefault="00B45B72" w:rsidP="00B45B72">
            <w:pPr>
              <w:keepNext/>
              <w:keepLines/>
              <w:tabs>
                <w:tab w:val="left" w:pos="-1440"/>
                <w:tab w:val="left" w:pos="-720"/>
              </w:tabs>
              <w:suppressAutoHyphens/>
              <w:spacing w:line="240" w:lineRule="atLeast"/>
              <w:ind w:left="252"/>
              <w:rPr>
                <w:szCs w:val="22"/>
              </w:rPr>
            </w:pPr>
          </w:p>
          <w:p w:rsidR="00B45B72" w:rsidRPr="00B45B72" w:rsidRDefault="00B45B72" w:rsidP="00B45B72">
            <w:pPr>
              <w:pStyle w:val="ListParagraph"/>
              <w:keepNext/>
              <w:keepLines/>
              <w:numPr>
                <w:ilvl w:val="0"/>
                <w:numId w:val="11"/>
              </w:numPr>
              <w:tabs>
                <w:tab w:val="clear" w:pos="851"/>
                <w:tab w:val="clear" w:pos="1134"/>
              </w:tabs>
              <w:spacing w:before="0" w:after="0"/>
              <w:contextualSpacing/>
              <w:rPr>
                <w:szCs w:val="22"/>
              </w:rPr>
            </w:pPr>
            <w:r w:rsidRPr="00B45B72">
              <w:rPr>
                <w:szCs w:val="22"/>
              </w:rPr>
              <w:t>L’OMPI surveillera en particulier les partenaires dont le taux est supérieur à 300 points de base et pourra réduire ou supprimer l’exposition à ces partenaires.</w:t>
            </w:r>
          </w:p>
        </w:tc>
      </w:tr>
      <w:tr w:rsidR="00B45B72" w:rsidRPr="00B45B72" w:rsidTr="00962831">
        <w:tc>
          <w:tcPr>
            <w:tcW w:w="2410" w:type="dxa"/>
            <w:shd w:val="clear" w:color="auto" w:fill="auto"/>
          </w:tcPr>
          <w:p w:rsidR="00B45B72" w:rsidRPr="00B45B72" w:rsidRDefault="00B45B72" w:rsidP="00B45B72">
            <w:r w:rsidRPr="00B45B72">
              <w:t>Cadre et limites applicables au risque de crédit</w:t>
            </w:r>
          </w:p>
        </w:tc>
        <w:tc>
          <w:tcPr>
            <w:tcW w:w="7053" w:type="dxa"/>
            <w:shd w:val="clear" w:color="auto" w:fill="auto"/>
          </w:tcPr>
          <w:p w:rsidR="00B45B72" w:rsidRPr="005E183E" w:rsidRDefault="00B45B72" w:rsidP="005E183E">
            <w:pPr>
              <w:pStyle w:val="ListParagraph"/>
              <w:keepNext/>
              <w:keepLines/>
              <w:numPr>
                <w:ilvl w:val="0"/>
                <w:numId w:val="11"/>
              </w:numPr>
              <w:tabs>
                <w:tab w:val="clear" w:pos="851"/>
                <w:tab w:val="clear" w:pos="1134"/>
              </w:tabs>
              <w:spacing w:before="0" w:after="0"/>
              <w:contextualSpacing/>
            </w:pPr>
            <w:r w:rsidRPr="005E183E">
              <w:t>Des limites de crédit seront appliquées aux partenaires financiers.  Les limites de risque tiendront compte des éléments suivants :</w:t>
            </w:r>
          </w:p>
          <w:p w:rsidR="00B45B72" w:rsidRPr="005E183E" w:rsidRDefault="00B45B72" w:rsidP="00B45B72"/>
          <w:p w:rsidR="00B45B72" w:rsidRPr="005E183E" w:rsidRDefault="00B45B72" w:rsidP="005E183E">
            <w:pPr>
              <w:numPr>
                <w:ilvl w:val="1"/>
                <w:numId w:val="9"/>
              </w:numPr>
              <w:tabs>
                <w:tab w:val="left" w:pos="-1440"/>
                <w:tab w:val="left" w:pos="-720"/>
              </w:tabs>
              <w:suppressAutoHyphens/>
              <w:spacing w:line="240" w:lineRule="atLeast"/>
              <w:ind w:left="568" w:hanging="284"/>
              <w:jc w:val="both"/>
            </w:pPr>
            <w:r w:rsidRPr="005E183E">
              <w:t xml:space="preserve">la valeur nominale de la trésorerie </w:t>
            </w:r>
            <w:r w:rsidR="005E183E" w:rsidRPr="005E183E">
              <w:t>détenue par le</w:t>
            </w:r>
            <w:r w:rsidRPr="005E183E">
              <w:t>s partenaires financiers et des placements effectués auprès de ces partenaires</w:t>
            </w:r>
          </w:p>
          <w:p w:rsidR="00B45B72" w:rsidRPr="005E183E" w:rsidRDefault="00B45B72" w:rsidP="00B45B72"/>
          <w:p w:rsidR="00B45B72" w:rsidRPr="005E183E" w:rsidRDefault="00B45B72" w:rsidP="005E183E">
            <w:pPr>
              <w:numPr>
                <w:ilvl w:val="1"/>
                <w:numId w:val="9"/>
              </w:numPr>
              <w:tabs>
                <w:tab w:val="left" w:pos="-1440"/>
                <w:tab w:val="left" w:pos="-720"/>
              </w:tabs>
              <w:suppressAutoHyphens/>
              <w:spacing w:line="240" w:lineRule="atLeast"/>
              <w:ind w:left="568" w:hanging="284"/>
              <w:jc w:val="both"/>
            </w:pPr>
            <w:r w:rsidRPr="005E183E">
              <w:t>le risque calculé par référence au marché pour les opérations en monnaie étrangère avec un partenaire financier</w:t>
            </w:r>
          </w:p>
          <w:p w:rsidR="00B45B72" w:rsidRPr="005E183E" w:rsidRDefault="00B45B72" w:rsidP="00B45B72"/>
          <w:p w:rsidR="00B45B72" w:rsidRPr="005E183E" w:rsidRDefault="00B45B72" w:rsidP="005E183E">
            <w:pPr>
              <w:pStyle w:val="ListParagraph"/>
              <w:keepNext/>
              <w:keepLines/>
              <w:numPr>
                <w:ilvl w:val="0"/>
                <w:numId w:val="11"/>
              </w:numPr>
              <w:tabs>
                <w:tab w:val="clear" w:pos="851"/>
                <w:tab w:val="clear" w:pos="1134"/>
              </w:tabs>
              <w:spacing w:before="0" w:after="0"/>
              <w:contextualSpacing/>
            </w:pPr>
            <w:r w:rsidRPr="005E183E">
              <w:t>Les limites de risque individuelles et par catégorie appliquées aux partenaires approuvés se présentent comme suit :</w:t>
            </w:r>
          </w:p>
          <w:p w:rsidR="005E183E" w:rsidRPr="005E183E" w:rsidRDefault="005E183E" w:rsidP="005E183E">
            <w:pPr>
              <w:pStyle w:val="ListParagraph"/>
              <w:keepNext/>
              <w:keepLines/>
              <w:numPr>
                <w:ilvl w:val="0"/>
                <w:numId w:val="0"/>
              </w:numPr>
              <w:tabs>
                <w:tab w:val="clear" w:pos="851"/>
                <w:tab w:val="clear" w:pos="1134"/>
              </w:tabs>
              <w:spacing w:before="0" w:after="0"/>
              <w:ind w:left="284"/>
              <w:contextualSpacing/>
            </w:pPr>
          </w:p>
          <w:p w:rsidR="005E183E" w:rsidRPr="005E183E" w:rsidRDefault="005E183E" w:rsidP="005E183E">
            <w:pPr>
              <w:numPr>
                <w:ilvl w:val="1"/>
                <w:numId w:val="9"/>
              </w:numPr>
              <w:tabs>
                <w:tab w:val="left" w:pos="-1440"/>
                <w:tab w:val="left" w:pos="-720"/>
              </w:tabs>
              <w:suppressAutoHyphens/>
              <w:spacing w:line="240" w:lineRule="atLeast"/>
              <w:ind w:left="568" w:hanging="284"/>
              <w:jc w:val="both"/>
            </w:pPr>
            <w:r w:rsidRPr="005E183E">
              <w:t>u</w:t>
            </w:r>
            <w:r w:rsidR="00B45B72" w:rsidRPr="005E183E">
              <w:t>ne limite maximale de 20 millions de francs suisses à ne pas dépasser en fin de journée (limite OVERNIGHT) est applicable aux partenaires bancaires crédités d’une notation inférieure à AA/Aa</w:t>
            </w:r>
          </w:p>
          <w:p w:rsidR="005E183E" w:rsidRPr="005E183E" w:rsidRDefault="005E183E" w:rsidP="005E183E"/>
          <w:p w:rsidR="00B45B72" w:rsidRPr="005E183E" w:rsidRDefault="005E183E" w:rsidP="005E183E">
            <w:pPr>
              <w:numPr>
                <w:ilvl w:val="1"/>
                <w:numId w:val="9"/>
              </w:numPr>
              <w:tabs>
                <w:tab w:val="left" w:pos="-1440"/>
                <w:tab w:val="left" w:pos="-720"/>
              </w:tabs>
              <w:suppressAutoHyphens/>
              <w:spacing w:line="240" w:lineRule="atLeast"/>
              <w:ind w:left="568" w:hanging="284"/>
              <w:jc w:val="both"/>
            </w:pPr>
            <w:r w:rsidRPr="005E183E">
              <w:t>a</w:t>
            </w:r>
            <w:r w:rsidR="00B45B72" w:rsidRPr="005E183E">
              <w:t>u maximum, 10% des liquidités totales, des produits dérivés dans la monnaie ET des placements peuvent être détenus auprès d’un partenaire unique, sauf s’il est crédité de la notation AAA.</w:t>
            </w:r>
          </w:p>
        </w:tc>
      </w:tr>
      <w:tr w:rsidR="00B45B72" w:rsidRPr="00B45B72" w:rsidTr="00962831">
        <w:tc>
          <w:tcPr>
            <w:tcW w:w="2410" w:type="dxa"/>
            <w:shd w:val="clear" w:color="auto" w:fill="auto"/>
          </w:tcPr>
          <w:p w:rsidR="00B45B72" w:rsidRPr="00B45B72" w:rsidRDefault="00B45B72" w:rsidP="00B45B72">
            <w:r w:rsidRPr="00B45B72">
              <w:t>Approbation des limites</w:t>
            </w:r>
          </w:p>
        </w:tc>
        <w:tc>
          <w:tcPr>
            <w:tcW w:w="7053" w:type="dxa"/>
            <w:shd w:val="clear" w:color="auto" w:fill="auto"/>
          </w:tcPr>
          <w:p w:rsidR="00B45B72" w:rsidRPr="00B45B72" w:rsidRDefault="00B45B72" w:rsidP="005E183E">
            <w:pPr>
              <w:pStyle w:val="ListParagraph"/>
              <w:keepNext/>
              <w:keepLines/>
              <w:numPr>
                <w:ilvl w:val="0"/>
                <w:numId w:val="11"/>
              </w:numPr>
              <w:tabs>
                <w:tab w:val="clear" w:pos="851"/>
                <w:tab w:val="clear" w:pos="1134"/>
              </w:tabs>
              <w:spacing w:before="0" w:after="0"/>
              <w:contextualSpacing/>
            </w:pPr>
            <w:r w:rsidRPr="00B45B72">
              <w:t xml:space="preserve">Le partenaire approuvé et les limites de risque peuvent être revus par le Directeur général et le contrôleur agissant ensemble.  </w:t>
            </w:r>
          </w:p>
        </w:tc>
      </w:tr>
      <w:tr w:rsidR="00B45B72" w:rsidRPr="00B45B72" w:rsidTr="00962831">
        <w:tc>
          <w:tcPr>
            <w:tcW w:w="2410" w:type="dxa"/>
            <w:shd w:val="clear" w:color="auto" w:fill="auto"/>
          </w:tcPr>
          <w:p w:rsidR="00B45B72" w:rsidRPr="00B45B72" w:rsidRDefault="00B45B72" w:rsidP="00B45B72">
            <w:r w:rsidRPr="00B45B72">
              <w:t>Contrôle du risque</w:t>
            </w:r>
          </w:p>
        </w:tc>
        <w:tc>
          <w:tcPr>
            <w:tcW w:w="7053" w:type="dxa"/>
            <w:shd w:val="clear" w:color="auto" w:fill="auto"/>
          </w:tcPr>
          <w:p w:rsidR="00B45B72" w:rsidRPr="00B45B72" w:rsidRDefault="00B45B72" w:rsidP="005E183E">
            <w:pPr>
              <w:pStyle w:val="ListParagraph"/>
              <w:keepNext/>
              <w:keepLines/>
              <w:numPr>
                <w:ilvl w:val="0"/>
                <w:numId w:val="11"/>
              </w:numPr>
              <w:tabs>
                <w:tab w:val="clear" w:pos="851"/>
                <w:tab w:val="clear" w:pos="1134"/>
              </w:tabs>
              <w:spacing w:before="0" w:after="0"/>
              <w:contextualSpacing/>
            </w:pPr>
            <w:r w:rsidRPr="00B45B72">
              <w:t>L’OMPI doit régulièrement évaluer et contrôler le risque lié aux partenaires financiers et en rendre compte.</w:t>
            </w:r>
          </w:p>
        </w:tc>
      </w:tr>
    </w:tbl>
    <w:p w:rsidR="00B45B72" w:rsidRPr="00B45B72" w:rsidRDefault="00B45B72" w:rsidP="00B45B72">
      <w:pPr>
        <w:tabs>
          <w:tab w:val="left" w:pos="-1440"/>
          <w:tab w:val="left" w:pos="-720"/>
        </w:tabs>
        <w:suppressAutoHyphens/>
        <w:spacing w:line="240" w:lineRule="atLeast"/>
        <w:jc w:val="both"/>
        <w:rPr>
          <w:b/>
          <w:bCs/>
          <w:szCs w:val="22"/>
          <w:u w:val="single"/>
        </w:rPr>
      </w:pPr>
    </w:p>
    <w:p w:rsidR="00B45B72" w:rsidRPr="00B45B72" w:rsidRDefault="00B45B72" w:rsidP="00B45B72">
      <w:pPr>
        <w:tabs>
          <w:tab w:val="left" w:pos="-1440"/>
          <w:tab w:val="left" w:pos="-720"/>
        </w:tabs>
        <w:suppressAutoHyphens/>
        <w:spacing w:line="240" w:lineRule="atLeast"/>
        <w:jc w:val="both"/>
        <w:rPr>
          <w:b/>
          <w:bCs/>
          <w:szCs w:val="22"/>
          <w:u w:val="single"/>
        </w:rPr>
      </w:pPr>
    </w:p>
    <w:p w:rsidR="00B45B72" w:rsidRPr="00B45B72" w:rsidRDefault="00B45B72" w:rsidP="00B45B72">
      <w:pPr>
        <w:tabs>
          <w:tab w:val="left" w:pos="-1440"/>
          <w:tab w:val="left" w:pos="-720"/>
        </w:tabs>
        <w:suppressAutoHyphens/>
        <w:spacing w:line="240" w:lineRule="atLeast"/>
        <w:jc w:val="both"/>
        <w:rPr>
          <w:b/>
          <w:bCs/>
          <w:szCs w:val="22"/>
          <w:u w:val="single"/>
        </w:rPr>
      </w:pPr>
    </w:p>
    <w:p w:rsidR="00B45B72" w:rsidRPr="00B45B72" w:rsidRDefault="00B45B72" w:rsidP="00B45B72">
      <w:pPr>
        <w:jc w:val="right"/>
        <w:rPr>
          <w:bCs/>
          <w:szCs w:val="22"/>
        </w:rPr>
      </w:pPr>
      <w:r w:rsidRPr="00B45B72">
        <w:rPr>
          <w:bCs/>
          <w:szCs w:val="22"/>
        </w:rPr>
        <w:t>[Fin de l’annexe III et du document]</w:t>
      </w:r>
    </w:p>
    <w:sectPr w:rsidR="00B45B72" w:rsidRPr="00B45B72" w:rsidSect="00FF2DA8">
      <w:headerReference w:type="default" r:id="rId24"/>
      <w:headerReference w:type="first" r:id="rId25"/>
      <w:footerReference w:type="first" r:id="rId26"/>
      <w:endnotePr>
        <w:numFmt w:val="decimal"/>
      </w:endnotePr>
      <w:pgSz w:w="11906"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095" w:rsidRDefault="00D56095">
      <w:r>
        <w:separator/>
      </w:r>
    </w:p>
  </w:endnote>
  <w:endnote w:type="continuationSeparator" w:id="0">
    <w:p w:rsidR="00D56095" w:rsidRDefault="00D56095" w:rsidP="003B38C1">
      <w:r>
        <w:separator/>
      </w:r>
    </w:p>
    <w:p w:rsidR="00D56095" w:rsidRPr="00A162B0" w:rsidRDefault="00D56095" w:rsidP="003B38C1">
      <w:pPr>
        <w:spacing w:after="60"/>
        <w:rPr>
          <w:sz w:val="17"/>
          <w:lang w:val="en-US"/>
        </w:rPr>
      </w:pPr>
      <w:r w:rsidRPr="00A162B0">
        <w:rPr>
          <w:sz w:val="17"/>
          <w:lang w:val="en-US"/>
        </w:rPr>
        <w:t>[Endnote continued from previous page]</w:t>
      </w:r>
    </w:p>
  </w:endnote>
  <w:endnote w:type="continuationNotice" w:id="1">
    <w:p w:rsidR="00D56095" w:rsidRPr="00A162B0" w:rsidRDefault="00D56095" w:rsidP="003B38C1">
      <w:pPr>
        <w:spacing w:before="60"/>
        <w:jc w:val="right"/>
        <w:rPr>
          <w:sz w:val="17"/>
          <w:szCs w:val="17"/>
          <w:lang w:val="en-US"/>
        </w:rPr>
      </w:pPr>
      <w:r w:rsidRPr="00A162B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5" w:rsidRPr="00EF3EBB" w:rsidRDefault="00D560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5" w:rsidRPr="005209E4" w:rsidRDefault="00D56095" w:rsidP="005209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5" w:rsidRDefault="00D56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095" w:rsidRDefault="00D56095">
      <w:r>
        <w:separator/>
      </w:r>
    </w:p>
  </w:footnote>
  <w:footnote w:type="continuationSeparator" w:id="0">
    <w:p w:rsidR="00D56095" w:rsidRDefault="00D56095" w:rsidP="008B60B2">
      <w:r>
        <w:separator/>
      </w:r>
    </w:p>
    <w:p w:rsidR="00D56095" w:rsidRPr="00A162B0" w:rsidRDefault="00D56095" w:rsidP="008B60B2">
      <w:pPr>
        <w:spacing w:after="60"/>
        <w:rPr>
          <w:sz w:val="17"/>
          <w:szCs w:val="17"/>
          <w:lang w:val="en-US"/>
        </w:rPr>
      </w:pPr>
      <w:r w:rsidRPr="00A162B0">
        <w:rPr>
          <w:sz w:val="17"/>
          <w:szCs w:val="17"/>
          <w:lang w:val="en-US"/>
        </w:rPr>
        <w:t>[Footnote continued from previous page]</w:t>
      </w:r>
    </w:p>
  </w:footnote>
  <w:footnote w:type="continuationNotice" w:id="1">
    <w:p w:rsidR="00D56095" w:rsidRPr="00A162B0" w:rsidRDefault="00D56095" w:rsidP="008B60B2">
      <w:pPr>
        <w:spacing w:before="60"/>
        <w:jc w:val="right"/>
        <w:rPr>
          <w:sz w:val="17"/>
          <w:szCs w:val="17"/>
          <w:lang w:val="en-US"/>
        </w:rPr>
      </w:pPr>
      <w:r w:rsidRPr="00A162B0">
        <w:rPr>
          <w:sz w:val="17"/>
          <w:szCs w:val="17"/>
          <w:lang w:val="en-US"/>
        </w:rPr>
        <w:t>[Footnote continued on next page]</w:t>
      </w:r>
    </w:p>
  </w:footnote>
  <w:footnote w:id="2">
    <w:p w:rsidR="00AA0558" w:rsidRPr="00D628AF" w:rsidRDefault="00AA0558" w:rsidP="00D628AF">
      <w:pPr>
        <w:pStyle w:val="FootnoteText"/>
        <w:rPr>
          <w:lang w:val="fr-CH"/>
        </w:rPr>
      </w:pPr>
      <w:r>
        <w:rPr>
          <w:rStyle w:val="FootnoteReference"/>
        </w:rPr>
        <w:footnoteRef/>
      </w:r>
      <w:r w:rsidR="00614B7E">
        <w:rPr>
          <w:color w:val="000000"/>
          <w:lang w:val="fr-CH"/>
        </w:rPr>
        <w:tab/>
      </w:r>
      <w:r w:rsidR="00D628AF" w:rsidRPr="00D628AF">
        <w:rPr>
          <w:color w:val="000000"/>
          <w:lang w:val="fr-CH"/>
        </w:rPr>
        <w:t xml:space="preserve">Le ratio de </w:t>
      </w:r>
      <w:r w:rsidR="004D2942">
        <w:rPr>
          <w:color w:val="000000"/>
          <w:lang w:val="fr-CH"/>
        </w:rPr>
        <w:t>liquidité générale correspond à l’</w:t>
      </w:r>
      <w:r w:rsidR="00D628AF" w:rsidRPr="00D628AF">
        <w:rPr>
          <w:color w:val="000000"/>
          <w:lang w:val="fr-CH"/>
        </w:rPr>
        <w:t>actif à court terme divisé</w:t>
      </w:r>
      <w:r w:rsidR="004D2942">
        <w:rPr>
          <w:color w:val="000000"/>
          <w:lang w:val="fr-CH"/>
        </w:rPr>
        <w:t xml:space="preserve"> par le passif</w:t>
      </w:r>
      <w:r w:rsidR="00D628AF" w:rsidRPr="00D628AF">
        <w:rPr>
          <w:color w:val="000000"/>
          <w:lang w:val="fr-CH"/>
        </w:rPr>
        <w:t xml:space="preserve"> à court terme, tandis que le ratio de liquidité immédiate correspond </w:t>
      </w:r>
      <w:r w:rsidR="004D2942">
        <w:rPr>
          <w:color w:val="000000"/>
          <w:lang w:val="fr-CH"/>
        </w:rPr>
        <w:t>aux liquidités divisées par le passif</w:t>
      </w:r>
      <w:r w:rsidR="00D628AF" w:rsidRPr="00D628AF">
        <w:rPr>
          <w:color w:val="000000"/>
          <w:lang w:val="fr-CH"/>
        </w:rPr>
        <w:t xml:space="preserve"> à court terme.</w:t>
      </w:r>
    </w:p>
  </w:footnote>
  <w:footnote w:id="3">
    <w:p w:rsidR="00CD6F0D" w:rsidRPr="005D0014" w:rsidRDefault="00CD6F0D" w:rsidP="00CD6F0D">
      <w:pPr>
        <w:rPr>
          <w:sz w:val="18"/>
          <w:szCs w:val="22"/>
        </w:rPr>
      </w:pPr>
      <w:r w:rsidRPr="005D0014">
        <w:rPr>
          <w:rStyle w:val="FootnoteReference"/>
          <w:sz w:val="18"/>
          <w:szCs w:val="22"/>
        </w:rPr>
        <w:footnoteRef/>
      </w:r>
      <w:r w:rsidRPr="005D0014">
        <w:rPr>
          <w:sz w:val="18"/>
          <w:szCs w:val="22"/>
        </w:rPr>
        <w:t xml:space="preserve"> </w:t>
      </w:r>
      <w:r w:rsidRPr="005D0014">
        <w:rPr>
          <w:sz w:val="18"/>
          <w:szCs w:val="22"/>
        </w:rPr>
        <w:tab/>
        <w:t>Pour des précisions sur les notations, voir l’annexe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5" w:rsidRDefault="00D56095" w:rsidP="00BC1C84">
    <w:pPr>
      <w:pStyle w:val="Header"/>
      <w:jc w:val="right"/>
    </w:pPr>
    <w:r>
      <w:t>WO/PBC/22/19</w:t>
    </w:r>
  </w:p>
  <w:p w:rsidR="00D56095" w:rsidRDefault="00D56095">
    <w:pPr>
      <w:pStyle w:val="Header"/>
      <w:jc w:val="right"/>
    </w:pPr>
    <w:proofErr w:type="gramStart"/>
    <w:r>
      <w:t>page</w:t>
    </w:r>
    <w:proofErr w:type="gramEnd"/>
    <w:r>
      <w:t xml:space="preserve"> </w:t>
    </w:r>
    <w:sdt>
      <w:sdtPr>
        <w:id w:val="-14982570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34CEC">
          <w:rPr>
            <w:noProof/>
          </w:rPr>
          <w:t>10</w:t>
        </w:r>
        <w:r>
          <w:rPr>
            <w:noProof/>
          </w:rPr>
          <w:fldChar w:fldCharType="end"/>
        </w:r>
      </w:sdtContent>
    </w:sdt>
  </w:p>
  <w:p w:rsidR="00D56095" w:rsidRDefault="00D5609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5" w:rsidRPr="00A162B0" w:rsidRDefault="00D56095" w:rsidP="00BC1C84">
    <w:pPr>
      <w:pStyle w:val="Header"/>
      <w:jc w:val="right"/>
      <w:rPr>
        <w:lang w:val="en-US"/>
      </w:rPr>
    </w:pPr>
    <w:r w:rsidRPr="00A162B0">
      <w:rPr>
        <w:lang w:val="en-US"/>
      </w:rPr>
      <w:t>WO/PBC/22/19</w:t>
    </w:r>
  </w:p>
  <w:p w:rsidR="00D56095" w:rsidRPr="00A162B0" w:rsidRDefault="00D56095">
    <w:pPr>
      <w:pStyle w:val="Header"/>
      <w:jc w:val="right"/>
      <w:rPr>
        <w:lang w:val="en-US"/>
      </w:rPr>
    </w:pPr>
    <w:proofErr w:type="spellStart"/>
    <w:r w:rsidRPr="00A162B0">
      <w:rPr>
        <w:lang w:val="en-US"/>
      </w:rPr>
      <w:t>Annex</w:t>
    </w:r>
    <w:r w:rsidR="00180E56" w:rsidRPr="00A162B0">
      <w:rPr>
        <w:lang w:val="en-US"/>
      </w:rPr>
      <w:t>e</w:t>
    </w:r>
    <w:proofErr w:type="spellEnd"/>
    <w:r w:rsidRPr="00A162B0">
      <w:rPr>
        <w:lang w:val="en-US"/>
      </w:rPr>
      <w:t xml:space="preserve"> I, page </w:t>
    </w:r>
    <w:sdt>
      <w:sdtPr>
        <w:id w:val="-1655520801"/>
        <w:docPartObj>
          <w:docPartGallery w:val="Page Numbers (Top of Page)"/>
          <w:docPartUnique/>
        </w:docPartObj>
      </w:sdtPr>
      <w:sdtEndPr>
        <w:rPr>
          <w:noProof/>
        </w:rPr>
      </w:sdtEndPr>
      <w:sdtContent>
        <w:r>
          <w:fldChar w:fldCharType="begin"/>
        </w:r>
        <w:r w:rsidRPr="00A162B0">
          <w:rPr>
            <w:lang w:val="en-US"/>
          </w:rPr>
          <w:instrText xml:space="preserve"> PAGE   \* MERGEFORMAT </w:instrText>
        </w:r>
        <w:r>
          <w:fldChar w:fldCharType="separate"/>
        </w:r>
        <w:r w:rsidR="00934CEC">
          <w:rPr>
            <w:noProof/>
            <w:lang w:val="en-US"/>
          </w:rPr>
          <w:t>2</w:t>
        </w:r>
        <w:r>
          <w:rPr>
            <w:noProof/>
          </w:rPr>
          <w:fldChar w:fldCharType="end"/>
        </w:r>
      </w:sdtContent>
    </w:sdt>
  </w:p>
  <w:p w:rsidR="00D56095" w:rsidRPr="00A162B0" w:rsidRDefault="00D56095"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5" w:rsidRDefault="00D56095" w:rsidP="004412E7">
    <w:pPr>
      <w:pStyle w:val="Header"/>
      <w:jc w:val="right"/>
    </w:pPr>
    <w:r>
      <w:t>WO/PBC/22/19</w:t>
    </w:r>
  </w:p>
  <w:p w:rsidR="00D56095" w:rsidRDefault="00180E56">
    <w:pPr>
      <w:pStyle w:val="Header"/>
      <w:jc w:val="right"/>
    </w:pPr>
    <w:r>
      <w:t>ANNEXE</w:t>
    </w:r>
    <w:r w:rsidR="00D56095">
      <w:t xml:space="preserve"> I</w:t>
    </w:r>
  </w:p>
  <w:p w:rsidR="00D56095" w:rsidRDefault="00D56095" w:rsidP="00405DB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5" w:rsidRPr="00A162B0" w:rsidRDefault="00D56095" w:rsidP="00A217DC">
    <w:pPr>
      <w:pStyle w:val="Header"/>
      <w:jc w:val="right"/>
      <w:rPr>
        <w:lang w:val="en-US"/>
      </w:rPr>
    </w:pPr>
    <w:r w:rsidRPr="00A162B0">
      <w:rPr>
        <w:lang w:val="en-US"/>
      </w:rPr>
      <w:t>WO/PBC/22/19</w:t>
    </w:r>
  </w:p>
  <w:p w:rsidR="00D56095" w:rsidRPr="00A162B0" w:rsidRDefault="00D56095">
    <w:pPr>
      <w:pStyle w:val="Header"/>
      <w:jc w:val="right"/>
      <w:rPr>
        <w:lang w:val="en-US"/>
      </w:rPr>
    </w:pPr>
    <w:proofErr w:type="spellStart"/>
    <w:r w:rsidRPr="00A162B0">
      <w:rPr>
        <w:lang w:val="en-US"/>
      </w:rPr>
      <w:t>Annex</w:t>
    </w:r>
    <w:r w:rsidR="00180E56" w:rsidRPr="00A162B0">
      <w:rPr>
        <w:lang w:val="en-US"/>
      </w:rPr>
      <w:t>e</w:t>
    </w:r>
    <w:proofErr w:type="spellEnd"/>
    <w:r w:rsidRPr="00A162B0">
      <w:rPr>
        <w:lang w:val="en-US"/>
      </w:rPr>
      <w:t xml:space="preserve"> I, page </w:t>
    </w:r>
    <w:sdt>
      <w:sdtPr>
        <w:id w:val="206223047"/>
        <w:docPartObj>
          <w:docPartGallery w:val="Page Numbers (Top of Page)"/>
          <w:docPartUnique/>
        </w:docPartObj>
      </w:sdtPr>
      <w:sdtEndPr>
        <w:rPr>
          <w:noProof/>
        </w:rPr>
      </w:sdtEndPr>
      <w:sdtContent>
        <w:r>
          <w:fldChar w:fldCharType="begin"/>
        </w:r>
        <w:r w:rsidRPr="00A162B0">
          <w:rPr>
            <w:lang w:val="en-US"/>
          </w:rPr>
          <w:instrText xml:space="preserve"> PAGE   \* MERGEFORMAT </w:instrText>
        </w:r>
        <w:r>
          <w:fldChar w:fldCharType="separate"/>
        </w:r>
        <w:r w:rsidR="00934CEC">
          <w:rPr>
            <w:noProof/>
            <w:lang w:val="en-US"/>
          </w:rPr>
          <w:t>3</w:t>
        </w:r>
        <w:r>
          <w:rPr>
            <w:noProof/>
          </w:rPr>
          <w:fldChar w:fldCharType="end"/>
        </w:r>
      </w:sdtContent>
    </w:sdt>
  </w:p>
  <w:p w:rsidR="00D56095" w:rsidRPr="00A162B0" w:rsidRDefault="00D56095" w:rsidP="00405DB2">
    <w:pPr>
      <w:pStyle w:val="Heade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5" w:rsidRDefault="00D56095" w:rsidP="00405DB2">
    <w:pPr>
      <w:pStyle w:val="Header"/>
      <w:jc w:val="right"/>
    </w:pPr>
    <w:r>
      <w:t>WO/PBC/22/19</w:t>
    </w:r>
  </w:p>
  <w:p w:rsidR="00D56095" w:rsidRDefault="00D56095" w:rsidP="00405DB2">
    <w:pPr>
      <w:pStyle w:val="Header"/>
      <w:jc w:val="right"/>
    </w:pPr>
    <w:r>
      <w:t>ANNEX</w:t>
    </w:r>
    <w:r w:rsidR="00180E56">
      <w:t>E</w:t>
    </w:r>
    <w:r>
      <w:t xml:space="preserve"> II</w:t>
    </w:r>
  </w:p>
  <w:p w:rsidR="00D56095" w:rsidRDefault="00D56095" w:rsidP="00405DB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5" w:rsidRPr="00405DB2" w:rsidRDefault="00D56095" w:rsidP="00477D6B">
    <w:pPr>
      <w:jc w:val="right"/>
    </w:pPr>
    <w:r w:rsidRPr="00405DB2">
      <w:t>WO/PBC/22/19</w:t>
    </w:r>
  </w:p>
  <w:p w:rsidR="00D56095" w:rsidRPr="00405DB2" w:rsidRDefault="00D56095" w:rsidP="00477D6B">
    <w:pPr>
      <w:jc w:val="right"/>
    </w:pPr>
    <w:r w:rsidRPr="00405DB2">
      <w:t>Annex</w:t>
    </w:r>
    <w:r w:rsidR="00FF2DA8">
      <w:t>e</w:t>
    </w:r>
    <w:r w:rsidRPr="00405DB2">
      <w:t xml:space="preserve"> I</w:t>
    </w:r>
    <w:r>
      <w:t>I</w:t>
    </w:r>
    <w:r w:rsidRPr="00405DB2">
      <w:t>I, page 2</w:t>
    </w:r>
  </w:p>
  <w:p w:rsidR="00D56095" w:rsidRPr="00405DB2" w:rsidRDefault="00D56095"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5" w:rsidRPr="001241CE" w:rsidRDefault="00D56095" w:rsidP="00405DB2">
    <w:pPr>
      <w:jc w:val="right"/>
      <w:rPr>
        <w:szCs w:val="22"/>
      </w:rPr>
    </w:pPr>
    <w:r w:rsidRPr="001241CE">
      <w:rPr>
        <w:szCs w:val="22"/>
      </w:rPr>
      <w:t>WO/PBC/22/19</w:t>
    </w:r>
  </w:p>
  <w:p w:rsidR="00D56095" w:rsidRPr="001241CE" w:rsidRDefault="00D56095" w:rsidP="00405DB2">
    <w:pPr>
      <w:jc w:val="right"/>
      <w:rPr>
        <w:szCs w:val="22"/>
      </w:rPr>
    </w:pPr>
    <w:r w:rsidRPr="001241CE">
      <w:rPr>
        <w:szCs w:val="22"/>
      </w:rPr>
      <w:t>ANNEX</w:t>
    </w:r>
    <w:r w:rsidR="00FF2DA8" w:rsidRPr="001241CE">
      <w:rPr>
        <w:szCs w:val="22"/>
      </w:rPr>
      <w:t>E</w:t>
    </w:r>
    <w:r w:rsidRPr="001241CE">
      <w:rPr>
        <w:szCs w:val="22"/>
      </w:rPr>
      <w:t xml:space="preserve"> III</w:t>
    </w:r>
  </w:p>
  <w:p w:rsidR="00D56095" w:rsidRPr="001241CE" w:rsidRDefault="00D56095" w:rsidP="00405DB2">
    <w:pP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CB77F04"/>
    <w:multiLevelType w:val="hybridMultilevel"/>
    <w:tmpl w:val="1BC8119E"/>
    <w:lvl w:ilvl="0" w:tplc="E698D0F8">
      <w:start w:val="1"/>
      <w:numFmt w:val="bullet"/>
      <w:lvlText w:val=""/>
      <w:lvlJc w:val="left"/>
      <w:pPr>
        <w:tabs>
          <w:tab w:val="num" w:pos="1494"/>
        </w:tabs>
        <w:ind w:left="284" w:hanging="284"/>
      </w:pPr>
      <w:rPr>
        <w:rFonts w:ascii="Wingdings" w:hAnsi="Wingdings" w:hint="default"/>
      </w:rPr>
    </w:lvl>
    <w:lvl w:ilvl="1" w:tplc="FEDE232E">
      <w:start w:val="1"/>
      <w:numFmt w:val="bullet"/>
      <w:lvlText w:val="o"/>
      <w:lvlJc w:val="left"/>
      <w:pPr>
        <w:tabs>
          <w:tab w:val="num" w:pos="5103"/>
        </w:tabs>
        <w:ind w:left="567" w:hanging="283"/>
      </w:pPr>
      <w:rPr>
        <w:rFonts w:ascii="Courier New" w:hAnsi="Courier New" w:hint="default"/>
      </w:rPr>
    </w:lvl>
    <w:lvl w:ilvl="2" w:tplc="744E5714">
      <w:start w:val="1"/>
      <w:numFmt w:val="bullet"/>
      <w:lvlText w:val=""/>
      <w:lvlJc w:val="left"/>
      <w:pPr>
        <w:tabs>
          <w:tab w:val="num" w:pos="2160"/>
        </w:tabs>
        <w:ind w:left="851" w:hanging="284"/>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017BC1"/>
    <w:multiLevelType w:val="hybridMultilevel"/>
    <w:tmpl w:val="A6522F1E"/>
    <w:lvl w:ilvl="0" w:tplc="00E46EC2">
      <w:start w:val="1"/>
      <w:numFmt w:val="bullet"/>
      <w:lvlText w:val=""/>
      <w:lvlJc w:val="left"/>
      <w:pPr>
        <w:ind w:left="284" w:hanging="284"/>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D66CD"/>
    <w:multiLevelType w:val="multilevel"/>
    <w:tmpl w:val="475036C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0A41281"/>
    <w:multiLevelType w:val="hybridMultilevel"/>
    <w:tmpl w:val="09AE9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64DAD"/>
    <w:multiLevelType w:val="multilevel"/>
    <w:tmpl w:val="FDE0432C"/>
    <w:styleLink w:val="Styleletter"/>
    <w:lvl w:ilvl="0">
      <w:start w:val="1"/>
      <w:numFmt w:val="upperLetter"/>
      <w:lvlText w:val="%1)"/>
      <w:lvlJc w:val="left"/>
      <w:pPr>
        <w:ind w:left="360" w:hanging="360"/>
      </w:pPr>
      <w:rPr>
        <w:rFonts w:hint="default"/>
      </w:rPr>
    </w:lvl>
    <w:lvl w:ilvl="1">
      <w:start w:val="1"/>
      <w:numFmt w:val="none"/>
      <w:lvlText w:val="A."/>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32E7101"/>
    <w:multiLevelType w:val="hybridMultilevel"/>
    <w:tmpl w:val="DBFCE1F2"/>
    <w:lvl w:ilvl="0" w:tplc="C4568878">
      <w:start w:val="1"/>
      <w:numFmt w:val="bullet"/>
      <w:lvlText w:val="o"/>
      <w:lvlJc w:val="left"/>
      <w:pPr>
        <w:ind w:left="1701" w:hanging="567"/>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61DDD9"/>
    <w:multiLevelType w:val="hybridMultilevel"/>
    <w:tmpl w:val="FD44B79E"/>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FFB19A2"/>
    <w:multiLevelType w:val="multilevel"/>
    <w:tmpl w:val="05C84744"/>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1834749"/>
    <w:multiLevelType w:val="hybridMultilevel"/>
    <w:tmpl w:val="EDD49822"/>
    <w:lvl w:ilvl="0" w:tplc="B2087C9A">
      <w:start w:val="1"/>
      <w:numFmt w:val="lowerLetter"/>
      <w:pStyle w:val="ListParagraph"/>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E428EE"/>
    <w:multiLevelType w:val="hybridMultilevel"/>
    <w:tmpl w:val="DC74C682"/>
    <w:lvl w:ilvl="0" w:tplc="558091EE">
      <w:start w:val="35"/>
      <w:numFmt w:val="decimal"/>
      <w:lvlText w:val="%1."/>
      <w:lvlJc w:val="left"/>
      <w:pPr>
        <w:ind w:left="5894" w:hanging="360"/>
      </w:pPr>
      <w:rPr>
        <w:rFonts w:hint="default"/>
        <w:color w:val="008000"/>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11">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2">
    <w:nsid w:val="379E5E34"/>
    <w:multiLevelType w:val="hybridMultilevel"/>
    <w:tmpl w:val="1C5C63AA"/>
    <w:lvl w:ilvl="0" w:tplc="19D8B284">
      <w:start w:val="1"/>
      <w:numFmt w:val="bullet"/>
      <w:lvlText w:val=""/>
      <w:lvlJc w:val="left"/>
      <w:pPr>
        <w:ind w:left="1134" w:hanging="56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3635DC"/>
    <w:multiLevelType w:val="hybridMultilevel"/>
    <w:tmpl w:val="DBC0D91A"/>
    <w:lvl w:ilvl="0" w:tplc="B2087C9A">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D37993"/>
    <w:multiLevelType w:val="hybridMultilevel"/>
    <w:tmpl w:val="E044110E"/>
    <w:lvl w:ilvl="0" w:tplc="55EA75E4">
      <w:start w:val="1"/>
      <w:numFmt w:val="decimal"/>
      <w:pStyle w:val="TOC1"/>
      <w:lvlText w:val="%1."/>
      <w:legacy w:legacy="1" w:legacySpace="120" w:legacyIndent="720"/>
      <w:lvlJc w:val="left"/>
      <w:pPr>
        <w:ind w:left="2160" w:hanging="720"/>
      </w:pPr>
    </w:lvl>
    <w:lvl w:ilvl="1" w:tplc="A860E4DA">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DA2083E"/>
    <w:multiLevelType w:val="hybridMultilevel"/>
    <w:tmpl w:val="930830FC"/>
    <w:lvl w:ilvl="0" w:tplc="6F86D05C">
      <w:start w:val="1"/>
      <w:numFmt w:val="bullet"/>
      <w:lvlText w:val=""/>
      <w:lvlJc w:val="left"/>
      <w:pPr>
        <w:ind w:left="1134" w:hanging="567"/>
      </w:pPr>
      <w:rPr>
        <w:rFonts w:ascii="Symbol" w:hAnsi="Symbol" w:hint="default"/>
      </w:rPr>
    </w:lvl>
    <w:lvl w:ilvl="1" w:tplc="C0A6343E">
      <w:start w:val="1"/>
      <w:numFmt w:val="bullet"/>
      <w:lvlText w:val="o"/>
      <w:lvlJc w:val="left"/>
      <w:pPr>
        <w:ind w:left="1701" w:hanging="567"/>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585573A0"/>
    <w:multiLevelType w:val="hybridMultilevel"/>
    <w:tmpl w:val="EDD49822"/>
    <w:lvl w:ilvl="0" w:tplc="B2087C9A">
      <w:start w:val="1"/>
      <w:numFmt w:val="lowerLetter"/>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AA29EF"/>
    <w:multiLevelType w:val="multilevel"/>
    <w:tmpl w:val="0F34C252"/>
    <w:lvl w:ilvl="0">
      <w:start w:val="1"/>
      <w:numFmt w:val="upperLetter"/>
      <w:lvlText w:val="%1."/>
      <w:lvlJc w:val="left"/>
      <w:pPr>
        <w:ind w:left="360" w:hanging="360"/>
      </w:pPr>
      <w:rPr>
        <w:rFonts w:hint="default"/>
      </w:rPr>
    </w:lvl>
    <w:lvl w:ilvl="1">
      <w:start w:val="1"/>
      <w:numFmt w:val="upperLetter"/>
      <w:pStyle w:val="NumerotationLETTRES"/>
      <w:lvlText w:val="%2."/>
      <w:lvlJc w:val="left"/>
      <w:pPr>
        <w:ind w:left="0" w:firstLine="0"/>
      </w:pPr>
      <w:rPr>
        <w:rFonts w:hint="default"/>
      </w:rPr>
    </w:lvl>
    <w:lvl w:ilvl="2">
      <w:start w:val="1"/>
      <w:numFmt w:val="none"/>
      <w:lvlText w:val="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74E559A"/>
    <w:multiLevelType w:val="hybridMultilevel"/>
    <w:tmpl w:val="3E466784"/>
    <w:lvl w:ilvl="0" w:tplc="A8DCB1C4">
      <w:start w:val="1"/>
      <w:numFmt w:val="lowerRoman"/>
      <w:pStyle w:val="ListparagraphII"/>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7E1E10D1"/>
    <w:multiLevelType w:val="hybridMultilevel"/>
    <w:tmpl w:val="A1C23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8"/>
  </w:num>
  <w:num w:numId="4">
    <w:abstractNumId w:val="9"/>
  </w:num>
  <w:num w:numId="5">
    <w:abstractNumId w:val="20"/>
  </w:num>
  <w:num w:numId="6">
    <w:abstractNumId w:val="19"/>
  </w:num>
  <w:num w:numId="7">
    <w:abstractNumId w:val="5"/>
  </w:num>
  <w:num w:numId="8">
    <w:abstractNumId w:val="18"/>
  </w:num>
  <w:num w:numId="9">
    <w:abstractNumId w:val="1"/>
  </w:num>
  <w:num w:numId="10">
    <w:abstractNumId w:val="15"/>
  </w:num>
  <w:num w:numId="11">
    <w:abstractNumId w:val="2"/>
  </w:num>
  <w:num w:numId="12">
    <w:abstractNumId w:val="4"/>
  </w:num>
  <w:num w:numId="13">
    <w:abstractNumId w:val="21"/>
  </w:num>
  <w:num w:numId="14">
    <w:abstractNumId w:val="16"/>
  </w:num>
  <w:num w:numId="15">
    <w:abstractNumId w:val="17"/>
  </w:num>
  <w:num w:numId="16">
    <w:abstractNumId w:val="11"/>
  </w:num>
  <w:num w:numId="17">
    <w:abstractNumId w:val="7"/>
  </w:num>
  <w:num w:numId="18">
    <w:abstractNumId w:val="13"/>
  </w:num>
  <w:num w:numId="19">
    <w:abstractNumId w:val="9"/>
  </w:num>
  <w:num w:numId="20">
    <w:abstractNumId w:val="9"/>
  </w:num>
  <w:num w:numId="21">
    <w:abstractNumId w:val="9"/>
  </w:num>
  <w:num w:numId="22">
    <w:abstractNumId w:val="10"/>
  </w:num>
  <w:num w:numId="23">
    <w:abstractNumId w:val="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6"/>
  </w:num>
  <w:num w:numId="27">
    <w:abstractNumId w:val="9"/>
  </w:num>
  <w:num w:numId="28">
    <w:abstractNumId w:val="9"/>
  </w:num>
  <w:num w:numId="29">
    <w:abstractNumId w:val="9"/>
  </w:num>
  <w:num w:numId="30">
    <w:abstractNumId w:val="9"/>
  </w:num>
  <w:num w:numId="3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Budget and Finance\Meetings|Budget and Finance\Other|Budget and Finance\Publications|Administrative\Meetings|Administrative\Other|Administrative\Publications|Copyright\Meetings|Copyright\Other|Copyright\Publications|Glossaries\EN-FR|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WorkspaceCTS\Test|WorkspaceETS\Test|WorkspaceRTS\Test|WorkspaceSTS\Draft\34550|WorkspaceSTS\Draft\34619|WorkspaceSTS\Draft\AmparoBou"/>
    <w:docVar w:name="TextBaseURL" w:val="empty"/>
    <w:docVar w:name="UILng" w:val="en"/>
  </w:docVars>
  <w:rsids>
    <w:rsidRoot w:val="006466E1"/>
    <w:rsid w:val="00015BAB"/>
    <w:rsid w:val="00023004"/>
    <w:rsid w:val="00043401"/>
    <w:rsid w:val="00043CAA"/>
    <w:rsid w:val="00051ACB"/>
    <w:rsid w:val="000561D2"/>
    <w:rsid w:val="00061682"/>
    <w:rsid w:val="00075432"/>
    <w:rsid w:val="00091F50"/>
    <w:rsid w:val="000968ED"/>
    <w:rsid w:val="000A33ED"/>
    <w:rsid w:val="000D7B9C"/>
    <w:rsid w:val="000F45B3"/>
    <w:rsid w:val="000F45C7"/>
    <w:rsid w:val="000F5E56"/>
    <w:rsid w:val="001111AF"/>
    <w:rsid w:val="00123C24"/>
    <w:rsid w:val="001241CE"/>
    <w:rsid w:val="00124AA4"/>
    <w:rsid w:val="001362EE"/>
    <w:rsid w:val="001366D4"/>
    <w:rsid w:val="00142D7C"/>
    <w:rsid w:val="00157CB6"/>
    <w:rsid w:val="00170800"/>
    <w:rsid w:val="00176566"/>
    <w:rsid w:val="00177B49"/>
    <w:rsid w:val="00180E56"/>
    <w:rsid w:val="001832A6"/>
    <w:rsid w:val="00183CB8"/>
    <w:rsid w:val="001908BD"/>
    <w:rsid w:val="001A04A8"/>
    <w:rsid w:val="001B48C3"/>
    <w:rsid w:val="001B794B"/>
    <w:rsid w:val="001C33C0"/>
    <w:rsid w:val="001E462C"/>
    <w:rsid w:val="001E4F96"/>
    <w:rsid w:val="001E7D69"/>
    <w:rsid w:val="001F23AF"/>
    <w:rsid w:val="001F29AC"/>
    <w:rsid w:val="00202981"/>
    <w:rsid w:val="00203EC6"/>
    <w:rsid w:val="00213543"/>
    <w:rsid w:val="0021717B"/>
    <w:rsid w:val="00240203"/>
    <w:rsid w:val="00247B3C"/>
    <w:rsid w:val="00254558"/>
    <w:rsid w:val="002634C4"/>
    <w:rsid w:val="0026682B"/>
    <w:rsid w:val="002747CF"/>
    <w:rsid w:val="00275833"/>
    <w:rsid w:val="00290F3D"/>
    <w:rsid w:val="002928D3"/>
    <w:rsid w:val="00293C49"/>
    <w:rsid w:val="002C086F"/>
    <w:rsid w:val="002C2F7E"/>
    <w:rsid w:val="002C51F0"/>
    <w:rsid w:val="002D2A76"/>
    <w:rsid w:val="002E02EB"/>
    <w:rsid w:val="002E60BA"/>
    <w:rsid w:val="002F0323"/>
    <w:rsid w:val="002F0634"/>
    <w:rsid w:val="002F1FE6"/>
    <w:rsid w:val="002F4E68"/>
    <w:rsid w:val="002F5160"/>
    <w:rsid w:val="00305800"/>
    <w:rsid w:val="00312F7F"/>
    <w:rsid w:val="00314DEB"/>
    <w:rsid w:val="00316527"/>
    <w:rsid w:val="003409AA"/>
    <w:rsid w:val="00355F65"/>
    <w:rsid w:val="00361450"/>
    <w:rsid w:val="0036493A"/>
    <w:rsid w:val="003655A7"/>
    <w:rsid w:val="003673CF"/>
    <w:rsid w:val="0037011E"/>
    <w:rsid w:val="00377D9F"/>
    <w:rsid w:val="003845C1"/>
    <w:rsid w:val="00385FDE"/>
    <w:rsid w:val="00386E89"/>
    <w:rsid w:val="00393784"/>
    <w:rsid w:val="00395057"/>
    <w:rsid w:val="003A5FF1"/>
    <w:rsid w:val="003A6F89"/>
    <w:rsid w:val="003B04A0"/>
    <w:rsid w:val="003B38C1"/>
    <w:rsid w:val="003B5CC5"/>
    <w:rsid w:val="003C4DA3"/>
    <w:rsid w:val="003C7FDC"/>
    <w:rsid w:val="003D5897"/>
    <w:rsid w:val="003E589E"/>
    <w:rsid w:val="00402C7E"/>
    <w:rsid w:val="00405DB2"/>
    <w:rsid w:val="00416863"/>
    <w:rsid w:val="00423E3E"/>
    <w:rsid w:val="004244F4"/>
    <w:rsid w:val="00427AF4"/>
    <w:rsid w:val="004412E7"/>
    <w:rsid w:val="00450A51"/>
    <w:rsid w:val="004530C4"/>
    <w:rsid w:val="00457557"/>
    <w:rsid w:val="0045765F"/>
    <w:rsid w:val="004647DA"/>
    <w:rsid w:val="00474062"/>
    <w:rsid w:val="00477431"/>
    <w:rsid w:val="00477D6B"/>
    <w:rsid w:val="0048249E"/>
    <w:rsid w:val="0048297C"/>
    <w:rsid w:val="00490164"/>
    <w:rsid w:val="00494824"/>
    <w:rsid w:val="004A5B35"/>
    <w:rsid w:val="004B1EBB"/>
    <w:rsid w:val="004B2D10"/>
    <w:rsid w:val="004B5121"/>
    <w:rsid w:val="004B5622"/>
    <w:rsid w:val="004D2942"/>
    <w:rsid w:val="004E3879"/>
    <w:rsid w:val="004E6A9C"/>
    <w:rsid w:val="004F42A6"/>
    <w:rsid w:val="004F497F"/>
    <w:rsid w:val="004F54C6"/>
    <w:rsid w:val="005019FF"/>
    <w:rsid w:val="005023EF"/>
    <w:rsid w:val="00502A73"/>
    <w:rsid w:val="005209E4"/>
    <w:rsid w:val="00525644"/>
    <w:rsid w:val="0053057A"/>
    <w:rsid w:val="005305A4"/>
    <w:rsid w:val="00536DD5"/>
    <w:rsid w:val="00546544"/>
    <w:rsid w:val="00553083"/>
    <w:rsid w:val="00555E26"/>
    <w:rsid w:val="00560A29"/>
    <w:rsid w:val="005644F9"/>
    <w:rsid w:val="0056474F"/>
    <w:rsid w:val="0057100C"/>
    <w:rsid w:val="005733D2"/>
    <w:rsid w:val="00576106"/>
    <w:rsid w:val="00586199"/>
    <w:rsid w:val="005976A6"/>
    <w:rsid w:val="005A0675"/>
    <w:rsid w:val="005A33B0"/>
    <w:rsid w:val="005B397D"/>
    <w:rsid w:val="005C228B"/>
    <w:rsid w:val="005C6649"/>
    <w:rsid w:val="005D3EF8"/>
    <w:rsid w:val="005E183E"/>
    <w:rsid w:val="005F124E"/>
    <w:rsid w:val="00605827"/>
    <w:rsid w:val="00607690"/>
    <w:rsid w:val="00614B7E"/>
    <w:rsid w:val="006241E3"/>
    <w:rsid w:val="00626F37"/>
    <w:rsid w:val="00634D02"/>
    <w:rsid w:val="0063585E"/>
    <w:rsid w:val="00646050"/>
    <w:rsid w:val="006466E1"/>
    <w:rsid w:val="006501E5"/>
    <w:rsid w:val="006526C0"/>
    <w:rsid w:val="00654017"/>
    <w:rsid w:val="006713CA"/>
    <w:rsid w:val="00676C5C"/>
    <w:rsid w:val="00687FF1"/>
    <w:rsid w:val="00691C85"/>
    <w:rsid w:val="00692655"/>
    <w:rsid w:val="0069466A"/>
    <w:rsid w:val="006A6D33"/>
    <w:rsid w:val="006B37E5"/>
    <w:rsid w:val="006B7892"/>
    <w:rsid w:val="006C0591"/>
    <w:rsid w:val="006C112C"/>
    <w:rsid w:val="006C49BF"/>
    <w:rsid w:val="006D415B"/>
    <w:rsid w:val="006E2A97"/>
    <w:rsid w:val="006F325A"/>
    <w:rsid w:val="0071079C"/>
    <w:rsid w:val="00730621"/>
    <w:rsid w:val="00742E84"/>
    <w:rsid w:val="00754834"/>
    <w:rsid w:val="00772262"/>
    <w:rsid w:val="00777D74"/>
    <w:rsid w:val="00787D22"/>
    <w:rsid w:val="00791E9A"/>
    <w:rsid w:val="007A3EE9"/>
    <w:rsid w:val="007D14AC"/>
    <w:rsid w:val="007D1613"/>
    <w:rsid w:val="007D1F48"/>
    <w:rsid w:val="007D6C5A"/>
    <w:rsid w:val="007E2BE3"/>
    <w:rsid w:val="007E50A0"/>
    <w:rsid w:val="007E5702"/>
    <w:rsid w:val="007F3483"/>
    <w:rsid w:val="00811AA0"/>
    <w:rsid w:val="00817DB4"/>
    <w:rsid w:val="00820B8F"/>
    <w:rsid w:val="00825B5E"/>
    <w:rsid w:val="008432B8"/>
    <w:rsid w:val="00843ABE"/>
    <w:rsid w:val="00846015"/>
    <w:rsid w:val="008561FD"/>
    <w:rsid w:val="00863D52"/>
    <w:rsid w:val="0087616C"/>
    <w:rsid w:val="008A508B"/>
    <w:rsid w:val="008A6631"/>
    <w:rsid w:val="008A6900"/>
    <w:rsid w:val="008A7D14"/>
    <w:rsid w:val="008B1BDA"/>
    <w:rsid w:val="008B2CC1"/>
    <w:rsid w:val="008B60B2"/>
    <w:rsid w:val="008C0D1D"/>
    <w:rsid w:val="008C4880"/>
    <w:rsid w:val="008D793B"/>
    <w:rsid w:val="008E232B"/>
    <w:rsid w:val="008E6E73"/>
    <w:rsid w:val="009017A3"/>
    <w:rsid w:val="00902ED7"/>
    <w:rsid w:val="00904CA4"/>
    <w:rsid w:val="00906D58"/>
    <w:rsid w:val="0090731E"/>
    <w:rsid w:val="00911F65"/>
    <w:rsid w:val="00916BD6"/>
    <w:rsid w:val="00916EE2"/>
    <w:rsid w:val="009275CD"/>
    <w:rsid w:val="00934CEC"/>
    <w:rsid w:val="00935B3F"/>
    <w:rsid w:val="00952937"/>
    <w:rsid w:val="00956177"/>
    <w:rsid w:val="00962831"/>
    <w:rsid w:val="009638EB"/>
    <w:rsid w:val="00966A22"/>
    <w:rsid w:val="0096722F"/>
    <w:rsid w:val="00980843"/>
    <w:rsid w:val="00985CD1"/>
    <w:rsid w:val="00990DD8"/>
    <w:rsid w:val="00994FBD"/>
    <w:rsid w:val="009A66B9"/>
    <w:rsid w:val="009A7C71"/>
    <w:rsid w:val="009B1674"/>
    <w:rsid w:val="009B535F"/>
    <w:rsid w:val="009B5A90"/>
    <w:rsid w:val="009C13B8"/>
    <w:rsid w:val="009C2BF7"/>
    <w:rsid w:val="009C4662"/>
    <w:rsid w:val="009D5612"/>
    <w:rsid w:val="009D6246"/>
    <w:rsid w:val="009D698F"/>
    <w:rsid w:val="009D6E39"/>
    <w:rsid w:val="009E2791"/>
    <w:rsid w:val="009E29F0"/>
    <w:rsid w:val="009E3F6F"/>
    <w:rsid w:val="009F499F"/>
    <w:rsid w:val="00A035A7"/>
    <w:rsid w:val="00A03B59"/>
    <w:rsid w:val="00A066E3"/>
    <w:rsid w:val="00A07E83"/>
    <w:rsid w:val="00A10742"/>
    <w:rsid w:val="00A162B0"/>
    <w:rsid w:val="00A217DC"/>
    <w:rsid w:val="00A31593"/>
    <w:rsid w:val="00A35079"/>
    <w:rsid w:val="00A40716"/>
    <w:rsid w:val="00A42122"/>
    <w:rsid w:val="00A42DAF"/>
    <w:rsid w:val="00A45BD8"/>
    <w:rsid w:val="00A47EE1"/>
    <w:rsid w:val="00A55FBE"/>
    <w:rsid w:val="00A834CC"/>
    <w:rsid w:val="00A869B7"/>
    <w:rsid w:val="00AA0558"/>
    <w:rsid w:val="00AA2379"/>
    <w:rsid w:val="00AB5266"/>
    <w:rsid w:val="00AC205C"/>
    <w:rsid w:val="00AD4BDF"/>
    <w:rsid w:val="00AD6650"/>
    <w:rsid w:val="00AE15DB"/>
    <w:rsid w:val="00AE423B"/>
    <w:rsid w:val="00AF0A6B"/>
    <w:rsid w:val="00AF537B"/>
    <w:rsid w:val="00B05A69"/>
    <w:rsid w:val="00B15F35"/>
    <w:rsid w:val="00B22BC7"/>
    <w:rsid w:val="00B36300"/>
    <w:rsid w:val="00B45B72"/>
    <w:rsid w:val="00B5794C"/>
    <w:rsid w:val="00B657F9"/>
    <w:rsid w:val="00B723F2"/>
    <w:rsid w:val="00B81FE1"/>
    <w:rsid w:val="00B9734B"/>
    <w:rsid w:val="00B978A1"/>
    <w:rsid w:val="00BA0561"/>
    <w:rsid w:val="00BA0C50"/>
    <w:rsid w:val="00BA3D90"/>
    <w:rsid w:val="00BB7458"/>
    <w:rsid w:val="00BC0C97"/>
    <w:rsid w:val="00BC1C84"/>
    <w:rsid w:val="00BD1A9C"/>
    <w:rsid w:val="00BD7F6F"/>
    <w:rsid w:val="00BF2A3E"/>
    <w:rsid w:val="00BF2EC9"/>
    <w:rsid w:val="00BF3295"/>
    <w:rsid w:val="00C01249"/>
    <w:rsid w:val="00C11BFE"/>
    <w:rsid w:val="00C121A6"/>
    <w:rsid w:val="00C154F8"/>
    <w:rsid w:val="00C2471B"/>
    <w:rsid w:val="00C432E9"/>
    <w:rsid w:val="00C43AF0"/>
    <w:rsid w:val="00C47A0A"/>
    <w:rsid w:val="00C55956"/>
    <w:rsid w:val="00C673E1"/>
    <w:rsid w:val="00C81A71"/>
    <w:rsid w:val="00C85377"/>
    <w:rsid w:val="00C870EC"/>
    <w:rsid w:val="00C9114A"/>
    <w:rsid w:val="00C950E7"/>
    <w:rsid w:val="00CA4EAD"/>
    <w:rsid w:val="00CD6F0D"/>
    <w:rsid w:val="00CE73C1"/>
    <w:rsid w:val="00D14E91"/>
    <w:rsid w:val="00D1545E"/>
    <w:rsid w:val="00D24F02"/>
    <w:rsid w:val="00D361B3"/>
    <w:rsid w:val="00D45252"/>
    <w:rsid w:val="00D47FA6"/>
    <w:rsid w:val="00D55C73"/>
    <w:rsid w:val="00D56095"/>
    <w:rsid w:val="00D628AF"/>
    <w:rsid w:val="00D63FC0"/>
    <w:rsid w:val="00D71B4D"/>
    <w:rsid w:val="00D91A22"/>
    <w:rsid w:val="00D93D55"/>
    <w:rsid w:val="00D95060"/>
    <w:rsid w:val="00DA4FCA"/>
    <w:rsid w:val="00DA7243"/>
    <w:rsid w:val="00DA7CC0"/>
    <w:rsid w:val="00DB41EA"/>
    <w:rsid w:val="00DB5303"/>
    <w:rsid w:val="00DC290D"/>
    <w:rsid w:val="00DC3A44"/>
    <w:rsid w:val="00DD036C"/>
    <w:rsid w:val="00DD0998"/>
    <w:rsid w:val="00DD2ED5"/>
    <w:rsid w:val="00DE0117"/>
    <w:rsid w:val="00DF1B2A"/>
    <w:rsid w:val="00E04B5A"/>
    <w:rsid w:val="00E15266"/>
    <w:rsid w:val="00E2304C"/>
    <w:rsid w:val="00E2307C"/>
    <w:rsid w:val="00E25FA0"/>
    <w:rsid w:val="00E335FE"/>
    <w:rsid w:val="00E33828"/>
    <w:rsid w:val="00E35368"/>
    <w:rsid w:val="00E63A34"/>
    <w:rsid w:val="00E661F5"/>
    <w:rsid w:val="00E674EC"/>
    <w:rsid w:val="00E72256"/>
    <w:rsid w:val="00E745F6"/>
    <w:rsid w:val="00E81060"/>
    <w:rsid w:val="00E8619E"/>
    <w:rsid w:val="00E91280"/>
    <w:rsid w:val="00E95950"/>
    <w:rsid w:val="00E96F5B"/>
    <w:rsid w:val="00EA4EAE"/>
    <w:rsid w:val="00EA6CDF"/>
    <w:rsid w:val="00EB22A8"/>
    <w:rsid w:val="00EB2D49"/>
    <w:rsid w:val="00EB5372"/>
    <w:rsid w:val="00EC4E49"/>
    <w:rsid w:val="00ED5275"/>
    <w:rsid w:val="00ED77FB"/>
    <w:rsid w:val="00ED7CB8"/>
    <w:rsid w:val="00EE1205"/>
    <w:rsid w:val="00EE2541"/>
    <w:rsid w:val="00EE45FA"/>
    <w:rsid w:val="00EF3499"/>
    <w:rsid w:val="00EF3EBB"/>
    <w:rsid w:val="00EF5CBC"/>
    <w:rsid w:val="00F042F3"/>
    <w:rsid w:val="00F2391F"/>
    <w:rsid w:val="00F3182E"/>
    <w:rsid w:val="00F45661"/>
    <w:rsid w:val="00F66152"/>
    <w:rsid w:val="00F76B22"/>
    <w:rsid w:val="00F92C6A"/>
    <w:rsid w:val="00FA1EE4"/>
    <w:rsid w:val="00FC4D21"/>
    <w:rsid w:val="00FD084A"/>
    <w:rsid w:val="00FD787B"/>
    <w:rsid w:val="00FE1815"/>
    <w:rsid w:val="00FF2DA8"/>
    <w:rsid w:val="00FF44B0"/>
    <w:rsid w:val="00FF66A0"/>
    <w:rsid w:val="00F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Body Text"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DA8"/>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val="fr-FR"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val="fr-FR"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10"/>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16"/>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 w:type="character" w:styleId="Emphasis">
    <w:name w:val="Emphasis"/>
    <w:basedOn w:val="DefaultParagraphFont"/>
    <w:uiPriority w:val="20"/>
    <w:qFormat/>
    <w:rsid w:val="00553083"/>
    <w:rPr>
      <w:b/>
      <w:bCs/>
      <w:i w:val="0"/>
      <w:iCs w:val="0"/>
    </w:rPr>
  </w:style>
  <w:style w:type="character" w:customStyle="1" w:styleId="st">
    <w:name w:val="st"/>
    <w:basedOn w:val="DefaultParagraphFont"/>
    <w:rsid w:val="00553083"/>
  </w:style>
  <w:style w:type="character" w:styleId="Hyperlink">
    <w:name w:val="Hyperlink"/>
    <w:basedOn w:val="DefaultParagraphFont"/>
    <w:rsid w:val="00E35368"/>
    <w:rPr>
      <w:color w:val="0000FF" w:themeColor="hyperlink"/>
      <w:u w:val="single"/>
    </w:rPr>
  </w:style>
  <w:style w:type="table" w:styleId="TableGrid">
    <w:name w:val="Table Grid"/>
    <w:basedOn w:val="TableNormal"/>
    <w:rsid w:val="00CD6F0D"/>
    <w:pPr>
      <w:widowControl w:val="0"/>
      <w:adjustRightInd w:val="0"/>
      <w:spacing w:after="120" w:line="260" w:lineRule="exact"/>
      <w:ind w:left="1021"/>
      <w:jc w:val="both"/>
      <w:textAlignment w:val="baseline"/>
    </w:pPr>
    <w:rPr>
      <w:lang w:val="fr-FR"/>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Body Text"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DA8"/>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val="fr-FR"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val="fr-FR"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10"/>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16"/>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 w:type="character" w:styleId="Emphasis">
    <w:name w:val="Emphasis"/>
    <w:basedOn w:val="DefaultParagraphFont"/>
    <w:uiPriority w:val="20"/>
    <w:qFormat/>
    <w:rsid w:val="00553083"/>
    <w:rPr>
      <w:b/>
      <w:bCs/>
      <w:i w:val="0"/>
      <w:iCs w:val="0"/>
    </w:rPr>
  </w:style>
  <w:style w:type="character" w:customStyle="1" w:styleId="st">
    <w:name w:val="st"/>
    <w:basedOn w:val="DefaultParagraphFont"/>
    <w:rsid w:val="00553083"/>
  </w:style>
  <w:style w:type="character" w:styleId="Hyperlink">
    <w:name w:val="Hyperlink"/>
    <w:basedOn w:val="DefaultParagraphFont"/>
    <w:rsid w:val="00E35368"/>
    <w:rPr>
      <w:color w:val="0000FF" w:themeColor="hyperlink"/>
      <w:u w:val="single"/>
    </w:rPr>
  </w:style>
  <w:style w:type="table" w:styleId="TableGrid">
    <w:name w:val="Table Grid"/>
    <w:basedOn w:val="TableNormal"/>
    <w:rsid w:val="00CD6F0D"/>
    <w:pPr>
      <w:widowControl w:val="0"/>
      <w:adjustRightInd w:val="0"/>
      <w:spacing w:after="120" w:line="260" w:lineRule="exact"/>
      <w:ind w:left="1021"/>
      <w:jc w:val="both"/>
      <w:textAlignment w:val="baseline"/>
    </w:pPr>
    <w:rPr>
      <w:lang w:val="fr-FR"/>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11483">
      <w:bodyDiv w:val="1"/>
      <w:marLeft w:val="0"/>
      <w:marRight w:val="0"/>
      <w:marTop w:val="0"/>
      <w:marBottom w:val="0"/>
      <w:divBdr>
        <w:top w:val="none" w:sz="0" w:space="0" w:color="auto"/>
        <w:left w:val="none" w:sz="0" w:space="0" w:color="auto"/>
        <w:bottom w:val="none" w:sz="0" w:space="0" w:color="auto"/>
        <w:right w:val="none" w:sz="0" w:space="0" w:color="auto"/>
      </w:divBdr>
    </w:div>
    <w:div w:id="1721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unglobalcompact.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E112D-D51D-43AE-99F7-97FF5F7EEF45}">
  <ds:schemaRefs>
    <ds:schemaRef ds:uri="http://schemas.openxmlformats.org/officeDocument/2006/bibliography"/>
  </ds:schemaRefs>
</ds:datastoreItem>
</file>

<file path=customXml/itemProps2.xml><?xml version="1.0" encoding="utf-8"?>
<ds:datastoreItem xmlns:ds="http://schemas.openxmlformats.org/officeDocument/2006/customXml" ds:itemID="{84D8269E-8D14-45D4-A17F-D9A9FC32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3567</TotalTime>
  <Pages>16</Pages>
  <Words>5247</Words>
  <Characters>29913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35090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MITON GENOUD Anne</dc:creator>
  <cp:lastModifiedBy>DOYON Geneviève</cp:lastModifiedBy>
  <cp:revision>34</cp:revision>
  <cp:lastPrinted>2014-08-13T09:14:00Z</cp:lastPrinted>
  <dcterms:created xsi:type="dcterms:W3CDTF">2014-07-29T12:21:00Z</dcterms:created>
  <dcterms:modified xsi:type="dcterms:W3CDTF">2014-08-13T09:14:00Z</dcterms:modified>
</cp:coreProperties>
</file>