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8A0EC8" w:rsidRPr="008A0EC8" w:rsidTr="008A0EC8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A0EC8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A0EC8" w:rsidRDefault="00F13C7E" w:rsidP="00916EE2">
            <w:r w:rsidRPr="008A0EC8">
              <w:rPr>
                <w:noProof/>
                <w:lang w:eastAsia="en-US"/>
              </w:rPr>
              <w:drawing>
                <wp:inline distT="0" distB="0" distL="0" distR="0" wp14:anchorId="60C893E8" wp14:editId="09DF02BA">
                  <wp:extent cx="1854835" cy="1319530"/>
                  <wp:effectExtent l="0" t="0" r="0" b="0"/>
                  <wp:docPr id="2" name="Picture 2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835" cy="1319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A0EC8" w:rsidRDefault="008A0EC8" w:rsidP="00916EE2">
            <w:pPr>
              <w:jc w:val="right"/>
            </w:pPr>
            <w:r w:rsidRPr="008A0EC8">
              <w:rPr>
                <w:b/>
                <w:sz w:val="40"/>
                <w:szCs w:val="40"/>
              </w:rPr>
              <w:t>F</w:t>
            </w:r>
          </w:p>
        </w:tc>
      </w:tr>
      <w:tr w:rsidR="008A0EC8" w:rsidRPr="008A0EC8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8A0EC8" w:rsidRDefault="00A40716" w:rsidP="004421BD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8A0EC8">
              <w:rPr>
                <w:rFonts w:ascii="Arial Black" w:hAnsi="Arial Black"/>
                <w:caps/>
                <w:sz w:val="15"/>
              </w:rPr>
              <w:t>WO/PBC/22/</w:t>
            </w:r>
            <w:bookmarkStart w:id="0" w:name="Code"/>
            <w:bookmarkEnd w:id="0"/>
            <w:r w:rsidR="004421BD" w:rsidRPr="008A0EC8">
              <w:rPr>
                <w:rFonts w:ascii="Arial Black" w:hAnsi="Arial Black"/>
                <w:caps/>
                <w:sz w:val="15"/>
              </w:rPr>
              <w:t>18</w:t>
            </w:r>
            <w:r w:rsidR="00A42DAF" w:rsidRPr="008A0EC8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  <w:tr w:rsidR="008A0EC8" w:rsidRPr="008A0EC8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8A0EC8" w:rsidRDefault="008B2CC1" w:rsidP="00941642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8A0EC8">
              <w:rPr>
                <w:rFonts w:ascii="Arial Black" w:hAnsi="Arial Black"/>
                <w:caps/>
                <w:sz w:val="15"/>
              </w:rPr>
              <w:t>ORIGINAL</w:t>
            </w:r>
            <w:r w:rsidR="00D644CD" w:rsidRPr="008A0EC8">
              <w:rPr>
                <w:rFonts w:ascii="Arial Black" w:hAnsi="Arial Black"/>
                <w:caps/>
                <w:sz w:val="15"/>
              </w:rPr>
              <w:t> </w:t>
            </w:r>
            <w:r w:rsidRPr="008A0EC8">
              <w:rPr>
                <w:rFonts w:ascii="Arial Black" w:hAnsi="Arial Black"/>
                <w:caps/>
                <w:sz w:val="15"/>
              </w:rPr>
              <w:t>:</w:t>
            </w:r>
            <w:r w:rsidR="00A42DAF" w:rsidRPr="008A0EC8">
              <w:rPr>
                <w:rFonts w:ascii="Arial Black" w:hAnsi="Arial Black"/>
                <w:caps/>
                <w:sz w:val="15"/>
              </w:rPr>
              <w:t xml:space="preserve"> </w:t>
            </w:r>
            <w:r w:rsidR="00941642" w:rsidRPr="008A0EC8">
              <w:rPr>
                <w:rFonts w:ascii="Arial Black" w:hAnsi="Arial Black"/>
                <w:caps/>
                <w:sz w:val="15"/>
              </w:rPr>
              <w:t>A</w:t>
            </w:r>
            <w:bookmarkStart w:id="1" w:name="Original"/>
            <w:bookmarkEnd w:id="1"/>
            <w:r w:rsidR="004421BD" w:rsidRPr="008A0EC8">
              <w:rPr>
                <w:rFonts w:ascii="Arial Black" w:hAnsi="Arial Black"/>
                <w:caps/>
                <w:sz w:val="15"/>
              </w:rPr>
              <w:t>ngl</w:t>
            </w:r>
            <w:r w:rsidR="00941642" w:rsidRPr="008A0EC8">
              <w:rPr>
                <w:rFonts w:ascii="Arial Black" w:hAnsi="Arial Black"/>
                <w:caps/>
                <w:sz w:val="15"/>
              </w:rPr>
              <w:t>A</w:t>
            </w:r>
            <w:r w:rsidR="004421BD" w:rsidRPr="008A0EC8">
              <w:rPr>
                <w:rFonts w:ascii="Arial Black" w:hAnsi="Arial Black"/>
                <w:caps/>
                <w:sz w:val="15"/>
              </w:rPr>
              <w:t>is</w:t>
            </w:r>
          </w:p>
        </w:tc>
      </w:tr>
      <w:tr w:rsidR="008A0EC8" w:rsidRPr="008A0EC8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8A0EC8" w:rsidRDefault="008B2CC1" w:rsidP="0091049D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8A0EC8">
              <w:rPr>
                <w:rFonts w:ascii="Arial Black" w:hAnsi="Arial Black"/>
                <w:caps/>
                <w:sz w:val="15"/>
              </w:rPr>
              <w:t>DATE</w:t>
            </w:r>
            <w:r w:rsidR="00D644CD" w:rsidRPr="008A0EC8">
              <w:rPr>
                <w:rFonts w:ascii="Arial Black" w:hAnsi="Arial Black"/>
                <w:caps/>
                <w:sz w:val="15"/>
              </w:rPr>
              <w:t> </w:t>
            </w:r>
            <w:r w:rsidRPr="008A0EC8">
              <w:rPr>
                <w:rFonts w:ascii="Arial Black" w:hAnsi="Arial Black"/>
                <w:caps/>
                <w:sz w:val="15"/>
              </w:rPr>
              <w:t>:</w:t>
            </w:r>
            <w:r w:rsidR="00A42DAF" w:rsidRPr="008A0EC8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Date"/>
            <w:bookmarkEnd w:id="2"/>
            <w:r w:rsidR="00941642" w:rsidRPr="008A0EC8">
              <w:rPr>
                <w:rFonts w:ascii="Arial Black" w:hAnsi="Arial Black"/>
                <w:caps/>
                <w:sz w:val="15"/>
              </w:rPr>
              <w:t>26</w:t>
            </w:r>
            <w:r w:rsidR="0091049D" w:rsidRPr="008A0EC8">
              <w:rPr>
                <w:rFonts w:ascii="Arial Black" w:hAnsi="Arial Black"/>
                <w:caps/>
                <w:sz w:val="15"/>
              </w:rPr>
              <w:t> </w:t>
            </w:r>
            <w:r w:rsidR="00941642" w:rsidRPr="008A0EC8">
              <w:rPr>
                <w:rFonts w:ascii="Arial Black" w:hAnsi="Arial Black"/>
                <w:caps/>
                <w:sz w:val="15"/>
              </w:rPr>
              <w:t>J</w:t>
            </w:r>
            <w:r w:rsidR="004421BD" w:rsidRPr="008A0EC8">
              <w:rPr>
                <w:rFonts w:ascii="Arial Black" w:hAnsi="Arial Black"/>
                <w:caps/>
                <w:sz w:val="15"/>
              </w:rPr>
              <w:t>u</w:t>
            </w:r>
            <w:r w:rsidR="00941642" w:rsidRPr="008A0EC8">
              <w:rPr>
                <w:rFonts w:ascii="Arial Black" w:hAnsi="Arial Black"/>
                <w:caps/>
                <w:sz w:val="15"/>
              </w:rPr>
              <w:t>I</w:t>
            </w:r>
            <w:r w:rsidR="004421BD" w:rsidRPr="008A0EC8">
              <w:rPr>
                <w:rFonts w:ascii="Arial Black" w:hAnsi="Arial Black"/>
                <w:caps/>
                <w:sz w:val="15"/>
              </w:rPr>
              <w:t>n</w:t>
            </w:r>
            <w:r w:rsidR="0091049D" w:rsidRPr="008A0EC8">
              <w:rPr>
                <w:rFonts w:ascii="Arial Black" w:hAnsi="Arial Black"/>
                <w:caps/>
                <w:sz w:val="15"/>
              </w:rPr>
              <w:t> </w:t>
            </w:r>
            <w:r w:rsidR="004421BD" w:rsidRPr="008A0EC8">
              <w:rPr>
                <w:rFonts w:ascii="Arial Black" w:hAnsi="Arial Black"/>
                <w:caps/>
                <w:sz w:val="15"/>
              </w:rPr>
              <w:t>2014</w:t>
            </w:r>
          </w:p>
        </w:tc>
      </w:tr>
    </w:tbl>
    <w:p w:rsidR="0074550C" w:rsidRPr="008A0EC8" w:rsidRDefault="0074550C" w:rsidP="008B2CC1"/>
    <w:p w:rsidR="0074550C" w:rsidRPr="008A0EC8" w:rsidRDefault="0074550C" w:rsidP="008B2CC1"/>
    <w:p w:rsidR="0074550C" w:rsidRPr="008A0EC8" w:rsidRDefault="0074550C" w:rsidP="008B2CC1"/>
    <w:p w:rsidR="0074550C" w:rsidRPr="008A0EC8" w:rsidRDefault="0074550C" w:rsidP="008B2CC1"/>
    <w:p w:rsidR="0074550C" w:rsidRPr="008A0EC8" w:rsidRDefault="0074550C" w:rsidP="008B2CC1"/>
    <w:p w:rsidR="0074550C" w:rsidRPr="008A0EC8" w:rsidRDefault="00941642" w:rsidP="00A40716">
      <w:pPr>
        <w:rPr>
          <w:b/>
          <w:sz w:val="28"/>
          <w:szCs w:val="28"/>
          <w:lang w:val="fr-CH"/>
        </w:rPr>
      </w:pPr>
      <w:r w:rsidRPr="008A0EC8">
        <w:rPr>
          <w:b/>
          <w:sz w:val="28"/>
          <w:szCs w:val="28"/>
          <w:lang w:val="fr-CH"/>
        </w:rPr>
        <w:t>Comité du pr</w:t>
      </w:r>
      <w:r w:rsidR="00A40716" w:rsidRPr="008A0EC8">
        <w:rPr>
          <w:b/>
          <w:sz w:val="28"/>
          <w:szCs w:val="28"/>
          <w:lang w:val="fr-CH"/>
        </w:rPr>
        <w:t>ogram</w:t>
      </w:r>
      <w:r w:rsidRPr="008A0EC8">
        <w:rPr>
          <w:b/>
          <w:sz w:val="28"/>
          <w:szCs w:val="28"/>
          <w:lang w:val="fr-CH"/>
        </w:rPr>
        <w:t>me et b</w:t>
      </w:r>
      <w:r w:rsidR="00A40716" w:rsidRPr="008A0EC8">
        <w:rPr>
          <w:b/>
          <w:sz w:val="28"/>
          <w:szCs w:val="28"/>
          <w:lang w:val="fr-CH"/>
        </w:rPr>
        <w:t>udget</w:t>
      </w:r>
    </w:p>
    <w:p w:rsidR="0074550C" w:rsidRPr="008A0EC8" w:rsidRDefault="0074550C" w:rsidP="003845C1">
      <w:pPr>
        <w:rPr>
          <w:lang w:val="fr-CH"/>
        </w:rPr>
      </w:pPr>
    </w:p>
    <w:p w:rsidR="0074550C" w:rsidRPr="008A0EC8" w:rsidRDefault="0074550C" w:rsidP="003845C1">
      <w:pPr>
        <w:rPr>
          <w:lang w:val="fr-CH"/>
        </w:rPr>
      </w:pPr>
    </w:p>
    <w:p w:rsidR="0074550C" w:rsidRPr="008A0EC8" w:rsidRDefault="00941642" w:rsidP="00A40716">
      <w:pPr>
        <w:rPr>
          <w:b/>
          <w:sz w:val="24"/>
          <w:szCs w:val="24"/>
          <w:lang w:val="fr-CH"/>
        </w:rPr>
      </w:pPr>
      <w:r w:rsidRPr="008A0EC8">
        <w:rPr>
          <w:b/>
          <w:sz w:val="24"/>
          <w:szCs w:val="24"/>
          <w:lang w:val="fr-CH"/>
        </w:rPr>
        <w:t>Vingt</w:t>
      </w:r>
      <w:r w:rsidR="008A0EC8" w:rsidRPr="008A0EC8">
        <w:rPr>
          <w:b/>
          <w:sz w:val="24"/>
          <w:szCs w:val="24"/>
          <w:lang w:val="fr-CH"/>
        </w:rPr>
        <w:noBreakHyphen/>
      </w:r>
      <w:r w:rsidRPr="008A0EC8">
        <w:rPr>
          <w:b/>
          <w:sz w:val="24"/>
          <w:szCs w:val="24"/>
          <w:lang w:val="fr-CH"/>
        </w:rPr>
        <w:t>deuxième s</w:t>
      </w:r>
      <w:r w:rsidR="00A40716" w:rsidRPr="008A0EC8">
        <w:rPr>
          <w:b/>
          <w:sz w:val="24"/>
          <w:szCs w:val="24"/>
          <w:lang w:val="fr-CH"/>
        </w:rPr>
        <w:t>ession</w:t>
      </w:r>
    </w:p>
    <w:p w:rsidR="0074550C" w:rsidRPr="008A0EC8" w:rsidRDefault="00A40716" w:rsidP="00A40716">
      <w:pPr>
        <w:rPr>
          <w:b/>
          <w:sz w:val="24"/>
          <w:szCs w:val="24"/>
          <w:lang w:val="fr-CH"/>
        </w:rPr>
      </w:pPr>
      <w:r w:rsidRPr="008A0EC8">
        <w:rPr>
          <w:b/>
          <w:sz w:val="24"/>
          <w:szCs w:val="24"/>
          <w:lang w:val="fr-CH"/>
        </w:rPr>
        <w:t>Gen</w:t>
      </w:r>
      <w:r w:rsidR="00941642" w:rsidRPr="008A0EC8">
        <w:rPr>
          <w:b/>
          <w:sz w:val="24"/>
          <w:szCs w:val="24"/>
          <w:lang w:val="fr-CH"/>
        </w:rPr>
        <w:t>ève</w:t>
      </w:r>
      <w:r w:rsidRPr="008A0EC8">
        <w:rPr>
          <w:b/>
          <w:sz w:val="24"/>
          <w:szCs w:val="24"/>
          <w:lang w:val="fr-CH"/>
        </w:rPr>
        <w:t xml:space="preserve">, </w:t>
      </w:r>
      <w:r w:rsidR="00941642" w:rsidRPr="008A0EC8">
        <w:rPr>
          <w:b/>
          <w:sz w:val="24"/>
          <w:szCs w:val="24"/>
          <w:lang w:val="fr-CH"/>
        </w:rPr>
        <w:t>1 – 5 se</w:t>
      </w:r>
      <w:r w:rsidRPr="008A0EC8">
        <w:rPr>
          <w:b/>
          <w:sz w:val="24"/>
          <w:szCs w:val="24"/>
          <w:lang w:val="fr-CH"/>
        </w:rPr>
        <w:t>ptembr</w:t>
      </w:r>
      <w:r w:rsidR="00941642" w:rsidRPr="008A0EC8">
        <w:rPr>
          <w:b/>
          <w:sz w:val="24"/>
          <w:szCs w:val="24"/>
          <w:lang w:val="fr-CH"/>
        </w:rPr>
        <w:t>e </w:t>
      </w:r>
      <w:r w:rsidRPr="008A0EC8">
        <w:rPr>
          <w:b/>
          <w:sz w:val="24"/>
          <w:szCs w:val="24"/>
          <w:lang w:val="fr-CH"/>
        </w:rPr>
        <w:t>2014</w:t>
      </w:r>
    </w:p>
    <w:p w:rsidR="0074550C" w:rsidRPr="008A0EC8" w:rsidRDefault="0074550C" w:rsidP="008B2CC1">
      <w:pPr>
        <w:rPr>
          <w:lang w:val="fr-CH"/>
        </w:rPr>
      </w:pPr>
    </w:p>
    <w:p w:rsidR="0074550C" w:rsidRPr="008A0EC8" w:rsidRDefault="0074550C" w:rsidP="008B2CC1">
      <w:pPr>
        <w:rPr>
          <w:lang w:val="fr-CH"/>
        </w:rPr>
      </w:pPr>
    </w:p>
    <w:p w:rsidR="0074550C" w:rsidRPr="008A0EC8" w:rsidRDefault="0074550C" w:rsidP="008B2CC1">
      <w:pPr>
        <w:rPr>
          <w:lang w:val="fr-CH"/>
        </w:rPr>
      </w:pPr>
    </w:p>
    <w:p w:rsidR="0074550C" w:rsidRPr="008A0EC8" w:rsidRDefault="00941642" w:rsidP="00941642">
      <w:pPr>
        <w:rPr>
          <w:caps/>
          <w:sz w:val="24"/>
          <w:lang w:val="fr-CH"/>
        </w:rPr>
      </w:pPr>
      <w:bookmarkStart w:id="3" w:name="TitleOfDoc"/>
      <w:bookmarkEnd w:id="3"/>
      <w:r w:rsidRPr="008A0EC8">
        <w:rPr>
          <w:caps/>
          <w:sz w:val="24"/>
          <w:lang w:val="fr-CH"/>
        </w:rPr>
        <w:t>RAPPORT SUR L</w:t>
      </w:r>
      <w:r w:rsidR="00F13C7E" w:rsidRPr="008A0EC8">
        <w:rPr>
          <w:caps/>
          <w:sz w:val="24"/>
          <w:lang w:val="fr-CH"/>
        </w:rPr>
        <w:t>’</w:t>
      </w:r>
      <w:r w:rsidRPr="008A0EC8">
        <w:rPr>
          <w:caps/>
          <w:sz w:val="24"/>
          <w:lang w:val="fr-CH"/>
        </w:rPr>
        <w:t>ÉTAT D</w:t>
      </w:r>
      <w:r w:rsidR="00F13C7E" w:rsidRPr="008A0EC8">
        <w:rPr>
          <w:caps/>
          <w:sz w:val="24"/>
          <w:lang w:val="fr-CH"/>
        </w:rPr>
        <w:t>’</w:t>
      </w:r>
      <w:r w:rsidRPr="008A0EC8">
        <w:rPr>
          <w:caps/>
          <w:sz w:val="24"/>
          <w:lang w:val="fr-CH"/>
        </w:rPr>
        <w:t>AVANCEMENT DU PROJET D</w:t>
      </w:r>
      <w:r w:rsidR="00F13C7E" w:rsidRPr="008A0EC8">
        <w:rPr>
          <w:caps/>
          <w:sz w:val="24"/>
          <w:lang w:val="fr-CH"/>
        </w:rPr>
        <w:t>’</w:t>
      </w:r>
      <w:r w:rsidRPr="008A0EC8">
        <w:rPr>
          <w:caps/>
          <w:sz w:val="24"/>
          <w:lang w:val="fr-CH"/>
        </w:rPr>
        <w:t>INVESTISSEMENT DANS LES TECHNOLOGIES DE L</w:t>
      </w:r>
      <w:r w:rsidR="00F13C7E" w:rsidRPr="008A0EC8">
        <w:rPr>
          <w:caps/>
          <w:sz w:val="24"/>
          <w:lang w:val="fr-CH"/>
        </w:rPr>
        <w:t>’</w:t>
      </w:r>
      <w:r w:rsidRPr="008A0EC8">
        <w:rPr>
          <w:caps/>
          <w:sz w:val="24"/>
          <w:lang w:val="fr-CH"/>
        </w:rPr>
        <w:t>INFORMATION ET DE LA COMMUNICATION (TIC)</w:t>
      </w:r>
    </w:p>
    <w:p w:rsidR="0074550C" w:rsidRPr="008A0EC8" w:rsidRDefault="0074550C" w:rsidP="008B2CC1">
      <w:pPr>
        <w:rPr>
          <w:lang w:val="fr-CH"/>
        </w:rPr>
      </w:pPr>
    </w:p>
    <w:p w:rsidR="0074550C" w:rsidRPr="008A0EC8" w:rsidRDefault="00941642" w:rsidP="008B2CC1">
      <w:pPr>
        <w:rPr>
          <w:i/>
        </w:rPr>
      </w:pPr>
      <w:bookmarkStart w:id="4" w:name="Prepared"/>
      <w:bookmarkEnd w:id="4"/>
      <w:proofErr w:type="spellStart"/>
      <w:proofErr w:type="gramStart"/>
      <w:r w:rsidRPr="008A0EC8">
        <w:rPr>
          <w:i/>
        </w:rPr>
        <w:t>établi</w:t>
      </w:r>
      <w:proofErr w:type="spellEnd"/>
      <w:proofErr w:type="gramEnd"/>
      <w:r w:rsidRPr="008A0EC8">
        <w:rPr>
          <w:i/>
        </w:rPr>
        <w:t xml:space="preserve"> par le</w:t>
      </w:r>
      <w:r w:rsidR="004421BD" w:rsidRPr="008A0EC8">
        <w:rPr>
          <w:i/>
        </w:rPr>
        <w:t xml:space="preserve"> </w:t>
      </w:r>
      <w:proofErr w:type="spellStart"/>
      <w:r w:rsidR="004421BD" w:rsidRPr="008A0EC8">
        <w:rPr>
          <w:i/>
        </w:rPr>
        <w:t>Secr</w:t>
      </w:r>
      <w:r w:rsidRPr="008A0EC8">
        <w:rPr>
          <w:i/>
        </w:rPr>
        <w:t>é</w:t>
      </w:r>
      <w:r w:rsidR="004421BD" w:rsidRPr="008A0EC8">
        <w:rPr>
          <w:i/>
        </w:rPr>
        <w:t>tariat</w:t>
      </w:r>
      <w:proofErr w:type="spellEnd"/>
    </w:p>
    <w:p w:rsidR="0074550C" w:rsidRPr="008A0EC8" w:rsidRDefault="0074550C" w:rsidP="004421BD">
      <w:pPr>
        <w:rPr>
          <w:i/>
        </w:rPr>
      </w:pPr>
    </w:p>
    <w:p w:rsidR="0074550C" w:rsidRPr="008A0EC8" w:rsidRDefault="0074550C" w:rsidP="004421BD">
      <w:pPr>
        <w:rPr>
          <w:i/>
        </w:rPr>
      </w:pPr>
    </w:p>
    <w:p w:rsidR="0074550C" w:rsidRPr="008A0EC8" w:rsidRDefault="0074550C" w:rsidP="004421BD">
      <w:pPr>
        <w:rPr>
          <w:i/>
        </w:rPr>
      </w:pPr>
    </w:p>
    <w:p w:rsidR="0074550C" w:rsidRPr="008A0EC8" w:rsidRDefault="0074550C" w:rsidP="004421BD">
      <w:pPr>
        <w:rPr>
          <w:i/>
        </w:rPr>
      </w:pPr>
    </w:p>
    <w:p w:rsidR="0074550C" w:rsidRPr="008A0EC8" w:rsidRDefault="00941642" w:rsidP="008A0EC8">
      <w:pPr>
        <w:pStyle w:val="Heading1"/>
      </w:pPr>
      <w:r w:rsidRPr="008A0EC8">
        <w:t>R</w:t>
      </w:r>
      <w:r w:rsidR="004421BD" w:rsidRPr="008A0EC8">
        <w:t>A</w:t>
      </w:r>
      <w:r w:rsidRPr="008A0EC8">
        <w:t>PPEL</w:t>
      </w:r>
    </w:p>
    <w:p w:rsidR="00F13C7E" w:rsidRPr="008A0EC8" w:rsidRDefault="00941642" w:rsidP="008A0EC8">
      <w:pPr>
        <w:pStyle w:val="ONUMFS"/>
        <w:rPr>
          <w:lang w:val="fr-CH"/>
        </w:rPr>
      </w:pPr>
      <w:r w:rsidRPr="008A0EC8">
        <w:rPr>
          <w:lang w:val="fr-CH"/>
        </w:rPr>
        <w:t>À leur quarante</w:t>
      </w:r>
      <w:r w:rsidR="008A0EC8" w:rsidRPr="008A0EC8">
        <w:rPr>
          <w:lang w:val="fr-CH"/>
        </w:rPr>
        <w:noBreakHyphen/>
      </w:r>
      <w:r w:rsidRPr="008A0EC8">
        <w:rPr>
          <w:lang w:val="fr-CH"/>
        </w:rPr>
        <w:t>neuvième</w:t>
      </w:r>
      <w:r w:rsidR="0091049D" w:rsidRPr="008A0EC8">
        <w:rPr>
          <w:lang w:val="fr-CH"/>
        </w:rPr>
        <w:t> </w:t>
      </w:r>
      <w:r w:rsidRPr="008A0EC8">
        <w:rPr>
          <w:lang w:val="fr-CH"/>
        </w:rPr>
        <w:t>série de réunions (26 septembre – 5 octobre 2011), les assemblées des États membres de l</w:t>
      </w:r>
      <w:r w:rsidR="00F13C7E" w:rsidRPr="008A0EC8">
        <w:rPr>
          <w:lang w:val="fr-CH"/>
        </w:rPr>
        <w:t>’</w:t>
      </w:r>
      <w:r w:rsidRPr="008A0EC8">
        <w:rPr>
          <w:lang w:val="fr-CH"/>
        </w:rPr>
        <w:t>OMPI ont approuvé la proposition d</w:t>
      </w:r>
      <w:r w:rsidR="00F13C7E" w:rsidRPr="008A0EC8">
        <w:rPr>
          <w:lang w:val="fr-CH"/>
        </w:rPr>
        <w:t>’</w:t>
      </w:r>
      <w:r w:rsidRPr="008A0EC8">
        <w:rPr>
          <w:lang w:val="fr-CH"/>
        </w:rPr>
        <w:t>investissement pour le financement de certaines activités dans le domaine des technologies de l</w:t>
      </w:r>
      <w:r w:rsidR="00F13C7E" w:rsidRPr="008A0EC8">
        <w:rPr>
          <w:lang w:val="fr-CH"/>
        </w:rPr>
        <w:t>’</w:t>
      </w:r>
      <w:r w:rsidRPr="008A0EC8">
        <w:rPr>
          <w:lang w:val="fr-CH"/>
        </w:rPr>
        <w:t>information et de la communication (TIC) (document WO/PBC/18/13).</w:t>
      </w:r>
    </w:p>
    <w:p w:rsidR="0074550C" w:rsidRPr="008A0EC8" w:rsidRDefault="00941642" w:rsidP="008A0EC8">
      <w:pPr>
        <w:pStyle w:val="ONUMFS"/>
        <w:rPr>
          <w:lang w:val="fr-CH"/>
        </w:rPr>
      </w:pPr>
      <w:r w:rsidRPr="008A0EC8">
        <w:rPr>
          <w:lang w:val="fr-CH"/>
        </w:rPr>
        <w:t>Les activités visées sont les suivantes :</w:t>
      </w:r>
    </w:p>
    <w:p w:rsidR="0074550C" w:rsidRPr="008A0EC8" w:rsidRDefault="00941642" w:rsidP="00941642">
      <w:pPr>
        <w:numPr>
          <w:ilvl w:val="0"/>
          <w:numId w:val="8"/>
        </w:numPr>
        <w:spacing w:after="120"/>
        <w:rPr>
          <w:szCs w:val="22"/>
          <w:lang w:val="fr-CH" w:eastAsia="ar-SA"/>
        </w:rPr>
      </w:pPr>
      <w:r w:rsidRPr="008A0EC8">
        <w:rPr>
          <w:szCs w:val="22"/>
          <w:lang w:val="fr-CH" w:eastAsia="ar-SA"/>
        </w:rPr>
        <w:t>installations dans le domaine</w:t>
      </w:r>
      <w:r w:rsidR="00F13C7E" w:rsidRPr="008A0EC8">
        <w:rPr>
          <w:szCs w:val="22"/>
          <w:lang w:val="fr-CH" w:eastAsia="ar-SA"/>
        </w:rPr>
        <w:t xml:space="preserve"> des TIC</w:t>
      </w:r>
      <w:r w:rsidRPr="008A0EC8">
        <w:rPr>
          <w:szCs w:val="22"/>
          <w:lang w:val="fr-CH" w:eastAsia="ar-SA"/>
        </w:rPr>
        <w:t xml:space="preserve"> pour la nouvelle salle de conférence, </w:t>
      </w:r>
      <w:r w:rsidRPr="008A0EC8">
        <w:rPr>
          <w:lang w:val="fr-CH"/>
        </w:rPr>
        <w:t>les salles de réunion annexes et les autres salles de réunion situées dans les locaux de l</w:t>
      </w:r>
      <w:r w:rsidR="00F13C7E" w:rsidRPr="008A0EC8">
        <w:rPr>
          <w:lang w:val="fr-CH"/>
        </w:rPr>
        <w:t>’</w:t>
      </w:r>
      <w:r w:rsidRPr="008A0EC8">
        <w:rPr>
          <w:lang w:val="fr-CH"/>
        </w:rPr>
        <w:t>OMPI</w:t>
      </w:r>
      <w:r w:rsidR="004421BD" w:rsidRPr="008A0EC8">
        <w:rPr>
          <w:szCs w:val="22"/>
          <w:lang w:val="fr-CH" w:eastAsia="ar-SA"/>
        </w:rPr>
        <w:t>;</w:t>
      </w:r>
    </w:p>
    <w:p w:rsidR="0074550C" w:rsidRPr="008A0EC8" w:rsidRDefault="00941642" w:rsidP="00941642">
      <w:pPr>
        <w:numPr>
          <w:ilvl w:val="0"/>
          <w:numId w:val="8"/>
        </w:numPr>
        <w:spacing w:after="120"/>
        <w:rPr>
          <w:szCs w:val="22"/>
          <w:lang w:val="fr-CH" w:eastAsia="ar-SA"/>
        </w:rPr>
      </w:pPr>
      <w:r w:rsidRPr="008A0EC8">
        <w:rPr>
          <w:szCs w:val="22"/>
          <w:lang w:val="fr-CH" w:eastAsia="ar-SA"/>
        </w:rPr>
        <w:t>remplacement d</w:t>
      </w:r>
      <w:r w:rsidR="001E0530" w:rsidRPr="008A0EC8">
        <w:rPr>
          <w:szCs w:val="22"/>
          <w:lang w:val="fr-CH" w:eastAsia="ar-SA"/>
        </w:rPr>
        <w:t>e l</w:t>
      </w:r>
      <w:r w:rsidR="00F13C7E" w:rsidRPr="008A0EC8">
        <w:rPr>
          <w:szCs w:val="22"/>
          <w:lang w:val="fr-CH" w:eastAsia="ar-SA"/>
        </w:rPr>
        <w:t>’</w:t>
      </w:r>
      <w:r w:rsidR="001E0530" w:rsidRPr="008A0EC8">
        <w:rPr>
          <w:szCs w:val="22"/>
          <w:lang w:val="fr-CH" w:eastAsia="ar-SA"/>
        </w:rPr>
        <w:t xml:space="preserve">ancien </w:t>
      </w:r>
      <w:r w:rsidRPr="008A0EC8">
        <w:rPr>
          <w:szCs w:val="22"/>
          <w:lang w:val="fr-CH" w:eastAsia="ar-SA"/>
        </w:rPr>
        <w:t>centr</w:t>
      </w:r>
      <w:r w:rsidR="001E0530" w:rsidRPr="008A0EC8">
        <w:rPr>
          <w:szCs w:val="22"/>
          <w:lang w:val="fr-CH" w:eastAsia="ar-SA"/>
        </w:rPr>
        <w:t>al téléphonique Nortel Meridian;</w:t>
      </w:r>
      <w:r w:rsidR="004421BD" w:rsidRPr="008A0EC8">
        <w:rPr>
          <w:szCs w:val="22"/>
          <w:lang w:val="fr-CH" w:eastAsia="ar-SA"/>
        </w:rPr>
        <w:t xml:space="preserve"> </w:t>
      </w:r>
      <w:r w:rsidR="001E0530" w:rsidRPr="008A0EC8">
        <w:rPr>
          <w:szCs w:val="22"/>
          <w:lang w:val="fr-CH" w:eastAsia="ar-SA"/>
        </w:rPr>
        <w:t xml:space="preserve"> et</w:t>
      </w:r>
    </w:p>
    <w:p w:rsidR="0074550C" w:rsidRPr="008A0EC8" w:rsidRDefault="001E0530" w:rsidP="0091049D">
      <w:pPr>
        <w:numPr>
          <w:ilvl w:val="0"/>
          <w:numId w:val="8"/>
        </w:numPr>
        <w:spacing w:after="220"/>
        <w:ind w:left="567" w:hanging="283"/>
        <w:rPr>
          <w:szCs w:val="22"/>
          <w:lang w:val="fr-CH" w:eastAsia="ar-SA"/>
        </w:rPr>
      </w:pPr>
      <w:r w:rsidRPr="008A0EC8">
        <w:rPr>
          <w:szCs w:val="22"/>
          <w:lang w:val="fr-CH" w:eastAsia="ar-SA"/>
        </w:rPr>
        <w:t>r</w:t>
      </w:r>
      <w:r w:rsidR="004421BD" w:rsidRPr="008A0EC8">
        <w:rPr>
          <w:szCs w:val="22"/>
          <w:lang w:val="fr-CH" w:eastAsia="ar-SA"/>
        </w:rPr>
        <w:t>e</w:t>
      </w:r>
      <w:r w:rsidRPr="008A0EC8">
        <w:rPr>
          <w:szCs w:val="22"/>
          <w:lang w:val="fr-CH" w:eastAsia="ar-SA"/>
        </w:rPr>
        <w:t>m</w:t>
      </w:r>
      <w:r w:rsidR="004421BD" w:rsidRPr="008A0EC8">
        <w:rPr>
          <w:szCs w:val="22"/>
          <w:lang w:val="fr-CH" w:eastAsia="ar-SA"/>
        </w:rPr>
        <w:t xml:space="preserve">placement </w:t>
      </w:r>
      <w:r w:rsidRPr="008A0EC8">
        <w:rPr>
          <w:szCs w:val="22"/>
          <w:lang w:val="fr-CH" w:eastAsia="ar-SA"/>
        </w:rPr>
        <w:t>des ordinateurs de bureau</w:t>
      </w:r>
      <w:r w:rsidR="004421BD" w:rsidRPr="008A0EC8">
        <w:rPr>
          <w:szCs w:val="22"/>
          <w:lang w:val="fr-CH" w:eastAsia="ar-SA"/>
        </w:rPr>
        <w:t>.</w:t>
      </w:r>
    </w:p>
    <w:p w:rsidR="0074550C" w:rsidRPr="008A0EC8" w:rsidRDefault="001E0530" w:rsidP="008A0EC8">
      <w:pPr>
        <w:pStyle w:val="ONUMFS"/>
        <w:rPr>
          <w:lang w:val="fr-CH" w:eastAsia="ar-SA"/>
        </w:rPr>
      </w:pPr>
      <w:r w:rsidRPr="008A0EC8">
        <w:rPr>
          <w:lang w:val="fr-CH" w:eastAsia="ar-SA"/>
        </w:rPr>
        <w:t xml:space="preserve">À sa </w:t>
      </w:r>
      <w:r w:rsidR="008A0EC8">
        <w:rPr>
          <w:lang w:val="fr-CH" w:eastAsia="ar-SA"/>
        </w:rPr>
        <w:t>vingt et unième</w:t>
      </w:r>
      <w:r w:rsidR="0091049D" w:rsidRPr="008A0EC8">
        <w:rPr>
          <w:lang w:val="fr-CH" w:eastAsia="ar-SA"/>
        </w:rPr>
        <w:t> </w:t>
      </w:r>
      <w:r w:rsidR="0004365B" w:rsidRPr="008A0EC8">
        <w:rPr>
          <w:lang w:val="fr-CH" w:eastAsia="ar-SA"/>
        </w:rPr>
        <w:t>s</w:t>
      </w:r>
      <w:r w:rsidR="004421BD" w:rsidRPr="008A0EC8">
        <w:rPr>
          <w:lang w:val="fr-CH" w:eastAsia="ar-SA"/>
        </w:rPr>
        <w:t>ession (</w:t>
      </w:r>
      <w:r w:rsidRPr="008A0EC8">
        <w:rPr>
          <w:lang w:val="fr-CH" w:eastAsia="ar-SA"/>
        </w:rPr>
        <w:t>9</w:t>
      </w:r>
      <w:r w:rsidR="0091049D" w:rsidRPr="008A0EC8">
        <w:rPr>
          <w:lang w:val="fr-CH" w:eastAsia="ar-SA"/>
        </w:rPr>
        <w:t> </w:t>
      </w:r>
      <w:r w:rsidRPr="008A0EC8">
        <w:rPr>
          <w:lang w:val="fr-CH" w:eastAsia="ar-SA"/>
        </w:rPr>
        <w:t>– 13</w:t>
      </w:r>
      <w:r w:rsidR="0091049D" w:rsidRPr="008A0EC8">
        <w:rPr>
          <w:lang w:val="fr-CH" w:eastAsia="ar-SA"/>
        </w:rPr>
        <w:t> </w:t>
      </w:r>
      <w:r w:rsidRPr="008A0EC8">
        <w:rPr>
          <w:lang w:val="fr-CH" w:eastAsia="ar-SA"/>
        </w:rPr>
        <w:t>s</w:t>
      </w:r>
      <w:r w:rsidR="004421BD" w:rsidRPr="008A0EC8">
        <w:rPr>
          <w:lang w:val="fr-CH" w:eastAsia="ar-SA"/>
        </w:rPr>
        <w:t>eptembr</w:t>
      </w:r>
      <w:r w:rsidRPr="008A0EC8">
        <w:rPr>
          <w:lang w:val="fr-CH" w:eastAsia="ar-SA"/>
        </w:rPr>
        <w:t>e</w:t>
      </w:r>
      <w:r w:rsidR="0091049D" w:rsidRPr="008A0EC8">
        <w:rPr>
          <w:lang w:val="fr-CH" w:eastAsia="ar-SA"/>
        </w:rPr>
        <w:t> </w:t>
      </w:r>
      <w:r w:rsidR="004421BD" w:rsidRPr="008A0EC8">
        <w:rPr>
          <w:lang w:val="fr-CH" w:eastAsia="ar-SA"/>
        </w:rPr>
        <w:t>2013)</w:t>
      </w:r>
      <w:r w:rsidRPr="008A0EC8">
        <w:rPr>
          <w:lang w:val="fr-CH" w:eastAsia="ar-SA"/>
        </w:rPr>
        <w:t>, le comité du p</w:t>
      </w:r>
      <w:r w:rsidR="004421BD" w:rsidRPr="008A0EC8">
        <w:rPr>
          <w:lang w:val="fr-CH" w:eastAsia="ar-SA"/>
        </w:rPr>
        <w:t>rogram</w:t>
      </w:r>
      <w:r w:rsidRPr="008A0EC8">
        <w:rPr>
          <w:lang w:val="fr-CH" w:eastAsia="ar-SA"/>
        </w:rPr>
        <w:t>me et</w:t>
      </w:r>
      <w:r w:rsidR="004421BD" w:rsidRPr="008A0EC8">
        <w:rPr>
          <w:lang w:val="fr-CH" w:eastAsia="ar-SA"/>
        </w:rPr>
        <w:t xml:space="preserve"> </w:t>
      </w:r>
      <w:r w:rsidRPr="008A0EC8">
        <w:rPr>
          <w:lang w:val="fr-CH" w:eastAsia="ar-SA"/>
        </w:rPr>
        <w:t>b</w:t>
      </w:r>
      <w:r w:rsidR="004421BD" w:rsidRPr="008A0EC8">
        <w:rPr>
          <w:lang w:val="fr-CH" w:eastAsia="ar-SA"/>
        </w:rPr>
        <w:t xml:space="preserve">udget </w:t>
      </w:r>
      <w:r w:rsidR="0004365B" w:rsidRPr="008A0EC8">
        <w:rPr>
          <w:lang w:val="fr-CH" w:eastAsia="ar-SA"/>
        </w:rPr>
        <w:t xml:space="preserve">(PBC) </w:t>
      </w:r>
      <w:r w:rsidRPr="008A0EC8">
        <w:rPr>
          <w:lang w:val="fr-CH" w:eastAsia="ar-SA"/>
        </w:rPr>
        <w:t>a été tenu informé de l</w:t>
      </w:r>
      <w:r w:rsidR="00F13C7E" w:rsidRPr="008A0EC8">
        <w:rPr>
          <w:lang w:val="fr-CH" w:eastAsia="ar-SA"/>
        </w:rPr>
        <w:t>’</w:t>
      </w:r>
      <w:r w:rsidRPr="008A0EC8">
        <w:rPr>
          <w:lang w:val="fr-CH" w:eastAsia="ar-SA"/>
        </w:rPr>
        <w:t>état d</w:t>
      </w:r>
      <w:r w:rsidR="00F13C7E" w:rsidRPr="008A0EC8">
        <w:rPr>
          <w:lang w:val="fr-CH" w:eastAsia="ar-SA"/>
        </w:rPr>
        <w:t>’</w:t>
      </w:r>
      <w:r w:rsidRPr="008A0EC8">
        <w:rPr>
          <w:lang w:val="fr-CH" w:eastAsia="ar-SA"/>
        </w:rPr>
        <w:t>avancement d</w:t>
      </w:r>
      <w:r w:rsidR="0091049D" w:rsidRPr="008A0EC8">
        <w:rPr>
          <w:lang w:val="fr-CH" w:eastAsia="ar-SA"/>
        </w:rPr>
        <w:t>e ce</w:t>
      </w:r>
      <w:r w:rsidRPr="008A0EC8">
        <w:rPr>
          <w:lang w:val="fr-CH" w:eastAsia="ar-SA"/>
        </w:rPr>
        <w:t xml:space="preserve"> </w:t>
      </w:r>
      <w:r w:rsidR="004421BD" w:rsidRPr="008A0EC8">
        <w:rPr>
          <w:lang w:val="fr-CH" w:eastAsia="ar-SA"/>
        </w:rPr>
        <w:t>projet (</w:t>
      </w:r>
      <w:r w:rsidR="0004365B" w:rsidRPr="008A0EC8">
        <w:rPr>
          <w:lang w:val="fr-CH" w:eastAsia="ar-SA"/>
        </w:rPr>
        <w:t xml:space="preserve">document </w:t>
      </w:r>
      <w:r w:rsidR="004421BD" w:rsidRPr="008A0EC8">
        <w:rPr>
          <w:lang w:val="fr-CH" w:eastAsia="ar-SA"/>
        </w:rPr>
        <w:t>WO/PBC/21/14).  I</w:t>
      </w:r>
      <w:r w:rsidRPr="008A0EC8">
        <w:rPr>
          <w:lang w:val="fr-CH" w:eastAsia="ar-SA"/>
        </w:rPr>
        <w:t>l a été noté que l</w:t>
      </w:r>
      <w:r w:rsidR="004421BD" w:rsidRPr="008A0EC8">
        <w:rPr>
          <w:lang w:val="fr-CH" w:eastAsia="ar-SA"/>
        </w:rPr>
        <w:t>e re</w:t>
      </w:r>
      <w:r w:rsidRPr="008A0EC8">
        <w:rPr>
          <w:lang w:val="fr-CH" w:eastAsia="ar-SA"/>
        </w:rPr>
        <w:t>m</w:t>
      </w:r>
      <w:r w:rsidR="004421BD" w:rsidRPr="008A0EC8">
        <w:rPr>
          <w:lang w:val="fr-CH" w:eastAsia="ar-SA"/>
        </w:rPr>
        <w:t xml:space="preserve">placement </w:t>
      </w:r>
      <w:r w:rsidRPr="008A0EC8">
        <w:rPr>
          <w:lang w:val="fr-CH" w:eastAsia="ar-SA"/>
        </w:rPr>
        <w:t>de l</w:t>
      </w:r>
      <w:r w:rsidR="00F13C7E" w:rsidRPr="008A0EC8">
        <w:rPr>
          <w:lang w:val="fr-CH" w:eastAsia="ar-SA"/>
        </w:rPr>
        <w:t>’</w:t>
      </w:r>
      <w:r w:rsidRPr="008A0EC8">
        <w:rPr>
          <w:lang w:val="fr-CH" w:eastAsia="ar-SA"/>
        </w:rPr>
        <w:t>ancien central téléphonique était achevé et que les principaux objectifs commerciaux définis avaient tous été atteints</w:t>
      </w:r>
      <w:r w:rsidR="004421BD" w:rsidRPr="008A0EC8">
        <w:rPr>
          <w:lang w:val="fr-CH" w:eastAsia="ar-SA"/>
        </w:rPr>
        <w:t>.</w:t>
      </w:r>
    </w:p>
    <w:p w:rsidR="0074550C" w:rsidRPr="008A0EC8" w:rsidRDefault="001E0530" w:rsidP="008A0EC8">
      <w:pPr>
        <w:pStyle w:val="ONUMFS"/>
        <w:rPr>
          <w:lang w:val="fr-CH"/>
        </w:rPr>
      </w:pPr>
      <w:r w:rsidRPr="008A0EC8">
        <w:rPr>
          <w:lang w:val="fr-CH"/>
        </w:rPr>
        <w:t>Le dé</w:t>
      </w:r>
      <w:r w:rsidR="000C73E4" w:rsidRPr="008A0EC8">
        <w:rPr>
          <w:lang w:val="fr-CH"/>
        </w:rPr>
        <w:t>plo</w:t>
      </w:r>
      <w:r w:rsidRPr="008A0EC8">
        <w:rPr>
          <w:lang w:val="fr-CH"/>
        </w:rPr>
        <w:t>ie</w:t>
      </w:r>
      <w:r w:rsidR="000C73E4" w:rsidRPr="008A0EC8">
        <w:rPr>
          <w:lang w:val="fr-CH"/>
        </w:rPr>
        <w:t xml:space="preserve">ment </w:t>
      </w:r>
      <w:r w:rsidRPr="008A0EC8">
        <w:rPr>
          <w:lang w:val="fr-CH"/>
        </w:rPr>
        <w:t>des installations dans le domaine</w:t>
      </w:r>
      <w:r w:rsidR="00F13C7E" w:rsidRPr="008A0EC8">
        <w:rPr>
          <w:lang w:val="fr-CH"/>
        </w:rPr>
        <w:t xml:space="preserve"> des </w:t>
      </w:r>
      <w:r w:rsidR="00F13C7E" w:rsidRPr="008A0EC8">
        <w:rPr>
          <w:lang w:val="fr-CH" w:eastAsia="ar-SA"/>
        </w:rPr>
        <w:t>TIC</w:t>
      </w:r>
      <w:r w:rsidR="00600F0D" w:rsidRPr="008A0EC8">
        <w:rPr>
          <w:lang w:val="fr-CH" w:eastAsia="ar-SA"/>
        </w:rPr>
        <w:t xml:space="preserve"> </w:t>
      </w:r>
      <w:r w:rsidRPr="008A0EC8">
        <w:rPr>
          <w:lang w:val="fr-CH" w:eastAsia="ar-SA"/>
        </w:rPr>
        <w:t>pour la nouvelle salle de c</w:t>
      </w:r>
      <w:r w:rsidR="00600F0D" w:rsidRPr="008A0EC8">
        <w:rPr>
          <w:lang w:val="fr-CH" w:eastAsia="ar-SA"/>
        </w:rPr>
        <w:t>onf</w:t>
      </w:r>
      <w:r w:rsidRPr="008A0EC8">
        <w:rPr>
          <w:lang w:val="fr-CH" w:eastAsia="ar-SA"/>
        </w:rPr>
        <w:t>érence</w:t>
      </w:r>
      <w:r w:rsidR="00600F0D" w:rsidRPr="008A0EC8">
        <w:rPr>
          <w:lang w:val="fr-CH"/>
        </w:rPr>
        <w:t xml:space="preserve">, </w:t>
      </w:r>
      <w:r w:rsidRPr="008A0EC8">
        <w:rPr>
          <w:lang w:val="fr-CH"/>
        </w:rPr>
        <w:t xml:space="preserve">les salles de réunion </w:t>
      </w:r>
      <w:r w:rsidR="00600F0D" w:rsidRPr="008A0EC8">
        <w:rPr>
          <w:lang w:val="fr-CH"/>
        </w:rPr>
        <w:t xml:space="preserve">annexes </w:t>
      </w:r>
      <w:r w:rsidRPr="008A0EC8">
        <w:rPr>
          <w:lang w:val="fr-CH"/>
        </w:rPr>
        <w:t>et les autres salles de réunions</w:t>
      </w:r>
      <w:r w:rsidR="00600F0D" w:rsidRPr="008A0EC8">
        <w:rPr>
          <w:lang w:val="fr-CH"/>
        </w:rPr>
        <w:t xml:space="preserve"> </w:t>
      </w:r>
      <w:r w:rsidR="001F2C7C" w:rsidRPr="008A0EC8">
        <w:rPr>
          <w:lang w:val="fr-CH"/>
        </w:rPr>
        <w:t>situées dans les locaux de l</w:t>
      </w:r>
      <w:r w:rsidR="00F13C7E" w:rsidRPr="008A0EC8">
        <w:rPr>
          <w:lang w:val="fr-CH"/>
        </w:rPr>
        <w:t>’</w:t>
      </w:r>
      <w:r w:rsidR="001F2C7C" w:rsidRPr="008A0EC8">
        <w:rPr>
          <w:lang w:val="fr-CH"/>
        </w:rPr>
        <w:t>OMPI</w:t>
      </w:r>
      <w:r w:rsidR="000C73E4" w:rsidRPr="008A0EC8">
        <w:rPr>
          <w:lang w:val="fr-CH" w:eastAsia="ar-SA"/>
        </w:rPr>
        <w:t xml:space="preserve"> </w:t>
      </w:r>
      <w:r w:rsidR="001F2C7C" w:rsidRPr="008A0EC8">
        <w:rPr>
          <w:lang w:val="fr-CH" w:eastAsia="ar-SA"/>
        </w:rPr>
        <w:t>est e</w:t>
      </w:r>
      <w:r w:rsidR="00600F0D" w:rsidRPr="008A0EC8">
        <w:rPr>
          <w:lang w:val="fr-CH" w:eastAsia="ar-SA"/>
        </w:rPr>
        <w:t>n</w:t>
      </w:r>
      <w:r w:rsidR="001F2C7C" w:rsidRPr="008A0EC8">
        <w:rPr>
          <w:lang w:val="fr-CH" w:eastAsia="ar-SA"/>
        </w:rPr>
        <w:t xml:space="preserve"> c</w:t>
      </w:r>
      <w:r w:rsidR="00600F0D" w:rsidRPr="008A0EC8">
        <w:rPr>
          <w:lang w:val="fr-CH" w:eastAsia="ar-SA"/>
        </w:rPr>
        <w:t>o</w:t>
      </w:r>
      <w:r w:rsidR="001F2C7C" w:rsidRPr="008A0EC8">
        <w:rPr>
          <w:lang w:val="fr-CH" w:eastAsia="ar-SA"/>
        </w:rPr>
        <w:t>urs</w:t>
      </w:r>
      <w:r w:rsidR="002B4FD2" w:rsidRPr="008A0EC8">
        <w:rPr>
          <w:lang w:val="fr-CH" w:eastAsia="ar-SA"/>
        </w:rPr>
        <w:t xml:space="preserve">. </w:t>
      </w:r>
      <w:r w:rsidR="00600F0D" w:rsidRPr="008A0EC8">
        <w:rPr>
          <w:lang w:val="fr-CH" w:eastAsia="ar-SA"/>
        </w:rPr>
        <w:t xml:space="preserve"> </w:t>
      </w:r>
      <w:r w:rsidR="001F2C7C" w:rsidRPr="008A0EC8">
        <w:rPr>
          <w:lang w:val="fr-CH" w:eastAsia="ar-SA"/>
        </w:rPr>
        <w:t>Des travaux e</w:t>
      </w:r>
      <w:r w:rsidR="002B4FD2" w:rsidRPr="008A0EC8">
        <w:rPr>
          <w:lang w:val="fr-CH" w:eastAsia="ar-SA"/>
        </w:rPr>
        <w:t>ssenti</w:t>
      </w:r>
      <w:r w:rsidR="001F2C7C" w:rsidRPr="008A0EC8">
        <w:rPr>
          <w:lang w:val="fr-CH" w:eastAsia="ar-SA"/>
        </w:rPr>
        <w:t>e</w:t>
      </w:r>
      <w:r w:rsidR="002B4FD2" w:rsidRPr="008A0EC8">
        <w:rPr>
          <w:lang w:val="fr-CH" w:eastAsia="ar-SA"/>
        </w:rPr>
        <w:t xml:space="preserve">ls </w:t>
      </w:r>
      <w:r w:rsidR="001F2C7C" w:rsidRPr="008A0EC8">
        <w:rPr>
          <w:lang w:val="fr-CH" w:eastAsia="ar-SA"/>
        </w:rPr>
        <w:t>devraient être terminés</w:t>
      </w:r>
      <w:r w:rsidR="00600F0D" w:rsidRPr="008A0EC8">
        <w:rPr>
          <w:lang w:val="fr-CH" w:eastAsia="ar-SA"/>
        </w:rPr>
        <w:t xml:space="preserve"> </w:t>
      </w:r>
      <w:r w:rsidR="001F2C7C" w:rsidRPr="008A0EC8">
        <w:rPr>
          <w:lang w:val="fr-CH" w:eastAsia="ar-SA"/>
        </w:rPr>
        <w:t>pour l</w:t>
      </w:r>
      <w:r w:rsidR="00F13C7E" w:rsidRPr="008A0EC8">
        <w:rPr>
          <w:lang w:val="fr-CH" w:eastAsia="ar-SA"/>
        </w:rPr>
        <w:t>’</w:t>
      </w:r>
      <w:r w:rsidR="001F2C7C" w:rsidRPr="008A0EC8">
        <w:rPr>
          <w:lang w:val="fr-CH" w:eastAsia="ar-SA"/>
        </w:rPr>
        <w:t>ouverture de la nouvelle salle de c</w:t>
      </w:r>
      <w:r w:rsidR="000C73E4" w:rsidRPr="008A0EC8">
        <w:rPr>
          <w:lang w:val="fr-CH" w:eastAsia="ar-SA"/>
        </w:rPr>
        <w:t>onf</w:t>
      </w:r>
      <w:r w:rsidR="001F2C7C" w:rsidRPr="008A0EC8">
        <w:rPr>
          <w:lang w:val="fr-CH" w:eastAsia="ar-SA"/>
        </w:rPr>
        <w:t>é</w:t>
      </w:r>
      <w:r w:rsidR="000C73E4" w:rsidRPr="008A0EC8">
        <w:rPr>
          <w:lang w:val="fr-CH" w:eastAsia="ar-SA"/>
        </w:rPr>
        <w:t xml:space="preserve">rence. </w:t>
      </w:r>
      <w:r w:rsidR="002B4FD2" w:rsidRPr="008A0EC8">
        <w:rPr>
          <w:lang w:val="fr-CH" w:eastAsia="ar-SA"/>
        </w:rPr>
        <w:t xml:space="preserve"> </w:t>
      </w:r>
      <w:r w:rsidR="001F2C7C" w:rsidRPr="008A0EC8">
        <w:rPr>
          <w:lang w:val="fr-CH" w:eastAsia="ar-SA"/>
        </w:rPr>
        <w:t>Les</w:t>
      </w:r>
      <w:r w:rsidR="002B4FD2" w:rsidRPr="008A0EC8">
        <w:rPr>
          <w:lang w:val="fr-CH" w:eastAsia="ar-SA"/>
        </w:rPr>
        <w:t xml:space="preserve"> infrastructure</w:t>
      </w:r>
      <w:r w:rsidR="001F2C7C" w:rsidRPr="008A0EC8">
        <w:rPr>
          <w:lang w:val="fr-CH" w:eastAsia="ar-SA"/>
        </w:rPr>
        <w:t>s supplémentaires</w:t>
      </w:r>
      <w:r w:rsidR="002B4FD2" w:rsidRPr="008A0EC8">
        <w:rPr>
          <w:lang w:val="fr-CH" w:eastAsia="ar-SA"/>
        </w:rPr>
        <w:t xml:space="preserve">, </w:t>
      </w:r>
      <w:r w:rsidR="001F2C7C" w:rsidRPr="008A0EC8">
        <w:rPr>
          <w:lang w:val="fr-CH" w:eastAsia="ar-SA"/>
        </w:rPr>
        <w:t>notamment à l</w:t>
      </w:r>
      <w:r w:rsidR="00F13C7E" w:rsidRPr="008A0EC8">
        <w:rPr>
          <w:lang w:val="fr-CH" w:eastAsia="ar-SA"/>
        </w:rPr>
        <w:t>’</w:t>
      </w:r>
      <w:r w:rsidR="001F2C7C" w:rsidRPr="008A0EC8">
        <w:rPr>
          <w:lang w:val="fr-CH" w:eastAsia="ar-SA"/>
        </w:rPr>
        <w:t xml:space="preserve">appui </w:t>
      </w:r>
      <w:r w:rsidR="001F2C7C" w:rsidRPr="008A0EC8">
        <w:rPr>
          <w:lang w:val="fr-CH" w:eastAsia="ar-SA"/>
        </w:rPr>
        <w:lastRenderedPageBreak/>
        <w:t xml:space="preserve">de la nouvelle </w:t>
      </w:r>
      <w:r w:rsidR="002B4FD2" w:rsidRPr="008A0EC8">
        <w:rPr>
          <w:lang w:val="fr-CH" w:eastAsia="ar-SA"/>
        </w:rPr>
        <w:t>poli</w:t>
      </w:r>
      <w:r w:rsidR="001F2C7C" w:rsidRPr="008A0EC8">
        <w:rPr>
          <w:lang w:val="fr-CH" w:eastAsia="ar-SA"/>
        </w:rPr>
        <w:t>tique linguistique</w:t>
      </w:r>
      <w:r w:rsidR="002B4FD2" w:rsidRPr="008A0EC8">
        <w:rPr>
          <w:lang w:val="fr-CH" w:eastAsia="ar-SA"/>
        </w:rPr>
        <w:t xml:space="preserve">, </w:t>
      </w:r>
      <w:r w:rsidR="001F2C7C" w:rsidRPr="008A0EC8">
        <w:rPr>
          <w:lang w:val="fr-CH" w:eastAsia="ar-SA"/>
        </w:rPr>
        <w:t>pourront être mieux évaluées et planifiées lorsque la nouvelle salle de conférence sera en service</w:t>
      </w:r>
      <w:r w:rsidR="002B4FD2" w:rsidRPr="008A0EC8">
        <w:rPr>
          <w:lang w:val="fr-CH" w:eastAsia="ar-SA"/>
        </w:rPr>
        <w:t>.</w:t>
      </w:r>
    </w:p>
    <w:p w:rsidR="0074550C" w:rsidRPr="008A0EC8" w:rsidRDefault="0074550C" w:rsidP="008A0EC8">
      <w:pPr>
        <w:pStyle w:val="ONUMFS"/>
        <w:rPr>
          <w:lang w:val="fr-CH"/>
        </w:rPr>
      </w:pPr>
      <w:r w:rsidRPr="008A0EC8">
        <w:rPr>
          <w:lang w:val="fr-CH"/>
        </w:rPr>
        <w:t xml:space="preserve">Comme prévu à la </w:t>
      </w:r>
      <w:r w:rsidR="008A0EC8">
        <w:rPr>
          <w:lang w:val="fr-CH"/>
        </w:rPr>
        <w:t>vingt et unième</w:t>
      </w:r>
      <w:r w:rsidR="00E07D4C" w:rsidRPr="008A0EC8">
        <w:rPr>
          <w:lang w:val="fr-CH"/>
        </w:rPr>
        <w:t> </w:t>
      </w:r>
      <w:r w:rsidRPr="008A0EC8">
        <w:rPr>
          <w:lang w:val="fr-CH"/>
        </w:rPr>
        <w:t>session</w:t>
      </w:r>
      <w:r w:rsidR="00F13C7E" w:rsidRPr="008A0EC8">
        <w:rPr>
          <w:lang w:val="fr-CH"/>
        </w:rPr>
        <w:t xml:space="preserve"> du PBC</w:t>
      </w:r>
      <w:r w:rsidRPr="008A0EC8">
        <w:rPr>
          <w:lang w:val="fr-CH"/>
        </w:rPr>
        <w:t>, le remplacement des anciens ordinateurs de bureau était achevé à la fin de</w:t>
      </w:r>
      <w:r w:rsidR="00E07D4C" w:rsidRPr="008A0EC8">
        <w:rPr>
          <w:lang w:val="fr-CH"/>
        </w:rPr>
        <w:t> </w:t>
      </w:r>
      <w:r w:rsidRPr="008A0EC8">
        <w:rPr>
          <w:lang w:val="fr-CH"/>
        </w:rPr>
        <w:t>2013.</w:t>
      </w:r>
      <w:r w:rsidR="00A54667" w:rsidRPr="008A0EC8">
        <w:rPr>
          <w:lang w:val="fr-CH"/>
        </w:rPr>
        <w:t xml:space="preserve">  </w:t>
      </w:r>
      <w:r w:rsidRPr="008A0EC8">
        <w:rPr>
          <w:lang w:val="fr-CH"/>
        </w:rPr>
        <w:t>Aucun changement n</w:t>
      </w:r>
      <w:r w:rsidR="00F13C7E" w:rsidRPr="008A0EC8">
        <w:rPr>
          <w:lang w:val="fr-CH"/>
        </w:rPr>
        <w:t>’</w:t>
      </w:r>
      <w:r w:rsidRPr="008A0EC8">
        <w:rPr>
          <w:lang w:val="fr-CH"/>
        </w:rPr>
        <w:t>est intervenu dans la portée du projet et les principaux objectifs commerciaux définis ont tous été atteints comme prévu initialement.</w:t>
      </w:r>
      <w:r w:rsidR="00A54667" w:rsidRPr="008A0EC8">
        <w:rPr>
          <w:lang w:val="fr-CH"/>
        </w:rPr>
        <w:t xml:space="preserve">  </w:t>
      </w:r>
      <w:r w:rsidRPr="008A0EC8">
        <w:rPr>
          <w:lang w:val="fr-CH"/>
        </w:rPr>
        <w:t>Le nouvel environnement des ordinateurs de bureau, y</w:t>
      </w:r>
      <w:r w:rsidR="00D644CD" w:rsidRPr="008A0EC8">
        <w:rPr>
          <w:lang w:val="fr-CH"/>
        </w:rPr>
        <w:t> </w:t>
      </w:r>
      <w:r w:rsidRPr="008A0EC8">
        <w:rPr>
          <w:lang w:val="fr-CH"/>
        </w:rPr>
        <w:t xml:space="preserve">compris les versions actualisées des logiciels informatiques, est </w:t>
      </w:r>
      <w:r w:rsidR="00E07D4C" w:rsidRPr="008A0EC8">
        <w:rPr>
          <w:lang w:val="fr-CH"/>
        </w:rPr>
        <w:t>désormais utilisé et bien accepté</w:t>
      </w:r>
      <w:r w:rsidRPr="008A0EC8">
        <w:rPr>
          <w:lang w:val="fr-CH"/>
        </w:rPr>
        <w:t>.</w:t>
      </w:r>
    </w:p>
    <w:p w:rsidR="0074550C" w:rsidRPr="008A0EC8" w:rsidRDefault="00171257" w:rsidP="008A0EC8">
      <w:pPr>
        <w:pStyle w:val="Heading1"/>
      </w:pPr>
      <w:r w:rsidRPr="008A0EC8">
        <w:t>Résumé</w:t>
      </w:r>
    </w:p>
    <w:p w:rsidR="004421BD" w:rsidRPr="008A0EC8" w:rsidRDefault="00171257" w:rsidP="008A0EC8">
      <w:pPr>
        <w:pStyle w:val="ONUMFS"/>
        <w:rPr>
          <w:lang w:val="fr-CH"/>
        </w:rPr>
      </w:pPr>
      <w:r w:rsidRPr="008A0EC8">
        <w:rPr>
          <w:lang w:val="fr-CH"/>
        </w:rPr>
        <w:t>Les activités planifiées ont été menées à bien ou ont bien progressé.</w:t>
      </w:r>
      <w:r w:rsidR="00E07D4C" w:rsidRPr="008A0EC8">
        <w:rPr>
          <w:lang w:val="fr-CH"/>
        </w:rPr>
        <w:t xml:space="preserve"> </w:t>
      </w:r>
      <w:r w:rsidR="004421BD" w:rsidRPr="008A0EC8">
        <w:rPr>
          <w:lang w:val="fr-CH"/>
        </w:rPr>
        <w:t xml:space="preserve"> </w:t>
      </w:r>
      <w:r w:rsidRPr="008A0EC8">
        <w:rPr>
          <w:lang w:val="fr-CH"/>
        </w:rPr>
        <w:t>Même si certaines dépenses doivent encore être finalisées, on peut prévoir à ce stade que l</w:t>
      </w:r>
      <w:r w:rsidR="00F13C7E" w:rsidRPr="008A0EC8">
        <w:rPr>
          <w:lang w:val="fr-CH"/>
        </w:rPr>
        <w:t>’</w:t>
      </w:r>
      <w:r w:rsidRPr="008A0EC8">
        <w:rPr>
          <w:lang w:val="fr-CH"/>
        </w:rPr>
        <w:t>ensemble du projet sera mené à bien dans les limites du budget approuvé.</w:t>
      </w:r>
      <w:r w:rsidR="002B4FD2" w:rsidRPr="008A0EC8">
        <w:rPr>
          <w:lang w:val="fr-CH"/>
        </w:rPr>
        <w:t xml:space="preserve">  </w:t>
      </w:r>
      <w:r w:rsidRPr="008A0EC8">
        <w:rPr>
          <w:lang w:val="fr-CH"/>
        </w:rPr>
        <w:t>Le tableau ci</w:t>
      </w:r>
      <w:r w:rsidR="008A0EC8" w:rsidRPr="008A0EC8">
        <w:rPr>
          <w:lang w:val="fr-CH"/>
        </w:rPr>
        <w:noBreakHyphen/>
      </w:r>
      <w:r w:rsidRPr="008A0EC8">
        <w:rPr>
          <w:lang w:val="fr-CH"/>
        </w:rPr>
        <w:t>dessous présente l</w:t>
      </w:r>
      <w:r w:rsidR="00F13C7E" w:rsidRPr="008A0EC8">
        <w:rPr>
          <w:lang w:val="fr-CH"/>
        </w:rPr>
        <w:t>’</w:t>
      </w:r>
      <w:r w:rsidRPr="008A0EC8">
        <w:rPr>
          <w:lang w:val="fr-CH"/>
        </w:rPr>
        <w:t>utilisation actuelle du budget.</w:t>
      </w:r>
    </w:p>
    <w:tbl>
      <w:tblPr>
        <w:tblStyle w:val="TableGrid"/>
        <w:tblW w:w="10632" w:type="dxa"/>
        <w:tblInd w:w="-601" w:type="dxa"/>
        <w:tblLook w:val="04A0" w:firstRow="1" w:lastRow="0" w:firstColumn="1" w:lastColumn="0" w:noHBand="0" w:noVBand="1"/>
      </w:tblPr>
      <w:tblGrid>
        <w:gridCol w:w="851"/>
        <w:gridCol w:w="6521"/>
        <w:gridCol w:w="1417"/>
        <w:gridCol w:w="1843"/>
      </w:tblGrid>
      <w:tr w:rsidR="008A0EC8" w:rsidRPr="008A0EC8" w:rsidTr="008A0EC8">
        <w:trPr>
          <w:trHeight w:val="715"/>
        </w:trPr>
        <w:tc>
          <w:tcPr>
            <w:tcW w:w="851" w:type="dxa"/>
          </w:tcPr>
          <w:p w:rsidR="002727A1" w:rsidRPr="008A0EC8" w:rsidRDefault="00171257" w:rsidP="00171257">
            <w:pPr>
              <w:pStyle w:val="ONUME"/>
              <w:numPr>
                <w:ilvl w:val="0"/>
                <w:numId w:val="0"/>
              </w:numPr>
              <w:jc w:val="center"/>
              <w:rPr>
                <w:b/>
                <w:sz w:val="20"/>
              </w:rPr>
            </w:pPr>
            <w:proofErr w:type="spellStart"/>
            <w:r w:rsidRPr="008A0EC8">
              <w:rPr>
                <w:b/>
                <w:sz w:val="20"/>
              </w:rPr>
              <w:t>Réf</w:t>
            </w:r>
            <w:proofErr w:type="spellEnd"/>
            <w:r w:rsidRPr="008A0EC8">
              <w:rPr>
                <w:b/>
                <w:sz w:val="20"/>
              </w:rPr>
              <w:t>.</w:t>
            </w:r>
          </w:p>
        </w:tc>
        <w:tc>
          <w:tcPr>
            <w:tcW w:w="6521" w:type="dxa"/>
          </w:tcPr>
          <w:p w:rsidR="002727A1" w:rsidRPr="008A0EC8" w:rsidRDefault="00171257" w:rsidP="00171257">
            <w:pPr>
              <w:pStyle w:val="ONUME"/>
              <w:numPr>
                <w:ilvl w:val="0"/>
                <w:numId w:val="0"/>
              </w:numPr>
              <w:jc w:val="center"/>
              <w:rPr>
                <w:b/>
                <w:sz w:val="20"/>
              </w:rPr>
            </w:pPr>
            <w:r w:rsidRPr="008A0EC8">
              <w:rPr>
                <w:b/>
                <w:sz w:val="20"/>
              </w:rPr>
              <w:t>Description</w:t>
            </w:r>
          </w:p>
        </w:tc>
        <w:tc>
          <w:tcPr>
            <w:tcW w:w="1417" w:type="dxa"/>
          </w:tcPr>
          <w:p w:rsidR="002727A1" w:rsidRPr="008A0EC8" w:rsidRDefault="00171257" w:rsidP="008A0EC8">
            <w:pPr>
              <w:pStyle w:val="ONUME"/>
              <w:numPr>
                <w:ilvl w:val="0"/>
                <w:numId w:val="0"/>
              </w:numPr>
              <w:rPr>
                <w:sz w:val="20"/>
                <w:lang w:val="fr-CH"/>
              </w:rPr>
            </w:pPr>
            <w:r w:rsidRPr="008A0EC8">
              <w:rPr>
                <w:sz w:val="20"/>
                <w:lang w:val="fr-CH"/>
              </w:rPr>
              <w:t>Budget estimé (en francs suisses)</w:t>
            </w:r>
          </w:p>
        </w:tc>
        <w:tc>
          <w:tcPr>
            <w:tcW w:w="1843" w:type="dxa"/>
          </w:tcPr>
          <w:p w:rsidR="002727A1" w:rsidRPr="008A0EC8" w:rsidRDefault="00171257" w:rsidP="00171257">
            <w:pPr>
              <w:pStyle w:val="ONUME"/>
              <w:numPr>
                <w:ilvl w:val="0"/>
                <w:numId w:val="0"/>
              </w:numPr>
              <w:jc w:val="center"/>
              <w:rPr>
                <w:b/>
                <w:sz w:val="20"/>
                <w:lang w:val="fr-CH"/>
              </w:rPr>
            </w:pPr>
            <w:r w:rsidRPr="008A0EC8">
              <w:rPr>
                <w:sz w:val="20"/>
                <w:lang w:val="fr-CH"/>
              </w:rPr>
              <w:t>Dépenses effectives</w:t>
            </w:r>
            <w:r w:rsidRPr="008A0EC8">
              <w:rPr>
                <w:rStyle w:val="FootnoteReference"/>
                <w:sz w:val="20"/>
              </w:rPr>
              <w:footnoteReference w:id="2"/>
            </w:r>
            <w:r w:rsidRPr="008A0EC8">
              <w:rPr>
                <w:sz w:val="20"/>
                <w:lang w:val="fr-CH"/>
              </w:rPr>
              <w:t xml:space="preserve"> (en francs suisses)</w:t>
            </w:r>
          </w:p>
        </w:tc>
      </w:tr>
      <w:tr w:rsidR="008A0EC8" w:rsidRPr="008A0EC8" w:rsidTr="008A0EC8">
        <w:trPr>
          <w:trHeight w:val="940"/>
        </w:trPr>
        <w:tc>
          <w:tcPr>
            <w:tcW w:w="851" w:type="dxa"/>
          </w:tcPr>
          <w:p w:rsidR="002727A1" w:rsidRPr="008A0EC8" w:rsidRDefault="002727A1" w:rsidP="002727A1">
            <w:pPr>
              <w:pStyle w:val="ONUME"/>
              <w:numPr>
                <w:ilvl w:val="0"/>
                <w:numId w:val="0"/>
              </w:numPr>
              <w:jc w:val="center"/>
              <w:rPr>
                <w:b/>
                <w:sz w:val="20"/>
              </w:rPr>
            </w:pPr>
            <w:r w:rsidRPr="008A0EC8">
              <w:rPr>
                <w:b/>
                <w:sz w:val="20"/>
              </w:rPr>
              <w:t>1.</w:t>
            </w:r>
          </w:p>
        </w:tc>
        <w:tc>
          <w:tcPr>
            <w:tcW w:w="6521" w:type="dxa"/>
          </w:tcPr>
          <w:p w:rsidR="002727A1" w:rsidRPr="008A0EC8" w:rsidRDefault="00AB2E05" w:rsidP="00AB2E05">
            <w:pPr>
              <w:pStyle w:val="ONUME"/>
              <w:numPr>
                <w:ilvl w:val="0"/>
                <w:numId w:val="0"/>
              </w:numPr>
              <w:rPr>
                <w:b/>
                <w:sz w:val="20"/>
                <w:lang w:val="fr-CH"/>
              </w:rPr>
            </w:pPr>
            <w:r w:rsidRPr="008A0EC8">
              <w:rPr>
                <w:b/>
                <w:sz w:val="20"/>
                <w:lang w:val="fr-CH"/>
              </w:rPr>
              <w:t>Installations dans le domaine</w:t>
            </w:r>
            <w:r w:rsidR="00F13C7E" w:rsidRPr="008A0EC8">
              <w:rPr>
                <w:b/>
                <w:sz w:val="20"/>
                <w:lang w:val="fr-CH"/>
              </w:rPr>
              <w:t xml:space="preserve"> des TIC</w:t>
            </w:r>
            <w:r w:rsidRPr="008A0EC8">
              <w:rPr>
                <w:b/>
                <w:sz w:val="20"/>
                <w:lang w:val="fr-CH"/>
              </w:rPr>
              <w:t xml:space="preserve"> pour la nouvelle salle de conférence, les salles de réunion annexes et les autres salles de réunion situées dans les locaux de l</w:t>
            </w:r>
            <w:r w:rsidR="00F13C7E" w:rsidRPr="008A0EC8">
              <w:rPr>
                <w:b/>
                <w:sz w:val="20"/>
                <w:lang w:val="fr-CH"/>
              </w:rPr>
              <w:t>’</w:t>
            </w:r>
            <w:r w:rsidRPr="008A0EC8">
              <w:rPr>
                <w:b/>
                <w:sz w:val="20"/>
                <w:lang w:val="fr-CH"/>
              </w:rPr>
              <w:t>OMPI</w:t>
            </w:r>
          </w:p>
        </w:tc>
        <w:tc>
          <w:tcPr>
            <w:tcW w:w="1417" w:type="dxa"/>
          </w:tcPr>
          <w:p w:rsidR="002727A1" w:rsidRPr="008A0EC8" w:rsidRDefault="002727A1" w:rsidP="002727A1">
            <w:pPr>
              <w:pStyle w:val="ONUME"/>
              <w:numPr>
                <w:ilvl w:val="0"/>
                <w:numId w:val="0"/>
              </w:numPr>
              <w:rPr>
                <w:sz w:val="20"/>
                <w:lang w:val="fr-CH"/>
              </w:rPr>
            </w:pPr>
          </w:p>
        </w:tc>
        <w:tc>
          <w:tcPr>
            <w:tcW w:w="1843" w:type="dxa"/>
          </w:tcPr>
          <w:p w:rsidR="002727A1" w:rsidRPr="008A0EC8" w:rsidRDefault="002727A1" w:rsidP="002727A1">
            <w:pPr>
              <w:pStyle w:val="ONUME"/>
              <w:numPr>
                <w:ilvl w:val="0"/>
                <w:numId w:val="0"/>
              </w:numPr>
              <w:rPr>
                <w:sz w:val="20"/>
                <w:lang w:val="fr-CH"/>
              </w:rPr>
            </w:pPr>
          </w:p>
        </w:tc>
      </w:tr>
      <w:tr w:rsidR="008A0EC8" w:rsidRPr="008A0EC8" w:rsidTr="008A0EC8">
        <w:tc>
          <w:tcPr>
            <w:tcW w:w="851" w:type="dxa"/>
          </w:tcPr>
          <w:p w:rsidR="002727A1" w:rsidRPr="008A0EC8" w:rsidRDefault="002727A1" w:rsidP="002727A1">
            <w:pPr>
              <w:pStyle w:val="ONUME"/>
              <w:numPr>
                <w:ilvl w:val="0"/>
                <w:numId w:val="0"/>
              </w:numPr>
              <w:jc w:val="center"/>
              <w:rPr>
                <w:sz w:val="20"/>
                <w:lang w:val="fr-CH"/>
              </w:rPr>
            </w:pPr>
          </w:p>
        </w:tc>
        <w:tc>
          <w:tcPr>
            <w:tcW w:w="6521" w:type="dxa"/>
          </w:tcPr>
          <w:p w:rsidR="002727A1" w:rsidRPr="008A0EC8" w:rsidRDefault="00AB2E05" w:rsidP="00AB2E05">
            <w:pPr>
              <w:pStyle w:val="ONUME"/>
              <w:numPr>
                <w:ilvl w:val="0"/>
                <w:numId w:val="0"/>
              </w:numPr>
              <w:rPr>
                <w:sz w:val="20"/>
                <w:lang w:val="fr-CH"/>
              </w:rPr>
            </w:pPr>
            <w:r w:rsidRPr="008A0EC8">
              <w:rPr>
                <w:sz w:val="20"/>
                <w:lang w:val="fr-CH"/>
              </w:rPr>
              <w:t>Commutateurs de réseau pour connecter plus de 900 places, points d</w:t>
            </w:r>
            <w:r w:rsidR="00F13C7E" w:rsidRPr="008A0EC8">
              <w:rPr>
                <w:sz w:val="20"/>
                <w:lang w:val="fr-CH"/>
              </w:rPr>
              <w:t>’</w:t>
            </w:r>
            <w:r w:rsidRPr="008A0EC8">
              <w:rPr>
                <w:sz w:val="20"/>
                <w:lang w:val="fr-CH"/>
              </w:rPr>
              <w:t xml:space="preserve">accès </w:t>
            </w:r>
            <w:proofErr w:type="spellStart"/>
            <w:r w:rsidRPr="008A0EC8">
              <w:rPr>
                <w:sz w:val="20"/>
                <w:lang w:val="fr-CH"/>
              </w:rPr>
              <w:t>WiFi</w:t>
            </w:r>
            <w:proofErr w:type="spellEnd"/>
            <w:r w:rsidRPr="008A0EC8">
              <w:rPr>
                <w:sz w:val="20"/>
                <w:lang w:val="fr-CH"/>
              </w:rPr>
              <w:t>, couverture mobile UMTS, etc.</w:t>
            </w:r>
          </w:p>
        </w:tc>
        <w:tc>
          <w:tcPr>
            <w:tcW w:w="1417" w:type="dxa"/>
          </w:tcPr>
          <w:p w:rsidR="002727A1" w:rsidRPr="008A0EC8" w:rsidRDefault="00AB2E05" w:rsidP="00AB2E05">
            <w:pPr>
              <w:pStyle w:val="ONUME"/>
              <w:numPr>
                <w:ilvl w:val="0"/>
                <w:numId w:val="0"/>
              </w:numPr>
              <w:jc w:val="center"/>
              <w:rPr>
                <w:sz w:val="20"/>
              </w:rPr>
            </w:pPr>
            <w:r w:rsidRPr="008A0EC8">
              <w:rPr>
                <w:sz w:val="20"/>
              </w:rPr>
              <w:t>450 000</w:t>
            </w:r>
          </w:p>
        </w:tc>
        <w:tc>
          <w:tcPr>
            <w:tcW w:w="1843" w:type="dxa"/>
          </w:tcPr>
          <w:p w:rsidR="002727A1" w:rsidRPr="008A0EC8" w:rsidRDefault="00AB2E05" w:rsidP="00AB2E05">
            <w:pPr>
              <w:pStyle w:val="ONUME"/>
              <w:numPr>
                <w:ilvl w:val="0"/>
                <w:numId w:val="0"/>
              </w:numPr>
              <w:jc w:val="center"/>
              <w:rPr>
                <w:sz w:val="20"/>
              </w:rPr>
            </w:pPr>
            <w:r w:rsidRPr="008A0EC8">
              <w:rPr>
                <w:sz w:val="20"/>
              </w:rPr>
              <w:t>235 537</w:t>
            </w:r>
          </w:p>
        </w:tc>
      </w:tr>
      <w:tr w:rsidR="008A0EC8" w:rsidRPr="008A0EC8" w:rsidTr="008A0EC8">
        <w:tc>
          <w:tcPr>
            <w:tcW w:w="851" w:type="dxa"/>
          </w:tcPr>
          <w:p w:rsidR="002727A1" w:rsidRPr="008A0EC8" w:rsidRDefault="002727A1" w:rsidP="002727A1">
            <w:pPr>
              <w:pStyle w:val="ONUME"/>
              <w:numPr>
                <w:ilvl w:val="0"/>
                <w:numId w:val="0"/>
              </w:numPr>
              <w:jc w:val="center"/>
              <w:rPr>
                <w:sz w:val="20"/>
              </w:rPr>
            </w:pPr>
          </w:p>
        </w:tc>
        <w:tc>
          <w:tcPr>
            <w:tcW w:w="6521" w:type="dxa"/>
          </w:tcPr>
          <w:p w:rsidR="002727A1" w:rsidRPr="008A0EC8" w:rsidRDefault="00AB2E05" w:rsidP="00AB2E05">
            <w:pPr>
              <w:pStyle w:val="ONUME"/>
              <w:numPr>
                <w:ilvl w:val="0"/>
                <w:numId w:val="0"/>
              </w:numPr>
              <w:rPr>
                <w:sz w:val="20"/>
                <w:lang w:val="fr-CH"/>
              </w:rPr>
            </w:pPr>
            <w:r w:rsidRPr="008A0EC8">
              <w:rPr>
                <w:sz w:val="20"/>
                <w:lang w:val="fr-CH"/>
              </w:rPr>
              <w:t>Téléphones sur IP et infrastructure informatique connexe</w:t>
            </w:r>
          </w:p>
        </w:tc>
        <w:tc>
          <w:tcPr>
            <w:tcW w:w="1417" w:type="dxa"/>
          </w:tcPr>
          <w:p w:rsidR="002727A1" w:rsidRPr="008A0EC8" w:rsidRDefault="00AB2E05" w:rsidP="00AB2E05">
            <w:pPr>
              <w:pStyle w:val="ONUME"/>
              <w:numPr>
                <w:ilvl w:val="0"/>
                <w:numId w:val="0"/>
              </w:numPr>
              <w:jc w:val="center"/>
              <w:rPr>
                <w:sz w:val="20"/>
              </w:rPr>
            </w:pPr>
            <w:r w:rsidRPr="008A0EC8">
              <w:rPr>
                <w:sz w:val="20"/>
              </w:rPr>
              <w:t>30 000</w:t>
            </w:r>
          </w:p>
        </w:tc>
        <w:tc>
          <w:tcPr>
            <w:tcW w:w="1843" w:type="dxa"/>
          </w:tcPr>
          <w:p w:rsidR="002727A1" w:rsidRPr="008A0EC8" w:rsidRDefault="00AB2E05" w:rsidP="00AB2E05">
            <w:pPr>
              <w:pStyle w:val="ONUME"/>
              <w:numPr>
                <w:ilvl w:val="0"/>
                <w:numId w:val="0"/>
              </w:numPr>
              <w:jc w:val="center"/>
              <w:rPr>
                <w:sz w:val="20"/>
              </w:rPr>
            </w:pPr>
            <w:r w:rsidRPr="008A0EC8">
              <w:rPr>
                <w:sz w:val="20"/>
              </w:rPr>
              <w:t>33 450</w:t>
            </w:r>
          </w:p>
        </w:tc>
      </w:tr>
      <w:tr w:rsidR="008A0EC8" w:rsidRPr="008A0EC8" w:rsidTr="008A0EC8">
        <w:tc>
          <w:tcPr>
            <w:tcW w:w="851" w:type="dxa"/>
          </w:tcPr>
          <w:p w:rsidR="002727A1" w:rsidRPr="008A0EC8" w:rsidRDefault="002727A1" w:rsidP="002727A1">
            <w:pPr>
              <w:pStyle w:val="ONUME"/>
              <w:numPr>
                <w:ilvl w:val="0"/>
                <w:numId w:val="0"/>
              </w:numPr>
              <w:jc w:val="center"/>
              <w:rPr>
                <w:sz w:val="20"/>
              </w:rPr>
            </w:pPr>
          </w:p>
        </w:tc>
        <w:tc>
          <w:tcPr>
            <w:tcW w:w="6521" w:type="dxa"/>
          </w:tcPr>
          <w:p w:rsidR="002727A1" w:rsidRPr="008A0EC8" w:rsidRDefault="00AB2E05" w:rsidP="00AB2E05">
            <w:pPr>
              <w:pStyle w:val="ONUME"/>
              <w:numPr>
                <w:ilvl w:val="0"/>
                <w:numId w:val="0"/>
              </w:numPr>
              <w:rPr>
                <w:sz w:val="20"/>
                <w:lang w:val="fr-CH"/>
              </w:rPr>
            </w:pPr>
            <w:r w:rsidRPr="008A0EC8">
              <w:rPr>
                <w:sz w:val="20"/>
                <w:lang w:val="fr-CH"/>
              </w:rPr>
              <w:t>Équipement de visioconférence pour les exposés à distance, diffusion sur le Web d</w:t>
            </w:r>
            <w:r w:rsidR="00F13C7E" w:rsidRPr="008A0EC8">
              <w:rPr>
                <w:sz w:val="20"/>
                <w:lang w:val="fr-CH"/>
              </w:rPr>
              <w:t>’</w:t>
            </w:r>
            <w:r w:rsidRPr="008A0EC8">
              <w:rPr>
                <w:sz w:val="20"/>
                <w:lang w:val="fr-CH"/>
              </w:rPr>
              <w:t>enregistrements numériques, vidéo à la demande, sous</w:t>
            </w:r>
            <w:r w:rsidR="008A0EC8" w:rsidRPr="008A0EC8">
              <w:rPr>
                <w:sz w:val="20"/>
                <w:lang w:val="fr-CH"/>
              </w:rPr>
              <w:noBreakHyphen/>
            </w:r>
            <w:r w:rsidRPr="008A0EC8">
              <w:rPr>
                <w:sz w:val="20"/>
                <w:lang w:val="fr-CH"/>
              </w:rPr>
              <w:t>titrage, etc.</w:t>
            </w:r>
          </w:p>
        </w:tc>
        <w:tc>
          <w:tcPr>
            <w:tcW w:w="1417" w:type="dxa"/>
          </w:tcPr>
          <w:p w:rsidR="002727A1" w:rsidRPr="008A0EC8" w:rsidRDefault="00AB2E05" w:rsidP="00AB2E05">
            <w:pPr>
              <w:pStyle w:val="ONUME"/>
              <w:numPr>
                <w:ilvl w:val="0"/>
                <w:numId w:val="0"/>
              </w:numPr>
              <w:jc w:val="center"/>
              <w:rPr>
                <w:sz w:val="20"/>
              </w:rPr>
            </w:pPr>
            <w:r w:rsidRPr="008A0EC8">
              <w:rPr>
                <w:sz w:val="20"/>
              </w:rPr>
              <w:t>600 000</w:t>
            </w:r>
          </w:p>
        </w:tc>
        <w:tc>
          <w:tcPr>
            <w:tcW w:w="1843" w:type="dxa"/>
          </w:tcPr>
          <w:p w:rsidR="002727A1" w:rsidRPr="008A0EC8" w:rsidRDefault="00AB2E05" w:rsidP="00AB2E05">
            <w:pPr>
              <w:pStyle w:val="ONUME"/>
              <w:numPr>
                <w:ilvl w:val="0"/>
                <w:numId w:val="0"/>
              </w:numPr>
              <w:jc w:val="center"/>
              <w:rPr>
                <w:sz w:val="20"/>
              </w:rPr>
            </w:pPr>
            <w:r w:rsidRPr="008A0EC8">
              <w:rPr>
                <w:sz w:val="20"/>
              </w:rPr>
              <w:t>179 813</w:t>
            </w:r>
          </w:p>
        </w:tc>
      </w:tr>
      <w:tr w:rsidR="008A0EC8" w:rsidRPr="008A0EC8" w:rsidTr="008A0EC8">
        <w:tc>
          <w:tcPr>
            <w:tcW w:w="851" w:type="dxa"/>
          </w:tcPr>
          <w:p w:rsidR="002727A1" w:rsidRPr="008A0EC8" w:rsidRDefault="002727A1" w:rsidP="002727A1">
            <w:pPr>
              <w:pStyle w:val="ONUME"/>
              <w:numPr>
                <w:ilvl w:val="0"/>
                <w:numId w:val="0"/>
              </w:numPr>
              <w:jc w:val="center"/>
              <w:rPr>
                <w:b/>
                <w:sz w:val="20"/>
              </w:rPr>
            </w:pPr>
          </w:p>
        </w:tc>
        <w:tc>
          <w:tcPr>
            <w:tcW w:w="6521" w:type="dxa"/>
          </w:tcPr>
          <w:p w:rsidR="002727A1" w:rsidRPr="008A0EC8" w:rsidRDefault="00AB2E05" w:rsidP="00AB2E05">
            <w:pPr>
              <w:pStyle w:val="ONUME"/>
              <w:numPr>
                <w:ilvl w:val="0"/>
                <w:numId w:val="0"/>
              </w:numPr>
              <w:rPr>
                <w:b/>
                <w:sz w:val="20"/>
              </w:rPr>
            </w:pPr>
            <w:r w:rsidRPr="008A0EC8">
              <w:rPr>
                <w:b/>
                <w:sz w:val="20"/>
              </w:rPr>
              <w:t>Sous</w:t>
            </w:r>
            <w:r w:rsidR="008A0EC8" w:rsidRPr="008A0EC8">
              <w:rPr>
                <w:b/>
                <w:sz w:val="20"/>
              </w:rPr>
              <w:noBreakHyphen/>
            </w:r>
            <w:r w:rsidRPr="008A0EC8">
              <w:rPr>
                <w:b/>
                <w:sz w:val="20"/>
              </w:rPr>
              <w:t>total</w:t>
            </w:r>
          </w:p>
        </w:tc>
        <w:tc>
          <w:tcPr>
            <w:tcW w:w="1417" w:type="dxa"/>
          </w:tcPr>
          <w:p w:rsidR="002727A1" w:rsidRPr="008A0EC8" w:rsidRDefault="00AB2E05" w:rsidP="00AB2E05">
            <w:pPr>
              <w:pStyle w:val="ONUME"/>
              <w:numPr>
                <w:ilvl w:val="0"/>
                <w:numId w:val="0"/>
              </w:numPr>
              <w:jc w:val="center"/>
              <w:rPr>
                <w:b/>
                <w:sz w:val="20"/>
              </w:rPr>
            </w:pPr>
            <w:r w:rsidRPr="008A0EC8">
              <w:rPr>
                <w:b/>
                <w:sz w:val="20"/>
              </w:rPr>
              <w:t>1 080 000</w:t>
            </w:r>
          </w:p>
        </w:tc>
        <w:tc>
          <w:tcPr>
            <w:tcW w:w="1843" w:type="dxa"/>
          </w:tcPr>
          <w:p w:rsidR="002727A1" w:rsidRPr="008A0EC8" w:rsidRDefault="00AB2E05" w:rsidP="00AB2E05">
            <w:pPr>
              <w:pStyle w:val="ONUME"/>
              <w:numPr>
                <w:ilvl w:val="0"/>
                <w:numId w:val="0"/>
              </w:numPr>
              <w:jc w:val="center"/>
              <w:rPr>
                <w:b/>
                <w:sz w:val="20"/>
              </w:rPr>
            </w:pPr>
            <w:r w:rsidRPr="008A0EC8">
              <w:rPr>
                <w:b/>
                <w:sz w:val="20"/>
              </w:rPr>
              <w:t>448 800</w:t>
            </w:r>
          </w:p>
        </w:tc>
      </w:tr>
      <w:tr w:rsidR="008A0EC8" w:rsidRPr="008A0EC8" w:rsidTr="008A0EC8">
        <w:tc>
          <w:tcPr>
            <w:tcW w:w="851" w:type="dxa"/>
          </w:tcPr>
          <w:p w:rsidR="002727A1" w:rsidRPr="008A0EC8" w:rsidRDefault="002727A1" w:rsidP="002727A1">
            <w:pPr>
              <w:pStyle w:val="ONUME"/>
              <w:numPr>
                <w:ilvl w:val="0"/>
                <w:numId w:val="0"/>
              </w:numPr>
              <w:jc w:val="center"/>
              <w:rPr>
                <w:b/>
                <w:sz w:val="20"/>
              </w:rPr>
            </w:pPr>
            <w:r w:rsidRPr="008A0EC8">
              <w:rPr>
                <w:b/>
                <w:sz w:val="20"/>
              </w:rPr>
              <w:t>2.</w:t>
            </w:r>
          </w:p>
        </w:tc>
        <w:tc>
          <w:tcPr>
            <w:tcW w:w="6521" w:type="dxa"/>
          </w:tcPr>
          <w:p w:rsidR="002727A1" w:rsidRPr="008A0EC8" w:rsidRDefault="00AB2E05" w:rsidP="00AB2E05">
            <w:pPr>
              <w:pStyle w:val="ONUME"/>
              <w:numPr>
                <w:ilvl w:val="0"/>
                <w:numId w:val="0"/>
              </w:numPr>
              <w:rPr>
                <w:b/>
                <w:sz w:val="20"/>
                <w:lang w:val="fr-CH"/>
              </w:rPr>
            </w:pPr>
            <w:r w:rsidRPr="008A0EC8">
              <w:rPr>
                <w:b/>
                <w:sz w:val="20"/>
                <w:lang w:val="fr-CH"/>
              </w:rPr>
              <w:t>Remplacement de l</w:t>
            </w:r>
            <w:r w:rsidR="00F13C7E" w:rsidRPr="008A0EC8">
              <w:rPr>
                <w:b/>
                <w:sz w:val="20"/>
                <w:lang w:val="fr-CH"/>
              </w:rPr>
              <w:t>’</w:t>
            </w:r>
            <w:r w:rsidRPr="008A0EC8">
              <w:rPr>
                <w:b/>
                <w:sz w:val="20"/>
                <w:lang w:val="fr-CH"/>
              </w:rPr>
              <w:t>ancien central téléphonique Nortel Meridian</w:t>
            </w:r>
          </w:p>
        </w:tc>
        <w:tc>
          <w:tcPr>
            <w:tcW w:w="1417" w:type="dxa"/>
          </w:tcPr>
          <w:p w:rsidR="002727A1" w:rsidRPr="008A0EC8" w:rsidRDefault="002727A1" w:rsidP="002727A1">
            <w:pPr>
              <w:pStyle w:val="ONUME"/>
              <w:numPr>
                <w:ilvl w:val="0"/>
                <w:numId w:val="0"/>
              </w:numPr>
              <w:jc w:val="center"/>
              <w:rPr>
                <w:sz w:val="20"/>
                <w:lang w:val="fr-CH"/>
              </w:rPr>
            </w:pPr>
          </w:p>
        </w:tc>
        <w:tc>
          <w:tcPr>
            <w:tcW w:w="1843" w:type="dxa"/>
          </w:tcPr>
          <w:p w:rsidR="002727A1" w:rsidRPr="008A0EC8" w:rsidRDefault="002727A1" w:rsidP="002727A1">
            <w:pPr>
              <w:pStyle w:val="ONUME"/>
              <w:numPr>
                <w:ilvl w:val="0"/>
                <w:numId w:val="0"/>
              </w:numPr>
              <w:jc w:val="center"/>
              <w:rPr>
                <w:sz w:val="20"/>
                <w:lang w:val="fr-CH"/>
              </w:rPr>
            </w:pPr>
          </w:p>
        </w:tc>
      </w:tr>
      <w:tr w:rsidR="008A0EC8" w:rsidRPr="008A0EC8" w:rsidTr="008A0EC8">
        <w:tc>
          <w:tcPr>
            <w:tcW w:w="851" w:type="dxa"/>
          </w:tcPr>
          <w:p w:rsidR="002727A1" w:rsidRPr="008A0EC8" w:rsidRDefault="002727A1" w:rsidP="002727A1">
            <w:pPr>
              <w:pStyle w:val="ONUME"/>
              <w:numPr>
                <w:ilvl w:val="0"/>
                <w:numId w:val="0"/>
              </w:numPr>
              <w:jc w:val="center"/>
              <w:rPr>
                <w:sz w:val="20"/>
                <w:lang w:val="fr-CH"/>
              </w:rPr>
            </w:pPr>
          </w:p>
        </w:tc>
        <w:tc>
          <w:tcPr>
            <w:tcW w:w="6521" w:type="dxa"/>
          </w:tcPr>
          <w:p w:rsidR="002727A1" w:rsidRPr="008A0EC8" w:rsidRDefault="00AB2E05" w:rsidP="00AB2E05">
            <w:pPr>
              <w:pStyle w:val="ONUME"/>
              <w:numPr>
                <w:ilvl w:val="0"/>
                <w:numId w:val="0"/>
              </w:numPr>
              <w:rPr>
                <w:sz w:val="20"/>
                <w:lang w:val="fr-CH"/>
              </w:rPr>
            </w:pPr>
            <w:r w:rsidRPr="008A0EC8">
              <w:rPr>
                <w:sz w:val="20"/>
                <w:lang w:val="fr-CH"/>
              </w:rPr>
              <w:t>Installation du matériel et des logiciels pour la téléphonie sur IP dans les bâtiments existants de l</w:t>
            </w:r>
            <w:r w:rsidR="00F13C7E" w:rsidRPr="008A0EC8">
              <w:rPr>
                <w:sz w:val="20"/>
                <w:lang w:val="fr-CH"/>
              </w:rPr>
              <w:t>’</w:t>
            </w:r>
            <w:r w:rsidRPr="008A0EC8">
              <w:rPr>
                <w:sz w:val="20"/>
                <w:lang w:val="fr-CH"/>
              </w:rPr>
              <w:t>OMPI</w:t>
            </w:r>
          </w:p>
        </w:tc>
        <w:tc>
          <w:tcPr>
            <w:tcW w:w="1417" w:type="dxa"/>
          </w:tcPr>
          <w:p w:rsidR="002727A1" w:rsidRPr="008A0EC8" w:rsidRDefault="00AB2E05" w:rsidP="00AB2E05">
            <w:pPr>
              <w:pStyle w:val="ONUME"/>
              <w:numPr>
                <w:ilvl w:val="0"/>
                <w:numId w:val="0"/>
              </w:numPr>
              <w:jc w:val="center"/>
              <w:rPr>
                <w:sz w:val="20"/>
              </w:rPr>
            </w:pPr>
            <w:r w:rsidRPr="008A0EC8">
              <w:rPr>
                <w:sz w:val="20"/>
              </w:rPr>
              <w:t>850 000</w:t>
            </w:r>
          </w:p>
        </w:tc>
        <w:tc>
          <w:tcPr>
            <w:tcW w:w="1843" w:type="dxa"/>
          </w:tcPr>
          <w:p w:rsidR="002727A1" w:rsidRPr="008A0EC8" w:rsidRDefault="00AB2E05" w:rsidP="00AB2E05">
            <w:pPr>
              <w:pStyle w:val="ONUME"/>
              <w:numPr>
                <w:ilvl w:val="0"/>
                <w:numId w:val="0"/>
              </w:numPr>
              <w:jc w:val="center"/>
              <w:rPr>
                <w:sz w:val="20"/>
              </w:rPr>
            </w:pPr>
            <w:r w:rsidRPr="008A0EC8">
              <w:rPr>
                <w:sz w:val="20"/>
              </w:rPr>
              <w:t>818 309</w:t>
            </w:r>
          </w:p>
        </w:tc>
      </w:tr>
      <w:tr w:rsidR="008A0EC8" w:rsidRPr="008A0EC8" w:rsidTr="008A0EC8">
        <w:tc>
          <w:tcPr>
            <w:tcW w:w="851" w:type="dxa"/>
          </w:tcPr>
          <w:p w:rsidR="002727A1" w:rsidRPr="008A0EC8" w:rsidRDefault="002727A1" w:rsidP="002727A1">
            <w:pPr>
              <w:pStyle w:val="ONUME"/>
              <w:numPr>
                <w:ilvl w:val="0"/>
                <w:numId w:val="0"/>
              </w:numPr>
              <w:jc w:val="center"/>
              <w:rPr>
                <w:sz w:val="20"/>
              </w:rPr>
            </w:pPr>
          </w:p>
        </w:tc>
        <w:tc>
          <w:tcPr>
            <w:tcW w:w="6521" w:type="dxa"/>
          </w:tcPr>
          <w:p w:rsidR="002727A1" w:rsidRPr="008A0EC8" w:rsidRDefault="00AB2E05" w:rsidP="00AB2E05">
            <w:pPr>
              <w:pStyle w:val="ONUME"/>
              <w:numPr>
                <w:ilvl w:val="0"/>
                <w:numId w:val="0"/>
              </w:numPr>
              <w:rPr>
                <w:sz w:val="20"/>
                <w:lang w:val="fr-CH"/>
              </w:rPr>
            </w:pPr>
            <w:r w:rsidRPr="008A0EC8">
              <w:rPr>
                <w:sz w:val="20"/>
                <w:lang w:val="fr-CH"/>
              </w:rPr>
              <w:t>Services d</w:t>
            </w:r>
            <w:r w:rsidR="00F13C7E" w:rsidRPr="008A0EC8">
              <w:rPr>
                <w:sz w:val="20"/>
                <w:lang w:val="fr-CH"/>
              </w:rPr>
              <w:t>’</w:t>
            </w:r>
            <w:r w:rsidRPr="008A0EC8">
              <w:rPr>
                <w:sz w:val="20"/>
                <w:lang w:val="fr-CH"/>
              </w:rPr>
              <w:t>installation et de mise en œuvre</w:t>
            </w:r>
          </w:p>
        </w:tc>
        <w:tc>
          <w:tcPr>
            <w:tcW w:w="1417" w:type="dxa"/>
          </w:tcPr>
          <w:p w:rsidR="002727A1" w:rsidRPr="008A0EC8" w:rsidRDefault="00AB2E05" w:rsidP="00AB2E05">
            <w:pPr>
              <w:pStyle w:val="ONUME"/>
              <w:numPr>
                <w:ilvl w:val="0"/>
                <w:numId w:val="0"/>
              </w:numPr>
              <w:jc w:val="center"/>
              <w:rPr>
                <w:sz w:val="20"/>
              </w:rPr>
            </w:pPr>
            <w:r w:rsidRPr="008A0EC8">
              <w:rPr>
                <w:sz w:val="20"/>
              </w:rPr>
              <w:t>250 000</w:t>
            </w:r>
          </w:p>
        </w:tc>
        <w:tc>
          <w:tcPr>
            <w:tcW w:w="1843" w:type="dxa"/>
          </w:tcPr>
          <w:p w:rsidR="002727A1" w:rsidRPr="008A0EC8" w:rsidRDefault="00AB2E05" w:rsidP="00AB2E05">
            <w:pPr>
              <w:pStyle w:val="ONUME"/>
              <w:numPr>
                <w:ilvl w:val="0"/>
                <w:numId w:val="0"/>
              </w:numPr>
              <w:jc w:val="center"/>
              <w:rPr>
                <w:sz w:val="20"/>
              </w:rPr>
            </w:pPr>
            <w:r w:rsidRPr="008A0EC8">
              <w:rPr>
                <w:sz w:val="20"/>
              </w:rPr>
              <w:t>49 162</w:t>
            </w:r>
          </w:p>
        </w:tc>
      </w:tr>
      <w:tr w:rsidR="008A0EC8" w:rsidRPr="008A0EC8" w:rsidTr="008A0EC8">
        <w:tc>
          <w:tcPr>
            <w:tcW w:w="851" w:type="dxa"/>
          </w:tcPr>
          <w:p w:rsidR="002727A1" w:rsidRPr="008A0EC8" w:rsidRDefault="002727A1" w:rsidP="002727A1">
            <w:pPr>
              <w:pStyle w:val="ONUME"/>
              <w:numPr>
                <w:ilvl w:val="0"/>
                <w:numId w:val="0"/>
              </w:numPr>
              <w:jc w:val="center"/>
              <w:rPr>
                <w:sz w:val="20"/>
              </w:rPr>
            </w:pPr>
          </w:p>
        </w:tc>
        <w:tc>
          <w:tcPr>
            <w:tcW w:w="6521" w:type="dxa"/>
          </w:tcPr>
          <w:p w:rsidR="002727A1" w:rsidRPr="008A0EC8" w:rsidRDefault="00AB2E05" w:rsidP="00AB2E05">
            <w:pPr>
              <w:pStyle w:val="ONUME"/>
              <w:numPr>
                <w:ilvl w:val="0"/>
                <w:numId w:val="0"/>
              </w:numPr>
              <w:rPr>
                <w:sz w:val="20"/>
              </w:rPr>
            </w:pPr>
            <w:r w:rsidRPr="008A0EC8">
              <w:rPr>
                <w:sz w:val="20"/>
              </w:rPr>
              <w:t>Sous</w:t>
            </w:r>
            <w:r w:rsidR="008A0EC8" w:rsidRPr="008A0EC8">
              <w:rPr>
                <w:sz w:val="20"/>
              </w:rPr>
              <w:noBreakHyphen/>
            </w:r>
            <w:r w:rsidRPr="008A0EC8">
              <w:rPr>
                <w:sz w:val="20"/>
              </w:rPr>
              <w:t>total</w:t>
            </w:r>
          </w:p>
        </w:tc>
        <w:tc>
          <w:tcPr>
            <w:tcW w:w="1417" w:type="dxa"/>
          </w:tcPr>
          <w:p w:rsidR="002727A1" w:rsidRPr="008A0EC8" w:rsidRDefault="00AB2E05" w:rsidP="00AB2E05">
            <w:pPr>
              <w:pStyle w:val="ONUME"/>
              <w:numPr>
                <w:ilvl w:val="0"/>
                <w:numId w:val="0"/>
              </w:numPr>
              <w:jc w:val="center"/>
              <w:rPr>
                <w:sz w:val="20"/>
              </w:rPr>
            </w:pPr>
            <w:r w:rsidRPr="008A0EC8">
              <w:rPr>
                <w:sz w:val="20"/>
              </w:rPr>
              <w:t>1 100 000</w:t>
            </w:r>
          </w:p>
        </w:tc>
        <w:tc>
          <w:tcPr>
            <w:tcW w:w="1843" w:type="dxa"/>
          </w:tcPr>
          <w:p w:rsidR="002727A1" w:rsidRPr="008A0EC8" w:rsidRDefault="00AB2E05" w:rsidP="00AB2E05">
            <w:pPr>
              <w:pStyle w:val="ONUME"/>
              <w:numPr>
                <w:ilvl w:val="0"/>
                <w:numId w:val="0"/>
              </w:numPr>
              <w:jc w:val="center"/>
              <w:rPr>
                <w:b/>
                <w:sz w:val="20"/>
              </w:rPr>
            </w:pPr>
            <w:r w:rsidRPr="008A0EC8">
              <w:rPr>
                <w:b/>
                <w:sz w:val="20"/>
              </w:rPr>
              <w:t>867 471</w:t>
            </w:r>
          </w:p>
        </w:tc>
      </w:tr>
      <w:tr w:rsidR="008A0EC8" w:rsidRPr="008A0EC8" w:rsidTr="008A0EC8">
        <w:tc>
          <w:tcPr>
            <w:tcW w:w="851" w:type="dxa"/>
          </w:tcPr>
          <w:p w:rsidR="002727A1" w:rsidRPr="008A0EC8" w:rsidRDefault="002727A1" w:rsidP="002727A1">
            <w:pPr>
              <w:pStyle w:val="ONUME"/>
              <w:numPr>
                <w:ilvl w:val="0"/>
                <w:numId w:val="0"/>
              </w:numPr>
              <w:jc w:val="center"/>
              <w:rPr>
                <w:b/>
                <w:sz w:val="20"/>
              </w:rPr>
            </w:pPr>
            <w:r w:rsidRPr="008A0EC8">
              <w:rPr>
                <w:b/>
                <w:sz w:val="20"/>
              </w:rPr>
              <w:t>3.</w:t>
            </w:r>
          </w:p>
        </w:tc>
        <w:tc>
          <w:tcPr>
            <w:tcW w:w="6521" w:type="dxa"/>
          </w:tcPr>
          <w:p w:rsidR="002727A1" w:rsidRPr="008A0EC8" w:rsidRDefault="00AB2E05" w:rsidP="00AB2E05">
            <w:pPr>
              <w:pStyle w:val="ONUME"/>
              <w:numPr>
                <w:ilvl w:val="0"/>
                <w:numId w:val="0"/>
              </w:numPr>
              <w:rPr>
                <w:b/>
                <w:sz w:val="20"/>
                <w:lang w:val="fr-CH"/>
              </w:rPr>
            </w:pPr>
            <w:r w:rsidRPr="008A0EC8">
              <w:rPr>
                <w:b/>
                <w:sz w:val="20"/>
                <w:lang w:val="fr-CH"/>
              </w:rPr>
              <w:t>Remplacement de la plate</w:t>
            </w:r>
            <w:r w:rsidR="008A0EC8" w:rsidRPr="008A0EC8">
              <w:rPr>
                <w:b/>
                <w:sz w:val="20"/>
                <w:lang w:val="fr-CH"/>
              </w:rPr>
              <w:noBreakHyphen/>
            </w:r>
            <w:r w:rsidRPr="008A0EC8">
              <w:rPr>
                <w:b/>
                <w:sz w:val="20"/>
                <w:lang w:val="fr-CH"/>
              </w:rPr>
              <w:t>forme pour les ordinateurs de bureau</w:t>
            </w:r>
          </w:p>
        </w:tc>
        <w:tc>
          <w:tcPr>
            <w:tcW w:w="1417" w:type="dxa"/>
          </w:tcPr>
          <w:p w:rsidR="002727A1" w:rsidRPr="008A0EC8" w:rsidRDefault="002727A1" w:rsidP="002727A1">
            <w:pPr>
              <w:pStyle w:val="ONUME"/>
              <w:numPr>
                <w:ilvl w:val="0"/>
                <w:numId w:val="0"/>
              </w:numPr>
              <w:jc w:val="center"/>
              <w:rPr>
                <w:sz w:val="20"/>
                <w:lang w:val="fr-CH"/>
              </w:rPr>
            </w:pPr>
          </w:p>
        </w:tc>
        <w:tc>
          <w:tcPr>
            <w:tcW w:w="1843" w:type="dxa"/>
          </w:tcPr>
          <w:p w:rsidR="002727A1" w:rsidRPr="008A0EC8" w:rsidRDefault="002727A1" w:rsidP="002727A1">
            <w:pPr>
              <w:pStyle w:val="ONUME"/>
              <w:numPr>
                <w:ilvl w:val="0"/>
                <w:numId w:val="0"/>
              </w:numPr>
              <w:jc w:val="center"/>
              <w:rPr>
                <w:sz w:val="20"/>
                <w:lang w:val="fr-CH"/>
              </w:rPr>
            </w:pPr>
          </w:p>
        </w:tc>
      </w:tr>
      <w:tr w:rsidR="008A0EC8" w:rsidRPr="008A0EC8" w:rsidTr="008A0EC8">
        <w:tc>
          <w:tcPr>
            <w:tcW w:w="851" w:type="dxa"/>
          </w:tcPr>
          <w:p w:rsidR="002727A1" w:rsidRPr="008A0EC8" w:rsidRDefault="002727A1" w:rsidP="002727A1">
            <w:pPr>
              <w:pStyle w:val="ONUME"/>
              <w:numPr>
                <w:ilvl w:val="0"/>
                <w:numId w:val="0"/>
              </w:numPr>
              <w:jc w:val="center"/>
              <w:rPr>
                <w:sz w:val="20"/>
                <w:lang w:val="fr-CH"/>
              </w:rPr>
            </w:pPr>
          </w:p>
        </w:tc>
        <w:tc>
          <w:tcPr>
            <w:tcW w:w="6521" w:type="dxa"/>
          </w:tcPr>
          <w:p w:rsidR="002727A1" w:rsidRPr="008A0EC8" w:rsidRDefault="0091049D" w:rsidP="0091049D">
            <w:pPr>
              <w:pStyle w:val="ONUME"/>
              <w:numPr>
                <w:ilvl w:val="0"/>
                <w:numId w:val="0"/>
              </w:numPr>
              <w:rPr>
                <w:sz w:val="20"/>
              </w:rPr>
            </w:pPr>
            <w:proofErr w:type="spellStart"/>
            <w:r w:rsidRPr="008A0EC8">
              <w:rPr>
                <w:sz w:val="20"/>
              </w:rPr>
              <w:t>Remplacement</w:t>
            </w:r>
            <w:proofErr w:type="spellEnd"/>
            <w:r w:rsidRPr="008A0EC8">
              <w:rPr>
                <w:sz w:val="20"/>
              </w:rPr>
              <w:t xml:space="preserve"> du </w:t>
            </w:r>
            <w:proofErr w:type="spellStart"/>
            <w:r w:rsidRPr="008A0EC8">
              <w:rPr>
                <w:sz w:val="20"/>
              </w:rPr>
              <w:t>matériel</w:t>
            </w:r>
            <w:proofErr w:type="spellEnd"/>
            <w:r w:rsidRPr="008A0EC8">
              <w:rPr>
                <w:sz w:val="20"/>
              </w:rPr>
              <w:t xml:space="preserve"> </w:t>
            </w:r>
            <w:proofErr w:type="spellStart"/>
            <w:r w:rsidRPr="008A0EC8">
              <w:rPr>
                <w:sz w:val="20"/>
              </w:rPr>
              <w:t>informatique</w:t>
            </w:r>
            <w:proofErr w:type="spellEnd"/>
          </w:p>
        </w:tc>
        <w:tc>
          <w:tcPr>
            <w:tcW w:w="1417" w:type="dxa"/>
          </w:tcPr>
          <w:p w:rsidR="002727A1" w:rsidRPr="008A0EC8" w:rsidRDefault="0091049D" w:rsidP="0091049D">
            <w:pPr>
              <w:pStyle w:val="ONUME"/>
              <w:numPr>
                <w:ilvl w:val="0"/>
                <w:numId w:val="0"/>
              </w:numPr>
              <w:jc w:val="center"/>
              <w:rPr>
                <w:sz w:val="20"/>
              </w:rPr>
            </w:pPr>
            <w:r w:rsidRPr="008A0EC8">
              <w:rPr>
                <w:sz w:val="20"/>
              </w:rPr>
              <w:t>2 100 000</w:t>
            </w:r>
          </w:p>
        </w:tc>
        <w:tc>
          <w:tcPr>
            <w:tcW w:w="1843" w:type="dxa"/>
          </w:tcPr>
          <w:p w:rsidR="002727A1" w:rsidRPr="008A0EC8" w:rsidRDefault="0091049D" w:rsidP="0091049D">
            <w:pPr>
              <w:pStyle w:val="ONUME"/>
              <w:numPr>
                <w:ilvl w:val="0"/>
                <w:numId w:val="0"/>
              </w:numPr>
              <w:jc w:val="center"/>
              <w:rPr>
                <w:sz w:val="20"/>
              </w:rPr>
            </w:pPr>
            <w:r w:rsidRPr="008A0EC8">
              <w:rPr>
                <w:sz w:val="20"/>
              </w:rPr>
              <w:t>1 657 194</w:t>
            </w:r>
          </w:p>
        </w:tc>
      </w:tr>
      <w:tr w:rsidR="008A0EC8" w:rsidRPr="008A0EC8" w:rsidTr="008A0EC8">
        <w:tc>
          <w:tcPr>
            <w:tcW w:w="851" w:type="dxa"/>
          </w:tcPr>
          <w:p w:rsidR="002727A1" w:rsidRPr="008A0EC8" w:rsidRDefault="002727A1" w:rsidP="002727A1">
            <w:pPr>
              <w:pStyle w:val="ONUME"/>
              <w:numPr>
                <w:ilvl w:val="0"/>
                <w:numId w:val="0"/>
              </w:numPr>
              <w:jc w:val="center"/>
              <w:rPr>
                <w:sz w:val="20"/>
              </w:rPr>
            </w:pPr>
          </w:p>
        </w:tc>
        <w:tc>
          <w:tcPr>
            <w:tcW w:w="6521" w:type="dxa"/>
          </w:tcPr>
          <w:p w:rsidR="002727A1" w:rsidRPr="008A0EC8" w:rsidRDefault="0091049D" w:rsidP="0091049D">
            <w:pPr>
              <w:pStyle w:val="ONUME"/>
              <w:numPr>
                <w:ilvl w:val="0"/>
                <w:numId w:val="0"/>
              </w:numPr>
              <w:rPr>
                <w:sz w:val="20"/>
                <w:lang w:val="fr-CH"/>
              </w:rPr>
            </w:pPr>
            <w:r w:rsidRPr="008A0EC8">
              <w:rPr>
                <w:sz w:val="20"/>
                <w:lang w:val="fr-CH"/>
              </w:rPr>
              <w:t>Mise à niveau des logiciels</w:t>
            </w:r>
          </w:p>
        </w:tc>
        <w:tc>
          <w:tcPr>
            <w:tcW w:w="1417" w:type="dxa"/>
          </w:tcPr>
          <w:p w:rsidR="002727A1" w:rsidRPr="008A0EC8" w:rsidRDefault="0091049D" w:rsidP="0091049D">
            <w:pPr>
              <w:pStyle w:val="ONUME"/>
              <w:numPr>
                <w:ilvl w:val="0"/>
                <w:numId w:val="0"/>
              </w:numPr>
              <w:jc w:val="center"/>
              <w:rPr>
                <w:sz w:val="20"/>
              </w:rPr>
            </w:pPr>
            <w:r w:rsidRPr="008A0EC8">
              <w:rPr>
                <w:sz w:val="20"/>
              </w:rPr>
              <w:t>450 000</w:t>
            </w:r>
          </w:p>
        </w:tc>
        <w:tc>
          <w:tcPr>
            <w:tcW w:w="1843" w:type="dxa"/>
          </w:tcPr>
          <w:p w:rsidR="002727A1" w:rsidRPr="008A0EC8" w:rsidRDefault="0091049D" w:rsidP="0091049D">
            <w:pPr>
              <w:pStyle w:val="ONUME"/>
              <w:numPr>
                <w:ilvl w:val="0"/>
                <w:numId w:val="0"/>
              </w:numPr>
              <w:jc w:val="center"/>
              <w:rPr>
                <w:sz w:val="20"/>
              </w:rPr>
            </w:pPr>
            <w:r w:rsidRPr="008A0EC8">
              <w:rPr>
                <w:sz w:val="20"/>
              </w:rPr>
              <w:t>345 022</w:t>
            </w:r>
          </w:p>
        </w:tc>
      </w:tr>
      <w:tr w:rsidR="008A0EC8" w:rsidRPr="008A0EC8" w:rsidTr="008A0EC8">
        <w:tc>
          <w:tcPr>
            <w:tcW w:w="851" w:type="dxa"/>
          </w:tcPr>
          <w:p w:rsidR="002727A1" w:rsidRPr="008A0EC8" w:rsidRDefault="002727A1" w:rsidP="002727A1">
            <w:pPr>
              <w:pStyle w:val="ONUME"/>
              <w:numPr>
                <w:ilvl w:val="0"/>
                <w:numId w:val="0"/>
              </w:numPr>
              <w:jc w:val="center"/>
              <w:rPr>
                <w:sz w:val="20"/>
              </w:rPr>
            </w:pPr>
          </w:p>
        </w:tc>
        <w:tc>
          <w:tcPr>
            <w:tcW w:w="6521" w:type="dxa"/>
          </w:tcPr>
          <w:p w:rsidR="002727A1" w:rsidRPr="008A0EC8" w:rsidRDefault="0091049D" w:rsidP="0091049D">
            <w:pPr>
              <w:pStyle w:val="ONUME"/>
              <w:numPr>
                <w:ilvl w:val="0"/>
                <w:numId w:val="0"/>
              </w:numPr>
              <w:rPr>
                <w:sz w:val="20"/>
                <w:lang w:val="fr-CH"/>
              </w:rPr>
            </w:pPr>
            <w:r w:rsidRPr="008A0EC8">
              <w:rPr>
                <w:sz w:val="20"/>
                <w:lang w:val="fr-CH"/>
              </w:rPr>
              <w:t>Services d</w:t>
            </w:r>
            <w:r w:rsidR="00F13C7E" w:rsidRPr="008A0EC8">
              <w:rPr>
                <w:sz w:val="20"/>
                <w:lang w:val="fr-CH"/>
              </w:rPr>
              <w:t>’</w:t>
            </w:r>
            <w:r w:rsidRPr="008A0EC8">
              <w:rPr>
                <w:sz w:val="20"/>
                <w:lang w:val="fr-CH"/>
              </w:rPr>
              <w:t>installation et de mise en œuvre</w:t>
            </w:r>
          </w:p>
        </w:tc>
        <w:tc>
          <w:tcPr>
            <w:tcW w:w="1417" w:type="dxa"/>
          </w:tcPr>
          <w:p w:rsidR="002727A1" w:rsidRPr="008A0EC8" w:rsidRDefault="0091049D" w:rsidP="0091049D">
            <w:pPr>
              <w:pStyle w:val="ONUME"/>
              <w:numPr>
                <w:ilvl w:val="0"/>
                <w:numId w:val="0"/>
              </w:numPr>
              <w:jc w:val="center"/>
              <w:rPr>
                <w:sz w:val="20"/>
              </w:rPr>
            </w:pPr>
            <w:r w:rsidRPr="008A0EC8">
              <w:rPr>
                <w:sz w:val="20"/>
              </w:rPr>
              <w:t>450 000</w:t>
            </w:r>
          </w:p>
        </w:tc>
        <w:tc>
          <w:tcPr>
            <w:tcW w:w="1843" w:type="dxa"/>
          </w:tcPr>
          <w:p w:rsidR="002727A1" w:rsidRPr="008A0EC8" w:rsidRDefault="0091049D" w:rsidP="0091049D">
            <w:pPr>
              <w:pStyle w:val="ONUME"/>
              <w:numPr>
                <w:ilvl w:val="0"/>
                <w:numId w:val="0"/>
              </w:numPr>
              <w:jc w:val="center"/>
              <w:rPr>
                <w:sz w:val="20"/>
              </w:rPr>
            </w:pPr>
            <w:r w:rsidRPr="008A0EC8">
              <w:rPr>
                <w:sz w:val="20"/>
              </w:rPr>
              <w:t>152 000</w:t>
            </w:r>
          </w:p>
        </w:tc>
      </w:tr>
      <w:tr w:rsidR="008A0EC8" w:rsidRPr="008A0EC8" w:rsidTr="008A0EC8">
        <w:tc>
          <w:tcPr>
            <w:tcW w:w="851" w:type="dxa"/>
          </w:tcPr>
          <w:p w:rsidR="002727A1" w:rsidRPr="008A0EC8" w:rsidRDefault="002727A1" w:rsidP="002727A1">
            <w:pPr>
              <w:pStyle w:val="ONUME"/>
              <w:numPr>
                <w:ilvl w:val="0"/>
                <w:numId w:val="0"/>
              </w:numPr>
              <w:jc w:val="center"/>
              <w:rPr>
                <w:b/>
                <w:sz w:val="20"/>
              </w:rPr>
            </w:pPr>
          </w:p>
        </w:tc>
        <w:tc>
          <w:tcPr>
            <w:tcW w:w="6521" w:type="dxa"/>
          </w:tcPr>
          <w:p w:rsidR="002727A1" w:rsidRPr="008A0EC8" w:rsidRDefault="0091049D" w:rsidP="0091049D">
            <w:pPr>
              <w:pStyle w:val="ONUME"/>
              <w:numPr>
                <w:ilvl w:val="0"/>
                <w:numId w:val="0"/>
              </w:numPr>
              <w:rPr>
                <w:b/>
                <w:sz w:val="20"/>
              </w:rPr>
            </w:pPr>
            <w:r w:rsidRPr="008A0EC8">
              <w:rPr>
                <w:b/>
                <w:sz w:val="20"/>
              </w:rPr>
              <w:t>Sous</w:t>
            </w:r>
            <w:r w:rsidR="008A0EC8" w:rsidRPr="008A0EC8">
              <w:rPr>
                <w:b/>
                <w:sz w:val="20"/>
              </w:rPr>
              <w:noBreakHyphen/>
            </w:r>
            <w:r w:rsidRPr="008A0EC8">
              <w:rPr>
                <w:b/>
                <w:sz w:val="20"/>
              </w:rPr>
              <w:t>total</w:t>
            </w:r>
          </w:p>
        </w:tc>
        <w:tc>
          <w:tcPr>
            <w:tcW w:w="1417" w:type="dxa"/>
          </w:tcPr>
          <w:p w:rsidR="002727A1" w:rsidRPr="008A0EC8" w:rsidRDefault="0091049D" w:rsidP="0091049D">
            <w:pPr>
              <w:pStyle w:val="ONUME"/>
              <w:numPr>
                <w:ilvl w:val="0"/>
                <w:numId w:val="0"/>
              </w:numPr>
              <w:jc w:val="center"/>
              <w:rPr>
                <w:b/>
                <w:sz w:val="20"/>
              </w:rPr>
            </w:pPr>
            <w:r w:rsidRPr="008A0EC8">
              <w:rPr>
                <w:b/>
                <w:sz w:val="20"/>
              </w:rPr>
              <w:t>3 000 000</w:t>
            </w:r>
          </w:p>
        </w:tc>
        <w:tc>
          <w:tcPr>
            <w:tcW w:w="1843" w:type="dxa"/>
          </w:tcPr>
          <w:p w:rsidR="002727A1" w:rsidRPr="008A0EC8" w:rsidRDefault="0091049D" w:rsidP="0091049D">
            <w:pPr>
              <w:pStyle w:val="ONUME"/>
              <w:numPr>
                <w:ilvl w:val="0"/>
                <w:numId w:val="0"/>
              </w:numPr>
              <w:jc w:val="center"/>
              <w:rPr>
                <w:b/>
                <w:sz w:val="20"/>
              </w:rPr>
            </w:pPr>
            <w:r w:rsidRPr="008A0EC8">
              <w:rPr>
                <w:b/>
                <w:sz w:val="20"/>
              </w:rPr>
              <w:t>2 154 216</w:t>
            </w:r>
          </w:p>
        </w:tc>
      </w:tr>
      <w:tr w:rsidR="008A0EC8" w:rsidRPr="008A0EC8" w:rsidTr="008A0EC8">
        <w:tc>
          <w:tcPr>
            <w:tcW w:w="851" w:type="dxa"/>
          </w:tcPr>
          <w:p w:rsidR="002727A1" w:rsidRPr="008A0EC8" w:rsidRDefault="002727A1" w:rsidP="002727A1">
            <w:pPr>
              <w:pStyle w:val="ONUME"/>
              <w:numPr>
                <w:ilvl w:val="0"/>
                <w:numId w:val="0"/>
              </w:numPr>
              <w:jc w:val="center"/>
              <w:rPr>
                <w:sz w:val="20"/>
              </w:rPr>
            </w:pPr>
          </w:p>
        </w:tc>
        <w:tc>
          <w:tcPr>
            <w:tcW w:w="6521" w:type="dxa"/>
          </w:tcPr>
          <w:p w:rsidR="002727A1" w:rsidRPr="008A0EC8" w:rsidRDefault="0091049D" w:rsidP="0091049D">
            <w:pPr>
              <w:pStyle w:val="ONUME"/>
              <w:numPr>
                <w:ilvl w:val="0"/>
                <w:numId w:val="0"/>
              </w:numPr>
              <w:rPr>
                <w:b/>
                <w:sz w:val="20"/>
              </w:rPr>
            </w:pPr>
            <w:r w:rsidRPr="008A0EC8">
              <w:rPr>
                <w:b/>
                <w:sz w:val="20"/>
              </w:rPr>
              <w:t>Total</w:t>
            </w:r>
          </w:p>
        </w:tc>
        <w:tc>
          <w:tcPr>
            <w:tcW w:w="1417" w:type="dxa"/>
          </w:tcPr>
          <w:p w:rsidR="002727A1" w:rsidRPr="008A0EC8" w:rsidRDefault="0091049D" w:rsidP="0091049D">
            <w:pPr>
              <w:pStyle w:val="ONUME"/>
              <w:numPr>
                <w:ilvl w:val="0"/>
                <w:numId w:val="0"/>
              </w:numPr>
              <w:jc w:val="center"/>
              <w:rPr>
                <w:b/>
                <w:sz w:val="20"/>
              </w:rPr>
            </w:pPr>
            <w:r w:rsidRPr="008A0EC8">
              <w:rPr>
                <w:b/>
                <w:sz w:val="20"/>
              </w:rPr>
              <w:t>5 180 000</w:t>
            </w:r>
          </w:p>
        </w:tc>
        <w:tc>
          <w:tcPr>
            <w:tcW w:w="1843" w:type="dxa"/>
          </w:tcPr>
          <w:p w:rsidR="002727A1" w:rsidRPr="008A0EC8" w:rsidRDefault="0091049D" w:rsidP="0091049D">
            <w:pPr>
              <w:pStyle w:val="ONUME"/>
              <w:numPr>
                <w:ilvl w:val="0"/>
                <w:numId w:val="0"/>
              </w:numPr>
              <w:jc w:val="center"/>
              <w:rPr>
                <w:b/>
                <w:sz w:val="20"/>
              </w:rPr>
            </w:pPr>
            <w:r w:rsidRPr="008A0EC8">
              <w:rPr>
                <w:b/>
                <w:sz w:val="20"/>
              </w:rPr>
              <w:t>3 470 487</w:t>
            </w:r>
          </w:p>
        </w:tc>
      </w:tr>
    </w:tbl>
    <w:p w:rsidR="0074550C" w:rsidRPr="008A0EC8" w:rsidRDefault="0091049D" w:rsidP="008A0EC8">
      <w:pPr>
        <w:pStyle w:val="ONUMFS"/>
        <w:rPr>
          <w:lang w:val="fr-CH"/>
        </w:rPr>
      </w:pPr>
      <w:r w:rsidRPr="008A0EC8">
        <w:rPr>
          <w:lang w:val="fr-CH"/>
        </w:rPr>
        <w:lastRenderedPageBreak/>
        <w:t>Le paragraphe d</w:t>
      </w:r>
      <w:bookmarkStart w:id="5" w:name="_GoBack"/>
      <w:bookmarkEnd w:id="5"/>
      <w:r w:rsidRPr="008A0EC8">
        <w:rPr>
          <w:lang w:val="fr-CH"/>
        </w:rPr>
        <w:t>e décision ci</w:t>
      </w:r>
      <w:r w:rsidR="008A0EC8" w:rsidRPr="008A0EC8">
        <w:rPr>
          <w:lang w:val="fr-CH"/>
        </w:rPr>
        <w:noBreakHyphen/>
      </w:r>
      <w:r w:rsidRPr="008A0EC8">
        <w:rPr>
          <w:lang w:val="fr-CH"/>
        </w:rPr>
        <w:t>après est proposé.</w:t>
      </w:r>
    </w:p>
    <w:p w:rsidR="0074550C" w:rsidRPr="008A0EC8" w:rsidRDefault="0074550C" w:rsidP="004421BD">
      <w:pPr>
        <w:rPr>
          <w:szCs w:val="22"/>
          <w:lang w:val="fr-CH"/>
        </w:rPr>
      </w:pPr>
    </w:p>
    <w:p w:rsidR="0074550C" w:rsidRPr="008A0EC8" w:rsidRDefault="0091049D" w:rsidP="008A0EC8">
      <w:pPr>
        <w:pStyle w:val="ONUMFS"/>
        <w:spacing w:after="0"/>
        <w:ind w:left="5533"/>
        <w:rPr>
          <w:i/>
          <w:lang w:val="fr-CH"/>
        </w:rPr>
      </w:pPr>
      <w:r w:rsidRPr="008A0EC8">
        <w:rPr>
          <w:i/>
          <w:lang w:val="fr-CH"/>
        </w:rPr>
        <w:t>Le Comité du programme et budget a pris note du rapport sur l</w:t>
      </w:r>
      <w:r w:rsidR="00F13C7E" w:rsidRPr="008A0EC8">
        <w:rPr>
          <w:i/>
          <w:lang w:val="fr-CH"/>
        </w:rPr>
        <w:t>’</w:t>
      </w:r>
      <w:r w:rsidRPr="008A0EC8">
        <w:rPr>
          <w:i/>
          <w:lang w:val="fr-CH"/>
        </w:rPr>
        <w:t>état d</w:t>
      </w:r>
      <w:r w:rsidR="00F13C7E" w:rsidRPr="008A0EC8">
        <w:rPr>
          <w:i/>
          <w:lang w:val="fr-CH"/>
        </w:rPr>
        <w:t>’</w:t>
      </w:r>
      <w:r w:rsidRPr="008A0EC8">
        <w:rPr>
          <w:i/>
          <w:lang w:val="fr-CH"/>
        </w:rPr>
        <w:t>avancement du projet d</w:t>
      </w:r>
      <w:r w:rsidR="00F13C7E" w:rsidRPr="008A0EC8">
        <w:rPr>
          <w:i/>
          <w:lang w:val="fr-CH"/>
        </w:rPr>
        <w:t>’</w:t>
      </w:r>
      <w:r w:rsidRPr="008A0EC8">
        <w:rPr>
          <w:i/>
          <w:lang w:val="fr-CH"/>
        </w:rPr>
        <w:t>investissement dans les technologies de l</w:t>
      </w:r>
      <w:r w:rsidR="00F13C7E" w:rsidRPr="008A0EC8">
        <w:rPr>
          <w:i/>
          <w:lang w:val="fr-CH"/>
        </w:rPr>
        <w:t>’</w:t>
      </w:r>
      <w:r w:rsidRPr="008A0EC8">
        <w:rPr>
          <w:i/>
          <w:lang w:val="fr-CH"/>
        </w:rPr>
        <w:t>information et de la communication (TIC) (</w:t>
      </w:r>
      <w:r w:rsidR="00F13C7E" w:rsidRPr="008A0EC8">
        <w:rPr>
          <w:i/>
          <w:lang w:val="fr-CH"/>
        </w:rPr>
        <w:t>document WO</w:t>
      </w:r>
      <w:r w:rsidRPr="008A0EC8">
        <w:rPr>
          <w:i/>
          <w:lang w:val="fr-CH"/>
        </w:rPr>
        <w:t>/PBC/22/18).</w:t>
      </w:r>
    </w:p>
    <w:p w:rsidR="0074550C" w:rsidRDefault="0074550C" w:rsidP="008A0EC8">
      <w:pPr>
        <w:pStyle w:val="ONUME"/>
        <w:numPr>
          <w:ilvl w:val="0"/>
          <w:numId w:val="0"/>
        </w:numPr>
        <w:spacing w:after="0"/>
        <w:ind w:left="5670"/>
        <w:rPr>
          <w:lang w:val="fr-CH"/>
        </w:rPr>
      </w:pPr>
    </w:p>
    <w:p w:rsidR="008A0EC8" w:rsidRDefault="008A0EC8" w:rsidP="008A0EC8">
      <w:pPr>
        <w:pStyle w:val="ONUME"/>
        <w:numPr>
          <w:ilvl w:val="0"/>
          <w:numId w:val="0"/>
        </w:numPr>
        <w:spacing w:after="0"/>
        <w:ind w:left="5670"/>
        <w:rPr>
          <w:lang w:val="fr-CH"/>
        </w:rPr>
      </w:pPr>
    </w:p>
    <w:p w:rsidR="008A0EC8" w:rsidRPr="008A0EC8" w:rsidRDefault="008A0EC8" w:rsidP="008A0EC8">
      <w:pPr>
        <w:pStyle w:val="ONUME"/>
        <w:numPr>
          <w:ilvl w:val="0"/>
          <w:numId w:val="0"/>
        </w:numPr>
        <w:spacing w:after="0"/>
        <w:ind w:left="5670"/>
        <w:rPr>
          <w:lang w:val="fr-CH"/>
        </w:rPr>
      </w:pPr>
    </w:p>
    <w:p w:rsidR="0074550C" w:rsidRPr="008A0EC8" w:rsidRDefault="0091049D" w:rsidP="008A0EC8">
      <w:pPr>
        <w:pStyle w:val="ONUME"/>
        <w:numPr>
          <w:ilvl w:val="0"/>
          <w:numId w:val="0"/>
        </w:numPr>
        <w:tabs>
          <w:tab w:val="left" w:pos="6120"/>
        </w:tabs>
        <w:spacing w:after="0"/>
        <w:ind w:left="6120" w:hanging="450"/>
      </w:pPr>
      <w:r w:rsidRPr="008A0EC8">
        <w:t>[Fin du document]</w:t>
      </w:r>
    </w:p>
    <w:p w:rsidR="0074550C" w:rsidRPr="008A0EC8" w:rsidRDefault="0074550C"/>
    <w:p w:rsidR="0074550C" w:rsidRPr="008A0EC8" w:rsidRDefault="0074550C"/>
    <w:p w:rsidR="002928D3" w:rsidRPr="008A0EC8" w:rsidRDefault="002928D3"/>
    <w:sectPr w:rsidR="002928D3" w:rsidRPr="008A0EC8" w:rsidSect="008A0EC8">
      <w:headerReference w:type="default" r:id="rId11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702E" w:rsidRDefault="0042702E">
      <w:r>
        <w:separator/>
      </w:r>
    </w:p>
  </w:endnote>
  <w:endnote w:type="continuationSeparator" w:id="0">
    <w:p w:rsidR="0042702E" w:rsidRDefault="0042702E" w:rsidP="003B38C1">
      <w:r>
        <w:separator/>
      </w:r>
    </w:p>
    <w:p w:rsidR="0042702E" w:rsidRPr="003B38C1" w:rsidRDefault="0042702E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42702E" w:rsidRPr="003B38C1" w:rsidRDefault="0042702E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702E" w:rsidRDefault="0042702E">
      <w:r>
        <w:separator/>
      </w:r>
    </w:p>
  </w:footnote>
  <w:footnote w:type="continuationSeparator" w:id="0">
    <w:p w:rsidR="0042702E" w:rsidRDefault="0042702E" w:rsidP="008B60B2">
      <w:r>
        <w:separator/>
      </w:r>
    </w:p>
    <w:p w:rsidR="0042702E" w:rsidRPr="00ED77FB" w:rsidRDefault="0042702E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42702E" w:rsidRPr="00ED77FB" w:rsidRDefault="0042702E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171257" w:rsidRPr="00171257" w:rsidRDefault="00171257" w:rsidP="0017125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171257">
        <w:t xml:space="preserve"> </w:t>
      </w:r>
      <w:r w:rsidR="00F13C7E">
        <w:tab/>
      </w:r>
      <w:r w:rsidR="00E07D4C">
        <w:t>À</w:t>
      </w:r>
      <w:r w:rsidRPr="00171257">
        <w:rPr>
          <w:color w:val="000000"/>
        </w:rPr>
        <w:t xml:space="preserve"> fin </w:t>
      </w:r>
      <w:proofErr w:type="spellStart"/>
      <w:r w:rsidRPr="00171257">
        <w:rPr>
          <w:color w:val="000000"/>
        </w:rPr>
        <w:t>juin</w:t>
      </w:r>
      <w:proofErr w:type="spellEnd"/>
      <w:r w:rsidR="00E07D4C">
        <w:rPr>
          <w:color w:val="000000"/>
        </w:rPr>
        <w:t> </w:t>
      </w:r>
      <w:r w:rsidRPr="00171257">
        <w:rPr>
          <w:color w:val="000000"/>
        </w:rPr>
        <w:t>2014.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Pr="008A0EC8" w:rsidRDefault="0091049D" w:rsidP="0091049D">
    <w:pPr>
      <w:jc w:val="right"/>
    </w:pPr>
    <w:r w:rsidRPr="008A0EC8">
      <w:t>WO/PBC/22/18</w:t>
    </w:r>
  </w:p>
  <w:p w:rsidR="00EC4E49" w:rsidRPr="008A0EC8" w:rsidRDefault="0091049D" w:rsidP="0091049D">
    <w:pPr>
      <w:jc w:val="right"/>
    </w:pPr>
    <w:proofErr w:type="gramStart"/>
    <w:r w:rsidRPr="008A0EC8">
      <w:t>page</w:t>
    </w:r>
    <w:proofErr w:type="gramEnd"/>
    <w:r w:rsidR="00EC4E49" w:rsidRPr="008A0EC8">
      <w:t xml:space="preserve"> </w:t>
    </w:r>
    <w:r w:rsidR="00EC4E49" w:rsidRPr="008A0EC8">
      <w:fldChar w:fldCharType="begin"/>
    </w:r>
    <w:r w:rsidR="00EC4E49" w:rsidRPr="008A0EC8">
      <w:instrText xml:space="preserve"> PAGE  \* MERGEFORMAT </w:instrText>
    </w:r>
    <w:r w:rsidR="00EC4E49" w:rsidRPr="008A0EC8">
      <w:fldChar w:fldCharType="separate"/>
    </w:r>
    <w:r w:rsidR="00B6191D">
      <w:rPr>
        <w:noProof/>
      </w:rPr>
      <w:t>2</w:t>
    </w:r>
    <w:r w:rsidR="00EC4E49" w:rsidRPr="008A0EC8">
      <w:fldChar w:fldCharType="end"/>
    </w:r>
  </w:p>
  <w:p w:rsidR="00EC4E49" w:rsidRDefault="00EC4E49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0000006"/>
    <w:multiLevelType w:val="multilevel"/>
    <w:tmpl w:val="E286CD10"/>
    <w:lvl w:ilvl="0">
      <w:start w:val="1"/>
      <w:numFmt w:val="bullet"/>
      <w:lvlText w:val="-"/>
      <w:lvlJc w:val="left"/>
      <w:pPr>
        <w:tabs>
          <w:tab w:val="num" w:pos="576"/>
        </w:tabs>
        <w:ind w:left="576" w:hanging="288"/>
      </w:pPr>
      <w:rPr>
        <w:rFonts w:ascii="Arial" w:hAnsi="Arial" w:cs="Arial"/>
        <w:lang w:val="fr-CH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6CD29E3"/>
    <w:multiLevelType w:val="multilevel"/>
    <w:tmpl w:val="3BEE81FC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  <w:lang w:val="fr-CH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6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7"/>
  </w:num>
  <w:num w:numId="5">
    <w:abstractNumId w:val="3"/>
  </w:num>
  <w:num w:numId="6">
    <w:abstractNumId w:val="5"/>
  </w:num>
  <w:num w:numId="7">
    <w:abstractNumId w:val="1"/>
  </w:num>
  <w:num w:numId="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1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2">
    <w:abstractNumId w:val="3"/>
  </w:num>
  <w:num w:numId="13">
    <w:abstractNumId w:val="3"/>
  </w:num>
  <w:num w:numId="14">
    <w:abstractNumId w:val="3"/>
  </w:num>
  <w:num w:numId="15">
    <w:abstractNumId w:val="3"/>
  </w:num>
  <w:num w:numId="16">
    <w:abstractNumId w:val="3"/>
  </w:num>
  <w:num w:numId="17">
    <w:abstractNumId w:val="3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276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WIPONew|PreTradBeta"/>
    <w:docVar w:name="TermBaseURL" w:val="empty"/>
    <w:docVar w:name="TextBases" w:val="WorkspaceFTS\EN-FR\ACE|WorkspaceFTS\EN-FR\Administratif|WorkspaceFTS\EN-FR\AMC|WorkspaceFTS\EN-FR\Assemblées|WorkspaceFTS\EN-FR\Budapest|WorkspaceFTS\EN-FR\CDIP|WorkspaceFTS\EN-FR\CWS|WorkspaceFTS\EN-FR\Divers|WorkspaceFTS\EN-FR\GRTKF|WorkspaceFTS\EN-FR\Hague|WorkspaceFTS\EN-FR\IPC|WorkspaceFTS\EN-FR\Lisbonne|WorkspaceFTS\EN-FR\Madrid|WorkspaceFTS\EN-FR\PCT|WorkspaceFTS\EN-FR\PLT|WorkspaceFTS\EN-FR\SCCR|WorkspaceFTS\EN-FR\SCP|WorkspaceFTS\EN-FR\SCT|WorkspaceFTS\EN-FR\UPOV|WorkspaceFTS\EN-FR\WO_CC|WorkspaceFTS\EN-FR\WO_GA|WorkspaceFTS\EN-FR\WO_PBC|Administrative\Meetings|Administrative\Other|Administrative\Publications|Budget and Finance\Meetings|Budget and Finance\Other|Budget and Finance\Publications|Copyright\Meetings|Copyright\Other|Copyright\Publications|Glossaries\EN-FR|Treaties\Model Laws|Treaties\Other Laws and Agreements|Treaties\WIPO-administered|Patents\Meetings|Patents\Other|Patents\Publications|Trademarks\Meetings|Trademarks\Other|Trademarks\Publications|IP in General\Academy|IP in General\Arbitration and Mediation|IP in General\Meetings|IP in General\Other|IP in General\Press Room|IP in General\Publications"/>
    <w:docVar w:name="TextBaseURL" w:val="empty"/>
    <w:docVar w:name="UILng" w:val="en"/>
  </w:docVars>
  <w:rsids>
    <w:rsidRoot w:val="004421BD"/>
    <w:rsid w:val="0004365B"/>
    <w:rsid w:val="00043CAA"/>
    <w:rsid w:val="00075432"/>
    <w:rsid w:val="000968ED"/>
    <w:rsid w:val="000C73E4"/>
    <w:rsid w:val="000F5E56"/>
    <w:rsid w:val="001362EE"/>
    <w:rsid w:val="00171257"/>
    <w:rsid w:val="001832A6"/>
    <w:rsid w:val="001E0530"/>
    <w:rsid w:val="001F2C7C"/>
    <w:rsid w:val="002634C4"/>
    <w:rsid w:val="002727A1"/>
    <w:rsid w:val="00273DA6"/>
    <w:rsid w:val="002928D3"/>
    <w:rsid w:val="002A4FD6"/>
    <w:rsid w:val="002B4FD2"/>
    <w:rsid w:val="002F1FE6"/>
    <w:rsid w:val="002F4E68"/>
    <w:rsid w:val="00312F7F"/>
    <w:rsid w:val="00361450"/>
    <w:rsid w:val="003673CF"/>
    <w:rsid w:val="003845C1"/>
    <w:rsid w:val="003A6F89"/>
    <w:rsid w:val="003B38C1"/>
    <w:rsid w:val="00423E3E"/>
    <w:rsid w:val="0042702E"/>
    <w:rsid w:val="00427AF4"/>
    <w:rsid w:val="004421BD"/>
    <w:rsid w:val="00464164"/>
    <w:rsid w:val="004647DA"/>
    <w:rsid w:val="00474062"/>
    <w:rsid w:val="00477D6B"/>
    <w:rsid w:val="004A3F41"/>
    <w:rsid w:val="004F2C37"/>
    <w:rsid w:val="005019FF"/>
    <w:rsid w:val="0053057A"/>
    <w:rsid w:val="00541E64"/>
    <w:rsid w:val="00560A29"/>
    <w:rsid w:val="005C6649"/>
    <w:rsid w:val="00600F0D"/>
    <w:rsid w:val="00605827"/>
    <w:rsid w:val="00646050"/>
    <w:rsid w:val="00646324"/>
    <w:rsid w:val="00652A68"/>
    <w:rsid w:val="006713CA"/>
    <w:rsid w:val="00676C5C"/>
    <w:rsid w:val="0074550C"/>
    <w:rsid w:val="00767696"/>
    <w:rsid w:val="007D1613"/>
    <w:rsid w:val="00856FDF"/>
    <w:rsid w:val="00870B16"/>
    <w:rsid w:val="00881FFE"/>
    <w:rsid w:val="008956CB"/>
    <w:rsid w:val="008A0EC8"/>
    <w:rsid w:val="008B2CC1"/>
    <w:rsid w:val="008B60B2"/>
    <w:rsid w:val="0090731E"/>
    <w:rsid w:val="0091049D"/>
    <w:rsid w:val="00916EE2"/>
    <w:rsid w:val="00941642"/>
    <w:rsid w:val="00966A22"/>
    <w:rsid w:val="0096722F"/>
    <w:rsid w:val="00980843"/>
    <w:rsid w:val="009C4662"/>
    <w:rsid w:val="009E2791"/>
    <w:rsid w:val="009E3F6F"/>
    <w:rsid w:val="009F499F"/>
    <w:rsid w:val="00A40132"/>
    <w:rsid w:val="00A40716"/>
    <w:rsid w:val="00A42DAF"/>
    <w:rsid w:val="00A45BD8"/>
    <w:rsid w:val="00A54667"/>
    <w:rsid w:val="00A869B7"/>
    <w:rsid w:val="00A8797D"/>
    <w:rsid w:val="00AB2E05"/>
    <w:rsid w:val="00AC205C"/>
    <w:rsid w:val="00AF0A6B"/>
    <w:rsid w:val="00B05A69"/>
    <w:rsid w:val="00B6191D"/>
    <w:rsid w:val="00B9734B"/>
    <w:rsid w:val="00BA67F8"/>
    <w:rsid w:val="00C11BFE"/>
    <w:rsid w:val="00C47D3B"/>
    <w:rsid w:val="00D02AA8"/>
    <w:rsid w:val="00D211FA"/>
    <w:rsid w:val="00D45252"/>
    <w:rsid w:val="00D644CD"/>
    <w:rsid w:val="00D71B4D"/>
    <w:rsid w:val="00D93D55"/>
    <w:rsid w:val="00DD2CB5"/>
    <w:rsid w:val="00E07D4C"/>
    <w:rsid w:val="00E31313"/>
    <w:rsid w:val="00E335FE"/>
    <w:rsid w:val="00E845F6"/>
    <w:rsid w:val="00EC4E49"/>
    <w:rsid w:val="00ED77FB"/>
    <w:rsid w:val="00EE45FA"/>
    <w:rsid w:val="00F13C7E"/>
    <w:rsid w:val="00F66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4421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421BD"/>
    <w:rPr>
      <w:rFonts w:ascii="Tahoma" w:eastAsia="SimSun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4421BD"/>
    <w:pPr>
      <w:ind w:left="720"/>
      <w:contextualSpacing/>
    </w:pPr>
  </w:style>
  <w:style w:type="table" w:styleId="TableGrid">
    <w:name w:val="Table Grid"/>
    <w:basedOn w:val="TableNormal"/>
    <w:rsid w:val="002727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otnoteReference">
    <w:name w:val="footnote reference"/>
    <w:basedOn w:val="DefaultParagraphFont"/>
    <w:rsid w:val="00881FFE"/>
    <w:rPr>
      <w:vertAlign w:val="superscript"/>
    </w:rPr>
  </w:style>
  <w:style w:type="character" w:styleId="Hyperlink">
    <w:name w:val="Hyperlink"/>
    <w:basedOn w:val="DefaultParagraphFont"/>
    <w:rsid w:val="008A0EC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4421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421BD"/>
    <w:rPr>
      <w:rFonts w:ascii="Tahoma" w:eastAsia="SimSun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4421BD"/>
    <w:pPr>
      <w:ind w:left="720"/>
      <w:contextualSpacing/>
    </w:pPr>
  </w:style>
  <w:style w:type="table" w:styleId="TableGrid">
    <w:name w:val="Table Grid"/>
    <w:basedOn w:val="TableNormal"/>
    <w:rsid w:val="002727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otnoteReference">
    <w:name w:val="footnote reference"/>
    <w:basedOn w:val="DefaultParagraphFont"/>
    <w:rsid w:val="00881FFE"/>
    <w:rPr>
      <w:vertAlign w:val="superscript"/>
    </w:rPr>
  </w:style>
  <w:style w:type="character" w:styleId="Hyperlink">
    <w:name w:val="Hyperlink"/>
    <w:basedOn w:val="DefaultParagraphFont"/>
    <w:rsid w:val="008A0EC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286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0" Type="http://schemas.openxmlformats.org/officeDocument/2006/relationships/image" Target="media/image1.jpeg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BUDGET\WO%20PBC%2022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6F4448-06A8-4283-9708-E81BE72B21F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CFF4487-63C5-4A29-AEE3-949DB5B14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 PBC 22 (E)</Template>
  <TotalTime>108</TotalTime>
  <Pages>3</Pages>
  <Words>633</Words>
  <Characters>3428</Characters>
  <Application>Microsoft Office Word</Application>
  <DocSecurity>0</DocSecurity>
  <Lines>126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WO/PBC/22/</vt:lpstr>
    </vt:vector>
  </TitlesOfParts>
  <Company>WIPO</Company>
  <LinksUpToDate>false</LinksUpToDate>
  <CharactersWithSpaces>4017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WO/PBC/22/</dc:title>
  <dc:creator>AUMONT Audrey</dc:creator>
  <cp:keywords>CC/mhf</cp:keywords>
  <cp:lastModifiedBy>NETTER Iza</cp:lastModifiedBy>
  <cp:revision>7</cp:revision>
  <cp:lastPrinted>2014-07-21T10:04:00Z</cp:lastPrinted>
  <dcterms:created xsi:type="dcterms:W3CDTF">2014-07-18T13:29:00Z</dcterms:created>
  <dcterms:modified xsi:type="dcterms:W3CDTF">2014-07-21T13:28:00Z</dcterms:modified>
</cp:coreProperties>
</file>