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25373" w:rsidRPr="00125373" w:rsidTr="000919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5373" w:rsidRPr="00125373" w:rsidRDefault="00125373" w:rsidP="00E01F47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5373" w:rsidRPr="00125373" w:rsidRDefault="00125373" w:rsidP="00E01F47">
            <w:pPr>
              <w:rPr>
                <w:lang w:val="fr-FR"/>
              </w:rPr>
            </w:pPr>
            <w:r w:rsidRPr="00125373">
              <w:rPr>
                <w:noProof/>
                <w:lang w:eastAsia="en-US"/>
              </w:rPr>
              <w:drawing>
                <wp:inline distT="0" distB="0" distL="0" distR="0" wp14:anchorId="4A365AD7" wp14:editId="2247B74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5373" w:rsidRPr="00125373" w:rsidRDefault="00125373" w:rsidP="00E01F47">
            <w:pPr>
              <w:jc w:val="right"/>
              <w:rPr>
                <w:lang w:val="fr-FR"/>
              </w:rPr>
            </w:pPr>
            <w:r w:rsidRPr="0012537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25373" w:rsidRPr="00125373" w:rsidTr="008F18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5373" w:rsidRPr="00125373" w:rsidRDefault="00125373" w:rsidP="00E01F4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25373">
              <w:rPr>
                <w:rFonts w:ascii="Arial Black" w:hAnsi="Arial Black"/>
                <w:caps/>
                <w:sz w:val="15"/>
                <w:lang w:val="fr-FR"/>
              </w:rPr>
              <w:t>WO/PBC/22/</w:t>
            </w:r>
            <w:bookmarkStart w:id="0" w:name="Code"/>
            <w:bookmarkEnd w:id="0"/>
            <w:r w:rsidRPr="00125373">
              <w:rPr>
                <w:rFonts w:ascii="Arial Black" w:hAnsi="Arial Black"/>
                <w:caps/>
                <w:sz w:val="15"/>
                <w:lang w:val="fr-FR"/>
              </w:rPr>
              <w:t xml:space="preserve">17 </w:t>
            </w:r>
          </w:p>
        </w:tc>
      </w:tr>
      <w:tr w:rsidR="00125373" w:rsidRPr="00125373" w:rsidTr="008F18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5373" w:rsidRPr="00125373" w:rsidRDefault="00125373" w:rsidP="00E01F4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2537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32E3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25373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  <w:r w:rsidRPr="001253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</w:p>
        </w:tc>
      </w:tr>
      <w:tr w:rsidR="00125373" w:rsidRPr="00125373" w:rsidTr="008F18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5373" w:rsidRPr="00125373" w:rsidRDefault="00125373" w:rsidP="00E01F4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2537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32E3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25373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 xml:space="preserve"> 23 JUIN 2014</w:t>
            </w:r>
            <w:r w:rsidRPr="001253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125373" w:rsidRPr="00125373" w:rsidRDefault="00125373" w:rsidP="00E01F47">
      <w:pPr>
        <w:rPr>
          <w:lang w:val="fr-FR"/>
        </w:rPr>
      </w:pPr>
    </w:p>
    <w:p w:rsidR="00125373" w:rsidRPr="00125373" w:rsidRDefault="00125373" w:rsidP="00E01F47">
      <w:pPr>
        <w:rPr>
          <w:lang w:val="fr-FR"/>
        </w:rPr>
      </w:pPr>
    </w:p>
    <w:p w:rsidR="00125373" w:rsidRPr="00125373" w:rsidRDefault="00125373" w:rsidP="00E01F47">
      <w:pPr>
        <w:rPr>
          <w:lang w:val="fr-FR"/>
        </w:rPr>
      </w:pPr>
    </w:p>
    <w:p w:rsidR="00125373" w:rsidRPr="00125373" w:rsidRDefault="00125373" w:rsidP="00E01F47">
      <w:pPr>
        <w:rPr>
          <w:lang w:val="fr-FR"/>
        </w:rPr>
      </w:pPr>
    </w:p>
    <w:p w:rsidR="00125373" w:rsidRPr="00125373" w:rsidRDefault="00125373" w:rsidP="00E01F47">
      <w:pPr>
        <w:rPr>
          <w:lang w:val="fr-FR"/>
        </w:rPr>
      </w:pPr>
    </w:p>
    <w:p w:rsidR="00125373" w:rsidRPr="00125373" w:rsidRDefault="00125373" w:rsidP="00E01F47">
      <w:pPr>
        <w:rPr>
          <w:b/>
          <w:sz w:val="28"/>
          <w:szCs w:val="28"/>
          <w:lang w:val="fr-FR"/>
        </w:rPr>
      </w:pPr>
      <w:r w:rsidRPr="00125373">
        <w:rPr>
          <w:b/>
          <w:sz w:val="28"/>
          <w:szCs w:val="28"/>
          <w:lang w:val="fr-FR"/>
        </w:rPr>
        <w:t>Comit</w:t>
      </w:r>
      <w:r w:rsidRPr="00125373">
        <w:rPr>
          <w:rFonts w:cs="Simplified Arabic"/>
          <w:b/>
          <w:sz w:val="28"/>
          <w:szCs w:val="28"/>
          <w:lang w:val="fr-FR"/>
        </w:rPr>
        <w:t>é</w:t>
      </w:r>
      <w:r w:rsidRPr="00125373">
        <w:rPr>
          <w:b/>
          <w:sz w:val="28"/>
          <w:szCs w:val="28"/>
          <w:lang w:val="fr-FR"/>
        </w:rPr>
        <w:t xml:space="preserve"> du programme et budget</w:t>
      </w:r>
    </w:p>
    <w:p w:rsidR="00125373" w:rsidRPr="00125373" w:rsidRDefault="00125373" w:rsidP="00E01F47">
      <w:pPr>
        <w:rPr>
          <w:lang w:val="fr-FR"/>
        </w:rPr>
      </w:pPr>
    </w:p>
    <w:p w:rsidR="00125373" w:rsidRPr="00125373" w:rsidRDefault="00125373" w:rsidP="00E01F47">
      <w:pPr>
        <w:rPr>
          <w:lang w:val="fr-FR"/>
        </w:rPr>
      </w:pPr>
    </w:p>
    <w:p w:rsidR="00125373" w:rsidRPr="00125373" w:rsidRDefault="00125373" w:rsidP="00E01F47">
      <w:pPr>
        <w:rPr>
          <w:b/>
          <w:sz w:val="24"/>
          <w:szCs w:val="24"/>
          <w:lang w:val="fr-FR"/>
        </w:rPr>
      </w:pPr>
      <w:r w:rsidRPr="00125373">
        <w:rPr>
          <w:b/>
          <w:bCs/>
          <w:sz w:val="24"/>
          <w:szCs w:val="24"/>
          <w:lang w:val="fr-FR"/>
        </w:rPr>
        <w:t>Vingt</w:t>
      </w:r>
      <w:r w:rsidR="000919B0">
        <w:rPr>
          <w:b/>
          <w:bCs/>
          <w:sz w:val="24"/>
          <w:szCs w:val="24"/>
          <w:lang w:val="fr-FR"/>
        </w:rPr>
        <w:noBreakHyphen/>
      </w:r>
      <w:r w:rsidRPr="00125373">
        <w:rPr>
          <w:b/>
          <w:bCs/>
          <w:sz w:val="24"/>
          <w:szCs w:val="24"/>
          <w:lang w:val="fr-FR"/>
        </w:rPr>
        <w:t>deuxième</w:t>
      </w:r>
      <w:r w:rsidR="00E32E37">
        <w:rPr>
          <w:b/>
          <w:bCs/>
          <w:sz w:val="24"/>
          <w:szCs w:val="24"/>
          <w:lang w:val="fr-FR"/>
        </w:rPr>
        <w:t> </w:t>
      </w:r>
      <w:r w:rsidRPr="00125373">
        <w:rPr>
          <w:b/>
          <w:bCs/>
          <w:sz w:val="24"/>
          <w:szCs w:val="24"/>
          <w:lang w:val="fr-FR"/>
        </w:rPr>
        <w:t>se</w:t>
      </w:r>
      <w:r w:rsidRPr="00125373">
        <w:rPr>
          <w:b/>
          <w:sz w:val="24"/>
          <w:szCs w:val="24"/>
          <w:lang w:val="fr-FR"/>
        </w:rPr>
        <w:t>ssion</w:t>
      </w:r>
    </w:p>
    <w:p w:rsidR="00125373" w:rsidRPr="00125373" w:rsidRDefault="00125373" w:rsidP="00E01F47">
      <w:pPr>
        <w:rPr>
          <w:lang w:val="fr-FR"/>
        </w:rPr>
      </w:pPr>
      <w:r w:rsidRPr="00125373">
        <w:rPr>
          <w:b/>
          <w:sz w:val="24"/>
          <w:szCs w:val="24"/>
          <w:lang w:val="fr-FR"/>
        </w:rPr>
        <w:t>Genève, 1</w:t>
      </w:r>
      <w:r w:rsidRPr="00125373">
        <w:rPr>
          <w:b/>
          <w:sz w:val="24"/>
          <w:szCs w:val="24"/>
          <w:vertAlign w:val="superscript"/>
          <w:lang w:val="fr-FR"/>
        </w:rPr>
        <w:t>er</w:t>
      </w:r>
      <w:r>
        <w:rPr>
          <w:b/>
          <w:sz w:val="24"/>
          <w:szCs w:val="24"/>
          <w:lang w:val="fr-FR"/>
        </w:rPr>
        <w:t> </w:t>
      </w:r>
      <w:r w:rsidRPr="00125373">
        <w:rPr>
          <w:b/>
          <w:sz w:val="24"/>
          <w:szCs w:val="24"/>
          <w:lang w:val="fr-FR"/>
        </w:rPr>
        <w:t>– 5</w:t>
      </w:r>
      <w:r>
        <w:rPr>
          <w:b/>
          <w:sz w:val="24"/>
          <w:szCs w:val="24"/>
          <w:lang w:val="fr-FR"/>
        </w:rPr>
        <w:t> </w:t>
      </w:r>
      <w:r w:rsidRPr="00125373">
        <w:rPr>
          <w:b/>
          <w:sz w:val="24"/>
          <w:szCs w:val="24"/>
          <w:lang w:val="fr-FR"/>
        </w:rPr>
        <w:t>septembre</w:t>
      </w:r>
      <w:r>
        <w:rPr>
          <w:b/>
          <w:sz w:val="24"/>
          <w:szCs w:val="24"/>
          <w:lang w:val="fr-FR"/>
        </w:rPr>
        <w:t> </w:t>
      </w:r>
      <w:r w:rsidRPr="00125373">
        <w:rPr>
          <w:b/>
          <w:sz w:val="24"/>
          <w:szCs w:val="24"/>
          <w:lang w:val="fr-FR"/>
        </w:rPr>
        <w:t>2014</w:t>
      </w: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08217E" w:rsidP="00E01F47">
      <w:pPr>
        <w:rPr>
          <w:lang w:val="fr-FR"/>
        </w:rPr>
      </w:pPr>
    </w:p>
    <w:p w:rsidR="0008217E" w:rsidRPr="00E01F47" w:rsidRDefault="00E01F47" w:rsidP="00E01F47">
      <w:pPr>
        <w:rPr>
          <w:caps/>
          <w:sz w:val="24"/>
          <w:lang w:val="fr-FR"/>
        </w:rPr>
      </w:pPr>
      <w:bookmarkStart w:id="3" w:name="TitleOfDoc"/>
      <w:bookmarkEnd w:id="3"/>
      <w:r w:rsidRPr="00E01F47">
        <w:rPr>
          <w:caps/>
          <w:sz w:val="24"/>
          <w:lang w:val="fr-FR"/>
        </w:rPr>
        <w:t>Déclaration relative à la t</w:t>
      </w:r>
      <w:r w:rsidR="00430B11" w:rsidRPr="00E01F47">
        <w:rPr>
          <w:caps/>
          <w:sz w:val="24"/>
          <w:lang w:val="fr-FR"/>
        </w:rPr>
        <w:t>olérance au risque de l</w:t>
      </w:r>
      <w:r w:rsidR="00125373" w:rsidRPr="00E01F47">
        <w:rPr>
          <w:caps/>
          <w:sz w:val="24"/>
          <w:lang w:val="fr-FR"/>
        </w:rPr>
        <w:t>’</w:t>
      </w:r>
      <w:r w:rsidR="00430B11" w:rsidRPr="00E01F47">
        <w:rPr>
          <w:caps/>
          <w:sz w:val="24"/>
          <w:lang w:val="fr-FR"/>
        </w:rPr>
        <w:t>Organisation</w:t>
      </w: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430B11" w:rsidP="00E01F47">
      <w:pPr>
        <w:rPr>
          <w:i/>
          <w:lang w:val="fr-FR"/>
        </w:rPr>
      </w:pPr>
      <w:bookmarkStart w:id="4" w:name="Prepared"/>
      <w:bookmarkEnd w:id="4"/>
      <w:r w:rsidRPr="00125373">
        <w:rPr>
          <w:i/>
          <w:lang w:val="fr-FR"/>
        </w:rPr>
        <w:t>Document établi par le Secrétariat</w:t>
      </w: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430B11" w:rsidP="00E01F47">
      <w:pPr>
        <w:pStyle w:val="Heading1"/>
        <w:rPr>
          <w:lang w:val="fr-FR"/>
        </w:rPr>
      </w:pPr>
      <w:r w:rsidRPr="00125373">
        <w:rPr>
          <w:lang w:val="fr-FR"/>
        </w:rPr>
        <w:t>INTRODUCTION</w:t>
      </w:r>
    </w:p>
    <w:p w:rsidR="0008217E" w:rsidRPr="00125373" w:rsidRDefault="0008217E" w:rsidP="00E01F47">
      <w:pPr>
        <w:rPr>
          <w:lang w:val="fr-FR"/>
        </w:rPr>
      </w:pPr>
    </w:p>
    <w:p w:rsidR="00125373" w:rsidRDefault="00430B11" w:rsidP="00E01F47">
      <w:pPr>
        <w:pStyle w:val="ONUMFS"/>
        <w:rPr>
          <w:lang w:val="fr-FR"/>
        </w:rPr>
      </w:pPr>
      <w:r w:rsidRPr="00125373">
        <w:rPr>
          <w:color w:val="000000"/>
          <w:lang w:val="fr-FR"/>
        </w:rPr>
        <w:t>L</w:t>
      </w:r>
      <w:r w:rsidR="00125373">
        <w:rPr>
          <w:color w:val="000000"/>
          <w:lang w:val="fr-FR"/>
        </w:rPr>
        <w:t>’</w:t>
      </w:r>
      <w:r w:rsidRPr="00125373">
        <w:rPr>
          <w:color w:val="000000"/>
          <w:lang w:val="fr-FR"/>
        </w:rPr>
        <w:t>Organisation est résolue à continuer de renforcer ses systèmes de gestion des risques et de contrôle interne.</w:t>
      </w:r>
      <w:r w:rsidR="004D014B" w:rsidRPr="000919B0">
        <w:rPr>
          <w:color w:val="000000"/>
          <w:lang w:val="fr-FR"/>
        </w:rPr>
        <w:t xml:space="preserve">  </w:t>
      </w:r>
      <w:r w:rsidR="0068099E" w:rsidRPr="00125373">
        <w:rPr>
          <w:lang w:val="fr-FR"/>
        </w:rPr>
        <w:t>Dans ce contexte, un certain nombre d</w:t>
      </w:r>
      <w:r w:rsidR="00125373">
        <w:rPr>
          <w:lang w:val="fr-FR"/>
        </w:rPr>
        <w:t>’</w:t>
      </w:r>
      <w:r w:rsidR="0068099E" w:rsidRPr="00125373">
        <w:rPr>
          <w:lang w:val="fr-FR"/>
        </w:rPr>
        <w:t>étapes importantes ont été franchies, mais les efforts doivent être poursuivis pour assurer la mise en œuvre efficace d</w:t>
      </w:r>
      <w:r w:rsidR="00125373">
        <w:rPr>
          <w:lang w:val="fr-FR"/>
        </w:rPr>
        <w:t>’</w:t>
      </w:r>
      <w:r w:rsidR="0068099E" w:rsidRPr="00125373">
        <w:rPr>
          <w:lang w:val="fr-FR"/>
        </w:rPr>
        <w:t>une procédure de gestion des risques à l</w:t>
      </w:r>
      <w:r w:rsidR="00125373">
        <w:rPr>
          <w:lang w:val="fr-FR"/>
        </w:rPr>
        <w:t>’</w:t>
      </w:r>
      <w:r w:rsidR="0068099E" w:rsidRPr="00125373">
        <w:rPr>
          <w:lang w:val="fr-FR"/>
        </w:rPr>
        <w:t>OMPI d</w:t>
      </w:r>
      <w:r w:rsidR="00125373">
        <w:rPr>
          <w:lang w:val="fr-FR"/>
        </w:rPr>
        <w:t>’</w:t>
      </w:r>
      <w:r w:rsidR="0068099E" w:rsidRPr="00125373">
        <w:rPr>
          <w:lang w:val="fr-FR"/>
        </w:rPr>
        <w:t>ici la fin de l</w:t>
      </w:r>
      <w:r w:rsidR="00125373">
        <w:rPr>
          <w:lang w:val="fr-FR"/>
        </w:rPr>
        <w:t>’</w:t>
      </w:r>
      <w:r w:rsidR="0068099E" w:rsidRPr="00125373">
        <w:rPr>
          <w:lang w:val="fr-FR"/>
        </w:rPr>
        <w:t>exercice biennal</w:t>
      </w:r>
      <w:r w:rsidR="00E32E37">
        <w:rPr>
          <w:lang w:val="fr-FR"/>
        </w:rPr>
        <w:t> </w:t>
      </w:r>
      <w:r w:rsidR="0068099E" w:rsidRPr="00125373">
        <w:rPr>
          <w:lang w:val="fr-FR"/>
        </w:rPr>
        <w:t>2016</w:t>
      </w:r>
      <w:r w:rsidR="000919B0">
        <w:rPr>
          <w:lang w:val="fr-FR"/>
        </w:rPr>
        <w:noBreakHyphen/>
      </w:r>
      <w:r w:rsidR="0068099E" w:rsidRPr="00125373">
        <w:rPr>
          <w:lang w:val="fr-FR"/>
        </w:rPr>
        <w:t>2017.</w:t>
      </w:r>
      <w:r w:rsidR="0008267F" w:rsidRPr="00125373">
        <w:rPr>
          <w:lang w:val="fr-FR"/>
        </w:rPr>
        <w:t xml:space="preserve"> </w:t>
      </w:r>
      <w:r w:rsidR="00DE63C2" w:rsidRPr="00125373">
        <w:rPr>
          <w:lang w:val="fr-FR"/>
        </w:rPr>
        <w:t xml:space="preserve"> </w:t>
      </w:r>
      <w:r w:rsidR="00314FC1" w:rsidRPr="00125373">
        <w:rPr>
          <w:color w:val="000000"/>
          <w:lang w:val="fr-FR"/>
        </w:rPr>
        <w:t>L</w:t>
      </w:r>
      <w:r w:rsidR="00125373">
        <w:rPr>
          <w:color w:val="000000"/>
          <w:lang w:val="fr-FR"/>
        </w:rPr>
        <w:t>’</w:t>
      </w:r>
      <w:r w:rsidR="00314FC1" w:rsidRPr="00125373">
        <w:rPr>
          <w:color w:val="000000"/>
          <w:lang w:val="fr-FR"/>
        </w:rPr>
        <w:t xml:space="preserve">une des tâches essentielles consiste notamment à </w:t>
      </w:r>
      <w:r w:rsidR="00CB7473" w:rsidRPr="00125373">
        <w:rPr>
          <w:color w:val="000000"/>
          <w:lang w:val="fr-FR"/>
        </w:rPr>
        <w:t xml:space="preserve">définir </w:t>
      </w:r>
      <w:r w:rsidR="00C606E9" w:rsidRPr="00125373">
        <w:rPr>
          <w:color w:val="000000"/>
          <w:lang w:val="fr-FR"/>
        </w:rPr>
        <w:t>la</w:t>
      </w:r>
      <w:r w:rsidR="00314FC1" w:rsidRPr="00125373">
        <w:rPr>
          <w:color w:val="000000"/>
          <w:lang w:val="fr-FR"/>
        </w:rPr>
        <w:t xml:space="preserve"> tolérance au risque </w:t>
      </w:r>
      <w:r w:rsidR="00CB7473" w:rsidRPr="00125373">
        <w:rPr>
          <w:color w:val="000000"/>
          <w:lang w:val="fr-FR"/>
        </w:rPr>
        <w:t xml:space="preserve">de </w:t>
      </w:r>
      <w:r w:rsidR="00314FC1" w:rsidRPr="00125373">
        <w:rPr>
          <w:color w:val="000000"/>
          <w:lang w:val="fr-FR"/>
        </w:rPr>
        <w:t>l</w:t>
      </w:r>
      <w:r w:rsidR="00125373">
        <w:rPr>
          <w:color w:val="000000"/>
          <w:lang w:val="fr-FR"/>
        </w:rPr>
        <w:t>’</w:t>
      </w:r>
      <w:r w:rsidR="00314FC1" w:rsidRPr="00125373">
        <w:rPr>
          <w:color w:val="000000"/>
          <w:lang w:val="fr-FR"/>
        </w:rPr>
        <w:t>Organisation.</w:t>
      </w:r>
      <w:r w:rsidR="00787710" w:rsidRPr="000919B0">
        <w:rPr>
          <w:color w:val="000000"/>
          <w:lang w:val="fr-FR"/>
        </w:rPr>
        <w:t xml:space="preserve"> </w:t>
      </w:r>
      <w:r w:rsidR="00DE63C2" w:rsidRPr="000919B0">
        <w:rPr>
          <w:color w:val="000000"/>
          <w:lang w:val="fr-FR"/>
        </w:rPr>
        <w:t xml:space="preserve"> </w:t>
      </w:r>
      <w:r w:rsidR="00314FC1" w:rsidRPr="00125373">
        <w:rPr>
          <w:color w:val="000000"/>
          <w:lang w:val="fr-FR"/>
        </w:rPr>
        <w:t>À cet égard, l</w:t>
      </w:r>
      <w:r w:rsidR="00125373">
        <w:rPr>
          <w:color w:val="000000"/>
          <w:lang w:val="fr-FR"/>
        </w:rPr>
        <w:t>’</w:t>
      </w:r>
      <w:r w:rsidR="00314FC1" w:rsidRPr="00125373">
        <w:rPr>
          <w:lang w:val="fr-FR"/>
        </w:rPr>
        <w:t>Organe consultatif indépendant de surveillance</w:t>
      </w:r>
      <w:r w:rsidR="00314FC1" w:rsidRPr="00125373">
        <w:rPr>
          <w:color w:val="000000"/>
          <w:lang w:val="fr-FR"/>
        </w:rPr>
        <w:t xml:space="preserve"> (OCIS) et la </w:t>
      </w:r>
      <w:r w:rsidR="00314FC1" w:rsidRPr="00125373">
        <w:rPr>
          <w:lang w:val="fr-FR"/>
        </w:rPr>
        <w:t>Division de l</w:t>
      </w:r>
      <w:r w:rsidR="00125373">
        <w:rPr>
          <w:lang w:val="fr-FR"/>
        </w:rPr>
        <w:t>’</w:t>
      </w:r>
      <w:r w:rsidR="00314FC1" w:rsidRPr="00125373">
        <w:rPr>
          <w:lang w:val="fr-FR"/>
        </w:rPr>
        <w:t>audit et de la supervision internes</w:t>
      </w:r>
      <w:r w:rsidR="00314FC1" w:rsidRPr="00125373">
        <w:rPr>
          <w:color w:val="000000"/>
          <w:lang w:val="fr-FR"/>
        </w:rPr>
        <w:t xml:space="preserve"> ont demandé à l</w:t>
      </w:r>
      <w:r w:rsidR="00125373">
        <w:rPr>
          <w:color w:val="000000"/>
          <w:lang w:val="fr-FR"/>
        </w:rPr>
        <w:t>’</w:t>
      </w:r>
      <w:r w:rsidR="00314FC1" w:rsidRPr="00125373">
        <w:rPr>
          <w:color w:val="000000"/>
          <w:lang w:val="fr-FR"/>
        </w:rPr>
        <w:t>OMPI de définir la tolérance au risque de l</w:t>
      </w:r>
      <w:r w:rsidR="00125373">
        <w:rPr>
          <w:color w:val="000000"/>
          <w:lang w:val="fr-FR"/>
        </w:rPr>
        <w:t>’</w:t>
      </w:r>
      <w:r w:rsidR="00314FC1" w:rsidRPr="00125373">
        <w:rPr>
          <w:color w:val="000000"/>
          <w:lang w:val="fr-FR"/>
        </w:rPr>
        <w:t>Organisation.</w:t>
      </w:r>
    </w:p>
    <w:p w:rsidR="00125373" w:rsidRDefault="000221DB" w:rsidP="00E01F47">
      <w:pPr>
        <w:pStyle w:val="ONUMFS"/>
        <w:rPr>
          <w:lang w:val="fr-FR"/>
        </w:rPr>
      </w:pPr>
      <w:r w:rsidRPr="00125373">
        <w:rPr>
          <w:lang w:val="fr-FR"/>
        </w:rPr>
        <w:t>Il est admis que</w:t>
      </w:r>
      <w:r w:rsidR="000A6155">
        <w:rPr>
          <w:lang w:val="fr-FR"/>
        </w:rPr>
        <w:t>,</w:t>
      </w:r>
      <w:r w:rsidRPr="00125373">
        <w:rPr>
          <w:lang w:val="fr-FR"/>
        </w:rPr>
        <w:t xml:space="preserve"> même si l</w:t>
      </w:r>
      <w:r w:rsidR="00125373">
        <w:rPr>
          <w:lang w:val="fr-FR"/>
        </w:rPr>
        <w:t>’</w:t>
      </w:r>
      <w:r w:rsidRPr="00125373">
        <w:rPr>
          <w:lang w:val="fr-FR"/>
        </w:rPr>
        <w:t>Organisation s</w:t>
      </w:r>
      <w:r w:rsidR="00125373">
        <w:rPr>
          <w:lang w:val="fr-FR"/>
        </w:rPr>
        <w:t>’</w:t>
      </w:r>
      <w:r w:rsidRPr="00125373">
        <w:rPr>
          <w:lang w:val="fr-FR"/>
        </w:rPr>
        <w:t>efforce de minimiser l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impact des risques encourus </w:t>
      </w:r>
      <w:r w:rsidR="000A6155">
        <w:rPr>
          <w:lang w:val="fr-FR"/>
        </w:rPr>
        <w:t>afin d’</w:t>
      </w:r>
      <w:r w:rsidRPr="00125373">
        <w:rPr>
          <w:lang w:val="fr-FR"/>
        </w:rPr>
        <w:t xml:space="preserve">atteindre ses objectifs stratégiques et les résultats escomptés, les États membres et le Secrétariat doivent accepter </w:t>
      </w:r>
      <w:r w:rsidR="00491D10">
        <w:rPr>
          <w:lang w:val="fr-FR"/>
        </w:rPr>
        <w:t xml:space="preserve">d’assumer ensemble </w:t>
      </w:r>
      <w:r w:rsidRPr="00125373">
        <w:rPr>
          <w:lang w:val="fr-FR"/>
        </w:rPr>
        <w:t>une certaine part de risque.</w:t>
      </w:r>
      <w:r w:rsidR="00107477" w:rsidRPr="000919B0">
        <w:rPr>
          <w:lang w:val="fr-FR"/>
        </w:rPr>
        <w:t xml:space="preserve">  </w:t>
      </w:r>
      <w:r w:rsidRPr="00125373">
        <w:rPr>
          <w:lang w:val="fr-FR"/>
        </w:rPr>
        <w:t>C</w:t>
      </w:r>
      <w:r w:rsidR="00125373">
        <w:rPr>
          <w:lang w:val="fr-FR"/>
        </w:rPr>
        <w:t>’</w:t>
      </w:r>
      <w:r w:rsidRPr="00125373">
        <w:rPr>
          <w:lang w:val="fr-FR"/>
        </w:rPr>
        <w:t>est ce seuil de tolérance au risque</w:t>
      </w:r>
      <w:r w:rsidR="00491D10">
        <w:rPr>
          <w:lang w:val="fr-FR"/>
        </w:rPr>
        <w:t>,</w:t>
      </w:r>
      <w:r w:rsidRPr="00125373">
        <w:rPr>
          <w:lang w:val="fr-FR"/>
        </w:rPr>
        <w:t xml:space="preserve"> à l</w:t>
      </w:r>
      <w:r w:rsidR="00125373">
        <w:rPr>
          <w:lang w:val="fr-FR"/>
        </w:rPr>
        <w:t>’</w:t>
      </w:r>
      <w:r w:rsidRPr="00125373">
        <w:rPr>
          <w:lang w:val="fr-FR"/>
        </w:rPr>
        <w:t>échelle de l</w:t>
      </w:r>
      <w:r w:rsidR="00125373">
        <w:rPr>
          <w:lang w:val="fr-FR"/>
        </w:rPr>
        <w:t>’</w:t>
      </w:r>
      <w:r w:rsidRPr="00125373">
        <w:rPr>
          <w:lang w:val="fr-FR"/>
        </w:rPr>
        <w:t>Organisation</w:t>
      </w:r>
      <w:r w:rsidR="00491D10">
        <w:rPr>
          <w:lang w:val="fr-FR"/>
        </w:rPr>
        <w:t>,</w:t>
      </w:r>
      <w:r w:rsidRPr="00125373">
        <w:rPr>
          <w:lang w:val="fr-FR"/>
        </w:rPr>
        <w:t xml:space="preserve"> qui sert de repère à l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OMPI pour gérer </w:t>
      </w:r>
      <w:r w:rsidR="007F1203" w:rsidRPr="00125373">
        <w:rPr>
          <w:lang w:val="fr-FR"/>
        </w:rPr>
        <w:t>activement les risques</w:t>
      </w:r>
      <w:r w:rsidR="00107477" w:rsidRPr="00125373">
        <w:rPr>
          <w:lang w:val="fr-FR"/>
        </w:rPr>
        <w:t>.</w:t>
      </w:r>
    </w:p>
    <w:p w:rsidR="0008217E" w:rsidRDefault="007F1203" w:rsidP="00E01F47">
      <w:pPr>
        <w:pStyle w:val="Heading1"/>
        <w:rPr>
          <w:lang w:val="fr-FR"/>
        </w:rPr>
      </w:pPr>
      <w:r w:rsidRPr="00125373">
        <w:rPr>
          <w:lang w:val="fr-FR"/>
        </w:rPr>
        <w:t>TOLÉRANCE AU RISQUE DE L</w:t>
      </w:r>
      <w:r w:rsidR="00125373">
        <w:rPr>
          <w:lang w:val="fr-FR"/>
        </w:rPr>
        <w:t>’</w:t>
      </w:r>
      <w:r w:rsidRPr="00125373">
        <w:rPr>
          <w:lang w:val="fr-FR"/>
        </w:rPr>
        <w:t>ORGANISATION</w:t>
      </w:r>
    </w:p>
    <w:p w:rsidR="000919B0" w:rsidRPr="000919B0" w:rsidRDefault="000919B0" w:rsidP="00E01F47">
      <w:pPr>
        <w:rPr>
          <w:lang w:val="fr-FR"/>
        </w:rPr>
      </w:pPr>
    </w:p>
    <w:p w:rsidR="00125373" w:rsidRDefault="002C0A60" w:rsidP="00E01F47">
      <w:pPr>
        <w:pStyle w:val="ONUMFS"/>
        <w:rPr>
          <w:lang w:val="fr-FR"/>
        </w:rPr>
      </w:pPr>
      <w:r w:rsidRPr="00125373">
        <w:rPr>
          <w:lang w:val="fr-FR"/>
        </w:rPr>
        <w:t>L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OMPI possède un modèle économique unique en son genre au sein du système des </w:t>
      </w:r>
      <w:r w:rsidR="00125373">
        <w:rPr>
          <w:lang w:val="fr-FR"/>
        </w:rPr>
        <w:t>Nations Unies</w:t>
      </w:r>
      <w:r w:rsidRPr="00125373">
        <w:rPr>
          <w:lang w:val="fr-FR"/>
        </w:rPr>
        <w:t xml:space="preserve">, </w:t>
      </w:r>
      <w:r w:rsidR="00491D10">
        <w:rPr>
          <w:lang w:val="fr-FR"/>
        </w:rPr>
        <w:t xml:space="preserve">qui </w:t>
      </w:r>
      <w:r w:rsidRPr="00125373">
        <w:rPr>
          <w:lang w:val="fr-FR"/>
        </w:rPr>
        <w:t>nécessite une politique de gestion des risques adaptée.</w:t>
      </w:r>
      <w:r w:rsidR="00787710" w:rsidRPr="000919B0">
        <w:rPr>
          <w:lang w:val="fr-FR"/>
        </w:rPr>
        <w:t xml:space="preserve">  </w:t>
      </w:r>
      <w:r w:rsidR="00256574" w:rsidRPr="00125373">
        <w:rPr>
          <w:lang w:val="fr-FR"/>
        </w:rPr>
        <w:t>En témoignent son mode de financement ainsi que ses structures opérationnelles.</w:t>
      </w:r>
    </w:p>
    <w:p w:rsidR="00E01F47" w:rsidRDefault="00E01F47">
      <w:pPr>
        <w:rPr>
          <w:lang w:val="fr-FR"/>
        </w:rPr>
      </w:pPr>
      <w:r>
        <w:rPr>
          <w:lang w:val="fr-FR"/>
        </w:rPr>
        <w:br w:type="page"/>
      </w:r>
    </w:p>
    <w:p w:rsidR="0008217E" w:rsidRPr="00125373" w:rsidRDefault="00256574" w:rsidP="00E01F47">
      <w:pPr>
        <w:pStyle w:val="ONUMFS"/>
        <w:rPr>
          <w:lang w:val="fr-FR"/>
        </w:rPr>
      </w:pPr>
      <w:r w:rsidRPr="00125373">
        <w:rPr>
          <w:lang w:val="fr-FR"/>
        </w:rPr>
        <w:lastRenderedPageBreak/>
        <w:t>La tolérance au risque de l</w:t>
      </w:r>
      <w:r w:rsidR="00125373">
        <w:rPr>
          <w:lang w:val="fr-FR"/>
        </w:rPr>
        <w:t>’</w:t>
      </w:r>
      <w:r w:rsidR="000919B0">
        <w:rPr>
          <w:lang w:val="fr-FR"/>
        </w:rPr>
        <w:t>OMPI se définit en termes i) </w:t>
      </w:r>
      <w:r w:rsidRPr="00125373">
        <w:rPr>
          <w:lang w:val="fr-FR"/>
        </w:rPr>
        <w:t>de risques opérationnels, ii)</w:t>
      </w:r>
      <w:r w:rsidR="00E32E37">
        <w:rPr>
          <w:lang w:val="fr-FR"/>
        </w:rPr>
        <w:t> </w:t>
      </w:r>
      <w:r w:rsidRPr="00125373">
        <w:rPr>
          <w:lang w:val="fr-FR"/>
        </w:rPr>
        <w:t>de risques financiers, iii)</w:t>
      </w:r>
      <w:r w:rsidR="00E32E37">
        <w:rPr>
          <w:lang w:val="fr-FR"/>
        </w:rPr>
        <w:t> </w:t>
      </w:r>
      <w:r w:rsidRPr="00125373">
        <w:rPr>
          <w:lang w:val="fr-FR"/>
        </w:rPr>
        <w:t>de risques stratégiques et iv)</w:t>
      </w:r>
      <w:r w:rsidR="00E32E37">
        <w:rPr>
          <w:lang w:val="fr-FR"/>
        </w:rPr>
        <w:t> </w:t>
      </w:r>
      <w:r w:rsidRPr="00125373">
        <w:rPr>
          <w:lang w:val="fr-FR"/>
        </w:rPr>
        <w:t>d</w:t>
      </w:r>
      <w:r w:rsidR="00125373">
        <w:rPr>
          <w:lang w:val="fr-FR"/>
        </w:rPr>
        <w:t>’</w:t>
      </w:r>
      <w:r w:rsidRPr="00125373">
        <w:rPr>
          <w:lang w:val="fr-FR"/>
        </w:rPr>
        <w:t>incidence sur l</w:t>
      </w:r>
      <w:r w:rsidR="00125373">
        <w:rPr>
          <w:lang w:val="fr-FR"/>
        </w:rPr>
        <w:t>’</w:t>
      </w:r>
      <w:r w:rsidRPr="00125373">
        <w:rPr>
          <w:lang w:val="fr-FR"/>
        </w:rPr>
        <w:t>image.</w:t>
      </w:r>
      <w:r w:rsidR="001C69F7" w:rsidRPr="000919B0">
        <w:rPr>
          <w:lang w:val="fr-FR"/>
        </w:rPr>
        <w:t xml:space="preserve">  </w:t>
      </w:r>
      <w:r w:rsidRPr="00125373">
        <w:rPr>
          <w:lang w:val="fr-FR"/>
        </w:rPr>
        <w:t xml:space="preserve">Ces éléments </w:t>
      </w:r>
      <w:r w:rsidR="00491D10">
        <w:rPr>
          <w:lang w:val="fr-FR"/>
        </w:rPr>
        <w:t xml:space="preserve">représentent le </w:t>
      </w:r>
      <w:r w:rsidRPr="00125373">
        <w:rPr>
          <w:lang w:val="fr-FR"/>
        </w:rPr>
        <w:t>risque résiduel, c</w:t>
      </w:r>
      <w:r w:rsidR="00125373">
        <w:rPr>
          <w:lang w:val="fr-FR"/>
        </w:rPr>
        <w:t>’</w:t>
      </w:r>
      <w:r w:rsidRPr="00125373">
        <w:rPr>
          <w:lang w:val="fr-FR"/>
        </w:rPr>
        <w:t>est</w:t>
      </w:r>
      <w:r w:rsidR="000919B0">
        <w:rPr>
          <w:lang w:val="fr-FR"/>
        </w:rPr>
        <w:noBreakHyphen/>
      </w:r>
      <w:r w:rsidRPr="00125373">
        <w:rPr>
          <w:lang w:val="fr-FR"/>
        </w:rPr>
        <w:t>à</w:t>
      </w:r>
      <w:r w:rsidR="000919B0">
        <w:rPr>
          <w:lang w:val="fr-FR"/>
        </w:rPr>
        <w:noBreakHyphen/>
      </w:r>
      <w:r w:rsidRPr="00125373">
        <w:rPr>
          <w:lang w:val="fr-FR"/>
        </w:rPr>
        <w:t xml:space="preserve">dire le risque encouru après que </w:t>
      </w:r>
      <w:r w:rsidR="00491D10">
        <w:rPr>
          <w:lang w:val="fr-FR"/>
        </w:rPr>
        <w:t>l</w:t>
      </w:r>
      <w:r w:rsidRPr="00125373">
        <w:rPr>
          <w:lang w:val="fr-FR"/>
        </w:rPr>
        <w:t>es mesures d</w:t>
      </w:r>
      <w:r w:rsidR="00125373">
        <w:rPr>
          <w:lang w:val="fr-FR"/>
        </w:rPr>
        <w:t>’</w:t>
      </w:r>
      <w:r w:rsidR="00BF7C91" w:rsidRPr="00125373">
        <w:rPr>
          <w:lang w:val="fr-FR"/>
        </w:rPr>
        <w:t>atténuation des risques</w:t>
      </w:r>
      <w:r w:rsidRPr="00125373">
        <w:rPr>
          <w:lang w:val="fr-FR"/>
        </w:rPr>
        <w:t xml:space="preserve"> ont été prises </w:t>
      </w:r>
      <w:r w:rsidR="00491D10">
        <w:rPr>
          <w:lang w:val="fr-FR"/>
        </w:rPr>
        <w:t>et</w:t>
      </w:r>
      <w:r w:rsidRPr="00125373">
        <w:rPr>
          <w:lang w:val="fr-FR"/>
        </w:rPr>
        <w:t xml:space="preserve"> que </w:t>
      </w:r>
      <w:r w:rsidR="00491D10">
        <w:rPr>
          <w:lang w:val="fr-FR"/>
        </w:rPr>
        <w:t>l</w:t>
      </w:r>
      <w:r w:rsidRPr="00125373">
        <w:rPr>
          <w:lang w:val="fr-FR"/>
        </w:rPr>
        <w:t xml:space="preserve">es contrôles ont été effectués. </w:t>
      </w:r>
      <w:r w:rsidRPr="000919B0">
        <w:rPr>
          <w:lang w:val="fr-FR"/>
        </w:rPr>
        <w:t xml:space="preserve"> </w:t>
      </w:r>
      <w:r w:rsidRPr="00125373">
        <w:rPr>
          <w:lang w:val="fr-FR"/>
        </w:rPr>
        <w:t>Dans ce contexte, la tolérance au risque de l</w:t>
      </w:r>
      <w:r w:rsidR="00125373">
        <w:rPr>
          <w:lang w:val="fr-FR"/>
        </w:rPr>
        <w:t>’</w:t>
      </w:r>
      <w:r w:rsidRPr="00125373">
        <w:rPr>
          <w:lang w:val="fr-FR"/>
        </w:rPr>
        <w:t>Organisation</w:t>
      </w:r>
      <w:r w:rsidR="00491D10">
        <w:rPr>
          <w:lang w:val="fr-FR"/>
        </w:rPr>
        <w:t>,</w:t>
      </w:r>
      <w:r w:rsidRPr="00125373">
        <w:rPr>
          <w:lang w:val="fr-FR"/>
        </w:rPr>
        <w:t xml:space="preserve"> au sens large</w:t>
      </w:r>
      <w:r w:rsidR="00491D10">
        <w:rPr>
          <w:lang w:val="fr-FR"/>
        </w:rPr>
        <w:t>,</w:t>
      </w:r>
      <w:r w:rsidRPr="00125373">
        <w:rPr>
          <w:lang w:val="fr-FR"/>
        </w:rPr>
        <w:t xml:space="preserve"> </w:t>
      </w:r>
      <w:r w:rsidR="00491D10">
        <w:rPr>
          <w:lang w:val="fr-FR"/>
        </w:rPr>
        <w:t>est la suivante</w:t>
      </w:r>
      <w:r w:rsidR="00E32E37">
        <w:rPr>
          <w:lang w:val="fr-FR"/>
        </w:rPr>
        <w:t> </w:t>
      </w:r>
      <w:r w:rsidRPr="00125373">
        <w:rPr>
          <w:lang w:val="fr-FR"/>
        </w:rPr>
        <w:t>:</w:t>
      </w:r>
    </w:p>
    <w:p w:rsidR="00125373" w:rsidRDefault="00BF284B" w:rsidP="00E01F47">
      <w:pPr>
        <w:pStyle w:val="ONUMFS"/>
        <w:numPr>
          <w:ilvl w:val="2"/>
          <w:numId w:val="6"/>
        </w:numPr>
        <w:rPr>
          <w:lang w:val="fr-FR"/>
        </w:rPr>
      </w:pPr>
      <w:r w:rsidRPr="00125373">
        <w:rPr>
          <w:lang w:val="fr-FR"/>
        </w:rPr>
        <w:t>les risques dont l</w:t>
      </w:r>
      <w:r w:rsidR="00125373">
        <w:rPr>
          <w:lang w:val="fr-FR"/>
        </w:rPr>
        <w:t>’</w:t>
      </w:r>
      <w:r w:rsidRPr="00125373">
        <w:rPr>
          <w:lang w:val="fr-FR"/>
        </w:rPr>
        <w:t>impact est faible sont acceptés lorsque la probabilité qu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un événement à risque </w:t>
      </w:r>
      <w:r w:rsidR="0032707E" w:rsidRPr="00125373">
        <w:rPr>
          <w:lang w:val="fr-FR"/>
        </w:rPr>
        <w:t>se</w:t>
      </w:r>
      <w:r w:rsidRPr="00125373">
        <w:rPr>
          <w:lang w:val="fr-FR"/>
        </w:rPr>
        <w:t xml:space="preserve"> produise est </w:t>
      </w:r>
      <w:r w:rsidR="0032707E" w:rsidRPr="00125373">
        <w:rPr>
          <w:lang w:val="fr-FR"/>
        </w:rPr>
        <w:t xml:space="preserve">jugée </w:t>
      </w:r>
      <w:r w:rsidRPr="00125373">
        <w:rPr>
          <w:lang w:val="fr-FR"/>
        </w:rPr>
        <w:t>modéré</w:t>
      </w:r>
      <w:r w:rsidR="0032707E" w:rsidRPr="00125373">
        <w:rPr>
          <w:lang w:val="fr-FR"/>
        </w:rPr>
        <w:t>e</w:t>
      </w:r>
      <w:r w:rsidRPr="00125373">
        <w:rPr>
          <w:lang w:val="fr-FR"/>
        </w:rPr>
        <w:t>, faible ou minime</w:t>
      </w:r>
      <w:r w:rsidR="00F96D46" w:rsidRPr="00125373">
        <w:rPr>
          <w:lang w:val="fr-FR"/>
        </w:rPr>
        <w:t>;</w:t>
      </w:r>
    </w:p>
    <w:p w:rsidR="0008217E" w:rsidRPr="00125373" w:rsidRDefault="00BF284B" w:rsidP="00E01F47">
      <w:pPr>
        <w:pStyle w:val="ONUMFS"/>
        <w:numPr>
          <w:ilvl w:val="2"/>
          <w:numId w:val="6"/>
        </w:numPr>
        <w:rPr>
          <w:lang w:val="fr-FR"/>
        </w:rPr>
      </w:pPr>
      <w:r w:rsidRPr="00125373">
        <w:rPr>
          <w:lang w:val="fr-FR"/>
        </w:rPr>
        <w:t>les risques dont l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impact est </w:t>
      </w:r>
      <w:r w:rsidR="0032707E" w:rsidRPr="00125373">
        <w:rPr>
          <w:lang w:val="fr-FR"/>
        </w:rPr>
        <w:t>tangible sont acceptés lorsque la probabilité qu</w:t>
      </w:r>
      <w:r w:rsidR="00125373">
        <w:rPr>
          <w:lang w:val="fr-FR"/>
        </w:rPr>
        <w:t>’</w:t>
      </w:r>
      <w:r w:rsidR="0032707E" w:rsidRPr="00125373">
        <w:rPr>
          <w:lang w:val="fr-FR"/>
        </w:rPr>
        <w:t>un événement à risque se produise est jugée faible ou minime</w:t>
      </w:r>
      <w:r w:rsidR="00F96D46" w:rsidRPr="00125373">
        <w:rPr>
          <w:lang w:val="fr-FR"/>
        </w:rPr>
        <w:t xml:space="preserve">; </w:t>
      </w:r>
      <w:r w:rsidR="0032707E" w:rsidRPr="00125373">
        <w:rPr>
          <w:lang w:val="fr-FR"/>
        </w:rPr>
        <w:t xml:space="preserve"> et</w:t>
      </w:r>
    </w:p>
    <w:p w:rsidR="00125373" w:rsidRDefault="0032707E" w:rsidP="00E01F47">
      <w:pPr>
        <w:pStyle w:val="ONUMFS"/>
        <w:numPr>
          <w:ilvl w:val="2"/>
          <w:numId w:val="6"/>
        </w:numPr>
        <w:rPr>
          <w:lang w:val="fr-FR"/>
        </w:rPr>
      </w:pPr>
      <w:r w:rsidRPr="00125373">
        <w:rPr>
          <w:lang w:val="fr-FR"/>
        </w:rPr>
        <w:t>les risques dont l</w:t>
      </w:r>
      <w:r w:rsidR="00125373">
        <w:rPr>
          <w:lang w:val="fr-FR"/>
        </w:rPr>
        <w:t>’</w:t>
      </w:r>
      <w:r w:rsidRPr="00125373">
        <w:rPr>
          <w:lang w:val="fr-FR"/>
        </w:rPr>
        <w:t>impact est majeur sont acceptés uniquement lorsque la probabilité qu</w:t>
      </w:r>
      <w:r w:rsidR="00125373">
        <w:rPr>
          <w:lang w:val="fr-FR"/>
        </w:rPr>
        <w:t>’</w:t>
      </w:r>
      <w:r w:rsidRPr="00125373">
        <w:rPr>
          <w:lang w:val="fr-FR"/>
        </w:rPr>
        <w:t>un événement à risque se produise est minime</w:t>
      </w:r>
      <w:r w:rsidR="0008267F" w:rsidRPr="00125373">
        <w:rPr>
          <w:lang w:val="fr-FR"/>
        </w:rPr>
        <w:t>.</w:t>
      </w:r>
    </w:p>
    <w:p w:rsidR="00125373" w:rsidRDefault="0032707E" w:rsidP="00E01F47">
      <w:pPr>
        <w:pStyle w:val="ONUMFS"/>
        <w:rPr>
          <w:lang w:val="fr-FR"/>
        </w:rPr>
      </w:pPr>
      <w:r w:rsidRPr="00125373">
        <w:rPr>
          <w:lang w:val="fr-FR"/>
        </w:rPr>
        <w:t>Les risques qui dépassent le seuil de tolérance au risque de l</w:t>
      </w:r>
      <w:r w:rsidR="00125373">
        <w:rPr>
          <w:lang w:val="fr-FR"/>
        </w:rPr>
        <w:t>’</w:t>
      </w:r>
      <w:r w:rsidRPr="00125373">
        <w:rPr>
          <w:lang w:val="fr-FR"/>
        </w:rPr>
        <w:t>Organisation sont évalués par les chefs de programme ou le Comité des risques de l</w:t>
      </w:r>
      <w:r w:rsidR="00125373">
        <w:rPr>
          <w:lang w:val="fr-FR"/>
        </w:rPr>
        <w:t>’</w:t>
      </w:r>
      <w:r w:rsidRPr="00125373">
        <w:rPr>
          <w:lang w:val="fr-FR"/>
        </w:rPr>
        <w:t>OMPI</w:t>
      </w:r>
      <w:r w:rsidR="0008267F" w:rsidRPr="00125373">
        <w:rPr>
          <w:lang w:val="fr-FR"/>
        </w:rPr>
        <w:t>,</w:t>
      </w:r>
      <w:r w:rsidR="00DF6947" w:rsidRPr="00125373">
        <w:rPr>
          <w:lang w:val="fr-FR"/>
        </w:rPr>
        <w:t xml:space="preserve"> </w:t>
      </w:r>
      <w:r w:rsidR="0008217E" w:rsidRPr="00125373">
        <w:rPr>
          <w:lang w:val="fr-FR"/>
        </w:rPr>
        <w:t>compte tenu de la tolérance au risque</w:t>
      </w:r>
      <w:r w:rsidR="00491D10">
        <w:rPr>
          <w:lang w:val="fr-FR"/>
        </w:rPr>
        <w:t xml:space="preserve"> de l’Organisation</w:t>
      </w:r>
      <w:r w:rsidR="00FD7621" w:rsidRPr="00125373">
        <w:rPr>
          <w:rStyle w:val="FootnoteReference"/>
          <w:lang w:val="fr-FR"/>
        </w:rPr>
        <w:footnoteReference w:id="2"/>
      </w:r>
      <w:r w:rsidR="00E32E37">
        <w:rPr>
          <w:lang w:val="fr-FR"/>
        </w:rPr>
        <w:t>.</w:t>
      </w:r>
      <w:r w:rsidR="003B60B1" w:rsidRPr="00125373">
        <w:rPr>
          <w:lang w:val="fr-FR"/>
        </w:rPr>
        <w:t xml:space="preserve">  </w:t>
      </w:r>
      <w:r w:rsidR="00491D10">
        <w:rPr>
          <w:color w:val="000000"/>
          <w:lang w:val="fr-FR"/>
        </w:rPr>
        <w:t>Ces risques s</w:t>
      </w:r>
      <w:r w:rsidR="0008217E" w:rsidRPr="00125373">
        <w:rPr>
          <w:color w:val="000000"/>
          <w:lang w:val="fr-FR"/>
        </w:rPr>
        <w:t>ont approuvés uniquement après approbation expresse</w:t>
      </w:r>
      <w:r w:rsidR="00E01F47">
        <w:rPr>
          <w:color w:val="000000"/>
          <w:lang w:val="fr-FR"/>
        </w:rPr>
        <w:t>,</w:t>
      </w:r>
      <w:r w:rsidR="0008217E" w:rsidRPr="00125373">
        <w:rPr>
          <w:color w:val="000000"/>
          <w:lang w:val="fr-FR"/>
        </w:rPr>
        <w:t xml:space="preserve"> dans les limites des pouvoirs qui sont délégués, conformément au cadre réglementaire de l</w:t>
      </w:r>
      <w:r w:rsidR="00125373">
        <w:rPr>
          <w:color w:val="000000"/>
          <w:lang w:val="fr-FR"/>
        </w:rPr>
        <w:t>’</w:t>
      </w:r>
      <w:r w:rsidR="0008217E" w:rsidRPr="00125373">
        <w:rPr>
          <w:color w:val="000000"/>
          <w:lang w:val="fr-FR"/>
        </w:rPr>
        <w:t>Organisation, et après qu</w:t>
      </w:r>
      <w:r w:rsidR="00125373">
        <w:rPr>
          <w:color w:val="000000"/>
          <w:lang w:val="fr-FR"/>
        </w:rPr>
        <w:t>’</w:t>
      </w:r>
      <w:r w:rsidR="0008217E" w:rsidRPr="00125373">
        <w:rPr>
          <w:color w:val="000000"/>
          <w:lang w:val="fr-FR"/>
        </w:rPr>
        <w:t xml:space="preserve">il a été assuré que les mesures </w:t>
      </w:r>
      <w:r w:rsidR="00491D10">
        <w:rPr>
          <w:color w:val="000000"/>
          <w:lang w:val="fr-FR"/>
        </w:rPr>
        <w:t>d’atténuation des risques</w:t>
      </w:r>
      <w:r w:rsidR="0008217E" w:rsidRPr="00125373">
        <w:rPr>
          <w:color w:val="000000"/>
          <w:lang w:val="fr-FR"/>
        </w:rPr>
        <w:t xml:space="preserve"> mises en place sont appropriées et adaptées.</w:t>
      </w:r>
    </w:p>
    <w:p w:rsidR="0008217E" w:rsidRPr="00E01F47" w:rsidRDefault="00CB7473" w:rsidP="00E01F47">
      <w:pPr>
        <w:pStyle w:val="Heading3"/>
      </w:pPr>
      <w:r w:rsidRPr="00E01F47">
        <w:t>Risques opérationnels</w:t>
      </w:r>
    </w:p>
    <w:p w:rsidR="0008217E" w:rsidRPr="00125373" w:rsidRDefault="0008217E" w:rsidP="00E01F47">
      <w:pPr>
        <w:rPr>
          <w:lang w:val="fr-FR"/>
        </w:rPr>
      </w:pPr>
    </w:p>
    <w:p w:rsidR="00125373" w:rsidRDefault="000F59FD" w:rsidP="00E01F47">
      <w:pPr>
        <w:pStyle w:val="ONUMFS"/>
        <w:rPr>
          <w:lang w:val="fr-FR"/>
        </w:rPr>
      </w:pPr>
      <w:r w:rsidRPr="00125373">
        <w:rPr>
          <w:lang w:val="fr-FR"/>
        </w:rPr>
        <w:t>Les recettes de l</w:t>
      </w:r>
      <w:r w:rsidR="00125373">
        <w:rPr>
          <w:lang w:val="fr-FR"/>
        </w:rPr>
        <w:t>’</w:t>
      </w:r>
      <w:r w:rsidRPr="00125373">
        <w:rPr>
          <w:lang w:val="fr-FR"/>
        </w:rPr>
        <w:t>OMPI dépendent de la bonne santé et de la croissance des systèmes mondiaux d</w:t>
      </w:r>
      <w:r w:rsidR="00125373">
        <w:rPr>
          <w:lang w:val="fr-FR"/>
        </w:rPr>
        <w:t>’</w:t>
      </w:r>
      <w:r w:rsidRPr="00125373">
        <w:rPr>
          <w:lang w:val="fr-FR"/>
        </w:rPr>
        <w:t>enregistrement</w:t>
      </w:r>
      <w:r w:rsidR="008F4814" w:rsidRPr="00125373">
        <w:rPr>
          <w:lang w:val="fr-FR"/>
        </w:rPr>
        <w:t xml:space="preserve">.  </w:t>
      </w:r>
      <w:r w:rsidRPr="00125373">
        <w:rPr>
          <w:lang w:val="fr-FR"/>
        </w:rPr>
        <w:t>Ces systèmes reposent sur des solutions informatiques de plus en plus complexes</w:t>
      </w:r>
      <w:r w:rsidR="008F4814" w:rsidRPr="00125373">
        <w:rPr>
          <w:lang w:val="fr-FR"/>
        </w:rPr>
        <w:t xml:space="preserve">.  </w:t>
      </w:r>
      <w:r w:rsidR="00491D10">
        <w:rPr>
          <w:lang w:val="fr-FR"/>
        </w:rPr>
        <w:t xml:space="preserve">Il est essentiel </w:t>
      </w:r>
      <w:r w:rsidRPr="00125373">
        <w:rPr>
          <w:lang w:val="fr-FR"/>
        </w:rPr>
        <w:t>de pouvoir accéder de façon fiable et en tout temps aux informations fournies par l</w:t>
      </w:r>
      <w:r w:rsidR="00125373">
        <w:rPr>
          <w:lang w:val="fr-FR"/>
        </w:rPr>
        <w:t>’</w:t>
      </w:r>
      <w:r w:rsidRPr="00125373">
        <w:rPr>
          <w:lang w:val="fr-FR"/>
        </w:rPr>
        <w:t>OMPI, y</w:t>
      </w:r>
      <w:r w:rsidR="00E32E37">
        <w:rPr>
          <w:lang w:val="fr-FR"/>
        </w:rPr>
        <w:t> </w:t>
      </w:r>
      <w:r w:rsidRPr="00125373">
        <w:rPr>
          <w:lang w:val="fr-FR"/>
        </w:rPr>
        <w:t xml:space="preserve">compris pour </w:t>
      </w:r>
      <w:r w:rsidR="001F57E8" w:rsidRPr="00125373">
        <w:rPr>
          <w:lang w:val="fr-FR"/>
        </w:rPr>
        <w:t>l</w:t>
      </w:r>
      <w:r w:rsidRPr="00125373">
        <w:rPr>
          <w:lang w:val="fr-FR"/>
        </w:rPr>
        <w:t xml:space="preserve">es États membres, </w:t>
      </w:r>
      <w:r w:rsidR="001F57E8" w:rsidRPr="00125373">
        <w:rPr>
          <w:lang w:val="fr-FR"/>
        </w:rPr>
        <w:t>les parties prenantes et l</w:t>
      </w:r>
      <w:r w:rsidR="000919B0">
        <w:rPr>
          <w:lang w:val="fr-FR"/>
        </w:rPr>
        <w:t>es b</w:t>
      </w:r>
      <w:r w:rsidRPr="00125373">
        <w:rPr>
          <w:lang w:val="fr-FR"/>
        </w:rPr>
        <w:t>ureaux extérieurs</w:t>
      </w:r>
      <w:r w:rsidR="001F57E8" w:rsidRPr="00125373">
        <w:rPr>
          <w:lang w:val="fr-FR"/>
        </w:rPr>
        <w:t xml:space="preserve"> de</w:t>
      </w:r>
      <w:r w:rsidRPr="00125373">
        <w:rPr>
          <w:lang w:val="fr-FR"/>
        </w:rPr>
        <w:t xml:space="preserve"> </w:t>
      </w:r>
      <w:r w:rsidR="001F57E8" w:rsidRPr="00125373">
        <w:rPr>
          <w:lang w:val="fr-FR"/>
        </w:rPr>
        <w:t>l</w:t>
      </w:r>
      <w:r w:rsidR="00125373">
        <w:rPr>
          <w:lang w:val="fr-FR"/>
        </w:rPr>
        <w:t>’</w:t>
      </w:r>
      <w:r w:rsidR="001F57E8" w:rsidRPr="00125373">
        <w:rPr>
          <w:lang w:val="fr-FR"/>
        </w:rPr>
        <w:t xml:space="preserve">Organisation, </w:t>
      </w:r>
      <w:r w:rsidR="00491D10">
        <w:rPr>
          <w:lang w:val="fr-FR"/>
        </w:rPr>
        <w:t xml:space="preserve">c’est pourquoi </w:t>
      </w:r>
      <w:r w:rsidR="001F57E8" w:rsidRPr="00125373">
        <w:rPr>
          <w:lang w:val="fr-FR"/>
        </w:rPr>
        <w:t>celle</w:t>
      </w:r>
      <w:r w:rsidR="000919B0">
        <w:rPr>
          <w:lang w:val="fr-FR"/>
        </w:rPr>
        <w:noBreakHyphen/>
      </w:r>
      <w:r w:rsidR="001F57E8" w:rsidRPr="00125373">
        <w:rPr>
          <w:lang w:val="fr-FR"/>
        </w:rPr>
        <w:t xml:space="preserve">ci accepte </w:t>
      </w:r>
      <w:r w:rsidR="00491D10">
        <w:rPr>
          <w:lang w:val="fr-FR"/>
        </w:rPr>
        <w:t xml:space="preserve">tout au plus </w:t>
      </w:r>
      <w:r w:rsidR="001F57E8" w:rsidRPr="00125373">
        <w:rPr>
          <w:lang w:val="fr-FR"/>
        </w:rPr>
        <w:t xml:space="preserve">un niveau de risque minime en ce qui concerne la disponibilité des systèmes, et </w:t>
      </w:r>
      <w:r w:rsidR="00BF7C91" w:rsidRPr="00125373">
        <w:rPr>
          <w:lang w:val="fr-FR"/>
        </w:rPr>
        <w:t>atténue</w:t>
      </w:r>
      <w:r w:rsidR="001F57E8" w:rsidRPr="00125373">
        <w:rPr>
          <w:lang w:val="fr-FR"/>
        </w:rPr>
        <w:t xml:space="preserve"> ce risque </w:t>
      </w:r>
      <w:r w:rsidR="00491D10">
        <w:rPr>
          <w:lang w:val="fr-FR"/>
        </w:rPr>
        <w:t xml:space="preserve">par une gestion rigoureuse visant à assurer la </w:t>
      </w:r>
      <w:r w:rsidR="001F57E8" w:rsidRPr="00125373">
        <w:rPr>
          <w:lang w:val="fr-FR"/>
        </w:rPr>
        <w:t>continuité des opérations</w:t>
      </w:r>
      <w:r w:rsidR="008F4814" w:rsidRPr="00125373">
        <w:rPr>
          <w:lang w:val="fr-FR"/>
        </w:rPr>
        <w:t>.</w:t>
      </w:r>
    </w:p>
    <w:p w:rsidR="0008217E" w:rsidRPr="00125373" w:rsidRDefault="00491D10" w:rsidP="00E01F47">
      <w:pPr>
        <w:pStyle w:val="ONUMFS"/>
        <w:rPr>
          <w:lang w:val="fr-FR"/>
        </w:rPr>
      </w:pPr>
      <w:r>
        <w:rPr>
          <w:lang w:val="fr-FR"/>
        </w:rPr>
        <w:t>L</w:t>
      </w:r>
      <w:r w:rsidR="00E744AA" w:rsidRPr="00125373">
        <w:rPr>
          <w:lang w:val="fr-FR"/>
        </w:rPr>
        <w:t>a fourniture de services d</w:t>
      </w:r>
      <w:r w:rsidR="00125373">
        <w:rPr>
          <w:lang w:val="fr-FR"/>
        </w:rPr>
        <w:t>’</w:t>
      </w:r>
      <w:r w:rsidR="00E744AA" w:rsidRPr="00125373">
        <w:rPr>
          <w:lang w:val="fr-FR"/>
        </w:rPr>
        <w:t>enregistrement obéit principalement aux obligations découlant des traités de l</w:t>
      </w:r>
      <w:r w:rsidR="00125373">
        <w:rPr>
          <w:lang w:val="fr-FR"/>
        </w:rPr>
        <w:t>’</w:t>
      </w:r>
      <w:r w:rsidR="00E744AA" w:rsidRPr="00125373">
        <w:rPr>
          <w:lang w:val="fr-FR"/>
        </w:rPr>
        <w:t>OMPI,</w:t>
      </w:r>
      <w:r>
        <w:rPr>
          <w:lang w:val="fr-FR"/>
        </w:rPr>
        <w:t xml:space="preserve"> c’est pourquoi</w:t>
      </w:r>
      <w:r w:rsidR="00E744AA" w:rsidRPr="00125373">
        <w:rPr>
          <w:lang w:val="fr-FR"/>
        </w:rPr>
        <w:t xml:space="preserve"> il est essentiel de veiller à ce que ces services soient de haute qualité, sécurisés et d</w:t>
      </w:r>
      <w:r w:rsidR="00125373">
        <w:rPr>
          <w:lang w:val="fr-FR"/>
        </w:rPr>
        <w:t>’</w:t>
      </w:r>
      <w:r w:rsidR="00E744AA" w:rsidRPr="00125373">
        <w:rPr>
          <w:lang w:val="fr-FR"/>
        </w:rPr>
        <w:t>un bon rapport coût</w:t>
      </w:r>
      <w:r w:rsidR="000919B0">
        <w:rPr>
          <w:lang w:val="fr-FR"/>
        </w:rPr>
        <w:noBreakHyphen/>
      </w:r>
      <w:r w:rsidR="00E744AA" w:rsidRPr="00125373">
        <w:rPr>
          <w:lang w:val="fr-FR"/>
        </w:rPr>
        <w:t>efficacité pour continuer à conserver et à élargir la base d</w:t>
      </w:r>
      <w:r w:rsidR="00125373">
        <w:rPr>
          <w:lang w:val="fr-FR"/>
        </w:rPr>
        <w:t>’</w:t>
      </w:r>
      <w:r w:rsidR="00E744AA" w:rsidRPr="00125373">
        <w:rPr>
          <w:lang w:val="fr-FR"/>
        </w:rPr>
        <w:t>utilisateurs de ces services</w:t>
      </w:r>
      <w:r w:rsidR="00E83A82" w:rsidRPr="00125373">
        <w:rPr>
          <w:lang w:val="fr-FR"/>
        </w:rPr>
        <w:t xml:space="preserve">.  </w:t>
      </w:r>
      <w:r w:rsidR="00E744AA" w:rsidRPr="00125373">
        <w:rPr>
          <w:lang w:val="fr-FR"/>
        </w:rPr>
        <w:t>L</w:t>
      </w:r>
      <w:r w:rsidR="00125373">
        <w:rPr>
          <w:lang w:val="fr-FR"/>
        </w:rPr>
        <w:t>’</w:t>
      </w:r>
      <w:r w:rsidR="00E744AA" w:rsidRPr="00125373">
        <w:rPr>
          <w:lang w:val="fr-FR"/>
        </w:rPr>
        <w:t xml:space="preserve">OMPI </w:t>
      </w:r>
      <w:r>
        <w:rPr>
          <w:lang w:val="fr-FR"/>
        </w:rPr>
        <w:t>est soucieuse de</w:t>
      </w:r>
      <w:r w:rsidR="00E744AA" w:rsidRPr="00125373">
        <w:rPr>
          <w:lang w:val="fr-FR"/>
        </w:rPr>
        <w:t xml:space="preserve"> protéger les données qui lui sont confiées et ne tolère aucun risque pouvant éventuellement </w:t>
      </w:r>
      <w:r>
        <w:rPr>
          <w:lang w:val="fr-FR"/>
        </w:rPr>
        <w:t xml:space="preserve">compromettre </w:t>
      </w:r>
      <w:r w:rsidR="00E744AA" w:rsidRPr="00125373">
        <w:rPr>
          <w:lang w:val="fr-FR"/>
        </w:rPr>
        <w:t>la confidentialité ou l</w:t>
      </w:r>
      <w:r w:rsidR="00125373">
        <w:rPr>
          <w:lang w:val="fr-FR"/>
        </w:rPr>
        <w:t>’</w:t>
      </w:r>
      <w:r w:rsidR="00E744AA" w:rsidRPr="00125373">
        <w:rPr>
          <w:lang w:val="fr-FR"/>
        </w:rPr>
        <w:t>intégrité de ces données.</w:t>
      </w:r>
      <w:r w:rsidR="00D24A26" w:rsidRPr="00125373">
        <w:rPr>
          <w:lang w:val="fr-FR"/>
        </w:rPr>
        <w:t xml:space="preserve">  </w:t>
      </w:r>
      <w:r w:rsidR="00E744AA" w:rsidRPr="00125373">
        <w:rPr>
          <w:lang w:val="fr-FR"/>
        </w:rPr>
        <w:t>Un niveau de risque minime est considéré comme acceptable en ce qui concerne les systèmes internes non essentiels de l</w:t>
      </w:r>
      <w:r w:rsidR="00125373">
        <w:rPr>
          <w:lang w:val="fr-FR"/>
        </w:rPr>
        <w:t>’</w:t>
      </w:r>
      <w:r w:rsidR="00E744AA" w:rsidRPr="00125373">
        <w:rPr>
          <w:lang w:val="fr-FR"/>
        </w:rPr>
        <w:t>Organisation</w:t>
      </w:r>
      <w:r w:rsidR="00D24A26" w:rsidRPr="00125373">
        <w:rPr>
          <w:lang w:val="fr-FR"/>
        </w:rPr>
        <w:t>.</w:t>
      </w:r>
    </w:p>
    <w:p w:rsidR="00125373" w:rsidRDefault="009920B6" w:rsidP="00E01F47">
      <w:pPr>
        <w:pStyle w:val="ONUMFS"/>
        <w:rPr>
          <w:lang w:val="fr-FR"/>
        </w:rPr>
      </w:pPr>
      <w:r w:rsidRPr="00125373">
        <w:rPr>
          <w:lang w:val="fr-FR"/>
        </w:rPr>
        <w:t>L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Organisation est </w:t>
      </w:r>
      <w:r w:rsidR="00491D10">
        <w:rPr>
          <w:lang w:val="fr-FR"/>
        </w:rPr>
        <w:t>déterminée</w:t>
      </w:r>
      <w:r w:rsidRPr="00125373">
        <w:rPr>
          <w:lang w:val="fr-FR"/>
        </w:rPr>
        <w:t xml:space="preserve"> à améliorer constamment ses services et ses opérations</w:t>
      </w:r>
      <w:r w:rsidR="00491D10">
        <w:rPr>
          <w:lang w:val="fr-FR"/>
        </w:rPr>
        <w:t>, c’est pourquoi elle est favorable à</w:t>
      </w:r>
      <w:r w:rsidRPr="00125373">
        <w:rPr>
          <w:lang w:val="fr-FR"/>
        </w:rPr>
        <w:t xml:space="preserve"> la mise en place de solutions innovantes pour renforcer l</w:t>
      </w:r>
      <w:r w:rsidR="00125373">
        <w:rPr>
          <w:lang w:val="fr-FR"/>
        </w:rPr>
        <w:t>’</w:t>
      </w:r>
      <w:r w:rsidRPr="00125373">
        <w:rPr>
          <w:lang w:val="fr-FR"/>
        </w:rPr>
        <w:t>efficience et le rapport coût</w:t>
      </w:r>
      <w:r w:rsidR="000919B0">
        <w:rPr>
          <w:lang w:val="fr-FR"/>
        </w:rPr>
        <w:noBreakHyphen/>
      </w:r>
      <w:r w:rsidRPr="00125373">
        <w:rPr>
          <w:lang w:val="fr-FR"/>
        </w:rPr>
        <w:t>efficacité</w:t>
      </w:r>
      <w:r w:rsidR="008A69A8" w:rsidRPr="00125373">
        <w:rPr>
          <w:lang w:val="fr-FR"/>
        </w:rPr>
        <w:t xml:space="preserve">.  </w:t>
      </w:r>
      <w:r w:rsidRPr="00125373">
        <w:rPr>
          <w:lang w:val="fr-FR"/>
        </w:rPr>
        <w:t>Les changements apportés, s</w:t>
      </w:r>
      <w:r w:rsidR="00125373">
        <w:rPr>
          <w:lang w:val="fr-FR"/>
        </w:rPr>
        <w:t>’</w:t>
      </w:r>
      <w:r w:rsidRPr="00125373">
        <w:rPr>
          <w:lang w:val="fr-FR"/>
        </w:rPr>
        <w:t>ils présentent un faible niveau de risque et s</w:t>
      </w:r>
      <w:r w:rsidR="00125373">
        <w:rPr>
          <w:lang w:val="fr-FR"/>
        </w:rPr>
        <w:t>’</w:t>
      </w:r>
      <w:r w:rsidRPr="00125373">
        <w:rPr>
          <w:lang w:val="fr-FR"/>
        </w:rPr>
        <w:t>ils</w:t>
      </w:r>
      <w:r w:rsidR="00BF7C91" w:rsidRPr="00125373">
        <w:rPr>
          <w:lang w:val="fr-FR"/>
        </w:rPr>
        <w:t xml:space="preserve"> sont accompagnés de mesures d</w:t>
      </w:r>
      <w:r w:rsidR="00125373">
        <w:rPr>
          <w:lang w:val="fr-FR"/>
        </w:rPr>
        <w:t>’</w:t>
      </w:r>
      <w:r w:rsidR="00BF7C91" w:rsidRPr="00125373">
        <w:rPr>
          <w:lang w:val="fr-FR"/>
        </w:rPr>
        <w:t xml:space="preserve">atténuation des risques </w:t>
      </w:r>
      <w:r w:rsidRPr="00125373">
        <w:rPr>
          <w:lang w:val="fr-FR"/>
        </w:rPr>
        <w:t>adaptées sous forme d</w:t>
      </w:r>
      <w:r w:rsidR="00125373">
        <w:rPr>
          <w:lang w:val="fr-FR"/>
        </w:rPr>
        <w:t>’</w:t>
      </w:r>
      <w:r w:rsidRPr="00125373">
        <w:rPr>
          <w:lang w:val="fr-FR"/>
        </w:rPr>
        <w:t>une planification minutieuse et d</w:t>
      </w:r>
      <w:r w:rsidR="00125373">
        <w:rPr>
          <w:lang w:val="fr-FR"/>
        </w:rPr>
        <w:t>’</w:t>
      </w:r>
      <w:r w:rsidRPr="00125373">
        <w:rPr>
          <w:lang w:val="fr-FR"/>
        </w:rPr>
        <w:t>une mise en place progressive</w:t>
      </w:r>
      <w:r w:rsidR="00E83A82" w:rsidRPr="00125373">
        <w:rPr>
          <w:lang w:val="fr-FR"/>
        </w:rPr>
        <w:t xml:space="preserve">, </w:t>
      </w:r>
      <w:r w:rsidRPr="00125373">
        <w:rPr>
          <w:lang w:val="fr-FR"/>
        </w:rPr>
        <w:t>sont</w:t>
      </w:r>
      <w:r w:rsidR="00491D10">
        <w:rPr>
          <w:lang w:val="fr-FR"/>
        </w:rPr>
        <w:t xml:space="preserve"> jugés </w:t>
      </w:r>
      <w:r w:rsidRPr="00125373">
        <w:rPr>
          <w:lang w:val="fr-FR"/>
        </w:rPr>
        <w:t>acceptables s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ils </w:t>
      </w:r>
      <w:r w:rsidR="00491D10">
        <w:rPr>
          <w:lang w:val="fr-FR"/>
        </w:rPr>
        <w:t>contribuent</w:t>
      </w:r>
      <w:r w:rsidRPr="00125373">
        <w:rPr>
          <w:lang w:val="fr-FR"/>
        </w:rPr>
        <w:t xml:space="preserve"> à atteindre les objectifs stratégiques et les résultats escomptés de l</w:t>
      </w:r>
      <w:r w:rsidR="00125373">
        <w:rPr>
          <w:lang w:val="fr-FR"/>
        </w:rPr>
        <w:t>’</w:t>
      </w:r>
      <w:r w:rsidRPr="00125373">
        <w:rPr>
          <w:lang w:val="fr-FR"/>
        </w:rPr>
        <w:t>Organisation</w:t>
      </w:r>
      <w:r w:rsidR="00E83A82" w:rsidRPr="00125373">
        <w:rPr>
          <w:lang w:val="fr-FR"/>
        </w:rPr>
        <w:t>.</w:t>
      </w:r>
    </w:p>
    <w:p w:rsidR="0008217E" w:rsidRPr="00125373" w:rsidRDefault="009920B6" w:rsidP="00E01F47">
      <w:pPr>
        <w:pStyle w:val="ONUMFS"/>
        <w:rPr>
          <w:lang w:val="fr-FR"/>
        </w:rPr>
      </w:pPr>
      <w:r w:rsidRPr="00125373">
        <w:rPr>
          <w:lang w:val="fr-FR"/>
        </w:rPr>
        <w:t>L</w:t>
      </w:r>
      <w:r w:rsidR="00125373">
        <w:rPr>
          <w:lang w:val="fr-FR"/>
        </w:rPr>
        <w:t>’</w:t>
      </w:r>
      <w:r w:rsidRPr="00125373">
        <w:rPr>
          <w:lang w:val="fr-FR"/>
        </w:rPr>
        <w:t>OMPI reconnaît et accepte que les utilisateurs de ses systèmes mondiaux d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enregistrement </w:t>
      </w:r>
      <w:r w:rsidR="000C34F2" w:rsidRPr="00125373">
        <w:rPr>
          <w:lang w:val="fr-FR"/>
        </w:rPr>
        <w:t>puissent</w:t>
      </w:r>
      <w:r w:rsidRPr="00125373">
        <w:rPr>
          <w:lang w:val="fr-FR"/>
        </w:rPr>
        <w:t xml:space="preserve"> choisir d</w:t>
      </w:r>
      <w:r w:rsidR="00125373">
        <w:rPr>
          <w:lang w:val="fr-FR"/>
        </w:rPr>
        <w:t>’</w:t>
      </w:r>
      <w:r w:rsidRPr="00125373">
        <w:rPr>
          <w:lang w:val="fr-FR"/>
        </w:rPr>
        <w:t>autres voies de dépôt s</w:t>
      </w:r>
      <w:r w:rsidR="00125373">
        <w:rPr>
          <w:lang w:val="fr-FR"/>
        </w:rPr>
        <w:t>’</w:t>
      </w:r>
      <w:r w:rsidRPr="00125373">
        <w:rPr>
          <w:lang w:val="fr-FR"/>
        </w:rPr>
        <w:t>ils estiment qu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elles répondent mieux à leurs attentes individuelles.  </w:t>
      </w:r>
      <w:r w:rsidR="008A4F6B">
        <w:rPr>
          <w:lang w:val="fr-FR"/>
        </w:rPr>
        <w:t>Or c</w:t>
      </w:r>
      <w:r w:rsidR="000C34F2" w:rsidRPr="00125373">
        <w:rPr>
          <w:lang w:val="fr-FR"/>
        </w:rPr>
        <w:t xml:space="preserve">ette décision </w:t>
      </w:r>
      <w:r w:rsidR="008A4F6B">
        <w:rPr>
          <w:lang w:val="fr-FR"/>
        </w:rPr>
        <w:t>peut</w:t>
      </w:r>
      <w:r w:rsidR="000C34F2" w:rsidRPr="00125373">
        <w:rPr>
          <w:lang w:val="fr-FR"/>
        </w:rPr>
        <w:t xml:space="preserve"> avoir une incidence </w:t>
      </w:r>
      <w:r w:rsidR="008A4F6B">
        <w:rPr>
          <w:lang w:val="fr-FR"/>
        </w:rPr>
        <w:t xml:space="preserve">majeure </w:t>
      </w:r>
      <w:r w:rsidR="000C34F2" w:rsidRPr="00125373">
        <w:rPr>
          <w:lang w:val="fr-FR"/>
        </w:rPr>
        <w:t>sur les recettes de l</w:t>
      </w:r>
      <w:r w:rsidR="00125373">
        <w:rPr>
          <w:lang w:val="fr-FR"/>
        </w:rPr>
        <w:t>’</w:t>
      </w:r>
      <w:r w:rsidR="000C34F2" w:rsidRPr="00125373">
        <w:rPr>
          <w:lang w:val="fr-FR"/>
        </w:rPr>
        <w:t>Organisation</w:t>
      </w:r>
      <w:r w:rsidR="00650FB8" w:rsidRPr="00125373">
        <w:rPr>
          <w:lang w:val="fr-FR"/>
        </w:rPr>
        <w:t xml:space="preserve">.  </w:t>
      </w:r>
      <w:r w:rsidR="000C34F2" w:rsidRPr="00125373">
        <w:rPr>
          <w:lang w:val="fr-FR"/>
        </w:rPr>
        <w:t xml:space="preserve">Pour </w:t>
      </w:r>
      <w:r w:rsidR="00BF7C91" w:rsidRPr="00125373">
        <w:rPr>
          <w:lang w:val="fr-FR"/>
        </w:rPr>
        <w:t>atténuer</w:t>
      </w:r>
      <w:r w:rsidR="000C34F2" w:rsidRPr="00125373">
        <w:rPr>
          <w:lang w:val="fr-FR"/>
        </w:rPr>
        <w:t xml:space="preserve"> ce risque, il faut tenir compte de l</w:t>
      </w:r>
      <w:r w:rsidR="00125373">
        <w:rPr>
          <w:lang w:val="fr-FR"/>
        </w:rPr>
        <w:t>’</w:t>
      </w:r>
      <w:r w:rsidR="000C34F2" w:rsidRPr="00125373">
        <w:rPr>
          <w:lang w:val="fr-FR"/>
        </w:rPr>
        <w:t>évolution des attentes des utilisateurs et rester en phase avec les progrès rapides de la technologie</w:t>
      </w:r>
      <w:r w:rsidR="00650FB8" w:rsidRPr="00125373">
        <w:rPr>
          <w:lang w:val="fr-FR"/>
        </w:rPr>
        <w:t xml:space="preserve">.  </w:t>
      </w:r>
      <w:r w:rsidR="000C34F2" w:rsidRPr="00125373">
        <w:rPr>
          <w:lang w:val="fr-FR"/>
        </w:rPr>
        <w:t xml:space="preserve">Le </w:t>
      </w:r>
      <w:r w:rsidR="000C34F2" w:rsidRPr="00125373">
        <w:rPr>
          <w:lang w:val="fr-FR"/>
        </w:rPr>
        <w:lastRenderedPageBreak/>
        <w:t xml:space="preserve">Secrétariat et les États membres </w:t>
      </w:r>
      <w:r w:rsidR="008A4F6B">
        <w:rPr>
          <w:lang w:val="fr-FR"/>
        </w:rPr>
        <w:t>ont</w:t>
      </w:r>
      <w:r w:rsidR="000C34F2" w:rsidRPr="00125373">
        <w:rPr>
          <w:lang w:val="fr-FR"/>
        </w:rPr>
        <w:t xml:space="preserve"> la responsabilité </w:t>
      </w:r>
      <w:r w:rsidR="008A4F6B">
        <w:rPr>
          <w:lang w:val="fr-FR"/>
        </w:rPr>
        <w:t xml:space="preserve">commune </w:t>
      </w:r>
      <w:r w:rsidR="000C34F2" w:rsidRPr="00125373">
        <w:rPr>
          <w:lang w:val="fr-FR"/>
        </w:rPr>
        <w:t>de veiller à ce que l</w:t>
      </w:r>
      <w:r w:rsidR="00125373">
        <w:rPr>
          <w:lang w:val="fr-FR"/>
        </w:rPr>
        <w:t>’</w:t>
      </w:r>
      <w:r w:rsidR="000C34F2" w:rsidRPr="00125373">
        <w:rPr>
          <w:lang w:val="fr-FR"/>
        </w:rPr>
        <w:t xml:space="preserve">Organisation continue de progresser dans ce domaine tout en </w:t>
      </w:r>
      <w:r w:rsidR="008A4F6B">
        <w:rPr>
          <w:lang w:val="fr-FR"/>
        </w:rPr>
        <w:t>maintenant</w:t>
      </w:r>
      <w:r w:rsidR="000C34F2" w:rsidRPr="00125373">
        <w:rPr>
          <w:lang w:val="fr-FR"/>
        </w:rPr>
        <w:t xml:space="preserve"> un faible niveau de risque</w:t>
      </w:r>
      <w:r w:rsidR="00650FB8" w:rsidRPr="00125373">
        <w:rPr>
          <w:lang w:val="fr-FR"/>
        </w:rPr>
        <w:t>.</w:t>
      </w:r>
    </w:p>
    <w:p w:rsidR="0008217E" w:rsidRDefault="00CB7473" w:rsidP="00E01F47">
      <w:pPr>
        <w:pStyle w:val="Heading3"/>
      </w:pPr>
      <w:r w:rsidRPr="00125373">
        <w:t>Risques financiers</w:t>
      </w:r>
    </w:p>
    <w:p w:rsidR="00E01F47" w:rsidRPr="00E01F47" w:rsidRDefault="00E01F47" w:rsidP="00E01F47">
      <w:pPr>
        <w:rPr>
          <w:lang w:val="fr-FR"/>
        </w:rPr>
      </w:pPr>
    </w:p>
    <w:p w:rsidR="00125373" w:rsidRDefault="000C34F2" w:rsidP="00E01F47">
      <w:pPr>
        <w:pStyle w:val="ONUMFS"/>
        <w:rPr>
          <w:lang w:val="fr-FR"/>
        </w:rPr>
      </w:pPr>
      <w:r w:rsidRPr="00125373">
        <w:rPr>
          <w:lang w:val="fr-FR"/>
        </w:rPr>
        <w:t>Plus de 90% des recettes de l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OMPI proviennent des services fournis </w:t>
      </w:r>
      <w:r w:rsidR="008A4F6B">
        <w:rPr>
          <w:lang w:val="fr-FR"/>
        </w:rPr>
        <w:t>au titre</w:t>
      </w:r>
      <w:r w:rsidRPr="00125373">
        <w:rPr>
          <w:lang w:val="fr-FR"/>
        </w:rPr>
        <w:t xml:space="preserve"> des systèmes d</w:t>
      </w:r>
      <w:r w:rsidR="00125373">
        <w:rPr>
          <w:lang w:val="fr-FR"/>
        </w:rPr>
        <w:t>’</w:t>
      </w:r>
      <w:r w:rsidRPr="00125373">
        <w:rPr>
          <w:lang w:val="fr-FR"/>
        </w:rPr>
        <w:t>enregistrement</w:t>
      </w:r>
      <w:r w:rsidR="008F4814" w:rsidRPr="00125373">
        <w:rPr>
          <w:lang w:val="fr-FR"/>
        </w:rPr>
        <w:t xml:space="preserve">. </w:t>
      </w:r>
      <w:r w:rsidR="005F0F33" w:rsidRPr="00125373">
        <w:rPr>
          <w:lang w:val="fr-FR"/>
        </w:rPr>
        <w:t xml:space="preserve"> </w:t>
      </w:r>
      <w:r w:rsidRPr="00125373">
        <w:rPr>
          <w:lang w:val="fr-FR"/>
        </w:rPr>
        <w:t>L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OMPI est consciente des risques qui pèsent sur sa capacité </w:t>
      </w:r>
      <w:r w:rsidR="00BF7C91" w:rsidRPr="00125373">
        <w:rPr>
          <w:lang w:val="fr-FR"/>
        </w:rPr>
        <w:t xml:space="preserve">de générer des revenus </w:t>
      </w:r>
      <w:r w:rsidR="008A4F6B">
        <w:rPr>
          <w:lang w:val="fr-FR"/>
        </w:rPr>
        <w:t xml:space="preserve">compte tenu </w:t>
      </w:r>
      <w:r w:rsidR="00BF7C91" w:rsidRPr="00125373">
        <w:rPr>
          <w:lang w:val="fr-FR"/>
        </w:rPr>
        <w:t xml:space="preserve">notamment </w:t>
      </w:r>
      <w:r w:rsidR="008A4F6B">
        <w:rPr>
          <w:lang w:val="fr-FR"/>
        </w:rPr>
        <w:t xml:space="preserve">de son </w:t>
      </w:r>
      <w:r w:rsidR="00BF7C91" w:rsidRPr="00125373">
        <w:rPr>
          <w:lang w:val="fr-FR"/>
        </w:rPr>
        <w:t xml:space="preserve">exposition à des facteurs externes tels que le climat économique </w:t>
      </w:r>
      <w:r w:rsidR="00470F6C">
        <w:rPr>
          <w:lang w:val="fr-FR"/>
        </w:rPr>
        <w:t>ou</w:t>
      </w:r>
      <w:r w:rsidR="00BF7C91" w:rsidRPr="00125373">
        <w:rPr>
          <w:lang w:val="fr-FR"/>
        </w:rPr>
        <w:t xml:space="preserve"> les fluctuations des taux de change.</w:t>
      </w:r>
      <w:r w:rsidR="00A9534F" w:rsidRPr="00125373">
        <w:rPr>
          <w:lang w:val="fr-FR"/>
        </w:rPr>
        <w:t xml:space="preserve">  </w:t>
      </w:r>
      <w:r w:rsidR="00BF7C91" w:rsidRPr="00125373">
        <w:rPr>
          <w:lang w:val="fr-FR"/>
        </w:rPr>
        <w:t>L</w:t>
      </w:r>
      <w:r w:rsidR="00125373">
        <w:rPr>
          <w:lang w:val="fr-FR"/>
        </w:rPr>
        <w:t>’</w:t>
      </w:r>
      <w:r w:rsidR="00BF7C91" w:rsidRPr="00125373">
        <w:rPr>
          <w:lang w:val="fr-FR"/>
        </w:rPr>
        <w:t xml:space="preserve">Organisation a mis en place diverses </w:t>
      </w:r>
      <w:r w:rsidR="00470F6C">
        <w:rPr>
          <w:lang w:val="fr-FR"/>
        </w:rPr>
        <w:t xml:space="preserve">solutions pour </w:t>
      </w:r>
      <w:r w:rsidR="00BF7C91" w:rsidRPr="00125373">
        <w:rPr>
          <w:lang w:val="fr-FR"/>
        </w:rPr>
        <w:t xml:space="preserve">atténuer ces risques, </w:t>
      </w:r>
      <w:r w:rsidR="00470F6C">
        <w:rPr>
          <w:lang w:val="fr-FR"/>
        </w:rPr>
        <w:t>dont</w:t>
      </w:r>
      <w:r w:rsidR="00BF7C91" w:rsidRPr="00125373">
        <w:rPr>
          <w:lang w:val="fr-FR"/>
        </w:rPr>
        <w:t xml:space="preserve"> un modèle performant de prévision des recettes, des politiques</w:t>
      </w:r>
      <w:r w:rsidR="003773ED" w:rsidRPr="00125373">
        <w:rPr>
          <w:lang w:val="fr-FR"/>
        </w:rPr>
        <w:t xml:space="preserve"> financières prudentes, un règlement financier et un règlement d</w:t>
      </w:r>
      <w:r w:rsidR="00125373">
        <w:rPr>
          <w:lang w:val="fr-FR"/>
        </w:rPr>
        <w:t>’</w:t>
      </w:r>
      <w:r w:rsidR="003773ED" w:rsidRPr="00125373">
        <w:rPr>
          <w:lang w:val="fr-FR"/>
        </w:rPr>
        <w:t>exécution du règlement financier également fondés sur la prudence, et un examen de la gestion de l</w:t>
      </w:r>
      <w:r w:rsidR="00125373">
        <w:rPr>
          <w:lang w:val="fr-FR"/>
        </w:rPr>
        <w:t>’</w:t>
      </w:r>
      <w:r w:rsidR="003773ED" w:rsidRPr="00125373">
        <w:rPr>
          <w:lang w:val="fr-FR"/>
        </w:rPr>
        <w:t>exposition au risque de change fondé sur les instruments financiers disponibles</w:t>
      </w:r>
      <w:r w:rsidR="009450D4" w:rsidRPr="00125373">
        <w:rPr>
          <w:lang w:val="fr-FR"/>
        </w:rPr>
        <w:t xml:space="preserve">, </w:t>
      </w:r>
      <w:r w:rsidR="003773ED" w:rsidRPr="00125373">
        <w:rPr>
          <w:lang w:val="fr-FR"/>
        </w:rPr>
        <w:t>qui réduisent le risque résiduel à un faible niveau</w:t>
      </w:r>
      <w:r w:rsidR="008F4814" w:rsidRPr="00125373">
        <w:rPr>
          <w:lang w:val="fr-FR"/>
        </w:rPr>
        <w:t>.</w:t>
      </w:r>
    </w:p>
    <w:p w:rsidR="0008217E" w:rsidRPr="00125373" w:rsidRDefault="00E24F0D" w:rsidP="00E01F47">
      <w:pPr>
        <w:pStyle w:val="ONUMFS"/>
        <w:rPr>
          <w:lang w:val="fr-FR"/>
        </w:rPr>
      </w:pPr>
      <w:r w:rsidRPr="00125373">
        <w:rPr>
          <w:lang w:val="fr-FR"/>
        </w:rPr>
        <w:t>L</w:t>
      </w:r>
      <w:r w:rsidR="00125373">
        <w:rPr>
          <w:lang w:val="fr-FR"/>
        </w:rPr>
        <w:t>’</w:t>
      </w:r>
      <w:r w:rsidR="00650FB8" w:rsidRPr="00125373">
        <w:rPr>
          <w:lang w:val="fr-FR"/>
        </w:rPr>
        <w:t xml:space="preserve">introduction </w:t>
      </w:r>
      <w:r w:rsidRPr="00125373">
        <w:rPr>
          <w:lang w:val="fr-FR"/>
        </w:rPr>
        <w:t>des Normes comptables internationales du secteur public (normes</w:t>
      </w:r>
      <w:r w:rsidR="00E32E37">
        <w:rPr>
          <w:lang w:val="fr-FR"/>
        </w:rPr>
        <w:t> </w:t>
      </w:r>
      <w:r w:rsidRPr="00125373">
        <w:rPr>
          <w:lang w:val="fr-FR"/>
        </w:rPr>
        <w:t xml:space="preserve">IPSAS) </w:t>
      </w:r>
      <w:r w:rsidR="00470F6C">
        <w:rPr>
          <w:lang w:val="fr-FR"/>
        </w:rPr>
        <w:t>est</w:t>
      </w:r>
      <w:r w:rsidRPr="00125373">
        <w:rPr>
          <w:lang w:val="fr-FR"/>
        </w:rPr>
        <w:t xml:space="preserve"> une amélioration qui </w:t>
      </w:r>
      <w:r w:rsidR="00470F6C">
        <w:rPr>
          <w:lang w:val="fr-FR"/>
        </w:rPr>
        <w:t xml:space="preserve">permet </w:t>
      </w:r>
      <w:r w:rsidRPr="00125373">
        <w:rPr>
          <w:lang w:val="fr-FR"/>
        </w:rPr>
        <w:t xml:space="preserve">de rendre compte de manière plus transparente </w:t>
      </w:r>
      <w:r w:rsidR="00D5032D" w:rsidRPr="00125373">
        <w:rPr>
          <w:lang w:val="fr-FR"/>
        </w:rPr>
        <w:t>des résultats financiers de l</w:t>
      </w:r>
      <w:r w:rsidR="00125373">
        <w:rPr>
          <w:lang w:val="fr-FR"/>
        </w:rPr>
        <w:t>’</w:t>
      </w:r>
      <w:r w:rsidR="00D5032D" w:rsidRPr="00125373">
        <w:rPr>
          <w:lang w:val="fr-FR"/>
        </w:rPr>
        <w:t>Organisation et de sa situation financière.</w:t>
      </w:r>
      <w:r w:rsidR="00650FB8" w:rsidRPr="00125373">
        <w:rPr>
          <w:lang w:val="fr-FR"/>
        </w:rPr>
        <w:t xml:space="preserve">  </w:t>
      </w:r>
      <w:r w:rsidR="00470F6C">
        <w:rPr>
          <w:lang w:val="fr-FR"/>
        </w:rPr>
        <w:t>Il ressort de l’introduction de c</w:t>
      </w:r>
      <w:r w:rsidR="00D5032D" w:rsidRPr="00125373">
        <w:rPr>
          <w:lang w:val="fr-FR"/>
        </w:rPr>
        <w:t>es normes qu</w:t>
      </w:r>
      <w:r w:rsidR="00125373">
        <w:rPr>
          <w:lang w:val="fr-FR"/>
        </w:rPr>
        <w:t>’</w:t>
      </w:r>
      <w:r w:rsidR="00D5032D" w:rsidRPr="00125373">
        <w:rPr>
          <w:lang w:val="fr-FR"/>
        </w:rPr>
        <w:t>une gestion financière prudente</w:t>
      </w:r>
      <w:r w:rsidR="00470F6C">
        <w:rPr>
          <w:lang w:val="fr-FR"/>
        </w:rPr>
        <w:t xml:space="preserve">, </w:t>
      </w:r>
      <w:r w:rsidR="00D5032D" w:rsidRPr="00125373">
        <w:rPr>
          <w:lang w:val="fr-FR"/>
        </w:rPr>
        <w:t xml:space="preserve">dans les contraintes imposées par le cadre réglementaire traditionnel du système des </w:t>
      </w:r>
      <w:r w:rsidR="00125373">
        <w:rPr>
          <w:lang w:val="fr-FR"/>
        </w:rPr>
        <w:t>Nations Unies</w:t>
      </w:r>
      <w:r w:rsidR="00D5032D" w:rsidRPr="00125373">
        <w:rPr>
          <w:lang w:val="fr-FR"/>
        </w:rPr>
        <w:t xml:space="preserve">, notamment en ce qui concerne les investissements, </w:t>
      </w:r>
      <w:r w:rsidR="00470F6C">
        <w:rPr>
          <w:lang w:val="fr-FR"/>
        </w:rPr>
        <w:t xml:space="preserve">n’offre pas forcément </w:t>
      </w:r>
      <w:r w:rsidR="00D5032D" w:rsidRPr="00125373">
        <w:rPr>
          <w:lang w:val="fr-FR"/>
        </w:rPr>
        <w:t>la plate</w:t>
      </w:r>
      <w:r w:rsidR="000919B0">
        <w:rPr>
          <w:lang w:val="fr-FR"/>
        </w:rPr>
        <w:noBreakHyphen/>
      </w:r>
      <w:r w:rsidR="00D5032D" w:rsidRPr="00125373">
        <w:rPr>
          <w:lang w:val="fr-FR"/>
        </w:rPr>
        <w:t xml:space="preserve">forme </w:t>
      </w:r>
      <w:r w:rsidR="00470F6C">
        <w:rPr>
          <w:lang w:val="fr-FR"/>
        </w:rPr>
        <w:t xml:space="preserve">idéale pour </w:t>
      </w:r>
      <w:r w:rsidR="00D5032D" w:rsidRPr="00125373">
        <w:rPr>
          <w:lang w:val="fr-FR"/>
        </w:rPr>
        <w:t xml:space="preserve">la mise en place de mesures et de stratégies </w:t>
      </w:r>
      <w:r w:rsidR="00470F6C" w:rsidRPr="00125373">
        <w:rPr>
          <w:lang w:val="fr-FR"/>
        </w:rPr>
        <w:t>adaptées et différenciées</w:t>
      </w:r>
      <w:r w:rsidR="00470F6C">
        <w:rPr>
          <w:lang w:val="fr-FR"/>
        </w:rPr>
        <w:t xml:space="preserve"> en matière </w:t>
      </w:r>
      <w:r w:rsidR="00D5032D" w:rsidRPr="00125373">
        <w:rPr>
          <w:lang w:val="fr-FR"/>
        </w:rPr>
        <w:t>d</w:t>
      </w:r>
      <w:r w:rsidR="00125373">
        <w:rPr>
          <w:lang w:val="fr-FR"/>
        </w:rPr>
        <w:t>’</w:t>
      </w:r>
      <w:r w:rsidR="00D5032D" w:rsidRPr="00125373">
        <w:rPr>
          <w:lang w:val="fr-FR"/>
        </w:rPr>
        <w:t>investissement</w:t>
      </w:r>
      <w:r w:rsidR="00650FB8" w:rsidRPr="00125373">
        <w:rPr>
          <w:lang w:val="fr-FR"/>
        </w:rPr>
        <w:t xml:space="preserve">.  </w:t>
      </w:r>
      <w:r w:rsidR="00D5032D" w:rsidRPr="00125373">
        <w:rPr>
          <w:lang w:val="fr-FR"/>
        </w:rPr>
        <w:t xml:space="preserve">Mais parallèlement, il devient de plus en plus nécessaire </w:t>
      </w:r>
      <w:r w:rsidR="00470F6C">
        <w:rPr>
          <w:lang w:val="fr-FR"/>
        </w:rPr>
        <w:t>que</w:t>
      </w:r>
      <w:r w:rsidR="00D5032D" w:rsidRPr="00125373">
        <w:rPr>
          <w:lang w:val="fr-FR"/>
        </w:rPr>
        <w:t xml:space="preserve"> l</w:t>
      </w:r>
      <w:r w:rsidR="00125373">
        <w:rPr>
          <w:lang w:val="fr-FR"/>
        </w:rPr>
        <w:t>’</w:t>
      </w:r>
      <w:r w:rsidR="00D5032D" w:rsidRPr="00125373">
        <w:rPr>
          <w:lang w:val="fr-FR"/>
        </w:rPr>
        <w:t xml:space="preserve">Organisation </w:t>
      </w:r>
      <w:r w:rsidR="00470F6C">
        <w:rPr>
          <w:lang w:val="fr-FR"/>
        </w:rPr>
        <w:t>reconnaisse</w:t>
      </w:r>
      <w:r w:rsidR="00D5032D" w:rsidRPr="00125373">
        <w:rPr>
          <w:lang w:val="fr-FR"/>
        </w:rPr>
        <w:t xml:space="preserve"> qu</w:t>
      </w:r>
      <w:r w:rsidR="00125373">
        <w:rPr>
          <w:lang w:val="fr-FR"/>
        </w:rPr>
        <w:t>’</w:t>
      </w:r>
      <w:r w:rsidR="00D5032D" w:rsidRPr="00125373">
        <w:rPr>
          <w:lang w:val="fr-FR"/>
        </w:rPr>
        <w:t>elle doit protéger la valeur de ses actifs financiers tant sur le court terme que sur le long terme</w:t>
      </w:r>
      <w:r w:rsidR="00650FB8" w:rsidRPr="00125373">
        <w:rPr>
          <w:lang w:val="fr-FR"/>
        </w:rPr>
        <w:t xml:space="preserve">.  </w:t>
      </w:r>
      <w:r w:rsidR="00D5032D" w:rsidRPr="00125373">
        <w:rPr>
          <w:lang w:val="fr-FR"/>
        </w:rPr>
        <w:t>Pour cela, l</w:t>
      </w:r>
      <w:r w:rsidR="00125373">
        <w:rPr>
          <w:lang w:val="fr-FR"/>
        </w:rPr>
        <w:t>’</w:t>
      </w:r>
      <w:r w:rsidR="00D5032D" w:rsidRPr="00125373">
        <w:rPr>
          <w:lang w:val="fr-FR"/>
        </w:rPr>
        <w:t>OMPI doit envisager la possibilité d</w:t>
      </w:r>
      <w:r w:rsidR="00125373">
        <w:rPr>
          <w:lang w:val="fr-FR"/>
        </w:rPr>
        <w:t>’</w:t>
      </w:r>
      <w:r w:rsidR="00D5032D" w:rsidRPr="00125373">
        <w:rPr>
          <w:lang w:val="fr-FR"/>
        </w:rPr>
        <w:t xml:space="preserve">assumer un niveau de risque modéré </w:t>
      </w:r>
      <w:r w:rsidR="00470F6C">
        <w:rPr>
          <w:lang w:val="fr-FR"/>
        </w:rPr>
        <w:t xml:space="preserve">en ce qui concerne </w:t>
      </w:r>
      <w:r w:rsidR="00D5032D" w:rsidRPr="00125373">
        <w:rPr>
          <w:lang w:val="fr-FR"/>
        </w:rPr>
        <w:t xml:space="preserve">sa politique de gestion </w:t>
      </w:r>
      <w:r w:rsidR="002F160D" w:rsidRPr="00125373">
        <w:rPr>
          <w:lang w:val="fr-FR"/>
        </w:rPr>
        <w:t xml:space="preserve">financière, </w:t>
      </w:r>
      <w:r w:rsidR="00470F6C">
        <w:rPr>
          <w:lang w:val="fr-FR"/>
        </w:rPr>
        <w:t>car</w:t>
      </w:r>
      <w:r w:rsidR="002F160D" w:rsidRPr="00125373">
        <w:rPr>
          <w:lang w:val="fr-FR"/>
        </w:rPr>
        <w:t xml:space="preserve"> la politique du risque zéro qu</w:t>
      </w:r>
      <w:r w:rsidR="00125373">
        <w:rPr>
          <w:lang w:val="fr-FR"/>
        </w:rPr>
        <w:t>’</w:t>
      </w:r>
      <w:r w:rsidR="002F160D" w:rsidRPr="00125373">
        <w:rPr>
          <w:lang w:val="fr-FR"/>
        </w:rPr>
        <w:t xml:space="preserve">elle applique actuellement risque fortement de réduire la valeur </w:t>
      </w:r>
      <w:r w:rsidR="00470F6C">
        <w:rPr>
          <w:lang w:val="fr-FR"/>
        </w:rPr>
        <w:t>de ses</w:t>
      </w:r>
      <w:r w:rsidR="002F160D" w:rsidRPr="00125373">
        <w:rPr>
          <w:lang w:val="fr-FR"/>
        </w:rPr>
        <w:t xml:space="preserve"> actifs financiers</w:t>
      </w:r>
      <w:r w:rsidR="00650FB8" w:rsidRPr="00125373">
        <w:rPr>
          <w:lang w:val="fr-FR"/>
        </w:rPr>
        <w:t>.</w:t>
      </w:r>
    </w:p>
    <w:p w:rsidR="00125373" w:rsidRDefault="00BE7B8F" w:rsidP="00E01F47">
      <w:pPr>
        <w:pStyle w:val="ONUMFS"/>
        <w:rPr>
          <w:lang w:val="fr-FR"/>
        </w:rPr>
      </w:pPr>
      <w:r w:rsidRPr="00125373">
        <w:rPr>
          <w:lang w:val="fr-FR"/>
        </w:rPr>
        <w:t>À l</w:t>
      </w:r>
      <w:r w:rsidR="00125373">
        <w:rPr>
          <w:lang w:val="fr-FR"/>
        </w:rPr>
        <w:t>’</w:t>
      </w:r>
      <w:r w:rsidRPr="00125373">
        <w:rPr>
          <w:lang w:val="fr-FR"/>
        </w:rPr>
        <w:t>instar d</w:t>
      </w:r>
      <w:r w:rsidR="00125373">
        <w:rPr>
          <w:lang w:val="fr-FR"/>
        </w:rPr>
        <w:t>’</w:t>
      </w:r>
      <w:r w:rsidRPr="00125373">
        <w:rPr>
          <w:lang w:val="fr-FR"/>
        </w:rPr>
        <w:t>autres organisations axées sur les services</w:t>
      </w:r>
      <w:r w:rsidR="008F4814" w:rsidRPr="00125373">
        <w:rPr>
          <w:lang w:val="fr-FR"/>
        </w:rPr>
        <w:t xml:space="preserve">, </w:t>
      </w:r>
      <w:r w:rsidRPr="00125373">
        <w:rPr>
          <w:lang w:val="fr-FR"/>
        </w:rPr>
        <w:t xml:space="preserve">la </w:t>
      </w:r>
      <w:r w:rsidR="00395A5B">
        <w:rPr>
          <w:lang w:val="fr-FR"/>
        </w:rPr>
        <w:t>majorité</w:t>
      </w:r>
      <w:r w:rsidRPr="00125373">
        <w:rPr>
          <w:lang w:val="fr-FR"/>
        </w:rPr>
        <w:t xml:space="preserve"> des dépenses de l</w:t>
      </w:r>
      <w:r w:rsidR="00125373">
        <w:rPr>
          <w:lang w:val="fr-FR"/>
        </w:rPr>
        <w:t>’</w:t>
      </w:r>
      <w:r w:rsidRPr="00125373">
        <w:rPr>
          <w:lang w:val="fr-FR"/>
        </w:rPr>
        <w:t>exercice biennal de l</w:t>
      </w:r>
      <w:r w:rsidR="00125373">
        <w:rPr>
          <w:lang w:val="fr-FR"/>
        </w:rPr>
        <w:t>’</w:t>
      </w:r>
      <w:r w:rsidRPr="00125373">
        <w:rPr>
          <w:lang w:val="fr-FR"/>
        </w:rPr>
        <w:t>OMPI sont liées aux dépenses fixes de personnel qui représentent un coût</w:t>
      </w:r>
      <w:r w:rsidR="00F17740" w:rsidRPr="00125373">
        <w:rPr>
          <w:lang w:val="fr-FR"/>
        </w:rPr>
        <w:t xml:space="preserve"> </w:t>
      </w:r>
      <w:r w:rsidR="00395A5B">
        <w:rPr>
          <w:lang w:val="fr-FR"/>
        </w:rPr>
        <w:t xml:space="preserve">immédiat et sur le </w:t>
      </w:r>
      <w:r w:rsidR="00F17740" w:rsidRPr="00125373">
        <w:rPr>
          <w:lang w:val="fr-FR"/>
        </w:rPr>
        <w:t>long terme important qui n</w:t>
      </w:r>
      <w:r w:rsidR="00125373">
        <w:rPr>
          <w:lang w:val="fr-FR"/>
        </w:rPr>
        <w:t>’</w:t>
      </w:r>
      <w:r w:rsidR="00F17740" w:rsidRPr="00125373">
        <w:rPr>
          <w:lang w:val="fr-FR"/>
        </w:rPr>
        <w:t xml:space="preserve">est pas </w:t>
      </w:r>
      <w:r w:rsidR="00395A5B">
        <w:rPr>
          <w:lang w:val="fr-FR"/>
        </w:rPr>
        <w:t xml:space="preserve">totalement en adéquation avec les </w:t>
      </w:r>
      <w:r w:rsidR="00F17740" w:rsidRPr="00125373">
        <w:rPr>
          <w:lang w:val="fr-FR"/>
        </w:rPr>
        <w:t>besoins du modèle économique de l</w:t>
      </w:r>
      <w:r w:rsidR="00125373">
        <w:rPr>
          <w:lang w:val="fr-FR"/>
        </w:rPr>
        <w:t>’</w:t>
      </w:r>
      <w:r w:rsidR="00F17740" w:rsidRPr="00125373">
        <w:rPr>
          <w:lang w:val="fr-FR"/>
        </w:rPr>
        <w:t>OMPI</w:t>
      </w:r>
      <w:r w:rsidR="008F4814" w:rsidRPr="00125373">
        <w:rPr>
          <w:lang w:val="fr-FR"/>
        </w:rPr>
        <w:t xml:space="preserve">.  </w:t>
      </w:r>
      <w:r w:rsidR="00F17740" w:rsidRPr="00125373">
        <w:rPr>
          <w:lang w:val="fr-FR"/>
        </w:rPr>
        <w:t>Compte tenu des contraintes imposées à l</w:t>
      </w:r>
      <w:r w:rsidR="00125373">
        <w:rPr>
          <w:lang w:val="fr-FR"/>
        </w:rPr>
        <w:t>’</w:t>
      </w:r>
      <w:r w:rsidR="00F17740" w:rsidRPr="00125373">
        <w:rPr>
          <w:lang w:val="fr-FR"/>
        </w:rPr>
        <w:t xml:space="preserve">Organisation </w:t>
      </w:r>
      <w:r w:rsidR="00395A5B">
        <w:rPr>
          <w:lang w:val="fr-FR"/>
        </w:rPr>
        <w:t xml:space="preserve">par le </w:t>
      </w:r>
      <w:r w:rsidR="00F17740" w:rsidRPr="00125373">
        <w:rPr>
          <w:lang w:val="fr-FR"/>
        </w:rPr>
        <w:t xml:space="preserve">régime commun des </w:t>
      </w:r>
      <w:r w:rsidR="00125373">
        <w:rPr>
          <w:lang w:val="fr-FR"/>
        </w:rPr>
        <w:t>Nations Unies</w:t>
      </w:r>
      <w:r w:rsidR="00701BB1" w:rsidRPr="00125373">
        <w:rPr>
          <w:lang w:val="fr-FR"/>
        </w:rPr>
        <w:t xml:space="preserve">, </w:t>
      </w:r>
      <w:r w:rsidR="00F17740" w:rsidRPr="00125373">
        <w:rPr>
          <w:lang w:val="fr-FR"/>
        </w:rPr>
        <w:t>celle</w:t>
      </w:r>
      <w:r w:rsidR="000919B0">
        <w:rPr>
          <w:lang w:val="fr-FR"/>
        </w:rPr>
        <w:noBreakHyphen/>
      </w:r>
      <w:r w:rsidR="00F17740" w:rsidRPr="00125373">
        <w:rPr>
          <w:lang w:val="fr-FR"/>
        </w:rPr>
        <w:t>ci accepte d</w:t>
      </w:r>
      <w:r w:rsidR="00395A5B">
        <w:rPr>
          <w:lang w:val="fr-FR"/>
        </w:rPr>
        <w:t xml:space="preserve">e devoir </w:t>
      </w:r>
      <w:r w:rsidR="00F17740" w:rsidRPr="00125373">
        <w:rPr>
          <w:lang w:val="fr-FR"/>
        </w:rPr>
        <w:t>assumer un niveau de risque modéré</w:t>
      </w:r>
      <w:r w:rsidR="00E01F47">
        <w:rPr>
          <w:lang w:val="fr-FR"/>
        </w:rPr>
        <w:t xml:space="preserve"> et procède donc à </w:t>
      </w:r>
      <w:r w:rsidR="00F17740" w:rsidRPr="00125373">
        <w:rPr>
          <w:lang w:val="fr-FR"/>
        </w:rPr>
        <w:t>une utilisation judicieuse de la sous</w:t>
      </w:r>
      <w:r w:rsidR="000919B0">
        <w:rPr>
          <w:lang w:val="fr-FR"/>
        </w:rPr>
        <w:noBreakHyphen/>
      </w:r>
      <w:r w:rsidR="00F17740" w:rsidRPr="00125373">
        <w:rPr>
          <w:lang w:val="fr-FR"/>
        </w:rPr>
        <w:t>traitance et d</w:t>
      </w:r>
      <w:r w:rsidR="00125373">
        <w:rPr>
          <w:lang w:val="fr-FR"/>
        </w:rPr>
        <w:t>’</w:t>
      </w:r>
      <w:r w:rsidR="00F17740" w:rsidRPr="00125373">
        <w:rPr>
          <w:lang w:val="fr-FR"/>
        </w:rPr>
        <w:t xml:space="preserve">autres solutions rentables </w:t>
      </w:r>
      <w:r w:rsidR="00A94C22" w:rsidRPr="00125373">
        <w:rPr>
          <w:lang w:val="fr-FR"/>
        </w:rPr>
        <w:t>de dotation en ressources</w:t>
      </w:r>
      <w:r w:rsidR="00E01F47">
        <w:rPr>
          <w:lang w:val="fr-FR"/>
        </w:rPr>
        <w:t xml:space="preserve"> pour </w:t>
      </w:r>
      <w:r w:rsidR="00395A5B">
        <w:rPr>
          <w:lang w:val="fr-FR"/>
        </w:rPr>
        <w:t xml:space="preserve">obtenir </w:t>
      </w:r>
      <w:r w:rsidR="00A94C22" w:rsidRPr="00125373">
        <w:rPr>
          <w:lang w:val="fr-FR"/>
        </w:rPr>
        <w:t>une structure des coûts durable pour l</w:t>
      </w:r>
      <w:r w:rsidR="00125373">
        <w:rPr>
          <w:lang w:val="fr-FR"/>
        </w:rPr>
        <w:t>’</w:t>
      </w:r>
      <w:r w:rsidR="00A94C22" w:rsidRPr="00125373">
        <w:rPr>
          <w:lang w:val="fr-FR"/>
        </w:rPr>
        <w:t>avenir</w:t>
      </w:r>
      <w:r w:rsidR="008F4814" w:rsidRPr="00125373">
        <w:rPr>
          <w:lang w:val="fr-FR"/>
        </w:rPr>
        <w:t>.</w:t>
      </w:r>
    </w:p>
    <w:p w:rsidR="00125373" w:rsidRDefault="00395A5B" w:rsidP="00E01F47">
      <w:pPr>
        <w:pStyle w:val="ONUMFS"/>
        <w:rPr>
          <w:lang w:val="fr-FR"/>
        </w:rPr>
      </w:pPr>
      <w:r>
        <w:rPr>
          <w:lang w:val="fr-FR"/>
        </w:rPr>
        <w:t>L</w:t>
      </w:r>
      <w:r w:rsidR="00125373">
        <w:rPr>
          <w:lang w:val="fr-FR"/>
        </w:rPr>
        <w:t>’</w:t>
      </w:r>
      <w:r w:rsidR="00A94C22" w:rsidRPr="00125373">
        <w:rPr>
          <w:lang w:val="fr-FR"/>
        </w:rPr>
        <w:t>environnement opérationnel de l</w:t>
      </w:r>
      <w:r w:rsidR="00125373">
        <w:rPr>
          <w:lang w:val="fr-FR"/>
        </w:rPr>
        <w:t>’</w:t>
      </w:r>
      <w:r w:rsidR="00A94C22" w:rsidRPr="00125373">
        <w:rPr>
          <w:lang w:val="fr-FR"/>
        </w:rPr>
        <w:t>OMPI n</w:t>
      </w:r>
      <w:r w:rsidR="00125373">
        <w:rPr>
          <w:lang w:val="fr-FR"/>
        </w:rPr>
        <w:t>’</w:t>
      </w:r>
      <w:r w:rsidR="00A94C22" w:rsidRPr="00125373">
        <w:rPr>
          <w:lang w:val="fr-FR"/>
        </w:rPr>
        <w:t xml:space="preserve">est pas considéré comme présentant un risque élevé en termes de fraude, de corruption ou de pratiques collusoires, </w:t>
      </w:r>
      <w:r>
        <w:rPr>
          <w:lang w:val="fr-FR"/>
        </w:rPr>
        <w:t xml:space="preserve">mais </w:t>
      </w:r>
      <w:r w:rsidR="00A94C22" w:rsidRPr="00125373">
        <w:rPr>
          <w:lang w:val="fr-FR"/>
        </w:rPr>
        <w:t>ce risque existe néanmoins dans toutes les organisations</w:t>
      </w:r>
      <w:r>
        <w:rPr>
          <w:lang w:val="fr-FR"/>
        </w:rPr>
        <w:t>, c’est pourquoi</w:t>
      </w:r>
      <w:r w:rsidR="00A94C22" w:rsidRPr="00125373">
        <w:rPr>
          <w:lang w:val="fr-FR"/>
        </w:rPr>
        <w:t xml:space="preserve"> l</w:t>
      </w:r>
      <w:r w:rsidR="00125373">
        <w:rPr>
          <w:lang w:val="fr-FR"/>
        </w:rPr>
        <w:t>’</w:t>
      </w:r>
      <w:r w:rsidR="00A94C22" w:rsidRPr="00125373">
        <w:rPr>
          <w:lang w:val="fr-FR"/>
        </w:rPr>
        <w:t xml:space="preserve">OMPI </w:t>
      </w:r>
      <w:r>
        <w:rPr>
          <w:lang w:val="fr-FR"/>
        </w:rPr>
        <w:t>adopte</w:t>
      </w:r>
      <w:r w:rsidR="00A94C22" w:rsidRPr="00125373">
        <w:rPr>
          <w:lang w:val="fr-FR"/>
        </w:rPr>
        <w:t xml:space="preserve"> une politique de tolérance zéro à cet égard</w:t>
      </w:r>
      <w:r w:rsidR="008F4814" w:rsidRPr="00125373">
        <w:rPr>
          <w:lang w:val="fr-FR"/>
        </w:rPr>
        <w:t>.</w:t>
      </w:r>
    </w:p>
    <w:p w:rsidR="0008217E" w:rsidRPr="00125373" w:rsidRDefault="00CB7473" w:rsidP="00E01F47">
      <w:pPr>
        <w:pStyle w:val="Heading3"/>
      </w:pPr>
      <w:r w:rsidRPr="00125373">
        <w:t>Risques stratégiques</w:t>
      </w:r>
    </w:p>
    <w:p w:rsidR="0008217E" w:rsidRPr="00125373" w:rsidRDefault="0008217E" w:rsidP="00E01F47">
      <w:pPr>
        <w:rPr>
          <w:b/>
          <w:lang w:val="fr-FR"/>
        </w:rPr>
      </w:pPr>
    </w:p>
    <w:p w:rsidR="0008217E" w:rsidRPr="00125373" w:rsidRDefault="00395A5B" w:rsidP="00E01F47">
      <w:pPr>
        <w:pStyle w:val="ONUMFS"/>
        <w:rPr>
          <w:lang w:val="fr-FR"/>
        </w:rPr>
      </w:pPr>
      <w:r>
        <w:rPr>
          <w:lang w:val="fr-FR"/>
        </w:rPr>
        <w:t>Promouvoir</w:t>
      </w:r>
      <w:r w:rsidR="00075027" w:rsidRPr="00125373">
        <w:rPr>
          <w:lang w:val="fr-FR"/>
        </w:rPr>
        <w:t xml:space="preserve"> une vision commune des avantages </w:t>
      </w:r>
      <w:r>
        <w:rPr>
          <w:lang w:val="fr-FR"/>
        </w:rPr>
        <w:t>du</w:t>
      </w:r>
      <w:r w:rsidR="00075027" w:rsidRPr="00125373">
        <w:rPr>
          <w:lang w:val="fr-FR"/>
        </w:rPr>
        <w:t xml:space="preserve"> système international de la propriété intellectuelle est fondamental pour garantir </w:t>
      </w:r>
      <w:r>
        <w:rPr>
          <w:lang w:val="fr-FR"/>
        </w:rPr>
        <w:t>l’</w:t>
      </w:r>
      <w:r w:rsidR="00075027" w:rsidRPr="00125373">
        <w:rPr>
          <w:lang w:val="fr-FR"/>
        </w:rPr>
        <w:t>évolution harmonieuse du système.</w:t>
      </w:r>
      <w:r w:rsidR="005167BA" w:rsidRPr="00125373">
        <w:rPr>
          <w:lang w:val="fr-FR"/>
        </w:rPr>
        <w:t xml:space="preserve">  </w:t>
      </w:r>
      <w:r w:rsidR="00075027" w:rsidRPr="00125373">
        <w:rPr>
          <w:lang w:val="fr-FR"/>
        </w:rPr>
        <w:t>L</w:t>
      </w:r>
      <w:r w:rsidR="00125373">
        <w:rPr>
          <w:lang w:val="fr-FR"/>
        </w:rPr>
        <w:t>’</w:t>
      </w:r>
      <w:r w:rsidR="00075027" w:rsidRPr="00125373">
        <w:rPr>
          <w:lang w:val="fr-FR"/>
        </w:rPr>
        <w:t xml:space="preserve">Organisation reconnaît la nécessité de </w:t>
      </w:r>
      <w:r>
        <w:rPr>
          <w:lang w:val="fr-FR"/>
        </w:rPr>
        <w:t>tirer parti d</w:t>
      </w:r>
      <w:r w:rsidR="00075027" w:rsidRPr="00125373">
        <w:rPr>
          <w:lang w:val="fr-FR"/>
        </w:rPr>
        <w:t xml:space="preserve">es occasions spécifiques qui </w:t>
      </w:r>
      <w:r>
        <w:rPr>
          <w:lang w:val="fr-FR"/>
        </w:rPr>
        <w:t xml:space="preserve">se présentent pour faire évoluer le </w:t>
      </w:r>
      <w:r w:rsidR="00075027" w:rsidRPr="00125373">
        <w:rPr>
          <w:lang w:val="fr-FR"/>
        </w:rPr>
        <w:t>cadre international</w:t>
      </w:r>
      <w:r w:rsidR="005167BA" w:rsidRPr="00125373">
        <w:rPr>
          <w:lang w:val="fr-FR"/>
        </w:rPr>
        <w:t xml:space="preserve">.  </w:t>
      </w:r>
      <w:r w:rsidR="00075027" w:rsidRPr="00125373">
        <w:rPr>
          <w:lang w:val="fr-FR"/>
        </w:rPr>
        <w:t>Les États membres, avec le concours du Secrétariat, font tout leur po</w:t>
      </w:r>
      <w:r w:rsidR="00505811" w:rsidRPr="00125373">
        <w:rPr>
          <w:lang w:val="fr-FR"/>
        </w:rPr>
        <w:t>ssible pour minimiser le risque afin que cet objectif soit atteint</w:t>
      </w:r>
      <w:r w:rsidR="00075027" w:rsidRPr="00125373">
        <w:rPr>
          <w:lang w:val="fr-FR"/>
        </w:rPr>
        <w:t>.</w:t>
      </w:r>
    </w:p>
    <w:p w:rsidR="0008217E" w:rsidRPr="00125373" w:rsidRDefault="00CB7473" w:rsidP="00E01F47">
      <w:pPr>
        <w:pStyle w:val="Heading3"/>
      </w:pPr>
      <w:r w:rsidRPr="00125373">
        <w:t>Incidence sur l</w:t>
      </w:r>
      <w:r w:rsidR="00125373">
        <w:t>’</w:t>
      </w:r>
      <w:r w:rsidRPr="00125373">
        <w:t>image</w:t>
      </w:r>
    </w:p>
    <w:p w:rsidR="0008217E" w:rsidRPr="00125373" w:rsidRDefault="0008217E" w:rsidP="00E01F47">
      <w:pPr>
        <w:rPr>
          <w:lang w:val="fr-FR"/>
        </w:rPr>
      </w:pPr>
    </w:p>
    <w:p w:rsidR="0008217E" w:rsidRPr="00125373" w:rsidRDefault="00DD58EF" w:rsidP="00E01F47">
      <w:pPr>
        <w:pStyle w:val="ONUMFS"/>
        <w:rPr>
          <w:lang w:val="fr-FR"/>
        </w:rPr>
      </w:pPr>
      <w:r w:rsidRPr="00125373">
        <w:rPr>
          <w:lang w:val="fr-FR"/>
        </w:rPr>
        <w:t>Il incombe à l</w:t>
      </w:r>
      <w:r w:rsidR="00125373">
        <w:rPr>
          <w:lang w:val="fr-FR"/>
        </w:rPr>
        <w:t>’</w:t>
      </w:r>
      <w:r w:rsidRPr="00125373">
        <w:rPr>
          <w:lang w:val="fr-FR"/>
        </w:rPr>
        <w:t>OMPI, e</w:t>
      </w:r>
      <w:r w:rsidR="00505811" w:rsidRPr="00125373">
        <w:rPr>
          <w:lang w:val="fr-FR"/>
        </w:rPr>
        <w:t>n tant qu</w:t>
      </w:r>
      <w:r w:rsidR="00125373">
        <w:rPr>
          <w:lang w:val="fr-FR"/>
        </w:rPr>
        <w:t>’</w:t>
      </w:r>
      <w:r w:rsidR="00505811" w:rsidRPr="00125373">
        <w:rPr>
          <w:lang w:val="fr-FR"/>
        </w:rPr>
        <w:t xml:space="preserve">organisation du secteur public et institution spécialisée du système de </w:t>
      </w:r>
      <w:r w:rsidR="00125373">
        <w:rPr>
          <w:lang w:val="fr-FR"/>
        </w:rPr>
        <w:t>Nations Unies</w:t>
      </w:r>
      <w:r w:rsidR="0008267F" w:rsidRPr="00125373">
        <w:rPr>
          <w:lang w:val="fr-FR"/>
        </w:rPr>
        <w:t xml:space="preserve">, </w:t>
      </w:r>
      <w:r w:rsidRPr="00125373">
        <w:rPr>
          <w:lang w:val="fr-FR"/>
        </w:rPr>
        <w:t>de respecter les normes les plus élevées en matière de transparence et de responsabilisation</w:t>
      </w:r>
      <w:r w:rsidR="0008267F" w:rsidRPr="00125373">
        <w:rPr>
          <w:lang w:val="fr-FR"/>
        </w:rPr>
        <w:t xml:space="preserve">.  </w:t>
      </w:r>
      <w:r w:rsidRPr="00125373">
        <w:rPr>
          <w:lang w:val="fr-FR"/>
        </w:rPr>
        <w:t xml:space="preserve">À ce titre, elle </w:t>
      </w:r>
      <w:r w:rsidR="005C7341" w:rsidRPr="00125373">
        <w:rPr>
          <w:lang w:val="fr-FR"/>
        </w:rPr>
        <w:t>fait l</w:t>
      </w:r>
      <w:r w:rsidR="00125373">
        <w:rPr>
          <w:lang w:val="fr-FR"/>
        </w:rPr>
        <w:t>’</w:t>
      </w:r>
      <w:r w:rsidR="005C7341" w:rsidRPr="00125373">
        <w:rPr>
          <w:lang w:val="fr-FR"/>
        </w:rPr>
        <w:t>objet d</w:t>
      </w:r>
      <w:r w:rsidR="00125373">
        <w:rPr>
          <w:lang w:val="fr-FR"/>
        </w:rPr>
        <w:t>’</w:t>
      </w:r>
      <w:r w:rsidRPr="00125373">
        <w:rPr>
          <w:lang w:val="fr-FR"/>
        </w:rPr>
        <w:t xml:space="preserve">un examen </w:t>
      </w:r>
      <w:r w:rsidR="00395A5B">
        <w:rPr>
          <w:lang w:val="fr-FR"/>
        </w:rPr>
        <w:t>attentif</w:t>
      </w:r>
      <w:r w:rsidRPr="00125373">
        <w:rPr>
          <w:lang w:val="fr-FR"/>
        </w:rPr>
        <w:t xml:space="preserve"> de la part </w:t>
      </w:r>
      <w:r w:rsidRPr="00125373">
        <w:rPr>
          <w:lang w:val="fr-FR"/>
        </w:rPr>
        <w:lastRenderedPageBreak/>
        <w:t>de ses</w:t>
      </w:r>
      <w:r w:rsidR="005C7341" w:rsidRPr="00125373">
        <w:rPr>
          <w:lang w:val="fr-FR"/>
        </w:rPr>
        <w:t xml:space="preserve"> clients, de ses parties prenantes, de ses fonctionnaires, ainsi que du public</w:t>
      </w:r>
      <w:r w:rsidR="0008267F" w:rsidRPr="00125373">
        <w:rPr>
          <w:lang w:val="fr-FR"/>
        </w:rPr>
        <w:t xml:space="preserve">.  </w:t>
      </w:r>
      <w:r w:rsidR="005C7341" w:rsidRPr="00125373">
        <w:rPr>
          <w:lang w:val="fr-FR"/>
        </w:rPr>
        <w:t>L</w:t>
      </w:r>
      <w:r w:rsidR="00125373">
        <w:rPr>
          <w:lang w:val="fr-FR"/>
        </w:rPr>
        <w:t>’</w:t>
      </w:r>
      <w:r w:rsidR="005C7341" w:rsidRPr="00125373">
        <w:rPr>
          <w:lang w:val="fr-FR"/>
        </w:rPr>
        <w:t>occurrence d</w:t>
      </w:r>
      <w:r w:rsidR="00125373">
        <w:rPr>
          <w:lang w:val="fr-FR"/>
        </w:rPr>
        <w:t>’</w:t>
      </w:r>
      <w:r w:rsidR="005C7341" w:rsidRPr="00125373">
        <w:rPr>
          <w:lang w:val="fr-FR"/>
        </w:rPr>
        <w:t xml:space="preserve">un événement </w:t>
      </w:r>
      <w:r w:rsidR="00395A5B">
        <w:rPr>
          <w:lang w:val="fr-FR"/>
        </w:rPr>
        <w:t>présentant un risque opérationnel, financier ou stratégique</w:t>
      </w:r>
      <w:r w:rsidR="005C7341" w:rsidRPr="00125373">
        <w:rPr>
          <w:lang w:val="fr-FR"/>
        </w:rPr>
        <w:t xml:space="preserve"> peut avoir une incidence considérable sur la crédibilité des travaux de l</w:t>
      </w:r>
      <w:r w:rsidR="00125373">
        <w:rPr>
          <w:lang w:val="fr-FR"/>
        </w:rPr>
        <w:t>’</w:t>
      </w:r>
      <w:r w:rsidR="005C7341" w:rsidRPr="00125373">
        <w:rPr>
          <w:lang w:val="fr-FR"/>
        </w:rPr>
        <w:t>Organisation, c</w:t>
      </w:r>
      <w:r w:rsidR="00125373">
        <w:rPr>
          <w:lang w:val="fr-FR"/>
        </w:rPr>
        <w:t>’</w:t>
      </w:r>
      <w:r w:rsidR="005C7341" w:rsidRPr="00125373">
        <w:rPr>
          <w:lang w:val="fr-FR"/>
        </w:rPr>
        <w:t>est pourquoi la tolérance de l</w:t>
      </w:r>
      <w:r w:rsidR="00125373">
        <w:rPr>
          <w:lang w:val="fr-FR"/>
        </w:rPr>
        <w:t>’</w:t>
      </w:r>
      <w:r w:rsidR="005C7341" w:rsidRPr="00125373">
        <w:rPr>
          <w:lang w:val="fr-FR"/>
        </w:rPr>
        <w:t xml:space="preserve">OMPI à cet égard est faible.  Dans ce contexte, les mesures </w:t>
      </w:r>
      <w:r w:rsidR="00395A5B">
        <w:rPr>
          <w:lang w:val="fr-FR"/>
        </w:rPr>
        <w:t>prises</w:t>
      </w:r>
      <w:r w:rsidR="00E563B9" w:rsidRPr="00125373">
        <w:rPr>
          <w:lang w:val="fr-FR"/>
        </w:rPr>
        <w:t xml:space="preserve"> pour </w:t>
      </w:r>
      <w:r w:rsidR="005C7341" w:rsidRPr="00125373">
        <w:rPr>
          <w:lang w:val="fr-FR"/>
        </w:rPr>
        <w:t>atténu</w:t>
      </w:r>
      <w:r w:rsidR="00E563B9" w:rsidRPr="00125373">
        <w:rPr>
          <w:lang w:val="fr-FR"/>
        </w:rPr>
        <w:t>er</w:t>
      </w:r>
      <w:r w:rsidR="005C7341" w:rsidRPr="00125373">
        <w:rPr>
          <w:lang w:val="fr-FR"/>
        </w:rPr>
        <w:t xml:space="preserve"> </w:t>
      </w:r>
      <w:r w:rsidR="00E563B9" w:rsidRPr="00125373">
        <w:rPr>
          <w:lang w:val="fr-FR"/>
        </w:rPr>
        <w:t>l</w:t>
      </w:r>
      <w:r w:rsidR="005C7341" w:rsidRPr="00125373">
        <w:rPr>
          <w:lang w:val="fr-FR"/>
        </w:rPr>
        <w:t>es risques</w:t>
      </w:r>
      <w:r w:rsidR="00E563B9" w:rsidRPr="00125373">
        <w:rPr>
          <w:lang w:val="fr-FR"/>
        </w:rPr>
        <w:t>, telles que la divulgation publique, la diffusion anticipée d</w:t>
      </w:r>
      <w:r w:rsidR="00125373">
        <w:rPr>
          <w:lang w:val="fr-FR"/>
        </w:rPr>
        <w:t>’</w:t>
      </w:r>
      <w:r w:rsidR="00E563B9" w:rsidRPr="00125373">
        <w:rPr>
          <w:lang w:val="fr-FR"/>
        </w:rPr>
        <w:t>informations, la sensibilisation des médias et l</w:t>
      </w:r>
      <w:r w:rsidR="00125373">
        <w:rPr>
          <w:lang w:val="fr-FR"/>
        </w:rPr>
        <w:t>’</w:t>
      </w:r>
      <w:r w:rsidR="00E563B9" w:rsidRPr="00125373">
        <w:rPr>
          <w:lang w:val="fr-FR"/>
        </w:rPr>
        <w:t>esprit d</w:t>
      </w:r>
      <w:r w:rsidR="00125373">
        <w:rPr>
          <w:lang w:val="fr-FR"/>
        </w:rPr>
        <w:t>’</w:t>
      </w:r>
      <w:r w:rsidR="00E563B9" w:rsidRPr="00125373">
        <w:rPr>
          <w:lang w:val="fr-FR"/>
        </w:rPr>
        <w:t>ouverture pour répondre aux demandes,</w:t>
      </w:r>
      <w:r w:rsidR="005C7341" w:rsidRPr="00125373">
        <w:rPr>
          <w:lang w:val="fr-FR"/>
        </w:rPr>
        <w:t xml:space="preserve"> sont e</w:t>
      </w:r>
      <w:bookmarkStart w:id="5" w:name="_GoBack"/>
      <w:bookmarkEnd w:id="5"/>
      <w:r w:rsidR="005C7341" w:rsidRPr="00125373">
        <w:rPr>
          <w:lang w:val="fr-FR"/>
        </w:rPr>
        <w:t>ssentielles.</w:t>
      </w:r>
    </w:p>
    <w:p w:rsidR="0008217E" w:rsidRPr="00125373" w:rsidRDefault="00541C27" w:rsidP="00E01F47">
      <w:pPr>
        <w:pStyle w:val="ONUMFS"/>
        <w:rPr>
          <w:lang w:val="fr-FR"/>
        </w:rPr>
      </w:pPr>
      <w:r w:rsidRPr="00125373">
        <w:rPr>
          <w:lang w:val="fr-FR"/>
        </w:rPr>
        <w:t>Le paragraphe de décision ci</w:t>
      </w:r>
      <w:r w:rsidR="000919B0">
        <w:rPr>
          <w:lang w:val="fr-FR"/>
        </w:rPr>
        <w:noBreakHyphen/>
      </w:r>
      <w:r w:rsidRPr="00125373">
        <w:rPr>
          <w:lang w:val="fr-FR"/>
        </w:rPr>
        <w:t>après est proposé :</w:t>
      </w:r>
    </w:p>
    <w:p w:rsidR="0008217E" w:rsidRPr="000919B0" w:rsidRDefault="00CB7473" w:rsidP="00E01F47">
      <w:pPr>
        <w:pStyle w:val="ONUMFS"/>
        <w:spacing w:after="0"/>
        <w:ind w:left="5534"/>
        <w:rPr>
          <w:i/>
          <w:lang w:val="fr-FR"/>
        </w:rPr>
      </w:pPr>
      <w:r w:rsidRPr="000919B0">
        <w:rPr>
          <w:i/>
          <w:lang w:val="fr-FR"/>
        </w:rPr>
        <w:t xml:space="preserve">Le Comité du programme et budget a pris note </w:t>
      </w:r>
      <w:r w:rsidR="00395A5B">
        <w:rPr>
          <w:i/>
          <w:lang w:val="fr-FR"/>
        </w:rPr>
        <w:t xml:space="preserve">de la déclaration relative à </w:t>
      </w:r>
      <w:r w:rsidRPr="000919B0">
        <w:rPr>
          <w:i/>
          <w:lang w:val="fr-FR"/>
        </w:rPr>
        <w:t>la tolérance au risque de l</w:t>
      </w:r>
      <w:r w:rsidR="00125373" w:rsidRPr="000919B0">
        <w:rPr>
          <w:i/>
          <w:lang w:val="fr-FR"/>
        </w:rPr>
        <w:t>’</w:t>
      </w:r>
      <w:r w:rsidRPr="000919B0">
        <w:rPr>
          <w:i/>
          <w:lang w:val="fr-FR"/>
        </w:rPr>
        <w:t>OMPI, définie conformément aux recommandations formulées en matière d</w:t>
      </w:r>
      <w:r w:rsidR="00125373" w:rsidRPr="000919B0">
        <w:rPr>
          <w:i/>
          <w:lang w:val="fr-FR"/>
        </w:rPr>
        <w:t>’</w:t>
      </w:r>
      <w:r w:rsidRPr="000919B0">
        <w:rPr>
          <w:i/>
          <w:lang w:val="fr-FR"/>
        </w:rPr>
        <w:t xml:space="preserve">audit et de supervision, qui figure dans le </w:t>
      </w:r>
      <w:r w:rsidR="0028493E" w:rsidRPr="000919B0">
        <w:rPr>
          <w:i/>
          <w:lang w:val="fr-FR"/>
        </w:rPr>
        <w:t xml:space="preserve">document </w:t>
      </w:r>
      <w:r w:rsidR="0051156E" w:rsidRPr="000919B0">
        <w:rPr>
          <w:i/>
          <w:lang w:val="fr-FR"/>
        </w:rPr>
        <w:t>WO/PBC/22/17.</w:t>
      </w:r>
    </w:p>
    <w:p w:rsidR="000919B0" w:rsidRPr="00125373" w:rsidRDefault="000919B0" w:rsidP="00E01F47">
      <w:pPr>
        <w:ind w:left="5534"/>
        <w:rPr>
          <w:lang w:val="fr-FR"/>
        </w:rPr>
      </w:pPr>
    </w:p>
    <w:p w:rsidR="0008217E" w:rsidRPr="00125373" w:rsidRDefault="0008217E" w:rsidP="00E01F47">
      <w:pPr>
        <w:ind w:left="5533"/>
        <w:rPr>
          <w:lang w:val="fr-FR"/>
        </w:rPr>
      </w:pPr>
    </w:p>
    <w:p w:rsidR="0008217E" w:rsidRPr="00125373" w:rsidRDefault="0008267F" w:rsidP="00E01F47">
      <w:pPr>
        <w:ind w:left="5533"/>
        <w:rPr>
          <w:lang w:val="fr-FR"/>
        </w:rPr>
      </w:pPr>
      <w:r w:rsidRPr="00125373">
        <w:rPr>
          <w:lang w:val="fr-FR"/>
        </w:rPr>
        <w:t>[</w:t>
      </w:r>
      <w:r w:rsidR="00CB7473" w:rsidRPr="00125373">
        <w:rPr>
          <w:lang w:val="fr-FR"/>
        </w:rPr>
        <w:t>Fin du</w:t>
      </w:r>
      <w:r w:rsidRPr="00125373">
        <w:rPr>
          <w:lang w:val="fr-FR"/>
        </w:rPr>
        <w:t xml:space="preserve"> document]</w:t>
      </w:r>
    </w:p>
    <w:sectPr w:rsidR="0008217E" w:rsidRPr="00125373" w:rsidSect="000A6155">
      <w:headerReference w:type="default" r:id="rId11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C6" w:rsidRDefault="00D02FC6">
      <w:r>
        <w:separator/>
      </w:r>
    </w:p>
  </w:endnote>
  <w:endnote w:type="continuationSeparator" w:id="0">
    <w:p w:rsidR="00D02FC6" w:rsidRDefault="00D02FC6" w:rsidP="003B38C1">
      <w:r>
        <w:separator/>
      </w:r>
    </w:p>
    <w:p w:rsidR="00D02FC6" w:rsidRPr="003B38C1" w:rsidRDefault="00D02F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2FC6" w:rsidRPr="003B38C1" w:rsidRDefault="00D02F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C6" w:rsidRDefault="00D02FC6">
      <w:r>
        <w:separator/>
      </w:r>
    </w:p>
  </w:footnote>
  <w:footnote w:type="continuationSeparator" w:id="0">
    <w:p w:rsidR="00D02FC6" w:rsidRDefault="00D02FC6" w:rsidP="008B60B2">
      <w:r>
        <w:separator/>
      </w:r>
    </w:p>
    <w:p w:rsidR="00D02FC6" w:rsidRPr="00ED77FB" w:rsidRDefault="00D02F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2FC6" w:rsidRPr="00ED77FB" w:rsidRDefault="00D02F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D7621" w:rsidRPr="000919B0" w:rsidRDefault="00FD7621" w:rsidP="00C43248">
      <w:pPr>
        <w:pStyle w:val="FootnoteText"/>
        <w:rPr>
          <w:sz w:val="20"/>
          <w:lang w:val="fr-FR"/>
        </w:rPr>
      </w:pPr>
      <w:r w:rsidRPr="000919B0">
        <w:rPr>
          <w:rStyle w:val="FootnoteReference"/>
          <w:sz w:val="20"/>
          <w:lang w:val="fr-FR"/>
        </w:rPr>
        <w:footnoteRef/>
      </w:r>
      <w:r w:rsidRPr="000919B0">
        <w:rPr>
          <w:sz w:val="20"/>
          <w:lang w:val="fr-FR"/>
        </w:rPr>
        <w:t xml:space="preserve"> </w:t>
      </w:r>
      <w:r w:rsidR="000919B0" w:rsidRPr="000919B0">
        <w:rPr>
          <w:sz w:val="20"/>
          <w:lang w:val="fr-FR"/>
        </w:rPr>
        <w:tab/>
      </w:r>
      <w:r w:rsidR="000919B0" w:rsidRPr="000919B0">
        <w:rPr>
          <w:color w:val="000000"/>
          <w:sz w:val="20"/>
          <w:lang w:val="fr-FR"/>
        </w:rPr>
        <w:t>On entend par “</w:t>
      </w:r>
      <w:r w:rsidR="00C43248" w:rsidRPr="000919B0">
        <w:rPr>
          <w:color w:val="000000"/>
          <w:sz w:val="20"/>
          <w:lang w:val="fr-FR"/>
        </w:rPr>
        <w:t>tolérance au risque</w:t>
      </w:r>
      <w:r w:rsidR="000919B0" w:rsidRPr="000919B0">
        <w:rPr>
          <w:color w:val="000000"/>
          <w:sz w:val="20"/>
          <w:lang w:val="fr-FR"/>
        </w:rPr>
        <w:t>”</w:t>
      </w:r>
      <w:r w:rsidR="00C43248" w:rsidRPr="000919B0">
        <w:rPr>
          <w:color w:val="000000"/>
          <w:sz w:val="20"/>
          <w:lang w:val="fr-FR"/>
        </w:rPr>
        <w:t xml:space="preserve"> le degré de variation que l'Organisation est prête à accepter par rapport à certains objectifs, pour lequel des niveaux d'approbation spécifiques sont définis dans la hiérarchie organisationnelle.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8267F" w:rsidP="00477D6B">
    <w:pPr>
      <w:jc w:val="right"/>
    </w:pPr>
    <w:bookmarkStart w:id="6" w:name="Code2"/>
    <w:bookmarkEnd w:id="6"/>
    <w:r>
      <w:t>WO/PBC/22/</w:t>
    </w:r>
    <w:r w:rsidR="0043481A">
      <w:t>17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48DA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DC29D6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Budget and Finance\Meetings|Budget and Finance\Other|Budget and Finance\Publications"/>
    <w:docVar w:name="TextBaseURL" w:val="empty"/>
    <w:docVar w:name="UILng" w:val="en"/>
  </w:docVars>
  <w:rsids>
    <w:rsidRoot w:val="0008267F"/>
    <w:rsid w:val="000221DB"/>
    <w:rsid w:val="00043CAA"/>
    <w:rsid w:val="0006736E"/>
    <w:rsid w:val="00075027"/>
    <w:rsid w:val="00075432"/>
    <w:rsid w:val="0008217E"/>
    <w:rsid w:val="0008267F"/>
    <w:rsid w:val="000919B0"/>
    <w:rsid w:val="000968ED"/>
    <w:rsid w:val="000A6155"/>
    <w:rsid w:val="000B2836"/>
    <w:rsid w:val="000C34F2"/>
    <w:rsid w:val="000F59FD"/>
    <w:rsid w:val="000F5E56"/>
    <w:rsid w:val="00107477"/>
    <w:rsid w:val="00125373"/>
    <w:rsid w:val="001316DF"/>
    <w:rsid w:val="00134A1A"/>
    <w:rsid w:val="001362EE"/>
    <w:rsid w:val="0015555C"/>
    <w:rsid w:val="00155E98"/>
    <w:rsid w:val="00161D2E"/>
    <w:rsid w:val="00166EBD"/>
    <w:rsid w:val="001832A6"/>
    <w:rsid w:val="001A6541"/>
    <w:rsid w:val="001C69F7"/>
    <w:rsid w:val="001D3914"/>
    <w:rsid w:val="001F57E8"/>
    <w:rsid w:val="00256574"/>
    <w:rsid w:val="002634C4"/>
    <w:rsid w:val="002718F3"/>
    <w:rsid w:val="0028493E"/>
    <w:rsid w:val="002928D3"/>
    <w:rsid w:val="002A571B"/>
    <w:rsid w:val="002B6DFF"/>
    <w:rsid w:val="002C0A60"/>
    <w:rsid w:val="002C29D2"/>
    <w:rsid w:val="002D2863"/>
    <w:rsid w:val="002F160D"/>
    <w:rsid w:val="002F1FE6"/>
    <w:rsid w:val="002F4E68"/>
    <w:rsid w:val="0030455C"/>
    <w:rsid w:val="00312F7F"/>
    <w:rsid w:val="00314FC1"/>
    <w:rsid w:val="0032707E"/>
    <w:rsid w:val="00361450"/>
    <w:rsid w:val="003653F9"/>
    <w:rsid w:val="003673CF"/>
    <w:rsid w:val="003773ED"/>
    <w:rsid w:val="003845C1"/>
    <w:rsid w:val="00395A5B"/>
    <w:rsid w:val="003A6F89"/>
    <w:rsid w:val="003B38C1"/>
    <w:rsid w:val="003B60B1"/>
    <w:rsid w:val="003E16F2"/>
    <w:rsid w:val="00407AAC"/>
    <w:rsid w:val="00423E3E"/>
    <w:rsid w:val="00427AF4"/>
    <w:rsid w:val="00430B11"/>
    <w:rsid w:val="0043481A"/>
    <w:rsid w:val="004647DA"/>
    <w:rsid w:val="00470F6C"/>
    <w:rsid w:val="00474062"/>
    <w:rsid w:val="00477D6B"/>
    <w:rsid w:val="00491D10"/>
    <w:rsid w:val="004D014B"/>
    <w:rsid w:val="004F0540"/>
    <w:rsid w:val="005019FF"/>
    <w:rsid w:val="00505811"/>
    <w:rsid w:val="0051156E"/>
    <w:rsid w:val="005167BA"/>
    <w:rsid w:val="0053057A"/>
    <w:rsid w:val="00540D3A"/>
    <w:rsid w:val="00541C27"/>
    <w:rsid w:val="00560A29"/>
    <w:rsid w:val="00592CE6"/>
    <w:rsid w:val="005935C4"/>
    <w:rsid w:val="005C6649"/>
    <w:rsid w:val="005C7341"/>
    <w:rsid w:val="005F0F33"/>
    <w:rsid w:val="00605827"/>
    <w:rsid w:val="00646050"/>
    <w:rsid w:val="00650FB8"/>
    <w:rsid w:val="006713CA"/>
    <w:rsid w:val="00676C5C"/>
    <w:rsid w:val="0068099E"/>
    <w:rsid w:val="0068354A"/>
    <w:rsid w:val="0068699A"/>
    <w:rsid w:val="006A741E"/>
    <w:rsid w:val="006B2A40"/>
    <w:rsid w:val="006D2D30"/>
    <w:rsid w:val="006F51E2"/>
    <w:rsid w:val="00701BB1"/>
    <w:rsid w:val="00735C2E"/>
    <w:rsid w:val="00744F23"/>
    <w:rsid w:val="00787710"/>
    <w:rsid w:val="007B460A"/>
    <w:rsid w:val="007D0E7A"/>
    <w:rsid w:val="007D1613"/>
    <w:rsid w:val="007D52E6"/>
    <w:rsid w:val="007D5325"/>
    <w:rsid w:val="007F1203"/>
    <w:rsid w:val="007F3025"/>
    <w:rsid w:val="008A4F6B"/>
    <w:rsid w:val="008A69A8"/>
    <w:rsid w:val="008B2CC1"/>
    <w:rsid w:val="008B60B2"/>
    <w:rsid w:val="008F4814"/>
    <w:rsid w:val="0090731E"/>
    <w:rsid w:val="00916EE2"/>
    <w:rsid w:val="009450D4"/>
    <w:rsid w:val="009663AA"/>
    <w:rsid w:val="00966A22"/>
    <w:rsid w:val="0096722F"/>
    <w:rsid w:val="00980843"/>
    <w:rsid w:val="00980BEF"/>
    <w:rsid w:val="00982D43"/>
    <w:rsid w:val="0098762C"/>
    <w:rsid w:val="009920B6"/>
    <w:rsid w:val="009C4662"/>
    <w:rsid w:val="009E2791"/>
    <w:rsid w:val="009E3F6F"/>
    <w:rsid w:val="009F499F"/>
    <w:rsid w:val="00A02B64"/>
    <w:rsid w:val="00A077BD"/>
    <w:rsid w:val="00A40716"/>
    <w:rsid w:val="00A42DAF"/>
    <w:rsid w:val="00A432F5"/>
    <w:rsid w:val="00A45BD8"/>
    <w:rsid w:val="00A47840"/>
    <w:rsid w:val="00A53C33"/>
    <w:rsid w:val="00A6280F"/>
    <w:rsid w:val="00A869B7"/>
    <w:rsid w:val="00A94C22"/>
    <w:rsid w:val="00A9534F"/>
    <w:rsid w:val="00AC205C"/>
    <w:rsid w:val="00AF0A6B"/>
    <w:rsid w:val="00B05A69"/>
    <w:rsid w:val="00B61FBC"/>
    <w:rsid w:val="00B84551"/>
    <w:rsid w:val="00B91EAA"/>
    <w:rsid w:val="00B92867"/>
    <w:rsid w:val="00B9734B"/>
    <w:rsid w:val="00BA5E64"/>
    <w:rsid w:val="00BB4ED3"/>
    <w:rsid w:val="00BE7B8F"/>
    <w:rsid w:val="00BF133A"/>
    <w:rsid w:val="00BF284B"/>
    <w:rsid w:val="00BF7C91"/>
    <w:rsid w:val="00BF7FB7"/>
    <w:rsid w:val="00C11BFE"/>
    <w:rsid w:val="00C11D1A"/>
    <w:rsid w:val="00C43248"/>
    <w:rsid w:val="00C606E9"/>
    <w:rsid w:val="00C6484F"/>
    <w:rsid w:val="00CB7473"/>
    <w:rsid w:val="00CF2273"/>
    <w:rsid w:val="00CF73C2"/>
    <w:rsid w:val="00D02FC6"/>
    <w:rsid w:val="00D24A26"/>
    <w:rsid w:val="00D37D5C"/>
    <w:rsid w:val="00D45252"/>
    <w:rsid w:val="00D5032D"/>
    <w:rsid w:val="00D71B4D"/>
    <w:rsid w:val="00D93D55"/>
    <w:rsid w:val="00DD58EF"/>
    <w:rsid w:val="00DE63C2"/>
    <w:rsid w:val="00DF6232"/>
    <w:rsid w:val="00DF6947"/>
    <w:rsid w:val="00E01F47"/>
    <w:rsid w:val="00E24F0D"/>
    <w:rsid w:val="00E32E37"/>
    <w:rsid w:val="00E335FE"/>
    <w:rsid w:val="00E563B9"/>
    <w:rsid w:val="00E73590"/>
    <w:rsid w:val="00E744AA"/>
    <w:rsid w:val="00E763B3"/>
    <w:rsid w:val="00E83A82"/>
    <w:rsid w:val="00EA48DA"/>
    <w:rsid w:val="00EA70E9"/>
    <w:rsid w:val="00EC4E49"/>
    <w:rsid w:val="00ED77FB"/>
    <w:rsid w:val="00EE45FA"/>
    <w:rsid w:val="00EF0D1C"/>
    <w:rsid w:val="00F17740"/>
    <w:rsid w:val="00F17BD2"/>
    <w:rsid w:val="00F3321E"/>
    <w:rsid w:val="00F40CDD"/>
    <w:rsid w:val="00F66152"/>
    <w:rsid w:val="00F85AC6"/>
    <w:rsid w:val="00F871FA"/>
    <w:rsid w:val="00F919AC"/>
    <w:rsid w:val="00F96D46"/>
    <w:rsid w:val="00FA0CD2"/>
    <w:rsid w:val="00FB4640"/>
    <w:rsid w:val="00FD7621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919B0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01F47"/>
    <w:pPr>
      <w:keepNext/>
      <w:spacing w:before="240" w:after="60"/>
      <w:outlineLvl w:val="2"/>
    </w:pPr>
    <w:rPr>
      <w:b/>
      <w:bCs/>
      <w:szCs w:val="26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01F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08267F"/>
    <w:rPr>
      <w:vertAlign w:val="superscript"/>
    </w:rPr>
  </w:style>
  <w:style w:type="paragraph" w:styleId="BalloonText">
    <w:name w:val="Balloon Text"/>
    <w:basedOn w:val="Normal"/>
    <w:link w:val="BalloonTextChar"/>
    <w:rsid w:val="0073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C2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919B0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01F47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919B0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01F47"/>
    <w:pPr>
      <w:keepNext/>
      <w:spacing w:before="240" w:after="60"/>
      <w:outlineLvl w:val="2"/>
    </w:pPr>
    <w:rPr>
      <w:b/>
      <w:bCs/>
      <w:szCs w:val="26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01F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08267F"/>
    <w:rPr>
      <w:vertAlign w:val="superscript"/>
    </w:rPr>
  </w:style>
  <w:style w:type="paragraph" w:styleId="BalloonText">
    <w:name w:val="Balloon Text"/>
    <w:basedOn w:val="Normal"/>
    <w:link w:val="BalloonTextChar"/>
    <w:rsid w:val="0073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C2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919B0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01F47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C4D7-E3E9-46CF-872A-AEE8723D5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A8F47-EA94-4AA1-9480-7018AEA3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370</TotalTime>
  <Pages>4</Pages>
  <Words>1497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keywords>MP/mhf/sc</cp:keywords>
  <cp:lastModifiedBy>NETTER Iza</cp:lastModifiedBy>
  <cp:revision>22</cp:revision>
  <cp:lastPrinted>2014-07-07T08:06:00Z</cp:lastPrinted>
  <dcterms:created xsi:type="dcterms:W3CDTF">2014-07-02T13:58:00Z</dcterms:created>
  <dcterms:modified xsi:type="dcterms:W3CDTF">2014-07-07T08:06:00Z</dcterms:modified>
</cp:coreProperties>
</file>