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5B02" w14:textId="77777777" w:rsidR="008B2CC1" w:rsidRPr="00DE3132" w:rsidRDefault="00DB0349" w:rsidP="00347C75">
      <w:pPr>
        <w:spacing w:after="120"/>
        <w:jc w:val="right"/>
        <w:rPr>
          <w:lang w:val="fr-FR"/>
        </w:rPr>
      </w:pPr>
      <w:r w:rsidRPr="00DE3132">
        <w:rPr>
          <w:noProof/>
          <w:lang w:val="fr-FR" w:eastAsia="fr-CH"/>
        </w:rPr>
        <w:drawing>
          <wp:inline distT="0" distB="0" distL="0" distR="0" wp14:anchorId="44359B2E" wp14:editId="578F190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3">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DE3132">
        <w:rPr>
          <w:rFonts w:ascii="Arial Black" w:hAnsi="Arial Black"/>
          <w:caps/>
          <w:noProof/>
          <w:sz w:val="15"/>
          <w:szCs w:val="15"/>
          <w:lang w:val="fr-FR" w:eastAsia="fr-CH"/>
        </w:rPr>
        <mc:AlternateContent>
          <mc:Choice Requires="wps">
            <w:drawing>
              <wp:inline distT="0" distB="0" distL="0" distR="0" wp14:anchorId="27BF781C" wp14:editId="776F92D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67F9F7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2733199" w14:textId="21115265" w:rsidR="008B2CC1" w:rsidRPr="00DE3132" w:rsidRDefault="004F0849" w:rsidP="00347C75">
      <w:pPr>
        <w:jc w:val="right"/>
        <w:rPr>
          <w:rFonts w:ascii="Arial Black" w:hAnsi="Arial Black"/>
          <w:caps/>
          <w:sz w:val="15"/>
          <w:szCs w:val="15"/>
          <w:lang w:val="fr-FR"/>
        </w:rPr>
      </w:pPr>
      <w:r w:rsidRPr="00DE3132">
        <w:rPr>
          <w:rFonts w:ascii="Arial Black" w:hAnsi="Arial Black"/>
          <w:caps/>
          <w:sz w:val="15"/>
          <w:szCs w:val="15"/>
          <w:lang w:val="fr-FR"/>
        </w:rPr>
        <w:t>WO/GA/</w:t>
      </w:r>
      <w:r w:rsidR="009455D3" w:rsidRPr="00DE3132">
        <w:rPr>
          <w:rFonts w:ascii="Arial Black" w:hAnsi="Arial Black"/>
          <w:caps/>
          <w:sz w:val="15"/>
          <w:szCs w:val="15"/>
          <w:lang w:val="fr-FR"/>
        </w:rPr>
        <w:t>60</w:t>
      </w:r>
      <w:r w:rsidR="008D402E" w:rsidRPr="00DE3132">
        <w:rPr>
          <w:rFonts w:ascii="Arial Black" w:hAnsi="Arial Black"/>
          <w:caps/>
          <w:sz w:val="15"/>
          <w:szCs w:val="15"/>
          <w:lang w:val="fr-FR"/>
        </w:rPr>
        <w:t>/</w:t>
      </w:r>
      <w:bookmarkStart w:id="0" w:name="Code"/>
      <w:r w:rsidR="00D97730" w:rsidRPr="00DE3132">
        <w:rPr>
          <w:rFonts w:ascii="Arial Black" w:hAnsi="Arial Black"/>
          <w:caps/>
          <w:sz w:val="15"/>
          <w:szCs w:val="15"/>
          <w:lang w:val="fr-FR"/>
        </w:rPr>
        <w:t>8</w:t>
      </w:r>
    </w:p>
    <w:bookmarkEnd w:id="0"/>
    <w:p w14:paraId="38427434" w14:textId="27A6B617" w:rsidR="008B2CC1" w:rsidRPr="00DE3132" w:rsidRDefault="00DB0349" w:rsidP="00347C75">
      <w:pPr>
        <w:jc w:val="right"/>
        <w:rPr>
          <w:rFonts w:ascii="Arial Black" w:hAnsi="Arial Black"/>
          <w:caps/>
          <w:sz w:val="15"/>
          <w:szCs w:val="15"/>
          <w:lang w:val="fr-FR"/>
        </w:rPr>
      </w:pPr>
      <w:r w:rsidRPr="00DE3132">
        <w:rPr>
          <w:rFonts w:ascii="Arial Black" w:hAnsi="Arial Black"/>
          <w:caps/>
          <w:sz w:val="15"/>
          <w:szCs w:val="15"/>
          <w:lang w:val="fr-FR"/>
        </w:rPr>
        <w:t>Original</w:t>
      </w:r>
      <w:r w:rsidR="005902DD" w:rsidRPr="00DE3132">
        <w:rPr>
          <w:rFonts w:ascii="Arial Black" w:hAnsi="Arial Black"/>
          <w:caps/>
          <w:sz w:val="15"/>
          <w:szCs w:val="15"/>
          <w:lang w:val="fr-FR"/>
        </w:rPr>
        <w:t> :</w:t>
      </w:r>
      <w:r w:rsidRPr="00DE3132">
        <w:rPr>
          <w:rFonts w:ascii="Arial Black" w:hAnsi="Arial Black"/>
          <w:caps/>
          <w:sz w:val="15"/>
          <w:szCs w:val="15"/>
          <w:lang w:val="fr-FR"/>
        </w:rPr>
        <w:t xml:space="preserve"> </w:t>
      </w:r>
      <w:bookmarkStart w:id="1" w:name="Original"/>
      <w:r w:rsidR="00D97730" w:rsidRPr="00DE3132">
        <w:rPr>
          <w:rFonts w:ascii="Arial Black" w:hAnsi="Arial Black"/>
          <w:caps/>
          <w:sz w:val="15"/>
          <w:szCs w:val="15"/>
          <w:lang w:val="fr-FR"/>
        </w:rPr>
        <w:t>anglais</w:t>
      </w:r>
    </w:p>
    <w:bookmarkEnd w:id="1"/>
    <w:p w14:paraId="6870BC84" w14:textId="58D894E6" w:rsidR="008B2CC1" w:rsidRPr="00DE3132" w:rsidRDefault="000E3117" w:rsidP="00347C75">
      <w:pPr>
        <w:spacing w:after="1200"/>
        <w:jc w:val="right"/>
        <w:rPr>
          <w:rFonts w:ascii="Arial Black" w:hAnsi="Arial Black"/>
          <w:caps/>
          <w:sz w:val="15"/>
          <w:szCs w:val="15"/>
          <w:lang w:val="fr-FR"/>
        </w:rPr>
      </w:pPr>
      <w:r w:rsidRPr="00DE3132">
        <w:rPr>
          <w:rFonts w:ascii="Arial Black" w:hAnsi="Arial Black"/>
          <w:caps/>
          <w:sz w:val="15"/>
          <w:szCs w:val="15"/>
          <w:lang w:val="fr-FR"/>
        </w:rPr>
        <w:t>DATE</w:t>
      </w:r>
      <w:r w:rsidR="005902DD" w:rsidRPr="00DE3132">
        <w:rPr>
          <w:rFonts w:ascii="Arial Black" w:hAnsi="Arial Black"/>
          <w:caps/>
          <w:sz w:val="15"/>
          <w:szCs w:val="15"/>
          <w:lang w:val="fr-FR"/>
        </w:rPr>
        <w:t> :</w:t>
      </w:r>
      <w:r w:rsidR="00DB0349" w:rsidRPr="00DE3132">
        <w:rPr>
          <w:rFonts w:ascii="Arial Black" w:hAnsi="Arial Black"/>
          <w:caps/>
          <w:sz w:val="15"/>
          <w:szCs w:val="15"/>
          <w:lang w:val="fr-FR"/>
        </w:rPr>
        <w:t xml:space="preserve"> </w:t>
      </w:r>
      <w:bookmarkStart w:id="2" w:name="Date"/>
      <w:r w:rsidR="00D97730" w:rsidRPr="00DE3132">
        <w:rPr>
          <w:rFonts w:ascii="Arial Black" w:hAnsi="Arial Black"/>
          <w:caps/>
          <w:sz w:val="15"/>
          <w:szCs w:val="15"/>
          <w:lang w:val="fr-FR"/>
        </w:rPr>
        <w:t>5 mai 2026</w:t>
      </w:r>
    </w:p>
    <w:bookmarkEnd w:id="2"/>
    <w:p w14:paraId="47FCF4AF" w14:textId="56B2CD46" w:rsidR="00C40E15" w:rsidRPr="00DE3132" w:rsidRDefault="008D402E" w:rsidP="00347C75">
      <w:pPr>
        <w:spacing w:after="600"/>
        <w:rPr>
          <w:b/>
          <w:sz w:val="28"/>
          <w:szCs w:val="28"/>
          <w:lang w:val="fr-FR"/>
        </w:rPr>
      </w:pPr>
      <w:r w:rsidRPr="00DE3132">
        <w:rPr>
          <w:b/>
          <w:sz w:val="28"/>
          <w:szCs w:val="28"/>
          <w:lang w:val="fr-FR"/>
        </w:rPr>
        <w:t>Assemblée générale de l</w:t>
      </w:r>
      <w:r w:rsidR="005902DD" w:rsidRPr="00DE3132">
        <w:rPr>
          <w:b/>
          <w:sz w:val="28"/>
          <w:szCs w:val="28"/>
          <w:lang w:val="fr-FR"/>
        </w:rPr>
        <w:t>’</w:t>
      </w:r>
      <w:r w:rsidRPr="00DE3132">
        <w:rPr>
          <w:b/>
          <w:sz w:val="28"/>
          <w:szCs w:val="28"/>
          <w:lang w:val="fr-FR"/>
        </w:rPr>
        <w:t>OMPI</w:t>
      </w:r>
    </w:p>
    <w:p w14:paraId="4E43CA85" w14:textId="085DA09B" w:rsidR="008B2CC1" w:rsidRPr="00DE3132" w:rsidRDefault="009455D3" w:rsidP="00347C75">
      <w:pPr>
        <w:rPr>
          <w:b/>
          <w:sz w:val="24"/>
          <w:szCs w:val="24"/>
          <w:lang w:val="fr-FR"/>
        </w:rPr>
      </w:pPr>
      <w:r w:rsidRPr="00DE3132">
        <w:rPr>
          <w:b/>
          <w:sz w:val="24"/>
          <w:szCs w:val="24"/>
          <w:lang w:val="fr-FR"/>
        </w:rPr>
        <w:t>Soixant</w:t>
      </w:r>
      <w:r w:rsidR="005902DD" w:rsidRPr="00DE3132">
        <w:rPr>
          <w:b/>
          <w:sz w:val="24"/>
          <w:szCs w:val="24"/>
          <w:lang w:val="fr-FR"/>
        </w:rPr>
        <w:t>ième session</w:t>
      </w:r>
      <w:r w:rsidR="004A576F" w:rsidRPr="00DE3132">
        <w:rPr>
          <w:b/>
          <w:sz w:val="24"/>
          <w:szCs w:val="24"/>
          <w:lang w:val="fr-FR"/>
        </w:rPr>
        <w:t xml:space="preserve"> (</w:t>
      </w:r>
      <w:r w:rsidR="009C4815" w:rsidRPr="00DE3132">
        <w:rPr>
          <w:b/>
          <w:sz w:val="24"/>
          <w:szCs w:val="24"/>
          <w:lang w:val="fr-FR"/>
        </w:rPr>
        <w:t>3</w:t>
      </w:r>
      <w:r w:rsidRPr="00DE3132">
        <w:rPr>
          <w:b/>
          <w:sz w:val="24"/>
          <w:szCs w:val="24"/>
          <w:lang w:val="fr-FR"/>
        </w:rPr>
        <w:t>3</w:t>
      </w:r>
      <w:r w:rsidR="004A576F" w:rsidRPr="00DE3132">
        <w:rPr>
          <w:b/>
          <w:sz w:val="24"/>
          <w:szCs w:val="24"/>
          <w:vertAlign w:val="superscript"/>
          <w:lang w:val="fr-FR"/>
        </w:rPr>
        <w:t>e</w:t>
      </w:r>
      <w:r w:rsidR="00DE3132">
        <w:rPr>
          <w:b/>
          <w:sz w:val="24"/>
          <w:szCs w:val="24"/>
          <w:lang w:val="fr-FR"/>
        </w:rPr>
        <w:t> </w:t>
      </w:r>
      <w:r w:rsidR="004A576F" w:rsidRPr="00DE3132">
        <w:rPr>
          <w:b/>
          <w:sz w:val="24"/>
          <w:szCs w:val="24"/>
          <w:lang w:val="fr-FR"/>
        </w:rPr>
        <w:t xml:space="preserve">session </w:t>
      </w:r>
      <w:r w:rsidR="009C4815" w:rsidRPr="00DE3132">
        <w:rPr>
          <w:b/>
          <w:sz w:val="24"/>
          <w:szCs w:val="24"/>
          <w:lang w:val="fr-FR"/>
        </w:rPr>
        <w:t>extra</w:t>
      </w:r>
      <w:r w:rsidR="004A576F" w:rsidRPr="00DE3132">
        <w:rPr>
          <w:b/>
          <w:sz w:val="24"/>
          <w:szCs w:val="24"/>
          <w:lang w:val="fr-FR"/>
        </w:rPr>
        <w:t>ordinaire</w:t>
      </w:r>
      <w:r w:rsidR="008D402E" w:rsidRPr="00DE3132">
        <w:rPr>
          <w:b/>
          <w:sz w:val="24"/>
          <w:szCs w:val="24"/>
          <w:lang w:val="fr-FR"/>
        </w:rPr>
        <w:t>)</w:t>
      </w:r>
    </w:p>
    <w:p w14:paraId="19BD2E34" w14:textId="77777777" w:rsidR="008B2CC1" w:rsidRPr="00DE3132" w:rsidRDefault="008D402E" w:rsidP="00347C75">
      <w:pPr>
        <w:spacing w:after="720"/>
        <w:rPr>
          <w:b/>
          <w:sz w:val="24"/>
          <w:szCs w:val="24"/>
          <w:lang w:val="fr-FR"/>
        </w:rPr>
      </w:pPr>
      <w:r w:rsidRPr="00DE3132">
        <w:rPr>
          <w:b/>
          <w:sz w:val="24"/>
          <w:szCs w:val="24"/>
          <w:lang w:val="fr-FR"/>
        </w:rPr>
        <w:t xml:space="preserve">Genève, </w:t>
      </w:r>
      <w:r w:rsidR="009455D3" w:rsidRPr="00DE3132">
        <w:rPr>
          <w:b/>
          <w:sz w:val="24"/>
          <w:szCs w:val="24"/>
          <w:lang w:val="fr-FR"/>
        </w:rPr>
        <w:t xml:space="preserve">7 – </w:t>
      </w:r>
      <w:r w:rsidR="009C4815" w:rsidRPr="00DE3132">
        <w:rPr>
          <w:b/>
          <w:sz w:val="24"/>
          <w:szCs w:val="24"/>
          <w:lang w:val="fr-FR"/>
        </w:rPr>
        <w:t>1</w:t>
      </w:r>
      <w:r w:rsidR="009455D3" w:rsidRPr="00DE3132">
        <w:rPr>
          <w:b/>
          <w:sz w:val="24"/>
          <w:szCs w:val="24"/>
          <w:lang w:val="fr-FR"/>
        </w:rPr>
        <w:t>5</w:t>
      </w:r>
      <w:r w:rsidR="009C4815" w:rsidRPr="00DE3132">
        <w:rPr>
          <w:b/>
          <w:sz w:val="24"/>
          <w:szCs w:val="24"/>
          <w:lang w:val="fr-FR"/>
        </w:rPr>
        <w:t> </w:t>
      </w:r>
      <w:r w:rsidR="009455D3" w:rsidRPr="00DE3132">
        <w:rPr>
          <w:b/>
          <w:sz w:val="24"/>
          <w:szCs w:val="24"/>
          <w:lang w:val="fr-FR"/>
        </w:rPr>
        <w:t>juillet</w:t>
      </w:r>
      <w:r w:rsidR="009C4815" w:rsidRPr="00DE3132">
        <w:rPr>
          <w:b/>
          <w:sz w:val="24"/>
          <w:szCs w:val="24"/>
          <w:lang w:val="fr-FR"/>
        </w:rPr>
        <w:t> </w:t>
      </w:r>
      <w:r w:rsidR="004A576F" w:rsidRPr="00DE3132">
        <w:rPr>
          <w:b/>
          <w:sz w:val="24"/>
          <w:szCs w:val="24"/>
          <w:lang w:val="fr-FR"/>
        </w:rPr>
        <w:t>202</w:t>
      </w:r>
      <w:r w:rsidR="009C4815" w:rsidRPr="00DE3132">
        <w:rPr>
          <w:b/>
          <w:sz w:val="24"/>
          <w:szCs w:val="24"/>
          <w:lang w:val="fr-FR"/>
        </w:rPr>
        <w:t>6</w:t>
      </w:r>
    </w:p>
    <w:p w14:paraId="0DB958ED" w14:textId="720963C9" w:rsidR="00D97730" w:rsidRPr="00DE3132" w:rsidRDefault="00D97730" w:rsidP="00347C75">
      <w:pPr>
        <w:spacing w:after="360"/>
        <w:rPr>
          <w:caps/>
          <w:sz w:val="24"/>
          <w:lang w:val="fr-FR"/>
        </w:rPr>
      </w:pPr>
      <w:bookmarkStart w:id="3" w:name="TitleOfDoc"/>
      <w:r w:rsidRPr="00DE3132">
        <w:rPr>
          <w:caps/>
          <w:sz w:val="24"/>
          <w:lang w:val="fr-FR"/>
        </w:rPr>
        <w:t>Rapport sur le Comité des normes de l</w:t>
      </w:r>
      <w:r w:rsidR="005902DD" w:rsidRPr="00DE3132">
        <w:rPr>
          <w:caps/>
          <w:sz w:val="24"/>
          <w:lang w:val="fr-FR"/>
        </w:rPr>
        <w:t>’</w:t>
      </w:r>
      <w:r w:rsidRPr="00DE3132">
        <w:rPr>
          <w:caps/>
          <w:sz w:val="24"/>
          <w:lang w:val="fr-FR"/>
        </w:rPr>
        <w:t>OMPI (CWS)</w:t>
      </w:r>
    </w:p>
    <w:p w14:paraId="1A954335" w14:textId="77777777" w:rsidR="00D97730" w:rsidRPr="00DE3132" w:rsidRDefault="00D97730" w:rsidP="00347C75">
      <w:pPr>
        <w:spacing w:after="960"/>
        <w:rPr>
          <w:i/>
          <w:lang w:val="fr-FR"/>
        </w:rPr>
      </w:pPr>
      <w:proofErr w:type="gramStart"/>
      <w:r w:rsidRPr="00DE3132">
        <w:rPr>
          <w:i/>
          <w:lang w:val="fr-FR"/>
        </w:rPr>
        <w:t>établi</w:t>
      </w:r>
      <w:proofErr w:type="gramEnd"/>
      <w:r w:rsidRPr="00DE3132">
        <w:rPr>
          <w:i/>
          <w:lang w:val="fr-FR"/>
        </w:rPr>
        <w:t xml:space="preserve"> par le Secrétariat</w:t>
      </w:r>
    </w:p>
    <w:p w14:paraId="6B400A30" w14:textId="77777777" w:rsidR="00D97730" w:rsidRPr="00DE3132" w:rsidRDefault="00D97730" w:rsidP="00347C75">
      <w:pPr>
        <w:pStyle w:val="Heading2"/>
        <w:rPr>
          <w:lang w:val="fr-FR"/>
        </w:rPr>
      </w:pPr>
      <w:r w:rsidRPr="00DE3132">
        <w:rPr>
          <w:lang w:val="fr-FR"/>
        </w:rPr>
        <w:t>Introduction</w:t>
      </w:r>
    </w:p>
    <w:p w14:paraId="12D3CDA6" w14:textId="76B026F5" w:rsidR="00D97730" w:rsidRPr="00DE3132" w:rsidRDefault="00D97730" w:rsidP="00347C75">
      <w:pPr>
        <w:pStyle w:val="ONUMFS"/>
        <w:rPr>
          <w:lang w:val="fr-FR"/>
        </w:rPr>
      </w:pPr>
      <w:r w:rsidRPr="00DE3132">
        <w:rPr>
          <w:lang w:val="fr-FR"/>
        </w:rPr>
        <w:t>Au cours de la période considérée, le Comité des normes de l</w:t>
      </w:r>
      <w:r w:rsidR="005902DD" w:rsidRPr="00DE3132">
        <w:rPr>
          <w:lang w:val="fr-FR"/>
        </w:rPr>
        <w:t>’</w:t>
      </w:r>
      <w:r w:rsidRPr="00DE3132">
        <w:rPr>
          <w:lang w:val="fr-FR"/>
        </w:rPr>
        <w:t>OMPI (ci</w:t>
      </w:r>
      <w:r w:rsidR="00347C75">
        <w:rPr>
          <w:lang w:val="fr-FR"/>
        </w:rPr>
        <w:noBreakHyphen/>
      </w:r>
      <w:r w:rsidRPr="00DE3132">
        <w:rPr>
          <w:lang w:val="fr-FR"/>
        </w:rPr>
        <w:t>après dénommé “comité” ou “CWS”) a tenu sa treiz</w:t>
      </w:r>
      <w:r w:rsidR="005902DD" w:rsidRPr="00DE3132">
        <w:rPr>
          <w:lang w:val="fr-FR"/>
        </w:rPr>
        <w:t>ième session</w:t>
      </w:r>
      <w:r w:rsidRPr="00DE3132">
        <w:rPr>
          <w:lang w:val="fr-FR"/>
        </w:rPr>
        <w:t xml:space="preserve"> du 10 au 14 </w:t>
      </w:r>
      <w:r w:rsidR="005902DD" w:rsidRPr="00DE3132">
        <w:rPr>
          <w:lang w:val="fr-FR"/>
        </w:rPr>
        <w:t>novembre 20</w:t>
      </w:r>
      <w:r w:rsidRPr="00DE3132">
        <w:rPr>
          <w:lang w:val="fr-FR"/>
        </w:rPr>
        <w:t>25.  Les deux</w:t>
      </w:r>
      <w:r w:rsidR="003F469F" w:rsidRPr="00DE3132">
        <w:rPr>
          <w:lang w:val="fr-FR"/>
        </w:rPr>
        <w:t> </w:t>
      </w:r>
      <w:r w:rsidRPr="00DE3132">
        <w:rPr>
          <w:lang w:val="fr-FR"/>
        </w:rPr>
        <w:t>vice</w:t>
      </w:r>
      <w:r w:rsidR="00347C75">
        <w:rPr>
          <w:lang w:val="fr-FR"/>
        </w:rPr>
        <w:noBreakHyphen/>
      </w:r>
      <w:r w:rsidRPr="00DE3132">
        <w:rPr>
          <w:lang w:val="fr-FR"/>
        </w:rPr>
        <w:t>présidents, MM. Ali Alharbi (</w:t>
      </w:r>
      <w:r w:rsidR="005902DD" w:rsidRPr="00DE3132">
        <w:rPr>
          <w:lang w:val="fr-FR"/>
        </w:rPr>
        <w:t>Arabie saoudite</w:t>
      </w:r>
      <w:r w:rsidRPr="00DE3132">
        <w:rPr>
          <w:lang w:val="fr-FR"/>
        </w:rPr>
        <w:t>) et Alexandre Ciancio, (Brésil) ont présidé la session en qualité de présidents, en raison de l</w:t>
      </w:r>
      <w:r w:rsidR="005902DD" w:rsidRPr="00DE3132">
        <w:rPr>
          <w:lang w:val="fr-FR"/>
        </w:rPr>
        <w:t>’</w:t>
      </w:r>
      <w:r w:rsidRPr="00DE3132">
        <w:rPr>
          <w:lang w:val="fr-FR"/>
        </w:rPr>
        <w:t>absence de M. Michael Cristiano (Australie), président.</w:t>
      </w:r>
    </w:p>
    <w:p w14:paraId="628516AB" w14:textId="2A1382D0" w:rsidR="00D97730" w:rsidRPr="00DE3132" w:rsidRDefault="00D97730" w:rsidP="00347C75">
      <w:pPr>
        <w:pStyle w:val="ONUMFS"/>
        <w:rPr>
          <w:lang w:val="fr-FR"/>
        </w:rPr>
      </w:pPr>
      <w:r w:rsidRPr="00DE3132">
        <w:rPr>
          <w:lang w:val="fr-FR"/>
        </w:rPr>
        <w:t>Les participants de la session ont échangé des vues sur l</w:t>
      </w:r>
      <w:r w:rsidR="005902DD" w:rsidRPr="00DE3132">
        <w:rPr>
          <w:lang w:val="fr-FR"/>
        </w:rPr>
        <w:t>’</w:t>
      </w:r>
      <w:r w:rsidRPr="00DE3132">
        <w:rPr>
          <w:lang w:val="fr-FR"/>
        </w:rPr>
        <w:t>élaboration et la mise en œuvre de normes de l</w:t>
      </w:r>
      <w:r w:rsidR="005902DD" w:rsidRPr="00DE3132">
        <w:rPr>
          <w:lang w:val="fr-FR"/>
        </w:rPr>
        <w:t>’</w:t>
      </w:r>
      <w:r w:rsidRPr="00DE3132">
        <w:rPr>
          <w:lang w:val="fr-FR"/>
        </w:rPr>
        <w:t>OMPI dans la communauté de la propriété intellectuelle, ainsi que sur les politiques, recommandations et déclarations de principes relatives aux données de propriété intellectuelle, aux questions relatives au système mondial d</w:t>
      </w:r>
      <w:r w:rsidR="005902DD" w:rsidRPr="00DE3132">
        <w:rPr>
          <w:lang w:val="fr-FR"/>
        </w:rPr>
        <w:t>’</w:t>
      </w:r>
      <w:r w:rsidRPr="00DE3132">
        <w:rPr>
          <w:lang w:val="fr-FR"/>
        </w:rPr>
        <w:t>information, aux services d</w:t>
      </w:r>
      <w:r w:rsidR="005902DD" w:rsidRPr="00DE3132">
        <w:rPr>
          <w:lang w:val="fr-FR"/>
        </w:rPr>
        <w:t>’</w:t>
      </w:r>
      <w:r w:rsidRPr="00DE3132">
        <w:rPr>
          <w:lang w:val="fr-FR"/>
        </w:rPr>
        <w:t>information sur le système mondial, à la diffusion des données et à la documentation.</w:t>
      </w:r>
    </w:p>
    <w:p w14:paraId="26C39542" w14:textId="5B791706" w:rsidR="00D97730" w:rsidRPr="00DE3132" w:rsidRDefault="00D97730" w:rsidP="00347C75">
      <w:pPr>
        <w:pStyle w:val="ONUMFS"/>
        <w:rPr>
          <w:lang w:val="fr-FR"/>
        </w:rPr>
      </w:pPr>
      <w:r w:rsidRPr="00DE3132">
        <w:rPr>
          <w:lang w:val="fr-FR"/>
        </w:rPr>
        <w:t>Des délibérations ont eu lieu sur la base de plusieurs propositions, documents et exposés présentés par diverses équipes d</w:t>
      </w:r>
      <w:r w:rsidR="005902DD" w:rsidRPr="00DE3132">
        <w:rPr>
          <w:lang w:val="fr-FR"/>
        </w:rPr>
        <w:t>’</w:t>
      </w:r>
      <w:r w:rsidRPr="00DE3132">
        <w:rPr>
          <w:lang w:val="fr-FR"/>
        </w:rPr>
        <w:t>experts du CWS, des délégations et le Secrétari</w:t>
      </w:r>
      <w:r w:rsidR="00DE3132" w:rsidRPr="00DE3132">
        <w:rPr>
          <w:lang w:val="fr-FR"/>
        </w:rPr>
        <w:t>at.  To</w:t>
      </w:r>
      <w:r w:rsidRPr="00DE3132">
        <w:rPr>
          <w:lang w:val="fr-FR"/>
        </w:rPr>
        <w:t>us les documents de base et le rapport adopté de la treiz</w:t>
      </w:r>
      <w:r w:rsidR="005902DD" w:rsidRPr="00DE3132">
        <w:rPr>
          <w:lang w:val="fr-FR"/>
        </w:rPr>
        <w:t>ième session</w:t>
      </w:r>
      <w:r w:rsidRPr="00DE3132">
        <w:rPr>
          <w:lang w:val="fr-FR"/>
        </w:rPr>
        <w:t xml:space="preserve"> sont publiés sur la page du site Web de l</w:t>
      </w:r>
      <w:r w:rsidR="005902DD" w:rsidRPr="00DE3132">
        <w:rPr>
          <w:lang w:val="fr-FR"/>
        </w:rPr>
        <w:t>’</w:t>
      </w:r>
      <w:r w:rsidRPr="00DE3132">
        <w:rPr>
          <w:lang w:val="fr-FR"/>
        </w:rPr>
        <w:t>OMPI consacrée à la réunion</w:t>
      </w:r>
      <w:r w:rsidR="005902DD" w:rsidRPr="00DE3132">
        <w:rPr>
          <w:lang w:val="fr-FR"/>
        </w:rPr>
        <w:t> :</w:t>
      </w:r>
      <w:r w:rsidRPr="00DE3132">
        <w:rPr>
          <w:lang w:val="fr-FR"/>
        </w:rPr>
        <w:t xml:space="preserve"> </w:t>
      </w:r>
      <w:hyperlink r:id="rId14" w:history="1">
        <w:r w:rsidR="007A5C08" w:rsidRPr="004F3F53">
          <w:rPr>
            <w:rStyle w:val="Hyperlink"/>
            <w:lang w:val="fr-FR"/>
          </w:rPr>
          <w:t>https://www.wipo.int/meetings/fr/details.jsp?meeting_id=86450</w:t>
        </w:r>
      </w:hyperlink>
      <w:r w:rsidRPr="00DE3132">
        <w:rPr>
          <w:lang w:val="fr-FR"/>
        </w:rPr>
        <w:t>.</w:t>
      </w:r>
    </w:p>
    <w:p w14:paraId="3841D779" w14:textId="7381D5CF" w:rsidR="00D97730" w:rsidRPr="00DE3132" w:rsidRDefault="00D97730" w:rsidP="00347C75">
      <w:pPr>
        <w:pStyle w:val="ONUMFS"/>
        <w:rPr>
          <w:lang w:val="fr-FR"/>
        </w:rPr>
      </w:pPr>
      <w:r w:rsidRPr="00DE3132">
        <w:rPr>
          <w:lang w:val="fr-FR"/>
        </w:rPr>
        <w:t>À l</w:t>
      </w:r>
      <w:r w:rsidR="005902DD" w:rsidRPr="00DE3132">
        <w:rPr>
          <w:lang w:val="fr-FR"/>
        </w:rPr>
        <w:t>’</w:t>
      </w:r>
      <w:r w:rsidRPr="00DE3132">
        <w:rPr>
          <w:lang w:val="fr-FR"/>
        </w:rPr>
        <w:t>unanimité,</w:t>
      </w:r>
      <w:r w:rsidR="005902DD" w:rsidRPr="00DE3132">
        <w:rPr>
          <w:lang w:val="fr-FR"/>
        </w:rPr>
        <w:t xml:space="preserve"> le CWS</w:t>
      </w:r>
      <w:r w:rsidRPr="00DE3132">
        <w:rPr>
          <w:lang w:val="fr-FR"/>
        </w:rPr>
        <w:t xml:space="preserve"> a élu pour </w:t>
      </w:r>
      <w:proofErr w:type="gramStart"/>
      <w:r w:rsidRPr="00DE3132">
        <w:rPr>
          <w:lang w:val="fr-FR"/>
        </w:rPr>
        <w:t>les quatorzième</w:t>
      </w:r>
      <w:proofErr w:type="gramEnd"/>
      <w:r w:rsidRPr="00DE3132">
        <w:rPr>
          <w:lang w:val="fr-FR"/>
        </w:rPr>
        <w:t xml:space="preserve"> et quinz</w:t>
      </w:r>
      <w:r w:rsidR="005902DD" w:rsidRPr="00DE3132">
        <w:rPr>
          <w:lang w:val="fr-FR"/>
        </w:rPr>
        <w:t>ième session</w:t>
      </w:r>
      <w:r w:rsidRPr="00DE3132">
        <w:rPr>
          <w:lang w:val="fr-FR"/>
        </w:rPr>
        <w:t>s, M. Sudeep Acharya (Canada) président et MM. Ali Alharbi (</w:t>
      </w:r>
      <w:r w:rsidR="005902DD" w:rsidRPr="00DE3132">
        <w:rPr>
          <w:lang w:val="fr-FR"/>
        </w:rPr>
        <w:t>Arabie saoudite</w:t>
      </w:r>
      <w:r w:rsidRPr="00DE3132">
        <w:rPr>
          <w:lang w:val="fr-FR"/>
        </w:rPr>
        <w:t>) et Alexandre Ciancio (Brésil) vice</w:t>
      </w:r>
      <w:r w:rsidR="00347C75">
        <w:rPr>
          <w:lang w:val="fr-FR"/>
        </w:rPr>
        <w:noBreakHyphen/>
      </w:r>
      <w:r w:rsidRPr="00DE3132">
        <w:rPr>
          <w:lang w:val="fr-FR"/>
        </w:rPr>
        <w:t>présidents, dont les mandats débuteront à la clôture de la treiz</w:t>
      </w:r>
      <w:r w:rsidR="005902DD" w:rsidRPr="00DE3132">
        <w:rPr>
          <w:lang w:val="fr-FR"/>
        </w:rPr>
        <w:t>ième session</w:t>
      </w:r>
      <w:r w:rsidRPr="00DE3132">
        <w:rPr>
          <w:lang w:val="fr-FR"/>
        </w:rPr>
        <w:t>.</w:t>
      </w:r>
    </w:p>
    <w:p w14:paraId="50F41645" w14:textId="6B9B30F5" w:rsidR="00D97730" w:rsidRPr="00DE3132" w:rsidRDefault="00D97730" w:rsidP="00347C75">
      <w:pPr>
        <w:pStyle w:val="Heading2"/>
        <w:tabs>
          <w:tab w:val="right" w:pos="9355"/>
        </w:tabs>
        <w:rPr>
          <w:lang w:val="fr-FR"/>
        </w:rPr>
      </w:pPr>
      <w:r w:rsidRPr="00DE3132">
        <w:rPr>
          <w:lang w:val="fr-FR"/>
        </w:rPr>
        <w:lastRenderedPageBreak/>
        <w:t>Programme de travail et tâches</w:t>
      </w:r>
      <w:r w:rsidR="005902DD" w:rsidRPr="00DE3132">
        <w:rPr>
          <w:lang w:val="fr-FR"/>
        </w:rPr>
        <w:t xml:space="preserve"> du CWS</w:t>
      </w:r>
    </w:p>
    <w:p w14:paraId="3F0742B0" w14:textId="75B5AB35" w:rsidR="00D97730" w:rsidRPr="00DE3132" w:rsidRDefault="00D97730" w:rsidP="00347C75">
      <w:pPr>
        <w:pStyle w:val="ONUMFS"/>
        <w:rPr>
          <w:lang w:val="fr-FR"/>
        </w:rPr>
      </w:pPr>
      <w:r w:rsidRPr="00DE3132">
        <w:rPr>
          <w:lang w:val="fr-FR"/>
        </w:rPr>
        <w:t>À sa treiz</w:t>
      </w:r>
      <w:r w:rsidR="005902DD" w:rsidRPr="00DE3132">
        <w:rPr>
          <w:lang w:val="fr-FR"/>
        </w:rPr>
        <w:t>ième session</w:t>
      </w:r>
      <w:r w:rsidRPr="00DE3132">
        <w:rPr>
          <w:lang w:val="fr-FR"/>
        </w:rPr>
        <w:t>, le comité a revu son programme de travail, qui comprend 20 tâches actives, et examiné des propositions visant à réviser deux</w:t>
      </w:r>
      <w:r w:rsidR="003F469F" w:rsidRPr="00DE3132">
        <w:rPr>
          <w:lang w:val="fr-FR"/>
        </w:rPr>
        <w:t> </w:t>
      </w:r>
      <w:r w:rsidRPr="00DE3132">
        <w:rPr>
          <w:lang w:val="fr-FR"/>
        </w:rPr>
        <w:t>tâch</w:t>
      </w:r>
      <w:r w:rsidR="00DE3132" w:rsidRPr="00DE3132">
        <w:rPr>
          <w:lang w:val="fr-FR"/>
        </w:rPr>
        <w:t>es.  Il</w:t>
      </w:r>
      <w:r w:rsidRPr="00DE3132">
        <w:rPr>
          <w:lang w:val="fr-FR"/>
        </w:rPr>
        <w:t xml:space="preserve"> a également noté que des experts en la matière, provenant de 72 membres et de trois</w:t>
      </w:r>
      <w:r w:rsidR="003F469F" w:rsidRPr="00DE3132">
        <w:rPr>
          <w:lang w:val="fr-FR"/>
        </w:rPr>
        <w:t> </w:t>
      </w:r>
      <w:r w:rsidRPr="00DE3132">
        <w:rPr>
          <w:lang w:val="fr-FR"/>
        </w:rPr>
        <w:t>observateurs</w:t>
      </w:r>
      <w:r w:rsidR="005902DD" w:rsidRPr="00DE3132">
        <w:rPr>
          <w:lang w:val="fr-FR"/>
        </w:rPr>
        <w:t xml:space="preserve"> du CWS</w:t>
      </w:r>
      <w:r w:rsidRPr="00DE3132">
        <w:rPr>
          <w:lang w:val="fr-FR"/>
        </w:rPr>
        <w:t>, participaient à ses équipes d</w:t>
      </w:r>
      <w:r w:rsidR="005902DD" w:rsidRPr="00DE3132">
        <w:rPr>
          <w:lang w:val="fr-FR"/>
        </w:rPr>
        <w:t>’</w:t>
      </w:r>
      <w:r w:rsidRPr="00DE3132">
        <w:rPr>
          <w:lang w:val="fr-FR"/>
        </w:rPr>
        <w:t>experts.</w:t>
      </w:r>
    </w:p>
    <w:p w14:paraId="149629D0" w14:textId="557605D1" w:rsidR="00D97730" w:rsidRPr="00DE3132" w:rsidRDefault="00D97730" w:rsidP="00347C75">
      <w:pPr>
        <w:pStyle w:val="ONUMFS"/>
        <w:rPr>
          <w:lang w:val="fr-FR"/>
        </w:rPr>
      </w:pPr>
      <w:r w:rsidRPr="00DE3132">
        <w:rPr>
          <w:lang w:val="fr-FR"/>
        </w:rPr>
        <w:t>Le comité a approuvé la suppression de la tâche n° 52 et la dissolution de l</w:t>
      </w:r>
      <w:r w:rsidR="005902DD" w:rsidRPr="00DE3132">
        <w:rPr>
          <w:lang w:val="fr-FR"/>
        </w:rPr>
        <w:t>’</w:t>
      </w:r>
      <w:r w:rsidRPr="00DE3132">
        <w:rPr>
          <w:lang w:val="fr-FR"/>
        </w:rPr>
        <w:t>Équipe d</w:t>
      </w:r>
      <w:r w:rsidR="005902DD" w:rsidRPr="00DE3132">
        <w:rPr>
          <w:lang w:val="fr-FR"/>
        </w:rPr>
        <w:t>’</w:t>
      </w:r>
      <w:r w:rsidRPr="00DE3132">
        <w:rPr>
          <w:lang w:val="fr-FR"/>
        </w:rPr>
        <w:t>experts chargée de l</w:t>
      </w:r>
      <w:r w:rsidR="005902DD" w:rsidRPr="00DE3132">
        <w:rPr>
          <w:lang w:val="fr-FR"/>
        </w:rPr>
        <w:t>’</w:t>
      </w:r>
      <w:r w:rsidRPr="00DE3132">
        <w:rPr>
          <w:lang w:val="fr-FR"/>
        </w:rPr>
        <w:t>accès public à l</w:t>
      </w:r>
      <w:r w:rsidR="005902DD" w:rsidRPr="00DE3132">
        <w:rPr>
          <w:lang w:val="fr-FR"/>
        </w:rPr>
        <w:t>’</w:t>
      </w:r>
      <w:r w:rsidRPr="00DE3132">
        <w:rPr>
          <w:lang w:val="fr-FR"/>
        </w:rPr>
        <w:t>information en matière de brevets, puisque le travail qui lui avait été confié était termi</w:t>
      </w:r>
      <w:r w:rsidR="00DE3132" w:rsidRPr="00DE3132">
        <w:rPr>
          <w:lang w:val="fr-FR"/>
        </w:rPr>
        <w:t>né.  En</w:t>
      </w:r>
      <w:r w:rsidRPr="00DE3132">
        <w:rPr>
          <w:lang w:val="fr-FR"/>
        </w:rPr>
        <w:t>fin, le comité a accepté qu</w:t>
      </w:r>
      <w:r w:rsidR="005902DD" w:rsidRPr="00DE3132">
        <w:rPr>
          <w:lang w:val="fr-FR"/>
        </w:rPr>
        <w:t>’</w:t>
      </w:r>
      <w:r w:rsidRPr="00DE3132">
        <w:rPr>
          <w:lang w:val="fr-FR"/>
        </w:rPr>
        <w:t>un total de 22 tâches, dont deux</w:t>
      </w:r>
      <w:r w:rsidR="003F469F" w:rsidRPr="00DE3132">
        <w:rPr>
          <w:lang w:val="fr-FR"/>
        </w:rPr>
        <w:t> </w:t>
      </w:r>
      <w:r w:rsidRPr="00DE3132">
        <w:rPr>
          <w:lang w:val="fr-FR"/>
        </w:rPr>
        <w:t>sont en suspens, restent inscrites à son programme de travail.</w:t>
      </w:r>
    </w:p>
    <w:p w14:paraId="5FCEDC2A" w14:textId="1F492942" w:rsidR="00D97730" w:rsidRPr="00DE3132" w:rsidRDefault="00D97730" w:rsidP="00347C75">
      <w:pPr>
        <w:pStyle w:val="ONUMFS"/>
        <w:rPr>
          <w:lang w:val="fr-FR"/>
        </w:rPr>
      </w:pPr>
      <w:r w:rsidRPr="00DE3132">
        <w:rPr>
          <w:lang w:val="fr-FR"/>
        </w:rPr>
        <w:t>Le CWS a encouragé les offices de propriété intellectuelle à prendre part aux équipes d</w:t>
      </w:r>
      <w:r w:rsidR="005902DD" w:rsidRPr="00DE3132">
        <w:rPr>
          <w:lang w:val="fr-FR"/>
        </w:rPr>
        <w:t>’</w:t>
      </w:r>
      <w:r w:rsidRPr="00DE3132">
        <w:rPr>
          <w:lang w:val="fr-FR"/>
        </w:rPr>
        <w:t>experts</w:t>
      </w:r>
      <w:r w:rsidR="005902DD" w:rsidRPr="00DE3132">
        <w:rPr>
          <w:lang w:val="fr-FR"/>
        </w:rPr>
        <w:t xml:space="preserve"> du CWS</w:t>
      </w:r>
      <w:r w:rsidRPr="00DE3132">
        <w:rPr>
          <w:lang w:val="fr-FR"/>
        </w:rPr>
        <w:t xml:space="preserve"> et a demandé au Secrétariat de diffuser une circulaire</w:t>
      </w:r>
      <w:r w:rsidR="005902DD" w:rsidRPr="00DE3132">
        <w:rPr>
          <w:lang w:val="fr-FR"/>
        </w:rPr>
        <w:t xml:space="preserve"> du CWS</w:t>
      </w:r>
      <w:r w:rsidRPr="00DE3132">
        <w:rPr>
          <w:lang w:val="fr-FR"/>
        </w:rPr>
        <w:t xml:space="preserve"> invitant les offices de propriété intellectuelle à désigner leurs experts au sein de ces équipes.</w:t>
      </w:r>
    </w:p>
    <w:p w14:paraId="1DE11BAA" w14:textId="5B0D98F2" w:rsidR="00D97730" w:rsidRPr="00DE3132" w:rsidRDefault="00D97730" w:rsidP="00347C75">
      <w:pPr>
        <w:pStyle w:val="ONUMFS"/>
        <w:rPr>
          <w:lang w:val="fr-FR"/>
        </w:rPr>
      </w:pPr>
      <w:r w:rsidRPr="00DE3132">
        <w:rPr>
          <w:lang w:val="fr-FR"/>
        </w:rPr>
        <w:t>Le comité a reçu des rapports sur l</w:t>
      </w:r>
      <w:r w:rsidR="005902DD" w:rsidRPr="00DE3132">
        <w:rPr>
          <w:lang w:val="fr-FR"/>
        </w:rPr>
        <w:t>’</w:t>
      </w:r>
      <w:r w:rsidRPr="00DE3132">
        <w:rPr>
          <w:lang w:val="fr-FR"/>
        </w:rPr>
        <w:t>état d</w:t>
      </w:r>
      <w:r w:rsidR="005902DD" w:rsidRPr="00DE3132">
        <w:rPr>
          <w:lang w:val="fr-FR"/>
        </w:rPr>
        <w:t>’</w:t>
      </w:r>
      <w:r w:rsidRPr="00DE3132">
        <w:rPr>
          <w:lang w:val="fr-FR"/>
        </w:rPr>
        <w:t>avancement de ses tâches de la part du Bureau international et des 13 équipes d</w:t>
      </w:r>
      <w:r w:rsidR="005902DD" w:rsidRPr="00DE3132">
        <w:rPr>
          <w:lang w:val="fr-FR"/>
        </w:rPr>
        <w:t>’</w:t>
      </w:r>
      <w:r w:rsidRPr="00DE3132">
        <w:rPr>
          <w:lang w:val="fr-FR"/>
        </w:rPr>
        <w:t>experts suivantes</w:t>
      </w:r>
      <w:r w:rsidR="005902DD" w:rsidRPr="00DE3132">
        <w:rPr>
          <w:lang w:val="fr-FR"/>
        </w:rPr>
        <w:t> :</w:t>
      </w:r>
      <w:r w:rsidRPr="00DE3132">
        <w:rPr>
          <w:lang w:val="fr-FR"/>
        </w:rPr>
        <w:t xml:space="preserve"> 3D, interfaces de programmation (API), fichier d</w:t>
      </w:r>
      <w:r w:rsidR="005902DD" w:rsidRPr="00DE3132">
        <w:rPr>
          <w:lang w:val="fr-FR"/>
        </w:rPr>
        <w:t>’</w:t>
      </w:r>
      <w:r w:rsidRPr="00DE3132">
        <w:rPr>
          <w:lang w:val="fr-FR"/>
        </w:rPr>
        <w:t>autorité, chaîne de blocs, transformation numérique, représentation des dessins et modèles, normes relatives aux technologies de l</w:t>
      </w:r>
      <w:r w:rsidR="005902DD" w:rsidRPr="00DE3132">
        <w:rPr>
          <w:lang w:val="fr-FR"/>
        </w:rPr>
        <w:t>’</w:t>
      </w:r>
      <w:r w:rsidRPr="00DE3132">
        <w:rPr>
          <w:lang w:val="fr-FR"/>
        </w:rPr>
        <w:t>information et de la communication, échange de données sur la propriété intellectuelle, situation juridique, normalisation des noms, partie 7, accès public à l</w:t>
      </w:r>
      <w:r w:rsidR="005902DD" w:rsidRPr="00DE3132">
        <w:rPr>
          <w:lang w:val="fr-FR"/>
        </w:rPr>
        <w:t>’</w:t>
      </w:r>
      <w:r w:rsidRPr="00DE3132">
        <w:rPr>
          <w:lang w:val="fr-FR"/>
        </w:rPr>
        <w:t>information en matière de brevets, norme relative aux listages des séquences et</w:t>
      </w:r>
      <w:r w:rsidR="00347C75">
        <w:rPr>
          <w:lang w:val="fr-FR"/>
        </w:rPr>
        <w:t> </w:t>
      </w:r>
      <w:r w:rsidRPr="00DE3132">
        <w:rPr>
          <w:lang w:val="fr-FR"/>
        </w:rPr>
        <w:t>XML4IP.</w:t>
      </w:r>
    </w:p>
    <w:p w14:paraId="5FEF0B84" w14:textId="1F859B01" w:rsidR="00D97730" w:rsidRPr="00DE3132" w:rsidRDefault="00D97730" w:rsidP="00347C75">
      <w:pPr>
        <w:pStyle w:val="Heading2"/>
        <w:rPr>
          <w:lang w:val="fr-FR"/>
        </w:rPr>
      </w:pPr>
      <w:r w:rsidRPr="00DE3132">
        <w:rPr>
          <w:lang w:val="fr-FR"/>
        </w:rPr>
        <w:t>Élaboration de normes de l</w:t>
      </w:r>
      <w:r w:rsidR="005902DD" w:rsidRPr="00DE3132">
        <w:rPr>
          <w:lang w:val="fr-FR"/>
        </w:rPr>
        <w:t>’</w:t>
      </w:r>
      <w:r w:rsidRPr="00DE3132">
        <w:rPr>
          <w:lang w:val="fr-FR"/>
        </w:rPr>
        <w:t>OMPI</w:t>
      </w:r>
    </w:p>
    <w:p w14:paraId="7099C115" w14:textId="0A674683" w:rsidR="00D97730" w:rsidRPr="00DE3132" w:rsidRDefault="00D97730" w:rsidP="00347C75">
      <w:pPr>
        <w:pStyle w:val="ONUMFS"/>
        <w:rPr>
          <w:lang w:val="fr-FR"/>
        </w:rPr>
      </w:pPr>
      <w:r w:rsidRPr="00DE3132">
        <w:rPr>
          <w:lang w:val="fr-FR"/>
        </w:rPr>
        <w:t>Le comité a examiné sans l</w:t>
      </w:r>
      <w:r w:rsidR="005902DD" w:rsidRPr="00DE3132">
        <w:rPr>
          <w:lang w:val="fr-FR"/>
        </w:rPr>
        <w:t>’</w:t>
      </w:r>
      <w:r w:rsidRPr="00DE3132">
        <w:rPr>
          <w:lang w:val="fr-FR"/>
        </w:rPr>
        <w:t>adopter la proposition concernant une nouvelle norme de l</w:t>
      </w:r>
      <w:r w:rsidR="005902DD" w:rsidRPr="00DE3132">
        <w:rPr>
          <w:lang w:val="fr-FR"/>
        </w:rPr>
        <w:t>’</w:t>
      </w:r>
      <w:r w:rsidRPr="00DE3132">
        <w:rPr>
          <w:lang w:val="fr-FR"/>
        </w:rPr>
        <w:t>OMPI relative aux recommandations sur le nettoyage des données des noms (norme ST.93 de l</w:t>
      </w:r>
      <w:r w:rsidR="005902DD" w:rsidRPr="00DE3132">
        <w:rPr>
          <w:lang w:val="fr-FR"/>
        </w:rPr>
        <w:t>’</w:t>
      </w:r>
      <w:r w:rsidRPr="00DE3132">
        <w:rPr>
          <w:lang w:val="fr-FR"/>
        </w:rPr>
        <w:t>OMPI), faute de consens</w:t>
      </w:r>
      <w:r w:rsidR="00DE3132" w:rsidRPr="00DE3132">
        <w:rPr>
          <w:lang w:val="fr-FR"/>
        </w:rPr>
        <w:t>us.  Le</w:t>
      </w:r>
      <w:r w:rsidR="005902DD" w:rsidRPr="00DE3132">
        <w:rPr>
          <w:lang w:val="fr-FR"/>
        </w:rPr>
        <w:t> CWS</w:t>
      </w:r>
      <w:r w:rsidRPr="00DE3132">
        <w:rPr>
          <w:lang w:val="fr-FR"/>
        </w:rPr>
        <w:t xml:space="preserve"> a demandé à l</w:t>
      </w:r>
      <w:r w:rsidR="005902DD" w:rsidRPr="00DE3132">
        <w:rPr>
          <w:lang w:val="fr-FR"/>
        </w:rPr>
        <w:t>’</w:t>
      </w:r>
      <w:r w:rsidRPr="00DE3132">
        <w:rPr>
          <w:lang w:val="fr-FR"/>
        </w:rPr>
        <w:t>Équipe d</w:t>
      </w:r>
      <w:r w:rsidR="005902DD" w:rsidRPr="00DE3132">
        <w:rPr>
          <w:lang w:val="fr-FR"/>
        </w:rPr>
        <w:t>’</w:t>
      </w:r>
      <w:r w:rsidRPr="00DE3132">
        <w:rPr>
          <w:lang w:val="fr-FR"/>
        </w:rPr>
        <w:t>experts chargée de la normalisation des noms de réexaminer le projet de norme ST.93 de l</w:t>
      </w:r>
      <w:r w:rsidR="005902DD" w:rsidRPr="00DE3132">
        <w:rPr>
          <w:lang w:val="fr-FR"/>
        </w:rPr>
        <w:t>’</w:t>
      </w:r>
      <w:r w:rsidRPr="00DE3132">
        <w:rPr>
          <w:lang w:val="fr-FR"/>
        </w:rPr>
        <w:t>OMPI et de présenter une proposition révisée à sa prochaine session.</w:t>
      </w:r>
    </w:p>
    <w:p w14:paraId="559145AD" w14:textId="5CCAE745" w:rsidR="00D97730" w:rsidRPr="00DE3132" w:rsidRDefault="00D97730" w:rsidP="00347C75">
      <w:pPr>
        <w:pStyle w:val="ONUMFS"/>
        <w:rPr>
          <w:lang w:val="fr-FR"/>
        </w:rPr>
      </w:pPr>
      <w:bookmarkStart w:id="4" w:name="_Hlk191554127"/>
      <w:r w:rsidRPr="00DE3132">
        <w:rPr>
          <w:lang w:val="fr-FR"/>
        </w:rPr>
        <w:t>Le comité a approuvé les révisions des normes ST.26, ST.37, ST.60, ST.90 et ST.92 de l</w:t>
      </w:r>
      <w:r w:rsidR="005902DD" w:rsidRPr="00DE3132">
        <w:rPr>
          <w:lang w:val="fr-FR"/>
        </w:rPr>
        <w:t>’</w:t>
      </w:r>
      <w:r w:rsidRPr="00DE3132">
        <w:rPr>
          <w:lang w:val="fr-FR"/>
        </w:rPr>
        <w:t>O</w:t>
      </w:r>
      <w:r w:rsidR="00DE3132" w:rsidRPr="00DE3132">
        <w:rPr>
          <w:lang w:val="fr-FR"/>
        </w:rPr>
        <w:t>MPI.  Le</w:t>
      </w:r>
      <w:r w:rsidR="005902DD" w:rsidRPr="00DE3132">
        <w:rPr>
          <w:lang w:val="fr-FR"/>
        </w:rPr>
        <w:t> CWS</w:t>
      </w:r>
      <w:r w:rsidRPr="00DE3132">
        <w:rPr>
          <w:lang w:val="fr-FR"/>
        </w:rPr>
        <w:t xml:space="preserve"> a également approuvé l</w:t>
      </w:r>
      <w:r w:rsidR="005902DD" w:rsidRPr="00DE3132">
        <w:rPr>
          <w:lang w:val="fr-FR"/>
        </w:rPr>
        <w:t>’</w:t>
      </w:r>
      <w:r w:rsidRPr="00DE3132">
        <w:rPr>
          <w:lang w:val="fr-FR"/>
        </w:rPr>
        <w:t>entrée en vigueur de la version 2.0 de la norme ST.26 de l</w:t>
      </w:r>
      <w:r w:rsidR="005902DD" w:rsidRPr="00DE3132">
        <w:rPr>
          <w:lang w:val="fr-FR"/>
        </w:rPr>
        <w:t>’</w:t>
      </w:r>
      <w:r w:rsidRPr="00DE3132">
        <w:rPr>
          <w:lang w:val="fr-FR"/>
        </w:rPr>
        <w:t>OMPI, fixée au</w:t>
      </w:r>
      <w:r w:rsidR="005902DD" w:rsidRPr="00DE3132">
        <w:rPr>
          <w:lang w:val="fr-FR"/>
        </w:rPr>
        <w:t xml:space="preserve"> 1</w:t>
      </w:r>
      <w:r w:rsidR="005902DD" w:rsidRPr="00DE3132">
        <w:rPr>
          <w:vertAlign w:val="superscript"/>
          <w:lang w:val="fr-FR"/>
        </w:rPr>
        <w:t>er</w:t>
      </w:r>
      <w:r w:rsidR="005902DD" w:rsidRPr="00DE3132">
        <w:rPr>
          <w:lang w:val="fr-FR"/>
        </w:rPr>
        <w:t> juillet 20</w:t>
      </w:r>
      <w:r w:rsidRPr="00DE3132">
        <w:rPr>
          <w:lang w:val="fr-FR"/>
        </w:rPr>
        <w:t>27.  De plus amples informations concernant la version 2.0 de la norme ST.26 de l</w:t>
      </w:r>
      <w:r w:rsidR="005902DD" w:rsidRPr="00DE3132">
        <w:rPr>
          <w:lang w:val="fr-FR"/>
        </w:rPr>
        <w:t>’</w:t>
      </w:r>
      <w:r w:rsidRPr="00DE3132">
        <w:rPr>
          <w:lang w:val="fr-FR"/>
        </w:rPr>
        <w:t>OMPI figurent à l</w:t>
      </w:r>
      <w:r w:rsidR="005902DD" w:rsidRPr="00DE3132">
        <w:rPr>
          <w:lang w:val="fr-FR"/>
        </w:rPr>
        <w:t>’annexe I</w:t>
      </w:r>
      <w:r w:rsidRPr="00DE3132">
        <w:rPr>
          <w:lang w:val="fr-FR"/>
        </w:rPr>
        <w:t xml:space="preserve"> du présent docume</w:t>
      </w:r>
      <w:r w:rsidR="00DE3132" w:rsidRPr="00DE3132">
        <w:rPr>
          <w:lang w:val="fr-FR"/>
        </w:rPr>
        <w:t>nt.  En</w:t>
      </w:r>
      <w:r w:rsidRPr="00DE3132">
        <w:rPr>
          <w:lang w:val="fr-FR"/>
        </w:rPr>
        <w:t xml:space="preserve"> outre,</w:t>
      </w:r>
      <w:r w:rsidR="005902DD" w:rsidRPr="00DE3132">
        <w:rPr>
          <w:lang w:val="fr-FR"/>
        </w:rPr>
        <w:t xml:space="preserve"> le CWS</w:t>
      </w:r>
      <w:r w:rsidRPr="00DE3132">
        <w:rPr>
          <w:lang w:val="fr-FR"/>
        </w:rPr>
        <w:t xml:space="preserve"> a fixé la date du 30 </w:t>
      </w:r>
      <w:r w:rsidR="005902DD" w:rsidRPr="00DE3132">
        <w:rPr>
          <w:lang w:val="fr-FR"/>
        </w:rPr>
        <w:t>juin 20</w:t>
      </w:r>
      <w:r w:rsidRPr="00DE3132">
        <w:rPr>
          <w:lang w:val="fr-FR"/>
        </w:rPr>
        <w:t>28 comme date butoir pour la transition vers l</w:t>
      </w:r>
      <w:r w:rsidR="005902DD" w:rsidRPr="00DE3132">
        <w:rPr>
          <w:lang w:val="fr-FR"/>
        </w:rPr>
        <w:t>’</w:t>
      </w:r>
      <w:r w:rsidRPr="00DE3132">
        <w:rPr>
          <w:lang w:val="fr-FR"/>
        </w:rPr>
        <w:t>échange électronique des documents de priorité concernant les brevets, les marques et les dessins et modèles industriels au format conforme à la norme ST.92 de l</w:t>
      </w:r>
      <w:r w:rsidR="005902DD" w:rsidRPr="00DE3132">
        <w:rPr>
          <w:lang w:val="fr-FR"/>
        </w:rPr>
        <w:t>’</w:t>
      </w:r>
      <w:r w:rsidRPr="00DE3132">
        <w:rPr>
          <w:lang w:val="fr-FR"/>
        </w:rPr>
        <w:t>O</w:t>
      </w:r>
      <w:r w:rsidR="00DE3132" w:rsidRPr="00DE3132">
        <w:rPr>
          <w:lang w:val="fr-FR"/>
        </w:rPr>
        <w:t>MPI.  Le</w:t>
      </w:r>
      <w:r w:rsidRPr="00DE3132">
        <w:rPr>
          <w:lang w:val="fr-FR"/>
        </w:rPr>
        <w:t xml:space="preserve"> comité a également noté que les normes ST.3 et ST.96 de l</w:t>
      </w:r>
      <w:r w:rsidR="005902DD" w:rsidRPr="00DE3132">
        <w:rPr>
          <w:lang w:val="fr-FR"/>
        </w:rPr>
        <w:t>’</w:t>
      </w:r>
      <w:r w:rsidRPr="00DE3132">
        <w:rPr>
          <w:lang w:val="fr-FR"/>
        </w:rPr>
        <w:t>OMPI avaient été révisé</w:t>
      </w:r>
      <w:r w:rsidR="00DE3132" w:rsidRPr="00DE3132">
        <w:rPr>
          <w:lang w:val="fr-FR"/>
        </w:rPr>
        <w:t>es.  To</w:t>
      </w:r>
      <w:r w:rsidRPr="00DE3132">
        <w:rPr>
          <w:lang w:val="fr-FR"/>
        </w:rPr>
        <w:t>utes les révisions approuvées sont publiées sur le site</w:t>
      </w:r>
      <w:r w:rsidR="003F469F" w:rsidRPr="00DE3132">
        <w:rPr>
          <w:lang w:val="fr-FR"/>
        </w:rPr>
        <w:t> </w:t>
      </w:r>
      <w:r w:rsidRPr="00DE3132">
        <w:rPr>
          <w:lang w:val="fr-FR"/>
        </w:rPr>
        <w:t>Web de l</w:t>
      </w:r>
      <w:r w:rsidR="005902DD" w:rsidRPr="00DE3132">
        <w:rPr>
          <w:lang w:val="fr-FR"/>
        </w:rPr>
        <w:t>’</w:t>
      </w:r>
      <w:r w:rsidRPr="00DE3132">
        <w:rPr>
          <w:lang w:val="fr-FR"/>
        </w:rPr>
        <w:t xml:space="preserve">OMPI sous la </w:t>
      </w:r>
      <w:hyperlink r:id="rId15" w:history="1">
        <w:r w:rsidRPr="00DE3132">
          <w:rPr>
            <w:rStyle w:val="Hyperlink"/>
            <w:lang w:val="fr-FR"/>
          </w:rPr>
          <w:t>Partie 3 du Manuel de l</w:t>
        </w:r>
        <w:r w:rsidR="005902DD" w:rsidRPr="00DE3132">
          <w:rPr>
            <w:rStyle w:val="Hyperlink"/>
            <w:lang w:val="fr-FR"/>
          </w:rPr>
          <w:t>’</w:t>
        </w:r>
        <w:r w:rsidRPr="00DE3132">
          <w:rPr>
            <w:rStyle w:val="Hyperlink"/>
            <w:lang w:val="fr-FR"/>
          </w:rPr>
          <w:t>OMPI sur l</w:t>
        </w:r>
        <w:r w:rsidR="005902DD" w:rsidRPr="00DE3132">
          <w:rPr>
            <w:rStyle w:val="Hyperlink"/>
            <w:lang w:val="fr-FR"/>
          </w:rPr>
          <w:t>’</w:t>
        </w:r>
        <w:r w:rsidRPr="00DE3132">
          <w:rPr>
            <w:rStyle w:val="Hyperlink"/>
            <w:lang w:val="fr-FR"/>
          </w:rPr>
          <w:t>information et la documentation en matière de propriété intellectuelle</w:t>
        </w:r>
      </w:hyperlink>
      <w:r w:rsidRPr="00DE3132">
        <w:rPr>
          <w:lang w:val="fr-FR"/>
        </w:rPr>
        <w:t>.</w:t>
      </w:r>
    </w:p>
    <w:p w14:paraId="412AF236" w14:textId="34EB7B43" w:rsidR="00D97730" w:rsidRPr="00DE3132" w:rsidRDefault="00D97730" w:rsidP="00347C75">
      <w:pPr>
        <w:pStyle w:val="ONUMFS"/>
        <w:rPr>
          <w:lang w:val="fr-FR"/>
        </w:rPr>
      </w:pPr>
      <w:r w:rsidRPr="00DE3132">
        <w:rPr>
          <w:lang w:val="fr-FR"/>
        </w:rPr>
        <w:t xml:space="preserve">Le comité a approuvé le nouveau format numérique et la note éditoriale proposée pour la </w:t>
      </w:r>
      <w:hyperlink r:id="rId16" w:history="1">
        <w:r w:rsidRPr="00DE3132">
          <w:rPr>
            <w:rStyle w:val="Hyperlink"/>
            <w:lang w:val="fr-FR"/>
          </w:rPr>
          <w:t>Partie 4.1 du Manuel de l</w:t>
        </w:r>
        <w:r w:rsidR="005902DD" w:rsidRPr="00DE3132">
          <w:rPr>
            <w:rStyle w:val="Hyperlink"/>
            <w:lang w:val="fr-FR"/>
          </w:rPr>
          <w:t>’</w:t>
        </w:r>
        <w:r w:rsidRPr="00DE3132">
          <w:rPr>
            <w:rStyle w:val="Hyperlink"/>
            <w:lang w:val="fr-FR"/>
          </w:rPr>
          <w:t>OMPI</w:t>
        </w:r>
      </w:hyperlink>
      <w:r w:rsidR="005902DD" w:rsidRPr="00DE3132">
        <w:rPr>
          <w:lang w:val="fr-FR"/>
        </w:rPr>
        <w:t> :</w:t>
      </w:r>
      <w:r w:rsidR="003F469F" w:rsidRPr="00DE3132">
        <w:rPr>
          <w:lang w:val="fr-FR"/>
        </w:rPr>
        <w:t xml:space="preserve"> </w:t>
      </w:r>
      <w:r w:rsidRPr="00DE3132">
        <w:rPr>
          <w:lang w:val="fr-FR"/>
        </w:rPr>
        <w:t>Inventaire des de brevet et des documents relatifs à des modèles d</w:t>
      </w:r>
      <w:r w:rsidR="005902DD" w:rsidRPr="00DE3132">
        <w:rPr>
          <w:lang w:val="fr-FR"/>
        </w:rPr>
        <w:t>’</w:t>
      </w:r>
      <w:r w:rsidRPr="00DE3132">
        <w:rPr>
          <w:lang w:val="fr-FR"/>
        </w:rPr>
        <w:t xml:space="preserve">utilité selon la règle 34.1 du Traité de coopération en matière de brevets (PCT), ainsi que la révision de la </w:t>
      </w:r>
      <w:hyperlink r:id="rId17" w:history="1">
        <w:r w:rsidRPr="00DE3132">
          <w:rPr>
            <w:rStyle w:val="Hyperlink"/>
            <w:lang w:val="fr-FR"/>
          </w:rPr>
          <w:t>Partie 6.1 du Manuel de l</w:t>
        </w:r>
        <w:r w:rsidR="005902DD" w:rsidRPr="00DE3132">
          <w:rPr>
            <w:rStyle w:val="Hyperlink"/>
            <w:lang w:val="fr-FR"/>
          </w:rPr>
          <w:t>’</w:t>
        </w:r>
        <w:r w:rsidRPr="00DE3132">
          <w:rPr>
            <w:rStyle w:val="Hyperlink"/>
            <w:lang w:val="fr-FR"/>
          </w:rPr>
          <w:t>OMPI</w:t>
        </w:r>
      </w:hyperlink>
      <w:r w:rsidR="005902DD" w:rsidRPr="00DE3132">
        <w:rPr>
          <w:lang w:val="fr-FR"/>
        </w:rPr>
        <w:t> :</w:t>
      </w:r>
      <w:r w:rsidRPr="00DE3132">
        <w:rPr>
          <w:lang w:val="fr-FR"/>
        </w:rPr>
        <w:t xml:space="preserve"> Contenu minimum recommandé pour les sites</w:t>
      </w:r>
      <w:r w:rsidR="003F469F" w:rsidRPr="00DE3132">
        <w:rPr>
          <w:lang w:val="fr-FR"/>
        </w:rPr>
        <w:t> </w:t>
      </w:r>
      <w:r w:rsidRPr="00DE3132">
        <w:rPr>
          <w:lang w:val="fr-FR"/>
        </w:rPr>
        <w:t>Web des offices de propriété intellectuelle.</w:t>
      </w:r>
    </w:p>
    <w:p w14:paraId="279ADED4" w14:textId="2BACCAB0" w:rsidR="00D97730" w:rsidRPr="00DE3132" w:rsidRDefault="00D97730" w:rsidP="00347C75">
      <w:pPr>
        <w:pStyle w:val="ONUMFS"/>
        <w:rPr>
          <w:lang w:val="fr-FR"/>
        </w:rPr>
      </w:pPr>
      <w:r w:rsidRPr="00DE3132">
        <w:rPr>
          <w:lang w:val="fr-FR"/>
        </w:rPr>
        <w:t>Le CWS a examiné le projet de document de travail concernant une nouvelle annexe de la norme ST.91 de l</w:t>
      </w:r>
      <w:r w:rsidR="005902DD" w:rsidRPr="00DE3132">
        <w:rPr>
          <w:lang w:val="fr-FR"/>
        </w:rPr>
        <w:t>’</w:t>
      </w:r>
      <w:r w:rsidRPr="00DE3132">
        <w:rPr>
          <w:lang w:val="fr-FR"/>
        </w:rPr>
        <w:t>OMPI, sur la recherche de modèles 3D, présenté par l</w:t>
      </w:r>
      <w:r w:rsidR="005902DD" w:rsidRPr="00DE3132">
        <w:rPr>
          <w:lang w:val="fr-FR"/>
        </w:rPr>
        <w:t>’</w:t>
      </w:r>
      <w:r w:rsidRPr="00DE3132">
        <w:rPr>
          <w:lang w:val="fr-FR"/>
        </w:rPr>
        <w:t>Équipe d</w:t>
      </w:r>
      <w:r w:rsidR="005902DD" w:rsidRPr="00DE3132">
        <w:rPr>
          <w:lang w:val="fr-FR"/>
        </w:rPr>
        <w:t>’</w:t>
      </w:r>
      <w:r w:rsidRPr="00DE3132">
        <w:rPr>
          <w:lang w:val="fr-FR"/>
        </w:rPr>
        <w:t>experts 3D, ainsi que le projet de document de travail intitulé “Recommandations concernant l</w:t>
      </w:r>
      <w:r w:rsidR="005902DD" w:rsidRPr="00DE3132">
        <w:rPr>
          <w:lang w:val="fr-FR"/>
        </w:rPr>
        <w:t>’</w:t>
      </w:r>
      <w:r w:rsidRPr="00DE3132">
        <w:rPr>
          <w:lang w:val="fr-FR"/>
        </w:rPr>
        <w:t>échange de données de propriété intellectuelle et leur utilisation”, présenté par l</w:t>
      </w:r>
      <w:r w:rsidR="005902DD" w:rsidRPr="00DE3132">
        <w:rPr>
          <w:lang w:val="fr-FR"/>
        </w:rPr>
        <w:t>’</w:t>
      </w:r>
      <w:r w:rsidRPr="00DE3132">
        <w:rPr>
          <w:lang w:val="fr-FR"/>
        </w:rPr>
        <w:t>Équipe d</w:t>
      </w:r>
      <w:r w:rsidR="005902DD" w:rsidRPr="00DE3132">
        <w:rPr>
          <w:lang w:val="fr-FR"/>
        </w:rPr>
        <w:t>’</w:t>
      </w:r>
      <w:r w:rsidRPr="00DE3132">
        <w:rPr>
          <w:lang w:val="fr-FR"/>
        </w:rPr>
        <w:t>experts chargée de l</w:t>
      </w:r>
      <w:r w:rsidR="005902DD" w:rsidRPr="00DE3132">
        <w:rPr>
          <w:lang w:val="fr-FR"/>
        </w:rPr>
        <w:t>’</w:t>
      </w:r>
      <w:r w:rsidRPr="00DE3132">
        <w:rPr>
          <w:lang w:val="fr-FR"/>
        </w:rPr>
        <w:t>échange de données sur la propriété intellectuel</w:t>
      </w:r>
      <w:r w:rsidR="00DE3132" w:rsidRPr="00DE3132">
        <w:rPr>
          <w:lang w:val="fr-FR"/>
        </w:rPr>
        <w:t>le.  Le</w:t>
      </w:r>
      <w:r w:rsidR="005902DD" w:rsidRPr="00DE3132">
        <w:rPr>
          <w:lang w:val="fr-FR"/>
        </w:rPr>
        <w:t> CWS</w:t>
      </w:r>
      <w:r w:rsidRPr="00DE3132">
        <w:rPr>
          <w:lang w:val="fr-FR"/>
        </w:rPr>
        <w:t xml:space="preserve"> a noté que les deux</w:t>
      </w:r>
      <w:r w:rsidR="003F469F" w:rsidRPr="00DE3132">
        <w:rPr>
          <w:lang w:val="fr-FR"/>
        </w:rPr>
        <w:t> </w:t>
      </w:r>
      <w:r w:rsidRPr="00DE3132">
        <w:rPr>
          <w:lang w:val="fr-FR"/>
        </w:rPr>
        <w:t>équipes d</w:t>
      </w:r>
      <w:r w:rsidR="005902DD" w:rsidRPr="00DE3132">
        <w:rPr>
          <w:lang w:val="fr-FR"/>
        </w:rPr>
        <w:t>’</w:t>
      </w:r>
      <w:r w:rsidRPr="00DE3132">
        <w:rPr>
          <w:lang w:val="fr-FR"/>
        </w:rPr>
        <w:t>experts continueraient respectivement d</w:t>
      </w:r>
      <w:r w:rsidR="005902DD" w:rsidRPr="00DE3132">
        <w:rPr>
          <w:lang w:val="fr-FR"/>
        </w:rPr>
        <w:t>’</w:t>
      </w:r>
      <w:r w:rsidRPr="00DE3132">
        <w:rPr>
          <w:lang w:val="fr-FR"/>
        </w:rPr>
        <w:t>améliorer les projets de documents de travail, et soumettraient un projet définitif à l</w:t>
      </w:r>
      <w:r w:rsidR="005902DD" w:rsidRPr="00DE3132">
        <w:rPr>
          <w:lang w:val="fr-FR"/>
        </w:rPr>
        <w:t>’</w:t>
      </w:r>
      <w:r w:rsidRPr="00DE3132">
        <w:rPr>
          <w:lang w:val="fr-FR"/>
        </w:rPr>
        <w:t>examen du comité lors d</w:t>
      </w:r>
      <w:r w:rsidR="005902DD" w:rsidRPr="00DE3132">
        <w:rPr>
          <w:lang w:val="fr-FR"/>
        </w:rPr>
        <w:t>’</w:t>
      </w:r>
      <w:r w:rsidRPr="00DE3132">
        <w:rPr>
          <w:lang w:val="fr-FR"/>
        </w:rPr>
        <w:t>une prochaine session.</w:t>
      </w:r>
    </w:p>
    <w:bookmarkEnd w:id="4"/>
    <w:p w14:paraId="7B63435A" w14:textId="5E3D0A4F" w:rsidR="00D97730" w:rsidRPr="00DE3132" w:rsidRDefault="00D97730" w:rsidP="00347C75">
      <w:pPr>
        <w:pStyle w:val="Heading2"/>
        <w:rPr>
          <w:lang w:val="fr-FR"/>
        </w:rPr>
      </w:pPr>
      <w:r w:rsidRPr="00DE3132">
        <w:rPr>
          <w:lang w:val="fr-FR"/>
        </w:rPr>
        <w:lastRenderedPageBreak/>
        <w:t>Mise en œuvre des normes de l</w:t>
      </w:r>
      <w:r w:rsidR="005902DD" w:rsidRPr="00DE3132">
        <w:rPr>
          <w:lang w:val="fr-FR"/>
        </w:rPr>
        <w:t>’</w:t>
      </w:r>
      <w:r w:rsidRPr="00DE3132">
        <w:rPr>
          <w:lang w:val="fr-FR"/>
        </w:rPr>
        <w:t>OMPI par les offices</w:t>
      </w:r>
    </w:p>
    <w:p w14:paraId="2A1BD9D2" w14:textId="49FA57C8" w:rsidR="00D97730" w:rsidRPr="00DE3132" w:rsidRDefault="00D97730" w:rsidP="00347C75">
      <w:pPr>
        <w:pStyle w:val="ONUMFS"/>
        <w:rPr>
          <w:lang w:val="fr-FR"/>
        </w:rPr>
      </w:pPr>
      <w:r w:rsidRPr="00DE3132">
        <w:rPr>
          <w:lang w:val="fr-FR"/>
        </w:rPr>
        <w:t>Les membres</w:t>
      </w:r>
      <w:r w:rsidR="005902DD" w:rsidRPr="00DE3132">
        <w:rPr>
          <w:lang w:val="fr-FR"/>
        </w:rPr>
        <w:t xml:space="preserve"> du CWS</w:t>
      </w:r>
      <w:r w:rsidRPr="00DE3132">
        <w:rPr>
          <w:lang w:val="fr-FR"/>
        </w:rPr>
        <w:t xml:space="preserve"> et les observateurs ont présenté leurs pratiques et leurs projets concernant la mise en œuvre des normes de l</w:t>
      </w:r>
      <w:r w:rsidR="005902DD" w:rsidRPr="00DE3132">
        <w:rPr>
          <w:lang w:val="fr-FR"/>
        </w:rPr>
        <w:t>’</w:t>
      </w:r>
      <w:r w:rsidRPr="00DE3132">
        <w:rPr>
          <w:lang w:val="fr-FR"/>
        </w:rPr>
        <w:t>OMPI, en particulier les normes ST.26, ST.37, ST.90 et ST.92.  Le comité a pris note des efforts de collaboration déployés par les offices de propriété intellectuelle pour mettre en œuvre les normes de l</w:t>
      </w:r>
      <w:r w:rsidR="005902DD" w:rsidRPr="00DE3132">
        <w:rPr>
          <w:lang w:val="fr-FR"/>
        </w:rPr>
        <w:t>’</w:t>
      </w:r>
      <w:r w:rsidRPr="00DE3132">
        <w:rPr>
          <w:lang w:val="fr-FR"/>
        </w:rPr>
        <w:t>OMPI et de l</w:t>
      </w:r>
      <w:r w:rsidR="005902DD" w:rsidRPr="00DE3132">
        <w:rPr>
          <w:lang w:val="fr-FR"/>
        </w:rPr>
        <w:t>’</w:t>
      </w:r>
      <w:r w:rsidRPr="00DE3132">
        <w:rPr>
          <w:lang w:val="fr-FR"/>
        </w:rPr>
        <w:t>appui fourni par le Bureau international en matière de formation et d</w:t>
      </w:r>
      <w:r w:rsidR="005902DD" w:rsidRPr="00DE3132">
        <w:rPr>
          <w:lang w:val="fr-FR"/>
        </w:rPr>
        <w:t>’</w:t>
      </w:r>
      <w:r w:rsidRPr="00DE3132">
        <w:rPr>
          <w:lang w:val="fr-FR"/>
        </w:rPr>
        <w:t xml:space="preserve">outils logiciels, notamment la suite logicielle WIPO </w:t>
      </w:r>
      <w:proofErr w:type="spellStart"/>
      <w:r w:rsidRPr="00DE3132">
        <w:rPr>
          <w:lang w:val="fr-FR"/>
        </w:rPr>
        <w:t>Sequence</w:t>
      </w:r>
      <w:proofErr w:type="spellEnd"/>
      <w:r w:rsidRPr="00DE3132">
        <w:rPr>
          <w:lang w:val="fr-FR"/>
        </w:rPr>
        <w:t xml:space="preserve"> et le catalogue</w:t>
      </w:r>
      <w:r w:rsidR="005902DD" w:rsidRPr="00DE3132">
        <w:rPr>
          <w:lang w:val="fr-FR"/>
        </w:rPr>
        <w:t xml:space="preserve"> des API</w:t>
      </w:r>
      <w:r w:rsidRPr="00DE3132">
        <w:rPr>
          <w:lang w:val="fr-FR"/>
        </w:rPr>
        <w:t xml:space="preserve"> en matière de propriété intellectuelle.</w:t>
      </w:r>
    </w:p>
    <w:p w14:paraId="0980062A" w14:textId="57303EBC" w:rsidR="00D97730" w:rsidRPr="00DE3132" w:rsidRDefault="00D97730" w:rsidP="00347C75">
      <w:pPr>
        <w:pStyle w:val="ONUMFS"/>
        <w:rPr>
          <w:lang w:val="fr-FR"/>
        </w:rPr>
      </w:pPr>
      <w:r w:rsidRPr="00DE3132">
        <w:rPr>
          <w:lang w:val="fr-FR"/>
        </w:rPr>
        <w:t>Le CWS a pris note du projet du Bureau international d</w:t>
      </w:r>
      <w:r w:rsidR="005902DD" w:rsidRPr="00DE3132">
        <w:rPr>
          <w:lang w:val="fr-FR"/>
        </w:rPr>
        <w:t>’</w:t>
      </w:r>
      <w:r w:rsidRPr="00DE3132">
        <w:rPr>
          <w:lang w:val="fr-FR"/>
        </w:rPr>
        <w:t>améliorer le Service d</w:t>
      </w:r>
      <w:r w:rsidR="005902DD" w:rsidRPr="00DE3132">
        <w:rPr>
          <w:lang w:val="fr-FR"/>
        </w:rPr>
        <w:t>’</w:t>
      </w:r>
      <w:r w:rsidRPr="00DE3132">
        <w:rPr>
          <w:lang w:val="fr-FR"/>
        </w:rPr>
        <w:t>accès numérique de l</w:t>
      </w:r>
      <w:r w:rsidR="005902DD" w:rsidRPr="00DE3132">
        <w:rPr>
          <w:lang w:val="fr-FR"/>
        </w:rPr>
        <w:t>’</w:t>
      </w:r>
      <w:r w:rsidRPr="00DE3132">
        <w:rPr>
          <w:lang w:val="fr-FR"/>
        </w:rPr>
        <w:t>OMPI (DAS) afin de prendre en charge les documents de priorité conformes à la norme ST.92 de l</w:t>
      </w:r>
      <w:r w:rsidR="005902DD" w:rsidRPr="00DE3132">
        <w:rPr>
          <w:lang w:val="fr-FR"/>
        </w:rPr>
        <w:t>’</w:t>
      </w:r>
      <w:r w:rsidRPr="00DE3132">
        <w:rPr>
          <w:lang w:val="fr-FR"/>
        </w:rPr>
        <w:t>O</w:t>
      </w:r>
      <w:r w:rsidR="00DE3132" w:rsidRPr="00DE3132">
        <w:rPr>
          <w:lang w:val="fr-FR"/>
        </w:rPr>
        <w:t>MPI.  Le</w:t>
      </w:r>
      <w:r w:rsidR="005902DD" w:rsidRPr="00DE3132">
        <w:rPr>
          <w:lang w:val="fr-FR"/>
        </w:rPr>
        <w:t> CWS</w:t>
      </w:r>
      <w:r w:rsidRPr="00DE3132">
        <w:rPr>
          <w:lang w:val="fr-FR"/>
        </w:rPr>
        <w:t xml:space="preserve"> a également noté que le Service d</w:t>
      </w:r>
      <w:r w:rsidR="005902DD" w:rsidRPr="00DE3132">
        <w:rPr>
          <w:lang w:val="fr-FR"/>
        </w:rPr>
        <w:t>’</w:t>
      </w:r>
      <w:r w:rsidRPr="00DE3132">
        <w:rPr>
          <w:lang w:val="fr-FR"/>
        </w:rPr>
        <w:t>accès numérique aux documents de priorité serait prêt à appuyer la transition vers la norme ST.92 de l</w:t>
      </w:r>
      <w:r w:rsidR="005902DD" w:rsidRPr="00DE3132">
        <w:rPr>
          <w:lang w:val="fr-FR"/>
        </w:rPr>
        <w:t>’</w:t>
      </w:r>
      <w:r w:rsidRPr="00DE3132">
        <w:rPr>
          <w:lang w:val="fr-FR"/>
        </w:rPr>
        <w:t>OMPI à partir du m</w:t>
      </w:r>
      <w:r w:rsidR="00DE3132">
        <w:rPr>
          <w:lang w:val="fr-FR"/>
        </w:rPr>
        <w:t>o</w:t>
      </w:r>
      <w:r w:rsidRPr="00DE3132">
        <w:rPr>
          <w:lang w:val="fr-FR"/>
        </w:rPr>
        <w:t xml:space="preserve">is de </w:t>
      </w:r>
      <w:r w:rsidR="005902DD" w:rsidRPr="00DE3132">
        <w:rPr>
          <w:lang w:val="fr-FR"/>
        </w:rPr>
        <w:t>juin 20</w:t>
      </w:r>
      <w:r w:rsidRPr="00DE3132">
        <w:rPr>
          <w:lang w:val="fr-FR"/>
        </w:rPr>
        <w:t>26, pour une transition terminée avant le</w:t>
      </w:r>
      <w:r w:rsidR="005902DD" w:rsidRPr="00DE3132">
        <w:rPr>
          <w:lang w:val="fr-FR"/>
        </w:rPr>
        <w:t xml:space="preserve"> 1</w:t>
      </w:r>
      <w:r w:rsidR="005902DD" w:rsidRPr="00DE3132">
        <w:rPr>
          <w:vertAlign w:val="superscript"/>
          <w:lang w:val="fr-FR"/>
        </w:rPr>
        <w:t>er</w:t>
      </w:r>
      <w:r w:rsidR="005902DD" w:rsidRPr="00DE3132">
        <w:rPr>
          <w:lang w:val="fr-FR"/>
        </w:rPr>
        <w:t> </w:t>
      </w:r>
      <w:r w:rsidRPr="00DE3132">
        <w:rPr>
          <w:lang w:val="fr-FR"/>
        </w:rPr>
        <w:t>juillet 2028.  Le comité a noté en outre que l</w:t>
      </w:r>
      <w:r w:rsidR="005902DD" w:rsidRPr="00DE3132">
        <w:rPr>
          <w:lang w:val="fr-FR"/>
        </w:rPr>
        <w:t>’</w:t>
      </w:r>
      <w:r w:rsidRPr="00DE3132">
        <w:rPr>
          <w:lang w:val="fr-FR"/>
        </w:rPr>
        <w:t>Équipe d</w:t>
      </w:r>
      <w:r w:rsidR="005902DD" w:rsidRPr="00DE3132">
        <w:rPr>
          <w:lang w:val="fr-FR"/>
        </w:rPr>
        <w:t>’</w:t>
      </w:r>
      <w:r w:rsidRPr="00DE3132">
        <w:rPr>
          <w:lang w:val="fr-FR"/>
        </w:rPr>
        <w:t>experts chargée de la transformation numérique collaborerait avec le Bureau international pour faciliter la mise en œuvre de la norme ST.92 de l</w:t>
      </w:r>
      <w:r w:rsidR="005902DD" w:rsidRPr="00DE3132">
        <w:rPr>
          <w:lang w:val="fr-FR"/>
        </w:rPr>
        <w:t>’</w:t>
      </w:r>
      <w:r w:rsidRPr="00DE3132">
        <w:rPr>
          <w:lang w:val="fr-FR"/>
        </w:rPr>
        <w:t>OMPI par les offices participants</w:t>
      </w:r>
      <w:r w:rsidR="005902DD" w:rsidRPr="00DE3132">
        <w:rPr>
          <w:lang w:val="fr-FR"/>
        </w:rPr>
        <w:t xml:space="preserve"> au DAS</w:t>
      </w:r>
      <w:r w:rsidRPr="00DE3132">
        <w:rPr>
          <w:lang w:val="fr-FR"/>
        </w:rPr>
        <w:t xml:space="preserve"> de l</w:t>
      </w:r>
      <w:r w:rsidR="005902DD" w:rsidRPr="00DE3132">
        <w:rPr>
          <w:lang w:val="fr-FR"/>
        </w:rPr>
        <w:t>’</w:t>
      </w:r>
      <w:r w:rsidRPr="00DE3132">
        <w:rPr>
          <w:lang w:val="fr-FR"/>
        </w:rPr>
        <w:t>OMPI, en temps utile.</w:t>
      </w:r>
    </w:p>
    <w:p w14:paraId="0F792791" w14:textId="79BB8E03" w:rsidR="00D97730" w:rsidRPr="00DE3132" w:rsidRDefault="00D97730" w:rsidP="00347C75">
      <w:pPr>
        <w:pStyle w:val="Heading2"/>
        <w:rPr>
          <w:lang w:val="fr-FR"/>
        </w:rPr>
      </w:pPr>
      <w:r w:rsidRPr="00DE3132">
        <w:rPr>
          <w:lang w:val="fr-FR"/>
        </w:rPr>
        <w:t>Politiques et activités relatives aux données de propriété intellectuelle, systèmes d</w:t>
      </w:r>
      <w:r w:rsidR="005902DD" w:rsidRPr="00DE3132">
        <w:rPr>
          <w:lang w:val="fr-FR"/>
        </w:rPr>
        <w:t>’</w:t>
      </w:r>
      <w:r w:rsidRPr="00DE3132">
        <w:rPr>
          <w:lang w:val="fr-FR"/>
        </w:rPr>
        <w:t>information et services d</w:t>
      </w:r>
      <w:r w:rsidR="005902DD" w:rsidRPr="00DE3132">
        <w:rPr>
          <w:lang w:val="fr-FR"/>
        </w:rPr>
        <w:t>’</w:t>
      </w:r>
      <w:r w:rsidRPr="00DE3132">
        <w:rPr>
          <w:lang w:val="fr-FR"/>
        </w:rPr>
        <w:t>information</w:t>
      </w:r>
    </w:p>
    <w:p w14:paraId="35EFA2E5" w14:textId="241313F2" w:rsidR="00D97730" w:rsidRPr="00DE3132" w:rsidRDefault="00D97730" w:rsidP="00347C75">
      <w:pPr>
        <w:pStyle w:val="ONUMFS"/>
        <w:rPr>
          <w:szCs w:val="22"/>
          <w:lang w:val="fr-FR"/>
        </w:rPr>
      </w:pPr>
      <w:r w:rsidRPr="00DE3132">
        <w:rPr>
          <w:lang w:val="fr-FR"/>
        </w:rPr>
        <w:t>Le CWS a pris note des résultats de la première édition du Dialogue de haut niveau de l</w:t>
      </w:r>
      <w:r w:rsidR="005902DD" w:rsidRPr="00DE3132">
        <w:rPr>
          <w:lang w:val="fr-FR"/>
        </w:rPr>
        <w:t>’</w:t>
      </w:r>
      <w:r w:rsidRPr="00DE3132">
        <w:rPr>
          <w:lang w:val="fr-FR"/>
        </w:rPr>
        <w:t>OMPI sur le numérique (WILD), tenue du 14 au 16 </w:t>
      </w:r>
      <w:r w:rsidR="005902DD" w:rsidRPr="00DE3132">
        <w:rPr>
          <w:lang w:val="fr-FR"/>
        </w:rPr>
        <w:t>avril 20</w:t>
      </w:r>
      <w:r w:rsidRPr="00DE3132">
        <w:rPr>
          <w:lang w:val="fr-FR"/>
        </w:rPr>
        <w:t xml:space="preserve">25, et du fait que la deuxième édition de ce </w:t>
      </w:r>
      <w:r w:rsidR="00DE3132">
        <w:rPr>
          <w:lang w:val="fr-FR"/>
        </w:rPr>
        <w:t>d</w:t>
      </w:r>
      <w:r w:rsidRPr="00DE3132">
        <w:rPr>
          <w:lang w:val="fr-FR"/>
        </w:rPr>
        <w:t>ialogue se tiendrait à Genève du 14 au 16 </w:t>
      </w:r>
      <w:r w:rsidR="005902DD" w:rsidRPr="00DE3132">
        <w:rPr>
          <w:lang w:val="fr-FR"/>
        </w:rPr>
        <w:t>avril 20</w:t>
      </w:r>
      <w:r w:rsidRPr="00DE3132">
        <w:rPr>
          <w:lang w:val="fr-FR"/>
        </w:rPr>
        <w:t>26.</w:t>
      </w:r>
    </w:p>
    <w:p w14:paraId="4548EE07" w14:textId="70CC3D13" w:rsidR="00D97730" w:rsidRPr="00DE3132" w:rsidRDefault="00D97730" w:rsidP="00347C75">
      <w:pPr>
        <w:pStyle w:val="ONUMFS"/>
        <w:rPr>
          <w:szCs w:val="22"/>
          <w:lang w:val="fr-FR"/>
        </w:rPr>
      </w:pPr>
      <w:r w:rsidRPr="00DE3132">
        <w:rPr>
          <w:lang w:val="fr-FR"/>
        </w:rPr>
        <w:t>Le CWS est convenu que l</w:t>
      </w:r>
      <w:r w:rsidR="005902DD" w:rsidRPr="00DE3132">
        <w:rPr>
          <w:lang w:val="fr-FR"/>
        </w:rPr>
        <w:t>’</w:t>
      </w:r>
      <w:r w:rsidRPr="00DE3132">
        <w:rPr>
          <w:lang w:val="fr-FR"/>
        </w:rPr>
        <w:t>Équipe d</w:t>
      </w:r>
      <w:r w:rsidR="005902DD" w:rsidRPr="00DE3132">
        <w:rPr>
          <w:lang w:val="fr-FR"/>
        </w:rPr>
        <w:t>’</w:t>
      </w:r>
      <w:r w:rsidRPr="00DE3132">
        <w:rPr>
          <w:lang w:val="fr-FR"/>
        </w:rPr>
        <w:t>experts chargée de la stratégie en matière de TIC poursuivrait ses travaux dans le cadre de la tâche n° 58 pendant une année supplémentai</w:t>
      </w:r>
      <w:r w:rsidR="00DE3132" w:rsidRPr="00DE3132">
        <w:rPr>
          <w:lang w:val="fr-FR"/>
        </w:rPr>
        <w:t>re.  Le</w:t>
      </w:r>
      <w:r w:rsidR="005902DD" w:rsidRPr="00DE3132">
        <w:rPr>
          <w:lang w:val="fr-FR"/>
        </w:rPr>
        <w:t> CWS</w:t>
      </w:r>
      <w:r w:rsidRPr="00DE3132">
        <w:rPr>
          <w:lang w:val="fr-FR"/>
        </w:rPr>
        <w:t xml:space="preserve"> a également approuvé les propositions visant à évaluer plus avant les moyens de maintenir la pertinence des recommandations, ainsi qu</w:t>
      </w:r>
      <w:r w:rsidR="005902DD" w:rsidRPr="00DE3132">
        <w:rPr>
          <w:lang w:val="fr-FR"/>
        </w:rPr>
        <w:t>’</w:t>
      </w:r>
      <w:r w:rsidRPr="00DE3132">
        <w:rPr>
          <w:lang w:val="fr-FR"/>
        </w:rPr>
        <w:t>à examiner la notion d</w:t>
      </w:r>
      <w:r w:rsidR="005902DD" w:rsidRPr="00DE3132">
        <w:rPr>
          <w:lang w:val="fr-FR"/>
        </w:rPr>
        <w:t>’</w:t>
      </w:r>
      <w:r w:rsidRPr="00DE3132">
        <w:rPr>
          <w:lang w:val="fr-FR"/>
        </w:rPr>
        <w:t>indicateurs d</w:t>
      </w:r>
      <w:r w:rsidR="005902DD" w:rsidRPr="00DE3132">
        <w:rPr>
          <w:lang w:val="fr-FR"/>
        </w:rPr>
        <w:t>’</w:t>
      </w:r>
      <w:r w:rsidRPr="00DE3132">
        <w:rPr>
          <w:lang w:val="fr-FR"/>
        </w:rPr>
        <w:t>exécution et à établir des mécanismes permettant de recueillir des observations sur les recommandatio</w:t>
      </w:r>
      <w:r w:rsidR="00DE3132" w:rsidRPr="00DE3132">
        <w:rPr>
          <w:lang w:val="fr-FR"/>
        </w:rPr>
        <w:t>ns.  Le</w:t>
      </w:r>
      <w:r w:rsidR="005902DD" w:rsidRPr="00DE3132">
        <w:rPr>
          <w:lang w:val="fr-FR"/>
        </w:rPr>
        <w:t> CWS</w:t>
      </w:r>
      <w:r w:rsidRPr="00DE3132">
        <w:rPr>
          <w:lang w:val="fr-FR"/>
        </w:rPr>
        <w:t xml:space="preserve"> a également approuvé l</w:t>
      </w:r>
      <w:r w:rsidR="005902DD" w:rsidRPr="00DE3132">
        <w:rPr>
          <w:lang w:val="fr-FR"/>
        </w:rPr>
        <w:t>’</w:t>
      </w:r>
      <w:r w:rsidRPr="00DE3132">
        <w:rPr>
          <w:lang w:val="fr-FR"/>
        </w:rPr>
        <w:t>organisation d</w:t>
      </w:r>
      <w:r w:rsidR="005902DD" w:rsidRPr="00DE3132">
        <w:rPr>
          <w:lang w:val="fr-FR"/>
        </w:rPr>
        <w:t>’</w:t>
      </w:r>
      <w:r w:rsidRPr="00DE3132">
        <w:rPr>
          <w:lang w:val="fr-FR"/>
        </w:rPr>
        <w:t>un atelier proposé par l</w:t>
      </w:r>
      <w:r w:rsidR="005902DD" w:rsidRPr="00DE3132">
        <w:rPr>
          <w:lang w:val="fr-FR"/>
        </w:rPr>
        <w:t>’</w:t>
      </w:r>
      <w:r w:rsidRPr="00DE3132">
        <w:rPr>
          <w:lang w:val="fr-FR"/>
        </w:rPr>
        <w:t>équipe d</w:t>
      </w:r>
      <w:r w:rsidR="005902DD" w:rsidRPr="00DE3132">
        <w:rPr>
          <w:lang w:val="fr-FR"/>
        </w:rPr>
        <w:t>’</w:t>
      </w:r>
      <w:r w:rsidRPr="00DE3132">
        <w:rPr>
          <w:lang w:val="fr-FR"/>
        </w:rPr>
        <w:t>experts, axé dans un premier temps sur la recommandation n° 10, avec la possibilité d</w:t>
      </w:r>
      <w:r w:rsidR="005902DD" w:rsidRPr="00DE3132">
        <w:rPr>
          <w:lang w:val="fr-FR"/>
        </w:rPr>
        <w:t>’</w:t>
      </w:r>
      <w:r w:rsidRPr="00DE3132">
        <w:rPr>
          <w:lang w:val="fr-FR"/>
        </w:rPr>
        <w:t>étudier d</w:t>
      </w:r>
      <w:r w:rsidR="005902DD" w:rsidRPr="00DE3132">
        <w:rPr>
          <w:lang w:val="fr-FR"/>
        </w:rPr>
        <w:t>’</w:t>
      </w:r>
      <w:r w:rsidRPr="00DE3132">
        <w:rPr>
          <w:lang w:val="fr-FR"/>
        </w:rPr>
        <w:t>autres recommandations hautement prioritaires.</w:t>
      </w:r>
    </w:p>
    <w:p w14:paraId="19E05D49" w14:textId="035B8865" w:rsidR="00D97730" w:rsidRPr="00DE3132" w:rsidRDefault="00D97730" w:rsidP="00347C75">
      <w:pPr>
        <w:pStyle w:val="ONUMFS"/>
        <w:rPr>
          <w:lang w:val="fr-FR"/>
        </w:rPr>
      </w:pPr>
      <w:r w:rsidRPr="00DE3132">
        <w:rPr>
          <w:lang w:val="fr-FR"/>
        </w:rPr>
        <w:t>Le comité a pris note de la mise à jour fournie par le Bureau international concernant le “projet d</w:t>
      </w:r>
      <w:r w:rsidR="005902DD" w:rsidRPr="00DE3132">
        <w:rPr>
          <w:lang w:val="fr-FR"/>
        </w:rPr>
        <w:t>’</w:t>
      </w:r>
      <w:r w:rsidRPr="00DE3132">
        <w:rPr>
          <w:lang w:val="fr-FR"/>
        </w:rPr>
        <w:t xml:space="preserve">identifiant mondial pour les personnes physiques et les personnes morales”, </w:t>
      </w:r>
      <w:r w:rsidR="005902DD" w:rsidRPr="00DE3132">
        <w:rPr>
          <w:lang w:val="fr-FR"/>
        </w:rPr>
        <w:t>y compris</w:t>
      </w:r>
      <w:r w:rsidRPr="00DE3132">
        <w:rPr>
          <w:lang w:val="fr-FR"/>
        </w:rPr>
        <w:t xml:space="preserve"> sa décision de se concentrer sur la cession mondiale, considérée comme le cas d</w:t>
      </w:r>
      <w:r w:rsidR="005902DD" w:rsidRPr="00DE3132">
        <w:rPr>
          <w:lang w:val="fr-FR"/>
        </w:rPr>
        <w:t>’</w:t>
      </w:r>
      <w:r w:rsidRPr="00DE3132">
        <w:rPr>
          <w:lang w:val="fr-FR"/>
        </w:rPr>
        <w:t>utilisation le plus intéressant de l</w:t>
      </w:r>
      <w:r w:rsidR="005902DD" w:rsidRPr="00DE3132">
        <w:rPr>
          <w:lang w:val="fr-FR"/>
        </w:rPr>
        <w:t>’</w:t>
      </w:r>
      <w:r w:rsidRPr="00DE3132">
        <w:rPr>
          <w:lang w:val="fr-FR"/>
        </w:rPr>
        <w:t>identifiant mondial.</w:t>
      </w:r>
    </w:p>
    <w:p w14:paraId="4F676BB9" w14:textId="79209FD6" w:rsidR="00D97730" w:rsidRPr="00DE3132" w:rsidRDefault="00D97730" w:rsidP="00347C75">
      <w:pPr>
        <w:pStyle w:val="ONUMFS"/>
        <w:rPr>
          <w:szCs w:val="22"/>
          <w:lang w:val="fr-FR"/>
        </w:rPr>
      </w:pPr>
      <w:r w:rsidRPr="00DE3132">
        <w:rPr>
          <w:lang w:val="fr-FR"/>
        </w:rPr>
        <w:t>Le comité a pris note de l</w:t>
      </w:r>
      <w:r w:rsidR="005902DD" w:rsidRPr="00DE3132">
        <w:rPr>
          <w:lang w:val="fr-FR"/>
        </w:rPr>
        <w:t>’</w:t>
      </w:r>
      <w:r w:rsidRPr="00DE3132">
        <w:rPr>
          <w:lang w:val="fr-FR"/>
        </w:rPr>
        <w:t>exposé présenté par le Bureau international sur les difficultés rencontrées par les offices de propriété intellectuelle dans la numérisation de la documentation relative à la propriété intellectuelle, en particulier les publications de breve</w:t>
      </w:r>
      <w:r w:rsidR="00DE3132" w:rsidRPr="00DE3132">
        <w:rPr>
          <w:lang w:val="fr-FR"/>
        </w:rPr>
        <w:t>ts.  Le</w:t>
      </w:r>
      <w:r w:rsidR="005902DD" w:rsidRPr="00DE3132">
        <w:rPr>
          <w:lang w:val="fr-FR"/>
        </w:rPr>
        <w:t> CWS</w:t>
      </w:r>
      <w:r w:rsidRPr="00DE3132">
        <w:rPr>
          <w:lang w:val="fr-FR"/>
        </w:rPr>
        <w:t xml:space="preserve"> a approuvé la proposition tendant à mener une enquête sur la numérisation de la documentation en matière de propriété intellectuelle au moyen d</w:t>
      </w:r>
      <w:r w:rsidR="005902DD" w:rsidRPr="00DE3132">
        <w:rPr>
          <w:lang w:val="fr-FR"/>
        </w:rPr>
        <w:t>’</w:t>
      </w:r>
      <w:r w:rsidRPr="00DE3132">
        <w:rPr>
          <w:lang w:val="fr-FR"/>
        </w:rPr>
        <w:t>une circulaire conjointe</w:t>
      </w:r>
      <w:r w:rsidR="005902DD" w:rsidRPr="00DE3132">
        <w:rPr>
          <w:lang w:val="fr-FR"/>
        </w:rPr>
        <w:t xml:space="preserve"> du CWS</w:t>
      </w:r>
      <w:r w:rsidRPr="00DE3132">
        <w:rPr>
          <w:lang w:val="fr-FR"/>
        </w:rPr>
        <w:t xml:space="preserve"> et</w:t>
      </w:r>
      <w:r w:rsidR="005902DD" w:rsidRPr="00DE3132">
        <w:rPr>
          <w:lang w:val="fr-FR"/>
        </w:rPr>
        <w:t xml:space="preserve"> du PCT</w:t>
      </w:r>
      <w:r w:rsidRPr="00DE3132">
        <w:rPr>
          <w:lang w:val="fr-FR"/>
        </w:rPr>
        <w:t xml:space="preserve"> envoyée aux membres</w:t>
      </w:r>
      <w:r w:rsidR="005902DD" w:rsidRPr="00DE3132">
        <w:rPr>
          <w:lang w:val="fr-FR"/>
        </w:rPr>
        <w:t xml:space="preserve"> du CWS</w:t>
      </w:r>
      <w:r w:rsidRPr="00DE3132">
        <w:rPr>
          <w:lang w:val="fr-FR"/>
        </w:rPr>
        <w:t xml:space="preserve"> et aux parties contractantes</w:t>
      </w:r>
      <w:r w:rsidR="005902DD" w:rsidRPr="00DE3132">
        <w:rPr>
          <w:lang w:val="fr-FR"/>
        </w:rPr>
        <w:t xml:space="preserve"> au </w:t>
      </w:r>
      <w:r w:rsidR="00DE3132" w:rsidRPr="00DE3132">
        <w:rPr>
          <w:lang w:val="fr-FR"/>
        </w:rPr>
        <w:t>PCT.  Le</w:t>
      </w:r>
      <w:r w:rsidR="005902DD" w:rsidRPr="00DE3132">
        <w:rPr>
          <w:lang w:val="fr-FR"/>
        </w:rPr>
        <w:t> CWS</w:t>
      </w:r>
      <w:r w:rsidRPr="00DE3132">
        <w:rPr>
          <w:lang w:val="fr-FR"/>
        </w:rPr>
        <w:t xml:space="preserve"> a également noté que le Bureau international prévoyait d</w:t>
      </w:r>
      <w:r w:rsidR="005902DD" w:rsidRPr="00DE3132">
        <w:rPr>
          <w:lang w:val="fr-FR"/>
        </w:rPr>
        <w:t>’</w:t>
      </w:r>
      <w:r w:rsidRPr="00DE3132">
        <w:rPr>
          <w:lang w:val="fr-FR"/>
        </w:rPr>
        <w:t>organiser une réunion afin de discuter de l</w:t>
      </w:r>
      <w:r w:rsidR="005902DD" w:rsidRPr="00DE3132">
        <w:rPr>
          <w:lang w:val="fr-FR"/>
        </w:rPr>
        <w:t>’</w:t>
      </w:r>
      <w:r w:rsidRPr="00DE3132">
        <w:rPr>
          <w:lang w:val="fr-FR"/>
        </w:rPr>
        <w:t>élaboration des lignes directrices en matière de numérisati</w:t>
      </w:r>
      <w:r w:rsidR="00DE3132" w:rsidRPr="00DE3132">
        <w:rPr>
          <w:lang w:val="fr-FR"/>
        </w:rPr>
        <w:t>on.  Le</w:t>
      </w:r>
      <w:r w:rsidRPr="00DE3132">
        <w:rPr>
          <w:lang w:val="fr-FR"/>
        </w:rPr>
        <w:t>s résultats de la réunion seront présentés à la quatorz</w:t>
      </w:r>
      <w:r w:rsidR="005902DD" w:rsidRPr="00DE3132">
        <w:rPr>
          <w:lang w:val="fr-FR"/>
        </w:rPr>
        <w:t>ième session du CWS</w:t>
      </w:r>
      <w:r w:rsidRPr="00DE3132">
        <w:rPr>
          <w:lang w:val="fr-FR"/>
        </w:rPr>
        <w:t>.</w:t>
      </w:r>
    </w:p>
    <w:p w14:paraId="4D9C6682" w14:textId="6954FEFA" w:rsidR="00D97730" w:rsidRPr="00DE3132" w:rsidRDefault="00D97730" w:rsidP="00347C75">
      <w:pPr>
        <w:pStyle w:val="ONUMFS"/>
        <w:rPr>
          <w:lang w:val="fr-FR"/>
        </w:rPr>
      </w:pPr>
      <w:r w:rsidRPr="00DE3132">
        <w:rPr>
          <w:lang w:val="fr-FR"/>
        </w:rPr>
        <w:t>Le comité a pris note du rapport fourni par le Bureau international, en particulier des statistiques relatives à la mise en œuvre des normes de l</w:t>
      </w:r>
      <w:r w:rsidR="005902DD" w:rsidRPr="00DE3132">
        <w:rPr>
          <w:lang w:val="fr-FR"/>
        </w:rPr>
        <w:t>’</w:t>
      </w:r>
      <w:r w:rsidRPr="00DE3132">
        <w:rPr>
          <w:lang w:val="fr-FR"/>
        </w:rPr>
        <w:t>OMPI, recueillies par l</w:t>
      </w:r>
      <w:r w:rsidR="005902DD" w:rsidRPr="00DE3132">
        <w:rPr>
          <w:lang w:val="fr-FR"/>
        </w:rPr>
        <w:t>’</w:t>
      </w:r>
      <w:r w:rsidRPr="00DE3132">
        <w:rPr>
          <w:lang w:val="fr-FR"/>
        </w:rPr>
        <w:t>intermédiaire des rapports techniques annue</w:t>
      </w:r>
      <w:r w:rsidR="00DE3132" w:rsidRPr="00DE3132">
        <w:rPr>
          <w:lang w:val="fr-FR"/>
        </w:rPr>
        <w:t>ls.  Le</w:t>
      </w:r>
      <w:r w:rsidRPr="00DE3132">
        <w:rPr>
          <w:lang w:val="fr-FR"/>
        </w:rPr>
        <w:t xml:space="preserve"> comité a également examiné les normes de l</w:t>
      </w:r>
      <w:r w:rsidR="005902DD" w:rsidRPr="00DE3132">
        <w:rPr>
          <w:lang w:val="fr-FR"/>
        </w:rPr>
        <w:t>’</w:t>
      </w:r>
      <w:r w:rsidRPr="00DE3132">
        <w:rPr>
          <w:lang w:val="fr-FR"/>
        </w:rPr>
        <w:t>OMPI répertoriées et les options figurant dans les modèles de rapports techniques annuels et a demandé au Secrétariat de revoir et de mettre à jour le modèle si nécessaire.</w:t>
      </w:r>
    </w:p>
    <w:p w14:paraId="04155BF4" w14:textId="38DCB24A" w:rsidR="00D97730" w:rsidRPr="00DE3132" w:rsidRDefault="00D97730" w:rsidP="00347C75">
      <w:pPr>
        <w:pStyle w:val="Heading2"/>
        <w:rPr>
          <w:lang w:val="fr-FR"/>
        </w:rPr>
      </w:pPr>
      <w:r w:rsidRPr="00DE3132">
        <w:rPr>
          <w:lang w:val="fr-FR"/>
        </w:rPr>
        <w:lastRenderedPageBreak/>
        <w:t>Assistance technique et collaboration en matière de systèmes mondiaux d</w:t>
      </w:r>
      <w:r w:rsidR="005902DD" w:rsidRPr="00DE3132">
        <w:rPr>
          <w:lang w:val="fr-FR"/>
        </w:rPr>
        <w:t>’</w:t>
      </w:r>
      <w:r w:rsidRPr="00DE3132">
        <w:rPr>
          <w:lang w:val="fr-FR"/>
        </w:rPr>
        <w:t>information</w:t>
      </w:r>
    </w:p>
    <w:p w14:paraId="42754122" w14:textId="0B5F150F" w:rsidR="00D97730" w:rsidRPr="00DE3132" w:rsidRDefault="00D97730" w:rsidP="00347C75">
      <w:pPr>
        <w:pStyle w:val="ONUMFS"/>
        <w:rPr>
          <w:lang w:val="fr-FR"/>
        </w:rPr>
      </w:pPr>
      <w:r w:rsidRPr="00DE3132">
        <w:rPr>
          <w:lang w:val="fr-FR"/>
        </w:rPr>
        <w:t>En ce qui concerne la prestation de services consultatifs et d</w:t>
      </w:r>
      <w:r w:rsidR="005902DD" w:rsidRPr="00DE3132">
        <w:rPr>
          <w:lang w:val="fr-FR"/>
        </w:rPr>
        <w:t>’</w:t>
      </w:r>
      <w:r w:rsidRPr="00DE3132">
        <w:rPr>
          <w:lang w:val="fr-FR"/>
        </w:rPr>
        <w:t>assistance technique aux fins du renforcement des capacités des offices de propriété intellectuelle en rapport avec les normes de l</w:t>
      </w:r>
      <w:r w:rsidR="005902DD" w:rsidRPr="00DE3132">
        <w:rPr>
          <w:lang w:val="fr-FR"/>
        </w:rPr>
        <w:t>’</w:t>
      </w:r>
      <w:r w:rsidRPr="00DE3132">
        <w:rPr>
          <w:lang w:val="fr-FR"/>
        </w:rPr>
        <w:t xml:space="preserve">OMPI, le comité a pris note du rapport du Bureau international sur les activités entreprises </w:t>
      </w:r>
      <w:r w:rsidR="005902DD" w:rsidRPr="00DE3132">
        <w:rPr>
          <w:lang w:val="fr-FR"/>
        </w:rPr>
        <w:t>en 2024</w:t>
      </w:r>
      <w:r w:rsidRPr="00DE3132">
        <w:rPr>
          <w:lang w:val="fr-FR"/>
        </w:rPr>
        <w:t xml:space="preserve"> (voir le </w:t>
      </w:r>
      <w:r w:rsidR="005902DD" w:rsidRPr="00DE3132">
        <w:rPr>
          <w:lang w:val="fr-FR"/>
        </w:rPr>
        <w:t>document</w:t>
      </w:r>
      <w:r w:rsidR="00DE3132">
        <w:rPr>
          <w:lang w:val="fr-FR"/>
        </w:rPr>
        <w:t> </w:t>
      </w:r>
      <w:r w:rsidR="005902DD" w:rsidRPr="00DE3132">
        <w:rPr>
          <w:lang w:val="fr-FR"/>
        </w:rPr>
        <w:t>CW</w:t>
      </w:r>
      <w:r w:rsidRPr="00DE3132">
        <w:rPr>
          <w:lang w:val="fr-FR"/>
        </w:rPr>
        <w:t>S/13/25 joint en annexe au présent document), comme demandé par l</w:t>
      </w:r>
      <w:r w:rsidR="005902DD" w:rsidRPr="00DE3132">
        <w:rPr>
          <w:lang w:val="fr-FR"/>
        </w:rPr>
        <w:t>’</w:t>
      </w:r>
      <w:r w:rsidRPr="00DE3132">
        <w:rPr>
          <w:lang w:val="fr-FR"/>
        </w:rPr>
        <w:t>Assemblée générale de l</w:t>
      </w:r>
      <w:r w:rsidR="005902DD" w:rsidRPr="00DE3132">
        <w:rPr>
          <w:lang w:val="fr-FR"/>
        </w:rPr>
        <w:t>’</w:t>
      </w:r>
      <w:r w:rsidRPr="00DE3132">
        <w:rPr>
          <w:lang w:val="fr-FR"/>
        </w:rPr>
        <w:t>OMPI à sa quarant</w:t>
      </w:r>
      <w:r w:rsidR="005902DD" w:rsidRPr="00DE3132">
        <w:rPr>
          <w:lang w:val="fr-FR"/>
        </w:rPr>
        <w:t>ième session</w:t>
      </w:r>
      <w:r w:rsidRPr="00DE3132">
        <w:rPr>
          <w:lang w:val="fr-FR"/>
        </w:rPr>
        <w:t>, qui s</w:t>
      </w:r>
      <w:r w:rsidR="005902DD" w:rsidRPr="00DE3132">
        <w:rPr>
          <w:lang w:val="fr-FR"/>
        </w:rPr>
        <w:t>’</w:t>
      </w:r>
      <w:r w:rsidRPr="00DE3132">
        <w:rPr>
          <w:lang w:val="fr-FR"/>
        </w:rPr>
        <w:t xml:space="preserve">est tenue en </w:t>
      </w:r>
      <w:r w:rsidR="005902DD" w:rsidRPr="00DE3132">
        <w:rPr>
          <w:lang w:val="fr-FR"/>
        </w:rPr>
        <w:t>octobre 20</w:t>
      </w:r>
      <w:r w:rsidRPr="00DE3132">
        <w:rPr>
          <w:lang w:val="fr-FR"/>
        </w:rPr>
        <w:t>11.  Il a fait observer que le document servirait de base au rapport correspondant qui sera présenté à l</w:t>
      </w:r>
      <w:r w:rsidR="005902DD" w:rsidRPr="00DE3132">
        <w:rPr>
          <w:lang w:val="fr-FR"/>
        </w:rPr>
        <w:t>’</w:t>
      </w:r>
      <w:r w:rsidRPr="00DE3132">
        <w:rPr>
          <w:lang w:val="fr-FR"/>
        </w:rPr>
        <w:t>Assemblée générale de l</w:t>
      </w:r>
      <w:r w:rsidR="005902DD" w:rsidRPr="00DE3132">
        <w:rPr>
          <w:lang w:val="fr-FR"/>
        </w:rPr>
        <w:t>’</w:t>
      </w:r>
      <w:r w:rsidRPr="00DE3132">
        <w:rPr>
          <w:lang w:val="fr-FR"/>
        </w:rPr>
        <w:t xml:space="preserve">OMPI </w:t>
      </w:r>
      <w:r w:rsidR="005902DD" w:rsidRPr="00DE3132">
        <w:rPr>
          <w:lang w:val="fr-FR"/>
        </w:rPr>
        <w:t>en 2026</w:t>
      </w:r>
      <w:r w:rsidRPr="00DE3132">
        <w:rPr>
          <w:lang w:val="fr-FR"/>
        </w:rPr>
        <w:t>.</w:t>
      </w:r>
    </w:p>
    <w:p w14:paraId="2750969C" w14:textId="7F1FC40C" w:rsidR="00D97730" w:rsidRPr="00DE3132" w:rsidRDefault="00D97730" w:rsidP="00347C75">
      <w:pPr>
        <w:pStyle w:val="ONUMFS"/>
        <w:rPr>
          <w:lang w:val="fr-FR"/>
        </w:rPr>
      </w:pPr>
      <w:r w:rsidRPr="00DE3132">
        <w:rPr>
          <w:lang w:val="fr-FR"/>
        </w:rPr>
        <w:t>Le comité a pris note des progrès accomplis concernant les systèmes mondiaux d</w:t>
      </w:r>
      <w:r w:rsidR="005902DD" w:rsidRPr="00DE3132">
        <w:rPr>
          <w:lang w:val="fr-FR"/>
        </w:rPr>
        <w:t>’</w:t>
      </w:r>
      <w:r w:rsidRPr="00DE3132">
        <w:rPr>
          <w:lang w:val="fr-FR"/>
        </w:rPr>
        <w:t xml:space="preserve">information fondés sur </w:t>
      </w:r>
      <w:proofErr w:type="gramStart"/>
      <w:r w:rsidRPr="00DE3132">
        <w:rPr>
          <w:lang w:val="fr-FR"/>
        </w:rPr>
        <w:t>la coopération suivants</w:t>
      </w:r>
      <w:proofErr w:type="gramEnd"/>
      <w:r w:rsidR="005902DD" w:rsidRPr="00DE3132">
        <w:rPr>
          <w:lang w:val="fr-FR"/>
        </w:rPr>
        <w:t> :</w:t>
      </w:r>
      <w:r w:rsidRPr="00DE3132">
        <w:rPr>
          <w:lang w:val="fr-FR"/>
        </w:rPr>
        <w:t xml:space="preserve"> suite logicielle WIPO </w:t>
      </w:r>
      <w:proofErr w:type="spellStart"/>
      <w:r w:rsidRPr="00DE3132">
        <w:rPr>
          <w:lang w:val="fr-FR"/>
        </w:rPr>
        <w:t>Sequence</w:t>
      </w:r>
      <w:proofErr w:type="spellEnd"/>
      <w:r w:rsidRPr="00DE3132">
        <w:rPr>
          <w:lang w:val="fr-FR"/>
        </w:rPr>
        <w:t>, catalogue</w:t>
      </w:r>
      <w:r w:rsidR="005902DD" w:rsidRPr="00DE3132">
        <w:rPr>
          <w:lang w:val="fr-FR"/>
        </w:rPr>
        <w:t xml:space="preserve"> des API</w:t>
      </w:r>
      <w:r w:rsidRPr="00DE3132">
        <w:rPr>
          <w:lang w:val="fr-FR"/>
        </w:rPr>
        <w:t xml:space="preserve"> en matière de propriété intellectuelle et portail d</w:t>
      </w:r>
      <w:r w:rsidR="005902DD" w:rsidRPr="00DE3132">
        <w:rPr>
          <w:lang w:val="fr-FR"/>
        </w:rPr>
        <w:t>’</w:t>
      </w:r>
      <w:r w:rsidRPr="00DE3132">
        <w:rPr>
          <w:lang w:val="fr-FR"/>
        </w:rPr>
        <w:t>accès aux fichiers d</w:t>
      </w:r>
      <w:r w:rsidR="005902DD" w:rsidRPr="00DE3132">
        <w:rPr>
          <w:lang w:val="fr-FR"/>
        </w:rPr>
        <w:t>’</w:t>
      </w:r>
      <w:r w:rsidRPr="00DE3132">
        <w:rPr>
          <w:lang w:val="fr-FR"/>
        </w:rPr>
        <w:t>autorité.</w:t>
      </w:r>
    </w:p>
    <w:p w14:paraId="59AEAFAB" w14:textId="1ECBE461" w:rsidR="00D97730" w:rsidRPr="00347C75" w:rsidRDefault="00D97730" w:rsidP="00347C75">
      <w:pPr>
        <w:pStyle w:val="ONUMFS"/>
        <w:ind w:left="5533"/>
        <w:rPr>
          <w:i/>
        </w:rPr>
      </w:pPr>
      <w:r w:rsidRPr="00347C75">
        <w:rPr>
          <w:i/>
        </w:rPr>
        <w:t>L</w:t>
      </w:r>
      <w:r w:rsidR="005902DD" w:rsidRPr="00347C75">
        <w:rPr>
          <w:i/>
        </w:rPr>
        <w:t>’</w:t>
      </w:r>
      <w:r w:rsidRPr="00347C75">
        <w:rPr>
          <w:i/>
        </w:rPr>
        <w:t>Assemblée générale de l</w:t>
      </w:r>
      <w:r w:rsidR="005902DD" w:rsidRPr="00347C75">
        <w:rPr>
          <w:i/>
        </w:rPr>
        <w:t>’</w:t>
      </w:r>
      <w:r w:rsidRPr="00347C75">
        <w:rPr>
          <w:i/>
        </w:rPr>
        <w:t>OMPI est invitée à prendre note du “Rapport sur le Comité des normes de l</w:t>
      </w:r>
      <w:r w:rsidR="005902DD" w:rsidRPr="00347C75">
        <w:rPr>
          <w:i/>
        </w:rPr>
        <w:t>’</w:t>
      </w:r>
      <w:r w:rsidRPr="00347C75">
        <w:rPr>
          <w:i/>
        </w:rPr>
        <w:t>OMPI”</w:t>
      </w:r>
      <w:r w:rsidR="003F469F" w:rsidRPr="00347C75">
        <w:rPr>
          <w:i/>
        </w:rPr>
        <w:t>,</w:t>
      </w:r>
      <w:r w:rsidRPr="00347C75">
        <w:rPr>
          <w:i/>
        </w:rPr>
        <w:t xml:space="preserve"> qui faisait notamment le point sur la mise à jour et la mise en œuvre de la version 2.0 de la norme ST.26 de l</w:t>
      </w:r>
      <w:r w:rsidR="005902DD" w:rsidRPr="00347C75">
        <w:rPr>
          <w:i/>
        </w:rPr>
        <w:t>’</w:t>
      </w:r>
      <w:r w:rsidRPr="00347C75">
        <w:rPr>
          <w:i/>
        </w:rPr>
        <w:t>OMPI.</w:t>
      </w:r>
    </w:p>
    <w:p w14:paraId="3BD52849" w14:textId="1E7808DA" w:rsidR="00D97730" w:rsidRPr="00347C75" w:rsidRDefault="00D97730" w:rsidP="00347C75">
      <w:pPr>
        <w:pStyle w:val="Endofdocument-Annex"/>
        <w:sectPr w:rsidR="00D97730" w:rsidRPr="00347C75" w:rsidSect="00C1008E">
          <w:headerReference w:type="default" r:id="rId18"/>
          <w:endnotePr>
            <w:numFmt w:val="decimal"/>
          </w:endnotePr>
          <w:pgSz w:w="11907" w:h="16840" w:code="9"/>
          <w:pgMar w:top="567" w:right="1134" w:bottom="1418" w:left="1418" w:header="510" w:footer="1021" w:gutter="0"/>
          <w:cols w:space="720"/>
          <w:titlePg/>
          <w:docGrid w:linePitch="299"/>
        </w:sectPr>
      </w:pPr>
      <w:r w:rsidRPr="00347C75">
        <w:t>[L</w:t>
      </w:r>
      <w:r w:rsidR="005902DD" w:rsidRPr="00347C75">
        <w:t>’annexe I</w:t>
      </w:r>
      <w:r w:rsidRPr="00347C75">
        <w:t xml:space="preserve"> suit]</w:t>
      </w:r>
      <w:bookmarkEnd w:id="3"/>
    </w:p>
    <w:p w14:paraId="4BE483EF" w14:textId="13255C1E" w:rsidR="005902DD" w:rsidRPr="00DE3132" w:rsidRDefault="00D97730" w:rsidP="00347C75">
      <w:pPr>
        <w:pStyle w:val="Heading2"/>
        <w:rPr>
          <w:lang w:val="fr-FR"/>
        </w:rPr>
      </w:pPr>
      <w:r w:rsidRPr="00DE3132">
        <w:rPr>
          <w:lang w:val="fr-FR"/>
        </w:rPr>
        <w:lastRenderedPageBreak/>
        <w:t>Mise en œuvre effective de la nouvelle version 2.0 de la norme ST.26 de l</w:t>
      </w:r>
      <w:r w:rsidR="005902DD" w:rsidRPr="00DE3132">
        <w:rPr>
          <w:lang w:val="fr-FR"/>
        </w:rPr>
        <w:t>’</w:t>
      </w:r>
      <w:r w:rsidRPr="00DE3132">
        <w:rPr>
          <w:lang w:val="fr-FR"/>
        </w:rPr>
        <w:t>OMPI</w:t>
      </w:r>
    </w:p>
    <w:p w14:paraId="6AAF942D" w14:textId="7B9B6756" w:rsidR="00D97730" w:rsidRPr="00347C75" w:rsidRDefault="00D97730" w:rsidP="00347C75">
      <w:pPr>
        <w:pStyle w:val="ONUMFS"/>
        <w:numPr>
          <w:ilvl w:val="0"/>
          <w:numId w:val="9"/>
        </w:numPr>
        <w:rPr>
          <w:lang w:val="fr-FR"/>
        </w:rPr>
      </w:pPr>
      <w:r w:rsidRPr="00347C75">
        <w:rPr>
          <w:lang w:val="fr-FR"/>
        </w:rPr>
        <w:t>La norme ST.26 de l</w:t>
      </w:r>
      <w:r w:rsidR="005902DD" w:rsidRPr="00347C75">
        <w:rPr>
          <w:lang w:val="fr-FR"/>
        </w:rPr>
        <w:t>’</w:t>
      </w:r>
      <w:r w:rsidRPr="00347C75">
        <w:rPr>
          <w:lang w:val="fr-FR"/>
        </w:rPr>
        <w:t>OMPI est un ensemble de recommandations concernant la divulgation d</w:t>
      </w:r>
      <w:r w:rsidR="005902DD" w:rsidRPr="00347C75">
        <w:rPr>
          <w:lang w:val="fr-FR"/>
        </w:rPr>
        <w:t>’</w:t>
      </w:r>
      <w:r w:rsidRPr="00347C75">
        <w:rPr>
          <w:lang w:val="fr-FR"/>
        </w:rPr>
        <w:t>informations sur les nucléotides et les acides aminés déposés dans le cadre d</w:t>
      </w:r>
      <w:r w:rsidR="005902DD" w:rsidRPr="00347C75">
        <w:rPr>
          <w:lang w:val="fr-FR"/>
        </w:rPr>
        <w:t>’</w:t>
      </w:r>
      <w:r w:rsidRPr="00347C75">
        <w:rPr>
          <w:lang w:val="fr-FR"/>
        </w:rPr>
        <w:t>une demande de brevet, sous forme de ce que l</w:t>
      </w:r>
      <w:r w:rsidR="005902DD" w:rsidRPr="00347C75">
        <w:rPr>
          <w:lang w:val="fr-FR"/>
        </w:rPr>
        <w:t>’</w:t>
      </w:r>
      <w:r w:rsidRPr="00347C75">
        <w:rPr>
          <w:lang w:val="fr-FR"/>
        </w:rPr>
        <w:t>on appelle un “listage de séquences”.  L</w:t>
      </w:r>
      <w:r w:rsidR="005902DD" w:rsidRPr="00347C75">
        <w:rPr>
          <w:lang w:val="fr-FR"/>
        </w:rPr>
        <w:t>’</w:t>
      </w:r>
      <w:r w:rsidRPr="00347C75">
        <w:rPr>
          <w:lang w:val="fr-FR"/>
        </w:rPr>
        <w:t>objet premier d</w:t>
      </w:r>
      <w:r w:rsidR="005902DD" w:rsidRPr="00347C75">
        <w:rPr>
          <w:lang w:val="fr-FR"/>
        </w:rPr>
        <w:t>’</w:t>
      </w:r>
      <w:r w:rsidRPr="00347C75">
        <w:rPr>
          <w:lang w:val="fr-FR"/>
        </w:rPr>
        <w:t>un listage de séquences est de faciliter la recherche sur l</w:t>
      </w:r>
      <w:r w:rsidR="005902DD" w:rsidRPr="00347C75">
        <w:rPr>
          <w:lang w:val="fr-FR"/>
        </w:rPr>
        <w:t>’</w:t>
      </w:r>
      <w:r w:rsidRPr="00347C75">
        <w:rPr>
          <w:lang w:val="fr-FR"/>
        </w:rPr>
        <w:t>état de la techniq</w:t>
      </w:r>
      <w:r w:rsidR="00DE3132" w:rsidRPr="00347C75">
        <w:rPr>
          <w:lang w:val="fr-FR"/>
        </w:rPr>
        <w:t>ue.  La</w:t>
      </w:r>
      <w:r w:rsidRPr="00347C75">
        <w:rPr>
          <w:lang w:val="fr-FR"/>
        </w:rPr>
        <w:t xml:space="preserve"> norme indique de manière détaillée ce qui doit être inclus dans ce listage de séquences, où les informations sur les nucléotides et les acides aminés sont divulguées en format XML (</w:t>
      </w:r>
      <w:proofErr w:type="spellStart"/>
      <w:r w:rsidRPr="00347C75">
        <w:rPr>
          <w:lang w:val="fr-FR"/>
        </w:rPr>
        <w:t>eXtensible</w:t>
      </w:r>
      <w:proofErr w:type="spellEnd"/>
      <w:r w:rsidRPr="00347C75">
        <w:rPr>
          <w:lang w:val="fr-FR"/>
        </w:rPr>
        <w:t xml:space="preserve"> Markup </w:t>
      </w:r>
      <w:proofErr w:type="spellStart"/>
      <w:r w:rsidRPr="00347C75">
        <w:rPr>
          <w:lang w:val="fr-FR"/>
        </w:rPr>
        <w:t>Language</w:t>
      </w:r>
      <w:proofErr w:type="spellEnd"/>
      <w:r w:rsidRPr="00347C75">
        <w:rPr>
          <w:lang w:val="fr-FR"/>
        </w:rPr>
        <w:t>).</w:t>
      </w:r>
    </w:p>
    <w:p w14:paraId="3CD8CC70" w14:textId="301E3D70" w:rsidR="005902DD" w:rsidRPr="00DE3132" w:rsidRDefault="00D97730" w:rsidP="00347C75">
      <w:pPr>
        <w:pStyle w:val="ONUMFS"/>
        <w:rPr>
          <w:lang w:val="fr-FR"/>
        </w:rPr>
      </w:pPr>
      <w:r w:rsidRPr="00DE3132">
        <w:rPr>
          <w:lang w:val="fr-FR"/>
        </w:rPr>
        <w:t>À sa cinquante</w:t>
      </w:r>
      <w:r w:rsidR="00347C75">
        <w:rPr>
          <w:lang w:val="fr-FR"/>
        </w:rPr>
        <w:noBreakHyphen/>
      </w:r>
      <w:r w:rsidRPr="00DE3132">
        <w:rPr>
          <w:lang w:val="fr-FR"/>
        </w:rPr>
        <w:t>quatr</w:t>
      </w:r>
      <w:r w:rsidR="005902DD" w:rsidRPr="00DE3132">
        <w:rPr>
          <w:lang w:val="fr-FR"/>
        </w:rPr>
        <w:t>ième session</w:t>
      </w:r>
      <w:r w:rsidRPr="00DE3132">
        <w:rPr>
          <w:lang w:val="fr-FR"/>
        </w:rPr>
        <w:t xml:space="preserve"> (25e session ordinaire), tenue à Genève en </w:t>
      </w:r>
      <w:r w:rsidR="005902DD" w:rsidRPr="00DE3132">
        <w:rPr>
          <w:lang w:val="fr-FR"/>
        </w:rPr>
        <w:t>octobre 20</w:t>
      </w:r>
      <w:r w:rsidRPr="00DE3132">
        <w:rPr>
          <w:lang w:val="fr-FR"/>
        </w:rPr>
        <w:t>21, l</w:t>
      </w:r>
      <w:r w:rsidR="005902DD" w:rsidRPr="00DE3132">
        <w:rPr>
          <w:lang w:val="fr-FR"/>
        </w:rPr>
        <w:t>’</w:t>
      </w:r>
      <w:r w:rsidRPr="00DE3132">
        <w:rPr>
          <w:lang w:val="fr-FR"/>
        </w:rPr>
        <w:t>Assemblée générale de l</w:t>
      </w:r>
      <w:r w:rsidR="005902DD" w:rsidRPr="00DE3132">
        <w:rPr>
          <w:lang w:val="fr-FR"/>
        </w:rPr>
        <w:t>’</w:t>
      </w:r>
      <w:r w:rsidRPr="00DE3132">
        <w:rPr>
          <w:lang w:val="fr-FR"/>
        </w:rPr>
        <w:t>OMPI a approuvé la date de mise en œuvre de la version 1.5 de la norme ST.26 de l</w:t>
      </w:r>
      <w:r w:rsidR="005902DD" w:rsidRPr="00DE3132">
        <w:rPr>
          <w:lang w:val="fr-FR"/>
        </w:rPr>
        <w:t>’</w:t>
      </w:r>
      <w:r w:rsidRPr="00DE3132">
        <w:rPr>
          <w:lang w:val="fr-FR"/>
        </w:rPr>
        <w:t xml:space="preserve">OMPI, le même jour, </w:t>
      </w:r>
      <w:r w:rsidR="005902DD" w:rsidRPr="00DE3132">
        <w:rPr>
          <w:lang w:val="fr-FR"/>
        </w:rPr>
        <w:t>à savoir</w:t>
      </w:r>
      <w:r w:rsidRPr="00DE3132">
        <w:rPr>
          <w:lang w:val="fr-FR"/>
        </w:rPr>
        <w:t xml:space="preserve"> le </w:t>
      </w:r>
      <w:r w:rsidR="005902DD" w:rsidRPr="00DE3132">
        <w:rPr>
          <w:lang w:val="fr-FR"/>
        </w:rPr>
        <w:t>1</w:t>
      </w:r>
      <w:r w:rsidR="005902DD" w:rsidRPr="00DE3132">
        <w:rPr>
          <w:vertAlign w:val="superscript"/>
          <w:lang w:val="fr-FR"/>
        </w:rPr>
        <w:t>er</w:t>
      </w:r>
      <w:r w:rsidR="005902DD" w:rsidRPr="00DE3132">
        <w:rPr>
          <w:lang w:val="fr-FR"/>
        </w:rPr>
        <w:t> juillet 20</w:t>
      </w:r>
      <w:r w:rsidRPr="00DE3132">
        <w:rPr>
          <w:lang w:val="fr-FR"/>
        </w:rPr>
        <w:t xml:space="preserve">22, aux niveaux national, régional et international (voir le paragraphe 183 du </w:t>
      </w:r>
      <w:r w:rsidR="005902DD" w:rsidRPr="00DE3132">
        <w:rPr>
          <w:lang w:val="fr-FR"/>
        </w:rPr>
        <w:t>document</w:t>
      </w:r>
      <w:r w:rsidR="00DE3132">
        <w:rPr>
          <w:lang w:val="fr-FR"/>
        </w:rPr>
        <w:t> </w:t>
      </w:r>
      <w:r w:rsidR="005902DD" w:rsidRPr="00DE3132">
        <w:rPr>
          <w:lang w:val="fr-FR"/>
        </w:rPr>
        <w:t>WO</w:t>
      </w:r>
      <w:r w:rsidRPr="00DE3132">
        <w:rPr>
          <w:lang w:val="fr-FR"/>
        </w:rPr>
        <w:t>/GA/54/15).  Depuis cette version, la norme ST.26 de l</w:t>
      </w:r>
      <w:r w:rsidR="005902DD" w:rsidRPr="00DE3132">
        <w:rPr>
          <w:lang w:val="fr-FR"/>
        </w:rPr>
        <w:t>’</w:t>
      </w:r>
      <w:r w:rsidRPr="00DE3132">
        <w:rPr>
          <w:lang w:val="fr-FR"/>
        </w:rPr>
        <w:t>OMPI a été révisée deux</w:t>
      </w:r>
      <w:r w:rsidR="003F469F" w:rsidRPr="00DE3132">
        <w:rPr>
          <w:lang w:val="fr-FR"/>
        </w:rPr>
        <w:t> </w:t>
      </w:r>
      <w:r w:rsidRPr="00DE3132">
        <w:rPr>
          <w:lang w:val="fr-FR"/>
        </w:rPr>
        <w:t>fois, avec les versions 1.6 et 1.7.  Cette norme est également mentionnée à l</w:t>
      </w:r>
      <w:r w:rsidR="005902DD" w:rsidRPr="00DE3132">
        <w:rPr>
          <w:lang w:val="fr-FR"/>
        </w:rPr>
        <w:t>’annexe C</w:t>
      </w:r>
      <w:r w:rsidRPr="00DE3132">
        <w:rPr>
          <w:lang w:val="fr-FR"/>
        </w:rPr>
        <w:t xml:space="preserve"> des Instructions administratives</w:t>
      </w:r>
      <w:r w:rsidR="005902DD" w:rsidRPr="00DE3132">
        <w:rPr>
          <w:lang w:val="fr-FR"/>
        </w:rPr>
        <w:t xml:space="preserve"> du PCT</w:t>
      </w:r>
      <w:r w:rsidRPr="00DE3132">
        <w:rPr>
          <w:lang w:val="fr-FR"/>
        </w:rPr>
        <w:t>.</w:t>
      </w:r>
    </w:p>
    <w:p w14:paraId="2D9044B1" w14:textId="25E15F03" w:rsidR="00D97730" w:rsidRPr="00DE3132" w:rsidRDefault="00D97730" w:rsidP="00347C75">
      <w:pPr>
        <w:pStyle w:val="ONUMFS"/>
        <w:rPr>
          <w:lang w:val="fr-FR"/>
        </w:rPr>
      </w:pPr>
      <w:r w:rsidRPr="00DE3132">
        <w:rPr>
          <w:lang w:val="fr-FR"/>
        </w:rPr>
        <w:t>Au cours des deux</w:t>
      </w:r>
      <w:r w:rsidR="003F469F" w:rsidRPr="00DE3132">
        <w:rPr>
          <w:lang w:val="fr-FR"/>
        </w:rPr>
        <w:t> </w:t>
      </w:r>
      <w:r w:rsidRPr="00DE3132">
        <w:rPr>
          <w:lang w:val="fr-FR"/>
        </w:rPr>
        <w:t>dernières années, l</w:t>
      </w:r>
      <w:r w:rsidR="005902DD" w:rsidRPr="00DE3132">
        <w:rPr>
          <w:lang w:val="fr-FR"/>
        </w:rPr>
        <w:t>’</w:t>
      </w:r>
      <w:r w:rsidRPr="00DE3132">
        <w:rPr>
          <w:lang w:val="fr-FR"/>
        </w:rPr>
        <w:t>Équipe d</w:t>
      </w:r>
      <w:r w:rsidR="005902DD" w:rsidRPr="00DE3132">
        <w:rPr>
          <w:lang w:val="fr-FR"/>
        </w:rPr>
        <w:t>’</w:t>
      </w:r>
      <w:r w:rsidRPr="00DE3132">
        <w:rPr>
          <w:lang w:val="fr-FR"/>
        </w:rPr>
        <w:t>experts</w:t>
      </w:r>
      <w:r w:rsidR="005902DD" w:rsidRPr="00DE3132">
        <w:rPr>
          <w:lang w:val="fr-FR"/>
        </w:rPr>
        <w:t xml:space="preserve"> du CWS</w:t>
      </w:r>
      <w:r w:rsidRPr="00DE3132">
        <w:rPr>
          <w:lang w:val="fr-FR"/>
        </w:rPr>
        <w:t xml:space="preserve"> chargée de la norme relative aux listages des séquences, qui est responsable du maintien de la norme ST.26 de l</w:t>
      </w:r>
      <w:r w:rsidR="005902DD" w:rsidRPr="00DE3132">
        <w:rPr>
          <w:lang w:val="fr-FR"/>
        </w:rPr>
        <w:t>’</w:t>
      </w:r>
      <w:r w:rsidRPr="00DE3132">
        <w:rPr>
          <w:lang w:val="fr-FR"/>
        </w:rPr>
        <w:t>OMPI et qui est composée d</w:t>
      </w:r>
      <w:r w:rsidR="005902DD" w:rsidRPr="00DE3132">
        <w:rPr>
          <w:lang w:val="fr-FR"/>
        </w:rPr>
        <w:t>’</w:t>
      </w:r>
      <w:r w:rsidRPr="00DE3132">
        <w:rPr>
          <w:lang w:val="fr-FR"/>
        </w:rPr>
        <w:t>experts des offices de brevets du monde entier dans le domaine commercial, a examiné deux</w:t>
      </w:r>
      <w:r w:rsidR="003F469F" w:rsidRPr="00DE3132">
        <w:rPr>
          <w:lang w:val="fr-FR"/>
        </w:rPr>
        <w:t> </w:t>
      </w:r>
      <w:r w:rsidRPr="00DE3132">
        <w:rPr>
          <w:lang w:val="fr-FR"/>
        </w:rPr>
        <w:t>modifications de fond</w:t>
      </w:r>
      <w:r w:rsidR="005902DD" w:rsidRPr="00DE3132">
        <w:rPr>
          <w:lang w:val="fr-FR"/>
        </w:rPr>
        <w:t> :</w:t>
      </w:r>
    </w:p>
    <w:p w14:paraId="12A80ADA" w14:textId="7A62351A" w:rsidR="00D97730" w:rsidRPr="00DE3132" w:rsidRDefault="00D97730" w:rsidP="00347C75">
      <w:pPr>
        <w:pStyle w:val="ONUMFS"/>
        <w:numPr>
          <w:ilvl w:val="1"/>
          <w:numId w:val="6"/>
        </w:numPr>
        <w:rPr>
          <w:lang w:val="fr-FR"/>
        </w:rPr>
      </w:pPr>
      <w:proofErr w:type="gramStart"/>
      <w:r w:rsidRPr="00DE3132">
        <w:rPr>
          <w:lang w:val="fr-FR"/>
        </w:rPr>
        <w:t>la</w:t>
      </w:r>
      <w:proofErr w:type="gramEnd"/>
      <w:r w:rsidRPr="00DE3132">
        <w:rPr>
          <w:lang w:val="fr-FR"/>
        </w:rPr>
        <w:t xml:space="preserve"> suppression de l</w:t>
      </w:r>
      <w:r w:rsidR="005902DD" w:rsidRPr="00DE3132">
        <w:rPr>
          <w:lang w:val="fr-FR"/>
        </w:rPr>
        <w:t>’</w:t>
      </w:r>
      <w:r w:rsidRPr="00DE3132">
        <w:rPr>
          <w:lang w:val="fr-FR"/>
        </w:rPr>
        <w:t>“exigence de longueur minimale</w:t>
      </w:r>
      <w:proofErr w:type="gramStart"/>
      <w:r w:rsidRPr="00DE3132">
        <w:rPr>
          <w:lang w:val="fr-FR"/>
        </w:rPr>
        <w:t xml:space="preserve">”; </w:t>
      </w:r>
      <w:r w:rsidR="003F469F" w:rsidRPr="00DE3132">
        <w:rPr>
          <w:lang w:val="fr-FR"/>
        </w:rPr>
        <w:t xml:space="preserve"> </w:t>
      </w:r>
      <w:r w:rsidRPr="00DE3132">
        <w:rPr>
          <w:lang w:val="fr-FR"/>
        </w:rPr>
        <w:t>et</w:t>
      </w:r>
      <w:proofErr w:type="gramEnd"/>
    </w:p>
    <w:p w14:paraId="53B50AC9" w14:textId="487D1840" w:rsidR="00D97730" w:rsidRPr="00DE3132" w:rsidRDefault="00347C75" w:rsidP="00347C75">
      <w:pPr>
        <w:pStyle w:val="ONUMFS"/>
        <w:numPr>
          <w:ilvl w:val="1"/>
          <w:numId w:val="6"/>
        </w:numPr>
        <w:rPr>
          <w:lang w:val="fr-FR"/>
        </w:rPr>
      </w:pPr>
      <w:proofErr w:type="gramStart"/>
      <w:r>
        <w:rPr>
          <w:lang w:val="fr-FR"/>
        </w:rPr>
        <w:t>l</w:t>
      </w:r>
      <w:r w:rsidR="00D97730" w:rsidRPr="00DE3132">
        <w:rPr>
          <w:lang w:val="fr-FR"/>
        </w:rPr>
        <w:t>a</w:t>
      </w:r>
      <w:proofErr w:type="gramEnd"/>
      <w:r w:rsidR="00D97730" w:rsidRPr="00DE3132">
        <w:rPr>
          <w:lang w:val="fr-FR"/>
        </w:rPr>
        <w:t xml:space="preserve"> divulgation obligatoire d</w:t>
      </w:r>
      <w:r w:rsidR="005902DD" w:rsidRPr="00DE3132">
        <w:rPr>
          <w:lang w:val="fr-FR"/>
        </w:rPr>
        <w:t>’</w:t>
      </w:r>
      <w:r w:rsidR="00D97730" w:rsidRPr="00DE3132">
        <w:rPr>
          <w:lang w:val="fr-FR"/>
        </w:rPr>
        <w:t>analogues nucléotidiques et d</w:t>
      </w:r>
      <w:r w:rsidR="005902DD" w:rsidRPr="00DE3132">
        <w:rPr>
          <w:lang w:val="fr-FR"/>
        </w:rPr>
        <w:t>’</w:t>
      </w:r>
      <w:r w:rsidR="00D97730" w:rsidRPr="00DE3132">
        <w:rPr>
          <w:lang w:val="fr-FR"/>
        </w:rPr>
        <w:t>analogues peptidiques à l</w:t>
      </w:r>
      <w:r w:rsidR="005902DD" w:rsidRPr="00DE3132">
        <w:rPr>
          <w:lang w:val="fr-FR"/>
        </w:rPr>
        <w:t>’</w:t>
      </w:r>
      <w:r w:rsidR="00D97730" w:rsidRPr="00DE3132">
        <w:rPr>
          <w:lang w:val="fr-FR"/>
        </w:rPr>
        <w:t>aide de symboles spécialement définis.</w:t>
      </w:r>
    </w:p>
    <w:p w14:paraId="636BA6B2" w14:textId="08AED253" w:rsidR="00D97730" w:rsidRPr="00DE3132" w:rsidRDefault="00D97730" w:rsidP="00347C75">
      <w:pPr>
        <w:pStyle w:val="ONUMFS"/>
        <w:rPr>
          <w:lang w:val="fr-FR"/>
        </w:rPr>
      </w:pPr>
      <w:r w:rsidRPr="00DE3132">
        <w:rPr>
          <w:lang w:val="fr-FR"/>
        </w:rPr>
        <w:t>L</w:t>
      </w:r>
      <w:r w:rsidR="005902DD" w:rsidRPr="00DE3132">
        <w:rPr>
          <w:lang w:val="fr-FR"/>
        </w:rPr>
        <w:t>’</w:t>
      </w:r>
      <w:r w:rsidRPr="00DE3132">
        <w:rPr>
          <w:lang w:val="fr-FR"/>
        </w:rPr>
        <w:t>“exigence de longueur minimale” garantit que seules les séquences comptant un certain nombre de résidus sont incluses dans le listage de séquenc</w:t>
      </w:r>
      <w:r w:rsidR="00DE3132" w:rsidRPr="00DE3132">
        <w:rPr>
          <w:lang w:val="fr-FR"/>
        </w:rPr>
        <w:t>es.  L’o</w:t>
      </w:r>
      <w:r w:rsidRPr="00DE3132">
        <w:rPr>
          <w:lang w:val="fr-FR"/>
        </w:rPr>
        <w:t>bjectif était d</w:t>
      </w:r>
      <w:r w:rsidR="005902DD" w:rsidRPr="00DE3132">
        <w:rPr>
          <w:lang w:val="fr-FR"/>
        </w:rPr>
        <w:t>’</w:t>
      </w:r>
      <w:r w:rsidRPr="00DE3132">
        <w:rPr>
          <w:lang w:val="fr-FR"/>
        </w:rPr>
        <w:t>éviter que les bases de données publiques ne soient encombrées de séquences courtes, ce qui multiplierait le nombre de correspondances inutiles pendant les recherch</w:t>
      </w:r>
      <w:r w:rsidR="00DE3132" w:rsidRPr="00DE3132">
        <w:rPr>
          <w:lang w:val="fr-FR"/>
        </w:rPr>
        <w:t>es.  Da</w:t>
      </w:r>
      <w:r w:rsidRPr="00DE3132">
        <w:rPr>
          <w:lang w:val="fr-FR"/>
        </w:rPr>
        <w:t>ns un premier temps, l</w:t>
      </w:r>
      <w:r w:rsidR="005902DD" w:rsidRPr="00DE3132">
        <w:rPr>
          <w:lang w:val="fr-FR"/>
        </w:rPr>
        <w:t>’</w:t>
      </w:r>
      <w:r w:rsidRPr="00DE3132">
        <w:rPr>
          <w:lang w:val="fr-FR"/>
        </w:rPr>
        <w:t>équipe d</w:t>
      </w:r>
      <w:r w:rsidR="005902DD" w:rsidRPr="00DE3132">
        <w:rPr>
          <w:lang w:val="fr-FR"/>
        </w:rPr>
        <w:t>’</w:t>
      </w:r>
      <w:r w:rsidRPr="00DE3132">
        <w:rPr>
          <w:lang w:val="fr-FR"/>
        </w:rPr>
        <w:t>experts et le public ont soutenu la restriction imposée par l</w:t>
      </w:r>
      <w:r w:rsidR="005902DD" w:rsidRPr="00DE3132">
        <w:rPr>
          <w:lang w:val="fr-FR"/>
        </w:rPr>
        <w:t>’</w:t>
      </w:r>
      <w:r w:rsidRPr="00DE3132">
        <w:rPr>
          <w:lang w:val="fr-FR"/>
        </w:rPr>
        <w:t xml:space="preserve">exigence de longueur minimale, mais le Bureau international a mené une nouvelle consultation publique </w:t>
      </w:r>
      <w:r w:rsidR="005902DD" w:rsidRPr="00DE3132">
        <w:rPr>
          <w:lang w:val="fr-FR"/>
        </w:rPr>
        <w:t>en 2025</w:t>
      </w:r>
      <w:r w:rsidRPr="00DE3132">
        <w:rPr>
          <w:lang w:val="fr-FR"/>
        </w:rPr>
        <w:t xml:space="preserve"> afin de déterminer s</w:t>
      </w:r>
      <w:r w:rsidR="005902DD" w:rsidRPr="00DE3132">
        <w:rPr>
          <w:lang w:val="fr-FR"/>
        </w:rPr>
        <w:t>’</w:t>
      </w:r>
      <w:r w:rsidRPr="00DE3132">
        <w:rPr>
          <w:lang w:val="fr-FR"/>
        </w:rPr>
        <w:t>il existait un soutien en faveur de la suppression de cette exigence après l</w:t>
      </w:r>
      <w:r w:rsidR="005902DD" w:rsidRPr="00DE3132">
        <w:rPr>
          <w:lang w:val="fr-FR"/>
        </w:rPr>
        <w:t>’</w:t>
      </w:r>
      <w:r w:rsidRPr="00DE3132">
        <w:rPr>
          <w:lang w:val="fr-FR"/>
        </w:rPr>
        <w:t>entrée en vigueur de la nor</w:t>
      </w:r>
      <w:r w:rsidR="00DE3132" w:rsidRPr="00DE3132">
        <w:rPr>
          <w:lang w:val="fr-FR"/>
        </w:rPr>
        <w:t>me.  Le</w:t>
      </w:r>
      <w:r w:rsidRPr="00DE3132">
        <w:rPr>
          <w:lang w:val="fr-FR"/>
        </w:rPr>
        <w:t>s réponses du public ont fait état d</w:t>
      </w:r>
      <w:r w:rsidR="005902DD" w:rsidRPr="00DE3132">
        <w:rPr>
          <w:lang w:val="fr-FR"/>
        </w:rPr>
        <w:t>’</w:t>
      </w:r>
      <w:r w:rsidRPr="00DE3132">
        <w:rPr>
          <w:lang w:val="fr-FR"/>
        </w:rPr>
        <w:t>un large soutien en faveur de la suppression de cette exigence de longueur minimale et les offices ont également pris note des problèmes découlant du fait que les séquences courtes ne sont pas incluses dans les listes de séquences.</w:t>
      </w:r>
    </w:p>
    <w:p w14:paraId="33E6E729" w14:textId="5206C4FD" w:rsidR="00D97730" w:rsidRPr="00DE3132" w:rsidRDefault="00D97730" w:rsidP="00347C75">
      <w:pPr>
        <w:pStyle w:val="ONUMFS"/>
        <w:rPr>
          <w:lang w:val="fr-FR"/>
        </w:rPr>
      </w:pPr>
      <w:r w:rsidRPr="00DE3132">
        <w:rPr>
          <w:lang w:val="fr-FR"/>
        </w:rPr>
        <w:t>La deuxième modification de fond concerne les analogues nucléotidiques et peptidiques qui sont actuellement divulgués au moyen de symboles modifiés de résidus et d</w:t>
      </w:r>
      <w:r w:rsidR="005902DD" w:rsidRPr="00DE3132">
        <w:rPr>
          <w:lang w:val="fr-FR"/>
        </w:rPr>
        <w:t>’</w:t>
      </w:r>
      <w:r w:rsidRPr="00DE3132">
        <w:rPr>
          <w:lang w:val="fr-FR"/>
        </w:rPr>
        <w:t>acides aminés.  La révision proposée introduit une nouvelle exigence obligatoire, selon laquelle ces séquences doivent être définies à l</w:t>
      </w:r>
      <w:r w:rsidR="005902DD" w:rsidRPr="00DE3132">
        <w:rPr>
          <w:lang w:val="fr-FR"/>
        </w:rPr>
        <w:t>’</w:t>
      </w:r>
      <w:r w:rsidRPr="00DE3132">
        <w:rPr>
          <w:lang w:val="fr-FR"/>
        </w:rPr>
        <w:t>aide de symboles spéciaux, plutôt que de symboles modifiés, afin de fournir des informations supplémentaires aux examinateurs de brevets.</w:t>
      </w:r>
    </w:p>
    <w:p w14:paraId="3C3EEA55" w14:textId="76151032" w:rsidR="00D97730" w:rsidRPr="00DE3132" w:rsidRDefault="00D97730" w:rsidP="00347C75">
      <w:pPr>
        <w:pStyle w:val="ONUMFS"/>
        <w:rPr>
          <w:lang w:val="fr-FR"/>
        </w:rPr>
      </w:pPr>
      <w:r w:rsidRPr="00DE3132">
        <w:rPr>
          <w:lang w:val="fr-FR"/>
        </w:rPr>
        <w:t>L</w:t>
      </w:r>
      <w:r w:rsidR="005902DD" w:rsidRPr="00DE3132">
        <w:rPr>
          <w:lang w:val="fr-FR"/>
        </w:rPr>
        <w:t>’</w:t>
      </w:r>
      <w:r w:rsidRPr="00DE3132">
        <w:rPr>
          <w:lang w:val="fr-FR"/>
        </w:rPr>
        <w:t>équipe d</w:t>
      </w:r>
      <w:r w:rsidR="005902DD" w:rsidRPr="00DE3132">
        <w:rPr>
          <w:lang w:val="fr-FR"/>
        </w:rPr>
        <w:t>’</w:t>
      </w:r>
      <w:r w:rsidRPr="00DE3132">
        <w:rPr>
          <w:lang w:val="fr-FR"/>
        </w:rPr>
        <w:t>experts a présenté à la treiz</w:t>
      </w:r>
      <w:r w:rsidR="005902DD" w:rsidRPr="00DE3132">
        <w:rPr>
          <w:lang w:val="fr-FR"/>
        </w:rPr>
        <w:t>ième session du CWS</w:t>
      </w:r>
      <w:r w:rsidRPr="00DE3132">
        <w:rPr>
          <w:lang w:val="fr-FR"/>
        </w:rPr>
        <w:t>, pour examen, une proposition de version 2.0 de la norme ST.26 de l</w:t>
      </w:r>
      <w:r w:rsidR="005902DD" w:rsidRPr="00DE3132">
        <w:rPr>
          <w:lang w:val="fr-FR"/>
        </w:rPr>
        <w:t>’</w:t>
      </w:r>
      <w:r w:rsidRPr="00DE3132">
        <w:rPr>
          <w:lang w:val="fr-FR"/>
        </w:rPr>
        <w:t>OMPI qui intégrait toutes les modifications nécessaires à la mise en œuvre de ces deux</w:t>
      </w:r>
      <w:r w:rsidR="003F469F" w:rsidRPr="00DE3132">
        <w:rPr>
          <w:lang w:val="fr-FR"/>
        </w:rPr>
        <w:t> </w:t>
      </w:r>
      <w:r w:rsidRPr="00DE3132">
        <w:rPr>
          <w:lang w:val="fr-FR"/>
        </w:rPr>
        <w:t>modifications de fond, ainsi que d</w:t>
      </w:r>
      <w:r w:rsidR="005902DD" w:rsidRPr="00DE3132">
        <w:rPr>
          <w:lang w:val="fr-FR"/>
        </w:rPr>
        <w:t>’</w:t>
      </w:r>
      <w:r w:rsidRPr="00DE3132">
        <w:rPr>
          <w:lang w:val="fr-FR"/>
        </w:rPr>
        <w:t>autres modifications d</w:t>
      </w:r>
      <w:r w:rsidR="005902DD" w:rsidRPr="00DE3132">
        <w:rPr>
          <w:lang w:val="fr-FR"/>
        </w:rPr>
        <w:t>’</w:t>
      </w:r>
      <w:r w:rsidRPr="00DE3132">
        <w:rPr>
          <w:lang w:val="fr-FR"/>
        </w:rPr>
        <w:t>ordre rédactionnel proposées afin d</w:t>
      </w:r>
      <w:r w:rsidR="005902DD" w:rsidRPr="00DE3132">
        <w:rPr>
          <w:lang w:val="fr-FR"/>
        </w:rPr>
        <w:t>’</w:t>
      </w:r>
      <w:r w:rsidRPr="00DE3132">
        <w:rPr>
          <w:lang w:val="fr-FR"/>
        </w:rPr>
        <w:t>améliorer la qualité de la nor</w:t>
      </w:r>
      <w:r w:rsidR="00DE3132" w:rsidRPr="00DE3132">
        <w:rPr>
          <w:lang w:val="fr-FR"/>
        </w:rPr>
        <w:t>me.  Le</w:t>
      </w:r>
      <w:r w:rsidRPr="00DE3132">
        <w:rPr>
          <w:lang w:val="fr-FR"/>
        </w:rPr>
        <w:t xml:space="preserve"> comité a approuvé la proposition par consensus, ainsi que la date d</w:t>
      </w:r>
      <w:r w:rsidR="005902DD" w:rsidRPr="00DE3132">
        <w:rPr>
          <w:lang w:val="fr-FR"/>
        </w:rPr>
        <w:t>’</w:t>
      </w:r>
      <w:r w:rsidRPr="00DE3132">
        <w:rPr>
          <w:lang w:val="fr-FR"/>
        </w:rPr>
        <w:t>entrée en vigueur fixée au</w:t>
      </w:r>
      <w:r w:rsidR="00347C75">
        <w:rPr>
          <w:lang w:val="fr-FR"/>
        </w:rPr>
        <w:t> </w:t>
      </w:r>
      <w:r w:rsidR="005902DD" w:rsidRPr="00DE3132">
        <w:rPr>
          <w:lang w:val="fr-FR"/>
        </w:rPr>
        <w:t>1</w:t>
      </w:r>
      <w:r w:rsidR="005902DD" w:rsidRPr="00DE3132">
        <w:rPr>
          <w:vertAlign w:val="superscript"/>
          <w:lang w:val="fr-FR"/>
        </w:rPr>
        <w:t>er</w:t>
      </w:r>
      <w:r w:rsidR="005902DD" w:rsidRPr="00DE3132">
        <w:rPr>
          <w:lang w:val="fr-FR"/>
        </w:rPr>
        <w:t> juillet 20</w:t>
      </w:r>
      <w:r w:rsidRPr="00DE3132">
        <w:rPr>
          <w:lang w:val="fr-FR"/>
        </w:rPr>
        <w:t>27.</w:t>
      </w:r>
    </w:p>
    <w:p w14:paraId="54B0A1EF" w14:textId="3A57F189" w:rsidR="00D97730" w:rsidRPr="00DE3132" w:rsidRDefault="00D97730" w:rsidP="00347C75">
      <w:pPr>
        <w:pStyle w:val="ONUMFS"/>
        <w:rPr>
          <w:lang w:val="fr-FR"/>
        </w:rPr>
      </w:pPr>
      <w:r w:rsidRPr="00DE3132">
        <w:rPr>
          <w:lang w:val="fr-FR"/>
        </w:rPr>
        <w:t xml:space="preserve">La </w:t>
      </w:r>
      <w:hyperlink r:id="rId19" w:history="1">
        <w:r w:rsidRPr="00DE3132">
          <w:rPr>
            <w:rStyle w:val="Hyperlink"/>
            <w:lang w:val="fr-FR"/>
          </w:rPr>
          <w:t xml:space="preserve">suite logicielle WIPO </w:t>
        </w:r>
        <w:proofErr w:type="spellStart"/>
        <w:r w:rsidRPr="00DE3132">
          <w:rPr>
            <w:rStyle w:val="Hyperlink"/>
            <w:lang w:val="fr-FR"/>
          </w:rPr>
          <w:t>Sequence</w:t>
        </w:r>
        <w:proofErr w:type="spellEnd"/>
      </w:hyperlink>
      <w:r w:rsidRPr="00DE3132">
        <w:rPr>
          <w:lang w:val="fr-FR"/>
        </w:rPr>
        <w:t xml:space="preserve"> est un ensemble d</w:t>
      </w:r>
      <w:r w:rsidR="005902DD" w:rsidRPr="00DE3132">
        <w:rPr>
          <w:lang w:val="fr-FR"/>
        </w:rPr>
        <w:t>’</w:t>
      </w:r>
      <w:r w:rsidRPr="00DE3132">
        <w:rPr>
          <w:lang w:val="fr-FR"/>
        </w:rPr>
        <w:t xml:space="preserve">outils mis au point et maintenus par le Bureau international afin de produire et de valider des listages de séquences en conformité </w:t>
      </w:r>
      <w:r w:rsidRPr="00DE3132">
        <w:rPr>
          <w:lang w:val="fr-FR"/>
        </w:rPr>
        <w:lastRenderedPageBreak/>
        <w:t>avec la norme ST.26 de l</w:t>
      </w:r>
      <w:r w:rsidR="005902DD" w:rsidRPr="00DE3132">
        <w:rPr>
          <w:lang w:val="fr-FR"/>
        </w:rPr>
        <w:t>’</w:t>
      </w:r>
      <w:r w:rsidRPr="00DE3132">
        <w:rPr>
          <w:lang w:val="fr-FR"/>
        </w:rPr>
        <w:t>O</w:t>
      </w:r>
      <w:r w:rsidR="00DE3132" w:rsidRPr="00DE3132">
        <w:rPr>
          <w:lang w:val="fr-FR"/>
        </w:rPr>
        <w:t>MPI.  Ai</w:t>
      </w:r>
      <w:r w:rsidRPr="00DE3132">
        <w:rPr>
          <w:lang w:val="fr-FR"/>
        </w:rPr>
        <w:t>nsi, à chaque révision majeure de la norme ST.26 de l</w:t>
      </w:r>
      <w:r w:rsidR="005902DD" w:rsidRPr="00DE3132">
        <w:rPr>
          <w:lang w:val="fr-FR"/>
        </w:rPr>
        <w:t>’</w:t>
      </w:r>
      <w:r w:rsidRPr="00DE3132">
        <w:rPr>
          <w:lang w:val="fr-FR"/>
        </w:rPr>
        <w:t>OMPI, le logiciel doit être mis à jour pour garantir que les listages de séquences produits sont conformes à la dernière version de la nor</w:t>
      </w:r>
      <w:r w:rsidR="00DE3132" w:rsidRPr="00DE3132">
        <w:rPr>
          <w:lang w:val="fr-FR"/>
        </w:rPr>
        <w:t>me.  Se</w:t>
      </w:r>
      <w:r w:rsidRPr="00DE3132">
        <w:rPr>
          <w:lang w:val="fr-FR"/>
        </w:rPr>
        <w:t>ule la première modification de fond nécessitera une mise à jour de la suite logicielle, où les règles de validation relatives à la suppression des séquences courtes devront être retirées de la mise en œuv</w:t>
      </w:r>
      <w:r w:rsidR="00DE3132" w:rsidRPr="00DE3132">
        <w:rPr>
          <w:lang w:val="fr-FR"/>
        </w:rPr>
        <w:t>re.  Po</w:t>
      </w:r>
      <w:r w:rsidRPr="00DE3132">
        <w:rPr>
          <w:lang w:val="fr-FR"/>
        </w:rPr>
        <w:t>ur la deuxième modification, aucune vérification ne sera effectuée par la suite logicielle, mais cette recommandation permet aux examinateurs de demander des informations supplémentaires si celles</w:t>
      </w:r>
      <w:r w:rsidR="00347C75">
        <w:rPr>
          <w:lang w:val="fr-FR"/>
        </w:rPr>
        <w:noBreakHyphen/>
      </w:r>
      <w:r w:rsidRPr="00DE3132">
        <w:rPr>
          <w:lang w:val="fr-FR"/>
        </w:rPr>
        <w:t>ci ne figurent pas dans le listage des séquenc</w:t>
      </w:r>
      <w:r w:rsidR="00DE3132" w:rsidRPr="00DE3132">
        <w:rPr>
          <w:lang w:val="fr-FR"/>
        </w:rPr>
        <w:t>es.  En</w:t>
      </w:r>
      <w:r w:rsidRPr="00DE3132">
        <w:rPr>
          <w:lang w:val="fr-FR"/>
        </w:rPr>
        <w:t xml:space="preserve"> outre, il n</w:t>
      </w:r>
      <w:r w:rsidR="005902DD" w:rsidRPr="00DE3132">
        <w:rPr>
          <w:lang w:val="fr-FR"/>
        </w:rPr>
        <w:t>’</w:t>
      </w:r>
      <w:r w:rsidRPr="00DE3132">
        <w:rPr>
          <w:lang w:val="fr-FR"/>
        </w:rPr>
        <w:t>est pas prévu que les offices doivent introduire un nouveau contrôle manuel des formalités lorsqu</w:t>
      </w:r>
      <w:r w:rsidR="005902DD" w:rsidRPr="00DE3132">
        <w:rPr>
          <w:lang w:val="fr-FR"/>
        </w:rPr>
        <w:t>’</w:t>
      </w:r>
      <w:r w:rsidRPr="00DE3132">
        <w:rPr>
          <w:lang w:val="fr-FR"/>
        </w:rPr>
        <w:t>un listage des séquences est dépo</w:t>
      </w:r>
      <w:r w:rsidR="00DE3132" w:rsidRPr="00DE3132">
        <w:rPr>
          <w:lang w:val="fr-FR"/>
        </w:rPr>
        <w:t>sé.  Po</w:t>
      </w:r>
      <w:r w:rsidRPr="00DE3132">
        <w:rPr>
          <w:lang w:val="fr-FR"/>
        </w:rPr>
        <w:t xml:space="preserve">ur les versions 2.0, la mise à niveau correspondante de la suite logicielle sera mise en œuvre plus tard </w:t>
      </w:r>
      <w:r w:rsidR="005902DD" w:rsidRPr="00DE3132">
        <w:rPr>
          <w:lang w:val="fr-FR"/>
        </w:rPr>
        <w:t>en 2026</w:t>
      </w:r>
      <w:r w:rsidRPr="00DE3132">
        <w:rPr>
          <w:lang w:val="fr-FR"/>
        </w:rPr>
        <w:t>, et la nouvelle version de la suite logicielle sera fournie avant la date d</w:t>
      </w:r>
      <w:r w:rsidR="005902DD" w:rsidRPr="00DE3132">
        <w:rPr>
          <w:lang w:val="fr-FR"/>
        </w:rPr>
        <w:t>’</w:t>
      </w:r>
      <w:r w:rsidRPr="00DE3132">
        <w:rPr>
          <w:lang w:val="fr-FR"/>
        </w:rPr>
        <w:t>entrée en vigueur du</w:t>
      </w:r>
      <w:r w:rsidR="005902DD" w:rsidRPr="00DE3132">
        <w:rPr>
          <w:lang w:val="fr-FR"/>
        </w:rPr>
        <w:t xml:space="preserve"> 1</w:t>
      </w:r>
      <w:r w:rsidR="005902DD" w:rsidRPr="00DE3132">
        <w:rPr>
          <w:vertAlign w:val="superscript"/>
          <w:lang w:val="fr-FR"/>
        </w:rPr>
        <w:t>er</w:t>
      </w:r>
      <w:r w:rsidR="005902DD" w:rsidRPr="00DE3132">
        <w:rPr>
          <w:lang w:val="fr-FR"/>
        </w:rPr>
        <w:t> juillet 20</w:t>
      </w:r>
      <w:r w:rsidRPr="00DE3132">
        <w:rPr>
          <w:lang w:val="fr-FR"/>
        </w:rPr>
        <w:t>27.</w:t>
      </w:r>
    </w:p>
    <w:p w14:paraId="17412C9C" w14:textId="52660871" w:rsidR="00D97730" w:rsidRPr="00DE3132" w:rsidRDefault="00D97730" w:rsidP="00347C75">
      <w:pPr>
        <w:pStyle w:val="ONUMFS"/>
        <w:rPr>
          <w:lang w:val="fr-FR"/>
        </w:rPr>
      </w:pPr>
      <w:r w:rsidRPr="00DE3132">
        <w:rPr>
          <w:lang w:val="fr-FR"/>
        </w:rPr>
        <w:t>Cette norme étant applicable aux niveaux national, régional et international, tous les États membres doivent être informés des modifications apportées et de leur date d</w:t>
      </w:r>
      <w:r w:rsidR="005902DD" w:rsidRPr="00DE3132">
        <w:rPr>
          <w:lang w:val="fr-FR"/>
        </w:rPr>
        <w:t>’</w:t>
      </w:r>
      <w:r w:rsidRPr="00DE3132">
        <w:rPr>
          <w:lang w:val="fr-FR"/>
        </w:rPr>
        <w:t>entrée en vigueur.</w:t>
      </w:r>
    </w:p>
    <w:p w14:paraId="07B7C537" w14:textId="4BA016B6" w:rsidR="00D97730" w:rsidRPr="00DE3132" w:rsidRDefault="00D97730" w:rsidP="00347C75">
      <w:pPr>
        <w:pStyle w:val="Endofdocument-Annex"/>
      </w:pPr>
      <w:r w:rsidRPr="00DE3132">
        <w:t>[L</w:t>
      </w:r>
      <w:r w:rsidR="005902DD" w:rsidRPr="00DE3132">
        <w:t>’</w:t>
      </w:r>
      <w:r w:rsidRPr="00DE3132">
        <w:t>annexe II suit]</w:t>
      </w:r>
    </w:p>
    <w:p w14:paraId="44B74F3E" w14:textId="77777777" w:rsidR="00D97730" w:rsidRPr="00DE3132" w:rsidRDefault="00D97730" w:rsidP="00347C75">
      <w:pPr>
        <w:pStyle w:val="Endofdocument-Annex"/>
        <w:sectPr w:rsidR="00D97730" w:rsidRPr="00DE3132" w:rsidSect="00C1008E">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pPr>
    </w:p>
    <w:p w14:paraId="7AA5BD50" w14:textId="77777777" w:rsidR="00347C75" w:rsidRPr="00182B7B" w:rsidRDefault="00347C75" w:rsidP="00DB0349">
      <w:pPr>
        <w:spacing w:after="120"/>
        <w:jc w:val="right"/>
      </w:pPr>
      <w:r w:rsidRPr="00182B7B">
        <w:rPr>
          <w:noProof/>
          <w:lang w:eastAsia="en-US"/>
        </w:rPr>
        <w:lastRenderedPageBreak/>
        <w:drawing>
          <wp:inline distT="0" distB="0" distL="0" distR="0" wp14:anchorId="0B5A0AFF" wp14:editId="1864A1FF">
            <wp:extent cx="2948267" cy="1332000"/>
            <wp:effectExtent l="0" t="0" r="5080" b="1905"/>
            <wp:docPr id="1965203898" name="Picture 1965203898"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3">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182B7B">
        <w:rPr>
          <w:rFonts w:ascii="Arial Black" w:hAnsi="Arial Black"/>
          <w:caps/>
          <w:noProof/>
          <w:sz w:val="15"/>
          <w:szCs w:val="15"/>
          <w:lang w:eastAsia="en-US"/>
        </w:rPr>
        <mc:AlternateContent>
          <mc:Choice Requires="wps">
            <w:drawing>
              <wp:inline distT="0" distB="0" distL="0" distR="0" wp14:anchorId="67A76071" wp14:editId="1B2BC0B8">
                <wp:extent cx="5935980" cy="0"/>
                <wp:effectExtent l="0" t="0" r="26670" b="19050"/>
                <wp:docPr id="1479770519" name="Straight Connector 1479770519"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52B45D2" id="Straight Connector 1479770519"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35CB0AE" w14:textId="77777777" w:rsidR="00347C75" w:rsidRPr="00182B7B" w:rsidRDefault="00347C75" w:rsidP="00DB0349">
      <w:pPr>
        <w:jc w:val="right"/>
        <w:rPr>
          <w:rFonts w:ascii="Arial Black" w:hAnsi="Arial Black"/>
          <w:caps/>
          <w:sz w:val="15"/>
          <w:szCs w:val="15"/>
        </w:rPr>
      </w:pPr>
      <w:r w:rsidRPr="00182B7B">
        <w:rPr>
          <w:rFonts w:ascii="Arial Black" w:hAnsi="Arial Black"/>
          <w:caps/>
          <w:sz w:val="15"/>
          <w:szCs w:val="15"/>
        </w:rPr>
        <w:t>CWS/13/21</w:t>
      </w:r>
    </w:p>
    <w:p w14:paraId="55F2DE8C" w14:textId="77777777" w:rsidR="00347C75" w:rsidRPr="00182B7B" w:rsidRDefault="00347C75" w:rsidP="00DB0349">
      <w:pPr>
        <w:jc w:val="right"/>
        <w:rPr>
          <w:rFonts w:ascii="Arial Black" w:hAnsi="Arial Black"/>
          <w:caps/>
          <w:sz w:val="15"/>
          <w:szCs w:val="15"/>
        </w:rPr>
      </w:pPr>
      <w:r w:rsidRPr="00182B7B">
        <w:rPr>
          <w:rFonts w:ascii="Arial Black" w:hAnsi="Arial Black"/>
          <w:caps/>
          <w:sz w:val="15"/>
          <w:szCs w:val="15"/>
        </w:rPr>
        <w:t>Original : anglais</w:t>
      </w:r>
    </w:p>
    <w:p w14:paraId="61508ACE" w14:textId="77777777" w:rsidR="00347C75" w:rsidRPr="00182B7B" w:rsidRDefault="00347C75" w:rsidP="00DB0349">
      <w:pPr>
        <w:spacing w:after="1200"/>
        <w:jc w:val="right"/>
        <w:rPr>
          <w:rFonts w:ascii="Arial Black" w:hAnsi="Arial Black"/>
          <w:caps/>
          <w:sz w:val="15"/>
          <w:szCs w:val="15"/>
        </w:rPr>
      </w:pPr>
      <w:r w:rsidRPr="00182B7B">
        <w:rPr>
          <w:rFonts w:ascii="Arial Black" w:hAnsi="Arial Black"/>
          <w:caps/>
          <w:sz w:val="15"/>
          <w:szCs w:val="15"/>
        </w:rPr>
        <w:t>Date : 25 septembre 2025</w:t>
      </w:r>
    </w:p>
    <w:p w14:paraId="69E9FAE4" w14:textId="77777777" w:rsidR="00347C75" w:rsidRPr="00182B7B" w:rsidRDefault="00347C75" w:rsidP="00DB0349">
      <w:pPr>
        <w:spacing w:after="600"/>
        <w:rPr>
          <w:b/>
          <w:sz w:val="28"/>
          <w:szCs w:val="28"/>
        </w:rPr>
      </w:pPr>
      <w:r w:rsidRPr="00182B7B">
        <w:rPr>
          <w:b/>
          <w:sz w:val="28"/>
          <w:szCs w:val="28"/>
        </w:rPr>
        <w:t>Comité des normes de l’OMPI (CWS)</w:t>
      </w:r>
    </w:p>
    <w:p w14:paraId="504AF8E9" w14:textId="77777777" w:rsidR="00347C75" w:rsidRPr="00182B7B" w:rsidRDefault="00347C75" w:rsidP="008B2CC1">
      <w:pPr>
        <w:rPr>
          <w:b/>
          <w:sz w:val="28"/>
          <w:szCs w:val="24"/>
        </w:rPr>
      </w:pPr>
      <w:r w:rsidRPr="00182B7B">
        <w:rPr>
          <w:b/>
          <w:sz w:val="24"/>
        </w:rPr>
        <w:t>Treizième session</w:t>
      </w:r>
    </w:p>
    <w:p w14:paraId="673BD4B0" w14:textId="77777777" w:rsidR="00347C75" w:rsidRPr="00182B7B" w:rsidRDefault="00347C75" w:rsidP="00DB0349">
      <w:pPr>
        <w:spacing w:after="720"/>
        <w:rPr>
          <w:b/>
          <w:sz w:val="28"/>
          <w:szCs w:val="24"/>
        </w:rPr>
      </w:pPr>
      <w:r w:rsidRPr="00182B7B">
        <w:rPr>
          <w:b/>
          <w:sz w:val="24"/>
        </w:rPr>
        <w:t>Genève, 10 – 14 novembre 2025</w:t>
      </w:r>
    </w:p>
    <w:p w14:paraId="7D5B602A" w14:textId="77777777" w:rsidR="00347C75" w:rsidRPr="00182B7B" w:rsidRDefault="00347C75" w:rsidP="00790698">
      <w:pPr>
        <w:spacing w:after="360"/>
        <w:outlineLvl w:val="0"/>
        <w:rPr>
          <w:caps/>
          <w:sz w:val="24"/>
        </w:rPr>
      </w:pPr>
      <w:r w:rsidRPr="00182B7B">
        <w:rPr>
          <w:caps/>
          <w:sz w:val="24"/>
        </w:rPr>
        <w:t>Rapport présenté par le Bureau international sur la prestation de services consultatifs et d’assistance technique aux fins du renforcement des capacités des offices de propriété industrielle en rapport avec le mandat du CWS</w:t>
      </w:r>
    </w:p>
    <w:p w14:paraId="3585319B" w14:textId="77777777" w:rsidR="00347C75" w:rsidRPr="00182B7B" w:rsidRDefault="00347C75" w:rsidP="00790698">
      <w:pPr>
        <w:spacing w:after="960"/>
        <w:rPr>
          <w:i/>
        </w:rPr>
      </w:pPr>
      <w:bookmarkStart w:id="6" w:name="Prepared"/>
      <w:bookmarkEnd w:id="6"/>
      <w:r w:rsidRPr="00182B7B">
        <w:rPr>
          <w:i/>
        </w:rPr>
        <w:t>Document établi par le Secrétariat</w:t>
      </w:r>
    </w:p>
    <w:p w14:paraId="51CCD502" w14:textId="77777777" w:rsidR="00347C75" w:rsidRPr="00182B7B" w:rsidRDefault="00347C75" w:rsidP="00182B7B">
      <w:pPr>
        <w:pStyle w:val="Heading2"/>
      </w:pPr>
      <w:r w:rsidRPr="00182B7B">
        <w:t>Introduction</w:t>
      </w:r>
    </w:p>
    <w:p w14:paraId="3A14956E" w14:textId="71C3F4F5" w:rsidR="00347C75" w:rsidRPr="00347C75" w:rsidRDefault="00347C75" w:rsidP="00347C75">
      <w:pPr>
        <w:pStyle w:val="ONUMFS"/>
        <w:numPr>
          <w:ilvl w:val="0"/>
          <w:numId w:val="10"/>
        </w:numPr>
        <w:rPr>
          <w:color w:val="000000" w:themeColor="text1"/>
        </w:rPr>
      </w:pPr>
      <w:r w:rsidRPr="00182B7B">
        <w:t>Le présent rapport vise à mettre en œuvre la décision prise par l’Assemblée générale en 2011 eu égard au mandat du Comité des normes de l’OMPI (CWS) et à la soumission régulière de rapports écrits sur le détail des activités menées en 2024 dans le cadre desquelles le Secrétariat ou le Bureau international de l’OMPI s’est efforcé “de fournir des services consultatifs et d’assistance technique aux fins du renforcement des capacités aux offices de propriété intellectuelle en entreprenant des projets relatifs à la diffusion de l’information en matière de normes de propriété intellectuelle” (voir le paragraphe 190 du document</w:t>
      </w:r>
      <w:r>
        <w:t> </w:t>
      </w:r>
      <w:r w:rsidRPr="00182B7B">
        <w:t>WO/GA/40/19).  De plus amples informations sur les activités d’assistance technique menées par l’Organisation sont disponibles dans la base de données relatives à l’assistance technique (</w:t>
      </w:r>
      <w:hyperlink r:id="rId22" w:history="1">
        <w:r w:rsidRPr="00182B7B">
          <w:rPr>
            <w:rStyle w:val="Hyperlink"/>
          </w:rPr>
          <w:t>www.wipo.int/tad</w:t>
        </w:r>
      </w:hyperlink>
      <w:r w:rsidRPr="00182B7B">
        <w:t>).</w:t>
      </w:r>
    </w:p>
    <w:p w14:paraId="42B55F6C" w14:textId="77777777" w:rsidR="00347C75" w:rsidRPr="00182B7B" w:rsidRDefault="00347C75" w:rsidP="00182B7B">
      <w:pPr>
        <w:pStyle w:val="ONUMFS"/>
      </w:pPr>
      <w:r w:rsidRPr="00182B7B">
        <w:t xml:space="preserve">Les normes de l’OMPI étant appliquées dans divers systèmes informatiques et logiciels de l’Organisation, tels que les Solutions opérationnelles de l’OMPI à l’intention des offices de propriété intellectuelle ou WIPO </w:t>
      </w:r>
      <w:proofErr w:type="spellStart"/>
      <w:r w:rsidRPr="00182B7B">
        <w:t>Sequence</w:t>
      </w:r>
      <w:proofErr w:type="spellEnd"/>
      <w:r w:rsidRPr="00182B7B">
        <w:t>, les activités indiquées ci</w:t>
      </w:r>
      <w:r>
        <w:noBreakHyphen/>
      </w:r>
      <w:r w:rsidRPr="00182B7B">
        <w:t>après portent aussi implicitement sur la diffusion d’informations pertinentes en matière de normes de propriété intellectuelle.</w:t>
      </w:r>
    </w:p>
    <w:p w14:paraId="431A907F" w14:textId="77777777" w:rsidR="00347C75" w:rsidRPr="00182B7B" w:rsidRDefault="00347C75" w:rsidP="00182B7B">
      <w:pPr>
        <w:pStyle w:val="Heading2"/>
      </w:pPr>
      <w:r>
        <w:lastRenderedPageBreak/>
        <w:t>F</w:t>
      </w:r>
      <w:r w:rsidRPr="00182B7B">
        <w:t>ormation à l’utilisation des normes de l’</w:t>
      </w:r>
      <w:r w:rsidRPr="00182B7B">
        <w:rPr>
          <w:rStyle w:val="Heading2Char"/>
        </w:rPr>
        <w:t>OMPI</w:t>
      </w:r>
      <w:r w:rsidRPr="00182B7B">
        <w:t xml:space="preserve"> et services consultatifs connexes</w:t>
      </w:r>
    </w:p>
    <w:p w14:paraId="6D261EF1" w14:textId="77777777" w:rsidR="00347C75" w:rsidRPr="00182B7B" w:rsidRDefault="00347C75" w:rsidP="00182B7B">
      <w:pPr>
        <w:pStyle w:val="ONUMFS"/>
      </w:pPr>
      <w:r w:rsidRPr="00182B7B">
        <w:t>En 2024, le Bureau international a fourni des services consultatifs via des courriers électroniques et des conférences en ligne, afin d’aider les utilisateurs et les offices de propriété intellectuelle à utiliser les normes de l’OMPI, concernant notamment la mise en œuvre des normes ST.26 et ST.96 de l’OMPI, ainsi que sur la production d’un fichier d’autorité conforme à la norme ST.37 de l’OMPI.</w:t>
      </w:r>
    </w:p>
    <w:p w14:paraId="6A7DF657" w14:textId="77777777" w:rsidR="00347C75" w:rsidRPr="00182B7B" w:rsidRDefault="00347C75" w:rsidP="00182B7B">
      <w:pPr>
        <w:pStyle w:val="ONUMFS"/>
      </w:pPr>
      <w:r w:rsidRPr="00182B7B">
        <w:t xml:space="preserve">Dans le prolongement du modèle de validation de l’année dernière pour la divulgation technique publique des données sur les séquences de variétés végétales, le Bureau international a lancé une nouvelle équipe d’experts chargée d’étudier plus avant l’ajout de ces données dans PATENTSCOPE et d’en définir la portée.  L’Agence nationale indonésienne pour la recherche et l’innovation (BRIN) s’est associée au Bureau international, par l’intermédiaire de l’Académie de l’OMPI, pour fournir des séquences génomiques de variétés végétales populaires.  Puisque les données sur les séquences devaient être converties selon la norme ST.26 de l’OMPI, une formation a été dispensée à cette agence sur la norme ST.26 de l’OMPI et sur WIPO </w:t>
      </w:r>
      <w:proofErr w:type="spellStart"/>
      <w:r w:rsidRPr="00182B7B">
        <w:t>Sequence</w:t>
      </w:r>
      <w:proofErr w:type="spellEnd"/>
      <w:r w:rsidRPr="00182B7B">
        <w:t>.</w:t>
      </w:r>
    </w:p>
    <w:p w14:paraId="7D604BEE" w14:textId="77777777" w:rsidR="00347C75" w:rsidRPr="00182B7B" w:rsidRDefault="00347C75" w:rsidP="00182B7B">
      <w:pPr>
        <w:pStyle w:val="ONUMFS"/>
      </w:pPr>
      <w:r w:rsidRPr="00182B7B">
        <w:t>En réponse aux observations des offices de propriété intellectuelle et des utilisateurs, le Bureau international a lancé un nouveau projet de développement de la suite logicielle WIPO </w:t>
      </w:r>
      <w:proofErr w:type="spellStart"/>
      <w:r w:rsidRPr="00182B7B">
        <w:t>Sequence</w:t>
      </w:r>
      <w:proofErr w:type="spellEnd"/>
      <w:r w:rsidRPr="00182B7B">
        <w:t xml:space="preserve"> axé sur l’amélioration des performances de la validation XML.  Pour ce faire, une pile technologique actualisée a été mise en œuvre à la fois pour WIPO </w:t>
      </w:r>
      <w:proofErr w:type="spellStart"/>
      <w:r w:rsidRPr="00182B7B">
        <w:t>Sequence</w:t>
      </w:r>
      <w:proofErr w:type="spellEnd"/>
      <w:r w:rsidRPr="00182B7B">
        <w:t xml:space="preserve"> et WIPO </w:t>
      </w:r>
      <w:proofErr w:type="spellStart"/>
      <w:r w:rsidRPr="00182B7B">
        <w:t>Sequence</w:t>
      </w:r>
      <w:proofErr w:type="spellEnd"/>
      <w:r w:rsidRPr="00182B7B">
        <w:t xml:space="preserve"> </w:t>
      </w:r>
      <w:proofErr w:type="spellStart"/>
      <w:r w:rsidRPr="00182B7B">
        <w:t>Validator</w:t>
      </w:r>
      <w:proofErr w:type="spellEnd"/>
      <w:r w:rsidRPr="00182B7B">
        <w:t xml:space="preserve">.  Cette refonte complète des deux composantes a nécessité de nombreux tests afin de s’assurer que la mise en œuvre est fonctionnellement équivalente à la version 2.3.0.  Le Bureau international a lancé la nouvelle version de WIPO </w:t>
      </w:r>
      <w:proofErr w:type="spellStart"/>
      <w:r w:rsidRPr="00182B7B">
        <w:t>Sequence</w:t>
      </w:r>
      <w:proofErr w:type="spellEnd"/>
      <w:r w:rsidRPr="00182B7B">
        <w:t xml:space="preserve"> </w:t>
      </w:r>
      <w:proofErr w:type="spellStart"/>
      <w:r w:rsidRPr="00182B7B">
        <w:t>Validator</w:t>
      </w:r>
      <w:proofErr w:type="spellEnd"/>
      <w:r w:rsidRPr="00182B7B">
        <w:t xml:space="preserve"> (version 3.0.0) au cours du troisième trimestre de 2024.  Le Bureau international de l’OMPI a adopté une approche plus prudente pour mettre WIPO </w:t>
      </w:r>
      <w:proofErr w:type="spellStart"/>
      <w:r w:rsidRPr="00182B7B">
        <w:t>Sequence</w:t>
      </w:r>
      <w:proofErr w:type="spellEnd"/>
      <w:r w:rsidRPr="00182B7B">
        <w:t xml:space="preserve"> à la disposition des utilisateurs, compte tenu de la stabilité de la version 2.3.0.  En 2024, il a été prévu de diffuser la version 3.0.0 auprès d’un groupe pilote d’utilisateurs, connu sous le nom de groupe </w:t>
      </w:r>
      <w:r w:rsidRPr="00182B7B">
        <w:rPr>
          <w:i/>
        </w:rPr>
        <w:t xml:space="preserve">WIPO </w:t>
      </w:r>
      <w:proofErr w:type="spellStart"/>
      <w:r w:rsidRPr="00182B7B">
        <w:rPr>
          <w:i/>
        </w:rPr>
        <w:t>Sequence</w:t>
      </w:r>
      <w:proofErr w:type="spellEnd"/>
      <w:r w:rsidRPr="00182B7B">
        <w:rPr>
          <w:i/>
        </w:rPr>
        <w:t xml:space="preserve"> </w:t>
      </w:r>
      <w:proofErr w:type="spellStart"/>
      <w:r w:rsidRPr="00182B7B">
        <w:rPr>
          <w:i/>
        </w:rPr>
        <w:t>Insider</w:t>
      </w:r>
      <w:proofErr w:type="spellEnd"/>
      <w:r w:rsidRPr="00182B7B">
        <w:t>, au cours du deuxième trimestre 2025.</w:t>
      </w:r>
    </w:p>
    <w:p w14:paraId="724DF1FA" w14:textId="77777777" w:rsidR="00347C75" w:rsidRPr="00182B7B" w:rsidRDefault="00347C75" w:rsidP="00182B7B">
      <w:pPr>
        <w:pStyle w:val="ONUMFS"/>
      </w:pPr>
      <w:r w:rsidRPr="00182B7B">
        <w:t>En ce qui concerne l’assistance technique pour la mise en œuvre de la norme ST.26 de l’OMPI et de WIPO </w:t>
      </w:r>
      <w:proofErr w:type="spellStart"/>
      <w:r w:rsidRPr="00182B7B">
        <w:t>Sequence</w:t>
      </w:r>
      <w:proofErr w:type="spellEnd"/>
      <w:r w:rsidRPr="00182B7B">
        <w:t>, le Bureau international a été invité à présenter des exposés lors de deux webinaires sur ce sujet, l’un étant proposé dans le cadre du cours DL</w:t>
      </w:r>
      <w:r>
        <w:noBreakHyphen/>
      </w:r>
      <w:r w:rsidRPr="00182B7B">
        <w:t>427 de l’Académie de l’OMPI.</w:t>
      </w:r>
    </w:p>
    <w:p w14:paraId="3349023A" w14:textId="0EB1E6D6" w:rsidR="00347C75" w:rsidRPr="00182B7B" w:rsidDel="00BB2D4A" w:rsidRDefault="00347C75" w:rsidP="00182B7B">
      <w:pPr>
        <w:pStyle w:val="ONUMFS"/>
        <w:rPr>
          <w:spacing w:val="-2"/>
        </w:rPr>
      </w:pPr>
      <w:r w:rsidRPr="00182B7B">
        <w:rPr>
          <w:spacing w:val="-2"/>
        </w:rPr>
        <w:t xml:space="preserve">En réponse à la demande formulée par le CWS lors de sa huitième session, le catalogue d’interfaces de programmation d’applications (API) pour la propriété intellectuelle a été lancé en juillet 2024.  Cette plateforme uniformisée contient une liste complète des API mises à disposition par diverses institutions de la propriété intellectuelle pour leurs produits et services.  En 2024, le Bureau international a soutenu neuf offices de propriété intellectuelle, y compris 177 API du catalogue.  En outre, le Bureau international a établi et publié deux guides détaillés dans six langues des Nations Unies, à savoir le français, l’anglais, l’arabe, le chinois, l’espagnol et le russe : le </w:t>
      </w:r>
      <w:hyperlink r:id="rId23" w:history="1">
        <w:r w:rsidRPr="00182B7B">
          <w:rPr>
            <w:rStyle w:val="Hyperlink"/>
            <w:spacing w:val="-2"/>
          </w:rPr>
          <w:t>Guide du Catalogue des API à l’intention des utilisateurs</w:t>
        </w:r>
      </w:hyperlink>
      <w:r w:rsidRPr="00182B7B">
        <w:rPr>
          <w:spacing w:val="-2"/>
        </w:rPr>
        <w:t xml:space="preserve">, qui aide les utilisateurs à naviguer et à utiliser la plateforme, et le </w:t>
      </w:r>
      <w:hyperlink r:id="rId24" w:history="1">
        <w:r w:rsidRPr="00182B7B">
          <w:rPr>
            <w:rStyle w:val="Hyperlink"/>
            <w:spacing w:val="-2"/>
          </w:rPr>
          <w:t>Guide du Catalogue des API à l’intention des institutions de propriété intellectuelle</w:t>
        </w:r>
      </w:hyperlink>
      <w:r w:rsidRPr="00182B7B">
        <w:rPr>
          <w:spacing w:val="-2"/>
        </w:rPr>
        <w:t xml:space="preserve">, qui explique comment les institutions de propriété intellectuelle peuvent mettre leurs API à disposition au moyen du catalogue.  Afin d’aider les offices de propriété intellectuelle à soumettre des fichiers de spécification </w:t>
      </w:r>
      <w:proofErr w:type="spellStart"/>
      <w:r w:rsidRPr="00182B7B">
        <w:rPr>
          <w:spacing w:val="-2"/>
        </w:rPr>
        <w:t>OpenAPI</w:t>
      </w:r>
      <w:proofErr w:type="spellEnd"/>
      <w:r w:rsidRPr="00182B7B">
        <w:rPr>
          <w:spacing w:val="-2"/>
        </w:rPr>
        <w:t xml:space="preserve"> (OAS) répondant aux exigences minimales, le Bureau international a également fourni des modèles </w:t>
      </w:r>
      <w:hyperlink r:id="rId25" w:tgtFrame="_blank" w:history="1">
        <w:r w:rsidRPr="00182B7B">
          <w:rPr>
            <w:rStyle w:val="Hyperlink"/>
            <w:spacing w:val="-2"/>
          </w:rPr>
          <w:t>JSON</w:t>
        </w:r>
      </w:hyperlink>
      <w:r w:rsidRPr="00182B7B">
        <w:rPr>
          <w:spacing w:val="-2"/>
        </w:rPr>
        <w:t xml:space="preserve"> et </w:t>
      </w:r>
      <w:hyperlink r:id="rId26" w:tgtFrame="_blank" w:history="1">
        <w:r w:rsidRPr="00182B7B">
          <w:rPr>
            <w:rStyle w:val="Hyperlink"/>
            <w:spacing w:val="-2"/>
          </w:rPr>
          <w:t>YAML</w:t>
        </w:r>
      </w:hyperlink>
      <w:r w:rsidRPr="00182B7B">
        <w:rPr>
          <w:spacing w:val="-2"/>
        </w:rPr>
        <w:t>.</w:t>
      </w:r>
    </w:p>
    <w:p w14:paraId="12E72F09" w14:textId="77777777" w:rsidR="00347C75" w:rsidRPr="00182B7B" w:rsidRDefault="00347C75" w:rsidP="00182B7B">
      <w:pPr>
        <w:pStyle w:val="ONUMFS"/>
      </w:pPr>
      <w:r w:rsidRPr="00182B7B">
        <w:t>Le Secrétariat continue de s’engager à fournir une assistance technique et à dispenser des formations concernant les normes de l’OMPI à la demande, en fonction de la disponibilité des ressources.</w:t>
      </w:r>
    </w:p>
    <w:p w14:paraId="4A041614" w14:textId="77777777" w:rsidR="00347C75" w:rsidRPr="00182B7B" w:rsidRDefault="00347C75" w:rsidP="00182B7B">
      <w:pPr>
        <w:pStyle w:val="Heading2"/>
      </w:pPr>
      <w:r>
        <w:lastRenderedPageBreak/>
        <w:t>A</w:t>
      </w:r>
      <w:r w:rsidRPr="00182B7B">
        <w:t>ssistance technique aux fins du renforcement des infrastructures des institutions de propriété industrielle utilisant les normes de l’OMPI</w:t>
      </w:r>
    </w:p>
    <w:p w14:paraId="19CFE4BF" w14:textId="77777777" w:rsidR="00347C75" w:rsidRPr="00182B7B" w:rsidRDefault="00347C75" w:rsidP="00182B7B">
      <w:pPr>
        <w:pStyle w:val="ONUMFS"/>
      </w:pPr>
      <w:r w:rsidRPr="00182B7B">
        <w:t>Le programme de l’OMPI de Solutions opérationnelles à l’intention des offices de propriété intellectuelle a pour objectif de renforcer les systèmes de traitement et les infrastructures techniques des offices de propriété industrielle nationaux et régionaux afin qu’ils puissent assurer des services offrant un meilleur rapport coût/efficacité et de plus grande qualité à leurs parties prenantes.  L’assistance fournie est conforme aux recommandations du Plan d’action pour le développement visant à renforcer les infrastructures institutionnelles et techniques des offices et d’autres institutions de propriété industrielle.  Les services comprennent notamment la fourniture de conseils techniques, l’évaluation des besoins opérationnels, la définition de la portée et la planification des projets, l’analyse du processus opérationnel, le développement et le déploiement continus des solutions opérationnelles spécialement adaptées à l’administration des droits de propriété intellectuelle et à l’échange des documents de priorité et des résultats des recherches et des examens, l’établissement de bases de données sur la propriété intellectuelle, l’assistance à la numérisation des dossiers de propriété intellectuelle et à la préparation des données pour la publication en ligne et l’échange électronique des données, la formation et le transfert de connaissances au personnel des institutions de propriété industrielle, et l’appui aux systèmes fournis par l’OMPI.  Le cas échéant, l’assistance porte sur les normes de l’OMPI sur les données et l’information en matière de propriété intellectuelle.  Les formations sur le terrain ou virtuelles, le parrainage et les ateliers régionaux de formation représentent une partie significative des activités et jouent un rôle essentiel dans l’obtention des résultats escomptés.</w:t>
      </w:r>
    </w:p>
    <w:p w14:paraId="578720F1" w14:textId="18A82D50" w:rsidR="00347C75" w:rsidRPr="00182B7B" w:rsidRDefault="00347C75" w:rsidP="00182B7B">
      <w:pPr>
        <w:pStyle w:val="ONUMFS"/>
        <w:rPr>
          <w:color w:val="000000" w:themeColor="text1"/>
        </w:rPr>
      </w:pPr>
      <w:r w:rsidRPr="00182B7B">
        <w:t xml:space="preserve">À la fin de 2024, 91 offices de propriété intellectuelle de pays en développement de toutes les régions utilisaient activement les Solutions opérationnelles de l’OMPI à l’intention des offices de propriété intellectuelle pour l’administration de leurs droits de propriété intellectuelle, dans lesquelles les normes de l’OMPI sont intégrées.  Soixante offices de propriété intellectuelle participaient à l’une des plateformes d’échange en ligne proposées par l’OMPI (au système d’accès centralisé aux résultats de la recherche et de l’examen et au service d’accès numérique aux documents de priorité).  Un élément essentiel consiste à améliorer le niveau de service des offices en les aidant à proposer davantage de services en ligne pour le dépôt des demandes et la diffusion de l’information en matière de propriété intellectuelle.  On trouvera davantage d’informations sur le site Web du programme d’assistance technique de l’OMPI à l’intention des offices de propriété industrielle à l’adresse suivante : </w:t>
      </w:r>
      <w:hyperlink r:id="rId27" w:history="1">
        <w:r w:rsidRPr="00182B7B">
          <w:rPr>
            <w:rStyle w:val="Hyperlink"/>
          </w:rPr>
          <w:t>https://www.wipo.int/global_ip/fr/activities/ip_office_business_solutions/</w:t>
        </w:r>
      </w:hyperlink>
      <w:r w:rsidRPr="00182B7B">
        <w:t>.</w:t>
      </w:r>
    </w:p>
    <w:p w14:paraId="7607A82C" w14:textId="77777777" w:rsidR="00347C75" w:rsidRPr="00182B7B" w:rsidRDefault="00347C75" w:rsidP="00182B7B">
      <w:pPr>
        <w:pStyle w:val="ONUMFS"/>
        <w:rPr>
          <w:color w:val="000000"/>
        </w:rPr>
      </w:pPr>
      <w:r w:rsidRPr="00182B7B">
        <w:t xml:space="preserve">Dans le cadre du programme de l’OMPI sur les bases de données mondiales, le Bureau international a continué de bénéficier de l’appui du Fonds fiduciaire du Japon pour aider les États membres à créer du texte intégral d’excellente qualité pour leurs publications de brevets.  </w:t>
      </w:r>
      <w:r w:rsidRPr="00182B7B">
        <w:rPr>
          <w:color w:val="000000"/>
        </w:rPr>
        <w:t>Pour l’exercice budgétaire 2024 du Japon, 14 951 documents de brevet (pour un total de 1 117 745 pages de description et de revendications) provenant de l’Office de la propriété intellectuelle du Mexique ont fait l’objet d’une reconnaissance optique de caractères, ont été relus et transformés en XML avant d’être intégrés dans PATENTSCOPE.</w:t>
      </w:r>
    </w:p>
    <w:p w14:paraId="1ECB8C09" w14:textId="77777777" w:rsidR="00347C75" w:rsidRPr="00182B7B" w:rsidRDefault="00347C75" w:rsidP="00182B7B">
      <w:pPr>
        <w:pStyle w:val="Heading2"/>
      </w:pPr>
      <w:r>
        <w:t>R</w:t>
      </w:r>
      <w:r w:rsidRPr="00182B7B">
        <w:t>enforcement des capacités des agents des offices de propriété industrielle et des examinateurs aux fins de l’utilisation des instruments internationaux</w:t>
      </w:r>
    </w:p>
    <w:p w14:paraId="01C7E60D" w14:textId="77777777" w:rsidR="00347C75" w:rsidRPr="00182B7B" w:rsidRDefault="00347C75" w:rsidP="00182B7B">
      <w:pPr>
        <w:pStyle w:val="ONUMFS"/>
      </w:pPr>
      <w:r w:rsidRPr="00182B7B">
        <w:t>En réponse à diverses demandes, le Bureau international a organisé, les 24 et 28 juin 2024, un séminaire de formation sur l’utilisation de la classification internationale des brevets (CIB) à l’intention des examinateurs de brevets, conjointement avec l’Institut national de gestion de la propriété intellectuelle Rajiv</w:t>
      </w:r>
      <w:r>
        <w:t> </w:t>
      </w:r>
      <w:r w:rsidRPr="00182B7B">
        <w:t xml:space="preserve">Gandhi (RGNIIPM) et le Contrôleur général des brevets, des dessins et modèles industriels et des marques de l’Inde, au moyen d’une plateforme en ligne sur les compétences générales de recherche et d’examen en matière de </w:t>
      </w:r>
      <w:r w:rsidRPr="00182B7B">
        <w:lastRenderedPageBreak/>
        <w:t>brevets pour l’Asie.  Ce séminaire a également été l’occasion d’expliquer la pertinence des normes de l’OMPI.</w:t>
      </w:r>
    </w:p>
    <w:p w14:paraId="6CD13DB6" w14:textId="77777777" w:rsidR="00347C75" w:rsidRPr="00182B7B" w:rsidRDefault="00347C75" w:rsidP="00182B7B">
      <w:pPr>
        <w:pStyle w:val="Heading2"/>
      </w:pPr>
      <w:r>
        <w:t>F</w:t>
      </w:r>
      <w:r w:rsidRPr="00182B7B">
        <w:t>aire mieux connaître les normes de l’OMPI</w:t>
      </w:r>
    </w:p>
    <w:p w14:paraId="323969C7" w14:textId="77777777" w:rsidR="00347C75" w:rsidRPr="00182B7B" w:rsidRDefault="00347C75" w:rsidP="00182B7B">
      <w:pPr>
        <w:pStyle w:val="ONUMFS"/>
        <w:keepLines/>
        <w:rPr>
          <w:szCs w:val="28"/>
        </w:rPr>
      </w:pPr>
      <w:r w:rsidRPr="00182B7B">
        <w:t xml:space="preserve">Afin de faire mieux connaître les normes de l’OMPI dans les pays en développement et de faciliter la participation physique d’un plus grand nombre de ces pays à l’élaboration d’une ou plusieurs normes de l’OMPI nouvelles ou révisées, comme </w:t>
      </w:r>
      <w:proofErr w:type="gramStart"/>
      <w:r w:rsidRPr="00182B7B">
        <w:t>suite à</w:t>
      </w:r>
      <w:proofErr w:type="gramEnd"/>
      <w:r w:rsidRPr="00182B7B">
        <w:t xml:space="preserve"> la décision prise par l’Assemblée générale en octobre 2011, la participation à la douzième session du CWS de 10 pays en développement ou parmi les moins avancés (PMA) a été financée par le Bureau international.</w:t>
      </w:r>
    </w:p>
    <w:p w14:paraId="5F9BCF08" w14:textId="77777777" w:rsidR="00347C75" w:rsidRPr="00182B7B" w:rsidRDefault="00347C75" w:rsidP="00182B7B">
      <w:pPr>
        <w:pStyle w:val="Heading2"/>
      </w:pPr>
      <w:r>
        <w:t>É</w:t>
      </w:r>
      <w:r w:rsidRPr="00182B7B">
        <w:t>change de données en matière de propriété intellectuelle</w:t>
      </w:r>
    </w:p>
    <w:p w14:paraId="77625AA4" w14:textId="77777777" w:rsidR="00347C75" w:rsidRPr="00182B7B" w:rsidRDefault="00347C75" w:rsidP="00182B7B">
      <w:pPr>
        <w:pStyle w:val="ONUMFS"/>
      </w:pPr>
      <w:r w:rsidRPr="00182B7B">
        <w:t xml:space="preserve">Le Bureau international a collaboré avec de nombreux offices de propriété intellectuelle, notamment dans certains groupes de pays en développement, pour promouvoir l’échange de données en matière de propriété intellectuelle en vue d’améliorer l’accès des utilisateurs de ces pays à l’information en matière de propriété intellectuelle de ces offices.  </w:t>
      </w:r>
      <w:r w:rsidRPr="00182B7B">
        <w:rPr>
          <w:color w:val="000000"/>
        </w:rPr>
        <w:t>L’échange de données en matière de propriété intellectuelle a été organisé, le cas échéant, conformément aux normes applicables de l’OMPI.  Les collections de marques des pays et organisations régionales ci</w:t>
      </w:r>
      <w:r>
        <w:rPr>
          <w:color w:val="000000"/>
        </w:rPr>
        <w:noBreakHyphen/>
      </w:r>
      <w:r w:rsidRPr="00182B7B">
        <w:rPr>
          <w:color w:val="000000"/>
        </w:rPr>
        <w:t>après ont été intégrées à la Base de données mondiale sur les marques au cours de l’année 2024 : Saint</w:t>
      </w:r>
      <w:r>
        <w:rPr>
          <w:color w:val="000000"/>
        </w:rPr>
        <w:noBreakHyphen/>
      </w:r>
      <w:r w:rsidRPr="00182B7B">
        <w:rPr>
          <w:color w:val="000000"/>
        </w:rPr>
        <w:t>Vincent</w:t>
      </w:r>
      <w:r>
        <w:rPr>
          <w:color w:val="000000"/>
        </w:rPr>
        <w:noBreakHyphen/>
      </w:r>
      <w:r w:rsidRPr="00182B7B">
        <w:rPr>
          <w:color w:val="000000"/>
        </w:rPr>
        <w:t>et</w:t>
      </w:r>
      <w:r>
        <w:rPr>
          <w:color w:val="000000"/>
        </w:rPr>
        <w:noBreakHyphen/>
      </w:r>
      <w:r w:rsidRPr="00182B7B">
        <w:rPr>
          <w:color w:val="000000"/>
        </w:rPr>
        <w:t>les Grenadines, Qatar, Trinité</w:t>
      </w:r>
      <w:r>
        <w:rPr>
          <w:color w:val="000000"/>
        </w:rPr>
        <w:noBreakHyphen/>
      </w:r>
      <w:r w:rsidRPr="00182B7B">
        <w:rPr>
          <w:color w:val="000000"/>
        </w:rPr>
        <w:t>et</w:t>
      </w:r>
      <w:r>
        <w:rPr>
          <w:color w:val="000000"/>
        </w:rPr>
        <w:noBreakHyphen/>
      </w:r>
      <w:r w:rsidRPr="00182B7B">
        <w:rPr>
          <w:color w:val="000000"/>
        </w:rPr>
        <w:t>Tobago, Belize, Sao Tomé</w:t>
      </w:r>
      <w:r>
        <w:rPr>
          <w:color w:val="000000"/>
        </w:rPr>
        <w:noBreakHyphen/>
      </w:r>
      <w:r w:rsidRPr="00182B7B">
        <w:rPr>
          <w:color w:val="000000"/>
        </w:rPr>
        <w:t>et</w:t>
      </w:r>
      <w:r>
        <w:rPr>
          <w:color w:val="000000"/>
        </w:rPr>
        <w:noBreakHyphen/>
      </w:r>
      <w:r w:rsidRPr="00182B7B">
        <w:rPr>
          <w:color w:val="000000"/>
        </w:rPr>
        <w:t>Principe, ARIPO et OAPI, tandis que les collections de brevets des pays ci</w:t>
      </w:r>
      <w:r>
        <w:rPr>
          <w:color w:val="000000"/>
        </w:rPr>
        <w:noBreakHyphen/>
      </w:r>
      <w:r w:rsidRPr="00182B7B">
        <w:rPr>
          <w:color w:val="000000"/>
        </w:rPr>
        <w:t>après ont été intégrées à la base de données PATENTSCOPE au cours de l’année 2024 : Hongrie, Türkiye et Office des brevets du Conseil de coopération des États arabes du Golfe.</w:t>
      </w:r>
    </w:p>
    <w:p w14:paraId="133C45A2" w14:textId="77777777" w:rsidR="00347C75" w:rsidRPr="00182B7B" w:rsidRDefault="00347C75" w:rsidP="00182B7B">
      <w:pPr>
        <w:pStyle w:val="ONUMFS"/>
        <w:ind w:left="5533"/>
        <w:rPr>
          <w:i/>
        </w:rPr>
      </w:pPr>
      <w:r w:rsidRPr="00182B7B">
        <w:rPr>
          <w:i/>
        </w:rPr>
        <w:t>Le CWS est invité à prendre note des activités menées par le Bureau international en 2024 en ce qui concerne la prestation de services consultatifs et d’assistance technique aux fins du renforcement des capacités des offices de propriété industrielle portant sur la diffusion de l’information en matière de normes de propriété intellectuelle.  Le présent document servira de base au rapport qui sera présenté à l’Assemblée générale de l’OMPI à sa session de 2026, conformément à la demande formulée par cette dernière à sa quarantième session tenue en octobre 2011 (voir le paragraphe 190 du document WO/GA/40/19).</w:t>
      </w:r>
    </w:p>
    <w:p w14:paraId="70DF3954" w14:textId="6EBB9EA9" w:rsidR="000F5E56" w:rsidRPr="00347C75" w:rsidRDefault="00347C75" w:rsidP="00347C75">
      <w:pPr>
        <w:pStyle w:val="Endofdocument-Annex"/>
        <w:rPr>
          <w:szCs w:val="22"/>
        </w:rPr>
      </w:pPr>
      <w:r w:rsidRPr="00182B7B">
        <w:t>[Fin du document]</w:t>
      </w:r>
    </w:p>
    <w:sectPr w:rsidR="000F5E56" w:rsidRPr="00347C75" w:rsidSect="00C1008E">
      <w:headerReference w:type="default" r:id="rId28"/>
      <w:headerReference w:type="first" r:id="rId2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ACAC" w14:textId="77777777" w:rsidR="00E16F24" w:rsidRDefault="00E16F24">
      <w:r>
        <w:separator/>
      </w:r>
    </w:p>
  </w:endnote>
  <w:endnote w:type="continuationSeparator" w:id="0">
    <w:p w14:paraId="671FF289" w14:textId="77777777" w:rsidR="00E16F24" w:rsidRPr="009D30E6" w:rsidRDefault="00E16F24" w:rsidP="00D45252">
      <w:pPr>
        <w:rPr>
          <w:sz w:val="17"/>
          <w:szCs w:val="17"/>
        </w:rPr>
      </w:pPr>
      <w:r w:rsidRPr="009D30E6">
        <w:rPr>
          <w:sz w:val="17"/>
          <w:szCs w:val="17"/>
        </w:rPr>
        <w:separator/>
      </w:r>
    </w:p>
    <w:p w14:paraId="4FA857F9" w14:textId="77777777" w:rsidR="00E16F24" w:rsidRPr="009D30E6" w:rsidRDefault="00E16F24" w:rsidP="00D45252">
      <w:pPr>
        <w:spacing w:after="60"/>
        <w:rPr>
          <w:sz w:val="17"/>
          <w:szCs w:val="17"/>
        </w:rPr>
      </w:pPr>
      <w:r w:rsidRPr="009D30E6">
        <w:rPr>
          <w:sz w:val="17"/>
          <w:szCs w:val="17"/>
        </w:rPr>
        <w:t>[Suite de la note de la page précédente]</w:t>
      </w:r>
    </w:p>
  </w:endnote>
  <w:endnote w:type="continuationNotice" w:id="1">
    <w:p w14:paraId="29905652" w14:textId="77777777" w:rsidR="00E16F24" w:rsidRPr="009D30E6" w:rsidRDefault="00E16F2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5020A" w14:textId="77777777" w:rsidR="00E16F24" w:rsidRDefault="00E16F24">
      <w:r>
        <w:separator/>
      </w:r>
    </w:p>
  </w:footnote>
  <w:footnote w:type="continuationSeparator" w:id="0">
    <w:p w14:paraId="46ED3702" w14:textId="77777777" w:rsidR="00E16F24" w:rsidRDefault="00E16F24" w:rsidP="007461F1">
      <w:r>
        <w:separator/>
      </w:r>
    </w:p>
    <w:p w14:paraId="15643593" w14:textId="77777777" w:rsidR="00E16F24" w:rsidRPr="009D30E6" w:rsidRDefault="00E16F24" w:rsidP="007461F1">
      <w:pPr>
        <w:spacing w:after="60"/>
        <w:rPr>
          <w:sz w:val="17"/>
          <w:szCs w:val="17"/>
        </w:rPr>
      </w:pPr>
      <w:r w:rsidRPr="009D30E6">
        <w:rPr>
          <w:sz w:val="17"/>
          <w:szCs w:val="17"/>
        </w:rPr>
        <w:t>[Suite de la note de la page précédente]</w:t>
      </w:r>
    </w:p>
  </w:footnote>
  <w:footnote w:type="continuationNotice" w:id="1">
    <w:p w14:paraId="71DA6587" w14:textId="77777777" w:rsidR="00E16F24" w:rsidRPr="009D30E6" w:rsidRDefault="00E16F2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5C2F" w14:textId="1364AC62" w:rsidR="00F16975" w:rsidRDefault="00D97730" w:rsidP="00477D6B">
    <w:pPr>
      <w:jc w:val="right"/>
    </w:pPr>
    <w:bookmarkStart w:id="5" w:name="Code2"/>
    <w:bookmarkEnd w:id="5"/>
    <w:r>
      <w:t>WO/GA/60/8</w:t>
    </w:r>
  </w:p>
  <w:p w14:paraId="7CF35CD3" w14:textId="77777777" w:rsidR="004F4E31" w:rsidRDefault="00F16975" w:rsidP="009C4815">
    <w:pPr>
      <w:spacing w:after="480"/>
      <w:jc w:val="right"/>
    </w:pPr>
    <w:proofErr w:type="gramStart"/>
    <w:r>
      <w:t>page</w:t>
    </w:r>
    <w:proofErr w:type="gramEnd"/>
    <w:r w:rsidR="009C4815">
      <w:t> </w:t>
    </w:r>
    <w:r>
      <w:fldChar w:fldCharType="begin"/>
    </w:r>
    <w:r>
      <w:instrText xml:space="preserve"> PAGE  \* MERGEFORMAT </w:instrText>
    </w:r>
    <w:r>
      <w:fldChar w:fldCharType="separate"/>
    </w:r>
    <w:r w:rsidR="004F4E31">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15B0" w14:textId="77777777" w:rsidR="00347C75" w:rsidRDefault="00347C75" w:rsidP="00477D6B">
    <w:pPr>
      <w:jc w:val="right"/>
    </w:pPr>
    <w:r>
      <w:t>WO/GA/60/8</w:t>
    </w:r>
  </w:p>
  <w:p w14:paraId="6190B2D7" w14:textId="69F79B42" w:rsidR="00347C75" w:rsidRDefault="00347C75" w:rsidP="009C4815">
    <w:pPr>
      <w:spacing w:after="480"/>
      <w:jc w:val="right"/>
    </w:pPr>
    <w:r>
      <w:t>Annexe I, page </w:t>
    </w:r>
    <w:r>
      <w:fldChar w:fldCharType="begin"/>
    </w:r>
    <w:r>
      <w:instrText xml:space="preserve"> PAGE  \* MERGEFORMAT </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8771" w14:textId="77777777" w:rsidR="00347C75" w:rsidRDefault="00347C75" w:rsidP="00347C75">
    <w:pPr>
      <w:jc w:val="right"/>
    </w:pPr>
    <w:r>
      <w:t>WO/GA/60/8</w:t>
    </w:r>
  </w:p>
  <w:p w14:paraId="3CAABE50" w14:textId="28F1E23E" w:rsidR="00347C75" w:rsidRDefault="00347C75" w:rsidP="00347C75">
    <w:pPr>
      <w:spacing w:after="480"/>
      <w:jc w:val="right"/>
    </w:pPr>
    <w:r>
      <w:t>ANNEXE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1B5F" w14:textId="77777777" w:rsidR="00347C75" w:rsidRPr="00290DCD" w:rsidRDefault="00347C75" w:rsidP="00477D6B">
    <w:pPr>
      <w:jc w:val="right"/>
    </w:pPr>
    <w:r>
      <w:t>CWS/13/21</w:t>
    </w:r>
  </w:p>
  <w:p w14:paraId="5860051F" w14:textId="226194B0" w:rsidR="00347C75" w:rsidRPr="00290DCD" w:rsidRDefault="00347C75" w:rsidP="0099108F">
    <w:pPr>
      <w:spacing w:after="480"/>
      <w:jc w:val="right"/>
    </w:pPr>
    <w:r>
      <w:t xml:space="preserve">Annexe II, </w:t>
    </w:r>
    <w:r w:rsidRPr="00290DCD">
      <w:t>page </w:t>
    </w:r>
    <w:r w:rsidRPr="00290DCD">
      <w:fldChar w:fldCharType="begin"/>
    </w:r>
    <w:r w:rsidRPr="00290DCD">
      <w:instrText xml:space="preserve"> PAGE  \* MERGEFORMAT </w:instrText>
    </w:r>
    <w:r w:rsidRPr="00290DCD">
      <w:fldChar w:fldCharType="separate"/>
    </w:r>
    <w:r w:rsidRPr="00290DCD">
      <w:t>2</w:t>
    </w:r>
    <w:r w:rsidRPr="00290DC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4528" w14:textId="77777777" w:rsidR="00347C75" w:rsidRDefault="00347C75" w:rsidP="00347C75">
    <w:pPr>
      <w:jc w:val="right"/>
    </w:pPr>
    <w:r>
      <w:t>WO/GA/60/8</w:t>
    </w:r>
  </w:p>
  <w:p w14:paraId="12EDDB23" w14:textId="49FC8BC1" w:rsidR="00347C75" w:rsidRDefault="00347C75" w:rsidP="00347C75">
    <w:pP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142DE7"/>
    <w:multiLevelType w:val="hybridMultilevel"/>
    <w:tmpl w:val="5CD25FC6"/>
    <w:lvl w:ilvl="0" w:tplc="4F3E4E2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16cid:durableId="1780753844">
    <w:abstractNumId w:val="2"/>
  </w:num>
  <w:num w:numId="2" w16cid:durableId="94903856">
    <w:abstractNumId w:val="4"/>
  </w:num>
  <w:num w:numId="3" w16cid:durableId="1846895430">
    <w:abstractNumId w:val="0"/>
  </w:num>
  <w:num w:numId="4" w16cid:durableId="1742175926">
    <w:abstractNumId w:val="5"/>
  </w:num>
  <w:num w:numId="5" w16cid:durableId="1817991361">
    <w:abstractNumId w:val="1"/>
  </w:num>
  <w:num w:numId="6" w16cid:durableId="2755125">
    <w:abstractNumId w:val="3"/>
  </w:num>
  <w:num w:numId="7" w16cid:durableId="903179879">
    <w:abstractNumId w:val="6"/>
  </w:num>
  <w:num w:numId="8" w16cid:durableId="1698651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73585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16443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730"/>
    <w:rsid w:val="00011B7D"/>
    <w:rsid w:val="00075432"/>
    <w:rsid w:val="000E3117"/>
    <w:rsid w:val="000F5E56"/>
    <w:rsid w:val="00107E75"/>
    <w:rsid w:val="00122081"/>
    <w:rsid w:val="001362EE"/>
    <w:rsid w:val="001832A6"/>
    <w:rsid w:val="00183373"/>
    <w:rsid w:val="00195C6E"/>
    <w:rsid w:val="001B266A"/>
    <w:rsid w:val="001D3D56"/>
    <w:rsid w:val="001D72BE"/>
    <w:rsid w:val="00240654"/>
    <w:rsid w:val="002634C4"/>
    <w:rsid w:val="002D4918"/>
    <w:rsid w:val="002E4D1A"/>
    <w:rsid w:val="002F16BC"/>
    <w:rsid w:val="002F1B5E"/>
    <w:rsid w:val="002F1B6F"/>
    <w:rsid w:val="002F4E68"/>
    <w:rsid w:val="00315FCA"/>
    <w:rsid w:val="00340E40"/>
    <w:rsid w:val="00347C75"/>
    <w:rsid w:val="0038059C"/>
    <w:rsid w:val="003845C1"/>
    <w:rsid w:val="00391F11"/>
    <w:rsid w:val="003A1BCD"/>
    <w:rsid w:val="003F469F"/>
    <w:rsid w:val="004008A2"/>
    <w:rsid w:val="004025DF"/>
    <w:rsid w:val="00423E3E"/>
    <w:rsid w:val="00427AF4"/>
    <w:rsid w:val="00431989"/>
    <w:rsid w:val="004647DA"/>
    <w:rsid w:val="00477D6B"/>
    <w:rsid w:val="004813F2"/>
    <w:rsid w:val="004A576F"/>
    <w:rsid w:val="004D34C8"/>
    <w:rsid w:val="004D6471"/>
    <w:rsid w:val="004F0849"/>
    <w:rsid w:val="004F4E31"/>
    <w:rsid w:val="00525B63"/>
    <w:rsid w:val="00547476"/>
    <w:rsid w:val="00561DB8"/>
    <w:rsid w:val="00567A4C"/>
    <w:rsid w:val="005902DD"/>
    <w:rsid w:val="005E6516"/>
    <w:rsid w:val="00605827"/>
    <w:rsid w:val="006351CF"/>
    <w:rsid w:val="00676936"/>
    <w:rsid w:val="006B0DB5"/>
    <w:rsid w:val="006C0B5B"/>
    <w:rsid w:val="006E4243"/>
    <w:rsid w:val="006F088C"/>
    <w:rsid w:val="007461F1"/>
    <w:rsid w:val="007A5C08"/>
    <w:rsid w:val="007C1AB9"/>
    <w:rsid w:val="007D6961"/>
    <w:rsid w:val="007E3E83"/>
    <w:rsid w:val="007F07CB"/>
    <w:rsid w:val="00810CEF"/>
    <w:rsid w:val="0081208D"/>
    <w:rsid w:val="00842A13"/>
    <w:rsid w:val="008B2CC1"/>
    <w:rsid w:val="008D402E"/>
    <w:rsid w:val="008E7930"/>
    <w:rsid w:val="0090731E"/>
    <w:rsid w:val="00930446"/>
    <w:rsid w:val="009455D3"/>
    <w:rsid w:val="00966A22"/>
    <w:rsid w:val="00974CD6"/>
    <w:rsid w:val="009C4815"/>
    <w:rsid w:val="009D30E6"/>
    <w:rsid w:val="009E1B5C"/>
    <w:rsid w:val="009E3F6F"/>
    <w:rsid w:val="009E62E2"/>
    <w:rsid w:val="009F499F"/>
    <w:rsid w:val="00A60387"/>
    <w:rsid w:val="00A74965"/>
    <w:rsid w:val="00A95F8F"/>
    <w:rsid w:val="00AA2F31"/>
    <w:rsid w:val="00AC0AE4"/>
    <w:rsid w:val="00AD61DB"/>
    <w:rsid w:val="00B3208A"/>
    <w:rsid w:val="00B63E4E"/>
    <w:rsid w:val="00B64ADB"/>
    <w:rsid w:val="00B87BCF"/>
    <w:rsid w:val="00BA62D4"/>
    <w:rsid w:val="00BC663F"/>
    <w:rsid w:val="00C1008E"/>
    <w:rsid w:val="00C40E15"/>
    <w:rsid w:val="00C522F3"/>
    <w:rsid w:val="00C64797"/>
    <w:rsid w:val="00C664C8"/>
    <w:rsid w:val="00C76A79"/>
    <w:rsid w:val="00CA15F5"/>
    <w:rsid w:val="00CE625B"/>
    <w:rsid w:val="00CF0460"/>
    <w:rsid w:val="00D45252"/>
    <w:rsid w:val="00D64E81"/>
    <w:rsid w:val="00D71B4D"/>
    <w:rsid w:val="00D75C1E"/>
    <w:rsid w:val="00D93D55"/>
    <w:rsid w:val="00D97730"/>
    <w:rsid w:val="00DB0349"/>
    <w:rsid w:val="00DD6A16"/>
    <w:rsid w:val="00DE3132"/>
    <w:rsid w:val="00E0091A"/>
    <w:rsid w:val="00E16F24"/>
    <w:rsid w:val="00E203AA"/>
    <w:rsid w:val="00E527A5"/>
    <w:rsid w:val="00E72B12"/>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C51B5"/>
  <w15:docId w15:val="{0D8A1FD3-0105-4211-A25A-9AF18DBF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347C75"/>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EChar">
    <w:name w:val="ONUM E Char"/>
    <w:link w:val="ONUME"/>
    <w:rsid w:val="00D97730"/>
    <w:rPr>
      <w:rFonts w:ascii="Arial" w:eastAsia="SimSun" w:hAnsi="Arial" w:cs="Arial"/>
      <w:sz w:val="22"/>
      <w:lang w:eastAsia="zh-CN"/>
    </w:rPr>
  </w:style>
  <w:style w:type="character" w:styleId="Hyperlink">
    <w:name w:val="Hyperlink"/>
    <w:basedOn w:val="DefaultParagraphFont"/>
    <w:rsid w:val="00D97730"/>
    <w:rPr>
      <w:color w:val="0000FF" w:themeColor="hyperlink"/>
      <w:u w:val="single"/>
    </w:rPr>
  </w:style>
  <w:style w:type="character" w:customStyle="1" w:styleId="Heading2Char">
    <w:name w:val="Heading 2 Char"/>
    <w:basedOn w:val="DefaultParagraphFont"/>
    <w:link w:val="Heading2"/>
    <w:rsid w:val="00D97730"/>
    <w:rPr>
      <w:rFonts w:ascii="Arial" w:eastAsia="SimSun" w:hAnsi="Arial" w:cs="Arial"/>
      <w:bCs/>
      <w:iCs/>
      <w:caps/>
      <w:sz w:val="22"/>
      <w:szCs w:val="28"/>
      <w:lang w:eastAsia="zh-CN"/>
    </w:rPr>
  </w:style>
  <w:style w:type="paragraph" w:styleId="ListParagraph">
    <w:name w:val="List Paragraph"/>
    <w:basedOn w:val="Normal"/>
    <w:uiPriority w:val="34"/>
    <w:qFormat/>
    <w:rsid w:val="00D97730"/>
    <w:pPr>
      <w:ind w:left="720"/>
      <w:contextualSpacing/>
    </w:pPr>
    <w:rPr>
      <w:lang w:val="fr-FR"/>
    </w:rPr>
  </w:style>
  <w:style w:type="character" w:styleId="FollowedHyperlink">
    <w:name w:val="FollowedHyperlink"/>
    <w:basedOn w:val="DefaultParagraphFont"/>
    <w:semiHidden/>
    <w:unhideWhenUsed/>
    <w:rsid w:val="007A5C08"/>
    <w:rPr>
      <w:color w:val="800080" w:themeColor="followedHyperlink"/>
      <w:u w:val="single"/>
    </w:rPr>
  </w:style>
  <w:style w:type="character" w:styleId="UnresolvedMention">
    <w:name w:val="Unresolved Mention"/>
    <w:basedOn w:val="DefaultParagraphFont"/>
    <w:uiPriority w:val="99"/>
    <w:semiHidden/>
    <w:unhideWhenUsed/>
    <w:rsid w:val="007A5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www.wipo.int/documents/d/standards/docs-en-api-catalog-OASTemplate.yaml"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documents/d/standards/docs-fr-06-01-01.pdf" TargetMode="External"/><Relationship Id="rId25" Type="http://schemas.openxmlformats.org/officeDocument/2006/relationships/hyperlink" Target="https://www.wipo.int/documents/d/standards/docs-en-api-catalog-OASTemplate.json" TargetMode="External"/><Relationship Id="rId2" Type="http://schemas.openxmlformats.org/officeDocument/2006/relationships/customXml" Target="../customXml/item2.xml"/><Relationship Id="rId16" Type="http://schemas.openxmlformats.org/officeDocument/2006/relationships/hyperlink" Target="https://www.wipo.int/fr/web/standards/part_04/patent-inventory" TargetMode="External"/><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wipo.int/fr/web/standards/ip-api-catalog/ip-institution-guide" TargetMode="External"/><Relationship Id="rId5" Type="http://schemas.openxmlformats.org/officeDocument/2006/relationships/customXml" Target="../customXml/item5.xml"/><Relationship Id="rId15" Type="http://schemas.openxmlformats.org/officeDocument/2006/relationships/hyperlink" Target="https://www.wipo.int/fr/web/standards/part_03" TargetMode="External"/><Relationship Id="rId23" Type="http://schemas.openxmlformats.org/officeDocument/2006/relationships/hyperlink" Target="https://www.wipo.int/fr/web/standards/ip-api-catalog/user-guide"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wipo.int/fr/web/standards/sequence/inde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fr/details.jsp?meeting_id=86450" TargetMode="External"/><Relationship Id="rId22" Type="http://schemas.openxmlformats.org/officeDocument/2006/relationships/hyperlink" Target="https://www.wipo.int/tad/fr/index.jsp" TargetMode="External"/><Relationship Id="rId27" Type="http://schemas.openxmlformats.org/officeDocument/2006/relationships/hyperlink" Target="https://www.wipo.int/global_ip/fr/activities/ip_office_business_solutions/"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6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DEAADBFP-1499948599-54621</_dlc_DocId>
    <_dlc_DocIdUrl xmlns="afdacc0a-6563-489f-9b51-6fc9acac5c48">
      <Url>https://wipoprod.sharepoint.com/sites/SPS-INT-BFP-DEAAD-AsseAffa/_layouts/15/DocIdRedir.aspx?ID=DEAADBFP-1499948599-54621</Url>
      <Description>DEAADBFP-1499948599-54621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D08C4-528B-44C3-9672-137DB2C3BEC3}">
  <ds:schemaRefs>
    <ds:schemaRef ds:uri="http://schemas.microsoft.com/sharepoint/v3/contenttype/forms"/>
  </ds:schemaRefs>
</ds:datastoreItem>
</file>

<file path=customXml/itemProps2.xml><?xml version="1.0" encoding="utf-8"?>
<ds:datastoreItem xmlns:ds="http://schemas.openxmlformats.org/officeDocument/2006/customXml" ds:itemID="{A0CEC62E-D43D-4F27-AD1D-945B95F9D45A}">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3.xml><?xml version="1.0" encoding="utf-8"?>
<ds:datastoreItem xmlns:ds="http://schemas.openxmlformats.org/officeDocument/2006/customXml" ds:itemID="{22368323-D900-4A23-B950-70D43144236D}">
  <ds:schemaRefs>
    <ds:schemaRef ds:uri="http://schemas.openxmlformats.org/officeDocument/2006/bibliography"/>
  </ds:schemaRefs>
</ds:datastoreItem>
</file>

<file path=customXml/itemProps4.xml><?xml version="1.0" encoding="utf-8"?>
<ds:datastoreItem xmlns:ds="http://schemas.openxmlformats.org/officeDocument/2006/customXml" ds:itemID="{161203CE-CA04-45D3-BE8A-3464A2FA3913}">
  <ds:schemaRefs>
    <ds:schemaRef ds:uri="http://schemas.microsoft.com/sharepoint/events"/>
  </ds:schemaRefs>
</ds:datastoreItem>
</file>

<file path=customXml/itemProps5.xml><?xml version="1.0" encoding="utf-8"?>
<ds:datastoreItem xmlns:ds="http://schemas.openxmlformats.org/officeDocument/2006/customXml" ds:itemID="{046A0C9A-77FA-4EE6-8576-2A1E9386532C}">
  <ds:schemaRefs>
    <ds:schemaRef ds:uri="Microsoft.SharePoint.Taxonomy.ContentTypeSync"/>
  </ds:schemaRefs>
</ds:datastoreItem>
</file>

<file path=customXml/itemProps6.xml><?xml version="1.0" encoding="utf-8"?>
<ds:datastoreItem xmlns:ds="http://schemas.openxmlformats.org/officeDocument/2006/customXml" ds:itemID="{1E4F058A-09B7-4C59-B2C8-0BD914783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WO_GA_60 (F)</Template>
  <TotalTime>8</TotalTime>
  <Pages>10</Pages>
  <Words>4299</Words>
  <Characters>24508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WO/GA/60/8</vt:lpstr>
    </vt:vector>
  </TitlesOfParts>
  <Company>WIPO</Company>
  <LinksUpToDate>false</LinksUpToDate>
  <CharactersWithSpaces>28750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WO/GA/60/8</dc:title>
  <dc:creator>WIPO</dc:creator>
  <cp:keywords>PUBLIC</cp:keywords>
  <cp:lastModifiedBy>RUBAN Annaig</cp:lastModifiedBy>
  <cp:revision>6</cp:revision>
  <cp:lastPrinted>2011-05-19T12:37:00Z</cp:lastPrinted>
  <dcterms:created xsi:type="dcterms:W3CDTF">2026-04-29T14:44:00Z</dcterms:created>
  <dcterms:modified xsi:type="dcterms:W3CDTF">2026-05-01T13:26:00Z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2025-02-18T10:25:44Z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f686af02-b8f8-4d20-bcbb-c5d23de64b62</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BusinessUnit">
    <vt:lpwstr>3;#Diplomatic Engagement and Assemblies Affairs Division|c4a5cf71-800f-4e10-aab9-36d8b83eadc2</vt:lpwstr>
  </property>
  <property fmtid="{D5CDD505-2E9C-101B-9397-08002B2CF9AE}" pid="18" name="RMClassification">
    <vt:lpwstr>7;#09 Official Meeting Documents|1c3d7eba-ea38-434e-9ba8-de39eb589212</vt:lpwstr>
  </property>
  <property fmtid="{D5CDD505-2E9C-101B-9397-08002B2CF9AE}" pid="19" name="Languages">
    <vt:lpwstr>1;#English|950e6fa2-2df0-4983-a604-54e57c7a6d93</vt:lpwstr>
  </property>
  <property fmtid="{D5CDD505-2E9C-101B-9397-08002B2CF9AE}" pid="20" name="Body1">
    <vt:lpwstr/>
  </property>
  <property fmtid="{D5CDD505-2E9C-101B-9397-08002B2CF9AE}" pid="21" name="MediaServiceImageTags">
    <vt:lpwstr/>
  </property>
  <property fmtid="{D5CDD505-2E9C-101B-9397-08002B2CF9AE}" pid="22" name="lcf76f155ced4ddcb4097134ff3c332f">
    <vt:lpwstr/>
  </property>
  <property fmtid="{D5CDD505-2E9C-101B-9397-08002B2CF9AE}" pid="23" name="_dlc_DocIdItemGuid">
    <vt:lpwstr>6e74a540-b38b-4800-a4a5-2feea2bc1397</vt:lpwstr>
  </property>
</Properties>
</file>