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7BA51" w14:textId="77777777" w:rsidR="008B2CC1" w:rsidRPr="00E85915" w:rsidRDefault="00DB0349" w:rsidP="003A303A">
      <w:pPr>
        <w:spacing w:after="120"/>
        <w:jc w:val="right"/>
        <w:rPr>
          <w:lang w:val="fr-FR"/>
        </w:rPr>
      </w:pPr>
      <w:r w:rsidRPr="00E85915">
        <w:rPr>
          <w:noProof/>
          <w:lang w:val="fr-FR" w:eastAsia="fr-CH"/>
        </w:rPr>
        <w:drawing>
          <wp:inline distT="0" distB="0" distL="0" distR="0" wp14:anchorId="44359B2E" wp14:editId="578F190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E85915">
        <w:rPr>
          <w:rFonts w:ascii="Arial Black" w:hAnsi="Arial Black"/>
          <w:caps/>
          <w:noProof/>
          <w:sz w:val="15"/>
          <w:szCs w:val="15"/>
          <w:lang w:val="fr-FR" w:eastAsia="fr-CH"/>
        </w:rPr>
        <mc:AlternateContent>
          <mc:Choice Requires="wps">
            <w:drawing>
              <wp:inline distT="0" distB="0" distL="0" distR="0" wp14:anchorId="27BF781C" wp14:editId="776F92D9">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686304F"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D236455" w14:textId="65604487" w:rsidR="008B2CC1" w:rsidRPr="00E85915" w:rsidRDefault="004F0849" w:rsidP="003A303A">
      <w:pPr>
        <w:jc w:val="right"/>
        <w:rPr>
          <w:rFonts w:ascii="Arial Black" w:hAnsi="Arial Black"/>
          <w:caps/>
          <w:sz w:val="15"/>
          <w:szCs w:val="15"/>
          <w:lang w:val="fr-FR"/>
        </w:rPr>
      </w:pPr>
      <w:r w:rsidRPr="00E85915">
        <w:rPr>
          <w:rFonts w:ascii="Arial Black" w:hAnsi="Arial Black"/>
          <w:caps/>
          <w:sz w:val="15"/>
          <w:szCs w:val="15"/>
          <w:lang w:val="fr-FR"/>
        </w:rPr>
        <w:t>WO/GA/</w:t>
      </w:r>
      <w:r w:rsidR="009455D3" w:rsidRPr="00E85915">
        <w:rPr>
          <w:rFonts w:ascii="Arial Black" w:hAnsi="Arial Black"/>
          <w:caps/>
          <w:sz w:val="15"/>
          <w:szCs w:val="15"/>
          <w:lang w:val="fr-FR"/>
        </w:rPr>
        <w:t>60</w:t>
      </w:r>
      <w:r w:rsidR="008D402E" w:rsidRPr="00E85915">
        <w:rPr>
          <w:rFonts w:ascii="Arial Black" w:hAnsi="Arial Black"/>
          <w:caps/>
          <w:sz w:val="15"/>
          <w:szCs w:val="15"/>
          <w:lang w:val="fr-FR"/>
        </w:rPr>
        <w:t>/</w:t>
      </w:r>
      <w:bookmarkStart w:id="0" w:name="Code"/>
      <w:r w:rsidR="00F0742C" w:rsidRPr="00E85915">
        <w:rPr>
          <w:rFonts w:ascii="Arial Black" w:hAnsi="Arial Black"/>
          <w:caps/>
          <w:sz w:val="15"/>
          <w:szCs w:val="15"/>
          <w:lang w:val="fr-FR"/>
        </w:rPr>
        <w:t>2</w:t>
      </w:r>
    </w:p>
    <w:bookmarkEnd w:id="0"/>
    <w:p w14:paraId="11CCDF7B" w14:textId="36A7F842" w:rsidR="008B2CC1" w:rsidRPr="00E85915" w:rsidRDefault="00DB0349" w:rsidP="003A303A">
      <w:pPr>
        <w:jc w:val="right"/>
        <w:rPr>
          <w:rFonts w:ascii="Arial Black" w:hAnsi="Arial Black"/>
          <w:caps/>
          <w:sz w:val="15"/>
          <w:szCs w:val="15"/>
          <w:lang w:val="fr-FR"/>
        </w:rPr>
      </w:pPr>
      <w:r w:rsidRPr="00E85915">
        <w:rPr>
          <w:rFonts w:ascii="Arial Black" w:hAnsi="Arial Black"/>
          <w:caps/>
          <w:sz w:val="15"/>
          <w:szCs w:val="15"/>
          <w:lang w:val="fr-FR"/>
        </w:rPr>
        <w:t>Original</w:t>
      </w:r>
      <w:r w:rsidR="00BF513F" w:rsidRPr="00E85915">
        <w:rPr>
          <w:rFonts w:ascii="Arial Black" w:hAnsi="Arial Black"/>
          <w:caps/>
          <w:sz w:val="15"/>
          <w:szCs w:val="15"/>
          <w:lang w:val="fr-FR"/>
        </w:rPr>
        <w:t> :</w:t>
      </w:r>
      <w:r w:rsidRPr="00E85915">
        <w:rPr>
          <w:rFonts w:ascii="Arial Black" w:hAnsi="Arial Black"/>
          <w:caps/>
          <w:sz w:val="15"/>
          <w:szCs w:val="15"/>
          <w:lang w:val="fr-FR"/>
        </w:rPr>
        <w:t xml:space="preserve"> </w:t>
      </w:r>
      <w:bookmarkStart w:id="1" w:name="Original"/>
      <w:r w:rsidR="00F0742C" w:rsidRPr="00E85915">
        <w:rPr>
          <w:rFonts w:ascii="Arial Black" w:hAnsi="Arial Black"/>
          <w:caps/>
          <w:sz w:val="15"/>
          <w:szCs w:val="15"/>
          <w:lang w:val="fr-FR"/>
        </w:rPr>
        <w:t>anglais</w:t>
      </w:r>
    </w:p>
    <w:bookmarkEnd w:id="1"/>
    <w:p w14:paraId="7BA639E9" w14:textId="474B3B07" w:rsidR="008B2CC1" w:rsidRPr="00E85915" w:rsidRDefault="000E3117" w:rsidP="003A303A">
      <w:pPr>
        <w:spacing w:after="1200"/>
        <w:jc w:val="right"/>
        <w:rPr>
          <w:rFonts w:ascii="Arial Black" w:hAnsi="Arial Black"/>
          <w:caps/>
          <w:sz w:val="15"/>
          <w:szCs w:val="15"/>
          <w:lang w:val="fr-FR"/>
        </w:rPr>
      </w:pPr>
      <w:r w:rsidRPr="00E85915">
        <w:rPr>
          <w:rFonts w:ascii="Arial Black" w:hAnsi="Arial Black"/>
          <w:caps/>
          <w:sz w:val="15"/>
          <w:szCs w:val="15"/>
          <w:lang w:val="fr-FR"/>
        </w:rPr>
        <w:t>DATE</w:t>
      </w:r>
      <w:r w:rsidR="00BF513F" w:rsidRPr="00E85915">
        <w:rPr>
          <w:rFonts w:ascii="Arial Black" w:hAnsi="Arial Black"/>
          <w:caps/>
          <w:sz w:val="15"/>
          <w:szCs w:val="15"/>
          <w:lang w:val="fr-FR"/>
        </w:rPr>
        <w:t> :</w:t>
      </w:r>
      <w:r w:rsidR="00DB0349" w:rsidRPr="00E85915">
        <w:rPr>
          <w:rFonts w:ascii="Arial Black" w:hAnsi="Arial Black"/>
          <w:caps/>
          <w:sz w:val="15"/>
          <w:szCs w:val="15"/>
          <w:lang w:val="fr-FR"/>
        </w:rPr>
        <w:t xml:space="preserve"> </w:t>
      </w:r>
      <w:bookmarkStart w:id="2" w:name="Date"/>
      <w:r w:rsidR="00F0742C" w:rsidRPr="00E85915">
        <w:rPr>
          <w:rFonts w:ascii="Arial Black" w:hAnsi="Arial Black"/>
          <w:caps/>
          <w:sz w:val="15"/>
          <w:szCs w:val="15"/>
          <w:lang w:val="fr-FR"/>
        </w:rPr>
        <w:t>5 mai 2026</w:t>
      </w:r>
    </w:p>
    <w:bookmarkEnd w:id="2"/>
    <w:p w14:paraId="3308A3BF" w14:textId="6A955DAF" w:rsidR="00C40E15" w:rsidRPr="00E85915" w:rsidRDefault="008D402E" w:rsidP="003A303A">
      <w:pPr>
        <w:spacing w:after="600"/>
        <w:rPr>
          <w:b/>
          <w:sz w:val="28"/>
          <w:szCs w:val="28"/>
          <w:lang w:val="fr-FR"/>
        </w:rPr>
      </w:pPr>
      <w:r w:rsidRPr="00E85915">
        <w:rPr>
          <w:b/>
          <w:sz w:val="28"/>
          <w:szCs w:val="28"/>
          <w:lang w:val="fr-FR"/>
        </w:rPr>
        <w:t>Assemblée générale de l</w:t>
      </w:r>
      <w:r w:rsidR="00BF513F" w:rsidRPr="00E85915">
        <w:rPr>
          <w:b/>
          <w:sz w:val="28"/>
          <w:szCs w:val="28"/>
          <w:lang w:val="fr-FR"/>
        </w:rPr>
        <w:t>’</w:t>
      </w:r>
      <w:r w:rsidRPr="00E85915">
        <w:rPr>
          <w:b/>
          <w:sz w:val="28"/>
          <w:szCs w:val="28"/>
          <w:lang w:val="fr-FR"/>
        </w:rPr>
        <w:t>OMPI</w:t>
      </w:r>
    </w:p>
    <w:p w14:paraId="6D7E92DA" w14:textId="7F52DA91" w:rsidR="008B2CC1" w:rsidRPr="00E85915" w:rsidRDefault="009455D3" w:rsidP="003A303A">
      <w:pPr>
        <w:rPr>
          <w:b/>
          <w:sz w:val="24"/>
          <w:szCs w:val="24"/>
          <w:lang w:val="fr-FR"/>
        </w:rPr>
      </w:pPr>
      <w:r w:rsidRPr="00E85915">
        <w:rPr>
          <w:b/>
          <w:sz w:val="24"/>
          <w:szCs w:val="24"/>
          <w:lang w:val="fr-FR"/>
        </w:rPr>
        <w:t>Soixant</w:t>
      </w:r>
      <w:r w:rsidR="00BF513F" w:rsidRPr="00E85915">
        <w:rPr>
          <w:b/>
          <w:sz w:val="24"/>
          <w:szCs w:val="24"/>
          <w:lang w:val="fr-FR"/>
        </w:rPr>
        <w:t>ième session</w:t>
      </w:r>
      <w:r w:rsidR="004A576F" w:rsidRPr="00E85915">
        <w:rPr>
          <w:b/>
          <w:sz w:val="24"/>
          <w:szCs w:val="24"/>
          <w:lang w:val="fr-FR"/>
        </w:rPr>
        <w:t xml:space="preserve"> (</w:t>
      </w:r>
      <w:r w:rsidR="009C4815" w:rsidRPr="00E85915">
        <w:rPr>
          <w:b/>
          <w:sz w:val="24"/>
          <w:szCs w:val="24"/>
          <w:lang w:val="fr-FR"/>
        </w:rPr>
        <w:t>3</w:t>
      </w:r>
      <w:r w:rsidRPr="00E85915">
        <w:rPr>
          <w:b/>
          <w:sz w:val="24"/>
          <w:szCs w:val="24"/>
          <w:lang w:val="fr-FR"/>
        </w:rPr>
        <w:t>3</w:t>
      </w:r>
      <w:r w:rsidR="004A576F" w:rsidRPr="00E85915">
        <w:rPr>
          <w:b/>
          <w:sz w:val="24"/>
          <w:szCs w:val="24"/>
          <w:vertAlign w:val="superscript"/>
          <w:lang w:val="fr-FR"/>
        </w:rPr>
        <w:t>e</w:t>
      </w:r>
      <w:r w:rsidR="00B91586">
        <w:rPr>
          <w:b/>
          <w:sz w:val="24"/>
          <w:szCs w:val="24"/>
          <w:lang w:val="fr-FR"/>
        </w:rPr>
        <w:t> </w:t>
      </w:r>
      <w:r w:rsidR="004A576F" w:rsidRPr="00E85915">
        <w:rPr>
          <w:b/>
          <w:sz w:val="24"/>
          <w:szCs w:val="24"/>
          <w:lang w:val="fr-FR"/>
        </w:rPr>
        <w:t xml:space="preserve">session </w:t>
      </w:r>
      <w:r w:rsidR="009C4815" w:rsidRPr="00E85915">
        <w:rPr>
          <w:b/>
          <w:sz w:val="24"/>
          <w:szCs w:val="24"/>
          <w:lang w:val="fr-FR"/>
        </w:rPr>
        <w:t>extra</w:t>
      </w:r>
      <w:r w:rsidR="004A576F" w:rsidRPr="00E85915">
        <w:rPr>
          <w:b/>
          <w:sz w:val="24"/>
          <w:szCs w:val="24"/>
          <w:lang w:val="fr-FR"/>
        </w:rPr>
        <w:t>ordinaire</w:t>
      </w:r>
      <w:r w:rsidR="008D402E" w:rsidRPr="00E85915">
        <w:rPr>
          <w:b/>
          <w:sz w:val="24"/>
          <w:szCs w:val="24"/>
          <w:lang w:val="fr-FR"/>
        </w:rPr>
        <w:t>)</w:t>
      </w:r>
    </w:p>
    <w:p w14:paraId="2BD4A571" w14:textId="77777777" w:rsidR="008B2CC1" w:rsidRPr="00E85915" w:rsidRDefault="008D402E" w:rsidP="003A303A">
      <w:pPr>
        <w:spacing w:after="720"/>
        <w:rPr>
          <w:b/>
          <w:sz w:val="24"/>
          <w:szCs w:val="24"/>
          <w:lang w:val="fr-FR"/>
        </w:rPr>
      </w:pPr>
      <w:r w:rsidRPr="00E85915">
        <w:rPr>
          <w:b/>
          <w:sz w:val="24"/>
          <w:szCs w:val="24"/>
          <w:lang w:val="fr-FR"/>
        </w:rPr>
        <w:t xml:space="preserve">Genève, </w:t>
      </w:r>
      <w:r w:rsidR="009455D3" w:rsidRPr="00E85915">
        <w:rPr>
          <w:b/>
          <w:sz w:val="24"/>
          <w:szCs w:val="24"/>
          <w:lang w:val="fr-FR"/>
        </w:rPr>
        <w:t xml:space="preserve">7 – </w:t>
      </w:r>
      <w:r w:rsidR="009C4815" w:rsidRPr="00E85915">
        <w:rPr>
          <w:b/>
          <w:sz w:val="24"/>
          <w:szCs w:val="24"/>
          <w:lang w:val="fr-FR"/>
        </w:rPr>
        <w:t>1</w:t>
      </w:r>
      <w:r w:rsidR="009455D3" w:rsidRPr="00E85915">
        <w:rPr>
          <w:b/>
          <w:sz w:val="24"/>
          <w:szCs w:val="24"/>
          <w:lang w:val="fr-FR"/>
        </w:rPr>
        <w:t>5</w:t>
      </w:r>
      <w:r w:rsidR="009C4815" w:rsidRPr="00E85915">
        <w:rPr>
          <w:b/>
          <w:sz w:val="24"/>
          <w:szCs w:val="24"/>
          <w:lang w:val="fr-FR"/>
        </w:rPr>
        <w:t> </w:t>
      </w:r>
      <w:r w:rsidR="009455D3" w:rsidRPr="00E85915">
        <w:rPr>
          <w:b/>
          <w:sz w:val="24"/>
          <w:szCs w:val="24"/>
          <w:lang w:val="fr-FR"/>
        </w:rPr>
        <w:t>juillet</w:t>
      </w:r>
      <w:r w:rsidR="009C4815" w:rsidRPr="00E85915">
        <w:rPr>
          <w:b/>
          <w:sz w:val="24"/>
          <w:szCs w:val="24"/>
          <w:lang w:val="fr-FR"/>
        </w:rPr>
        <w:t> </w:t>
      </w:r>
      <w:r w:rsidR="004A576F" w:rsidRPr="00E85915">
        <w:rPr>
          <w:b/>
          <w:sz w:val="24"/>
          <w:szCs w:val="24"/>
          <w:lang w:val="fr-FR"/>
        </w:rPr>
        <w:t>202</w:t>
      </w:r>
      <w:r w:rsidR="009C4815" w:rsidRPr="00E85915">
        <w:rPr>
          <w:b/>
          <w:sz w:val="24"/>
          <w:szCs w:val="24"/>
          <w:lang w:val="fr-FR"/>
        </w:rPr>
        <w:t>6</w:t>
      </w:r>
    </w:p>
    <w:p w14:paraId="494E612D" w14:textId="77777777" w:rsidR="00F0742C" w:rsidRPr="00E85915" w:rsidRDefault="00F0742C" w:rsidP="003A303A">
      <w:pPr>
        <w:spacing w:after="360"/>
        <w:rPr>
          <w:caps/>
          <w:sz w:val="24"/>
          <w:lang w:val="fr-FR"/>
        </w:rPr>
      </w:pPr>
      <w:bookmarkStart w:id="3" w:name="TitleOfDoc"/>
      <w:r w:rsidRPr="00E85915">
        <w:rPr>
          <w:caps/>
          <w:sz w:val="24"/>
          <w:lang w:val="fr-FR"/>
        </w:rPr>
        <w:t>Rapport annuel de la directrice de la Division de la supervision interne (DSI)</w:t>
      </w:r>
    </w:p>
    <w:p w14:paraId="5EF2DB8E" w14:textId="77777777" w:rsidR="00F0742C" w:rsidRPr="00E85915" w:rsidRDefault="00F0742C" w:rsidP="003A303A">
      <w:pPr>
        <w:spacing w:after="960"/>
        <w:rPr>
          <w:i/>
          <w:lang w:val="fr-FR"/>
        </w:rPr>
      </w:pPr>
      <w:bookmarkStart w:id="4" w:name="Prepared"/>
      <w:bookmarkEnd w:id="3"/>
      <w:r w:rsidRPr="00E85915">
        <w:rPr>
          <w:i/>
          <w:lang w:val="fr-FR"/>
        </w:rPr>
        <w:t>établi par le Secrétariat</w:t>
      </w:r>
    </w:p>
    <w:bookmarkEnd w:id="4"/>
    <w:p w14:paraId="25DDB91E" w14:textId="67A96295" w:rsidR="00F0742C" w:rsidRPr="00E85915" w:rsidRDefault="00F0742C" w:rsidP="003A303A">
      <w:pPr>
        <w:pStyle w:val="ONUMFS"/>
        <w:rPr>
          <w:lang w:val="fr-FR"/>
        </w:rPr>
      </w:pPr>
      <w:r w:rsidRPr="00E85915">
        <w:rPr>
          <w:lang w:val="fr-FR"/>
        </w:rPr>
        <w:t>Le présent document contient le “Rapport annuel de la directrice de la Division de la supervision interne (DSI)” (</w:t>
      </w:r>
      <w:r w:rsidR="00BF513F" w:rsidRPr="00E85915">
        <w:rPr>
          <w:lang w:val="fr-FR"/>
        </w:rPr>
        <w:t>document</w:t>
      </w:r>
      <w:r w:rsidR="00B91586">
        <w:rPr>
          <w:lang w:val="fr-FR"/>
        </w:rPr>
        <w:t> </w:t>
      </w:r>
      <w:r w:rsidR="00BF513F" w:rsidRPr="00E85915">
        <w:rPr>
          <w:lang w:val="fr-FR"/>
        </w:rPr>
        <w:t>WO</w:t>
      </w:r>
      <w:r w:rsidRPr="00E85915">
        <w:rPr>
          <w:lang w:val="fr-FR"/>
        </w:rPr>
        <w:t>/PBC/40/4), soumis au Comité du programme et budget de l</w:t>
      </w:r>
      <w:r w:rsidR="00BF513F" w:rsidRPr="00E85915">
        <w:rPr>
          <w:lang w:val="fr-FR"/>
        </w:rPr>
        <w:t>’</w:t>
      </w:r>
      <w:r w:rsidRPr="00E85915">
        <w:rPr>
          <w:lang w:val="fr-FR"/>
        </w:rPr>
        <w:t>OMPI (PBC) à sa quarant</w:t>
      </w:r>
      <w:r w:rsidR="00BF513F" w:rsidRPr="00E85915">
        <w:rPr>
          <w:lang w:val="fr-FR"/>
        </w:rPr>
        <w:t>ième session</w:t>
      </w:r>
      <w:r w:rsidRPr="00E85915">
        <w:rPr>
          <w:lang w:val="fr-FR"/>
        </w:rPr>
        <w:t xml:space="preserve"> (15 – 19 juin 2026).</w:t>
      </w:r>
    </w:p>
    <w:p w14:paraId="46138845" w14:textId="534F8B55" w:rsidR="00F0742C" w:rsidRPr="00E85915" w:rsidRDefault="00F0742C" w:rsidP="003A303A">
      <w:pPr>
        <w:pStyle w:val="ONUMFS"/>
        <w:rPr>
          <w:lang w:val="fr-FR"/>
        </w:rPr>
      </w:pPr>
      <w:r w:rsidRPr="00E85915">
        <w:rPr>
          <w:lang w:val="fr-FR"/>
        </w:rPr>
        <w:t>Toute décision</w:t>
      </w:r>
      <w:r w:rsidR="00BF513F" w:rsidRPr="00E85915">
        <w:rPr>
          <w:lang w:val="fr-FR"/>
        </w:rPr>
        <w:t xml:space="preserve"> du PBC</w:t>
      </w:r>
      <w:r w:rsidRPr="00E85915">
        <w:rPr>
          <w:lang w:val="fr-FR"/>
        </w:rPr>
        <w:t xml:space="preserve"> concernant ce document figurera dans la “Liste des décisions adoptées par le Comité du programme et budget” (document A/68/</w:t>
      </w:r>
      <w:r w:rsidR="00496D62">
        <w:rPr>
          <w:lang w:val="fr-FR"/>
        </w:rPr>
        <w:t>6</w:t>
      </w:r>
      <w:r w:rsidRPr="00E85915">
        <w:rPr>
          <w:lang w:val="fr-FR"/>
        </w:rPr>
        <w:t>).</w:t>
      </w:r>
    </w:p>
    <w:p w14:paraId="765F86C5" w14:textId="440FAC71" w:rsidR="00F0742C" w:rsidRPr="00E85915" w:rsidRDefault="00F0742C" w:rsidP="003A303A">
      <w:pPr>
        <w:pStyle w:val="Endofdocument-Annex"/>
      </w:pPr>
      <w:r w:rsidRPr="00E85915">
        <w:t xml:space="preserve">[Le </w:t>
      </w:r>
      <w:r w:rsidR="00BF513F" w:rsidRPr="00E85915">
        <w:t>document</w:t>
      </w:r>
      <w:r w:rsidR="00B91586">
        <w:t> </w:t>
      </w:r>
      <w:r w:rsidR="00BF513F" w:rsidRPr="00E85915">
        <w:t>WO</w:t>
      </w:r>
      <w:r w:rsidRPr="00E85915">
        <w:t>/PBC/40/4 suit]</w:t>
      </w:r>
    </w:p>
    <w:p w14:paraId="49C22D40" w14:textId="77777777" w:rsidR="00F0742C" w:rsidRPr="00E85915" w:rsidRDefault="00F0742C" w:rsidP="003A303A">
      <w:pPr>
        <w:rPr>
          <w:lang w:val="fr-FR"/>
        </w:rPr>
      </w:pPr>
      <w:r w:rsidRPr="00E85915">
        <w:rPr>
          <w:lang w:val="fr-FR"/>
        </w:rPr>
        <w:br w:type="page"/>
      </w:r>
    </w:p>
    <w:p w14:paraId="5FA2EA46" w14:textId="77777777" w:rsidR="00F0742C" w:rsidRPr="00E85915" w:rsidRDefault="00F0742C" w:rsidP="003A303A">
      <w:pPr>
        <w:rPr>
          <w:lang w:val="fr-FR"/>
        </w:rPr>
      </w:pPr>
    </w:p>
    <w:p w14:paraId="0DECB4E2" w14:textId="77777777" w:rsidR="00F0742C" w:rsidRPr="00E85915" w:rsidRDefault="00F0742C" w:rsidP="003A303A">
      <w:pPr>
        <w:spacing w:after="360"/>
        <w:rPr>
          <w:lang w:val="fr-FR"/>
        </w:rPr>
        <w:sectPr w:rsidR="00F0742C" w:rsidRPr="00E85915" w:rsidSect="003A303A">
          <w:footerReference w:type="default" r:id="rId14"/>
          <w:footerReference w:type="first" r:id="rId15"/>
          <w:endnotePr>
            <w:numFmt w:val="decimal"/>
          </w:endnotePr>
          <w:pgSz w:w="11907" w:h="16840" w:code="9"/>
          <w:pgMar w:top="567" w:right="1134" w:bottom="1418" w:left="1418" w:header="510" w:footer="1021" w:gutter="0"/>
          <w:cols w:space="720"/>
          <w:titlePg/>
          <w:docGrid w:linePitch="299"/>
        </w:sectPr>
      </w:pPr>
    </w:p>
    <w:p w14:paraId="12121F32" w14:textId="77777777" w:rsidR="00F0742C" w:rsidRPr="00E85915" w:rsidRDefault="00F0742C" w:rsidP="003A303A">
      <w:pPr>
        <w:spacing w:after="120"/>
        <w:jc w:val="right"/>
        <w:rPr>
          <w:lang w:val="fr-FR"/>
        </w:rPr>
      </w:pPr>
      <w:r w:rsidRPr="00E85915">
        <w:rPr>
          <w:noProof/>
          <w:lang w:val="fr-FR" w:eastAsia="en-US"/>
        </w:rPr>
        <w:lastRenderedPageBreak/>
        <w:drawing>
          <wp:inline distT="0" distB="0" distL="0" distR="0" wp14:anchorId="19BB3BA0" wp14:editId="3EEB2C43">
            <wp:extent cx="2948267" cy="1332000"/>
            <wp:effectExtent l="0" t="0" r="5080" b="1905"/>
            <wp:docPr id="1357970182" name="Picture 1357970182"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3">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E85915">
        <w:rPr>
          <w:rFonts w:ascii="Arial Black" w:hAnsi="Arial Black"/>
          <w:caps/>
          <w:noProof/>
          <w:sz w:val="15"/>
          <w:szCs w:val="15"/>
          <w:lang w:val="fr-FR" w:eastAsia="en-US"/>
        </w:rPr>
        <mc:AlternateContent>
          <mc:Choice Requires="wps">
            <w:drawing>
              <wp:inline distT="0" distB="0" distL="0" distR="0" wp14:anchorId="5F0DD696" wp14:editId="30EE26F0">
                <wp:extent cx="5935980" cy="0"/>
                <wp:effectExtent l="0" t="0" r="26670" b="19050"/>
                <wp:docPr id="839665621" name="Straight Connector 839665621"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17D6A95" id="Straight Connector 839665621"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C436A60" w14:textId="77777777" w:rsidR="00F0742C" w:rsidRPr="00E85915" w:rsidRDefault="00F0742C" w:rsidP="003A303A">
      <w:pPr>
        <w:jc w:val="right"/>
        <w:rPr>
          <w:rFonts w:ascii="Arial Black" w:hAnsi="Arial Black"/>
          <w:caps/>
          <w:sz w:val="15"/>
          <w:szCs w:val="15"/>
          <w:lang w:val="fr-FR"/>
        </w:rPr>
      </w:pPr>
      <w:r w:rsidRPr="00E85915">
        <w:rPr>
          <w:rFonts w:ascii="Arial Black" w:hAnsi="Arial Black"/>
          <w:caps/>
          <w:sz w:val="15"/>
          <w:szCs w:val="15"/>
          <w:lang w:val="fr-FR"/>
        </w:rPr>
        <w:t>WO/PBC/40/4</w:t>
      </w:r>
    </w:p>
    <w:p w14:paraId="2154BAF8" w14:textId="0925DFB1" w:rsidR="00F0742C" w:rsidRPr="00E85915" w:rsidRDefault="00F0742C" w:rsidP="003A303A">
      <w:pPr>
        <w:jc w:val="right"/>
        <w:rPr>
          <w:rFonts w:ascii="Arial Black" w:hAnsi="Arial Black"/>
          <w:caps/>
          <w:sz w:val="15"/>
          <w:szCs w:val="15"/>
          <w:lang w:val="fr-FR"/>
        </w:rPr>
      </w:pPr>
      <w:r w:rsidRPr="00E85915">
        <w:rPr>
          <w:rFonts w:ascii="Arial Black" w:hAnsi="Arial Black"/>
          <w:caps/>
          <w:sz w:val="15"/>
          <w:szCs w:val="15"/>
          <w:lang w:val="fr-FR"/>
        </w:rPr>
        <w:t>ORIGINAL</w:t>
      </w:r>
      <w:r w:rsidR="00BF513F" w:rsidRPr="00E85915">
        <w:rPr>
          <w:rFonts w:ascii="Arial Black" w:hAnsi="Arial Black"/>
          <w:caps/>
          <w:sz w:val="15"/>
          <w:szCs w:val="15"/>
          <w:lang w:val="fr-FR"/>
        </w:rPr>
        <w:t> :</w:t>
      </w:r>
      <w:r w:rsidRPr="00E85915">
        <w:rPr>
          <w:rFonts w:ascii="Arial Black" w:hAnsi="Arial Black"/>
          <w:caps/>
          <w:sz w:val="15"/>
          <w:szCs w:val="15"/>
          <w:lang w:val="fr-FR"/>
        </w:rPr>
        <w:t xml:space="preserve"> anglais</w:t>
      </w:r>
    </w:p>
    <w:p w14:paraId="4A958A9E" w14:textId="4F53BA92" w:rsidR="00F0742C" w:rsidRPr="00E85915" w:rsidRDefault="00F0742C" w:rsidP="003A303A">
      <w:pPr>
        <w:spacing w:after="1200"/>
        <w:jc w:val="right"/>
        <w:rPr>
          <w:rFonts w:ascii="Arial Black" w:hAnsi="Arial Black"/>
          <w:caps/>
          <w:sz w:val="15"/>
          <w:szCs w:val="15"/>
          <w:lang w:val="fr-FR"/>
        </w:rPr>
      </w:pPr>
      <w:r w:rsidRPr="00E85915">
        <w:rPr>
          <w:rFonts w:ascii="Arial Black" w:hAnsi="Arial Black"/>
          <w:caps/>
          <w:sz w:val="15"/>
          <w:szCs w:val="15"/>
          <w:lang w:val="fr-FR"/>
        </w:rPr>
        <w:t>DATE</w:t>
      </w:r>
      <w:r w:rsidR="00BF513F" w:rsidRPr="00E85915">
        <w:rPr>
          <w:rFonts w:ascii="Arial Black" w:hAnsi="Arial Black"/>
          <w:caps/>
          <w:sz w:val="15"/>
          <w:szCs w:val="15"/>
          <w:lang w:val="fr-FR"/>
        </w:rPr>
        <w:t> :</w:t>
      </w:r>
      <w:r w:rsidRPr="00E85915">
        <w:rPr>
          <w:rFonts w:ascii="Arial Black" w:hAnsi="Arial Black"/>
          <w:caps/>
          <w:sz w:val="15"/>
          <w:szCs w:val="15"/>
          <w:lang w:val="fr-FR"/>
        </w:rPr>
        <w:t xml:space="preserve"> 15 avril 2026</w:t>
      </w:r>
    </w:p>
    <w:p w14:paraId="65F3B706" w14:textId="77777777" w:rsidR="00F0742C" w:rsidRPr="00E85915" w:rsidRDefault="00F0742C" w:rsidP="003A303A">
      <w:pPr>
        <w:spacing w:after="600"/>
        <w:rPr>
          <w:b/>
          <w:sz w:val="28"/>
          <w:szCs w:val="28"/>
          <w:lang w:val="fr-FR"/>
        </w:rPr>
      </w:pPr>
      <w:r w:rsidRPr="00E85915">
        <w:rPr>
          <w:b/>
          <w:sz w:val="28"/>
          <w:szCs w:val="28"/>
          <w:lang w:val="fr-FR"/>
        </w:rPr>
        <w:t>Comité du programme et budget</w:t>
      </w:r>
    </w:p>
    <w:p w14:paraId="51C14309" w14:textId="260A88DE" w:rsidR="00F0742C" w:rsidRPr="00E85915" w:rsidRDefault="00F0742C" w:rsidP="003A303A">
      <w:pPr>
        <w:rPr>
          <w:b/>
          <w:sz w:val="24"/>
          <w:szCs w:val="24"/>
          <w:lang w:val="fr-FR"/>
        </w:rPr>
      </w:pPr>
      <w:r w:rsidRPr="00E85915">
        <w:rPr>
          <w:b/>
          <w:sz w:val="24"/>
          <w:szCs w:val="24"/>
          <w:lang w:val="fr-FR"/>
        </w:rPr>
        <w:t>Quarant</w:t>
      </w:r>
      <w:r w:rsidR="00BF513F" w:rsidRPr="00E85915">
        <w:rPr>
          <w:b/>
          <w:sz w:val="24"/>
          <w:szCs w:val="24"/>
          <w:lang w:val="fr-FR"/>
        </w:rPr>
        <w:t>ième session</w:t>
      </w:r>
    </w:p>
    <w:p w14:paraId="7E3592A6" w14:textId="67C45E82" w:rsidR="00F0742C" w:rsidRPr="00E85915" w:rsidRDefault="00F0742C" w:rsidP="003A303A">
      <w:pPr>
        <w:spacing w:after="720"/>
        <w:rPr>
          <w:lang w:val="fr-FR"/>
        </w:rPr>
      </w:pPr>
      <w:r w:rsidRPr="00E85915">
        <w:rPr>
          <w:b/>
          <w:sz w:val="24"/>
          <w:szCs w:val="24"/>
          <w:lang w:val="fr-FR"/>
        </w:rPr>
        <w:t>Genève, 15 – 1</w:t>
      </w:r>
      <w:r w:rsidR="00BF513F" w:rsidRPr="00E85915">
        <w:rPr>
          <w:b/>
          <w:sz w:val="24"/>
          <w:szCs w:val="24"/>
          <w:lang w:val="fr-FR"/>
        </w:rPr>
        <w:t>9 juin 20</w:t>
      </w:r>
      <w:r w:rsidRPr="00E85915">
        <w:rPr>
          <w:b/>
          <w:sz w:val="24"/>
          <w:szCs w:val="24"/>
          <w:lang w:val="fr-FR"/>
        </w:rPr>
        <w:t>26</w:t>
      </w:r>
    </w:p>
    <w:p w14:paraId="0FBC99D7" w14:textId="59AE5E9A" w:rsidR="00F0742C" w:rsidRPr="00E85915" w:rsidRDefault="003A303A" w:rsidP="003A303A">
      <w:pPr>
        <w:spacing w:after="360"/>
        <w:rPr>
          <w:caps/>
          <w:sz w:val="24"/>
          <w:lang w:val="fr-FR"/>
        </w:rPr>
      </w:pPr>
      <w:r w:rsidRPr="00E85915">
        <w:rPr>
          <w:caps/>
          <w:sz w:val="24"/>
          <w:lang w:val="fr-FR"/>
        </w:rPr>
        <w:t>Rapport annuel de la directrice de la Division de la supervision interne (DSI)</w:t>
      </w:r>
    </w:p>
    <w:p w14:paraId="51668BD2" w14:textId="77777777" w:rsidR="00F0742C" w:rsidRPr="00E85915" w:rsidRDefault="00F0742C" w:rsidP="003A303A">
      <w:pPr>
        <w:spacing w:after="960"/>
        <w:rPr>
          <w:i/>
          <w:lang w:val="fr-FR"/>
        </w:rPr>
      </w:pPr>
      <w:r w:rsidRPr="00E85915">
        <w:rPr>
          <w:i/>
          <w:lang w:val="fr-FR"/>
        </w:rPr>
        <w:t>établi par le Secrétariat</w:t>
      </w:r>
    </w:p>
    <w:p w14:paraId="660ED266" w14:textId="047C4E90" w:rsidR="00F0742C" w:rsidRPr="00E85915" w:rsidRDefault="00F0742C" w:rsidP="003A303A">
      <w:pPr>
        <w:pStyle w:val="ONUMFS"/>
        <w:numPr>
          <w:ilvl w:val="0"/>
          <w:numId w:val="24"/>
        </w:numPr>
        <w:rPr>
          <w:lang w:val="fr-FR"/>
        </w:rPr>
      </w:pPr>
      <w:r w:rsidRPr="00E85915">
        <w:rPr>
          <w:lang w:val="fr-FR"/>
        </w:rPr>
        <w:t>Conformément au paragraphe 51 de la Charte de la supervision interne, la directrice ou le directeur de la Division de la supervision interne (DSI) soumet chaque année un rapport de synthèse à l</w:t>
      </w:r>
      <w:r w:rsidR="00BF513F" w:rsidRPr="00E85915">
        <w:rPr>
          <w:lang w:val="fr-FR"/>
        </w:rPr>
        <w:t>’</w:t>
      </w:r>
      <w:r w:rsidRPr="00E85915">
        <w:rPr>
          <w:lang w:val="fr-FR"/>
        </w:rPr>
        <w:t>Assemblée générale de l</w:t>
      </w:r>
      <w:r w:rsidR="00BF513F" w:rsidRPr="00E85915">
        <w:rPr>
          <w:lang w:val="fr-FR"/>
        </w:rPr>
        <w:t>’</w:t>
      </w:r>
      <w:r w:rsidRPr="00E85915">
        <w:rPr>
          <w:lang w:val="fr-FR"/>
        </w:rPr>
        <w:t>Organisation Mondiale de la Propriété Intellectuelle (OMPI), par l</w:t>
      </w:r>
      <w:r w:rsidR="00BF513F" w:rsidRPr="00E85915">
        <w:rPr>
          <w:lang w:val="fr-FR"/>
        </w:rPr>
        <w:t>’</w:t>
      </w:r>
      <w:r w:rsidRPr="00E85915">
        <w:rPr>
          <w:lang w:val="fr-FR"/>
        </w:rPr>
        <w:t>intermédiaire du Comité du programme et budget (PBC).  Ce rapport doit donner un aperçu des activités de supervision interne menées durant la période comprise entre le</w:t>
      </w:r>
      <w:r w:rsidR="00BF513F" w:rsidRPr="00E85915">
        <w:rPr>
          <w:lang w:val="fr-FR"/>
        </w:rPr>
        <w:t xml:space="preserve"> 1</w:t>
      </w:r>
      <w:r w:rsidR="00BF513F" w:rsidRPr="00E85915">
        <w:rPr>
          <w:vertAlign w:val="superscript"/>
          <w:lang w:val="fr-FR"/>
        </w:rPr>
        <w:t>er</w:t>
      </w:r>
      <w:r w:rsidR="00BF513F" w:rsidRPr="00E85915">
        <w:rPr>
          <w:lang w:val="fr-FR"/>
        </w:rPr>
        <w:t> </w:t>
      </w:r>
      <w:r w:rsidRPr="00E85915">
        <w:rPr>
          <w:lang w:val="fr-FR"/>
        </w:rPr>
        <w:t>janvier 2025 et le 31 décembre 2025.</w:t>
      </w:r>
    </w:p>
    <w:p w14:paraId="61AA8E76" w14:textId="4512C741" w:rsidR="00F0742C" w:rsidRPr="00B06894" w:rsidRDefault="00F0742C" w:rsidP="003A303A">
      <w:pPr>
        <w:pStyle w:val="ONUMFS"/>
        <w:rPr>
          <w:iCs/>
          <w:lang w:val="fr-FR"/>
        </w:rPr>
      </w:pPr>
      <w:r w:rsidRPr="00E85915">
        <w:rPr>
          <w:lang w:val="fr-FR"/>
        </w:rPr>
        <w:t>Le paragraphe de décision ci</w:t>
      </w:r>
      <w:r w:rsidR="0089008D">
        <w:rPr>
          <w:lang w:val="fr-FR"/>
        </w:rPr>
        <w:noBreakHyphen/>
      </w:r>
      <w:r w:rsidRPr="00E85915">
        <w:rPr>
          <w:lang w:val="fr-FR"/>
        </w:rPr>
        <w:t>après est proposé.</w:t>
      </w:r>
    </w:p>
    <w:p w14:paraId="672824EC" w14:textId="34572EE5" w:rsidR="00F0742C" w:rsidRPr="00E85915" w:rsidRDefault="00F0742C" w:rsidP="003A303A">
      <w:pPr>
        <w:pStyle w:val="ONUMFS"/>
        <w:ind w:left="5533"/>
        <w:rPr>
          <w:i/>
          <w:lang w:val="fr-FR"/>
        </w:rPr>
      </w:pPr>
      <w:r w:rsidRPr="00E85915">
        <w:rPr>
          <w:i/>
          <w:lang w:val="fr-FR"/>
        </w:rPr>
        <w:t>Le Comité du programme et budget (PBC) a recommandé à l</w:t>
      </w:r>
      <w:r w:rsidR="00BF513F" w:rsidRPr="00E85915">
        <w:rPr>
          <w:i/>
          <w:lang w:val="fr-FR"/>
        </w:rPr>
        <w:t>’</w:t>
      </w:r>
      <w:r w:rsidRPr="00E85915">
        <w:rPr>
          <w:i/>
          <w:lang w:val="fr-FR"/>
        </w:rPr>
        <w:t>Assemblée générale de l</w:t>
      </w:r>
      <w:r w:rsidR="00BF513F" w:rsidRPr="00E85915">
        <w:rPr>
          <w:i/>
          <w:lang w:val="fr-FR"/>
        </w:rPr>
        <w:t>’</w:t>
      </w:r>
      <w:r w:rsidRPr="00E85915">
        <w:rPr>
          <w:i/>
          <w:lang w:val="fr-FR"/>
        </w:rPr>
        <w:t>OMPI de prendre note du “Rapport annuel de la directrice de la Division de la supervision interne (DSI)” (</w:t>
      </w:r>
      <w:r w:rsidR="00BF513F" w:rsidRPr="00E85915">
        <w:rPr>
          <w:i/>
          <w:lang w:val="fr-FR"/>
        </w:rPr>
        <w:t>document</w:t>
      </w:r>
      <w:r w:rsidR="00B91586">
        <w:rPr>
          <w:i/>
          <w:lang w:val="fr-FR"/>
        </w:rPr>
        <w:t> </w:t>
      </w:r>
      <w:r w:rsidR="00BF513F" w:rsidRPr="00E85915">
        <w:rPr>
          <w:i/>
          <w:lang w:val="fr-FR"/>
        </w:rPr>
        <w:t>WO</w:t>
      </w:r>
      <w:r w:rsidRPr="00E85915">
        <w:rPr>
          <w:i/>
          <w:lang w:val="fr-FR"/>
        </w:rPr>
        <w:t>/PBC/40/4).</w:t>
      </w:r>
    </w:p>
    <w:p w14:paraId="0A1D6CB2" w14:textId="77777777" w:rsidR="00F0742C" w:rsidRPr="00E85915" w:rsidRDefault="00F0742C" w:rsidP="003A303A">
      <w:pPr>
        <w:pStyle w:val="Endofdocument-Annex"/>
        <w:rPr>
          <w:i/>
        </w:rPr>
        <w:sectPr w:rsidR="00F0742C" w:rsidRPr="00E85915" w:rsidSect="003A303A">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2"/>
          <w:cols w:space="720"/>
          <w:titlePg/>
          <w:docGrid w:linePitch="299"/>
        </w:sectPr>
      </w:pPr>
      <w:r w:rsidRPr="00E85915">
        <w:t>[Le Rapport annuel de la directrice de la DSI suit]</w:t>
      </w:r>
    </w:p>
    <w:p w14:paraId="25DF9EEA" w14:textId="77777777" w:rsidR="00F0742C" w:rsidRPr="00E85915" w:rsidRDefault="00F0742C" w:rsidP="003A303A">
      <w:pPr>
        <w:rPr>
          <w:lang w:val="fr-FR"/>
        </w:rPr>
      </w:pPr>
      <w:r w:rsidRPr="00E85915">
        <w:rPr>
          <w:lang w:val="fr-FR"/>
        </w:rPr>
        <w:lastRenderedPageBreak/>
        <w:br w:type="page"/>
      </w:r>
    </w:p>
    <w:p w14:paraId="0EE03DF8" w14:textId="77777777" w:rsidR="00F0742C" w:rsidRPr="00E85915" w:rsidRDefault="00F0742C" w:rsidP="003A303A">
      <w:pPr>
        <w:jc w:val="center"/>
        <w:rPr>
          <w:lang w:val="fr-FR"/>
        </w:rPr>
      </w:pPr>
      <w:r w:rsidRPr="00E85915">
        <w:rPr>
          <w:b/>
          <w:lang w:val="fr-FR"/>
        </w:rPr>
        <w:lastRenderedPageBreak/>
        <w:t xml:space="preserve">RAPPORT ANNUEL DE LA DIRECTRICE DE LA </w:t>
      </w:r>
      <w:r w:rsidRPr="00E85915">
        <w:rPr>
          <w:rStyle w:val="Heading2Char"/>
          <w:b/>
        </w:rPr>
        <w:t>DIVISION DE LA SUPERVISION INTERNE</w:t>
      </w:r>
    </w:p>
    <w:p w14:paraId="4BB60718" w14:textId="32D44B05" w:rsidR="00F0742C" w:rsidRPr="00E85915" w:rsidRDefault="00F0742C" w:rsidP="003A303A">
      <w:pPr>
        <w:spacing w:after="720"/>
        <w:jc w:val="center"/>
        <w:rPr>
          <w:lang w:val="fr-FR"/>
        </w:rPr>
      </w:pPr>
      <w:r w:rsidRPr="00E85915">
        <w:rPr>
          <w:lang w:val="fr-FR"/>
        </w:rPr>
        <w:t>1</w:t>
      </w:r>
      <w:r w:rsidRPr="00E85915">
        <w:rPr>
          <w:vertAlign w:val="superscript"/>
          <w:lang w:val="fr-FR"/>
        </w:rPr>
        <w:t>er</w:t>
      </w:r>
      <w:r w:rsidRPr="00E85915">
        <w:rPr>
          <w:lang w:val="fr-FR"/>
        </w:rPr>
        <w:t> </w:t>
      </w:r>
      <w:r w:rsidR="00BF513F" w:rsidRPr="00E85915">
        <w:rPr>
          <w:lang w:val="fr-FR"/>
        </w:rPr>
        <w:t>janvier 20</w:t>
      </w:r>
      <w:r w:rsidRPr="00E85915">
        <w:rPr>
          <w:lang w:val="fr-FR"/>
        </w:rPr>
        <w:t>25 – 31 </w:t>
      </w:r>
      <w:r w:rsidR="00BF513F" w:rsidRPr="00E85915">
        <w:rPr>
          <w:lang w:val="fr-FR"/>
        </w:rPr>
        <w:t>décembre 20</w:t>
      </w:r>
      <w:r w:rsidRPr="00E85915">
        <w:rPr>
          <w:lang w:val="fr-FR"/>
        </w:rPr>
        <w:t>25</w:t>
      </w:r>
    </w:p>
    <w:p w14:paraId="213AFFCF" w14:textId="77777777" w:rsidR="00F0742C" w:rsidRPr="00E85915" w:rsidRDefault="00F0742C" w:rsidP="003A303A">
      <w:pPr>
        <w:jc w:val="center"/>
        <w:rPr>
          <w:b/>
          <w:bCs/>
          <w:lang w:val="fr-FR"/>
        </w:rPr>
      </w:pPr>
      <w:r w:rsidRPr="00E85915">
        <w:rPr>
          <w:b/>
          <w:lang w:val="fr-FR"/>
        </w:rPr>
        <w:t>TABLE DES MATIÈRES</w:t>
      </w:r>
    </w:p>
    <w:p w14:paraId="597AF453" w14:textId="4322D4F3" w:rsidR="00D83603" w:rsidRDefault="00F0742C">
      <w:pPr>
        <w:pStyle w:val="TOC1"/>
        <w:rPr>
          <w:rFonts w:asciiTheme="minorHAnsi" w:eastAsiaTheme="minorEastAsia" w:hAnsiTheme="minorHAnsi" w:cstheme="minorBidi"/>
          <w:noProof/>
          <w:kern w:val="2"/>
          <w:sz w:val="24"/>
          <w:szCs w:val="24"/>
          <w:lang w:val="en-US" w:eastAsia="en-US"/>
          <w14:ligatures w14:val="standardContextual"/>
        </w:rPr>
      </w:pPr>
      <w:r w:rsidRPr="00E85915">
        <w:rPr>
          <w:rStyle w:val="Hyperlink"/>
        </w:rPr>
        <w:fldChar w:fldCharType="begin"/>
      </w:r>
      <w:r w:rsidRPr="00E85915">
        <w:rPr>
          <w:rStyle w:val="Hyperlink"/>
        </w:rPr>
        <w:instrText xml:space="preserve"> TOC \o "1-1" \h \z \u </w:instrText>
      </w:r>
      <w:r w:rsidRPr="00E85915">
        <w:rPr>
          <w:rStyle w:val="Hyperlink"/>
        </w:rPr>
        <w:fldChar w:fldCharType="separate"/>
      </w:r>
      <w:hyperlink w:anchor="_Toc227321795" w:history="1">
        <w:r w:rsidR="00D83603" w:rsidRPr="00E349D8">
          <w:rPr>
            <w:rStyle w:val="Hyperlink"/>
            <w:noProof/>
          </w:rPr>
          <w:t>LISTE DE SIGLES</w:t>
        </w:r>
        <w:r w:rsidR="00D83603">
          <w:rPr>
            <w:noProof/>
            <w:webHidden/>
          </w:rPr>
          <w:tab/>
        </w:r>
        <w:r w:rsidR="00D83603">
          <w:rPr>
            <w:noProof/>
            <w:webHidden/>
          </w:rPr>
          <w:fldChar w:fldCharType="begin"/>
        </w:r>
        <w:r w:rsidR="00D83603">
          <w:rPr>
            <w:noProof/>
            <w:webHidden/>
          </w:rPr>
          <w:instrText xml:space="preserve"> PAGEREF _Toc227321795 \h </w:instrText>
        </w:r>
        <w:r w:rsidR="00D83603">
          <w:rPr>
            <w:noProof/>
            <w:webHidden/>
          </w:rPr>
        </w:r>
        <w:r w:rsidR="00D83603">
          <w:rPr>
            <w:noProof/>
            <w:webHidden/>
          </w:rPr>
          <w:fldChar w:fldCharType="separate"/>
        </w:r>
        <w:r w:rsidR="004C0317">
          <w:rPr>
            <w:noProof/>
            <w:webHidden/>
          </w:rPr>
          <w:t>3</w:t>
        </w:r>
        <w:r w:rsidR="00D83603">
          <w:rPr>
            <w:noProof/>
            <w:webHidden/>
          </w:rPr>
          <w:fldChar w:fldCharType="end"/>
        </w:r>
      </w:hyperlink>
    </w:p>
    <w:p w14:paraId="5CFBFD33" w14:textId="24FA5296"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796" w:history="1">
        <w:r w:rsidRPr="00E349D8">
          <w:rPr>
            <w:rStyle w:val="Hyperlink"/>
            <w:noProof/>
          </w:rPr>
          <w:t>RÉSUMÉ</w:t>
        </w:r>
        <w:r>
          <w:rPr>
            <w:noProof/>
            <w:webHidden/>
          </w:rPr>
          <w:tab/>
        </w:r>
        <w:r>
          <w:rPr>
            <w:noProof/>
            <w:webHidden/>
          </w:rPr>
          <w:fldChar w:fldCharType="begin"/>
        </w:r>
        <w:r>
          <w:rPr>
            <w:noProof/>
            <w:webHidden/>
          </w:rPr>
          <w:instrText xml:space="preserve"> PAGEREF _Toc227321796 \h </w:instrText>
        </w:r>
        <w:r>
          <w:rPr>
            <w:noProof/>
            <w:webHidden/>
          </w:rPr>
        </w:r>
        <w:r>
          <w:rPr>
            <w:noProof/>
            <w:webHidden/>
          </w:rPr>
          <w:fldChar w:fldCharType="separate"/>
        </w:r>
        <w:r w:rsidR="004C0317">
          <w:rPr>
            <w:noProof/>
            <w:webHidden/>
          </w:rPr>
          <w:t>4</w:t>
        </w:r>
        <w:r>
          <w:rPr>
            <w:noProof/>
            <w:webHidden/>
          </w:rPr>
          <w:fldChar w:fldCharType="end"/>
        </w:r>
      </w:hyperlink>
    </w:p>
    <w:p w14:paraId="4A2D80B1" w14:textId="47204F68"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797" w:history="1">
        <w:r w:rsidRPr="00E349D8">
          <w:rPr>
            <w:rStyle w:val="Hyperlink"/>
            <w:noProof/>
          </w:rPr>
          <w:t>CONTEXTE</w:t>
        </w:r>
        <w:r>
          <w:rPr>
            <w:noProof/>
            <w:webHidden/>
          </w:rPr>
          <w:tab/>
        </w:r>
        <w:r>
          <w:rPr>
            <w:noProof/>
            <w:webHidden/>
          </w:rPr>
          <w:fldChar w:fldCharType="begin"/>
        </w:r>
        <w:r>
          <w:rPr>
            <w:noProof/>
            <w:webHidden/>
          </w:rPr>
          <w:instrText xml:space="preserve"> PAGEREF _Toc227321797 \h </w:instrText>
        </w:r>
        <w:r>
          <w:rPr>
            <w:noProof/>
            <w:webHidden/>
          </w:rPr>
        </w:r>
        <w:r>
          <w:rPr>
            <w:noProof/>
            <w:webHidden/>
          </w:rPr>
          <w:fldChar w:fldCharType="separate"/>
        </w:r>
        <w:r w:rsidR="004C0317">
          <w:rPr>
            <w:noProof/>
            <w:webHidden/>
          </w:rPr>
          <w:t>5</w:t>
        </w:r>
        <w:r>
          <w:rPr>
            <w:noProof/>
            <w:webHidden/>
          </w:rPr>
          <w:fldChar w:fldCharType="end"/>
        </w:r>
      </w:hyperlink>
    </w:p>
    <w:p w14:paraId="4EAEE71C" w14:textId="683CE736"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798" w:history="1">
        <w:r w:rsidRPr="00E349D8">
          <w:rPr>
            <w:rStyle w:val="Hyperlink"/>
            <w:noProof/>
          </w:rPr>
          <w:t>FAITS MARQUANTS SURVENUS EN 2025</w:t>
        </w:r>
        <w:r>
          <w:rPr>
            <w:noProof/>
            <w:webHidden/>
          </w:rPr>
          <w:tab/>
        </w:r>
        <w:r>
          <w:rPr>
            <w:noProof/>
            <w:webHidden/>
          </w:rPr>
          <w:fldChar w:fldCharType="begin"/>
        </w:r>
        <w:r>
          <w:rPr>
            <w:noProof/>
            <w:webHidden/>
          </w:rPr>
          <w:instrText xml:space="preserve"> PAGEREF _Toc227321798 \h </w:instrText>
        </w:r>
        <w:r>
          <w:rPr>
            <w:noProof/>
            <w:webHidden/>
          </w:rPr>
        </w:r>
        <w:r>
          <w:rPr>
            <w:noProof/>
            <w:webHidden/>
          </w:rPr>
          <w:fldChar w:fldCharType="separate"/>
        </w:r>
        <w:r w:rsidR="004C0317">
          <w:rPr>
            <w:noProof/>
            <w:webHidden/>
          </w:rPr>
          <w:t>5</w:t>
        </w:r>
        <w:r>
          <w:rPr>
            <w:noProof/>
            <w:webHidden/>
          </w:rPr>
          <w:fldChar w:fldCharType="end"/>
        </w:r>
      </w:hyperlink>
    </w:p>
    <w:p w14:paraId="26E4EAB9" w14:textId="20FD0FEA"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799" w:history="1">
        <w:r w:rsidRPr="00E349D8">
          <w:rPr>
            <w:rStyle w:val="Hyperlink"/>
            <w:noProof/>
          </w:rPr>
          <w:t>PRINCIPES DE PLANIFICATION</w:t>
        </w:r>
        <w:r>
          <w:rPr>
            <w:noProof/>
            <w:webHidden/>
          </w:rPr>
          <w:tab/>
        </w:r>
        <w:r>
          <w:rPr>
            <w:noProof/>
            <w:webHidden/>
          </w:rPr>
          <w:fldChar w:fldCharType="begin"/>
        </w:r>
        <w:r>
          <w:rPr>
            <w:noProof/>
            <w:webHidden/>
          </w:rPr>
          <w:instrText xml:space="preserve"> PAGEREF _Toc227321799 \h </w:instrText>
        </w:r>
        <w:r>
          <w:rPr>
            <w:noProof/>
            <w:webHidden/>
          </w:rPr>
        </w:r>
        <w:r>
          <w:rPr>
            <w:noProof/>
            <w:webHidden/>
          </w:rPr>
          <w:fldChar w:fldCharType="separate"/>
        </w:r>
        <w:r w:rsidR="004C0317">
          <w:rPr>
            <w:noProof/>
            <w:webHidden/>
          </w:rPr>
          <w:t>6</w:t>
        </w:r>
        <w:r>
          <w:rPr>
            <w:noProof/>
            <w:webHidden/>
          </w:rPr>
          <w:fldChar w:fldCharType="end"/>
        </w:r>
      </w:hyperlink>
    </w:p>
    <w:p w14:paraId="370D94F9" w14:textId="4FC6B38D"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00" w:history="1">
        <w:r w:rsidRPr="00E349D8">
          <w:rPr>
            <w:rStyle w:val="Hyperlink"/>
            <w:noProof/>
          </w:rPr>
          <w:t>NORMES PROFESSIONNELLES</w:t>
        </w:r>
        <w:r>
          <w:rPr>
            <w:noProof/>
            <w:webHidden/>
          </w:rPr>
          <w:tab/>
        </w:r>
        <w:r>
          <w:rPr>
            <w:noProof/>
            <w:webHidden/>
          </w:rPr>
          <w:fldChar w:fldCharType="begin"/>
        </w:r>
        <w:r>
          <w:rPr>
            <w:noProof/>
            <w:webHidden/>
          </w:rPr>
          <w:instrText xml:space="preserve"> PAGEREF _Toc227321800 \h </w:instrText>
        </w:r>
        <w:r>
          <w:rPr>
            <w:noProof/>
            <w:webHidden/>
          </w:rPr>
        </w:r>
        <w:r>
          <w:rPr>
            <w:noProof/>
            <w:webHidden/>
          </w:rPr>
          <w:fldChar w:fldCharType="separate"/>
        </w:r>
        <w:r w:rsidR="004C0317">
          <w:rPr>
            <w:noProof/>
            <w:webHidden/>
          </w:rPr>
          <w:t>6</w:t>
        </w:r>
        <w:r>
          <w:rPr>
            <w:noProof/>
            <w:webHidden/>
          </w:rPr>
          <w:fldChar w:fldCharType="end"/>
        </w:r>
      </w:hyperlink>
    </w:p>
    <w:p w14:paraId="1F18DF2A" w14:textId="31BC1888"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01" w:history="1">
        <w:r w:rsidRPr="00E349D8">
          <w:rPr>
            <w:rStyle w:val="Hyperlink"/>
            <w:noProof/>
          </w:rPr>
          <w:t>MISSIONS ASSORTIES DE RECOMMANDATIONS EN MATIÈRE DE SUPERVISION JUGÉES HAUTEMENT PRIORITAIRES</w:t>
        </w:r>
        <w:r>
          <w:rPr>
            <w:noProof/>
            <w:webHidden/>
          </w:rPr>
          <w:tab/>
        </w:r>
        <w:r>
          <w:rPr>
            <w:noProof/>
            <w:webHidden/>
          </w:rPr>
          <w:fldChar w:fldCharType="begin"/>
        </w:r>
        <w:r>
          <w:rPr>
            <w:noProof/>
            <w:webHidden/>
          </w:rPr>
          <w:instrText xml:space="preserve"> PAGEREF _Toc227321801 \h </w:instrText>
        </w:r>
        <w:r>
          <w:rPr>
            <w:noProof/>
            <w:webHidden/>
          </w:rPr>
        </w:r>
        <w:r>
          <w:rPr>
            <w:noProof/>
            <w:webHidden/>
          </w:rPr>
          <w:fldChar w:fldCharType="separate"/>
        </w:r>
        <w:r w:rsidR="004C0317">
          <w:rPr>
            <w:noProof/>
            <w:webHidden/>
          </w:rPr>
          <w:t>6</w:t>
        </w:r>
        <w:r>
          <w:rPr>
            <w:noProof/>
            <w:webHidden/>
          </w:rPr>
          <w:fldChar w:fldCharType="end"/>
        </w:r>
      </w:hyperlink>
    </w:p>
    <w:p w14:paraId="18360568" w14:textId="5C27B3CB"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02" w:history="1">
        <w:r w:rsidRPr="00E349D8">
          <w:rPr>
            <w:rStyle w:val="Hyperlink"/>
            <w:noProof/>
          </w:rPr>
          <w:t>MISSIONS LANCÉES EN 2024 ET FIGURANT DANS LE RAPPORT DE 2025</w:t>
        </w:r>
        <w:r>
          <w:rPr>
            <w:noProof/>
            <w:webHidden/>
          </w:rPr>
          <w:tab/>
        </w:r>
        <w:r>
          <w:rPr>
            <w:noProof/>
            <w:webHidden/>
          </w:rPr>
          <w:fldChar w:fldCharType="begin"/>
        </w:r>
        <w:r>
          <w:rPr>
            <w:noProof/>
            <w:webHidden/>
          </w:rPr>
          <w:instrText xml:space="preserve"> PAGEREF _Toc227321802 \h </w:instrText>
        </w:r>
        <w:r>
          <w:rPr>
            <w:noProof/>
            <w:webHidden/>
          </w:rPr>
        </w:r>
        <w:r>
          <w:rPr>
            <w:noProof/>
            <w:webHidden/>
          </w:rPr>
          <w:fldChar w:fldCharType="separate"/>
        </w:r>
        <w:r w:rsidR="004C0317">
          <w:rPr>
            <w:noProof/>
            <w:webHidden/>
          </w:rPr>
          <w:t>6</w:t>
        </w:r>
        <w:r>
          <w:rPr>
            <w:noProof/>
            <w:webHidden/>
          </w:rPr>
          <w:fldChar w:fldCharType="end"/>
        </w:r>
      </w:hyperlink>
    </w:p>
    <w:p w14:paraId="6B7A34A1" w14:textId="0B50D8BA"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03" w:history="1">
        <w:r w:rsidRPr="00E349D8">
          <w:rPr>
            <w:rStyle w:val="Hyperlink"/>
            <w:noProof/>
          </w:rPr>
          <w:t>MISSIONS LANCÉES ET FIGURANT DANS LE RAPPORT DE 2025</w:t>
        </w:r>
        <w:r>
          <w:rPr>
            <w:noProof/>
            <w:webHidden/>
          </w:rPr>
          <w:tab/>
        </w:r>
        <w:r>
          <w:rPr>
            <w:noProof/>
            <w:webHidden/>
          </w:rPr>
          <w:fldChar w:fldCharType="begin"/>
        </w:r>
        <w:r>
          <w:rPr>
            <w:noProof/>
            <w:webHidden/>
          </w:rPr>
          <w:instrText xml:space="preserve"> PAGEREF _Toc227321803 \h </w:instrText>
        </w:r>
        <w:r>
          <w:rPr>
            <w:noProof/>
            <w:webHidden/>
          </w:rPr>
        </w:r>
        <w:r>
          <w:rPr>
            <w:noProof/>
            <w:webHidden/>
          </w:rPr>
          <w:fldChar w:fldCharType="separate"/>
        </w:r>
        <w:r w:rsidR="004C0317">
          <w:rPr>
            <w:noProof/>
            <w:webHidden/>
          </w:rPr>
          <w:t>7</w:t>
        </w:r>
        <w:r>
          <w:rPr>
            <w:noProof/>
            <w:webHidden/>
          </w:rPr>
          <w:fldChar w:fldCharType="end"/>
        </w:r>
      </w:hyperlink>
    </w:p>
    <w:p w14:paraId="4A41FA20" w14:textId="7BD7A8BB"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04" w:history="1">
        <w:r w:rsidRPr="00E349D8">
          <w:rPr>
            <w:rStyle w:val="Hyperlink"/>
            <w:noProof/>
          </w:rPr>
          <w:t>ACTIVITÉS D’ENQUÊTE</w:t>
        </w:r>
        <w:r>
          <w:rPr>
            <w:noProof/>
            <w:webHidden/>
          </w:rPr>
          <w:tab/>
        </w:r>
        <w:r>
          <w:rPr>
            <w:noProof/>
            <w:webHidden/>
          </w:rPr>
          <w:fldChar w:fldCharType="begin"/>
        </w:r>
        <w:r>
          <w:rPr>
            <w:noProof/>
            <w:webHidden/>
          </w:rPr>
          <w:instrText xml:space="preserve"> PAGEREF _Toc227321804 \h </w:instrText>
        </w:r>
        <w:r>
          <w:rPr>
            <w:noProof/>
            <w:webHidden/>
          </w:rPr>
        </w:r>
        <w:r>
          <w:rPr>
            <w:noProof/>
            <w:webHidden/>
          </w:rPr>
          <w:fldChar w:fldCharType="separate"/>
        </w:r>
        <w:r w:rsidR="004C0317">
          <w:rPr>
            <w:noProof/>
            <w:webHidden/>
          </w:rPr>
          <w:t>10</w:t>
        </w:r>
        <w:r>
          <w:rPr>
            <w:noProof/>
            <w:webHidden/>
          </w:rPr>
          <w:fldChar w:fldCharType="end"/>
        </w:r>
      </w:hyperlink>
    </w:p>
    <w:p w14:paraId="60257E5B" w14:textId="10A026FB"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05" w:history="1">
        <w:r w:rsidRPr="00E349D8">
          <w:rPr>
            <w:rStyle w:val="Hyperlink"/>
            <w:noProof/>
          </w:rPr>
          <w:t>ACTIVITÉS DE CONSEIL EN MATIÈRE DE SUPERVISION</w:t>
        </w:r>
        <w:r>
          <w:rPr>
            <w:noProof/>
            <w:webHidden/>
          </w:rPr>
          <w:tab/>
        </w:r>
        <w:r>
          <w:rPr>
            <w:noProof/>
            <w:webHidden/>
          </w:rPr>
          <w:fldChar w:fldCharType="begin"/>
        </w:r>
        <w:r>
          <w:rPr>
            <w:noProof/>
            <w:webHidden/>
          </w:rPr>
          <w:instrText xml:space="preserve"> PAGEREF _Toc227321805 \h </w:instrText>
        </w:r>
        <w:r>
          <w:rPr>
            <w:noProof/>
            <w:webHidden/>
          </w:rPr>
        </w:r>
        <w:r>
          <w:rPr>
            <w:noProof/>
            <w:webHidden/>
          </w:rPr>
          <w:fldChar w:fldCharType="separate"/>
        </w:r>
        <w:r w:rsidR="004C0317">
          <w:rPr>
            <w:noProof/>
            <w:webHidden/>
          </w:rPr>
          <w:t>14</w:t>
        </w:r>
        <w:r>
          <w:rPr>
            <w:noProof/>
            <w:webHidden/>
          </w:rPr>
          <w:fldChar w:fldCharType="end"/>
        </w:r>
      </w:hyperlink>
    </w:p>
    <w:p w14:paraId="196D5602" w14:textId="6C597E5F"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06" w:history="1">
        <w:r w:rsidRPr="00E349D8">
          <w:rPr>
            <w:rStyle w:val="Hyperlink"/>
            <w:noProof/>
          </w:rPr>
          <w:t>CAS DANS LESQUELS DES DEMANDES D’INFORMATION OU D’ASSISTANCE ONT ÉTÉ</w:t>
        </w:r>
        <w:r>
          <w:rPr>
            <w:rStyle w:val="Hyperlink"/>
            <w:noProof/>
          </w:rPr>
          <w:t> </w:t>
        </w:r>
        <w:r w:rsidRPr="00E349D8">
          <w:rPr>
            <w:rStyle w:val="Hyperlink"/>
            <w:noProof/>
          </w:rPr>
          <w:t>REJETÉES</w:t>
        </w:r>
        <w:r>
          <w:rPr>
            <w:noProof/>
            <w:webHidden/>
          </w:rPr>
          <w:tab/>
        </w:r>
        <w:r>
          <w:rPr>
            <w:noProof/>
            <w:webHidden/>
          </w:rPr>
          <w:fldChar w:fldCharType="begin"/>
        </w:r>
        <w:r>
          <w:rPr>
            <w:noProof/>
            <w:webHidden/>
          </w:rPr>
          <w:instrText xml:space="preserve"> PAGEREF _Toc227321806 \h </w:instrText>
        </w:r>
        <w:r>
          <w:rPr>
            <w:noProof/>
            <w:webHidden/>
          </w:rPr>
        </w:r>
        <w:r>
          <w:rPr>
            <w:noProof/>
            <w:webHidden/>
          </w:rPr>
          <w:fldChar w:fldCharType="separate"/>
        </w:r>
        <w:r w:rsidR="004C0317">
          <w:rPr>
            <w:noProof/>
            <w:webHidden/>
          </w:rPr>
          <w:t>14</w:t>
        </w:r>
        <w:r>
          <w:rPr>
            <w:noProof/>
            <w:webHidden/>
          </w:rPr>
          <w:fldChar w:fldCharType="end"/>
        </w:r>
      </w:hyperlink>
    </w:p>
    <w:p w14:paraId="12894240" w14:textId="38292FEF"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07" w:history="1">
        <w:r w:rsidRPr="00E349D8">
          <w:rPr>
            <w:rStyle w:val="Hyperlink"/>
            <w:noProof/>
          </w:rPr>
          <w:t>ÉTAT D’AVANCEMENT DE LA MISE EN ŒUVRE DES RECOMMANDATIONS EN MATIÈRE</w:t>
        </w:r>
        <w:r>
          <w:rPr>
            <w:rStyle w:val="Hyperlink"/>
            <w:noProof/>
          </w:rPr>
          <w:t> </w:t>
        </w:r>
        <w:r w:rsidRPr="00E349D8">
          <w:rPr>
            <w:rStyle w:val="Hyperlink"/>
            <w:noProof/>
          </w:rPr>
          <w:t>DE SUPERVISION</w:t>
        </w:r>
        <w:r>
          <w:rPr>
            <w:noProof/>
            <w:webHidden/>
          </w:rPr>
          <w:tab/>
        </w:r>
        <w:r>
          <w:rPr>
            <w:noProof/>
            <w:webHidden/>
          </w:rPr>
          <w:fldChar w:fldCharType="begin"/>
        </w:r>
        <w:r>
          <w:rPr>
            <w:noProof/>
            <w:webHidden/>
          </w:rPr>
          <w:instrText xml:space="preserve"> PAGEREF _Toc227321807 \h </w:instrText>
        </w:r>
        <w:r>
          <w:rPr>
            <w:noProof/>
            <w:webHidden/>
          </w:rPr>
        </w:r>
        <w:r>
          <w:rPr>
            <w:noProof/>
            <w:webHidden/>
          </w:rPr>
          <w:fldChar w:fldCharType="separate"/>
        </w:r>
        <w:r w:rsidR="004C0317">
          <w:rPr>
            <w:noProof/>
            <w:webHidden/>
          </w:rPr>
          <w:t>15</w:t>
        </w:r>
        <w:r>
          <w:rPr>
            <w:noProof/>
            <w:webHidden/>
          </w:rPr>
          <w:fldChar w:fldCharType="end"/>
        </w:r>
      </w:hyperlink>
    </w:p>
    <w:p w14:paraId="36BF5B94" w14:textId="1E8DD5BB"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08" w:history="1">
        <w:r w:rsidRPr="00E349D8">
          <w:rPr>
            <w:rStyle w:val="Hyperlink"/>
            <w:noProof/>
          </w:rPr>
          <w:t>AVIS ANNUEL SUR LA GOUVERNANCE, LA GESTION DES RISQUES ET LES CONTRÔLES</w:t>
        </w:r>
        <w:r>
          <w:rPr>
            <w:rStyle w:val="Hyperlink"/>
            <w:noProof/>
          </w:rPr>
          <w:t> </w:t>
        </w:r>
        <w:r w:rsidRPr="00E349D8">
          <w:rPr>
            <w:rStyle w:val="Hyperlink"/>
            <w:noProof/>
          </w:rPr>
          <w:t>INTERNES</w:t>
        </w:r>
        <w:r>
          <w:rPr>
            <w:noProof/>
            <w:webHidden/>
          </w:rPr>
          <w:tab/>
        </w:r>
        <w:r>
          <w:rPr>
            <w:noProof/>
            <w:webHidden/>
          </w:rPr>
          <w:fldChar w:fldCharType="begin"/>
        </w:r>
        <w:r>
          <w:rPr>
            <w:noProof/>
            <w:webHidden/>
          </w:rPr>
          <w:instrText xml:space="preserve"> PAGEREF _Toc227321808 \h </w:instrText>
        </w:r>
        <w:r>
          <w:rPr>
            <w:noProof/>
            <w:webHidden/>
          </w:rPr>
        </w:r>
        <w:r>
          <w:rPr>
            <w:noProof/>
            <w:webHidden/>
          </w:rPr>
          <w:fldChar w:fldCharType="separate"/>
        </w:r>
        <w:r w:rsidR="004C0317">
          <w:rPr>
            <w:noProof/>
            <w:webHidden/>
          </w:rPr>
          <w:t>17</w:t>
        </w:r>
        <w:r>
          <w:rPr>
            <w:noProof/>
            <w:webHidden/>
          </w:rPr>
          <w:fldChar w:fldCharType="end"/>
        </w:r>
      </w:hyperlink>
    </w:p>
    <w:p w14:paraId="66291DCC" w14:textId="6A94556B"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09" w:history="1">
        <w:r w:rsidRPr="00E349D8">
          <w:rPr>
            <w:rStyle w:val="Hyperlink"/>
            <w:noProof/>
          </w:rPr>
          <w:t>COORDINATION AVEC LES ORGANISMES DE SUPERVISION EXTERNES</w:t>
        </w:r>
        <w:r>
          <w:rPr>
            <w:noProof/>
            <w:webHidden/>
          </w:rPr>
          <w:tab/>
        </w:r>
        <w:r>
          <w:rPr>
            <w:noProof/>
            <w:webHidden/>
          </w:rPr>
          <w:fldChar w:fldCharType="begin"/>
        </w:r>
        <w:r>
          <w:rPr>
            <w:noProof/>
            <w:webHidden/>
          </w:rPr>
          <w:instrText xml:space="preserve"> PAGEREF _Toc227321809 \h </w:instrText>
        </w:r>
        <w:r>
          <w:rPr>
            <w:noProof/>
            <w:webHidden/>
          </w:rPr>
        </w:r>
        <w:r>
          <w:rPr>
            <w:noProof/>
            <w:webHidden/>
          </w:rPr>
          <w:fldChar w:fldCharType="separate"/>
        </w:r>
        <w:r w:rsidR="004C0317">
          <w:rPr>
            <w:noProof/>
            <w:webHidden/>
          </w:rPr>
          <w:t>18</w:t>
        </w:r>
        <w:r>
          <w:rPr>
            <w:noProof/>
            <w:webHidden/>
          </w:rPr>
          <w:fldChar w:fldCharType="end"/>
        </w:r>
      </w:hyperlink>
    </w:p>
    <w:p w14:paraId="5268FD90" w14:textId="613D50DD"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10" w:history="1">
        <w:r w:rsidRPr="00E349D8">
          <w:rPr>
            <w:rStyle w:val="Hyperlink"/>
            <w:noProof/>
          </w:rPr>
          <w:t>AUTRES ACTIVITÉS DE SUPERVISION</w:t>
        </w:r>
        <w:r>
          <w:rPr>
            <w:noProof/>
            <w:webHidden/>
          </w:rPr>
          <w:tab/>
        </w:r>
        <w:r>
          <w:rPr>
            <w:noProof/>
            <w:webHidden/>
          </w:rPr>
          <w:fldChar w:fldCharType="begin"/>
        </w:r>
        <w:r>
          <w:rPr>
            <w:noProof/>
            <w:webHidden/>
          </w:rPr>
          <w:instrText xml:space="preserve"> PAGEREF _Toc227321810 \h </w:instrText>
        </w:r>
        <w:r>
          <w:rPr>
            <w:noProof/>
            <w:webHidden/>
          </w:rPr>
        </w:r>
        <w:r>
          <w:rPr>
            <w:noProof/>
            <w:webHidden/>
          </w:rPr>
          <w:fldChar w:fldCharType="separate"/>
        </w:r>
        <w:r w:rsidR="004C0317">
          <w:rPr>
            <w:noProof/>
            <w:webHidden/>
          </w:rPr>
          <w:t>18</w:t>
        </w:r>
        <w:r>
          <w:rPr>
            <w:noProof/>
            <w:webHidden/>
          </w:rPr>
          <w:fldChar w:fldCharType="end"/>
        </w:r>
      </w:hyperlink>
    </w:p>
    <w:p w14:paraId="20D47114" w14:textId="316BA10A"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11" w:history="1">
        <w:r w:rsidRPr="00E349D8">
          <w:rPr>
            <w:rStyle w:val="Hyperlink"/>
            <w:noProof/>
          </w:rPr>
          <w:t>PROGRAMME D’ASSURANCE ET D’AMÉLIORATION DE LA QUALITÉ DE LA DSI</w:t>
        </w:r>
        <w:r>
          <w:rPr>
            <w:noProof/>
            <w:webHidden/>
          </w:rPr>
          <w:tab/>
        </w:r>
        <w:r>
          <w:rPr>
            <w:noProof/>
            <w:webHidden/>
          </w:rPr>
          <w:fldChar w:fldCharType="begin"/>
        </w:r>
        <w:r>
          <w:rPr>
            <w:noProof/>
            <w:webHidden/>
          </w:rPr>
          <w:instrText xml:space="preserve"> PAGEREF _Toc227321811 \h </w:instrText>
        </w:r>
        <w:r>
          <w:rPr>
            <w:noProof/>
            <w:webHidden/>
          </w:rPr>
        </w:r>
        <w:r>
          <w:rPr>
            <w:noProof/>
            <w:webHidden/>
          </w:rPr>
          <w:fldChar w:fldCharType="separate"/>
        </w:r>
        <w:r w:rsidR="004C0317">
          <w:rPr>
            <w:noProof/>
            <w:webHidden/>
          </w:rPr>
          <w:t>20</w:t>
        </w:r>
        <w:r>
          <w:rPr>
            <w:noProof/>
            <w:webHidden/>
          </w:rPr>
          <w:fldChar w:fldCharType="end"/>
        </w:r>
      </w:hyperlink>
    </w:p>
    <w:p w14:paraId="1102D819" w14:textId="73DF002F"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12" w:history="1">
        <w:r w:rsidRPr="00E349D8">
          <w:rPr>
            <w:rStyle w:val="Hyperlink"/>
            <w:noProof/>
          </w:rPr>
          <w:t>RESSOURCES INTERNES EN MATIÈRE DE SUPERVISION</w:t>
        </w:r>
        <w:r>
          <w:rPr>
            <w:noProof/>
            <w:webHidden/>
          </w:rPr>
          <w:tab/>
        </w:r>
        <w:r>
          <w:rPr>
            <w:noProof/>
            <w:webHidden/>
          </w:rPr>
          <w:fldChar w:fldCharType="begin"/>
        </w:r>
        <w:r>
          <w:rPr>
            <w:noProof/>
            <w:webHidden/>
          </w:rPr>
          <w:instrText xml:space="preserve"> PAGEREF _Toc227321812 \h </w:instrText>
        </w:r>
        <w:r>
          <w:rPr>
            <w:noProof/>
            <w:webHidden/>
          </w:rPr>
        </w:r>
        <w:r>
          <w:rPr>
            <w:noProof/>
            <w:webHidden/>
          </w:rPr>
          <w:fldChar w:fldCharType="separate"/>
        </w:r>
        <w:r w:rsidR="004C0317">
          <w:rPr>
            <w:noProof/>
            <w:webHidden/>
          </w:rPr>
          <w:t>22</w:t>
        </w:r>
        <w:r>
          <w:rPr>
            <w:noProof/>
            <w:webHidden/>
          </w:rPr>
          <w:fldChar w:fldCharType="end"/>
        </w:r>
      </w:hyperlink>
    </w:p>
    <w:p w14:paraId="3528E3AA" w14:textId="2B0D559D"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13" w:history="1">
        <w:r w:rsidRPr="00E349D8">
          <w:rPr>
            <w:rStyle w:val="Hyperlink"/>
            <w:noProof/>
          </w:rPr>
          <w:t>L’ANNÉE 2026 ET AU</w:t>
        </w:r>
        <w:r w:rsidRPr="00E349D8">
          <w:rPr>
            <w:rStyle w:val="Hyperlink"/>
            <w:noProof/>
          </w:rPr>
          <w:noBreakHyphen/>
          <w:t>DELÀ</w:t>
        </w:r>
        <w:r>
          <w:rPr>
            <w:noProof/>
            <w:webHidden/>
          </w:rPr>
          <w:tab/>
        </w:r>
        <w:r>
          <w:rPr>
            <w:noProof/>
            <w:webHidden/>
          </w:rPr>
          <w:fldChar w:fldCharType="begin"/>
        </w:r>
        <w:r>
          <w:rPr>
            <w:noProof/>
            <w:webHidden/>
          </w:rPr>
          <w:instrText xml:space="preserve"> PAGEREF _Toc227321813 \h </w:instrText>
        </w:r>
        <w:r>
          <w:rPr>
            <w:noProof/>
            <w:webHidden/>
          </w:rPr>
        </w:r>
        <w:r>
          <w:rPr>
            <w:noProof/>
            <w:webHidden/>
          </w:rPr>
          <w:fldChar w:fldCharType="separate"/>
        </w:r>
        <w:r w:rsidR="004C0317">
          <w:rPr>
            <w:noProof/>
            <w:webHidden/>
          </w:rPr>
          <w:t>23</w:t>
        </w:r>
        <w:r>
          <w:rPr>
            <w:noProof/>
            <w:webHidden/>
          </w:rPr>
          <w:fldChar w:fldCharType="end"/>
        </w:r>
      </w:hyperlink>
    </w:p>
    <w:p w14:paraId="7CB2CD84" w14:textId="6F12609B" w:rsidR="00D83603" w:rsidRDefault="00D83603">
      <w:pPr>
        <w:pStyle w:val="TOC1"/>
        <w:rPr>
          <w:rFonts w:asciiTheme="minorHAnsi" w:eastAsiaTheme="minorEastAsia" w:hAnsiTheme="minorHAnsi" w:cstheme="minorBidi"/>
          <w:noProof/>
          <w:kern w:val="2"/>
          <w:sz w:val="24"/>
          <w:szCs w:val="24"/>
          <w:lang w:val="en-US" w:eastAsia="en-US"/>
          <w14:ligatures w14:val="standardContextual"/>
        </w:rPr>
      </w:pPr>
      <w:hyperlink w:anchor="_Toc227321814" w:history="1">
        <w:r w:rsidRPr="00E349D8">
          <w:rPr>
            <w:rStyle w:val="Hyperlink"/>
            <w:noProof/>
          </w:rPr>
          <w:t>CONCLUSION</w:t>
        </w:r>
        <w:r>
          <w:rPr>
            <w:noProof/>
            <w:webHidden/>
          </w:rPr>
          <w:tab/>
        </w:r>
        <w:r>
          <w:rPr>
            <w:noProof/>
            <w:webHidden/>
          </w:rPr>
          <w:fldChar w:fldCharType="begin"/>
        </w:r>
        <w:r>
          <w:rPr>
            <w:noProof/>
            <w:webHidden/>
          </w:rPr>
          <w:instrText xml:space="preserve"> PAGEREF _Toc227321814 \h </w:instrText>
        </w:r>
        <w:r>
          <w:rPr>
            <w:noProof/>
            <w:webHidden/>
          </w:rPr>
        </w:r>
        <w:r>
          <w:rPr>
            <w:noProof/>
            <w:webHidden/>
          </w:rPr>
          <w:fldChar w:fldCharType="separate"/>
        </w:r>
        <w:r w:rsidR="004C0317">
          <w:rPr>
            <w:noProof/>
            <w:webHidden/>
          </w:rPr>
          <w:t>23</w:t>
        </w:r>
        <w:r>
          <w:rPr>
            <w:noProof/>
            <w:webHidden/>
          </w:rPr>
          <w:fldChar w:fldCharType="end"/>
        </w:r>
      </w:hyperlink>
    </w:p>
    <w:p w14:paraId="452B47DA" w14:textId="72833C35" w:rsidR="00F0742C" w:rsidRPr="00E85915" w:rsidRDefault="00F0742C" w:rsidP="003A303A">
      <w:pPr>
        <w:keepLines/>
        <w:tabs>
          <w:tab w:val="left" w:leader="dot" w:pos="8910"/>
        </w:tabs>
        <w:rPr>
          <w:b/>
          <w:lang w:val="fr-FR"/>
        </w:rPr>
      </w:pPr>
      <w:r w:rsidRPr="00E85915">
        <w:rPr>
          <w:lang w:val="fr-FR"/>
        </w:rPr>
        <w:fldChar w:fldCharType="end"/>
      </w:r>
    </w:p>
    <w:p w14:paraId="0870BFA9" w14:textId="77777777" w:rsidR="00BF513F" w:rsidRPr="00E85915" w:rsidRDefault="00F0742C" w:rsidP="003A303A">
      <w:pPr>
        <w:keepLines/>
        <w:tabs>
          <w:tab w:val="left" w:pos="1134"/>
          <w:tab w:val="left" w:pos="1560"/>
        </w:tabs>
        <w:rPr>
          <w:lang w:val="fr-FR"/>
        </w:rPr>
      </w:pPr>
      <w:r w:rsidRPr="00E85915">
        <w:rPr>
          <w:lang w:val="fr-FR"/>
        </w:rPr>
        <w:t xml:space="preserve">ANNEXE </w:t>
      </w:r>
      <w:r w:rsidR="003A303A" w:rsidRPr="00E85915">
        <w:rPr>
          <w:lang w:val="fr-FR"/>
        </w:rPr>
        <w:t>–</w:t>
      </w:r>
      <w:r w:rsidRPr="00E85915">
        <w:rPr>
          <w:lang w:val="fr-FR"/>
        </w:rPr>
        <w:t xml:space="preserve"> Liste des documents et des rapports établis par la DSI</w:t>
      </w:r>
    </w:p>
    <w:p w14:paraId="7A3C3E19" w14:textId="004F976C" w:rsidR="00F0742C" w:rsidRPr="00E85915" w:rsidRDefault="00F0742C" w:rsidP="003A303A">
      <w:pPr>
        <w:rPr>
          <w:b/>
          <w:bCs/>
          <w:caps/>
          <w:kern w:val="32"/>
          <w:szCs w:val="32"/>
          <w:lang w:val="fr-FR"/>
        </w:rPr>
      </w:pPr>
      <w:r w:rsidRPr="00E85915">
        <w:rPr>
          <w:lang w:val="fr-FR"/>
        </w:rPr>
        <w:br w:type="page"/>
      </w:r>
    </w:p>
    <w:p w14:paraId="7427468E" w14:textId="77777777" w:rsidR="00F0742C" w:rsidRPr="00E85915" w:rsidRDefault="00F0742C" w:rsidP="00B321D5">
      <w:pPr>
        <w:pStyle w:val="Heading1"/>
      </w:pPr>
      <w:bookmarkStart w:id="5" w:name="_Toc39071243"/>
      <w:bookmarkStart w:id="6" w:name="_Toc227321795"/>
      <w:r w:rsidRPr="00E85915">
        <w:lastRenderedPageBreak/>
        <w:t>LISTE DE SIGLES</w:t>
      </w:r>
      <w:bookmarkEnd w:id="5"/>
      <w:bookmarkEnd w:id="6"/>
    </w:p>
    <w:p w14:paraId="21CAB0FF" w14:textId="77777777" w:rsidR="00F0742C" w:rsidRPr="00E85915" w:rsidRDefault="00F0742C" w:rsidP="003A303A">
      <w:pPr>
        <w:rPr>
          <w:lang w:val="fr-FR"/>
        </w:rPr>
      </w:pPr>
    </w:p>
    <w:tbl>
      <w:tblPr>
        <w:tblStyle w:val="TableGridLight"/>
        <w:tblW w:w="0" w:type="auto"/>
        <w:tblLook w:val="04A0" w:firstRow="1" w:lastRow="0" w:firstColumn="1" w:lastColumn="0" w:noHBand="0" w:noVBand="1"/>
        <w:tblCaption w:val="Liste de sigles"/>
        <w:tblDescription w:val="Liste des sigles utilisés dans ce document"/>
      </w:tblPr>
      <w:tblGrid>
        <w:gridCol w:w="1701"/>
        <w:gridCol w:w="7230"/>
      </w:tblGrid>
      <w:tr w:rsidR="0089008D" w:rsidRPr="004C0317" w14:paraId="38DBB792" w14:textId="77777777" w:rsidTr="0089008D">
        <w:trPr>
          <w:trHeight w:val="284"/>
        </w:trPr>
        <w:tc>
          <w:tcPr>
            <w:tcW w:w="1701" w:type="dxa"/>
          </w:tcPr>
          <w:p w14:paraId="1061F729" w14:textId="77777777" w:rsidR="0089008D" w:rsidRPr="00E85915" w:rsidRDefault="0089008D" w:rsidP="003A303A">
            <w:pPr>
              <w:tabs>
                <w:tab w:val="right" w:pos="6880"/>
              </w:tabs>
              <w:rPr>
                <w:b/>
                <w:sz w:val="20"/>
              </w:rPr>
            </w:pPr>
            <w:r w:rsidRPr="00E85915">
              <w:rPr>
                <w:b/>
                <w:sz w:val="20"/>
              </w:rPr>
              <w:t>ACFE</w:t>
            </w:r>
          </w:p>
        </w:tc>
        <w:tc>
          <w:tcPr>
            <w:tcW w:w="7230" w:type="dxa"/>
          </w:tcPr>
          <w:p w14:paraId="1953A488" w14:textId="77777777" w:rsidR="0089008D" w:rsidRPr="006406AE" w:rsidRDefault="0089008D" w:rsidP="003A303A">
            <w:pPr>
              <w:tabs>
                <w:tab w:val="right" w:pos="6880"/>
              </w:tabs>
              <w:ind w:left="43"/>
              <w:rPr>
                <w:sz w:val="20"/>
                <w:lang w:val="en-US"/>
              </w:rPr>
            </w:pPr>
            <w:r w:rsidRPr="006406AE">
              <w:rPr>
                <w:sz w:val="20"/>
                <w:lang w:val="en-US"/>
              </w:rPr>
              <w:t>Association of Certified Fraud Examiners</w:t>
            </w:r>
          </w:p>
        </w:tc>
      </w:tr>
      <w:tr w:rsidR="0089008D" w:rsidRPr="00E85915" w14:paraId="5F1B7FC1" w14:textId="77777777" w:rsidTr="0089008D">
        <w:trPr>
          <w:trHeight w:val="284"/>
        </w:trPr>
        <w:tc>
          <w:tcPr>
            <w:tcW w:w="1701" w:type="dxa"/>
          </w:tcPr>
          <w:p w14:paraId="601E1E6D" w14:textId="77777777" w:rsidR="0089008D" w:rsidRPr="00E85915" w:rsidRDefault="0089008D" w:rsidP="003A303A">
            <w:pPr>
              <w:tabs>
                <w:tab w:val="right" w:pos="6880"/>
              </w:tabs>
              <w:rPr>
                <w:b/>
                <w:sz w:val="20"/>
              </w:rPr>
            </w:pPr>
            <w:r w:rsidRPr="00E85915">
              <w:rPr>
                <w:b/>
                <w:sz w:val="20"/>
              </w:rPr>
              <w:t>AIMS</w:t>
            </w:r>
          </w:p>
        </w:tc>
        <w:tc>
          <w:tcPr>
            <w:tcW w:w="7230" w:type="dxa"/>
          </w:tcPr>
          <w:p w14:paraId="7E8212E3" w14:textId="77777777" w:rsidR="0089008D" w:rsidRPr="00E85915" w:rsidRDefault="0089008D" w:rsidP="003A303A">
            <w:pPr>
              <w:tabs>
                <w:tab w:val="right" w:pos="6880"/>
              </w:tabs>
              <w:ind w:left="43"/>
              <w:rPr>
                <w:sz w:val="20"/>
              </w:rPr>
            </w:pPr>
            <w:r w:rsidRPr="00E85915">
              <w:rPr>
                <w:sz w:val="20"/>
              </w:rPr>
              <w:t>Système de gestion de l’information administrative</w:t>
            </w:r>
          </w:p>
        </w:tc>
      </w:tr>
      <w:tr w:rsidR="0089008D" w:rsidRPr="00E85915" w14:paraId="43CB4497" w14:textId="77777777" w:rsidTr="0089008D">
        <w:trPr>
          <w:trHeight w:val="284"/>
        </w:trPr>
        <w:tc>
          <w:tcPr>
            <w:tcW w:w="1701" w:type="dxa"/>
          </w:tcPr>
          <w:p w14:paraId="3D010187" w14:textId="77777777" w:rsidR="0089008D" w:rsidRPr="00E85915" w:rsidRDefault="0089008D" w:rsidP="003A303A">
            <w:pPr>
              <w:rPr>
                <w:b/>
                <w:sz w:val="20"/>
              </w:rPr>
            </w:pPr>
            <w:r w:rsidRPr="00E85915">
              <w:rPr>
                <w:b/>
                <w:sz w:val="20"/>
              </w:rPr>
              <w:t>DGRH</w:t>
            </w:r>
          </w:p>
        </w:tc>
        <w:tc>
          <w:tcPr>
            <w:tcW w:w="7230" w:type="dxa"/>
          </w:tcPr>
          <w:p w14:paraId="6AA47FE4" w14:textId="77777777" w:rsidR="0089008D" w:rsidRPr="00E85915" w:rsidRDefault="0089008D" w:rsidP="003A303A">
            <w:pPr>
              <w:ind w:left="43"/>
              <w:rPr>
                <w:sz w:val="20"/>
              </w:rPr>
            </w:pPr>
            <w:r w:rsidRPr="00E85915">
              <w:rPr>
                <w:sz w:val="20"/>
              </w:rPr>
              <w:t>Département de la gestion des ressources humaines</w:t>
            </w:r>
          </w:p>
        </w:tc>
      </w:tr>
      <w:tr w:rsidR="0089008D" w:rsidRPr="00E85915" w14:paraId="0F248836" w14:textId="77777777" w:rsidTr="0089008D">
        <w:trPr>
          <w:trHeight w:val="284"/>
        </w:trPr>
        <w:tc>
          <w:tcPr>
            <w:tcW w:w="1701" w:type="dxa"/>
          </w:tcPr>
          <w:p w14:paraId="68132ADF" w14:textId="77777777" w:rsidR="0089008D" w:rsidRPr="00E85915" w:rsidRDefault="0089008D" w:rsidP="003A303A">
            <w:pPr>
              <w:rPr>
                <w:b/>
                <w:sz w:val="20"/>
              </w:rPr>
            </w:pPr>
            <w:r w:rsidRPr="00E85915">
              <w:rPr>
                <w:b/>
                <w:sz w:val="20"/>
              </w:rPr>
              <w:t>DSI</w:t>
            </w:r>
          </w:p>
        </w:tc>
        <w:tc>
          <w:tcPr>
            <w:tcW w:w="7230" w:type="dxa"/>
          </w:tcPr>
          <w:p w14:paraId="42609AEF" w14:textId="77777777" w:rsidR="0089008D" w:rsidRPr="00E85915" w:rsidRDefault="0089008D" w:rsidP="003A303A">
            <w:pPr>
              <w:ind w:left="43"/>
              <w:rPr>
                <w:sz w:val="20"/>
              </w:rPr>
            </w:pPr>
            <w:r w:rsidRPr="00E85915">
              <w:rPr>
                <w:sz w:val="20"/>
              </w:rPr>
              <w:t>Division de la supervision interne</w:t>
            </w:r>
          </w:p>
        </w:tc>
      </w:tr>
      <w:tr w:rsidR="0089008D" w:rsidRPr="00E85915" w14:paraId="50059391" w14:textId="77777777" w:rsidTr="0089008D">
        <w:trPr>
          <w:trHeight w:val="284"/>
        </w:trPr>
        <w:tc>
          <w:tcPr>
            <w:tcW w:w="1701" w:type="dxa"/>
          </w:tcPr>
          <w:p w14:paraId="078A3ABD" w14:textId="77777777" w:rsidR="0089008D" w:rsidRPr="00E85915" w:rsidRDefault="0089008D" w:rsidP="003A303A">
            <w:pPr>
              <w:rPr>
                <w:b/>
                <w:sz w:val="20"/>
              </w:rPr>
            </w:pPr>
            <w:r w:rsidRPr="00E85915">
              <w:rPr>
                <w:b/>
                <w:sz w:val="20"/>
              </w:rPr>
              <w:t>GNUE</w:t>
            </w:r>
          </w:p>
        </w:tc>
        <w:tc>
          <w:tcPr>
            <w:tcW w:w="7230" w:type="dxa"/>
          </w:tcPr>
          <w:p w14:paraId="5CFC2433" w14:textId="77777777" w:rsidR="0089008D" w:rsidRPr="00E85915" w:rsidRDefault="0089008D" w:rsidP="003A303A">
            <w:pPr>
              <w:ind w:left="43"/>
              <w:rPr>
                <w:sz w:val="20"/>
              </w:rPr>
            </w:pPr>
            <w:r w:rsidRPr="00E85915">
              <w:rPr>
                <w:sz w:val="20"/>
              </w:rPr>
              <w:t>Groupe des Nations Unies pour l’évaluation</w:t>
            </w:r>
          </w:p>
        </w:tc>
      </w:tr>
      <w:tr w:rsidR="0089008D" w:rsidRPr="00E85915" w14:paraId="00E18AB0" w14:textId="77777777" w:rsidTr="0089008D">
        <w:trPr>
          <w:trHeight w:val="284"/>
        </w:trPr>
        <w:tc>
          <w:tcPr>
            <w:tcW w:w="1701" w:type="dxa"/>
          </w:tcPr>
          <w:p w14:paraId="00FAEFC1" w14:textId="77777777" w:rsidR="0089008D" w:rsidRPr="00E85915" w:rsidRDefault="0089008D" w:rsidP="003A303A">
            <w:pPr>
              <w:rPr>
                <w:b/>
                <w:sz w:val="20"/>
              </w:rPr>
            </w:pPr>
            <w:r w:rsidRPr="00E85915">
              <w:rPr>
                <w:b/>
                <w:sz w:val="20"/>
              </w:rPr>
              <w:t>OCIS</w:t>
            </w:r>
          </w:p>
        </w:tc>
        <w:tc>
          <w:tcPr>
            <w:tcW w:w="7230" w:type="dxa"/>
          </w:tcPr>
          <w:p w14:paraId="35CC7CEE" w14:textId="77777777" w:rsidR="0089008D" w:rsidRPr="00E85915" w:rsidRDefault="0089008D" w:rsidP="003A303A">
            <w:pPr>
              <w:ind w:left="43"/>
              <w:rPr>
                <w:sz w:val="20"/>
              </w:rPr>
            </w:pPr>
            <w:r w:rsidRPr="00E85915">
              <w:rPr>
                <w:sz w:val="20"/>
              </w:rPr>
              <w:t>Organe consultatif indépendant de surveillance</w:t>
            </w:r>
          </w:p>
        </w:tc>
      </w:tr>
      <w:tr w:rsidR="0089008D" w:rsidRPr="00E85915" w14:paraId="0F820AA3" w14:textId="77777777" w:rsidTr="0089008D">
        <w:trPr>
          <w:trHeight w:val="284"/>
        </w:trPr>
        <w:tc>
          <w:tcPr>
            <w:tcW w:w="1701" w:type="dxa"/>
          </w:tcPr>
          <w:p w14:paraId="679220CE" w14:textId="77777777" w:rsidR="0089008D" w:rsidRPr="00E85915" w:rsidRDefault="0089008D" w:rsidP="003A303A">
            <w:pPr>
              <w:rPr>
                <w:b/>
                <w:sz w:val="20"/>
              </w:rPr>
            </w:pPr>
            <w:r w:rsidRPr="00E85915">
              <w:rPr>
                <w:b/>
                <w:sz w:val="20"/>
              </w:rPr>
              <w:t>OMPI</w:t>
            </w:r>
          </w:p>
        </w:tc>
        <w:tc>
          <w:tcPr>
            <w:tcW w:w="7230" w:type="dxa"/>
          </w:tcPr>
          <w:p w14:paraId="6C0178BE" w14:textId="77777777" w:rsidR="0089008D" w:rsidRPr="00E85915" w:rsidRDefault="0089008D" w:rsidP="003A303A">
            <w:pPr>
              <w:ind w:left="43"/>
              <w:rPr>
                <w:sz w:val="20"/>
              </w:rPr>
            </w:pPr>
            <w:r w:rsidRPr="00E85915">
              <w:rPr>
                <w:sz w:val="20"/>
              </w:rPr>
              <w:t>Organisation Mondiale de la Propriété Intellectuelle</w:t>
            </w:r>
          </w:p>
        </w:tc>
      </w:tr>
      <w:tr w:rsidR="0089008D" w:rsidRPr="00E85915" w14:paraId="7805B9C7" w14:textId="77777777" w:rsidTr="0089008D">
        <w:trPr>
          <w:trHeight w:val="284"/>
        </w:trPr>
        <w:tc>
          <w:tcPr>
            <w:tcW w:w="1701" w:type="dxa"/>
          </w:tcPr>
          <w:p w14:paraId="0ADEBB34" w14:textId="77777777" w:rsidR="0089008D" w:rsidRPr="00E85915" w:rsidRDefault="0089008D" w:rsidP="003A303A">
            <w:pPr>
              <w:rPr>
                <w:b/>
                <w:sz w:val="20"/>
              </w:rPr>
            </w:pPr>
            <w:r w:rsidRPr="00E85915">
              <w:rPr>
                <w:b/>
                <w:sz w:val="20"/>
              </w:rPr>
              <w:t>ONU</w:t>
            </w:r>
          </w:p>
        </w:tc>
        <w:tc>
          <w:tcPr>
            <w:tcW w:w="7230" w:type="dxa"/>
          </w:tcPr>
          <w:p w14:paraId="1DC05EE8" w14:textId="77777777" w:rsidR="0089008D" w:rsidRPr="00E85915" w:rsidRDefault="0089008D" w:rsidP="003A303A">
            <w:pPr>
              <w:ind w:left="43"/>
              <w:rPr>
                <w:sz w:val="20"/>
              </w:rPr>
            </w:pPr>
            <w:r w:rsidRPr="00E85915">
              <w:rPr>
                <w:sz w:val="20"/>
              </w:rPr>
              <w:t>Organisation des Nations Unies</w:t>
            </w:r>
          </w:p>
        </w:tc>
      </w:tr>
      <w:tr w:rsidR="0089008D" w:rsidRPr="00E85915" w14:paraId="01EC0C3A" w14:textId="77777777" w:rsidTr="0089008D">
        <w:trPr>
          <w:trHeight w:val="284"/>
        </w:trPr>
        <w:tc>
          <w:tcPr>
            <w:tcW w:w="1701" w:type="dxa"/>
          </w:tcPr>
          <w:p w14:paraId="0EB4FCC9" w14:textId="77777777" w:rsidR="0089008D" w:rsidRPr="00E85915" w:rsidRDefault="0089008D" w:rsidP="003A303A">
            <w:pPr>
              <w:rPr>
                <w:b/>
                <w:sz w:val="20"/>
              </w:rPr>
            </w:pPr>
            <w:r w:rsidRPr="00E85915">
              <w:rPr>
                <w:b/>
                <w:sz w:val="20"/>
              </w:rPr>
              <w:t>PCT</w:t>
            </w:r>
          </w:p>
        </w:tc>
        <w:tc>
          <w:tcPr>
            <w:tcW w:w="7230" w:type="dxa"/>
          </w:tcPr>
          <w:p w14:paraId="5052574D" w14:textId="77777777" w:rsidR="0089008D" w:rsidRPr="00E85915" w:rsidRDefault="0089008D" w:rsidP="003A303A">
            <w:pPr>
              <w:ind w:left="43"/>
              <w:rPr>
                <w:sz w:val="20"/>
              </w:rPr>
            </w:pPr>
            <w:r w:rsidRPr="00E85915">
              <w:rPr>
                <w:sz w:val="20"/>
              </w:rPr>
              <w:t>Traité de coopération en matière de brevets</w:t>
            </w:r>
          </w:p>
        </w:tc>
      </w:tr>
      <w:tr w:rsidR="0089008D" w:rsidRPr="00E85915" w14:paraId="52A7E0F6" w14:textId="77777777" w:rsidTr="0089008D">
        <w:trPr>
          <w:trHeight w:val="284"/>
        </w:trPr>
        <w:tc>
          <w:tcPr>
            <w:tcW w:w="1701" w:type="dxa"/>
          </w:tcPr>
          <w:p w14:paraId="579DCC15" w14:textId="77777777" w:rsidR="0089008D" w:rsidRPr="00E85915" w:rsidRDefault="0089008D" w:rsidP="003A303A">
            <w:pPr>
              <w:rPr>
                <w:b/>
                <w:sz w:val="20"/>
              </w:rPr>
            </w:pPr>
            <w:r w:rsidRPr="00E85915">
              <w:rPr>
                <w:b/>
                <w:sz w:val="20"/>
              </w:rPr>
              <w:t>PSMT</w:t>
            </w:r>
          </w:p>
        </w:tc>
        <w:tc>
          <w:tcPr>
            <w:tcW w:w="7230" w:type="dxa"/>
          </w:tcPr>
          <w:p w14:paraId="5BAB389E" w14:textId="77777777" w:rsidR="0089008D" w:rsidRPr="00E85915" w:rsidRDefault="0089008D" w:rsidP="003A303A">
            <w:pPr>
              <w:ind w:left="43"/>
              <w:rPr>
                <w:sz w:val="20"/>
              </w:rPr>
            </w:pPr>
            <w:r w:rsidRPr="00E85915">
              <w:rPr>
                <w:color w:val="323232"/>
                <w:sz w:val="20"/>
              </w:rPr>
              <w:t>Plan stratégique à moyen terme</w:t>
            </w:r>
          </w:p>
        </w:tc>
      </w:tr>
      <w:tr w:rsidR="0089008D" w:rsidRPr="00E85915" w14:paraId="40FE7475" w14:textId="77777777" w:rsidTr="0089008D">
        <w:trPr>
          <w:trHeight w:val="284"/>
        </w:trPr>
        <w:tc>
          <w:tcPr>
            <w:tcW w:w="1701" w:type="dxa"/>
          </w:tcPr>
          <w:p w14:paraId="0D6E15DC" w14:textId="77777777" w:rsidR="0089008D" w:rsidRPr="00E85915" w:rsidRDefault="0089008D" w:rsidP="003A303A">
            <w:pPr>
              <w:rPr>
                <w:b/>
                <w:sz w:val="20"/>
              </w:rPr>
            </w:pPr>
            <w:r w:rsidRPr="00E85915">
              <w:rPr>
                <w:b/>
                <w:sz w:val="20"/>
              </w:rPr>
              <w:t>SMART</w:t>
            </w:r>
          </w:p>
        </w:tc>
        <w:tc>
          <w:tcPr>
            <w:tcW w:w="7230" w:type="dxa"/>
          </w:tcPr>
          <w:p w14:paraId="53496041" w14:textId="77777777" w:rsidR="0089008D" w:rsidRPr="00E85915" w:rsidRDefault="0089008D" w:rsidP="003A303A">
            <w:pPr>
              <w:ind w:left="43"/>
              <w:rPr>
                <w:sz w:val="20"/>
              </w:rPr>
            </w:pPr>
            <w:r w:rsidRPr="00E85915">
              <w:rPr>
                <w:sz w:val="20"/>
              </w:rPr>
              <w:t>Précis, mesurable, réaliste, pertinent et assorti de délais</w:t>
            </w:r>
          </w:p>
        </w:tc>
      </w:tr>
    </w:tbl>
    <w:p w14:paraId="073477C3" w14:textId="77777777" w:rsidR="00F0742C" w:rsidRPr="00E85915" w:rsidRDefault="00F0742C" w:rsidP="003A303A">
      <w:pPr>
        <w:rPr>
          <w:lang w:val="fr-FR"/>
        </w:rPr>
      </w:pPr>
    </w:p>
    <w:p w14:paraId="02E31796" w14:textId="77777777" w:rsidR="00F0742C" w:rsidRPr="00E85915" w:rsidRDefault="00F0742C" w:rsidP="003A303A">
      <w:pPr>
        <w:rPr>
          <w:lang w:val="fr-FR"/>
        </w:rPr>
      </w:pPr>
      <w:r w:rsidRPr="00E85915">
        <w:rPr>
          <w:lang w:val="fr-FR"/>
        </w:rPr>
        <w:br w:type="page"/>
      </w:r>
    </w:p>
    <w:p w14:paraId="5D0C7B41" w14:textId="77777777" w:rsidR="00F0742C" w:rsidRPr="00E85915" w:rsidRDefault="00F0742C" w:rsidP="00B321D5">
      <w:pPr>
        <w:pStyle w:val="Heading1"/>
      </w:pPr>
      <w:bookmarkStart w:id="7" w:name="_Toc227321796"/>
      <w:bookmarkStart w:id="8" w:name="_Toc420663565"/>
      <w:bookmarkStart w:id="9" w:name="_Toc39071244"/>
      <w:r w:rsidRPr="00E85915">
        <w:lastRenderedPageBreak/>
        <w:t>RÉSUMÉ</w:t>
      </w:r>
      <w:bookmarkEnd w:id="7"/>
    </w:p>
    <w:p w14:paraId="42E15B6F" w14:textId="5833731C" w:rsidR="00F0742C" w:rsidRPr="0089008D" w:rsidRDefault="00F0742C" w:rsidP="0089008D">
      <w:pPr>
        <w:pStyle w:val="ONUMFS"/>
        <w:numPr>
          <w:ilvl w:val="0"/>
          <w:numId w:val="25"/>
        </w:numPr>
        <w:rPr>
          <w:lang w:val="fr-FR"/>
        </w:rPr>
      </w:pPr>
      <w:r w:rsidRPr="0089008D">
        <w:rPr>
          <w:lang w:val="fr-FR"/>
        </w:rPr>
        <w:t>L</w:t>
      </w:r>
      <w:r w:rsidR="00BF513F" w:rsidRPr="0089008D">
        <w:rPr>
          <w:lang w:val="fr-FR"/>
        </w:rPr>
        <w:t>’</w:t>
      </w:r>
      <w:r w:rsidRPr="0089008D">
        <w:rPr>
          <w:lang w:val="fr-FR"/>
        </w:rPr>
        <w:t xml:space="preserve">année 2025 était la quatrième année de mise en œuvre du Plan stratégique à moyen terme (PSMT) </w:t>
      </w:r>
      <w:r w:rsidR="00BF513F" w:rsidRPr="0089008D">
        <w:rPr>
          <w:lang w:val="fr-FR"/>
        </w:rPr>
        <w:t>pour 2022</w:t>
      </w:r>
      <w:r w:rsidR="0089008D" w:rsidRPr="0089008D">
        <w:rPr>
          <w:lang w:val="fr-FR"/>
        </w:rPr>
        <w:noBreakHyphen/>
      </w:r>
      <w:r w:rsidRPr="0089008D">
        <w:rPr>
          <w:lang w:val="fr-FR"/>
        </w:rPr>
        <w:t xml:space="preserve">2026. </w:t>
      </w:r>
      <w:r w:rsidR="00FE72CE" w:rsidRPr="0089008D">
        <w:rPr>
          <w:lang w:val="fr-FR"/>
        </w:rPr>
        <w:t xml:space="preserve"> </w:t>
      </w:r>
      <w:r w:rsidRPr="0089008D">
        <w:rPr>
          <w:lang w:val="fr-FR"/>
        </w:rPr>
        <w:t>Dans le cadre de sa contribution</w:t>
      </w:r>
      <w:r w:rsidR="00BF513F" w:rsidRPr="0089008D">
        <w:rPr>
          <w:lang w:val="fr-FR"/>
        </w:rPr>
        <w:t xml:space="preserve"> au PSM</w:t>
      </w:r>
      <w:r w:rsidRPr="0089008D">
        <w:rPr>
          <w:lang w:val="fr-FR"/>
        </w:rPr>
        <w:t>T, la Division de la supervision interne (DSI) a mené des missions et formulé des recommandations qui visaient notamment à faciliter les missions dans les domaines d</w:t>
      </w:r>
      <w:r w:rsidR="00BF513F" w:rsidRPr="0089008D">
        <w:rPr>
          <w:lang w:val="fr-FR"/>
        </w:rPr>
        <w:t>’</w:t>
      </w:r>
      <w:r w:rsidRPr="0089008D">
        <w:rPr>
          <w:lang w:val="fr-FR"/>
        </w:rPr>
        <w:t>action stratégique de l</w:t>
      </w:r>
      <w:r w:rsidR="00BF513F" w:rsidRPr="0089008D">
        <w:rPr>
          <w:lang w:val="fr-FR"/>
        </w:rPr>
        <w:t>’</w:t>
      </w:r>
      <w:r w:rsidRPr="0089008D">
        <w:rPr>
          <w:lang w:val="fr-FR"/>
        </w:rPr>
        <w:t>Organisation et à évaluer différents éléments de sa gouvernance, de sa gestion des risques et de son cadre de contrôle interne.</w:t>
      </w:r>
    </w:p>
    <w:p w14:paraId="5A7D949A" w14:textId="021662F9" w:rsidR="00F0742C" w:rsidRPr="00E85915" w:rsidRDefault="00F0742C" w:rsidP="003A303A">
      <w:pPr>
        <w:pStyle w:val="ONUMFS"/>
        <w:rPr>
          <w:lang w:val="fr-FR"/>
        </w:rPr>
      </w:pPr>
      <w:r w:rsidRPr="00E85915">
        <w:rPr>
          <w:lang w:val="fr-FR"/>
        </w:rPr>
        <w:t>Au cours de la période considérée, neuf</w:t>
      </w:r>
      <w:r w:rsidR="00FE72CE" w:rsidRPr="00E85915">
        <w:rPr>
          <w:lang w:val="fr-FR"/>
        </w:rPr>
        <w:t> </w:t>
      </w:r>
      <w:r w:rsidRPr="00E85915">
        <w:rPr>
          <w:lang w:val="fr-FR"/>
        </w:rPr>
        <w:t>rapports d</w:t>
      </w:r>
      <w:r w:rsidR="00BF513F" w:rsidRPr="00E85915">
        <w:rPr>
          <w:lang w:val="fr-FR"/>
        </w:rPr>
        <w:t>’</w:t>
      </w:r>
      <w:r w:rsidRPr="00E85915">
        <w:rPr>
          <w:lang w:val="fr-FR"/>
        </w:rPr>
        <w:t>audit interne, trois</w:t>
      </w:r>
      <w:r w:rsidR="00FE72CE" w:rsidRPr="00E85915">
        <w:rPr>
          <w:lang w:val="fr-FR"/>
        </w:rPr>
        <w:t> </w:t>
      </w:r>
      <w:r w:rsidRPr="00E85915">
        <w:rPr>
          <w:lang w:val="fr-FR"/>
        </w:rPr>
        <w:t>rapports consultatifs, sept</w:t>
      </w:r>
      <w:r w:rsidR="00FE72CE" w:rsidRPr="00E85915">
        <w:rPr>
          <w:lang w:val="fr-FR"/>
        </w:rPr>
        <w:t> </w:t>
      </w:r>
      <w:r w:rsidRPr="00E85915">
        <w:rPr>
          <w:lang w:val="fr-FR"/>
        </w:rPr>
        <w:t>rapports d</w:t>
      </w:r>
      <w:r w:rsidR="00BF513F" w:rsidRPr="00E85915">
        <w:rPr>
          <w:lang w:val="fr-FR"/>
        </w:rPr>
        <w:t>’</w:t>
      </w:r>
      <w:r w:rsidRPr="00E85915">
        <w:rPr>
          <w:lang w:val="fr-FR"/>
        </w:rPr>
        <w:t>examen, deux</w:t>
      </w:r>
      <w:r w:rsidR="00FE72CE" w:rsidRPr="00E85915">
        <w:rPr>
          <w:lang w:val="fr-FR"/>
        </w:rPr>
        <w:t> </w:t>
      </w:r>
      <w:r w:rsidRPr="00E85915">
        <w:rPr>
          <w:lang w:val="fr-FR"/>
        </w:rPr>
        <w:t>rapports de pré</w:t>
      </w:r>
      <w:r w:rsidR="0089008D">
        <w:rPr>
          <w:lang w:val="fr-FR"/>
        </w:rPr>
        <w:noBreakHyphen/>
      </w:r>
      <w:r w:rsidRPr="00E85915">
        <w:rPr>
          <w:lang w:val="fr-FR"/>
        </w:rPr>
        <w:t>évaluation, quatre</w:t>
      </w:r>
      <w:r w:rsidR="00FE72CE" w:rsidRPr="00E85915">
        <w:rPr>
          <w:lang w:val="fr-FR"/>
        </w:rPr>
        <w:t> </w:t>
      </w:r>
      <w:r w:rsidRPr="00E85915">
        <w:rPr>
          <w:lang w:val="fr-FR"/>
        </w:rPr>
        <w:t>rapports d</w:t>
      </w:r>
      <w:r w:rsidR="00BF513F" w:rsidRPr="00E85915">
        <w:rPr>
          <w:lang w:val="fr-FR"/>
        </w:rPr>
        <w:t>’</w:t>
      </w:r>
      <w:r w:rsidRPr="00E85915">
        <w:rPr>
          <w:lang w:val="fr-FR"/>
        </w:rPr>
        <w:t>enquête et trois</w:t>
      </w:r>
      <w:r w:rsidR="00FE72CE" w:rsidRPr="00E85915">
        <w:rPr>
          <w:lang w:val="fr-FR"/>
        </w:rPr>
        <w:t> </w:t>
      </w:r>
      <w:r w:rsidRPr="00E85915">
        <w:rPr>
          <w:lang w:val="fr-FR"/>
        </w:rPr>
        <w:t>rapports à l</w:t>
      </w:r>
      <w:r w:rsidR="00BF513F" w:rsidRPr="00E85915">
        <w:rPr>
          <w:lang w:val="fr-FR"/>
        </w:rPr>
        <w:t>’</w:t>
      </w:r>
      <w:r w:rsidRPr="00E85915">
        <w:rPr>
          <w:lang w:val="fr-FR"/>
        </w:rPr>
        <w:t>intention de la direction ont été publiés.</w:t>
      </w:r>
    </w:p>
    <w:p w14:paraId="1EBACBA3" w14:textId="678AD305" w:rsidR="00F0742C" w:rsidRPr="00E85915" w:rsidRDefault="00F0742C" w:rsidP="003A303A">
      <w:pPr>
        <w:pStyle w:val="ONUMFS"/>
        <w:rPr>
          <w:lang w:val="fr-FR"/>
        </w:rPr>
      </w:pPr>
      <w:r w:rsidRPr="00E85915">
        <w:rPr>
          <w:lang w:val="fr-FR"/>
        </w:rPr>
        <w:t>Il n</w:t>
      </w:r>
      <w:r w:rsidR="00BF513F" w:rsidRPr="00E85915">
        <w:rPr>
          <w:lang w:val="fr-FR"/>
        </w:rPr>
        <w:t>’</w:t>
      </w:r>
      <w:r w:rsidRPr="00E85915">
        <w:rPr>
          <w:lang w:val="fr-FR"/>
        </w:rPr>
        <w:t>y a eu aucun cas où l</w:t>
      </w:r>
      <w:r w:rsidR="00BF513F" w:rsidRPr="00E85915">
        <w:rPr>
          <w:lang w:val="fr-FR"/>
        </w:rPr>
        <w:t>’</w:t>
      </w:r>
      <w:r w:rsidRPr="00E85915">
        <w:rPr>
          <w:lang w:val="fr-FR"/>
        </w:rPr>
        <w:t>accès de</w:t>
      </w:r>
      <w:r w:rsidR="00BF513F" w:rsidRPr="00E85915">
        <w:rPr>
          <w:lang w:val="fr-FR"/>
        </w:rPr>
        <w:t xml:space="preserve"> la DSI</w:t>
      </w:r>
      <w:r w:rsidRPr="00E85915">
        <w:rPr>
          <w:lang w:val="fr-FR"/>
        </w:rPr>
        <w:t xml:space="preserve"> aux dossiers, au personnel ou aux locaux a été restreint, ni aucune circonstance pouvant être considérée comme compromettant l</w:t>
      </w:r>
      <w:r w:rsidR="00BF513F" w:rsidRPr="00E85915">
        <w:rPr>
          <w:lang w:val="fr-FR"/>
        </w:rPr>
        <w:t>’</w:t>
      </w:r>
      <w:r w:rsidRPr="00E85915">
        <w:rPr>
          <w:lang w:val="fr-FR"/>
        </w:rPr>
        <w:t>indépendance opérationnelle de</w:t>
      </w:r>
      <w:r w:rsidR="00BF513F" w:rsidRPr="00E85915">
        <w:rPr>
          <w:lang w:val="fr-FR"/>
        </w:rPr>
        <w:t xml:space="preserve"> la DSI</w:t>
      </w:r>
      <w:r w:rsidRPr="00E85915">
        <w:rPr>
          <w:lang w:val="fr-FR"/>
        </w:rPr>
        <w:t>.</w:t>
      </w:r>
    </w:p>
    <w:p w14:paraId="7F22F112" w14:textId="2EB3017D" w:rsidR="00F0742C" w:rsidRPr="00E85915" w:rsidRDefault="00F0742C" w:rsidP="003A303A">
      <w:pPr>
        <w:pStyle w:val="ONUMFS"/>
        <w:rPr>
          <w:lang w:val="fr-FR"/>
        </w:rPr>
      </w:pPr>
      <w:r w:rsidRPr="00E85915">
        <w:rPr>
          <w:lang w:val="fr-FR"/>
        </w:rPr>
        <w:t>Pour appuyer</w:t>
      </w:r>
      <w:r w:rsidR="00BF513F" w:rsidRPr="00E85915">
        <w:rPr>
          <w:lang w:val="fr-FR"/>
        </w:rPr>
        <w:t xml:space="preserve"> le PSM</w:t>
      </w:r>
      <w:r w:rsidRPr="00E85915">
        <w:rPr>
          <w:lang w:val="fr-FR"/>
        </w:rPr>
        <w:t>T,</w:t>
      </w:r>
      <w:r w:rsidR="00BF513F" w:rsidRPr="00E85915">
        <w:rPr>
          <w:lang w:val="fr-FR"/>
        </w:rPr>
        <w:t xml:space="preserve"> la DSI</w:t>
      </w:r>
      <w:r w:rsidRPr="00E85915">
        <w:rPr>
          <w:lang w:val="fr-FR"/>
        </w:rPr>
        <w:t xml:space="preserve"> a notamment mené des missions d</w:t>
      </w:r>
      <w:r w:rsidR="00BF513F" w:rsidRPr="00E85915">
        <w:rPr>
          <w:lang w:val="fr-FR"/>
        </w:rPr>
        <w:t>’</w:t>
      </w:r>
      <w:r w:rsidRPr="00E85915">
        <w:rPr>
          <w:lang w:val="fr-FR"/>
        </w:rPr>
        <w:t>audit, notamment l</w:t>
      </w:r>
      <w:r w:rsidR="00BF513F" w:rsidRPr="00E85915">
        <w:rPr>
          <w:lang w:val="fr-FR"/>
        </w:rPr>
        <w:t>’</w:t>
      </w:r>
      <w:r w:rsidRPr="00E85915">
        <w:rPr>
          <w:lang w:val="fr-FR"/>
        </w:rPr>
        <w:t>audit de la gestion des placements à l</w:t>
      </w:r>
      <w:r w:rsidR="00BF513F" w:rsidRPr="00E85915">
        <w:rPr>
          <w:lang w:val="fr-FR"/>
        </w:rPr>
        <w:t>’</w:t>
      </w:r>
      <w:r w:rsidRPr="00E85915">
        <w:rPr>
          <w:lang w:val="fr-FR"/>
        </w:rPr>
        <w:t>OMPI, l</w:t>
      </w:r>
      <w:r w:rsidR="00BF513F" w:rsidRPr="00E85915">
        <w:rPr>
          <w:lang w:val="fr-FR"/>
        </w:rPr>
        <w:t>’</w:t>
      </w:r>
      <w:r w:rsidRPr="00E85915">
        <w:rPr>
          <w:lang w:val="fr-FR"/>
        </w:rPr>
        <w:t>audit des principaux risques liés à la passation de marchés, l</w:t>
      </w:r>
      <w:r w:rsidR="00BF513F" w:rsidRPr="00E85915">
        <w:rPr>
          <w:lang w:val="fr-FR"/>
        </w:rPr>
        <w:t>’</w:t>
      </w:r>
      <w:r w:rsidRPr="00E85915">
        <w:rPr>
          <w:lang w:val="fr-FR"/>
        </w:rPr>
        <w:t>audit de la gestion de la cybersécurité, l</w:t>
      </w:r>
      <w:r w:rsidR="00BF513F" w:rsidRPr="00E85915">
        <w:rPr>
          <w:lang w:val="fr-FR"/>
        </w:rPr>
        <w:t>’</w:t>
      </w:r>
      <w:r w:rsidRPr="00E85915">
        <w:rPr>
          <w:lang w:val="fr-FR"/>
        </w:rPr>
        <w:t>examen des processus opérationnels du Centre d</w:t>
      </w:r>
      <w:r w:rsidR="00BF513F" w:rsidRPr="00E85915">
        <w:rPr>
          <w:lang w:val="fr-FR"/>
        </w:rPr>
        <w:t>’</w:t>
      </w:r>
      <w:r w:rsidRPr="00E85915">
        <w:rPr>
          <w:lang w:val="fr-FR"/>
        </w:rPr>
        <w:t>arbitrage et de médiation de l</w:t>
      </w:r>
      <w:r w:rsidR="00BF513F" w:rsidRPr="00E85915">
        <w:rPr>
          <w:lang w:val="fr-FR"/>
        </w:rPr>
        <w:t>’</w:t>
      </w:r>
      <w:r w:rsidRPr="00E85915">
        <w:rPr>
          <w:lang w:val="fr-FR"/>
        </w:rPr>
        <w:t>OMPI, l</w:t>
      </w:r>
      <w:r w:rsidR="00BF513F" w:rsidRPr="00E85915">
        <w:rPr>
          <w:lang w:val="fr-FR"/>
        </w:rPr>
        <w:t>’</w:t>
      </w:r>
      <w:r w:rsidRPr="00E85915">
        <w:rPr>
          <w:lang w:val="fr-FR"/>
        </w:rPr>
        <w:t>audit du Service d</w:t>
      </w:r>
      <w:r w:rsidR="00BF513F" w:rsidRPr="00E85915">
        <w:rPr>
          <w:lang w:val="fr-FR"/>
        </w:rPr>
        <w:t>’</w:t>
      </w:r>
      <w:r w:rsidRPr="00E85915">
        <w:rPr>
          <w:lang w:val="fr-FR"/>
        </w:rPr>
        <w:t xml:space="preserve">enregistrement de </w:t>
      </w:r>
      <w:r w:rsidR="00BF513F" w:rsidRPr="00E85915">
        <w:rPr>
          <w:lang w:val="fr-FR"/>
        </w:rPr>
        <w:t>La Haye</w:t>
      </w:r>
      <w:r w:rsidRPr="00E85915">
        <w:rPr>
          <w:lang w:val="fr-FR"/>
        </w:rPr>
        <w:t xml:space="preserve"> et l</w:t>
      </w:r>
      <w:r w:rsidR="00BF513F" w:rsidRPr="00E85915">
        <w:rPr>
          <w:lang w:val="fr-FR"/>
        </w:rPr>
        <w:t>’</w:t>
      </w:r>
      <w:r w:rsidRPr="00E85915">
        <w:rPr>
          <w:lang w:val="fr-FR"/>
        </w:rPr>
        <w:t>audit du Bureau de l</w:t>
      </w:r>
      <w:r w:rsidR="00BF513F" w:rsidRPr="00E85915">
        <w:rPr>
          <w:lang w:val="fr-FR"/>
        </w:rPr>
        <w:t>’</w:t>
      </w:r>
      <w:r w:rsidRPr="00E85915">
        <w:rPr>
          <w:lang w:val="fr-FR"/>
        </w:rPr>
        <w:t>OMPI en Chine.</w:t>
      </w:r>
    </w:p>
    <w:p w14:paraId="7A873CF7" w14:textId="3CE65AAB" w:rsidR="00F0742C" w:rsidRPr="00E85915" w:rsidRDefault="00F0742C" w:rsidP="003A303A">
      <w:pPr>
        <w:pStyle w:val="ONUMFS"/>
        <w:rPr>
          <w:lang w:val="fr-FR"/>
        </w:rPr>
      </w:pPr>
      <w:r w:rsidRPr="00E85915">
        <w:rPr>
          <w:lang w:val="fr-FR"/>
        </w:rPr>
        <w:t>Dans le cadre de la publication du premier avis annuel émis par la directrice de</w:t>
      </w:r>
      <w:r w:rsidR="00BF513F" w:rsidRPr="00E85915">
        <w:rPr>
          <w:lang w:val="fr-FR"/>
        </w:rPr>
        <w:t xml:space="preserve"> la DSI</w:t>
      </w:r>
      <w:r w:rsidRPr="00E85915">
        <w:rPr>
          <w:lang w:val="fr-FR"/>
        </w:rPr>
        <w:t xml:space="preserve"> sur la gouvernance, la gestion des risques et le contrôle interne à l</w:t>
      </w:r>
      <w:r w:rsidR="00BF513F" w:rsidRPr="00E85915">
        <w:rPr>
          <w:lang w:val="fr-FR"/>
        </w:rPr>
        <w:t>’</w:t>
      </w:r>
      <w:r w:rsidRPr="00E85915">
        <w:rPr>
          <w:lang w:val="fr-FR"/>
        </w:rPr>
        <w:t>OMPI,</w:t>
      </w:r>
      <w:r w:rsidR="00BF513F" w:rsidRPr="00E85915">
        <w:rPr>
          <w:lang w:val="fr-FR"/>
        </w:rPr>
        <w:t xml:space="preserve"> la DSI</w:t>
      </w:r>
      <w:r w:rsidRPr="00E85915">
        <w:rPr>
          <w:lang w:val="fr-FR"/>
        </w:rPr>
        <w:t xml:space="preserve"> a procédé à un examen détaillé des procédures de gouvernance établies au titre de la Convention instituant l</w:t>
      </w:r>
      <w:r w:rsidR="00BF513F" w:rsidRPr="00E85915">
        <w:rPr>
          <w:lang w:val="fr-FR"/>
        </w:rPr>
        <w:t>’</w:t>
      </w:r>
      <w:r w:rsidRPr="00E85915">
        <w:rPr>
          <w:lang w:val="fr-FR"/>
        </w:rPr>
        <w:t>OMPI, des articles et règles applicables du Règlement financier et de son règlement d</w:t>
      </w:r>
      <w:r w:rsidR="00BF513F" w:rsidRPr="00E85915">
        <w:rPr>
          <w:lang w:val="fr-FR"/>
        </w:rPr>
        <w:t>’</w:t>
      </w:r>
      <w:r w:rsidRPr="00E85915">
        <w:rPr>
          <w:lang w:val="fr-FR"/>
        </w:rPr>
        <w:t>exécution, et des articles et dispositions pertinents du Statut et Règlement du personn</w:t>
      </w:r>
      <w:r w:rsidR="00E85915" w:rsidRPr="00E85915">
        <w:rPr>
          <w:lang w:val="fr-FR"/>
        </w:rPr>
        <w:t>el.  L’e</w:t>
      </w:r>
      <w:r w:rsidRPr="00E85915">
        <w:rPr>
          <w:lang w:val="fr-FR"/>
        </w:rPr>
        <w:t>xamen réalisé a également couvert les mécanismes de gestion des risques et les principaux services fournis par le Département des technologies de l</w:t>
      </w:r>
      <w:r w:rsidR="00BF513F" w:rsidRPr="00E85915">
        <w:rPr>
          <w:lang w:val="fr-FR"/>
        </w:rPr>
        <w:t>’</w:t>
      </w:r>
      <w:r w:rsidRPr="00E85915">
        <w:rPr>
          <w:lang w:val="fr-FR"/>
        </w:rPr>
        <w:t>information et de la communication et la Section de la sécurité informatique, qui relève de la Division de la sécurité et de l</w:t>
      </w:r>
      <w:r w:rsidR="00BF513F" w:rsidRPr="00E85915">
        <w:rPr>
          <w:lang w:val="fr-FR"/>
        </w:rPr>
        <w:t>’</w:t>
      </w:r>
      <w:r w:rsidRPr="00E85915">
        <w:rPr>
          <w:lang w:val="fr-FR"/>
        </w:rPr>
        <w:t>assurance informatiq</w:t>
      </w:r>
      <w:r w:rsidR="00E85915" w:rsidRPr="00E85915">
        <w:rPr>
          <w:lang w:val="fr-FR"/>
        </w:rPr>
        <w:t>ue.  En</w:t>
      </w:r>
      <w:r w:rsidRPr="00E85915">
        <w:rPr>
          <w:lang w:val="fr-FR"/>
        </w:rPr>
        <w:t xml:space="preserve"> outre, des tests ont été effectués sur les principaux contrôles à l</w:t>
      </w:r>
      <w:r w:rsidR="00BF513F" w:rsidRPr="00E85915">
        <w:rPr>
          <w:lang w:val="fr-FR"/>
        </w:rPr>
        <w:t>’</w:t>
      </w:r>
      <w:r w:rsidRPr="00E85915">
        <w:rPr>
          <w:lang w:val="fr-FR"/>
        </w:rPr>
        <w:t>échelle de l</w:t>
      </w:r>
      <w:r w:rsidR="00BF513F" w:rsidRPr="00E85915">
        <w:rPr>
          <w:lang w:val="fr-FR"/>
        </w:rPr>
        <w:t>’</w:t>
      </w:r>
      <w:r w:rsidRPr="00E85915">
        <w:rPr>
          <w:lang w:val="fr-FR"/>
        </w:rPr>
        <w:t>Organisation.</w:t>
      </w:r>
    </w:p>
    <w:p w14:paraId="313AD2A2" w14:textId="1E3FC986" w:rsidR="00F0742C" w:rsidRPr="00E85915" w:rsidRDefault="00F0742C" w:rsidP="003A303A">
      <w:pPr>
        <w:pStyle w:val="ONUMFS"/>
        <w:rPr>
          <w:lang w:val="fr-FR"/>
        </w:rPr>
      </w:pPr>
      <w:r w:rsidRPr="00E85915">
        <w:rPr>
          <w:lang w:val="fr-FR"/>
        </w:rPr>
        <w:t>Un examen préalable à l</w:t>
      </w:r>
      <w:r w:rsidR="00BF513F" w:rsidRPr="00E85915">
        <w:rPr>
          <w:lang w:val="fr-FR"/>
        </w:rPr>
        <w:t>’</w:t>
      </w:r>
      <w:r w:rsidRPr="00E85915">
        <w:rPr>
          <w:lang w:val="fr-FR"/>
        </w:rPr>
        <w:t>évaluation de la Division de l</w:t>
      </w:r>
      <w:r w:rsidR="00BF513F" w:rsidRPr="00E85915">
        <w:rPr>
          <w:lang w:val="fr-FR"/>
        </w:rPr>
        <w:t>’</w:t>
      </w:r>
      <w:r w:rsidRPr="00E85915">
        <w:rPr>
          <w:lang w:val="fr-FR"/>
        </w:rPr>
        <w:t>Amérique latine et des Caraïbes a été effectué, et un résumé a été établi concernant la Division de la coordination du Plan d</w:t>
      </w:r>
      <w:r w:rsidR="00BF513F" w:rsidRPr="00E85915">
        <w:rPr>
          <w:lang w:val="fr-FR"/>
        </w:rPr>
        <w:t>’</w:t>
      </w:r>
      <w:r w:rsidRPr="00E85915">
        <w:rPr>
          <w:lang w:val="fr-FR"/>
        </w:rPr>
        <w:t>action pour le développeme</w:t>
      </w:r>
      <w:r w:rsidR="00E85915" w:rsidRPr="00E85915">
        <w:rPr>
          <w:lang w:val="fr-FR"/>
        </w:rPr>
        <w:t>nt.  Ce</w:t>
      </w:r>
      <w:r w:rsidRPr="00E85915">
        <w:rPr>
          <w:lang w:val="fr-FR"/>
        </w:rPr>
        <w:t>s deux</w:t>
      </w:r>
      <w:r w:rsidR="00FE72CE" w:rsidRPr="00E85915">
        <w:rPr>
          <w:lang w:val="fr-FR"/>
        </w:rPr>
        <w:t> </w:t>
      </w:r>
      <w:r w:rsidRPr="00E85915">
        <w:rPr>
          <w:lang w:val="fr-FR"/>
        </w:rPr>
        <w:t>examens ont permis d</w:t>
      </w:r>
      <w:r w:rsidR="00BF513F" w:rsidRPr="00E85915">
        <w:rPr>
          <w:lang w:val="fr-FR"/>
        </w:rPr>
        <w:t>’</w:t>
      </w:r>
      <w:r w:rsidRPr="00E85915">
        <w:rPr>
          <w:lang w:val="fr-FR"/>
        </w:rPr>
        <w:t>évaluer la conservation des données d</w:t>
      </w:r>
      <w:r w:rsidR="00BF513F" w:rsidRPr="00E85915">
        <w:rPr>
          <w:lang w:val="fr-FR"/>
        </w:rPr>
        <w:t>’</w:t>
      </w:r>
      <w:r w:rsidRPr="00E85915">
        <w:rPr>
          <w:lang w:val="fr-FR"/>
        </w:rPr>
        <w:t>évaluation, ainsi que la nécessité immédiate de procéder à des évaluations à grande échelle.</w:t>
      </w:r>
    </w:p>
    <w:p w14:paraId="7E59AE4E" w14:textId="2EE90073" w:rsidR="00BF513F" w:rsidRPr="00E85915" w:rsidRDefault="00F0742C" w:rsidP="003A303A">
      <w:pPr>
        <w:pStyle w:val="ONUMFS"/>
        <w:rPr>
          <w:lang w:val="fr-FR"/>
        </w:rPr>
      </w:pPr>
      <w:r w:rsidRPr="00E85915">
        <w:rPr>
          <w:lang w:val="fr-FR"/>
        </w:rPr>
        <w:t>Dans le cadre des services de conseil, d</w:t>
      </w:r>
      <w:r w:rsidR="00BF513F" w:rsidRPr="00E85915">
        <w:rPr>
          <w:lang w:val="fr-FR"/>
        </w:rPr>
        <w:t>’</w:t>
      </w:r>
      <w:r w:rsidRPr="00E85915">
        <w:rPr>
          <w:lang w:val="fr-FR"/>
        </w:rPr>
        <w:t>autres contributions ont été apportées afin d</w:t>
      </w:r>
      <w:r w:rsidR="00BF513F" w:rsidRPr="00E85915">
        <w:rPr>
          <w:lang w:val="fr-FR"/>
        </w:rPr>
        <w:t>’</w:t>
      </w:r>
      <w:r w:rsidRPr="00E85915">
        <w:rPr>
          <w:lang w:val="fr-FR"/>
        </w:rPr>
        <w:t>éclairer l</w:t>
      </w:r>
      <w:r w:rsidR="00BF513F" w:rsidRPr="00E85915">
        <w:rPr>
          <w:lang w:val="fr-FR"/>
        </w:rPr>
        <w:t>’</w:t>
      </w:r>
      <w:r w:rsidRPr="00E85915">
        <w:rPr>
          <w:lang w:val="fr-FR"/>
        </w:rPr>
        <w:t>auto</w:t>
      </w:r>
      <w:r w:rsidR="0089008D">
        <w:rPr>
          <w:lang w:val="fr-FR"/>
        </w:rPr>
        <w:noBreakHyphen/>
      </w:r>
      <w:r w:rsidRPr="00E85915">
        <w:rPr>
          <w:lang w:val="fr-FR"/>
        </w:rPr>
        <w:t>évaluation menée par l</w:t>
      </w:r>
      <w:r w:rsidR="00BF513F" w:rsidRPr="00E85915">
        <w:rPr>
          <w:lang w:val="fr-FR"/>
        </w:rPr>
        <w:t>’</w:t>
      </w:r>
      <w:r w:rsidRPr="00E85915">
        <w:rPr>
          <w:lang w:val="fr-FR"/>
        </w:rPr>
        <w:t>OMPI concernant les principaux contrôles à l</w:t>
      </w:r>
      <w:r w:rsidR="00BF513F" w:rsidRPr="00E85915">
        <w:rPr>
          <w:lang w:val="fr-FR"/>
        </w:rPr>
        <w:t>’</w:t>
      </w:r>
      <w:r w:rsidRPr="00E85915">
        <w:rPr>
          <w:lang w:val="fr-FR"/>
        </w:rPr>
        <w:t>échelle de l</w:t>
      </w:r>
      <w:r w:rsidR="00BF513F" w:rsidRPr="00E85915">
        <w:rPr>
          <w:lang w:val="fr-FR"/>
        </w:rPr>
        <w:t>’</w:t>
      </w:r>
      <w:r w:rsidRPr="00E85915">
        <w:rPr>
          <w:lang w:val="fr-FR"/>
        </w:rPr>
        <w:t>Organisati</w:t>
      </w:r>
      <w:r w:rsidR="00E85915" w:rsidRPr="00E85915">
        <w:rPr>
          <w:lang w:val="fr-FR"/>
        </w:rPr>
        <w:t>on.  Pa</w:t>
      </w:r>
      <w:r w:rsidRPr="00E85915">
        <w:rPr>
          <w:lang w:val="fr-FR"/>
        </w:rPr>
        <w:t>r ailleurs, des rapports consultatifs ont été publiés concernant le projet de transformation du Système de gestion de l</w:t>
      </w:r>
      <w:r w:rsidR="00BF513F" w:rsidRPr="00E85915">
        <w:rPr>
          <w:lang w:val="fr-FR"/>
        </w:rPr>
        <w:t>’</w:t>
      </w:r>
      <w:r w:rsidRPr="00E85915">
        <w:rPr>
          <w:lang w:val="fr-FR"/>
        </w:rPr>
        <w:t>information administrative (AIMS) ainsi que les interdépendances entre ce projet, le projet de gestion de la relation client et le projet de gestion des données clés, du point de vue des données clients.</w:t>
      </w:r>
    </w:p>
    <w:p w14:paraId="38C00676" w14:textId="4612C0B8" w:rsidR="00F0742C" w:rsidRPr="00E85915" w:rsidRDefault="00F0742C" w:rsidP="003A303A">
      <w:pPr>
        <w:pStyle w:val="ONUMFS"/>
        <w:rPr>
          <w:lang w:val="fr-FR"/>
        </w:rPr>
      </w:pPr>
      <w:r w:rsidRPr="00E85915">
        <w:rPr>
          <w:lang w:val="fr-FR"/>
        </w:rPr>
        <w:t xml:space="preserve">Au cours de la période considérée, la DSI a formulé 83 recommandations et en a clôturé 53. </w:t>
      </w:r>
      <w:r w:rsidR="00FE72CE" w:rsidRPr="00E85915">
        <w:rPr>
          <w:lang w:val="fr-FR"/>
        </w:rPr>
        <w:t xml:space="preserve"> </w:t>
      </w:r>
      <w:r w:rsidRPr="00E85915">
        <w:rPr>
          <w:lang w:val="fr-FR"/>
        </w:rPr>
        <w:t>À la fin de l</w:t>
      </w:r>
      <w:r w:rsidR="00BF513F" w:rsidRPr="00E85915">
        <w:rPr>
          <w:lang w:val="fr-FR"/>
        </w:rPr>
        <w:t>’</w:t>
      </w:r>
      <w:r w:rsidRPr="00E85915">
        <w:rPr>
          <w:lang w:val="fr-FR"/>
        </w:rPr>
        <w:t>année 2025, il y avait 60 recommandations en suspe</w:t>
      </w:r>
      <w:r w:rsidR="00E85915" w:rsidRPr="00E85915">
        <w:rPr>
          <w:lang w:val="fr-FR"/>
        </w:rPr>
        <w:t>ns.  Pa</w:t>
      </w:r>
      <w:r w:rsidRPr="00E85915">
        <w:rPr>
          <w:lang w:val="fr-FR"/>
        </w:rPr>
        <w:t>rmi celles</w:t>
      </w:r>
      <w:r w:rsidR="0089008D">
        <w:rPr>
          <w:lang w:val="fr-FR"/>
        </w:rPr>
        <w:noBreakHyphen/>
      </w:r>
      <w:r w:rsidRPr="00E85915">
        <w:rPr>
          <w:lang w:val="fr-FR"/>
        </w:rPr>
        <w:t>ci, 53 concernaient des engagements de</w:t>
      </w:r>
      <w:r w:rsidR="00BF513F" w:rsidRPr="00E85915">
        <w:rPr>
          <w:lang w:val="fr-FR"/>
        </w:rPr>
        <w:t xml:space="preserve"> la DSI</w:t>
      </w:r>
      <w:r w:rsidRPr="00E85915">
        <w:rPr>
          <w:lang w:val="fr-FR"/>
        </w:rPr>
        <w:t xml:space="preserve"> et sept</w:t>
      </w:r>
      <w:r w:rsidR="00FE72CE" w:rsidRPr="00E85915">
        <w:rPr>
          <w:lang w:val="fr-FR"/>
        </w:rPr>
        <w:t> </w:t>
      </w:r>
      <w:r w:rsidRPr="00E85915">
        <w:rPr>
          <w:lang w:val="fr-FR"/>
        </w:rPr>
        <w:t>provenaient de rapports du vérificateur externe des comptes.</w:t>
      </w:r>
    </w:p>
    <w:p w14:paraId="39C4B476" w14:textId="1A4E54C1" w:rsidR="00F0742C" w:rsidRPr="00E85915" w:rsidRDefault="00BF513F" w:rsidP="003A303A">
      <w:pPr>
        <w:pStyle w:val="ONUMFS"/>
        <w:rPr>
          <w:rFonts w:eastAsia="Arial"/>
          <w:color w:val="000000" w:themeColor="text1"/>
          <w:lang w:val="fr-FR"/>
        </w:rPr>
      </w:pPr>
      <w:r w:rsidRPr="00E85915">
        <w:rPr>
          <w:lang w:val="fr-FR"/>
        </w:rPr>
        <w:t>En 2025</w:t>
      </w:r>
      <w:r w:rsidR="00F0742C" w:rsidRPr="00E85915">
        <w:rPr>
          <w:lang w:val="fr-FR"/>
        </w:rPr>
        <w:t>, dix</w:t>
      </w:r>
      <w:r w:rsidR="00E85915" w:rsidRPr="00E85915">
        <w:rPr>
          <w:lang w:val="fr-FR"/>
        </w:rPr>
        <w:t> </w:t>
      </w:r>
      <w:r w:rsidR="00F0742C" w:rsidRPr="00E85915">
        <w:rPr>
          <w:lang w:val="fr-FR"/>
        </w:rPr>
        <w:t>dossiers d</w:t>
      </w:r>
      <w:r w:rsidRPr="00E85915">
        <w:rPr>
          <w:lang w:val="fr-FR"/>
        </w:rPr>
        <w:t>’</w:t>
      </w:r>
      <w:r w:rsidR="00F0742C" w:rsidRPr="00E85915">
        <w:rPr>
          <w:lang w:val="fr-FR"/>
        </w:rPr>
        <w:t>enquête ont été reportés de 2024.  Vingt</w:t>
      </w:r>
      <w:r w:rsidR="0089008D">
        <w:rPr>
          <w:lang w:val="fr-FR"/>
        </w:rPr>
        <w:noBreakHyphen/>
      </w:r>
      <w:r w:rsidR="00F0742C" w:rsidRPr="00E85915">
        <w:rPr>
          <w:lang w:val="fr-FR"/>
        </w:rPr>
        <w:t>trois nouvelles plaintes ont été enregistré</w:t>
      </w:r>
      <w:r w:rsidR="00E85915" w:rsidRPr="00E85915">
        <w:rPr>
          <w:lang w:val="fr-FR"/>
        </w:rPr>
        <w:t>es.  Tr</w:t>
      </w:r>
      <w:r w:rsidR="00F0742C" w:rsidRPr="00E85915">
        <w:rPr>
          <w:lang w:val="fr-FR"/>
        </w:rPr>
        <w:t>ente</w:t>
      </w:r>
      <w:r w:rsidR="0089008D">
        <w:rPr>
          <w:lang w:val="fr-FR"/>
        </w:rPr>
        <w:noBreakHyphen/>
      </w:r>
      <w:r w:rsidR="00F0742C" w:rsidRPr="00E85915">
        <w:rPr>
          <w:lang w:val="fr-FR"/>
        </w:rPr>
        <w:t xml:space="preserve">trois dossiers étaient donc en suspens </w:t>
      </w:r>
      <w:r w:rsidRPr="00E85915">
        <w:rPr>
          <w:lang w:val="fr-FR"/>
        </w:rPr>
        <w:t>en 2025</w:t>
      </w:r>
      <w:r w:rsidR="00F0742C" w:rsidRPr="00E85915">
        <w:rPr>
          <w:lang w:val="fr-FR"/>
        </w:rPr>
        <w:t>.  Vingt</w:t>
      </w:r>
      <w:r w:rsidR="0089008D">
        <w:rPr>
          <w:lang w:val="fr-FR"/>
        </w:rPr>
        <w:noBreakHyphen/>
      </w:r>
      <w:r w:rsidR="00F0742C" w:rsidRPr="00E85915">
        <w:rPr>
          <w:lang w:val="fr-FR"/>
        </w:rPr>
        <w:t>trois plaintes ont été clôturées après une évaluation préliminaire et quatre</w:t>
      </w:r>
      <w:r w:rsidR="00FE72CE" w:rsidRPr="00E85915">
        <w:rPr>
          <w:lang w:val="fr-FR"/>
        </w:rPr>
        <w:t> </w:t>
      </w:r>
      <w:r w:rsidR="00F0742C" w:rsidRPr="00E85915">
        <w:rPr>
          <w:lang w:val="fr-FR"/>
        </w:rPr>
        <w:t>enquêtes ont été achevé</w:t>
      </w:r>
      <w:r w:rsidR="00E85915" w:rsidRPr="00E85915">
        <w:rPr>
          <w:lang w:val="fr-FR"/>
        </w:rPr>
        <w:t>es.  Au</w:t>
      </w:r>
      <w:r w:rsidR="00F0742C" w:rsidRPr="00E85915">
        <w:rPr>
          <w:lang w:val="fr-FR"/>
        </w:rPr>
        <w:t xml:space="preserve"> 31 </w:t>
      </w:r>
      <w:r w:rsidRPr="00E85915">
        <w:rPr>
          <w:lang w:val="fr-FR"/>
        </w:rPr>
        <w:t>décembre 20</w:t>
      </w:r>
      <w:r w:rsidR="00F0742C" w:rsidRPr="00E85915">
        <w:rPr>
          <w:lang w:val="fr-FR"/>
        </w:rPr>
        <w:t>25, on comptait six</w:t>
      </w:r>
      <w:r w:rsidR="00FE72CE" w:rsidRPr="00E85915">
        <w:rPr>
          <w:lang w:val="fr-FR"/>
        </w:rPr>
        <w:t> </w:t>
      </w:r>
      <w:r w:rsidR="00F0742C" w:rsidRPr="00E85915">
        <w:rPr>
          <w:lang w:val="fr-FR"/>
        </w:rPr>
        <w:t>dossiers en phase d</w:t>
      </w:r>
      <w:r w:rsidRPr="00E85915">
        <w:rPr>
          <w:lang w:val="fr-FR"/>
        </w:rPr>
        <w:t>’</w:t>
      </w:r>
      <w:r w:rsidR="00F0742C" w:rsidRPr="00E85915">
        <w:rPr>
          <w:lang w:val="fr-FR"/>
        </w:rPr>
        <w:t>évaluation préliminai</w:t>
      </w:r>
      <w:r w:rsidR="00E85915" w:rsidRPr="00E85915">
        <w:rPr>
          <w:lang w:val="fr-FR"/>
        </w:rPr>
        <w:t xml:space="preserve">re.  </w:t>
      </w:r>
      <w:r w:rsidR="00E85915" w:rsidRPr="00E85915">
        <w:rPr>
          <w:color w:val="000000" w:themeColor="text1"/>
          <w:lang w:val="fr-FR"/>
        </w:rPr>
        <w:lastRenderedPageBreak/>
        <w:t>Au</w:t>
      </w:r>
      <w:r w:rsidR="00F0742C" w:rsidRPr="00E85915">
        <w:rPr>
          <w:color w:val="000000" w:themeColor="text1"/>
          <w:lang w:val="fr-FR"/>
        </w:rPr>
        <w:t>cun des dossiers susmentionnés n</w:t>
      </w:r>
      <w:r w:rsidRPr="00E85915">
        <w:rPr>
          <w:color w:val="000000" w:themeColor="text1"/>
          <w:lang w:val="fr-FR"/>
        </w:rPr>
        <w:t>’</w:t>
      </w:r>
      <w:r w:rsidR="00F0742C" w:rsidRPr="00E85915">
        <w:rPr>
          <w:color w:val="000000" w:themeColor="text1"/>
          <w:lang w:val="fr-FR"/>
        </w:rPr>
        <w:t>a été considéré comme ayant une incidence financière significative sur l</w:t>
      </w:r>
      <w:r w:rsidRPr="00E85915">
        <w:rPr>
          <w:color w:val="000000" w:themeColor="text1"/>
          <w:lang w:val="fr-FR"/>
        </w:rPr>
        <w:t>’</w:t>
      </w:r>
      <w:r w:rsidR="00F0742C" w:rsidRPr="00E85915">
        <w:rPr>
          <w:color w:val="000000" w:themeColor="text1"/>
          <w:lang w:val="fr-FR"/>
        </w:rPr>
        <w:t>Organisation.</w:t>
      </w:r>
    </w:p>
    <w:p w14:paraId="4A4BD34E" w14:textId="25E33BCD" w:rsidR="00F0742C" w:rsidRPr="00E85915" w:rsidRDefault="00F0742C" w:rsidP="003A303A">
      <w:pPr>
        <w:pStyle w:val="ONUMFS"/>
        <w:rPr>
          <w:rFonts w:eastAsia="Arial"/>
          <w:color w:val="000000" w:themeColor="text1"/>
          <w:lang w:val="fr-FR"/>
        </w:rPr>
      </w:pPr>
      <w:r w:rsidRPr="00E85915">
        <w:rPr>
          <w:color w:val="000000" w:themeColor="text1"/>
          <w:lang w:val="fr-FR"/>
        </w:rPr>
        <w:t>Après chaque mission d</w:t>
      </w:r>
      <w:r w:rsidR="00BF513F" w:rsidRPr="00E85915">
        <w:rPr>
          <w:color w:val="000000" w:themeColor="text1"/>
          <w:lang w:val="fr-FR"/>
        </w:rPr>
        <w:t>’</w:t>
      </w:r>
      <w:r w:rsidRPr="00E85915">
        <w:rPr>
          <w:color w:val="000000" w:themeColor="text1"/>
          <w:lang w:val="fr-FR"/>
        </w:rPr>
        <w:t>audit et d</w:t>
      </w:r>
      <w:r w:rsidR="00BF513F" w:rsidRPr="00E85915">
        <w:rPr>
          <w:color w:val="000000" w:themeColor="text1"/>
          <w:lang w:val="fr-FR"/>
        </w:rPr>
        <w:t>’</w:t>
      </w:r>
      <w:r w:rsidRPr="00E85915">
        <w:rPr>
          <w:color w:val="000000" w:themeColor="text1"/>
          <w:lang w:val="fr-FR"/>
        </w:rPr>
        <w:t>évaluation,</w:t>
      </w:r>
      <w:r w:rsidR="00BF513F" w:rsidRPr="00E85915">
        <w:rPr>
          <w:color w:val="000000" w:themeColor="text1"/>
          <w:lang w:val="fr-FR"/>
        </w:rPr>
        <w:t xml:space="preserve"> la DSI</w:t>
      </w:r>
      <w:r w:rsidRPr="00E85915">
        <w:rPr>
          <w:color w:val="000000" w:themeColor="text1"/>
          <w:lang w:val="fr-FR"/>
        </w:rPr>
        <w:t xml:space="preserve"> a recueilli les avis des collègues dans les unités administratives ayant fait l</w:t>
      </w:r>
      <w:r w:rsidR="00BF513F" w:rsidRPr="00E85915">
        <w:rPr>
          <w:color w:val="000000" w:themeColor="text1"/>
          <w:lang w:val="fr-FR"/>
        </w:rPr>
        <w:t>’</w:t>
      </w:r>
      <w:r w:rsidRPr="00E85915">
        <w:rPr>
          <w:color w:val="000000" w:themeColor="text1"/>
          <w:lang w:val="fr-FR"/>
        </w:rPr>
        <w:t>objet de ces audits et évaluatio</w:t>
      </w:r>
      <w:r w:rsidR="00E85915" w:rsidRPr="00E85915">
        <w:rPr>
          <w:color w:val="000000" w:themeColor="text1"/>
          <w:lang w:val="fr-FR"/>
        </w:rPr>
        <w:t>ns.  Le</w:t>
      </w:r>
      <w:r w:rsidRPr="00E85915">
        <w:rPr>
          <w:color w:val="000000" w:themeColor="text1"/>
          <w:lang w:val="fr-FR"/>
        </w:rPr>
        <w:t>s observations supplémentaires ont permis de contribuer au programme d</w:t>
      </w:r>
      <w:r w:rsidR="00BF513F" w:rsidRPr="00E85915">
        <w:rPr>
          <w:color w:val="000000" w:themeColor="text1"/>
          <w:lang w:val="fr-FR"/>
        </w:rPr>
        <w:t>’</w:t>
      </w:r>
      <w:r w:rsidRPr="00E85915">
        <w:rPr>
          <w:color w:val="000000" w:themeColor="text1"/>
          <w:lang w:val="fr-FR"/>
        </w:rPr>
        <w:t>assurance et d</w:t>
      </w:r>
      <w:r w:rsidR="00BF513F" w:rsidRPr="00E85915">
        <w:rPr>
          <w:color w:val="000000" w:themeColor="text1"/>
          <w:lang w:val="fr-FR"/>
        </w:rPr>
        <w:t>’</w:t>
      </w:r>
      <w:r w:rsidRPr="00E85915">
        <w:rPr>
          <w:color w:val="000000" w:themeColor="text1"/>
          <w:lang w:val="fr-FR"/>
        </w:rPr>
        <w:t>amélioration de la qualité de la DSI.</w:t>
      </w:r>
    </w:p>
    <w:p w14:paraId="55FFCF0D" w14:textId="77777777" w:rsidR="00F0742C" w:rsidRPr="00E85915" w:rsidRDefault="00F0742C" w:rsidP="00B321D5">
      <w:pPr>
        <w:pStyle w:val="Heading1"/>
      </w:pPr>
      <w:bookmarkStart w:id="10" w:name="_Toc227321797"/>
      <w:r w:rsidRPr="00E85915">
        <w:t>CONTEXTE</w:t>
      </w:r>
      <w:bookmarkEnd w:id="8"/>
      <w:bookmarkEnd w:id="9"/>
      <w:bookmarkEnd w:id="10"/>
    </w:p>
    <w:p w14:paraId="51B70E66" w14:textId="24E726A7" w:rsidR="00F0742C" w:rsidRPr="00E85915" w:rsidRDefault="00F0742C" w:rsidP="003A303A">
      <w:pPr>
        <w:pStyle w:val="ONUMFS"/>
        <w:rPr>
          <w:lang w:val="fr-FR"/>
        </w:rPr>
      </w:pPr>
      <w:r w:rsidRPr="00E85915">
        <w:rPr>
          <w:lang w:val="fr-FR"/>
        </w:rPr>
        <w:t>La DSI a pour mission d</w:t>
      </w:r>
      <w:r w:rsidR="00BF513F" w:rsidRPr="00E85915">
        <w:rPr>
          <w:lang w:val="fr-FR"/>
        </w:rPr>
        <w:t>’</w:t>
      </w:r>
      <w:r w:rsidRPr="00E85915">
        <w:rPr>
          <w:lang w:val="fr-FR"/>
        </w:rPr>
        <w:t>assurer à l</w:t>
      </w:r>
      <w:r w:rsidR="00BF513F" w:rsidRPr="00E85915">
        <w:rPr>
          <w:lang w:val="fr-FR"/>
        </w:rPr>
        <w:t>’</w:t>
      </w:r>
      <w:r w:rsidRPr="00E85915">
        <w:rPr>
          <w:lang w:val="fr-FR"/>
        </w:rPr>
        <w:t>OMPI une supervision interne indépendante et efficace, conformément aux dispositions de la Charte de la supervision interne.</w:t>
      </w:r>
    </w:p>
    <w:p w14:paraId="76B02F60" w14:textId="7816ECE7" w:rsidR="00F0742C" w:rsidRPr="00E85915" w:rsidRDefault="00F0742C" w:rsidP="003A303A">
      <w:pPr>
        <w:pStyle w:val="ONUMFS"/>
        <w:rPr>
          <w:lang w:val="fr-FR"/>
        </w:rPr>
      </w:pPr>
      <w:r w:rsidRPr="00E85915">
        <w:rPr>
          <w:lang w:val="fr-FR"/>
        </w:rPr>
        <w:t>En vertu de la Charte de la supervision interne de l</w:t>
      </w:r>
      <w:r w:rsidR="00BF513F" w:rsidRPr="00E85915">
        <w:rPr>
          <w:lang w:val="fr-FR"/>
        </w:rPr>
        <w:t>’</w:t>
      </w:r>
      <w:r w:rsidRPr="00E85915">
        <w:rPr>
          <w:lang w:val="fr-FR"/>
        </w:rPr>
        <w:t>OMPI</w:t>
      </w:r>
      <w:r w:rsidRPr="00E85915">
        <w:rPr>
          <w:rStyle w:val="FootnoteReference"/>
          <w:lang w:val="fr-FR"/>
        </w:rPr>
        <w:footnoteReference w:id="2"/>
      </w:r>
      <w:r w:rsidRPr="00E85915">
        <w:rPr>
          <w:lang w:val="fr-FR"/>
        </w:rPr>
        <w:t>, la directrice ou le directeur de</w:t>
      </w:r>
      <w:r w:rsidR="00BF513F" w:rsidRPr="00E85915">
        <w:rPr>
          <w:lang w:val="fr-FR"/>
        </w:rPr>
        <w:t xml:space="preserve"> la DSI</w:t>
      </w:r>
      <w:r w:rsidRPr="00E85915">
        <w:rPr>
          <w:lang w:val="fr-FR"/>
        </w:rPr>
        <w:t xml:space="preserve"> soumet chaque année un rapport de synthèse à l</w:t>
      </w:r>
      <w:r w:rsidR="00BF513F" w:rsidRPr="00E85915">
        <w:rPr>
          <w:lang w:val="fr-FR"/>
        </w:rPr>
        <w:t>’</w:t>
      </w:r>
      <w:r w:rsidRPr="00E85915">
        <w:rPr>
          <w:lang w:val="fr-FR"/>
        </w:rPr>
        <w:t>Assemblée générale de l</w:t>
      </w:r>
      <w:r w:rsidR="00BF513F" w:rsidRPr="00E85915">
        <w:rPr>
          <w:lang w:val="fr-FR"/>
        </w:rPr>
        <w:t>’</w:t>
      </w:r>
      <w:r w:rsidRPr="00E85915">
        <w:rPr>
          <w:lang w:val="fr-FR"/>
        </w:rPr>
        <w:t>OMPI, par l</w:t>
      </w:r>
      <w:r w:rsidR="00BF513F" w:rsidRPr="00E85915">
        <w:rPr>
          <w:lang w:val="fr-FR"/>
        </w:rPr>
        <w:t>’</w:t>
      </w:r>
      <w:r w:rsidRPr="00E85915">
        <w:rPr>
          <w:lang w:val="fr-FR"/>
        </w:rPr>
        <w:t>intermédiaire du Comité du programme et budget (rapport annuel de la directrice ou du directeur de</w:t>
      </w:r>
      <w:r w:rsidR="00BF513F" w:rsidRPr="00E85915">
        <w:rPr>
          <w:lang w:val="fr-FR"/>
        </w:rPr>
        <w:t xml:space="preserve"> la DSI</w:t>
      </w:r>
      <w:r w:rsidRPr="00E85915">
        <w:rPr>
          <w:lang w:val="fr-FR"/>
        </w:rPr>
        <w:t xml:space="preserve">).  Le rapport annuel rend compte des activités de supervision interne menées au cours de la période considérée, </w:t>
      </w:r>
      <w:r w:rsidR="00BF513F" w:rsidRPr="00E85915">
        <w:rPr>
          <w:lang w:val="fr-FR"/>
        </w:rPr>
        <w:t>y compris</w:t>
      </w:r>
      <w:r w:rsidRPr="00E85915">
        <w:rPr>
          <w:lang w:val="fr-FR"/>
        </w:rPr>
        <w:t xml:space="preserve"> de la portée et des objectifs de celles</w:t>
      </w:r>
      <w:r w:rsidR="0089008D">
        <w:rPr>
          <w:lang w:val="fr-FR"/>
        </w:rPr>
        <w:noBreakHyphen/>
      </w:r>
      <w:r w:rsidRPr="00E85915">
        <w:rPr>
          <w:lang w:val="fr-FR"/>
        </w:rPr>
        <w:t>ci, du calendrier des travaux ainsi que des progrès réalisés dans la mise en œuvre des recommandations de supervision interne.</w:t>
      </w:r>
      <w:bookmarkStart w:id="11" w:name="_Toc420663566"/>
      <w:bookmarkStart w:id="12" w:name="_Toc328920434"/>
    </w:p>
    <w:p w14:paraId="60166B49" w14:textId="4C23A65C" w:rsidR="00F0742C" w:rsidRPr="0089008D" w:rsidRDefault="00F0742C" w:rsidP="003A303A">
      <w:pPr>
        <w:pStyle w:val="ONUMFS"/>
        <w:rPr>
          <w:bCs/>
          <w:caps/>
          <w:kern w:val="32"/>
          <w:szCs w:val="32"/>
          <w:lang w:val="fr-FR"/>
        </w:rPr>
      </w:pPr>
      <w:r w:rsidRPr="00E85915">
        <w:rPr>
          <w:lang w:val="fr-FR"/>
        </w:rPr>
        <w:t>Conformément à la Charte de la supervision interne, une version préliminaire du rapport annuel est fournie, pour commentaires, à la Directrice ou au Directeur général et à l</w:t>
      </w:r>
      <w:r w:rsidR="00BF513F" w:rsidRPr="00E85915">
        <w:rPr>
          <w:lang w:val="fr-FR"/>
        </w:rPr>
        <w:t>’</w:t>
      </w:r>
      <w:r w:rsidRPr="00E85915">
        <w:rPr>
          <w:lang w:val="fr-FR"/>
        </w:rPr>
        <w:t>Organe consultatif indépendant de surveillance (OCIS).  Leurs observations ont été prises en considération lors de la finalisation du rapport.</w:t>
      </w:r>
    </w:p>
    <w:p w14:paraId="571EC1A2" w14:textId="71DA22AD" w:rsidR="00F0742C" w:rsidRPr="00E85915" w:rsidRDefault="0089008D" w:rsidP="00B321D5">
      <w:pPr>
        <w:pStyle w:val="Heading1"/>
      </w:pPr>
      <w:bookmarkStart w:id="13" w:name="_Toc39071245"/>
      <w:bookmarkStart w:id="14" w:name="_Toc227321798"/>
      <w:bookmarkEnd w:id="13"/>
      <w:r w:rsidRPr="00E85915">
        <w:t>FAITS MARQUANTS SURVENUS EN 2025</w:t>
      </w:r>
      <w:bookmarkEnd w:id="14"/>
    </w:p>
    <w:p w14:paraId="51F75631" w14:textId="2477E119" w:rsidR="00F0742C" w:rsidRPr="00E85915" w:rsidRDefault="00F0742C" w:rsidP="003A303A">
      <w:pPr>
        <w:pStyle w:val="ONUMFS"/>
        <w:rPr>
          <w:lang w:val="fr-FR"/>
        </w:rPr>
      </w:pPr>
      <w:r w:rsidRPr="00E85915">
        <w:rPr>
          <w:lang w:val="fr-FR"/>
        </w:rPr>
        <w:t>Tout au long de l</w:t>
      </w:r>
      <w:r w:rsidR="00BF513F" w:rsidRPr="00E85915">
        <w:rPr>
          <w:lang w:val="fr-FR"/>
        </w:rPr>
        <w:t>’</w:t>
      </w:r>
      <w:r w:rsidRPr="00E85915">
        <w:rPr>
          <w:lang w:val="fr-FR"/>
        </w:rPr>
        <w:t>année 2025,</w:t>
      </w:r>
      <w:r w:rsidR="00BF513F" w:rsidRPr="00E85915">
        <w:rPr>
          <w:lang w:val="fr-FR"/>
        </w:rPr>
        <w:t xml:space="preserve"> la DSI</w:t>
      </w:r>
      <w:r w:rsidRPr="00E85915">
        <w:rPr>
          <w:lang w:val="fr-FR"/>
        </w:rPr>
        <w:t xml:space="preserve"> a continué de soutenir et d</w:t>
      </w:r>
      <w:r w:rsidR="00BF513F" w:rsidRPr="00E85915">
        <w:rPr>
          <w:lang w:val="fr-FR"/>
        </w:rPr>
        <w:t>’</w:t>
      </w:r>
      <w:r w:rsidRPr="00E85915">
        <w:rPr>
          <w:lang w:val="fr-FR"/>
        </w:rPr>
        <w:t>aider l</w:t>
      </w:r>
      <w:r w:rsidR="00BF513F" w:rsidRPr="00E85915">
        <w:rPr>
          <w:lang w:val="fr-FR"/>
        </w:rPr>
        <w:t>’</w:t>
      </w:r>
      <w:r w:rsidRPr="00E85915">
        <w:rPr>
          <w:lang w:val="fr-FR"/>
        </w:rPr>
        <w:t>OMPI à renforcer davantage les contrôles, la reddition de comptes, la transparence et l</w:t>
      </w:r>
      <w:r w:rsidR="00BF513F" w:rsidRPr="00E85915">
        <w:rPr>
          <w:lang w:val="fr-FR"/>
        </w:rPr>
        <w:t>’</w:t>
      </w:r>
      <w:r w:rsidRPr="00E85915">
        <w:rPr>
          <w:lang w:val="fr-FR"/>
        </w:rPr>
        <w:t>apprentissage grâce à des audits, des évaluations, des enquêtes et des missions consultatives</w:t>
      </w:r>
      <w:r w:rsidRPr="00E85915">
        <w:rPr>
          <w:rStyle w:val="FootnoteReference"/>
          <w:lang w:val="fr-FR"/>
        </w:rPr>
        <w:footnoteReference w:id="3"/>
      </w:r>
      <w:r w:rsidRPr="00E85915">
        <w:rPr>
          <w:lang w:val="fr-FR"/>
        </w:rPr>
        <w:t>.</w:t>
      </w:r>
    </w:p>
    <w:p w14:paraId="18B276B0" w14:textId="109DAD49" w:rsidR="00F0742C" w:rsidRPr="00E85915" w:rsidRDefault="00F0742C" w:rsidP="003A303A">
      <w:pPr>
        <w:pStyle w:val="ONUMFS"/>
        <w:rPr>
          <w:lang w:val="fr-FR"/>
        </w:rPr>
      </w:pPr>
      <w:r w:rsidRPr="00E85915">
        <w:rPr>
          <w:lang w:val="fr-FR"/>
        </w:rPr>
        <w:t xml:space="preserve">Le programme de travail en matière de supervision </w:t>
      </w:r>
      <w:r w:rsidR="00BF513F" w:rsidRPr="00E85915">
        <w:rPr>
          <w:lang w:val="fr-FR"/>
        </w:rPr>
        <w:t>pour 2025</w:t>
      </w:r>
      <w:r w:rsidRPr="00E85915">
        <w:rPr>
          <w:lang w:val="fr-FR"/>
        </w:rPr>
        <w:t xml:space="preserve"> a été entièrement mené à bien, témoignant d</w:t>
      </w:r>
      <w:r w:rsidR="00BF513F" w:rsidRPr="00E85915">
        <w:rPr>
          <w:lang w:val="fr-FR"/>
        </w:rPr>
        <w:t>’</w:t>
      </w:r>
      <w:r w:rsidRPr="00E85915">
        <w:rPr>
          <w:lang w:val="fr-FR"/>
        </w:rPr>
        <w:t>un engagement sans faille en faveur de l</w:t>
      </w:r>
      <w:r w:rsidR="00BF513F" w:rsidRPr="00E85915">
        <w:rPr>
          <w:lang w:val="fr-FR"/>
        </w:rPr>
        <w:t>’</w:t>
      </w:r>
      <w:r w:rsidRPr="00E85915">
        <w:rPr>
          <w:lang w:val="fr-FR"/>
        </w:rPr>
        <w:t>excellence, de la fiabilité et de la responsabilité.</w:t>
      </w:r>
    </w:p>
    <w:p w14:paraId="419F506F" w14:textId="2C92D9DA" w:rsidR="00BF513F" w:rsidRPr="00E85915" w:rsidRDefault="00F0742C" w:rsidP="003A303A">
      <w:pPr>
        <w:pStyle w:val="ONUMFS"/>
        <w:rPr>
          <w:lang w:val="fr-FR"/>
        </w:rPr>
      </w:pPr>
      <w:r w:rsidRPr="00E85915">
        <w:rPr>
          <w:lang w:val="fr-FR"/>
        </w:rPr>
        <w:t>Une grande partie de l</w:t>
      </w:r>
      <w:r w:rsidR="00BF513F" w:rsidRPr="00E85915">
        <w:rPr>
          <w:lang w:val="fr-FR"/>
        </w:rPr>
        <w:t>’</w:t>
      </w:r>
      <w:r w:rsidRPr="00E85915">
        <w:rPr>
          <w:lang w:val="fr-FR"/>
        </w:rPr>
        <w:t>année 2025 a été consacrée à l</w:t>
      </w:r>
      <w:r w:rsidR="00BF513F" w:rsidRPr="00E85915">
        <w:rPr>
          <w:lang w:val="fr-FR"/>
        </w:rPr>
        <w:t>’</w:t>
      </w:r>
      <w:r w:rsidRPr="00E85915">
        <w:rPr>
          <w:lang w:val="fr-FR"/>
        </w:rPr>
        <w:t>établissement du premier avis annuel émis par la directrice de</w:t>
      </w:r>
      <w:r w:rsidR="00BF513F" w:rsidRPr="00E85915">
        <w:rPr>
          <w:lang w:val="fr-FR"/>
        </w:rPr>
        <w:t xml:space="preserve"> la DSI</w:t>
      </w:r>
      <w:r w:rsidRPr="00E85915">
        <w:rPr>
          <w:lang w:val="fr-FR"/>
        </w:rPr>
        <w:t xml:space="preserve"> sur la gouvernance, la gestion des risques et le cadre de contrôle inter</w:t>
      </w:r>
      <w:r w:rsidR="00E85915" w:rsidRPr="00E85915">
        <w:rPr>
          <w:lang w:val="fr-FR"/>
        </w:rPr>
        <w:t>ne.  C’e</w:t>
      </w:r>
      <w:r w:rsidRPr="00E85915">
        <w:rPr>
          <w:lang w:val="fr-FR"/>
        </w:rPr>
        <w:t xml:space="preserve">st pourquoi, outre les audits internes prévus </w:t>
      </w:r>
      <w:r w:rsidR="00BF513F" w:rsidRPr="00E85915">
        <w:rPr>
          <w:lang w:val="fr-FR"/>
        </w:rPr>
        <w:t>pour 2025</w:t>
      </w:r>
      <w:r w:rsidRPr="00E85915">
        <w:rPr>
          <w:lang w:val="fr-FR"/>
        </w:rPr>
        <w:t>, un examen approfondi a été mené afin de mieux comprendre la Convention instituant l</w:t>
      </w:r>
      <w:r w:rsidR="00BF513F" w:rsidRPr="00E85915">
        <w:rPr>
          <w:lang w:val="fr-FR"/>
        </w:rPr>
        <w:t>’</w:t>
      </w:r>
      <w:r w:rsidRPr="00E85915">
        <w:rPr>
          <w:lang w:val="fr-FR"/>
        </w:rPr>
        <w:t>OMPI et ses dispositions, ainsi que les modalités de gouvernance prévues par les articles et règles du Règlement financier et de son règlement d</w:t>
      </w:r>
      <w:r w:rsidR="00BF513F" w:rsidRPr="00E85915">
        <w:rPr>
          <w:lang w:val="fr-FR"/>
        </w:rPr>
        <w:t>’</w:t>
      </w:r>
      <w:r w:rsidRPr="00E85915">
        <w:rPr>
          <w:lang w:val="fr-FR"/>
        </w:rPr>
        <w:t xml:space="preserve">exécution et par les articles et dispositions du Statut et Règlement du personnel, </w:t>
      </w:r>
      <w:r w:rsidR="00BF513F" w:rsidRPr="00E85915">
        <w:rPr>
          <w:lang w:val="fr-FR"/>
        </w:rPr>
        <w:t>y compris</w:t>
      </w:r>
      <w:r w:rsidRPr="00E85915">
        <w:rPr>
          <w:lang w:val="fr-FR"/>
        </w:rPr>
        <w:t xml:space="preserve"> leur mise en œuvre, et de tester les principaux contrôles à l</w:t>
      </w:r>
      <w:r w:rsidR="00BF513F" w:rsidRPr="00E85915">
        <w:rPr>
          <w:lang w:val="fr-FR"/>
        </w:rPr>
        <w:t>’</w:t>
      </w:r>
      <w:r w:rsidRPr="00E85915">
        <w:rPr>
          <w:lang w:val="fr-FR"/>
        </w:rPr>
        <w:t>échelle de l</w:t>
      </w:r>
      <w:r w:rsidR="00BF513F" w:rsidRPr="00E85915">
        <w:rPr>
          <w:lang w:val="fr-FR"/>
        </w:rPr>
        <w:t>’</w:t>
      </w:r>
      <w:r w:rsidRPr="00E85915">
        <w:rPr>
          <w:lang w:val="fr-FR"/>
        </w:rPr>
        <w:t>Organisation.</w:t>
      </w:r>
    </w:p>
    <w:p w14:paraId="73912A5C" w14:textId="5507C049" w:rsidR="00F0742C" w:rsidRPr="00E85915" w:rsidRDefault="00BF513F" w:rsidP="003A303A">
      <w:pPr>
        <w:pStyle w:val="ONUMFS"/>
        <w:rPr>
          <w:lang w:val="fr-FR"/>
        </w:rPr>
      </w:pPr>
      <w:r w:rsidRPr="00E85915">
        <w:rPr>
          <w:lang w:val="fr-FR"/>
        </w:rPr>
        <w:t>En 2025</w:t>
      </w:r>
      <w:r w:rsidR="00F0742C" w:rsidRPr="00E85915">
        <w:rPr>
          <w:lang w:val="fr-FR"/>
        </w:rPr>
        <w:t>, un examen des éléments ci</w:t>
      </w:r>
      <w:r w:rsidR="0089008D">
        <w:rPr>
          <w:lang w:val="fr-FR"/>
        </w:rPr>
        <w:noBreakHyphen/>
      </w:r>
      <w:r w:rsidR="00F0742C" w:rsidRPr="00E85915">
        <w:rPr>
          <w:lang w:val="fr-FR"/>
        </w:rPr>
        <w:t>après a été mené pour la première fois dans l</w:t>
      </w:r>
      <w:r w:rsidRPr="00E85915">
        <w:rPr>
          <w:lang w:val="fr-FR"/>
        </w:rPr>
        <w:t>’</w:t>
      </w:r>
      <w:r w:rsidR="00F0742C" w:rsidRPr="00E85915">
        <w:rPr>
          <w:lang w:val="fr-FR"/>
        </w:rPr>
        <w:t>histoire de</w:t>
      </w:r>
      <w:r w:rsidRPr="00E85915">
        <w:rPr>
          <w:lang w:val="fr-FR"/>
        </w:rPr>
        <w:t xml:space="preserve"> la DSI :</w:t>
      </w:r>
      <w:r w:rsidR="00F0742C" w:rsidRPr="00E85915">
        <w:rPr>
          <w:lang w:val="fr-FR"/>
        </w:rPr>
        <w:t xml:space="preserve"> gestion des placements à l</w:t>
      </w:r>
      <w:r w:rsidRPr="00E85915">
        <w:rPr>
          <w:lang w:val="fr-FR"/>
        </w:rPr>
        <w:t>’</w:t>
      </w:r>
      <w:r w:rsidR="00F0742C" w:rsidRPr="00E85915">
        <w:rPr>
          <w:lang w:val="fr-FR"/>
        </w:rPr>
        <w:t>OMPI, Division de la coordination du Plan d</w:t>
      </w:r>
      <w:r w:rsidRPr="00E85915">
        <w:rPr>
          <w:lang w:val="fr-FR"/>
        </w:rPr>
        <w:t>’</w:t>
      </w:r>
      <w:r w:rsidR="00F0742C" w:rsidRPr="00E85915">
        <w:rPr>
          <w:lang w:val="fr-FR"/>
        </w:rPr>
        <w:t>action pour le développement et Centre d</w:t>
      </w:r>
      <w:r w:rsidRPr="00E85915">
        <w:rPr>
          <w:lang w:val="fr-FR"/>
        </w:rPr>
        <w:t>’</w:t>
      </w:r>
      <w:r w:rsidR="00F0742C" w:rsidRPr="00E85915">
        <w:rPr>
          <w:lang w:val="fr-FR"/>
        </w:rPr>
        <w:t>arbitrage et de médiation de l</w:t>
      </w:r>
      <w:r w:rsidRPr="00E85915">
        <w:rPr>
          <w:lang w:val="fr-FR"/>
        </w:rPr>
        <w:t>’</w:t>
      </w:r>
      <w:r w:rsidR="00F0742C" w:rsidRPr="00E85915">
        <w:rPr>
          <w:lang w:val="fr-FR"/>
        </w:rPr>
        <w:t>OMPI.</w:t>
      </w:r>
    </w:p>
    <w:p w14:paraId="2312FCDE" w14:textId="3DC9C03C" w:rsidR="00F0742C" w:rsidRPr="00E85915" w:rsidRDefault="00F0742C" w:rsidP="003A303A">
      <w:pPr>
        <w:pStyle w:val="ONUMFS"/>
        <w:rPr>
          <w:lang w:val="fr-FR"/>
        </w:rPr>
      </w:pPr>
      <w:r w:rsidRPr="00E85915">
        <w:rPr>
          <w:lang w:val="fr-FR"/>
        </w:rPr>
        <w:t>Les avantages d</w:t>
      </w:r>
      <w:r w:rsidR="00BF513F" w:rsidRPr="00E85915">
        <w:rPr>
          <w:lang w:val="fr-FR"/>
        </w:rPr>
        <w:t>’</w:t>
      </w:r>
      <w:r w:rsidRPr="00E85915">
        <w:rPr>
          <w:lang w:val="fr-FR"/>
        </w:rPr>
        <w:t>une simplification de la procédure d</w:t>
      </w:r>
      <w:r w:rsidR="00BF513F" w:rsidRPr="00E85915">
        <w:rPr>
          <w:lang w:val="fr-FR"/>
        </w:rPr>
        <w:t>’</w:t>
      </w:r>
      <w:r w:rsidRPr="00E85915">
        <w:rPr>
          <w:lang w:val="fr-FR"/>
        </w:rPr>
        <w:t xml:space="preserve">enregistrement des enquêtes </w:t>
      </w:r>
      <w:r w:rsidR="00BF513F" w:rsidRPr="00E85915">
        <w:rPr>
          <w:lang w:val="fr-FR"/>
        </w:rPr>
        <w:t>en 2024</w:t>
      </w:r>
      <w:r w:rsidRPr="00E85915">
        <w:rPr>
          <w:lang w:val="fr-FR"/>
        </w:rPr>
        <w:t>, conformément aux dispositions du cadre d</w:t>
      </w:r>
      <w:r w:rsidR="00BF513F" w:rsidRPr="00E85915">
        <w:rPr>
          <w:lang w:val="fr-FR"/>
        </w:rPr>
        <w:t>’</w:t>
      </w:r>
      <w:r w:rsidRPr="00E85915">
        <w:rPr>
          <w:lang w:val="fr-FR"/>
        </w:rPr>
        <w:t>enquête, ont continué de se concrétiser, avec un nombre croissant de dossiers importants portés à l</w:t>
      </w:r>
      <w:r w:rsidR="00BF513F" w:rsidRPr="00E85915">
        <w:rPr>
          <w:lang w:val="fr-FR"/>
        </w:rPr>
        <w:t>’</w:t>
      </w:r>
      <w:r w:rsidRPr="00E85915">
        <w:rPr>
          <w:lang w:val="fr-FR"/>
        </w:rPr>
        <w:t>attention de</w:t>
      </w:r>
      <w:r w:rsidR="00BF513F" w:rsidRPr="00E85915">
        <w:rPr>
          <w:lang w:val="fr-FR"/>
        </w:rPr>
        <w:t xml:space="preserve"> la DSI</w:t>
      </w:r>
      <w:r w:rsidRPr="00E85915">
        <w:rPr>
          <w:lang w:val="fr-FR"/>
        </w:rPr>
        <w:t>.</w:t>
      </w:r>
    </w:p>
    <w:p w14:paraId="2A7B846D" w14:textId="4DB44082" w:rsidR="00F0742C" w:rsidRPr="00E85915" w:rsidRDefault="00F0742C" w:rsidP="003A303A">
      <w:pPr>
        <w:pStyle w:val="ONUMFS"/>
        <w:rPr>
          <w:lang w:val="fr-FR"/>
        </w:rPr>
      </w:pPr>
      <w:r w:rsidRPr="00E85915">
        <w:rPr>
          <w:lang w:val="fr-FR"/>
        </w:rPr>
        <w:lastRenderedPageBreak/>
        <w:t>Les activités de recrutement ont nécessité beaucoup de temps et d</w:t>
      </w:r>
      <w:r w:rsidR="00BF513F" w:rsidRPr="00E85915">
        <w:rPr>
          <w:lang w:val="fr-FR"/>
        </w:rPr>
        <w:t>’</w:t>
      </w:r>
      <w:r w:rsidRPr="00E85915">
        <w:rPr>
          <w:lang w:val="fr-FR"/>
        </w:rPr>
        <w:t>efforts, dans la mesure où le recrutement du chef de la Section de l</w:t>
      </w:r>
      <w:r w:rsidR="00BF513F" w:rsidRPr="00E85915">
        <w:rPr>
          <w:lang w:val="fr-FR"/>
        </w:rPr>
        <w:t>’</w:t>
      </w:r>
      <w:r w:rsidRPr="00E85915">
        <w:rPr>
          <w:lang w:val="fr-FR"/>
        </w:rPr>
        <w:t>évaluation, de l</w:t>
      </w:r>
      <w:r w:rsidR="00BF513F" w:rsidRPr="00E85915">
        <w:rPr>
          <w:lang w:val="fr-FR"/>
        </w:rPr>
        <w:t>’</w:t>
      </w:r>
      <w:r w:rsidRPr="00E85915">
        <w:rPr>
          <w:lang w:val="fr-FR"/>
        </w:rPr>
        <w:t>administrateur principal chargé de l</w:t>
      </w:r>
      <w:r w:rsidR="00BF513F" w:rsidRPr="00E85915">
        <w:rPr>
          <w:lang w:val="fr-FR"/>
        </w:rPr>
        <w:t>’</w:t>
      </w:r>
      <w:r w:rsidRPr="00E85915">
        <w:rPr>
          <w:lang w:val="fr-FR"/>
        </w:rPr>
        <w:t>évaluation et de l</w:t>
      </w:r>
      <w:r w:rsidR="00BF513F" w:rsidRPr="00E85915">
        <w:rPr>
          <w:lang w:val="fr-FR"/>
        </w:rPr>
        <w:t>’</w:t>
      </w:r>
      <w:r w:rsidRPr="00E85915">
        <w:rPr>
          <w:lang w:val="fr-FR"/>
        </w:rPr>
        <w:t xml:space="preserve">administrateur principal chargé des enquêtes a pris fin au début du mois de </w:t>
      </w:r>
      <w:r w:rsidR="00BF513F" w:rsidRPr="00E85915">
        <w:rPr>
          <w:lang w:val="fr-FR"/>
        </w:rPr>
        <w:t>janvier 20</w:t>
      </w:r>
      <w:r w:rsidRPr="00E85915">
        <w:rPr>
          <w:lang w:val="fr-FR"/>
        </w:rPr>
        <w:t>26.</w:t>
      </w:r>
    </w:p>
    <w:p w14:paraId="5F9410C7" w14:textId="6DE10C81" w:rsidR="00F0742C" w:rsidRPr="00E85915" w:rsidRDefault="00F0742C" w:rsidP="003A303A">
      <w:pPr>
        <w:pStyle w:val="ONUMFS"/>
        <w:rPr>
          <w:rFonts w:eastAsia="Arial"/>
          <w:color w:val="000000" w:themeColor="text1"/>
          <w:lang w:val="fr-FR"/>
        </w:rPr>
      </w:pPr>
      <w:r w:rsidRPr="00E85915">
        <w:rPr>
          <w:lang w:val="fr-FR"/>
        </w:rPr>
        <w:t>À l</w:t>
      </w:r>
      <w:r w:rsidR="00BF513F" w:rsidRPr="00E85915">
        <w:rPr>
          <w:lang w:val="fr-FR"/>
        </w:rPr>
        <w:t>’</w:t>
      </w:r>
      <w:r w:rsidRPr="00E85915">
        <w:rPr>
          <w:lang w:val="fr-FR"/>
        </w:rPr>
        <w:t>avenir, la DSI continuera de soutenir la réalisation des objectifs de l</w:t>
      </w:r>
      <w:r w:rsidR="00BF513F" w:rsidRPr="00E85915">
        <w:rPr>
          <w:lang w:val="fr-FR"/>
        </w:rPr>
        <w:t>’</w:t>
      </w:r>
      <w:r w:rsidRPr="00E85915">
        <w:rPr>
          <w:lang w:val="fr-FR"/>
        </w:rPr>
        <w:t>Organisation grâce à des missions visant à fournir une assurance, des conseils, un apprentissage et un soutien en matière de responsabilité, de justice interne et d</w:t>
      </w:r>
      <w:r w:rsidR="00BF513F" w:rsidRPr="00E85915">
        <w:rPr>
          <w:lang w:val="fr-FR"/>
        </w:rPr>
        <w:t>’</w:t>
      </w:r>
      <w:r w:rsidRPr="00E85915">
        <w:rPr>
          <w:lang w:val="fr-FR"/>
        </w:rPr>
        <w:t>intégrité.</w:t>
      </w:r>
    </w:p>
    <w:p w14:paraId="4E549190" w14:textId="77777777" w:rsidR="00F0742C" w:rsidRPr="00E85915" w:rsidRDefault="00F0742C" w:rsidP="00B321D5">
      <w:pPr>
        <w:pStyle w:val="Heading1"/>
      </w:pPr>
      <w:bookmarkStart w:id="15" w:name="_Toc39071246"/>
      <w:bookmarkStart w:id="16" w:name="_Toc227321799"/>
      <w:r w:rsidRPr="00E85915">
        <w:t>PRINCIPES DE PLANIFICATION</w:t>
      </w:r>
      <w:bookmarkEnd w:id="11"/>
      <w:bookmarkEnd w:id="12"/>
      <w:bookmarkEnd w:id="15"/>
      <w:bookmarkEnd w:id="16"/>
    </w:p>
    <w:p w14:paraId="1D61110A" w14:textId="2C8D41A4" w:rsidR="00F0742C" w:rsidRPr="00E85915" w:rsidRDefault="00F0742C" w:rsidP="003A303A">
      <w:pPr>
        <w:pStyle w:val="ONUMFS"/>
        <w:rPr>
          <w:lang w:val="fr-FR"/>
        </w:rPr>
      </w:pPr>
      <w:r w:rsidRPr="00E85915">
        <w:rPr>
          <w:lang w:val="fr-FR"/>
        </w:rPr>
        <w:t>Il a été tenu compte de plusieurs facteurs pour l</w:t>
      </w:r>
      <w:r w:rsidR="00BF513F" w:rsidRPr="00E85915">
        <w:rPr>
          <w:lang w:val="fr-FR"/>
        </w:rPr>
        <w:t>’</w:t>
      </w:r>
      <w:r w:rsidRPr="00E85915">
        <w:rPr>
          <w:lang w:val="fr-FR"/>
        </w:rPr>
        <w:t xml:space="preserve">établissement du programme de travail en matière de supervision </w:t>
      </w:r>
      <w:r w:rsidR="00BF513F" w:rsidRPr="00E85915">
        <w:rPr>
          <w:lang w:val="fr-FR"/>
        </w:rPr>
        <w:t>pour 2025</w:t>
      </w:r>
      <w:r w:rsidRPr="00E85915">
        <w:rPr>
          <w:lang w:val="fr-FR"/>
        </w:rPr>
        <w:t>, tels que l</w:t>
      </w:r>
      <w:r w:rsidR="00BF513F" w:rsidRPr="00E85915">
        <w:rPr>
          <w:lang w:val="fr-FR"/>
        </w:rPr>
        <w:t>’</w:t>
      </w:r>
      <w:r w:rsidRPr="00E85915">
        <w:rPr>
          <w:lang w:val="fr-FR"/>
        </w:rPr>
        <w:t>évaluation des risques, la pertinence, les analyses prospectives, le cycle de supervision et les observations présentées par la direction de l</w:t>
      </w:r>
      <w:r w:rsidR="00BF513F" w:rsidRPr="00E85915">
        <w:rPr>
          <w:lang w:val="fr-FR"/>
        </w:rPr>
        <w:t>’</w:t>
      </w:r>
      <w:r w:rsidRPr="00E85915">
        <w:rPr>
          <w:lang w:val="fr-FR"/>
        </w:rPr>
        <w:t>OMPI et par les États membr</w:t>
      </w:r>
      <w:r w:rsidR="00E85915" w:rsidRPr="00E85915">
        <w:rPr>
          <w:lang w:val="fr-FR"/>
        </w:rPr>
        <w:t>es.  Co</w:t>
      </w:r>
      <w:r w:rsidRPr="00E85915">
        <w:rPr>
          <w:lang w:val="fr-FR"/>
        </w:rPr>
        <w:t>nformément au paragraphe 30.a) de la Charte de la supervision interne, l</w:t>
      </w:r>
      <w:r w:rsidR="00BF513F" w:rsidRPr="00E85915">
        <w:rPr>
          <w:lang w:val="fr-FR"/>
        </w:rPr>
        <w:t>’</w:t>
      </w:r>
      <w:r w:rsidRPr="00E85915">
        <w:rPr>
          <w:lang w:val="fr-FR"/>
        </w:rPr>
        <w:t>OCIS a examiné et donné son avis sur le projet de programme avant sa finalisation.</w:t>
      </w:r>
    </w:p>
    <w:p w14:paraId="2FD76A4D" w14:textId="67F0AD27" w:rsidR="00F0742C" w:rsidRPr="00E85915" w:rsidRDefault="00F0742C" w:rsidP="003A303A">
      <w:pPr>
        <w:pStyle w:val="ONUMFS"/>
        <w:rPr>
          <w:lang w:val="fr-FR"/>
        </w:rPr>
      </w:pPr>
      <w:r w:rsidRPr="00E85915">
        <w:rPr>
          <w:lang w:val="fr-FR"/>
        </w:rPr>
        <w:t>Pour assurer une couverture efficace de la supervision tout en utilisant de manière rationnelle les ressources limitées à disposition et en évitant les éventuels chevauchements, les travaux effectués par le vérificateur externe des comptes et d</w:t>
      </w:r>
      <w:r w:rsidR="00BF513F" w:rsidRPr="00E85915">
        <w:rPr>
          <w:lang w:val="fr-FR"/>
        </w:rPr>
        <w:t>’</w:t>
      </w:r>
      <w:r w:rsidRPr="00E85915">
        <w:rPr>
          <w:lang w:val="fr-FR"/>
        </w:rPr>
        <w:t>autres organes de supervision, tels que le Corps commun d</w:t>
      </w:r>
      <w:r w:rsidR="00BF513F" w:rsidRPr="00E85915">
        <w:rPr>
          <w:lang w:val="fr-FR"/>
        </w:rPr>
        <w:t>’</w:t>
      </w:r>
      <w:r w:rsidRPr="00E85915">
        <w:rPr>
          <w:lang w:val="fr-FR"/>
        </w:rPr>
        <w:t>inspection, ainsi que les évaluations que le Comité du développement et de la propriété intellectuelle a fait réaliser, ont également été pris en considération.</w:t>
      </w:r>
    </w:p>
    <w:p w14:paraId="7615D241" w14:textId="77777777" w:rsidR="00F0742C" w:rsidRPr="00E85915" w:rsidRDefault="00F0742C" w:rsidP="00B321D5">
      <w:pPr>
        <w:pStyle w:val="Heading1"/>
      </w:pPr>
      <w:bookmarkStart w:id="17" w:name="_Toc420663567"/>
      <w:bookmarkStart w:id="18" w:name="_Toc39071247"/>
      <w:bookmarkStart w:id="19" w:name="_Toc227321800"/>
      <w:r w:rsidRPr="00E85915">
        <w:t>NORMES PROFESSIONNELLES</w:t>
      </w:r>
      <w:bookmarkEnd w:id="17"/>
      <w:bookmarkEnd w:id="18"/>
      <w:bookmarkEnd w:id="19"/>
    </w:p>
    <w:p w14:paraId="3E2FEFFD" w14:textId="2199C17B" w:rsidR="00F0742C" w:rsidRPr="00E85915" w:rsidRDefault="00F0742C" w:rsidP="003A303A">
      <w:pPr>
        <w:pStyle w:val="ONUMFS"/>
        <w:rPr>
          <w:lang w:val="fr-FR"/>
        </w:rPr>
      </w:pPr>
      <w:r w:rsidRPr="00E85915">
        <w:rPr>
          <w:lang w:val="fr-FR"/>
        </w:rPr>
        <w:t>Les activités d</w:t>
      </w:r>
      <w:r w:rsidR="00BF513F" w:rsidRPr="00E85915">
        <w:rPr>
          <w:lang w:val="fr-FR"/>
        </w:rPr>
        <w:t>’</w:t>
      </w:r>
      <w:r w:rsidRPr="00E85915">
        <w:rPr>
          <w:lang w:val="fr-FR"/>
        </w:rPr>
        <w:t>audit ont été menées conformément aux normes mondiales d</w:t>
      </w:r>
      <w:r w:rsidR="00BF513F" w:rsidRPr="00E85915">
        <w:rPr>
          <w:lang w:val="fr-FR"/>
        </w:rPr>
        <w:t>’</w:t>
      </w:r>
      <w:r w:rsidRPr="00E85915">
        <w:rPr>
          <w:lang w:val="fr-FR"/>
        </w:rPr>
        <w:t>audit interne publiées par l</w:t>
      </w:r>
      <w:r w:rsidR="00BF513F" w:rsidRPr="00E85915">
        <w:rPr>
          <w:lang w:val="fr-FR"/>
        </w:rPr>
        <w:t>’</w:t>
      </w:r>
      <w:r w:rsidRPr="00E85915">
        <w:rPr>
          <w:lang w:val="fr-FR"/>
        </w:rPr>
        <w:t>Institut des auditeurs internes (IIA) le 9 janvier 2024, avec une date d</w:t>
      </w:r>
      <w:r w:rsidR="00BF513F" w:rsidRPr="00E85915">
        <w:rPr>
          <w:lang w:val="fr-FR"/>
        </w:rPr>
        <w:t>’</w:t>
      </w:r>
      <w:r w:rsidRPr="00E85915">
        <w:rPr>
          <w:lang w:val="fr-FR"/>
        </w:rPr>
        <w:t>entrée en vigueur obligatoire au 9 </w:t>
      </w:r>
      <w:r w:rsidR="00BF513F" w:rsidRPr="00E85915">
        <w:rPr>
          <w:lang w:val="fr-FR"/>
        </w:rPr>
        <w:t>janvier 20</w:t>
      </w:r>
      <w:r w:rsidRPr="00E85915">
        <w:rPr>
          <w:lang w:val="fr-FR"/>
        </w:rPr>
        <w:t>25.</w:t>
      </w:r>
    </w:p>
    <w:p w14:paraId="501697CC" w14:textId="334DDAB3" w:rsidR="00F0742C" w:rsidRPr="00E85915" w:rsidRDefault="00F0742C" w:rsidP="003A303A">
      <w:pPr>
        <w:pStyle w:val="ONUMFS"/>
        <w:rPr>
          <w:lang w:val="fr-FR"/>
        </w:rPr>
      </w:pPr>
      <w:r w:rsidRPr="00E85915">
        <w:rPr>
          <w:lang w:val="fr-FR"/>
        </w:rPr>
        <w:t>Les missions d</w:t>
      </w:r>
      <w:r w:rsidR="00BF513F" w:rsidRPr="00E85915">
        <w:rPr>
          <w:lang w:val="fr-FR"/>
        </w:rPr>
        <w:t>’</w:t>
      </w:r>
      <w:r w:rsidRPr="00E85915">
        <w:rPr>
          <w:lang w:val="fr-FR"/>
        </w:rPr>
        <w:t>évaluation et les activités connexes ont été menées conformément aux normes internationales en matière de pratique d</w:t>
      </w:r>
      <w:r w:rsidR="00BF513F" w:rsidRPr="00E85915">
        <w:rPr>
          <w:lang w:val="fr-FR"/>
        </w:rPr>
        <w:t>’</w:t>
      </w:r>
      <w:r w:rsidRPr="00E85915">
        <w:rPr>
          <w:lang w:val="fr-FR"/>
        </w:rPr>
        <w:t xml:space="preserve">évaluation établies par le Groupe des </w:t>
      </w:r>
      <w:r w:rsidR="00BF513F" w:rsidRPr="00E85915">
        <w:rPr>
          <w:lang w:val="fr-FR"/>
        </w:rPr>
        <w:t>Nations Unies</w:t>
      </w:r>
      <w:r w:rsidRPr="00E85915">
        <w:rPr>
          <w:lang w:val="fr-FR"/>
        </w:rPr>
        <w:t xml:space="preserve"> sur l</w:t>
      </w:r>
      <w:r w:rsidR="00BF513F" w:rsidRPr="00E85915">
        <w:rPr>
          <w:lang w:val="fr-FR"/>
        </w:rPr>
        <w:t>’</w:t>
      </w:r>
      <w:r w:rsidRPr="00E85915">
        <w:rPr>
          <w:lang w:val="fr-FR"/>
        </w:rPr>
        <w:t>évaluation (GNUE).</w:t>
      </w:r>
    </w:p>
    <w:p w14:paraId="0DCA539D" w14:textId="2B3460FA" w:rsidR="00F0742C" w:rsidRPr="00E85915" w:rsidRDefault="00F0742C" w:rsidP="003A303A">
      <w:pPr>
        <w:pStyle w:val="ONUMFS"/>
        <w:rPr>
          <w:lang w:val="fr-FR"/>
        </w:rPr>
      </w:pPr>
      <w:r w:rsidRPr="00E85915">
        <w:rPr>
          <w:lang w:val="fr-FR"/>
        </w:rPr>
        <w:t>Le travail d</w:t>
      </w:r>
      <w:r w:rsidR="00BF513F" w:rsidRPr="00E85915">
        <w:rPr>
          <w:lang w:val="fr-FR"/>
        </w:rPr>
        <w:t>’</w:t>
      </w:r>
      <w:r w:rsidRPr="00E85915">
        <w:rPr>
          <w:lang w:val="fr-FR"/>
        </w:rPr>
        <w:t>enquête de</w:t>
      </w:r>
      <w:r w:rsidR="00BF513F" w:rsidRPr="00E85915">
        <w:rPr>
          <w:lang w:val="fr-FR"/>
        </w:rPr>
        <w:t xml:space="preserve"> la DSI</w:t>
      </w:r>
      <w:r w:rsidRPr="00E85915">
        <w:rPr>
          <w:lang w:val="fr-FR"/>
        </w:rPr>
        <w:t xml:space="preserve"> a été mené conformément aux principes et lignes directrices uniformes en matière d</w:t>
      </w:r>
      <w:r w:rsidR="00BF513F" w:rsidRPr="00E85915">
        <w:rPr>
          <w:lang w:val="fr-FR"/>
        </w:rPr>
        <w:t>’</w:t>
      </w:r>
      <w:r w:rsidRPr="00E85915">
        <w:rPr>
          <w:lang w:val="fr-FR"/>
        </w:rPr>
        <w:t>enquête adoptés par la Conférence des enquêteurs internationaux (CII).</w:t>
      </w:r>
    </w:p>
    <w:p w14:paraId="25F67418" w14:textId="77777777" w:rsidR="00F0742C" w:rsidRPr="00E85915" w:rsidRDefault="00F0742C" w:rsidP="00B321D5">
      <w:pPr>
        <w:pStyle w:val="Heading1"/>
      </w:pPr>
      <w:bookmarkStart w:id="20" w:name="_Toc420663568"/>
      <w:bookmarkStart w:id="21" w:name="_Toc39071248"/>
      <w:bookmarkStart w:id="22" w:name="_Toc227321801"/>
      <w:r w:rsidRPr="00E85915">
        <w:t>MISSIONS ASSORTIES DE RECOMMANDATIONS EN MATIÈRE DE SUPERVISION JUGÉES HAUTEMENT PRIORITAIRES</w:t>
      </w:r>
      <w:bookmarkEnd w:id="20"/>
      <w:bookmarkEnd w:id="21"/>
      <w:bookmarkEnd w:id="22"/>
    </w:p>
    <w:p w14:paraId="7AD09030" w14:textId="76E71123" w:rsidR="00F0742C" w:rsidRPr="00E85915" w:rsidRDefault="00F0742C" w:rsidP="003A303A">
      <w:pPr>
        <w:pStyle w:val="ONUMFS"/>
        <w:rPr>
          <w:lang w:val="fr-FR"/>
        </w:rPr>
      </w:pPr>
      <w:r w:rsidRPr="00E85915">
        <w:rPr>
          <w:lang w:val="fr-FR"/>
        </w:rPr>
        <w:t>Au cours de la période considérée, six</w:t>
      </w:r>
      <w:r w:rsidR="00FE72CE" w:rsidRPr="00E85915">
        <w:rPr>
          <w:lang w:val="fr-FR"/>
        </w:rPr>
        <w:t> </w:t>
      </w:r>
      <w:r w:rsidRPr="00E85915">
        <w:rPr>
          <w:lang w:val="fr-FR"/>
        </w:rPr>
        <w:t>missions ont donné lieu à 32 recommandations hautement prioritaires convenues avec la direction et régulièrement contrôlées par</w:t>
      </w:r>
      <w:r w:rsidR="00BF513F" w:rsidRPr="00E85915">
        <w:rPr>
          <w:lang w:val="fr-FR"/>
        </w:rPr>
        <w:t xml:space="preserve"> la </w:t>
      </w:r>
      <w:r w:rsidR="00E85915" w:rsidRPr="00E85915">
        <w:rPr>
          <w:lang w:val="fr-FR"/>
        </w:rPr>
        <w:t>DSI.  Ce</w:t>
      </w:r>
      <w:r w:rsidRPr="00E85915">
        <w:rPr>
          <w:lang w:val="fr-FR"/>
        </w:rPr>
        <w:t>s recommandations sont mises en évidence sous chaque mission pertinente dans les sections ci</w:t>
      </w:r>
      <w:r w:rsidR="0089008D">
        <w:rPr>
          <w:lang w:val="fr-FR"/>
        </w:rPr>
        <w:noBreakHyphen/>
      </w:r>
      <w:r w:rsidRPr="00E85915">
        <w:rPr>
          <w:lang w:val="fr-FR"/>
        </w:rPr>
        <w:t>après du présent rappo</w:t>
      </w:r>
      <w:r w:rsidR="00E85915" w:rsidRPr="00E85915">
        <w:rPr>
          <w:lang w:val="fr-FR"/>
        </w:rPr>
        <w:t>rt.  En</w:t>
      </w:r>
      <w:r w:rsidRPr="00E85915">
        <w:rPr>
          <w:lang w:val="fr-FR"/>
        </w:rPr>
        <w:t xml:space="preserve"> outre, une recommandation hautement prioritaire a découlé de la vérification externe des comptes </w:t>
      </w:r>
      <w:r w:rsidR="00BF513F" w:rsidRPr="00E85915">
        <w:rPr>
          <w:lang w:val="fr-FR"/>
        </w:rPr>
        <w:t>de 2025</w:t>
      </w:r>
      <w:r w:rsidRPr="00E85915">
        <w:rPr>
          <w:lang w:val="fr-FR"/>
        </w:rPr>
        <w:t>.</w:t>
      </w:r>
    </w:p>
    <w:p w14:paraId="2E38689D" w14:textId="77777777" w:rsidR="00F0742C" w:rsidRPr="00E85915" w:rsidRDefault="00F0742C" w:rsidP="00B321D5">
      <w:pPr>
        <w:pStyle w:val="Heading1"/>
      </w:pPr>
      <w:bookmarkStart w:id="23" w:name="_Toc227321802"/>
      <w:r w:rsidRPr="00E85915">
        <w:t>MISSIONS LANCÉES EN 2024 ET FIGURANT DANS LE RAPPORT DE 2025</w:t>
      </w:r>
      <w:bookmarkEnd w:id="23"/>
    </w:p>
    <w:p w14:paraId="45122D85" w14:textId="199FCDFF" w:rsidR="00F0742C" w:rsidRPr="00E85915" w:rsidRDefault="00F0742C" w:rsidP="00B321D5">
      <w:pPr>
        <w:pStyle w:val="Heading2"/>
      </w:pPr>
      <w:r w:rsidRPr="00E85915">
        <w:t>EXAMEN DE PRÉ</w:t>
      </w:r>
      <w:r w:rsidR="0089008D">
        <w:noBreakHyphen/>
      </w:r>
      <w:r w:rsidRPr="00E85915">
        <w:t>ÉVALUATION DE LA DIVISION POUR L</w:t>
      </w:r>
      <w:r w:rsidR="00BF513F" w:rsidRPr="00E85915">
        <w:t>’</w:t>
      </w:r>
      <w:r w:rsidRPr="00E85915">
        <w:t>AMÉRIQUE LATINE ET LES CARAÏBES (EVAL 2024</w:t>
      </w:r>
      <w:r w:rsidR="0089008D">
        <w:noBreakHyphen/>
      </w:r>
      <w:r w:rsidRPr="00E85915">
        <w:t>07)</w:t>
      </w:r>
    </w:p>
    <w:p w14:paraId="600A633E" w14:textId="5A7BDC12" w:rsidR="00BF513F" w:rsidRPr="00E85915" w:rsidRDefault="00F0742C" w:rsidP="003A303A">
      <w:pPr>
        <w:pStyle w:val="ONUMFS"/>
        <w:rPr>
          <w:lang w:val="fr-FR"/>
        </w:rPr>
      </w:pPr>
      <w:r w:rsidRPr="00E85915">
        <w:rPr>
          <w:lang w:val="fr-FR"/>
        </w:rPr>
        <w:t>L</w:t>
      </w:r>
      <w:r w:rsidR="00BF513F" w:rsidRPr="00E85915">
        <w:rPr>
          <w:lang w:val="fr-FR"/>
        </w:rPr>
        <w:t>’</w:t>
      </w:r>
      <w:r w:rsidRPr="00E85915">
        <w:rPr>
          <w:lang w:val="fr-FR"/>
        </w:rPr>
        <w:t>examen de pré</w:t>
      </w:r>
      <w:r w:rsidR="0089008D">
        <w:rPr>
          <w:lang w:val="fr-FR"/>
        </w:rPr>
        <w:noBreakHyphen/>
      </w:r>
      <w:r w:rsidRPr="00E85915">
        <w:rPr>
          <w:lang w:val="fr-FR"/>
        </w:rPr>
        <w:t xml:space="preserve">évaluation, effectué entre le début du mois de </w:t>
      </w:r>
      <w:r w:rsidR="00BF513F" w:rsidRPr="00E85915">
        <w:rPr>
          <w:lang w:val="fr-FR"/>
        </w:rPr>
        <w:t>novembre 20</w:t>
      </w:r>
      <w:r w:rsidRPr="00E85915">
        <w:rPr>
          <w:lang w:val="fr-FR"/>
        </w:rPr>
        <w:t>24 et la mi</w:t>
      </w:r>
      <w:r w:rsidR="0089008D">
        <w:rPr>
          <w:lang w:val="fr-FR"/>
        </w:rPr>
        <w:noBreakHyphen/>
      </w:r>
      <w:r w:rsidRPr="00E85915">
        <w:rPr>
          <w:lang w:val="fr-FR"/>
        </w:rPr>
        <w:t>mars 2025, a permis d</w:t>
      </w:r>
      <w:r w:rsidR="00BF513F" w:rsidRPr="00E85915">
        <w:rPr>
          <w:lang w:val="fr-FR"/>
        </w:rPr>
        <w:t>’</w:t>
      </w:r>
      <w:r w:rsidRPr="00E85915">
        <w:rPr>
          <w:lang w:val="fr-FR"/>
        </w:rPr>
        <w:t>évaluer les activités menées par la Division pour l</w:t>
      </w:r>
      <w:r w:rsidR="00BF513F" w:rsidRPr="00E85915">
        <w:rPr>
          <w:lang w:val="fr-FR"/>
        </w:rPr>
        <w:t>’</w:t>
      </w:r>
      <w:r w:rsidRPr="00E85915">
        <w:rPr>
          <w:lang w:val="fr-FR"/>
        </w:rPr>
        <w:t xml:space="preserve">Amérique latine et les Caraïbes </w:t>
      </w:r>
      <w:r w:rsidR="00BF513F" w:rsidRPr="00E85915">
        <w:rPr>
          <w:lang w:val="fr-FR"/>
        </w:rPr>
        <w:t>en 2024</w:t>
      </w:r>
      <w:r w:rsidRPr="00E85915">
        <w:rPr>
          <w:lang w:val="fr-FR"/>
        </w:rPr>
        <w:t>, afin de déterminer s</w:t>
      </w:r>
      <w:r w:rsidR="00BF513F" w:rsidRPr="00E85915">
        <w:rPr>
          <w:lang w:val="fr-FR"/>
        </w:rPr>
        <w:t>’</w:t>
      </w:r>
      <w:r w:rsidRPr="00E85915">
        <w:rPr>
          <w:lang w:val="fr-FR"/>
        </w:rPr>
        <w:t>il était opportun de procéder à une évaluation complè</w:t>
      </w:r>
      <w:r w:rsidR="00E85915" w:rsidRPr="00E85915">
        <w:rPr>
          <w:lang w:val="fr-FR"/>
        </w:rPr>
        <w:t>te.  Ce</w:t>
      </w:r>
      <w:r w:rsidRPr="00E85915">
        <w:rPr>
          <w:lang w:val="fr-FR"/>
        </w:rPr>
        <w:t>t examen s</w:t>
      </w:r>
      <w:r w:rsidR="00BF513F" w:rsidRPr="00E85915">
        <w:rPr>
          <w:lang w:val="fr-FR"/>
        </w:rPr>
        <w:t>’</w:t>
      </w:r>
      <w:r w:rsidRPr="00E85915">
        <w:rPr>
          <w:lang w:val="fr-FR"/>
        </w:rPr>
        <w:t xml:space="preserve">est intéressé au contexte économique, démographique et en matière </w:t>
      </w:r>
      <w:r w:rsidRPr="00E85915">
        <w:rPr>
          <w:lang w:val="fr-FR"/>
        </w:rPr>
        <w:lastRenderedPageBreak/>
        <w:t>de propriété intellectuelle de la région Amérique latine et Caraïbes, en s</w:t>
      </w:r>
      <w:r w:rsidR="00BF513F" w:rsidRPr="00E85915">
        <w:rPr>
          <w:lang w:val="fr-FR"/>
        </w:rPr>
        <w:t>’</w:t>
      </w:r>
      <w:r w:rsidRPr="00E85915">
        <w:rPr>
          <w:lang w:val="fr-FR"/>
        </w:rPr>
        <w:t>appuyant sur des données accessibles au public provenant de la Banque mondiale, du Fonds monétaire international et d</w:t>
      </w:r>
      <w:r w:rsidR="00BF513F" w:rsidRPr="00E85915">
        <w:rPr>
          <w:lang w:val="fr-FR"/>
        </w:rPr>
        <w:t>’</w:t>
      </w:r>
      <w:r w:rsidRPr="00E85915">
        <w:rPr>
          <w:lang w:val="fr-FR"/>
        </w:rPr>
        <w:t>autres sources, ainsi que sur les statistiques de l</w:t>
      </w:r>
      <w:r w:rsidR="00BF513F" w:rsidRPr="00E85915">
        <w:rPr>
          <w:lang w:val="fr-FR"/>
        </w:rPr>
        <w:t>’</w:t>
      </w:r>
      <w:r w:rsidRPr="00E85915">
        <w:rPr>
          <w:lang w:val="fr-FR"/>
        </w:rPr>
        <w:t>OMPI concernant les dépôts de demandes internationales de brevets et de demandes d</w:t>
      </w:r>
      <w:r w:rsidR="00BF513F" w:rsidRPr="00E85915">
        <w:rPr>
          <w:lang w:val="fr-FR"/>
        </w:rPr>
        <w:t>’</w:t>
      </w:r>
      <w:r w:rsidRPr="00E85915">
        <w:rPr>
          <w:lang w:val="fr-FR"/>
        </w:rPr>
        <w:t>enregistrement de marqu</w:t>
      </w:r>
      <w:r w:rsidR="00E85915" w:rsidRPr="00E85915">
        <w:rPr>
          <w:lang w:val="fr-FR"/>
        </w:rPr>
        <w:t>es.  Ce</w:t>
      </w:r>
      <w:r w:rsidRPr="00E85915">
        <w:rPr>
          <w:lang w:val="fr-FR"/>
        </w:rPr>
        <w:t>tte initiative a également permis d</w:t>
      </w:r>
      <w:r w:rsidR="00BF513F" w:rsidRPr="00E85915">
        <w:rPr>
          <w:lang w:val="fr-FR"/>
        </w:rPr>
        <w:t>’</w:t>
      </w:r>
      <w:r w:rsidRPr="00E85915">
        <w:rPr>
          <w:lang w:val="fr-FR"/>
        </w:rPr>
        <w:t>analyser les principaux défis et les principales possibilités en matière de propriété intellectuelle dans les États membres de la région Amérique latine et Caraïbes, en s</w:t>
      </w:r>
      <w:r w:rsidR="00BF513F" w:rsidRPr="00E85915">
        <w:rPr>
          <w:lang w:val="fr-FR"/>
        </w:rPr>
        <w:t>’</w:t>
      </w:r>
      <w:r w:rsidRPr="00E85915">
        <w:rPr>
          <w:lang w:val="fr-FR"/>
        </w:rPr>
        <w:t>appuyant sur des sources accessibles au public et sur la section de l</w:t>
      </w:r>
      <w:r w:rsidR="00BF513F" w:rsidRPr="00E85915">
        <w:rPr>
          <w:lang w:val="fr-FR"/>
        </w:rPr>
        <w:t>’</w:t>
      </w:r>
      <w:r w:rsidRPr="00E85915">
        <w:rPr>
          <w:lang w:val="fr-FR"/>
        </w:rPr>
        <w:t>Indice mondial de l</w:t>
      </w:r>
      <w:r w:rsidR="00BF513F" w:rsidRPr="00E85915">
        <w:rPr>
          <w:lang w:val="fr-FR"/>
        </w:rPr>
        <w:t>’</w:t>
      </w:r>
      <w:r w:rsidRPr="00E85915">
        <w:rPr>
          <w:lang w:val="fr-FR"/>
        </w:rPr>
        <w:t>innovation 2024 consacrée à la région Amérique latine et Caraïb</w:t>
      </w:r>
      <w:r w:rsidR="00E85915" w:rsidRPr="00E85915">
        <w:rPr>
          <w:lang w:val="fr-FR"/>
        </w:rPr>
        <w:t>es.  Le</w:t>
      </w:r>
      <w:r w:rsidRPr="00E85915">
        <w:rPr>
          <w:lang w:val="fr-FR"/>
        </w:rPr>
        <w:t xml:space="preserve"> soutien technique fourni par la Division pour l</w:t>
      </w:r>
      <w:r w:rsidR="00BF513F" w:rsidRPr="00E85915">
        <w:rPr>
          <w:lang w:val="fr-FR"/>
        </w:rPr>
        <w:t>’</w:t>
      </w:r>
      <w:r w:rsidRPr="00E85915">
        <w:rPr>
          <w:lang w:val="fr-FR"/>
        </w:rPr>
        <w:t>Amérique latine et les Caraïbes a été examiné parallèlement aux défis et aux possibilités dans la région, ainsi qu</w:t>
      </w:r>
      <w:r w:rsidR="00BF513F" w:rsidRPr="00E85915">
        <w:rPr>
          <w:lang w:val="fr-FR"/>
        </w:rPr>
        <w:t>’</w:t>
      </w:r>
      <w:r w:rsidRPr="00E85915">
        <w:rPr>
          <w:lang w:val="fr-FR"/>
        </w:rPr>
        <w:t>aux besoins exprimés, dans le cadre du processus de planification des tâches.</w:t>
      </w:r>
    </w:p>
    <w:p w14:paraId="0D71A9F9" w14:textId="5E51DD20" w:rsidR="00F0742C" w:rsidRPr="00E85915" w:rsidRDefault="00F0742C" w:rsidP="003A303A">
      <w:pPr>
        <w:pStyle w:val="ONUMFS"/>
        <w:rPr>
          <w:lang w:val="fr-FR"/>
        </w:rPr>
      </w:pPr>
      <w:r w:rsidRPr="00E85915">
        <w:rPr>
          <w:lang w:val="fr-FR"/>
        </w:rPr>
        <w:t>L</w:t>
      </w:r>
      <w:r w:rsidR="00BF513F" w:rsidRPr="00E85915">
        <w:rPr>
          <w:lang w:val="fr-FR"/>
        </w:rPr>
        <w:t>’</w:t>
      </w:r>
      <w:r w:rsidRPr="00E85915">
        <w:rPr>
          <w:lang w:val="fr-FR"/>
        </w:rPr>
        <w:t>examen de pré</w:t>
      </w:r>
      <w:r w:rsidR="0089008D">
        <w:rPr>
          <w:lang w:val="fr-FR"/>
        </w:rPr>
        <w:noBreakHyphen/>
      </w:r>
      <w:r w:rsidRPr="00E85915">
        <w:rPr>
          <w:lang w:val="fr-FR"/>
        </w:rPr>
        <w:t>évaluation a indiqué que la Division pour l</w:t>
      </w:r>
      <w:r w:rsidR="00BF513F" w:rsidRPr="00E85915">
        <w:rPr>
          <w:lang w:val="fr-FR"/>
        </w:rPr>
        <w:t>’</w:t>
      </w:r>
      <w:r w:rsidRPr="00E85915">
        <w:rPr>
          <w:lang w:val="fr-FR"/>
        </w:rPr>
        <w:t>Amérique latine et les Caraïbes menait des initiatives couvrant l</w:t>
      </w:r>
      <w:r w:rsidR="00BF513F" w:rsidRPr="00E85915">
        <w:rPr>
          <w:lang w:val="fr-FR"/>
        </w:rPr>
        <w:t>’</w:t>
      </w:r>
      <w:r w:rsidRPr="00E85915">
        <w:rPr>
          <w:lang w:val="fr-FR"/>
        </w:rPr>
        <w:t>ensemble des critères d</w:t>
      </w:r>
      <w:r w:rsidR="00BF513F" w:rsidRPr="00E85915">
        <w:rPr>
          <w:lang w:val="fr-FR"/>
        </w:rPr>
        <w:t>’</w:t>
      </w:r>
      <w:r w:rsidRPr="00E85915">
        <w:rPr>
          <w:lang w:val="fr-FR"/>
        </w:rPr>
        <w:t>évaluation</w:t>
      </w:r>
      <w:r w:rsidR="00BF513F" w:rsidRPr="00E85915">
        <w:rPr>
          <w:lang w:val="fr-FR"/>
        </w:rPr>
        <w:t> :</w:t>
      </w:r>
      <w:r w:rsidRPr="00E85915">
        <w:rPr>
          <w:lang w:val="fr-FR"/>
        </w:rPr>
        <w:t xml:space="preserve"> pertinence, durabilité, impact, efficacité et efficien</w:t>
      </w:r>
      <w:r w:rsidR="00E85915" w:rsidRPr="00E85915">
        <w:rPr>
          <w:lang w:val="fr-FR"/>
        </w:rPr>
        <w:t>ce.  Co</w:t>
      </w:r>
      <w:r w:rsidRPr="00E85915">
        <w:rPr>
          <w:lang w:val="fr-FR"/>
        </w:rPr>
        <w:t>mpte tenu des conclusions de cet examen, aucune évaluation complète n</w:t>
      </w:r>
      <w:r w:rsidR="00BF513F" w:rsidRPr="00E85915">
        <w:rPr>
          <w:lang w:val="fr-FR"/>
        </w:rPr>
        <w:t>’</w:t>
      </w:r>
      <w:r w:rsidRPr="00E85915">
        <w:rPr>
          <w:lang w:val="fr-FR"/>
        </w:rPr>
        <w:t xml:space="preserve">a été réalisée </w:t>
      </w:r>
      <w:r w:rsidR="00BF513F" w:rsidRPr="00E85915">
        <w:rPr>
          <w:lang w:val="fr-FR"/>
        </w:rPr>
        <w:t>en 2025</w:t>
      </w:r>
      <w:r w:rsidRPr="00E85915">
        <w:rPr>
          <w:lang w:val="fr-FR"/>
        </w:rPr>
        <w:t>.  La Division pour l</w:t>
      </w:r>
      <w:r w:rsidR="00BF513F" w:rsidRPr="00E85915">
        <w:rPr>
          <w:lang w:val="fr-FR"/>
        </w:rPr>
        <w:t>’</w:t>
      </w:r>
      <w:r w:rsidRPr="00E85915">
        <w:rPr>
          <w:lang w:val="fr-FR"/>
        </w:rPr>
        <w:t>Amérique latine et les Caraïbes a néanmoins été encouragée à renforcer davantage ses pratiques en matière de suivi et d</w:t>
      </w:r>
      <w:r w:rsidR="00BF513F" w:rsidRPr="00E85915">
        <w:rPr>
          <w:lang w:val="fr-FR"/>
        </w:rPr>
        <w:t>’</w:t>
      </w:r>
      <w:r w:rsidRPr="00E85915">
        <w:rPr>
          <w:lang w:val="fr-FR"/>
        </w:rPr>
        <w:t>évaluation, à améliorer la communication et la diffusion des résultats de ses activités et, en coordination avec les secteurs d</w:t>
      </w:r>
      <w:r w:rsidR="00BF513F" w:rsidRPr="00E85915">
        <w:rPr>
          <w:lang w:val="fr-FR"/>
        </w:rPr>
        <w:t>’</w:t>
      </w:r>
      <w:r w:rsidRPr="00E85915">
        <w:rPr>
          <w:lang w:val="fr-FR"/>
        </w:rPr>
        <w:t>activité concernés de l</w:t>
      </w:r>
      <w:r w:rsidR="00BF513F" w:rsidRPr="00E85915">
        <w:rPr>
          <w:lang w:val="fr-FR"/>
        </w:rPr>
        <w:t>’</w:t>
      </w:r>
      <w:r w:rsidRPr="00E85915">
        <w:rPr>
          <w:lang w:val="fr-FR"/>
        </w:rPr>
        <w:t>OMPI, à intensifier sa collaboration avec les entreprises et les entrepreneurs afin de contribuer à faire progresser le nombre de dépôts de demandes de titres de propriété intellectuelle dans la région.</w:t>
      </w:r>
    </w:p>
    <w:p w14:paraId="5C92748C" w14:textId="77777777" w:rsidR="00F0742C" w:rsidRPr="00E85915" w:rsidRDefault="00F0742C" w:rsidP="00B321D5">
      <w:pPr>
        <w:pStyle w:val="Heading1"/>
      </w:pPr>
      <w:bookmarkStart w:id="24" w:name="_Toc227321803"/>
      <w:r w:rsidRPr="00E85915">
        <w:t>MISSIONS LANCÉES ET FIGURANT DANS LE RAPPORT DE 2025</w:t>
      </w:r>
      <w:bookmarkStart w:id="25" w:name="_Audit_of_the"/>
      <w:bookmarkEnd w:id="24"/>
      <w:bookmarkEnd w:id="25"/>
    </w:p>
    <w:p w14:paraId="798DF673" w14:textId="03820C93" w:rsidR="00F0742C" w:rsidRPr="00E85915" w:rsidRDefault="00B321D5" w:rsidP="00B321D5">
      <w:pPr>
        <w:pStyle w:val="Heading2"/>
      </w:pPr>
      <w:r w:rsidRPr="00E85915">
        <w:t>APPRÉCIATION DE LA VULNÉRABILITÉ ET AUDIT DE SÉCURITÉ DE TYPE “BOÎTE NOIRE” POUR E</w:t>
      </w:r>
      <w:r>
        <w:noBreakHyphen/>
      </w:r>
      <w:r w:rsidRPr="00E85915">
        <w:t>DOSSIER ET WORLD SERVER (IA 2025</w:t>
      </w:r>
      <w:r>
        <w:noBreakHyphen/>
      </w:r>
      <w:r w:rsidRPr="00E85915">
        <w:t>01)</w:t>
      </w:r>
    </w:p>
    <w:p w14:paraId="2E549296" w14:textId="7656C80B" w:rsidR="00BF513F" w:rsidRPr="00E85915" w:rsidRDefault="00F0742C" w:rsidP="003A303A">
      <w:pPr>
        <w:pStyle w:val="ONUMFS"/>
        <w:rPr>
          <w:lang w:val="fr-FR"/>
        </w:rPr>
      </w:pPr>
      <w:r w:rsidRPr="00E85915">
        <w:rPr>
          <w:lang w:val="fr-FR"/>
        </w:rPr>
        <w:t>L</w:t>
      </w:r>
      <w:r w:rsidR="00BF513F" w:rsidRPr="00E85915">
        <w:rPr>
          <w:lang w:val="fr-FR"/>
        </w:rPr>
        <w:t>’</w:t>
      </w:r>
      <w:r w:rsidRPr="00E85915">
        <w:rPr>
          <w:lang w:val="fr-FR"/>
        </w:rPr>
        <w:t>objectif de cet audit était de réaliser une évaluation complète des vulnérabilités ainsi que des tests d</w:t>
      </w:r>
      <w:r w:rsidR="00BF513F" w:rsidRPr="00E85915">
        <w:rPr>
          <w:lang w:val="fr-FR"/>
        </w:rPr>
        <w:t>’</w:t>
      </w:r>
      <w:r w:rsidRPr="00E85915">
        <w:rPr>
          <w:lang w:val="fr-FR"/>
        </w:rPr>
        <w:t>intrusion “boîte noire” sur les plateformes eDossier et World Server de l</w:t>
      </w:r>
      <w:r w:rsidR="00BF513F" w:rsidRPr="00E85915">
        <w:rPr>
          <w:lang w:val="fr-FR"/>
        </w:rPr>
        <w:t>’</w:t>
      </w:r>
      <w:r w:rsidRPr="00E85915">
        <w:rPr>
          <w:lang w:val="fr-FR"/>
        </w:rPr>
        <w:t>OMPI.  L</w:t>
      </w:r>
      <w:r w:rsidR="00BF513F" w:rsidRPr="00E85915">
        <w:rPr>
          <w:lang w:val="fr-FR"/>
        </w:rPr>
        <w:t>’</w:t>
      </w:r>
      <w:r w:rsidRPr="00E85915">
        <w:rPr>
          <w:lang w:val="fr-FR"/>
        </w:rPr>
        <w:t>audit comprenait un test de pénétration externe de type “boîte noire”, des analyses de vulnérabilité, un audit de configuration et des activités d</w:t>
      </w:r>
      <w:r w:rsidR="00BF513F" w:rsidRPr="00E85915">
        <w:rPr>
          <w:lang w:val="fr-FR"/>
        </w:rPr>
        <w:t>’</w:t>
      </w:r>
      <w:r w:rsidRPr="00E85915">
        <w:rPr>
          <w:lang w:val="fr-FR"/>
        </w:rPr>
        <w:t>ingénierie sociale.</w:t>
      </w:r>
    </w:p>
    <w:p w14:paraId="37358FB3" w14:textId="3A96656E" w:rsidR="00F0742C" w:rsidRPr="00E85915" w:rsidRDefault="00F0742C" w:rsidP="003A303A">
      <w:pPr>
        <w:pStyle w:val="ONUMFS"/>
        <w:rPr>
          <w:lang w:val="fr-FR"/>
        </w:rPr>
      </w:pPr>
      <w:r w:rsidRPr="00E85915">
        <w:rPr>
          <w:lang w:val="fr-FR"/>
        </w:rPr>
        <w:t>La situation en matière de sécurité de l</w:t>
      </w:r>
      <w:r w:rsidR="00BF513F" w:rsidRPr="00E85915">
        <w:rPr>
          <w:lang w:val="fr-FR"/>
        </w:rPr>
        <w:t>’</w:t>
      </w:r>
      <w:r w:rsidRPr="00E85915">
        <w:rPr>
          <w:lang w:val="fr-FR"/>
        </w:rPr>
        <w:t>environnement soumis à l</w:t>
      </w:r>
      <w:r w:rsidR="00BF513F" w:rsidRPr="00E85915">
        <w:rPr>
          <w:lang w:val="fr-FR"/>
        </w:rPr>
        <w:t>’</w:t>
      </w:r>
      <w:r w:rsidRPr="00E85915">
        <w:rPr>
          <w:lang w:val="fr-FR"/>
        </w:rPr>
        <w:t>audit, face aux menaces externes, a été jugée “satisfaisante”, soit une note de cinq</w:t>
      </w:r>
      <w:r w:rsidR="00FE72CE" w:rsidRPr="00E85915">
        <w:rPr>
          <w:lang w:val="fr-FR"/>
        </w:rPr>
        <w:t> </w:t>
      </w:r>
      <w:r w:rsidRPr="00E85915">
        <w:rPr>
          <w:lang w:val="fr-FR"/>
        </w:rPr>
        <w:t>sur une échelle de s</w:t>
      </w:r>
      <w:r w:rsidR="00E85915" w:rsidRPr="00E85915">
        <w:rPr>
          <w:lang w:val="fr-FR"/>
        </w:rPr>
        <w:t>ix.  Du</w:t>
      </w:r>
      <w:r w:rsidRPr="00E85915">
        <w:rPr>
          <w:lang w:val="fr-FR"/>
        </w:rPr>
        <w:t xml:space="preserve"> point de vue des menaces internes, le niveau de sécurité des éléments soumis à l</w:t>
      </w:r>
      <w:r w:rsidR="00BF513F" w:rsidRPr="00E85915">
        <w:rPr>
          <w:lang w:val="fr-FR"/>
        </w:rPr>
        <w:t>’</w:t>
      </w:r>
      <w:r w:rsidRPr="00E85915">
        <w:rPr>
          <w:lang w:val="fr-FR"/>
        </w:rPr>
        <w:t>audit a été évalué comme “modéré à élevé”, ce qui correspond à la note de quatre</w:t>
      </w:r>
      <w:r w:rsidR="00FE72CE" w:rsidRPr="00E85915">
        <w:rPr>
          <w:lang w:val="fr-FR"/>
        </w:rPr>
        <w:t> </w:t>
      </w:r>
      <w:r w:rsidRPr="00E85915">
        <w:rPr>
          <w:lang w:val="fr-FR"/>
        </w:rPr>
        <w:t>sur une échelle de six.</w:t>
      </w:r>
    </w:p>
    <w:p w14:paraId="1CD68904" w14:textId="53B79F70" w:rsidR="00F0742C" w:rsidRPr="00E85915" w:rsidRDefault="00F0742C" w:rsidP="003A303A">
      <w:pPr>
        <w:pStyle w:val="ONUMFS"/>
        <w:rPr>
          <w:lang w:val="fr-FR"/>
        </w:rPr>
      </w:pPr>
      <w:r w:rsidRPr="00E85915">
        <w:rPr>
          <w:lang w:val="fr-FR"/>
        </w:rPr>
        <w:t>Trente</w:t>
      </w:r>
      <w:r w:rsidR="0089008D">
        <w:rPr>
          <w:lang w:val="fr-FR"/>
        </w:rPr>
        <w:noBreakHyphen/>
      </w:r>
      <w:r w:rsidRPr="00E85915">
        <w:rPr>
          <w:lang w:val="fr-FR"/>
        </w:rPr>
        <w:t>deux recommandations ont été formulées, dont 14 hautement prioritaires, 10 moyennement prioritaires et huit</w:t>
      </w:r>
      <w:r w:rsidR="00FE72CE" w:rsidRPr="00E85915">
        <w:rPr>
          <w:lang w:val="fr-FR"/>
        </w:rPr>
        <w:t> </w:t>
      </w:r>
      <w:r w:rsidRPr="00E85915">
        <w:rPr>
          <w:lang w:val="fr-FR"/>
        </w:rPr>
        <w:t>faiblement prioritair</w:t>
      </w:r>
      <w:r w:rsidR="00E85915" w:rsidRPr="00E85915">
        <w:rPr>
          <w:lang w:val="fr-FR"/>
        </w:rPr>
        <w:t>es.  Le</w:t>
      </w:r>
      <w:r w:rsidRPr="00E85915">
        <w:rPr>
          <w:lang w:val="fr-FR"/>
        </w:rPr>
        <w:t>s recommandations hautement prioritaires portaient principalement sur le renforcement de la sécurité du système grâce à l</w:t>
      </w:r>
      <w:r w:rsidR="00BF513F" w:rsidRPr="00E85915">
        <w:rPr>
          <w:lang w:val="fr-FR"/>
        </w:rPr>
        <w:t>’</w:t>
      </w:r>
      <w:r w:rsidRPr="00E85915">
        <w:rPr>
          <w:lang w:val="fr-FR"/>
        </w:rPr>
        <w:t>amélioration des contrôles d</w:t>
      </w:r>
      <w:r w:rsidR="00BF513F" w:rsidRPr="00E85915">
        <w:rPr>
          <w:lang w:val="fr-FR"/>
        </w:rPr>
        <w:t>’</w:t>
      </w:r>
      <w:r w:rsidRPr="00E85915">
        <w:rPr>
          <w:lang w:val="fr-FR"/>
        </w:rPr>
        <w:t>accès, de l</w:t>
      </w:r>
      <w:r w:rsidR="00BF513F" w:rsidRPr="00E85915">
        <w:rPr>
          <w:lang w:val="fr-FR"/>
        </w:rPr>
        <w:t>’</w:t>
      </w:r>
      <w:r w:rsidRPr="00E85915">
        <w:rPr>
          <w:lang w:val="fr-FR"/>
        </w:rPr>
        <w:t>authentification, de la gestion des comptes et de la mise à jour des logiciels.</w:t>
      </w:r>
    </w:p>
    <w:p w14:paraId="6D5320C3" w14:textId="71E32669" w:rsidR="00F0742C" w:rsidRPr="00E85915" w:rsidRDefault="00F0742C" w:rsidP="003A303A">
      <w:pPr>
        <w:pStyle w:val="ONUMFS"/>
        <w:rPr>
          <w:lang w:val="fr-FR"/>
        </w:rPr>
      </w:pPr>
      <w:r w:rsidRPr="00E85915">
        <w:rPr>
          <w:lang w:val="fr-FR"/>
        </w:rPr>
        <w:t>La conclusion générale de l</w:t>
      </w:r>
      <w:r w:rsidR="00BF513F" w:rsidRPr="00E85915">
        <w:rPr>
          <w:lang w:val="fr-FR"/>
        </w:rPr>
        <w:t>’</w:t>
      </w:r>
      <w:r w:rsidRPr="00E85915">
        <w:rPr>
          <w:lang w:val="fr-FR"/>
        </w:rPr>
        <w:t>examen était “Satisfaisant, nécessitant quelques améliorations”.</w:t>
      </w:r>
    </w:p>
    <w:p w14:paraId="291CCF87" w14:textId="47C79A7B" w:rsidR="00F0742C" w:rsidRPr="00E85915" w:rsidRDefault="00F0742C" w:rsidP="00B321D5">
      <w:pPr>
        <w:pStyle w:val="Heading2"/>
      </w:pPr>
      <w:r w:rsidRPr="00E85915">
        <w:t>Audit interne du Service d</w:t>
      </w:r>
      <w:r w:rsidR="00BF513F" w:rsidRPr="00E85915">
        <w:t>’</w:t>
      </w:r>
      <w:r w:rsidRPr="00E85915">
        <w:t xml:space="preserve">enregistrement de </w:t>
      </w:r>
      <w:r w:rsidR="00BF513F" w:rsidRPr="00E85915">
        <w:t>La Haye</w:t>
      </w:r>
      <w:r w:rsidRPr="00E85915">
        <w:t xml:space="preserve"> (IA 2025</w:t>
      </w:r>
      <w:r w:rsidR="0089008D">
        <w:noBreakHyphen/>
      </w:r>
      <w:r w:rsidRPr="00E85915">
        <w:t>03)</w:t>
      </w:r>
    </w:p>
    <w:p w14:paraId="51523D17" w14:textId="5C96967E" w:rsidR="00F0742C" w:rsidRPr="00E85915" w:rsidRDefault="00F0742C" w:rsidP="003A303A">
      <w:pPr>
        <w:pStyle w:val="ONUMFS"/>
        <w:rPr>
          <w:lang w:val="fr-FR"/>
        </w:rPr>
      </w:pPr>
      <w:r w:rsidRPr="00E85915">
        <w:rPr>
          <w:lang w:val="fr-FR"/>
        </w:rPr>
        <w:t>L</w:t>
      </w:r>
      <w:r w:rsidR="00BF513F" w:rsidRPr="00E85915">
        <w:rPr>
          <w:lang w:val="fr-FR"/>
        </w:rPr>
        <w:t>’</w:t>
      </w:r>
      <w:r w:rsidRPr="00E85915">
        <w:rPr>
          <w:lang w:val="fr-FR"/>
        </w:rPr>
        <w:t>audit du Service d</w:t>
      </w:r>
      <w:r w:rsidR="00BF513F" w:rsidRPr="00E85915">
        <w:rPr>
          <w:lang w:val="fr-FR"/>
        </w:rPr>
        <w:t>’</w:t>
      </w:r>
      <w:r w:rsidRPr="00E85915">
        <w:rPr>
          <w:lang w:val="fr-FR"/>
        </w:rPr>
        <w:t xml:space="preserve">enregistrement de </w:t>
      </w:r>
      <w:r w:rsidR="00BF513F" w:rsidRPr="00E85915">
        <w:rPr>
          <w:lang w:val="fr-FR"/>
        </w:rPr>
        <w:t>La Haye</w:t>
      </w:r>
      <w:r w:rsidRPr="00E85915">
        <w:rPr>
          <w:lang w:val="fr-FR"/>
        </w:rPr>
        <w:t xml:space="preserve"> a porté sur la gouvernance en ce qui concerne l</w:t>
      </w:r>
      <w:r w:rsidR="00BF513F" w:rsidRPr="00E85915">
        <w:rPr>
          <w:lang w:val="fr-FR"/>
        </w:rPr>
        <w:t>’</w:t>
      </w:r>
      <w:r w:rsidRPr="00E85915">
        <w:rPr>
          <w:lang w:val="fr-FR"/>
        </w:rPr>
        <w:t>alignement sur les résultats escomptés, l</w:t>
      </w:r>
      <w:r w:rsidR="00BF513F" w:rsidRPr="00E85915">
        <w:rPr>
          <w:lang w:val="fr-FR"/>
        </w:rPr>
        <w:t>’</w:t>
      </w:r>
      <w:r w:rsidRPr="00E85915">
        <w:rPr>
          <w:lang w:val="fr-FR"/>
        </w:rPr>
        <w:t>affectation et l</w:t>
      </w:r>
      <w:r w:rsidR="00BF513F" w:rsidRPr="00E85915">
        <w:rPr>
          <w:lang w:val="fr-FR"/>
        </w:rPr>
        <w:t>’</w:t>
      </w:r>
      <w:r w:rsidRPr="00E85915">
        <w:rPr>
          <w:lang w:val="fr-FR"/>
        </w:rPr>
        <w:t>exécution du budget, ainsi que le suivi des performanc</w:t>
      </w:r>
      <w:r w:rsidR="00E85915" w:rsidRPr="00E85915">
        <w:rPr>
          <w:lang w:val="fr-FR"/>
        </w:rPr>
        <w:t>es.  Il</w:t>
      </w:r>
      <w:r w:rsidRPr="00E85915">
        <w:rPr>
          <w:lang w:val="fr-FR"/>
        </w:rPr>
        <w:t xml:space="preserve"> a également permis d</w:t>
      </w:r>
      <w:r w:rsidR="00BF513F" w:rsidRPr="00E85915">
        <w:rPr>
          <w:lang w:val="fr-FR"/>
        </w:rPr>
        <w:t>’</w:t>
      </w:r>
      <w:r w:rsidRPr="00E85915">
        <w:rPr>
          <w:lang w:val="fr-FR"/>
        </w:rPr>
        <w:t>assurer le suivi des principaux plans de gestion des risques et de continuité des opérations du Service.</w:t>
      </w:r>
    </w:p>
    <w:p w14:paraId="5AFE8D65" w14:textId="77777777" w:rsidR="00F0742C" w:rsidRPr="00E85915" w:rsidRDefault="00F0742C" w:rsidP="003A303A">
      <w:pPr>
        <w:pStyle w:val="ONUMFS"/>
        <w:rPr>
          <w:lang w:val="fr-FR"/>
        </w:rPr>
      </w:pPr>
      <w:r w:rsidRPr="00E85915">
        <w:rPr>
          <w:lang w:val="fr-FR"/>
        </w:rPr>
        <w:t>La conformité des contrôles internes relatifs à la génération et à la comptabilisation des recettes, à la détermination des coûts unitaires, au respect des délais de traitement des demandes internationales et à la gestion de la qualité a été évaluée.</w:t>
      </w:r>
    </w:p>
    <w:p w14:paraId="72834710" w14:textId="3A55844F" w:rsidR="00F0742C" w:rsidRPr="00E85915" w:rsidRDefault="00F0742C" w:rsidP="003A303A">
      <w:pPr>
        <w:pStyle w:val="ONUMFS"/>
        <w:rPr>
          <w:lang w:val="fr-FR"/>
        </w:rPr>
      </w:pPr>
      <w:r w:rsidRPr="00E85915">
        <w:rPr>
          <w:lang w:val="fr-FR"/>
        </w:rPr>
        <w:lastRenderedPageBreak/>
        <w:t>L</w:t>
      </w:r>
      <w:r w:rsidR="00BF513F" w:rsidRPr="00E85915">
        <w:rPr>
          <w:lang w:val="fr-FR"/>
        </w:rPr>
        <w:t>’</w:t>
      </w:r>
      <w:r w:rsidRPr="00E85915">
        <w:rPr>
          <w:lang w:val="fr-FR"/>
        </w:rPr>
        <w:t>efficacité opérationnelle des contrôles internes concernant les processus opérationnels ci</w:t>
      </w:r>
      <w:r w:rsidR="0089008D">
        <w:rPr>
          <w:lang w:val="fr-FR"/>
        </w:rPr>
        <w:noBreakHyphen/>
      </w:r>
      <w:r w:rsidRPr="00E85915">
        <w:rPr>
          <w:lang w:val="fr-FR"/>
        </w:rPr>
        <w:t>après a elle aussi été examinée</w:t>
      </w:r>
      <w:r w:rsidR="00BF513F" w:rsidRPr="00E85915">
        <w:rPr>
          <w:lang w:val="fr-FR"/>
        </w:rPr>
        <w:t> :</w:t>
      </w:r>
      <w:r w:rsidRPr="00E85915">
        <w:rPr>
          <w:lang w:val="fr-FR"/>
        </w:rPr>
        <w:t xml:space="preserve"> demandes, renouvellements et modifications, appui fonctionnel et opérationnel, assistance juridique, communication et promotion, et service à la clientèle.</w:t>
      </w:r>
    </w:p>
    <w:p w14:paraId="314A15D1" w14:textId="40C369DE" w:rsidR="00F0742C" w:rsidRPr="00E85915" w:rsidRDefault="00F0742C" w:rsidP="003A303A">
      <w:pPr>
        <w:pStyle w:val="ONUMFS"/>
        <w:rPr>
          <w:lang w:val="fr-FR"/>
        </w:rPr>
      </w:pPr>
      <w:r w:rsidRPr="00E85915">
        <w:rPr>
          <w:lang w:val="fr-FR"/>
        </w:rPr>
        <w:t>Trois recommandations ont été formulées, dont une recommandation hautement prioritaire appelant à un renforcement des mesures de gouvernance afin de garantir la mise en œuvre rapide des décisions de longue date de l</w:t>
      </w:r>
      <w:r w:rsidR="00BF513F" w:rsidRPr="00E85915">
        <w:rPr>
          <w:lang w:val="fr-FR"/>
        </w:rPr>
        <w:t>’</w:t>
      </w:r>
      <w:r w:rsidRPr="00E85915">
        <w:rPr>
          <w:lang w:val="fr-FR"/>
        </w:rPr>
        <w:t>Assemblée de l</w:t>
      </w:r>
      <w:r w:rsidR="00BF513F" w:rsidRPr="00E85915">
        <w:rPr>
          <w:lang w:val="fr-FR"/>
        </w:rPr>
        <w:t>’</w:t>
      </w:r>
      <w:r w:rsidRPr="00E85915">
        <w:rPr>
          <w:lang w:val="fr-FR"/>
        </w:rPr>
        <w:t xml:space="preserve">Union de </w:t>
      </w:r>
      <w:r w:rsidR="00BF513F" w:rsidRPr="00E85915">
        <w:rPr>
          <w:lang w:val="fr-FR"/>
        </w:rPr>
        <w:t>La Haye</w:t>
      </w:r>
      <w:r w:rsidRPr="00E85915">
        <w:rPr>
          <w:lang w:val="fr-FR"/>
        </w:rPr>
        <w:t>.</w:t>
      </w:r>
    </w:p>
    <w:p w14:paraId="0233C713" w14:textId="451688D0" w:rsidR="00F0742C" w:rsidRPr="00E85915" w:rsidRDefault="00F0742C" w:rsidP="003A303A">
      <w:pPr>
        <w:pStyle w:val="ONUMFS"/>
        <w:rPr>
          <w:lang w:val="fr-FR"/>
        </w:rPr>
      </w:pPr>
      <w:r w:rsidRPr="00E85915">
        <w:rPr>
          <w:lang w:val="fr-FR"/>
        </w:rPr>
        <w:t>La conclusion générale de l</w:t>
      </w:r>
      <w:r w:rsidR="00BF513F" w:rsidRPr="00E85915">
        <w:rPr>
          <w:lang w:val="fr-FR"/>
        </w:rPr>
        <w:t>’</w:t>
      </w:r>
      <w:r w:rsidRPr="00E85915">
        <w:rPr>
          <w:lang w:val="fr-FR"/>
        </w:rPr>
        <w:t>examen était “Satisfaisant, nécessitant quelques améliorations”.</w:t>
      </w:r>
    </w:p>
    <w:p w14:paraId="1768D6B5" w14:textId="7E6579E0" w:rsidR="00F0742C" w:rsidRPr="00E85915" w:rsidRDefault="00B321D5" w:rsidP="00B321D5">
      <w:pPr>
        <w:pStyle w:val="Heading2"/>
      </w:pPr>
      <w:r w:rsidRPr="00E85915">
        <w:t>EXAMEN DES PROCESSUS OPÉRATIONNELS DU CENTRE D’ARBITRAGE ET DE MÉDIATION DE L’OMPI (IA 2025</w:t>
      </w:r>
      <w:r>
        <w:noBreakHyphen/>
      </w:r>
      <w:r w:rsidRPr="00E85915">
        <w:t>04)</w:t>
      </w:r>
    </w:p>
    <w:p w14:paraId="2C019714" w14:textId="164BAC0C" w:rsidR="00F0742C" w:rsidRPr="00E85915" w:rsidRDefault="00F0742C" w:rsidP="003A303A">
      <w:pPr>
        <w:pStyle w:val="ONUMFS"/>
        <w:rPr>
          <w:lang w:val="fr-FR"/>
        </w:rPr>
      </w:pPr>
      <w:r w:rsidRPr="00E85915">
        <w:rPr>
          <w:lang w:val="fr-FR"/>
        </w:rPr>
        <w:t>L</w:t>
      </w:r>
      <w:r w:rsidR="00BF513F" w:rsidRPr="00E85915">
        <w:rPr>
          <w:lang w:val="fr-FR"/>
        </w:rPr>
        <w:t>’</w:t>
      </w:r>
      <w:r w:rsidRPr="00E85915">
        <w:rPr>
          <w:lang w:val="fr-FR"/>
        </w:rPr>
        <w:t>examen a porté sur la gouvernance en ce qui concerne l</w:t>
      </w:r>
      <w:r w:rsidR="00BF513F" w:rsidRPr="00E85915">
        <w:rPr>
          <w:lang w:val="fr-FR"/>
        </w:rPr>
        <w:t>’</w:t>
      </w:r>
      <w:r w:rsidRPr="00E85915">
        <w:rPr>
          <w:lang w:val="fr-FR"/>
        </w:rPr>
        <w:t>alignement sur les résultats escomptés, l</w:t>
      </w:r>
      <w:r w:rsidR="00BF513F" w:rsidRPr="00E85915">
        <w:rPr>
          <w:lang w:val="fr-FR"/>
        </w:rPr>
        <w:t>’</w:t>
      </w:r>
      <w:r w:rsidRPr="00E85915">
        <w:rPr>
          <w:lang w:val="fr-FR"/>
        </w:rPr>
        <w:t>exécution du budget, les ressources et le suivi des performanc</w:t>
      </w:r>
      <w:r w:rsidR="00E85915" w:rsidRPr="00E85915">
        <w:rPr>
          <w:lang w:val="fr-FR"/>
        </w:rPr>
        <w:t>es.  Il</w:t>
      </w:r>
      <w:r w:rsidRPr="00E85915">
        <w:rPr>
          <w:lang w:val="fr-FR"/>
        </w:rPr>
        <w:t xml:space="preserve"> a également permis d</w:t>
      </w:r>
      <w:r w:rsidR="00BF513F" w:rsidRPr="00E85915">
        <w:rPr>
          <w:lang w:val="fr-FR"/>
        </w:rPr>
        <w:t>’</w:t>
      </w:r>
      <w:r w:rsidRPr="00E85915">
        <w:rPr>
          <w:lang w:val="fr-FR"/>
        </w:rPr>
        <w:t>assurer le suivi des principaux plans de gestion des risques et de continuité des opérations du Cent</w:t>
      </w:r>
      <w:r w:rsidR="00E85915" w:rsidRPr="00E85915">
        <w:rPr>
          <w:lang w:val="fr-FR"/>
        </w:rPr>
        <w:t>re.  Le</w:t>
      </w:r>
      <w:r w:rsidRPr="00E85915">
        <w:rPr>
          <w:lang w:val="fr-FR"/>
        </w:rPr>
        <w:t>s processus de génération de recettes ont également été examinés.</w:t>
      </w:r>
    </w:p>
    <w:p w14:paraId="540DA305" w14:textId="10B776CA" w:rsidR="00F0742C" w:rsidRPr="00E85915" w:rsidRDefault="00F0742C" w:rsidP="003A303A">
      <w:pPr>
        <w:pStyle w:val="ONUMFS"/>
        <w:rPr>
          <w:lang w:val="fr-FR"/>
        </w:rPr>
      </w:pPr>
      <w:r w:rsidRPr="00E85915">
        <w:rPr>
          <w:lang w:val="fr-FR"/>
        </w:rPr>
        <w:t>Les principaux processus opérationnels ont été passés en revue, notamment le règlement des litiges relatifs aux noms de domaine, le règlement extrajudiciaire des litiges, la gestion des délais, la sélection des membres des commissions, ainsi que les mécanismes de gestion de la qualité et de collecte d</w:t>
      </w:r>
      <w:r w:rsidR="00BF513F" w:rsidRPr="00E85915">
        <w:rPr>
          <w:lang w:val="fr-FR"/>
        </w:rPr>
        <w:t>’</w:t>
      </w:r>
      <w:r w:rsidRPr="00E85915">
        <w:rPr>
          <w:lang w:val="fr-FR"/>
        </w:rPr>
        <w:t>informatio</w:t>
      </w:r>
      <w:r w:rsidR="00E85915" w:rsidRPr="00E85915">
        <w:rPr>
          <w:lang w:val="fr-FR"/>
        </w:rPr>
        <w:t>ns.  La</w:t>
      </w:r>
      <w:r w:rsidRPr="00E85915">
        <w:rPr>
          <w:lang w:val="fr-FR"/>
        </w:rPr>
        <w:t xml:space="preserve"> gestion de la communication et des relations externes a elle aussi été examinée.</w:t>
      </w:r>
    </w:p>
    <w:p w14:paraId="2A33DEF8" w14:textId="43B0F5BA" w:rsidR="00F0742C" w:rsidRPr="00E85915" w:rsidRDefault="00F0742C" w:rsidP="003A303A">
      <w:pPr>
        <w:pStyle w:val="ONUMFS"/>
        <w:rPr>
          <w:lang w:val="fr-FR"/>
        </w:rPr>
      </w:pPr>
      <w:r w:rsidRPr="00E85915">
        <w:rPr>
          <w:lang w:val="fr-FR"/>
        </w:rPr>
        <w:t>Une observation a été formulée concernant la nécessité de formaliser les procédures internes et externes de collecte d</w:t>
      </w:r>
      <w:r w:rsidR="00BF513F" w:rsidRPr="00E85915">
        <w:rPr>
          <w:lang w:val="fr-FR"/>
        </w:rPr>
        <w:t>’</w:t>
      </w:r>
      <w:r w:rsidRPr="00E85915">
        <w:rPr>
          <w:lang w:val="fr-FR"/>
        </w:rPr>
        <w:t>informations dans le nouveau système de gestion des dossiers du Centre et dans les manuels correspondants.</w:t>
      </w:r>
    </w:p>
    <w:p w14:paraId="51E70D9E" w14:textId="1A0CA15F" w:rsidR="00BF513F" w:rsidRPr="00E85915" w:rsidRDefault="00F0742C" w:rsidP="003A303A">
      <w:pPr>
        <w:pStyle w:val="ONUMFS"/>
        <w:rPr>
          <w:lang w:val="fr-FR"/>
        </w:rPr>
      </w:pPr>
      <w:r w:rsidRPr="00E85915">
        <w:rPr>
          <w:lang w:val="fr-FR"/>
        </w:rPr>
        <w:t>La conclusion générale de l</w:t>
      </w:r>
      <w:r w:rsidR="00BF513F" w:rsidRPr="00E85915">
        <w:rPr>
          <w:lang w:val="fr-FR"/>
        </w:rPr>
        <w:t>’</w:t>
      </w:r>
      <w:r w:rsidRPr="00E85915">
        <w:rPr>
          <w:lang w:val="fr-FR"/>
        </w:rPr>
        <w:t>examen était “Satisfaisant”.</w:t>
      </w:r>
    </w:p>
    <w:p w14:paraId="757069E5" w14:textId="4B33ED6E" w:rsidR="00F0742C" w:rsidRPr="00E85915" w:rsidRDefault="00F0742C" w:rsidP="00B321D5">
      <w:pPr>
        <w:pStyle w:val="Heading2"/>
      </w:pPr>
      <w:r w:rsidRPr="00E85915">
        <w:t>ÉLÉMENTS CONSTITUTIFS</w:t>
      </w:r>
      <w:r w:rsidR="00BF513F" w:rsidRPr="00E85915">
        <w:t> :</w:t>
      </w:r>
      <w:r w:rsidRPr="00E85915">
        <w:t xml:space="preserve"> AVIS SUR LA GOUVERNANCE, LA GESTION DES RISQUES ET LE CONTRÔLE INTERNE (IA 2025</w:t>
      </w:r>
      <w:r w:rsidR="0089008D">
        <w:noBreakHyphen/>
      </w:r>
      <w:r w:rsidRPr="00E85915">
        <w:t>06)</w:t>
      </w:r>
    </w:p>
    <w:p w14:paraId="6ED7CB41" w14:textId="022A176D" w:rsidR="00BF513F" w:rsidRPr="00E85915" w:rsidRDefault="00F0742C" w:rsidP="003A303A">
      <w:pPr>
        <w:pStyle w:val="ONUMFS"/>
        <w:rPr>
          <w:lang w:val="fr-FR"/>
        </w:rPr>
      </w:pPr>
      <w:r w:rsidRPr="00E85915">
        <w:rPr>
          <w:lang w:val="fr-FR"/>
        </w:rPr>
        <w:t>Au cours de l</w:t>
      </w:r>
      <w:r w:rsidR="00BF513F" w:rsidRPr="00E85915">
        <w:rPr>
          <w:lang w:val="fr-FR"/>
        </w:rPr>
        <w:t>’</w:t>
      </w:r>
      <w:r w:rsidRPr="00E85915">
        <w:rPr>
          <w:lang w:val="fr-FR"/>
        </w:rPr>
        <w:t>exercice clos le 31 </w:t>
      </w:r>
      <w:r w:rsidR="00BF513F" w:rsidRPr="00E85915">
        <w:rPr>
          <w:lang w:val="fr-FR"/>
        </w:rPr>
        <w:t>décembre 20</w:t>
      </w:r>
      <w:r w:rsidRPr="00E85915">
        <w:rPr>
          <w:lang w:val="fr-FR"/>
        </w:rPr>
        <w:t>25, la directrice de</w:t>
      </w:r>
      <w:r w:rsidR="00BF513F" w:rsidRPr="00E85915">
        <w:rPr>
          <w:lang w:val="fr-FR"/>
        </w:rPr>
        <w:t xml:space="preserve"> la DSI</w:t>
      </w:r>
      <w:r w:rsidRPr="00E85915">
        <w:rPr>
          <w:lang w:val="fr-FR"/>
        </w:rPr>
        <w:t xml:space="preserve"> a, pour la première fois dans l</w:t>
      </w:r>
      <w:r w:rsidR="00BF513F" w:rsidRPr="00E85915">
        <w:rPr>
          <w:lang w:val="fr-FR"/>
        </w:rPr>
        <w:t>’</w:t>
      </w:r>
      <w:r w:rsidRPr="00E85915">
        <w:rPr>
          <w:lang w:val="fr-FR"/>
        </w:rPr>
        <w:t>histoire de l</w:t>
      </w:r>
      <w:r w:rsidR="00BF513F" w:rsidRPr="00E85915">
        <w:rPr>
          <w:lang w:val="fr-FR"/>
        </w:rPr>
        <w:t>’</w:t>
      </w:r>
      <w:r w:rsidRPr="00E85915">
        <w:rPr>
          <w:lang w:val="fr-FR"/>
        </w:rPr>
        <w:t>OMPI, rendu un avis annuel sur la gouvernance, la gestion des risques et le contrôle interne de l</w:t>
      </w:r>
      <w:r w:rsidR="00BF513F" w:rsidRPr="00E85915">
        <w:rPr>
          <w:lang w:val="fr-FR"/>
        </w:rPr>
        <w:t>’</w:t>
      </w:r>
      <w:r w:rsidRPr="00E85915">
        <w:rPr>
          <w:lang w:val="fr-FR"/>
        </w:rPr>
        <w:t>O</w:t>
      </w:r>
      <w:r w:rsidR="00E85915" w:rsidRPr="00E85915">
        <w:rPr>
          <w:lang w:val="fr-FR"/>
        </w:rPr>
        <w:t>MPI.  En</w:t>
      </w:r>
      <w:r w:rsidRPr="00E85915">
        <w:rPr>
          <w:lang w:val="fr-FR"/>
        </w:rPr>
        <w:t xml:space="preserve"> conséquence, outre la réalisation des audits prévus dans le cadre du programme de supervision </w:t>
      </w:r>
      <w:r w:rsidR="00BF513F" w:rsidRPr="00E85915">
        <w:rPr>
          <w:lang w:val="fr-FR"/>
        </w:rPr>
        <w:t>de 2025</w:t>
      </w:r>
      <w:r w:rsidRPr="00E85915">
        <w:rPr>
          <w:lang w:val="fr-FR"/>
        </w:rPr>
        <w:t>, une analyse approfondie des éléments constitutifs ci</w:t>
      </w:r>
      <w:r w:rsidR="0089008D">
        <w:rPr>
          <w:lang w:val="fr-FR"/>
        </w:rPr>
        <w:noBreakHyphen/>
      </w:r>
      <w:r w:rsidRPr="00E85915">
        <w:rPr>
          <w:lang w:val="fr-FR"/>
        </w:rPr>
        <w:t>après a été menée, afin d</w:t>
      </w:r>
      <w:r w:rsidR="00BF513F" w:rsidRPr="00E85915">
        <w:rPr>
          <w:lang w:val="fr-FR"/>
        </w:rPr>
        <w:t>’</w:t>
      </w:r>
      <w:r w:rsidRPr="00E85915">
        <w:rPr>
          <w:lang w:val="fr-FR"/>
        </w:rPr>
        <w:t>éclairer l</w:t>
      </w:r>
      <w:r w:rsidR="00BF513F" w:rsidRPr="00E85915">
        <w:rPr>
          <w:lang w:val="fr-FR"/>
        </w:rPr>
        <w:t>’</w:t>
      </w:r>
      <w:r w:rsidRPr="00E85915">
        <w:rPr>
          <w:lang w:val="fr-FR"/>
        </w:rPr>
        <w:t>opinion générale</w:t>
      </w:r>
      <w:r w:rsidR="00BF513F" w:rsidRPr="00E85915">
        <w:rPr>
          <w:lang w:val="fr-FR"/>
        </w:rPr>
        <w:t> :</w:t>
      </w:r>
    </w:p>
    <w:p w14:paraId="0895EF69" w14:textId="113F4095" w:rsidR="00F0742C" w:rsidRPr="00E85915" w:rsidRDefault="00F0742C" w:rsidP="003A303A">
      <w:pPr>
        <w:pStyle w:val="ONUMFS"/>
        <w:rPr>
          <w:lang w:val="fr-FR"/>
        </w:rPr>
      </w:pPr>
      <w:r w:rsidRPr="00E85915">
        <w:rPr>
          <w:lang w:val="fr-FR"/>
        </w:rPr>
        <w:t xml:space="preserve">la </w:t>
      </w:r>
      <w:r w:rsidRPr="00E85915">
        <w:rPr>
          <w:b/>
          <w:bCs/>
          <w:lang w:val="fr-FR"/>
        </w:rPr>
        <w:t>gouvernance stratégique</w:t>
      </w:r>
      <w:r w:rsidRPr="00E85915">
        <w:rPr>
          <w:lang w:val="fr-FR"/>
        </w:rPr>
        <w:t xml:space="preserve">, </w:t>
      </w:r>
      <w:r w:rsidR="00BF513F" w:rsidRPr="00E85915">
        <w:rPr>
          <w:lang w:val="fr-FR"/>
        </w:rPr>
        <w:t>à savoir</w:t>
      </w:r>
      <w:r w:rsidRPr="00E85915">
        <w:rPr>
          <w:lang w:val="fr-FR"/>
        </w:rPr>
        <w:t xml:space="preserve"> les structures et procédures de gouvernance, ainsi que leur conformité avec le modèle de gouvernance prévu par la Convention instituant l</w:t>
      </w:r>
      <w:r w:rsidR="00BF513F" w:rsidRPr="00E85915">
        <w:rPr>
          <w:lang w:val="fr-FR"/>
        </w:rPr>
        <w:t>’</w:t>
      </w:r>
      <w:r w:rsidRPr="00E85915">
        <w:rPr>
          <w:lang w:val="fr-FR"/>
        </w:rPr>
        <w:t>OMPI, depuis le rôle de l</w:t>
      </w:r>
      <w:r w:rsidR="00BF513F" w:rsidRPr="00E85915">
        <w:rPr>
          <w:lang w:val="fr-FR"/>
        </w:rPr>
        <w:t>’</w:t>
      </w:r>
      <w:r w:rsidRPr="00E85915">
        <w:rPr>
          <w:lang w:val="fr-FR"/>
        </w:rPr>
        <w:t>Assemblée générale jusqu</w:t>
      </w:r>
      <w:r w:rsidR="00BF513F" w:rsidRPr="00E85915">
        <w:rPr>
          <w:lang w:val="fr-FR"/>
        </w:rPr>
        <w:t>’</w:t>
      </w:r>
      <w:r w:rsidRPr="00E85915">
        <w:rPr>
          <w:lang w:val="fr-FR"/>
        </w:rPr>
        <w:t>à celui de l</w:t>
      </w:r>
      <w:r w:rsidR="00BF513F" w:rsidRPr="00E85915">
        <w:rPr>
          <w:lang w:val="fr-FR"/>
        </w:rPr>
        <w:t>’</w:t>
      </w:r>
      <w:r w:rsidRPr="00E85915">
        <w:rPr>
          <w:lang w:val="fr-FR"/>
        </w:rPr>
        <w:t>Organe consultatif indépendant de surveillance (OCIS);</w:t>
      </w:r>
    </w:p>
    <w:p w14:paraId="7B0E4B9C" w14:textId="260A81EE" w:rsidR="00F0742C" w:rsidRPr="00E85915" w:rsidRDefault="00F0742C" w:rsidP="003A303A">
      <w:pPr>
        <w:pStyle w:val="ONUMFS"/>
        <w:rPr>
          <w:lang w:val="fr-FR"/>
        </w:rPr>
      </w:pPr>
      <w:r w:rsidRPr="00E85915">
        <w:rPr>
          <w:lang w:val="fr-FR"/>
        </w:rPr>
        <w:t xml:space="preserve">la </w:t>
      </w:r>
      <w:r w:rsidRPr="00E85915">
        <w:rPr>
          <w:b/>
          <w:bCs/>
          <w:lang w:val="fr-FR"/>
        </w:rPr>
        <w:t>gouvernance opérationnelle</w:t>
      </w:r>
      <w:r w:rsidRPr="00E85915">
        <w:rPr>
          <w:lang w:val="fr-FR"/>
        </w:rPr>
        <w:t>, c</w:t>
      </w:r>
      <w:r w:rsidR="00BF513F" w:rsidRPr="00E85915">
        <w:rPr>
          <w:lang w:val="fr-FR"/>
        </w:rPr>
        <w:t>’</w:t>
      </w:r>
      <w:r w:rsidRPr="00E85915">
        <w:rPr>
          <w:lang w:val="fr-FR"/>
        </w:rPr>
        <w:t>est</w:t>
      </w:r>
      <w:r w:rsidR="0089008D">
        <w:rPr>
          <w:lang w:val="fr-FR"/>
        </w:rPr>
        <w:noBreakHyphen/>
      </w:r>
      <w:r w:rsidRPr="00E85915">
        <w:rPr>
          <w:lang w:val="fr-FR"/>
        </w:rPr>
        <w:t>à</w:t>
      </w:r>
      <w:r w:rsidR="0089008D">
        <w:rPr>
          <w:lang w:val="fr-FR"/>
        </w:rPr>
        <w:noBreakHyphen/>
      </w:r>
      <w:r w:rsidRPr="00E85915">
        <w:rPr>
          <w:lang w:val="fr-FR"/>
        </w:rPr>
        <w:t>dire les structures et procédures de gouvernance prévues par la Convention instituant l</w:t>
      </w:r>
      <w:r w:rsidR="00BF513F" w:rsidRPr="00E85915">
        <w:rPr>
          <w:lang w:val="fr-FR"/>
        </w:rPr>
        <w:t>’</w:t>
      </w:r>
      <w:r w:rsidRPr="00E85915">
        <w:rPr>
          <w:lang w:val="fr-FR"/>
        </w:rPr>
        <w:t>OMPI, par les articles et règles du Règlement financier et de son règlement d</w:t>
      </w:r>
      <w:r w:rsidR="00BF513F" w:rsidRPr="00E85915">
        <w:rPr>
          <w:lang w:val="fr-FR"/>
        </w:rPr>
        <w:t>’</w:t>
      </w:r>
      <w:r w:rsidRPr="00E85915">
        <w:rPr>
          <w:lang w:val="fr-FR"/>
        </w:rPr>
        <w:t>exécution, ainsi que par les articles et dispositions du Statut et Règlement du personnel, mises en œuvre sous l</w:t>
      </w:r>
      <w:r w:rsidR="00BF513F" w:rsidRPr="00E85915">
        <w:rPr>
          <w:lang w:val="fr-FR"/>
        </w:rPr>
        <w:t>’</w:t>
      </w:r>
      <w:r w:rsidRPr="00E85915">
        <w:rPr>
          <w:lang w:val="fr-FR"/>
        </w:rPr>
        <w:t>autorité du Directeur général;</w:t>
      </w:r>
    </w:p>
    <w:p w14:paraId="6E778FE9" w14:textId="77777777" w:rsidR="00F0742C" w:rsidRPr="00E85915" w:rsidRDefault="00F0742C" w:rsidP="003A303A">
      <w:pPr>
        <w:pStyle w:val="ONUMFS"/>
        <w:rPr>
          <w:lang w:val="fr-FR"/>
        </w:rPr>
      </w:pPr>
      <w:r w:rsidRPr="00E85915">
        <w:rPr>
          <w:lang w:val="fr-FR"/>
        </w:rPr>
        <w:t xml:space="preserve">la </w:t>
      </w:r>
      <w:r w:rsidRPr="00E85915">
        <w:rPr>
          <w:b/>
          <w:bCs/>
          <w:lang w:val="fr-FR"/>
        </w:rPr>
        <w:t>gestion des risques</w:t>
      </w:r>
      <w:r w:rsidRPr="00E85915">
        <w:rPr>
          <w:lang w:val="fr-FR"/>
        </w:rPr>
        <w:t>, et plus particulièrement le cadre, la politique et les structures de gouvernance applicables;</w:t>
      </w:r>
    </w:p>
    <w:p w14:paraId="7BD8E1BD" w14:textId="60B96F00" w:rsidR="00F0742C" w:rsidRPr="00E85915" w:rsidRDefault="00F0742C" w:rsidP="003A303A">
      <w:pPr>
        <w:pStyle w:val="ONUMFS"/>
        <w:rPr>
          <w:lang w:val="fr-FR"/>
        </w:rPr>
      </w:pPr>
      <w:r w:rsidRPr="00E85915">
        <w:rPr>
          <w:lang w:val="fr-FR"/>
        </w:rPr>
        <w:t xml:space="preserve">la </w:t>
      </w:r>
      <w:r w:rsidRPr="00E85915">
        <w:rPr>
          <w:b/>
          <w:bCs/>
          <w:lang w:val="fr-FR"/>
        </w:rPr>
        <w:t>sécurité et les services informatiques</w:t>
      </w:r>
      <w:r w:rsidRPr="00E85915">
        <w:rPr>
          <w:lang w:val="fr-FR"/>
        </w:rPr>
        <w:t>, notamment le rôle et les services de la Section de la sécurité informatique, qui relève de la Division de la sécurité et de l</w:t>
      </w:r>
      <w:r w:rsidR="00BF513F" w:rsidRPr="00E85915">
        <w:rPr>
          <w:lang w:val="fr-FR"/>
        </w:rPr>
        <w:t>’</w:t>
      </w:r>
      <w:r w:rsidRPr="00E85915">
        <w:rPr>
          <w:lang w:val="fr-FR"/>
        </w:rPr>
        <w:t xml:space="preserve">assurance informatique, du Centre international de calcul des </w:t>
      </w:r>
      <w:r w:rsidR="00BF513F" w:rsidRPr="00E85915">
        <w:rPr>
          <w:lang w:val="fr-FR"/>
        </w:rPr>
        <w:t>Nations Unies</w:t>
      </w:r>
      <w:r w:rsidRPr="00E85915">
        <w:rPr>
          <w:lang w:val="fr-FR"/>
        </w:rPr>
        <w:t xml:space="preserve"> (CIC), du Département des </w:t>
      </w:r>
      <w:r w:rsidRPr="00E85915">
        <w:rPr>
          <w:lang w:val="fr-FR"/>
        </w:rPr>
        <w:lastRenderedPageBreak/>
        <w:t>technologies de l</w:t>
      </w:r>
      <w:r w:rsidR="00BF513F" w:rsidRPr="00E85915">
        <w:rPr>
          <w:lang w:val="fr-FR"/>
        </w:rPr>
        <w:t>’</w:t>
      </w:r>
      <w:r w:rsidRPr="00E85915">
        <w:rPr>
          <w:lang w:val="fr-FR"/>
        </w:rPr>
        <w:t>information et de la communication et des prestataires de services d</w:t>
      </w:r>
      <w:r w:rsidR="00BF513F" w:rsidRPr="00E85915">
        <w:rPr>
          <w:lang w:val="fr-FR"/>
        </w:rPr>
        <w:t>’</w:t>
      </w:r>
      <w:r w:rsidRPr="00E85915">
        <w:rPr>
          <w:lang w:val="fr-FR"/>
        </w:rPr>
        <w:t>informatique en nua</w:t>
      </w:r>
      <w:r w:rsidR="00E85915" w:rsidRPr="00E85915">
        <w:rPr>
          <w:lang w:val="fr-FR"/>
        </w:rPr>
        <w:t>ge.  Le</w:t>
      </w:r>
      <w:r w:rsidRPr="00E85915">
        <w:rPr>
          <w:lang w:val="fr-FR"/>
        </w:rPr>
        <w:t>s principaux contrôles informatiques recensés ont été testés dans le cadre des vérifications effectuées sur les principaux mécanismes de contrôle au sein de l</w:t>
      </w:r>
      <w:r w:rsidR="00BF513F" w:rsidRPr="00E85915">
        <w:rPr>
          <w:lang w:val="fr-FR"/>
        </w:rPr>
        <w:t>’</w:t>
      </w:r>
      <w:r w:rsidRPr="00E85915">
        <w:rPr>
          <w:lang w:val="fr-FR"/>
        </w:rPr>
        <w:t>Organisation;</w:t>
      </w:r>
    </w:p>
    <w:p w14:paraId="4A5918DB" w14:textId="7E199B12" w:rsidR="00F0742C" w:rsidRPr="00E85915" w:rsidRDefault="00F0742C" w:rsidP="003A303A">
      <w:pPr>
        <w:pStyle w:val="ONUMFS"/>
        <w:rPr>
          <w:bCs/>
          <w:lang w:val="fr-FR"/>
        </w:rPr>
      </w:pPr>
      <w:r w:rsidRPr="00E85915">
        <w:rPr>
          <w:lang w:val="fr-FR"/>
        </w:rPr>
        <w:t xml:space="preserve">les </w:t>
      </w:r>
      <w:r w:rsidRPr="00E85915">
        <w:rPr>
          <w:b/>
          <w:bCs/>
          <w:lang w:val="fr-FR"/>
        </w:rPr>
        <w:t>contrôles clés en vigueur au sein de l</w:t>
      </w:r>
      <w:r w:rsidR="00BF513F" w:rsidRPr="00E85915">
        <w:rPr>
          <w:b/>
          <w:bCs/>
          <w:lang w:val="fr-FR"/>
        </w:rPr>
        <w:t>’</w:t>
      </w:r>
      <w:r w:rsidRPr="00E85915">
        <w:rPr>
          <w:b/>
          <w:bCs/>
          <w:lang w:val="fr-FR"/>
        </w:rPr>
        <w:t>Organisation</w:t>
      </w:r>
      <w:r w:rsidRPr="00E85915">
        <w:rPr>
          <w:lang w:val="fr-FR"/>
        </w:rPr>
        <w:t>, notamment les vérifications portant sur la conception, la mise en œuvre et l</w:t>
      </w:r>
      <w:r w:rsidR="00BF513F" w:rsidRPr="00E85915">
        <w:rPr>
          <w:lang w:val="fr-FR"/>
        </w:rPr>
        <w:t>’</w:t>
      </w:r>
      <w:r w:rsidRPr="00E85915">
        <w:rPr>
          <w:lang w:val="fr-FR"/>
        </w:rPr>
        <w:t>efficacité opérationnelle de 39 contrôles clés effectués à l</w:t>
      </w:r>
      <w:r w:rsidR="00BF513F" w:rsidRPr="00E85915">
        <w:rPr>
          <w:lang w:val="fr-FR"/>
        </w:rPr>
        <w:t>’</w:t>
      </w:r>
      <w:r w:rsidRPr="00E85915">
        <w:rPr>
          <w:lang w:val="fr-FR"/>
        </w:rPr>
        <w:t>échelle de l</w:t>
      </w:r>
      <w:r w:rsidR="00BF513F" w:rsidRPr="00E85915">
        <w:rPr>
          <w:lang w:val="fr-FR"/>
        </w:rPr>
        <w:t>’</w:t>
      </w:r>
      <w:r w:rsidRPr="00E85915">
        <w:rPr>
          <w:lang w:val="fr-FR"/>
        </w:rPr>
        <w:t>Organisation, définis par la direction à partir des articles et règles du Règlement financier et de son règlement d</w:t>
      </w:r>
      <w:r w:rsidR="00BF513F" w:rsidRPr="00E85915">
        <w:rPr>
          <w:lang w:val="fr-FR"/>
        </w:rPr>
        <w:t>’</w:t>
      </w:r>
      <w:r w:rsidRPr="00E85915">
        <w:rPr>
          <w:lang w:val="fr-FR"/>
        </w:rPr>
        <w:t>exécution, ainsi que des articles et dispositions du Statut et Règlement du personn</w:t>
      </w:r>
      <w:r w:rsidR="00E85915" w:rsidRPr="00E85915">
        <w:rPr>
          <w:lang w:val="fr-FR"/>
        </w:rPr>
        <w:t>el.  En</w:t>
      </w:r>
      <w:r w:rsidRPr="00E85915">
        <w:rPr>
          <w:lang w:val="fr-FR"/>
        </w:rPr>
        <w:t xml:space="preserve"> outre, 11 contrôles liés aux technologies de l</w:t>
      </w:r>
      <w:r w:rsidR="00BF513F" w:rsidRPr="00E85915">
        <w:rPr>
          <w:lang w:val="fr-FR"/>
        </w:rPr>
        <w:t>’</w:t>
      </w:r>
      <w:r w:rsidRPr="00E85915">
        <w:rPr>
          <w:lang w:val="fr-FR"/>
        </w:rPr>
        <w:t>information et à la sécurité informatique ont été testés.</w:t>
      </w:r>
    </w:p>
    <w:p w14:paraId="571B5383" w14:textId="0A711F51" w:rsidR="00F0742C" w:rsidRPr="00B321D5" w:rsidRDefault="00F0742C" w:rsidP="00B321D5">
      <w:pPr>
        <w:pStyle w:val="Heading2"/>
      </w:pPr>
      <w:r w:rsidRPr="00B321D5">
        <w:t>AUDIT DE LA GESTION DES PLACEMENTS À L</w:t>
      </w:r>
      <w:r w:rsidR="00BF513F" w:rsidRPr="00B321D5">
        <w:t>’</w:t>
      </w:r>
      <w:r w:rsidRPr="00B321D5">
        <w:t>OMPI (IA 2025</w:t>
      </w:r>
      <w:r w:rsidR="0089008D" w:rsidRPr="00B321D5">
        <w:noBreakHyphen/>
      </w:r>
      <w:r w:rsidRPr="00B321D5">
        <w:t>07)</w:t>
      </w:r>
    </w:p>
    <w:p w14:paraId="4E5FAD25" w14:textId="5A8F5187" w:rsidR="00F0742C" w:rsidRPr="00E85915" w:rsidRDefault="00F0742C" w:rsidP="003A303A">
      <w:pPr>
        <w:pStyle w:val="ONUMFS"/>
        <w:rPr>
          <w:lang w:val="fr-FR"/>
        </w:rPr>
      </w:pPr>
      <w:r w:rsidRPr="00E85915">
        <w:rPr>
          <w:lang w:val="fr-FR"/>
        </w:rPr>
        <w:t>L</w:t>
      </w:r>
      <w:r w:rsidR="00BF513F" w:rsidRPr="00E85915">
        <w:rPr>
          <w:lang w:val="fr-FR"/>
        </w:rPr>
        <w:t>’</w:t>
      </w:r>
      <w:r w:rsidRPr="00E85915">
        <w:rPr>
          <w:lang w:val="fr-FR"/>
        </w:rPr>
        <w:t>audit a porté sur les rôles et responsabilités en matière de gouvernance de la gestion des placements, sur la gestion des risques et sur la conformité avec les articles, règles et dispositions applicables, sur la gestion des portefeuilles et la mesure de la performance, ainsi que sur l</w:t>
      </w:r>
      <w:r w:rsidR="00BF513F" w:rsidRPr="00E85915">
        <w:rPr>
          <w:lang w:val="fr-FR"/>
        </w:rPr>
        <w:t>’</w:t>
      </w:r>
      <w:r w:rsidRPr="00E85915">
        <w:rPr>
          <w:lang w:val="fr-FR"/>
        </w:rPr>
        <w:t>examen des systèmes et outils de gestion de la trésorerie.</w:t>
      </w:r>
    </w:p>
    <w:p w14:paraId="47823524" w14:textId="7B4E7D58" w:rsidR="00F0742C" w:rsidRPr="00E85915" w:rsidRDefault="00F0742C" w:rsidP="003A303A">
      <w:pPr>
        <w:pStyle w:val="ONUMFS"/>
        <w:rPr>
          <w:lang w:val="fr-FR"/>
        </w:rPr>
      </w:pPr>
      <w:r w:rsidRPr="00E85915">
        <w:rPr>
          <w:lang w:val="fr-FR"/>
        </w:rPr>
        <w:t>L</w:t>
      </w:r>
      <w:r w:rsidR="00BF513F" w:rsidRPr="00E85915">
        <w:rPr>
          <w:lang w:val="fr-FR"/>
        </w:rPr>
        <w:t>’</w:t>
      </w:r>
      <w:r w:rsidRPr="00E85915">
        <w:rPr>
          <w:lang w:val="fr-FR"/>
        </w:rPr>
        <w:t>examen a donné lieu à 11 observations et recommandations, dont huit ont été classées comme moyennement prioritaires et trois comme faiblement prioritair</w:t>
      </w:r>
      <w:r w:rsidR="00E85915" w:rsidRPr="00E85915">
        <w:rPr>
          <w:lang w:val="fr-FR"/>
        </w:rPr>
        <w:t>es.  Ce</w:t>
      </w:r>
      <w:r w:rsidRPr="00E85915">
        <w:rPr>
          <w:lang w:val="fr-FR"/>
        </w:rPr>
        <w:t>lles</w:t>
      </w:r>
      <w:r w:rsidR="0089008D">
        <w:rPr>
          <w:lang w:val="fr-FR"/>
        </w:rPr>
        <w:noBreakHyphen/>
      </w:r>
      <w:r w:rsidRPr="00E85915">
        <w:rPr>
          <w:lang w:val="fr-FR"/>
        </w:rPr>
        <w:t>ci visaient notamment à actualiser le cadre de gouvernance et ses dispositions, à améliorer la quantification des seuils de gestion des risques et des critères de mesure de la performance, ainsi qu</w:t>
      </w:r>
      <w:r w:rsidR="00BF513F" w:rsidRPr="00E85915">
        <w:rPr>
          <w:lang w:val="fr-FR"/>
        </w:rPr>
        <w:t>’</w:t>
      </w:r>
      <w:r w:rsidRPr="00E85915">
        <w:rPr>
          <w:lang w:val="fr-FR"/>
        </w:rPr>
        <w:t>à améliorer les droits d</w:t>
      </w:r>
      <w:r w:rsidR="00BF513F" w:rsidRPr="00E85915">
        <w:rPr>
          <w:lang w:val="fr-FR"/>
        </w:rPr>
        <w:t>’</w:t>
      </w:r>
      <w:r w:rsidRPr="00E85915">
        <w:rPr>
          <w:lang w:val="fr-FR"/>
        </w:rPr>
        <w:t>accès au système de trésorerie et la séparation des tâches.</w:t>
      </w:r>
    </w:p>
    <w:p w14:paraId="693D719B" w14:textId="38A2A4F2" w:rsidR="00F0742C" w:rsidRPr="00E85915" w:rsidRDefault="00F0742C" w:rsidP="003A303A">
      <w:pPr>
        <w:pStyle w:val="ONUMFS"/>
        <w:rPr>
          <w:lang w:val="fr-FR"/>
        </w:rPr>
      </w:pPr>
      <w:r w:rsidRPr="00E85915">
        <w:rPr>
          <w:lang w:val="fr-FR"/>
        </w:rPr>
        <w:t>La conclusion générale de l</w:t>
      </w:r>
      <w:r w:rsidR="00BF513F" w:rsidRPr="00E85915">
        <w:rPr>
          <w:lang w:val="fr-FR"/>
        </w:rPr>
        <w:t>’</w:t>
      </w:r>
      <w:r w:rsidRPr="00E85915">
        <w:rPr>
          <w:lang w:val="fr-FR"/>
        </w:rPr>
        <w:t>examen était “Satisfaisant, nécessitant quelques améliorations”.</w:t>
      </w:r>
    </w:p>
    <w:p w14:paraId="753C24BE" w14:textId="5C77C08A" w:rsidR="00F0742C" w:rsidRPr="00E85915" w:rsidRDefault="00F0742C" w:rsidP="00B321D5">
      <w:pPr>
        <w:pStyle w:val="Heading2"/>
      </w:pPr>
      <w:r w:rsidRPr="00E85915">
        <w:t>AUDIT DU BUREAU DE L</w:t>
      </w:r>
      <w:r w:rsidR="00BF513F" w:rsidRPr="00E85915">
        <w:t>’</w:t>
      </w:r>
      <w:r w:rsidRPr="00E85915">
        <w:t>OMPI EN CHINE (IA 2025</w:t>
      </w:r>
      <w:r w:rsidR="0089008D">
        <w:noBreakHyphen/>
      </w:r>
      <w:r w:rsidRPr="00E85915">
        <w:t>08)</w:t>
      </w:r>
    </w:p>
    <w:p w14:paraId="1F5A7A45" w14:textId="510790D0" w:rsidR="00F0742C" w:rsidRPr="00E85915" w:rsidRDefault="00F0742C" w:rsidP="003A303A">
      <w:pPr>
        <w:pStyle w:val="ONUMFS"/>
        <w:rPr>
          <w:lang w:val="fr-FR"/>
        </w:rPr>
      </w:pPr>
      <w:r w:rsidRPr="00E85915">
        <w:rPr>
          <w:lang w:val="fr-FR"/>
        </w:rPr>
        <w:t>L</w:t>
      </w:r>
      <w:r w:rsidR="00BF513F" w:rsidRPr="00E85915">
        <w:rPr>
          <w:lang w:val="fr-FR"/>
        </w:rPr>
        <w:t>’</w:t>
      </w:r>
      <w:r w:rsidRPr="00E85915">
        <w:rPr>
          <w:lang w:val="fr-FR"/>
        </w:rPr>
        <w:t>audit a porté sur les modalités de gouvernance liées à l</w:t>
      </w:r>
      <w:r w:rsidR="00BF513F" w:rsidRPr="00E85915">
        <w:rPr>
          <w:lang w:val="fr-FR"/>
        </w:rPr>
        <w:t>’</w:t>
      </w:r>
      <w:r w:rsidRPr="00E85915">
        <w:rPr>
          <w:lang w:val="fr-FR"/>
        </w:rPr>
        <w:t>alignement sur les résultats escomptés, au suivi des performances, à l</w:t>
      </w:r>
      <w:r w:rsidR="00BF513F" w:rsidRPr="00E85915">
        <w:rPr>
          <w:lang w:val="fr-FR"/>
        </w:rPr>
        <w:t>’</w:t>
      </w:r>
      <w:r w:rsidRPr="00E85915">
        <w:rPr>
          <w:lang w:val="fr-FR"/>
        </w:rPr>
        <w:t>allocation et à l</w:t>
      </w:r>
      <w:r w:rsidR="00BF513F" w:rsidRPr="00E85915">
        <w:rPr>
          <w:lang w:val="fr-FR"/>
        </w:rPr>
        <w:t>’</w:t>
      </w:r>
      <w:r w:rsidRPr="00E85915">
        <w:rPr>
          <w:lang w:val="fr-FR"/>
        </w:rPr>
        <w:t xml:space="preserve">exécution du budget, aux activités clés menées </w:t>
      </w:r>
      <w:r w:rsidR="00BF513F" w:rsidRPr="00E85915">
        <w:rPr>
          <w:lang w:val="fr-FR"/>
        </w:rPr>
        <w:t>en 2025</w:t>
      </w:r>
      <w:r w:rsidRPr="00E85915">
        <w:rPr>
          <w:lang w:val="fr-FR"/>
        </w:rPr>
        <w:t xml:space="preserve"> et à la participation des parties prenantes.</w:t>
      </w:r>
    </w:p>
    <w:p w14:paraId="6D117C9C" w14:textId="503C59FF" w:rsidR="00F0742C" w:rsidRPr="00E85915" w:rsidRDefault="00F0742C" w:rsidP="003A303A">
      <w:pPr>
        <w:pStyle w:val="ONUMFS"/>
        <w:rPr>
          <w:lang w:val="fr-FR"/>
        </w:rPr>
      </w:pPr>
      <w:r w:rsidRPr="00E85915">
        <w:rPr>
          <w:lang w:val="fr-FR"/>
        </w:rPr>
        <w:t>Un suivi de la gestion des principaux risques et du plan de continuité des opérations a été effect</w:t>
      </w:r>
      <w:r w:rsidR="00E85915" w:rsidRPr="00E85915">
        <w:rPr>
          <w:lang w:val="fr-FR"/>
        </w:rPr>
        <w:t>ué.  Un</w:t>
      </w:r>
      <w:r w:rsidRPr="00E85915">
        <w:rPr>
          <w:lang w:val="fr-FR"/>
        </w:rPr>
        <w:t>e analyse détaillée du processus de demande d</w:t>
      </w:r>
      <w:r w:rsidR="00BF513F" w:rsidRPr="00E85915">
        <w:rPr>
          <w:lang w:val="fr-FR"/>
        </w:rPr>
        <w:t>’</w:t>
      </w:r>
      <w:r w:rsidRPr="00E85915">
        <w:rPr>
          <w:lang w:val="fr-FR"/>
        </w:rPr>
        <w:t>achat, ainsi que des vérifications de fond de certaines opérations d</w:t>
      </w:r>
      <w:r w:rsidR="00BF513F" w:rsidRPr="00E85915">
        <w:rPr>
          <w:lang w:val="fr-FR"/>
        </w:rPr>
        <w:t>’</w:t>
      </w:r>
      <w:r w:rsidRPr="00E85915">
        <w:rPr>
          <w:lang w:val="fr-FR"/>
        </w:rPr>
        <w:t>achat, ont été effectuées à partir d</w:t>
      </w:r>
      <w:r w:rsidR="00BF513F" w:rsidRPr="00E85915">
        <w:rPr>
          <w:lang w:val="fr-FR"/>
        </w:rPr>
        <w:t>’</w:t>
      </w:r>
      <w:r w:rsidRPr="00E85915">
        <w:rPr>
          <w:lang w:val="fr-FR"/>
        </w:rPr>
        <w:t>un échantill</w:t>
      </w:r>
      <w:r w:rsidR="00E85915" w:rsidRPr="00E85915">
        <w:rPr>
          <w:lang w:val="fr-FR"/>
        </w:rPr>
        <w:t>on.  Au</w:t>
      </w:r>
      <w:r w:rsidRPr="00E85915">
        <w:rPr>
          <w:lang w:val="fr-FR"/>
        </w:rPr>
        <w:t>cune recommandation formelle n</w:t>
      </w:r>
      <w:r w:rsidR="00BF513F" w:rsidRPr="00E85915">
        <w:rPr>
          <w:lang w:val="fr-FR"/>
        </w:rPr>
        <w:t>’</w:t>
      </w:r>
      <w:r w:rsidRPr="00E85915">
        <w:rPr>
          <w:lang w:val="fr-FR"/>
        </w:rPr>
        <w:t>a été formulée.</w:t>
      </w:r>
    </w:p>
    <w:p w14:paraId="52E65AD1" w14:textId="2D6D9CB1" w:rsidR="00F0742C" w:rsidRPr="00E85915" w:rsidRDefault="00F0742C" w:rsidP="003A303A">
      <w:pPr>
        <w:pStyle w:val="ONUMFS"/>
        <w:rPr>
          <w:lang w:val="fr-FR"/>
        </w:rPr>
      </w:pPr>
      <w:r w:rsidRPr="00E85915">
        <w:rPr>
          <w:lang w:val="fr-FR"/>
        </w:rPr>
        <w:t>La conclusion générale de l</w:t>
      </w:r>
      <w:r w:rsidR="00BF513F" w:rsidRPr="00E85915">
        <w:rPr>
          <w:lang w:val="fr-FR"/>
        </w:rPr>
        <w:t>’</w:t>
      </w:r>
      <w:r w:rsidRPr="00E85915">
        <w:rPr>
          <w:lang w:val="fr-FR"/>
        </w:rPr>
        <w:t>examen était “Satisfaisant”.</w:t>
      </w:r>
    </w:p>
    <w:p w14:paraId="6A36DE5D" w14:textId="0A1D85F0" w:rsidR="00F0742C" w:rsidRPr="00E85915" w:rsidRDefault="00B321D5" w:rsidP="00B321D5">
      <w:pPr>
        <w:pStyle w:val="Heading2"/>
      </w:pPr>
      <w:r w:rsidRPr="00E85915">
        <w:t>EXAMEN DES PROCESSUS LIÉS AUX ACTIVITÉS DE L’OMPI EN FAVEUR DE L’ENGAGEMENT DES JEUNES (IA 2025</w:t>
      </w:r>
      <w:r>
        <w:noBreakHyphen/>
      </w:r>
      <w:r w:rsidRPr="00E85915">
        <w:t>09)</w:t>
      </w:r>
    </w:p>
    <w:p w14:paraId="55FD78D7" w14:textId="1B60DD16" w:rsidR="00F0742C" w:rsidRPr="00E85915" w:rsidRDefault="00F0742C" w:rsidP="003A303A">
      <w:pPr>
        <w:pStyle w:val="ONUMFS"/>
        <w:rPr>
          <w:lang w:val="fr-FR"/>
        </w:rPr>
      </w:pPr>
      <w:r w:rsidRPr="00E85915">
        <w:rPr>
          <w:lang w:val="fr-FR"/>
        </w:rPr>
        <w:t>L</w:t>
      </w:r>
      <w:r w:rsidR="00BF513F" w:rsidRPr="00E85915">
        <w:rPr>
          <w:lang w:val="fr-FR"/>
        </w:rPr>
        <w:t>’</w:t>
      </w:r>
      <w:r w:rsidRPr="00E85915">
        <w:rPr>
          <w:lang w:val="fr-FR"/>
        </w:rPr>
        <w:t>examen a porté sur les activités menées par l</w:t>
      </w:r>
      <w:r w:rsidR="00BF513F" w:rsidRPr="00E85915">
        <w:rPr>
          <w:lang w:val="fr-FR"/>
        </w:rPr>
        <w:t>’</w:t>
      </w:r>
      <w:r w:rsidRPr="00E85915">
        <w:rPr>
          <w:lang w:val="fr-FR"/>
        </w:rPr>
        <w:t>OMPI en faveur des jeunes et sur l</w:t>
      </w:r>
      <w:r w:rsidR="00BF513F" w:rsidRPr="00E85915">
        <w:rPr>
          <w:lang w:val="fr-FR"/>
        </w:rPr>
        <w:t>’</w:t>
      </w:r>
      <w:r w:rsidRPr="00E85915">
        <w:rPr>
          <w:lang w:val="fr-FR"/>
        </w:rPr>
        <w:t xml:space="preserve">exécution du budget </w:t>
      </w:r>
      <w:r w:rsidR="00BF513F" w:rsidRPr="00E85915">
        <w:rPr>
          <w:lang w:val="fr-FR"/>
        </w:rPr>
        <w:t>de 2024</w:t>
      </w:r>
      <w:r w:rsidRPr="00E85915">
        <w:rPr>
          <w:lang w:val="fr-FR"/>
        </w:rPr>
        <w:t xml:space="preserve"> à </w:t>
      </w:r>
      <w:r w:rsidR="00BF513F" w:rsidRPr="00E85915">
        <w:rPr>
          <w:lang w:val="fr-FR"/>
        </w:rPr>
        <w:t>mai 20</w:t>
      </w:r>
      <w:r w:rsidRPr="00E85915">
        <w:rPr>
          <w:lang w:val="fr-FR"/>
        </w:rPr>
        <w:t>25, ainsi que sur la contribution de ces activités au cadre stratégique de l</w:t>
      </w:r>
      <w:r w:rsidR="00BF513F" w:rsidRPr="00E85915">
        <w:rPr>
          <w:lang w:val="fr-FR"/>
        </w:rPr>
        <w:t>’</w:t>
      </w:r>
      <w:r w:rsidRPr="00E85915">
        <w:rPr>
          <w:lang w:val="fr-FR"/>
        </w:rPr>
        <w:t>O</w:t>
      </w:r>
      <w:r w:rsidR="00E85915" w:rsidRPr="00E85915">
        <w:rPr>
          <w:lang w:val="fr-FR"/>
        </w:rPr>
        <w:t>MPI.  Il</w:t>
      </w:r>
      <w:r w:rsidRPr="00E85915">
        <w:rPr>
          <w:lang w:val="fr-FR"/>
        </w:rPr>
        <w:t xml:space="preserve"> a également passé en revue la structure de gouvernance, l</w:t>
      </w:r>
      <w:r w:rsidR="00BF513F" w:rsidRPr="00E85915">
        <w:rPr>
          <w:lang w:val="fr-FR"/>
        </w:rPr>
        <w:t>’</w:t>
      </w:r>
      <w:r w:rsidRPr="00E85915">
        <w:rPr>
          <w:lang w:val="fr-FR"/>
        </w:rPr>
        <w:t>orientation stratégique des projets de l</w:t>
      </w:r>
      <w:r w:rsidR="00BF513F" w:rsidRPr="00E85915">
        <w:rPr>
          <w:lang w:val="fr-FR"/>
        </w:rPr>
        <w:t>’</w:t>
      </w:r>
      <w:r w:rsidRPr="00E85915">
        <w:rPr>
          <w:lang w:val="fr-FR"/>
        </w:rPr>
        <w:t>OMPI destinés aux jeunes, l</w:t>
      </w:r>
      <w:r w:rsidR="00BF513F" w:rsidRPr="00E85915">
        <w:rPr>
          <w:lang w:val="fr-FR"/>
        </w:rPr>
        <w:t>’</w:t>
      </w:r>
      <w:r w:rsidRPr="00E85915">
        <w:rPr>
          <w:lang w:val="fr-FR"/>
        </w:rPr>
        <w:t>organisation des tâches et la conception des projets, la collaboration avec les divisions de l</w:t>
      </w:r>
      <w:r w:rsidR="00BF513F" w:rsidRPr="00E85915">
        <w:rPr>
          <w:lang w:val="fr-FR"/>
        </w:rPr>
        <w:t>’</w:t>
      </w:r>
      <w:r w:rsidRPr="00E85915">
        <w:rPr>
          <w:lang w:val="fr-FR"/>
        </w:rPr>
        <w:t>OMPI et les partenaires externes, l</w:t>
      </w:r>
      <w:r w:rsidR="00BF513F" w:rsidRPr="00E85915">
        <w:rPr>
          <w:lang w:val="fr-FR"/>
        </w:rPr>
        <w:t>’</w:t>
      </w:r>
      <w:r w:rsidRPr="00E85915">
        <w:rPr>
          <w:lang w:val="fr-FR"/>
        </w:rPr>
        <w:t>acquisition de services et de produits, la stratégie de l</w:t>
      </w:r>
      <w:r w:rsidR="00BF513F" w:rsidRPr="00E85915">
        <w:rPr>
          <w:lang w:val="fr-FR"/>
        </w:rPr>
        <w:t>’</w:t>
      </w:r>
      <w:r w:rsidRPr="00E85915">
        <w:rPr>
          <w:lang w:val="fr-FR"/>
        </w:rPr>
        <w:t>OMPI dans le domaine des médias à l</w:t>
      </w:r>
      <w:r w:rsidR="00BF513F" w:rsidRPr="00E85915">
        <w:rPr>
          <w:lang w:val="fr-FR"/>
        </w:rPr>
        <w:t>’</w:t>
      </w:r>
      <w:r w:rsidRPr="00E85915">
        <w:rPr>
          <w:lang w:val="fr-FR"/>
        </w:rPr>
        <w:t>intention des jeunes, ainsi que les principaux risques et mesures de contrôle en place.</w:t>
      </w:r>
    </w:p>
    <w:p w14:paraId="7811AEE3" w14:textId="2F02691F" w:rsidR="00F0742C" w:rsidRPr="00E85915" w:rsidRDefault="00F0742C" w:rsidP="003A303A">
      <w:pPr>
        <w:pStyle w:val="ONUMFS"/>
        <w:rPr>
          <w:lang w:val="fr-FR"/>
        </w:rPr>
      </w:pPr>
      <w:r w:rsidRPr="00E85915">
        <w:rPr>
          <w:lang w:val="fr-FR"/>
        </w:rPr>
        <w:t>Une recommandation hautement prioritaire a été formulée afin de renforcer la coordination et la communication au sein de l</w:t>
      </w:r>
      <w:r w:rsidR="00BF513F" w:rsidRPr="00E85915">
        <w:rPr>
          <w:lang w:val="fr-FR"/>
        </w:rPr>
        <w:t>’</w:t>
      </w:r>
      <w:r w:rsidRPr="00E85915">
        <w:rPr>
          <w:lang w:val="fr-FR"/>
        </w:rPr>
        <w:t>Organisation, notamment grâce à un suivi plus systématique des activités en faveur des jeunes et à une meilleure visibilité des progrès réalisés.</w:t>
      </w:r>
    </w:p>
    <w:p w14:paraId="596F320D" w14:textId="0E8763F3" w:rsidR="00F0742C" w:rsidRPr="00E85915" w:rsidRDefault="00F0742C" w:rsidP="003A303A">
      <w:pPr>
        <w:pStyle w:val="ONUMFS"/>
        <w:rPr>
          <w:lang w:val="fr-FR"/>
        </w:rPr>
      </w:pPr>
      <w:r w:rsidRPr="00E85915">
        <w:rPr>
          <w:lang w:val="fr-FR"/>
        </w:rPr>
        <w:lastRenderedPageBreak/>
        <w:t>La conclusion générale de l</w:t>
      </w:r>
      <w:r w:rsidR="00BF513F" w:rsidRPr="00E85915">
        <w:rPr>
          <w:lang w:val="fr-FR"/>
        </w:rPr>
        <w:t>’</w:t>
      </w:r>
      <w:r w:rsidRPr="00E85915">
        <w:rPr>
          <w:lang w:val="fr-FR"/>
        </w:rPr>
        <w:t>examen était “Satisfaisant, nécessitant quelques améliorations”.</w:t>
      </w:r>
    </w:p>
    <w:p w14:paraId="19DFF2AB" w14:textId="6C292149" w:rsidR="00F0742C" w:rsidRPr="00E85915" w:rsidRDefault="00F0742C" w:rsidP="00B321D5">
      <w:pPr>
        <w:pStyle w:val="Heading2"/>
      </w:pPr>
      <w:r w:rsidRPr="00E85915">
        <w:t>Analyse de cinq</w:t>
      </w:r>
      <w:r w:rsidR="00FE72CE" w:rsidRPr="00E85915">
        <w:t> </w:t>
      </w:r>
      <w:r w:rsidRPr="00E85915">
        <w:t>domaines présentant un risque dans le domaine de la passation de marchés (IA 2025</w:t>
      </w:r>
      <w:r w:rsidR="0089008D">
        <w:noBreakHyphen/>
      </w:r>
      <w:r w:rsidRPr="00E85915">
        <w:t>10)</w:t>
      </w:r>
    </w:p>
    <w:p w14:paraId="3F6D4AB6" w14:textId="745A9635" w:rsidR="00F0742C" w:rsidRPr="00E85915" w:rsidRDefault="00F0742C" w:rsidP="003A303A">
      <w:pPr>
        <w:pStyle w:val="ONUMFS"/>
        <w:rPr>
          <w:lang w:val="fr-FR"/>
        </w:rPr>
      </w:pPr>
      <w:r w:rsidRPr="00E85915">
        <w:rPr>
          <w:lang w:val="fr-FR"/>
        </w:rPr>
        <w:t>L</w:t>
      </w:r>
      <w:r w:rsidR="00BF513F" w:rsidRPr="00E85915">
        <w:rPr>
          <w:lang w:val="fr-FR"/>
        </w:rPr>
        <w:t>’</w:t>
      </w:r>
      <w:r w:rsidRPr="00E85915">
        <w:rPr>
          <w:lang w:val="fr-FR"/>
        </w:rPr>
        <w:t>objectif de cet examen était de fournir une assurance raisonnable quant à la conception et à l</w:t>
      </w:r>
      <w:r w:rsidR="00BF513F" w:rsidRPr="00E85915">
        <w:rPr>
          <w:lang w:val="fr-FR"/>
        </w:rPr>
        <w:t>’</w:t>
      </w:r>
      <w:r w:rsidRPr="00E85915">
        <w:rPr>
          <w:lang w:val="fr-FR"/>
        </w:rPr>
        <w:t>efficacité opérationnelle des contrôles dans le domaine de la passation de marchés pour cinq</w:t>
      </w:r>
      <w:r w:rsidR="00FE72CE" w:rsidRPr="00E85915">
        <w:rPr>
          <w:lang w:val="fr-FR"/>
        </w:rPr>
        <w:t> </w:t>
      </w:r>
      <w:r w:rsidRPr="00E85915">
        <w:rPr>
          <w:lang w:val="fr-FR"/>
        </w:rPr>
        <w:t xml:space="preserve">domaines à risque, </w:t>
      </w:r>
      <w:r w:rsidR="00BF513F" w:rsidRPr="00E85915">
        <w:rPr>
          <w:lang w:val="fr-FR"/>
        </w:rPr>
        <w:t>à savoir</w:t>
      </w:r>
      <w:r w:rsidRPr="00E85915">
        <w:rPr>
          <w:lang w:val="fr-FR"/>
        </w:rPr>
        <w:t xml:space="preserve"> les services de prestataires individuels, la responsabilité des fournisseurs, les procédures de diligence raisonnable, les achats d</w:t>
      </w:r>
      <w:r w:rsidR="00BF513F" w:rsidRPr="00E85915">
        <w:rPr>
          <w:lang w:val="fr-FR"/>
        </w:rPr>
        <w:t>’</w:t>
      </w:r>
      <w:r w:rsidRPr="00E85915">
        <w:rPr>
          <w:lang w:val="fr-FR"/>
        </w:rPr>
        <w:t>un montant inférieur à 20</w:t>
      </w:r>
      <w:r w:rsidR="00FE72CE" w:rsidRPr="00E85915">
        <w:rPr>
          <w:lang w:val="fr-FR"/>
        </w:rPr>
        <w:t> </w:t>
      </w:r>
      <w:r w:rsidRPr="00E85915">
        <w:rPr>
          <w:lang w:val="fr-FR"/>
        </w:rPr>
        <w:t>000 francs suisses et les achats d</w:t>
      </w:r>
      <w:r w:rsidR="00BF513F" w:rsidRPr="00E85915">
        <w:rPr>
          <w:lang w:val="fr-FR"/>
        </w:rPr>
        <w:t>’</w:t>
      </w:r>
      <w:r w:rsidRPr="00E85915">
        <w:rPr>
          <w:lang w:val="fr-FR"/>
        </w:rPr>
        <w:t>un montant supérieur à 150</w:t>
      </w:r>
      <w:r w:rsidR="00FE72CE" w:rsidRPr="00E85915">
        <w:rPr>
          <w:lang w:val="fr-FR"/>
        </w:rPr>
        <w:t> </w:t>
      </w:r>
      <w:r w:rsidRPr="00E85915">
        <w:rPr>
          <w:lang w:val="fr-FR"/>
        </w:rPr>
        <w:t>000 francs suisses.</w:t>
      </w:r>
    </w:p>
    <w:p w14:paraId="5ED7F19F" w14:textId="3027923D" w:rsidR="00F0742C" w:rsidRPr="00E85915" w:rsidRDefault="00F0742C" w:rsidP="003A303A">
      <w:pPr>
        <w:pStyle w:val="ONUMFS"/>
        <w:rPr>
          <w:lang w:val="fr-FR"/>
        </w:rPr>
      </w:pPr>
      <w:r w:rsidRPr="00E85915">
        <w:rPr>
          <w:lang w:val="fr-FR"/>
        </w:rPr>
        <w:t>L</w:t>
      </w:r>
      <w:r w:rsidR="00BF513F" w:rsidRPr="00E85915">
        <w:rPr>
          <w:lang w:val="fr-FR"/>
        </w:rPr>
        <w:t>’</w:t>
      </w:r>
      <w:r w:rsidRPr="00E85915">
        <w:rPr>
          <w:lang w:val="fr-FR"/>
        </w:rPr>
        <w:t>analyse des risques liés à la passation de marchés a donné lieu à douze</w:t>
      </w:r>
      <w:r w:rsidR="00E85915" w:rsidRPr="00E85915">
        <w:rPr>
          <w:lang w:val="fr-FR"/>
        </w:rPr>
        <w:t> </w:t>
      </w:r>
      <w:r w:rsidRPr="00E85915">
        <w:rPr>
          <w:lang w:val="fr-FR"/>
        </w:rPr>
        <w:t>recommandations hautement prioritaires et à cinq</w:t>
      </w:r>
      <w:r w:rsidR="00FE72CE" w:rsidRPr="00E85915">
        <w:rPr>
          <w:lang w:val="fr-FR"/>
        </w:rPr>
        <w:t> </w:t>
      </w:r>
      <w:r w:rsidRPr="00E85915">
        <w:rPr>
          <w:lang w:val="fr-FR"/>
        </w:rPr>
        <w:t>recommandations moyennement prioritair</w:t>
      </w:r>
      <w:r w:rsidR="00E85915" w:rsidRPr="00E85915">
        <w:rPr>
          <w:lang w:val="fr-FR"/>
        </w:rPr>
        <w:t>es.  Le</w:t>
      </w:r>
      <w:r w:rsidRPr="00E85915">
        <w:rPr>
          <w:lang w:val="fr-FR"/>
        </w:rPr>
        <w:t>s recommandations hautement prioritaires invitaient principalement à renforcer la supervision des processus liés aux prestataires individuels de services, à perfectionner les données relatives aux fournisseurs et les données de référence, ainsi qu</w:t>
      </w:r>
      <w:r w:rsidR="00BF513F" w:rsidRPr="00E85915">
        <w:rPr>
          <w:lang w:val="fr-FR"/>
        </w:rPr>
        <w:t>’</w:t>
      </w:r>
      <w:r w:rsidRPr="00E85915">
        <w:rPr>
          <w:lang w:val="fr-FR"/>
        </w:rPr>
        <w:t>à renforcer les contrôles pour les achats d</w:t>
      </w:r>
      <w:r w:rsidR="00BF513F" w:rsidRPr="00E85915">
        <w:rPr>
          <w:lang w:val="fr-FR"/>
        </w:rPr>
        <w:t>’</w:t>
      </w:r>
      <w:r w:rsidRPr="00E85915">
        <w:rPr>
          <w:lang w:val="fr-FR"/>
        </w:rPr>
        <w:t>un montant inférieur à 20</w:t>
      </w:r>
      <w:r w:rsidR="00FE72CE" w:rsidRPr="00E85915">
        <w:rPr>
          <w:lang w:val="fr-FR"/>
        </w:rPr>
        <w:t> </w:t>
      </w:r>
      <w:r w:rsidRPr="00E85915">
        <w:rPr>
          <w:lang w:val="fr-FR"/>
        </w:rPr>
        <w:t>000 francs suisses.</w:t>
      </w:r>
    </w:p>
    <w:p w14:paraId="1D5D41DF" w14:textId="3729D22C" w:rsidR="00F0742C" w:rsidRPr="00E85915" w:rsidRDefault="00F0742C" w:rsidP="003A303A">
      <w:pPr>
        <w:pStyle w:val="ONUMFS"/>
        <w:rPr>
          <w:lang w:val="fr-FR"/>
        </w:rPr>
      </w:pPr>
      <w:r w:rsidRPr="00E85915">
        <w:rPr>
          <w:lang w:val="fr-FR"/>
        </w:rPr>
        <w:t>La conclusion de l</w:t>
      </w:r>
      <w:r w:rsidR="00BF513F" w:rsidRPr="00E85915">
        <w:rPr>
          <w:lang w:val="fr-FR"/>
        </w:rPr>
        <w:t>’</w:t>
      </w:r>
      <w:r w:rsidRPr="00E85915">
        <w:rPr>
          <w:lang w:val="fr-FR"/>
        </w:rPr>
        <w:t>examen était “Partiellement satisfaisant, nécessitant des améliorations majeures”.</w:t>
      </w:r>
    </w:p>
    <w:p w14:paraId="1DB4CB13" w14:textId="1FE731C9" w:rsidR="00F0742C" w:rsidRPr="00E85915" w:rsidRDefault="00B321D5" w:rsidP="00B321D5">
      <w:pPr>
        <w:pStyle w:val="Heading2"/>
      </w:pPr>
      <w:bookmarkStart w:id="26" w:name="_Toc476745979"/>
      <w:r w:rsidRPr="00E85915">
        <w:t>RÉSUMÉ DE LA DIVISION DE LA COORDINATION DU PLAN D’ACTION POUR LE DÉVELOPPEMENT (EVAL 2025</w:t>
      </w:r>
      <w:r>
        <w:noBreakHyphen/>
      </w:r>
      <w:r w:rsidRPr="00E85915">
        <w:t>01)</w:t>
      </w:r>
    </w:p>
    <w:p w14:paraId="3BDF612F" w14:textId="404D0812" w:rsidR="00F0742C" w:rsidRPr="00E85915" w:rsidRDefault="00F0742C" w:rsidP="003A303A">
      <w:pPr>
        <w:pStyle w:val="ONUMFS"/>
        <w:rPr>
          <w:lang w:val="fr-FR"/>
        </w:rPr>
      </w:pPr>
      <w:r w:rsidRPr="00E85915">
        <w:rPr>
          <w:lang w:val="fr-FR"/>
        </w:rPr>
        <w:t>Le résumé de la Division de la coordination du Plan d</w:t>
      </w:r>
      <w:r w:rsidR="00BF513F" w:rsidRPr="00E85915">
        <w:rPr>
          <w:lang w:val="fr-FR"/>
        </w:rPr>
        <w:t>’</w:t>
      </w:r>
      <w:r w:rsidRPr="00E85915">
        <w:rPr>
          <w:lang w:val="fr-FR"/>
        </w:rPr>
        <w:t>action pour le développement portait sur le contexte de l</w:t>
      </w:r>
      <w:r w:rsidR="00BF513F" w:rsidRPr="00E85915">
        <w:rPr>
          <w:lang w:val="fr-FR"/>
        </w:rPr>
        <w:t>’</w:t>
      </w:r>
      <w:r w:rsidRPr="00E85915">
        <w:rPr>
          <w:lang w:val="fr-FR"/>
        </w:rPr>
        <w:t>initiative historique lancée par les États membres pour axer les activités de l</w:t>
      </w:r>
      <w:r w:rsidR="00BF513F" w:rsidRPr="00E85915">
        <w:rPr>
          <w:lang w:val="fr-FR"/>
        </w:rPr>
        <w:t>’</w:t>
      </w:r>
      <w:r w:rsidRPr="00E85915">
        <w:rPr>
          <w:lang w:val="fr-FR"/>
        </w:rPr>
        <w:t>OMPI sur le développement et garantir que tous les pays puissent bénéficier de la propriété intellectuelle, sur la création du Comité du développement et de la propriété intellectuelle (CDIP), son mandat, sa gouvernance et ses mécanismes de suivi, ainsi que sur la création de la Division de la coordination du Plan d</w:t>
      </w:r>
      <w:r w:rsidR="00BF513F" w:rsidRPr="00E85915">
        <w:rPr>
          <w:lang w:val="fr-FR"/>
        </w:rPr>
        <w:t>’</w:t>
      </w:r>
      <w:r w:rsidRPr="00E85915">
        <w:rPr>
          <w:lang w:val="fr-FR"/>
        </w:rPr>
        <w:t>action pour le développement et l</w:t>
      </w:r>
      <w:r w:rsidR="00BF513F" w:rsidRPr="00E85915">
        <w:rPr>
          <w:lang w:val="fr-FR"/>
        </w:rPr>
        <w:t>’</w:t>
      </w:r>
      <w:r w:rsidRPr="00E85915">
        <w:rPr>
          <w:lang w:val="fr-FR"/>
        </w:rPr>
        <w:t>intégration du Plan d</w:t>
      </w:r>
      <w:r w:rsidR="00BF513F" w:rsidRPr="00E85915">
        <w:rPr>
          <w:lang w:val="fr-FR"/>
        </w:rPr>
        <w:t>’</w:t>
      </w:r>
      <w:r w:rsidRPr="00E85915">
        <w:rPr>
          <w:lang w:val="fr-FR"/>
        </w:rPr>
        <w:t>action pour le développement dans d</w:t>
      </w:r>
      <w:r w:rsidR="00BF513F" w:rsidRPr="00E85915">
        <w:rPr>
          <w:lang w:val="fr-FR"/>
        </w:rPr>
        <w:t>’</w:t>
      </w:r>
      <w:r w:rsidRPr="00E85915">
        <w:rPr>
          <w:lang w:val="fr-FR"/>
        </w:rPr>
        <w:t>autres secteurs et divisions de l</w:t>
      </w:r>
      <w:r w:rsidR="00BF513F" w:rsidRPr="00E85915">
        <w:rPr>
          <w:lang w:val="fr-FR"/>
        </w:rPr>
        <w:t>’</w:t>
      </w:r>
      <w:r w:rsidRPr="00E85915">
        <w:rPr>
          <w:lang w:val="fr-FR"/>
        </w:rPr>
        <w:t>OMPI, grâce à la mise en œuvre et à l</w:t>
      </w:r>
      <w:r w:rsidR="00BF513F" w:rsidRPr="00E85915">
        <w:rPr>
          <w:lang w:val="fr-FR"/>
        </w:rPr>
        <w:t>’</w:t>
      </w:r>
      <w:r w:rsidRPr="00E85915">
        <w:rPr>
          <w:lang w:val="fr-FR"/>
        </w:rPr>
        <w:t>intégration des projets relevant du Plan d</w:t>
      </w:r>
      <w:r w:rsidR="00BF513F" w:rsidRPr="00E85915">
        <w:rPr>
          <w:lang w:val="fr-FR"/>
        </w:rPr>
        <w:t>’</w:t>
      </w:r>
      <w:r w:rsidRPr="00E85915">
        <w:rPr>
          <w:lang w:val="fr-FR"/>
        </w:rPr>
        <w:t>action.</w:t>
      </w:r>
    </w:p>
    <w:p w14:paraId="03A01448" w14:textId="01CB3A23" w:rsidR="00F0742C" w:rsidRPr="00E85915" w:rsidRDefault="00F0742C" w:rsidP="003A303A">
      <w:pPr>
        <w:pStyle w:val="ONUMFS"/>
        <w:rPr>
          <w:lang w:val="fr-FR"/>
        </w:rPr>
      </w:pPr>
      <w:r w:rsidRPr="00E85915">
        <w:rPr>
          <w:lang w:val="fr-FR"/>
        </w:rPr>
        <w:t>Les différentes étapes du cycle de vie des projets du Plan d</w:t>
      </w:r>
      <w:r w:rsidR="00BF513F" w:rsidRPr="00E85915">
        <w:rPr>
          <w:lang w:val="fr-FR"/>
        </w:rPr>
        <w:t>’</w:t>
      </w:r>
      <w:r w:rsidRPr="00E85915">
        <w:rPr>
          <w:lang w:val="fr-FR"/>
        </w:rPr>
        <w:t>action pour le développement, depuis leur lancement jusqu</w:t>
      </w:r>
      <w:r w:rsidR="00BF513F" w:rsidRPr="00E85915">
        <w:rPr>
          <w:lang w:val="fr-FR"/>
        </w:rPr>
        <w:t>’</w:t>
      </w:r>
      <w:r w:rsidRPr="00E85915">
        <w:rPr>
          <w:lang w:val="fr-FR"/>
        </w:rPr>
        <w:t>à leur clôture, en passant par leur approbation par</w:t>
      </w:r>
      <w:r w:rsidR="00BF513F" w:rsidRPr="00E85915">
        <w:rPr>
          <w:lang w:val="fr-FR"/>
        </w:rPr>
        <w:t xml:space="preserve"> le CDI</w:t>
      </w:r>
      <w:r w:rsidRPr="00E85915">
        <w:rPr>
          <w:lang w:val="fr-FR"/>
        </w:rPr>
        <w:t>P et leur évaluation, ont été validées à l</w:t>
      </w:r>
      <w:r w:rsidR="00BF513F" w:rsidRPr="00E85915">
        <w:rPr>
          <w:lang w:val="fr-FR"/>
        </w:rPr>
        <w:t>’</w:t>
      </w:r>
      <w:r w:rsidRPr="00E85915">
        <w:rPr>
          <w:lang w:val="fr-FR"/>
        </w:rPr>
        <w:t>issue de l</w:t>
      </w:r>
      <w:r w:rsidR="00BF513F" w:rsidRPr="00E85915">
        <w:rPr>
          <w:lang w:val="fr-FR"/>
        </w:rPr>
        <w:t>’</w:t>
      </w:r>
      <w:r w:rsidRPr="00E85915">
        <w:rPr>
          <w:lang w:val="fr-FR"/>
        </w:rPr>
        <w:t>examen de six</w:t>
      </w:r>
      <w:r w:rsidR="00FE72CE" w:rsidRPr="00E85915">
        <w:rPr>
          <w:lang w:val="fr-FR"/>
        </w:rPr>
        <w:t> </w:t>
      </w:r>
      <w:r w:rsidRPr="00E85915">
        <w:rPr>
          <w:lang w:val="fr-FR"/>
        </w:rPr>
        <w:t>projets typ</w:t>
      </w:r>
      <w:r w:rsidR="00E85915" w:rsidRPr="00E85915">
        <w:rPr>
          <w:lang w:val="fr-FR"/>
        </w:rPr>
        <w:t>es.  Un</w:t>
      </w:r>
      <w:r w:rsidRPr="00E85915">
        <w:rPr>
          <w:lang w:val="fr-FR"/>
        </w:rPr>
        <w:t>e deuxième évaluation externe de l</w:t>
      </w:r>
      <w:r w:rsidR="00BF513F" w:rsidRPr="00E85915">
        <w:rPr>
          <w:lang w:val="fr-FR"/>
        </w:rPr>
        <w:t>’</w:t>
      </w:r>
      <w:r w:rsidRPr="00E85915">
        <w:rPr>
          <w:lang w:val="fr-FR"/>
        </w:rPr>
        <w:t>assistance technique fournie par l</w:t>
      </w:r>
      <w:r w:rsidR="00BF513F" w:rsidRPr="00E85915">
        <w:rPr>
          <w:lang w:val="fr-FR"/>
        </w:rPr>
        <w:t>’</w:t>
      </w:r>
      <w:r w:rsidRPr="00E85915">
        <w:rPr>
          <w:lang w:val="fr-FR"/>
        </w:rPr>
        <w:t>OMPI dans le cadre du Plan d</w:t>
      </w:r>
      <w:r w:rsidR="00BF513F" w:rsidRPr="00E85915">
        <w:rPr>
          <w:lang w:val="fr-FR"/>
        </w:rPr>
        <w:t>’</w:t>
      </w:r>
      <w:r w:rsidRPr="00E85915">
        <w:rPr>
          <w:lang w:val="fr-FR"/>
        </w:rPr>
        <w:t xml:space="preserve">action pour le développement a été commandée et achevée </w:t>
      </w:r>
      <w:r w:rsidR="00BF513F" w:rsidRPr="00E85915">
        <w:rPr>
          <w:lang w:val="fr-FR"/>
        </w:rPr>
        <w:t>en 2024</w:t>
      </w:r>
      <w:r w:rsidRPr="00E85915">
        <w:rPr>
          <w:lang w:val="fr-FR"/>
        </w:rPr>
        <w:t xml:space="preserve">, à la suite de la première évaluation externe </w:t>
      </w:r>
      <w:r w:rsidR="00BF513F" w:rsidRPr="00E85915">
        <w:rPr>
          <w:lang w:val="fr-FR"/>
        </w:rPr>
        <w:t>de 2016</w:t>
      </w:r>
      <w:r w:rsidRPr="00E85915">
        <w:rPr>
          <w:lang w:val="fr-FR"/>
        </w:rPr>
        <w:t>.  Ses conclusions ont été examinées lors de la trente</w:t>
      </w:r>
      <w:r w:rsidR="0089008D">
        <w:rPr>
          <w:lang w:val="fr-FR"/>
        </w:rPr>
        <w:noBreakHyphen/>
      </w:r>
      <w:r w:rsidRPr="00E85915">
        <w:rPr>
          <w:lang w:val="fr-FR"/>
        </w:rPr>
        <w:t>trois</w:t>
      </w:r>
      <w:r w:rsidR="00BF513F" w:rsidRPr="00E85915">
        <w:rPr>
          <w:lang w:val="fr-FR"/>
        </w:rPr>
        <w:t>ième session du CDI</w:t>
      </w:r>
      <w:r w:rsidRPr="00E85915">
        <w:rPr>
          <w:lang w:val="fr-FR"/>
        </w:rPr>
        <w:t>P (</w:t>
      </w:r>
      <w:r w:rsidR="00BF513F" w:rsidRPr="00E85915">
        <w:rPr>
          <w:lang w:val="fr-FR"/>
        </w:rPr>
        <w:t>décembre 20</w:t>
      </w:r>
      <w:r w:rsidRPr="00E85915">
        <w:rPr>
          <w:lang w:val="fr-FR"/>
        </w:rPr>
        <w:t>24), les plans d</w:t>
      </w:r>
      <w:r w:rsidR="00BF513F" w:rsidRPr="00E85915">
        <w:rPr>
          <w:lang w:val="fr-FR"/>
        </w:rPr>
        <w:t>’</w:t>
      </w:r>
      <w:r w:rsidRPr="00E85915">
        <w:rPr>
          <w:lang w:val="fr-FR"/>
        </w:rPr>
        <w:t>action proposés ont été présentés lors de la trente</w:t>
      </w:r>
      <w:r w:rsidR="0089008D">
        <w:rPr>
          <w:lang w:val="fr-FR"/>
        </w:rPr>
        <w:noBreakHyphen/>
      </w:r>
      <w:r w:rsidRPr="00E85915">
        <w:rPr>
          <w:lang w:val="fr-FR"/>
        </w:rPr>
        <w:t>quatr</w:t>
      </w:r>
      <w:r w:rsidR="00BF513F" w:rsidRPr="00E85915">
        <w:rPr>
          <w:lang w:val="fr-FR"/>
        </w:rPr>
        <w:t>ième session du CDI</w:t>
      </w:r>
      <w:r w:rsidRPr="00E85915">
        <w:rPr>
          <w:lang w:val="fr-FR"/>
        </w:rPr>
        <w:t>P (</w:t>
      </w:r>
      <w:r w:rsidR="00BF513F" w:rsidRPr="00E85915">
        <w:rPr>
          <w:lang w:val="fr-FR"/>
        </w:rPr>
        <w:t>mai 20</w:t>
      </w:r>
      <w:r w:rsidRPr="00E85915">
        <w:rPr>
          <w:lang w:val="fr-FR"/>
        </w:rPr>
        <w:t>25) et de nouvelles discussions ont eu lieu lors de la trente</w:t>
      </w:r>
      <w:r w:rsidR="0089008D">
        <w:rPr>
          <w:lang w:val="fr-FR"/>
        </w:rPr>
        <w:noBreakHyphen/>
      </w:r>
      <w:r w:rsidRPr="00E85915">
        <w:rPr>
          <w:lang w:val="fr-FR"/>
        </w:rPr>
        <w:t>cinqu</w:t>
      </w:r>
      <w:r w:rsidR="00BF513F" w:rsidRPr="00E85915">
        <w:rPr>
          <w:lang w:val="fr-FR"/>
        </w:rPr>
        <w:t>ième session du CDI</w:t>
      </w:r>
      <w:r w:rsidRPr="00E85915">
        <w:rPr>
          <w:lang w:val="fr-FR"/>
        </w:rPr>
        <w:t>P (</w:t>
      </w:r>
      <w:r w:rsidR="00BF513F" w:rsidRPr="00E85915">
        <w:rPr>
          <w:lang w:val="fr-FR"/>
        </w:rPr>
        <w:t>décembre 20</w:t>
      </w:r>
      <w:r w:rsidRPr="00E85915">
        <w:rPr>
          <w:lang w:val="fr-FR"/>
        </w:rPr>
        <w:t>25).</w:t>
      </w:r>
    </w:p>
    <w:p w14:paraId="2F36B738" w14:textId="7123AE02" w:rsidR="00F0742C" w:rsidRPr="00E85915" w:rsidRDefault="00F0742C" w:rsidP="003A303A">
      <w:pPr>
        <w:pStyle w:val="ONUMFS"/>
        <w:rPr>
          <w:lang w:val="fr-FR"/>
        </w:rPr>
      </w:pPr>
      <w:r w:rsidRPr="00E85915">
        <w:rPr>
          <w:lang w:val="fr-FR"/>
        </w:rPr>
        <w:t>Compte tenu des mécanismes de contrôle à plusieurs niveaux déjà en place, des évaluations récentes et de l</w:t>
      </w:r>
      <w:r w:rsidR="00BF513F" w:rsidRPr="00E85915">
        <w:rPr>
          <w:lang w:val="fr-FR"/>
        </w:rPr>
        <w:t>’</w:t>
      </w:r>
      <w:r w:rsidRPr="00E85915">
        <w:rPr>
          <w:lang w:val="fr-FR"/>
        </w:rPr>
        <w:t xml:space="preserve">examen mené </w:t>
      </w:r>
      <w:r w:rsidR="00BF513F" w:rsidRPr="00E85915">
        <w:rPr>
          <w:lang w:val="fr-FR"/>
        </w:rPr>
        <w:t>en 2025</w:t>
      </w:r>
      <w:r w:rsidRPr="00E85915">
        <w:rPr>
          <w:lang w:val="fr-FR"/>
        </w:rPr>
        <w:t xml:space="preserve"> par le Corps commun d</w:t>
      </w:r>
      <w:r w:rsidR="00BF513F" w:rsidRPr="00E85915">
        <w:rPr>
          <w:lang w:val="fr-FR"/>
        </w:rPr>
        <w:t>’</w:t>
      </w:r>
      <w:r w:rsidRPr="00E85915">
        <w:rPr>
          <w:lang w:val="fr-FR"/>
        </w:rPr>
        <w:t xml:space="preserve">inspection des </w:t>
      </w:r>
      <w:r w:rsidR="00BF513F" w:rsidRPr="00E85915">
        <w:rPr>
          <w:lang w:val="fr-FR"/>
        </w:rPr>
        <w:t>Nations Unies</w:t>
      </w:r>
      <w:r w:rsidRPr="00E85915">
        <w:rPr>
          <w:lang w:val="fr-FR"/>
        </w:rPr>
        <w:t xml:space="preserve"> (CCI), portant sur les fonctions d</w:t>
      </w:r>
      <w:r w:rsidR="00BF513F" w:rsidRPr="00E85915">
        <w:rPr>
          <w:lang w:val="fr-FR"/>
        </w:rPr>
        <w:t>’</w:t>
      </w:r>
      <w:r w:rsidRPr="00E85915">
        <w:rPr>
          <w:lang w:val="fr-FR"/>
        </w:rPr>
        <w:t>évaluation décentralisées à l</w:t>
      </w:r>
      <w:r w:rsidR="00BF513F" w:rsidRPr="00E85915">
        <w:rPr>
          <w:lang w:val="fr-FR"/>
        </w:rPr>
        <w:t>’</w:t>
      </w:r>
      <w:r w:rsidRPr="00E85915">
        <w:rPr>
          <w:lang w:val="fr-FR"/>
        </w:rPr>
        <w:t>échelle de l</w:t>
      </w:r>
      <w:r w:rsidR="00BF513F" w:rsidRPr="00E85915">
        <w:rPr>
          <w:lang w:val="fr-FR"/>
        </w:rPr>
        <w:t>’</w:t>
      </w:r>
      <w:r w:rsidRPr="00E85915">
        <w:rPr>
          <w:lang w:val="fr-FR"/>
        </w:rPr>
        <w:t>ensemble du système et qui couvre également l</w:t>
      </w:r>
      <w:r w:rsidR="00BF513F" w:rsidRPr="00E85915">
        <w:rPr>
          <w:lang w:val="fr-FR"/>
        </w:rPr>
        <w:t>’</w:t>
      </w:r>
      <w:r w:rsidRPr="00E85915">
        <w:rPr>
          <w:lang w:val="fr-FR"/>
        </w:rPr>
        <w:t>OMPI, aucune évaluation complète de la Division de la coordination du Plan d</w:t>
      </w:r>
      <w:r w:rsidR="00BF513F" w:rsidRPr="00E85915">
        <w:rPr>
          <w:lang w:val="fr-FR"/>
        </w:rPr>
        <w:t>’</w:t>
      </w:r>
      <w:r w:rsidRPr="00E85915">
        <w:rPr>
          <w:lang w:val="fr-FR"/>
        </w:rPr>
        <w:t>action pour le développement n</w:t>
      </w:r>
      <w:r w:rsidR="00BF513F" w:rsidRPr="00E85915">
        <w:rPr>
          <w:lang w:val="fr-FR"/>
        </w:rPr>
        <w:t>’</w:t>
      </w:r>
      <w:r w:rsidRPr="00E85915">
        <w:rPr>
          <w:lang w:val="fr-FR"/>
        </w:rPr>
        <w:t xml:space="preserve">a été réalisée </w:t>
      </w:r>
      <w:r w:rsidR="00BF513F" w:rsidRPr="00E85915">
        <w:rPr>
          <w:lang w:val="fr-FR"/>
        </w:rPr>
        <w:t>en 2025</w:t>
      </w:r>
      <w:r w:rsidRPr="00E85915">
        <w:rPr>
          <w:lang w:val="fr-FR"/>
        </w:rPr>
        <w:t>.</w:t>
      </w:r>
    </w:p>
    <w:p w14:paraId="611FA77F" w14:textId="631DA05E" w:rsidR="00F0742C" w:rsidRPr="00B321D5" w:rsidRDefault="00F0742C" w:rsidP="00B321D5">
      <w:pPr>
        <w:pStyle w:val="Heading1"/>
      </w:pPr>
      <w:bookmarkStart w:id="27" w:name="_Toc39071249"/>
      <w:bookmarkStart w:id="28" w:name="_Toc227321804"/>
      <w:bookmarkStart w:id="29" w:name="_Hlk156899119"/>
      <w:bookmarkStart w:id="30" w:name="_Toc328920437"/>
      <w:bookmarkEnd w:id="26"/>
      <w:r w:rsidRPr="00B321D5">
        <w:t>ACTIVITÉS D</w:t>
      </w:r>
      <w:r w:rsidR="00BF513F" w:rsidRPr="00B321D5">
        <w:t>’</w:t>
      </w:r>
      <w:r w:rsidRPr="00B321D5">
        <w:t>ENQUÊTE</w:t>
      </w:r>
      <w:bookmarkEnd w:id="27"/>
      <w:bookmarkEnd w:id="28"/>
    </w:p>
    <w:p w14:paraId="1669B045" w14:textId="220D166B" w:rsidR="00F0742C" w:rsidRPr="00B321D5" w:rsidRDefault="00B321D5" w:rsidP="00B321D5">
      <w:pPr>
        <w:pStyle w:val="Heading2"/>
      </w:pPr>
      <w:r w:rsidRPr="00B321D5">
        <w:t>APERÇU DES DOSSIERS TRAITÉS</w:t>
      </w:r>
    </w:p>
    <w:p w14:paraId="6F9C0794" w14:textId="585414F6" w:rsidR="00F0742C" w:rsidRPr="00E85915" w:rsidRDefault="00F0742C" w:rsidP="003A303A">
      <w:pPr>
        <w:pStyle w:val="ONUMFS"/>
        <w:rPr>
          <w:lang w:val="fr-FR"/>
        </w:rPr>
      </w:pPr>
      <w:r w:rsidRPr="00E85915">
        <w:rPr>
          <w:lang w:val="fr-FR"/>
        </w:rPr>
        <w:t>Au</w:t>
      </w:r>
      <w:r w:rsidR="00BF513F" w:rsidRPr="00E85915">
        <w:rPr>
          <w:lang w:val="fr-FR"/>
        </w:rPr>
        <w:t xml:space="preserve"> 1</w:t>
      </w:r>
      <w:r w:rsidR="00BF513F" w:rsidRPr="00E85915">
        <w:rPr>
          <w:vertAlign w:val="superscript"/>
          <w:lang w:val="fr-FR"/>
        </w:rPr>
        <w:t>er</w:t>
      </w:r>
      <w:r w:rsidR="00BF513F" w:rsidRPr="00E85915">
        <w:rPr>
          <w:lang w:val="fr-FR"/>
        </w:rPr>
        <w:t> janvier 20</w:t>
      </w:r>
      <w:r w:rsidRPr="00E85915">
        <w:rPr>
          <w:lang w:val="fr-FR"/>
        </w:rPr>
        <w:t>25, on comptait 10 dossiers reportés des années précédent</w:t>
      </w:r>
      <w:r w:rsidR="00E85915" w:rsidRPr="00E85915">
        <w:rPr>
          <w:lang w:val="fr-FR"/>
        </w:rPr>
        <w:t>es.  De</w:t>
      </w:r>
      <w:r w:rsidRPr="00E85915">
        <w:rPr>
          <w:lang w:val="fr-FR"/>
        </w:rPr>
        <w:t>ux</w:t>
      </w:r>
      <w:r w:rsidR="00FE72CE" w:rsidRPr="00E85915">
        <w:rPr>
          <w:lang w:val="fr-FR"/>
        </w:rPr>
        <w:t> </w:t>
      </w:r>
      <w:r w:rsidRPr="00E85915">
        <w:rPr>
          <w:lang w:val="fr-FR"/>
        </w:rPr>
        <w:t xml:space="preserve">dossiers </w:t>
      </w:r>
      <w:r w:rsidR="00BF513F" w:rsidRPr="00E85915">
        <w:rPr>
          <w:lang w:val="fr-FR"/>
        </w:rPr>
        <w:t>de 2022</w:t>
      </w:r>
      <w:r w:rsidRPr="00E85915">
        <w:rPr>
          <w:lang w:val="fr-FR"/>
        </w:rPr>
        <w:t xml:space="preserve"> et 2023 ont été classés au début du mois de </w:t>
      </w:r>
      <w:r w:rsidR="00BF513F" w:rsidRPr="00E85915">
        <w:rPr>
          <w:lang w:val="fr-FR"/>
        </w:rPr>
        <w:t>janvier 20</w:t>
      </w:r>
      <w:r w:rsidRPr="00E85915">
        <w:rPr>
          <w:lang w:val="fr-FR"/>
        </w:rPr>
        <w:t>25.  Huit</w:t>
      </w:r>
      <w:r w:rsidR="00FE72CE" w:rsidRPr="00E85915">
        <w:rPr>
          <w:lang w:val="fr-FR"/>
        </w:rPr>
        <w:t> </w:t>
      </w:r>
      <w:r w:rsidRPr="00E85915">
        <w:rPr>
          <w:lang w:val="fr-FR"/>
        </w:rPr>
        <w:t xml:space="preserve">dossiers </w:t>
      </w:r>
      <w:r w:rsidR="00BF513F" w:rsidRPr="00E85915">
        <w:rPr>
          <w:lang w:val="fr-FR"/>
        </w:rPr>
        <w:t>de 2024</w:t>
      </w:r>
      <w:r w:rsidRPr="00E85915">
        <w:rPr>
          <w:lang w:val="fr-FR"/>
        </w:rPr>
        <w:t xml:space="preserve"> ont été traités </w:t>
      </w:r>
      <w:r w:rsidR="00BF513F" w:rsidRPr="00E85915">
        <w:rPr>
          <w:lang w:val="fr-FR"/>
        </w:rPr>
        <w:t>en 2025</w:t>
      </w:r>
      <w:r w:rsidRPr="00E85915">
        <w:rPr>
          <w:lang w:val="fr-FR"/>
        </w:rPr>
        <w:t>.</w:t>
      </w:r>
    </w:p>
    <w:p w14:paraId="4FDBA1AA" w14:textId="55600106" w:rsidR="00F0742C" w:rsidRPr="00E85915" w:rsidRDefault="00F0742C" w:rsidP="003A303A">
      <w:pPr>
        <w:pStyle w:val="ONUMFS"/>
        <w:rPr>
          <w:lang w:val="fr-FR"/>
        </w:rPr>
      </w:pPr>
      <w:r w:rsidRPr="00E85915">
        <w:rPr>
          <w:lang w:val="fr-FR"/>
        </w:rPr>
        <w:lastRenderedPageBreak/>
        <w:t>Vingt</w:t>
      </w:r>
      <w:r w:rsidR="0089008D">
        <w:rPr>
          <w:lang w:val="fr-FR"/>
        </w:rPr>
        <w:noBreakHyphen/>
      </w:r>
      <w:r w:rsidRPr="00E85915">
        <w:rPr>
          <w:lang w:val="fr-FR"/>
        </w:rPr>
        <w:t xml:space="preserve">trois nouveaux dossiers ont été enregistrés </w:t>
      </w:r>
      <w:r w:rsidR="00BF513F" w:rsidRPr="00E85915">
        <w:rPr>
          <w:lang w:val="fr-FR"/>
        </w:rPr>
        <w:t>en 2025</w:t>
      </w:r>
      <w:r w:rsidRPr="00E85915">
        <w:rPr>
          <w:lang w:val="fr-FR"/>
        </w:rPr>
        <w:t>, pour un total de 33 dossiers au cours de la période considér</w:t>
      </w:r>
      <w:r w:rsidR="00E85915" w:rsidRPr="00E85915">
        <w:rPr>
          <w:lang w:val="fr-FR"/>
        </w:rPr>
        <w:t>ée.  Au</w:t>
      </w:r>
      <w:r w:rsidRPr="00E85915">
        <w:rPr>
          <w:lang w:val="fr-FR"/>
        </w:rPr>
        <w:t xml:space="preserve"> 31 </w:t>
      </w:r>
      <w:r w:rsidR="00BF513F" w:rsidRPr="00E85915">
        <w:rPr>
          <w:lang w:val="fr-FR"/>
        </w:rPr>
        <w:t>décembre 20</w:t>
      </w:r>
      <w:r w:rsidRPr="00E85915">
        <w:rPr>
          <w:lang w:val="fr-FR"/>
        </w:rPr>
        <w:t>25, six</w:t>
      </w:r>
      <w:r w:rsidR="00FE72CE" w:rsidRPr="00E85915">
        <w:rPr>
          <w:lang w:val="fr-FR"/>
        </w:rPr>
        <w:t> </w:t>
      </w:r>
      <w:r w:rsidRPr="00E85915">
        <w:rPr>
          <w:lang w:val="fr-FR"/>
        </w:rPr>
        <w:t>dossiers étaient en cours, tous à des étapes différentes de l</w:t>
      </w:r>
      <w:r w:rsidR="00BF513F" w:rsidRPr="00E85915">
        <w:rPr>
          <w:lang w:val="fr-FR"/>
        </w:rPr>
        <w:t>’</w:t>
      </w:r>
      <w:r w:rsidRPr="00E85915">
        <w:rPr>
          <w:lang w:val="fr-FR"/>
        </w:rPr>
        <w:t>évaluation préliminaire.</w:t>
      </w:r>
    </w:p>
    <w:p w14:paraId="37D5DBFD" w14:textId="6668B9F4" w:rsidR="00F0742C" w:rsidRPr="00E85915" w:rsidRDefault="00F0742C" w:rsidP="003D3CED">
      <w:pPr>
        <w:keepNext/>
        <w:spacing w:after="220"/>
        <w:jc w:val="center"/>
        <w:rPr>
          <w:b/>
          <w:bCs/>
          <w:lang w:val="fr-FR"/>
        </w:rPr>
      </w:pPr>
      <w:r w:rsidRPr="002A1DBF">
        <w:rPr>
          <w:b/>
          <w:bCs/>
          <w:lang w:val="fr-FR"/>
        </w:rPr>
        <w:t xml:space="preserve">Diagramme 1 </w:t>
      </w:r>
      <w:r w:rsidR="00B91586" w:rsidRPr="002A1DBF">
        <w:rPr>
          <w:b/>
          <w:bCs/>
          <w:lang w:val="fr-FR"/>
        </w:rPr>
        <w:t>–</w:t>
      </w:r>
      <w:r w:rsidRPr="002A1DBF">
        <w:rPr>
          <w:b/>
          <w:bCs/>
          <w:lang w:val="fr-FR"/>
        </w:rPr>
        <w:t xml:space="preserve"> Analyse comparée des enquêtes menées </w:t>
      </w:r>
      <w:r w:rsidR="00BF513F" w:rsidRPr="002A1DBF">
        <w:rPr>
          <w:b/>
          <w:bCs/>
          <w:lang w:val="fr-FR"/>
        </w:rPr>
        <w:t>en 2023</w:t>
      </w:r>
      <w:r w:rsidRPr="002A1DBF">
        <w:rPr>
          <w:b/>
          <w:bCs/>
          <w:lang w:val="fr-FR"/>
        </w:rPr>
        <w:t>, 2024 et 2025</w:t>
      </w:r>
    </w:p>
    <w:p w14:paraId="07BC756A" w14:textId="20CBDF63" w:rsidR="00F0742C" w:rsidRPr="00E85915" w:rsidRDefault="00B321D5" w:rsidP="003A303A">
      <w:pPr>
        <w:jc w:val="center"/>
        <w:rPr>
          <w:lang w:val="fr-FR"/>
        </w:rPr>
      </w:pPr>
      <w:r w:rsidRPr="00B321D5">
        <w:rPr>
          <w:noProof/>
        </w:rPr>
        <w:drawing>
          <wp:inline distT="0" distB="0" distL="0" distR="0" wp14:anchorId="29B58BFE" wp14:editId="6D0FAE47">
            <wp:extent cx="5940425" cy="2936240"/>
            <wp:effectExtent l="0" t="0" r="3175" b="0"/>
            <wp:docPr id="521561390" name="Picture 1" descr="Diagramme 1 - Analyse comparée des enquêtes menées en 2023, 2024 et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561390" name="Picture 1" descr="Diagramme 1 - Analyse comparée des enquêtes menées en 2023, 2024 et 202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0425" cy="2936240"/>
                    </a:xfrm>
                    <a:prstGeom prst="rect">
                      <a:avLst/>
                    </a:prstGeom>
                    <a:noFill/>
                    <a:ln>
                      <a:noFill/>
                    </a:ln>
                  </pic:spPr>
                </pic:pic>
              </a:graphicData>
            </a:graphic>
          </wp:inline>
        </w:drawing>
      </w:r>
    </w:p>
    <w:p w14:paraId="3134286E" w14:textId="77777777" w:rsidR="00F0742C" w:rsidRPr="00E85915" w:rsidRDefault="00F0742C" w:rsidP="003A303A">
      <w:pPr>
        <w:jc w:val="center"/>
        <w:rPr>
          <w:lang w:val="fr-FR"/>
        </w:rPr>
      </w:pPr>
    </w:p>
    <w:p w14:paraId="48A82D45" w14:textId="12019ED5" w:rsidR="00F0742C" w:rsidRPr="00E85915" w:rsidRDefault="00F0742C" w:rsidP="002A1DBF">
      <w:pPr>
        <w:spacing w:after="240"/>
        <w:jc w:val="center"/>
        <w:rPr>
          <w:b/>
          <w:bCs/>
          <w:lang w:val="fr-FR"/>
        </w:rPr>
      </w:pPr>
      <w:r w:rsidRPr="002A1DBF">
        <w:rPr>
          <w:b/>
          <w:bCs/>
          <w:lang w:val="fr-FR"/>
        </w:rPr>
        <w:t xml:space="preserve">Tableau 1 </w:t>
      </w:r>
      <w:r w:rsidR="00B91586" w:rsidRPr="002A1DBF">
        <w:rPr>
          <w:b/>
          <w:bCs/>
          <w:lang w:val="fr-FR"/>
        </w:rPr>
        <w:t>–</w:t>
      </w:r>
      <w:r w:rsidRPr="002A1DBF">
        <w:rPr>
          <w:b/>
          <w:bCs/>
          <w:lang w:val="fr-FR"/>
        </w:rPr>
        <w:t xml:space="preserve"> Catégories de dossiers enregistrés </w:t>
      </w:r>
      <w:r w:rsidR="00BF513F" w:rsidRPr="002A1DBF">
        <w:rPr>
          <w:b/>
          <w:bCs/>
          <w:lang w:val="fr-FR"/>
        </w:rPr>
        <w:t>en 2023</w:t>
      </w:r>
      <w:r w:rsidRPr="002A1DBF">
        <w:rPr>
          <w:b/>
          <w:bCs/>
          <w:lang w:val="fr-FR"/>
        </w:rPr>
        <w:t>, 2024 et 2025</w:t>
      </w:r>
    </w:p>
    <w:tbl>
      <w:tblPr>
        <w:tblW w:w="0" w:type="auto"/>
        <w:tblLook w:val="06A0" w:firstRow="1" w:lastRow="0" w:firstColumn="1" w:lastColumn="0" w:noHBand="1" w:noVBand="1"/>
        <w:tblCaption w:val="Tableau 1 – Catégories de dossiers enregistrés en 2023, 2024 et 2025"/>
        <w:tblDescription w:val="Tableau résumant le nombre de dossiers d’enquête enregistrés, par catégorie, pour les années 2023, 2024 et 2025."/>
      </w:tblPr>
      <w:tblGrid>
        <w:gridCol w:w="960"/>
        <w:gridCol w:w="5450"/>
        <w:gridCol w:w="941"/>
        <w:gridCol w:w="941"/>
        <w:gridCol w:w="942"/>
      </w:tblGrid>
      <w:tr w:rsidR="00F0742C" w:rsidRPr="00E85915" w14:paraId="3AAB878E"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38ABEDAD" w14:textId="77777777" w:rsidR="00F0742C" w:rsidRPr="00E85915" w:rsidRDefault="00F0742C" w:rsidP="003A303A">
            <w:pPr>
              <w:jc w:val="center"/>
              <w:rPr>
                <w:rFonts w:eastAsia="Arial"/>
                <w:b/>
                <w:bCs/>
                <w:color w:val="000000" w:themeColor="text1"/>
                <w:szCs w:val="22"/>
                <w:lang w:val="fr-FR"/>
              </w:rPr>
            </w:pPr>
            <w:r w:rsidRPr="00E85915">
              <w:rPr>
                <w:b/>
                <w:color w:val="000000" w:themeColor="text1"/>
                <w:lang w:val="fr-FR"/>
              </w:rPr>
              <w:t>S/ N</w:t>
            </w:r>
          </w:p>
        </w:tc>
        <w:tc>
          <w:tcPr>
            <w:tcW w:w="5450"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36C9CC6E" w14:textId="77777777" w:rsidR="00F0742C" w:rsidRPr="00E85915" w:rsidRDefault="00F0742C" w:rsidP="003A303A">
            <w:pPr>
              <w:rPr>
                <w:rFonts w:eastAsia="Arial"/>
                <w:b/>
                <w:bCs/>
                <w:color w:val="000000" w:themeColor="text1"/>
                <w:szCs w:val="22"/>
                <w:lang w:val="fr-FR"/>
              </w:rPr>
            </w:pPr>
            <w:r w:rsidRPr="00E85915">
              <w:rPr>
                <w:b/>
                <w:color w:val="000000" w:themeColor="text1"/>
                <w:lang w:val="fr-FR"/>
              </w:rPr>
              <w:t>Catégorie de plainte</w:t>
            </w:r>
          </w:p>
        </w:tc>
        <w:tc>
          <w:tcPr>
            <w:tcW w:w="941"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76B475D8" w14:textId="77777777" w:rsidR="00F0742C" w:rsidRPr="00E85915" w:rsidRDefault="00F0742C" w:rsidP="003A303A">
            <w:pPr>
              <w:jc w:val="center"/>
              <w:rPr>
                <w:rFonts w:eastAsia="Arial"/>
                <w:b/>
                <w:bCs/>
                <w:color w:val="000000" w:themeColor="text1"/>
                <w:szCs w:val="22"/>
                <w:lang w:val="fr-FR"/>
              </w:rPr>
            </w:pPr>
            <w:r w:rsidRPr="00E85915">
              <w:rPr>
                <w:b/>
                <w:color w:val="000000" w:themeColor="text1"/>
                <w:lang w:val="fr-FR"/>
              </w:rPr>
              <w:t>2023</w:t>
            </w:r>
          </w:p>
        </w:tc>
        <w:tc>
          <w:tcPr>
            <w:tcW w:w="941"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0419D02A" w14:textId="77777777" w:rsidR="00F0742C" w:rsidRPr="00E85915" w:rsidRDefault="00F0742C" w:rsidP="003A303A">
            <w:pPr>
              <w:jc w:val="center"/>
              <w:rPr>
                <w:rFonts w:eastAsia="Arial"/>
                <w:b/>
                <w:bCs/>
                <w:color w:val="000000" w:themeColor="text1"/>
                <w:szCs w:val="22"/>
                <w:lang w:val="fr-FR"/>
              </w:rPr>
            </w:pPr>
            <w:r w:rsidRPr="00E85915">
              <w:rPr>
                <w:b/>
                <w:color w:val="000000" w:themeColor="text1"/>
                <w:lang w:val="fr-FR"/>
              </w:rPr>
              <w:t>2024</w:t>
            </w:r>
          </w:p>
        </w:tc>
        <w:tc>
          <w:tcPr>
            <w:tcW w:w="942" w:type="dxa"/>
            <w:tcBorders>
              <w:top w:val="single" w:sz="4" w:space="0" w:color="auto"/>
              <w:left w:val="single" w:sz="4" w:space="0" w:color="auto"/>
              <w:bottom w:val="single" w:sz="4" w:space="0" w:color="auto"/>
              <w:right w:val="single" w:sz="4" w:space="0" w:color="auto"/>
            </w:tcBorders>
            <w:shd w:val="clear" w:color="auto" w:fill="4D93D9"/>
            <w:tcMar>
              <w:top w:w="15" w:type="dxa"/>
              <w:left w:w="15" w:type="dxa"/>
              <w:right w:w="15" w:type="dxa"/>
            </w:tcMar>
            <w:vAlign w:val="center"/>
          </w:tcPr>
          <w:p w14:paraId="6D5395ED" w14:textId="77777777" w:rsidR="00F0742C" w:rsidRPr="00E85915" w:rsidRDefault="00F0742C" w:rsidP="003A303A">
            <w:pPr>
              <w:jc w:val="center"/>
              <w:rPr>
                <w:rFonts w:eastAsia="Arial"/>
                <w:b/>
                <w:bCs/>
                <w:color w:val="000000" w:themeColor="text1"/>
                <w:szCs w:val="22"/>
                <w:lang w:val="fr-FR"/>
              </w:rPr>
            </w:pPr>
            <w:r w:rsidRPr="00E85915">
              <w:rPr>
                <w:b/>
                <w:color w:val="000000" w:themeColor="text1"/>
                <w:lang w:val="fr-FR"/>
              </w:rPr>
              <w:t>2025</w:t>
            </w:r>
          </w:p>
        </w:tc>
      </w:tr>
      <w:tr w:rsidR="00F0742C" w:rsidRPr="00E85915" w14:paraId="39CAAF26"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17C2023"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1E9B87A" w14:textId="77777777" w:rsidR="00F0742C" w:rsidRPr="00E85915" w:rsidRDefault="00F0742C" w:rsidP="003A303A">
            <w:pPr>
              <w:rPr>
                <w:rFonts w:eastAsia="Arial"/>
                <w:color w:val="000000" w:themeColor="text1"/>
                <w:szCs w:val="22"/>
                <w:lang w:val="fr-FR"/>
              </w:rPr>
            </w:pPr>
            <w:r w:rsidRPr="00E85915">
              <w:rPr>
                <w:color w:val="000000" w:themeColor="text1"/>
                <w:lang w:val="fr-FR"/>
              </w:rPr>
              <w:t>Abus de pouvoir</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E571163"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2</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D42E08C"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3</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9AD560A"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2</w:t>
            </w:r>
          </w:p>
        </w:tc>
      </w:tr>
      <w:tr w:rsidR="00F0742C" w:rsidRPr="00E85915" w14:paraId="772853DE"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FAE25C3"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2</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6EB8554" w14:textId="77777777" w:rsidR="00F0742C" w:rsidRPr="00E85915" w:rsidRDefault="00F0742C" w:rsidP="003A303A">
            <w:pPr>
              <w:rPr>
                <w:rFonts w:eastAsia="Arial"/>
                <w:color w:val="000000" w:themeColor="text1"/>
                <w:szCs w:val="22"/>
                <w:lang w:val="fr-FR"/>
              </w:rPr>
            </w:pPr>
            <w:r w:rsidRPr="00E85915">
              <w:rPr>
                <w:color w:val="000000" w:themeColor="text1"/>
                <w:lang w:val="fr-FR"/>
              </w:rPr>
              <w:t>Abus concernant les horaires de travail</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66B909"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4</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D58017"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9FA276"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r>
      <w:tr w:rsidR="00F0742C" w:rsidRPr="00E85915" w14:paraId="70F428D6"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1266508"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3</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18FEC7A3" w14:textId="77777777" w:rsidR="00F0742C" w:rsidRPr="00E85915" w:rsidRDefault="00F0742C" w:rsidP="003A303A">
            <w:pPr>
              <w:rPr>
                <w:rFonts w:eastAsia="Arial"/>
                <w:color w:val="000000" w:themeColor="text1"/>
                <w:szCs w:val="22"/>
                <w:lang w:val="fr-FR"/>
              </w:rPr>
            </w:pPr>
            <w:r w:rsidRPr="00E85915">
              <w:rPr>
                <w:color w:val="000000" w:themeColor="text1"/>
                <w:lang w:val="fr-FR"/>
              </w:rPr>
              <w:t>Fraude ou abus concernant les prestations</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13D88FE"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0BD2468"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32A8318"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r>
      <w:tr w:rsidR="00F0742C" w:rsidRPr="00E85915" w14:paraId="2F102BAC"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1CF9EAA"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4</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06C296" w14:textId="77777777" w:rsidR="00F0742C" w:rsidRPr="00E85915" w:rsidRDefault="00F0742C" w:rsidP="003A303A">
            <w:pPr>
              <w:rPr>
                <w:rFonts w:eastAsia="Arial"/>
                <w:color w:val="000000" w:themeColor="text1"/>
                <w:szCs w:val="22"/>
                <w:lang w:val="fr-FR"/>
              </w:rPr>
            </w:pPr>
            <w:r w:rsidRPr="00E85915">
              <w:rPr>
                <w:color w:val="000000" w:themeColor="text1"/>
                <w:lang w:val="fr-FR"/>
              </w:rPr>
              <w:t>Violation de la confidentialité</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63E4BD"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4ADE08"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2</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34BBAA"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r>
      <w:tr w:rsidR="00F0742C" w:rsidRPr="00E85915" w14:paraId="613529EC"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A6820D5"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5</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7C03976" w14:textId="1147F77A" w:rsidR="00F0742C" w:rsidRPr="00E85915" w:rsidRDefault="00F0742C" w:rsidP="003A303A">
            <w:pPr>
              <w:rPr>
                <w:rFonts w:eastAsia="Arial"/>
                <w:color w:val="000000" w:themeColor="text1"/>
                <w:szCs w:val="22"/>
                <w:lang w:val="fr-FR"/>
              </w:rPr>
            </w:pPr>
            <w:r w:rsidRPr="00E85915">
              <w:rPr>
                <w:color w:val="000000" w:themeColor="text1"/>
                <w:lang w:val="fr-FR"/>
              </w:rPr>
              <w:t>Conflit d</w:t>
            </w:r>
            <w:r w:rsidR="00BF513F" w:rsidRPr="00E85915">
              <w:rPr>
                <w:color w:val="000000" w:themeColor="text1"/>
                <w:lang w:val="fr-FR"/>
              </w:rPr>
              <w:t>’</w:t>
            </w:r>
            <w:r w:rsidRPr="00E85915">
              <w:rPr>
                <w:color w:val="000000" w:themeColor="text1"/>
                <w:lang w:val="fr-FR"/>
              </w:rPr>
              <w:t>intérêts</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1469328B"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2</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2C4CDB3"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313FF47"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r>
      <w:tr w:rsidR="00F0742C" w:rsidRPr="00E85915" w14:paraId="47242E20"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F962890"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6</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9EF062" w14:textId="77777777" w:rsidR="00F0742C" w:rsidRPr="00E85915" w:rsidRDefault="00F0742C" w:rsidP="003A303A">
            <w:pPr>
              <w:rPr>
                <w:rFonts w:eastAsia="Arial"/>
                <w:color w:val="000000" w:themeColor="text1"/>
                <w:szCs w:val="22"/>
                <w:lang w:val="fr-FR"/>
              </w:rPr>
            </w:pPr>
            <w:r w:rsidRPr="00E85915">
              <w:rPr>
                <w:color w:val="000000" w:themeColor="text1"/>
                <w:lang w:val="fr-FR"/>
              </w:rPr>
              <w:t>Corruption</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78B1CC"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49C2EA"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C762C0"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r>
      <w:tr w:rsidR="00F0742C" w:rsidRPr="00E85915" w14:paraId="2B79EA67"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20A5B50"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7</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5DF629" w14:textId="77777777" w:rsidR="00F0742C" w:rsidRPr="00E85915" w:rsidRDefault="00F0742C" w:rsidP="003A303A">
            <w:pPr>
              <w:rPr>
                <w:rFonts w:eastAsia="Arial"/>
                <w:color w:val="000000" w:themeColor="text1"/>
                <w:szCs w:val="22"/>
                <w:lang w:val="fr-FR"/>
              </w:rPr>
            </w:pPr>
            <w:r w:rsidRPr="00E85915">
              <w:rPr>
                <w:color w:val="000000" w:themeColor="text1"/>
                <w:lang w:val="fr-FR"/>
              </w:rPr>
              <w:t>Harcèlement (non sexuel), discrimination</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B96487"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12</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525C97"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14</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B70CFD"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2</w:t>
            </w:r>
          </w:p>
        </w:tc>
      </w:tr>
      <w:tr w:rsidR="00F0742C" w:rsidRPr="00E85915" w14:paraId="54E20439"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F223680"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8</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E91B878" w14:textId="77777777" w:rsidR="00F0742C" w:rsidRPr="00E85915" w:rsidRDefault="00F0742C" w:rsidP="003A303A">
            <w:pPr>
              <w:rPr>
                <w:rFonts w:eastAsia="Arial"/>
                <w:color w:val="000000" w:themeColor="text1"/>
                <w:szCs w:val="22"/>
                <w:lang w:val="fr-FR"/>
              </w:rPr>
            </w:pPr>
            <w:r w:rsidRPr="00E85915">
              <w:rPr>
                <w:color w:val="000000" w:themeColor="text1"/>
                <w:lang w:val="fr-FR"/>
              </w:rPr>
              <w:t>Insubordination ou autre comportement inapproprié</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175ECA0F"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A7A5B98"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318AE43"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r>
      <w:tr w:rsidR="00F0742C" w:rsidRPr="00E85915" w14:paraId="0E53098F"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7DC8EE46"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9</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69DF07" w14:textId="0DEBBADC" w:rsidR="00F0742C" w:rsidRPr="00E85915" w:rsidRDefault="00F0742C" w:rsidP="003A303A">
            <w:pPr>
              <w:rPr>
                <w:rFonts w:eastAsia="Arial"/>
                <w:color w:val="000000" w:themeColor="text1"/>
                <w:szCs w:val="22"/>
                <w:lang w:val="fr-FR"/>
              </w:rPr>
            </w:pPr>
            <w:r w:rsidRPr="00E85915">
              <w:rPr>
                <w:color w:val="000000" w:themeColor="text1"/>
                <w:lang w:val="fr-FR"/>
              </w:rPr>
              <w:t>Utilisation abusive des fonds et avoirs de l</w:t>
            </w:r>
            <w:r w:rsidR="00BF513F" w:rsidRPr="00E85915">
              <w:rPr>
                <w:color w:val="000000" w:themeColor="text1"/>
                <w:lang w:val="fr-FR"/>
              </w:rPr>
              <w:t>’</w:t>
            </w:r>
            <w:r w:rsidRPr="00E85915">
              <w:rPr>
                <w:color w:val="000000" w:themeColor="text1"/>
                <w:lang w:val="fr-FR"/>
              </w:rPr>
              <w:t>OMPI</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9DE317"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1DB122"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A216602"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r>
      <w:tr w:rsidR="00F0742C" w:rsidRPr="00E85915" w14:paraId="0F7721C0"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2A27A95"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10</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4E45727B" w14:textId="7C7F7A9D" w:rsidR="00F0742C" w:rsidRPr="00E85915" w:rsidRDefault="00F0742C" w:rsidP="003A303A">
            <w:pPr>
              <w:rPr>
                <w:rFonts w:eastAsia="Arial"/>
                <w:color w:val="000000" w:themeColor="text1"/>
                <w:szCs w:val="22"/>
                <w:lang w:val="fr-FR"/>
              </w:rPr>
            </w:pPr>
            <w:r w:rsidRPr="00E85915">
              <w:rPr>
                <w:color w:val="000000" w:themeColor="text1"/>
                <w:lang w:val="fr-FR"/>
              </w:rPr>
              <w:t>Négligence au travail, obstruction aux opérations de l</w:t>
            </w:r>
            <w:r w:rsidR="00BF513F" w:rsidRPr="00E85915">
              <w:rPr>
                <w:color w:val="000000" w:themeColor="text1"/>
                <w:lang w:val="fr-FR"/>
              </w:rPr>
              <w:t>’</w:t>
            </w:r>
            <w:r w:rsidRPr="00E85915">
              <w:rPr>
                <w:color w:val="000000" w:themeColor="text1"/>
                <w:lang w:val="fr-FR"/>
              </w:rPr>
              <w:t>OMPI</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945B60B"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6265AA45"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14216F1"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r>
      <w:tr w:rsidR="00F0742C" w:rsidRPr="00E85915" w14:paraId="6B28DD5B" w14:textId="77777777" w:rsidTr="009521C8">
        <w:trPr>
          <w:trHeight w:val="55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8568283"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11</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D9CB88" w14:textId="77777777" w:rsidR="00F0742C" w:rsidRPr="00E85915" w:rsidRDefault="00F0742C" w:rsidP="003A303A">
            <w:pPr>
              <w:rPr>
                <w:rFonts w:eastAsia="Arial"/>
                <w:color w:val="000000" w:themeColor="text1"/>
                <w:szCs w:val="22"/>
                <w:lang w:val="fr-FR"/>
              </w:rPr>
            </w:pPr>
            <w:r w:rsidRPr="00E85915">
              <w:rPr>
                <w:color w:val="000000" w:themeColor="text1"/>
                <w:lang w:val="fr-FR"/>
              </w:rPr>
              <w:t>Autres manquements aux normes de conduite requises des fonctionnaires internationaux</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62087C"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2</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EC3BFD"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4</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C62291"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6</w:t>
            </w:r>
          </w:p>
        </w:tc>
      </w:tr>
      <w:tr w:rsidR="00F0742C" w:rsidRPr="00E85915" w14:paraId="6C428722"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9C0CD3E"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12</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148E8DA1" w14:textId="77777777" w:rsidR="00F0742C" w:rsidRPr="00E85915" w:rsidRDefault="00F0742C" w:rsidP="003A303A">
            <w:pPr>
              <w:rPr>
                <w:rFonts w:eastAsia="Arial"/>
                <w:color w:val="000000" w:themeColor="text1"/>
                <w:szCs w:val="22"/>
                <w:lang w:val="fr-FR"/>
              </w:rPr>
            </w:pPr>
            <w:r w:rsidRPr="00E85915">
              <w:rPr>
                <w:color w:val="000000" w:themeColor="text1"/>
                <w:lang w:val="fr-FR"/>
              </w:rPr>
              <w:t>Irrégularités dans la passation de marchés</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BDC259E"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79BE6DC"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02F42BD7"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r>
      <w:tr w:rsidR="00F0742C" w:rsidRPr="00E85915" w14:paraId="42AA0B20"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F470DC0"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13</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E76CF7" w14:textId="77777777" w:rsidR="00F0742C" w:rsidRPr="00E85915" w:rsidRDefault="00F0742C" w:rsidP="003A303A">
            <w:pPr>
              <w:rPr>
                <w:rFonts w:eastAsia="Arial"/>
                <w:color w:val="000000" w:themeColor="text1"/>
                <w:szCs w:val="22"/>
                <w:lang w:val="fr-FR"/>
              </w:rPr>
            </w:pPr>
            <w:r w:rsidRPr="00E85915">
              <w:rPr>
                <w:color w:val="000000" w:themeColor="text1"/>
                <w:lang w:val="fr-FR"/>
              </w:rPr>
              <w:t>Irrégularités dans le recrutement</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4C475B"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3</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5A18D7"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4</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77E571"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6</w:t>
            </w:r>
          </w:p>
        </w:tc>
      </w:tr>
      <w:tr w:rsidR="00F0742C" w:rsidRPr="00E85915" w14:paraId="29FA55C3"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107993D5"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14</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329179D" w14:textId="77777777" w:rsidR="00F0742C" w:rsidRPr="00E85915" w:rsidRDefault="00F0742C" w:rsidP="003A303A">
            <w:pPr>
              <w:rPr>
                <w:rFonts w:eastAsia="Arial"/>
                <w:color w:val="000000" w:themeColor="text1"/>
                <w:szCs w:val="22"/>
                <w:lang w:val="fr-FR"/>
              </w:rPr>
            </w:pPr>
            <w:r w:rsidRPr="00E85915">
              <w:rPr>
                <w:color w:val="000000" w:themeColor="text1"/>
                <w:lang w:val="fr-FR"/>
              </w:rPr>
              <w:t>Représailles</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A7BB594"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76F1DCE8"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7B4B115"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r>
      <w:tr w:rsidR="00F0742C" w:rsidRPr="00E85915" w14:paraId="1BCDF2FD"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03B8D93C"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15</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727988" w14:textId="77777777" w:rsidR="00F0742C" w:rsidRPr="00E85915" w:rsidRDefault="00F0742C" w:rsidP="003A303A">
            <w:pPr>
              <w:rPr>
                <w:rFonts w:eastAsia="Arial"/>
                <w:color w:val="000000" w:themeColor="text1"/>
                <w:szCs w:val="22"/>
                <w:lang w:val="fr-FR"/>
              </w:rPr>
            </w:pPr>
            <w:r w:rsidRPr="00E85915">
              <w:rPr>
                <w:color w:val="000000" w:themeColor="text1"/>
                <w:lang w:val="fr-FR"/>
              </w:rPr>
              <w:t>Harcèlement sexuel</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AD5316"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4</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59566C"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2</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554893"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r>
      <w:tr w:rsidR="00F0742C" w:rsidRPr="00E85915" w14:paraId="22DDCB52"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6EFA79B"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16</w:t>
            </w:r>
          </w:p>
        </w:tc>
        <w:tc>
          <w:tcPr>
            <w:tcW w:w="545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FDBB06" w14:textId="77777777" w:rsidR="00F0742C" w:rsidRPr="00E85915" w:rsidRDefault="00F0742C" w:rsidP="003A303A">
            <w:pPr>
              <w:rPr>
                <w:rFonts w:eastAsia="Arial"/>
                <w:color w:val="000000" w:themeColor="text1"/>
                <w:szCs w:val="22"/>
                <w:lang w:val="fr-FR"/>
              </w:rPr>
            </w:pPr>
            <w:r w:rsidRPr="00E85915">
              <w:rPr>
                <w:color w:val="000000" w:themeColor="text1"/>
                <w:lang w:val="fr-FR"/>
              </w:rPr>
              <w:t>Activités non autorisées en dehors du Bureau international</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FCCD98"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w:t>
            </w:r>
          </w:p>
        </w:tc>
        <w:tc>
          <w:tcPr>
            <w:tcW w:w="9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67EFCD"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c>
          <w:tcPr>
            <w:tcW w:w="9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674C0F"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r>
      <w:tr w:rsidR="00F0742C" w:rsidRPr="00E85915" w14:paraId="0072CCCB" w14:textId="77777777" w:rsidTr="009521C8">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31CDC39C"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17</w:t>
            </w:r>
          </w:p>
        </w:tc>
        <w:tc>
          <w:tcPr>
            <w:tcW w:w="5450"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3DD601B4" w14:textId="77777777" w:rsidR="00F0742C" w:rsidRPr="00E85915" w:rsidRDefault="00F0742C" w:rsidP="003A303A">
            <w:pPr>
              <w:rPr>
                <w:rFonts w:eastAsia="Arial"/>
                <w:color w:val="000000" w:themeColor="text1"/>
                <w:szCs w:val="22"/>
                <w:lang w:val="fr-FR"/>
              </w:rPr>
            </w:pPr>
            <w:r w:rsidRPr="00E85915">
              <w:rPr>
                <w:color w:val="000000" w:themeColor="text1"/>
                <w:lang w:val="fr-FR"/>
              </w:rPr>
              <w:t>Utilisateurs extérieurs des systèmes opérationnels</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560C1B8C"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0</w:t>
            </w:r>
          </w:p>
        </w:tc>
        <w:tc>
          <w:tcPr>
            <w:tcW w:w="941"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989BCCD"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12</w:t>
            </w:r>
          </w:p>
        </w:tc>
        <w:tc>
          <w:tcPr>
            <w:tcW w:w="942" w:type="dxa"/>
            <w:tcBorders>
              <w:top w:val="single" w:sz="4" w:space="0" w:color="auto"/>
              <w:left w:val="single" w:sz="4" w:space="0" w:color="auto"/>
              <w:bottom w:val="single" w:sz="4" w:space="0" w:color="auto"/>
              <w:right w:val="single" w:sz="4" w:space="0" w:color="auto"/>
            </w:tcBorders>
            <w:shd w:val="clear" w:color="auto" w:fill="CAEDFB"/>
            <w:tcMar>
              <w:top w:w="15" w:type="dxa"/>
              <w:left w:w="15" w:type="dxa"/>
              <w:right w:w="15" w:type="dxa"/>
            </w:tcMar>
            <w:vAlign w:val="center"/>
          </w:tcPr>
          <w:p w14:paraId="241CD061" w14:textId="77777777" w:rsidR="00F0742C" w:rsidRPr="00E85915" w:rsidRDefault="00F0742C" w:rsidP="003A303A">
            <w:pPr>
              <w:jc w:val="center"/>
              <w:rPr>
                <w:rFonts w:eastAsia="Arial"/>
                <w:color w:val="000000" w:themeColor="text1"/>
                <w:szCs w:val="22"/>
                <w:lang w:val="fr-FR"/>
              </w:rPr>
            </w:pPr>
            <w:r w:rsidRPr="00E85915">
              <w:rPr>
                <w:color w:val="000000" w:themeColor="text1"/>
                <w:lang w:val="fr-FR"/>
              </w:rPr>
              <w:t>3</w:t>
            </w:r>
          </w:p>
        </w:tc>
      </w:tr>
      <w:tr w:rsidR="00F0742C" w:rsidRPr="00E85915" w14:paraId="2021654C" w14:textId="77777777" w:rsidTr="009521C8">
        <w:trPr>
          <w:trHeight w:val="285"/>
        </w:trPr>
        <w:tc>
          <w:tcPr>
            <w:tcW w:w="9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4F273A06" w14:textId="77777777" w:rsidR="00F0742C" w:rsidRPr="00E85915" w:rsidRDefault="00F0742C" w:rsidP="003A303A">
            <w:pPr>
              <w:rPr>
                <w:lang w:val="fr-FR"/>
              </w:rPr>
            </w:pPr>
          </w:p>
        </w:tc>
        <w:tc>
          <w:tcPr>
            <w:tcW w:w="5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2EE9CD73" w14:textId="77777777" w:rsidR="00F0742C" w:rsidRPr="00E85915" w:rsidRDefault="00F0742C" w:rsidP="003A303A">
            <w:pPr>
              <w:rPr>
                <w:rFonts w:eastAsia="Arial"/>
                <w:b/>
                <w:bCs/>
                <w:color w:val="000000" w:themeColor="text1"/>
                <w:sz w:val="20"/>
                <w:lang w:val="fr-FR"/>
              </w:rPr>
            </w:pPr>
            <w:r w:rsidRPr="00E85915">
              <w:rPr>
                <w:b/>
                <w:color w:val="000000" w:themeColor="text1"/>
                <w:sz w:val="20"/>
                <w:lang w:val="fr-FR"/>
              </w:rPr>
              <w:t>Total</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A7B8ED7" w14:textId="77777777" w:rsidR="00F0742C" w:rsidRPr="00E85915" w:rsidRDefault="00F0742C" w:rsidP="003A303A">
            <w:pPr>
              <w:jc w:val="center"/>
              <w:rPr>
                <w:rFonts w:eastAsia="Arial"/>
                <w:b/>
                <w:bCs/>
                <w:color w:val="000000" w:themeColor="text1"/>
                <w:sz w:val="20"/>
                <w:lang w:val="fr-FR"/>
              </w:rPr>
            </w:pPr>
            <w:r w:rsidRPr="00E85915">
              <w:rPr>
                <w:b/>
                <w:color w:val="000000" w:themeColor="text1"/>
                <w:sz w:val="20"/>
                <w:lang w:val="fr-FR"/>
              </w:rPr>
              <w:t>37</w:t>
            </w:r>
          </w:p>
        </w:tc>
        <w:tc>
          <w:tcPr>
            <w:tcW w:w="94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5123B4AE" w14:textId="77777777" w:rsidR="00F0742C" w:rsidRPr="00E85915" w:rsidRDefault="00F0742C" w:rsidP="003A303A">
            <w:pPr>
              <w:jc w:val="center"/>
              <w:rPr>
                <w:rFonts w:eastAsia="Arial"/>
                <w:b/>
                <w:bCs/>
                <w:color w:val="000000" w:themeColor="text1"/>
                <w:sz w:val="20"/>
                <w:lang w:val="fr-FR"/>
              </w:rPr>
            </w:pPr>
            <w:r w:rsidRPr="00E85915">
              <w:rPr>
                <w:b/>
                <w:color w:val="000000" w:themeColor="text1"/>
                <w:sz w:val="20"/>
                <w:lang w:val="fr-FR"/>
              </w:rPr>
              <w:t>45</w:t>
            </w:r>
          </w:p>
        </w:tc>
        <w:tc>
          <w:tcPr>
            <w:tcW w:w="9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15" w:type="dxa"/>
              <w:left w:w="15" w:type="dxa"/>
              <w:right w:w="15" w:type="dxa"/>
            </w:tcMar>
            <w:vAlign w:val="center"/>
          </w:tcPr>
          <w:p w14:paraId="61D76A99" w14:textId="77777777" w:rsidR="00F0742C" w:rsidRPr="00E85915" w:rsidRDefault="00F0742C" w:rsidP="003A303A">
            <w:pPr>
              <w:jc w:val="center"/>
              <w:rPr>
                <w:rFonts w:eastAsia="Arial"/>
                <w:b/>
                <w:bCs/>
                <w:color w:val="000000" w:themeColor="text1"/>
                <w:sz w:val="20"/>
                <w:lang w:val="fr-FR"/>
              </w:rPr>
            </w:pPr>
            <w:r w:rsidRPr="00E85915">
              <w:rPr>
                <w:b/>
                <w:color w:val="000000" w:themeColor="text1"/>
                <w:sz w:val="20"/>
                <w:lang w:val="fr-FR"/>
              </w:rPr>
              <w:t>23</w:t>
            </w:r>
          </w:p>
        </w:tc>
      </w:tr>
    </w:tbl>
    <w:p w14:paraId="3C37D5CC" w14:textId="77777777" w:rsidR="00F0742C" w:rsidRPr="00E85915" w:rsidRDefault="00F0742C" w:rsidP="00B321D5">
      <w:pPr>
        <w:rPr>
          <w:lang w:val="fr-FR"/>
        </w:rPr>
      </w:pPr>
    </w:p>
    <w:p w14:paraId="6544A922" w14:textId="52126819" w:rsidR="00F0742C" w:rsidRPr="002A1DBF" w:rsidRDefault="00F0742C" w:rsidP="003D3CED">
      <w:pPr>
        <w:keepNext/>
        <w:spacing w:after="220"/>
        <w:jc w:val="center"/>
        <w:rPr>
          <w:b/>
          <w:bCs/>
          <w:lang w:val="fr-FR"/>
        </w:rPr>
      </w:pPr>
      <w:r w:rsidRPr="002A1DBF">
        <w:rPr>
          <w:b/>
          <w:bCs/>
          <w:lang w:val="fr-FR"/>
        </w:rPr>
        <w:lastRenderedPageBreak/>
        <w:t xml:space="preserve">Diagramme 2 </w:t>
      </w:r>
      <w:r w:rsidR="00B91586" w:rsidRPr="002A1DBF">
        <w:rPr>
          <w:b/>
          <w:bCs/>
          <w:lang w:val="fr-FR"/>
        </w:rPr>
        <w:t>–</w:t>
      </w:r>
      <w:r w:rsidRPr="002A1DBF">
        <w:rPr>
          <w:b/>
          <w:bCs/>
          <w:lang w:val="fr-FR"/>
        </w:rPr>
        <w:t xml:space="preserve"> Traitement des dossiers classés après évaluation préliminaire </w:t>
      </w:r>
      <w:r w:rsidR="00BF513F" w:rsidRPr="002A1DBF">
        <w:rPr>
          <w:b/>
          <w:bCs/>
          <w:lang w:val="fr-FR"/>
        </w:rPr>
        <w:t>en 2023</w:t>
      </w:r>
      <w:r w:rsidRPr="002A1DBF">
        <w:rPr>
          <w:b/>
          <w:bCs/>
          <w:lang w:val="fr-FR"/>
        </w:rPr>
        <w:t>, 2024 et 2025</w:t>
      </w:r>
    </w:p>
    <w:p w14:paraId="0667CD6F" w14:textId="10D6E211" w:rsidR="002A1DBF" w:rsidRPr="00E85915" w:rsidRDefault="002A1DBF" w:rsidP="002A1DBF">
      <w:pPr>
        <w:spacing w:after="240" w:line="259" w:lineRule="auto"/>
        <w:jc w:val="center"/>
        <w:rPr>
          <w:lang w:val="fr-FR"/>
        </w:rPr>
      </w:pPr>
      <w:r w:rsidRPr="002A1DBF">
        <w:rPr>
          <w:noProof/>
        </w:rPr>
        <w:drawing>
          <wp:inline distT="0" distB="0" distL="0" distR="0" wp14:anchorId="77DE226B" wp14:editId="6479EEF5">
            <wp:extent cx="5940425" cy="2240915"/>
            <wp:effectExtent l="0" t="0" r="3175" b="6985"/>
            <wp:docPr id="1654921688" name="Picture 4" descr="Diagramme 2 - Traitement des dossiers classés après évaluation préliminaire en 2023, 2024 et 2025 Ce diagramme présente le nombre de dossiers classés après évaluation préliminaire en 2023, 2024 et 2025, avec ou sans renvoi. En 2023, 42 dossiers ont été classés (39 sans renvoi, trois avec renvoi). En 2024, 38 dossiers ont été classés (13 sans renvoi, 25 avec renvoi). En 2025, 27 dossiers ont été classés (23 sans renvoi, quatre avec renv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4921688" name="Picture 4" descr="Diagramme 2 - Traitement des dossiers classés après évaluation préliminaire en 2023, 2024 et 2025 Ce diagramme présente le nombre de dossiers classés après évaluation préliminaire en 2023, 2024 et 2025, avec ou sans renvoi. En 2023, 42 dossiers ont été classés (39 sans renvoi, trois avec renvoi). En 2024, 38 dossiers ont été classés (13 sans renvoi, 25 avec renvoi). En 2025, 27 dossiers ont été classés (23 sans renvoi, quatre avec renvoi)."/>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0425" cy="2240915"/>
                    </a:xfrm>
                    <a:prstGeom prst="rect">
                      <a:avLst/>
                    </a:prstGeom>
                    <a:noFill/>
                    <a:ln>
                      <a:noFill/>
                    </a:ln>
                  </pic:spPr>
                </pic:pic>
              </a:graphicData>
            </a:graphic>
          </wp:inline>
        </w:drawing>
      </w:r>
    </w:p>
    <w:p w14:paraId="571ACEA9" w14:textId="65114D5A" w:rsidR="00F0742C" w:rsidRPr="00E85915" w:rsidRDefault="00F0742C" w:rsidP="003A303A">
      <w:pPr>
        <w:pStyle w:val="ONUMFS"/>
        <w:rPr>
          <w:lang w:val="fr-FR"/>
        </w:rPr>
      </w:pPr>
      <w:r w:rsidRPr="00E85915">
        <w:rPr>
          <w:rStyle w:val="cf01"/>
          <w:rFonts w:ascii="Arial" w:hAnsi="Arial"/>
          <w:sz w:val="22"/>
          <w:lang w:val="fr-FR"/>
        </w:rPr>
        <w:t>Au cours de la période considérée, quatre</w:t>
      </w:r>
      <w:r w:rsidR="00FE72CE" w:rsidRPr="00E85915">
        <w:rPr>
          <w:rStyle w:val="cf01"/>
          <w:rFonts w:ascii="Arial" w:hAnsi="Arial"/>
          <w:sz w:val="22"/>
          <w:lang w:val="fr-FR"/>
        </w:rPr>
        <w:t> </w:t>
      </w:r>
      <w:r w:rsidRPr="00E85915">
        <w:rPr>
          <w:rStyle w:val="cf01"/>
          <w:rFonts w:ascii="Arial" w:hAnsi="Arial"/>
          <w:sz w:val="22"/>
          <w:lang w:val="fr-FR"/>
        </w:rPr>
        <w:t>dossiers ont été examinés après une évaluation préliminaire conformément au paragraphe 80.e) du Manuel d</w:t>
      </w:r>
      <w:r w:rsidR="00BF513F" w:rsidRPr="00E85915">
        <w:rPr>
          <w:rStyle w:val="cf01"/>
          <w:rFonts w:ascii="Arial" w:hAnsi="Arial"/>
          <w:sz w:val="22"/>
          <w:lang w:val="fr-FR"/>
        </w:rPr>
        <w:t>’</w:t>
      </w:r>
      <w:r w:rsidRPr="00E85915">
        <w:rPr>
          <w:rStyle w:val="cf01"/>
          <w:rFonts w:ascii="Arial" w:hAnsi="Arial"/>
          <w:sz w:val="22"/>
          <w:lang w:val="fr-FR"/>
        </w:rPr>
        <w:t>enquête, ce qui a permis de les renvoyer au sein de l</w:t>
      </w:r>
      <w:r w:rsidR="00BF513F" w:rsidRPr="00E85915">
        <w:rPr>
          <w:rStyle w:val="cf01"/>
          <w:rFonts w:ascii="Arial" w:hAnsi="Arial"/>
          <w:sz w:val="22"/>
          <w:lang w:val="fr-FR"/>
        </w:rPr>
        <w:t>’</w:t>
      </w:r>
      <w:r w:rsidRPr="00E85915">
        <w:rPr>
          <w:rStyle w:val="cf01"/>
          <w:rFonts w:ascii="Arial" w:hAnsi="Arial"/>
          <w:sz w:val="22"/>
          <w:lang w:val="fr-FR"/>
        </w:rPr>
        <w:t xml:space="preserve">OMPI pour un règlement “plus approprié ou moins formel”.  </w:t>
      </w:r>
      <w:r w:rsidRPr="00E85915">
        <w:rPr>
          <w:lang w:val="fr-FR"/>
        </w:rPr>
        <w:t>Trois</w:t>
      </w:r>
      <w:r w:rsidR="00FE72CE" w:rsidRPr="00E85915">
        <w:rPr>
          <w:lang w:val="fr-FR"/>
        </w:rPr>
        <w:t> </w:t>
      </w:r>
      <w:r w:rsidRPr="00E85915">
        <w:rPr>
          <w:lang w:val="fr-FR"/>
        </w:rPr>
        <w:t>plaintes d</w:t>
      </w:r>
      <w:r w:rsidR="00BF513F" w:rsidRPr="00E85915">
        <w:rPr>
          <w:lang w:val="fr-FR"/>
        </w:rPr>
        <w:t>’</w:t>
      </w:r>
      <w:r w:rsidRPr="00E85915">
        <w:rPr>
          <w:lang w:val="fr-FR"/>
        </w:rPr>
        <w:t>utilisateurs externes des systèmes opérationnels de l</w:t>
      </w:r>
      <w:r w:rsidR="00BF513F" w:rsidRPr="00E85915">
        <w:rPr>
          <w:lang w:val="fr-FR"/>
        </w:rPr>
        <w:t>’</w:t>
      </w:r>
      <w:r w:rsidRPr="00E85915">
        <w:rPr>
          <w:lang w:val="fr-FR"/>
        </w:rPr>
        <w:t>Organisation ont été transmises aux services concernés afin de préciser les dispositions et procédures applicables, et un dossier a été transmis au Bureau de la médiatrice.</w:t>
      </w:r>
    </w:p>
    <w:p w14:paraId="3A76FE24" w14:textId="4588392B" w:rsidR="00F0742C" w:rsidRPr="00E85915" w:rsidRDefault="00F0742C" w:rsidP="003A303A">
      <w:pPr>
        <w:pStyle w:val="ONUMFS"/>
        <w:rPr>
          <w:lang w:val="fr-FR"/>
        </w:rPr>
      </w:pPr>
      <w:r w:rsidRPr="00E85915">
        <w:rPr>
          <w:lang w:val="fr-FR"/>
        </w:rPr>
        <w:t>Parmi les 23 dossiers enregistrés au cours de la période considérée, sept</w:t>
      </w:r>
      <w:r w:rsidR="00FE72CE" w:rsidRPr="00E85915">
        <w:rPr>
          <w:lang w:val="fr-FR"/>
        </w:rPr>
        <w:t> </w:t>
      </w:r>
      <w:r w:rsidRPr="00E85915">
        <w:rPr>
          <w:lang w:val="fr-FR"/>
        </w:rPr>
        <w:t>ont été transmis à l</w:t>
      </w:r>
      <w:r w:rsidR="00BF513F" w:rsidRPr="00E85915">
        <w:rPr>
          <w:lang w:val="fr-FR"/>
        </w:rPr>
        <w:t>’</w:t>
      </w:r>
      <w:r w:rsidRPr="00E85915">
        <w:rPr>
          <w:lang w:val="fr-FR"/>
        </w:rPr>
        <w:t>OCIS en vue de recueillir son avis, conformément aux dispositions de la Charte de la supervision inter</w:t>
      </w:r>
      <w:r w:rsidR="00E85915" w:rsidRPr="00E85915">
        <w:rPr>
          <w:lang w:val="fr-FR"/>
        </w:rPr>
        <w:t>ne.  Su</w:t>
      </w:r>
      <w:r w:rsidRPr="00E85915">
        <w:rPr>
          <w:lang w:val="fr-FR"/>
        </w:rPr>
        <w:t>r ces sept</w:t>
      </w:r>
      <w:r w:rsidR="00FE72CE" w:rsidRPr="00E85915">
        <w:rPr>
          <w:lang w:val="fr-FR"/>
        </w:rPr>
        <w:t> </w:t>
      </w:r>
      <w:r w:rsidRPr="00E85915">
        <w:rPr>
          <w:lang w:val="fr-FR"/>
        </w:rPr>
        <w:t xml:space="preserve">dossiers, six correspondaient à des allégations déjà soumises qui avaient été classées </w:t>
      </w:r>
      <w:r w:rsidR="00BF513F" w:rsidRPr="00E85915">
        <w:rPr>
          <w:lang w:val="fr-FR"/>
        </w:rPr>
        <w:t>en 2024</w:t>
      </w:r>
      <w:r w:rsidRPr="00E85915">
        <w:rPr>
          <w:lang w:val="fr-FR"/>
        </w:rPr>
        <w:t>, conformément aux dispositions des paragraphes 26 à 28 de la Charte de la supervision inter</w:t>
      </w:r>
      <w:r w:rsidR="00E85915" w:rsidRPr="00E85915">
        <w:rPr>
          <w:lang w:val="fr-FR"/>
        </w:rPr>
        <w:t>ne.  Su</w:t>
      </w:r>
      <w:r w:rsidRPr="00E85915">
        <w:rPr>
          <w:lang w:val="fr-FR"/>
        </w:rPr>
        <w:t>r ces six</w:t>
      </w:r>
      <w:r w:rsidR="00FE72CE" w:rsidRPr="00E85915">
        <w:rPr>
          <w:lang w:val="fr-FR"/>
        </w:rPr>
        <w:t> </w:t>
      </w:r>
      <w:r w:rsidRPr="00E85915">
        <w:rPr>
          <w:lang w:val="fr-FR"/>
        </w:rPr>
        <w:t>allégations, deux</w:t>
      </w:r>
      <w:r w:rsidR="00FE72CE" w:rsidRPr="00E85915">
        <w:rPr>
          <w:lang w:val="fr-FR"/>
        </w:rPr>
        <w:t> </w:t>
      </w:r>
      <w:r w:rsidRPr="00E85915">
        <w:rPr>
          <w:lang w:val="fr-FR"/>
        </w:rPr>
        <w:t>portaient sur une plainte ayant également été soumise à quatre</w:t>
      </w:r>
      <w:r w:rsidR="00FE72CE" w:rsidRPr="00E85915">
        <w:rPr>
          <w:lang w:val="fr-FR"/>
        </w:rPr>
        <w:t> </w:t>
      </w:r>
      <w:r w:rsidRPr="00E85915">
        <w:rPr>
          <w:lang w:val="fr-FR"/>
        </w:rPr>
        <w:t xml:space="preserve">reprises </w:t>
      </w:r>
      <w:r w:rsidR="00BF513F" w:rsidRPr="00E85915">
        <w:rPr>
          <w:lang w:val="fr-FR"/>
        </w:rPr>
        <w:t>en 2024</w:t>
      </w:r>
      <w:r w:rsidRPr="00E85915">
        <w:rPr>
          <w:lang w:val="fr-FR"/>
        </w:rPr>
        <w:t>, puis traitée et classée.</w:t>
      </w:r>
    </w:p>
    <w:p w14:paraId="02006F44" w14:textId="7DA5DFDB" w:rsidR="00F0742C" w:rsidRPr="00E85915" w:rsidRDefault="002A1DBF" w:rsidP="002A1DBF">
      <w:pPr>
        <w:pStyle w:val="Heading2"/>
      </w:pPr>
      <w:r w:rsidRPr="00E85915">
        <w:t>RÉSULTATS DES ACTIVITÉS D’ENQUÊTE</w:t>
      </w:r>
    </w:p>
    <w:p w14:paraId="65B9426B" w14:textId="216ADD56" w:rsidR="00F0742C" w:rsidRPr="00E85915" w:rsidRDefault="00F0742C" w:rsidP="003A303A">
      <w:pPr>
        <w:pStyle w:val="ONUMFS"/>
        <w:rPr>
          <w:lang w:val="fr-FR"/>
        </w:rPr>
      </w:pPr>
      <w:r w:rsidRPr="00E85915">
        <w:rPr>
          <w:lang w:val="fr-FR"/>
        </w:rPr>
        <w:t>Conformément à la Charte de la supervision interne</w:t>
      </w:r>
      <w:r w:rsidRPr="00E85915">
        <w:rPr>
          <w:rStyle w:val="FootnoteReference"/>
          <w:lang w:val="fr-FR"/>
        </w:rPr>
        <w:footnoteReference w:id="4"/>
      </w:r>
      <w:r w:rsidRPr="00E85915">
        <w:rPr>
          <w:lang w:val="fr-FR"/>
        </w:rPr>
        <w:t>, le rapport annuel contient une description des enquêtes sur les dossiers considérés comme fondés, ainsi que de leur iss</w:t>
      </w:r>
      <w:r w:rsidR="00E85915" w:rsidRPr="00E85915">
        <w:rPr>
          <w:lang w:val="fr-FR"/>
        </w:rPr>
        <w:t>ue.  En</w:t>
      </w:r>
      <w:r w:rsidR="00BF513F" w:rsidRPr="00E85915">
        <w:rPr>
          <w:lang w:val="fr-FR"/>
        </w:rPr>
        <w:t> 2025</w:t>
      </w:r>
      <w:r w:rsidRPr="00E85915">
        <w:rPr>
          <w:lang w:val="fr-FR"/>
        </w:rPr>
        <w:t>, les allégations étaient fondées dans deux</w:t>
      </w:r>
      <w:r w:rsidR="00FE72CE" w:rsidRPr="00E85915">
        <w:rPr>
          <w:lang w:val="fr-FR"/>
        </w:rPr>
        <w:t> </w:t>
      </w:r>
      <w:r w:rsidRPr="00E85915">
        <w:rPr>
          <w:lang w:val="fr-FR"/>
        </w:rPr>
        <w:t>enquêtes, ainsi qu</w:t>
      </w:r>
      <w:r w:rsidR="00BF513F" w:rsidRPr="00E85915">
        <w:rPr>
          <w:lang w:val="fr-FR"/>
        </w:rPr>
        <w:t>’</w:t>
      </w:r>
      <w:r w:rsidRPr="00E85915">
        <w:rPr>
          <w:lang w:val="fr-FR"/>
        </w:rPr>
        <w:t>il est indiqué dans le tableau ci</w:t>
      </w:r>
      <w:r w:rsidR="0089008D">
        <w:rPr>
          <w:lang w:val="fr-FR"/>
        </w:rPr>
        <w:noBreakHyphen/>
      </w:r>
      <w:r w:rsidRPr="00E85915">
        <w:rPr>
          <w:lang w:val="fr-FR"/>
        </w:rPr>
        <w:t>après.</w:t>
      </w:r>
    </w:p>
    <w:p w14:paraId="0F35DDFD" w14:textId="086D139B" w:rsidR="00F0742C" w:rsidRPr="002A1DBF" w:rsidRDefault="00F0742C" w:rsidP="002A1DBF">
      <w:pPr>
        <w:spacing w:after="240"/>
        <w:jc w:val="center"/>
        <w:rPr>
          <w:b/>
          <w:bCs/>
          <w:lang w:val="fr-FR"/>
        </w:rPr>
      </w:pPr>
      <w:r w:rsidRPr="002A1DBF">
        <w:rPr>
          <w:b/>
          <w:bCs/>
          <w:lang w:val="fr-FR"/>
        </w:rPr>
        <w:t xml:space="preserve">Tableau 2 </w:t>
      </w:r>
      <w:r w:rsidR="00B91586" w:rsidRPr="002A1DBF">
        <w:rPr>
          <w:b/>
          <w:bCs/>
          <w:lang w:val="fr-FR"/>
        </w:rPr>
        <w:t>–</w:t>
      </w:r>
      <w:r w:rsidRPr="002A1DBF">
        <w:rPr>
          <w:b/>
          <w:bCs/>
          <w:lang w:val="fr-FR"/>
        </w:rPr>
        <w:t xml:space="preserve"> Affaires fondées et issue correspondante</w:t>
      </w:r>
    </w:p>
    <w:tbl>
      <w:tblPr>
        <w:tblStyle w:val="TableGrid"/>
        <w:tblW w:w="9157" w:type="dxa"/>
        <w:tblLook w:val="04A0" w:firstRow="1" w:lastRow="0" w:firstColumn="1" w:lastColumn="0" w:noHBand="0" w:noVBand="1"/>
        <w:tblCaption w:val="Tableau 2 – Affaires fondées et issue correspondante"/>
        <w:tblDescription w:val="Récapitulatif des affaires fondées pour l’année 20255 et issue correspondante."/>
      </w:tblPr>
      <w:tblGrid>
        <w:gridCol w:w="2520"/>
        <w:gridCol w:w="6637"/>
      </w:tblGrid>
      <w:tr w:rsidR="00F0742C" w:rsidRPr="00E85915" w14:paraId="1E0D34CF" w14:textId="77777777" w:rsidTr="009521C8">
        <w:trPr>
          <w:trHeight w:val="251"/>
          <w:tblHeader/>
        </w:trPr>
        <w:tc>
          <w:tcPr>
            <w:tcW w:w="2520" w:type="dxa"/>
            <w:shd w:val="clear" w:color="auto" w:fill="244061" w:themeFill="accent1" w:themeFillShade="80"/>
          </w:tcPr>
          <w:p w14:paraId="2091F899" w14:textId="5B881E6D" w:rsidR="00F0742C" w:rsidRPr="00E85915" w:rsidRDefault="00F0742C" w:rsidP="003A303A">
            <w:pPr>
              <w:pStyle w:val="ONUME"/>
              <w:numPr>
                <w:ilvl w:val="0"/>
                <w:numId w:val="0"/>
              </w:numPr>
              <w:spacing w:line="259" w:lineRule="auto"/>
              <w:rPr>
                <w:b/>
                <w:bCs/>
                <w:sz w:val="18"/>
                <w:szCs w:val="18"/>
              </w:rPr>
            </w:pPr>
            <w:r w:rsidRPr="00E85915">
              <w:rPr>
                <w:b/>
                <w:sz w:val="18"/>
              </w:rPr>
              <w:t>Type d</w:t>
            </w:r>
            <w:r w:rsidR="00BF513F" w:rsidRPr="00E85915">
              <w:rPr>
                <w:b/>
                <w:sz w:val="18"/>
              </w:rPr>
              <w:t>’</w:t>
            </w:r>
            <w:r w:rsidRPr="00E85915">
              <w:rPr>
                <w:b/>
                <w:sz w:val="18"/>
              </w:rPr>
              <w:t>allégation</w:t>
            </w:r>
          </w:p>
        </w:tc>
        <w:tc>
          <w:tcPr>
            <w:tcW w:w="6637" w:type="dxa"/>
            <w:shd w:val="clear" w:color="auto" w:fill="244061" w:themeFill="accent1" w:themeFillShade="80"/>
          </w:tcPr>
          <w:p w14:paraId="1AFAB637" w14:textId="77777777" w:rsidR="00F0742C" w:rsidRPr="00E85915" w:rsidRDefault="00F0742C" w:rsidP="003A303A">
            <w:pPr>
              <w:pStyle w:val="ONUME"/>
              <w:numPr>
                <w:ilvl w:val="0"/>
                <w:numId w:val="0"/>
              </w:numPr>
              <w:spacing w:after="0" w:line="259" w:lineRule="auto"/>
              <w:rPr>
                <w:b/>
                <w:bCs/>
                <w:sz w:val="18"/>
                <w:szCs w:val="18"/>
              </w:rPr>
            </w:pPr>
            <w:r w:rsidRPr="00E85915">
              <w:rPr>
                <w:b/>
                <w:sz w:val="18"/>
              </w:rPr>
              <w:t>Nature des enquêtes</w:t>
            </w:r>
          </w:p>
          <w:p w14:paraId="1F2D0B0A" w14:textId="77777777" w:rsidR="00F0742C" w:rsidRPr="00E85915" w:rsidRDefault="00F0742C" w:rsidP="003A303A">
            <w:pPr>
              <w:pStyle w:val="ONUME"/>
              <w:numPr>
                <w:ilvl w:val="0"/>
                <w:numId w:val="0"/>
              </w:numPr>
              <w:spacing w:after="0" w:line="259" w:lineRule="auto"/>
              <w:rPr>
                <w:b/>
                <w:bCs/>
                <w:sz w:val="18"/>
                <w:szCs w:val="18"/>
              </w:rPr>
            </w:pPr>
            <w:r w:rsidRPr="00E85915">
              <w:rPr>
                <w:b/>
                <w:sz w:val="18"/>
              </w:rPr>
              <w:t>Issue</w:t>
            </w:r>
          </w:p>
        </w:tc>
      </w:tr>
      <w:tr w:rsidR="00F0742C" w:rsidRPr="00E85915" w14:paraId="5864A4B6" w14:textId="77777777" w:rsidTr="009521C8">
        <w:tc>
          <w:tcPr>
            <w:tcW w:w="2520" w:type="dxa"/>
            <w:shd w:val="clear" w:color="auto" w:fill="F2F2F2" w:themeFill="background1" w:themeFillShade="F2"/>
          </w:tcPr>
          <w:p w14:paraId="7BAFA92F" w14:textId="77777777" w:rsidR="00F0742C" w:rsidRPr="00E85915" w:rsidRDefault="00F0742C" w:rsidP="003A303A">
            <w:pPr>
              <w:pStyle w:val="ONUME"/>
              <w:numPr>
                <w:ilvl w:val="0"/>
                <w:numId w:val="0"/>
              </w:numPr>
              <w:spacing w:line="259" w:lineRule="auto"/>
              <w:rPr>
                <w:sz w:val="18"/>
                <w:szCs w:val="18"/>
              </w:rPr>
            </w:pPr>
            <w:r w:rsidRPr="00E85915">
              <w:rPr>
                <w:sz w:val="18"/>
              </w:rPr>
              <w:t>Irrégularités dans la passation de marchés</w:t>
            </w:r>
          </w:p>
        </w:tc>
        <w:tc>
          <w:tcPr>
            <w:tcW w:w="6637" w:type="dxa"/>
          </w:tcPr>
          <w:p w14:paraId="1CFA74ED" w14:textId="5A845204" w:rsidR="00F0742C" w:rsidRPr="00E85915" w:rsidRDefault="00F0742C" w:rsidP="003D3CED">
            <w:pPr>
              <w:pStyle w:val="ONUME"/>
              <w:numPr>
                <w:ilvl w:val="0"/>
                <w:numId w:val="0"/>
              </w:numPr>
              <w:tabs>
                <w:tab w:val="left" w:pos="567"/>
              </w:tabs>
              <w:spacing w:after="200" w:line="240" w:lineRule="auto"/>
              <w:ind w:left="90"/>
              <w:rPr>
                <w:sz w:val="18"/>
                <w:szCs w:val="18"/>
              </w:rPr>
            </w:pPr>
            <w:r w:rsidRPr="00E85915">
              <w:rPr>
                <w:sz w:val="18"/>
              </w:rPr>
              <w:t>L</w:t>
            </w:r>
            <w:r w:rsidR="00BF513F" w:rsidRPr="00E85915">
              <w:rPr>
                <w:sz w:val="18"/>
              </w:rPr>
              <w:t>’</w:t>
            </w:r>
            <w:r w:rsidRPr="00E85915">
              <w:rPr>
                <w:sz w:val="18"/>
              </w:rPr>
              <w:t>enquête portait sur un fonctionnaire de l</w:t>
            </w:r>
            <w:r w:rsidR="00BF513F" w:rsidRPr="00E85915">
              <w:rPr>
                <w:sz w:val="18"/>
              </w:rPr>
              <w:t>’</w:t>
            </w:r>
            <w:r w:rsidRPr="00E85915">
              <w:rPr>
                <w:sz w:val="18"/>
              </w:rPr>
              <w:t>OMPI qui i) s</w:t>
            </w:r>
            <w:r w:rsidR="00BF513F" w:rsidRPr="00E85915">
              <w:rPr>
                <w:sz w:val="18"/>
              </w:rPr>
              <w:t>’</w:t>
            </w:r>
            <w:r w:rsidRPr="00E85915">
              <w:rPr>
                <w:sz w:val="18"/>
              </w:rPr>
              <w:t>est livré à des pratiques frauduleuses en matière de passation de marchés en traitant plusieurs entités apparentées comme des fournisseurs indépendants et en structurant les procédures d</w:t>
            </w:r>
            <w:r w:rsidR="00BF513F" w:rsidRPr="00E85915">
              <w:rPr>
                <w:sz w:val="18"/>
              </w:rPr>
              <w:t>’</w:t>
            </w:r>
            <w:r w:rsidRPr="00E85915">
              <w:rPr>
                <w:sz w:val="18"/>
              </w:rPr>
              <w:t>achat de manière à contourner les procédures en vigueur à l</w:t>
            </w:r>
            <w:r w:rsidR="00BF513F" w:rsidRPr="00E85915">
              <w:rPr>
                <w:sz w:val="18"/>
              </w:rPr>
              <w:t>’</w:t>
            </w:r>
            <w:r w:rsidRPr="00E85915">
              <w:rPr>
                <w:sz w:val="18"/>
              </w:rPr>
              <w:t xml:space="preserve">OMPI; </w:t>
            </w:r>
            <w:r w:rsidR="00FE72CE" w:rsidRPr="00E85915">
              <w:rPr>
                <w:sz w:val="18"/>
              </w:rPr>
              <w:t xml:space="preserve"> </w:t>
            </w:r>
            <w:r w:rsidRPr="00E85915">
              <w:rPr>
                <w:sz w:val="18"/>
              </w:rPr>
              <w:t>ii)</w:t>
            </w:r>
            <w:r w:rsidR="00FE72CE" w:rsidRPr="00E85915">
              <w:rPr>
                <w:sz w:val="18"/>
              </w:rPr>
              <w:t> </w:t>
            </w:r>
            <w:r w:rsidRPr="00E85915">
              <w:rPr>
                <w:sz w:val="18"/>
              </w:rPr>
              <w:t>n</w:t>
            </w:r>
            <w:r w:rsidR="00BF513F" w:rsidRPr="00E85915">
              <w:rPr>
                <w:sz w:val="18"/>
              </w:rPr>
              <w:t>’</w:t>
            </w:r>
            <w:r w:rsidRPr="00E85915">
              <w:rPr>
                <w:sz w:val="18"/>
              </w:rPr>
              <w:t>a pas signalé un conflit d</w:t>
            </w:r>
            <w:r w:rsidR="00BF513F" w:rsidRPr="00E85915">
              <w:rPr>
                <w:sz w:val="18"/>
              </w:rPr>
              <w:t>’</w:t>
            </w:r>
            <w:r w:rsidRPr="00E85915">
              <w:rPr>
                <w:sz w:val="18"/>
              </w:rPr>
              <w:t>intérêts lié à la participation d</w:t>
            </w:r>
            <w:r w:rsidR="00BF513F" w:rsidRPr="00E85915">
              <w:rPr>
                <w:sz w:val="18"/>
              </w:rPr>
              <w:t>’</w:t>
            </w:r>
            <w:r w:rsidRPr="00E85915">
              <w:rPr>
                <w:sz w:val="18"/>
              </w:rPr>
              <w:t>un membre de sa famille à des marchés attribués à l</w:t>
            </w:r>
            <w:r w:rsidR="00BF513F" w:rsidRPr="00E85915">
              <w:rPr>
                <w:sz w:val="18"/>
              </w:rPr>
              <w:t>’</w:t>
            </w:r>
            <w:r w:rsidRPr="00E85915">
              <w:rPr>
                <w:sz w:val="18"/>
              </w:rPr>
              <w:t xml:space="preserve">un de ces fournisseurs; </w:t>
            </w:r>
            <w:r w:rsidR="00FE72CE" w:rsidRPr="00E85915">
              <w:rPr>
                <w:sz w:val="18"/>
              </w:rPr>
              <w:t xml:space="preserve"> </w:t>
            </w:r>
            <w:r w:rsidRPr="00E85915">
              <w:rPr>
                <w:sz w:val="18"/>
              </w:rPr>
              <w:t>et iii)</w:t>
            </w:r>
            <w:r w:rsidR="00FE72CE" w:rsidRPr="00E85915">
              <w:rPr>
                <w:sz w:val="18"/>
              </w:rPr>
              <w:t> </w:t>
            </w:r>
            <w:r w:rsidRPr="00E85915">
              <w:rPr>
                <w:sz w:val="18"/>
              </w:rPr>
              <w:t>a enfreint les politiques relatives à la sécurité informatique.</w:t>
            </w:r>
          </w:p>
          <w:p w14:paraId="4F645D85" w14:textId="718865F4" w:rsidR="00F0742C" w:rsidRPr="00E85915" w:rsidRDefault="00F0742C" w:rsidP="003D3CED">
            <w:pPr>
              <w:pStyle w:val="ONUME"/>
              <w:numPr>
                <w:ilvl w:val="0"/>
                <w:numId w:val="0"/>
              </w:numPr>
              <w:tabs>
                <w:tab w:val="left" w:pos="567"/>
              </w:tabs>
              <w:spacing w:after="200" w:line="240" w:lineRule="auto"/>
              <w:ind w:left="90"/>
              <w:jc w:val="both"/>
              <w:rPr>
                <w:sz w:val="18"/>
                <w:szCs w:val="18"/>
              </w:rPr>
            </w:pPr>
            <w:r w:rsidRPr="00E85915">
              <w:rPr>
                <w:sz w:val="18"/>
              </w:rPr>
              <w:t>L</w:t>
            </w:r>
            <w:r w:rsidR="00BF513F" w:rsidRPr="00E85915">
              <w:rPr>
                <w:sz w:val="18"/>
              </w:rPr>
              <w:t>’</w:t>
            </w:r>
            <w:r w:rsidRPr="00E85915">
              <w:rPr>
                <w:sz w:val="18"/>
              </w:rPr>
              <w:t xml:space="preserve">affaire a été close en vertu du </w:t>
            </w:r>
            <w:r w:rsidR="00BF513F" w:rsidRPr="00E85915">
              <w:rPr>
                <w:sz w:val="18"/>
              </w:rPr>
              <w:t>chapitre X</w:t>
            </w:r>
            <w:r w:rsidRPr="00E85915">
              <w:rPr>
                <w:sz w:val="18"/>
              </w:rPr>
              <w:t xml:space="preserve"> du Statut et Règlement du personnel de l</w:t>
            </w:r>
            <w:r w:rsidR="00BF513F" w:rsidRPr="00E85915">
              <w:rPr>
                <w:sz w:val="18"/>
              </w:rPr>
              <w:t>’</w:t>
            </w:r>
            <w:r w:rsidRPr="00E85915">
              <w:rPr>
                <w:sz w:val="18"/>
              </w:rPr>
              <w:t>OMPI avec l</w:t>
            </w:r>
            <w:r w:rsidR="00BF513F" w:rsidRPr="00E85915">
              <w:rPr>
                <w:sz w:val="18"/>
              </w:rPr>
              <w:t>’</w:t>
            </w:r>
            <w:r w:rsidRPr="00E85915">
              <w:rPr>
                <w:sz w:val="18"/>
              </w:rPr>
              <w:t>imposition de la mesure disciplinaire de révocation, conformément à la disposition 10.1.1.a) 6) du Règlement du personnel.</w:t>
            </w:r>
          </w:p>
        </w:tc>
      </w:tr>
      <w:tr w:rsidR="00F0742C" w:rsidRPr="00E85915" w14:paraId="7BD17BBC" w14:textId="77777777" w:rsidTr="009521C8">
        <w:tc>
          <w:tcPr>
            <w:tcW w:w="2520" w:type="dxa"/>
            <w:shd w:val="clear" w:color="auto" w:fill="F2F2F2" w:themeFill="background1" w:themeFillShade="F2"/>
          </w:tcPr>
          <w:p w14:paraId="280FBB73" w14:textId="6602F9C4" w:rsidR="00F0742C" w:rsidRPr="00E85915" w:rsidRDefault="00F0742C" w:rsidP="003A303A">
            <w:pPr>
              <w:pStyle w:val="ONUME"/>
              <w:numPr>
                <w:ilvl w:val="0"/>
                <w:numId w:val="0"/>
              </w:numPr>
              <w:spacing w:line="259" w:lineRule="auto"/>
              <w:rPr>
                <w:sz w:val="18"/>
                <w:szCs w:val="18"/>
              </w:rPr>
            </w:pPr>
            <w:r w:rsidRPr="00E85915">
              <w:rPr>
                <w:sz w:val="18"/>
              </w:rPr>
              <w:lastRenderedPageBreak/>
              <w:t>Fraude aux prestations</w:t>
            </w:r>
          </w:p>
        </w:tc>
        <w:tc>
          <w:tcPr>
            <w:tcW w:w="6637" w:type="dxa"/>
          </w:tcPr>
          <w:p w14:paraId="7E9702BD" w14:textId="50651E42" w:rsidR="00F0742C" w:rsidRPr="00E85915" w:rsidRDefault="00F0742C" w:rsidP="003D3CED">
            <w:pPr>
              <w:pStyle w:val="ONUME"/>
              <w:numPr>
                <w:ilvl w:val="0"/>
                <w:numId w:val="0"/>
              </w:numPr>
              <w:spacing w:after="200" w:line="240" w:lineRule="auto"/>
              <w:ind w:left="90"/>
              <w:rPr>
                <w:sz w:val="18"/>
                <w:szCs w:val="18"/>
              </w:rPr>
            </w:pPr>
            <w:r w:rsidRPr="00E85915">
              <w:rPr>
                <w:sz w:val="18"/>
              </w:rPr>
              <w:t>L</w:t>
            </w:r>
            <w:r w:rsidR="00BF513F" w:rsidRPr="00E85915">
              <w:rPr>
                <w:sz w:val="18"/>
              </w:rPr>
              <w:t>’</w:t>
            </w:r>
            <w:r w:rsidRPr="00E85915">
              <w:rPr>
                <w:sz w:val="18"/>
              </w:rPr>
              <w:t>enquête portait sur la communication délibérée d</w:t>
            </w:r>
            <w:r w:rsidR="00BF513F" w:rsidRPr="00E85915">
              <w:rPr>
                <w:sz w:val="18"/>
              </w:rPr>
              <w:t>’</w:t>
            </w:r>
            <w:r w:rsidRPr="00E85915">
              <w:rPr>
                <w:sz w:val="18"/>
              </w:rPr>
              <w:t>informations financières inexactes par un fonctionnaire de l</w:t>
            </w:r>
            <w:r w:rsidR="00BF513F" w:rsidRPr="00E85915">
              <w:rPr>
                <w:sz w:val="18"/>
              </w:rPr>
              <w:t>’</w:t>
            </w:r>
            <w:r w:rsidRPr="00E85915">
              <w:rPr>
                <w:sz w:val="18"/>
              </w:rPr>
              <w:t>OMPI dans le but de percevoir des indemnités pour personne à charge</w:t>
            </w:r>
            <w:r w:rsidRPr="00E85915">
              <w:rPr>
                <w:rStyle w:val="FootnoteReference"/>
                <w:sz w:val="18"/>
                <w:szCs w:val="18"/>
              </w:rPr>
              <w:footnoteReference w:id="5"/>
            </w:r>
            <w:r w:rsidRPr="00E85915">
              <w:rPr>
                <w:sz w:val="18"/>
              </w:rPr>
              <w:t>, ce qui a donné lieu au versement indu de ces indemnités.</w:t>
            </w:r>
          </w:p>
          <w:p w14:paraId="0251164F" w14:textId="24BF55C6" w:rsidR="00F0742C" w:rsidRPr="00E85915" w:rsidRDefault="00F0742C" w:rsidP="003D3CED">
            <w:pPr>
              <w:pStyle w:val="ONUME"/>
              <w:numPr>
                <w:ilvl w:val="0"/>
                <w:numId w:val="0"/>
              </w:numPr>
              <w:spacing w:after="200" w:line="240" w:lineRule="auto"/>
              <w:ind w:left="90"/>
              <w:rPr>
                <w:sz w:val="18"/>
                <w:szCs w:val="18"/>
              </w:rPr>
            </w:pPr>
            <w:r w:rsidRPr="00E85915">
              <w:rPr>
                <w:sz w:val="18"/>
              </w:rPr>
              <w:t>L</w:t>
            </w:r>
            <w:r w:rsidR="00BF513F" w:rsidRPr="00E85915">
              <w:rPr>
                <w:sz w:val="18"/>
              </w:rPr>
              <w:t>’</w:t>
            </w:r>
            <w:r w:rsidRPr="00E85915">
              <w:rPr>
                <w:sz w:val="18"/>
              </w:rPr>
              <w:t xml:space="preserve">affaire a été close en vertu du </w:t>
            </w:r>
            <w:r w:rsidR="00BF513F" w:rsidRPr="00E85915">
              <w:rPr>
                <w:sz w:val="18"/>
              </w:rPr>
              <w:t>chapitre X</w:t>
            </w:r>
            <w:r w:rsidRPr="00E85915">
              <w:rPr>
                <w:sz w:val="18"/>
              </w:rPr>
              <w:t xml:space="preserve"> du Statut et Règlement du personnel de l</w:t>
            </w:r>
            <w:r w:rsidR="00BF513F" w:rsidRPr="00E85915">
              <w:rPr>
                <w:sz w:val="18"/>
              </w:rPr>
              <w:t>’</w:t>
            </w:r>
            <w:r w:rsidRPr="00E85915">
              <w:rPr>
                <w:sz w:val="18"/>
              </w:rPr>
              <w:t>OMPI avec l</w:t>
            </w:r>
            <w:r w:rsidR="00BF513F" w:rsidRPr="00E85915">
              <w:rPr>
                <w:sz w:val="18"/>
              </w:rPr>
              <w:t>’</w:t>
            </w:r>
            <w:r w:rsidRPr="00E85915">
              <w:rPr>
                <w:sz w:val="18"/>
              </w:rPr>
              <w:t>imposition de la mesure disciplinaire de révocation, conformément à la disposition 10.1.1.a) 6) du Règlement du personnel.</w:t>
            </w:r>
          </w:p>
        </w:tc>
      </w:tr>
    </w:tbl>
    <w:p w14:paraId="2E84CD7E" w14:textId="77777777" w:rsidR="00F0742C" w:rsidRPr="00E85915" w:rsidRDefault="00F0742C" w:rsidP="003D3CED">
      <w:pPr>
        <w:pStyle w:val="ONUME"/>
        <w:numPr>
          <w:ilvl w:val="0"/>
          <w:numId w:val="0"/>
        </w:numPr>
        <w:spacing w:after="0"/>
        <w:ind w:left="90"/>
        <w:rPr>
          <w:lang w:val="fr-FR"/>
        </w:rPr>
      </w:pPr>
    </w:p>
    <w:p w14:paraId="37CC1E6F" w14:textId="46CDD03D" w:rsidR="00F0742C" w:rsidRPr="00E85915" w:rsidRDefault="00F0742C" w:rsidP="003A303A">
      <w:pPr>
        <w:pStyle w:val="ONUMFS"/>
        <w:rPr>
          <w:lang w:val="fr-FR"/>
        </w:rPr>
      </w:pPr>
      <w:r w:rsidRPr="00E85915">
        <w:rPr>
          <w:lang w:val="fr-FR"/>
        </w:rPr>
        <w:t>Aucune des allégations fondées indiquée</w:t>
      </w:r>
      <w:r w:rsidR="00B91586">
        <w:rPr>
          <w:lang w:val="fr-FR"/>
        </w:rPr>
        <w:t>s</w:t>
      </w:r>
      <w:r w:rsidRPr="00E85915">
        <w:rPr>
          <w:lang w:val="fr-FR"/>
        </w:rPr>
        <w:t xml:space="preserve"> ci</w:t>
      </w:r>
      <w:r w:rsidR="0089008D">
        <w:rPr>
          <w:lang w:val="fr-FR"/>
        </w:rPr>
        <w:noBreakHyphen/>
      </w:r>
      <w:r w:rsidRPr="00E85915">
        <w:rPr>
          <w:lang w:val="fr-FR"/>
        </w:rPr>
        <w:t>dessus n</w:t>
      </w:r>
      <w:r w:rsidR="00BF513F" w:rsidRPr="00E85915">
        <w:rPr>
          <w:lang w:val="fr-FR"/>
        </w:rPr>
        <w:t>’</w:t>
      </w:r>
      <w:r w:rsidRPr="00E85915">
        <w:rPr>
          <w:lang w:val="fr-FR"/>
        </w:rPr>
        <w:t>a été considérée comme ayant une incidence financière significative sur l</w:t>
      </w:r>
      <w:r w:rsidR="00BF513F" w:rsidRPr="00E85915">
        <w:rPr>
          <w:lang w:val="fr-FR"/>
        </w:rPr>
        <w:t>’</w:t>
      </w:r>
      <w:r w:rsidRPr="00E85915">
        <w:rPr>
          <w:lang w:val="fr-FR"/>
        </w:rPr>
        <w:t>Organisati</w:t>
      </w:r>
      <w:r w:rsidR="00E85915" w:rsidRPr="00E85915">
        <w:rPr>
          <w:lang w:val="fr-FR"/>
        </w:rPr>
        <w:t>on.  Le</w:t>
      </w:r>
      <w:r w:rsidRPr="00E85915">
        <w:rPr>
          <w:lang w:val="fr-FR"/>
        </w:rPr>
        <w:t xml:space="preserve"> diagramme 3 montre le nombre d</w:t>
      </w:r>
      <w:r w:rsidR="00BF513F" w:rsidRPr="00E85915">
        <w:rPr>
          <w:lang w:val="fr-FR"/>
        </w:rPr>
        <w:t>’</w:t>
      </w:r>
      <w:r w:rsidRPr="00E85915">
        <w:rPr>
          <w:lang w:val="fr-FR"/>
        </w:rPr>
        <w:t>enquêtes menées à partir d</w:t>
      </w:r>
      <w:r w:rsidR="00BF513F" w:rsidRPr="00E85915">
        <w:rPr>
          <w:lang w:val="fr-FR"/>
        </w:rPr>
        <w:t>’</w:t>
      </w:r>
      <w:r w:rsidRPr="00E85915">
        <w:rPr>
          <w:lang w:val="fr-FR"/>
        </w:rPr>
        <w:t xml:space="preserve">allégations fondées ou infondées en 2023, 2024 et </w:t>
      </w:r>
      <w:bookmarkEnd w:id="29"/>
      <w:r w:rsidRPr="00E85915">
        <w:rPr>
          <w:lang w:val="fr-FR"/>
        </w:rPr>
        <w:t>2025.</w:t>
      </w:r>
    </w:p>
    <w:p w14:paraId="1C82D570" w14:textId="1D72DBCF" w:rsidR="00BF513F" w:rsidRPr="006B0BF5" w:rsidRDefault="00F0742C" w:rsidP="003D3CED">
      <w:pPr>
        <w:keepNext/>
        <w:spacing w:after="220"/>
        <w:jc w:val="center"/>
        <w:rPr>
          <w:b/>
          <w:bCs/>
          <w:lang w:val="fr-FR"/>
        </w:rPr>
      </w:pPr>
      <w:r w:rsidRPr="006B0BF5">
        <w:rPr>
          <w:b/>
          <w:bCs/>
          <w:lang w:val="fr-FR"/>
        </w:rPr>
        <w:t xml:space="preserve">Diagramme 3 </w:t>
      </w:r>
      <w:r w:rsidR="00B91586" w:rsidRPr="006B0BF5">
        <w:rPr>
          <w:b/>
          <w:bCs/>
          <w:lang w:val="fr-FR"/>
        </w:rPr>
        <w:t>–</w:t>
      </w:r>
      <w:r w:rsidRPr="006B0BF5">
        <w:rPr>
          <w:b/>
          <w:bCs/>
          <w:lang w:val="fr-FR"/>
        </w:rPr>
        <w:t xml:space="preserve"> Allégations fondées pour des dossiers traités </w:t>
      </w:r>
      <w:r w:rsidR="00BF513F" w:rsidRPr="006B0BF5">
        <w:rPr>
          <w:b/>
          <w:bCs/>
          <w:lang w:val="fr-FR"/>
        </w:rPr>
        <w:t>en 2023</w:t>
      </w:r>
      <w:r w:rsidRPr="006B0BF5">
        <w:rPr>
          <w:b/>
          <w:bCs/>
          <w:lang w:val="fr-FR"/>
        </w:rPr>
        <w:t>, 2024 et 2025</w:t>
      </w:r>
    </w:p>
    <w:p w14:paraId="5F6F2EA5" w14:textId="437AB9F0" w:rsidR="00F0742C" w:rsidRDefault="006B0BF5" w:rsidP="00C960E4">
      <w:pPr>
        <w:spacing w:after="120"/>
        <w:jc w:val="center"/>
        <w:rPr>
          <w:lang w:val="fr-FR"/>
        </w:rPr>
      </w:pPr>
      <w:r>
        <w:rPr>
          <w:noProof/>
        </w:rPr>
        <w:drawing>
          <wp:inline distT="0" distB="0" distL="0" distR="0" wp14:anchorId="563C10E4" wp14:editId="3A47B2C9">
            <wp:extent cx="4572000" cy="2743200"/>
            <wp:effectExtent l="0" t="0" r="0" b="0"/>
            <wp:docPr id="2029095474" name="Chart 1" descr="Diagramme 3 - Allégations fondées pour des dossiers traités en 2023, 2024 et 2025 Le diagramme 3 montre le nombre d’enquêtes portant sur des allégations fondées ou infondées en 2023, 2024 et 2025. En 2023, cinq allégations étaient fondées et neuf ne l’étaient pas. En 2024, huit allégations étaient fondées et 10 ne l’étaient pas. En 2025, deux allégations étaient fondées et deux ne l’étaient pas.">
              <a:extLst xmlns:a="http://schemas.openxmlformats.org/drawingml/2006/main">
                <a:ext uri="{FF2B5EF4-FFF2-40B4-BE49-F238E27FC236}">
                  <a16:creationId xmlns:a16="http://schemas.microsoft.com/office/drawing/2014/main" id="{B294FF22-E4B6-7679-4CE7-4D8F05FC3F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75D68A7" w14:textId="1D7B09B4" w:rsidR="00F0742C" w:rsidRPr="00E85915" w:rsidRDefault="00C960E4" w:rsidP="00C960E4">
      <w:pPr>
        <w:pStyle w:val="Heading2"/>
      </w:pPr>
      <w:r w:rsidRPr="00E85915">
        <w:t>RAPPORTS À L’INTENTION DE LA DIRECTION</w:t>
      </w:r>
    </w:p>
    <w:p w14:paraId="3D41E25E" w14:textId="62DC457B" w:rsidR="00BF513F" w:rsidRPr="00E85915" w:rsidRDefault="00F0742C" w:rsidP="003A303A">
      <w:pPr>
        <w:pStyle w:val="ONUMFS"/>
        <w:rPr>
          <w:lang w:val="fr-FR"/>
        </w:rPr>
      </w:pPr>
      <w:r w:rsidRPr="00E85915">
        <w:rPr>
          <w:lang w:val="fr-FR"/>
        </w:rPr>
        <w:t>Trois rapports à l</w:t>
      </w:r>
      <w:r w:rsidR="00BF513F" w:rsidRPr="00E85915">
        <w:rPr>
          <w:lang w:val="fr-FR"/>
        </w:rPr>
        <w:t>’</w:t>
      </w:r>
      <w:r w:rsidRPr="00E85915">
        <w:rPr>
          <w:lang w:val="fr-FR"/>
        </w:rPr>
        <w:t>intention de la direction ont été publiés au cours de la période considérée, concernant i) l</w:t>
      </w:r>
      <w:r w:rsidR="00BF513F" w:rsidRPr="00E85915">
        <w:rPr>
          <w:lang w:val="fr-FR"/>
        </w:rPr>
        <w:t>’</w:t>
      </w:r>
      <w:r w:rsidRPr="00E85915">
        <w:rPr>
          <w:lang w:val="fr-FR"/>
        </w:rPr>
        <w:t>indemnité spéciale pour frais d</w:t>
      </w:r>
      <w:r w:rsidR="00BF513F" w:rsidRPr="00E85915">
        <w:rPr>
          <w:lang w:val="fr-FR"/>
        </w:rPr>
        <w:t>’</w:t>
      </w:r>
      <w:r w:rsidRPr="00E85915">
        <w:rPr>
          <w:lang w:val="fr-FR"/>
        </w:rPr>
        <w:t>études de l</w:t>
      </w:r>
      <w:r w:rsidR="00BF513F" w:rsidRPr="00E85915">
        <w:rPr>
          <w:lang w:val="fr-FR"/>
        </w:rPr>
        <w:t>’</w:t>
      </w:r>
      <w:r w:rsidRPr="00E85915">
        <w:rPr>
          <w:lang w:val="fr-FR"/>
        </w:rPr>
        <w:t xml:space="preserve">OMPI; </w:t>
      </w:r>
      <w:r w:rsidR="00FE72CE" w:rsidRPr="00E85915">
        <w:rPr>
          <w:lang w:val="fr-FR"/>
        </w:rPr>
        <w:t xml:space="preserve"> </w:t>
      </w:r>
      <w:r w:rsidRPr="00E85915">
        <w:rPr>
          <w:lang w:val="fr-FR"/>
        </w:rPr>
        <w:t>ii)</w:t>
      </w:r>
      <w:r w:rsidR="00FE72CE" w:rsidRPr="00E85915">
        <w:rPr>
          <w:lang w:val="fr-FR"/>
        </w:rPr>
        <w:t> </w:t>
      </w:r>
      <w:r w:rsidRPr="00E85915">
        <w:rPr>
          <w:lang w:val="fr-FR"/>
        </w:rPr>
        <w:t xml:space="preserve">le recours à des intérimaires et à des prestataires individuels de services; </w:t>
      </w:r>
      <w:r w:rsidR="00FE72CE" w:rsidRPr="00E85915">
        <w:rPr>
          <w:lang w:val="fr-FR"/>
        </w:rPr>
        <w:t xml:space="preserve"> </w:t>
      </w:r>
      <w:r w:rsidRPr="00E85915">
        <w:rPr>
          <w:lang w:val="fr-FR"/>
        </w:rPr>
        <w:t>et iii)</w:t>
      </w:r>
      <w:r w:rsidR="00FE72CE" w:rsidRPr="00E85915">
        <w:rPr>
          <w:lang w:val="fr-FR"/>
        </w:rPr>
        <w:t> </w:t>
      </w:r>
      <w:r w:rsidRPr="00E85915">
        <w:rPr>
          <w:lang w:val="fr-FR"/>
        </w:rPr>
        <w:t>les procédures d</w:t>
      </w:r>
      <w:r w:rsidR="00BF513F" w:rsidRPr="00E85915">
        <w:rPr>
          <w:lang w:val="fr-FR"/>
        </w:rPr>
        <w:t>’</w:t>
      </w:r>
      <w:r w:rsidRPr="00E85915">
        <w:rPr>
          <w:lang w:val="fr-FR"/>
        </w:rPr>
        <w:t>achat direct.</w:t>
      </w:r>
    </w:p>
    <w:p w14:paraId="2B168DDC" w14:textId="7E4ACA77" w:rsidR="00F0742C" w:rsidRPr="00E85915" w:rsidRDefault="00F0742C" w:rsidP="003A303A">
      <w:pPr>
        <w:pStyle w:val="ONUMFS"/>
        <w:rPr>
          <w:lang w:val="fr-FR"/>
        </w:rPr>
      </w:pPr>
      <w:r w:rsidRPr="00E85915">
        <w:rPr>
          <w:lang w:val="fr-FR"/>
        </w:rPr>
        <w:t>Une recommandation hautement prioritaire a été adressée</w:t>
      </w:r>
      <w:r w:rsidR="00BF513F" w:rsidRPr="00E85915">
        <w:rPr>
          <w:lang w:val="fr-FR"/>
        </w:rPr>
        <w:t xml:space="preserve"> au DGR</w:t>
      </w:r>
      <w:r w:rsidRPr="00E85915">
        <w:rPr>
          <w:lang w:val="fr-FR"/>
        </w:rPr>
        <w:t>H afin de renforcer le respect des exigences liées à l</w:t>
      </w:r>
      <w:r w:rsidR="00BF513F" w:rsidRPr="00E85915">
        <w:rPr>
          <w:lang w:val="fr-FR"/>
        </w:rPr>
        <w:t>’</w:t>
      </w:r>
      <w:r w:rsidRPr="00E85915">
        <w:rPr>
          <w:lang w:val="fr-FR"/>
        </w:rPr>
        <w:t>indemnité spéciale pour frais d</w:t>
      </w:r>
      <w:r w:rsidR="00BF513F" w:rsidRPr="00E85915">
        <w:rPr>
          <w:lang w:val="fr-FR"/>
        </w:rPr>
        <w:t>’</w:t>
      </w:r>
      <w:r w:rsidRPr="00E85915">
        <w:rPr>
          <w:lang w:val="fr-FR"/>
        </w:rPr>
        <w:t>études et d</w:t>
      </w:r>
      <w:r w:rsidR="00BF513F" w:rsidRPr="00E85915">
        <w:rPr>
          <w:lang w:val="fr-FR"/>
        </w:rPr>
        <w:t>’</w:t>
      </w:r>
      <w:r w:rsidRPr="00E85915">
        <w:rPr>
          <w:lang w:val="fr-FR"/>
        </w:rPr>
        <w:t>améliorer la cohérence des procédures administratives connexes.</w:t>
      </w:r>
    </w:p>
    <w:p w14:paraId="1B4D000C" w14:textId="37625D1F" w:rsidR="00F0742C" w:rsidRPr="00E85915" w:rsidRDefault="00F0742C" w:rsidP="003A303A">
      <w:pPr>
        <w:pStyle w:val="ONUMFS"/>
        <w:rPr>
          <w:lang w:val="fr-FR"/>
        </w:rPr>
      </w:pPr>
      <w:r w:rsidRPr="00E85915">
        <w:rPr>
          <w:lang w:val="fr-FR"/>
        </w:rPr>
        <w:t>Deux recommandations moyennement prioritaires ont été adressées à la Division des services centraux, axées sur le renforcement des contrôles de conformité en matière de passation de marchés et sur la clarification des directives et des délégations de pouvoirs concernant les procédures de recrutement des intérimaires et des prestataires individuels de services.</w:t>
      </w:r>
    </w:p>
    <w:p w14:paraId="74079F01" w14:textId="1867A7B8" w:rsidR="00F0742C" w:rsidRPr="00E85915" w:rsidRDefault="00F0742C" w:rsidP="003A303A">
      <w:pPr>
        <w:pStyle w:val="ONUMFS"/>
        <w:rPr>
          <w:lang w:val="fr-FR"/>
        </w:rPr>
      </w:pPr>
      <w:r w:rsidRPr="00E85915">
        <w:rPr>
          <w:lang w:val="fr-FR"/>
        </w:rPr>
        <w:lastRenderedPageBreak/>
        <w:t>Deux recommandations hautement prioritaires ont été adressées à la Division des services centraux, axées sur le renforcement de la gouvernance dans le domaine de la passation de marchés, notamment les pratique</w:t>
      </w:r>
      <w:r w:rsidR="00B91586">
        <w:rPr>
          <w:lang w:val="fr-FR"/>
        </w:rPr>
        <w:t>s</w:t>
      </w:r>
      <w:r w:rsidRPr="00E85915">
        <w:rPr>
          <w:lang w:val="fr-FR"/>
        </w:rPr>
        <w:t xml:space="preserve"> de diligence raisonnable, les mesures de lutte contre les conflits d</w:t>
      </w:r>
      <w:r w:rsidR="00BF513F" w:rsidRPr="00E85915">
        <w:rPr>
          <w:lang w:val="fr-FR"/>
        </w:rPr>
        <w:t>’</w:t>
      </w:r>
      <w:r w:rsidRPr="00E85915">
        <w:rPr>
          <w:lang w:val="fr-FR"/>
        </w:rPr>
        <w:t>intérêts, et la clarté des rôles et des responsabilités en matière de passation de marchés.</w:t>
      </w:r>
    </w:p>
    <w:p w14:paraId="636BD09D" w14:textId="77777777" w:rsidR="00F0742C" w:rsidRPr="00E85915" w:rsidRDefault="00F0742C" w:rsidP="00C960E4">
      <w:pPr>
        <w:pStyle w:val="Heading1"/>
      </w:pPr>
      <w:bookmarkStart w:id="31" w:name="_Toc39071252"/>
      <w:bookmarkStart w:id="32" w:name="_Toc227321805"/>
      <w:bookmarkStart w:id="33" w:name="_Toc39071250"/>
      <w:r w:rsidRPr="00E85915">
        <w:t>ACTIVITÉS DE CONSEIL EN MATIÈRE DE SUPERVISION</w:t>
      </w:r>
      <w:bookmarkEnd w:id="31"/>
      <w:bookmarkEnd w:id="32"/>
    </w:p>
    <w:p w14:paraId="3A2EFC90" w14:textId="613E7C3C" w:rsidR="00F0742C" w:rsidRPr="00E85915" w:rsidRDefault="00F0742C" w:rsidP="003A303A">
      <w:pPr>
        <w:pStyle w:val="ONUMFS"/>
        <w:rPr>
          <w:lang w:val="fr-FR"/>
        </w:rPr>
      </w:pPr>
      <w:r w:rsidRPr="00E85915">
        <w:rPr>
          <w:lang w:val="fr-FR"/>
        </w:rPr>
        <w:t>Dans le cadre de ses services de conseil, l</w:t>
      </w:r>
      <w:r w:rsidR="00BF513F" w:rsidRPr="00E85915">
        <w:rPr>
          <w:lang w:val="fr-FR"/>
        </w:rPr>
        <w:t>’</w:t>
      </w:r>
      <w:r w:rsidRPr="00E85915">
        <w:rPr>
          <w:lang w:val="fr-FR"/>
        </w:rPr>
        <w:t>appui fourni par</w:t>
      </w:r>
      <w:r w:rsidR="00BF513F" w:rsidRPr="00E85915">
        <w:rPr>
          <w:lang w:val="fr-FR"/>
        </w:rPr>
        <w:t xml:space="preserve"> la DSI</w:t>
      </w:r>
      <w:r w:rsidRPr="00E85915">
        <w:rPr>
          <w:lang w:val="fr-FR"/>
        </w:rPr>
        <w:t xml:space="preserve"> a continué de renforcer l</w:t>
      </w:r>
      <w:r w:rsidR="00BF513F" w:rsidRPr="00E85915">
        <w:rPr>
          <w:lang w:val="fr-FR"/>
        </w:rPr>
        <w:t>’</w:t>
      </w:r>
      <w:r w:rsidRPr="00E85915">
        <w:rPr>
          <w:lang w:val="fr-FR"/>
        </w:rPr>
        <w:t>environnement de contrôle interne de l</w:t>
      </w:r>
      <w:r w:rsidR="00BF513F" w:rsidRPr="00E85915">
        <w:rPr>
          <w:lang w:val="fr-FR"/>
        </w:rPr>
        <w:t>’</w:t>
      </w:r>
      <w:r w:rsidRPr="00E85915">
        <w:rPr>
          <w:lang w:val="fr-FR"/>
        </w:rPr>
        <w:t>OMPI.  Au cours de l</w:t>
      </w:r>
      <w:r w:rsidR="00BF513F" w:rsidRPr="00E85915">
        <w:rPr>
          <w:lang w:val="fr-FR"/>
        </w:rPr>
        <w:t>’</w:t>
      </w:r>
      <w:r w:rsidRPr="00E85915">
        <w:rPr>
          <w:lang w:val="fr-FR"/>
        </w:rPr>
        <w:t>année 2025, la division a achevé l</w:t>
      </w:r>
      <w:r w:rsidR="00BF513F" w:rsidRPr="00E85915">
        <w:rPr>
          <w:lang w:val="fr-FR"/>
        </w:rPr>
        <w:t>’</w:t>
      </w:r>
      <w:r w:rsidRPr="00E85915">
        <w:rPr>
          <w:lang w:val="fr-FR"/>
        </w:rPr>
        <w:t>examen intermédiaire de la conception et de l</w:t>
      </w:r>
      <w:r w:rsidR="00BF513F" w:rsidRPr="00E85915">
        <w:rPr>
          <w:lang w:val="fr-FR"/>
        </w:rPr>
        <w:t>’</w:t>
      </w:r>
      <w:r w:rsidRPr="00E85915">
        <w:rPr>
          <w:lang w:val="fr-FR"/>
        </w:rPr>
        <w:t>efficacité opérationnelle des 39 contrôles clés en vigueur à l</w:t>
      </w:r>
      <w:r w:rsidR="00BF513F" w:rsidRPr="00E85915">
        <w:rPr>
          <w:lang w:val="fr-FR"/>
        </w:rPr>
        <w:t>’</w:t>
      </w:r>
      <w:r w:rsidRPr="00E85915">
        <w:rPr>
          <w:lang w:val="fr-FR"/>
        </w:rPr>
        <w:t>OMPI, mis en place par la Section de la gouvernance, de la gestion des risques et de la conformité</w:t>
      </w:r>
      <w:r w:rsidR="003D3CED">
        <w:rPr>
          <w:rStyle w:val="FootnoteReference"/>
          <w:lang w:val="fr-FR"/>
        </w:rPr>
        <w:footnoteReference w:id="6"/>
      </w:r>
      <w:r w:rsidRPr="00E85915">
        <w:rPr>
          <w:lang w:val="fr-FR"/>
        </w:rPr>
        <w:t>.  Cet examen a permis à la Section de la gouvernance, de la gestion des risques et de la conformité de mener à bien son auto</w:t>
      </w:r>
      <w:r w:rsidR="0089008D">
        <w:rPr>
          <w:lang w:val="fr-FR"/>
        </w:rPr>
        <w:noBreakHyphen/>
      </w:r>
      <w:r w:rsidRPr="00E85915">
        <w:rPr>
          <w:lang w:val="fr-FR"/>
        </w:rPr>
        <w:t>évaluation et de constituer sa documentation, lesquelles ont ensuite permis à</w:t>
      </w:r>
      <w:r w:rsidR="00BF513F" w:rsidRPr="00E85915">
        <w:rPr>
          <w:lang w:val="fr-FR"/>
        </w:rPr>
        <w:t xml:space="preserve"> la DSI</w:t>
      </w:r>
      <w:r w:rsidRPr="00E85915">
        <w:rPr>
          <w:lang w:val="fr-FR"/>
        </w:rPr>
        <w:t xml:space="preserve"> de procéder à une vérification complète des principaux contrôles de l</w:t>
      </w:r>
      <w:r w:rsidR="00BF513F" w:rsidRPr="00E85915">
        <w:rPr>
          <w:lang w:val="fr-FR"/>
        </w:rPr>
        <w:t>’</w:t>
      </w:r>
      <w:r w:rsidRPr="00E85915">
        <w:rPr>
          <w:lang w:val="fr-FR"/>
        </w:rPr>
        <w:t xml:space="preserve">Organisation, lancée </w:t>
      </w:r>
      <w:r w:rsidR="00BF513F" w:rsidRPr="00E85915">
        <w:rPr>
          <w:lang w:val="fr-FR"/>
        </w:rPr>
        <w:t>en 2025</w:t>
      </w:r>
      <w:r w:rsidRPr="00E85915">
        <w:rPr>
          <w:lang w:val="fr-FR"/>
        </w:rPr>
        <w:t xml:space="preserve"> et achevée au premier trimestre </w:t>
      </w:r>
      <w:r w:rsidR="00BF513F" w:rsidRPr="00E85915">
        <w:rPr>
          <w:lang w:val="fr-FR"/>
        </w:rPr>
        <w:t>de 2026</w:t>
      </w:r>
      <w:r w:rsidRPr="00E85915">
        <w:rPr>
          <w:lang w:val="fr-FR"/>
        </w:rPr>
        <w:t>.</w:t>
      </w:r>
    </w:p>
    <w:p w14:paraId="379BFEDF" w14:textId="37B23D95" w:rsidR="00F0742C" w:rsidRPr="00E85915" w:rsidRDefault="00F0742C" w:rsidP="003A303A">
      <w:pPr>
        <w:pStyle w:val="ONUMFS"/>
        <w:rPr>
          <w:lang w:val="fr-FR"/>
        </w:rPr>
      </w:pPr>
      <w:r w:rsidRPr="00E85915">
        <w:rPr>
          <w:lang w:val="fr-FR"/>
        </w:rPr>
        <w:t>Par ailleurs, deux</w:t>
      </w:r>
      <w:r w:rsidR="00FE72CE" w:rsidRPr="00E85915">
        <w:rPr>
          <w:lang w:val="fr-FR"/>
        </w:rPr>
        <w:t> </w:t>
      </w:r>
      <w:r w:rsidRPr="00E85915">
        <w:rPr>
          <w:lang w:val="fr-FR"/>
        </w:rPr>
        <w:t>missions spéciales ont été menées, ainsi qu</w:t>
      </w:r>
      <w:r w:rsidR="00BF513F" w:rsidRPr="00E85915">
        <w:rPr>
          <w:lang w:val="fr-FR"/>
        </w:rPr>
        <w:t>’</w:t>
      </w:r>
      <w:r w:rsidRPr="00E85915">
        <w:rPr>
          <w:lang w:val="fr-FR"/>
        </w:rPr>
        <w:t>il est indiqué ci</w:t>
      </w:r>
      <w:r w:rsidR="0089008D">
        <w:rPr>
          <w:lang w:val="fr-FR"/>
        </w:rPr>
        <w:noBreakHyphen/>
      </w:r>
      <w:r w:rsidRPr="00E85915">
        <w:rPr>
          <w:lang w:val="fr-FR"/>
        </w:rPr>
        <w:t>après.</w:t>
      </w:r>
    </w:p>
    <w:p w14:paraId="768D93B0" w14:textId="65D72E94" w:rsidR="00F0742C" w:rsidRPr="00E85915" w:rsidRDefault="00C960E4" w:rsidP="00C960E4">
      <w:pPr>
        <w:pStyle w:val="Heading2"/>
      </w:pPr>
      <w:r w:rsidRPr="00E85915">
        <w:t>RAPPORT CONSULTATIF DE LA DSI : ANALYSE DES INTERDÉPENDANCES ET DES RELATIONS ENTRE TROIS PROJETS CONNEXES (IA 2025</w:t>
      </w:r>
      <w:r>
        <w:noBreakHyphen/>
      </w:r>
      <w:r w:rsidRPr="00E85915">
        <w:t>02)</w:t>
      </w:r>
    </w:p>
    <w:p w14:paraId="3067CF9C" w14:textId="3ADB0FA8" w:rsidR="00F0742C" w:rsidRPr="00E85915" w:rsidRDefault="00F0742C" w:rsidP="003A303A">
      <w:pPr>
        <w:pStyle w:val="ONUMFS"/>
        <w:rPr>
          <w:lang w:val="fr-FR"/>
        </w:rPr>
      </w:pPr>
      <w:r w:rsidRPr="00E85915">
        <w:rPr>
          <w:lang w:val="fr-FR"/>
        </w:rPr>
        <w:t xml:space="preserve">Le programme de supervision </w:t>
      </w:r>
      <w:r w:rsidR="00BF513F" w:rsidRPr="00E85915">
        <w:rPr>
          <w:lang w:val="fr-FR"/>
        </w:rPr>
        <w:t>de 2025</w:t>
      </w:r>
      <w:r w:rsidRPr="00E85915">
        <w:rPr>
          <w:lang w:val="fr-FR"/>
        </w:rPr>
        <w:t xml:space="preserve"> comprenait un examen des processus opérationnels en matière d</w:t>
      </w:r>
      <w:r w:rsidR="00BF513F" w:rsidRPr="00E85915">
        <w:rPr>
          <w:lang w:val="fr-FR"/>
        </w:rPr>
        <w:t>’</w:t>
      </w:r>
      <w:r w:rsidRPr="00E85915">
        <w:rPr>
          <w:lang w:val="fr-FR"/>
        </w:rPr>
        <w:t>expérience client et de gestion des relations avec les clients à l</w:t>
      </w:r>
      <w:r w:rsidR="00BF513F" w:rsidRPr="00E85915">
        <w:rPr>
          <w:lang w:val="fr-FR"/>
        </w:rPr>
        <w:t>’</w:t>
      </w:r>
      <w:r w:rsidRPr="00E85915">
        <w:rPr>
          <w:lang w:val="fr-FR"/>
        </w:rPr>
        <w:t>O</w:t>
      </w:r>
      <w:r w:rsidR="00E85915" w:rsidRPr="00E85915">
        <w:rPr>
          <w:lang w:val="fr-FR"/>
        </w:rPr>
        <w:t>MPI.  Ap</w:t>
      </w:r>
      <w:r w:rsidRPr="00E85915">
        <w:rPr>
          <w:lang w:val="fr-FR"/>
        </w:rPr>
        <w:t>rès avoir examiné plus en détail et mieux cerné les études de cas relatives à des projets en cours ou prévus concernant la gestion des relations avec les clients, la gestion des données clés et le projet de transformation AIMS, qui ont tous une incidence sur les données relatives aux clients,</w:t>
      </w:r>
      <w:r w:rsidR="00BF513F" w:rsidRPr="00E85915">
        <w:rPr>
          <w:lang w:val="fr-FR"/>
        </w:rPr>
        <w:t xml:space="preserve"> la DSI</w:t>
      </w:r>
      <w:r w:rsidRPr="00E85915">
        <w:rPr>
          <w:lang w:val="fr-FR"/>
        </w:rPr>
        <w:t xml:space="preserve"> a recentré ses efforts sur l</w:t>
      </w:r>
      <w:r w:rsidR="00BF513F" w:rsidRPr="00E85915">
        <w:rPr>
          <w:lang w:val="fr-FR"/>
        </w:rPr>
        <w:t>’</w:t>
      </w:r>
      <w:r w:rsidRPr="00E85915">
        <w:rPr>
          <w:lang w:val="fr-FR"/>
        </w:rPr>
        <w:t>analyse des interdépendanc</w:t>
      </w:r>
      <w:r w:rsidR="00E85915" w:rsidRPr="00E85915">
        <w:rPr>
          <w:lang w:val="fr-FR"/>
        </w:rPr>
        <w:t>es.  L’e</w:t>
      </w:r>
      <w:r w:rsidRPr="00E85915">
        <w:rPr>
          <w:lang w:val="fr-FR"/>
        </w:rPr>
        <w:t>xamen a également mis en évidence des enjeux de gouvernance et des risques potentiels que les équipes de gestion du projet pourraient gérer avec davantage d</w:t>
      </w:r>
      <w:r w:rsidR="00BF513F" w:rsidRPr="00E85915">
        <w:rPr>
          <w:lang w:val="fr-FR"/>
        </w:rPr>
        <w:t>’</w:t>
      </w:r>
      <w:r w:rsidRPr="00E85915">
        <w:rPr>
          <w:lang w:val="fr-FR"/>
        </w:rPr>
        <w:t>anticipation.</w:t>
      </w:r>
    </w:p>
    <w:p w14:paraId="19945324" w14:textId="7167ECF4" w:rsidR="00F0742C" w:rsidRPr="00E85915" w:rsidRDefault="00C960E4" w:rsidP="00C960E4">
      <w:pPr>
        <w:pStyle w:val="Heading2"/>
      </w:pPr>
      <w:r w:rsidRPr="00E85915">
        <w:t>RAPPORT CONSULTATIF DE LA DSI : GESTION DU PROJET DE TRANSFORMATION DU SYSTÈME DE GESTION DE L’INFORMATION ADMINISTRATIVE (AIMS) (IA 2025</w:t>
      </w:r>
      <w:r>
        <w:noBreakHyphen/>
      </w:r>
      <w:r w:rsidRPr="00E85915">
        <w:t>05)</w:t>
      </w:r>
    </w:p>
    <w:p w14:paraId="2CBA40AA" w14:textId="32F5BFD5" w:rsidR="00BF513F" w:rsidRPr="00E85915" w:rsidRDefault="00F0742C" w:rsidP="003A303A">
      <w:pPr>
        <w:pStyle w:val="ONUMFS"/>
        <w:rPr>
          <w:lang w:val="fr-FR"/>
        </w:rPr>
      </w:pPr>
      <w:r w:rsidRPr="00E85915">
        <w:rPr>
          <w:lang w:val="fr-FR"/>
        </w:rPr>
        <w:t>L</w:t>
      </w:r>
      <w:r w:rsidR="00BF513F" w:rsidRPr="00E85915">
        <w:rPr>
          <w:lang w:val="fr-FR"/>
        </w:rPr>
        <w:t>’</w:t>
      </w:r>
      <w:r w:rsidRPr="00E85915">
        <w:rPr>
          <w:lang w:val="fr-FR"/>
        </w:rPr>
        <w:t>objectif de cette mission consultative était de recenser et de signaler en amont les risques au comité chargé du programme et à l</w:t>
      </w:r>
      <w:r w:rsidR="00BF513F" w:rsidRPr="00E85915">
        <w:rPr>
          <w:lang w:val="fr-FR"/>
        </w:rPr>
        <w:t>’</w:t>
      </w:r>
      <w:r w:rsidRPr="00E85915">
        <w:rPr>
          <w:lang w:val="fr-FR"/>
        </w:rPr>
        <w:t>équipe de gestion de projet, tout au long du cycle de vie du projet, afin de s</w:t>
      </w:r>
      <w:r w:rsidR="00BF513F" w:rsidRPr="00E85915">
        <w:rPr>
          <w:lang w:val="fr-FR"/>
        </w:rPr>
        <w:t>’</w:t>
      </w:r>
      <w:r w:rsidRPr="00E85915">
        <w:rPr>
          <w:lang w:val="fr-FR"/>
        </w:rPr>
        <w:t>assurer que ces risques n</w:t>
      </w:r>
      <w:r w:rsidR="00BF513F" w:rsidRPr="00E85915">
        <w:rPr>
          <w:lang w:val="fr-FR"/>
        </w:rPr>
        <w:t>’</w:t>
      </w:r>
      <w:r w:rsidRPr="00E85915">
        <w:rPr>
          <w:lang w:val="fr-FR"/>
        </w:rPr>
        <w:t>entravent pas la réalisation des résultats escompt</w:t>
      </w:r>
      <w:r w:rsidR="00E85915" w:rsidRPr="00E85915">
        <w:rPr>
          <w:lang w:val="fr-FR"/>
        </w:rPr>
        <w:t>és.  L’o</w:t>
      </w:r>
      <w:r w:rsidRPr="00E85915">
        <w:rPr>
          <w:lang w:val="fr-FR"/>
        </w:rPr>
        <w:t>bjectif de cette mission consultative était de recenser et de signaler en amont les risques au comité chargé du programme et à l</w:t>
      </w:r>
      <w:r w:rsidR="00BF513F" w:rsidRPr="00E85915">
        <w:rPr>
          <w:lang w:val="fr-FR"/>
        </w:rPr>
        <w:t>’</w:t>
      </w:r>
      <w:r w:rsidRPr="00E85915">
        <w:rPr>
          <w:lang w:val="fr-FR"/>
        </w:rPr>
        <w:t>équipe de gestion de projet, tout au long du cycle de vie du projet, afin de s</w:t>
      </w:r>
      <w:r w:rsidR="00BF513F" w:rsidRPr="00E85915">
        <w:rPr>
          <w:lang w:val="fr-FR"/>
        </w:rPr>
        <w:t>’</w:t>
      </w:r>
      <w:r w:rsidRPr="00E85915">
        <w:rPr>
          <w:lang w:val="fr-FR"/>
        </w:rPr>
        <w:t>assurer que ces risques n</w:t>
      </w:r>
      <w:r w:rsidR="00BF513F" w:rsidRPr="00E85915">
        <w:rPr>
          <w:lang w:val="fr-FR"/>
        </w:rPr>
        <w:t>’</w:t>
      </w:r>
      <w:r w:rsidRPr="00E85915">
        <w:rPr>
          <w:lang w:val="fr-FR"/>
        </w:rPr>
        <w:t>entravent pas la réalisation des résultats escomptés.</w:t>
      </w:r>
    </w:p>
    <w:p w14:paraId="2323A638" w14:textId="3E2C315C" w:rsidR="00F0742C" w:rsidRPr="00E85915" w:rsidRDefault="00D83603" w:rsidP="00D83603">
      <w:pPr>
        <w:pStyle w:val="Heading1"/>
      </w:pPr>
      <w:bookmarkStart w:id="34" w:name="_Toc227321806"/>
      <w:r w:rsidRPr="00E85915">
        <w:t>CAS DANS LESQUELS DES DEMANDES D’INFORMATION OU D’ASSISTANCE ONT ÉTÉ REJETÉES</w:t>
      </w:r>
      <w:bookmarkEnd w:id="33"/>
      <w:bookmarkEnd w:id="34"/>
    </w:p>
    <w:p w14:paraId="29AC6FC9" w14:textId="09FA5E49" w:rsidR="00F0742C" w:rsidRPr="00E85915" w:rsidRDefault="00F0742C" w:rsidP="003A303A">
      <w:pPr>
        <w:pStyle w:val="ONUMFS"/>
        <w:rPr>
          <w:lang w:val="fr-FR"/>
        </w:rPr>
      </w:pPr>
      <w:r w:rsidRPr="00E85915">
        <w:rPr>
          <w:lang w:val="fr-FR"/>
        </w:rPr>
        <w:t>Conformément au paragraphe 52.h) de la Charte de la supervision interne, la directrice ou le directeur de la DSI doit établir un rapport dans tous les cas où l</w:t>
      </w:r>
      <w:r w:rsidR="00BF513F" w:rsidRPr="00E85915">
        <w:rPr>
          <w:lang w:val="fr-FR"/>
        </w:rPr>
        <w:t>’</w:t>
      </w:r>
      <w:r w:rsidRPr="00E85915">
        <w:rPr>
          <w:lang w:val="fr-FR"/>
        </w:rPr>
        <w:t>accès de la DSI aux dossiers, fonctionnaires ou agents contractuels et locaux de l</w:t>
      </w:r>
      <w:r w:rsidR="00BF513F" w:rsidRPr="00E85915">
        <w:rPr>
          <w:lang w:val="fr-FR"/>
        </w:rPr>
        <w:t>’</w:t>
      </w:r>
      <w:r w:rsidRPr="00E85915">
        <w:rPr>
          <w:lang w:val="fr-FR"/>
        </w:rPr>
        <w:t>OMPI a été limité au cours de la période considérée.</w:t>
      </w:r>
    </w:p>
    <w:p w14:paraId="574949C2" w14:textId="31CB5705" w:rsidR="00F0742C" w:rsidRPr="00E85915" w:rsidRDefault="00F0742C" w:rsidP="003A303A">
      <w:pPr>
        <w:pStyle w:val="ONUMFS"/>
        <w:rPr>
          <w:lang w:val="fr-FR"/>
        </w:rPr>
      </w:pPr>
      <w:r w:rsidRPr="00E85915">
        <w:rPr>
          <w:lang w:val="fr-FR"/>
        </w:rPr>
        <w:t>La DSI signale qu</w:t>
      </w:r>
      <w:r w:rsidR="00BF513F" w:rsidRPr="00E85915">
        <w:rPr>
          <w:lang w:val="fr-FR"/>
        </w:rPr>
        <w:t>’</w:t>
      </w:r>
      <w:r w:rsidRPr="00E85915">
        <w:rPr>
          <w:lang w:val="fr-FR"/>
        </w:rPr>
        <w:t>il n</w:t>
      </w:r>
      <w:r w:rsidR="00BF513F" w:rsidRPr="00E85915">
        <w:rPr>
          <w:lang w:val="fr-FR"/>
        </w:rPr>
        <w:t>’</w:t>
      </w:r>
      <w:r w:rsidRPr="00E85915">
        <w:rPr>
          <w:lang w:val="fr-FR"/>
        </w:rPr>
        <w:t>y a pas eu de cas tels que décrits au paragraphe 52.h) de la Charte de la supervision interne pendant la période considérée.</w:t>
      </w:r>
    </w:p>
    <w:p w14:paraId="319F8C37" w14:textId="779544A2" w:rsidR="00F0742C" w:rsidRPr="00E85915" w:rsidRDefault="00D83603" w:rsidP="00D83603">
      <w:pPr>
        <w:pStyle w:val="Heading1"/>
      </w:pPr>
      <w:bookmarkStart w:id="35" w:name="_Toc39071251"/>
      <w:bookmarkStart w:id="36" w:name="_Toc227321807"/>
      <w:r w:rsidRPr="00E85915">
        <w:lastRenderedPageBreak/>
        <w:t>ÉTAT D’AVANCEMENT DE LA MISE EN ŒUVRE DES RECOMMANDATIONS EN MATIÈRE DE SUPERVISION</w:t>
      </w:r>
      <w:bookmarkEnd w:id="30"/>
      <w:bookmarkEnd w:id="35"/>
      <w:bookmarkEnd w:id="36"/>
    </w:p>
    <w:p w14:paraId="50D2F3AB" w14:textId="4BE2E8DB" w:rsidR="00F0742C" w:rsidRPr="00E85915" w:rsidRDefault="00F0742C" w:rsidP="003A303A">
      <w:pPr>
        <w:pStyle w:val="ONUMFS"/>
        <w:rPr>
          <w:lang w:val="fr-FR"/>
        </w:rPr>
      </w:pPr>
      <w:r w:rsidRPr="00E85915">
        <w:rPr>
          <w:lang w:val="fr-FR"/>
        </w:rPr>
        <w:t>L</w:t>
      </w:r>
      <w:r w:rsidR="00B91586">
        <w:rPr>
          <w:lang w:val="fr-FR"/>
        </w:rPr>
        <w:t>a</w:t>
      </w:r>
      <w:r w:rsidRPr="00E85915">
        <w:rPr>
          <w:lang w:val="fr-FR"/>
        </w:rPr>
        <w:t xml:space="preserve"> Directrice ou le Directeur général a la responsabilité de veiller à ce qu</w:t>
      </w:r>
      <w:r w:rsidR="00BF513F" w:rsidRPr="00E85915">
        <w:rPr>
          <w:lang w:val="fr-FR"/>
        </w:rPr>
        <w:t>’</w:t>
      </w:r>
      <w:r w:rsidRPr="00E85915">
        <w:rPr>
          <w:lang w:val="fr-FR"/>
        </w:rPr>
        <w:t>il soit donné effet sans tarder à toutes les recommandations de la directrice ou du directeur de la Division de la supervision interne et d</w:t>
      </w:r>
      <w:r w:rsidR="00BF513F" w:rsidRPr="00E85915">
        <w:rPr>
          <w:lang w:val="fr-FR"/>
        </w:rPr>
        <w:t>’</w:t>
      </w:r>
      <w:r w:rsidRPr="00E85915">
        <w:rPr>
          <w:lang w:val="fr-FR"/>
        </w:rPr>
        <w:t xml:space="preserve">indiquer les mesures prises par la direction </w:t>
      </w:r>
      <w:r w:rsidR="00BF513F" w:rsidRPr="00E85915">
        <w:rPr>
          <w:lang w:val="fr-FR"/>
        </w:rPr>
        <w:t>à l’égard</w:t>
      </w:r>
      <w:r w:rsidRPr="00E85915">
        <w:rPr>
          <w:lang w:val="fr-FR"/>
        </w:rPr>
        <w:t xml:space="preserve"> des différentes conclusions et recommandations figurant dans le rapport</w:t>
      </w:r>
      <w:r w:rsidRPr="00E85915">
        <w:rPr>
          <w:rStyle w:val="FootnoteReference"/>
          <w:lang w:val="fr-FR"/>
        </w:rPr>
        <w:footnoteReference w:id="7"/>
      </w:r>
      <w:r w:rsidRPr="00E85915">
        <w:rPr>
          <w:lang w:val="fr-FR"/>
        </w:rPr>
        <w:t>.  La Directrice ou le Directeur général peut s</w:t>
      </w:r>
      <w:r w:rsidR="00BF513F" w:rsidRPr="00E85915">
        <w:rPr>
          <w:lang w:val="fr-FR"/>
        </w:rPr>
        <w:t>’</w:t>
      </w:r>
      <w:r w:rsidRPr="00E85915">
        <w:rPr>
          <w:lang w:val="fr-FR"/>
        </w:rPr>
        <w:t>acquitter de cette responsabilité par l</w:t>
      </w:r>
      <w:r w:rsidR="00BF513F" w:rsidRPr="00E85915">
        <w:rPr>
          <w:lang w:val="fr-FR"/>
        </w:rPr>
        <w:t>’</w:t>
      </w:r>
      <w:r w:rsidRPr="00E85915">
        <w:rPr>
          <w:lang w:val="fr-FR"/>
        </w:rPr>
        <w:t>intermédiaire des chefs de secteur et d</w:t>
      </w:r>
      <w:r w:rsidR="00BF513F" w:rsidRPr="00E85915">
        <w:rPr>
          <w:lang w:val="fr-FR"/>
        </w:rPr>
        <w:t>’</w:t>
      </w:r>
      <w:r w:rsidRPr="00E85915">
        <w:rPr>
          <w:lang w:val="fr-FR"/>
        </w:rPr>
        <w:t>autres membres de la haute direction chargés des différents secteurs opérationnels de l</w:t>
      </w:r>
      <w:r w:rsidR="00BF513F" w:rsidRPr="00E85915">
        <w:rPr>
          <w:lang w:val="fr-FR"/>
        </w:rPr>
        <w:t>’</w:t>
      </w:r>
      <w:r w:rsidRPr="00E85915">
        <w:rPr>
          <w:lang w:val="fr-FR"/>
        </w:rPr>
        <w:t>Organisation</w:t>
      </w:r>
      <w:r w:rsidRPr="00E85915">
        <w:rPr>
          <w:rStyle w:val="FootnoteReference"/>
          <w:lang w:val="fr-FR"/>
        </w:rPr>
        <w:footnoteReference w:id="8"/>
      </w:r>
      <w:r w:rsidRPr="00E85915">
        <w:rPr>
          <w:lang w:val="fr-FR"/>
        </w:rPr>
        <w:t>.  La mise en œuvre de toutes les recommandations relatives à la supervision fait l</w:t>
      </w:r>
      <w:r w:rsidR="00BF513F" w:rsidRPr="00E85915">
        <w:rPr>
          <w:lang w:val="fr-FR"/>
        </w:rPr>
        <w:t>’</w:t>
      </w:r>
      <w:r w:rsidRPr="00E85915">
        <w:rPr>
          <w:lang w:val="fr-FR"/>
        </w:rPr>
        <w:t>objet d</w:t>
      </w:r>
      <w:r w:rsidR="00BF513F" w:rsidRPr="00E85915">
        <w:rPr>
          <w:lang w:val="fr-FR"/>
        </w:rPr>
        <w:t>’</w:t>
      </w:r>
      <w:r w:rsidRPr="00E85915">
        <w:rPr>
          <w:lang w:val="fr-FR"/>
        </w:rPr>
        <w:t>un suivi régulier par</w:t>
      </w:r>
      <w:r w:rsidR="00BF513F" w:rsidRPr="00E85915">
        <w:rPr>
          <w:lang w:val="fr-FR"/>
        </w:rPr>
        <w:t xml:space="preserve"> la DSI</w:t>
      </w:r>
      <w:r w:rsidRPr="00E85915">
        <w:rPr>
          <w:lang w:val="fr-FR"/>
        </w:rPr>
        <w:t>.</w:t>
      </w:r>
    </w:p>
    <w:p w14:paraId="47DAD138" w14:textId="6E2527BC" w:rsidR="00F0742C" w:rsidRPr="00E85915" w:rsidRDefault="00F0742C" w:rsidP="003A303A">
      <w:pPr>
        <w:pStyle w:val="ONUMFS"/>
        <w:rPr>
          <w:lang w:val="fr-FR"/>
        </w:rPr>
      </w:pPr>
      <w:r w:rsidRPr="00E85915">
        <w:rPr>
          <w:lang w:val="fr-FR"/>
        </w:rPr>
        <w:t>La DSI gère les recommandations et en rend compte au moyen du système TeamMate+, qui facilite le dialogue avec la direction en vue du suivi de la mise en œuvre des recommandations ouvert</w:t>
      </w:r>
      <w:r w:rsidR="00E85915" w:rsidRPr="00E85915">
        <w:rPr>
          <w:lang w:val="fr-FR"/>
        </w:rPr>
        <w:t>es.  Ai</w:t>
      </w:r>
      <w:r w:rsidRPr="00E85915">
        <w:rPr>
          <w:lang w:val="fr-FR"/>
        </w:rPr>
        <w:t>nsi qu</w:t>
      </w:r>
      <w:r w:rsidR="00BF513F" w:rsidRPr="00E85915">
        <w:rPr>
          <w:lang w:val="fr-FR"/>
        </w:rPr>
        <w:t>’</w:t>
      </w:r>
      <w:r w:rsidRPr="00E85915">
        <w:rPr>
          <w:lang w:val="fr-FR"/>
        </w:rPr>
        <w:t>il est demandé au paragraphe 50 de la Charte de la supervision interne, la directrice ou le directeur de</w:t>
      </w:r>
      <w:r w:rsidR="00BF513F" w:rsidRPr="00E85915">
        <w:rPr>
          <w:lang w:val="fr-FR"/>
        </w:rPr>
        <w:t xml:space="preserve"> la DSI</w:t>
      </w:r>
      <w:r w:rsidRPr="00E85915">
        <w:rPr>
          <w:lang w:val="fr-FR"/>
        </w:rPr>
        <w:t xml:space="preserve"> soumet chaque trimestre un rapport à la Directrice ou au Directeur général, avec copie à l</w:t>
      </w:r>
      <w:r w:rsidR="00BF513F" w:rsidRPr="00E85915">
        <w:rPr>
          <w:lang w:val="fr-FR"/>
        </w:rPr>
        <w:t>’</w:t>
      </w:r>
      <w:r w:rsidRPr="00E85915">
        <w:rPr>
          <w:lang w:val="fr-FR"/>
        </w:rPr>
        <w:t>OCIS, concernant l</w:t>
      </w:r>
      <w:r w:rsidR="00BF513F" w:rsidRPr="00E85915">
        <w:rPr>
          <w:lang w:val="fr-FR"/>
        </w:rPr>
        <w:t>’</w:t>
      </w:r>
      <w:r w:rsidRPr="00E85915">
        <w:rPr>
          <w:lang w:val="fr-FR"/>
        </w:rPr>
        <w:t>état d</w:t>
      </w:r>
      <w:r w:rsidR="00BF513F" w:rsidRPr="00E85915">
        <w:rPr>
          <w:lang w:val="fr-FR"/>
        </w:rPr>
        <w:t>’</w:t>
      </w:r>
      <w:r w:rsidRPr="00E85915">
        <w:rPr>
          <w:lang w:val="fr-FR"/>
        </w:rPr>
        <w:t xml:space="preserve">avancement de la mise en œuvre des recommandations, </w:t>
      </w:r>
      <w:r w:rsidR="00BF513F" w:rsidRPr="00E85915">
        <w:rPr>
          <w:lang w:val="fr-FR"/>
        </w:rPr>
        <w:t>y compris</w:t>
      </w:r>
      <w:r w:rsidRPr="00E85915">
        <w:rPr>
          <w:lang w:val="fr-FR"/>
        </w:rPr>
        <w:t xml:space="preserve"> les recommandations faites par la vérificatrice ou le vérificateur externe des comptes.</w:t>
      </w:r>
    </w:p>
    <w:p w14:paraId="309932FA" w14:textId="7188201B" w:rsidR="00F0742C" w:rsidRPr="00E85915" w:rsidRDefault="00F0742C" w:rsidP="003A303A">
      <w:pPr>
        <w:pStyle w:val="ONUMFS"/>
        <w:rPr>
          <w:lang w:val="fr-FR"/>
        </w:rPr>
      </w:pPr>
      <w:r w:rsidRPr="00E85915">
        <w:rPr>
          <w:lang w:val="fr-FR"/>
        </w:rPr>
        <w:t>Au 31 </w:t>
      </w:r>
      <w:r w:rsidR="00BF513F" w:rsidRPr="00E85915">
        <w:rPr>
          <w:lang w:val="fr-FR"/>
        </w:rPr>
        <w:t>décembre 20</w:t>
      </w:r>
      <w:r w:rsidRPr="00E85915">
        <w:rPr>
          <w:lang w:val="fr-FR"/>
        </w:rPr>
        <w:t>25, on comptait 60 recommandations ouvertes dans le système TeamMate+, dont trois</w:t>
      </w:r>
      <w:r w:rsidR="00FE72CE" w:rsidRPr="00E85915">
        <w:rPr>
          <w:lang w:val="fr-FR"/>
        </w:rPr>
        <w:t> </w:t>
      </w:r>
      <w:r w:rsidRPr="00E85915">
        <w:rPr>
          <w:lang w:val="fr-FR"/>
        </w:rPr>
        <w:t>étaient jugées hautement prioritaires, 29 moyennement prioritaires et trois</w:t>
      </w:r>
      <w:r w:rsidR="00FE72CE" w:rsidRPr="00E85915">
        <w:rPr>
          <w:lang w:val="fr-FR"/>
        </w:rPr>
        <w:t> </w:t>
      </w:r>
      <w:r w:rsidRPr="00E85915">
        <w:rPr>
          <w:lang w:val="fr-FR"/>
        </w:rPr>
        <w:t>faiblement prioritair</w:t>
      </w:r>
      <w:r w:rsidR="00E85915" w:rsidRPr="00E85915">
        <w:rPr>
          <w:lang w:val="fr-FR"/>
        </w:rPr>
        <w:t>es.  Pa</w:t>
      </w:r>
      <w:r w:rsidRPr="00E85915">
        <w:rPr>
          <w:lang w:val="fr-FR"/>
        </w:rPr>
        <w:t>rmi celles</w:t>
      </w:r>
      <w:r w:rsidR="0089008D">
        <w:rPr>
          <w:lang w:val="fr-FR"/>
        </w:rPr>
        <w:noBreakHyphen/>
      </w:r>
      <w:r w:rsidRPr="00E85915">
        <w:rPr>
          <w:lang w:val="fr-FR"/>
        </w:rPr>
        <w:t>ci, 81% (53) émanaient de</w:t>
      </w:r>
      <w:r w:rsidR="00BF513F" w:rsidRPr="00E85915">
        <w:rPr>
          <w:lang w:val="fr-FR"/>
        </w:rPr>
        <w:t xml:space="preserve"> la DSI</w:t>
      </w:r>
      <w:r w:rsidRPr="00E85915">
        <w:rPr>
          <w:lang w:val="fr-FR"/>
        </w:rPr>
        <w:t xml:space="preserve"> et les 19% restants (11) concernaient des recommandations faites par le vérificateur externe des compt</w:t>
      </w:r>
      <w:r w:rsidR="00E85915" w:rsidRPr="00E85915">
        <w:rPr>
          <w:lang w:val="fr-FR"/>
        </w:rPr>
        <w:t>es.  Le</w:t>
      </w:r>
      <w:r w:rsidRPr="00E85915">
        <w:rPr>
          <w:lang w:val="fr-FR"/>
        </w:rPr>
        <w:t xml:space="preserve"> diagramme 4 montre les recommandations ouvertes par source et par degré de priorité au 31 </w:t>
      </w:r>
      <w:r w:rsidR="00BF513F" w:rsidRPr="00E85915">
        <w:rPr>
          <w:lang w:val="fr-FR"/>
        </w:rPr>
        <w:t>décembre 20</w:t>
      </w:r>
      <w:r w:rsidRPr="00E85915">
        <w:rPr>
          <w:lang w:val="fr-FR"/>
        </w:rPr>
        <w:t>25.</w:t>
      </w:r>
    </w:p>
    <w:p w14:paraId="00456E4D" w14:textId="469D3060" w:rsidR="00F0742C" w:rsidRPr="003D3CED" w:rsidRDefault="00F0742C" w:rsidP="003D3CED">
      <w:pPr>
        <w:keepNext/>
        <w:spacing w:after="220"/>
        <w:jc w:val="center"/>
        <w:rPr>
          <w:b/>
          <w:bCs/>
          <w:lang w:val="fr-FR"/>
        </w:rPr>
      </w:pPr>
      <w:r w:rsidRPr="003D3CED">
        <w:rPr>
          <w:b/>
          <w:bCs/>
          <w:lang w:val="fr-FR"/>
        </w:rPr>
        <w:t xml:space="preserve">Diagramme 4 </w:t>
      </w:r>
      <w:r w:rsidR="00B91586" w:rsidRPr="003D3CED">
        <w:rPr>
          <w:b/>
          <w:bCs/>
          <w:lang w:val="fr-FR"/>
        </w:rPr>
        <w:t>–</w:t>
      </w:r>
      <w:r w:rsidRPr="003D3CED">
        <w:rPr>
          <w:b/>
          <w:bCs/>
          <w:lang w:val="fr-FR"/>
        </w:rPr>
        <w:t xml:space="preserve"> Recommandations ouvertes par source et par degré de priorité (60)</w:t>
      </w:r>
    </w:p>
    <w:p w14:paraId="047805D3" w14:textId="154803B3" w:rsidR="00F0742C" w:rsidRPr="003D3CED" w:rsidRDefault="003D3CED" w:rsidP="003A303A">
      <w:pPr>
        <w:rPr>
          <w:sz w:val="18"/>
          <w:szCs w:val="18"/>
          <w:lang w:val="fr-FR"/>
        </w:rPr>
      </w:pPr>
      <w:r w:rsidRPr="003D3CED">
        <w:rPr>
          <w:noProof/>
        </w:rPr>
        <w:drawing>
          <wp:inline distT="0" distB="0" distL="0" distR="0" wp14:anchorId="3D64EA36" wp14:editId="465C3AAA">
            <wp:extent cx="5845328" cy="2556198"/>
            <wp:effectExtent l="0" t="0" r="3175" b="0"/>
            <wp:docPr id="590390459" name="Picture 7" descr="Diagramme 4 - Recommandations ouvertes par source et par degré de priorité (60) Ce tableau indique la répartition des 60 recommandations ouvertes au 31 décembre 2025, par source et par degré de priorité. Parmi celles-ci, 53 recommandations ouvertes proviennent de la DSI et sept du vérificateur externe des comptes. Toutes sources confondues, 23 recommandations sont hautement prioritaires, 29 moyennement prioritaires et huit faiblement priorit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390459" name="Picture 7" descr="Diagramme 4 - Recommandations ouvertes par source et par degré de priorité (60) Ce tableau indique la répartition des 60 recommandations ouvertes au 31 décembre 2025, par source et par degré de priorité. Parmi celles-ci, 53 recommandations ouvertes proviennent de la DSI et sept du vérificateur externe des comptes. Toutes sources confondues, 23 recommandations sont hautement prioritaires, 29 moyennement prioritaires et huit faiblement prioritaire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7092" cy="2570089"/>
                    </a:xfrm>
                    <a:prstGeom prst="rect">
                      <a:avLst/>
                    </a:prstGeom>
                    <a:noFill/>
                    <a:ln>
                      <a:noFill/>
                    </a:ln>
                  </pic:spPr>
                </pic:pic>
              </a:graphicData>
            </a:graphic>
          </wp:inline>
        </w:drawing>
      </w:r>
    </w:p>
    <w:p w14:paraId="5C80835F" w14:textId="3D3C0925" w:rsidR="00BF513F" w:rsidRPr="00E85915" w:rsidRDefault="00F0742C" w:rsidP="003D3CED">
      <w:pPr>
        <w:spacing w:after="240"/>
        <w:rPr>
          <w:lang w:val="fr-FR"/>
        </w:rPr>
      </w:pPr>
      <w:r w:rsidRPr="00E85915">
        <w:rPr>
          <w:sz w:val="18"/>
          <w:lang w:val="fr-FR"/>
        </w:rPr>
        <w:t>Source</w:t>
      </w:r>
      <w:r w:rsidR="00BF513F" w:rsidRPr="00E85915">
        <w:rPr>
          <w:sz w:val="18"/>
          <w:lang w:val="fr-FR"/>
        </w:rPr>
        <w:t> :</w:t>
      </w:r>
      <w:r w:rsidRPr="00E85915">
        <w:rPr>
          <w:sz w:val="18"/>
          <w:lang w:val="fr-FR"/>
        </w:rPr>
        <w:t xml:space="preserve"> Système de gestion de l</w:t>
      </w:r>
      <w:r w:rsidR="00BF513F" w:rsidRPr="00E85915">
        <w:rPr>
          <w:sz w:val="18"/>
          <w:lang w:val="fr-FR"/>
        </w:rPr>
        <w:t>’</w:t>
      </w:r>
      <w:r w:rsidRPr="00E85915">
        <w:rPr>
          <w:sz w:val="18"/>
          <w:lang w:val="fr-FR"/>
        </w:rPr>
        <w:t>audit TeamMate+ de</w:t>
      </w:r>
      <w:r w:rsidR="00BF513F" w:rsidRPr="00E85915">
        <w:rPr>
          <w:sz w:val="18"/>
          <w:lang w:val="fr-FR"/>
        </w:rPr>
        <w:t xml:space="preserve"> la DSI</w:t>
      </w:r>
      <w:r w:rsidRPr="00E85915">
        <w:rPr>
          <w:sz w:val="18"/>
          <w:lang w:val="fr-FR"/>
        </w:rPr>
        <w:t>, année 2025</w:t>
      </w:r>
      <w:r w:rsidR="0089008D">
        <w:rPr>
          <w:sz w:val="18"/>
          <w:lang w:val="fr-FR"/>
        </w:rPr>
        <w:t>.</w:t>
      </w:r>
    </w:p>
    <w:p w14:paraId="2FDCE6F9" w14:textId="7B5CA2B3" w:rsidR="00F0742C" w:rsidRPr="00E85915" w:rsidRDefault="00F0742C" w:rsidP="003A303A">
      <w:pPr>
        <w:pStyle w:val="ONUMFS"/>
        <w:rPr>
          <w:lang w:val="fr-FR"/>
        </w:rPr>
      </w:pPr>
      <w:r w:rsidRPr="00E85915">
        <w:rPr>
          <w:lang w:val="fr-FR"/>
        </w:rPr>
        <w:t xml:space="preserve">De janvier à </w:t>
      </w:r>
      <w:r w:rsidR="00BF513F" w:rsidRPr="00E85915">
        <w:rPr>
          <w:lang w:val="fr-FR"/>
        </w:rPr>
        <w:t>décembre 20</w:t>
      </w:r>
      <w:r w:rsidRPr="00E85915">
        <w:rPr>
          <w:lang w:val="fr-FR"/>
        </w:rPr>
        <w:t>25, 83 nouvelles recommandations ont été ajoutées au système de gestion de l</w:t>
      </w:r>
      <w:r w:rsidR="00BF513F" w:rsidRPr="00E85915">
        <w:rPr>
          <w:lang w:val="fr-FR"/>
        </w:rPr>
        <w:t>’</w:t>
      </w:r>
      <w:r w:rsidRPr="00E85915">
        <w:rPr>
          <w:lang w:val="fr-FR"/>
        </w:rPr>
        <w:t>aud</w:t>
      </w:r>
      <w:r w:rsidR="00E85915" w:rsidRPr="00E85915">
        <w:rPr>
          <w:lang w:val="fr-FR"/>
        </w:rPr>
        <w:t>it.  Au</w:t>
      </w:r>
      <w:r w:rsidRPr="00E85915">
        <w:rPr>
          <w:lang w:val="fr-FR"/>
        </w:rPr>
        <w:t xml:space="preserve"> cours de la même période, 53 recommandations ont été clôturées, notamment une recommandation issue d</w:t>
      </w:r>
      <w:r w:rsidR="00BF513F" w:rsidRPr="00E85915">
        <w:rPr>
          <w:lang w:val="fr-FR"/>
        </w:rPr>
        <w:t>’</w:t>
      </w:r>
      <w:r w:rsidRPr="00E85915">
        <w:rPr>
          <w:lang w:val="fr-FR"/>
        </w:rPr>
        <w:t>un examen effectué par une partie externe que</w:t>
      </w:r>
      <w:r w:rsidR="00BF513F" w:rsidRPr="00E85915">
        <w:rPr>
          <w:lang w:val="fr-FR"/>
        </w:rPr>
        <w:t xml:space="preserve"> la DSI</w:t>
      </w:r>
      <w:r w:rsidRPr="00E85915">
        <w:rPr>
          <w:lang w:val="fr-FR"/>
        </w:rPr>
        <w:t xml:space="preserve"> a chargée de surveiller la mise en œuv</w:t>
      </w:r>
      <w:r w:rsidR="00E85915" w:rsidRPr="00E85915">
        <w:rPr>
          <w:lang w:val="fr-FR"/>
        </w:rPr>
        <w:t>re.  Le</w:t>
      </w:r>
      <w:r w:rsidRPr="00E85915">
        <w:rPr>
          <w:lang w:val="fr-FR"/>
        </w:rPr>
        <w:t xml:space="preserve"> tableau 3 ci</w:t>
      </w:r>
      <w:r w:rsidR="0089008D">
        <w:rPr>
          <w:lang w:val="fr-FR"/>
        </w:rPr>
        <w:noBreakHyphen/>
      </w:r>
      <w:r w:rsidRPr="00E85915">
        <w:rPr>
          <w:lang w:val="fr-FR"/>
        </w:rPr>
        <w:t>dessous montre l</w:t>
      </w:r>
      <w:r w:rsidR="00BF513F" w:rsidRPr="00E85915">
        <w:rPr>
          <w:lang w:val="fr-FR"/>
        </w:rPr>
        <w:t>’</w:t>
      </w:r>
      <w:r w:rsidRPr="00E85915">
        <w:rPr>
          <w:lang w:val="fr-FR"/>
        </w:rPr>
        <w:t>évolution des recommandations, par source, en 2025.</w:t>
      </w:r>
    </w:p>
    <w:p w14:paraId="4895B79F" w14:textId="4AFB2F3B" w:rsidR="00F0742C" w:rsidRPr="003D3CED" w:rsidRDefault="00F0742C" w:rsidP="00D83603">
      <w:pPr>
        <w:keepNext/>
        <w:spacing w:after="240"/>
        <w:jc w:val="center"/>
        <w:rPr>
          <w:b/>
          <w:bCs/>
          <w:lang w:val="fr-FR"/>
        </w:rPr>
      </w:pPr>
      <w:r w:rsidRPr="003D3CED">
        <w:rPr>
          <w:b/>
          <w:bCs/>
          <w:lang w:val="fr-FR"/>
        </w:rPr>
        <w:lastRenderedPageBreak/>
        <w:t xml:space="preserve">Tableau 3 </w:t>
      </w:r>
      <w:r w:rsidR="00B91586" w:rsidRPr="003D3CED">
        <w:rPr>
          <w:b/>
          <w:bCs/>
          <w:lang w:val="fr-FR"/>
        </w:rPr>
        <w:t>–</w:t>
      </w:r>
      <w:r w:rsidRPr="003D3CED">
        <w:rPr>
          <w:b/>
          <w:bCs/>
          <w:lang w:val="fr-FR"/>
        </w:rPr>
        <w:t xml:space="preserve"> Évolution des recommandations du</w:t>
      </w:r>
      <w:r w:rsidR="00BF513F" w:rsidRPr="003D3CED">
        <w:rPr>
          <w:b/>
          <w:bCs/>
          <w:lang w:val="fr-FR"/>
        </w:rPr>
        <w:t xml:space="preserve"> 1</w:t>
      </w:r>
      <w:r w:rsidR="00BF513F" w:rsidRPr="003D3CED">
        <w:rPr>
          <w:b/>
          <w:bCs/>
          <w:vertAlign w:val="superscript"/>
          <w:lang w:val="fr-FR"/>
        </w:rPr>
        <w:t>er</w:t>
      </w:r>
      <w:r w:rsidR="00BF513F" w:rsidRPr="003D3CED">
        <w:rPr>
          <w:b/>
          <w:bCs/>
          <w:lang w:val="fr-FR"/>
        </w:rPr>
        <w:t> </w:t>
      </w:r>
      <w:r w:rsidRPr="003D3CED">
        <w:rPr>
          <w:b/>
          <w:bCs/>
          <w:lang w:val="fr-FR"/>
        </w:rPr>
        <w:t>janvier 2025 au 31 décembre 2025</w:t>
      </w:r>
    </w:p>
    <w:tbl>
      <w:tblPr>
        <w:tblStyle w:val="GridTable4-Accent1"/>
        <w:tblW w:w="9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au 3 – Évolution des recommandations du 1er janvier 2025 au 31 décembre 2025"/>
        <w:tblDescription w:val="Évolution des recommandations entre le 1er janvier 2025 et le 31 décembre 2025"/>
      </w:tblPr>
      <w:tblGrid>
        <w:gridCol w:w="3828"/>
        <w:gridCol w:w="1383"/>
        <w:gridCol w:w="1276"/>
        <w:gridCol w:w="1275"/>
        <w:gridCol w:w="1453"/>
      </w:tblGrid>
      <w:tr w:rsidR="00F0742C" w:rsidRPr="00E85915" w14:paraId="33D6FB89" w14:textId="77777777" w:rsidTr="003D3CED">
        <w:trPr>
          <w:cnfStyle w:val="100000000000" w:firstRow="1" w:lastRow="0" w:firstColumn="0" w:lastColumn="0" w:oddVBand="0" w:evenVBand="0" w:oddHBand="0" w:evenHBand="0" w:firstRowFirstColumn="0" w:firstRowLastColumn="0" w:lastRowFirstColumn="0" w:lastRowLastColumn="0"/>
          <w:trHeight w:val="711"/>
          <w:tblHeader/>
        </w:trPr>
        <w:tc>
          <w:tcPr>
            <w:cnfStyle w:val="001000000000" w:firstRow="0" w:lastRow="0" w:firstColumn="1" w:lastColumn="0" w:oddVBand="0" w:evenVBand="0" w:oddHBand="0" w:evenHBand="0" w:firstRowFirstColumn="0" w:firstRowLastColumn="0" w:lastRowFirstColumn="0" w:lastRowLastColumn="0"/>
            <w:tcW w:w="3828" w:type="dxa"/>
            <w:tcBorders>
              <w:bottom w:val="nil"/>
            </w:tcBorders>
            <w:shd w:val="clear" w:color="auto" w:fill="17365D" w:themeFill="text2" w:themeFillShade="BF"/>
            <w:noWrap/>
            <w:hideMark/>
          </w:tcPr>
          <w:p w14:paraId="32B22E72" w14:textId="77777777" w:rsidR="00F0742C" w:rsidRPr="00E85915" w:rsidRDefault="00F0742C" w:rsidP="003A303A">
            <w:pPr>
              <w:rPr>
                <w:rFonts w:eastAsia="Times New Roman"/>
                <w:b w:val="0"/>
                <w:sz w:val="20"/>
                <w:lang w:eastAsia="en-US"/>
              </w:rPr>
            </w:pPr>
          </w:p>
          <w:p w14:paraId="78ACA387" w14:textId="77777777" w:rsidR="00F0742C" w:rsidRPr="00E85915" w:rsidRDefault="00F0742C" w:rsidP="003A303A">
            <w:pPr>
              <w:rPr>
                <w:rFonts w:eastAsia="Times New Roman"/>
                <w:b w:val="0"/>
                <w:sz w:val="20"/>
              </w:rPr>
            </w:pPr>
            <w:r w:rsidRPr="00E85915">
              <w:rPr>
                <w:sz w:val="20"/>
              </w:rPr>
              <w:t>Source</w:t>
            </w:r>
          </w:p>
        </w:tc>
        <w:tc>
          <w:tcPr>
            <w:tcW w:w="1383" w:type="dxa"/>
            <w:tcBorders>
              <w:bottom w:val="nil"/>
            </w:tcBorders>
            <w:shd w:val="clear" w:color="auto" w:fill="17365D" w:themeFill="text2" w:themeFillShade="BF"/>
            <w:hideMark/>
          </w:tcPr>
          <w:p w14:paraId="120A6343" w14:textId="2B737AFD" w:rsidR="00F0742C" w:rsidRPr="00E85915" w:rsidRDefault="00F0742C" w:rsidP="003A303A">
            <w:pPr>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rPr>
            </w:pPr>
            <w:r w:rsidRPr="00E85915">
              <w:rPr>
                <w:sz w:val="20"/>
              </w:rPr>
              <w:t>Ouvertes au</w:t>
            </w:r>
            <w:r w:rsidR="00BF513F" w:rsidRPr="00E85915">
              <w:rPr>
                <w:sz w:val="20"/>
              </w:rPr>
              <w:t xml:space="preserve"> 1</w:t>
            </w:r>
            <w:r w:rsidR="00BF513F" w:rsidRPr="00E85915">
              <w:rPr>
                <w:sz w:val="20"/>
                <w:vertAlign w:val="superscript"/>
              </w:rPr>
              <w:t>er</w:t>
            </w:r>
            <w:r w:rsidR="00BF513F" w:rsidRPr="00E85915">
              <w:rPr>
                <w:sz w:val="20"/>
              </w:rPr>
              <w:t> </w:t>
            </w:r>
            <w:r w:rsidRPr="00E85915">
              <w:rPr>
                <w:sz w:val="20"/>
              </w:rPr>
              <w:t>janvier</w:t>
            </w:r>
            <w:r w:rsidR="003D3CED">
              <w:rPr>
                <w:sz w:val="20"/>
              </w:rPr>
              <w:t xml:space="preserve"> </w:t>
            </w:r>
            <w:r w:rsidRPr="00E85915">
              <w:rPr>
                <w:sz w:val="20"/>
              </w:rPr>
              <w:t>2025</w:t>
            </w:r>
          </w:p>
        </w:tc>
        <w:tc>
          <w:tcPr>
            <w:tcW w:w="1276" w:type="dxa"/>
            <w:tcBorders>
              <w:bottom w:val="nil"/>
            </w:tcBorders>
            <w:shd w:val="clear" w:color="auto" w:fill="17365D" w:themeFill="text2" w:themeFillShade="BF"/>
            <w:hideMark/>
          </w:tcPr>
          <w:p w14:paraId="338EC680" w14:textId="77777777" w:rsidR="00F0742C" w:rsidRPr="00E85915" w:rsidRDefault="00F0742C" w:rsidP="003A303A">
            <w:pPr>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rPr>
            </w:pPr>
            <w:r w:rsidRPr="00E85915">
              <w:rPr>
                <w:sz w:val="20"/>
              </w:rPr>
              <w:t>Ajoutées pendant la période</w:t>
            </w:r>
          </w:p>
        </w:tc>
        <w:tc>
          <w:tcPr>
            <w:tcW w:w="1275" w:type="dxa"/>
            <w:tcBorders>
              <w:bottom w:val="nil"/>
            </w:tcBorders>
            <w:shd w:val="clear" w:color="auto" w:fill="17365D" w:themeFill="text2" w:themeFillShade="BF"/>
            <w:hideMark/>
          </w:tcPr>
          <w:p w14:paraId="0761E915" w14:textId="77777777" w:rsidR="00F0742C" w:rsidRPr="00E85915" w:rsidRDefault="00F0742C" w:rsidP="003A303A">
            <w:pPr>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rPr>
            </w:pPr>
            <w:r w:rsidRPr="00E85915">
              <w:rPr>
                <w:sz w:val="20"/>
              </w:rPr>
              <w:t>Clôturées pendant la période</w:t>
            </w:r>
          </w:p>
        </w:tc>
        <w:tc>
          <w:tcPr>
            <w:tcW w:w="1453" w:type="dxa"/>
            <w:tcBorders>
              <w:bottom w:val="nil"/>
            </w:tcBorders>
            <w:shd w:val="clear" w:color="auto" w:fill="17365D" w:themeFill="text2" w:themeFillShade="BF"/>
            <w:hideMark/>
          </w:tcPr>
          <w:p w14:paraId="5237702B" w14:textId="0E68269D" w:rsidR="00F0742C" w:rsidRPr="00E85915" w:rsidRDefault="00F0742C" w:rsidP="003A303A">
            <w:pPr>
              <w:jc w:val="center"/>
              <w:cnfStyle w:val="100000000000" w:firstRow="1" w:lastRow="0" w:firstColumn="0" w:lastColumn="0" w:oddVBand="0" w:evenVBand="0" w:oddHBand="0" w:evenHBand="0" w:firstRowFirstColumn="0" w:firstRowLastColumn="0" w:lastRowFirstColumn="0" w:lastRowLastColumn="0"/>
              <w:rPr>
                <w:rFonts w:eastAsia="Times New Roman"/>
                <w:b w:val="0"/>
                <w:sz w:val="20"/>
              </w:rPr>
            </w:pPr>
            <w:r w:rsidRPr="00E85915">
              <w:rPr>
                <w:sz w:val="20"/>
              </w:rPr>
              <w:t>Ouvertes au</w:t>
            </w:r>
            <w:r w:rsidR="003D3CED">
              <w:rPr>
                <w:sz w:val="20"/>
              </w:rPr>
              <w:t xml:space="preserve"> </w:t>
            </w:r>
            <w:r w:rsidRPr="00E85915">
              <w:rPr>
                <w:sz w:val="20"/>
              </w:rPr>
              <w:t>31 décembre</w:t>
            </w:r>
            <w:r w:rsidR="003D3CED">
              <w:rPr>
                <w:sz w:val="20"/>
              </w:rPr>
              <w:t xml:space="preserve"> </w:t>
            </w:r>
            <w:r w:rsidRPr="00E85915">
              <w:rPr>
                <w:sz w:val="20"/>
              </w:rPr>
              <w:t>2025</w:t>
            </w:r>
          </w:p>
        </w:tc>
      </w:tr>
      <w:tr w:rsidR="00F0742C" w:rsidRPr="00E85915" w14:paraId="0F8436ED" w14:textId="77777777" w:rsidTr="003D3CE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noWrap/>
            <w:hideMark/>
          </w:tcPr>
          <w:p w14:paraId="597C8F69" w14:textId="77777777" w:rsidR="00F0742C" w:rsidRPr="00E85915" w:rsidRDefault="00F0742C" w:rsidP="003A303A">
            <w:pPr>
              <w:rPr>
                <w:rFonts w:eastAsia="Times New Roman"/>
                <w:b w:val="0"/>
                <w:color w:val="000000"/>
                <w:sz w:val="20"/>
              </w:rPr>
            </w:pPr>
            <w:r w:rsidRPr="00E85915">
              <w:rPr>
                <w:color w:val="000000"/>
                <w:sz w:val="20"/>
              </w:rPr>
              <w:t>DSI</w:t>
            </w:r>
          </w:p>
        </w:tc>
        <w:tc>
          <w:tcPr>
            <w:tcW w:w="1383" w:type="dxa"/>
            <w:tcBorders>
              <w:top w:val="nil"/>
              <w:left w:val="nil"/>
              <w:bottom w:val="nil"/>
              <w:right w:val="nil"/>
            </w:tcBorders>
            <w:noWrap/>
            <w:hideMark/>
          </w:tcPr>
          <w:p w14:paraId="1A96846A" w14:textId="77777777" w:rsidR="00F0742C" w:rsidRPr="00E85915" w:rsidRDefault="00F0742C" w:rsidP="003A303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sz w:val="20"/>
              </w:rPr>
              <w:t>23</w:t>
            </w:r>
          </w:p>
        </w:tc>
        <w:tc>
          <w:tcPr>
            <w:tcW w:w="1276" w:type="dxa"/>
            <w:tcBorders>
              <w:top w:val="nil"/>
              <w:left w:val="nil"/>
              <w:bottom w:val="nil"/>
              <w:right w:val="nil"/>
            </w:tcBorders>
            <w:noWrap/>
          </w:tcPr>
          <w:p w14:paraId="1B62A51C" w14:textId="77777777" w:rsidR="00F0742C" w:rsidRPr="00E85915" w:rsidRDefault="00F0742C" w:rsidP="003A303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sz w:val="20"/>
              </w:rPr>
              <w:t>75</w:t>
            </w:r>
          </w:p>
        </w:tc>
        <w:tc>
          <w:tcPr>
            <w:tcW w:w="1275" w:type="dxa"/>
            <w:tcBorders>
              <w:top w:val="nil"/>
              <w:left w:val="nil"/>
              <w:bottom w:val="nil"/>
              <w:right w:val="nil"/>
            </w:tcBorders>
            <w:noWrap/>
          </w:tcPr>
          <w:p w14:paraId="3264EB67" w14:textId="77777777" w:rsidR="00F0742C" w:rsidRPr="00E85915" w:rsidRDefault="00F0742C" w:rsidP="003A303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sz w:val="20"/>
              </w:rPr>
              <w:t>(45)</w:t>
            </w:r>
          </w:p>
        </w:tc>
        <w:tc>
          <w:tcPr>
            <w:tcW w:w="1453" w:type="dxa"/>
            <w:tcBorders>
              <w:top w:val="nil"/>
              <w:left w:val="nil"/>
              <w:bottom w:val="nil"/>
              <w:right w:val="nil"/>
            </w:tcBorders>
            <w:noWrap/>
          </w:tcPr>
          <w:p w14:paraId="64A7AC27" w14:textId="77777777" w:rsidR="00F0742C" w:rsidRPr="00E85915" w:rsidRDefault="00F0742C" w:rsidP="003A303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sz w:val="20"/>
              </w:rPr>
              <w:t>53</w:t>
            </w:r>
          </w:p>
        </w:tc>
      </w:tr>
      <w:tr w:rsidR="00F0742C" w:rsidRPr="00E85915" w14:paraId="4AD238A3" w14:textId="77777777" w:rsidTr="003D3CED">
        <w:trPr>
          <w:trHeight w:val="287"/>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noWrap/>
            <w:hideMark/>
          </w:tcPr>
          <w:p w14:paraId="5E3BE502" w14:textId="77777777" w:rsidR="00F0742C" w:rsidRPr="00E85915" w:rsidRDefault="00F0742C" w:rsidP="003A303A">
            <w:pPr>
              <w:rPr>
                <w:rFonts w:eastAsia="Times New Roman"/>
                <w:b w:val="0"/>
                <w:color w:val="000000"/>
                <w:sz w:val="20"/>
              </w:rPr>
            </w:pPr>
            <w:r w:rsidRPr="00E85915">
              <w:rPr>
                <w:color w:val="000000"/>
                <w:sz w:val="20"/>
              </w:rPr>
              <w:t>Vérificateur externe des comptes</w:t>
            </w:r>
          </w:p>
        </w:tc>
        <w:tc>
          <w:tcPr>
            <w:tcW w:w="1383" w:type="dxa"/>
            <w:tcBorders>
              <w:top w:val="nil"/>
              <w:left w:val="nil"/>
              <w:bottom w:val="nil"/>
              <w:right w:val="nil"/>
            </w:tcBorders>
            <w:noWrap/>
            <w:hideMark/>
          </w:tcPr>
          <w:p w14:paraId="3ACD5F6F" w14:textId="77777777" w:rsidR="00F0742C" w:rsidRPr="00E85915" w:rsidRDefault="00F0742C" w:rsidP="003A303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sz w:val="20"/>
              </w:rPr>
              <w:t>6</w:t>
            </w:r>
          </w:p>
        </w:tc>
        <w:tc>
          <w:tcPr>
            <w:tcW w:w="1276" w:type="dxa"/>
            <w:tcBorders>
              <w:top w:val="nil"/>
              <w:left w:val="nil"/>
              <w:bottom w:val="nil"/>
              <w:right w:val="nil"/>
            </w:tcBorders>
            <w:noWrap/>
          </w:tcPr>
          <w:p w14:paraId="73D2F9C4" w14:textId="77777777" w:rsidR="00F0742C" w:rsidRPr="00E85915" w:rsidRDefault="00F0742C" w:rsidP="003A303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sz w:val="20"/>
              </w:rPr>
              <w:t>8</w:t>
            </w:r>
          </w:p>
        </w:tc>
        <w:tc>
          <w:tcPr>
            <w:tcW w:w="1275" w:type="dxa"/>
            <w:tcBorders>
              <w:top w:val="nil"/>
              <w:left w:val="nil"/>
              <w:bottom w:val="nil"/>
              <w:right w:val="nil"/>
            </w:tcBorders>
            <w:noWrap/>
          </w:tcPr>
          <w:p w14:paraId="7FC4C93D" w14:textId="77777777" w:rsidR="00F0742C" w:rsidRPr="00E85915" w:rsidRDefault="00F0742C" w:rsidP="003A303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sz w:val="20"/>
              </w:rPr>
              <w:t>(7)</w:t>
            </w:r>
          </w:p>
        </w:tc>
        <w:tc>
          <w:tcPr>
            <w:tcW w:w="1453" w:type="dxa"/>
            <w:tcBorders>
              <w:top w:val="nil"/>
              <w:left w:val="nil"/>
              <w:bottom w:val="nil"/>
              <w:right w:val="nil"/>
            </w:tcBorders>
            <w:noWrap/>
          </w:tcPr>
          <w:p w14:paraId="3B691EE0" w14:textId="77777777" w:rsidR="00F0742C" w:rsidRPr="00E85915" w:rsidRDefault="00F0742C" w:rsidP="003A303A">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sz w:val="20"/>
              </w:rPr>
              <w:t>7</w:t>
            </w:r>
          </w:p>
        </w:tc>
      </w:tr>
      <w:tr w:rsidR="00F0742C" w:rsidRPr="00E85915" w14:paraId="32A2C429" w14:textId="77777777" w:rsidTr="003D3CE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noWrap/>
            <w:hideMark/>
          </w:tcPr>
          <w:p w14:paraId="7DD3A711" w14:textId="77777777" w:rsidR="00F0742C" w:rsidRPr="00E85915" w:rsidRDefault="00F0742C" w:rsidP="003A303A">
            <w:pPr>
              <w:rPr>
                <w:rFonts w:eastAsia="Times New Roman"/>
                <w:color w:val="000000"/>
                <w:sz w:val="20"/>
              </w:rPr>
            </w:pPr>
            <w:r w:rsidRPr="00E85915">
              <w:rPr>
                <w:color w:val="000000"/>
                <w:sz w:val="20"/>
              </w:rPr>
              <w:t>Autre</w:t>
            </w:r>
            <w:r w:rsidRPr="00E85915">
              <w:rPr>
                <w:rStyle w:val="FootnoteReference"/>
                <w:rFonts w:eastAsia="Times New Roman"/>
                <w:color w:val="000000"/>
                <w:sz w:val="20"/>
                <w:lang w:eastAsia="en-US"/>
              </w:rPr>
              <w:footnoteReference w:id="9"/>
            </w:r>
          </w:p>
        </w:tc>
        <w:tc>
          <w:tcPr>
            <w:tcW w:w="1383" w:type="dxa"/>
            <w:tcBorders>
              <w:top w:val="nil"/>
              <w:left w:val="nil"/>
              <w:bottom w:val="nil"/>
              <w:right w:val="nil"/>
            </w:tcBorders>
            <w:noWrap/>
            <w:hideMark/>
          </w:tcPr>
          <w:p w14:paraId="3BBD3FEC" w14:textId="77777777" w:rsidR="00F0742C" w:rsidRPr="00E85915" w:rsidRDefault="00F0742C" w:rsidP="003A303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sz w:val="20"/>
              </w:rPr>
              <w:t>1</w:t>
            </w:r>
          </w:p>
        </w:tc>
        <w:tc>
          <w:tcPr>
            <w:tcW w:w="1276" w:type="dxa"/>
            <w:tcBorders>
              <w:top w:val="nil"/>
              <w:left w:val="nil"/>
              <w:bottom w:val="nil"/>
              <w:right w:val="nil"/>
            </w:tcBorders>
            <w:noWrap/>
          </w:tcPr>
          <w:p w14:paraId="664A073D" w14:textId="7CE73CC4" w:rsidR="00F0742C" w:rsidRPr="00E85915" w:rsidRDefault="0089008D" w:rsidP="003A303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noBreakHyphen/>
            </w:r>
          </w:p>
        </w:tc>
        <w:tc>
          <w:tcPr>
            <w:tcW w:w="1275" w:type="dxa"/>
            <w:tcBorders>
              <w:top w:val="nil"/>
              <w:left w:val="nil"/>
              <w:bottom w:val="nil"/>
              <w:right w:val="nil"/>
            </w:tcBorders>
            <w:noWrap/>
          </w:tcPr>
          <w:p w14:paraId="4104AC71" w14:textId="77777777" w:rsidR="00F0742C" w:rsidRPr="00E85915" w:rsidRDefault="00F0742C" w:rsidP="003A303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sz w:val="20"/>
              </w:rPr>
              <w:t>1)</w:t>
            </w:r>
          </w:p>
        </w:tc>
        <w:tc>
          <w:tcPr>
            <w:tcW w:w="1453" w:type="dxa"/>
            <w:tcBorders>
              <w:top w:val="nil"/>
              <w:left w:val="nil"/>
              <w:bottom w:val="nil"/>
              <w:right w:val="nil"/>
            </w:tcBorders>
            <w:noWrap/>
          </w:tcPr>
          <w:p w14:paraId="6B583980" w14:textId="4CDA501E" w:rsidR="00F0742C" w:rsidRPr="00E85915" w:rsidRDefault="0089008D" w:rsidP="003A303A">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Pr>
                <w:color w:val="000000"/>
                <w:sz w:val="20"/>
              </w:rPr>
              <w:noBreakHyphen/>
            </w:r>
          </w:p>
        </w:tc>
      </w:tr>
      <w:tr w:rsidR="00F0742C" w:rsidRPr="00E85915" w14:paraId="5AEE099C" w14:textId="77777777" w:rsidTr="003D3CED">
        <w:trPr>
          <w:trHeight w:val="287"/>
        </w:trPr>
        <w:tc>
          <w:tcPr>
            <w:cnfStyle w:val="001000000000" w:firstRow="0" w:lastRow="0" w:firstColumn="1" w:lastColumn="0" w:oddVBand="0" w:evenVBand="0" w:oddHBand="0" w:evenHBand="0" w:firstRowFirstColumn="0" w:firstRowLastColumn="0" w:lastRowFirstColumn="0" w:lastRowLastColumn="0"/>
            <w:tcW w:w="3828" w:type="dxa"/>
            <w:tcBorders>
              <w:top w:val="nil"/>
              <w:left w:val="nil"/>
              <w:bottom w:val="nil"/>
              <w:right w:val="nil"/>
            </w:tcBorders>
            <w:noWrap/>
            <w:hideMark/>
          </w:tcPr>
          <w:p w14:paraId="294C18A9" w14:textId="77777777" w:rsidR="00F0742C" w:rsidRPr="00E85915" w:rsidRDefault="00F0742C" w:rsidP="003A303A">
            <w:pPr>
              <w:rPr>
                <w:rFonts w:eastAsia="Times New Roman"/>
                <w:b w:val="0"/>
                <w:color w:val="000000"/>
                <w:sz w:val="20"/>
              </w:rPr>
            </w:pPr>
            <w:r w:rsidRPr="00E85915">
              <w:rPr>
                <w:color w:val="000000"/>
                <w:sz w:val="20"/>
              </w:rPr>
              <w:t>Total</w:t>
            </w:r>
          </w:p>
        </w:tc>
        <w:tc>
          <w:tcPr>
            <w:tcW w:w="1383" w:type="dxa"/>
            <w:tcBorders>
              <w:top w:val="nil"/>
              <w:left w:val="nil"/>
              <w:bottom w:val="nil"/>
              <w:right w:val="nil"/>
            </w:tcBorders>
            <w:noWrap/>
            <w:hideMark/>
          </w:tcPr>
          <w:p w14:paraId="675AD4F9" w14:textId="77777777" w:rsidR="00F0742C" w:rsidRPr="00E85915" w:rsidRDefault="00F0742C" w:rsidP="003A303A">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rPr>
            </w:pPr>
            <w:r w:rsidRPr="00E85915">
              <w:rPr>
                <w:b/>
                <w:color w:val="000000"/>
                <w:sz w:val="20"/>
              </w:rPr>
              <w:t>30</w:t>
            </w:r>
          </w:p>
        </w:tc>
        <w:tc>
          <w:tcPr>
            <w:tcW w:w="1276" w:type="dxa"/>
            <w:tcBorders>
              <w:top w:val="nil"/>
              <w:left w:val="nil"/>
              <w:bottom w:val="nil"/>
              <w:right w:val="nil"/>
            </w:tcBorders>
            <w:noWrap/>
          </w:tcPr>
          <w:p w14:paraId="22A93C89" w14:textId="77777777" w:rsidR="00F0742C" w:rsidRPr="00E85915" w:rsidRDefault="00F0742C" w:rsidP="003A303A">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rPr>
            </w:pPr>
            <w:r w:rsidRPr="00E85915">
              <w:rPr>
                <w:b/>
                <w:color w:val="000000"/>
                <w:sz w:val="20"/>
              </w:rPr>
              <w:t>83</w:t>
            </w:r>
          </w:p>
        </w:tc>
        <w:tc>
          <w:tcPr>
            <w:tcW w:w="1275" w:type="dxa"/>
            <w:tcBorders>
              <w:top w:val="nil"/>
              <w:left w:val="nil"/>
              <w:bottom w:val="nil"/>
              <w:right w:val="nil"/>
            </w:tcBorders>
            <w:noWrap/>
          </w:tcPr>
          <w:p w14:paraId="518412B5" w14:textId="77777777" w:rsidR="00F0742C" w:rsidRPr="00E85915" w:rsidRDefault="00F0742C" w:rsidP="003A303A">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rPr>
            </w:pPr>
            <w:r w:rsidRPr="00E85915">
              <w:rPr>
                <w:b/>
                <w:color w:val="000000"/>
                <w:sz w:val="20"/>
              </w:rPr>
              <w:t>(53)</w:t>
            </w:r>
          </w:p>
        </w:tc>
        <w:tc>
          <w:tcPr>
            <w:tcW w:w="1453" w:type="dxa"/>
            <w:tcBorders>
              <w:top w:val="nil"/>
              <w:left w:val="nil"/>
              <w:bottom w:val="nil"/>
              <w:right w:val="nil"/>
            </w:tcBorders>
            <w:noWrap/>
          </w:tcPr>
          <w:p w14:paraId="52CE99C5" w14:textId="77777777" w:rsidR="00F0742C" w:rsidRPr="00E85915" w:rsidRDefault="00F0742C" w:rsidP="003A303A">
            <w:pPr>
              <w:jc w:val="center"/>
              <w:cnfStyle w:val="000000000000" w:firstRow="0" w:lastRow="0" w:firstColumn="0" w:lastColumn="0" w:oddVBand="0" w:evenVBand="0" w:oddHBand="0" w:evenHBand="0" w:firstRowFirstColumn="0" w:firstRowLastColumn="0" w:lastRowFirstColumn="0" w:lastRowLastColumn="0"/>
              <w:rPr>
                <w:rFonts w:eastAsia="Times New Roman"/>
                <w:b/>
                <w:color w:val="000000"/>
                <w:sz w:val="20"/>
              </w:rPr>
            </w:pPr>
            <w:r w:rsidRPr="00E85915">
              <w:rPr>
                <w:b/>
                <w:color w:val="000000"/>
                <w:sz w:val="20"/>
              </w:rPr>
              <w:t>60</w:t>
            </w:r>
          </w:p>
        </w:tc>
      </w:tr>
    </w:tbl>
    <w:p w14:paraId="78F386DA" w14:textId="32AE3416" w:rsidR="00F0742C" w:rsidRPr="003D3CED" w:rsidRDefault="00F0742C" w:rsidP="003D3CED">
      <w:pPr>
        <w:spacing w:after="240"/>
        <w:rPr>
          <w:sz w:val="18"/>
          <w:szCs w:val="18"/>
          <w:lang w:val="fr-FR"/>
        </w:rPr>
      </w:pPr>
      <w:r w:rsidRPr="003D3CED">
        <w:rPr>
          <w:sz w:val="18"/>
          <w:szCs w:val="18"/>
          <w:lang w:val="fr-FR"/>
        </w:rPr>
        <w:t>Source</w:t>
      </w:r>
      <w:r w:rsidR="00BF513F" w:rsidRPr="003D3CED">
        <w:rPr>
          <w:sz w:val="18"/>
          <w:szCs w:val="18"/>
          <w:lang w:val="fr-FR"/>
        </w:rPr>
        <w:t> :</w:t>
      </w:r>
      <w:r w:rsidRPr="003D3CED">
        <w:rPr>
          <w:sz w:val="18"/>
          <w:szCs w:val="18"/>
          <w:lang w:val="fr-FR"/>
        </w:rPr>
        <w:t xml:space="preserve"> Système de gestion de l</w:t>
      </w:r>
      <w:r w:rsidR="00BF513F" w:rsidRPr="003D3CED">
        <w:rPr>
          <w:sz w:val="18"/>
          <w:szCs w:val="18"/>
          <w:lang w:val="fr-FR"/>
        </w:rPr>
        <w:t>’</w:t>
      </w:r>
      <w:r w:rsidRPr="003D3CED">
        <w:rPr>
          <w:sz w:val="18"/>
          <w:szCs w:val="18"/>
          <w:lang w:val="fr-FR"/>
        </w:rPr>
        <w:t>audit TeamMate+ de la DSI</w:t>
      </w:r>
      <w:r w:rsidR="00B91586" w:rsidRPr="003D3CED">
        <w:rPr>
          <w:sz w:val="18"/>
          <w:szCs w:val="18"/>
          <w:lang w:val="fr-FR"/>
        </w:rPr>
        <w:t>.</w:t>
      </w:r>
    </w:p>
    <w:p w14:paraId="31894997" w14:textId="66B62DED" w:rsidR="00F0742C" w:rsidRPr="00E85915" w:rsidRDefault="00F0742C" w:rsidP="003A303A">
      <w:pPr>
        <w:pStyle w:val="ONUMFS"/>
        <w:rPr>
          <w:lang w:val="fr-FR"/>
        </w:rPr>
      </w:pPr>
      <w:r w:rsidRPr="00E85915">
        <w:rPr>
          <w:lang w:val="fr-FR"/>
        </w:rPr>
        <w:t>Le diagramme ci</w:t>
      </w:r>
      <w:r w:rsidR="0089008D">
        <w:rPr>
          <w:lang w:val="fr-FR"/>
        </w:rPr>
        <w:noBreakHyphen/>
      </w:r>
      <w:r w:rsidRPr="00E85915">
        <w:rPr>
          <w:lang w:val="fr-FR"/>
        </w:rPr>
        <w:t>après résume l</w:t>
      </w:r>
      <w:r w:rsidR="00BF513F" w:rsidRPr="00E85915">
        <w:rPr>
          <w:lang w:val="fr-FR"/>
        </w:rPr>
        <w:t>’</w:t>
      </w:r>
      <w:r w:rsidRPr="00E85915">
        <w:rPr>
          <w:lang w:val="fr-FR"/>
        </w:rPr>
        <w:t>évolution des recommandations ouvertes en fonction de la date initiale à laquelle la recommandation aurait dû être mise en œuv</w:t>
      </w:r>
      <w:r w:rsidR="00E85915" w:rsidRPr="00E85915">
        <w:rPr>
          <w:lang w:val="fr-FR"/>
        </w:rPr>
        <w:t>re.  So</w:t>
      </w:r>
      <w:r w:rsidRPr="00E85915">
        <w:rPr>
          <w:lang w:val="fr-FR"/>
        </w:rPr>
        <w:t>ixante</w:t>
      </w:r>
      <w:r w:rsidR="0089008D">
        <w:rPr>
          <w:lang w:val="fr-FR"/>
        </w:rPr>
        <w:noBreakHyphen/>
      </w:r>
      <w:r w:rsidRPr="00E85915">
        <w:rPr>
          <w:lang w:val="fr-FR"/>
        </w:rPr>
        <w:t>douze pour</w:t>
      </w:r>
      <w:r w:rsidR="00B91586">
        <w:rPr>
          <w:lang w:val="fr-FR"/>
        </w:rPr>
        <w:t xml:space="preserve"> </w:t>
      </w:r>
      <w:r w:rsidRPr="00E85915">
        <w:rPr>
          <w:lang w:val="fr-FR"/>
        </w:rPr>
        <w:t>cent des recommandations ouvertes (43) n</w:t>
      </w:r>
      <w:r w:rsidR="00BF513F" w:rsidRPr="00E85915">
        <w:rPr>
          <w:lang w:val="fr-FR"/>
        </w:rPr>
        <w:t>’</w:t>
      </w:r>
      <w:r w:rsidRPr="00E85915">
        <w:rPr>
          <w:lang w:val="fr-FR"/>
        </w:rPr>
        <w:t>étaient pas arrivées à échéance, et 28% des recommandations étaient en retard de moins d</w:t>
      </w:r>
      <w:r w:rsidR="00BF513F" w:rsidRPr="00E85915">
        <w:rPr>
          <w:lang w:val="fr-FR"/>
        </w:rPr>
        <w:t>’</w:t>
      </w:r>
      <w:r w:rsidRPr="00E85915">
        <w:rPr>
          <w:lang w:val="fr-FR"/>
        </w:rPr>
        <w:t>un an au 31 </w:t>
      </w:r>
      <w:r w:rsidR="00BF513F" w:rsidRPr="00E85915">
        <w:rPr>
          <w:lang w:val="fr-FR"/>
        </w:rPr>
        <w:t>décembre 20</w:t>
      </w:r>
      <w:r w:rsidRPr="00E85915">
        <w:rPr>
          <w:lang w:val="fr-FR"/>
        </w:rPr>
        <w:t>25.</w:t>
      </w:r>
    </w:p>
    <w:p w14:paraId="7AD8EB03" w14:textId="3FB2B128" w:rsidR="00F0742C" w:rsidRPr="003D3CED" w:rsidRDefault="00F0742C" w:rsidP="003D3CED">
      <w:pPr>
        <w:keepNext/>
        <w:spacing w:after="240"/>
        <w:jc w:val="center"/>
        <w:rPr>
          <w:b/>
          <w:bCs/>
          <w:lang w:val="fr-FR"/>
        </w:rPr>
      </w:pPr>
      <w:r w:rsidRPr="003D3CED">
        <w:rPr>
          <w:b/>
          <w:bCs/>
          <w:lang w:val="fr-FR"/>
        </w:rPr>
        <w:t xml:space="preserve">Diagramme 5 </w:t>
      </w:r>
      <w:r w:rsidR="00B91586" w:rsidRPr="003D3CED">
        <w:rPr>
          <w:b/>
          <w:bCs/>
          <w:lang w:val="fr-FR"/>
        </w:rPr>
        <w:t>–</w:t>
      </w:r>
      <w:r w:rsidRPr="003D3CED">
        <w:rPr>
          <w:b/>
          <w:bCs/>
          <w:lang w:val="fr-FR"/>
        </w:rPr>
        <w:t xml:space="preserve"> Suivi des recommandations ouvertes relatives à la supervision, en</w:t>
      </w:r>
      <w:r w:rsidR="003D3CED">
        <w:rPr>
          <w:b/>
          <w:bCs/>
          <w:lang w:val="fr-FR"/>
        </w:rPr>
        <w:t> </w:t>
      </w:r>
      <w:r w:rsidRPr="003D3CED">
        <w:rPr>
          <w:b/>
          <w:bCs/>
          <w:lang w:val="fr-FR"/>
        </w:rPr>
        <w:t>fonction de la date initiale de mise en œuvre</w:t>
      </w:r>
    </w:p>
    <w:p w14:paraId="63359A7D" w14:textId="6FEC1ECC" w:rsidR="000959A3" w:rsidRPr="00E85915" w:rsidRDefault="000959A3" w:rsidP="000959A3">
      <w:pPr>
        <w:jc w:val="center"/>
        <w:rPr>
          <w:lang w:val="fr-FR"/>
        </w:rPr>
      </w:pPr>
      <w:r w:rsidRPr="000959A3">
        <w:rPr>
          <w:noProof/>
        </w:rPr>
        <w:drawing>
          <wp:inline distT="0" distB="0" distL="0" distR="0" wp14:anchorId="1F5FCFAE" wp14:editId="60F1C3F7">
            <wp:extent cx="5688000" cy="4847719"/>
            <wp:effectExtent l="0" t="0" r="8255" b="0"/>
            <wp:docPr id="2083428295" name="Picture 9" descr="La diagramme 5 montre l’évolution des recommandations ouvertes relatives à la supervision au 31 décembre 2025, en fonction du calendrier initial de mise en œuvre, en faisant la distinction entre les recommandations en retard et celles qui ne le sont 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428295" name="Picture 9" descr="La diagramme 5 montre l’évolution des recommandations ouvertes relatives à la supervision au 31 décembre 2025, en fonction du calendrier initial de mise en œuvre, en faisant la distinction entre les recommandations en retard et celles qui ne le sont p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688000" cy="4847719"/>
                    </a:xfrm>
                    <a:prstGeom prst="rect">
                      <a:avLst/>
                    </a:prstGeom>
                    <a:noFill/>
                    <a:ln>
                      <a:noFill/>
                    </a:ln>
                  </pic:spPr>
                </pic:pic>
              </a:graphicData>
            </a:graphic>
          </wp:inline>
        </w:drawing>
      </w:r>
    </w:p>
    <w:p w14:paraId="70C52ED3" w14:textId="62B5D121" w:rsidR="00F0742C" w:rsidRPr="00E85915" w:rsidRDefault="00F0742C" w:rsidP="000959A3">
      <w:pPr>
        <w:pStyle w:val="ONUMFS"/>
        <w:spacing w:before="240"/>
        <w:rPr>
          <w:lang w:val="fr-FR"/>
        </w:rPr>
      </w:pPr>
      <w:r w:rsidRPr="00E85915">
        <w:rPr>
          <w:lang w:val="fr-FR"/>
        </w:rPr>
        <w:lastRenderedPageBreak/>
        <w:t>Le nombre de recommandations ouvertes par secteur de l</w:t>
      </w:r>
      <w:r w:rsidR="00BF513F" w:rsidRPr="00E85915">
        <w:rPr>
          <w:lang w:val="fr-FR"/>
        </w:rPr>
        <w:t>’</w:t>
      </w:r>
      <w:r w:rsidRPr="00E85915">
        <w:rPr>
          <w:lang w:val="fr-FR"/>
        </w:rPr>
        <w:t>OMPI et par degré de priorité au 31 décembre 2025 est indiqué ci</w:t>
      </w:r>
      <w:r w:rsidR="0089008D">
        <w:rPr>
          <w:lang w:val="fr-FR"/>
        </w:rPr>
        <w:noBreakHyphen/>
      </w:r>
      <w:r w:rsidRPr="00E85915">
        <w:rPr>
          <w:lang w:val="fr-FR"/>
        </w:rPr>
        <w:t>après.</w:t>
      </w:r>
    </w:p>
    <w:p w14:paraId="57A24CE9" w14:textId="24C8A4AD" w:rsidR="00F0742C" w:rsidRPr="000959A3" w:rsidRDefault="00F0742C" w:rsidP="000959A3">
      <w:pPr>
        <w:keepNext/>
        <w:spacing w:after="240"/>
        <w:jc w:val="center"/>
        <w:rPr>
          <w:b/>
          <w:bCs/>
          <w:lang w:val="fr-FR"/>
        </w:rPr>
      </w:pPr>
      <w:r w:rsidRPr="000959A3">
        <w:rPr>
          <w:b/>
          <w:bCs/>
          <w:lang w:val="fr-FR"/>
        </w:rPr>
        <w:t xml:space="preserve">Diagramme 6 </w:t>
      </w:r>
      <w:r w:rsidR="00B91586" w:rsidRPr="000959A3">
        <w:rPr>
          <w:b/>
          <w:bCs/>
          <w:lang w:val="fr-FR"/>
        </w:rPr>
        <w:t>–</w:t>
      </w:r>
      <w:r w:rsidRPr="000959A3">
        <w:rPr>
          <w:b/>
          <w:bCs/>
          <w:lang w:val="fr-FR"/>
        </w:rPr>
        <w:t xml:space="preserve"> Recommandations ouvertes par secteur et par degré de priorité</w:t>
      </w:r>
    </w:p>
    <w:p w14:paraId="2314BB9F" w14:textId="77777777" w:rsidR="000959A3" w:rsidRDefault="000959A3" w:rsidP="000959A3">
      <w:pPr>
        <w:pStyle w:val="ONUME"/>
        <w:keepLines/>
        <w:numPr>
          <w:ilvl w:val="0"/>
          <w:numId w:val="0"/>
        </w:numPr>
        <w:spacing w:after="240"/>
        <w:jc w:val="center"/>
        <w:rPr>
          <w:sz w:val="18"/>
          <w:lang w:val="fr-FR"/>
        </w:rPr>
      </w:pPr>
      <w:r w:rsidRPr="000959A3">
        <w:rPr>
          <w:noProof/>
        </w:rPr>
        <w:drawing>
          <wp:inline distT="0" distB="0" distL="0" distR="0" wp14:anchorId="3326A715" wp14:editId="4EB371CD">
            <wp:extent cx="4858994" cy="3138221"/>
            <wp:effectExtent l="0" t="0" r="0" b="5080"/>
            <wp:docPr id="566186201" name="Picture 10" descr="Diagramme 6 - Recommandations ouvertes par secteur et par degré de priorité. Ce diagramme présente le nombre de recommandations ouvertes au 31 décembre 2025, par secteur de l’OMPI et par degré de priorité. Le Secteur administration, finances et gestion comptait 50 recommandations ouvertes. L’ensemble des autres secteurs combinés étaient à l’origine des 10 autres recommandations ouvertes. Tous secteurs confondus, 23 recommandations étaient hautement prioritaires, 29 moyennement prioritaires et huit faiblement priorita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86201" name="Picture 10" descr="Diagramme 6 - Recommandations ouvertes par secteur et par degré de priorité. Ce diagramme présente le nombre de recommandations ouvertes au 31 décembre 2025, par secteur de l’OMPI et par degré de priorité. Le Secteur administration, finances et gestion comptait 50 recommandations ouvertes. L’ensemble des autres secteurs combinés étaient à l’origine des 10 autres recommandations ouvertes. Tous secteurs confondus, 23 recommandations étaient hautement prioritaires, 29 moyennement prioritaires et huit faiblement prioritaires."/>
                    <pic:cNvPicPr>
                      <a:picLocks noChangeAspect="1" noChangeArrowheads="1"/>
                    </pic:cNvPicPr>
                  </pic:nvPicPr>
                  <pic:blipFill rotWithShape="1">
                    <a:blip r:embed="rId24">
                      <a:extLst>
                        <a:ext uri="{28A0092B-C50C-407E-A947-70E740481C1C}">
                          <a14:useLocalDpi xmlns:a14="http://schemas.microsoft.com/office/drawing/2010/main" val="0"/>
                        </a:ext>
                      </a:extLst>
                    </a:blip>
                    <a:srcRect b="13276"/>
                    <a:stretch>
                      <a:fillRect/>
                    </a:stretch>
                  </pic:blipFill>
                  <pic:spPr bwMode="auto">
                    <a:xfrm>
                      <a:off x="0" y="0"/>
                      <a:ext cx="4859263" cy="3138395"/>
                    </a:xfrm>
                    <a:prstGeom prst="rect">
                      <a:avLst/>
                    </a:prstGeom>
                    <a:noFill/>
                    <a:ln>
                      <a:noFill/>
                    </a:ln>
                    <a:extLst>
                      <a:ext uri="{53640926-AAD7-44D8-BBD7-CCE9431645EC}">
                        <a14:shadowObscured xmlns:a14="http://schemas.microsoft.com/office/drawing/2010/main"/>
                      </a:ext>
                    </a:extLst>
                  </pic:spPr>
                </pic:pic>
              </a:graphicData>
            </a:graphic>
          </wp:inline>
        </w:drawing>
      </w:r>
    </w:p>
    <w:p w14:paraId="6A2EE348" w14:textId="7A36CAF3" w:rsidR="00F0742C" w:rsidRPr="000959A3" w:rsidRDefault="00F0742C" w:rsidP="000959A3">
      <w:pPr>
        <w:pStyle w:val="ONUMFS"/>
        <w:numPr>
          <w:ilvl w:val="0"/>
          <w:numId w:val="0"/>
        </w:numPr>
        <w:spacing w:after="240"/>
        <w:rPr>
          <w:sz w:val="18"/>
          <w:szCs w:val="18"/>
          <w:lang w:val="fr-FR"/>
        </w:rPr>
      </w:pPr>
      <w:r w:rsidRPr="000959A3">
        <w:rPr>
          <w:sz w:val="18"/>
          <w:szCs w:val="18"/>
          <w:lang w:val="fr-FR"/>
        </w:rPr>
        <w:t>Source</w:t>
      </w:r>
      <w:r w:rsidR="00BF513F" w:rsidRPr="000959A3">
        <w:rPr>
          <w:sz w:val="18"/>
          <w:szCs w:val="18"/>
          <w:lang w:val="fr-FR"/>
        </w:rPr>
        <w:t> :</w:t>
      </w:r>
      <w:r w:rsidRPr="000959A3">
        <w:rPr>
          <w:sz w:val="18"/>
          <w:szCs w:val="18"/>
          <w:lang w:val="fr-FR"/>
        </w:rPr>
        <w:t xml:space="preserve"> Système de gestion de l</w:t>
      </w:r>
      <w:r w:rsidR="00BF513F" w:rsidRPr="000959A3">
        <w:rPr>
          <w:sz w:val="18"/>
          <w:szCs w:val="18"/>
          <w:lang w:val="fr-FR"/>
        </w:rPr>
        <w:t>’</w:t>
      </w:r>
      <w:r w:rsidRPr="000959A3">
        <w:rPr>
          <w:sz w:val="18"/>
          <w:szCs w:val="18"/>
          <w:lang w:val="fr-FR"/>
        </w:rPr>
        <w:t>audit TeamMate+ de</w:t>
      </w:r>
      <w:r w:rsidR="00BF513F" w:rsidRPr="000959A3">
        <w:rPr>
          <w:sz w:val="18"/>
          <w:szCs w:val="18"/>
          <w:lang w:val="fr-FR"/>
        </w:rPr>
        <w:t xml:space="preserve"> la DSI</w:t>
      </w:r>
      <w:r w:rsidRPr="000959A3">
        <w:rPr>
          <w:sz w:val="18"/>
          <w:szCs w:val="18"/>
          <w:lang w:val="fr-FR"/>
        </w:rPr>
        <w:t>, année 2025.</w:t>
      </w:r>
    </w:p>
    <w:p w14:paraId="23D23047" w14:textId="5FD364CF" w:rsidR="00F0742C" w:rsidRPr="00E85915" w:rsidRDefault="00F0742C" w:rsidP="003A303A">
      <w:pPr>
        <w:pStyle w:val="ONUMFS"/>
        <w:rPr>
          <w:lang w:val="fr-FR"/>
        </w:rPr>
      </w:pPr>
      <w:r w:rsidRPr="00E85915">
        <w:rPr>
          <w:lang w:val="fr-FR"/>
        </w:rPr>
        <w:t>La majorité des recommandations ouvertes (50) concernaient le Secteur Administration, finances et gestion (83%).  Au</w:t>
      </w:r>
      <w:r w:rsidR="00BF513F" w:rsidRPr="00E85915">
        <w:rPr>
          <w:lang w:val="fr-FR"/>
        </w:rPr>
        <w:t xml:space="preserve"> 1</w:t>
      </w:r>
      <w:r w:rsidR="00BF513F" w:rsidRPr="00E85915">
        <w:rPr>
          <w:vertAlign w:val="superscript"/>
          <w:lang w:val="fr-FR"/>
        </w:rPr>
        <w:t>er</w:t>
      </w:r>
      <w:r w:rsidR="00BF513F" w:rsidRPr="00E85915">
        <w:rPr>
          <w:lang w:val="fr-FR"/>
        </w:rPr>
        <w:t> </w:t>
      </w:r>
      <w:r w:rsidRPr="00E85915">
        <w:rPr>
          <w:lang w:val="fr-FR"/>
        </w:rPr>
        <w:t>janvier 2025, le Secteur Administration, finances et gestion comptait 18 recommandations ouvert</w:t>
      </w:r>
      <w:r w:rsidR="00E85915" w:rsidRPr="00E85915">
        <w:rPr>
          <w:lang w:val="fr-FR"/>
        </w:rPr>
        <w:t>es.  Au</w:t>
      </w:r>
      <w:r w:rsidRPr="00E85915">
        <w:rPr>
          <w:lang w:val="fr-FR"/>
        </w:rPr>
        <w:t xml:space="preserve"> cours de l</w:t>
      </w:r>
      <w:r w:rsidR="00BF513F" w:rsidRPr="00E85915">
        <w:rPr>
          <w:lang w:val="fr-FR"/>
        </w:rPr>
        <w:t>’</w:t>
      </w:r>
      <w:r w:rsidRPr="00E85915">
        <w:rPr>
          <w:lang w:val="fr-FR"/>
        </w:rPr>
        <w:t>année, 69 nouvelles recommandations ont été émises et 37 ont été clôturées, aboutissant à 50 recommandations ouvertes à la fin de l</w:t>
      </w:r>
      <w:r w:rsidR="00BF513F" w:rsidRPr="00E85915">
        <w:rPr>
          <w:lang w:val="fr-FR"/>
        </w:rPr>
        <w:t>’</w:t>
      </w:r>
      <w:r w:rsidRPr="00E85915">
        <w:rPr>
          <w:lang w:val="fr-FR"/>
        </w:rPr>
        <w:t>année 2025.</w:t>
      </w:r>
    </w:p>
    <w:p w14:paraId="5192D594" w14:textId="0D00812D" w:rsidR="00F0742C" w:rsidRPr="00E85915" w:rsidRDefault="00F0742C" w:rsidP="003A303A">
      <w:pPr>
        <w:pStyle w:val="ONUMFS"/>
        <w:rPr>
          <w:lang w:val="fr-FR"/>
        </w:rPr>
      </w:pPr>
      <w:r w:rsidRPr="00E85915">
        <w:rPr>
          <w:lang w:val="fr-FR"/>
        </w:rPr>
        <w:t>La DSI remercie le Directeur général et l</w:t>
      </w:r>
      <w:r w:rsidR="00BF513F" w:rsidRPr="00E85915">
        <w:rPr>
          <w:lang w:val="fr-FR"/>
        </w:rPr>
        <w:t>’</w:t>
      </w:r>
      <w:r w:rsidRPr="00E85915">
        <w:rPr>
          <w:lang w:val="fr-FR"/>
        </w:rPr>
        <w:t>OCIS pour leur soutien constant dans le suivi des recommandations ouvertes.</w:t>
      </w:r>
    </w:p>
    <w:p w14:paraId="09187B0A" w14:textId="77777777" w:rsidR="00F0742C" w:rsidRPr="00E85915" w:rsidRDefault="00F0742C" w:rsidP="000959A3">
      <w:pPr>
        <w:pStyle w:val="Heading1"/>
      </w:pPr>
      <w:bookmarkStart w:id="37" w:name="_Toc227321808"/>
      <w:r w:rsidRPr="00E85915">
        <w:t>AVIS ANNUEL SUR LA GOUVERNANCE, LA GESTION DES RISQUES ET LES CONTRÔLES INTERNES</w:t>
      </w:r>
      <w:bookmarkEnd w:id="37"/>
    </w:p>
    <w:p w14:paraId="7927F8AD" w14:textId="7D9EF602" w:rsidR="00BF513F" w:rsidRPr="00E85915" w:rsidRDefault="00F0742C" w:rsidP="003A303A">
      <w:pPr>
        <w:pStyle w:val="ONUMFS"/>
        <w:rPr>
          <w:lang w:val="fr-FR"/>
        </w:rPr>
      </w:pPr>
      <w:r w:rsidRPr="00E85915">
        <w:rPr>
          <w:lang w:val="fr-FR"/>
        </w:rPr>
        <w:t>Au titre de l</w:t>
      </w:r>
      <w:r w:rsidR="00BF513F" w:rsidRPr="00E85915">
        <w:rPr>
          <w:lang w:val="fr-FR"/>
        </w:rPr>
        <w:t>’</w:t>
      </w:r>
      <w:r w:rsidRPr="00E85915">
        <w:rPr>
          <w:lang w:val="fr-FR"/>
        </w:rPr>
        <w:t>article 5.1 du Règlement financier, la Directrice ou le Directeur général établit des dispositifs pour la gestion axée sur les résultats, la gestion des risques de l</w:t>
      </w:r>
      <w:r w:rsidR="00BF513F" w:rsidRPr="00E85915">
        <w:rPr>
          <w:lang w:val="fr-FR"/>
        </w:rPr>
        <w:t>’</w:t>
      </w:r>
      <w:r w:rsidRPr="00E85915">
        <w:rPr>
          <w:lang w:val="fr-FR"/>
        </w:rPr>
        <w:t>Organisation et les contrôles intern</w:t>
      </w:r>
      <w:r w:rsidR="00E85915" w:rsidRPr="00E85915">
        <w:rPr>
          <w:lang w:val="fr-FR"/>
        </w:rPr>
        <w:t>es.  Ce</w:t>
      </w:r>
      <w:r w:rsidRPr="00E85915">
        <w:rPr>
          <w:lang w:val="fr-FR"/>
        </w:rPr>
        <w:t>s dispositifs s</w:t>
      </w:r>
      <w:r w:rsidR="00BF513F" w:rsidRPr="00E85915">
        <w:rPr>
          <w:lang w:val="fr-FR"/>
        </w:rPr>
        <w:t>’</w:t>
      </w:r>
      <w:r w:rsidRPr="00E85915">
        <w:rPr>
          <w:lang w:val="fr-FR"/>
        </w:rPr>
        <w:t>intègrent dans le dispositif d</w:t>
      </w:r>
      <w:r w:rsidR="00BF513F" w:rsidRPr="00E85915">
        <w:rPr>
          <w:lang w:val="fr-FR"/>
        </w:rPr>
        <w:t>’</w:t>
      </w:r>
      <w:r w:rsidRPr="00E85915">
        <w:rPr>
          <w:lang w:val="fr-FR"/>
        </w:rPr>
        <w:t>application du principe de responsabilité de l</w:t>
      </w:r>
      <w:r w:rsidR="00BF513F" w:rsidRPr="00E85915">
        <w:rPr>
          <w:lang w:val="fr-FR"/>
        </w:rPr>
        <w:t>’</w:t>
      </w:r>
      <w:r w:rsidRPr="00E85915">
        <w:rPr>
          <w:lang w:val="fr-FR"/>
        </w:rPr>
        <w:t>Organisation, donnant des assurances quant à la performance, aux résultats et à l</w:t>
      </w:r>
      <w:r w:rsidR="00BF513F" w:rsidRPr="00E85915">
        <w:rPr>
          <w:lang w:val="fr-FR"/>
        </w:rPr>
        <w:t>’</w:t>
      </w:r>
      <w:r w:rsidRPr="00E85915">
        <w:rPr>
          <w:lang w:val="fr-FR"/>
        </w:rPr>
        <w:t>utilisation efficace et économique des ressources des États membr</w:t>
      </w:r>
      <w:r w:rsidR="00E85915" w:rsidRPr="00E85915">
        <w:rPr>
          <w:lang w:val="fr-FR"/>
        </w:rPr>
        <w:t>es.  Au</w:t>
      </w:r>
      <w:r w:rsidRPr="00E85915">
        <w:rPr>
          <w:lang w:val="fr-FR"/>
        </w:rPr>
        <w:t xml:space="preserve"> titre de l</w:t>
      </w:r>
      <w:r w:rsidR="00BF513F" w:rsidRPr="00E85915">
        <w:rPr>
          <w:lang w:val="fr-FR"/>
        </w:rPr>
        <w:t>’</w:t>
      </w:r>
      <w:r w:rsidRPr="00E85915">
        <w:rPr>
          <w:lang w:val="fr-FR"/>
        </w:rPr>
        <w:t>article 5.1 du Règlement financier, la Directrice ou le Directeur général établit un dispositif et système de contrôle interne conformément aux meilleures pratiques applicables en vigueur.</w:t>
      </w:r>
    </w:p>
    <w:p w14:paraId="3A488D2E" w14:textId="31324F39" w:rsidR="00BF513F" w:rsidRPr="00E85915" w:rsidRDefault="00F0742C" w:rsidP="003A303A">
      <w:pPr>
        <w:pStyle w:val="ONUMFS"/>
        <w:rPr>
          <w:lang w:val="fr-FR"/>
        </w:rPr>
      </w:pPr>
      <w:r w:rsidRPr="00E85915">
        <w:rPr>
          <w:lang w:val="fr-FR"/>
        </w:rPr>
        <w:t>Conformément au paragraphe 34 de la Charte de la supervision interne de l</w:t>
      </w:r>
      <w:r w:rsidR="00BF513F" w:rsidRPr="00E85915">
        <w:rPr>
          <w:lang w:val="fr-FR"/>
        </w:rPr>
        <w:t>’</w:t>
      </w:r>
      <w:r w:rsidRPr="00E85915">
        <w:rPr>
          <w:lang w:val="fr-FR"/>
        </w:rPr>
        <w:t>OMPI, compte tenu de l</w:t>
      </w:r>
      <w:r w:rsidR="00BF513F" w:rsidRPr="00E85915">
        <w:rPr>
          <w:lang w:val="fr-FR"/>
        </w:rPr>
        <w:t>’</w:t>
      </w:r>
      <w:r w:rsidRPr="00E85915">
        <w:rPr>
          <w:lang w:val="fr-FR"/>
        </w:rPr>
        <w:t>étendue des activités menées, la directrice ou le directeur de la DSI émet chaque année une opinion générale sur le caractère adéquat et l</w:t>
      </w:r>
      <w:r w:rsidR="00BF513F" w:rsidRPr="00E85915">
        <w:rPr>
          <w:lang w:val="fr-FR"/>
        </w:rPr>
        <w:t>’</w:t>
      </w:r>
      <w:r w:rsidRPr="00E85915">
        <w:rPr>
          <w:lang w:val="fr-FR"/>
        </w:rPr>
        <w:t>efficacité de la gouvernance, de la gestion des risques et des processus de contrôle ayant une incidence sur la réalisation des objectifs et les résultats escomptés de l</w:t>
      </w:r>
      <w:r w:rsidR="00BF513F" w:rsidRPr="00E85915">
        <w:rPr>
          <w:lang w:val="fr-FR"/>
        </w:rPr>
        <w:t>’</w:t>
      </w:r>
      <w:r w:rsidRPr="00E85915">
        <w:rPr>
          <w:lang w:val="fr-FR"/>
        </w:rPr>
        <w:t>OMPI.</w:t>
      </w:r>
    </w:p>
    <w:p w14:paraId="66204067" w14:textId="48771EDC" w:rsidR="00BF513F" w:rsidRPr="00E85915" w:rsidRDefault="00F0742C" w:rsidP="003A303A">
      <w:pPr>
        <w:pStyle w:val="ONUMFS"/>
        <w:rPr>
          <w:lang w:val="fr-FR"/>
        </w:rPr>
      </w:pPr>
      <w:r w:rsidRPr="00E85915">
        <w:rPr>
          <w:lang w:val="fr-FR"/>
        </w:rPr>
        <w:t>L</w:t>
      </w:r>
      <w:r w:rsidR="00BF513F" w:rsidRPr="00E85915">
        <w:rPr>
          <w:lang w:val="fr-FR"/>
        </w:rPr>
        <w:t>’</w:t>
      </w:r>
      <w:r w:rsidRPr="00E85915">
        <w:rPr>
          <w:lang w:val="fr-FR"/>
        </w:rPr>
        <w:t xml:space="preserve">opinion émise </w:t>
      </w:r>
      <w:r w:rsidR="00BF513F" w:rsidRPr="00E85915">
        <w:rPr>
          <w:lang w:val="fr-FR"/>
        </w:rPr>
        <w:t>en 2025</w:t>
      </w:r>
      <w:r w:rsidRPr="00E85915">
        <w:rPr>
          <w:lang w:val="fr-FR"/>
        </w:rPr>
        <w:t xml:space="preserve"> par la directrice de</w:t>
      </w:r>
      <w:r w:rsidR="00BF513F" w:rsidRPr="00E85915">
        <w:rPr>
          <w:lang w:val="fr-FR"/>
        </w:rPr>
        <w:t xml:space="preserve"> la DSI</w:t>
      </w:r>
      <w:r w:rsidRPr="00E85915">
        <w:rPr>
          <w:lang w:val="fr-FR"/>
        </w:rPr>
        <w:t>, qui est également la première de l</w:t>
      </w:r>
      <w:r w:rsidR="00BF513F" w:rsidRPr="00E85915">
        <w:rPr>
          <w:lang w:val="fr-FR"/>
        </w:rPr>
        <w:t>’</w:t>
      </w:r>
      <w:r w:rsidRPr="00E85915">
        <w:rPr>
          <w:lang w:val="fr-FR"/>
        </w:rPr>
        <w:t>OMPI, repose sur les audits internes menés durant l</w:t>
      </w:r>
      <w:r w:rsidR="00BF513F" w:rsidRPr="00E85915">
        <w:rPr>
          <w:lang w:val="fr-FR"/>
        </w:rPr>
        <w:t>’</w:t>
      </w:r>
      <w:r w:rsidRPr="00E85915">
        <w:rPr>
          <w:lang w:val="fr-FR"/>
        </w:rPr>
        <w:t>année, sur les rapports à l</w:t>
      </w:r>
      <w:r w:rsidR="00BF513F" w:rsidRPr="00E85915">
        <w:rPr>
          <w:lang w:val="fr-FR"/>
        </w:rPr>
        <w:t>’</w:t>
      </w:r>
      <w:r w:rsidRPr="00E85915">
        <w:rPr>
          <w:lang w:val="fr-FR"/>
        </w:rPr>
        <w:t xml:space="preserve">intention de la </w:t>
      </w:r>
      <w:r w:rsidRPr="00E85915">
        <w:rPr>
          <w:lang w:val="fr-FR"/>
        </w:rPr>
        <w:lastRenderedPageBreak/>
        <w:t>direction publiés et sur le pourcentage de mise en œuvre des recommandations ouvert</w:t>
      </w:r>
      <w:r w:rsidR="00E85915" w:rsidRPr="00E85915">
        <w:rPr>
          <w:lang w:val="fr-FR"/>
        </w:rPr>
        <w:t>es.  Le</w:t>
      </w:r>
      <w:r w:rsidRPr="00E85915">
        <w:rPr>
          <w:lang w:val="fr-FR"/>
        </w:rPr>
        <w:t>s missions menées afin de comprendre la gouvernance, la gestion des risques et certaines fonctions de soutien n</w:t>
      </w:r>
      <w:r w:rsidR="00BF513F" w:rsidRPr="00E85915">
        <w:rPr>
          <w:lang w:val="fr-FR"/>
        </w:rPr>
        <w:t>’</w:t>
      </w:r>
      <w:r w:rsidRPr="00E85915">
        <w:rPr>
          <w:lang w:val="fr-FR"/>
        </w:rPr>
        <w:t>ont pas permis de mettre en évidence des problèmes suffisamment importants pour modifier l</w:t>
      </w:r>
      <w:r w:rsidR="00BF513F" w:rsidRPr="00E85915">
        <w:rPr>
          <w:lang w:val="fr-FR"/>
        </w:rPr>
        <w:t>’</w:t>
      </w:r>
      <w:r w:rsidRPr="00E85915">
        <w:rPr>
          <w:lang w:val="fr-FR"/>
        </w:rPr>
        <w:t>opinion générale.</w:t>
      </w:r>
    </w:p>
    <w:p w14:paraId="3DB7D81A" w14:textId="011B8A03" w:rsidR="00BF513F" w:rsidRPr="00E85915" w:rsidRDefault="00F0742C" w:rsidP="003A303A">
      <w:pPr>
        <w:pStyle w:val="ONUMFS"/>
        <w:rPr>
          <w:lang w:val="fr-FR"/>
        </w:rPr>
      </w:pPr>
      <w:r w:rsidRPr="00E85915">
        <w:rPr>
          <w:lang w:val="fr-FR"/>
        </w:rPr>
        <w:t xml:space="preserve">Compte tenu des activités menées </w:t>
      </w:r>
      <w:r w:rsidR="00BF513F" w:rsidRPr="00E85915">
        <w:rPr>
          <w:lang w:val="fr-FR"/>
        </w:rPr>
        <w:t>en 2025</w:t>
      </w:r>
      <w:r w:rsidRPr="00E85915">
        <w:rPr>
          <w:lang w:val="fr-FR"/>
        </w:rPr>
        <w:t xml:space="preserve"> dans le cadre d</w:t>
      </w:r>
      <w:r w:rsidR="00BF513F" w:rsidRPr="00E85915">
        <w:rPr>
          <w:lang w:val="fr-FR"/>
        </w:rPr>
        <w:t>’</w:t>
      </w:r>
      <w:r w:rsidRPr="00E85915">
        <w:rPr>
          <w:lang w:val="fr-FR"/>
        </w:rPr>
        <w:t>une approche fondée sur les risques, et conformément au paragraphe 34 de la Charte de la supervision interne, la directrice de</w:t>
      </w:r>
      <w:r w:rsidR="00BF513F" w:rsidRPr="00E85915">
        <w:rPr>
          <w:lang w:val="fr-FR"/>
        </w:rPr>
        <w:t xml:space="preserve"> la DSI</w:t>
      </w:r>
      <w:r w:rsidRPr="00E85915">
        <w:rPr>
          <w:lang w:val="fr-FR"/>
        </w:rPr>
        <w:t xml:space="preserve"> estime que les processus de gouvernance, de gestion des risques et de contrôle interne de l</w:t>
      </w:r>
      <w:r w:rsidR="00BF513F" w:rsidRPr="00E85915">
        <w:rPr>
          <w:lang w:val="fr-FR"/>
        </w:rPr>
        <w:t>’</w:t>
      </w:r>
      <w:r w:rsidRPr="00E85915">
        <w:rPr>
          <w:lang w:val="fr-FR"/>
        </w:rPr>
        <w:t>OMPI ont été, dans l</w:t>
      </w:r>
      <w:r w:rsidR="00BF513F" w:rsidRPr="00E85915">
        <w:rPr>
          <w:lang w:val="fr-FR"/>
        </w:rPr>
        <w:t>’</w:t>
      </w:r>
      <w:r w:rsidRPr="00E85915">
        <w:rPr>
          <w:lang w:val="fr-FR"/>
        </w:rPr>
        <w:t>ensemble, satisfaisants, même si certaines améliorations sont nécessair</w:t>
      </w:r>
      <w:r w:rsidR="00E85915" w:rsidRPr="00E85915">
        <w:rPr>
          <w:lang w:val="fr-FR"/>
        </w:rPr>
        <w:t>es.  Le</w:t>
      </w:r>
      <w:r w:rsidRPr="00E85915">
        <w:rPr>
          <w:lang w:val="fr-FR"/>
        </w:rPr>
        <w:t>s activités menées ont montré que ces processus étaient globalement bien établis et fonctionnaient correcteme</w:t>
      </w:r>
      <w:r w:rsidR="00E85915" w:rsidRPr="00E85915">
        <w:rPr>
          <w:lang w:val="fr-FR"/>
        </w:rPr>
        <w:t>nt.  Le</w:t>
      </w:r>
      <w:r w:rsidRPr="00E85915">
        <w:rPr>
          <w:lang w:val="fr-FR"/>
        </w:rPr>
        <w:t>s problèmes recensés n</w:t>
      </w:r>
      <w:r w:rsidR="00BF513F" w:rsidRPr="00E85915">
        <w:rPr>
          <w:lang w:val="fr-FR"/>
        </w:rPr>
        <w:t>’</w:t>
      </w:r>
      <w:r w:rsidRPr="00E85915">
        <w:rPr>
          <w:lang w:val="fr-FR"/>
        </w:rPr>
        <w:t>ont pas été jugés comme ayant une incidence significative sur la réalisation des objectifs et des résultats escomptés de l</w:t>
      </w:r>
      <w:r w:rsidR="00BF513F" w:rsidRPr="00E85915">
        <w:rPr>
          <w:lang w:val="fr-FR"/>
        </w:rPr>
        <w:t>’</w:t>
      </w:r>
      <w:r w:rsidRPr="00E85915">
        <w:rPr>
          <w:lang w:val="fr-FR"/>
        </w:rPr>
        <w:t>Organisation.</w:t>
      </w:r>
    </w:p>
    <w:p w14:paraId="3C64EB7C" w14:textId="057C6471" w:rsidR="00F0742C" w:rsidRPr="00E85915" w:rsidRDefault="000959A3" w:rsidP="000959A3">
      <w:pPr>
        <w:pStyle w:val="Heading1"/>
      </w:pPr>
      <w:bookmarkStart w:id="38" w:name="_Toc39071253"/>
      <w:bookmarkStart w:id="39" w:name="_Toc227321809"/>
      <w:r w:rsidRPr="00E85915">
        <w:t>COORDINATION AVEC LES ORGANISMES DE SUPERVISION EXTERNES</w:t>
      </w:r>
      <w:bookmarkEnd w:id="38"/>
      <w:bookmarkEnd w:id="39"/>
    </w:p>
    <w:p w14:paraId="06AAD562" w14:textId="20EBC686" w:rsidR="00F0742C" w:rsidRPr="00E85915" w:rsidRDefault="000959A3" w:rsidP="000959A3">
      <w:pPr>
        <w:pStyle w:val="Heading2"/>
      </w:pPr>
      <w:r w:rsidRPr="00E85915">
        <w:t>L’ORGANE CONSULTATIF INDÉPENDANT DE SURVEILLANCE (OCIS)</w:t>
      </w:r>
    </w:p>
    <w:p w14:paraId="62C8C234" w14:textId="04C2CE13" w:rsidR="00F0742C" w:rsidRPr="00E85915" w:rsidRDefault="00F0742C" w:rsidP="003A303A">
      <w:pPr>
        <w:pStyle w:val="ONUMFS"/>
        <w:rPr>
          <w:lang w:val="fr-FR"/>
        </w:rPr>
      </w:pPr>
      <w:r w:rsidRPr="00E85915">
        <w:rPr>
          <w:lang w:val="fr-FR"/>
        </w:rPr>
        <w:t>La DSI a assisté aux sessions trimestrielles de l</w:t>
      </w:r>
      <w:r w:rsidR="00BF513F" w:rsidRPr="00E85915">
        <w:rPr>
          <w:lang w:val="fr-FR"/>
        </w:rPr>
        <w:t>’</w:t>
      </w:r>
      <w:r w:rsidRPr="00E85915">
        <w:rPr>
          <w:lang w:val="fr-FR"/>
        </w:rPr>
        <w:t xml:space="preserve">OCIS, a fait rapport sur la mise en œuvre du plan de supervision interne </w:t>
      </w:r>
      <w:r w:rsidR="00BF513F" w:rsidRPr="00E85915">
        <w:rPr>
          <w:lang w:val="fr-FR"/>
        </w:rPr>
        <w:t>de 2025</w:t>
      </w:r>
      <w:r w:rsidRPr="00E85915">
        <w:rPr>
          <w:lang w:val="fr-FR"/>
        </w:rPr>
        <w:t>, a examiné les résultats de la supervision et d</w:t>
      </w:r>
      <w:r w:rsidR="00BF513F" w:rsidRPr="00E85915">
        <w:rPr>
          <w:lang w:val="fr-FR"/>
        </w:rPr>
        <w:t>’</w:t>
      </w:r>
      <w:r w:rsidRPr="00E85915">
        <w:rPr>
          <w:lang w:val="fr-FR"/>
        </w:rPr>
        <w:t>autres aspects concernant les activités et le fonctionnement de la division et a sollicité l</w:t>
      </w:r>
      <w:r w:rsidR="00BF513F" w:rsidRPr="00E85915">
        <w:rPr>
          <w:lang w:val="fr-FR"/>
        </w:rPr>
        <w:t>’</w:t>
      </w:r>
      <w:r w:rsidRPr="00E85915">
        <w:rPr>
          <w:lang w:val="fr-FR"/>
        </w:rPr>
        <w:t>avis de l</w:t>
      </w:r>
      <w:r w:rsidR="00BF513F" w:rsidRPr="00E85915">
        <w:rPr>
          <w:lang w:val="fr-FR"/>
        </w:rPr>
        <w:t>’</w:t>
      </w:r>
      <w:r w:rsidRPr="00E85915">
        <w:rPr>
          <w:lang w:val="fr-FR"/>
        </w:rPr>
        <w:t>OCIS selon que de beso</w:t>
      </w:r>
      <w:r w:rsidR="00E85915" w:rsidRPr="00E85915">
        <w:rPr>
          <w:lang w:val="fr-FR"/>
        </w:rPr>
        <w:t>in.  Au</w:t>
      </w:r>
      <w:r w:rsidRPr="00E85915">
        <w:rPr>
          <w:lang w:val="fr-FR"/>
        </w:rPr>
        <w:t xml:space="preserve"> cours de la période considérée, les soixante</w:t>
      </w:r>
      <w:r w:rsidR="0089008D">
        <w:rPr>
          <w:lang w:val="fr-FR"/>
        </w:rPr>
        <w:noBreakHyphen/>
      </w:r>
      <w:r w:rsidRPr="00E85915">
        <w:rPr>
          <w:lang w:val="fr-FR"/>
        </w:rPr>
        <w:t>seizième à soixante</w:t>
      </w:r>
      <w:r w:rsidR="0089008D">
        <w:rPr>
          <w:lang w:val="fr-FR"/>
        </w:rPr>
        <w:noBreakHyphen/>
      </w:r>
      <w:r w:rsidRPr="00E85915">
        <w:rPr>
          <w:lang w:val="fr-FR"/>
        </w:rPr>
        <w:t>dix</w:t>
      </w:r>
      <w:r w:rsidR="0089008D">
        <w:rPr>
          <w:lang w:val="fr-FR"/>
        </w:rPr>
        <w:noBreakHyphen/>
      </w:r>
      <w:r w:rsidRPr="00E85915">
        <w:rPr>
          <w:lang w:val="fr-FR"/>
        </w:rPr>
        <w:t>neuv</w:t>
      </w:r>
      <w:r w:rsidR="00BF513F" w:rsidRPr="00E85915">
        <w:rPr>
          <w:lang w:val="fr-FR"/>
        </w:rPr>
        <w:t>ième session</w:t>
      </w:r>
      <w:r w:rsidRPr="00E85915">
        <w:rPr>
          <w:lang w:val="fr-FR"/>
        </w:rPr>
        <w:t>s de l</w:t>
      </w:r>
      <w:r w:rsidR="00BF513F" w:rsidRPr="00E85915">
        <w:rPr>
          <w:lang w:val="fr-FR"/>
        </w:rPr>
        <w:t>’</w:t>
      </w:r>
      <w:r w:rsidRPr="00E85915">
        <w:rPr>
          <w:lang w:val="fr-FR"/>
        </w:rPr>
        <w:t>OCIS ont eu li</w:t>
      </w:r>
      <w:r w:rsidR="00E85915" w:rsidRPr="00E85915">
        <w:rPr>
          <w:lang w:val="fr-FR"/>
        </w:rPr>
        <w:t>eu.  La</w:t>
      </w:r>
      <w:r w:rsidR="00BF513F" w:rsidRPr="00E85915">
        <w:rPr>
          <w:lang w:val="fr-FR"/>
        </w:rPr>
        <w:t> DSI</w:t>
      </w:r>
      <w:r w:rsidRPr="00E85915">
        <w:rPr>
          <w:lang w:val="fr-FR"/>
        </w:rPr>
        <w:t xml:space="preserve"> remercie l</w:t>
      </w:r>
      <w:r w:rsidR="00BF513F" w:rsidRPr="00E85915">
        <w:rPr>
          <w:lang w:val="fr-FR"/>
        </w:rPr>
        <w:t>’</w:t>
      </w:r>
      <w:r w:rsidRPr="00E85915">
        <w:rPr>
          <w:lang w:val="fr-FR"/>
        </w:rPr>
        <w:t>OCIS pour son soutien, ses conseils et ses avis tout au long de l</w:t>
      </w:r>
      <w:r w:rsidR="00BF513F" w:rsidRPr="00E85915">
        <w:rPr>
          <w:lang w:val="fr-FR"/>
        </w:rPr>
        <w:t>’</w:t>
      </w:r>
      <w:r w:rsidRPr="00E85915">
        <w:rPr>
          <w:lang w:val="fr-FR"/>
        </w:rPr>
        <w:t>année 2025.</w:t>
      </w:r>
    </w:p>
    <w:p w14:paraId="4ACF282C" w14:textId="2B02E948" w:rsidR="00F0742C" w:rsidRPr="00E85915" w:rsidRDefault="000959A3" w:rsidP="000959A3">
      <w:pPr>
        <w:pStyle w:val="Heading2"/>
      </w:pPr>
      <w:r w:rsidRPr="00E85915">
        <w:t>LE VÉRIFICATEUR EXTERNE DES COMPTES</w:t>
      </w:r>
    </w:p>
    <w:p w14:paraId="0844ED50" w14:textId="2167C8C2" w:rsidR="00F0742C" w:rsidRPr="00E85915" w:rsidRDefault="00F0742C" w:rsidP="003A303A">
      <w:pPr>
        <w:pStyle w:val="ONUMFS"/>
        <w:rPr>
          <w:lang w:val="fr-FR"/>
        </w:rPr>
      </w:pPr>
      <w:r w:rsidRPr="00E85915">
        <w:rPr>
          <w:lang w:val="fr-FR"/>
        </w:rPr>
        <w:t xml:space="preserve">La DSI a collaboré avec le vérificateur externe des comptes et a partagé avec lui son programme de travail annuel en matière de supervision </w:t>
      </w:r>
      <w:r w:rsidR="00BF513F" w:rsidRPr="00E85915">
        <w:rPr>
          <w:lang w:val="fr-FR"/>
        </w:rPr>
        <w:t>pour 2025</w:t>
      </w:r>
      <w:r w:rsidRPr="00E85915">
        <w:rPr>
          <w:lang w:val="fr-FR"/>
        </w:rPr>
        <w:t>, en vue d</w:t>
      </w:r>
      <w:r w:rsidR="00BF513F" w:rsidRPr="00E85915">
        <w:rPr>
          <w:lang w:val="fr-FR"/>
        </w:rPr>
        <w:t>’</w:t>
      </w:r>
      <w:r w:rsidRPr="00E85915">
        <w:rPr>
          <w:lang w:val="fr-FR"/>
        </w:rPr>
        <w:t>assurer une couverture de supervision efficace et d</w:t>
      </w:r>
      <w:r w:rsidR="00BF513F" w:rsidRPr="00E85915">
        <w:rPr>
          <w:lang w:val="fr-FR"/>
        </w:rPr>
        <w:t>’</w:t>
      </w:r>
      <w:r w:rsidRPr="00E85915">
        <w:rPr>
          <w:lang w:val="fr-FR"/>
        </w:rPr>
        <w:t>éviter tout chevauchement inuti</w:t>
      </w:r>
      <w:r w:rsidR="00E85915" w:rsidRPr="00E85915">
        <w:rPr>
          <w:lang w:val="fr-FR"/>
        </w:rPr>
        <w:t>le.  En</w:t>
      </w:r>
      <w:r w:rsidRPr="00E85915">
        <w:rPr>
          <w:lang w:val="fr-FR"/>
        </w:rPr>
        <w:t xml:space="preserve"> outre, tous les rapports d</w:t>
      </w:r>
      <w:r w:rsidR="00BF513F" w:rsidRPr="00E85915">
        <w:rPr>
          <w:lang w:val="fr-FR"/>
        </w:rPr>
        <w:t>’</w:t>
      </w:r>
      <w:r w:rsidRPr="00E85915">
        <w:rPr>
          <w:lang w:val="fr-FR"/>
        </w:rPr>
        <w:t>audit et d</w:t>
      </w:r>
      <w:r w:rsidR="00BF513F" w:rsidRPr="00E85915">
        <w:rPr>
          <w:lang w:val="fr-FR"/>
        </w:rPr>
        <w:t>’</w:t>
      </w:r>
      <w:r w:rsidRPr="00E85915">
        <w:rPr>
          <w:lang w:val="fr-FR"/>
        </w:rPr>
        <w:t>évaluation ont été communiqués au vérificateur externe des comptes en temps utile, une fois qu</w:t>
      </w:r>
      <w:r w:rsidR="00BF513F" w:rsidRPr="00E85915">
        <w:rPr>
          <w:lang w:val="fr-FR"/>
        </w:rPr>
        <w:t>’</w:t>
      </w:r>
      <w:r w:rsidRPr="00E85915">
        <w:rPr>
          <w:lang w:val="fr-FR"/>
        </w:rPr>
        <w:t>ils ont été achev</w:t>
      </w:r>
      <w:r w:rsidR="00E85915" w:rsidRPr="00E85915">
        <w:rPr>
          <w:lang w:val="fr-FR"/>
        </w:rPr>
        <w:t>és.  Le</w:t>
      </w:r>
      <w:r w:rsidRPr="00E85915">
        <w:rPr>
          <w:lang w:val="fr-FR"/>
        </w:rPr>
        <w:t>s rapports d</w:t>
      </w:r>
      <w:r w:rsidR="00BF513F" w:rsidRPr="00E85915">
        <w:rPr>
          <w:lang w:val="fr-FR"/>
        </w:rPr>
        <w:t>’</w:t>
      </w:r>
      <w:r w:rsidRPr="00E85915">
        <w:rPr>
          <w:lang w:val="fr-FR"/>
        </w:rPr>
        <w:t>enquête ont également été diffusés sur demande du vérificateur externe des comptes.</w:t>
      </w:r>
    </w:p>
    <w:p w14:paraId="5750DAEC" w14:textId="103C9603" w:rsidR="00F0742C" w:rsidRPr="00E85915" w:rsidRDefault="000959A3" w:rsidP="000959A3">
      <w:pPr>
        <w:pStyle w:val="Heading1"/>
      </w:pPr>
      <w:bookmarkStart w:id="40" w:name="_Toc39071254"/>
      <w:bookmarkStart w:id="41" w:name="_Toc227321810"/>
      <w:r w:rsidRPr="00E85915">
        <w:t>AUTRES ACTIVITÉS DE SUPERVISION</w:t>
      </w:r>
      <w:bookmarkEnd w:id="40"/>
      <w:bookmarkEnd w:id="41"/>
    </w:p>
    <w:p w14:paraId="53EB66CD" w14:textId="77777777" w:rsidR="00F0742C" w:rsidRPr="00E85915" w:rsidRDefault="00F0742C" w:rsidP="000959A3">
      <w:pPr>
        <w:pStyle w:val="Heading2"/>
      </w:pPr>
      <w:r w:rsidRPr="00E85915">
        <w:t>COOPÉRATION AVEC LE BUREAU DE LA MÉDIATRICE, LE BUREAU DE LA DÉONTOLOGIE, LE DÉPARTEMENT DE LA GESTION DES RESSOURCES HUMAINES ET LE BUREAU DE LA CONSEILLÈRE JURIDIQUE</w:t>
      </w:r>
    </w:p>
    <w:p w14:paraId="08D3A2DD" w14:textId="5DE303BC" w:rsidR="00F0742C" w:rsidRPr="00E85915" w:rsidRDefault="00F0742C" w:rsidP="003A303A">
      <w:pPr>
        <w:pStyle w:val="ONUMFS"/>
        <w:rPr>
          <w:lang w:val="fr-FR"/>
        </w:rPr>
      </w:pPr>
      <w:r w:rsidRPr="00E85915">
        <w:rPr>
          <w:lang w:val="fr-FR"/>
        </w:rPr>
        <w:t>Au cours de la période considérée, la directrice de la DSI s</w:t>
      </w:r>
      <w:r w:rsidR="00BF513F" w:rsidRPr="00E85915">
        <w:rPr>
          <w:lang w:val="fr-FR"/>
        </w:rPr>
        <w:t>’</w:t>
      </w:r>
      <w:r w:rsidRPr="00E85915">
        <w:rPr>
          <w:lang w:val="fr-FR"/>
        </w:rPr>
        <w:t>est entretenue avec la médiatrice, la cheffe du Bureau de la déontologie, la directrice du Département de la gestion des ressources humaines et la Conseillère juridique pour assurer une coordination et apporter un appui supplémentaire.</w:t>
      </w:r>
    </w:p>
    <w:p w14:paraId="3A1BAA57" w14:textId="7C66CDE5" w:rsidR="00F0742C" w:rsidRPr="00E85915" w:rsidRDefault="000959A3" w:rsidP="000959A3">
      <w:pPr>
        <w:pStyle w:val="Heading2"/>
      </w:pPr>
      <w:r w:rsidRPr="00E85915">
        <w:t>ACTIVITÉS DE SENSIBILISATION AU SEIN DE L’ORGANISATION</w:t>
      </w:r>
    </w:p>
    <w:p w14:paraId="52628BF8" w14:textId="0B18E16D" w:rsidR="00F0742C" w:rsidRPr="00E85915" w:rsidRDefault="00F0742C" w:rsidP="003A303A">
      <w:pPr>
        <w:pStyle w:val="ONUMFS"/>
        <w:rPr>
          <w:lang w:val="fr-FR"/>
        </w:rPr>
      </w:pPr>
      <w:r w:rsidRPr="00E85915">
        <w:rPr>
          <w:lang w:val="fr-FR"/>
        </w:rPr>
        <w:t>Les collègues de l</w:t>
      </w:r>
      <w:r w:rsidR="00BF513F" w:rsidRPr="00E85915">
        <w:rPr>
          <w:lang w:val="fr-FR"/>
        </w:rPr>
        <w:t>’</w:t>
      </w:r>
      <w:r w:rsidRPr="00E85915">
        <w:rPr>
          <w:lang w:val="fr-FR"/>
        </w:rPr>
        <w:t>OMPI ont collaboré tout au long de l</w:t>
      </w:r>
      <w:r w:rsidR="00BF513F" w:rsidRPr="00E85915">
        <w:rPr>
          <w:lang w:val="fr-FR"/>
        </w:rPr>
        <w:t>’</w:t>
      </w:r>
      <w:r w:rsidRPr="00E85915">
        <w:rPr>
          <w:lang w:val="fr-FR"/>
        </w:rPr>
        <w:t>année, à travers des réunions de lancement des missions, des mises à jour, des réunions de clôture, des interactions officieuses, selon que de besoin, des interventions lors de la formation initiale des nouveaux fonctionnaires et des présentations d</w:t>
      </w:r>
      <w:r w:rsidR="00BF513F" w:rsidRPr="00E85915">
        <w:rPr>
          <w:lang w:val="fr-FR"/>
        </w:rPr>
        <w:t>’</w:t>
      </w:r>
      <w:r w:rsidRPr="00E85915">
        <w:rPr>
          <w:lang w:val="fr-FR"/>
        </w:rPr>
        <w:t>exposés à la direction et aux chefs de secteur, le cas échéa</w:t>
      </w:r>
      <w:r w:rsidR="00E85915" w:rsidRPr="00E85915">
        <w:rPr>
          <w:lang w:val="fr-FR"/>
        </w:rPr>
        <w:t>nt.  La</w:t>
      </w:r>
      <w:r w:rsidRPr="00E85915">
        <w:rPr>
          <w:lang w:val="fr-FR"/>
        </w:rPr>
        <w:t xml:space="preserve"> directrice de</w:t>
      </w:r>
      <w:r w:rsidR="00BF513F" w:rsidRPr="00E85915">
        <w:rPr>
          <w:lang w:val="fr-FR"/>
        </w:rPr>
        <w:t xml:space="preserve"> la DSI</w:t>
      </w:r>
      <w:r w:rsidRPr="00E85915">
        <w:rPr>
          <w:lang w:val="fr-FR"/>
        </w:rPr>
        <w:t xml:space="preserve"> a assisté à toutes les réunions trimestrielles du groupe de gestion des risques en tant qu</w:t>
      </w:r>
      <w:r w:rsidR="00BF513F" w:rsidRPr="00E85915">
        <w:rPr>
          <w:lang w:val="fr-FR"/>
        </w:rPr>
        <w:t>’</w:t>
      </w:r>
      <w:r w:rsidRPr="00E85915">
        <w:rPr>
          <w:lang w:val="fr-FR"/>
        </w:rPr>
        <w:t>observatrice, tout en contribuant de manière adaptée aux délibérations dans une perspective de supervision.</w:t>
      </w:r>
    </w:p>
    <w:p w14:paraId="29A0840F" w14:textId="4D8865EE" w:rsidR="00F0742C" w:rsidRPr="00E85915" w:rsidRDefault="000959A3" w:rsidP="000959A3">
      <w:pPr>
        <w:pStyle w:val="Heading2"/>
      </w:pPr>
      <w:r w:rsidRPr="00E85915">
        <w:lastRenderedPageBreak/>
        <w:t>CRÉATION DE RÉSEAUX AVEC D’AUTRES FONCTIONS DE SUPERVISION</w:t>
      </w:r>
    </w:p>
    <w:p w14:paraId="74D07531" w14:textId="48B0AB54" w:rsidR="00BF513F" w:rsidRPr="00E85915" w:rsidRDefault="00F0742C" w:rsidP="003A303A">
      <w:pPr>
        <w:pStyle w:val="ONUMFS"/>
        <w:rPr>
          <w:lang w:val="fr-FR"/>
        </w:rPr>
      </w:pPr>
      <w:r w:rsidRPr="00E85915">
        <w:rPr>
          <w:lang w:val="fr-FR"/>
        </w:rPr>
        <w:t>La Charte de la supervision interne de l</w:t>
      </w:r>
      <w:r w:rsidR="00BF513F" w:rsidRPr="00E85915">
        <w:rPr>
          <w:lang w:val="fr-FR"/>
        </w:rPr>
        <w:t>’</w:t>
      </w:r>
      <w:r w:rsidRPr="00E85915">
        <w:rPr>
          <w:lang w:val="fr-FR"/>
        </w:rPr>
        <w:t>OMPI contient des dispositions précises</w:t>
      </w:r>
      <w:r w:rsidRPr="00E85915">
        <w:rPr>
          <w:vertAlign w:val="superscript"/>
          <w:lang w:val="fr-FR"/>
        </w:rPr>
        <w:footnoteReference w:id="10"/>
      </w:r>
      <w:r w:rsidRPr="00E85915">
        <w:rPr>
          <w:lang w:val="fr-FR"/>
        </w:rPr>
        <w:t xml:space="preserve"> prévoyant la liaison et la coopération avec les services de supervision interne, ou du même type, d</w:t>
      </w:r>
      <w:r w:rsidR="00BF513F" w:rsidRPr="00E85915">
        <w:rPr>
          <w:lang w:val="fr-FR"/>
        </w:rPr>
        <w:t>’</w:t>
      </w:r>
      <w:r w:rsidRPr="00E85915">
        <w:rPr>
          <w:lang w:val="fr-FR"/>
        </w:rPr>
        <w:t xml:space="preserve">autres organisations du système des </w:t>
      </w:r>
      <w:r w:rsidR="00BF513F" w:rsidRPr="00E85915">
        <w:rPr>
          <w:lang w:val="fr-FR"/>
        </w:rPr>
        <w:t>Nations Unies</w:t>
      </w:r>
      <w:r w:rsidRPr="00E85915">
        <w:rPr>
          <w:lang w:val="fr-FR"/>
        </w:rPr>
        <w:t xml:space="preserve"> et d</w:t>
      </w:r>
      <w:r w:rsidR="00BF513F" w:rsidRPr="00E85915">
        <w:rPr>
          <w:lang w:val="fr-FR"/>
        </w:rPr>
        <w:t>’</w:t>
      </w:r>
      <w:r w:rsidRPr="00E85915">
        <w:rPr>
          <w:lang w:val="fr-FR"/>
        </w:rPr>
        <w:t>institutions financières multilatérales, et la représentation de l</w:t>
      </w:r>
      <w:r w:rsidR="00BF513F" w:rsidRPr="00E85915">
        <w:rPr>
          <w:lang w:val="fr-FR"/>
        </w:rPr>
        <w:t>’</w:t>
      </w:r>
      <w:r w:rsidRPr="00E85915">
        <w:rPr>
          <w:lang w:val="fr-FR"/>
        </w:rPr>
        <w:t>OMPI dans les réunions interinstitutions pertinentes.</w:t>
      </w:r>
    </w:p>
    <w:p w14:paraId="56F701E3" w14:textId="0E6C4E66" w:rsidR="00F0742C" w:rsidRPr="00E85915" w:rsidRDefault="00F0742C" w:rsidP="003A303A">
      <w:pPr>
        <w:pStyle w:val="ONUMFS"/>
        <w:rPr>
          <w:lang w:val="fr-FR"/>
        </w:rPr>
      </w:pPr>
      <w:r w:rsidRPr="00E85915">
        <w:rPr>
          <w:lang w:val="fr-FR"/>
        </w:rPr>
        <w:t>Au cours de la période considérée, la collaboration s</w:t>
      </w:r>
      <w:r w:rsidR="00BF513F" w:rsidRPr="00E85915">
        <w:rPr>
          <w:lang w:val="fr-FR"/>
        </w:rPr>
        <w:t>’</w:t>
      </w:r>
      <w:r w:rsidRPr="00E85915">
        <w:rPr>
          <w:lang w:val="fr-FR"/>
        </w:rPr>
        <w:t>est poursuivie, ainsi que le travail en réseau et le partage de connaissances avec d</w:t>
      </w:r>
      <w:r w:rsidR="00BF513F" w:rsidRPr="00E85915">
        <w:rPr>
          <w:lang w:val="fr-FR"/>
        </w:rPr>
        <w:t>’</w:t>
      </w:r>
      <w:r w:rsidRPr="00E85915">
        <w:rPr>
          <w:lang w:val="fr-FR"/>
        </w:rPr>
        <w:t xml:space="preserve">autres organisations et entités du système des </w:t>
      </w:r>
      <w:r w:rsidR="00BF513F" w:rsidRPr="00E85915">
        <w:rPr>
          <w:lang w:val="fr-FR"/>
        </w:rPr>
        <w:t>Nations Unies</w:t>
      </w:r>
      <w:r w:rsidRPr="00E85915">
        <w:rPr>
          <w:lang w:val="fr-FR"/>
        </w:rPr>
        <w:t>, et avec d</w:t>
      </w:r>
      <w:r w:rsidR="00BF513F" w:rsidRPr="00E85915">
        <w:rPr>
          <w:lang w:val="fr-FR"/>
        </w:rPr>
        <w:t>’</w:t>
      </w:r>
      <w:r w:rsidRPr="00E85915">
        <w:rPr>
          <w:lang w:val="fr-FR"/>
        </w:rPr>
        <w:t>autres organisations pertinentes en dehors de ce systè</w:t>
      </w:r>
      <w:r w:rsidR="00E85915" w:rsidRPr="00E85915">
        <w:rPr>
          <w:lang w:val="fr-FR"/>
        </w:rPr>
        <w:t>me.  Vo</w:t>
      </w:r>
      <w:r w:rsidRPr="00E85915">
        <w:rPr>
          <w:lang w:val="fr-FR"/>
        </w:rPr>
        <w:t>us trouverez des informations plus précises à ce sujet dans le tableau ci</w:t>
      </w:r>
      <w:r w:rsidR="0089008D">
        <w:rPr>
          <w:lang w:val="fr-FR"/>
        </w:rPr>
        <w:noBreakHyphen/>
      </w:r>
      <w:r w:rsidRPr="00E85915">
        <w:rPr>
          <w:lang w:val="fr-FR"/>
        </w:rPr>
        <w:t>après.</w:t>
      </w:r>
    </w:p>
    <w:p w14:paraId="5D10354F" w14:textId="13C8B6F4" w:rsidR="00F0742C" w:rsidRPr="00E85915" w:rsidRDefault="00F0742C" w:rsidP="00D83603">
      <w:pPr>
        <w:keepNext/>
        <w:spacing w:after="240"/>
        <w:jc w:val="center"/>
        <w:rPr>
          <w:b/>
          <w:bCs/>
          <w:lang w:val="fr-FR"/>
        </w:rPr>
      </w:pPr>
      <w:r w:rsidRPr="00D83603">
        <w:rPr>
          <w:b/>
          <w:bCs/>
          <w:lang w:val="fr-FR"/>
        </w:rPr>
        <w:t xml:space="preserve">Tableau 4 </w:t>
      </w:r>
      <w:r w:rsidR="00B91586" w:rsidRPr="00D83603">
        <w:rPr>
          <w:b/>
          <w:bCs/>
          <w:lang w:val="fr-FR"/>
        </w:rPr>
        <w:t>–</w:t>
      </w:r>
      <w:r w:rsidRPr="00D83603">
        <w:rPr>
          <w:b/>
          <w:bCs/>
          <w:lang w:val="fr-FR"/>
        </w:rPr>
        <w:t xml:space="preserve"> Événements professionnels clés auxquels le personnel de</w:t>
      </w:r>
      <w:r w:rsidR="00BF513F" w:rsidRPr="00D83603">
        <w:rPr>
          <w:b/>
          <w:bCs/>
          <w:lang w:val="fr-FR"/>
        </w:rPr>
        <w:t xml:space="preserve"> la DSI</w:t>
      </w:r>
      <w:r w:rsidRPr="00D83603">
        <w:rPr>
          <w:b/>
          <w:bCs/>
          <w:lang w:val="fr-FR"/>
        </w:rPr>
        <w:t xml:space="preserve"> a participé </w:t>
      </w:r>
      <w:r w:rsidR="00BF513F" w:rsidRPr="00D83603">
        <w:rPr>
          <w:b/>
          <w:bCs/>
          <w:lang w:val="fr-FR"/>
        </w:rPr>
        <w:t>en 2025</w:t>
      </w: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au 4 – Événements professionnels clés auxquels le personnel de la DSI a participé en 2025"/>
        <w:tblDescription w:val="Tableau répertoriant les événements professionnels clés auxquels le personnel de la Division de la supervision interne a participé en 2025, y compris l’intitulé et la date de ces événements."/>
      </w:tblPr>
      <w:tblGrid>
        <w:gridCol w:w="6799"/>
        <w:gridCol w:w="2546"/>
      </w:tblGrid>
      <w:tr w:rsidR="00F0742C" w:rsidRPr="00E85915" w14:paraId="70EDCDDB" w14:textId="77777777" w:rsidTr="009521C8">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3638" w:type="pct"/>
            <w:tcBorders>
              <w:bottom w:val="nil"/>
            </w:tcBorders>
            <w:shd w:val="clear" w:color="auto" w:fill="17365D" w:themeFill="text2" w:themeFillShade="BF"/>
            <w:noWrap/>
            <w:vAlign w:val="center"/>
            <w:hideMark/>
          </w:tcPr>
          <w:p w14:paraId="328C9BDD" w14:textId="47A81D88" w:rsidR="00F0742C" w:rsidRPr="00E85915" w:rsidRDefault="00F0742C" w:rsidP="003A303A">
            <w:pPr>
              <w:jc w:val="center"/>
              <w:rPr>
                <w:rFonts w:eastAsia="Times New Roman"/>
                <w:b w:val="0"/>
                <w:bCs w:val="0"/>
                <w:sz w:val="20"/>
              </w:rPr>
            </w:pPr>
            <w:r w:rsidRPr="00E85915">
              <w:rPr>
                <w:sz w:val="20"/>
              </w:rPr>
              <w:t xml:space="preserve">Événement (organisé par des organisations du système des </w:t>
            </w:r>
            <w:r w:rsidR="00BF513F" w:rsidRPr="00E85915">
              <w:rPr>
                <w:sz w:val="20"/>
              </w:rPr>
              <w:t>Nations Unies</w:t>
            </w:r>
            <w:r w:rsidRPr="00E85915">
              <w:rPr>
                <w:sz w:val="20"/>
              </w:rPr>
              <w:t xml:space="preserve"> et d</w:t>
            </w:r>
            <w:r w:rsidR="00BF513F" w:rsidRPr="00E85915">
              <w:rPr>
                <w:sz w:val="20"/>
              </w:rPr>
              <w:t>’</w:t>
            </w:r>
            <w:r w:rsidRPr="00E85915">
              <w:rPr>
                <w:sz w:val="20"/>
              </w:rPr>
              <w:t xml:space="preserve">autres organisations) </w:t>
            </w:r>
          </w:p>
        </w:tc>
        <w:tc>
          <w:tcPr>
            <w:tcW w:w="1362" w:type="pct"/>
            <w:tcBorders>
              <w:bottom w:val="nil"/>
            </w:tcBorders>
            <w:shd w:val="clear" w:color="auto" w:fill="17365D" w:themeFill="text2" w:themeFillShade="BF"/>
            <w:vAlign w:val="center"/>
            <w:hideMark/>
          </w:tcPr>
          <w:p w14:paraId="574443E7" w14:textId="77777777" w:rsidR="00F0742C" w:rsidRPr="00E85915" w:rsidRDefault="00F0742C" w:rsidP="003A303A">
            <w:pPr>
              <w:jc w:val="center"/>
              <w:cnfStyle w:val="100000000000" w:firstRow="1" w:lastRow="0" w:firstColumn="0" w:lastColumn="0" w:oddVBand="0" w:evenVBand="0" w:oddHBand="0" w:evenHBand="0" w:firstRowFirstColumn="0" w:firstRowLastColumn="0" w:lastRowFirstColumn="0" w:lastRowLastColumn="0"/>
              <w:rPr>
                <w:rFonts w:eastAsia="Times New Roman"/>
                <w:b w:val="0"/>
                <w:bCs w:val="0"/>
                <w:sz w:val="20"/>
              </w:rPr>
            </w:pPr>
            <w:r w:rsidRPr="00E85915">
              <w:rPr>
                <w:sz w:val="20"/>
              </w:rPr>
              <w:t>Date</w:t>
            </w:r>
          </w:p>
        </w:tc>
      </w:tr>
      <w:tr w:rsidR="00F0742C" w:rsidRPr="00E85915" w14:paraId="2EB1D2C6" w14:textId="77777777" w:rsidTr="009521C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6DFF3BB3" w14:textId="21A66214" w:rsidR="00F0742C" w:rsidRPr="00E85915" w:rsidRDefault="00F0742C" w:rsidP="003A303A">
            <w:pPr>
              <w:rPr>
                <w:rFonts w:eastAsia="Times New Roman"/>
                <w:b w:val="0"/>
                <w:bCs w:val="0"/>
                <w:color w:val="000000"/>
                <w:sz w:val="20"/>
              </w:rPr>
            </w:pPr>
            <w:r w:rsidRPr="00E85915">
              <w:rPr>
                <w:b w:val="0"/>
                <w:color w:val="000000" w:themeColor="text1"/>
                <w:sz w:val="20"/>
              </w:rPr>
              <w:t>Événement relatif au risque pour les agences internationales de développeme</w:t>
            </w:r>
            <w:r w:rsidR="00E85915" w:rsidRPr="00E85915">
              <w:rPr>
                <w:b w:val="0"/>
                <w:color w:val="000000" w:themeColor="text1"/>
                <w:sz w:val="20"/>
              </w:rPr>
              <w:t>nt.  Er</w:t>
            </w:r>
            <w:r w:rsidRPr="00E85915">
              <w:rPr>
                <w:b w:val="0"/>
                <w:color w:val="000000" w:themeColor="text1"/>
                <w:sz w:val="20"/>
              </w:rPr>
              <w:t>nst &amp; Young Genève</w:t>
            </w:r>
          </w:p>
        </w:tc>
        <w:tc>
          <w:tcPr>
            <w:tcW w:w="1362" w:type="pct"/>
            <w:tcBorders>
              <w:top w:val="nil"/>
              <w:left w:val="nil"/>
              <w:bottom w:val="nil"/>
              <w:right w:val="nil"/>
            </w:tcBorders>
            <w:noWrap/>
            <w:vAlign w:val="center"/>
          </w:tcPr>
          <w:p w14:paraId="73A226A7" w14:textId="77777777" w:rsidR="00F0742C" w:rsidRPr="00E85915" w:rsidRDefault="00F0742C" w:rsidP="003A303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Février 2025</w:t>
            </w:r>
          </w:p>
        </w:tc>
      </w:tr>
      <w:tr w:rsidR="00F0742C" w:rsidRPr="00E85915" w14:paraId="27AF4052" w14:textId="77777777" w:rsidTr="009521C8">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76EFC460" w14:textId="2C1736E2" w:rsidR="00F0742C" w:rsidRPr="00E85915" w:rsidRDefault="00F0742C" w:rsidP="003A303A">
            <w:pPr>
              <w:rPr>
                <w:rFonts w:eastAsia="Times New Roman"/>
                <w:b w:val="0"/>
                <w:color w:val="000000"/>
                <w:sz w:val="20"/>
              </w:rPr>
            </w:pPr>
            <w:r w:rsidRPr="00E85915">
              <w:rPr>
                <w:b w:val="0"/>
                <w:color w:val="000000" w:themeColor="text1"/>
                <w:sz w:val="20"/>
              </w:rPr>
              <w:t>Édition 2025 de la semaine d</w:t>
            </w:r>
            <w:r w:rsidR="00BF513F" w:rsidRPr="00E85915">
              <w:rPr>
                <w:b w:val="0"/>
                <w:color w:val="000000" w:themeColor="text1"/>
                <w:sz w:val="20"/>
              </w:rPr>
              <w:t>’</w:t>
            </w:r>
            <w:r w:rsidRPr="00E85915">
              <w:rPr>
                <w:b w:val="0"/>
                <w:color w:val="000000" w:themeColor="text1"/>
                <w:sz w:val="20"/>
              </w:rPr>
              <w:t>évaluation et de l</w:t>
            </w:r>
            <w:r w:rsidR="00BF513F" w:rsidRPr="00E85915">
              <w:rPr>
                <w:b w:val="0"/>
                <w:color w:val="000000" w:themeColor="text1"/>
                <w:sz w:val="20"/>
              </w:rPr>
              <w:t>’</w:t>
            </w:r>
            <w:r w:rsidRPr="00E85915">
              <w:rPr>
                <w:b w:val="0"/>
                <w:color w:val="000000" w:themeColor="text1"/>
                <w:sz w:val="20"/>
              </w:rPr>
              <w:t>assemblée générale annuelle</w:t>
            </w:r>
            <w:r w:rsidR="00BF513F" w:rsidRPr="00E85915">
              <w:rPr>
                <w:b w:val="0"/>
                <w:color w:val="000000" w:themeColor="text1"/>
                <w:sz w:val="20"/>
              </w:rPr>
              <w:t xml:space="preserve"> du GNU</w:t>
            </w:r>
            <w:r w:rsidRPr="00E85915">
              <w:rPr>
                <w:b w:val="0"/>
                <w:color w:val="000000" w:themeColor="text1"/>
                <w:sz w:val="20"/>
              </w:rPr>
              <w:t>E</w:t>
            </w:r>
          </w:p>
        </w:tc>
        <w:tc>
          <w:tcPr>
            <w:tcW w:w="1362" w:type="pct"/>
            <w:tcBorders>
              <w:top w:val="nil"/>
              <w:left w:val="nil"/>
              <w:bottom w:val="nil"/>
              <w:right w:val="nil"/>
            </w:tcBorders>
            <w:noWrap/>
            <w:vAlign w:val="center"/>
          </w:tcPr>
          <w:p w14:paraId="674D9DE5" w14:textId="77777777" w:rsidR="00F0742C" w:rsidRPr="00E85915" w:rsidRDefault="00F0742C" w:rsidP="003A30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Février 2025</w:t>
            </w:r>
          </w:p>
        </w:tc>
      </w:tr>
      <w:tr w:rsidR="00F0742C" w:rsidRPr="00E85915" w14:paraId="5CBAE102" w14:textId="77777777" w:rsidTr="009521C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0943535F" w14:textId="16056093" w:rsidR="00F0742C" w:rsidRPr="000959A3" w:rsidRDefault="00F0742C" w:rsidP="003A303A">
            <w:pPr>
              <w:rPr>
                <w:rFonts w:eastAsia="Times New Roman"/>
                <w:b w:val="0"/>
                <w:bCs w:val="0"/>
                <w:color w:val="000000"/>
                <w:sz w:val="20"/>
              </w:rPr>
            </w:pPr>
            <w:r w:rsidRPr="000959A3">
              <w:rPr>
                <w:b w:val="0"/>
                <w:bCs w:val="0"/>
                <w:color w:val="000000" w:themeColor="text1"/>
                <w:sz w:val="20"/>
              </w:rPr>
              <w:t>Quarante</w:t>
            </w:r>
            <w:r w:rsidR="0089008D" w:rsidRPr="000959A3">
              <w:rPr>
                <w:b w:val="0"/>
                <w:bCs w:val="0"/>
                <w:color w:val="000000" w:themeColor="text1"/>
                <w:sz w:val="20"/>
              </w:rPr>
              <w:noBreakHyphen/>
            </w:r>
            <w:r w:rsidRPr="000959A3">
              <w:rPr>
                <w:b w:val="0"/>
                <w:bCs w:val="0"/>
                <w:color w:val="000000" w:themeColor="text1"/>
                <w:sz w:val="20"/>
              </w:rPr>
              <w:t>neuv</w:t>
            </w:r>
            <w:r w:rsidR="00BF513F" w:rsidRPr="000959A3">
              <w:rPr>
                <w:b w:val="0"/>
                <w:bCs w:val="0"/>
                <w:color w:val="000000" w:themeColor="text1"/>
                <w:sz w:val="20"/>
              </w:rPr>
              <w:t>ième session</w:t>
            </w:r>
            <w:r w:rsidRPr="000959A3">
              <w:rPr>
                <w:b w:val="0"/>
                <w:bCs w:val="0"/>
                <w:color w:val="000000" w:themeColor="text1"/>
                <w:sz w:val="20"/>
              </w:rPr>
              <w:t xml:space="preserve"> du Comité de haut niveau sur la gestion*</w:t>
            </w:r>
          </w:p>
        </w:tc>
        <w:tc>
          <w:tcPr>
            <w:tcW w:w="1362" w:type="pct"/>
            <w:tcBorders>
              <w:top w:val="nil"/>
              <w:left w:val="nil"/>
              <w:bottom w:val="nil"/>
              <w:right w:val="nil"/>
            </w:tcBorders>
            <w:noWrap/>
            <w:vAlign w:val="center"/>
          </w:tcPr>
          <w:p w14:paraId="76E22539" w14:textId="77777777" w:rsidR="00F0742C" w:rsidRPr="00E85915" w:rsidRDefault="00F0742C" w:rsidP="003A303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Avril 2025</w:t>
            </w:r>
          </w:p>
        </w:tc>
      </w:tr>
      <w:tr w:rsidR="00F0742C" w:rsidRPr="00E85915" w14:paraId="27A8B65C" w14:textId="77777777" w:rsidTr="009521C8">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0856F9C0" w14:textId="008CB673" w:rsidR="00F0742C" w:rsidRPr="00E85915" w:rsidRDefault="00F0742C" w:rsidP="003A303A">
            <w:pPr>
              <w:rPr>
                <w:rFonts w:eastAsia="Times New Roman"/>
                <w:b w:val="0"/>
                <w:bCs w:val="0"/>
                <w:color w:val="000000"/>
                <w:sz w:val="20"/>
              </w:rPr>
            </w:pPr>
            <w:r w:rsidRPr="00E85915">
              <w:rPr>
                <w:b w:val="0"/>
                <w:color w:val="000000" w:themeColor="text1"/>
                <w:sz w:val="20"/>
              </w:rPr>
              <w:t>Réunion annuelle du Réseau des responsables d</w:t>
            </w:r>
            <w:r w:rsidR="00BF513F" w:rsidRPr="00E85915">
              <w:rPr>
                <w:b w:val="0"/>
                <w:color w:val="000000" w:themeColor="text1"/>
                <w:sz w:val="20"/>
              </w:rPr>
              <w:t>’</w:t>
            </w:r>
            <w:r w:rsidRPr="00E85915">
              <w:rPr>
                <w:b w:val="0"/>
                <w:color w:val="000000" w:themeColor="text1"/>
                <w:sz w:val="20"/>
              </w:rPr>
              <w:t>audit interne</w:t>
            </w:r>
          </w:p>
        </w:tc>
        <w:tc>
          <w:tcPr>
            <w:tcW w:w="1362" w:type="pct"/>
            <w:tcBorders>
              <w:top w:val="nil"/>
              <w:left w:val="nil"/>
              <w:bottom w:val="nil"/>
              <w:right w:val="nil"/>
            </w:tcBorders>
            <w:noWrap/>
            <w:vAlign w:val="center"/>
          </w:tcPr>
          <w:p w14:paraId="0BB7DD12" w14:textId="77777777" w:rsidR="00F0742C" w:rsidRPr="00E85915" w:rsidRDefault="00F0742C" w:rsidP="003A30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Juin 2025</w:t>
            </w:r>
          </w:p>
        </w:tc>
      </w:tr>
      <w:tr w:rsidR="00F0742C" w:rsidRPr="00E85915" w14:paraId="18B67A8D" w14:textId="77777777" w:rsidTr="009521C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0E68B174" w14:textId="6F8F60AB" w:rsidR="00F0742C" w:rsidRPr="000959A3" w:rsidRDefault="00F0742C" w:rsidP="003A303A">
            <w:pPr>
              <w:rPr>
                <w:rFonts w:eastAsia="Times New Roman"/>
                <w:b w:val="0"/>
                <w:bCs w:val="0"/>
                <w:color w:val="000000"/>
                <w:sz w:val="20"/>
              </w:rPr>
            </w:pPr>
            <w:r w:rsidRPr="000959A3">
              <w:rPr>
                <w:b w:val="0"/>
                <w:bCs w:val="0"/>
                <w:color w:val="000000" w:themeColor="text1"/>
                <w:sz w:val="20"/>
              </w:rPr>
              <w:t>Cinquant</w:t>
            </w:r>
            <w:r w:rsidR="00BF513F" w:rsidRPr="000959A3">
              <w:rPr>
                <w:b w:val="0"/>
                <w:bCs w:val="0"/>
                <w:color w:val="000000" w:themeColor="text1"/>
                <w:sz w:val="20"/>
              </w:rPr>
              <w:t>ième session</w:t>
            </w:r>
            <w:r w:rsidRPr="000959A3">
              <w:rPr>
                <w:b w:val="0"/>
                <w:bCs w:val="0"/>
                <w:color w:val="000000" w:themeColor="text1"/>
                <w:sz w:val="20"/>
              </w:rPr>
              <w:t xml:space="preserve"> du Comité de haut niveau sur la gestion*</w:t>
            </w:r>
          </w:p>
        </w:tc>
        <w:tc>
          <w:tcPr>
            <w:tcW w:w="1362" w:type="pct"/>
            <w:tcBorders>
              <w:top w:val="nil"/>
              <w:left w:val="nil"/>
              <w:bottom w:val="nil"/>
              <w:right w:val="nil"/>
            </w:tcBorders>
            <w:noWrap/>
            <w:vAlign w:val="center"/>
          </w:tcPr>
          <w:p w14:paraId="616C744C" w14:textId="6443B904" w:rsidR="00F0742C" w:rsidRPr="00E85915" w:rsidRDefault="00F0742C" w:rsidP="003A303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 xml:space="preserve">30 septembre </w:t>
            </w:r>
            <w:r w:rsidR="0089008D">
              <w:rPr>
                <w:color w:val="000000" w:themeColor="text1"/>
                <w:sz w:val="20"/>
              </w:rPr>
              <w:noBreakHyphen/>
            </w:r>
            <w:r w:rsidR="000959A3">
              <w:rPr>
                <w:color w:val="000000" w:themeColor="text1"/>
                <w:sz w:val="20"/>
              </w:rPr>
              <w:t xml:space="preserve"> </w:t>
            </w:r>
            <w:r w:rsidR="000959A3">
              <w:rPr>
                <w:color w:val="000000" w:themeColor="text1"/>
                <w:sz w:val="20"/>
              </w:rPr>
              <w:br/>
            </w:r>
            <w:r w:rsidRPr="00E85915">
              <w:rPr>
                <w:color w:val="000000" w:themeColor="text1"/>
                <w:sz w:val="20"/>
              </w:rPr>
              <w:t>1</w:t>
            </w:r>
            <w:r w:rsidRPr="00E85915">
              <w:rPr>
                <w:color w:val="000000" w:themeColor="text1"/>
                <w:sz w:val="20"/>
                <w:vertAlign w:val="superscript"/>
              </w:rPr>
              <w:t>er</w:t>
            </w:r>
            <w:r w:rsidR="000959A3">
              <w:rPr>
                <w:color w:val="000000" w:themeColor="text1"/>
                <w:sz w:val="20"/>
                <w:vertAlign w:val="superscript"/>
              </w:rPr>
              <w:t> </w:t>
            </w:r>
            <w:r w:rsidR="00BF513F" w:rsidRPr="00E85915">
              <w:rPr>
                <w:color w:val="000000" w:themeColor="text1"/>
                <w:sz w:val="20"/>
              </w:rPr>
              <w:t>octobre 20</w:t>
            </w:r>
            <w:r w:rsidRPr="00E85915">
              <w:rPr>
                <w:color w:val="000000" w:themeColor="text1"/>
                <w:sz w:val="20"/>
              </w:rPr>
              <w:t>25</w:t>
            </w:r>
          </w:p>
        </w:tc>
      </w:tr>
      <w:tr w:rsidR="00F0742C" w:rsidRPr="00E85915" w14:paraId="5484EEC6" w14:textId="77777777" w:rsidTr="009521C8">
        <w:trPr>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2B883F20" w14:textId="7E9F7EB6" w:rsidR="00F0742C" w:rsidRPr="00E85915" w:rsidRDefault="00F0742C" w:rsidP="003A303A">
            <w:pPr>
              <w:rPr>
                <w:rFonts w:eastAsia="Times New Roman"/>
                <w:b w:val="0"/>
                <w:color w:val="000000"/>
                <w:sz w:val="20"/>
              </w:rPr>
            </w:pPr>
            <w:r w:rsidRPr="00E85915">
              <w:rPr>
                <w:b w:val="0"/>
                <w:color w:val="000000" w:themeColor="text1"/>
                <w:sz w:val="20"/>
              </w:rPr>
              <w:t>Réunion annuelle générale des représentants des services d</w:t>
            </w:r>
            <w:r w:rsidR="00BF513F" w:rsidRPr="00E85915">
              <w:rPr>
                <w:b w:val="0"/>
                <w:color w:val="000000" w:themeColor="text1"/>
                <w:sz w:val="20"/>
              </w:rPr>
              <w:t>’</w:t>
            </w:r>
            <w:r w:rsidRPr="00E85915">
              <w:rPr>
                <w:b w:val="0"/>
                <w:color w:val="000000" w:themeColor="text1"/>
                <w:sz w:val="20"/>
              </w:rPr>
              <w:t xml:space="preserve">audit interne du système des </w:t>
            </w:r>
            <w:r w:rsidR="00BF513F" w:rsidRPr="00E85915">
              <w:rPr>
                <w:b w:val="0"/>
                <w:color w:val="000000" w:themeColor="text1"/>
                <w:sz w:val="20"/>
              </w:rPr>
              <w:t>Nations Unies</w:t>
            </w:r>
            <w:r w:rsidRPr="00E85915">
              <w:rPr>
                <w:b w:val="0"/>
                <w:color w:val="000000" w:themeColor="text1"/>
                <w:sz w:val="20"/>
              </w:rPr>
              <w:t xml:space="preserve"> (UN</w:t>
            </w:r>
            <w:r w:rsidR="0089008D">
              <w:rPr>
                <w:b w:val="0"/>
                <w:color w:val="000000" w:themeColor="text1"/>
                <w:sz w:val="20"/>
              </w:rPr>
              <w:noBreakHyphen/>
            </w:r>
            <w:r w:rsidRPr="00E85915">
              <w:rPr>
                <w:b w:val="0"/>
                <w:color w:val="000000" w:themeColor="text1"/>
                <w:sz w:val="20"/>
              </w:rPr>
              <w:t xml:space="preserve">RIAS) </w:t>
            </w:r>
          </w:p>
        </w:tc>
        <w:tc>
          <w:tcPr>
            <w:tcW w:w="1362" w:type="pct"/>
            <w:tcBorders>
              <w:top w:val="nil"/>
              <w:left w:val="nil"/>
              <w:bottom w:val="nil"/>
              <w:right w:val="nil"/>
            </w:tcBorders>
            <w:noWrap/>
            <w:vAlign w:val="center"/>
          </w:tcPr>
          <w:p w14:paraId="24EA888A" w14:textId="77777777" w:rsidR="00F0742C" w:rsidRPr="00E85915" w:rsidRDefault="00F0742C" w:rsidP="003A30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Octobre 2025</w:t>
            </w:r>
          </w:p>
        </w:tc>
      </w:tr>
      <w:tr w:rsidR="00F0742C" w:rsidRPr="00E85915" w14:paraId="19B67039" w14:textId="77777777" w:rsidTr="009521C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3638" w:type="pct"/>
            <w:tcBorders>
              <w:top w:val="nil"/>
              <w:left w:val="nil"/>
              <w:bottom w:val="nil"/>
              <w:right w:val="nil"/>
            </w:tcBorders>
            <w:noWrap/>
            <w:vAlign w:val="center"/>
          </w:tcPr>
          <w:p w14:paraId="0AC8F734" w14:textId="201C5A70" w:rsidR="00F0742C" w:rsidRPr="00E85915" w:rsidRDefault="00F0742C" w:rsidP="003A303A">
            <w:pPr>
              <w:rPr>
                <w:rFonts w:eastAsia="Times New Roman"/>
                <w:b w:val="0"/>
                <w:color w:val="000000"/>
                <w:sz w:val="20"/>
              </w:rPr>
            </w:pPr>
            <w:r w:rsidRPr="00E85915">
              <w:rPr>
                <w:b w:val="0"/>
                <w:color w:val="000000" w:themeColor="text1"/>
                <w:sz w:val="20"/>
              </w:rPr>
              <w:t>Vingt</w:t>
            </w:r>
            <w:r w:rsidR="0089008D">
              <w:rPr>
                <w:b w:val="0"/>
                <w:color w:val="000000" w:themeColor="text1"/>
                <w:sz w:val="20"/>
              </w:rPr>
              <w:noBreakHyphen/>
            </w:r>
            <w:r w:rsidRPr="00E85915">
              <w:rPr>
                <w:b w:val="0"/>
                <w:color w:val="000000" w:themeColor="text1"/>
                <w:sz w:val="20"/>
              </w:rPr>
              <w:t>cinquième Conférence des enquêteurs internationaux (CII) et réunion annuelle générale des représentants des services d</w:t>
            </w:r>
            <w:r w:rsidR="00BF513F" w:rsidRPr="00E85915">
              <w:rPr>
                <w:b w:val="0"/>
                <w:color w:val="000000" w:themeColor="text1"/>
                <w:sz w:val="20"/>
              </w:rPr>
              <w:t>’</w:t>
            </w:r>
            <w:r w:rsidRPr="00E85915">
              <w:rPr>
                <w:b w:val="0"/>
                <w:color w:val="000000" w:themeColor="text1"/>
                <w:sz w:val="20"/>
              </w:rPr>
              <w:t xml:space="preserve">enquête du système des </w:t>
            </w:r>
            <w:r w:rsidR="00BF513F" w:rsidRPr="00E85915">
              <w:rPr>
                <w:b w:val="0"/>
                <w:color w:val="000000" w:themeColor="text1"/>
                <w:sz w:val="20"/>
              </w:rPr>
              <w:t>Nations Unies</w:t>
            </w:r>
            <w:r w:rsidRPr="00E85915">
              <w:rPr>
                <w:b w:val="0"/>
                <w:color w:val="000000" w:themeColor="text1"/>
                <w:sz w:val="20"/>
              </w:rPr>
              <w:t xml:space="preserve"> (UN RIS)</w:t>
            </w:r>
          </w:p>
        </w:tc>
        <w:tc>
          <w:tcPr>
            <w:tcW w:w="1362" w:type="pct"/>
            <w:tcBorders>
              <w:top w:val="nil"/>
              <w:left w:val="nil"/>
              <w:bottom w:val="nil"/>
              <w:right w:val="nil"/>
            </w:tcBorders>
            <w:noWrap/>
            <w:vAlign w:val="center"/>
          </w:tcPr>
          <w:p w14:paraId="5AC02E20" w14:textId="77777777" w:rsidR="00F0742C" w:rsidRPr="00E85915" w:rsidRDefault="00F0742C" w:rsidP="003A303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Novembre 2025</w:t>
            </w:r>
          </w:p>
        </w:tc>
      </w:tr>
    </w:tbl>
    <w:p w14:paraId="06FBF215" w14:textId="77777777" w:rsidR="00F0742C" w:rsidRPr="00E85915" w:rsidRDefault="00F0742C" w:rsidP="003A303A">
      <w:pPr>
        <w:rPr>
          <w:lang w:val="fr-FR"/>
        </w:rPr>
      </w:pPr>
    </w:p>
    <w:p w14:paraId="0A82CC06" w14:textId="23C1E0A7" w:rsidR="00F0742C" w:rsidRPr="00E85915" w:rsidRDefault="00F0742C" w:rsidP="00D83603">
      <w:pPr>
        <w:tabs>
          <w:tab w:val="left" w:pos="284"/>
        </w:tabs>
        <w:spacing w:after="240"/>
        <w:ind w:left="284" w:hanging="284"/>
        <w:rPr>
          <w:lang w:val="fr-FR"/>
        </w:rPr>
      </w:pPr>
      <w:r w:rsidRPr="00E85915">
        <w:rPr>
          <w:lang w:val="fr-FR"/>
        </w:rPr>
        <w:t>*.</w:t>
      </w:r>
      <w:r w:rsidR="00D83603">
        <w:rPr>
          <w:lang w:val="fr-FR"/>
        </w:rPr>
        <w:tab/>
      </w:r>
      <w:r w:rsidRPr="00E85915">
        <w:rPr>
          <w:lang w:val="fr-FR"/>
        </w:rPr>
        <w:t>Participation de la directrice de</w:t>
      </w:r>
      <w:r w:rsidR="00BF513F" w:rsidRPr="00E85915">
        <w:rPr>
          <w:lang w:val="fr-FR"/>
        </w:rPr>
        <w:t xml:space="preserve"> la DSI</w:t>
      </w:r>
      <w:r w:rsidRPr="00E85915">
        <w:rPr>
          <w:lang w:val="fr-FR"/>
        </w:rPr>
        <w:t>, en tant que coordonnatrice des représentants des services d</w:t>
      </w:r>
      <w:r w:rsidR="00BF513F" w:rsidRPr="00E85915">
        <w:rPr>
          <w:lang w:val="fr-FR"/>
        </w:rPr>
        <w:t>’</w:t>
      </w:r>
      <w:r w:rsidRPr="00E85915">
        <w:rPr>
          <w:lang w:val="fr-FR"/>
        </w:rPr>
        <w:t xml:space="preserve">audit interne du système des </w:t>
      </w:r>
      <w:r w:rsidR="00BF513F" w:rsidRPr="00E85915">
        <w:rPr>
          <w:lang w:val="fr-FR"/>
        </w:rPr>
        <w:t>Nations Unies</w:t>
      </w:r>
      <w:r w:rsidRPr="00E85915">
        <w:rPr>
          <w:lang w:val="fr-FR"/>
        </w:rPr>
        <w:t xml:space="preserve"> auprès du Comité de haut niveau sur la gestion.</w:t>
      </w:r>
    </w:p>
    <w:p w14:paraId="56D9C517" w14:textId="176AEAA6" w:rsidR="00F0742C" w:rsidRPr="00E85915" w:rsidRDefault="00D83603" w:rsidP="00D83603">
      <w:pPr>
        <w:pStyle w:val="Heading2"/>
      </w:pPr>
      <w:r w:rsidRPr="00E85915">
        <w:t>FORMATION ET FORMATION PROFESSIONNELLE CONTINUE</w:t>
      </w:r>
    </w:p>
    <w:p w14:paraId="7B6AE50F" w14:textId="2289548A" w:rsidR="00F0742C" w:rsidRPr="00E85915" w:rsidRDefault="00F0742C" w:rsidP="003A303A">
      <w:pPr>
        <w:pStyle w:val="ONUMFS"/>
        <w:rPr>
          <w:lang w:val="fr-FR"/>
        </w:rPr>
      </w:pPr>
      <w:r w:rsidRPr="00E85915">
        <w:rPr>
          <w:lang w:val="fr-FR"/>
        </w:rPr>
        <w:t>La formation continue et le perfectionnement sont essentiels pour que les fonctionnaires chargés de la supervision interne puissent conserver leurs certifications professionnelles et renforcer leurs compétences en matière d</w:t>
      </w:r>
      <w:r w:rsidR="00BF513F" w:rsidRPr="00E85915">
        <w:rPr>
          <w:lang w:val="fr-FR"/>
        </w:rPr>
        <w:t>’</w:t>
      </w:r>
      <w:r w:rsidRPr="00E85915">
        <w:rPr>
          <w:lang w:val="fr-FR"/>
        </w:rPr>
        <w:t>évaluation, d</w:t>
      </w:r>
      <w:r w:rsidR="00BF513F" w:rsidRPr="00E85915">
        <w:rPr>
          <w:lang w:val="fr-FR"/>
        </w:rPr>
        <w:t>’</w:t>
      </w:r>
      <w:r w:rsidRPr="00E85915">
        <w:rPr>
          <w:lang w:val="fr-FR"/>
        </w:rPr>
        <w:t>enquête, de normes d</w:t>
      </w:r>
      <w:r w:rsidR="00BF513F" w:rsidRPr="00E85915">
        <w:rPr>
          <w:lang w:val="fr-FR"/>
        </w:rPr>
        <w:t>’</w:t>
      </w:r>
      <w:r w:rsidRPr="00E85915">
        <w:rPr>
          <w:lang w:val="fr-FR"/>
        </w:rPr>
        <w:t>audit et de pratiques de pointe dans un contexte en constante évoluti</w:t>
      </w:r>
      <w:r w:rsidR="00E85915" w:rsidRPr="00E85915">
        <w:rPr>
          <w:lang w:val="fr-FR"/>
        </w:rPr>
        <w:t>on.  Le</w:t>
      </w:r>
      <w:r w:rsidRPr="00E85915">
        <w:rPr>
          <w:lang w:val="fr-FR"/>
        </w:rPr>
        <w:t>s fonctionnaires de</w:t>
      </w:r>
      <w:r w:rsidR="00BF513F" w:rsidRPr="00E85915">
        <w:rPr>
          <w:lang w:val="fr-FR"/>
        </w:rPr>
        <w:t xml:space="preserve"> la DSI</w:t>
      </w:r>
      <w:r w:rsidRPr="00E85915">
        <w:rPr>
          <w:lang w:val="fr-FR"/>
        </w:rPr>
        <w:t xml:space="preserve"> ont participé à des programmes de formation pertinents au cours de la période couverte par le rapport, afin de renforcer leurs compétences et leur experti</w:t>
      </w:r>
      <w:r w:rsidR="00E85915" w:rsidRPr="00E85915">
        <w:rPr>
          <w:lang w:val="fr-FR"/>
        </w:rPr>
        <w:t>se.  Ce</w:t>
      </w:r>
      <w:r w:rsidRPr="00E85915">
        <w:rPr>
          <w:lang w:val="fr-FR"/>
        </w:rPr>
        <w:t>s formations comprennent les formations indiquées ci</w:t>
      </w:r>
      <w:r w:rsidR="0089008D">
        <w:rPr>
          <w:lang w:val="fr-FR"/>
        </w:rPr>
        <w:noBreakHyphen/>
      </w:r>
      <w:r w:rsidRPr="00E85915">
        <w:rPr>
          <w:lang w:val="fr-FR"/>
        </w:rPr>
        <w:t>après.</w:t>
      </w:r>
    </w:p>
    <w:p w14:paraId="5F3991BA" w14:textId="50AA208A" w:rsidR="00F0742C" w:rsidRPr="00D83603" w:rsidRDefault="00F0742C" w:rsidP="00D83603">
      <w:pPr>
        <w:keepNext/>
        <w:spacing w:after="240"/>
        <w:jc w:val="center"/>
        <w:rPr>
          <w:b/>
          <w:bCs/>
          <w:lang w:val="fr-FR"/>
        </w:rPr>
      </w:pPr>
      <w:r w:rsidRPr="00D83603">
        <w:rPr>
          <w:b/>
          <w:bCs/>
          <w:lang w:val="fr-FR"/>
        </w:rPr>
        <w:t xml:space="preserve">Tableau 5 </w:t>
      </w:r>
      <w:r w:rsidR="00B91586" w:rsidRPr="00D83603">
        <w:rPr>
          <w:b/>
          <w:bCs/>
          <w:lang w:val="fr-FR"/>
        </w:rPr>
        <w:t>–</w:t>
      </w:r>
      <w:r w:rsidRPr="00D83603">
        <w:rPr>
          <w:b/>
          <w:bCs/>
          <w:lang w:val="fr-FR"/>
        </w:rPr>
        <w:t xml:space="preserve"> Programmes de formation clés auxquels a participé le personnel de</w:t>
      </w:r>
      <w:r w:rsidR="00BF513F" w:rsidRPr="00D83603">
        <w:rPr>
          <w:b/>
          <w:bCs/>
          <w:lang w:val="fr-FR"/>
        </w:rPr>
        <w:t xml:space="preserve"> la DSI</w:t>
      </w:r>
      <w:r w:rsidRPr="00D83603">
        <w:rPr>
          <w:b/>
          <w:bCs/>
          <w:lang w:val="fr-FR"/>
        </w:rPr>
        <w:t xml:space="preserve"> </w:t>
      </w:r>
      <w:r w:rsidR="00BF513F" w:rsidRPr="00D83603">
        <w:rPr>
          <w:b/>
          <w:bCs/>
          <w:lang w:val="fr-FR"/>
        </w:rPr>
        <w:t>en 2025</w:t>
      </w:r>
    </w:p>
    <w:tbl>
      <w:tblPr>
        <w:tblStyle w:val="GridTable4-Accent1"/>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au 5 – Programmes de formation clés auxquels a participé le personnel de la DSI en 2025"/>
        <w:tblDescription w:val="Tableau répertoriant les principaux programmes de formation auxquels a participé le personnel de la Division de la supervision interne en 2025, y compris l’intitulé et la date de ces événements."/>
      </w:tblPr>
      <w:tblGrid>
        <w:gridCol w:w="3879"/>
        <w:gridCol w:w="3828"/>
        <w:gridCol w:w="1554"/>
      </w:tblGrid>
      <w:tr w:rsidR="00F0742C" w:rsidRPr="00E85915" w14:paraId="5218E9B7" w14:textId="77777777" w:rsidTr="009521C8">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2094" w:type="pct"/>
            <w:shd w:val="clear" w:color="auto" w:fill="17365D" w:themeFill="text2" w:themeFillShade="BF"/>
            <w:noWrap/>
            <w:vAlign w:val="center"/>
          </w:tcPr>
          <w:p w14:paraId="3E9862BD" w14:textId="77777777" w:rsidR="00F0742C" w:rsidRPr="00E85915" w:rsidRDefault="00F0742C" w:rsidP="003A303A">
            <w:pPr>
              <w:jc w:val="center"/>
              <w:rPr>
                <w:rFonts w:eastAsia="Times New Roman"/>
                <w:sz w:val="20"/>
              </w:rPr>
            </w:pPr>
            <w:r w:rsidRPr="00E85915">
              <w:rPr>
                <w:sz w:val="20"/>
              </w:rPr>
              <w:t>Formation</w:t>
            </w:r>
          </w:p>
        </w:tc>
        <w:tc>
          <w:tcPr>
            <w:tcW w:w="2067" w:type="pct"/>
            <w:shd w:val="clear" w:color="auto" w:fill="17365D" w:themeFill="text2" w:themeFillShade="BF"/>
            <w:vAlign w:val="center"/>
          </w:tcPr>
          <w:p w14:paraId="7710C226" w14:textId="77777777" w:rsidR="00F0742C" w:rsidRPr="00E85915" w:rsidRDefault="00F0742C" w:rsidP="003A303A">
            <w:pPr>
              <w:jc w:val="center"/>
              <w:cnfStyle w:val="100000000000" w:firstRow="1" w:lastRow="0" w:firstColumn="0" w:lastColumn="0" w:oddVBand="0" w:evenVBand="0" w:oddHBand="0" w:evenHBand="0" w:firstRowFirstColumn="0" w:firstRowLastColumn="0" w:lastRowFirstColumn="0" w:lastRowLastColumn="0"/>
              <w:rPr>
                <w:rFonts w:eastAsia="Times New Roman"/>
                <w:sz w:val="20"/>
              </w:rPr>
            </w:pPr>
            <w:r w:rsidRPr="00E85915">
              <w:rPr>
                <w:sz w:val="20"/>
              </w:rPr>
              <w:t>Principaux thèmes</w:t>
            </w:r>
          </w:p>
        </w:tc>
        <w:tc>
          <w:tcPr>
            <w:tcW w:w="839" w:type="pct"/>
            <w:shd w:val="clear" w:color="auto" w:fill="17365D" w:themeFill="text2" w:themeFillShade="BF"/>
            <w:vAlign w:val="center"/>
          </w:tcPr>
          <w:p w14:paraId="58F535AC" w14:textId="77777777" w:rsidR="00F0742C" w:rsidRPr="00E85915" w:rsidRDefault="00F0742C" w:rsidP="003A303A">
            <w:pPr>
              <w:jc w:val="center"/>
              <w:cnfStyle w:val="100000000000" w:firstRow="1" w:lastRow="0" w:firstColumn="0" w:lastColumn="0" w:oddVBand="0" w:evenVBand="0" w:oddHBand="0" w:evenHBand="0" w:firstRowFirstColumn="0" w:firstRowLastColumn="0" w:lastRowFirstColumn="0" w:lastRowLastColumn="0"/>
              <w:rPr>
                <w:rFonts w:eastAsia="Times New Roman"/>
                <w:sz w:val="20"/>
              </w:rPr>
            </w:pPr>
            <w:r w:rsidRPr="00E85915">
              <w:rPr>
                <w:sz w:val="20"/>
              </w:rPr>
              <w:t>Date</w:t>
            </w:r>
          </w:p>
        </w:tc>
      </w:tr>
      <w:tr w:rsidR="00F0742C" w:rsidRPr="00E85915" w14:paraId="748A6A85" w14:textId="77777777" w:rsidTr="009521C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20CAF058" w14:textId="34987E55" w:rsidR="00F0742C" w:rsidRPr="00E85915" w:rsidRDefault="00F0742C" w:rsidP="003A303A">
            <w:pPr>
              <w:rPr>
                <w:rFonts w:eastAsia="Times New Roman"/>
                <w:color w:val="000000"/>
                <w:sz w:val="20"/>
              </w:rPr>
            </w:pPr>
            <w:r w:rsidRPr="00E85915">
              <w:rPr>
                <w:b w:val="0"/>
                <w:color w:val="000000" w:themeColor="text1"/>
                <w:sz w:val="20"/>
              </w:rPr>
              <w:t>Conférence européenne sur la fraude organisée par l</w:t>
            </w:r>
            <w:r w:rsidR="00BF513F" w:rsidRPr="00E85915">
              <w:rPr>
                <w:b w:val="0"/>
                <w:color w:val="000000" w:themeColor="text1"/>
                <w:sz w:val="20"/>
              </w:rPr>
              <w:t>’</w:t>
            </w:r>
            <w:r w:rsidRPr="00E85915">
              <w:rPr>
                <w:b w:val="0"/>
                <w:color w:val="000000" w:themeColor="text1"/>
                <w:sz w:val="20"/>
              </w:rPr>
              <w:t>Association of Certified Fraud Examiners (ACFE), en ligne</w:t>
            </w:r>
          </w:p>
        </w:tc>
        <w:tc>
          <w:tcPr>
            <w:tcW w:w="2067" w:type="pct"/>
            <w:noWrap/>
            <w:vAlign w:val="center"/>
          </w:tcPr>
          <w:p w14:paraId="247311CC" w14:textId="20C3E42D" w:rsidR="00F0742C" w:rsidRPr="00E85915" w:rsidRDefault="00F0742C" w:rsidP="003A303A">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L</w:t>
            </w:r>
            <w:r w:rsidR="00BF513F" w:rsidRPr="00E85915">
              <w:rPr>
                <w:color w:val="000000" w:themeColor="text1"/>
                <w:sz w:val="20"/>
              </w:rPr>
              <w:t>’</w:t>
            </w:r>
            <w:r w:rsidRPr="00E85915">
              <w:rPr>
                <w:color w:val="000000" w:themeColor="text1"/>
                <w:sz w:val="20"/>
              </w:rPr>
              <w:t>IA et la technologie dans la fraude</w:t>
            </w:r>
          </w:p>
          <w:p w14:paraId="6D7E90EE" w14:textId="77777777" w:rsidR="00F0742C" w:rsidRPr="00E85915" w:rsidRDefault="00F0742C" w:rsidP="003A303A">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Tendances émergentes dans le domaine de la fraude</w:t>
            </w:r>
          </w:p>
          <w:p w14:paraId="2B8AE1CA" w14:textId="77777777" w:rsidR="00F0742C" w:rsidRPr="00E85915" w:rsidRDefault="00F0742C" w:rsidP="003A303A">
            <w:pPr>
              <w:pStyle w:val="ListParagraph"/>
              <w:numPr>
                <w:ilvl w:val="0"/>
                <w:numId w:val="10"/>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Enquêtes et gestion des risques</w:t>
            </w:r>
          </w:p>
        </w:tc>
        <w:tc>
          <w:tcPr>
            <w:tcW w:w="839" w:type="pct"/>
            <w:noWrap/>
            <w:vAlign w:val="center"/>
          </w:tcPr>
          <w:p w14:paraId="0A04C872" w14:textId="77777777" w:rsidR="00F0742C" w:rsidRPr="00E85915" w:rsidRDefault="00F0742C" w:rsidP="003A303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Mars 2025</w:t>
            </w:r>
          </w:p>
        </w:tc>
      </w:tr>
      <w:tr w:rsidR="00F0742C" w:rsidRPr="00E85915" w14:paraId="2227FC3D" w14:textId="77777777" w:rsidTr="009521C8">
        <w:trPr>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7D25577D" w14:textId="4AF62C60" w:rsidR="00F0742C" w:rsidRPr="00E85915" w:rsidRDefault="00F0742C" w:rsidP="003A303A">
            <w:pPr>
              <w:rPr>
                <w:rFonts w:eastAsia="Times New Roman"/>
                <w:b w:val="0"/>
                <w:color w:val="000000"/>
                <w:sz w:val="20"/>
              </w:rPr>
            </w:pPr>
            <w:r w:rsidRPr="00E85915">
              <w:rPr>
                <w:b w:val="0"/>
                <w:color w:val="000000" w:themeColor="text1"/>
                <w:sz w:val="20"/>
              </w:rPr>
              <w:t>Conférence nationale de l</w:t>
            </w:r>
            <w:r w:rsidR="00BF513F" w:rsidRPr="00E85915">
              <w:rPr>
                <w:b w:val="0"/>
                <w:color w:val="000000" w:themeColor="text1"/>
                <w:sz w:val="20"/>
              </w:rPr>
              <w:t>’</w:t>
            </w:r>
            <w:r w:rsidRPr="00E85915">
              <w:rPr>
                <w:b w:val="0"/>
                <w:color w:val="000000" w:themeColor="text1"/>
                <w:sz w:val="20"/>
              </w:rPr>
              <w:t xml:space="preserve">Institut des auditeurs internes (IIA), Suisse </w:t>
            </w:r>
          </w:p>
        </w:tc>
        <w:tc>
          <w:tcPr>
            <w:tcW w:w="2067" w:type="pct"/>
            <w:noWrap/>
            <w:vAlign w:val="center"/>
          </w:tcPr>
          <w:p w14:paraId="1C9A5B43" w14:textId="6A583191" w:rsidR="00F0742C" w:rsidRPr="00E85915" w:rsidRDefault="00F0742C" w:rsidP="003A303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Façonner l</w:t>
            </w:r>
            <w:r w:rsidR="00BF513F" w:rsidRPr="00E85915">
              <w:rPr>
                <w:color w:val="000000" w:themeColor="text1"/>
                <w:sz w:val="20"/>
              </w:rPr>
              <w:t>’</w:t>
            </w:r>
            <w:r w:rsidRPr="00E85915">
              <w:rPr>
                <w:color w:val="000000" w:themeColor="text1"/>
                <w:sz w:val="20"/>
              </w:rPr>
              <w:t>audit interne de demain</w:t>
            </w:r>
          </w:p>
        </w:tc>
        <w:tc>
          <w:tcPr>
            <w:tcW w:w="839" w:type="pct"/>
            <w:noWrap/>
            <w:vAlign w:val="center"/>
          </w:tcPr>
          <w:p w14:paraId="68ABCEC3" w14:textId="77777777" w:rsidR="00F0742C" w:rsidRPr="00E85915" w:rsidRDefault="00F0742C" w:rsidP="003A30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Mai 2025</w:t>
            </w:r>
          </w:p>
        </w:tc>
      </w:tr>
      <w:tr w:rsidR="00F0742C" w:rsidRPr="00E85915" w14:paraId="7BF269B2" w14:textId="77777777" w:rsidTr="009521C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73046B20" w14:textId="1BCB71F2" w:rsidR="00F0742C" w:rsidRPr="00E85915" w:rsidRDefault="00F0742C" w:rsidP="003A303A">
            <w:pPr>
              <w:rPr>
                <w:rFonts w:eastAsia="Times New Roman"/>
                <w:b w:val="0"/>
                <w:bCs w:val="0"/>
                <w:color w:val="000000"/>
                <w:sz w:val="20"/>
              </w:rPr>
            </w:pPr>
            <w:r w:rsidRPr="00E85915">
              <w:rPr>
                <w:b w:val="0"/>
                <w:color w:val="000000" w:themeColor="text1"/>
                <w:sz w:val="20"/>
              </w:rPr>
              <w:lastRenderedPageBreak/>
              <w:t>Trente</w:t>
            </w:r>
            <w:r w:rsidR="0089008D">
              <w:rPr>
                <w:b w:val="0"/>
                <w:color w:val="000000" w:themeColor="text1"/>
                <w:sz w:val="20"/>
              </w:rPr>
              <w:noBreakHyphen/>
            </w:r>
            <w:r w:rsidRPr="00E85915">
              <w:rPr>
                <w:b w:val="0"/>
                <w:color w:val="000000" w:themeColor="text1"/>
                <w:sz w:val="20"/>
              </w:rPr>
              <w:t>sixième Conférence annuelle de l</w:t>
            </w:r>
            <w:r w:rsidR="00BF513F" w:rsidRPr="00E85915">
              <w:rPr>
                <w:b w:val="0"/>
                <w:color w:val="000000" w:themeColor="text1"/>
                <w:sz w:val="20"/>
              </w:rPr>
              <w:t>’</w:t>
            </w:r>
            <w:r w:rsidRPr="00E85915">
              <w:rPr>
                <w:b w:val="0"/>
                <w:color w:val="000000" w:themeColor="text1"/>
                <w:sz w:val="20"/>
              </w:rPr>
              <w:t>ACFE sur la fraude au niveau mondial, en ligne</w:t>
            </w:r>
          </w:p>
        </w:tc>
        <w:tc>
          <w:tcPr>
            <w:tcW w:w="2067" w:type="pct"/>
            <w:noWrap/>
            <w:vAlign w:val="center"/>
          </w:tcPr>
          <w:p w14:paraId="0B8EA8F5" w14:textId="77777777" w:rsidR="00F0742C" w:rsidRPr="00E85915" w:rsidRDefault="00F0742C" w:rsidP="003A303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Tendances émergentes dans le domaine de la fraude et enjeux mondiaux</w:t>
            </w:r>
          </w:p>
          <w:p w14:paraId="7AF47C11" w14:textId="6EA67241" w:rsidR="00F0742C" w:rsidRPr="00E85915" w:rsidRDefault="00F0742C" w:rsidP="003A303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Cybercriminalité, fraude fondée sur l</w:t>
            </w:r>
            <w:r w:rsidR="00BF513F" w:rsidRPr="00E85915">
              <w:rPr>
                <w:color w:val="000000" w:themeColor="text1"/>
                <w:sz w:val="20"/>
              </w:rPr>
              <w:t>’</w:t>
            </w:r>
            <w:r w:rsidRPr="00E85915">
              <w:rPr>
                <w:color w:val="000000" w:themeColor="text1"/>
                <w:sz w:val="20"/>
              </w:rPr>
              <w:t>IA et menaces numériques</w:t>
            </w:r>
          </w:p>
          <w:p w14:paraId="104899CE" w14:textId="225F19CC" w:rsidR="00F0742C" w:rsidRPr="00E85915" w:rsidRDefault="00F0742C" w:rsidP="003A303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Meilleures pratiques en matière d</w:t>
            </w:r>
            <w:r w:rsidR="00BF513F" w:rsidRPr="00E85915">
              <w:rPr>
                <w:color w:val="000000" w:themeColor="text1"/>
                <w:sz w:val="20"/>
              </w:rPr>
              <w:t>’</w:t>
            </w:r>
            <w:r w:rsidRPr="00E85915">
              <w:rPr>
                <w:color w:val="000000" w:themeColor="text1"/>
                <w:sz w:val="20"/>
              </w:rPr>
              <w:t>enquêtes et de supervision</w:t>
            </w:r>
          </w:p>
        </w:tc>
        <w:tc>
          <w:tcPr>
            <w:tcW w:w="839" w:type="pct"/>
            <w:noWrap/>
            <w:vAlign w:val="center"/>
          </w:tcPr>
          <w:p w14:paraId="4C41309A" w14:textId="77777777" w:rsidR="00F0742C" w:rsidRPr="00E85915" w:rsidRDefault="00F0742C" w:rsidP="003A303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Juin 2025</w:t>
            </w:r>
          </w:p>
        </w:tc>
      </w:tr>
      <w:tr w:rsidR="00F0742C" w:rsidRPr="00E85915" w14:paraId="10A2B0CE" w14:textId="77777777" w:rsidTr="009521C8">
        <w:trPr>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1DCDC522" w14:textId="4191DA23" w:rsidR="00F0742C" w:rsidRPr="00E85915" w:rsidRDefault="00F0742C" w:rsidP="003A303A">
            <w:pPr>
              <w:rPr>
                <w:rFonts w:eastAsia="Times New Roman"/>
                <w:b w:val="0"/>
                <w:bCs w:val="0"/>
                <w:color w:val="000000"/>
                <w:sz w:val="20"/>
              </w:rPr>
            </w:pPr>
            <w:r w:rsidRPr="00E85915">
              <w:rPr>
                <w:b w:val="0"/>
                <w:color w:val="000000" w:themeColor="text1"/>
                <w:sz w:val="20"/>
              </w:rPr>
              <w:t>Divers cours en ligne proposés par l</w:t>
            </w:r>
            <w:r w:rsidR="00BF513F" w:rsidRPr="00E85915">
              <w:rPr>
                <w:b w:val="0"/>
                <w:color w:val="000000" w:themeColor="text1"/>
                <w:sz w:val="20"/>
              </w:rPr>
              <w:t>’</w:t>
            </w:r>
            <w:r w:rsidRPr="00E85915">
              <w:rPr>
                <w:b w:val="0"/>
                <w:color w:val="000000" w:themeColor="text1"/>
                <w:sz w:val="20"/>
              </w:rPr>
              <w:t>ACFE</w:t>
            </w:r>
          </w:p>
        </w:tc>
        <w:tc>
          <w:tcPr>
            <w:tcW w:w="2067" w:type="pct"/>
            <w:noWrap/>
            <w:vAlign w:val="center"/>
          </w:tcPr>
          <w:p w14:paraId="7A105961" w14:textId="77777777" w:rsidR="00F0742C" w:rsidRPr="00E85915" w:rsidRDefault="00F0742C" w:rsidP="003A303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Programmes de suivi des collaborateurs</w:t>
            </w:r>
          </w:p>
          <w:p w14:paraId="5B3DFEC5" w14:textId="7175A757" w:rsidR="00BF513F" w:rsidRPr="00E85915" w:rsidRDefault="00F0742C" w:rsidP="003A303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color w:val="000000" w:themeColor="text1"/>
                <w:sz w:val="20"/>
              </w:rPr>
            </w:pPr>
            <w:r w:rsidRPr="00E85915">
              <w:rPr>
                <w:color w:val="000000" w:themeColor="text1"/>
                <w:sz w:val="20"/>
              </w:rPr>
              <w:t>Efficacité des vérifications d</w:t>
            </w:r>
            <w:r w:rsidR="00BF513F" w:rsidRPr="00E85915">
              <w:rPr>
                <w:color w:val="000000" w:themeColor="text1"/>
                <w:sz w:val="20"/>
              </w:rPr>
              <w:t>’</w:t>
            </w:r>
            <w:r w:rsidRPr="00E85915">
              <w:rPr>
                <w:color w:val="000000" w:themeColor="text1"/>
                <w:sz w:val="20"/>
              </w:rPr>
              <w:t>antécédents</w:t>
            </w:r>
          </w:p>
          <w:p w14:paraId="56BAEC5B" w14:textId="7C2CBC3A" w:rsidR="00F0742C" w:rsidRPr="00E85915" w:rsidRDefault="00F0742C" w:rsidP="003A303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Évaluation et vérification des mesures de contrôle dans la lutte contre la fraude</w:t>
            </w:r>
          </w:p>
        </w:tc>
        <w:tc>
          <w:tcPr>
            <w:tcW w:w="839" w:type="pct"/>
            <w:noWrap/>
            <w:vAlign w:val="center"/>
          </w:tcPr>
          <w:p w14:paraId="5C0A426A" w14:textId="5871DFAC" w:rsidR="00F0742C" w:rsidRPr="00E85915" w:rsidRDefault="00F0742C" w:rsidP="003A30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Tout au long de l</w:t>
            </w:r>
            <w:r w:rsidR="00BF513F" w:rsidRPr="00E85915">
              <w:rPr>
                <w:color w:val="000000" w:themeColor="text1"/>
                <w:sz w:val="20"/>
              </w:rPr>
              <w:t>’</w:t>
            </w:r>
            <w:r w:rsidRPr="00E85915">
              <w:rPr>
                <w:color w:val="000000" w:themeColor="text1"/>
                <w:sz w:val="20"/>
              </w:rPr>
              <w:t>année</w:t>
            </w:r>
          </w:p>
        </w:tc>
      </w:tr>
      <w:tr w:rsidR="00F0742C" w:rsidRPr="00E85915" w14:paraId="2F1F3DCE" w14:textId="77777777" w:rsidTr="009521C8">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4C658F93" w14:textId="03346F43" w:rsidR="00F0742C" w:rsidRPr="00D83603" w:rsidRDefault="00F0742C" w:rsidP="003A303A">
            <w:pPr>
              <w:rPr>
                <w:rFonts w:eastAsia="Times New Roman"/>
                <w:b w:val="0"/>
                <w:bCs w:val="0"/>
                <w:color w:val="000000"/>
                <w:sz w:val="20"/>
              </w:rPr>
            </w:pPr>
            <w:r w:rsidRPr="00D83603">
              <w:rPr>
                <w:b w:val="0"/>
                <w:bCs w:val="0"/>
                <w:color w:val="000000" w:themeColor="text1"/>
                <w:sz w:val="20"/>
              </w:rPr>
              <w:t>Divers cours en ligne proposés par l</w:t>
            </w:r>
            <w:r w:rsidR="00BF513F" w:rsidRPr="00D83603">
              <w:rPr>
                <w:b w:val="0"/>
                <w:bCs w:val="0"/>
                <w:color w:val="000000" w:themeColor="text1"/>
                <w:sz w:val="20"/>
              </w:rPr>
              <w:t>’</w:t>
            </w:r>
            <w:r w:rsidRPr="00D83603">
              <w:rPr>
                <w:b w:val="0"/>
                <w:bCs w:val="0"/>
                <w:color w:val="000000" w:themeColor="text1"/>
                <w:sz w:val="20"/>
              </w:rPr>
              <w:t>Information Systems Audit and Control Association (ISACA)</w:t>
            </w:r>
          </w:p>
        </w:tc>
        <w:tc>
          <w:tcPr>
            <w:tcW w:w="2067" w:type="pct"/>
            <w:noWrap/>
            <w:vAlign w:val="center"/>
          </w:tcPr>
          <w:p w14:paraId="6F41D1D7" w14:textId="71B8FA94" w:rsidR="00F0742C" w:rsidRPr="00E85915" w:rsidRDefault="00F0742C" w:rsidP="003A303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Technologies émergentes et gouvernance de l</w:t>
            </w:r>
            <w:r w:rsidR="00BF513F" w:rsidRPr="00E85915">
              <w:rPr>
                <w:color w:val="000000" w:themeColor="text1"/>
                <w:sz w:val="20"/>
              </w:rPr>
              <w:t>’</w:t>
            </w:r>
            <w:r w:rsidRPr="00E85915">
              <w:rPr>
                <w:color w:val="000000" w:themeColor="text1"/>
                <w:sz w:val="20"/>
              </w:rPr>
              <w:t>IA</w:t>
            </w:r>
          </w:p>
          <w:p w14:paraId="4B1C2455" w14:textId="77777777" w:rsidR="00F0742C" w:rsidRPr="00E85915" w:rsidRDefault="00F0742C" w:rsidP="003A303A">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Confidentialité, cybersécurité et risques technologiques</w:t>
            </w:r>
          </w:p>
          <w:p w14:paraId="5DDC8A10" w14:textId="0D9D1278" w:rsidR="00F0742C" w:rsidRPr="00E85915" w:rsidRDefault="00F0742C" w:rsidP="00D83603">
            <w:pPr>
              <w:pStyle w:val="ListParagraph"/>
              <w:numPr>
                <w:ilvl w:val="0"/>
                <w:numId w:val="11"/>
              </w:numPr>
              <w:cnfStyle w:val="000000100000" w:firstRow="0" w:lastRow="0" w:firstColumn="0" w:lastColumn="0" w:oddVBand="0" w:evenVBand="0" w:oddHBand="1" w:evenHBand="0" w:firstRowFirstColumn="0" w:firstRowLastColumn="0" w:lastRowFirstColumn="0" w:lastRowLastColumn="0"/>
              <w:rPr>
                <w:rFonts w:eastAsia="Times New Roman"/>
                <w:color w:val="000000"/>
                <w:sz w:val="20"/>
                <w:lang w:eastAsia="en-US"/>
              </w:rPr>
            </w:pPr>
            <w:r w:rsidRPr="00E85915">
              <w:rPr>
                <w:color w:val="000000" w:themeColor="text1"/>
                <w:sz w:val="20"/>
              </w:rPr>
              <w:t>Audit, culture d</w:t>
            </w:r>
            <w:r w:rsidR="00BF513F" w:rsidRPr="00E85915">
              <w:rPr>
                <w:color w:val="000000" w:themeColor="text1"/>
                <w:sz w:val="20"/>
              </w:rPr>
              <w:t>’</w:t>
            </w:r>
            <w:r w:rsidRPr="00E85915">
              <w:rPr>
                <w:color w:val="000000" w:themeColor="text1"/>
                <w:sz w:val="20"/>
              </w:rPr>
              <w:t>entreprise et développement du leadership</w:t>
            </w:r>
          </w:p>
        </w:tc>
        <w:tc>
          <w:tcPr>
            <w:tcW w:w="839" w:type="pct"/>
            <w:noWrap/>
            <w:vAlign w:val="center"/>
          </w:tcPr>
          <w:p w14:paraId="70A96F49" w14:textId="49A66850" w:rsidR="00F0742C" w:rsidRPr="00E85915" w:rsidRDefault="00F0742C" w:rsidP="003A303A">
            <w:pPr>
              <w:cnfStyle w:val="000000100000" w:firstRow="0" w:lastRow="0" w:firstColumn="0" w:lastColumn="0" w:oddVBand="0" w:evenVBand="0" w:oddHBand="1" w:evenHBand="0" w:firstRowFirstColumn="0" w:firstRowLastColumn="0" w:lastRowFirstColumn="0" w:lastRowLastColumn="0"/>
              <w:rPr>
                <w:rFonts w:eastAsia="Times New Roman"/>
                <w:color w:val="000000"/>
                <w:sz w:val="20"/>
              </w:rPr>
            </w:pPr>
            <w:r w:rsidRPr="00E85915">
              <w:rPr>
                <w:color w:val="000000" w:themeColor="text1"/>
                <w:sz w:val="20"/>
              </w:rPr>
              <w:t>Tout au long de l</w:t>
            </w:r>
            <w:r w:rsidR="00BF513F" w:rsidRPr="00E85915">
              <w:rPr>
                <w:color w:val="000000" w:themeColor="text1"/>
                <w:sz w:val="20"/>
              </w:rPr>
              <w:t>’</w:t>
            </w:r>
            <w:r w:rsidRPr="00E85915">
              <w:rPr>
                <w:color w:val="000000" w:themeColor="text1"/>
                <w:sz w:val="20"/>
              </w:rPr>
              <w:t>année</w:t>
            </w:r>
          </w:p>
        </w:tc>
      </w:tr>
      <w:tr w:rsidR="00F0742C" w:rsidRPr="00E85915" w14:paraId="311075A8" w14:textId="77777777" w:rsidTr="009521C8">
        <w:trPr>
          <w:trHeight w:val="287"/>
        </w:trPr>
        <w:tc>
          <w:tcPr>
            <w:cnfStyle w:val="001000000000" w:firstRow="0" w:lastRow="0" w:firstColumn="1" w:lastColumn="0" w:oddVBand="0" w:evenVBand="0" w:oddHBand="0" w:evenHBand="0" w:firstRowFirstColumn="0" w:firstRowLastColumn="0" w:lastRowFirstColumn="0" w:lastRowLastColumn="0"/>
            <w:tcW w:w="2094" w:type="pct"/>
            <w:noWrap/>
            <w:vAlign w:val="center"/>
          </w:tcPr>
          <w:p w14:paraId="5C92CC18" w14:textId="691195F6" w:rsidR="00F0742C" w:rsidRPr="00E85915" w:rsidRDefault="00F0742C" w:rsidP="003A303A">
            <w:pPr>
              <w:rPr>
                <w:rFonts w:eastAsia="Times New Roman"/>
                <w:color w:val="000000"/>
                <w:sz w:val="20"/>
              </w:rPr>
            </w:pPr>
            <w:r w:rsidRPr="00E85915">
              <w:rPr>
                <w:b w:val="0"/>
                <w:color w:val="000000" w:themeColor="text1"/>
                <w:sz w:val="20"/>
              </w:rPr>
              <w:t>Diverses formations organisées par</w:t>
            </w:r>
            <w:r w:rsidR="00BF513F" w:rsidRPr="00E85915">
              <w:rPr>
                <w:b w:val="0"/>
                <w:color w:val="000000" w:themeColor="text1"/>
                <w:sz w:val="20"/>
              </w:rPr>
              <w:t xml:space="preserve"> la CII</w:t>
            </w:r>
            <w:r w:rsidRPr="00E85915">
              <w:rPr>
                <w:b w:val="0"/>
                <w:color w:val="000000" w:themeColor="text1"/>
                <w:sz w:val="20"/>
              </w:rPr>
              <w:t>, format hybride</w:t>
            </w:r>
          </w:p>
        </w:tc>
        <w:tc>
          <w:tcPr>
            <w:tcW w:w="2067" w:type="pct"/>
            <w:noWrap/>
            <w:vAlign w:val="center"/>
          </w:tcPr>
          <w:p w14:paraId="06ACA0C5" w14:textId="698E33E8" w:rsidR="00F0742C" w:rsidRPr="00E85915" w:rsidRDefault="00F0742C" w:rsidP="003A303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Utilisation de l</w:t>
            </w:r>
            <w:r w:rsidR="00BF513F" w:rsidRPr="00E85915">
              <w:rPr>
                <w:color w:val="000000" w:themeColor="text1"/>
                <w:sz w:val="20"/>
              </w:rPr>
              <w:t>’</w:t>
            </w:r>
            <w:r w:rsidRPr="00E85915">
              <w:rPr>
                <w:color w:val="000000" w:themeColor="text1"/>
                <w:sz w:val="20"/>
              </w:rPr>
              <w:t>IA pour les enquêtes</w:t>
            </w:r>
          </w:p>
          <w:p w14:paraId="27A05632" w14:textId="7985E0BF" w:rsidR="00F0742C" w:rsidRPr="00E85915" w:rsidRDefault="00F0742C" w:rsidP="003A303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Outils d</w:t>
            </w:r>
            <w:r w:rsidR="00BF513F" w:rsidRPr="00E85915">
              <w:rPr>
                <w:color w:val="000000" w:themeColor="text1"/>
                <w:sz w:val="20"/>
              </w:rPr>
              <w:t>’</w:t>
            </w:r>
            <w:r w:rsidRPr="00E85915">
              <w:rPr>
                <w:color w:val="000000" w:themeColor="text1"/>
                <w:sz w:val="20"/>
              </w:rPr>
              <w:t>informatique légale</w:t>
            </w:r>
          </w:p>
          <w:p w14:paraId="4D179195" w14:textId="77777777" w:rsidR="00F0742C" w:rsidRPr="00E85915" w:rsidRDefault="00F0742C" w:rsidP="003A303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Renseignements provenant de sources ouvertes</w:t>
            </w:r>
          </w:p>
          <w:p w14:paraId="1C38DDAB" w14:textId="1059E0F2" w:rsidR="00F0742C" w:rsidRPr="00E85915" w:rsidRDefault="00F0742C" w:rsidP="003A303A">
            <w:pPr>
              <w:pStyle w:val="ListParagraph"/>
              <w:numPr>
                <w:ilvl w:val="0"/>
                <w:numId w:val="11"/>
              </w:num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 xml:space="preserve">Jurisprudence des tribunaux administratifs du système des </w:t>
            </w:r>
            <w:r w:rsidR="00BF513F" w:rsidRPr="00E85915">
              <w:rPr>
                <w:color w:val="000000" w:themeColor="text1"/>
                <w:sz w:val="20"/>
              </w:rPr>
              <w:t>Nations Unies</w:t>
            </w:r>
          </w:p>
        </w:tc>
        <w:tc>
          <w:tcPr>
            <w:tcW w:w="839" w:type="pct"/>
            <w:noWrap/>
            <w:vAlign w:val="center"/>
          </w:tcPr>
          <w:p w14:paraId="4C9CA91C" w14:textId="04201AA6" w:rsidR="00F0742C" w:rsidRPr="00E85915" w:rsidRDefault="00F0742C" w:rsidP="003A303A">
            <w:pPr>
              <w:cnfStyle w:val="000000000000" w:firstRow="0" w:lastRow="0" w:firstColumn="0" w:lastColumn="0" w:oddVBand="0" w:evenVBand="0" w:oddHBand="0" w:evenHBand="0" w:firstRowFirstColumn="0" w:firstRowLastColumn="0" w:lastRowFirstColumn="0" w:lastRowLastColumn="0"/>
              <w:rPr>
                <w:rFonts w:eastAsia="Times New Roman"/>
                <w:color w:val="000000"/>
                <w:sz w:val="20"/>
              </w:rPr>
            </w:pPr>
            <w:r w:rsidRPr="00E85915">
              <w:rPr>
                <w:color w:val="000000" w:themeColor="text1"/>
                <w:sz w:val="20"/>
              </w:rPr>
              <w:t>Tout au long de l</w:t>
            </w:r>
            <w:r w:rsidR="00BF513F" w:rsidRPr="00E85915">
              <w:rPr>
                <w:color w:val="000000" w:themeColor="text1"/>
                <w:sz w:val="20"/>
              </w:rPr>
              <w:t>’</w:t>
            </w:r>
            <w:r w:rsidRPr="00E85915">
              <w:rPr>
                <w:color w:val="000000" w:themeColor="text1"/>
                <w:sz w:val="20"/>
              </w:rPr>
              <w:t>année</w:t>
            </w:r>
          </w:p>
        </w:tc>
      </w:tr>
    </w:tbl>
    <w:p w14:paraId="5F7E89BE" w14:textId="77777777" w:rsidR="00F0742C" w:rsidRPr="00E85915" w:rsidRDefault="00F0742C" w:rsidP="003A303A">
      <w:pPr>
        <w:rPr>
          <w:lang w:val="fr-FR"/>
        </w:rPr>
      </w:pPr>
    </w:p>
    <w:p w14:paraId="14772474" w14:textId="3D2775A6" w:rsidR="00F0742C" w:rsidRPr="00E85915" w:rsidRDefault="00F0742C" w:rsidP="00D83603">
      <w:pPr>
        <w:pStyle w:val="Heading1"/>
      </w:pPr>
      <w:bookmarkStart w:id="42" w:name="_Toc227321811"/>
      <w:r w:rsidRPr="00E85915">
        <w:t>PROGRAMME D</w:t>
      </w:r>
      <w:r w:rsidR="00BF513F" w:rsidRPr="00E85915">
        <w:t>’</w:t>
      </w:r>
      <w:r w:rsidRPr="00E85915">
        <w:t>ASSURANCE ET D</w:t>
      </w:r>
      <w:r w:rsidR="00BF513F" w:rsidRPr="00E85915">
        <w:t>’</w:t>
      </w:r>
      <w:r w:rsidRPr="00E85915">
        <w:t>AMÉLIORATION DE LA QUALITÉ DE LA DSI</w:t>
      </w:r>
      <w:bookmarkStart w:id="43" w:name="_Toc39071255"/>
      <w:bookmarkEnd w:id="42"/>
    </w:p>
    <w:p w14:paraId="39BE353B" w14:textId="1473451B" w:rsidR="00F0742C" w:rsidRPr="00E85915" w:rsidRDefault="00F0742C" w:rsidP="003A303A">
      <w:pPr>
        <w:pStyle w:val="ONUMFS"/>
        <w:rPr>
          <w:lang w:val="fr-FR"/>
        </w:rPr>
      </w:pPr>
      <w:r w:rsidRPr="00E85915">
        <w:rPr>
          <w:lang w:val="fr-FR"/>
        </w:rPr>
        <w:t>Le programme d</w:t>
      </w:r>
      <w:r w:rsidR="00BF513F" w:rsidRPr="00E85915">
        <w:rPr>
          <w:lang w:val="fr-FR"/>
        </w:rPr>
        <w:t>’</w:t>
      </w:r>
      <w:r w:rsidRPr="00E85915">
        <w:rPr>
          <w:lang w:val="fr-FR"/>
        </w:rPr>
        <w:t>assurance et d</w:t>
      </w:r>
      <w:r w:rsidR="00BF513F" w:rsidRPr="00E85915">
        <w:rPr>
          <w:lang w:val="fr-FR"/>
        </w:rPr>
        <w:t>’</w:t>
      </w:r>
      <w:r w:rsidRPr="00E85915">
        <w:rPr>
          <w:lang w:val="fr-FR"/>
        </w:rPr>
        <w:t>amélioration de la qualité de la DSI est destiné à fournir une garantie aux différentes parties prenantes</w:t>
      </w:r>
      <w:r w:rsidRPr="00E85915">
        <w:rPr>
          <w:vertAlign w:val="superscript"/>
          <w:lang w:val="fr-FR"/>
        </w:rPr>
        <w:footnoteReference w:id="11"/>
      </w:r>
      <w:r w:rsidRPr="00E85915">
        <w:rPr>
          <w:lang w:val="fr-FR"/>
        </w:rPr>
        <w:t xml:space="preserve"> quant au fait que les activités de supervision sont menées conformément à la Charte de la supervision interne, ainsi qu</w:t>
      </w:r>
      <w:r w:rsidR="00BF513F" w:rsidRPr="00E85915">
        <w:rPr>
          <w:lang w:val="fr-FR"/>
        </w:rPr>
        <w:t>’</w:t>
      </w:r>
      <w:r w:rsidRPr="00E85915">
        <w:rPr>
          <w:lang w:val="fr-FR"/>
        </w:rPr>
        <w:t xml:space="preserve">aux normes et pratiques professionnelles respectives de chaque fonction; </w:t>
      </w:r>
      <w:r w:rsidR="00FE72CE" w:rsidRPr="00E85915">
        <w:rPr>
          <w:lang w:val="fr-FR"/>
        </w:rPr>
        <w:t xml:space="preserve"> </w:t>
      </w:r>
      <w:r w:rsidRPr="00E85915">
        <w:rPr>
          <w:lang w:val="fr-FR"/>
        </w:rPr>
        <w:t>et que la DSI opère de manière efficace et est perçue par les parties prenantes comme un vecteur de valeur ajoutée et d</w:t>
      </w:r>
      <w:r w:rsidR="00BF513F" w:rsidRPr="00E85915">
        <w:rPr>
          <w:lang w:val="fr-FR"/>
        </w:rPr>
        <w:t>’</w:t>
      </w:r>
      <w:r w:rsidRPr="00E85915">
        <w:rPr>
          <w:lang w:val="fr-FR"/>
        </w:rPr>
        <w:t>amélioration permanen</w:t>
      </w:r>
      <w:r w:rsidR="00E85915" w:rsidRPr="00E85915">
        <w:rPr>
          <w:lang w:val="fr-FR"/>
        </w:rPr>
        <w:t>te.  Ce</w:t>
      </w:r>
      <w:r w:rsidRPr="00E85915">
        <w:rPr>
          <w:lang w:val="fr-FR"/>
        </w:rPr>
        <w:t xml:space="preserve"> programme tient compte des éléments indiqués ci</w:t>
      </w:r>
      <w:r w:rsidR="0089008D">
        <w:rPr>
          <w:lang w:val="fr-FR"/>
        </w:rPr>
        <w:noBreakHyphen/>
      </w:r>
      <w:r w:rsidRPr="00E85915">
        <w:rPr>
          <w:lang w:val="fr-FR"/>
        </w:rPr>
        <w:t>après.</w:t>
      </w:r>
    </w:p>
    <w:p w14:paraId="510CF006" w14:textId="39E077A8" w:rsidR="00F0742C" w:rsidRPr="00E85915" w:rsidRDefault="00D83603" w:rsidP="00D83603">
      <w:pPr>
        <w:pStyle w:val="Heading2"/>
      </w:pPr>
      <w:r w:rsidRPr="00E85915">
        <w:t>INDÉPENDANCE DES ACTIVITÉS DE LA</w:t>
      </w:r>
      <w:bookmarkEnd w:id="43"/>
      <w:r w:rsidRPr="00E85915">
        <w:t> DSI</w:t>
      </w:r>
    </w:p>
    <w:p w14:paraId="7860FCFA" w14:textId="7EC6F8FC" w:rsidR="00F0742C" w:rsidRPr="00E85915" w:rsidRDefault="00F0742C" w:rsidP="003A303A">
      <w:pPr>
        <w:pStyle w:val="ONUMFS"/>
        <w:rPr>
          <w:lang w:val="fr-FR"/>
        </w:rPr>
      </w:pPr>
      <w:r w:rsidRPr="00E85915">
        <w:rPr>
          <w:lang w:val="fr-FR"/>
        </w:rPr>
        <w:t>En vertu de la Charte de la supervision interne, la directrice ou le directeur de la DSI confirme l</w:t>
      </w:r>
      <w:r w:rsidR="00BF513F" w:rsidRPr="00E85915">
        <w:rPr>
          <w:lang w:val="fr-FR"/>
        </w:rPr>
        <w:t>’</w:t>
      </w:r>
      <w:r w:rsidRPr="00E85915">
        <w:rPr>
          <w:lang w:val="fr-FR"/>
        </w:rPr>
        <w:t>indépendance de la fonction de supervision interne vis</w:t>
      </w:r>
      <w:r w:rsidR="0089008D">
        <w:rPr>
          <w:lang w:val="fr-FR"/>
        </w:rPr>
        <w:noBreakHyphen/>
      </w:r>
      <w:r w:rsidRPr="00E85915">
        <w:rPr>
          <w:lang w:val="fr-FR"/>
        </w:rPr>
        <w:t>à</w:t>
      </w:r>
      <w:r w:rsidR="0089008D">
        <w:rPr>
          <w:lang w:val="fr-FR"/>
        </w:rPr>
        <w:noBreakHyphen/>
      </w:r>
      <w:r w:rsidRPr="00E85915">
        <w:rPr>
          <w:lang w:val="fr-FR"/>
        </w:rPr>
        <w:t>vis de l</w:t>
      </w:r>
      <w:r w:rsidR="00BF513F" w:rsidRPr="00E85915">
        <w:rPr>
          <w:lang w:val="fr-FR"/>
        </w:rPr>
        <w:t>’</w:t>
      </w:r>
      <w:r w:rsidRPr="00E85915">
        <w:rPr>
          <w:lang w:val="fr-FR"/>
        </w:rPr>
        <w:t>Organisation et fournit des informations sur la portée des activités de supervision interne et sur la question de savoir si les ressources sont adaptées aux objectifs visés</w:t>
      </w:r>
      <w:r w:rsidRPr="00E85915">
        <w:rPr>
          <w:rStyle w:val="FootnoteReference"/>
          <w:lang w:val="fr-FR"/>
        </w:rPr>
        <w:footnoteReference w:id="12"/>
      </w:r>
      <w:r w:rsidRPr="00E85915">
        <w:rPr>
          <w:lang w:val="fr-FR"/>
        </w:rPr>
        <w:t>.</w:t>
      </w:r>
    </w:p>
    <w:p w14:paraId="3BD60B1E" w14:textId="7C86EA60" w:rsidR="00F0742C" w:rsidRPr="00E85915" w:rsidRDefault="00F0742C" w:rsidP="003A303A">
      <w:pPr>
        <w:pStyle w:val="ONUMFS"/>
        <w:rPr>
          <w:lang w:val="fr-FR"/>
        </w:rPr>
      </w:pPr>
      <w:r w:rsidRPr="00E85915">
        <w:rPr>
          <w:lang w:val="fr-FR"/>
        </w:rPr>
        <w:t>Au cours de la période considérée, aucun cas ni aucune activité n</w:t>
      </w:r>
      <w:r w:rsidR="00BF513F" w:rsidRPr="00E85915">
        <w:rPr>
          <w:lang w:val="fr-FR"/>
        </w:rPr>
        <w:t>’</w:t>
      </w:r>
      <w:r w:rsidRPr="00E85915">
        <w:rPr>
          <w:lang w:val="fr-FR"/>
        </w:rPr>
        <w:t>ont été observés qui auraient pu mettre en péril l</w:t>
      </w:r>
      <w:r w:rsidR="00BF513F" w:rsidRPr="00E85915">
        <w:rPr>
          <w:lang w:val="fr-FR"/>
        </w:rPr>
        <w:t>’</w:t>
      </w:r>
      <w:r w:rsidRPr="00E85915">
        <w:rPr>
          <w:lang w:val="fr-FR"/>
        </w:rPr>
        <w:t>indépendance des activités de la </w:t>
      </w:r>
      <w:r w:rsidR="00E85915" w:rsidRPr="00E85915">
        <w:rPr>
          <w:lang w:val="fr-FR"/>
        </w:rPr>
        <w:t xml:space="preserve">DSI.  </w:t>
      </w:r>
      <w:bookmarkStart w:id="44" w:name="_Toc420663573"/>
      <w:r w:rsidR="00E85915" w:rsidRPr="00E85915">
        <w:rPr>
          <w:lang w:val="fr-FR"/>
        </w:rPr>
        <w:t>La</w:t>
      </w:r>
      <w:r w:rsidRPr="00E85915">
        <w:rPr>
          <w:lang w:val="fr-FR"/>
        </w:rPr>
        <w:t xml:space="preserve"> directrice de</w:t>
      </w:r>
      <w:r w:rsidR="00BF513F" w:rsidRPr="00E85915">
        <w:rPr>
          <w:lang w:val="fr-FR"/>
        </w:rPr>
        <w:t xml:space="preserve"> la DSI</w:t>
      </w:r>
      <w:r w:rsidRPr="00E85915">
        <w:rPr>
          <w:lang w:val="fr-FR"/>
        </w:rPr>
        <w:t xml:space="preserve"> l</w:t>
      </w:r>
      <w:r w:rsidR="00BF513F" w:rsidRPr="00E85915">
        <w:rPr>
          <w:lang w:val="fr-FR"/>
        </w:rPr>
        <w:t>’</w:t>
      </w:r>
      <w:r w:rsidRPr="00E85915">
        <w:rPr>
          <w:lang w:val="fr-FR"/>
        </w:rPr>
        <w:t>a officiellement confirmé à l</w:t>
      </w:r>
      <w:r w:rsidR="00BF513F" w:rsidRPr="00E85915">
        <w:rPr>
          <w:lang w:val="fr-FR"/>
        </w:rPr>
        <w:t>’</w:t>
      </w:r>
      <w:r w:rsidRPr="00E85915">
        <w:rPr>
          <w:lang w:val="fr-FR"/>
        </w:rPr>
        <w:t>OCIS à sa quatre</w:t>
      </w:r>
      <w:r w:rsidR="0089008D">
        <w:rPr>
          <w:lang w:val="fr-FR"/>
        </w:rPr>
        <w:noBreakHyphen/>
      </w:r>
      <w:r w:rsidRPr="00E85915">
        <w:rPr>
          <w:lang w:val="fr-FR"/>
        </w:rPr>
        <w:t>vingt</w:t>
      </w:r>
      <w:r w:rsidR="00BF513F" w:rsidRPr="00E85915">
        <w:rPr>
          <w:lang w:val="fr-FR"/>
        </w:rPr>
        <w:t>ième session</w:t>
      </w:r>
      <w:r w:rsidRPr="00E85915">
        <w:rPr>
          <w:lang w:val="fr-FR"/>
        </w:rPr>
        <w:t xml:space="preserve">, ainsi que lors des séances officielles et privées tenues </w:t>
      </w:r>
      <w:r w:rsidR="00BF513F" w:rsidRPr="00E85915">
        <w:rPr>
          <w:lang w:val="fr-FR"/>
        </w:rPr>
        <w:t>en 2025</w:t>
      </w:r>
      <w:r w:rsidRPr="00E85915">
        <w:rPr>
          <w:lang w:val="fr-FR"/>
        </w:rPr>
        <w:t>.</w:t>
      </w:r>
    </w:p>
    <w:p w14:paraId="1D7540F6" w14:textId="629EDC77" w:rsidR="00F0742C" w:rsidRPr="00E85915" w:rsidRDefault="00F0742C" w:rsidP="003A303A">
      <w:pPr>
        <w:pStyle w:val="ONUMFS"/>
        <w:rPr>
          <w:lang w:val="fr-FR"/>
        </w:rPr>
      </w:pPr>
      <w:r w:rsidRPr="00E85915">
        <w:rPr>
          <w:lang w:val="fr-FR"/>
        </w:rPr>
        <w:t xml:space="preserve">Pour élaborer le plan de supervision </w:t>
      </w:r>
      <w:r w:rsidR="00BF513F" w:rsidRPr="00E85915">
        <w:rPr>
          <w:lang w:val="fr-FR"/>
        </w:rPr>
        <w:t>pour 2025</w:t>
      </w:r>
      <w:r w:rsidRPr="00E85915">
        <w:rPr>
          <w:lang w:val="fr-FR"/>
        </w:rPr>
        <w:t xml:space="preserve">, les chefs de secteur, le Directeur général et les représentants des États membres se sont engagés et ont apporté leur contribution, et les </w:t>
      </w:r>
      <w:r w:rsidRPr="00E85915">
        <w:rPr>
          <w:lang w:val="fr-FR"/>
        </w:rPr>
        <w:lastRenderedPageBreak/>
        <w:t>avis de l</w:t>
      </w:r>
      <w:r w:rsidR="00BF513F" w:rsidRPr="00E85915">
        <w:rPr>
          <w:lang w:val="fr-FR"/>
        </w:rPr>
        <w:t>’</w:t>
      </w:r>
      <w:r w:rsidRPr="00E85915">
        <w:rPr>
          <w:lang w:val="fr-FR"/>
        </w:rPr>
        <w:t>OCIS ont été recueill</w:t>
      </w:r>
      <w:r w:rsidR="00E85915" w:rsidRPr="00E85915">
        <w:rPr>
          <w:lang w:val="fr-FR"/>
        </w:rPr>
        <w:t>is.  La</w:t>
      </w:r>
      <w:r w:rsidRPr="00E85915">
        <w:rPr>
          <w:lang w:val="fr-FR"/>
        </w:rPr>
        <w:t xml:space="preserve"> version finale du plan a néanmoins été déterminée par</w:t>
      </w:r>
      <w:r w:rsidR="00BF513F" w:rsidRPr="00E85915">
        <w:rPr>
          <w:lang w:val="fr-FR"/>
        </w:rPr>
        <w:t xml:space="preserve"> la DSI</w:t>
      </w:r>
      <w:r w:rsidRPr="00E85915">
        <w:rPr>
          <w:lang w:val="fr-FR"/>
        </w:rPr>
        <w:t>, compte tenu des observations reçues et de son évaluation des risques.</w:t>
      </w:r>
    </w:p>
    <w:p w14:paraId="3649E6A6" w14:textId="0D2F6615" w:rsidR="00F0742C" w:rsidRPr="00E85915" w:rsidRDefault="00F0742C" w:rsidP="003A303A">
      <w:pPr>
        <w:pStyle w:val="ONUMFS"/>
        <w:rPr>
          <w:lang w:val="fr-FR"/>
        </w:rPr>
      </w:pPr>
      <w:r w:rsidRPr="00E85915">
        <w:rPr>
          <w:lang w:val="fr-FR"/>
        </w:rPr>
        <w:t>La thématique de la disponibilité des ressources et la question de savoir si celles</w:t>
      </w:r>
      <w:r w:rsidR="0089008D">
        <w:rPr>
          <w:lang w:val="fr-FR"/>
        </w:rPr>
        <w:noBreakHyphen/>
      </w:r>
      <w:r w:rsidRPr="00E85915">
        <w:rPr>
          <w:lang w:val="fr-FR"/>
        </w:rPr>
        <w:t>ci sont adaptées aux objectifs de</w:t>
      </w:r>
      <w:r w:rsidR="00BF513F" w:rsidRPr="00E85915">
        <w:rPr>
          <w:lang w:val="fr-FR"/>
        </w:rPr>
        <w:t xml:space="preserve"> la DSI</w:t>
      </w:r>
      <w:r w:rsidRPr="00E85915">
        <w:rPr>
          <w:lang w:val="fr-FR"/>
        </w:rPr>
        <w:t xml:space="preserve"> ont été présentées et examinées chaque trimestre avec l</w:t>
      </w:r>
      <w:r w:rsidR="00BF513F" w:rsidRPr="00E85915">
        <w:rPr>
          <w:lang w:val="fr-FR"/>
        </w:rPr>
        <w:t>’</w:t>
      </w:r>
      <w:r w:rsidRPr="00E85915">
        <w:rPr>
          <w:lang w:val="fr-FR"/>
        </w:rPr>
        <w:t xml:space="preserve">OCIS, </w:t>
      </w:r>
      <w:r w:rsidR="00BF513F" w:rsidRPr="00E85915">
        <w:rPr>
          <w:lang w:val="fr-FR"/>
        </w:rPr>
        <w:t>y compris</w:t>
      </w:r>
      <w:r w:rsidRPr="00E85915">
        <w:rPr>
          <w:lang w:val="fr-FR"/>
        </w:rPr>
        <w:t xml:space="preserve"> les mesures visant à combler les lacunes, qui comprenaient la sous</w:t>
      </w:r>
      <w:r w:rsidR="0089008D">
        <w:rPr>
          <w:lang w:val="fr-FR"/>
        </w:rPr>
        <w:noBreakHyphen/>
      </w:r>
      <w:r w:rsidRPr="00E85915">
        <w:rPr>
          <w:lang w:val="fr-FR"/>
        </w:rPr>
        <w:t>traitance de certaines missions afin de bénéficier de compétences ou de ressources supplémentaires.</w:t>
      </w:r>
    </w:p>
    <w:p w14:paraId="4C223A82" w14:textId="774B5781" w:rsidR="00F0742C" w:rsidRPr="00E85915" w:rsidRDefault="00D83603" w:rsidP="00D83603">
      <w:pPr>
        <w:pStyle w:val="Heading2"/>
      </w:pPr>
      <w:r w:rsidRPr="00E85915">
        <w:t>SUIVI CONTINU ET PRINCIPAUX INDICATEURS D’EXÉCUTION</w:t>
      </w:r>
    </w:p>
    <w:p w14:paraId="582B5CA6" w14:textId="3F29BF35" w:rsidR="00F0742C" w:rsidRPr="00E85915" w:rsidRDefault="00F0742C" w:rsidP="003A303A">
      <w:pPr>
        <w:pStyle w:val="ONUMFS"/>
        <w:rPr>
          <w:lang w:val="fr-FR"/>
        </w:rPr>
      </w:pPr>
      <w:r w:rsidRPr="00E85915">
        <w:rPr>
          <w:lang w:val="fr-FR"/>
        </w:rPr>
        <w:t>Le suivi continu des activités de supervision s</w:t>
      </w:r>
      <w:r w:rsidR="00BF513F" w:rsidRPr="00E85915">
        <w:rPr>
          <w:lang w:val="fr-FR"/>
        </w:rPr>
        <w:t>’</w:t>
      </w:r>
      <w:r w:rsidRPr="00E85915">
        <w:rPr>
          <w:lang w:val="fr-FR"/>
        </w:rPr>
        <w:t>entend de la supervision, de l</w:t>
      </w:r>
      <w:r w:rsidR="00BF513F" w:rsidRPr="00E85915">
        <w:rPr>
          <w:lang w:val="fr-FR"/>
        </w:rPr>
        <w:t>’</w:t>
      </w:r>
      <w:r w:rsidRPr="00E85915">
        <w:rPr>
          <w:lang w:val="fr-FR"/>
        </w:rPr>
        <w:t>examen et de l</w:t>
      </w:r>
      <w:r w:rsidR="00BF513F" w:rsidRPr="00E85915">
        <w:rPr>
          <w:lang w:val="fr-FR"/>
        </w:rPr>
        <w:t>’</w:t>
      </w:r>
      <w:r w:rsidRPr="00E85915">
        <w:rPr>
          <w:lang w:val="fr-FR"/>
        </w:rPr>
        <w:t>évaluation au quotidien des activités de supervision, qui sont inscrits dans les politiques, les manuels et les procédures habituelles de la DSI.</w:t>
      </w:r>
    </w:p>
    <w:p w14:paraId="128E3AD4" w14:textId="3FAFC466" w:rsidR="00F0742C" w:rsidRPr="00E85915" w:rsidRDefault="00F0742C" w:rsidP="003A303A">
      <w:pPr>
        <w:pStyle w:val="ONUMFS"/>
        <w:rPr>
          <w:lang w:val="fr-FR"/>
        </w:rPr>
      </w:pPr>
      <w:r w:rsidRPr="00E85915">
        <w:rPr>
          <w:lang w:val="fr-FR"/>
        </w:rPr>
        <w:t>Les indicateurs d</w:t>
      </w:r>
      <w:r w:rsidR="00BF513F" w:rsidRPr="00E85915">
        <w:rPr>
          <w:lang w:val="fr-FR"/>
        </w:rPr>
        <w:t>’</w:t>
      </w:r>
      <w:r w:rsidRPr="00E85915">
        <w:rPr>
          <w:lang w:val="fr-FR"/>
        </w:rPr>
        <w:t>exécution établis mesurent l</w:t>
      </w:r>
      <w:r w:rsidR="00BF513F" w:rsidRPr="00E85915">
        <w:rPr>
          <w:lang w:val="fr-FR"/>
        </w:rPr>
        <w:t>’</w:t>
      </w:r>
      <w:r w:rsidRPr="00E85915">
        <w:rPr>
          <w:lang w:val="fr-FR"/>
        </w:rPr>
        <w:t>efficacité, la rationalité et la pertinence des activités de supervisi</w:t>
      </w:r>
      <w:r w:rsidR="00E85915" w:rsidRPr="00E85915">
        <w:rPr>
          <w:lang w:val="fr-FR"/>
        </w:rPr>
        <w:t>on.  Il</w:t>
      </w:r>
      <w:r w:rsidRPr="00E85915">
        <w:rPr>
          <w:lang w:val="fr-FR"/>
        </w:rPr>
        <w:t xml:space="preserve"> s</w:t>
      </w:r>
      <w:r w:rsidR="00BF513F" w:rsidRPr="00E85915">
        <w:rPr>
          <w:lang w:val="fr-FR"/>
        </w:rPr>
        <w:t>’</w:t>
      </w:r>
      <w:r w:rsidRPr="00E85915">
        <w:rPr>
          <w:lang w:val="fr-FR"/>
        </w:rPr>
        <w:t>agit notamment du délai moyen pour mener à bien les missions, et du niveau d</w:t>
      </w:r>
      <w:r w:rsidR="00BF513F" w:rsidRPr="00E85915">
        <w:rPr>
          <w:lang w:val="fr-FR"/>
        </w:rPr>
        <w:t>’</w:t>
      </w:r>
      <w:r w:rsidRPr="00E85915">
        <w:rPr>
          <w:lang w:val="fr-FR"/>
        </w:rPr>
        <w:t>acceptation et de pertinence des recommandatio</w:t>
      </w:r>
      <w:r w:rsidR="00E85915" w:rsidRPr="00E85915">
        <w:rPr>
          <w:lang w:val="fr-FR"/>
        </w:rPr>
        <w:t>ns.  Le</w:t>
      </w:r>
      <w:r w:rsidRPr="00E85915">
        <w:rPr>
          <w:lang w:val="fr-FR"/>
        </w:rPr>
        <w:t xml:space="preserve"> tableau ci</w:t>
      </w:r>
      <w:r w:rsidR="0089008D">
        <w:rPr>
          <w:lang w:val="fr-FR"/>
        </w:rPr>
        <w:noBreakHyphen/>
      </w:r>
      <w:r w:rsidRPr="00E85915">
        <w:rPr>
          <w:lang w:val="fr-FR"/>
        </w:rPr>
        <w:t>dessous résume les résultats.</w:t>
      </w:r>
    </w:p>
    <w:p w14:paraId="7573876B" w14:textId="400D6816" w:rsidR="00F0742C" w:rsidRPr="00D83603" w:rsidRDefault="00F0742C" w:rsidP="00D83603">
      <w:pPr>
        <w:keepNext/>
        <w:spacing w:after="240"/>
        <w:jc w:val="center"/>
        <w:rPr>
          <w:b/>
          <w:bCs/>
          <w:lang w:val="fr-FR"/>
        </w:rPr>
      </w:pPr>
      <w:r w:rsidRPr="00D83603">
        <w:rPr>
          <w:b/>
          <w:bCs/>
          <w:lang w:val="fr-FR"/>
        </w:rPr>
        <w:t xml:space="preserve">Tableau 6 </w:t>
      </w:r>
      <w:r w:rsidR="00B91586" w:rsidRPr="00D83603">
        <w:rPr>
          <w:b/>
          <w:bCs/>
          <w:lang w:val="fr-FR"/>
        </w:rPr>
        <w:t>–</w:t>
      </w:r>
      <w:r w:rsidRPr="00D83603">
        <w:rPr>
          <w:b/>
          <w:bCs/>
          <w:lang w:val="fr-FR"/>
        </w:rPr>
        <w:t xml:space="preserve"> Indicateurs d</w:t>
      </w:r>
      <w:r w:rsidR="00BF513F" w:rsidRPr="00D83603">
        <w:rPr>
          <w:b/>
          <w:bCs/>
          <w:lang w:val="fr-FR"/>
        </w:rPr>
        <w:t>’</w:t>
      </w:r>
      <w:r w:rsidRPr="00D83603">
        <w:rPr>
          <w:b/>
          <w:bCs/>
          <w:lang w:val="fr-FR"/>
        </w:rPr>
        <w:t>exécution de</w:t>
      </w:r>
      <w:r w:rsidR="00BF513F" w:rsidRPr="00D83603">
        <w:rPr>
          <w:b/>
          <w:bCs/>
          <w:lang w:val="fr-FR"/>
        </w:rPr>
        <w:t xml:space="preserve"> la DSI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au 6 – Indicateurs d’exécution de la DSI"/>
        <w:tblDescription w:val="Tableau résumant les indicateurs d’exécution de laDivision de la supervision interne et résultats pour 2024 et 2025."/>
      </w:tblPr>
      <w:tblGrid>
        <w:gridCol w:w="2065"/>
        <w:gridCol w:w="2970"/>
        <w:gridCol w:w="2250"/>
        <w:gridCol w:w="2060"/>
      </w:tblGrid>
      <w:tr w:rsidR="00F0742C" w:rsidRPr="00E85915" w14:paraId="21FB998E" w14:textId="77777777" w:rsidTr="009521C8">
        <w:trPr>
          <w:trHeight w:val="324"/>
        </w:trPr>
        <w:tc>
          <w:tcPr>
            <w:tcW w:w="1105" w:type="pct"/>
            <w:shd w:val="clear" w:color="auto" w:fill="244061" w:themeFill="accent1" w:themeFillShade="80"/>
            <w:noWrap/>
            <w:hideMark/>
          </w:tcPr>
          <w:p w14:paraId="7B865A5C" w14:textId="044C2915" w:rsidR="00F0742C" w:rsidRPr="00E85915" w:rsidRDefault="00F0742C" w:rsidP="003A303A">
            <w:pPr>
              <w:rPr>
                <w:rFonts w:eastAsia="Times New Roman"/>
                <w:b/>
                <w:color w:val="FFFFFF" w:themeColor="background1"/>
                <w:sz w:val="18"/>
                <w:szCs w:val="18"/>
                <w:lang w:val="fr-FR"/>
              </w:rPr>
            </w:pPr>
            <w:r w:rsidRPr="00E85915">
              <w:rPr>
                <w:b/>
                <w:color w:val="FFFFFF" w:themeColor="background1"/>
                <w:sz w:val="18"/>
                <w:lang w:val="fr-FR"/>
              </w:rPr>
              <w:t>Indicateur d</w:t>
            </w:r>
            <w:r w:rsidR="00BF513F" w:rsidRPr="00E85915">
              <w:rPr>
                <w:b/>
                <w:color w:val="FFFFFF" w:themeColor="background1"/>
                <w:sz w:val="18"/>
                <w:lang w:val="fr-FR"/>
              </w:rPr>
              <w:t>’</w:t>
            </w:r>
            <w:r w:rsidRPr="00E85915">
              <w:rPr>
                <w:b/>
                <w:color w:val="FFFFFF" w:themeColor="background1"/>
                <w:sz w:val="18"/>
                <w:lang w:val="fr-FR"/>
              </w:rPr>
              <w:t>exécution</w:t>
            </w:r>
          </w:p>
        </w:tc>
        <w:tc>
          <w:tcPr>
            <w:tcW w:w="1589" w:type="pct"/>
            <w:shd w:val="clear" w:color="auto" w:fill="244061" w:themeFill="accent1" w:themeFillShade="80"/>
          </w:tcPr>
          <w:p w14:paraId="6C4567B1" w14:textId="79FA7069" w:rsidR="00F0742C" w:rsidRPr="00E85915" w:rsidRDefault="00F0742C" w:rsidP="003A303A">
            <w:pPr>
              <w:jc w:val="center"/>
              <w:rPr>
                <w:rFonts w:eastAsia="Times New Roman"/>
                <w:b/>
                <w:bCs/>
                <w:color w:val="FFFFFF" w:themeColor="background1"/>
                <w:sz w:val="18"/>
                <w:szCs w:val="18"/>
                <w:lang w:val="fr-FR"/>
              </w:rPr>
            </w:pPr>
            <w:r w:rsidRPr="00E85915">
              <w:rPr>
                <w:b/>
                <w:color w:val="FFFFFF" w:themeColor="background1"/>
                <w:sz w:val="18"/>
                <w:lang w:val="fr-FR"/>
              </w:rPr>
              <w:t>Indicateur d</w:t>
            </w:r>
            <w:r w:rsidR="00BF513F" w:rsidRPr="00E85915">
              <w:rPr>
                <w:b/>
                <w:color w:val="FFFFFF" w:themeColor="background1"/>
                <w:sz w:val="18"/>
                <w:lang w:val="fr-FR"/>
              </w:rPr>
              <w:t>’</w:t>
            </w:r>
            <w:r w:rsidRPr="00E85915">
              <w:rPr>
                <w:b/>
                <w:color w:val="FFFFFF" w:themeColor="background1"/>
                <w:sz w:val="18"/>
                <w:lang w:val="fr-FR"/>
              </w:rPr>
              <w:t>exécution</w:t>
            </w:r>
          </w:p>
        </w:tc>
        <w:tc>
          <w:tcPr>
            <w:tcW w:w="1204" w:type="pct"/>
            <w:shd w:val="clear" w:color="auto" w:fill="244061" w:themeFill="accent1" w:themeFillShade="80"/>
          </w:tcPr>
          <w:p w14:paraId="3DA7DD46" w14:textId="77777777" w:rsidR="00F0742C" w:rsidRPr="00E85915" w:rsidRDefault="00F0742C" w:rsidP="003A303A">
            <w:pPr>
              <w:jc w:val="center"/>
              <w:rPr>
                <w:rFonts w:eastAsia="Times New Roman"/>
                <w:b/>
                <w:color w:val="FFFFFF" w:themeColor="background1"/>
                <w:sz w:val="18"/>
                <w:szCs w:val="18"/>
                <w:lang w:val="fr-FR"/>
              </w:rPr>
            </w:pPr>
            <w:r w:rsidRPr="00E85915">
              <w:rPr>
                <w:b/>
                <w:color w:val="FFFFFF" w:themeColor="background1"/>
                <w:sz w:val="18"/>
                <w:lang w:val="fr-FR"/>
              </w:rPr>
              <w:t>Résultats 2024</w:t>
            </w:r>
          </w:p>
        </w:tc>
        <w:tc>
          <w:tcPr>
            <w:tcW w:w="1102" w:type="pct"/>
            <w:shd w:val="clear" w:color="auto" w:fill="244061" w:themeFill="accent1" w:themeFillShade="80"/>
            <w:noWrap/>
            <w:hideMark/>
          </w:tcPr>
          <w:p w14:paraId="6BE09687" w14:textId="77777777" w:rsidR="00F0742C" w:rsidRPr="00E85915" w:rsidRDefault="00F0742C" w:rsidP="003A303A">
            <w:pPr>
              <w:jc w:val="center"/>
              <w:rPr>
                <w:rFonts w:eastAsia="Times New Roman"/>
                <w:b/>
                <w:color w:val="FFFFFF" w:themeColor="background1"/>
                <w:sz w:val="18"/>
                <w:szCs w:val="18"/>
                <w:lang w:val="fr-FR"/>
              </w:rPr>
            </w:pPr>
            <w:r w:rsidRPr="00E85915">
              <w:rPr>
                <w:b/>
                <w:color w:val="FFFFFF" w:themeColor="background1"/>
                <w:sz w:val="18"/>
                <w:lang w:val="fr-FR"/>
              </w:rPr>
              <w:t>Résultats 2025</w:t>
            </w:r>
          </w:p>
        </w:tc>
      </w:tr>
      <w:tr w:rsidR="00F0742C" w:rsidRPr="00E85915" w14:paraId="764A2AE7" w14:textId="77777777" w:rsidTr="009521C8">
        <w:trPr>
          <w:trHeight w:val="416"/>
        </w:trPr>
        <w:tc>
          <w:tcPr>
            <w:tcW w:w="1105" w:type="pct"/>
            <w:vAlign w:val="center"/>
            <w:hideMark/>
          </w:tcPr>
          <w:p w14:paraId="4C3E8E43" w14:textId="77777777" w:rsidR="00F0742C" w:rsidRPr="00E85915" w:rsidRDefault="00F0742C" w:rsidP="003A303A">
            <w:pPr>
              <w:rPr>
                <w:rFonts w:eastAsia="Times New Roman"/>
                <w:color w:val="000000"/>
                <w:sz w:val="18"/>
                <w:szCs w:val="18"/>
                <w:lang w:val="fr-FR"/>
              </w:rPr>
            </w:pPr>
            <w:r w:rsidRPr="00E85915">
              <w:rPr>
                <w:color w:val="000000"/>
                <w:sz w:val="18"/>
                <w:lang w:val="fr-FR"/>
              </w:rPr>
              <w:t>Aucune interférence et indépendance perçue par les principales parties prenantes</w:t>
            </w:r>
          </w:p>
        </w:tc>
        <w:tc>
          <w:tcPr>
            <w:tcW w:w="1589" w:type="pct"/>
            <w:vAlign w:val="center"/>
          </w:tcPr>
          <w:p w14:paraId="16E48A97" w14:textId="77777777" w:rsidR="00F0742C" w:rsidRPr="00E85915" w:rsidRDefault="00F0742C" w:rsidP="003A303A">
            <w:pPr>
              <w:rPr>
                <w:rFonts w:eastAsia="Times New Roman"/>
                <w:color w:val="000000"/>
                <w:sz w:val="18"/>
                <w:szCs w:val="18"/>
                <w:lang w:val="fr-FR"/>
              </w:rPr>
            </w:pPr>
            <w:r w:rsidRPr="00E85915">
              <w:rPr>
                <w:color w:val="000000"/>
                <w:sz w:val="18"/>
                <w:lang w:val="fr-FR"/>
              </w:rPr>
              <w:t>Aucune interférence</w:t>
            </w:r>
          </w:p>
        </w:tc>
        <w:tc>
          <w:tcPr>
            <w:tcW w:w="1204" w:type="pct"/>
            <w:vAlign w:val="center"/>
          </w:tcPr>
          <w:p w14:paraId="58A58C0F" w14:textId="77777777" w:rsidR="00F0742C" w:rsidRPr="00E85915" w:rsidRDefault="00F0742C" w:rsidP="003A303A">
            <w:pPr>
              <w:rPr>
                <w:rFonts w:eastAsia="Times New Roman"/>
                <w:color w:val="000000"/>
                <w:sz w:val="18"/>
                <w:szCs w:val="18"/>
                <w:lang w:val="fr-FR"/>
              </w:rPr>
            </w:pPr>
            <w:r w:rsidRPr="00E85915">
              <w:rPr>
                <w:color w:val="000000" w:themeColor="text1"/>
                <w:sz w:val="18"/>
                <w:lang w:val="fr-FR"/>
              </w:rPr>
              <w:t>Aucune interférence observée au cours de la période</w:t>
            </w:r>
          </w:p>
        </w:tc>
        <w:tc>
          <w:tcPr>
            <w:tcW w:w="1102" w:type="pct"/>
            <w:noWrap/>
            <w:vAlign w:val="center"/>
          </w:tcPr>
          <w:p w14:paraId="61FB070B" w14:textId="77777777" w:rsidR="00F0742C" w:rsidRPr="00E85915" w:rsidRDefault="00F0742C" w:rsidP="003A303A">
            <w:pPr>
              <w:rPr>
                <w:rFonts w:eastAsia="Times New Roman"/>
                <w:color w:val="000000"/>
                <w:sz w:val="18"/>
                <w:szCs w:val="18"/>
                <w:lang w:val="fr-FR"/>
              </w:rPr>
            </w:pPr>
            <w:r w:rsidRPr="00E85915">
              <w:rPr>
                <w:color w:val="000000" w:themeColor="text1"/>
                <w:sz w:val="18"/>
                <w:lang w:val="fr-FR"/>
              </w:rPr>
              <w:t>Aucune interférence observée au cours de la période</w:t>
            </w:r>
          </w:p>
        </w:tc>
      </w:tr>
      <w:tr w:rsidR="00F0742C" w:rsidRPr="00E85915" w14:paraId="04E1AD1A" w14:textId="77777777" w:rsidTr="009521C8">
        <w:trPr>
          <w:trHeight w:val="295"/>
        </w:trPr>
        <w:tc>
          <w:tcPr>
            <w:tcW w:w="1105" w:type="pct"/>
            <w:vMerge w:val="restart"/>
            <w:vAlign w:val="center"/>
            <w:hideMark/>
          </w:tcPr>
          <w:p w14:paraId="165CCE11" w14:textId="77777777" w:rsidR="00F0742C" w:rsidRPr="00E85915" w:rsidRDefault="00F0742C" w:rsidP="003A303A">
            <w:pPr>
              <w:rPr>
                <w:rFonts w:eastAsia="Times New Roman"/>
                <w:color w:val="000000"/>
                <w:sz w:val="18"/>
                <w:szCs w:val="18"/>
                <w:lang w:val="fr-FR"/>
              </w:rPr>
            </w:pPr>
            <w:r w:rsidRPr="00E85915">
              <w:rPr>
                <w:color w:val="000000" w:themeColor="text1"/>
                <w:sz w:val="18"/>
                <w:lang w:val="fr-FR"/>
              </w:rPr>
              <w:t>Délai moyen pour mener à bien les missions</w:t>
            </w:r>
          </w:p>
        </w:tc>
        <w:tc>
          <w:tcPr>
            <w:tcW w:w="1589" w:type="pct"/>
            <w:vAlign w:val="center"/>
          </w:tcPr>
          <w:p w14:paraId="015A1641" w14:textId="7754F003" w:rsidR="00F0742C" w:rsidRPr="00E85915" w:rsidRDefault="00F0742C" w:rsidP="003A303A">
            <w:pPr>
              <w:rPr>
                <w:rFonts w:eastAsia="Times New Roman"/>
                <w:sz w:val="18"/>
                <w:szCs w:val="18"/>
                <w:lang w:val="fr-FR"/>
              </w:rPr>
            </w:pPr>
            <w:r w:rsidRPr="00E85915">
              <w:rPr>
                <w:sz w:val="18"/>
                <w:lang w:val="fr-FR"/>
              </w:rPr>
              <w:t>Audit interne</w:t>
            </w:r>
            <w:r w:rsidR="00BF513F" w:rsidRPr="00E85915">
              <w:rPr>
                <w:sz w:val="18"/>
                <w:lang w:val="fr-FR"/>
              </w:rPr>
              <w:t> :</w:t>
            </w:r>
            <w:r w:rsidRPr="00E85915">
              <w:rPr>
                <w:sz w:val="18"/>
                <w:lang w:val="fr-FR"/>
              </w:rPr>
              <w:t xml:space="preserve"> 4,5 mois</w:t>
            </w:r>
          </w:p>
        </w:tc>
        <w:tc>
          <w:tcPr>
            <w:tcW w:w="1204" w:type="pct"/>
            <w:vAlign w:val="center"/>
          </w:tcPr>
          <w:p w14:paraId="7814784D" w14:textId="77777777" w:rsidR="00F0742C" w:rsidRPr="00E85915" w:rsidRDefault="00F0742C" w:rsidP="003A303A">
            <w:pPr>
              <w:rPr>
                <w:rFonts w:eastAsia="Times New Roman"/>
                <w:color w:val="000000"/>
                <w:sz w:val="18"/>
                <w:szCs w:val="18"/>
                <w:lang w:val="fr-FR"/>
              </w:rPr>
            </w:pPr>
            <w:r w:rsidRPr="00E85915">
              <w:rPr>
                <w:color w:val="000000"/>
                <w:sz w:val="18"/>
                <w:lang w:val="fr-FR"/>
              </w:rPr>
              <w:t>3,2 mois</w:t>
            </w:r>
            <w:r w:rsidRPr="00E85915">
              <w:rPr>
                <w:sz w:val="18"/>
                <w:lang w:val="fr-FR"/>
              </w:rPr>
              <w:t xml:space="preserve"> </w:t>
            </w:r>
          </w:p>
        </w:tc>
        <w:tc>
          <w:tcPr>
            <w:tcW w:w="1102" w:type="pct"/>
            <w:noWrap/>
            <w:vAlign w:val="center"/>
            <w:hideMark/>
          </w:tcPr>
          <w:p w14:paraId="4458271F" w14:textId="77777777" w:rsidR="00F0742C" w:rsidRPr="00E85915" w:rsidRDefault="00F0742C" w:rsidP="003A303A">
            <w:pPr>
              <w:rPr>
                <w:rFonts w:eastAsia="Times New Roman"/>
                <w:sz w:val="18"/>
                <w:szCs w:val="18"/>
                <w:lang w:val="fr-FR"/>
              </w:rPr>
            </w:pPr>
            <w:r w:rsidRPr="00E85915">
              <w:rPr>
                <w:sz w:val="18"/>
                <w:lang w:val="fr-FR"/>
              </w:rPr>
              <w:t>3,2 mois</w:t>
            </w:r>
          </w:p>
        </w:tc>
      </w:tr>
      <w:tr w:rsidR="00F0742C" w:rsidRPr="00E85915" w14:paraId="3E6EC19A" w14:textId="77777777" w:rsidTr="009521C8">
        <w:trPr>
          <w:trHeight w:val="262"/>
        </w:trPr>
        <w:tc>
          <w:tcPr>
            <w:tcW w:w="1105" w:type="pct"/>
            <w:vMerge/>
            <w:vAlign w:val="center"/>
            <w:hideMark/>
          </w:tcPr>
          <w:p w14:paraId="60BA73F1" w14:textId="77777777" w:rsidR="00F0742C" w:rsidRPr="00E85915" w:rsidRDefault="00F0742C" w:rsidP="003A303A">
            <w:pPr>
              <w:rPr>
                <w:rFonts w:eastAsia="Times New Roman"/>
                <w:color w:val="000000"/>
                <w:sz w:val="18"/>
                <w:szCs w:val="18"/>
                <w:lang w:val="fr-FR" w:eastAsia="en-US"/>
              </w:rPr>
            </w:pPr>
          </w:p>
        </w:tc>
        <w:tc>
          <w:tcPr>
            <w:tcW w:w="1589" w:type="pct"/>
            <w:vAlign w:val="center"/>
          </w:tcPr>
          <w:p w14:paraId="6BFED8E9" w14:textId="6744E842" w:rsidR="00F0742C" w:rsidRPr="00E85915" w:rsidRDefault="00F0742C" w:rsidP="003A303A">
            <w:pPr>
              <w:rPr>
                <w:rFonts w:eastAsia="Times New Roman"/>
                <w:sz w:val="18"/>
                <w:szCs w:val="18"/>
                <w:lang w:val="fr-FR"/>
              </w:rPr>
            </w:pPr>
            <w:r w:rsidRPr="00E85915">
              <w:rPr>
                <w:sz w:val="18"/>
                <w:lang w:val="fr-FR"/>
              </w:rPr>
              <w:t>Évaluations</w:t>
            </w:r>
            <w:r w:rsidR="00BF513F" w:rsidRPr="00E85915">
              <w:rPr>
                <w:sz w:val="18"/>
                <w:lang w:val="fr-FR"/>
              </w:rPr>
              <w:t> :</w:t>
            </w:r>
            <w:r w:rsidRPr="00E85915">
              <w:rPr>
                <w:sz w:val="18"/>
                <w:lang w:val="fr-FR"/>
              </w:rPr>
              <w:t xml:space="preserve"> </w:t>
            </w:r>
            <w:r w:rsidR="00D83603">
              <w:rPr>
                <w:sz w:val="18"/>
                <w:lang w:val="fr-FR"/>
              </w:rPr>
              <w:t>6</w:t>
            </w:r>
            <w:r w:rsidRPr="00E85915">
              <w:rPr>
                <w:sz w:val="18"/>
                <w:lang w:val="fr-FR"/>
              </w:rPr>
              <w:t> mois</w:t>
            </w:r>
          </w:p>
          <w:p w14:paraId="2AD46638" w14:textId="77777777" w:rsidR="00F0742C" w:rsidRPr="00E85915" w:rsidRDefault="00F0742C" w:rsidP="003A303A">
            <w:pPr>
              <w:rPr>
                <w:rFonts w:eastAsia="Times New Roman"/>
                <w:sz w:val="18"/>
                <w:szCs w:val="18"/>
                <w:lang w:val="fr-FR" w:eastAsia="en-US"/>
              </w:rPr>
            </w:pPr>
          </w:p>
          <w:p w14:paraId="31624AAF" w14:textId="77777777" w:rsidR="00F0742C" w:rsidRPr="00E85915" w:rsidRDefault="00F0742C" w:rsidP="003A303A">
            <w:pPr>
              <w:rPr>
                <w:rFonts w:eastAsia="Times New Roman"/>
                <w:sz w:val="18"/>
                <w:szCs w:val="18"/>
                <w:lang w:val="fr-FR" w:eastAsia="en-US"/>
              </w:rPr>
            </w:pPr>
          </w:p>
          <w:p w14:paraId="22D7FB56" w14:textId="77777777" w:rsidR="00F0742C" w:rsidRPr="00E85915" w:rsidRDefault="00F0742C" w:rsidP="003A303A">
            <w:pPr>
              <w:rPr>
                <w:rFonts w:eastAsia="Times New Roman"/>
                <w:sz w:val="18"/>
                <w:szCs w:val="18"/>
                <w:lang w:val="fr-FR"/>
              </w:rPr>
            </w:pPr>
            <w:r w:rsidRPr="00E85915">
              <w:rPr>
                <w:sz w:val="18"/>
                <w:lang w:val="fr-FR"/>
              </w:rPr>
              <w:t>Examens préliminaires</w:t>
            </w:r>
          </w:p>
        </w:tc>
        <w:tc>
          <w:tcPr>
            <w:tcW w:w="1204" w:type="pct"/>
            <w:vAlign w:val="center"/>
          </w:tcPr>
          <w:p w14:paraId="303A3C85" w14:textId="77777777" w:rsidR="00BF513F" w:rsidRPr="00E85915" w:rsidRDefault="00F0742C" w:rsidP="003A303A">
            <w:pPr>
              <w:rPr>
                <w:sz w:val="18"/>
                <w:lang w:val="fr-FR"/>
              </w:rPr>
            </w:pPr>
            <w:r w:rsidRPr="00E85915">
              <w:rPr>
                <w:sz w:val="18"/>
                <w:lang w:val="fr-FR"/>
              </w:rPr>
              <w:t>13,4 mois</w:t>
            </w:r>
          </w:p>
          <w:p w14:paraId="55642C76" w14:textId="7463B596" w:rsidR="00F0742C" w:rsidRPr="00E85915" w:rsidRDefault="00F0742C" w:rsidP="003A303A">
            <w:pPr>
              <w:rPr>
                <w:rFonts w:eastAsia="Times New Roman"/>
                <w:sz w:val="18"/>
                <w:szCs w:val="18"/>
                <w:lang w:val="fr-FR" w:eastAsia="en-US"/>
              </w:rPr>
            </w:pPr>
          </w:p>
          <w:p w14:paraId="7F0A96AF" w14:textId="77777777" w:rsidR="00F0742C" w:rsidRPr="00E85915" w:rsidRDefault="00F0742C" w:rsidP="003A303A">
            <w:pPr>
              <w:rPr>
                <w:rFonts w:eastAsia="Times New Roman"/>
                <w:sz w:val="18"/>
                <w:szCs w:val="18"/>
                <w:lang w:val="fr-FR" w:eastAsia="en-US"/>
              </w:rPr>
            </w:pPr>
          </w:p>
          <w:p w14:paraId="5443C663" w14:textId="1540C894" w:rsidR="00F0742C" w:rsidRPr="00E85915" w:rsidRDefault="00D83603" w:rsidP="003A303A">
            <w:pPr>
              <w:rPr>
                <w:rFonts w:eastAsia="Times New Roman"/>
                <w:sz w:val="18"/>
                <w:szCs w:val="18"/>
                <w:lang w:val="fr-FR"/>
              </w:rPr>
            </w:pPr>
            <w:r>
              <w:rPr>
                <w:sz w:val="18"/>
                <w:lang w:val="fr-FR"/>
              </w:rPr>
              <w:t>4</w:t>
            </w:r>
            <w:r w:rsidR="00F0742C" w:rsidRPr="00E85915">
              <w:rPr>
                <w:sz w:val="18"/>
                <w:lang w:val="fr-FR"/>
              </w:rPr>
              <w:t xml:space="preserve"> mois</w:t>
            </w:r>
          </w:p>
        </w:tc>
        <w:tc>
          <w:tcPr>
            <w:tcW w:w="1102" w:type="pct"/>
            <w:noWrap/>
            <w:vAlign w:val="center"/>
            <w:hideMark/>
          </w:tcPr>
          <w:p w14:paraId="471EA5E5" w14:textId="19F1054F" w:rsidR="00F0742C" w:rsidRPr="00E85915" w:rsidRDefault="00F0742C" w:rsidP="003A303A">
            <w:pPr>
              <w:rPr>
                <w:rFonts w:eastAsia="Times New Roman"/>
                <w:sz w:val="18"/>
                <w:szCs w:val="18"/>
                <w:lang w:val="fr-FR"/>
              </w:rPr>
            </w:pPr>
            <w:r w:rsidRPr="00E85915">
              <w:rPr>
                <w:sz w:val="18"/>
                <w:lang w:val="fr-FR"/>
              </w:rPr>
              <w:t xml:space="preserve">Aucune évaluation complète </w:t>
            </w:r>
            <w:r w:rsidR="00BF513F" w:rsidRPr="00E85915">
              <w:rPr>
                <w:sz w:val="18"/>
                <w:lang w:val="fr-FR"/>
              </w:rPr>
              <w:t>en 2025</w:t>
            </w:r>
          </w:p>
          <w:p w14:paraId="7DCF2B8A" w14:textId="77777777" w:rsidR="00F0742C" w:rsidRPr="00E85915" w:rsidRDefault="00F0742C" w:rsidP="003A303A">
            <w:pPr>
              <w:rPr>
                <w:rFonts w:eastAsia="Times New Roman"/>
                <w:sz w:val="18"/>
                <w:szCs w:val="18"/>
                <w:lang w:val="fr-FR" w:eastAsia="en-US"/>
              </w:rPr>
            </w:pPr>
          </w:p>
          <w:p w14:paraId="0FC635D0" w14:textId="77777777" w:rsidR="00F0742C" w:rsidRPr="00E85915" w:rsidRDefault="00F0742C" w:rsidP="003A303A">
            <w:pPr>
              <w:rPr>
                <w:rFonts w:eastAsia="Times New Roman"/>
                <w:sz w:val="18"/>
                <w:szCs w:val="18"/>
                <w:lang w:val="fr-FR"/>
              </w:rPr>
            </w:pPr>
            <w:r w:rsidRPr="00E85915">
              <w:rPr>
                <w:sz w:val="18"/>
                <w:lang w:val="fr-FR"/>
              </w:rPr>
              <w:t>3,7 mois</w:t>
            </w:r>
          </w:p>
          <w:p w14:paraId="420B1699" w14:textId="77777777" w:rsidR="00F0742C" w:rsidRPr="00E85915" w:rsidRDefault="00F0742C" w:rsidP="003A303A">
            <w:pPr>
              <w:rPr>
                <w:rFonts w:eastAsia="Times New Roman"/>
                <w:sz w:val="18"/>
                <w:szCs w:val="18"/>
                <w:lang w:val="fr-FR" w:eastAsia="en-US"/>
              </w:rPr>
            </w:pPr>
          </w:p>
        </w:tc>
      </w:tr>
      <w:tr w:rsidR="00F0742C" w:rsidRPr="00E85915" w14:paraId="36F57C7F" w14:textId="77777777" w:rsidTr="009521C8">
        <w:trPr>
          <w:trHeight w:val="262"/>
        </w:trPr>
        <w:tc>
          <w:tcPr>
            <w:tcW w:w="1105" w:type="pct"/>
            <w:vMerge/>
            <w:vAlign w:val="center"/>
            <w:hideMark/>
          </w:tcPr>
          <w:p w14:paraId="3A05F881" w14:textId="77777777" w:rsidR="00F0742C" w:rsidRPr="00E85915" w:rsidRDefault="00F0742C" w:rsidP="003A303A">
            <w:pPr>
              <w:rPr>
                <w:rFonts w:eastAsia="Times New Roman"/>
                <w:color w:val="000000"/>
                <w:sz w:val="18"/>
                <w:szCs w:val="18"/>
                <w:lang w:val="fr-FR" w:eastAsia="en-US"/>
              </w:rPr>
            </w:pPr>
          </w:p>
        </w:tc>
        <w:tc>
          <w:tcPr>
            <w:tcW w:w="1589" w:type="pct"/>
            <w:vAlign w:val="center"/>
          </w:tcPr>
          <w:p w14:paraId="121B3240" w14:textId="6BA74867" w:rsidR="00F0742C" w:rsidRPr="00E85915" w:rsidRDefault="00F0742C" w:rsidP="003A303A">
            <w:pPr>
              <w:rPr>
                <w:rFonts w:eastAsia="Times New Roman"/>
                <w:sz w:val="18"/>
                <w:szCs w:val="18"/>
                <w:lang w:val="fr-FR"/>
              </w:rPr>
            </w:pPr>
            <w:r w:rsidRPr="00E85915">
              <w:rPr>
                <w:sz w:val="18"/>
                <w:lang w:val="fr-FR"/>
              </w:rPr>
              <w:t>Enquêtes</w:t>
            </w:r>
            <w:r w:rsidR="00BF513F" w:rsidRPr="00E85915">
              <w:rPr>
                <w:sz w:val="18"/>
                <w:lang w:val="fr-FR"/>
              </w:rPr>
              <w:t> :</w:t>
            </w:r>
            <w:r w:rsidRPr="00E85915">
              <w:rPr>
                <w:sz w:val="18"/>
                <w:lang w:val="fr-FR"/>
              </w:rPr>
              <w:t xml:space="preserve"> </w:t>
            </w:r>
            <w:r w:rsidR="00D83603">
              <w:rPr>
                <w:sz w:val="18"/>
                <w:lang w:val="fr-FR"/>
              </w:rPr>
              <w:t>6</w:t>
            </w:r>
            <w:r w:rsidRPr="00E85915">
              <w:rPr>
                <w:sz w:val="18"/>
                <w:lang w:val="fr-FR"/>
              </w:rPr>
              <w:t> mois</w:t>
            </w:r>
          </w:p>
          <w:p w14:paraId="38637C5F" w14:textId="22451F92" w:rsidR="00F0742C" w:rsidRPr="00E85915" w:rsidRDefault="0089008D" w:rsidP="003A303A">
            <w:pPr>
              <w:rPr>
                <w:rFonts w:eastAsia="Times New Roman"/>
                <w:sz w:val="18"/>
                <w:szCs w:val="18"/>
                <w:lang w:val="fr-FR"/>
              </w:rPr>
            </w:pPr>
            <w:r>
              <w:rPr>
                <w:sz w:val="18"/>
                <w:lang w:val="fr-FR"/>
              </w:rPr>
              <w:noBreakHyphen/>
            </w:r>
            <w:r w:rsidR="00F0742C" w:rsidRPr="00E85915">
              <w:rPr>
                <w:sz w:val="18"/>
                <w:lang w:val="fr-FR"/>
              </w:rPr>
              <w:t xml:space="preserve"> Clôture des dossiers datant de l</w:t>
            </w:r>
            <w:r w:rsidR="00BF513F" w:rsidRPr="00E85915">
              <w:rPr>
                <w:sz w:val="18"/>
                <w:lang w:val="fr-FR"/>
              </w:rPr>
              <w:t>’</w:t>
            </w:r>
            <w:r w:rsidR="00F0742C" w:rsidRPr="00E85915">
              <w:rPr>
                <w:sz w:val="18"/>
                <w:lang w:val="fr-FR"/>
              </w:rPr>
              <w:t>année précédente</w:t>
            </w:r>
          </w:p>
          <w:p w14:paraId="5BA7080D" w14:textId="77777777" w:rsidR="00F0742C" w:rsidRPr="00E85915" w:rsidRDefault="00F0742C" w:rsidP="003A303A">
            <w:pPr>
              <w:rPr>
                <w:rFonts w:eastAsia="Times New Roman"/>
                <w:sz w:val="18"/>
                <w:szCs w:val="18"/>
                <w:lang w:val="fr-FR" w:eastAsia="en-US"/>
              </w:rPr>
            </w:pPr>
          </w:p>
          <w:p w14:paraId="31ECB5C3" w14:textId="2F11F81A" w:rsidR="00F0742C" w:rsidRPr="00E85915" w:rsidRDefault="0089008D" w:rsidP="003A303A">
            <w:pPr>
              <w:rPr>
                <w:rFonts w:eastAsia="Times New Roman"/>
                <w:sz w:val="18"/>
                <w:szCs w:val="18"/>
                <w:lang w:val="fr-FR"/>
              </w:rPr>
            </w:pPr>
            <w:r>
              <w:rPr>
                <w:sz w:val="18"/>
                <w:lang w:val="fr-FR"/>
              </w:rPr>
              <w:noBreakHyphen/>
            </w:r>
            <w:r w:rsidR="00F0742C" w:rsidRPr="00E85915">
              <w:rPr>
                <w:sz w:val="18"/>
                <w:lang w:val="fr-FR"/>
              </w:rPr>
              <w:t xml:space="preserve"> Clôture des évaluations préliminaires</w:t>
            </w:r>
          </w:p>
        </w:tc>
        <w:tc>
          <w:tcPr>
            <w:tcW w:w="1204" w:type="pct"/>
            <w:vAlign w:val="center"/>
          </w:tcPr>
          <w:p w14:paraId="6105C7EA" w14:textId="77777777" w:rsidR="00F0742C" w:rsidRPr="00E85915" w:rsidRDefault="00F0742C" w:rsidP="003A303A">
            <w:pPr>
              <w:rPr>
                <w:rFonts w:eastAsia="Times New Roman"/>
                <w:sz w:val="18"/>
                <w:szCs w:val="18"/>
                <w:lang w:val="fr-FR" w:eastAsia="en-US"/>
              </w:rPr>
            </w:pPr>
          </w:p>
          <w:p w14:paraId="35D34030" w14:textId="77777777" w:rsidR="00F0742C" w:rsidRPr="00E85915" w:rsidRDefault="00F0742C" w:rsidP="003A303A">
            <w:pPr>
              <w:rPr>
                <w:rFonts w:ascii="Segoe UI" w:eastAsia="Segoe UI" w:hAnsi="Segoe UI" w:cs="Segoe UI"/>
                <w:color w:val="333333"/>
                <w:sz w:val="18"/>
                <w:szCs w:val="18"/>
                <w:lang w:val="fr-FR"/>
              </w:rPr>
            </w:pPr>
            <w:r w:rsidRPr="00E85915">
              <w:rPr>
                <w:sz w:val="18"/>
                <w:lang w:val="fr-FR"/>
              </w:rPr>
              <w:t>11,6 mois</w:t>
            </w:r>
          </w:p>
          <w:p w14:paraId="045245A9" w14:textId="77777777" w:rsidR="00F0742C" w:rsidRPr="00E85915" w:rsidRDefault="00F0742C" w:rsidP="003A303A">
            <w:pPr>
              <w:rPr>
                <w:rFonts w:eastAsia="Times New Roman"/>
                <w:sz w:val="18"/>
                <w:szCs w:val="18"/>
                <w:lang w:val="fr-FR" w:eastAsia="en-US"/>
              </w:rPr>
            </w:pPr>
          </w:p>
          <w:p w14:paraId="63471E2A" w14:textId="77777777" w:rsidR="00F0742C" w:rsidRPr="00E85915" w:rsidRDefault="00F0742C" w:rsidP="003A303A">
            <w:pPr>
              <w:rPr>
                <w:rFonts w:eastAsia="Times New Roman"/>
                <w:sz w:val="18"/>
                <w:szCs w:val="18"/>
                <w:lang w:val="fr-FR" w:eastAsia="en-US"/>
              </w:rPr>
            </w:pPr>
          </w:p>
          <w:p w14:paraId="3A5D0CD2" w14:textId="77777777" w:rsidR="00F0742C" w:rsidRPr="00E85915" w:rsidRDefault="00F0742C" w:rsidP="003A303A">
            <w:pPr>
              <w:rPr>
                <w:rFonts w:eastAsia="Times New Roman"/>
                <w:sz w:val="18"/>
                <w:szCs w:val="18"/>
                <w:lang w:val="fr-FR" w:eastAsia="en-US"/>
              </w:rPr>
            </w:pPr>
          </w:p>
          <w:p w14:paraId="1EC1ACC8" w14:textId="77777777" w:rsidR="00F0742C" w:rsidRPr="00E85915" w:rsidRDefault="00F0742C" w:rsidP="003A303A">
            <w:pPr>
              <w:rPr>
                <w:rFonts w:eastAsia="Times New Roman"/>
                <w:sz w:val="18"/>
                <w:szCs w:val="18"/>
                <w:lang w:val="fr-FR"/>
              </w:rPr>
            </w:pPr>
            <w:r w:rsidRPr="00E85915">
              <w:rPr>
                <w:sz w:val="18"/>
                <w:lang w:val="fr-FR"/>
              </w:rPr>
              <w:t>1,9 mois</w:t>
            </w:r>
          </w:p>
        </w:tc>
        <w:tc>
          <w:tcPr>
            <w:tcW w:w="1102" w:type="pct"/>
            <w:noWrap/>
            <w:vAlign w:val="center"/>
            <w:hideMark/>
          </w:tcPr>
          <w:p w14:paraId="070E3BFE" w14:textId="77777777" w:rsidR="00F0742C" w:rsidRPr="00E85915" w:rsidRDefault="00F0742C" w:rsidP="003A303A">
            <w:pPr>
              <w:rPr>
                <w:rFonts w:eastAsia="Times New Roman"/>
                <w:sz w:val="18"/>
                <w:szCs w:val="18"/>
                <w:lang w:val="fr-FR" w:eastAsia="en-US"/>
              </w:rPr>
            </w:pPr>
          </w:p>
          <w:p w14:paraId="48202FC0" w14:textId="77777777" w:rsidR="00F0742C" w:rsidRPr="00E85915" w:rsidRDefault="00F0742C" w:rsidP="003A303A">
            <w:pPr>
              <w:rPr>
                <w:rFonts w:eastAsia="Times New Roman"/>
                <w:sz w:val="18"/>
                <w:szCs w:val="18"/>
                <w:lang w:val="fr-FR"/>
              </w:rPr>
            </w:pPr>
            <w:r w:rsidRPr="00E85915">
              <w:rPr>
                <w:sz w:val="18"/>
                <w:lang w:val="fr-FR"/>
              </w:rPr>
              <w:t>3,5 mois</w:t>
            </w:r>
          </w:p>
          <w:p w14:paraId="15D4C699" w14:textId="77777777" w:rsidR="00F0742C" w:rsidRPr="00E85915" w:rsidRDefault="00F0742C" w:rsidP="003A303A">
            <w:pPr>
              <w:rPr>
                <w:rFonts w:eastAsia="Times New Roman"/>
                <w:sz w:val="18"/>
                <w:szCs w:val="18"/>
                <w:lang w:val="fr-FR" w:eastAsia="en-US"/>
              </w:rPr>
            </w:pPr>
          </w:p>
          <w:p w14:paraId="1ED39A00" w14:textId="77777777" w:rsidR="00F0742C" w:rsidRPr="00E85915" w:rsidRDefault="00F0742C" w:rsidP="003A303A">
            <w:pPr>
              <w:rPr>
                <w:rFonts w:eastAsia="Times New Roman"/>
                <w:sz w:val="18"/>
                <w:szCs w:val="18"/>
                <w:lang w:val="fr-FR" w:eastAsia="en-US"/>
              </w:rPr>
            </w:pPr>
          </w:p>
          <w:p w14:paraId="36C7B13E" w14:textId="77777777" w:rsidR="00F0742C" w:rsidRPr="00E85915" w:rsidRDefault="00F0742C" w:rsidP="003A303A">
            <w:pPr>
              <w:rPr>
                <w:rFonts w:eastAsia="Times New Roman"/>
                <w:sz w:val="18"/>
                <w:szCs w:val="18"/>
                <w:lang w:val="fr-FR" w:eastAsia="en-US"/>
              </w:rPr>
            </w:pPr>
          </w:p>
          <w:p w14:paraId="25E756B1" w14:textId="77777777" w:rsidR="00F0742C" w:rsidRPr="00E85915" w:rsidRDefault="00F0742C" w:rsidP="003A303A">
            <w:pPr>
              <w:rPr>
                <w:rFonts w:eastAsia="Times New Roman"/>
                <w:sz w:val="18"/>
                <w:szCs w:val="18"/>
                <w:lang w:val="fr-FR"/>
              </w:rPr>
            </w:pPr>
            <w:r w:rsidRPr="00E85915">
              <w:rPr>
                <w:sz w:val="18"/>
                <w:lang w:val="fr-FR"/>
              </w:rPr>
              <w:t>1,7 mois</w:t>
            </w:r>
          </w:p>
        </w:tc>
      </w:tr>
      <w:tr w:rsidR="00F0742C" w:rsidRPr="00E85915" w14:paraId="4770EBA3" w14:textId="77777777" w:rsidTr="009521C8">
        <w:trPr>
          <w:trHeight w:val="630"/>
        </w:trPr>
        <w:tc>
          <w:tcPr>
            <w:tcW w:w="1105" w:type="pct"/>
            <w:vAlign w:val="center"/>
            <w:hideMark/>
          </w:tcPr>
          <w:p w14:paraId="02B5F6D2" w14:textId="77777777" w:rsidR="00F0742C" w:rsidRPr="00E85915" w:rsidRDefault="00F0742C" w:rsidP="003A303A">
            <w:pPr>
              <w:rPr>
                <w:rFonts w:eastAsia="Times New Roman"/>
                <w:color w:val="000000"/>
                <w:sz w:val="18"/>
                <w:szCs w:val="18"/>
                <w:lang w:val="fr-FR"/>
              </w:rPr>
            </w:pPr>
            <w:r w:rsidRPr="00E85915">
              <w:rPr>
                <w:color w:val="000000" w:themeColor="text1"/>
                <w:sz w:val="18"/>
                <w:lang w:val="fr-FR"/>
              </w:rPr>
              <w:t>Enquête de satisfaction après la mission, concernant la planification et la conduite de la mission, avec des recommandations SMART</w:t>
            </w:r>
          </w:p>
        </w:tc>
        <w:tc>
          <w:tcPr>
            <w:tcW w:w="1589" w:type="pct"/>
            <w:vAlign w:val="center"/>
          </w:tcPr>
          <w:p w14:paraId="19CA923C" w14:textId="77777777" w:rsidR="00F0742C" w:rsidRPr="00E85915" w:rsidRDefault="00F0742C" w:rsidP="003A303A">
            <w:pPr>
              <w:rPr>
                <w:rFonts w:eastAsia="Times New Roman"/>
                <w:sz w:val="18"/>
                <w:szCs w:val="18"/>
                <w:lang w:val="fr-FR"/>
              </w:rPr>
            </w:pPr>
            <w:r w:rsidRPr="00E85915">
              <w:rPr>
                <w:sz w:val="18"/>
                <w:lang w:val="fr-FR"/>
              </w:rPr>
              <w:t xml:space="preserve">80% </w:t>
            </w:r>
          </w:p>
        </w:tc>
        <w:tc>
          <w:tcPr>
            <w:tcW w:w="1204" w:type="pct"/>
            <w:vAlign w:val="center"/>
          </w:tcPr>
          <w:p w14:paraId="0B58C744" w14:textId="0DB10E06" w:rsidR="00F0742C" w:rsidRPr="00E85915" w:rsidRDefault="00F0742C" w:rsidP="003A303A">
            <w:pPr>
              <w:rPr>
                <w:rFonts w:eastAsia="Times New Roman"/>
                <w:sz w:val="18"/>
                <w:szCs w:val="18"/>
                <w:lang w:val="fr-FR"/>
              </w:rPr>
            </w:pPr>
            <w:r w:rsidRPr="00E85915">
              <w:rPr>
                <w:sz w:val="18"/>
                <w:lang w:val="fr-FR"/>
              </w:rPr>
              <w:t xml:space="preserve">87% pour la note globale des personnes interrogées </w:t>
            </w:r>
          </w:p>
        </w:tc>
        <w:tc>
          <w:tcPr>
            <w:tcW w:w="1102" w:type="pct"/>
            <w:noWrap/>
            <w:vAlign w:val="center"/>
          </w:tcPr>
          <w:p w14:paraId="67E14069" w14:textId="5C73B234" w:rsidR="00F0742C" w:rsidRPr="00E85915" w:rsidRDefault="00F0742C" w:rsidP="003A303A">
            <w:pPr>
              <w:rPr>
                <w:rFonts w:eastAsia="Times New Roman"/>
                <w:sz w:val="18"/>
                <w:szCs w:val="18"/>
                <w:lang w:val="fr-FR"/>
              </w:rPr>
            </w:pPr>
            <w:r w:rsidRPr="00E85915">
              <w:rPr>
                <w:sz w:val="18"/>
                <w:lang w:val="fr-FR"/>
              </w:rPr>
              <w:t xml:space="preserve">82% pour la note globale des personnes interrogées </w:t>
            </w:r>
          </w:p>
        </w:tc>
      </w:tr>
      <w:tr w:rsidR="00F0742C" w:rsidRPr="00E85915" w14:paraId="06B0A744" w14:textId="77777777" w:rsidTr="009521C8">
        <w:trPr>
          <w:trHeight w:val="268"/>
        </w:trPr>
        <w:tc>
          <w:tcPr>
            <w:tcW w:w="1105" w:type="pct"/>
            <w:vAlign w:val="center"/>
            <w:hideMark/>
          </w:tcPr>
          <w:p w14:paraId="520CB0D8" w14:textId="77777777" w:rsidR="00F0742C" w:rsidRPr="00E85915" w:rsidRDefault="00F0742C" w:rsidP="003A303A">
            <w:pPr>
              <w:rPr>
                <w:rFonts w:eastAsia="Times New Roman"/>
                <w:color w:val="000000"/>
                <w:sz w:val="18"/>
                <w:szCs w:val="18"/>
                <w:lang w:val="fr-FR"/>
              </w:rPr>
            </w:pPr>
            <w:r w:rsidRPr="00E85915">
              <w:rPr>
                <w:color w:val="000000" w:themeColor="text1"/>
                <w:sz w:val="18"/>
                <w:lang w:val="fr-FR"/>
              </w:rPr>
              <w:t xml:space="preserve">Nombre de recommandations en matière de supervision acceptées </w:t>
            </w:r>
          </w:p>
        </w:tc>
        <w:tc>
          <w:tcPr>
            <w:tcW w:w="1589" w:type="pct"/>
            <w:vAlign w:val="center"/>
          </w:tcPr>
          <w:p w14:paraId="4BE92622" w14:textId="77777777" w:rsidR="00F0742C" w:rsidRPr="00E85915" w:rsidRDefault="00F0742C" w:rsidP="003A303A">
            <w:pPr>
              <w:rPr>
                <w:rFonts w:eastAsia="Times New Roman"/>
                <w:sz w:val="18"/>
                <w:szCs w:val="18"/>
                <w:lang w:val="fr-FR"/>
              </w:rPr>
            </w:pPr>
            <w:r w:rsidRPr="00E85915">
              <w:rPr>
                <w:sz w:val="18"/>
                <w:lang w:val="fr-FR"/>
              </w:rPr>
              <w:t>90%</w:t>
            </w:r>
          </w:p>
        </w:tc>
        <w:tc>
          <w:tcPr>
            <w:tcW w:w="1204" w:type="pct"/>
            <w:vAlign w:val="center"/>
          </w:tcPr>
          <w:p w14:paraId="4A68D41F" w14:textId="77777777" w:rsidR="00F0742C" w:rsidRPr="00E85915" w:rsidRDefault="00F0742C" w:rsidP="003A303A">
            <w:pPr>
              <w:rPr>
                <w:rFonts w:eastAsia="Times New Roman"/>
                <w:sz w:val="18"/>
                <w:szCs w:val="18"/>
                <w:lang w:val="fr-FR"/>
              </w:rPr>
            </w:pPr>
            <w:r w:rsidRPr="00E85915">
              <w:rPr>
                <w:sz w:val="18"/>
                <w:lang w:val="fr-FR"/>
              </w:rPr>
              <w:t>100% des recommandations finales acceptées</w:t>
            </w:r>
          </w:p>
        </w:tc>
        <w:tc>
          <w:tcPr>
            <w:tcW w:w="1102" w:type="pct"/>
            <w:noWrap/>
            <w:vAlign w:val="center"/>
          </w:tcPr>
          <w:p w14:paraId="329E8713" w14:textId="77777777" w:rsidR="00F0742C" w:rsidRPr="00E85915" w:rsidRDefault="00F0742C" w:rsidP="003A303A">
            <w:pPr>
              <w:rPr>
                <w:rFonts w:eastAsia="Times New Roman"/>
                <w:sz w:val="18"/>
                <w:szCs w:val="18"/>
                <w:lang w:val="fr-FR"/>
              </w:rPr>
            </w:pPr>
            <w:r w:rsidRPr="00E85915">
              <w:rPr>
                <w:sz w:val="18"/>
                <w:lang w:val="fr-FR"/>
              </w:rPr>
              <w:t>100% des recommandations finales acceptées</w:t>
            </w:r>
          </w:p>
        </w:tc>
      </w:tr>
    </w:tbl>
    <w:p w14:paraId="420D9A7E" w14:textId="77777777" w:rsidR="00F0742C" w:rsidRPr="00D83603" w:rsidRDefault="00F0742C" w:rsidP="003A303A">
      <w:pPr>
        <w:pStyle w:val="ONUME"/>
        <w:numPr>
          <w:ilvl w:val="0"/>
          <w:numId w:val="0"/>
        </w:numPr>
        <w:spacing w:after="0"/>
        <w:rPr>
          <w:szCs w:val="22"/>
          <w:lang w:val="fr-FR"/>
        </w:rPr>
      </w:pPr>
    </w:p>
    <w:p w14:paraId="1EECB5DB" w14:textId="5F4845B8" w:rsidR="00F0742C" w:rsidRPr="00E85915" w:rsidRDefault="00D83603" w:rsidP="00D83603">
      <w:pPr>
        <w:pStyle w:val="Heading2"/>
      </w:pPr>
      <w:r w:rsidRPr="00E85915">
        <w:t>ENQUÊTE DE SATISFACTION CONCERNANT LA MISSION</w:t>
      </w:r>
    </w:p>
    <w:p w14:paraId="7A09637A" w14:textId="359CD45A" w:rsidR="00F0742C" w:rsidRPr="00E85915" w:rsidRDefault="00F0742C" w:rsidP="003A303A">
      <w:pPr>
        <w:pStyle w:val="ONUMFS"/>
        <w:rPr>
          <w:lang w:val="fr-FR"/>
        </w:rPr>
      </w:pPr>
      <w:r w:rsidRPr="00E85915">
        <w:rPr>
          <w:lang w:val="fr-FR"/>
        </w:rPr>
        <w:t>Après chaque mission, les avis des collègues de l</w:t>
      </w:r>
      <w:r w:rsidR="00BF513F" w:rsidRPr="00E85915">
        <w:rPr>
          <w:lang w:val="fr-FR"/>
        </w:rPr>
        <w:t>’</w:t>
      </w:r>
      <w:r w:rsidRPr="00E85915">
        <w:rPr>
          <w:lang w:val="fr-FR"/>
        </w:rPr>
        <w:t>OMPI ont continué d</w:t>
      </w:r>
      <w:r w:rsidR="00BF513F" w:rsidRPr="00E85915">
        <w:rPr>
          <w:lang w:val="fr-FR"/>
        </w:rPr>
        <w:t>’</w:t>
      </w:r>
      <w:r w:rsidRPr="00E85915">
        <w:rPr>
          <w:lang w:val="fr-FR"/>
        </w:rPr>
        <w:t>être recueillis concernant les services ayant fait l</w:t>
      </w:r>
      <w:r w:rsidR="00BF513F" w:rsidRPr="00E85915">
        <w:rPr>
          <w:lang w:val="fr-FR"/>
        </w:rPr>
        <w:t>’</w:t>
      </w:r>
      <w:r w:rsidRPr="00E85915">
        <w:rPr>
          <w:lang w:val="fr-FR"/>
        </w:rPr>
        <w:t>objet d</w:t>
      </w:r>
      <w:r w:rsidR="00BF513F" w:rsidRPr="00E85915">
        <w:rPr>
          <w:lang w:val="fr-FR"/>
        </w:rPr>
        <w:t>’</w:t>
      </w:r>
      <w:r w:rsidRPr="00E85915">
        <w:rPr>
          <w:lang w:val="fr-FR"/>
        </w:rPr>
        <w:t>audits ou d</w:t>
      </w:r>
      <w:r w:rsidR="00BF513F" w:rsidRPr="00E85915">
        <w:rPr>
          <w:lang w:val="fr-FR"/>
        </w:rPr>
        <w:t>’</w:t>
      </w:r>
      <w:r w:rsidRPr="00E85915">
        <w:rPr>
          <w:lang w:val="fr-FR"/>
        </w:rPr>
        <w:t>évaluations, au moyen d</w:t>
      </w:r>
      <w:r w:rsidR="00BF513F" w:rsidRPr="00E85915">
        <w:rPr>
          <w:lang w:val="fr-FR"/>
        </w:rPr>
        <w:t>’</w:t>
      </w:r>
      <w:r w:rsidRPr="00E85915">
        <w:rPr>
          <w:lang w:val="fr-FR"/>
        </w:rPr>
        <w:t>enquêtes sur le niveau de satisfaction des clien</w:t>
      </w:r>
      <w:r w:rsidR="00E85915" w:rsidRPr="00E85915">
        <w:rPr>
          <w:lang w:val="fr-FR"/>
        </w:rPr>
        <w:t>ts.  Ce</w:t>
      </w:r>
      <w:r w:rsidRPr="00E85915">
        <w:rPr>
          <w:lang w:val="fr-FR"/>
        </w:rPr>
        <w:t>s enquêtes aident</w:t>
      </w:r>
      <w:r w:rsidR="00BF513F" w:rsidRPr="00E85915">
        <w:rPr>
          <w:lang w:val="fr-FR"/>
        </w:rPr>
        <w:t xml:space="preserve"> la DSI</w:t>
      </w:r>
      <w:r w:rsidRPr="00E85915">
        <w:rPr>
          <w:lang w:val="fr-FR"/>
        </w:rPr>
        <w:t xml:space="preserve"> à définir des possibilités d</w:t>
      </w:r>
      <w:r w:rsidR="00BF513F" w:rsidRPr="00E85915">
        <w:rPr>
          <w:lang w:val="fr-FR"/>
        </w:rPr>
        <w:t>’</w:t>
      </w:r>
      <w:r w:rsidRPr="00E85915">
        <w:rPr>
          <w:lang w:val="fr-FR"/>
        </w:rPr>
        <w:t>amélioration en matière de participation et d</w:t>
      </w:r>
      <w:r w:rsidR="00BF513F" w:rsidRPr="00E85915">
        <w:rPr>
          <w:lang w:val="fr-FR"/>
        </w:rPr>
        <w:t>’</w:t>
      </w:r>
      <w:r w:rsidRPr="00E85915">
        <w:rPr>
          <w:lang w:val="fr-FR"/>
        </w:rPr>
        <w:t>exécution des tâches.</w:t>
      </w:r>
    </w:p>
    <w:p w14:paraId="553A461E" w14:textId="7064FAA4" w:rsidR="00F0742C" w:rsidRPr="00E85915" w:rsidRDefault="00F0742C" w:rsidP="003A303A">
      <w:pPr>
        <w:pStyle w:val="ONUMFS"/>
        <w:rPr>
          <w:lang w:val="fr-FR"/>
        </w:rPr>
      </w:pPr>
      <w:r w:rsidRPr="00E85915">
        <w:rPr>
          <w:lang w:val="fr-FR"/>
        </w:rPr>
        <w:lastRenderedPageBreak/>
        <w:t xml:space="preserve">Ces enquêtes seront perfectionnées </w:t>
      </w:r>
      <w:r w:rsidR="00BF513F" w:rsidRPr="00E85915">
        <w:rPr>
          <w:lang w:val="fr-FR"/>
        </w:rPr>
        <w:t>en 2026</w:t>
      </w:r>
      <w:r w:rsidRPr="00E85915">
        <w:rPr>
          <w:lang w:val="fr-FR"/>
        </w:rPr>
        <w:t xml:space="preserve"> afin de se concentrer davantage sur des critères mesurables fondés sur les normes applicables aux missions d</w:t>
      </w:r>
      <w:r w:rsidR="00BF513F" w:rsidRPr="00E85915">
        <w:rPr>
          <w:lang w:val="fr-FR"/>
        </w:rPr>
        <w:t>’</w:t>
      </w:r>
      <w:r w:rsidRPr="00E85915">
        <w:rPr>
          <w:lang w:val="fr-FR"/>
        </w:rPr>
        <w:t>audit et d</w:t>
      </w:r>
      <w:r w:rsidR="00BF513F" w:rsidRPr="00E85915">
        <w:rPr>
          <w:lang w:val="fr-FR"/>
        </w:rPr>
        <w:t>’</w:t>
      </w:r>
      <w:r w:rsidRPr="00E85915">
        <w:rPr>
          <w:lang w:val="fr-FR"/>
        </w:rPr>
        <w:t>évaluation, plutôt que sur la perception qu</w:t>
      </w:r>
      <w:r w:rsidR="00BF513F" w:rsidRPr="00E85915">
        <w:rPr>
          <w:lang w:val="fr-FR"/>
        </w:rPr>
        <w:t>’</w:t>
      </w:r>
      <w:r w:rsidRPr="00E85915">
        <w:rPr>
          <w:lang w:val="fr-FR"/>
        </w:rPr>
        <w:t>ont les bénéficiaires des résultats de l</w:t>
      </w:r>
      <w:r w:rsidR="00BF513F" w:rsidRPr="00E85915">
        <w:rPr>
          <w:lang w:val="fr-FR"/>
        </w:rPr>
        <w:t>’</w:t>
      </w:r>
      <w:r w:rsidRPr="00E85915">
        <w:rPr>
          <w:lang w:val="fr-FR"/>
        </w:rPr>
        <w:t>audit ou de l</w:t>
      </w:r>
      <w:r w:rsidR="00BF513F" w:rsidRPr="00E85915">
        <w:rPr>
          <w:lang w:val="fr-FR"/>
        </w:rPr>
        <w:t>’</w:t>
      </w:r>
      <w:r w:rsidRPr="00E85915">
        <w:rPr>
          <w:lang w:val="fr-FR"/>
        </w:rPr>
        <w:t>évaluation.</w:t>
      </w:r>
    </w:p>
    <w:p w14:paraId="37A0BE0C" w14:textId="734F1670" w:rsidR="00F0742C" w:rsidRPr="00E85915" w:rsidRDefault="00D83603" w:rsidP="00D83603">
      <w:pPr>
        <w:pStyle w:val="Heading2"/>
      </w:pPr>
      <w:r w:rsidRPr="00E85915">
        <w:t>ÉVALUATIONS INTERNES ET EXTERNES PÉRIODIQUES</w:t>
      </w:r>
    </w:p>
    <w:p w14:paraId="2CA7A156" w14:textId="4F0ABA6C" w:rsidR="00F0742C" w:rsidRPr="00E85915" w:rsidRDefault="00F0742C" w:rsidP="003A303A">
      <w:pPr>
        <w:pStyle w:val="ONUMFS"/>
        <w:rPr>
          <w:lang w:val="fr-FR"/>
        </w:rPr>
      </w:pPr>
      <w:r w:rsidRPr="00E85915">
        <w:rPr>
          <w:lang w:val="fr-FR"/>
        </w:rPr>
        <w:t>Conformément au paragraphe 30.e) de la Charte de la supervision interne, chaque section de</w:t>
      </w:r>
      <w:r w:rsidR="00BF513F" w:rsidRPr="00E85915">
        <w:rPr>
          <w:lang w:val="fr-FR"/>
        </w:rPr>
        <w:t xml:space="preserve"> la DSI</w:t>
      </w:r>
      <w:r w:rsidRPr="00E85915">
        <w:rPr>
          <w:lang w:val="fr-FR"/>
        </w:rPr>
        <w:t xml:space="preserve"> procède à des auto</w:t>
      </w:r>
      <w:r w:rsidR="0089008D">
        <w:rPr>
          <w:lang w:val="fr-FR"/>
        </w:rPr>
        <w:noBreakHyphen/>
      </w:r>
      <w:r w:rsidRPr="00E85915">
        <w:rPr>
          <w:lang w:val="fr-FR"/>
        </w:rPr>
        <w:t>évaluations et fait l</w:t>
      </w:r>
      <w:r w:rsidR="00BF513F" w:rsidRPr="00E85915">
        <w:rPr>
          <w:lang w:val="fr-FR"/>
        </w:rPr>
        <w:t>’</w:t>
      </w:r>
      <w:r w:rsidRPr="00E85915">
        <w:rPr>
          <w:lang w:val="fr-FR"/>
        </w:rPr>
        <w:t>objet d</w:t>
      </w:r>
      <w:r w:rsidR="00BF513F" w:rsidRPr="00E85915">
        <w:rPr>
          <w:lang w:val="fr-FR"/>
        </w:rPr>
        <w:t>’</w:t>
      </w:r>
      <w:r w:rsidRPr="00E85915">
        <w:rPr>
          <w:lang w:val="fr-FR"/>
        </w:rPr>
        <w:t>évaluations externes tous les cinq</w:t>
      </w:r>
      <w:r w:rsidR="00FE72CE" w:rsidRPr="00E85915">
        <w:rPr>
          <w:lang w:val="fr-FR"/>
        </w:rPr>
        <w:t> </w:t>
      </w:r>
      <w:r w:rsidRPr="00E85915">
        <w:rPr>
          <w:lang w:val="fr-FR"/>
        </w:rPr>
        <w:t>ans, afin de déterminer si elle s</w:t>
      </w:r>
      <w:r w:rsidR="00BF513F" w:rsidRPr="00E85915">
        <w:rPr>
          <w:lang w:val="fr-FR"/>
        </w:rPr>
        <w:t>’</w:t>
      </w:r>
      <w:r w:rsidRPr="00E85915">
        <w:rPr>
          <w:lang w:val="fr-FR"/>
        </w:rPr>
        <w:t>acquitte de ses tâches de manière efficace et efficiente et en conformité avec les normes professionnelles applicabl</w:t>
      </w:r>
      <w:r w:rsidR="00E85915" w:rsidRPr="00E85915">
        <w:rPr>
          <w:lang w:val="fr-FR"/>
        </w:rPr>
        <w:t>es.  Le</w:t>
      </w:r>
      <w:r w:rsidRPr="00E85915">
        <w:rPr>
          <w:lang w:val="fr-FR"/>
        </w:rPr>
        <w:t>s résultats des auto</w:t>
      </w:r>
      <w:r w:rsidR="0089008D">
        <w:rPr>
          <w:lang w:val="fr-FR"/>
        </w:rPr>
        <w:noBreakHyphen/>
      </w:r>
      <w:r w:rsidRPr="00E85915">
        <w:rPr>
          <w:lang w:val="fr-FR"/>
        </w:rPr>
        <w:t>évaluations et des évaluations externes sont communiqués à l</w:t>
      </w:r>
      <w:r w:rsidR="00BF513F" w:rsidRPr="00E85915">
        <w:rPr>
          <w:lang w:val="fr-FR"/>
        </w:rPr>
        <w:t>’</w:t>
      </w:r>
      <w:r w:rsidRPr="00E85915">
        <w:rPr>
          <w:lang w:val="fr-FR"/>
        </w:rPr>
        <w:t>OCIS lors de la réunion qui suit la date du rapport d</w:t>
      </w:r>
      <w:r w:rsidR="00BF513F" w:rsidRPr="00E85915">
        <w:rPr>
          <w:lang w:val="fr-FR"/>
        </w:rPr>
        <w:t>’</w:t>
      </w:r>
      <w:r w:rsidRPr="00E85915">
        <w:rPr>
          <w:lang w:val="fr-FR"/>
        </w:rPr>
        <w:t>évaluation.</w:t>
      </w:r>
    </w:p>
    <w:p w14:paraId="35E524F4" w14:textId="04E3B740" w:rsidR="00F0742C" w:rsidRPr="00E85915" w:rsidRDefault="00F0742C" w:rsidP="003A303A">
      <w:pPr>
        <w:pStyle w:val="ONUMFS"/>
        <w:rPr>
          <w:lang w:val="fr-FR"/>
        </w:rPr>
      </w:pPr>
      <w:r w:rsidRPr="00E85915">
        <w:rPr>
          <w:lang w:val="fr-FR"/>
        </w:rPr>
        <w:t>La Section de l</w:t>
      </w:r>
      <w:r w:rsidR="00BF513F" w:rsidRPr="00E85915">
        <w:rPr>
          <w:lang w:val="fr-FR"/>
        </w:rPr>
        <w:t>’</w:t>
      </w:r>
      <w:r w:rsidRPr="00E85915">
        <w:rPr>
          <w:lang w:val="fr-FR"/>
        </w:rPr>
        <w:t>audit interne a effectué une auto</w:t>
      </w:r>
      <w:r w:rsidR="0089008D">
        <w:rPr>
          <w:lang w:val="fr-FR"/>
        </w:rPr>
        <w:noBreakHyphen/>
      </w:r>
      <w:r w:rsidRPr="00E85915">
        <w:rPr>
          <w:lang w:val="fr-FR"/>
        </w:rPr>
        <w:t xml:space="preserve">évaluation périodique en </w:t>
      </w:r>
      <w:r w:rsidR="00BF513F" w:rsidRPr="00E85915">
        <w:rPr>
          <w:lang w:val="fr-FR"/>
        </w:rPr>
        <w:t>mars 20</w:t>
      </w:r>
      <w:r w:rsidRPr="00E85915">
        <w:rPr>
          <w:lang w:val="fr-FR"/>
        </w:rPr>
        <w:t>25, avec la conclusion “généralement conforme”.  Les principaux domaines à améliorer étaient l</w:t>
      </w:r>
      <w:r w:rsidR="00BF513F" w:rsidRPr="00E85915">
        <w:rPr>
          <w:lang w:val="fr-FR"/>
        </w:rPr>
        <w:t>’</w:t>
      </w:r>
      <w:r w:rsidRPr="00E85915">
        <w:rPr>
          <w:lang w:val="fr-FR"/>
        </w:rPr>
        <w:t>exhaustivité et le respect des délais pour la documentation complète conservée dans les dossiers de missi</w:t>
      </w:r>
      <w:r w:rsidR="00E85915" w:rsidRPr="00E85915">
        <w:rPr>
          <w:lang w:val="fr-FR"/>
        </w:rPr>
        <w:t>on.  Ce</w:t>
      </w:r>
      <w:r w:rsidRPr="00E85915">
        <w:rPr>
          <w:lang w:val="fr-FR"/>
        </w:rPr>
        <w:t xml:space="preserve">tte recommandation a été formulée </w:t>
      </w:r>
      <w:r w:rsidR="00BF513F" w:rsidRPr="00E85915">
        <w:rPr>
          <w:lang w:val="fr-FR"/>
        </w:rPr>
        <w:t>en 2025</w:t>
      </w:r>
      <w:r w:rsidRPr="00E85915">
        <w:rPr>
          <w:lang w:val="fr-FR"/>
        </w:rPr>
        <w:t>.</w:t>
      </w:r>
    </w:p>
    <w:p w14:paraId="32C76DC6" w14:textId="3F73BE9F" w:rsidR="00F0742C" w:rsidRPr="00E85915" w:rsidRDefault="00F0742C" w:rsidP="003A303A">
      <w:pPr>
        <w:pStyle w:val="ONUMFS"/>
        <w:rPr>
          <w:lang w:val="fr-FR"/>
        </w:rPr>
      </w:pPr>
      <w:r w:rsidRPr="00E85915">
        <w:rPr>
          <w:lang w:val="fr-FR"/>
        </w:rPr>
        <w:t>La Section des enquêtes a également effectué une auto</w:t>
      </w:r>
      <w:r w:rsidR="0089008D">
        <w:rPr>
          <w:lang w:val="fr-FR"/>
        </w:rPr>
        <w:noBreakHyphen/>
      </w:r>
      <w:r w:rsidRPr="00E85915">
        <w:rPr>
          <w:lang w:val="fr-FR"/>
        </w:rPr>
        <w:t xml:space="preserve">évaluation périodique en </w:t>
      </w:r>
      <w:r w:rsidR="00BF513F" w:rsidRPr="00E85915">
        <w:rPr>
          <w:lang w:val="fr-FR"/>
        </w:rPr>
        <w:t>mars 20</w:t>
      </w:r>
      <w:r w:rsidRPr="00E85915">
        <w:rPr>
          <w:lang w:val="fr-FR"/>
        </w:rPr>
        <w:t>25.  Selon cette évaluation, le principal domaine à améliorer est le délai d</w:t>
      </w:r>
      <w:r w:rsidR="00BF513F" w:rsidRPr="00E85915">
        <w:rPr>
          <w:lang w:val="fr-FR"/>
        </w:rPr>
        <w:t>’</w:t>
      </w:r>
      <w:r w:rsidRPr="00E85915">
        <w:rPr>
          <w:lang w:val="fr-FR"/>
        </w:rPr>
        <w:t>exécution des enquêt</w:t>
      </w:r>
      <w:r w:rsidR="00E85915" w:rsidRPr="00E85915">
        <w:rPr>
          <w:lang w:val="fr-FR"/>
        </w:rPr>
        <w:t>es.  To</w:t>
      </w:r>
      <w:r w:rsidRPr="00E85915">
        <w:rPr>
          <w:lang w:val="fr-FR"/>
        </w:rPr>
        <w:t>ut au long de l</w:t>
      </w:r>
      <w:r w:rsidR="00BF513F" w:rsidRPr="00E85915">
        <w:rPr>
          <w:lang w:val="fr-FR"/>
        </w:rPr>
        <w:t>’</w:t>
      </w:r>
      <w:r w:rsidRPr="00E85915">
        <w:rPr>
          <w:lang w:val="fr-FR"/>
        </w:rPr>
        <w:t>année, la Section des enquêtes a continué de déployer des efforts soutenus pour améliorer ce délai d</w:t>
      </w:r>
      <w:r w:rsidR="00BF513F" w:rsidRPr="00E85915">
        <w:rPr>
          <w:lang w:val="fr-FR"/>
        </w:rPr>
        <w:t>’</w:t>
      </w:r>
      <w:r w:rsidRPr="00E85915">
        <w:rPr>
          <w:lang w:val="fr-FR"/>
        </w:rPr>
        <w:t>exécution.</w:t>
      </w:r>
    </w:p>
    <w:p w14:paraId="27CB0332" w14:textId="645EC73D" w:rsidR="00F0742C" w:rsidRPr="00E85915" w:rsidRDefault="00F0742C" w:rsidP="003A303A">
      <w:pPr>
        <w:pStyle w:val="ONUMFS"/>
        <w:rPr>
          <w:lang w:val="fr-FR"/>
        </w:rPr>
      </w:pPr>
      <w:r w:rsidRPr="00E85915">
        <w:rPr>
          <w:lang w:val="fr-FR"/>
        </w:rPr>
        <w:t>Les recommandations issues de l</w:t>
      </w:r>
      <w:r w:rsidR="00BF513F" w:rsidRPr="00E85915">
        <w:rPr>
          <w:lang w:val="fr-FR"/>
        </w:rPr>
        <w:t>’</w:t>
      </w:r>
      <w:r w:rsidRPr="00E85915">
        <w:rPr>
          <w:lang w:val="fr-FR"/>
        </w:rPr>
        <w:t>évaluation collégiale</w:t>
      </w:r>
      <w:r w:rsidR="00BF513F" w:rsidRPr="00E85915">
        <w:rPr>
          <w:lang w:val="fr-FR"/>
        </w:rPr>
        <w:t xml:space="preserve"> du GNU</w:t>
      </w:r>
      <w:r w:rsidRPr="00E85915">
        <w:rPr>
          <w:lang w:val="fr-FR"/>
        </w:rPr>
        <w:t xml:space="preserve">E datant de </w:t>
      </w:r>
      <w:r w:rsidR="00BF513F" w:rsidRPr="00E85915">
        <w:rPr>
          <w:lang w:val="fr-FR"/>
        </w:rPr>
        <w:t>janvier 20</w:t>
      </w:r>
      <w:r w:rsidRPr="00E85915">
        <w:rPr>
          <w:lang w:val="fr-FR"/>
        </w:rPr>
        <w:t>25 sont en cours de mise en œuvre.</w:t>
      </w:r>
    </w:p>
    <w:p w14:paraId="32466CD5" w14:textId="77777777" w:rsidR="00F0742C" w:rsidRPr="00E85915" w:rsidRDefault="00F0742C" w:rsidP="00D83603">
      <w:pPr>
        <w:pStyle w:val="Heading1"/>
      </w:pPr>
      <w:bookmarkStart w:id="45" w:name="_Toc39071256"/>
      <w:bookmarkStart w:id="46" w:name="_Toc227321812"/>
      <w:r w:rsidRPr="00E85915">
        <w:t>RESSOURCES INTERNES EN MATIÈRE DE SUPERVISION</w:t>
      </w:r>
      <w:bookmarkEnd w:id="44"/>
      <w:bookmarkEnd w:id="45"/>
      <w:bookmarkEnd w:id="46"/>
    </w:p>
    <w:p w14:paraId="52C9EEC9" w14:textId="4DD40987" w:rsidR="00F0742C" w:rsidRPr="00E85915" w:rsidRDefault="00D83603" w:rsidP="00D83603">
      <w:pPr>
        <w:pStyle w:val="Heading2"/>
      </w:pPr>
      <w:r w:rsidRPr="00E85915">
        <w:t>BUDGET ET EFFECTIFS</w:t>
      </w:r>
    </w:p>
    <w:p w14:paraId="27DA72D5" w14:textId="1CAEC360" w:rsidR="00F0742C" w:rsidRPr="00E85915" w:rsidRDefault="00F0742C" w:rsidP="003A303A">
      <w:pPr>
        <w:pStyle w:val="ONUMFS"/>
        <w:rPr>
          <w:lang w:val="fr-FR"/>
        </w:rPr>
      </w:pPr>
      <w:r w:rsidRPr="00E85915">
        <w:rPr>
          <w:lang w:val="fr-FR"/>
        </w:rPr>
        <w:t>Pour s</w:t>
      </w:r>
      <w:r w:rsidR="00BF513F" w:rsidRPr="00E85915">
        <w:rPr>
          <w:lang w:val="fr-FR"/>
        </w:rPr>
        <w:t>’</w:t>
      </w:r>
      <w:r w:rsidRPr="00E85915">
        <w:rPr>
          <w:lang w:val="fr-FR"/>
        </w:rPr>
        <w:t>acquitter de son mandat, la DSI disposait en 2025 d</w:t>
      </w:r>
      <w:r w:rsidR="00BF513F" w:rsidRPr="00E85915">
        <w:rPr>
          <w:lang w:val="fr-FR"/>
        </w:rPr>
        <w:t>’</w:t>
      </w:r>
      <w:r w:rsidRPr="00E85915">
        <w:rPr>
          <w:lang w:val="fr-FR"/>
        </w:rPr>
        <w:t>un budget de 3,67</w:t>
      </w:r>
      <w:r w:rsidRPr="00E85915">
        <w:rPr>
          <w:rStyle w:val="FootnoteReference"/>
          <w:lang w:val="fr-FR"/>
        </w:rPr>
        <w:footnoteReference w:id="13"/>
      </w:r>
      <w:r w:rsidRPr="00E85915">
        <w:rPr>
          <w:lang w:val="fr-FR"/>
        </w:rPr>
        <w:t> millions de francs suisses, soit 0,85% du budget de l</w:t>
      </w:r>
      <w:r w:rsidR="00BF513F" w:rsidRPr="00E85915">
        <w:rPr>
          <w:lang w:val="fr-FR"/>
        </w:rPr>
        <w:t>’</w:t>
      </w:r>
      <w:r w:rsidRPr="00E85915">
        <w:rPr>
          <w:lang w:val="fr-FR"/>
        </w:rPr>
        <w:t>OMPI (430,4 millions de francs suisses)</w:t>
      </w:r>
      <w:r w:rsidRPr="00E85915">
        <w:rPr>
          <w:rStyle w:val="FootnoteReference"/>
          <w:lang w:val="fr-FR"/>
        </w:rPr>
        <w:footnoteReference w:id="14"/>
      </w:r>
      <w:r w:rsidRPr="00E85915">
        <w:rPr>
          <w:lang w:val="fr-FR"/>
        </w:rPr>
        <w:t xml:space="preserve"> pour la même période (DSI</w:t>
      </w:r>
      <w:r w:rsidR="00BF513F" w:rsidRPr="00E85915">
        <w:rPr>
          <w:lang w:val="fr-FR"/>
        </w:rPr>
        <w:t xml:space="preserve"> – </w:t>
      </w:r>
      <w:r w:rsidRPr="00E85915">
        <w:rPr>
          <w:lang w:val="fr-FR"/>
        </w:rPr>
        <w:t>2024</w:t>
      </w:r>
      <w:r w:rsidR="00BF513F" w:rsidRPr="00E85915">
        <w:rPr>
          <w:lang w:val="fr-FR"/>
        </w:rPr>
        <w:t> :</w:t>
      </w:r>
      <w:r w:rsidRPr="00E85915">
        <w:rPr>
          <w:lang w:val="fr-FR"/>
        </w:rPr>
        <w:t xml:space="preserve"> 0,66%, OMPI </w:t>
      </w:r>
      <w:r w:rsidR="00B91586">
        <w:rPr>
          <w:lang w:val="fr-FR"/>
        </w:rPr>
        <w:t>–</w:t>
      </w:r>
      <w:r w:rsidRPr="00E85915">
        <w:rPr>
          <w:lang w:val="fr-FR"/>
        </w:rPr>
        <w:t xml:space="preserve"> Budget annuel</w:t>
      </w:r>
      <w:r w:rsidR="00BF513F" w:rsidRPr="00E85915">
        <w:rPr>
          <w:lang w:val="fr-FR"/>
        </w:rPr>
        <w:t> :</w:t>
      </w:r>
      <w:r w:rsidRPr="00E85915">
        <w:rPr>
          <w:lang w:val="fr-FR"/>
        </w:rPr>
        <w:t xml:space="preserve"> 426,9 millions de francs suiss</w:t>
      </w:r>
      <w:r w:rsidR="00E85915" w:rsidRPr="00E85915">
        <w:rPr>
          <w:lang w:val="fr-FR"/>
        </w:rPr>
        <w:t>es).  En</w:t>
      </w:r>
      <w:r w:rsidR="00BF513F" w:rsidRPr="00E85915">
        <w:rPr>
          <w:lang w:val="fr-FR"/>
        </w:rPr>
        <w:t> 2025</w:t>
      </w:r>
      <w:r w:rsidRPr="00E85915">
        <w:rPr>
          <w:lang w:val="fr-FR"/>
        </w:rPr>
        <w:t>, les dépenses ont été de 1,90 million de francs suisses (2024</w:t>
      </w:r>
      <w:r w:rsidR="00BF513F" w:rsidRPr="00E85915">
        <w:rPr>
          <w:lang w:val="fr-FR"/>
        </w:rPr>
        <w:t> :</w:t>
      </w:r>
      <w:r w:rsidRPr="00E85915">
        <w:rPr>
          <w:lang w:val="fr-FR"/>
        </w:rPr>
        <w:t xml:space="preserve"> 2,4</w:t>
      </w:r>
      <w:r w:rsidR="00BF513F" w:rsidRPr="00E85915">
        <w:rPr>
          <w:lang w:val="fr-FR"/>
        </w:rPr>
        <w:t>7 million</w:t>
      </w:r>
      <w:r w:rsidRPr="00E85915">
        <w:rPr>
          <w:lang w:val="fr-FR"/>
        </w:rPr>
        <w:t>s).</w:t>
      </w:r>
    </w:p>
    <w:p w14:paraId="027418BE" w14:textId="72C0ABCF" w:rsidR="00F0742C" w:rsidRPr="00E85915" w:rsidRDefault="00F0742C" w:rsidP="003A303A">
      <w:pPr>
        <w:pStyle w:val="ONUMFS"/>
        <w:rPr>
          <w:lang w:val="fr-FR"/>
        </w:rPr>
      </w:pPr>
      <w:r w:rsidRPr="00E85915">
        <w:rPr>
          <w:lang w:val="fr-FR"/>
        </w:rPr>
        <w:t>L</w:t>
      </w:r>
      <w:r w:rsidR="00BF513F" w:rsidRPr="00E85915">
        <w:rPr>
          <w:lang w:val="fr-FR"/>
        </w:rPr>
        <w:t>’</w:t>
      </w:r>
      <w:r w:rsidRPr="00E85915">
        <w:rPr>
          <w:lang w:val="fr-FR"/>
        </w:rPr>
        <w:t>utilisation du budget pour les dépenses de personnel s</w:t>
      </w:r>
      <w:r w:rsidR="00BF513F" w:rsidRPr="00E85915">
        <w:rPr>
          <w:lang w:val="fr-FR"/>
        </w:rPr>
        <w:t>’</w:t>
      </w:r>
      <w:r w:rsidRPr="00E85915">
        <w:rPr>
          <w:lang w:val="fr-FR"/>
        </w:rPr>
        <w:t>élevait à 58% (2024</w:t>
      </w:r>
      <w:r w:rsidR="00BF513F" w:rsidRPr="00E85915">
        <w:rPr>
          <w:lang w:val="fr-FR"/>
        </w:rPr>
        <w:t> :</w:t>
      </w:r>
      <w:r w:rsidRPr="00E85915">
        <w:rPr>
          <w:lang w:val="fr-FR"/>
        </w:rPr>
        <w:t xml:space="preserve"> 88%).  Cette sous</w:t>
      </w:r>
      <w:r w:rsidR="0089008D">
        <w:rPr>
          <w:lang w:val="fr-FR"/>
        </w:rPr>
        <w:noBreakHyphen/>
      </w:r>
      <w:r w:rsidRPr="00E85915">
        <w:rPr>
          <w:lang w:val="fr-FR"/>
        </w:rPr>
        <w:t>utilisation s</w:t>
      </w:r>
      <w:r w:rsidR="00BF513F" w:rsidRPr="00E85915">
        <w:rPr>
          <w:lang w:val="fr-FR"/>
        </w:rPr>
        <w:t>’</w:t>
      </w:r>
      <w:r w:rsidRPr="00E85915">
        <w:rPr>
          <w:lang w:val="fr-FR"/>
        </w:rPr>
        <w:t>explique principalement par les postes inscrits au budget et les postes vacants au sein de la Section de l</w:t>
      </w:r>
      <w:r w:rsidR="00BF513F" w:rsidRPr="00E85915">
        <w:rPr>
          <w:lang w:val="fr-FR"/>
        </w:rPr>
        <w:t>’</w:t>
      </w:r>
      <w:r w:rsidRPr="00E85915">
        <w:rPr>
          <w:lang w:val="fr-FR"/>
        </w:rPr>
        <w:t>évaluation et de la Section des enquêtes, le recrutement n</w:t>
      </w:r>
      <w:r w:rsidR="00BF513F" w:rsidRPr="00E85915">
        <w:rPr>
          <w:lang w:val="fr-FR"/>
        </w:rPr>
        <w:t>’</w:t>
      </w:r>
      <w:r w:rsidRPr="00E85915">
        <w:rPr>
          <w:lang w:val="fr-FR"/>
        </w:rPr>
        <w:t xml:space="preserve">ayant pas été achevé </w:t>
      </w:r>
      <w:r w:rsidR="00BF513F" w:rsidRPr="00E85915">
        <w:rPr>
          <w:lang w:val="fr-FR"/>
        </w:rPr>
        <w:t>en 2025</w:t>
      </w:r>
      <w:r w:rsidRPr="00E85915">
        <w:rPr>
          <w:lang w:val="fr-FR"/>
        </w:rPr>
        <w:t>.  La version actualisée figure dans la section intitulée “L</w:t>
      </w:r>
      <w:r w:rsidR="00BF513F" w:rsidRPr="00E85915">
        <w:rPr>
          <w:lang w:val="fr-FR"/>
        </w:rPr>
        <w:t>’</w:t>
      </w:r>
      <w:r w:rsidRPr="00E85915">
        <w:rPr>
          <w:lang w:val="fr-FR"/>
        </w:rPr>
        <w:t>année 2026 et au</w:t>
      </w:r>
      <w:r w:rsidR="0089008D">
        <w:rPr>
          <w:lang w:val="fr-FR"/>
        </w:rPr>
        <w:noBreakHyphen/>
      </w:r>
      <w:r w:rsidRPr="00E85915">
        <w:rPr>
          <w:lang w:val="fr-FR"/>
        </w:rPr>
        <w:t>delà”.</w:t>
      </w:r>
    </w:p>
    <w:p w14:paraId="3AE5EFD0" w14:textId="40FDF7F3" w:rsidR="00F0742C" w:rsidRPr="00E85915" w:rsidRDefault="00F0742C" w:rsidP="003A303A">
      <w:pPr>
        <w:pStyle w:val="ONUMFS"/>
        <w:rPr>
          <w:lang w:val="fr-FR"/>
        </w:rPr>
      </w:pPr>
      <w:r w:rsidRPr="00E85915">
        <w:rPr>
          <w:lang w:val="fr-FR"/>
        </w:rPr>
        <w:t>Des prestataires de services externes ont été sollicités durant l</w:t>
      </w:r>
      <w:r w:rsidR="00BF513F" w:rsidRPr="00E85915">
        <w:rPr>
          <w:lang w:val="fr-FR"/>
        </w:rPr>
        <w:t>’</w:t>
      </w:r>
      <w:r w:rsidRPr="00E85915">
        <w:rPr>
          <w:lang w:val="fr-FR"/>
        </w:rPr>
        <w:t>année pour apporter leur soutien à la Section de l</w:t>
      </w:r>
      <w:r w:rsidR="00BF513F" w:rsidRPr="00E85915">
        <w:rPr>
          <w:lang w:val="fr-FR"/>
        </w:rPr>
        <w:t>’</w:t>
      </w:r>
      <w:r w:rsidRPr="00E85915">
        <w:rPr>
          <w:lang w:val="fr-FR"/>
        </w:rPr>
        <w:t>évaluation et à la Section des enquêtes, selon que de besoin.</w:t>
      </w:r>
    </w:p>
    <w:p w14:paraId="222DE0A6" w14:textId="1876A480" w:rsidR="00F0742C" w:rsidRPr="00E85915" w:rsidRDefault="00F0742C" w:rsidP="003A303A">
      <w:pPr>
        <w:pStyle w:val="ONUMFS"/>
        <w:rPr>
          <w:lang w:val="fr-FR"/>
        </w:rPr>
      </w:pPr>
      <w:r w:rsidRPr="00E85915">
        <w:rPr>
          <w:lang w:val="fr-FR"/>
        </w:rPr>
        <w:t>En 2025, le taux d</w:t>
      </w:r>
      <w:r w:rsidR="00BF513F" w:rsidRPr="00E85915">
        <w:rPr>
          <w:lang w:val="fr-FR"/>
        </w:rPr>
        <w:t>’</w:t>
      </w:r>
      <w:r w:rsidRPr="00E85915">
        <w:rPr>
          <w:lang w:val="fr-FR"/>
        </w:rPr>
        <w:t>utilisation du budget pour les dépenses autres que les dépenses de personnel s</w:t>
      </w:r>
      <w:r w:rsidR="00BF513F" w:rsidRPr="00E85915">
        <w:rPr>
          <w:lang w:val="fr-FR"/>
        </w:rPr>
        <w:t>’</w:t>
      </w:r>
      <w:r w:rsidRPr="00E85915">
        <w:rPr>
          <w:lang w:val="fr-FR"/>
        </w:rPr>
        <w:t>élevait à 32% (2024</w:t>
      </w:r>
      <w:r w:rsidR="00BF513F" w:rsidRPr="00E85915">
        <w:rPr>
          <w:lang w:val="fr-FR"/>
        </w:rPr>
        <w:t> :</w:t>
      </w:r>
      <w:r w:rsidRPr="00E85915">
        <w:rPr>
          <w:lang w:val="fr-FR"/>
        </w:rPr>
        <w:t xml:space="preserve"> 47%).  Cette sous</w:t>
      </w:r>
      <w:r w:rsidR="0089008D">
        <w:rPr>
          <w:lang w:val="fr-FR"/>
        </w:rPr>
        <w:noBreakHyphen/>
      </w:r>
      <w:r w:rsidRPr="00E85915">
        <w:rPr>
          <w:lang w:val="fr-FR"/>
        </w:rPr>
        <w:t>utilisation s</w:t>
      </w:r>
      <w:r w:rsidR="00BF513F" w:rsidRPr="00E85915">
        <w:rPr>
          <w:lang w:val="fr-FR"/>
        </w:rPr>
        <w:t>’</w:t>
      </w:r>
      <w:r w:rsidRPr="00E85915">
        <w:rPr>
          <w:lang w:val="fr-FR"/>
        </w:rPr>
        <w:t>explique notamment par des coûts inférieurs aux prévisions budgétair</w:t>
      </w:r>
      <w:r w:rsidR="00E85915" w:rsidRPr="00E85915">
        <w:rPr>
          <w:lang w:val="fr-FR"/>
        </w:rPr>
        <w:t>es.  Pa</w:t>
      </w:r>
      <w:r w:rsidRPr="00E85915">
        <w:rPr>
          <w:lang w:val="fr-FR"/>
        </w:rPr>
        <w:t>r exemple, la baisse du nombre d</w:t>
      </w:r>
      <w:r w:rsidR="00BF513F" w:rsidRPr="00E85915">
        <w:rPr>
          <w:lang w:val="fr-FR"/>
        </w:rPr>
        <w:t>’</w:t>
      </w:r>
      <w:r w:rsidRPr="00E85915">
        <w:rPr>
          <w:lang w:val="fr-FR"/>
        </w:rPr>
        <w:t>enquêtes a entraîné une sous</w:t>
      </w:r>
      <w:r w:rsidR="0089008D">
        <w:rPr>
          <w:lang w:val="fr-FR"/>
        </w:rPr>
        <w:noBreakHyphen/>
      </w:r>
      <w:r w:rsidRPr="00E85915">
        <w:rPr>
          <w:lang w:val="fr-FR"/>
        </w:rPr>
        <w:t>utilisation des ressources externes au cours de l</w:t>
      </w:r>
      <w:r w:rsidR="00BF513F" w:rsidRPr="00E85915">
        <w:rPr>
          <w:lang w:val="fr-FR"/>
        </w:rPr>
        <w:t>’</w:t>
      </w:r>
      <w:r w:rsidRPr="00E85915">
        <w:rPr>
          <w:lang w:val="fr-FR"/>
        </w:rPr>
        <w:t>année.</w:t>
      </w:r>
    </w:p>
    <w:p w14:paraId="551001DE" w14:textId="5BE8CCA7" w:rsidR="00F0742C" w:rsidRPr="00E85915" w:rsidRDefault="00F0742C" w:rsidP="003A303A">
      <w:pPr>
        <w:pStyle w:val="ONUMFS"/>
        <w:rPr>
          <w:lang w:val="fr-FR"/>
        </w:rPr>
      </w:pPr>
      <w:r w:rsidRPr="00E85915">
        <w:rPr>
          <w:lang w:val="fr-FR"/>
        </w:rPr>
        <w:t>Le diagramme 7 ci</w:t>
      </w:r>
      <w:r w:rsidR="0089008D">
        <w:rPr>
          <w:lang w:val="fr-FR"/>
        </w:rPr>
        <w:noBreakHyphen/>
      </w:r>
      <w:r w:rsidRPr="00E85915">
        <w:rPr>
          <w:lang w:val="fr-FR"/>
        </w:rPr>
        <w:t>dessous présente l</w:t>
      </w:r>
      <w:r w:rsidR="00BF513F" w:rsidRPr="00E85915">
        <w:rPr>
          <w:lang w:val="fr-FR"/>
        </w:rPr>
        <w:t>’</w:t>
      </w:r>
      <w:r w:rsidRPr="00E85915">
        <w:rPr>
          <w:lang w:val="fr-FR"/>
        </w:rPr>
        <w:t>analyse du budget et des dépenses, par grade, et la composition de l</w:t>
      </w:r>
      <w:r w:rsidR="00BF513F" w:rsidRPr="00E85915">
        <w:rPr>
          <w:lang w:val="fr-FR"/>
        </w:rPr>
        <w:t>’</w:t>
      </w:r>
      <w:r w:rsidRPr="00E85915">
        <w:rPr>
          <w:lang w:val="fr-FR"/>
        </w:rPr>
        <w:t>effectif de la DSI en 2025.</w:t>
      </w:r>
    </w:p>
    <w:p w14:paraId="5A9973F7" w14:textId="01B103E1" w:rsidR="00F0742C" w:rsidRPr="00E85915" w:rsidRDefault="00F0742C" w:rsidP="00D83603">
      <w:pPr>
        <w:keepNext/>
        <w:spacing w:after="240"/>
        <w:jc w:val="center"/>
        <w:rPr>
          <w:b/>
          <w:bCs/>
          <w:lang w:val="fr-FR"/>
        </w:rPr>
      </w:pPr>
      <w:r w:rsidRPr="00D83603">
        <w:rPr>
          <w:b/>
          <w:bCs/>
          <w:lang w:val="fr-FR"/>
        </w:rPr>
        <w:lastRenderedPageBreak/>
        <w:t xml:space="preserve">Diagramme 7 </w:t>
      </w:r>
      <w:r w:rsidR="00B91586" w:rsidRPr="00D83603">
        <w:rPr>
          <w:b/>
          <w:bCs/>
          <w:lang w:val="fr-FR"/>
        </w:rPr>
        <w:t>–</w:t>
      </w:r>
      <w:r w:rsidRPr="00D83603">
        <w:rPr>
          <w:b/>
          <w:bCs/>
          <w:lang w:val="fr-FR"/>
        </w:rPr>
        <w:t xml:space="preserve"> Budget et dépenses de la DSI </w:t>
      </w:r>
      <w:r w:rsidR="00BF513F" w:rsidRPr="00D83603">
        <w:rPr>
          <w:b/>
          <w:bCs/>
          <w:lang w:val="fr-FR"/>
        </w:rPr>
        <w:t>en 2025</w:t>
      </w:r>
      <w:r w:rsidRPr="00D83603">
        <w:rPr>
          <w:b/>
          <w:bCs/>
          <w:lang w:val="fr-FR"/>
        </w:rPr>
        <w:footnoteReference w:id="15"/>
      </w:r>
      <w:r w:rsidRPr="00D83603">
        <w:rPr>
          <w:b/>
          <w:bCs/>
          <w:lang w:val="fr-FR"/>
        </w:rPr>
        <w:t xml:space="preserve"> et composition de l</w:t>
      </w:r>
      <w:r w:rsidR="00BF513F" w:rsidRPr="00D83603">
        <w:rPr>
          <w:b/>
          <w:bCs/>
          <w:lang w:val="fr-FR"/>
        </w:rPr>
        <w:t>’</w:t>
      </w:r>
      <w:r w:rsidRPr="00D83603">
        <w:rPr>
          <w:b/>
          <w:bCs/>
          <w:lang w:val="fr-FR"/>
        </w:rPr>
        <w:t>effectif</w:t>
      </w:r>
    </w:p>
    <w:p w14:paraId="79B3B9B6" w14:textId="19A622FB" w:rsidR="00D83603" w:rsidRPr="00E85915" w:rsidRDefault="00D83603" w:rsidP="00D83603">
      <w:pPr>
        <w:pStyle w:val="ONUME"/>
        <w:numPr>
          <w:ilvl w:val="0"/>
          <w:numId w:val="0"/>
        </w:numPr>
        <w:tabs>
          <w:tab w:val="left" w:pos="4962"/>
        </w:tabs>
        <w:ind w:left="90"/>
        <w:rPr>
          <w:lang w:val="fr-FR"/>
        </w:rPr>
      </w:pPr>
      <w:r w:rsidRPr="00D83603">
        <w:rPr>
          <w:noProof/>
        </w:rPr>
        <w:drawing>
          <wp:inline distT="0" distB="0" distL="0" distR="0" wp14:anchorId="232DE1A6" wp14:editId="17A0255E">
            <wp:extent cx="2746800" cy="897268"/>
            <wp:effectExtent l="0" t="0" r="0" b="0"/>
            <wp:docPr id="675292993" name="Picture 11" descr="Diagramme 7 - Budget et dépenses de la DSI en 2025 et composition de l’effectif Ce diagramme établit une comparaison entre le budget 2025 de la Division de la supervision interne (DSI) et les dépenses réelles. Le budget total de la DSI approuvé pour 2025 s’est élevé à 3,67 millions de francs suisses, tandis que les dépenses totales s’élevaient à 1,90 million de francs suisses. Les dépenses de personnel ont représenté 58% du budget alloué aux dépenses de personnel, tandis que les dépenses autres que les dépenses de personnel ont représenté 32% du budget alloué aux dépenses autres que les dépenses de perso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292993" name="Picture 11" descr="Diagramme 7 - Budget et dépenses de la DSI en 2025 et composition de l’effectif Ce diagramme établit une comparaison entre le budget 2025 de la Division de la supervision interne (DSI) et les dépenses réelles. Le budget total de la DSI approuvé pour 2025 s’est élevé à 3,67 millions de francs suisses, tandis que les dépenses totales s’élevaient à 1,90 million de francs suisses. Les dépenses de personnel ont représenté 58% du budget alloué aux dépenses de personnel, tandis que les dépenses autres que les dépenses de personnel ont représenté 32% du budget alloué aux dépenses autres que les dépenses de personne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746800" cy="897268"/>
                    </a:xfrm>
                    <a:prstGeom prst="rect">
                      <a:avLst/>
                    </a:prstGeom>
                    <a:noFill/>
                    <a:ln>
                      <a:noFill/>
                    </a:ln>
                  </pic:spPr>
                </pic:pic>
              </a:graphicData>
            </a:graphic>
          </wp:inline>
        </w:drawing>
      </w:r>
      <w:r>
        <w:rPr>
          <w:lang w:val="fr-FR"/>
        </w:rPr>
        <w:tab/>
      </w:r>
      <w:r w:rsidRPr="00D83603">
        <w:rPr>
          <w:noProof/>
        </w:rPr>
        <w:drawing>
          <wp:inline distT="0" distB="0" distL="0" distR="0" wp14:anchorId="22A87D2C" wp14:editId="59289DC2">
            <wp:extent cx="2642400" cy="1392413"/>
            <wp:effectExtent l="0" t="0" r="5715" b="0"/>
            <wp:docPr id="714174655" name="Picture 12" descr="Diagramme 7 - Budget et dépenses de la DSI en 2025 et composition de l’effectif Ce tableau indique le composition de l’effectif de la DSI en 2025, par catégorie de personnel, genre et postes vacants. La division comptait un poste de directeur, occupé par une femme. Parmi le personnel de la catégorie des administrateurs, on comptait une femme, six hommes et quatre postes vacants. Dans la catégorie des services généraux, on comptait une seule fe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74655" name="Picture 12" descr="Diagramme 7 - Budget et dépenses de la DSI en 2025 et composition de l’effectif Ce tableau indique le composition de l’effectif de la DSI en 2025, par catégorie de personnel, genre et postes vacants. La division comptait un poste de directeur, occupé par une femme. Parmi le personnel de la catégorie des administrateurs, on comptait une femme, six hommes et quatre postes vacants. Dans la catégorie des services généraux, on comptait une seule femm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642400" cy="1392413"/>
                    </a:xfrm>
                    <a:prstGeom prst="rect">
                      <a:avLst/>
                    </a:prstGeom>
                    <a:noFill/>
                    <a:ln>
                      <a:noFill/>
                    </a:ln>
                  </pic:spPr>
                </pic:pic>
              </a:graphicData>
            </a:graphic>
          </wp:inline>
        </w:drawing>
      </w:r>
    </w:p>
    <w:p w14:paraId="5715F792" w14:textId="433794DA" w:rsidR="00BF513F" w:rsidRPr="00D83603" w:rsidRDefault="00F0742C" w:rsidP="00D83603">
      <w:pPr>
        <w:spacing w:after="240"/>
        <w:rPr>
          <w:sz w:val="18"/>
          <w:szCs w:val="18"/>
          <w:lang w:val="fr-FR"/>
        </w:rPr>
      </w:pPr>
      <w:r w:rsidRPr="00D83603">
        <w:rPr>
          <w:sz w:val="18"/>
          <w:szCs w:val="18"/>
          <w:lang w:val="fr-FR"/>
        </w:rPr>
        <w:t>Source</w:t>
      </w:r>
      <w:r w:rsidR="00BF513F" w:rsidRPr="00D83603">
        <w:rPr>
          <w:sz w:val="18"/>
          <w:szCs w:val="18"/>
          <w:lang w:val="fr-FR"/>
        </w:rPr>
        <w:t> :</w:t>
      </w:r>
      <w:r w:rsidRPr="00D83603">
        <w:rPr>
          <w:sz w:val="18"/>
          <w:szCs w:val="18"/>
          <w:lang w:val="fr-FR"/>
        </w:rPr>
        <w:t xml:space="preserve"> WePerform, OMPI</w:t>
      </w:r>
      <w:r w:rsidR="0089008D" w:rsidRPr="00D83603">
        <w:rPr>
          <w:sz w:val="18"/>
          <w:szCs w:val="18"/>
          <w:lang w:val="fr-FR"/>
        </w:rPr>
        <w:t>.</w:t>
      </w:r>
    </w:p>
    <w:p w14:paraId="51885101" w14:textId="53B7B6B3" w:rsidR="00F0742C" w:rsidRPr="00E85915" w:rsidRDefault="00F0742C" w:rsidP="00D83603">
      <w:pPr>
        <w:pStyle w:val="Heading1"/>
      </w:pPr>
      <w:bookmarkStart w:id="47" w:name="_Toc227321813"/>
      <w:r w:rsidRPr="00E85915">
        <w:t>L</w:t>
      </w:r>
      <w:r w:rsidR="00BF513F" w:rsidRPr="00E85915">
        <w:t>’</w:t>
      </w:r>
      <w:r w:rsidRPr="00E85915">
        <w:t>ANNÉE 2026 ET AU</w:t>
      </w:r>
      <w:r w:rsidR="0089008D">
        <w:noBreakHyphen/>
      </w:r>
      <w:r w:rsidRPr="00E85915">
        <w:t>DELÀ</w:t>
      </w:r>
      <w:bookmarkEnd w:id="47"/>
    </w:p>
    <w:p w14:paraId="75987BF6" w14:textId="5DF0A623" w:rsidR="00F0742C" w:rsidRPr="00E85915" w:rsidRDefault="00F0742C" w:rsidP="003A303A">
      <w:pPr>
        <w:pStyle w:val="ONUMFS"/>
        <w:rPr>
          <w:lang w:val="fr-FR"/>
        </w:rPr>
      </w:pPr>
      <w:r w:rsidRPr="00E85915">
        <w:rPr>
          <w:lang w:val="fr-FR"/>
        </w:rPr>
        <w:t>Avec le recrutement du chef de la Section de l</w:t>
      </w:r>
      <w:r w:rsidR="00BF513F" w:rsidRPr="00E85915">
        <w:rPr>
          <w:lang w:val="fr-FR"/>
        </w:rPr>
        <w:t>’</w:t>
      </w:r>
      <w:r w:rsidRPr="00E85915">
        <w:rPr>
          <w:lang w:val="fr-FR"/>
        </w:rPr>
        <w:t>évaluation et de l</w:t>
      </w:r>
      <w:r w:rsidR="00BF513F" w:rsidRPr="00E85915">
        <w:rPr>
          <w:lang w:val="fr-FR"/>
        </w:rPr>
        <w:t>’</w:t>
      </w:r>
      <w:r w:rsidRPr="00E85915">
        <w:rPr>
          <w:lang w:val="fr-FR"/>
        </w:rPr>
        <w:t>administrateur principal chargé de l</w:t>
      </w:r>
      <w:r w:rsidR="00BF513F" w:rsidRPr="00E85915">
        <w:rPr>
          <w:lang w:val="fr-FR"/>
        </w:rPr>
        <w:t>’</w:t>
      </w:r>
      <w:r w:rsidRPr="00E85915">
        <w:rPr>
          <w:lang w:val="fr-FR"/>
        </w:rPr>
        <w:t xml:space="preserve">évaluation au premier trimestre </w:t>
      </w:r>
      <w:r w:rsidR="00BF513F" w:rsidRPr="00E85915">
        <w:rPr>
          <w:lang w:val="fr-FR"/>
        </w:rPr>
        <w:t>de 2026</w:t>
      </w:r>
      <w:r w:rsidRPr="00E85915">
        <w:rPr>
          <w:lang w:val="fr-FR"/>
        </w:rPr>
        <w:t>, la révision de la politique et du manuel d</w:t>
      </w:r>
      <w:r w:rsidR="00BF513F" w:rsidRPr="00E85915">
        <w:rPr>
          <w:lang w:val="fr-FR"/>
        </w:rPr>
        <w:t>’</w:t>
      </w:r>
      <w:r w:rsidRPr="00E85915">
        <w:rPr>
          <w:lang w:val="fr-FR"/>
        </w:rPr>
        <w:t>évaluation devrait être achevée le 31 </w:t>
      </w:r>
      <w:r w:rsidR="00BF513F" w:rsidRPr="00E85915">
        <w:rPr>
          <w:lang w:val="fr-FR"/>
        </w:rPr>
        <w:t>décembre 20</w:t>
      </w:r>
      <w:r w:rsidRPr="00E85915">
        <w:rPr>
          <w:lang w:val="fr-FR"/>
        </w:rPr>
        <w:t>26.</w:t>
      </w:r>
    </w:p>
    <w:p w14:paraId="2472803C" w14:textId="7599AF82" w:rsidR="00BF513F" w:rsidRPr="00E85915" w:rsidRDefault="00F0742C" w:rsidP="003A303A">
      <w:pPr>
        <w:pStyle w:val="ONUMFS"/>
        <w:rPr>
          <w:lang w:val="fr-FR"/>
        </w:rPr>
      </w:pPr>
      <w:r w:rsidRPr="00E85915">
        <w:rPr>
          <w:lang w:val="fr-FR"/>
        </w:rPr>
        <w:t xml:space="preserve">Le poste de </w:t>
      </w:r>
      <w:r w:rsidR="00B91586">
        <w:rPr>
          <w:lang w:val="fr-FR"/>
        </w:rPr>
        <w:t>c</w:t>
      </w:r>
      <w:r w:rsidRPr="00E85915">
        <w:rPr>
          <w:lang w:val="fr-FR"/>
        </w:rPr>
        <w:t>hef de la section d</w:t>
      </w:r>
      <w:r w:rsidR="00BF513F" w:rsidRPr="00E85915">
        <w:rPr>
          <w:lang w:val="fr-FR"/>
        </w:rPr>
        <w:t>’</w:t>
      </w:r>
      <w:r w:rsidRPr="00E85915">
        <w:rPr>
          <w:lang w:val="fr-FR"/>
        </w:rPr>
        <w:t xml:space="preserve">audit étant devenu vacant en </w:t>
      </w:r>
      <w:r w:rsidR="00BF513F" w:rsidRPr="00E85915">
        <w:rPr>
          <w:lang w:val="fr-FR"/>
        </w:rPr>
        <w:t>octobre 20</w:t>
      </w:r>
      <w:r w:rsidRPr="00E85915">
        <w:rPr>
          <w:lang w:val="fr-FR"/>
        </w:rPr>
        <w:t xml:space="preserve">25, la procédure de recrutement pour pourvoir ce poste sera lancée </w:t>
      </w:r>
      <w:r w:rsidR="00BF513F" w:rsidRPr="00E85915">
        <w:rPr>
          <w:lang w:val="fr-FR"/>
        </w:rPr>
        <w:t>en 2026</w:t>
      </w:r>
      <w:r w:rsidRPr="00E85915">
        <w:rPr>
          <w:lang w:val="fr-FR"/>
        </w:rPr>
        <w:t>.  Il en va de même pour le poste de chef de la Section des enquêtes, resté vacant tout au long de l</w:t>
      </w:r>
      <w:r w:rsidR="00BF513F" w:rsidRPr="00E85915">
        <w:rPr>
          <w:lang w:val="fr-FR"/>
        </w:rPr>
        <w:t>’</w:t>
      </w:r>
      <w:r w:rsidRPr="00E85915">
        <w:rPr>
          <w:lang w:val="fr-FR"/>
        </w:rPr>
        <w:t>année 2025.</w:t>
      </w:r>
    </w:p>
    <w:p w14:paraId="0D1D2B3E" w14:textId="35176C95" w:rsidR="00F0742C" w:rsidRPr="00E85915" w:rsidRDefault="00F0742C" w:rsidP="003A303A">
      <w:pPr>
        <w:pStyle w:val="ONUMFS"/>
        <w:rPr>
          <w:lang w:val="fr-FR"/>
        </w:rPr>
      </w:pPr>
      <w:r w:rsidRPr="00E85915">
        <w:rPr>
          <w:lang w:val="fr-FR"/>
        </w:rPr>
        <w:t>Onze recommandations ouvertes ont été mises en œuvre entre le 31 </w:t>
      </w:r>
      <w:r w:rsidR="00BF513F" w:rsidRPr="00E85915">
        <w:rPr>
          <w:lang w:val="fr-FR"/>
        </w:rPr>
        <w:t>décembre 20</w:t>
      </w:r>
      <w:r w:rsidRPr="00E85915">
        <w:rPr>
          <w:lang w:val="fr-FR"/>
        </w:rPr>
        <w:t>25 et le 28 </w:t>
      </w:r>
      <w:r w:rsidR="00BF513F" w:rsidRPr="00E85915">
        <w:rPr>
          <w:lang w:val="fr-FR"/>
        </w:rPr>
        <w:t>février 20</w:t>
      </w:r>
      <w:r w:rsidRPr="00E85915">
        <w:rPr>
          <w:lang w:val="fr-FR"/>
        </w:rPr>
        <w:t>26, ce qui laisse 49 recommandations ouvertes (dont sept</w:t>
      </w:r>
      <w:r w:rsidR="00FE72CE" w:rsidRPr="00E85915">
        <w:rPr>
          <w:lang w:val="fr-FR"/>
        </w:rPr>
        <w:t> </w:t>
      </w:r>
      <w:r w:rsidRPr="00E85915">
        <w:rPr>
          <w:lang w:val="fr-FR"/>
        </w:rPr>
        <w:t xml:space="preserve">émanent du vérificateur externe des comptes) à la fin du mois de </w:t>
      </w:r>
      <w:r w:rsidR="00BF513F" w:rsidRPr="00E85915">
        <w:rPr>
          <w:lang w:val="fr-FR"/>
        </w:rPr>
        <w:t>février 20</w:t>
      </w:r>
      <w:r w:rsidRPr="00E85915">
        <w:rPr>
          <w:lang w:val="fr-FR"/>
        </w:rPr>
        <w:t>26.</w:t>
      </w:r>
    </w:p>
    <w:p w14:paraId="33109582" w14:textId="6D706D01" w:rsidR="00F0742C" w:rsidRPr="00E85915" w:rsidRDefault="00F0742C" w:rsidP="003A303A">
      <w:pPr>
        <w:pStyle w:val="ONUMFS"/>
        <w:rPr>
          <w:lang w:val="fr-FR"/>
        </w:rPr>
      </w:pPr>
      <w:r w:rsidRPr="00E85915">
        <w:rPr>
          <w:lang w:val="fr-FR"/>
        </w:rPr>
        <w:t>La Section d</w:t>
      </w:r>
      <w:r w:rsidR="00BF513F" w:rsidRPr="00E85915">
        <w:rPr>
          <w:lang w:val="fr-FR"/>
        </w:rPr>
        <w:t>’</w:t>
      </w:r>
      <w:r w:rsidRPr="00E85915">
        <w:rPr>
          <w:lang w:val="fr-FR"/>
        </w:rPr>
        <w:t>audit interne et la Section des enquêtes devraient faire l</w:t>
      </w:r>
      <w:r w:rsidR="00BF513F" w:rsidRPr="00E85915">
        <w:rPr>
          <w:lang w:val="fr-FR"/>
        </w:rPr>
        <w:t>’</w:t>
      </w:r>
      <w:r w:rsidRPr="00E85915">
        <w:rPr>
          <w:lang w:val="fr-FR"/>
        </w:rPr>
        <w:t>objet d</w:t>
      </w:r>
      <w:r w:rsidR="00BF513F" w:rsidRPr="00E85915">
        <w:rPr>
          <w:lang w:val="fr-FR"/>
        </w:rPr>
        <w:t>’</w:t>
      </w:r>
      <w:r w:rsidRPr="00E85915">
        <w:rPr>
          <w:lang w:val="fr-FR"/>
        </w:rPr>
        <w:t xml:space="preserve">un examen externe </w:t>
      </w:r>
      <w:r w:rsidR="00BF513F" w:rsidRPr="00E85915">
        <w:rPr>
          <w:lang w:val="fr-FR"/>
        </w:rPr>
        <w:t>en 2026</w:t>
      </w:r>
      <w:r w:rsidRPr="00E85915">
        <w:rPr>
          <w:lang w:val="fr-FR"/>
        </w:rPr>
        <w:t xml:space="preserve">, après les derniers examens effectués en octobre et </w:t>
      </w:r>
      <w:r w:rsidR="00BF513F" w:rsidRPr="00E85915">
        <w:rPr>
          <w:lang w:val="fr-FR"/>
        </w:rPr>
        <w:t>novembre 20</w:t>
      </w:r>
      <w:r w:rsidRPr="00E85915">
        <w:rPr>
          <w:lang w:val="fr-FR"/>
        </w:rPr>
        <w:t>20, respectivement.</w:t>
      </w:r>
    </w:p>
    <w:p w14:paraId="1E44679B" w14:textId="77777777" w:rsidR="00F0742C" w:rsidRPr="00E85915" w:rsidRDefault="00F0742C" w:rsidP="00D83603">
      <w:pPr>
        <w:pStyle w:val="Heading1"/>
      </w:pPr>
      <w:bookmarkStart w:id="48" w:name="_Toc227321814"/>
      <w:r w:rsidRPr="00E85915">
        <w:t>CONCLUSION</w:t>
      </w:r>
      <w:bookmarkEnd w:id="48"/>
    </w:p>
    <w:p w14:paraId="414774CF" w14:textId="7DCF6E1F" w:rsidR="00F0742C" w:rsidRPr="00E85915" w:rsidRDefault="00F0742C" w:rsidP="003A303A">
      <w:pPr>
        <w:pStyle w:val="ONUMFS"/>
        <w:rPr>
          <w:lang w:val="fr-FR"/>
        </w:rPr>
      </w:pPr>
      <w:r w:rsidRPr="00E85915">
        <w:rPr>
          <w:lang w:val="fr-FR"/>
        </w:rPr>
        <w:t>La directrice de</w:t>
      </w:r>
      <w:r w:rsidR="00BF513F" w:rsidRPr="00E85915">
        <w:rPr>
          <w:lang w:val="fr-FR"/>
        </w:rPr>
        <w:t xml:space="preserve"> la DSI</w:t>
      </w:r>
      <w:r w:rsidRPr="00E85915">
        <w:rPr>
          <w:lang w:val="fr-FR"/>
        </w:rPr>
        <w:t xml:space="preserve"> tient à remercier l</w:t>
      </w:r>
      <w:r w:rsidR="00BF513F" w:rsidRPr="00E85915">
        <w:rPr>
          <w:lang w:val="fr-FR"/>
        </w:rPr>
        <w:t>’</w:t>
      </w:r>
      <w:r w:rsidRPr="00E85915">
        <w:rPr>
          <w:lang w:val="fr-FR"/>
        </w:rPr>
        <w:t>OCIS, le Directeur général, les chefs de secteur et le personnel de l</w:t>
      </w:r>
      <w:r w:rsidR="00BF513F" w:rsidRPr="00E85915">
        <w:rPr>
          <w:lang w:val="fr-FR"/>
        </w:rPr>
        <w:t>’</w:t>
      </w:r>
      <w:r w:rsidRPr="00E85915">
        <w:rPr>
          <w:lang w:val="fr-FR"/>
        </w:rPr>
        <w:t xml:space="preserve">OMPI pour leur soutien et leur coopération continus, qui ont permis à la division de remplir sa mission avec succès </w:t>
      </w:r>
      <w:r w:rsidR="00BF513F" w:rsidRPr="00E85915">
        <w:rPr>
          <w:lang w:val="fr-FR"/>
        </w:rPr>
        <w:t>en 2025</w:t>
      </w:r>
      <w:r w:rsidRPr="00E85915">
        <w:rPr>
          <w:lang w:val="fr-FR"/>
        </w:rPr>
        <w:t>.</w:t>
      </w:r>
    </w:p>
    <w:p w14:paraId="6D58F852" w14:textId="0CDDF093" w:rsidR="00F0742C" w:rsidRPr="00E85915" w:rsidRDefault="00F0742C" w:rsidP="003A303A">
      <w:pPr>
        <w:pStyle w:val="ONUMFS"/>
        <w:rPr>
          <w:lang w:val="fr-FR"/>
        </w:rPr>
      </w:pPr>
      <w:r w:rsidRPr="00E85915">
        <w:rPr>
          <w:lang w:val="fr-FR"/>
        </w:rPr>
        <w:t>La division attend avec intérêt de collaborer étroitement avec l</w:t>
      </w:r>
      <w:r w:rsidR="00BF513F" w:rsidRPr="00E85915">
        <w:rPr>
          <w:lang w:val="fr-FR"/>
        </w:rPr>
        <w:t>’</w:t>
      </w:r>
      <w:r w:rsidRPr="00E85915">
        <w:rPr>
          <w:lang w:val="fr-FR"/>
        </w:rPr>
        <w:t>OCIS, le Directeur général, les chefs de secteur et le personnel de l</w:t>
      </w:r>
      <w:r w:rsidR="00BF513F" w:rsidRPr="00E85915">
        <w:rPr>
          <w:lang w:val="fr-FR"/>
        </w:rPr>
        <w:t>’</w:t>
      </w:r>
      <w:r w:rsidRPr="00E85915">
        <w:rPr>
          <w:lang w:val="fr-FR"/>
        </w:rPr>
        <w:t>OMPI, afin d</w:t>
      </w:r>
      <w:r w:rsidR="00BF513F" w:rsidRPr="00E85915">
        <w:rPr>
          <w:lang w:val="fr-FR"/>
        </w:rPr>
        <w:t>’</w:t>
      </w:r>
      <w:r w:rsidRPr="00E85915">
        <w:rPr>
          <w:lang w:val="fr-FR"/>
        </w:rPr>
        <w:t>atteindre les objectifs et les résultats clés de l</w:t>
      </w:r>
      <w:r w:rsidR="00BF513F" w:rsidRPr="00E85915">
        <w:rPr>
          <w:lang w:val="fr-FR"/>
        </w:rPr>
        <w:t>’</w:t>
      </w:r>
      <w:r w:rsidRPr="00E85915">
        <w:rPr>
          <w:lang w:val="fr-FR"/>
        </w:rPr>
        <w:t>Organisation, tout en continuant de renforcer sa contribution à la gouvernance, à la gestion des risques et aux procédures de contrôle interne.</w:t>
      </w:r>
    </w:p>
    <w:p w14:paraId="093B5ACD" w14:textId="22105477" w:rsidR="00F0742C" w:rsidRPr="00E85915" w:rsidRDefault="00F0742C" w:rsidP="003A303A">
      <w:pPr>
        <w:pStyle w:val="Endofdocument-Annex"/>
      </w:pPr>
      <w:r w:rsidRPr="00E85915">
        <w:t>[L</w:t>
      </w:r>
      <w:r w:rsidR="00BF513F" w:rsidRPr="00E85915">
        <w:t>’</w:t>
      </w:r>
      <w:r w:rsidRPr="00E85915">
        <w:t>annexe suit]</w:t>
      </w:r>
    </w:p>
    <w:p w14:paraId="45172B6F" w14:textId="77777777" w:rsidR="00F0742C" w:rsidRPr="00E85915" w:rsidRDefault="00F0742C" w:rsidP="003A303A">
      <w:pPr>
        <w:pStyle w:val="ONUME"/>
        <w:numPr>
          <w:ilvl w:val="0"/>
          <w:numId w:val="0"/>
        </w:numPr>
        <w:ind w:left="90"/>
        <w:rPr>
          <w:lang w:val="fr-FR"/>
        </w:rPr>
      </w:pPr>
    </w:p>
    <w:p w14:paraId="24EA2DAC" w14:textId="60396D96" w:rsidR="00F0742C" w:rsidRPr="00E85915" w:rsidRDefault="00F0742C" w:rsidP="003A303A">
      <w:pPr>
        <w:pStyle w:val="ONUME"/>
        <w:numPr>
          <w:ilvl w:val="0"/>
          <w:numId w:val="0"/>
        </w:numPr>
        <w:ind w:left="90"/>
        <w:rPr>
          <w:lang w:val="fr-FR"/>
        </w:rPr>
        <w:sectPr w:rsidR="00F0742C" w:rsidRPr="00E85915" w:rsidSect="003A303A">
          <w:headerReference w:type="even" r:id="rId27"/>
          <w:headerReference w:type="default" r:id="rId28"/>
          <w:footerReference w:type="even" r:id="rId29"/>
          <w:footerReference w:type="default" r:id="rId30"/>
          <w:headerReference w:type="first" r:id="rId31"/>
          <w:footerReference w:type="first" r:id="rId32"/>
          <w:endnotePr>
            <w:numFmt w:val="decimal"/>
          </w:endnotePr>
          <w:pgSz w:w="11907" w:h="16840" w:code="9"/>
          <w:pgMar w:top="567" w:right="1134" w:bottom="1418" w:left="1418" w:header="510" w:footer="1021" w:gutter="0"/>
          <w:pgNumType w:start="1"/>
          <w:cols w:space="720"/>
          <w:titlePg/>
          <w:docGrid w:linePitch="299"/>
        </w:sectPr>
      </w:pPr>
    </w:p>
    <w:p w14:paraId="46E6EBFC" w14:textId="1F8A83B5" w:rsidR="00F0742C" w:rsidRPr="00E85915" w:rsidRDefault="00F0742C" w:rsidP="003A303A">
      <w:pPr>
        <w:keepLines/>
        <w:spacing w:after="120"/>
        <w:jc w:val="center"/>
        <w:rPr>
          <w:b/>
          <w:bCs/>
          <w:lang w:val="fr-FR"/>
        </w:rPr>
      </w:pPr>
      <w:r w:rsidRPr="00E85915">
        <w:rPr>
          <w:b/>
          <w:lang w:val="fr-FR"/>
        </w:rPr>
        <w:lastRenderedPageBreak/>
        <w:t xml:space="preserve">ANNEXE </w:t>
      </w:r>
      <w:r w:rsidR="00B91586">
        <w:rPr>
          <w:b/>
          <w:lang w:val="fr-FR"/>
        </w:rPr>
        <w:t>–</w:t>
      </w:r>
      <w:r w:rsidRPr="00E85915">
        <w:rPr>
          <w:b/>
          <w:lang w:val="fr-FR"/>
        </w:rPr>
        <w:t xml:space="preserve"> Liste des documents et rapports établis par la DSI</w:t>
      </w:r>
    </w:p>
    <w:tbl>
      <w:tblPr>
        <w:tblStyle w:val="TableGridLight"/>
        <w:tblW w:w="9435" w:type="dxa"/>
        <w:tblLayout w:type="fixed"/>
        <w:tblLook w:val="04A0" w:firstRow="1" w:lastRow="0" w:firstColumn="1" w:lastColumn="0" w:noHBand="0" w:noVBand="1"/>
        <w:tblCaption w:val="Annexe"/>
        <w:tblDescription w:val="Charte de la supervision interne, politiques et manuels mis à jour et liste des rapports établis par la DSI du 1er janvier 2025 au 31 décembre 2025&#10;"/>
      </w:tblPr>
      <w:tblGrid>
        <w:gridCol w:w="5665"/>
        <w:gridCol w:w="1620"/>
        <w:gridCol w:w="2150"/>
      </w:tblGrid>
      <w:tr w:rsidR="00F0742C" w:rsidRPr="00E85915" w14:paraId="714080ED" w14:textId="77777777" w:rsidTr="00D83603">
        <w:trPr>
          <w:trHeight w:val="539"/>
          <w:tblHeader/>
        </w:trPr>
        <w:tc>
          <w:tcPr>
            <w:tcW w:w="5665" w:type="dxa"/>
            <w:shd w:val="clear" w:color="auto" w:fill="244061" w:themeFill="accent1" w:themeFillShade="80"/>
            <w:vAlign w:val="center"/>
          </w:tcPr>
          <w:p w14:paraId="23F80DD9" w14:textId="50AFEB33" w:rsidR="00F0742C" w:rsidRPr="00E85915" w:rsidRDefault="00F0742C" w:rsidP="003A303A">
            <w:pPr>
              <w:pStyle w:val="ONUME"/>
              <w:numPr>
                <w:ilvl w:val="0"/>
                <w:numId w:val="0"/>
              </w:numPr>
              <w:spacing w:after="240"/>
              <w:rPr>
                <w:rFonts w:eastAsia="Times New Roman"/>
                <w:color w:val="FFFFFF" w:themeColor="background1"/>
                <w:sz w:val="18"/>
                <w:szCs w:val="18"/>
              </w:rPr>
            </w:pPr>
            <w:r w:rsidRPr="00E85915">
              <w:rPr>
                <w:b/>
                <w:color w:val="FFFFFF" w:themeColor="background1"/>
                <w:sz w:val="18"/>
              </w:rPr>
              <w:t xml:space="preserve">Charte de la supervision interne, politiques et manuels mis à jour </w:t>
            </w:r>
            <w:r w:rsidR="00BF513F" w:rsidRPr="00E85915">
              <w:rPr>
                <w:b/>
                <w:color w:val="FFFFFF" w:themeColor="background1"/>
                <w:sz w:val="18"/>
              </w:rPr>
              <w:t>en 2025</w:t>
            </w:r>
            <w:r w:rsidRPr="00E85915">
              <w:rPr>
                <w:rStyle w:val="FootnoteReference"/>
                <w:rFonts w:eastAsia="Times New Roman"/>
                <w:b/>
                <w:color w:val="FFFFFF" w:themeColor="background1"/>
                <w:sz w:val="18"/>
                <w:szCs w:val="18"/>
                <w:lang w:eastAsia="en-US"/>
              </w:rPr>
              <w:footnoteReference w:id="16"/>
            </w:r>
          </w:p>
        </w:tc>
        <w:tc>
          <w:tcPr>
            <w:tcW w:w="1620" w:type="dxa"/>
            <w:shd w:val="clear" w:color="auto" w:fill="244061" w:themeFill="accent1" w:themeFillShade="80"/>
            <w:vAlign w:val="center"/>
          </w:tcPr>
          <w:p w14:paraId="7E37F580" w14:textId="77777777" w:rsidR="00F0742C" w:rsidRPr="00E85915" w:rsidRDefault="00F0742C" w:rsidP="003A303A">
            <w:pPr>
              <w:pStyle w:val="ONUME"/>
              <w:numPr>
                <w:ilvl w:val="0"/>
                <w:numId w:val="0"/>
              </w:numPr>
              <w:ind w:left="34"/>
              <w:jc w:val="center"/>
              <w:rPr>
                <w:rFonts w:eastAsia="Times New Roman"/>
                <w:b/>
                <w:color w:val="FFFFFF" w:themeColor="background1"/>
                <w:sz w:val="18"/>
                <w:szCs w:val="18"/>
              </w:rPr>
            </w:pPr>
            <w:r w:rsidRPr="00E85915">
              <w:rPr>
                <w:b/>
                <w:color w:val="FFFFFF" w:themeColor="background1"/>
                <w:sz w:val="18"/>
              </w:rPr>
              <w:t>Réf.</w:t>
            </w:r>
          </w:p>
        </w:tc>
        <w:tc>
          <w:tcPr>
            <w:tcW w:w="2150" w:type="dxa"/>
            <w:shd w:val="clear" w:color="auto" w:fill="244061" w:themeFill="accent1" w:themeFillShade="80"/>
          </w:tcPr>
          <w:p w14:paraId="43D22E21" w14:textId="77777777" w:rsidR="00F0742C" w:rsidRPr="00E85915" w:rsidRDefault="00F0742C" w:rsidP="003A303A">
            <w:pPr>
              <w:pStyle w:val="ONUME"/>
              <w:numPr>
                <w:ilvl w:val="0"/>
                <w:numId w:val="0"/>
              </w:numPr>
              <w:ind w:left="34"/>
              <w:jc w:val="center"/>
              <w:rPr>
                <w:rFonts w:eastAsia="Times New Roman"/>
                <w:b/>
                <w:color w:val="FFFFFF" w:themeColor="background1"/>
                <w:sz w:val="18"/>
                <w:szCs w:val="18"/>
              </w:rPr>
            </w:pPr>
            <w:r w:rsidRPr="00E85915">
              <w:rPr>
                <w:b/>
                <w:color w:val="FFFFFF" w:themeColor="background1"/>
                <w:sz w:val="18"/>
              </w:rPr>
              <w:t>Entrée en vigueur</w:t>
            </w:r>
          </w:p>
        </w:tc>
      </w:tr>
      <w:tr w:rsidR="00F0742C" w:rsidRPr="00E85915" w14:paraId="1BBD5422" w14:textId="77777777" w:rsidTr="00D83603">
        <w:trPr>
          <w:trHeight w:val="35"/>
        </w:trPr>
        <w:tc>
          <w:tcPr>
            <w:tcW w:w="5665" w:type="dxa"/>
            <w:vAlign w:val="center"/>
          </w:tcPr>
          <w:p w14:paraId="529EF53D" w14:textId="77777777" w:rsidR="00F0742C" w:rsidRPr="00E85915" w:rsidRDefault="00F0742C" w:rsidP="003A303A">
            <w:pPr>
              <w:pStyle w:val="Default"/>
              <w:rPr>
                <w:sz w:val="18"/>
                <w:szCs w:val="18"/>
              </w:rPr>
            </w:pPr>
            <w:r w:rsidRPr="00E85915">
              <w:rPr>
                <w:sz w:val="18"/>
              </w:rPr>
              <w:t>Politique en matière de publication des rapports</w:t>
            </w:r>
          </w:p>
        </w:tc>
        <w:tc>
          <w:tcPr>
            <w:tcW w:w="1620" w:type="dxa"/>
            <w:vAlign w:val="center"/>
          </w:tcPr>
          <w:p w14:paraId="373309CA" w14:textId="77777777" w:rsidR="00F0742C" w:rsidRPr="00E85915" w:rsidRDefault="00F0742C" w:rsidP="003A303A">
            <w:pPr>
              <w:pStyle w:val="Default"/>
              <w:rPr>
                <w:sz w:val="18"/>
                <w:szCs w:val="18"/>
              </w:rPr>
            </w:pPr>
            <w:r w:rsidRPr="00E85915">
              <w:rPr>
                <w:sz w:val="18"/>
              </w:rPr>
              <w:t>IOD/PP/2025</w:t>
            </w:r>
          </w:p>
        </w:tc>
        <w:tc>
          <w:tcPr>
            <w:tcW w:w="2150" w:type="dxa"/>
            <w:vAlign w:val="center"/>
          </w:tcPr>
          <w:p w14:paraId="3C0B620D" w14:textId="77777777" w:rsidR="00F0742C" w:rsidRPr="00E85915" w:rsidRDefault="00F0742C" w:rsidP="003A303A">
            <w:pPr>
              <w:pStyle w:val="Default"/>
              <w:rPr>
                <w:sz w:val="18"/>
                <w:szCs w:val="18"/>
              </w:rPr>
            </w:pPr>
            <w:r w:rsidRPr="00E85915">
              <w:rPr>
                <w:sz w:val="18"/>
              </w:rPr>
              <w:t>16 septembre 2025</w:t>
            </w:r>
          </w:p>
        </w:tc>
      </w:tr>
      <w:tr w:rsidR="00F0742C" w:rsidRPr="00E85915" w14:paraId="35AA057D" w14:textId="77777777" w:rsidTr="00D83603">
        <w:trPr>
          <w:trHeight w:val="611"/>
          <w:tblHeader/>
        </w:trPr>
        <w:tc>
          <w:tcPr>
            <w:tcW w:w="5665" w:type="dxa"/>
            <w:shd w:val="clear" w:color="auto" w:fill="244061" w:themeFill="accent1" w:themeFillShade="80"/>
            <w:vAlign w:val="center"/>
          </w:tcPr>
          <w:p w14:paraId="495153CC" w14:textId="77777777" w:rsidR="00F0742C" w:rsidRPr="00E85915" w:rsidRDefault="00F0742C" w:rsidP="003A303A">
            <w:pPr>
              <w:pStyle w:val="ONUME"/>
              <w:numPr>
                <w:ilvl w:val="0"/>
                <w:numId w:val="0"/>
              </w:numPr>
              <w:spacing w:after="240"/>
              <w:rPr>
                <w:rFonts w:eastAsia="Times New Roman"/>
                <w:b/>
                <w:color w:val="FFFFFF" w:themeColor="background1"/>
                <w:sz w:val="18"/>
                <w:szCs w:val="18"/>
              </w:rPr>
            </w:pPr>
            <w:r w:rsidRPr="00E85915">
              <w:rPr>
                <w:b/>
                <w:color w:val="FFFFFF" w:themeColor="background1"/>
                <w:sz w:val="18"/>
              </w:rPr>
              <w:t>Rapports établis par la DSI entre</w:t>
            </w:r>
            <w:r w:rsidRPr="00E85915">
              <w:rPr>
                <w:color w:val="FFFFFF" w:themeColor="background1"/>
                <w:sz w:val="18"/>
              </w:rPr>
              <w:t xml:space="preserve"> </w:t>
            </w:r>
            <w:r w:rsidRPr="00E85915">
              <w:rPr>
                <w:b/>
                <w:color w:val="FFFFFF" w:themeColor="background1"/>
                <w:sz w:val="18"/>
              </w:rPr>
              <w:t>le 1</w:t>
            </w:r>
            <w:r w:rsidRPr="00E85915">
              <w:rPr>
                <w:b/>
                <w:color w:val="FFFFFF" w:themeColor="background1"/>
                <w:sz w:val="18"/>
                <w:vertAlign w:val="superscript"/>
              </w:rPr>
              <w:t>er</w:t>
            </w:r>
            <w:r w:rsidRPr="00E85915">
              <w:rPr>
                <w:b/>
                <w:color w:val="FFFFFF" w:themeColor="background1"/>
                <w:sz w:val="18"/>
              </w:rPr>
              <w:t> janvier 2025 et le 31 décembre 2025</w:t>
            </w:r>
          </w:p>
        </w:tc>
        <w:tc>
          <w:tcPr>
            <w:tcW w:w="1620" w:type="dxa"/>
            <w:shd w:val="clear" w:color="auto" w:fill="244061" w:themeFill="accent1" w:themeFillShade="80"/>
            <w:vAlign w:val="center"/>
          </w:tcPr>
          <w:p w14:paraId="5008A2D5" w14:textId="77777777" w:rsidR="00F0742C" w:rsidRPr="00E85915" w:rsidRDefault="00F0742C" w:rsidP="003A303A">
            <w:pPr>
              <w:pStyle w:val="ONUME"/>
              <w:numPr>
                <w:ilvl w:val="0"/>
                <w:numId w:val="0"/>
              </w:numPr>
              <w:ind w:left="34"/>
              <w:jc w:val="center"/>
              <w:rPr>
                <w:rFonts w:eastAsia="Times New Roman"/>
                <w:b/>
                <w:color w:val="FFFFFF" w:themeColor="background1"/>
                <w:sz w:val="18"/>
                <w:szCs w:val="18"/>
              </w:rPr>
            </w:pPr>
            <w:r w:rsidRPr="00E85915">
              <w:rPr>
                <w:b/>
                <w:color w:val="FFFFFF" w:themeColor="background1"/>
                <w:sz w:val="18"/>
              </w:rPr>
              <w:t>Réf.</w:t>
            </w:r>
          </w:p>
        </w:tc>
        <w:tc>
          <w:tcPr>
            <w:tcW w:w="2150" w:type="dxa"/>
            <w:shd w:val="clear" w:color="auto" w:fill="244061" w:themeFill="accent1" w:themeFillShade="80"/>
          </w:tcPr>
          <w:p w14:paraId="765BAA87" w14:textId="77777777" w:rsidR="00F0742C" w:rsidRPr="00E85915" w:rsidRDefault="00F0742C" w:rsidP="003A303A">
            <w:pPr>
              <w:pStyle w:val="ONUME"/>
              <w:numPr>
                <w:ilvl w:val="0"/>
                <w:numId w:val="0"/>
              </w:numPr>
              <w:ind w:left="34"/>
              <w:jc w:val="center"/>
              <w:rPr>
                <w:rFonts w:eastAsia="Times New Roman"/>
                <w:b/>
                <w:color w:val="FFFFFF" w:themeColor="background1"/>
                <w:sz w:val="18"/>
                <w:szCs w:val="18"/>
              </w:rPr>
            </w:pPr>
            <w:r w:rsidRPr="00E85915">
              <w:rPr>
                <w:b/>
                <w:color w:val="FFFFFF" w:themeColor="background1"/>
                <w:sz w:val="18"/>
              </w:rPr>
              <w:t>Date de publication du rapport</w:t>
            </w:r>
          </w:p>
        </w:tc>
      </w:tr>
      <w:tr w:rsidR="00F0742C" w:rsidRPr="00E85915" w14:paraId="60C942EC" w14:textId="77777777" w:rsidTr="00D83603">
        <w:trPr>
          <w:trHeight w:val="54"/>
          <w:tblHeader/>
        </w:trPr>
        <w:tc>
          <w:tcPr>
            <w:tcW w:w="5665" w:type="dxa"/>
            <w:shd w:val="clear" w:color="auto" w:fill="1F497D" w:themeFill="text2"/>
            <w:vAlign w:val="center"/>
          </w:tcPr>
          <w:p w14:paraId="56A15D68" w14:textId="7930ABCC" w:rsidR="00F0742C" w:rsidRPr="00E85915" w:rsidRDefault="00F0742C" w:rsidP="003A303A">
            <w:pPr>
              <w:pStyle w:val="ONUME"/>
              <w:numPr>
                <w:ilvl w:val="0"/>
                <w:numId w:val="0"/>
              </w:numPr>
              <w:spacing w:after="0"/>
              <w:rPr>
                <w:rFonts w:eastAsia="Times New Roman"/>
                <w:b/>
                <w:color w:val="FFFFFF" w:themeColor="background1"/>
                <w:sz w:val="18"/>
                <w:szCs w:val="18"/>
              </w:rPr>
            </w:pPr>
            <w:r w:rsidRPr="00E85915">
              <w:rPr>
                <w:b/>
                <w:color w:val="FFFFFF" w:themeColor="background1"/>
                <w:sz w:val="18"/>
              </w:rPr>
              <w:t>Missions d</w:t>
            </w:r>
            <w:r w:rsidR="00BF513F" w:rsidRPr="00E85915">
              <w:rPr>
                <w:b/>
                <w:color w:val="FFFFFF" w:themeColor="background1"/>
                <w:sz w:val="18"/>
              </w:rPr>
              <w:t>’</w:t>
            </w:r>
            <w:r w:rsidRPr="00E85915">
              <w:rPr>
                <w:b/>
                <w:color w:val="FFFFFF" w:themeColor="background1"/>
                <w:sz w:val="18"/>
              </w:rPr>
              <w:t>audit interne</w:t>
            </w:r>
          </w:p>
        </w:tc>
        <w:tc>
          <w:tcPr>
            <w:tcW w:w="1620" w:type="dxa"/>
            <w:shd w:val="clear" w:color="auto" w:fill="1F497D" w:themeFill="text2"/>
            <w:vAlign w:val="center"/>
          </w:tcPr>
          <w:p w14:paraId="07894630" w14:textId="77777777" w:rsidR="00F0742C" w:rsidRPr="00E85915" w:rsidRDefault="00F0742C" w:rsidP="003A303A">
            <w:pPr>
              <w:pStyle w:val="ONUME"/>
              <w:numPr>
                <w:ilvl w:val="0"/>
                <w:numId w:val="0"/>
              </w:numPr>
              <w:spacing w:after="0"/>
              <w:rPr>
                <w:rFonts w:eastAsia="Times New Roman"/>
                <w:b/>
                <w:color w:val="FFFFFF" w:themeColor="background1"/>
                <w:sz w:val="18"/>
                <w:szCs w:val="18"/>
                <w:lang w:eastAsia="en-US"/>
              </w:rPr>
            </w:pPr>
          </w:p>
        </w:tc>
        <w:tc>
          <w:tcPr>
            <w:tcW w:w="2150" w:type="dxa"/>
            <w:shd w:val="clear" w:color="auto" w:fill="1F497D" w:themeFill="text2"/>
            <w:vAlign w:val="center"/>
          </w:tcPr>
          <w:p w14:paraId="38564607" w14:textId="77777777" w:rsidR="00F0742C" w:rsidRPr="00E85915" w:rsidRDefault="00F0742C" w:rsidP="003A303A">
            <w:pPr>
              <w:pStyle w:val="ONUME"/>
              <w:numPr>
                <w:ilvl w:val="0"/>
                <w:numId w:val="0"/>
              </w:numPr>
              <w:spacing w:after="0"/>
              <w:rPr>
                <w:rFonts w:eastAsia="Times New Roman"/>
                <w:b/>
                <w:color w:val="FFFFFF" w:themeColor="background1"/>
                <w:sz w:val="18"/>
                <w:szCs w:val="18"/>
                <w:lang w:eastAsia="en-US"/>
              </w:rPr>
            </w:pPr>
          </w:p>
        </w:tc>
      </w:tr>
      <w:tr w:rsidR="00F0742C" w:rsidRPr="00E85915" w14:paraId="0A819BCF" w14:textId="77777777" w:rsidTr="00D83603">
        <w:trPr>
          <w:trHeight w:val="35"/>
        </w:trPr>
        <w:tc>
          <w:tcPr>
            <w:tcW w:w="5665" w:type="dxa"/>
            <w:vAlign w:val="center"/>
          </w:tcPr>
          <w:p w14:paraId="24194369" w14:textId="3CA87B75" w:rsidR="00F0742C" w:rsidRPr="00E85915" w:rsidRDefault="00F0742C" w:rsidP="003A303A">
            <w:pPr>
              <w:pStyle w:val="Default"/>
              <w:rPr>
                <w:sz w:val="18"/>
                <w:szCs w:val="18"/>
              </w:rPr>
            </w:pPr>
            <w:r w:rsidRPr="00E85915">
              <w:rPr>
                <w:sz w:val="18"/>
              </w:rPr>
              <w:t>Appréciation de la vulnérabilité et audit de sécurité de type “boîte noire” pour e</w:t>
            </w:r>
            <w:r w:rsidR="0089008D">
              <w:rPr>
                <w:sz w:val="18"/>
              </w:rPr>
              <w:noBreakHyphen/>
            </w:r>
            <w:r w:rsidRPr="00E85915">
              <w:rPr>
                <w:sz w:val="18"/>
              </w:rPr>
              <w:t>Dossier et World Server (test vulnérabilité et intrusion)</w:t>
            </w:r>
          </w:p>
        </w:tc>
        <w:tc>
          <w:tcPr>
            <w:tcW w:w="1620" w:type="dxa"/>
            <w:vAlign w:val="center"/>
          </w:tcPr>
          <w:p w14:paraId="783BC74B" w14:textId="4CAB07C6"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01</w:t>
            </w:r>
          </w:p>
        </w:tc>
        <w:tc>
          <w:tcPr>
            <w:tcW w:w="2150" w:type="dxa"/>
            <w:vAlign w:val="center"/>
          </w:tcPr>
          <w:p w14:paraId="28597245" w14:textId="77777777" w:rsidR="00F0742C" w:rsidRPr="00E85915" w:rsidRDefault="00F0742C" w:rsidP="003A303A">
            <w:pPr>
              <w:pStyle w:val="Default"/>
              <w:rPr>
                <w:sz w:val="18"/>
                <w:szCs w:val="18"/>
              </w:rPr>
            </w:pPr>
            <w:r w:rsidRPr="00E85915">
              <w:rPr>
                <w:sz w:val="18"/>
              </w:rPr>
              <w:t>22 mai 2025</w:t>
            </w:r>
          </w:p>
        </w:tc>
      </w:tr>
      <w:tr w:rsidR="00F0742C" w:rsidRPr="00E85915" w14:paraId="3A013688" w14:textId="77777777" w:rsidTr="00D83603">
        <w:trPr>
          <w:trHeight w:val="35"/>
        </w:trPr>
        <w:tc>
          <w:tcPr>
            <w:tcW w:w="5665" w:type="dxa"/>
            <w:vAlign w:val="center"/>
          </w:tcPr>
          <w:p w14:paraId="29430667" w14:textId="7B240C56" w:rsidR="00F0742C" w:rsidRPr="00E85915" w:rsidRDefault="00F0742C" w:rsidP="003A303A">
            <w:pPr>
              <w:pStyle w:val="Default"/>
              <w:rPr>
                <w:sz w:val="18"/>
                <w:szCs w:val="18"/>
              </w:rPr>
            </w:pPr>
            <w:r w:rsidRPr="00E85915">
              <w:rPr>
                <w:sz w:val="18"/>
              </w:rPr>
              <w:t>Appréciation de la vulnérabilité et audit de sécurité de type “boîte noire” pour e</w:t>
            </w:r>
            <w:r w:rsidR="0089008D">
              <w:rPr>
                <w:sz w:val="18"/>
              </w:rPr>
              <w:noBreakHyphen/>
            </w:r>
            <w:r w:rsidRPr="00E85915">
              <w:rPr>
                <w:sz w:val="18"/>
              </w:rPr>
              <w:t xml:space="preserve">Dossier et World Server (test vulnérabilité et intrusion) </w:t>
            </w:r>
            <w:r w:rsidR="00B91586">
              <w:rPr>
                <w:sz w:val="18"/>
              </w:rPr>
              <w:t>–</w:t>
            </w:r>
            <w:r w:rsidRPr="00E85915">
              <w:rPr>
                <w:sz w:val="18"/>
              </w:rPr>
              <w:t xml:space="preserve"> Suivi</w:t>
            </w:r>
          </w:p>
        </w:tc>
        <w:tc>
          <w:tcPr>
            <w:tcW w:w="1620" w:type="dxa"/>
            <w:vAlign w:val="center"/>
          </w:tcPr>
          <w:p w14:paraId="0B596BB9" w14:textId="059CEDD1"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01.A</w:t>
            </w:r>
          </w:p>
        </w:tc>
        <w:tc>
          <w:tcPr>
            <w:tcW w:w="2150" w:type="dxa"/>
            <w:vAlign w:val="center"/>
          </w:tcPr>
          <w:p w14:paraId="00864492" w14:textId="77777777" w:rsidR="00F0742C" w:rsidRPr="00E85915" w:rsidRDefault="00F0742C" w:rsidP="003A303A">
            <w:pPr>
              <w:pStyle w:val="Default"/>
              <w:rPr>
                <w:sz w:val="18"/>
                <w:szCs w:val="18"/>
              </w:rPr>
            </w:pPr>
            <w:r w:rsidRPr="00E85915">
              <w:rPr>
                <w:sz w:val="18"/>
              </w:rPr>
              <w:t>16 septembre 2025</w:t>
            </w:r>
          </w:p>
        </w:tc>
      </w:tr>
      <w:tr w:rsidR="00F0742C" w:rsidRPr="00E85915" w14:paraId="6358FF2D" w14:textId="77777777" w:rsidTr="00D83603">
        <w:trPr>
          <w:trHeight w:val="35"/>
        </w:trPr>
        <w:tc>
          <w:tcPr>
            <w:tcW w:w="5665" w:type="dxa"/>
            <w:vAlign w:val="center"/>
          </w:tcPr>
          <w:p w14:paraId="5B95E0AA" w14:textId="1B09AFF1" w:rsidR="00F0742C" w:rsidRPr="00E85915" w:rsidRDefault="00F0742C" w:rsidP="003A303A">
            <w:pPr>
              <w:pStyle w:val="Default"/>
              <w:rPr>
                <w:sz w:val="18"/>
                <w:szCs w:val="18"/>
              </w:rPr>
            </w:pPr>
            <w:r w:rsidRPr="00E85915">
              <w:rPr>
                <w:sz w:val="18"/>
              </w:rPr>
              <w:t>Appréciation de la vulnérabilité et audit de sécurité de type “boîte noire” pour e</w:t>
            </w:r>
            <w:r w:rsidR="0089008D">
              <w:rPr>
                <w:sz w:val="18"/>
              </w:rPr>
              <w:noBreakHyphen/>
            </w:r>
            <w:r w:rsidRPr="00E85915">
              <w:rPr>
                <w:sz w:val="18"/>
              </w:rPr>
              <w:t xml:space="preserve">Dossier et World Server (test vulnérabilité et intrusion) </w:t>
            </w:r>
            <w:r w:rsidR="00B91586">
              <w:rPr>
                <w:sz w:val="18"/>
              </w:rPr>
              <w:t>–</w:t>
            </w:r>
            <w:r w:rsidRPr="00E85915">
              <w:rPr>
                <w:sz w:val="18"/>
              </w:rPr>
              <w:t xml:space="preserve"> Suivi</w:t>
            </w:r>
          </w:p>
        </w:tc>
        <w:tc>
          <w:tcPr>
            <w:tcW w:w="1620" w:type="dxa"/>
            <w:vAlign w:val="center"/>
          </w:tcPr>
          <w:p w14:paraId="1FD8B639" w14:textId="7CC6D6D0"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01.B</w:t>
            </w:r>
          </w:p>
        </w:tc>
        <w:tc>
          <w:tcPr>
            <w:tcW w:w="2150" w:type="dxa"/>
            <w:vAlign w:val="center"/>
          </w:tcPr>
          <w:p w14:paraId="57D361BA" w14:textId="57FE50C2" w:rsidR="00F0742C" w:rsidRPr="00E85915" w:rsidRDefault="00F0742C" w:rsidP="003A303A">
            <w:pPr>
              <w:rPr>
                <w:rFonts w:eastAsia="Times New Roman"/>
                <w:color w:val="FFFFFF"/>
                <w:sz w:val="18"/>
                <w:szCs w:val="18"/>
              </w:rPr>
            </w:pPr>
            <w:r w:rsidRPr="00E85915">
              <w:rPr>
                <w:sz w:val="18"/>
              </w:rPr>
              <w:t>20 </w:t>
            </w:r>
            <w:r w:rsidR="00BF513F" w:rsidRPr="00E85915">
              <w:rPr>
                <w:sz w:val="18"/>
              </w:rPr>
              <w:t>novembre 20</w:t>
            </w:r>
            <w:r w:rsidRPr="00E85915">
              <w:rPr>
                <w:sz w:val="18"/>
              </w:rPr>
              <w:t>25</w:t>
            </w:r>
          </w:p>
        </w:tc>
      </w:tr>
      <w:tr w:rsidR="00F0742C" w:rsidRPr="00E85915" w14:paraId="683C2797" w14:textId="77777777" w:rsidTr="00D83603">
        <w:trPr>
          <w:trHeight w:val="35"/>
        </w:trPr>
        <w:tc>
          <w:tcPr>
            <w:tcW w:w="5665" w:type="dxa"/>
            <w:vAlign w:val="center"/>
          </w:tcPr>
          <w:p w14:paraId="68423CAF" w14:textId="1C6457EF" w:rsidR="00F0742C" w:rsidRPr="00E85915" w:rsidRDefault="00F0742C" w:rsidP="003A303A">
            <w:pPr>
              <w:pStyle w:val="Default"/>
              <w:rPr>
                <w:sz w:val="18"/>
                <w:szCs w:val="18"/>
                <w:highlight w:val="yellow"/>
              </w:rPr>
            </w:pPr>
            <w:r w:rsidRPr="00E85915">
              <w:rPr>
                <w:sz w:val="18"/>
              </w:rPr>
              <w:t>Audit interne du Service d</w:t>
            </w:r>
            <w:r w:rsidR="00BF513F" w:rsidRPr="00E85915">
              <w:rPr>
                <w:sz w:val="18"/>
              </w:rPr>
              <w:t>’</w:t>
            </w:r>
            <w:r w:rsidRPr="00E85915">
              <w:rPr>
                <w:sz w:val="18"/>
              </w:rPr>
              <w:t xml:space="preserve">enregistrement de </w:t>
            </w:r>
            <w:r w:rsidR="00BF513F" w:rsidRPr="00E85915">
              <w:rPr>
                <w:sz w:val="18"/>
              </w:rPr>
              <w:t>La Haye</w:t>
            </w:r>
          </w:p>
        </w:tc>
        <w:tc>
          <w:tcPr>
            <w:tcW w:w="1620" w:type="dxa"/>
            <w:vAlign w:val="center"/>
          </w:tcPr>
          <w:p w14:paraId="501EEF86" w14:textId="13DC44D4"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03</w:t>
            </w:r>
          </w:p>
        </w:tc>
        <w:tc>
          <w:tcPr>
            <w:tcW w:w="2150" w:type="dxa"/>
            <w:vAlign w:val="center"/>
          </w:tcPr>
          <w:p w14:paraId="4DD7BB60" w14:textId="19D7AC3C" w:rsidR="00F0742C" w:rsidRPr="00E85915" w:rsidRDefault="00F0742C" w:rsidP="003A303A">
            <w:pPr>
              <w:pStyle w:val="Default"/>
              <w:rPr>
                <w:sz w:val="18"/>
                <w:szCs w:val="18"/>
              </w:rPr>
            </w:pPr>
            <w:r w:rsidRPr="00E85915">
              <w:rPr>
                <w:sz w:val="18"/>
              </w:rPr>
              <w:t>28 </w:t>
            </w:r>
            <w:r w:rsidR="00BF513F" w:rsidRPr="00E85915">
              <w:rPr>
                <w:sz w:val="18"/>
              </w:rPr>
              <w:t>janvier 20</w:t>
            </w:r>
            <w:r w:rsidRPr="00E85915">
              <w:rPr>
                <w:sz w:val="18"/>
              </w:rPr>
              <w:t>26</w:t>
            </w:r>
          </w:p>
        </w:tc>
      </w:tr>
      <w:tr w:rsidR="00F0742C" w:rsidRPr="00E85915" w14:paraId="7CDC5ACD" w14:textId="77777777" w:rsidTr="00D83603">
        <w:trPr>
          <w:trHeight w:val="35"/>
        </w:trPr>
        <w:tc>
          <w:tcPr>
            <w:tcW w:w="5665" w:type="dxa"/>
            <w:vAlign w:val="center"/>
          </w:tcPr>
          <w:p w14:paraId="66C7C443" w14:textId="600966A3" w:rsidR="00F0742C" w:rsidRPr="00E85915" w:rsidRDefault="00F0742C" w:rsidP="003A303A">
            <w:pPr>
              <w:pStyle w:val="Default"/>
              <w:rPr>
                <w:sz w:val="18"/>
                <w:szCs w:val="18"/>
              </w:rPr>
            </w:pPr>
            <w:r w:rsidRPr="00E85915">
              <w:rPr>
                <w:sz w:val="18"/>
              </w:rPr>
              <w:t>Centre d</w:t>
            </w:r>
            <w:r w:rsidR="00BF513F" w:rsidRPr="00E85915">
              <w:rPr>
                <w:sz w:val="18"/>
              </w:rPr>
              <w:t>’</w:t>
            </w:r>
            <w:r w:rsidRPr="00E85915">
              <w:rPr>
                <w:sz w:val="18"/>
              </w:rPr>
              <w:t>arbitrage et de médiation de l</w:t>
            </w:r>
            <w:r w:rsidR="00BF513F" w:rsidRPr="00E85915">
              <w:rPr>
                <w:sz w:val="18"/>
              </w:rPr>
              <w:t>’</w:t>
            </w:r>
            <w:r w:rsidRPr="00E85915">
              <w:rPr>
                <w:sz w:val="18"/>
              </w:rPr>
              <w:t xml:space="preserve">OMPI </w:t>
            </w:r>
            <w:r w:rsidR="00B91586">
              <w:rPr>
                <w:sz w:val="18"/>
              </w:rPr>
              <w:t>–</w:t>
            </w:r>
            <w:r w:rsidRPr="00E85915">
              <w:rPr>
                <w:sz w:val="18"/>
              </w:rPr>
              <w:t xml:space="preserve"> Examen des processus opérationnels </w:t>
            </w:r>
          </w:p>
        </w:tc>
        <w:tc>
          <w:tcPr>
            <w:tcW w:w="1620" w:type="dxa"/>
            <w:vAlign w:val="center"/>
          </w:tcPr>
          <w:p w14:paraId="18C13A93" w14:textId="32859987"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04</w:t>
            </w:r>
          </w:p>
        </w:tc>
        <w:tc>
          <w:tcPr>
            <w:tcW w:w="2150" w:type="dxa"/>
            <w:vAlign w:val="center"/>
          </w:tcPr>
          <w:p w14:paraId="47F0D306" w14:textId="144A6CE1" w:rsidR="00F0742C" w:rsidRPr="00E85915" w:rsidRDefault="00F0742C" w:rsidP="003A303A">
            <w:pPr>
              <w:pStyle w:val="Default"/>
              <w:rPr>
                <w:sz w:val="18"/>
                <w:szCs w:val="18"/>
              </w:rPr>
            </w:pPr>
            <w:r w:rsidRPr="00E85915">
              <w:rPr>
                <w:sz w:val="18"/>
              </w:rPr>
              <w:t>17 </w:t>
            </w:r>
            <w:r w:rsidR="00BF513F" w:rsidRPr="00E85915">
              <w:rPr>
                <w:sz w:val="18"/>
              </w:rPr>
              <w:t>avril 20</w:t>
            </w:r>
            <w:r w:rsidRPr="00E85915">
              <w:rPr>
                <w:sz w:val="18"/>
              </w:rPr>
              <w:t>25</w:t>
            </w:r>
          </w:p>
        </w:tc>
      </w:tr>
      <w:tr w:rsidR="00F0742C" w:rsidRPr="00E85915" w14:paraId="4EB4B586" w14:textId="77777777" w:rsidTr="00D83603">
        <w:trPr>
          <w:trHeight w:val="35"/>
        </w:trPr>
        <w:tc>
          <w:tcPr>
            <w:tcW w:w="5665" w:type="dxa"/>
            <w:vAlign w:val="center"/>
          </w:tcPr>
          <w:p w14:paraId="2C947192" w14:textId="5D054099" w:rsidR="00F0742C" w:rsidRPr="00E85915" w:rsidRDefault="00F0742C" w:rsidP="003A303A">
            <w:pPr>
              <w:pStyle w:val="Default"/>
              <w:rPr>
                <w:sz w:val="18"/>
                <w:szCs w:val="18"/>
              </w:rPr>
            </w:pPr>
            <w:r w:rsidRPr="00E85915">
              <w:rPr>
                <w:sz w:val="18"/>
              </w:rPr>
              <w:t>Audit de la gestion des placements à l</w:t>
            </w:r>
            <w:r w:rsidR="00BF513F" w:rsidRPr="00E85915">
              <w:rPr>
                <w:sz w:val="18"/>
              </w:rPr>
              <w:t>’</w:t>
            </w:r>
            <w:r w:rsidRPr="00E85915">
              <w:rPr>
                <w:sz w:val="18"/>
              </w:rPr>
              <w:t>OMPI</w:t>
            </w:r>
          </w:p>
        </w:tc>
        <w:tc>
          <w:tcPr>
            <w:tcW w:w="1620" w:type="dxa"/>
            <w:vAlign w:val="center"/>
          </w:tcPr>
          <w:p w14:paraId="55D5B4B2" w14:textId="7BD622AB"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07</w:t>
            </w:r>
          </w:p>
        </w:tc>
        <w:tc>
          <w:tcPr>
            <w:tcW w:w="2150" w:type="dxa"/>
            <w:vAlign w:val="center"/>
          </w:tcPr>
          <w:p w14:paraId="0281F586" w14:textId="3542A272" w:rsidR="00F0742C" w:rsidRPr="00E85915" w:rsidRDefault="00F0742C" w:rsidP="003A303A">
            <w:pPr>
              <w:pStyle w:val="Default"/>
              <w:rPr>
                <w:sz w:val="18"/>
                <w:szCs w:val="18"/>
              </w:rPr>
            </w:pPr>
            <w:r w:rsidRPr="00E85915">
              <w:rPr>
                <w:sz w:val="18"/>
              </w:rPr>
              <w:t>21 </w:t>
            </w:r>
            <w:r w:rsidR="00BF513F" w:rsidRPr="00E85915">
              <w:rPr>
                <w:sz w:val="18"/>
              </w:rPr>
              <w:t>novembre 20</w:t>
            </w:r>
            <w:r w:rsidRPr="00E85915">
              <w:rPr>
                <w:sz w:val="18"/>
              </w:rPr>
              <w:t>25</w:t>
            </w:r>
          </w:p>
        </w:tc>
      </w:tr>
      <w:tr w:rsidR="00F0742C" w:rsidRPr="00E85915" w14:paraId="0DB0321D" w14:textId="77777777" w:rsidTr="00D83603">
        <w:trPr>
          <w:trHeight w:val="35"/>
        </w:trPr>
        <w:tc>
          <w:tcPr>
            <w:tcW w:w="5665" w:type="dxa"/>
            <w:vAlign w:val="center"/>
          </w:tcPr>
          <w:p w14:paraId="05A4B718" w14:textId="71152FA5" w:rsidR="00F0742C" w:rsidRPr="00E85915" w:rsidRDefault="00F0742C" w:rsidP="003A303A">
            <w:pPr>
              <w:pStyle w:val="Default"/>
              <w:rPr>
                <w:sz w:val="18"/>
                <w:szCs w:val="18"/>
                <w:highlight w:val="yellow"/>
              </w:rPr>
            </w:pPr>
            <w:r w:rsidRPr="00E85915">
              <w:rPr>
                <w:sz w:val="18"/>
              </w:rPr>
              <w:t>Audit interne du Bureau de l</w:t>
            </w:r>
            <w:r w:rsidR="00BF513F" w:rsidRPr="00E85915">
              <w:rPr>
                <w:sz w:val="18"/>
              </w:rPr>
              <w:t>’</w:t>
            </w:r>
            <w:r w:rsidRPr="00E85915">
              <w:rPr>
                <w:sz w:val="18"/>
              </w:rPr>
              <w:t>OMPI en Chine</w:t>
            </w:r>
          </w:p>
        </w:tc>
        <w:tc>
          <w:tcPr>
            <w:tcW w:w="1620" w:type="dxa"/>
            <w:vAlign w:val="center"/>
          </w:tcPr>
          <w:p w14:paraId="1B10BCEF" w14:textId="281667DE"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08</w:t>
            </w:r>
          </w:p>
        </w:tc>
        <w:tc>
          <w:tcPr>
            <w:tcW w:w="2150" w:type="dxa"/>
            <w:vAlign w:val="center"/>
          </w:tcPr>
          <w:p w14:paraId="6C2CCC8D" w14:textId="447F1127" w:rsidR="00F0742C" w:rsidRPr="00E85915" w:rsidRDefault="00F0742C" w:rsidP="003A303A">
            <w:pPr>
              <w:pStyle w:val="Default"/>
              <w:rPr>
                <w:sz w:val="18"/>
                <w:szCs w:val="18"/>
              </w:rPr>
            </w:pPr>
            <w:r w:rsidRPr="00E85915">
              <w:rPr>
                <w:sz w:val="18"/>
              </w:rPr>
              <w:t>16 </w:t>
            </w:r>
            <w:r w:rsidR="00BF513F" w:rsidRPr="00E85915">
              <w:rPr>
                <w:sz w:val="18"/>
              </w:rPr>
              <w:t>janvier 20</w:t>
            </w:r>
            <w:r w:rsidRPr="00E85915">
              <w:rPr>
                <w:sz w:val="18"/>
              </w:rPr>
              <w:t>26</w:t>
            </w:r>
          </w:p>
        </w:tc>
      </w:tr>
      <w:tr w:rsidR="00F0742C" w:rsidRPr="00E85915" w14:paraId="692E46F7" w14:textId="77777777" w:rsidTr="00D83603">
        <w:trPr>
          <w:trHeight w:val="35"/>
        </w:trPr>
        <w:tc>
          <w:tcPr>
            <w:tcW w:w="5665" w:type="dxa"/>
            <w:vAlign w:val="center"/>
          </w:tcPr>
          <w:p w14:paraId="3B7F43CC" w14:textId="0D16E9F2" w:rsidR="00F0742C" w:rsidRPr="00E85915" w:rsidRDefault="00F0742C" w:rsidP="003A303A">
            <w:pPr>
              <w:pStyle w:val="Default"/>
              <w:rPr>
                <w:sz w:val="18"/>
                <w:szCs w:val="18"/>
              </w:rPr>
            </w:pPr>
            <w:r w:rsidRPr="00E85915">
              <w:rPr>
                <w:sz w:val="18"/>
              </w:rPr>
              <w:t>Examen du programme d</w:t>
            </w:r>
            <w:r w:rsidR="00BF513F" w:rsidRPr="00E85915">
              <w:rPr>
                <w:sz w:val="18"/>
              </w:rPr>
              <w:t>’</w:t>
            </w:r>
            <w:r w:rsidRPr="00E85915">
              <w:rPr>
                <w:sz w:val="18"/>
              </w:rPr>
              <w:t>activités de l</w:t>
            </w:r>
            <w:r w:rsidR="00BF513F" w:rsidRPr="00E85915">
              <w:rPr>
                <w:sz w:val="18"/>
              </w:rPr>
              <w:t>’</w:t>
            </w:r>
            <w:r w:rsidRPr="00E85915">
              <w:rPr>
                <w:sz w:val="18"/>
              </w:rPr>
              <w:t>OMPI en faveur de l</w:t>
            </w:r>
            <w:r w:rsidR="00BF513F" w:rsidRPr="00E85915">
              <w:rPr>
                <w:sz w:val="18"/>
              </w:rPr>
              <w:t>’</w:t>
            </w:r>
            <w:r w:rsidRPr="00E85915">
              <w:rPr>
                <w:sz w:val="18"/>
              </w:rPr>
              <w:t>engagement des jeunes</w:t>
            </w:r>
          </w:p>
        </w:tc>
        <w:tc>
          <w:tcPr>
            <w:tcW w:w="1620" w:type="dxa"/>
            <w:vAlign w:val="center"/>
          </w:tcPr>
          <w:p w14:paraId="1C58CAF8" w14:textId="0C98640A"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09</w:t>
            </w:r>
          </w:p>
        </w:tc>
        <w:tc>
          <w:tcPr>
            <w:tcW w:w="2150" w:type="dxa"/>
            <w:vAlign w:val="center"/>
          </w:tcPr>
          <w:p w14:paraId="156F481D" w14:textId="77777777" w:rsidR="00F0742C" w:rsidRPr="00E85915" w:rsidRDefault="00F0742C" w:rsidP="003A303A">
            <w:pPr>
              <w:pStyle w:val="Default"/>
              <w:rPr>
                <w:sz w:val="18"/>
                <w:szCs w:val="18"/>
              </w:rPr>
            </w:pPr>
            <w:r w:rsidRPr="00E85915">
              <w:rPr>
                <w:sz w:val="18"/>
              </w:rPr>
              <w:t>26 mai 2025</w:t>
            </w:r>
          </w:p>
        </w:tc>
      </w:tr>
      <w:tr w:rsidR="00F0742C" w:rsidRPr="00E85915" w14:paraId="6CCED280" w14:textId="77777777" w:rsidTr="00D83603">
        <w:trPr>
          <w:trHeight w:val="35"/>
        </w:trPr>
        <w:tc>
          <w:tcPr>
            <w:tcW w:w="5665" w:type="dxa"/>
            <w:vAlign w:val="center"/>
          </w:tcPr>
          <w:p w14:paraId="2F65680B" w14:textId="5EAD5968" w:rsidR="00F0742C" w:rsidRPr="00E85915" w:rsidRDefault="00F0742C" w:rsidP="003A303A">
            <w:pPr>
              <w:pStyle w:val="Default"/>
              <w:rPr>
                <w:sz w:val="18"/>
                <w:szCs w:val="18"/>
              </w:rPr>
            </w:pPr>
            <w:r w:rsidRPr="00E85915">
              <w:rPr>
                <w:sz w:val="18"/>
              </w:rPr>
              <w:t>Audit de cinq</w:t>
            </w:r>
            <w:r w:rsidR="00FE72CE" w:rsidRPr="00E85915">
              <w:rPr>
                <w:sz w:val="18"/>
              </w:rPr>
              <w:t> </w:t>
            </w:r>
            <w:r w:rsidRPr="00E85915">
              <w:rPr>
                <w:sz w:val="18"/>
              </w:rPr>
              <w:t>domaines présentant un risque dans le domaine de la passation de marchés</w:t>
            </w:r>
          </w:p>
        </w:tc>
        <w:tc>
          <w:tcPr>
            <w:tcW w:w="1620" w:type="dxa"/>
            <w:vAlign w:val="center"/>
          </w:tcPr>
          <w:p w14:paraId="60554091" w14:textId="0EB8B2A7" w:rsidR="00F0742C" w:rsidRPr="00E85915" w:rsidRDefault="00F0742C" w:rsidP="003A303A">
            <w:pPr>
              <w:pStyle w:val="Default"/>
              <w:rPr>
                <w:sz w:val="18"/>
                <w:szCs w:val="18"/>
              </w:rPr>
            </w:pPr>
            <w:r w:rsidRPr="00E85915">
              <w:rPr>
                <w:sz w:val="18"/>
              </w:rPr>
              <w:t>IA 2025</w:t>
            </w:r>
            <w:r w:rsidR="0089008D">
              <w:rPr>
                <w:sz w:val="18"/>
              </w:rPr>
              <w:noBreakHyphen/>
            </w:r>
            <w:r w:rsidRPr="00E85915">
              <w:rPr>
                <w:sz w:val="18"/>
              </w:rPr>
              <w:t>10</w:t>
            </w:r>
          </w:p>
        </w:tc>
        <w:tc>
          <w:tcPr>
            <w:tcW w:w="2150" w:type="dxa"/>
            <w:vAlign w:val="center"/>
          </w:tcPr>
          <w:p w14:paraId="419ADAF5" w14:textId="7B9439F5" w:rsidR="00F0742C" w:rsidRPr="00E85915" w:rsidRDefault="00F0742C" w:rsidP="003A303A">
            <w:pPr>
              <w:pStyle w:val="Default"/>
              <w:rPr>
                <w:sz w:val="18"/>
                <w:szCs w:val="18"/>
              </w:rPr>
            </w:pPr>
            <w:r w:rsidRPr="00E85915">
              <w:rPr>
                <w:sz w:val="18"/>
              </w:rPr>
              <w:t>29 </w:t>
            </w:r>
            <w:r w:rsidR="00BF513F" w:rsidRPr="00E85915">
              <w:rPr>
                <w:sz w:val="18"/>
              </w:rPr>
              <w:t>janvier 20</w:t>
            </w:r>
            <w:r w:rsidRPr="00E85915">
              <w:rPr>
                <w:sz w:val="18"/>
              </w:rPr>
              <w:t>26</w:t>
            </w:r>
          </w:p>
        </w:tc>
      </w:tr>
      <w:tr w:rsidR="00F0742C" w:rsidRPr="00E85915" w14:paraId="041C870E" w14:textId="77777777" w:rsidTr="00D83603">
        <w:trPr>
          <w:trHeight w:val="54"/>
        </w:trPr>
        <w:tc>
          <w:tcPr>
            <w:tcW w:w="5665" w:type="dxa"/>
            <w:shd w:val="clear" w:color="auto" w:fill="1F497D" w:themeFill="text2"/>
            <w:vAlign w:val="center"/>
          </w:tcPr>
          <w:p w14:paraId="556E6F1C" w14:textId="77777777" w:rsidR="00F0742C" w:rsidRPr="00E85915" w:rsidRDefault="00F0742C" w:rsidP="003A303A">
            <w:pPr>
              <w:pStyle w:val="ONUME"/>
              <w:numPr>
                <w:ilvl w:val="0"/>
                <w:numId w:val="0"/>
              </w:numPr>
              <w:spacing w:after="0"/>
              <w:ind w:left="34"/>
              <w:rPr>
                <w:b/>
                <w:color w:val="FFFFFF" w:themeColor="background1"/>
                <w:sz w:val="18"/>
                <w:szCs w:val="18"/>
              </w:rPr>
            </w:pPr>
            <w:r w:rsidRPr="00E85915">
              <w:rPr>
                <w:b/>
                <w:color w:val="FFFFFF" w:themeColor="background1"/>
                <w:sz w:val="18"/>
              </w:rPr>
              <w:t>Missions consultatives</w:t>
            </w:r>
          </w:p>
        </w:tc>
        <w:tc>
          <w:tcPr>
            <w:tcW w:w="1620" w:type="dxa"/>
            <w:shd w:val="clear" w:color="auto" w:fill="1F497D" w:themeFill="text2"/>
            <w:vAlign w:val="center"/>
          </w:tcPr>
          <w:p w14:paraId="08A973B2" w14:textId="77777777" w:rsidR="00F0742C" w:rsidRPr="00E85915" w:rsidRDefault="00F0742C" w:rsidP="003A303A">
            <w:pPr>
              <w:pStyle w:val="ONUME"/>
              <w:numPr>
                <w:ilvl w:val="0"/>
                <w:numId w:val="0"/>
              </w:numPr>
              <w:spacing w:after="0"/>
              <w:ind w:left="34"/>
              <w:rPr>
                <w:rFonts w:eastAsia="Times New Roman"/>
                <w:b/>
                <w:color w:val="FFFFFF" w:themeColor="background1"/>
                <w:sz w:val="18"/>
                <w:szCs w:val="18"/>
                <w:lang w:eastAsia="en-US"/>
              </w:rPr>
            </w:pPr>
          </w:p>
        </w:tc>
        <w:tc>
          <w:tcPr>
            <w:tcW w:w="2150" w:type="dxa"/>
            <w:shd w:val="clear" w:color="auto" w:fill="1F497D" w:themeFill="text2"/>
            <w:vAlign w:val="center"/>
          </w:tcPr>
          <w:p w14:paraId="67C82411" w14:textId="77777777" w:rsidR="00F0742C" w:rsidRPr="00E85915" w:rsidRDefault="00F0742C" w:rsidP="003A303A">
            <w:pPr>
              <w:pStyle w:val="ONUME"/>
              <w:numPr>
                <w:ilvl w:val="0"/>
                <w:numId w:val="0"/>
              </w:numPr>
              <w:spacing w:after="0"/>
              <w:ind w:left="34"/>
              <w:rPr>
                <w:rFonts w:eastAsia="Times New Roman"/>
                <w:b/>
                <w:color w:val="FFFFFF" w:themeColor="background1"/>
                <w:sz w:val="18"/>
                <w:szCs w:val="18"/>
                <w:lang w:eastAsia="en-US"/>
              </w:rPr>
            </w:pPr>
          </w:p>
        </w:tc>
      </w:tr>
      <w:tr w:rsidR="00F0742C" w:rsidRPr="00E85915" w14:paraId="147DEA2C" w14:textId="77777777" w:rsidTr="00D83603">
        <w:trPr>
          <w:trHeight w:val="35"/>
        </w:trPr>
        <w:tc>
          <w:tcPr>
            <w:tcW w:w="5665" w:type="dxa"/>
            <w:vAlign w:val="center"/>
          </w:tcPr>
          <w:p w14:paraId="5575E69F" w14:textId="46A03060" w:rsidR="00F0742C" w:rsidRPr="00E85915" w:rsidRDefault="00F0742C" w:rsidP="003A303A">
            <w:pPr>
              <w:pStyle w:val="Default"/>
              <w:rPr>
                <w:sz w:val="18"/>
                <w:szCs w:val="18"/>
              </w:rPr>
            </w:pPr>
            <w:r w:rsidRPr="00E85915">
              <w:rPr>
                <w:sz w:val="18"/>
              </w:rPr>
              <w:t>Analyse des interdépendances et des relations entre les projets relatifs à la gestion des relations avec les clients, à l</w:t>
            </w:r>
            <w:r w:rsidR="00BF513F" w:rsidRPr="00E85915">
              <w:rPr>
                <w:sz w:val="18"/>
              </w:rPr>
              <w:t>’</w:t>
            </w:r>
            <w:r w:rsidRPr="00E85915">
              <w:rPr>
                <w:sz w:val="18"/>
              </w:rPr>
              <w:t>expérience client, au système ERP et à la gestion des données clés</w:t>
            </w:r>
          </w:p>
        </w:tc>
        <w:tc>
          <w:tcPr>
            <w:tcW w:w="1620" w:type="dxa"/>
            <w:vAlign w:val="center"/>
          </w:tcPr>
          <w:p w14:paraId="271D46FE" w14:textId="57489388"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02</w:t>
            </w:r>
          </w:p>
        </w:tc>
        <w:tc>
          <w:tcPr>
            <w:tcW w:w="2150" w:type="dxa"/>
            <w:vAlign w:val="center"/>
          </w:tcPr>
          <w:p w14:paraId="293940F6" w14:textId="77777777" w:rsidR="00F0742C" w:rsidRPr="00E85915" w:rsidRDefault="00F0742C" w:rsidP="003A303A">
            <w:pPr>
              <w:pStyle w:val="Default"/>
              <w:rPr>
                <w:sz w:val="18"/>
                <w:szCs w:val="18"/>
              </w:rPr>
            </w:pPr>
            <w:r w:rsidRPr="00E85915">
              <w:rPr>
                <w:sz w:val="18"/>
              </w:rPr>
              <w:t>16 septembre 2025</w:t>
            </w:r>
          </w:p>
        </w:tc>
      </w:tr>
      <w:tr w:rsidR="00F0742C" w:rsidRPr="00E85915" w14:paraId="016F11EB" w14:textId="77777777" w:rsidTr="00D83603">
        <w:trPr>
          <w:trHeight w:val="35"/>
        </w:trPr>
        <w:tc>
          <w:tcPr>
            <w:tcW w:w="5665" w:type="dxa"/>
            <w:vAlign w:val="center"/>
          </w:tcPr>
          <w:p w14:paraId="3D8D546E" w14:textId="7525A579" w:rsidR="00F0742C" w:rsidRPr="00E85915" w:rsidRDefault="00F0742C" w:rsidP="003A303A">
            <w:pPr>
              <w:pStyle w:val="Default"/>
              <w:rPr>
                <w:sz w:val="18"/>
                <w:szCs w:val="18"/>
              </w:rPr>
            </w:pPr>
            <w:r w:rsidRPr="00E85915">
              <w:rPr>
                <w:sz w:val="18"/>
              </w:rPr>
              <w:t xml:space="preserve">Mise en œuvre du système ERP </w:t>
            </w:r>
            <w:r w:rsidR="00B91586">
              <w:rPr>
                <w:sz w:val="18"/>
              </w:rPr>
              <w:t>–</w:t>
            </w:r>
            <w:r w:rsidRPr="00E85915">
              <w:rPr>
                <w:sz w:val="18"/>
              </w:rPr>
              <w:t xml:space="preserve"> Phase I (préparation du projet et sélection des fournisseurs)</w:t>
            </w:r>
          </w:p>
        </w:tc>
        <w:tc>
          <w:tcPr>
            <w:tcW w:w="1620" w:type="dxa"/>
            <w:vAlign w:val="center"/>
          </w:tcPr>
          <w:p w14:paraId="71ECCD82" w14:textId="50330CFD"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05.A</w:t>
            </w:r>
          </w:p>
        </w:tc>
        <w:tc>
          <w:tcPr>
            <w:tcW w:w="2150" w:type="dxa"/>
            <w:vAlign w:val="center"/>
          </w:tcPr>
          <w:p w14:paraId="2494F45B" w14:textId="77777777" w:rsidR="00F0742C" w:rsidRPr="00E85915" w:rsidRDefault="00F0742C" w:rsidP="003A303A">
            <w:pPr>
              <w:pStyle w:val="Default"/>
              <w:rPr>
                <w:sz w:val="18"/>
                <w:szCs w:val="18"/>
              </w:rPr>
            </w:pPr>
            <w:r w:rsidRPr="00E85915">
              <w:rPr>
                <w:sz w:val="18"/>
              </w:rPr>
              <w:t>14 mars 2025</w:t>
            </w:r>
          </w:p>
        </w:tc>
      </w:tr>
      <w:tr w:rsidR="00F0742C" w:rsidRPr="00E85915" w14:paraId="761BAEC8" w14:textId="77777777" w:rsidTr="00D83603">
        <w:trPr>
          <w:trHeight w:val="35"/>
        </w:trPr>
        <w:tc>
          <w:tcPr>
            <w:tcW w:w="5665" w:type="dxa"/>
            <w:vAlign w:val="center"/>
          </w:tcPr>
          <w:p w14:paraId="1D0F0318" w14:textId="75E790F7" w:rsidR="00F0742C" w:rsidRPr="00E85915" w:rsidRDefault="00F0742C" w:rsidP="003A303A">
            <w:pPr>
              <w:pStyle w:val="Default"/>
              <w:rPr>
                <w:sz w:val="18"/>
                <w:szCs w:val="18"/>
              </w:rPr>
            </w:pPr>
            <w:r w:rsidRPr="00E85915">
              <w:rPr>
                <w:sz w:val="18"/>
              </w:rPr>
              <w:t xml:space="preserve">Mise en œuvre du système ERP </w:t>
            </w:r>
            <w:r w:rsidR="00B91586">
              <w:rPr>
                <w:sz w:val="18"/>
              </w:rPr>
              <w:t>–</w:t>
            </w:r>
            <w:r w:rsidRPr="00E85915">
              <w:rPr>
                <w:sz w:val="18"/>
              </w:rPr>
              <w:t xml:space="preserve"> Examen de la documentation relative au lancement du projet</w:t>
            </w:r>
          </w:p>
        </w:tc>
        <w:tc>
          <w:tcPr>
            <w:tcW w:w="1620" w:type="dxa"/>
            <w:vAlign w:val="center"/>
          </w:tcPr>
          <w:p w14:paraId="63F67554" w14:textId="79BB7C56"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05.B</w:t>
            </w:r>
          </w:p>
        </w:tc>
        <w:tc>
          <w:tcPr>
            <w:tcW w:w="2150" w:type="dxa"/>
            <w:vAlign w:val="center"/>
          </w:tcPr>
          <w:p w14:paraId="00FFF30B" w14:textId="77777777" w:rsidR="00F0742C" w:rsidRPr="00E85915" w:rsidRDefault="00F0742C" w:rsidP="003A303A">
            <w:pPr>
              <w:pStyle w:val="Default"/>
              <w:rPr>
                <w:sz w:val="18"/>
                <w:szCs w:val="18"/>
              </w:rPr>
            </w:pPr>
            <w:r w:rsidRPr="00E85915">
              <w:rPr>
                <w:sz w:val="18"/>
              </w:rPr>
              <w:t>14 mars 2025</w:t>
            </w:r>
          </w:p>
        </w:tc>
      </w:tr>
      <w:tr w:rsidR="00F0742C" w:rsidRPr="00E85915" w14:paraId="04B5CD05" w14:textId="77777777" w:rsidTr="00D83603">
        <w:trPr>
          <w:trHeight w:val="35"/>
        </w:trPr>
        <w:tc>
          <w:tcPr>
            <w:tcW w:w="5665" w:type="dxa"/>
            <w:vAlign w:val="center"/>
          </w:tcPr>
          <w:p w14:paraId="1F0D1AEE" w14:textId="03B5367B" w:rsidR="00F0742C" w:rsidRPr="00E85915" w:rsidRDefault="00F0742C" w:rsidP="003A303A">
            <w:pPr>
              <w:pStyle w:val="Default"/>
              <w:rPr>
                <w:sz w:val="18"/>
                <w:szCs w:val="18"/>
              </w:rPr>
            </w:pPr>
            <w:r w:rsidRPr="00E85915">
              <w:rPr>
                <w:sz w:val="18"/>
              </w:rPr>
              <w:t>État d</w:t>
            </w:r>
            <w:r w:rsidR="00BF513F" w:rsidRPr="00E85915">
              <w:rPr>
                <w:sz w:val="18"/>
              </w:rPr>
              <w:t>’</w:t>
            </w:r>
            <w:r w:rsidRPr="00E85915">
              <w:rPr>
                <w:sz w:val="18"/>
              </w:rPr>
              <w:t>avancement du projet de transformation du système AIMS</w:t>
            </w:r>
          </w:p>
        </w:tc>
        <w:tc>
          <w:tcPr>
            <w:tcW w:w="1620" w:type="dxa"/>
            <w:vAlign w:val="center"/>
          </w:tcPr>
          <w:p w14:paraId="54CEED9B" w14:textId="16F3796E"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05.C</w:t>
            </w:r>
          </w:p>
        </w:tc>
        <w:tc>
          <w:tcPr>
            <w:tcW w:w="2150" w:type="dxa"/>
            <w:vAlign w:val="center"/>
          </w:tcPr>
          <w:p w14:paraId="217E48A6" w14:textId="77777777" w:rsidR="00F0742C" w:rsidRPr="00E85915" w:rsidRDefault="00F0742C" w:rsidP="003A303A">
            <w:pPr>
              <w:pStyle w:val="Default"/>
              <w:rPr>
                <w:sz w:val="18"/>
                <w:szCs w:val="18"/>
              </w:rPr>
            </w:pPr>
            <w:r w:rsidRPr="00E85915">
              <w:rPr>
                <w:sz w:val="18"/>
              </w:rPr>
              <w:t>19 septembre 2025</w:t>
            </w:r>
          </w:p>
        </w:tc>
      </w:tr>
      <w:tr w:rsidR="00F0742C" w:rsidRPr="00E85915" w14:paraId="28C193DA" w14:textId="77777777" w:rsidTr="00D83603">
        <w:trPr>
          <w:trHeight w:val="35"/>
        </w:trPr>
        <w:tc>
          <w:tcPr>
            <w:tcW w:w="5665" w:type="dxa"/>
            <w:shd w:val="clear" w:color="auto" w:fill="1F497D" w:themeFill="text2"/>
            <w:vAlign w:val="center"/>
          </w:tcPr>
          <w:p w14:paraId="4D86DB95" w14:textId="5477078B" w:rsidR="00F0742C" w:rsidRPr="00E85915" w:rsidRDefault="00F0742C" w:rsidP="003A303A">
            <w:pPr>
              <w:pStyle w:val="ONUME"/>
              <w:numPr>
                <w:ilvl w:val="0"/>
                <w:numId w:val="0"/>
              </w:numPr>
              <w:spacing w:after="0"/>
              <w:ind w:left="34"/>
              <w:rPr>
                <w:b/>
                <w:color w:val="FFFFFF" w:themeColor="background1"/>
                <w:sz w:val="18"/>
                <w:szCs w:val="18"/>
              </w:rPr>
            </w:pPr>
            <w:r w:rsidRPr="00E85915">
              <w:rPr>
                <w:b/>
                <w:color w:val="FFFFFF" w:themeColor="background1"/>
                <w:sz w:val="18"/>
              </w:rPr>
              <w:t xml:space="preserve">Examen de la gouvernance, de la gestion des risques et du contrôle interne </w:t>
            </w:r>
          </w:p>
        </w:tc>
        <w:tc>
          <w:tcPr>
            <w:tcW w:w="1620" w:type="dxa"/>
            <w:shd w:val="clear" w:color="auto" w:fill="1F497D" w:themeFill="text2"/>
            <w:vAlign w:val="center"/>
          </w:tcPr>
          <w:p w14:paraId="49A2C7C2" w14:textId="77777777" w:rsidR="00F0742C" w:rsidRPr="00E85915" w:rsidRDefault="00F0742C" w:rsidP="003A303A">
            <w:pPr>
              <w:pStyle w:val="ONUME"/>
              <w:numPr>
                <w:ilvl w:val="0"/>
                <w:numId w:val="0"/>
              </w:numPr>
              <w:spacing w:after="0"/>
              <w:ind w:left="34"/>
              <w:rPr>
                <w:b/>
                <w:color w:val="FFFFFF" w:themeColor="background1"/>
                <w:sz w:val="18"/>
                <w:szCs w:val="18"/>
              </w:rPr>
            </w:pPr>
          </w:p>
        </w:tc>
        <w:tc>
          <w:tcPr>
            <w:tcW w:w="2150" w:type="dxa"/>
            <w:shd w:val="clear" w:color="auto" w:fill="1F497D" w:themeFill="text2"/>
            <w:vAlign w:val="center"/>
          </w:tcPr>
          <w:p w14:paraId="04D63526" w14:textId="77777777" w:rsidR="00F0742C" w:rsidRPr="00E85915" w:rsidRDefault="00F0742C" w:rsidP="003A303A">
            <w:pPr>
              <w:pStyle w:val="ONUME"/>
              <w:numPr>
                <w:ilvl w:val="0"/>
                <w:numId w:val="0"/>
              </w:numPr>
              <w:spacing w:after="0"/>
              <w:ind w:left="34"/>
              <w:rPr>
                <w:b/>
                <w:color w:val="FFFFFF" w:themeColor="background1"/>
                <w:sz w:val="18"/>
                <w:szCs w:val="18"/>
              </w:rPr>
            </w:pPr>
          </w:p>
        </w:tc>
      </w:tr>
      <w:tr w:rsidR="00F0742C" w:rsidRPr="00E85915" w14:paraId="1EC512B5" w14:textId="77777777" w:rsidTr="00D83603">
        <w:trPr>
          <w:trHeight w:val="35"/>
        </w:trPr>
        <w:tc>
          <w:tcPr>
            <w:tcW w:w="5665" w:type="dxa"/>
            <w:vAlign w:val="center"/>
          </w:tcPr>
          <w:p w14:paraId="2551C9A5" w14:textId="569B04F4" w:rsidR="00F0742C" w:rsidRPr="00E85915" w:rsidRDefault="00F0742C" w:rsidP="003A303A">
            <w:pPr>
              <w:pStyle w:val="Default"/>
              <w:rPr>
                <w:sz w:val="18"/>
                <w:szCs w:val="18"/>
              </w:rPr>
            </w:pPr>
            <w:r w:rsidRPr="00E85915">
              <w:rPr>
                <w:sz w:val="18"/>
              </w:rPr>
              <w:t>Avis de la DSI concernant la gouvernance, la gestion des risques et le contrôle interne, éléments constitutifs</w:t>
            </w:r>
            <w:r w:rsidR="00BF513F" w:rsidRPr="00E85915">
              <w:rPr>
                <w:sz w:val="18"/>
              </w:rPr>
              <w:t> :</w:t>
            </w:r>
            <w:r w:rsidRPr="00E85915">
              <w:rPr>
                <w:sz w:val="18"/>
              </w:rPr>
              <w:t xml:space="preserve"> gouvernance (niveau stratégique)</w:t>
            </w:r>
          </w:p>
        </w:tc>
        <w:tc>
          <w:tcPr>
            <w:tcW w:w="1620" w:type="dxa"/>
            <w:vAlign w:val="center"/>
          </w:tcPr>
          <w:p w14:paraId="4DB1824D" w14:textId="3C05B781"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06.A1</w:t>
            </w:r>
          </w:p>
        </w:tc>
        <w:tc>
          <w:tcPr>
            <w:tcW w:w="2150" w:type="dxa"/>
            <w:vAlign w:val="center"/>
          </w:tcPr>
          <w:p w14:paraId="2DE0A921" w14:textId="77777777" w:rsidR="00F0742C" w:rsidRPr="00E85915" w:rsidRDefault="00F0742C" w:rsidP="003A303A">
            <w:pPr>
              <w:pStyle w:val="Default"/>
              <w:rPr>
                <w:sz w:val="18"/>
                <w:szCs w:val="18"/>
              </w:rPr>
            </w:pPr>
            <w:r w:rsidRPr="00E85915">
              <w:rPr>
                <w:sz w:val="18"/>
              </w:rPr>
              <w:t>17 mars 2025</w:t>
            </w:r>
          </w:p>
        </w:tc>
      </w:tr>
      <w:tr w:rsidR="00F0742C" w:rsidRPr="00E85915" w14:paraId="11E44598" w14:textId="77777777" w:rsidTr="00D83603">
        <w:trPr>
          <w:trHeight w:val="35"/>
        </w:trPr>
        <w:tc>
          <w:tcPr>
            <w:tcW w:w="5665" w:type="dxa"/>
            <w:vAlign w:val="center"/>
          </w:tcPr>
          <w:p w14:paraId="096B7AAE" w14:textId="43361B4A" w:rsidR="00F0742C" w:rsidRPr="00E85915" w:rsidRDefault="00F0742C" w:rsidP="003A303A">
            <w:pPr>
              <w:pStyle w:val="Default"/>
              <w:rPr>
                <w:sz w:val="18"/>
                <w:szCs w:val="18"/>
              </w:rPr>
            </w:pPr>
            <w:r w:rsidRPr="00E85915">
              <w:rPr>
                <w:sz w:val="18"/>
              </w:rPr>
              <w:t>Avis de la DSI concernant la gouvernance, la gestion des risques et le contrôle interne, éléments constitutifs</w:t>
            </w:r>
            <w:r w:rsidR="00BF513F" w:rsidRPr="00E85915">
              <w:rPr>
                <w:sz w:val="18"/>
              </w:rPr>
              <w:t> :</w:t>
            </w:r>
            <w:r w:rsidRPr="00E85915">
              <w:rPr>
                <w:sz w:val="18"/>
              </w:rPr>
              <w:t xml:space="preserve"> gouvernance (niveau opérationnel)</w:t>
            </w:r>
          </w:p>
        </w:tc>
        <w:tc>
          <w:tcPr>
            <w:tcW w:w="1620" w:type="dxa"/>
            <w:vAlign w:val="center"/>
          </w:tcPr>
          <w:p w14:paraId="7B4E1F47" w14:textId="34935E4B"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06.A2</w:t>
            </w:r>
          </w:p>
        </w:tc>
        <w:tc>
          <w:tcPr>
            <w:tcW w:w="2150" w:type="dxa"/>
            <w:vAlign w:val="center"/>
          </w:tcPr>
          <w:p w14:paraId="7F12DE3A" w14:textId="77777777" w:rsidR="00F0742C" w:rsidRPr="00E85915" w:rsidRDefault="00F0742C" w:rsidP="003A303A">
            <w:pPr>
              <w:pStyle w:val="Default"/>
              <w:rPr>
                <w:sz w:val="18"/>
                <w:szCs w:val="18"/>
              </w:rPr>
            </w:pPr>
            <w:r w:rsidRPr="00E85915">
              <w:rPr>
                <w:sz w:val="18"/>
              </w:rPr>
              <w:t>15 mai 2025</w:t>
            </w:r>
          </w:p>
        </w:tc>
      </w:tr>
      <w:tr w:rsidR="00F0742C" w:rsidRPr="00E85915" w14:paraId="1DA83DB6" w14:textId="77777777" w:rsidTr="00D83603">
        <w:trPr>
          <w:trHeight w:val="35"/>
        </w:trPr>
        <w:tc>
          <w:tcPr>
            <w:tcW w:w="5665" w:type="dxa"/>
            <w:vAlign w:val="center"/>
          </w:tcPr>
          <w:p w14:paraId="7D4E88B2" w14:textId="5E23FF86" w:rsidR="00F0742C" w:rsidRPr="00E85915" w:rsidRDefault="00F0742C" w:rsidP="003A303A">
            <w:pPr>
              <w:pStyle w:val="Default"/>
              <w:rPr>
                <w:sz w:val="18"/>
                <w:szCs w:val="18"/>
              </w:rPr>
            </w:pPr>
            <w:r w:rsidRPr="00E85915">
              <w:rPr>
                <w:sz w:val="18"/>
              </w:rPr>
              <w:t>Avis de la DSI concernant la gouvernance, la gestion des risques et le contrôle interne, éléments constitutifs</w:t>
            </w:r>
            <w:r w:rsidR="00BF513F" w:rsidRPr="00E85915">
              <w:rPr>
                <w:sz w:val="18"/>
              </w:rPr>
              <w:t> :</w:t>
            </w:r>
            <w:r w:rsidRPr="00E85915">
              <w:rPr>
                <w:sz w:val="18"/>
              </w:rPr>
              <w:t xml:space="preserve"> gestion des risques</w:t>
            </w:r>
          </w:p>
        </w:tc>
        <w:tc>
          <w:tcPr>
            <w:tcW w:w="1620" w:type="dxa"/>
            <w:vAlign w:val="center"/>
          </w:tcPr>
          <w:p w14:paraId="48DF0282" w14:textId="1D26FC8D"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06.B</w:t>
            </w:r>
          </w:p>
        </w:tc>
        <w:tc>
          <w:tcPr>
            <w:tcW w:w="2150" w:type="dxa"/>
            <w:vAlign w:val="center"/>
          </w:tcPr>
          <w:p w14:paraId="2E701A28" w14:textId="77777777" w:rsidR="00F0742C" w:rsidRPr="00E85915" w:rsidRDefault="00F0742C" w:rsidP="003A303A">
            <w:pPr>
              <w:pStyle w:val="Default"/>
              <w:rPr>
                <w:sz w:val="18"/>
                <w:szCs w:val="18"/>
              </w:rPr>
            </w:pPr>
            <w:r w:rsidRPr="00E85915">
              <w:rPr>
                <w:sz w:val="18"/>
              </w:rPr>
              <w:t>27 mai 2025</w:t>
            </w:r>
          </w:p>
        </w:tc>
      </w:tr>
      <w:tr w:rsidR="00F0742C" w:rsidRPr="00E85915" w14:paraId="0FD711E6" w14:textId="77777777" w:rsidTr="00D83603">
        <w:trPr>
          <w:trHeight w:val="35"/>
        </w:trPr>
        <w:tc>
          <w:tcPr>
            <w:tcW w:w="5665" w:type="dxa"/>
            <w:vAlign w:val="center"/>
          </w:tcPr>
          <w:p w14:paraId="5A54260A" w14:textId="0DC7F6C6" w:rsidR="00F0742C" w:rsidRPr="00E85915" w:rsidRDefault="00F0742C" w:rsidP="003A303A">
            <w:pPr>
              <w:pStyle w:val="Default"/>
              <w:rPr>
                <w:sz w:val="18"/>
                <w:szCs w:val="18"/>
              </w:rPr>
            </w:pPr>
            <w:r w:rsidRPr="00E85915">
              <w:rPr>
                <w:sz w:val="18"/>
              </w:rPr>
              <w:t>Avis de la DSI concernant la gouvernance, la gestion des risques et le contrôle interne, éléments constitutifs</w:t>
            </w:r>
            <w:r w:rsidR="00BF513F" w:rsidRPr="00E85915">
              <w:rPr>
                <w:sz w:val="18"/>
              </w:rPr>
              <w:t> :</w:t>
            </w:r>
            <w:r w:rsidRPr="00E85915">
              <w:rPr>
                <w:sz w:val="18"/>
              </w:rPr>
              <w:t xml:space="preserve"> Section de la sécurité informatique, Division de la sécurité et de l</w:t>
            </w:r>
            <w:r w:rsidR="00BF513F" w:rsidRPr="00E85915">
              <w:rPr>
                <w:sz w:val="18"/>
              </w:rPr>
              <w:t>’</w:t>
            </w:r>
            <w:r w:rsidRPr="00E85915">
              <w:rPr>
                <w:sz w:val="18"/>
              </w:rPr>
              <w:t>assurance informatique (SIAD)</w:t>
            </w:r>
          </w:p>
        </w:tc>
        <w:tc>
          <w:tcPr>
            <w:tcW w:w="1620" w:type="dxa"/>
            <w:vAlign w:val="center"/>
          </w:tcPr>
          <w:p w14:paraId="69442CF0" w14:textId="6B8F2CA9"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06.C1</w:t>
            </w:r>
          </w:p>
        </w:tc>
        <w:tc>
          <w:tcPr>
            <w:tcW w:w="2150" w:type="dxa"/>
            <w:vAlign w:val="center"/>
          </w:tcPr>
          <w:p w14:paraId="777CF52F" w14:textId="77777777" w:rsidR="00F0742C" w:rsidRPr="00E85915" w:rsidRDefault="00F0742C" w:rsidP="003A303A">
            <w:pPr>
              <w:pStyle w:val="Default"/>
              <w:rPr>
                <w:sz w:val="18"/>
                <w:szCs w:val="18"/>
              </w:rPr>
            </w:pPr>
            <w:r w:rsidRPr="00E85915">
              <w:rPr>
                <w:sz w:val="18"/>
              </w:rPr>
              <w:t>26 mai 2025</w:t>
            </w:r>
          </w:p>
        </w:tc>
      </w:tr>
      <w:tr w:rsidR="00F0742C" w:rsidRPr="00E85915" w14:paraId="60ED9EBE" w14:textId="77777777" w:rsidTr="00D83603">
        <w:trPr>
          <w:trHeight w:val="35"/>
        </w:trPr>
        <w:tc>
          <w:tcPr>
            <w:tcW w:w="5665" w:type="dxa"/>
            <w:vAlign w:val="center"/>
          </w:tcPr>
          <w:p w14:paraId="48D667EA" w14:textId="0F9B51E4" w:rsidR="00F0742C" w:rsidRPr="00E85915" w:rsidRDefault="00F0742C" w:rsidP="003A303A">
            <w:pPr>
              <w:pStyle w:val="Default"/>
              <w:rPr>
                <w:sz w:val="18"/>
                <w:szCs w:val="18"/>
              </w:rPr>
            </w:pPr>
            <w:r w:rsidRPr="00E85915">
              <w:rPr>
                <w:sz w:val="18"/>
              </w:rPr>
              <w:t>Avis de la DSI concernant la gouvernance, la gestion des risques et le contrôle interne, éléments constitutifs</w:t>
            </w:r>
            <w:r w:rsidR="00BF513F" w:rsidRPr="00E85915">
              <w:rPr>
                <w:sz w:val="18"/>
              </w:rPr>
              <w:t> :</w:t>
            </w:r>
            <w:r w:rsidRPr="00E85915">
              <w:rPr>
                <w:sz w:val="18"/>
              </w:rPr>
              <w:t xml:space="preserve"> Centre international de calcul des </w:t>
            </w:r>
            <w:r w:rsidR="00BF513F" w:rsidRPr="00E85915">
              <w:rPr>
                <w:sz w:val="18"/>
              </w:rPr>
              <w:t>Nations Unies</w:t>
            </w:r>
            <w:r w:rsidRPr="00E85915">
              <w:rPr>
                <w:sz w:val="18"/>
              </w:rPr>
              <w:t xml:space="preserve"> (CIC)</w:t>
            </w:r>
          </w:p>
        </w:tc>
        <w:tc>
          <w:tcPr>
            <w:tcW w:w="1620" w:type="dxa"/>
            <w:vAlign w:val="center"/>
          </w:tcPr>
          <w:p w14:paraId="645D6129" w14:textId="091EB067"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06.C2</w:t>
            </w:r>
          </w:p>
        </w:tc>
        <w:tc>
          <w:tcPr>
            <w:tcW w:w="2150" w:type="dxa"/>
            <w:vAlign w:val="center"/>
          </w:tcPr>
          <w:p w14:paraId="6D6543F9" w14:textId="77777777" w:rsidR="00F0742C" w:rsidRPr="00E85915" w:rsidRDefault="00F0742C" w:rsidP="003A303A">
            <w:pPr>
              <w:pStyle w:val="Default"/>
              <w:rPr>
                <w:sz w:val="18"/>
                <w:szCs w:val="18"/>
              </w:rPr>
            </w:pPr>
            <w:r w:rsidRPr="00E85915">
              <w:rPr>
                <w:sz w:val="18"/>
              </w:rPr>
              <w:t>16 mai 2025</w:t>
            </w:r>
          </w:p>
        </w:tc>
      </w:tr>
      <w:tr w:rsidR="00F0742C" w:rsidRPr="00E85915" w14:paraId="6DAB11C2" w14:textId="77777777" w:rsidTr="00D83603">
        <w:trPr>
          <w:trHeight w:val="35"/>
        </w:trPr>
        <w:tc>
          <w:tcPr>
            <w:tcW w:w="5665" w:type="dxa"/>
            <w:vAlign w:val="center"/>
          </w:tcPr>
          <w:p w14:paraId="16EFBF75" w14:textId="323DE342" w:rsidR="00F0742C" w:rsidRPr="00E85915" w:rsidRDefault="00F0742C" w:rsidP="003A303A">
            <w:pPr>
              <w:pStyle w:val="Default"/>
              <w:rPr>
                <w:sz w:val="18"/>
                <w:szCs w:val="18"/>
              </w:rPr>
            </w:pPr>
            <w:r w:rsidRPr="00E85915">
              <w:rPr>
                <w:sz w:val="18"/>
              </w:rPr>
              <w:t>Avis de la DSI concernant la gouvernance, la gestion des risques et le contrôle interne, éléments constitutifs</w:t>
            </w:r>
            <w:r w:rsidR="00BF513F" w:rsidRPr="00E85915">
              <w:rPr>
                <w:sz w:val="18"/>
              </w:rPr>
              <w:t> :</w:t>
            </w:r>
            <w:r w:rsidRPr="00E85915">
              <w:rPr>
                <w:sz w:val="18"/>
              </w:rPr>
              <w:t xml:space="preserve"> Département des technologies de l</w:t>
            </w:r>
            <w:r w:rsidR="00BF513F" w:rsidRPr="00E85915">
              <w:rPr>
                <w:sz w:val="18"/>
              </w:rPr>
              <w:t>’</w:t>
            </w:r>
            <w:r w:rsidRPr="00E85915">
              <w:rPr>
                <w:sz w:val="18"/>
              </w:rPr>
              <w:t>information et de la communication et prestataires de services d</w:t>
            </w:r>
            <w:r w:rsidR="00BF513F" w:rsidRPr="00E85915">
              <w:rPr>
                <w:sz w:val="18"/>
              </w:rPr>
              <w:t>’</w:t>
            </w:r>
            <w:r w:rsidRPr="00E85915">
              <w:rPr>
                <w:sz w:val="18"/>
              </w:rPr>
              <w:t>informatique en nuage</w:t>
            </w:r>
          </w:p>
        </w:tc>
        <w:tc>
          <w:tcPr>
            <w:tcW w:w="1620" w:type="dxa"/>
            <w:vAlign w:val="center"/>
          </w:tcPr>
          <w:p w14:paraId="0690BC95" w14:textId="61BE34E9"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06.C3</w:t>
            </w:r>
          </w:p>
        </w:tc>
        <w:tc>
          <w:tcPr>
            <w:tcW w:w="2150" w:type="dxa"/>
            <w:vAlign w:val="center"/>
          </w:tcPr>
          <w:p w14:paraId="799F41C5" w14:textId="77777777" w:rsidR="00F0742C" w:rsidRPr="00E85915" w:rsidRDefault="00F0742C" w:rsidP="003A303A">
            <w:pPr>
              <w:pStyle w:val="Default"/>
              <w:rPr>
                <w:sz w:val="18"/>
                <w:szCs w:val="18"/>
              </w:rPr>
            </w:pPr>
            <w:r w:rsidRPr="00E85915">
              <w:rPr>
                <w:sz w:val="18"/>
              </w:rPr>
              <w:t>22 mai 2025</w:t>
            </w:r>
          </w:p>
        </w:tc>
      </w:tr>
      <w:tr w:rsidR="00F0742C" w:rsidRPr="00E85915" w14:paraId="44D065A9" w14:textId="77777777" w:rsidTr="00D83603">
        <w:trPr>
          <w:trHeight w:val="35"/>
        </w:trPr>
        <w:tc>
          <w:tcPr>
            <w:tcW w:w="5665" w:type="dxa"/>
            <w:vAlign w:val="center"/>
          </w:tcPr>
          <w:p w14:paraId="56D52E98" w14:textId="77777777" w:rsidR="00F0742C" w:rsidRPr="00E85915" w:rsidRDefault="00F0742C" w:rsidP="003A303A">
            <w:pPr>
              <w:pStyle w:val="Default"/>
              <w:rPr>
                <w:b/>
                <w:bCs/>
                <w:sz w:val="18"/>
                <w:szCs w:val="18"/>
              </w:rPr>
            </w:pPr>
            <w:r w:rsidRPr="00E85915">
              <w:rPr>
                <w:b/>
                <w:sz w:val="18"/>
              </w:rPr>
              <w:t>Non utilisé</w:t>
            </w:r>
          </w:p>
        </w:tc>
        <w:tc>
          <w:tcPr>
            <w:tcW w:w="1620" w:type="dxa"/>
            <w:vAlign w:val="center"/>
          </w:tcPr>
          <w:p w14:paraId="4B696572" w14:textId="094D2825"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06</w:t>
            </w:r>
            <w:r w:rsidR="0089008D">
              <w:rPr>
                <w:sz w:val="18"/>
              </w:rPr>
              <w:noBreakHyphen/>
            </w:r>
            <w:r w:rsidRPr="00E85915">
              <w:rPr>
                <w:sz w:val="18"/>
              </w:rPr>
              <w:t>D</w:t>
            </w:r>
          </w:p>
        </w:tc>
        <w:tc>
          <w:tcPr>
            <w:tcW w:w="2150" w:type="dxa"/>
            <w:vAlign w:val="center"/>
          </w:tcPr>
          <w:p w14:paraId="2565934B" w14:textId="77777777" w:rsidR="00F0742C" w:rsidRPr="00E85915" w:rsidRDefault="00F0742C" w:rsidP="003A303A">
            <w:pPr>
              <w:pStyle w:val="Default"/>
              <w:rPr>
                <w:sz w:val="18"/>
                <w:szCs w:val="18"/>
              </w:rPr>
            </w:pPr>
          </w:p>
        </w:tc>
      </w:tr>
      <w:tr w:rsidR="00F0742C" w:rsidRPr="00E85915" w14:paraId="1E33D65E" w14:textId="77777777" w:rsidTr="00D83603">
        <w:trPr>
          <w:trHeight w:val="35"/>
        </w:trPr>
        <w:tc>
          <w:tcPr>
            <w:tcW w:w="5665" w:type="dxa"/>
            <w:vAlign w:val="center"/>
          </w:tcPr>
          <w:p w14:paraId="09D8CDD4" w14:textId="52D065EA" w:rsidR="00F0742C" w:rsidRPr="00E85915" w:rsidRDefault="00F0742C" w:rsidP="003A303A">
            <w:pPr>
              <w:pStyle w:val="Default"/>
              <w:rPr>
                <w:sz w:val="18"/>
                <w:szCs w:val="18"/>
              </w:rPr>
            </w:pPr>
            <w:r w:rsidRPr="00E85915">
              <w:rPr>
                <w:sz w:val="18"/>
              </w:rPr>
              <w:t>Avis de la DSI concernant la gouvernance, la gestion des risques et le contrôle interne, éléments constitutifs</w:t>
            </w:r>
            <w:r w:rsidR="00BF513F" w:rsidRPr="00E85915">
              <w:rPr>
                <w:sz w:val="18"/>
              </w:rPr>
              <w:t> :</w:t>
            </w:r>
            <w:r w:rsidRPr="00E85915">
              <w:rPr>
                <w:sz w:val="18"/>
              </w:rPr>
              <w:t xml:space="preserve"> principaux contrôles de l</w:t>
            </w:r>
            <w:r w:rsidR="00BF513F" w:rsidRPr="00E85915">
              <w:rPr>
                <w:sz w:val="18"/>
              </w:rPr>
              <w:t>’</w:t>
            </w:r>
            <w:r w:rsidRPr="00E85915">
              <w:rPr>
                <w:sz w:val="18"/>
              </w:rPr>
              <w:t>Organisation</w:t>
            </w:r>
          </w:p>
        </w:tc>
        <w:tc>
          <w:tcPr>
            <w:tcW w:w="1620" w:type="dxa"/>
            <w:vAlign w:val="center"/>
          </w:tcPr>
          <w:p w14:paraId="5D5CF1CA" w14:textId="312E9660" w:rsidR="00F0742C" w:rsidRPr="00E85915" w:rsidRDefault="00F0742C" w:rsidP="003A303A">
            <w:pPr>
              <w:pStyle w:val="Default"/>
              <w:rPr>
                <w:sz w:val="18"/>
                <w:szCs w:val="18"/>
              </w:rPr>
            </w:pPr>
            <w:r w:rsidRPr="00E85915">
              <w:rPr>
                <w:sz w:val="18"/>
              </w:rPr>
              <w:t>IA</w:t>
            </w:r>
            <w:r w:rsidR="0089008D">
              <w:rPr>
                <w:sz w:val="18"/>
              </w:rPr>
              <w:noBreakHyphen/>
            </w:r>
            <w:r w:rsidRPr="00E85915">
              <w:rPr>
                <w:sz w:val="18"/>
              </w:rPr>
              <w:t>2025</w:t>
            </w:r>
            <w:r w:rsidR="0089008D">
              <w:rPr>
                <w:sz w:val="18"/>
              </w:rPr>
              <w:noBreakHyphen/>
            </w:r>
            <w:r w:rsidRPr="00E85915">
              <w:rPr>
                <w:sz w:val="18"/>
              </w:rPr>
              <w:t>06.E</w:t>
            </w:r>
          </w:p>
        </w:tc>
        <w:tc>
          <w:tcPr>
            <w:tcW w:w="2150" w:type="dxa"/>
            <w:vAlign w:val="center"/>
          </w:tcPr>
          <w:p w14:paraId="51B4BFED" w14:textId="0B7E2BEC" w:rsidR="00F0742C" w:rsidRPr="00E85915" w:rsidRDefault="00F0742C" w:rsidP="003A303A">
            <w:pPr>
              <w:pStyle w:val="Default"/>
              <w:rPr>
                <w:sz w:val="18"/>
                <w:szCs w:val="18"/>
              </w:rPr>
            </w:pPr>
            <w:r w:rsidRPr="00E85915">
              <w:rPr>
                <w:sz w:val="18"/>
              </w:rPr>
              <w:t>24 </w:t>
            </w:r>
            <w:r w:rsidR="00BF513F" w:rsidRPr="00E85915">
              <w:rPr>
                <w:sz w:val="18"/>
              </w:rPr>
              <w:t>novembre 20</w:t>
            </w:r>
            <w:r w:rsidRPr="00E85915">
              <w:rPr>
                <w:sz w:val="18"/>
              </w:rPr>
              <w:t>25</w:t>
            </w:r>
          </w:p>
        </w:tc>
      </w:tr>
      <w:tr w:rsidR="00F0742C" w:rsidRPr="00E85915" w14:paraId="18E5FE2C" w14:textId="77777777" w:rsidTr="00D83603">
        <w:trPr>
          <w:trHeight w:val="54"/>
        </w:trPr>
        <w:tc>
          <w:tcPr>
            <w:tcW w:w="5665" w:type="dxa"/>
            <w:shd w:val="clear" w:color="auto" w:fill="1F497D" w:themeFill="text2"/>
            <w:vAlign w:val="center"/>
          </w:tcPr>
          <w:p w14:paraId="45B3A3DF" w14:textId="56E89E51" w:rsidR="00F0742C" w:rsidRPr="00E85915" w:rsidRDefault="00F0742C" w:rsidP="00D83603">
            <w:pPr>
              <w:pStyle w:val="ONUME"/>
              <w:keepNext/>
              <w:numPr>
                <w:ilvl w:val="0"/>
                <w:numId w:val="0"/>
              </w:numPr>
              <w:spacing w:after="0"/>
              <w:ind w:left="34"/>
              <w:rPr>
                <w:b/>
                <w:color w:val="FFFFFF" w:themeColor="background1"/>
                <w:sz w:val="18"/>
                <w:szCs w:val="18"/>
              </w:rPr>
            </w:pPr>
            <w:r w:rsidRPr="00E85915">
              <w:rPr>
                <w:b/>
                <w:color w:val="FFFFFF" w:themeColor="background1"/>
                <w:sz w:val="18"/>
              </w:rPr>
              <w:lastRenderedPageBreak/>
              <w:t>Missions d</w:t>
            </w:r>
            <w:r w:rsidR="00BF513F" w:rsidRPr="00E85915">
              <w:rPr>
                <w:b/>
                <w:color w:val="FFFFFF" w:themeColor="background1"/>
                <w:sz w:val="18"/>
              </w:rPr>
              <w:t>’</w:t>
            </w:r>
            <w:r w:rsidRPr="00E85915">
              <w:rPr>
                <w:b/>
                <w:color w:val="FFFFFF" w:themeColor="background1"/>
                <w:sz w:val="18"/>
              </w:rPr>
              <w:t>évaluation</w:t>
            </w:r>
          </w:p>
        </w:tc>
        <w:tc>
          <w:tcPr>
            <w:tcW w:w="1620" w:type="dxa"/>
            <w:shd w:val="clear" w:color="auto" w:fill="1F497D" w:themeFill="text2"/>
            <w:vAlign w:val="center"/>
          </w:tcPr>
          <w:p w14:paraId="17A2860B" w14:textId="77777777" w:rsidR="00F0742C" w:rsidRPr="00E85915" w:rsidRDefault="00F0742C" w:rsidP="00D83603">
            <w:pPr>
              <w:pStyle w:val="ONUME"/>
              <w:keepNext/>
              <w:numPr>
                <w:ilvl w:val="0"/>
                <w:numId w:val="0"/>
              </w:numPr>
              <w:spacing w:after="0"/>
              <w:ind w:left="34"/>
              <w:rPr>
                <w:rFonts w:eastAsia="Times New Roman"/>
                <w:color w:val="FFFFFF" w:themeColor="background1"/>
                <w:sz w:val="18"/>
                <w:szCs w:val="18"/>
                <w:lang w:eastAsia="en-US"/>
              </w:rPr>
            </w:pPr>
          </w:p>
        </w:tc>
        <w:tc>
          <w:tcPr>
            <w:tcW w:w="2150" w:type="dxa"/>
            <w:shd w:val="clear" w:color="auto" w:fill="1F497D" w:themeFill="text2"/>
            <w:vAlign w:val="center"/>
          </w:tcPr>
          <w:p w14:paraId="50FD1A47" w14:textId="77777777" w:rsidR="00F0742C" w:rsidRPr="00E85915" w:rsidRDefault="00F0742C" w:rsidP="00D83603">
            <w:pPr>
              <w:pStyle w:val="ONUME"/>
              <w:keepNext/>
              <w:numPr>
                <w:ilvl w:val="0"/>
                <w:numId w:val="0"/>
              </w:numPr>
              <w:spacing w:after="0"/>
              <w:ind w:left="34"/>
              <w:rPr>
                <w:rFonts w:eastAsia="Times New Roman"/>
                <w:color w:val="FFFFFF" w:themeColor="background1"/>
                <w:sz w:val="18"/>
                <w:szCs w:val="18"/>
                <w:lang w:eastAsia="en-US"/>
              </w:rPr>
            </w:pPr>
          </w:p>
        </w:tc>
      </w:tr>
      <w:tr w:rsidR="00F0742C" w:rsidRPr="00E85915" w14:paraId="729A558A" w14:textId="77777777" w:rsidTr="00D83603">
        <w:trPr>
          <w:trHeight w:val="35"/>
        </w:trPr>
        <w:tc>
          <w:tcPr>
            <w:tcW w:w="5665" w:type="dxa"/>
            <w:vAlign w:val="center"/>
          </w:tcPr>
          <w:p w14:paraId="4A54926F" w14:textId="0689BC48" w:rsidR="00F0742C" w:rsidRPr="00E85915" w:rsidRDefault="00F0742C" w:rsidP="003A303A">
            <w:pPr>
              <w:pStyle w:val="Default"/>
              <w:rPr>
                <w:sz w:val="18"/>
                <w:szCs w:val="18"/>
              </w:rPr>
            </w:pPr>
            <w:r w:rsidRPr="00E85915">
              <w:rPr>
                <w:sz w:val="18"/>
              </w:rPr>
              <w:t>Résumé de la Division de la coordination du Plan d</w:t>
            </w:r>
            <w:r w:rsidR="00BF513F" w:rsidRPr="00E85915">
              <w:rPr>
                <w:sz w:val="18"/>
              </w:rPr>
              <w:t>’</w:t>
            </w:r>
            <w:r w:rsidRPr="00E85915">
              <w:rPr>
                <w:sz w:val="18"/>
              </w:rPr>
              <w:t>action pour le développement</w:t>
            </w:r>
          </w:p>
        </w:tc>
        <w:tc>
          <w:tcPr>
            <w:tcW w:w="1620" w:type="dxa"/>
            <w:vAlign w:val="center"/>
          </w:tcPr>
          <w:p w14:paraId="29828BDC" w14:textId="28D13D9A" w:rsidR="00F0742C" w:rsidRPr="00E85915" w:rsidRDefault="00F0742C" w:rsidP="003A303A">
            <w:pPr>
              <w:pStyle w:val="Default"/>
              <w:rPr>
                <w:sz w:val="18"/>
                <w:szCs w:val="18"/>
              </w:rPr>
            </w:pPr>
            <w:r w:rsidRPr="00E85915">
              <w:rPr>
                <w:sz w:val="18"/>
              </w:rPr>
              <w:t>EVAL</w:t>
            </w:r>
            <w:r w:rsidR="0089008D">
              <w:rPr>
                <w:sz w:val="18"/>
              </w:rPr>
              <w:noBreakHyphen/>
            </w:r>
            <w:r w:rsidRPr="00E85915">
              <w:rPr>
                <w:sz w:val="18"/>
              </w:rPr>
              <w:t>2025</w:t>
            </w:r>
            <w:r w:rsidR="0089008D">
              <w:rPr>
                <w:sz w:val="18"/>
              </w:rPr>
              <w:noBreakHyphen/>
            </w:r>
            <w:r w:rsidRPr="00E85915">
              <w:rPr>
                <w:sz w:val="18"/>
              </w:rPr>
              <w:t>01</w:t>
            </w:r>
          </w:p>
        </w:tc>
        <w:tc>
          <w:tcPr>
            <w:tcW w:w="2150" w:type="dxa"/>
            <w:vAlign w:val="center"/>
          </w:tcPr>
          <w:p w14:paraId="103C411B" w14:textId="77777777" w:rsidR="00F0742C" w:rsidRPr="00E85915" w:rsidRDefault="00F0742C" w:rsidP="003A303A">
            <w:pPr>
              <w:pStyle w:val="Default"/>
              <w:rPr>
                <w:sz w:val="18"/>
                <w:szCs w:val="18"/>
              </w:rPr>
            </w:pPr>
            <w:r w:rsidRPr="00E85915">
              <w:rPr>
                <w:sz w:val="18"/>
              </w:rPr>
              <w:t>15 mai 2025</w:t>
            </w:r>
          </w:p>
        </w:tc>
      </w:tr>
      <w:tr w:rsidR="00F0742C" w:rsidRPr="00E85915" w14:paraId="7C8F4E15" w14:textId="77777777" w:rsidTr="00D83603">
        <w:trPr>
          <w:trHeight w:val="35"/>
        </w:trPr>
        <w:tc>
          <w:tcPr>
            <w:tcW w:w="5665" w:type="dxa"/>
            <w:vAlign w:val="center"/>
          </w:tcPr>
          <w:p w14:paraId="25D079D5" w14:textId="6AAF78C6" w:rsidR="00F0742C" w:rsidRPr="00E85915" w:rsidRDefault="00F0742C" w:rsidP="003A303A">
            <w:pPr>
              <w:pStyle w:val="Default"/>
              <w:rPr>
                <w:sz w:val="18"/>
                <w:szCs w:val="18"/>
              </w:rPr>
            </w:pPr>
            <w:r w:rsidRPr="00E85915">
              <w:rPr>
                <w:sz w:val="18"/>
              </w:rPr>
              <w:t>Examen préalable à l</w:t>
            </w:r>
            <w:r w:rsidR="00BF513F" w:rsidRPr="00E85915">
              <w:rPr>
                <w:sz w:val="18"/>
              </w:rPr>
              <w:t>’</w:t>
            </w:r>
            <w:r w:rsidRPr="00E85915">
              <w:rPr>
                <w:sz w:val="18"/>
              </w:rPr>
              <w:t>évaluation de la Division pour l</w:t>
            </w:r>
            <w:r w:rsidR="00BF513F" w:rsidRPr="00E85915">
              <w:rPr>
                <w:sz w:val="18"/>
              </w:rPr>
              <w:t>’</w:t>
            </w:r>
            <w:r w:rsidRPr="00E85915">
              <w:rPr>
                <w:sz w:val="18"/>
              </w:rPr>
              <w:t>Amérique latine et les Caraïbes</w:t>
            </w:r>
          </w:p>
        </w:tc>
        <w:tc>
          <w:tcPr>
            <w:tcW w:w="1620" w:type="dxa"/>
            <w:vAlign w:val="center"/>
          </w:tcPr>
          <w:p w14:paraId="49DEAD08" w14:textId="50A4B4A6" w:rsidR="00F0742C" w:rsidRPr="00E85915" w:rsidRDefault="00F0742C" w:rsidP="003A303A">
            <w:pPr>
              <w:pStyle w:val="Default"/>
              <w:rPr>
                <w:sz w:val="18"/>
                <w:szCs w:val="18"/>
              </w:rPr>
            </w:pPr>
            <w:r w:rsidRPr="00E85915">
              <w:rPr>
                <w:sz w:val="18"/>
              </w:rPr>
              <w:t>EVAL 2024</w:t>
            </w:r>
            <w:r w:rsidR="0089008D">
              <w:rPr>
                <w:sz w:val="18"/>
              </w:rPr>
              <w:noBreakHyphen/>
            </w:r>
            <w:r w:rsidRPr="00E85915">
              <w:rPr>
                <w:sz w:val="18"/>
              </w:rPr>
              <w:t>07</w:t>
            </w:r>
          </w:p>
        </w:tc>
        <w:tc>
          <w:tcPr>
            <w:tcW w:w="2150" w:type="dxa"/>
            <w:vAlign w:val="center"/>
          </w:tcPr>
          <w:p w14:paraId="7EA0DEC6" w14:textId="77777777" w:rsidR="00F0742C" w:rsidRPr="00E85915" w:rsidRDefault="00F0742C" w:rsidP="003A303A">
            <w:pPr>
              <w:pStyle w:val="Default"/>
              <w:rPr>
                <w:sz w:val="18"/>
                <w:szCs w:val="18"/>
              </w:rPr>
            </w:pPr>
            <w:r w:rsidRPr="00E85915">
              <w:rPr>
                <w:sz w:val="18"/>
              </w:rPr>
              <w:t>14 mars 2025</w:t>
            </w:r>
          </w:p>
        </w:tc>
      </w:tr>
      <w:tr w:rsidR="00F0742C" w:rsidRPr="00E85915" w14:paraId="0C4756A0" w14:textId="77777777" w:rsidTr="00D83603">
        <w:trPr>
          <w:trHeight w:val="54"/>
        </w:trPr>
        <w:tc>
          <w:tcPr>
            <w:tcW w:w="5665" w:type="dxa"/>
            <w:shd w:val="clear" w:color="auto" w:fill="1F497D" w:themeFill="text2"/>
            <w:vAlign w:val="center"/>
          </w:tcPr>
          <w:p w14:paraId="20B37B16" w14:textId="26D399E3" w:rsidR="00F0742C" w:rsidRPr="00E85915" w:rsidRDefault="00F0742C" w:rsidP="003A303A">
            <w:pPr>
              <w:pStyle w:val="Default"/>
              <w:rPr>
                <w:b/>
                <w:color w:val="FFFFFF" w:themeColor="background1"/>
                <w:sz w:val="18"/>
                <w:szCs w:val="18"/>
              </w:rPr>
            </w:pPr>
            <w:r w:rsidRPr="00E85915">
              <w:rPr>
                <w:b/>
                <w:color w:val="FFFFFF" w:themeColor="background1"/>
                <w:sz w:val="18"/>
              </w:rPr>
              <w:t>Rapport à l</w:t>
            </w:r>
            <w:r w:rsidR="00BF513F" w:rsidRPr="00E85915">
              <w:rPr>
                <w:b/>
                <w:color w:val="FFFFFF" w:themeColor="background1"/>
                <w:sz w:val="18"/>
              </w:rPr>
              <w:t>’</w:t>
            </w:r>
            <w:r w:rsidRPr="00E85915">
              <w:rPr>
                <w:b/>
                <w:color w:val="FFFFFF" w:themeColor="background1"/>
                <w:sz w:val="18"/>
              </w:rPr>
              <w:t>intention de la direction</w:t>
            </w:r>
          </w:p>
        </w:tc>
        <w:tc>
          <w:tcPr>
            <w:tcW w:w="1620" w:type="dxa"/>
            <w:shd w:val="clear" w:color="auto" w:fill="1F497D" w:themeFill="text2"/>
            <w:vAlign w:val="center"/>
          </w:tcPr>
          <w:p w14:paraId="2085AD6C" w14:textId="77777777" w:rsidR="00F0742C" w:rsidRPr="00E85915" w:rsidRDefault="00F0742C" w:rsidP="003A303A">
            <w:pPr>
              <w:pStyle w:val="Default"/>
              <w:rPr>
                <w:color w:val="FFFFFF" w:themeColor="background1"/>
                <w:sz w:val="18"/>
                <w:szCs w:val="18"/>
              </w:rPr>
            </w:pPr>
          </w:p>
        </w:tc>
        <w:tc>
          <w:tcPr>
            <w:tcW w:w="2150" w:type="dxa"/>
            <w:shd w:val="clear" w:color="auto" w:fill="1F497D" w:themeFill="text2"/>
            <w:vAlign w:val="center"/>
          </w:tcPr>
          <w:p w14:paraId="435AC514" w14:textId="77777777" w:rsidR="00F0742C" w:rsidRPr="00E85915" w:rsidRDefault="00F0742C" w:rsidP="003A303A">
            <w:pPr>
              <w:pStyle w:val="Default"/>
              <w:rPr>
                <w:color w:val="FFFFFF" w:themeColor="background1"/>
                <w:sz w:val="18"/>
                <w:szCs w:val="18"/>
              </w:rPr>
            </w:pPr>
          </w:p>
        </w:tc>
      </w:tr>
      <w:tr w:rsidR="00F0742C" w:rsidRPr="00E85915" w14:paraId="1EE31054" w14:textId="77777777" w:rsidTr="00D83603">
        <w:trPr>
          <w:trHeight w:val="54"/>
        </w:trPr>
        <w:tc>
          <w:tcPr>
            <w:tcW w:w="5665" w:type="dxa"/>
            <w:vAlign w:val="center"/>
          </w:tcPr>
          <w:p w14:paraId="27D3011B" w14:textId="489626C1" w:rsidR="00F0742C" w:rsidRPr="00E85915" w:rsidRDefault="00F0742C" w:rsidP="003A303A">
            <w:pPr>
              <w:pStyle w:val="Default"/>
              <w:rPr>
                <w:sz w:val="18"/>
                <w:szCs w:val="18"/>
              </w:rPr>
            </w:pPr>
            <w:r w:rsidRPr="00E85915">
              <w:rPr>
                <w:sz w:val="18"/>
              </w:rPr>
              <w:t>Rapport à l</w:t>
            </w:r>
            <w:r w:rsidR="00BF513F" w:rsidRPr="00E85915">
              <w:rPr>
                <w:sz w:val="18"/>
              </w:rPr>
              <w:t>’</w:t>
            </w:r>
            <w:r w:rsidRPr="00E85915">
              <w:rPr>
                <w:sz w:val="18"/>
              </w:rPr>
              <w:t>intention de la direction</w:t>
            </w:r>
          </w:p>
          <w:p w14:paraId="64DE3F80" w14:textId="021EDFBD" w:rsidR="00F0742C" w:rsidRPr="00E85915" w:rsidRDefault="00F0742C" w:rsidP="003A303A">
            <w:pPr>
              <w:pStyle w:val="Default"/>
              <w:rPr>
                <w:sz w:val="18"/>
                <w:szCs w:val="18"/>
              </w:rPr>
            </w:pPr>
            <w:r w:rsidRPr="00E85915">
              <w:rPr>
                <w:sz w:val="18"/>
              </w:rPr>
              <w:t>concernant l</w:t>
            </w:r>
            <w:r w:rsidR="00BF513F" w:rsidRPr="00E85915">
              <w:rPr>
                <w:sz w:val="18"/>
              </w:rPr>
              <w:t>’</w:t>
            </w:r>
            <w:r w:rsidRPr="00E85915">
              <w:rPr>
                <w:sz w:val="18"/>
              </w:rPr>
              <w:t>indemnité spéciale pour frais d</w:t>
            </w:r>
            <w:r w:rsidR="00BF513F" w:rsidRPr="00E85915">
              <w:rPr>
                <w:sz w:val="18"/>
              </w:rPr>
              <w:t>’</w:t>
            </w:r>
            <w:r w:rsidRPr="00E85915">
              <w:rPr>
                <w:sz w:val="18"/>
              </w:rPr>
              <w:t>études</w:t>
            </w:r>
          </w:p>
        </w:tc>
        <w:tc>
          <w:tcPr>
            <w:tcW w:w="1620" w:type="dxa"/>
            <w:vAlign w:val="center"/>
          </w:tcPr>
          <w:p w14:paraId="3D36F169" w14:textId="154A1AD1" w:rsidR="00F0742C" w:rsidRPr="00E85915" w:rsidRDefault="00F0742C" w:rsidP="003A303A">
            <w:pPr>
              <w:pStyle w:val="Default"/>
              <w:rPr>
                <w:sz w:val="18"/>
                <w:szCs w:val="18"/>
              </w:rPr>
            </w:pPr>
            <w:r w:rsidRPr="00E85915">
              <w:rPr>
                <w:sz w:val="18"/>
              </w:rPr>
              <w:t>IOD</w:t>
            </w:r>
            <w:r w:rsidR="0089008D">
              <w:rPr>
                <w:sz w:val="18"/>
              </w:rPr>
              <w:noBreakHyphen/>
            </w:r>
            <w:r w:rsidRPr="00E85915">
              <w:rPr>
                <w:sz w:val="18"/>
              </w:rPr>
              <w:t>INV</w:t>
            </w:r>
            <w:r w:rsidR="0089008D">
              <w:rPr>
                <w:sz w:val="18"/>
              </w:rPr>
              <w:noBreakHyphen/>
            </w:r>
            <w:r w:rsidRPr="00E85915">
              <w:rPr>
                <w:sz w:val="18"/>
              </w:rPr>
              <w:t>2023</w:t>
            </w:r>
            <w:r w:rsidR="0089008D">
              <w:rPr>
                <w:sz w:val="18"/>
              </w:rPr>
              <w:noBreakHyphen/>
            </w:r>
            <w:r w:rsidRPr="00E85915">
              <w:rPr>
                <w:sz w:val="18"/>
              </w:rPr>
              <w:t>16</w:t>
            </w:r>
          </w:p>
        </w:tc>
        <w:tc>
          <w:tcPr>
            <w:tcW w:w="2150" w:type="dxa"/>
            <w:vAlign w:val="center"/>
          </w:tcPr>
          <w:p w14:paraId="7FD80FCC" w14:textId="77777777" w:rsidR="00F0742C" w:rsidRPr="00E85915" w:rsidRDefault="00F0742C" w:rsidP="003A303A">
            <w:pPr>
              <w:pStyle w:val="Default"/>
              <w:spacing w:line="259" w:lineRule="auto"/>
              <w:rPr>
                <w:sz w:val="18"/>
                <w:szCs w:val="18"/>
              </w:rPr>
            </w:pPr>
            <w:r w:rsidRPr="00E85915">
              <w:rPr>
                <w:sz w:val="18"/>
              </w:rPr>
              <w:t>10 mars 2025</w:t>
            </w:r>
          </w:p>
        </w:tc>
      </w:tr>
      <w:tr w:rsidR="00F0742C" w:rsidRPr="00E85915" w14:paraId="39C8BA0D" w14:textId="77777777" w:rsidTr="00D83603">
        <w:trPr>
          <w:trHeight w:val="54"/>
        </w:trPr>
        <w:tc>
          <w:tcPr>
            <w:tcW w:w="5665" w:type="dxa"/>
            <w:vAlign w:val="center"/>
          </w:tcPr>
          <w:p w14:paraId="07F62CE1" w14:textId="6578587E" w:rsidR="00F0742C" w:rsidRPr="00E85915" w:rsidRDefault="00F0742C" w:rsidP="003A303A">
            <w:pPr>
              <w:pStyle w:val="Default"/>
              <w:rPr>
                <w:sz w:val="18"/>
                <w:szCs w:val="18"/>
              </w:rPr>
            </w:pPr>
            <w:r w:rsidRPr="00E85915">
              <w:rPr>
                <w:sz w:val="18"/>
              </w:rPr>
              <w:t>Rapport à l</w:t>
            </w:r>
            <w:r w:rsidR="00BF513F" w:rsidRPr="00E85915">
              <w:rPr>
                <w:sz w:val="18"/>
              </w:rPr>
              <w:t>’</w:t>
            </w:r>
            <w:r w:rsidRPr="00E85915">
              <w:rPr>
                <w:sz w:val="18"/>
              </w:rPr>
              <w:t>intention de la direction concernant les intérimaires et les prestataires individuels de services</w:t>
            </w:r>
          </w:p>
        </w:tc>
        <w:tc>
          <w:tcPr>
            <w:tcW w:w="1620" w:type="dxa"/>
            <w:vAlign w:val="center"/>
          </w:tcPr>
          <w:p w14:paraId="0A24565C" w14:textId="7A8F0BA4" w:rsidR="00F0742C" w:rsidRPr="00E85915" w:rsidRDefault="00F0742C" w:rsidP="003A303A">
            <w:pPr>
              <w:pStyle w:val="Default"/>
              <w:rPr>
                <w:sz w:val="18"/>
                <w:szCs w:val="18"/>
              </w:rPr>
            </w:pPr>
            <w:r w:rsidRPr="00E85915">
              <w:rPr>
                <w:sz w:val="18"/>
              </w:rPr>
              <w:t>IOD</w:t>
            </w:r>
            <w:r w:rsidR="0089008D">
              <w:rPr>
                <w:sz w:val="18"/>
              </w:rPr>
              <w:noBreakHyphen/>
            </w:r>
            <w:r w:rsidRPr="00E85915">
              <w:rPr>
                <w:sz w:val="18"/>
              </w:rPr>
              <w:t>INV</w:t>
            </w:r>
            <w:r w:rsidR="0089008D">
              <w:rPr>
                <w:sz w:val="18"/>
              </w:rPr>
              <w:noBreakHyphen/>
            </w:r>
            <w:r w:rsidRPr="00E85915">
              <w:rPr>
                <w:sz w:val="18"/>
              </w:rPr>
              <w:t>2021</w:t>
            </w:r>
            <w:r w:rsidR="0089008D">
              <w:rPr>
                <w:sz w:val="18"/>
              </w:rPr>
              <w:noBreakHyphen/>
            </w:r>
            <w:r w:rsidRPr="00E85915">
              <w:rPr>
                <w:sz w:val="18"/>
              </w:rPr>
              <w:t>24</w:t>
            </w:r>
          </w:p>
          <w:p w14:paraId="2F11B7C1" w14:textId="72B795E8" w:rsidR="00F0742C" w:rsidRPr="00E85915" w:rsidRDefault="00F0742C" w:rsidP="003A303A">
            <w:pPr>
              <w:pStyle w:val="Default"/>
              <w:rPr>
                <w:sz w:val="18"/>
                <w:szCs w:val="18"/>
                <w:highlight w:val="yellow"/>
              </w:rPr>
            </w:pPr>
            <w:r w:rsidRPr="00E85915">
              <w:rPr>
                <w:sz w:val="18"/>
              </w:rPr>
              <w:t>IOD</w:t>
            </w:r>
            <w:r w:rsidR="0089008D">
              <w:rPr>
                <w:sz w:val="18"/>
              </w:rPr>
              <w:noBreakHyphen/>
            </w:r>
            <w:r w:rsidRPr="00E85915">
              <w:rPr>
                <w:sz w:val="18"/>
              </w:rPr>
              <w:t>INV</w:t>
            </w:r>
            <w:r w:rsidR="0089008D">
              <w:rPr>
                <w:sz w:val="18"/>
              </w:rPr>
              <w:noBreakHyphen/>
            </w:r>
            <w:r w:rsidRPr="00E85915">
              <w:rPr>
                <w:sz w:val="18"/>
              </w:rPr>
              <w:t>2022</w:t>
            </w:r>
            <w:r w:rsidR="0089008D">
              <w:rPr>
                <w:sz w:val="18"/>
              </w:rPr>
              <w:noBreakHyphen/>
            </w:r>
            <w:r w:rsidRPr="00E85915">
              <w:rPr>
                <w:sz w:val="18"/>
              </w:rPr>
              <w:t>15</w:t>
            </w:r>
          </w:p>
        </w:tc>
        <w:tc>
          <w:tcPr>
            <w:tcW w:w="2150" w:type="dxa"/>
            <w:vAlign w:val="center"/>
          </w:tcPr>
          <w:p w14:paraId="55C320A8" w14:textId="77777777" w:rsidR="00F0742C" w:rsidRPr="00E85915" w:rsidRDefault="00F0742C" w:rsidP="003A303A">
            <w:pPr>
              <w:pStyle w:val="Default"/>
              <w:spacing w:line="259" w:lineRule="auto"/>
              <w:rPr>
                <w:sz w:val="18"/>
                <w:szCs w:val="18"/>
              </w:rPr>
            </w:pPr>
            <w:r w:rsidRPr="00E85915">
              <w:rPr>
                <w:sz w:val="18"/>
              </w:rPr>
              <w:t>18 mars 2025</w:t>
            </w:r>
          </w:p>
        </w:tc>
      </w:tr>
      <w:tr w:rsidR="00F0742C" w:rsidRPr="00E85915" w14:paraId="277F1D81" w14:textId="77777777" w:rsidTr="00D83603">
        <w:trPr>
          <w:trHeight w:val="54"/>
        </w:trPr>
        <w:tc>
          <w:tcPr>
            <w:tcW w:w="5665" w:type="dxa"/>
            <w:vAlign w:val="center"/>
          </w:tcPr>
          <w:p w14:paraId="64966993" w14:textId="58D99495" w:rsidR="00F0742C" w:rsidRPr="00E85915" w:rsidRDefault="00F0742C" w:rsidP="003A303A">
            <w:pPr>
              <w:pStyle w:val="Default"/>
              <w:rPr>
                <w:sz w:val="18"/>
                <w:szCs w:val="18"/>
              </w:rPr>
            </w:pPr>
            <w:r w:rsidRPr="00E85915">
              <w:rPr>
                <w:sz w:val="18"/>
              </w:rPr>
              <w:t>Rapport à l</w:t>
            </w:r>
            <w:r w:rsidR="00BF513F" w:rsidRPr="00E85915">
              <w:rPr>
                <w:sz w:val="18"/>
              </w:rPr>
              <w:t>’</w:t>
            </w:r>
            <w:r w:rsidRPr="00E85915">
              <w:rPr>
                <w:sz w:val="18"/>
              </w:rPr>
              <w:t>intention de la direction</w:t>
            </w:r>
          </w:p>
          <w:p w14:paraId="795D18F8" w14:textId="0510571C" w:rsidR="00F0742C" w:rsidRPr="00E85915" w:rsidRDefault="00F0742C" w:rsidP="003A303A">
            <w:pPr>
              <w:pStyle w:val="Default"/>
              <w:rPr>
                <w:sz w:val="18"/>
                <w:szCs w:val="18"/>
              </w:rPr>
            </w:pPr>
            <w:r w:rsidRPr="00E85915">
              <w:rPr>
                <w:sz w:val="18"/>
              </w:rPr>
              <w:t>concernant les processus d</w:t>
            </w:r>
            <w:r w:rsidR="00BF513F" w:rsidRPr="00E85915">
              <w:rPr>
                <w:sz w:val="18"/>
              </w:rPr>
              <w:t>’</w:t>
            </w:r>
            <w:r w:rsidRPr="00E85915">
              <w:rPr>
                <w:sz w:val="18"/>
              </w:rPr>
              <w:t>achat direct</w:t>
            </w:r>
          </w:p>
        </w:tc>
        <w:tc>
          <w:tcPr>
            <w:tcW w:w="1620" w:type="dxa"/>
            <w:vAlign w:val="center"/>
          </w:tcPr>
          <w:p w14:paraId="0393E9DE" w14:textId="41C0C46E" w:rsidR="00F0742C" w:rsidRPr="00E85915" w:rsidRDefault="00F0742C" w:rsidP="003A303A">
            <w:pPr>
              <w:pStyle w:val="Default"/>
              <w:rPr>
                <w:sz w:val="18"/>
                <w:szCs w:val="18"/>
                <w:highlight w:val="yellow"/>
              </w:rPr>
            </w:pPr>
            <w:r w:rsidRPr="00E85915">
              <w:rPr>
                <w:sz w:val="18"/>
              </w:rPr>
              <w:t>IOD</w:t>
            </w:r>
            <w:r w:rsidR="0089008D">
              <w:rPr>
                <w:sz w:val="18"/>
              </w:rPr>
              <w:noBreakHyphen/>
            </w:r>
            <w:r w:rsidRPr="00E85915">
              <w:rPr>
                <w:sz w:val="18"/>
              </w:rPr>
              <w:t>INV</w:t>
            </w:r>
            <w:r w:rsidR="0089008D">
              <w:rPr>
                <w:sz w:val="18"/>
              </w:rPr>
              <w:noBreakHyphen/>
            </w:r>
            <w:r w:rsidRPr="00E85915">
              <w:rPr>
                <w:sz w:val="18"/>
              </w:rPr>
              <w:t>M26</w:t>
            </w:r>
            <w:r w:rsidR="0089008D">
              <w:rPr>
                <w:sz w:val="18"/>
              </w:rPr>
              <w:noBreakHyphen/>
            </w:r>
            <w:r w:rsidRPr="00E85915">
              <w:rPr>
                <w:sz w:val="18"/>
              </w:rPr>
              <w:t>24</w:t>
            </w:r>
          </w:p>
        </w:tc>
        <w:tc>
          <w:tcPr>
            <w:tcW w:w="2150" w:type="dxa"/>
            <w:vAlign w:val="center"/>
          </w:tcPr>
          <w:p w14:paraId="5C7FA238" w14:textId="77777777" w:rsidR="00F0742C" w:rsidRPr="00E85915" w:rsidRDefault="00F0742C" w:rsidP="003A303A">
            <w:pPr>
              <w:pStyle w:val="Default"/>
              <w:spacing w:line="259" w:lineRule="auto"/>
              <w:rPr>
                <w:sz w:val="18"/>
                <w:szCs w:val="18"/>
              </w:rPr>
            </w:pPr>
            <w:r w:rsidRPr="00E85915">
              <w:rPr>
                <w:sz w:val="18"/>
              </w:rPr>
              <w:t>9 septembre 2025</w:t>
            </w:r>
          </w:p>
        </w:tc>
      </w:tr>
    </w:tbl>
    <w:p w14:paraId="482C8F2F" w14:textId="63D5034E" w:rsidR="000F5E56" w:rsidRPr="00E85915" w:rsidRDefault="00F0742C" w:rsidP="003A303A">
      <w:pPr>
        <w:pStyle w:val="Endofdocument-Annex"/>
      </w:pPr>
      <w:r w:rsidRPr="00E85915">
        <w:t>[Fin de l</w:t>
      </w:r>
      <w:r w:rsidR="00BF513F" w:rsidRPr="00E85915">
        <w:t>’</w:t>
      </w:r>
      <w:r w:rsidRPr="00E85915">
        <w:t>annexe et du document]</w:t>
      </w:r>
    </w:p>
    <w:sectPr w:rsidR="000F5E56" w:rsidRPr="00E85915" w:rsidSect="00CF1141">
      <w:headerReference w:type="default" r:id="rId33"/>
      <w:headerReference w:type="first" r:id="rId3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B665B" w14:textId="77777777" w:rsidR="00CA14C1" w:rsidRDefault="00CA14C1">
      <w:r>
        <w:separator/>
      </w:r>
    </w:p>
  </w:endnote>
  <w:endnote w:type="continuationSeparator" w:id="0">
    <w:p w14:paraId="4FDDD742" w14:textId="77777777" w:rsidR="00CA14C1" w:rsidRPr="009D30E6" w:rsidRDefault="00CA14C1" w:rsidP="00D45252">
      <w:pPr>
        <w:rPr>
          <w:sz w:val="17"/>
          <w:szCs w:val="17"/>
        </w:rPr>
      </w:pPr>
      <w:r w:rsidRPr="009D30E6">
        <w:rPr>
          <w:sz w:val="17"/>
          <w:szCs w:val="17"/>
        </w:rPr>
        <w:separator/>
      </w:r>
    </w:p>
    <w:p w14:paraId="0C97DB24" w14:textId="77777777" w:rsidR="00CA14C1" w:rsidRPr="009D30E6" w:rsidRDefault="00CA14C1" w:rsidP="00D45252">
      <w:pPr>
        <w:spacing w:after="60"/>
        <w:rPr>
          <w:sz w:val="17"/>
          <w:szCs w:val="17"/>
        </w:rPr>
      </w:pPr>
      <w:r w:rsidRPr="009D30E6">
        <w:rPr>
          <w:sz w:val="17"/>
          <w:szCs w:val="17"/>
        </w:rPr>
        <w:t>[Suite de la note de la page précédente]</w:t>
      </w:r>
    </w:p>
  </w:endnote>
  <w:endnote w:type="continuationNotice" w:id="1">
    <w:p w14:paraId="0795E896" w14:textId="77777777" w:rsidR="00CA14C1" w:rsidRPr="009D30E6" w:rsidRDefault="00CA14C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003A303A" w:rsidRPr="003A303A" w14:paraId="6614B427" w14:textId="77777777" w:rsidTr="009521C8">
      <w:trPr>
        <w:trHeight w:val="300"/>
      </w:trPr>
      <w:tc>
        <w:tcPr>
          <w:tcW w:w="3115" w:type="dxa"/>
        </w:tcPr>
        <w:p w14:paraId="0112F7D1" w14:textId="77777777" w:rsidR="003A303A" w:rsidRPr="003A303A" w:rsidRDefault="003A303A" w:rsidP="003A303A">
          <w:pPr>
            <w:pStyle w:val="Footer"/>
          </w:pPr>
        </w:p>
      </w:tc>
      <w:tc>
        <w:tcPr>
          <w:tcW w:w="3115" w:type="dxa"/>
        </w:tcPr>
        <w:p w14:paraId="4FB9D0E3" w14:textId="77777777" w:rsidR="003A303A" w:rsidRPr="003A303A" w:rsidRDefault="003A303A" w:rsidP="003A303A">
          <w:pPr>
            <w:pStyle w:val="Footer"/>
          </w:pPr>
        </w:p>
      </w:tc>
      <w:tc>
        <w:tcPr>
          <w:tcW w:w="3115" w:type="dxa"/>
        </w:tcPr>
        <w:p w14:paraId="268F64A4" w14:textId="77777777" w:rsidR="003A303A" w:rsidRPr="003A303A" w:rsidRDefault="003A303A" w:rsidP="003A303A">
          <w:pPr>
            <w:pStyle w:val="Footer"/>
          </w:pPr>
        </w:p>
      </w:tc>
    </w:tr>
  </w:tbl>
  <w:p w14:paraId="7E477D73" w14:textId="77777777" w:rsidR="003A303A" w:rsidRDefault="003A3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003A303A" w:rsidRPr="003A303A" w14:paraId="0D56FA7E" w14:textId="77777777">
      <w:trPr>
        <w:trHeight w:val="300"/>
      </w:trPr>
      <w:tc>
        <w:tcPr>
          <w:tcW w:w="3115" w:type="dxa"/>
        </w:tcPr>
        <w:p w14:paraId="309C9010" w14:textId="77777777" w:rsidR="003A303A" w:rsidRPr="003A303A" w:rsidRDefault="003A303A" w:rsidP="003A303A">
          <w:pPr>
            <w:pStyle w:val="Footer"/>
          </w:pPr>
        </w:p>
      </w:tc>
      <w:tc>
        <w:tcPr>
          <w:tcW w:w="3115" w:type="dxa"/>
        </w:tcPr>
        <w:p w14:paraId="014F7EDF" w14:textId="77777777" w:rsidR="003A303A" w:rsidRPr="003A303A" w:rsidRDefault="003A303A" w:rsidP="003A303A">
          <w:pPr>
            <w:pStyle w:val="Footer"/>
          </w:pPr>
        </w:p>
      </w:tc>
      <w:tc>
        <w:tcPr>
          <w:tcW w:w="3115" w:type="dxa"/>
        </w:tcPr>
        <w:p w14:paraId="61C2E84F" w14:textId="77777777" w:rsidR="003A303A" w:rsidRPr="003A303A" w:rsidRDefault="003A303A" w:rsidP="003A303A">
          <w:pPr>
            <w:pStyle w:val="Footer"/>
          </w:pPr>
        </w:p>
      </w:tc>
    </w:tr>
  </w:tbl>
  <w:p w14:paraId="3CC49CB6" w14:textId="77777777" w:rsidR="003A303A" w:rsidRDefault="003A30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00F0742C" w14:paraId="613EBD55" w14:textId="77777777" w:rsidTr="4397E843">
      <w:trPr>
        <w:trHeight w:val="300"/>
      </w:trPr>
      <w:tc>
        <w:tcPr>
          <w:tcW w:w="3115" w:type="dxa"/>
        </w:tcPr>
        <w:p w14:paraId="1771FEE7" w14:textId="77777777" w:rsidR="00F0742C" w:rsidRDefault="00F0742C" w:rsidP="4397E843">
          <w:pPr>
            <w:pStyle w:val="Header"/>
            <w:ind w:left="-115"/>
          </w:pPr>
        </w:p>
      </w:tc>
      <w:tc>
        <w:tcPr>
          <w:tcW w:w="3115" w:type="dxa"/>
        </w:tcPr>
        <w:p w14:paraId="0B4C9958" w14:textId="77777777" w:rsidR="00F0742C" w:rsidRDefault="00F0742C" w:rsidP="4397E843">
          <w:pPr>
            <w:pStyle w:val="Header"/>
            <w:jc w:val="center"/>
          </w:pPr>
        </w:p>
      </w:tc>
      <w:tc>
        <w:tcPr>
          <w:tcW w:w="3115" w:type="dxa"/>
        </w:tcPr>
        <w:p w14:paraId="14A38C01" w14:textId="77777777" w:rsidR="00F0742C" w:rsidRDefault="00F0742C" w:rsidP="4397E843">
          <w:pPr>
            <w:pStyle w:val="Header"/>
            <w:ind w:right="-115"/>
            <w:jc w:val="right"/>
          </w:pPr>
        </w:p>
      </w:tc>
    </w:tr>
  </w:tbl>
  <w:p w14:paraId="3EF23DD8" w14:textId="77777777" w:rsidR="00F0742C" w:rsidRDefault="00F0742C" w:rsidP="4397E8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15"/>
      <w:gridCol w:w="3115"/>
      <w:gridCol w:w="3115"/>
    </w:tblGrid>
    <w:tr w:rsidR="00F0742C" w14:paraId="4D3D6440" w14:textId="77777777" w:rsidTr="4397E843">
      <w:trPr>
        <w:trHeight w:val="300"/>
      </w:trPr>
      <w:tc>
        <w:tcPr>
          <w:tcW w:w="3115" w:type="dxa"/>
        </w:tcPr>
        <w:p w14:paraId="7EB15D6F" w14:textId="77777777" w:rsidR="00F0742C" w:rsidRDefault="00F0742C" w:rsidP="4397E843">
          <w:pPr>
            <w:pStyle w:val="Header"/>
            <w:ind w:left="-115"/>
          </w:pPr>
        </w:p>
      </w:tc>
      <w:tc>
        <w:tcPr>
          <w:tcW w:w="3115" w:type="dxa"/>
        </w:tcPr>
        <w:p w14:paraId="755A666E" w14:textId="77777777" w:rsidR="00F0742C" w:rsidRDefault="00F0742C" w:rsidP="4397E843">
          <w:pPr>
            <w:pStyle w:val="Header"/>
            <w:jc w:val="center"/>
          </w:pPr>
        </w:p>
      </w:tc>
      <w:tc>
        <w:tcPr>
          <w:tcW w:w="3115" w:type="dxa"/>
        </w:tcPr>
        <w:p w14:paraId="28187496" w14:textId="77777777" w:rsidR="00F0742C" w:rsidRDefault="00F0742C" w:rsidP="4397E843">
          <w:pPr>
            <w:pStyle w:val="Header"/>
            <w:ind w:right="-115"/>
            <w:jc w:val="right"/>
          </w:pPr>
        </w:p>
      </w:tc>
    </w:tr>
  </w:tbl>
  <w:p w14:paraId="473BC936" w14:textId="77777777" w:rsidR="00F0742C" w:rsidRDefault="00F0742C" w:rsidP="4397E84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7EC5" w14:textId="77777777" w:rsidR="00F0742C" w:rsidRPr="00CD472C" w:rsidRDefault="00F0742C" w:rsidP="002670C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1D55A" w14:textId="77777777" w:rsidR="00F0742C" w:rsidRPr="00CD472C" w:rsidRDefault="00F0742C" w:rsidP="002670C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2530B" w14:textId="38677947" w:rsidR="00F0742C" w:rsidRPr="003A303A" w:rsidRDefault="00F0742C" w:rsidP="003A30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2C7E" w14:textId="77777777" w:rsidR="00CA14C1" w:rsidRDefault="00CA14C1">
      <w:r>
        <w:separator/>
      </w:r>
    </w:p>
  </w:footnote>
  <w:footnote w:type="continuationSeparator" w:id="0">
    <w:p w14:paraId="796A3426" w14:textId="77777777" w:rsidR="00CA14C1" w:rsidRDefault="00CA14C1" w:rsidP="007461F1">
      <w:r>
        <w:separator/>
      </w:r>
    </w:p>
    <w:p w14:paraId="7A5F8D76" w14:textId="77777777" w:rsidR="00CA14C1" w:rsidRPr="009D30E6" w:rsidRDefault="00CA14C1" w:rsidP="007461F1">
      <w:pPr>
        <w:spacing w:after="60"/>
        <w:rPr>
          <w:sz w:val="17"/>
          <w:szCs w:val="17"/>
        </w:rPr>
      </w:pPr>
      <w:r w:rsidRPr="009D30E6">
        <w:rPr>
          <w:sz w:val="17"/>
          <w:szCs w:val="17"/>
        </w:rPr>
        <w:t>[Suite de la note de la page précédente]</w:t>
      </w:r>
    </w:p>
  </w:footnote>
  <w:footnote w:type="continuationNotice" w:id="1">
    <w:p w14:paraId="56C686DA" w14:textId="77777777" w:rsidR="00CA14C1" w:rsidRPr="009D30E6" w:rsidRDefault="00CA14C1" w:rsidP="007461F1">
      <w:pPr>
        <w:spacing w:before="60"/>
        <w:jc w:val="right"/>
        <w:rPr>
          <w:sz w:val="17"/>
          <w:szCs w:val="17"/>
        </w:rPr>
      </w:pPr>
      <w:r w:rsidRPr="009D30E6">
        <w:rPr>
          <w:sz w:val="17"/>
          <w:szCs w:val="17"/>
        </w:rPr>
        <w:t>[Suite de la note page suivante]</w:t>
      </w:r>
    </w:p>
  </w:footnote>
  <w:footnote w:id="2">
    <w:p w14:paraId="6E58240E" w14:textId="77777777" w:rsidR="00F0742C" w:rsidRPr="003A303A" w:rsidRDefault="00F0742C" w:rsidP="003A303A">
      <w:pPr>
        <w:pStyle w:val="FootnoteText"/>
        <w:tabs>
          <w:tab w:val="left" w:pos="567"/>
        </w:tabs>
        <w:rPr>
          <w:szCs w:val="18"/>
        </w:rPr>
      </w:pPr>
      <w:r w:rsidRPr="003A303A">
        <w:rPr>
          <w:rStyle w:val="FootnoteReference"/>
          <w:szCs w:val="18"/>
        </w:rPr>
        <w:footnoteRef/>
      </w:r>
      <w:r w:rsidRPr="003A303A">
        <w:rPr>
          <w:szCs w:val="18"/>
        </w:rPr>
        <w:tab/>
        <w:t>Voir le paragraphe 51 de la Charte de la supervision interne.</w:t>
      </w:r>
    </w:p>
  </w:footnote>
  <w:footnote w:id="3">
    <w:p w14:paraId="466C1024" w14:textId="0405E0D7" w:rsidR="00F0742C" w:rsidRPr="003A303A" w:rsidRDefault="00F0742C" w:rsidP="003A303A">
      <w:pPr>
        <w:pStyle w:val="FootnoteText"/>
        <w:tabs>
          <w:tab w:val="left" w:pos="567"/>
        </w:tabs>
        <w:rPr>
          <w:szCs w:val="18"/>
        </w:rPr>
      </w:pPr>
      <w:r w:rsidRPr="003A303A">
        <w:rPr>
          <w:rStyle w:val="FootnoteReference"/>
          <w:szCs w:val="18"/>
        </w:rPr>
        <w:footnoteRef/>
      </w:r>
      <w:r w:rsidRPr="003A303A">
        <w:rPr>
          <w:szCs w:val="18"/>
        </w:rPr>
        <w:tab/>
        <w:t>Le terme consultatif est utilisé lorsque</w:t>
      </w:r>
      <w:r w:rsidR="00C159B1" w:rsidRPr="003A303A">
        <w:rPr>
          <w:szCs w:val="18"/>
        </w:rPr>
        <w:t xml:space="preserve"> la</w:t>
      </w:r>
      <w:r w:rsidR="00C159B1">
        <w:rPr>
          <w:szCs w:val="18"/>
        </w:rPr>
        <w:t> </w:t>
      </w:r>
      <w:r w:rsidR="00C159B1" w:rsidRPr="003A303A">
        <w:rPr>
          <w:szCs w:val="18"/>
        </w:rPr>
        <w:t>DSI</w:t>
      </w:r>
      <w:r w:rsidRPr="003A303A">
        <w:rPr>
          <w:szCs w:val="18"/>
        </w:rPr>
        <w:t xml:space="preserve"> aide le client en lui donnant des conseils et en formulant des observations, mais ne se charge pas de la gestion de l</w:t>
      </w:r>
      <w:r w:rsidR="00C159B1">
        <w:rPr>
          <w:szCs w:val="18"/>
        </w:rPr>
        <w:t>’</w:t>
      </w:r>
      <w:r w:rsidRPr="003A303A">
        <w:rPr>
          <w:szCs w:val="18"/>
        </w:rPr>
        <w:t>activité ni de l</w:t>
      </w:r>
      <w:r w:rsidR="00C159B1">
        <w:rPr>
          <w:szCs w:val="18"/>
        </w:rPr>
        <w:t>’</w:t>
      </w:r>
      <w:r w:rsidRPr="003A303A">
        <w:rPr>
          <w:szCs w:val="18"/>
        </w:rPr>
        <w:t>obtention d</w:t>
      </w:r>
      <w:r w:rsidR="00C159B1">
        <w:rPr>
          <w:szCs w:val="18"/>
        </w:rPr>
        <w:t>’</w:t>
      </w:r>
      <w:r w:rsidRPr="003A303A">
        <w:rPr>
          <w:szCs w:val="18"/>
        </w:rPr>
        <w:t>un résultat concret.</w:t>
      </w:r>
    </w:p>
  </w:footnote>
  <w:footnote w:id="4">
    <w:p w14:paraId="3AB41403" w14:textId="38093DEE" w:rsidR="00F0742C" w:rsidRPr="003A303A" w:rsidRDefault="00F0742C" w:rsidP="003A303A">
      <w:pPr>
        <w:pStyle w:val="FootnoteText"/>
        <w:tabs>
          <w:tab w:val="left" w:pos="567"/>
        </w:tabs>
        <w:rPr>
          <w:szCs w:val="18"/>
        </w:rPr>
      </w:pPr>
      <w:r w:rsidRPr="003A303A">
        <w:rPr>
          <w:rStyle w:val="FootnoteReference"/>
          <w:szCs w:val="18"/>
        </w:rPr>
        <w:footnoteRef/>
      </w:r>
      <w:r w:rsidRPr="003A303A">
        <w:rPr>
          <w:szCs w:val="18"/>
        </w:rPr>
        <w:t xml:space="preserve"> </w:t>
      </w:r>
      <w:r w:rsidR="003A303A">
        <w:rPr>
          <w:szCs w:val="18"/>
        </w:rPr>
        <w:tab/>
      </w:r>
      <w:r w:rsidRPr="003A303A">
        <w:rPr>
          <w:szCs w:val="18"/>
        </w:rPr>
        <w:t>Charte de la supervision interne, paragraphe 52.c).</w:t>
      </w:r>
    </w:p>
  </w:footnote>
  <w:footnote w:id="5">
    <w:p w14:paraId="29709640" w14:textId="17C27835" w:rsidR="00F0742C" w:rsidRPr="003A303A" w:rsidRDefault="00F0742C" w:rsidP="003A303A">
      <w:pPr>
        <w:pStyle w:val="FootnoteText"/>
        <w:tabs>
          <w:tab w:val="left" w:pos="567"/>
        </w:tabs>
        <w:rPr>
          <w:szCs w:val="18"/>
        </w:rPr>
      </w:pPr>
      <w:r w:rsidRPr="003A303A">
        <w:rPr>
          <w:rStyle w:val="FootnoteReference"/>
          <w:szCs w:val="18"/>
        </w:rPr>
        <w:footnoteRef/>
      </w:r>
      <w:r w:rsidR="003A303A">
        <w:rPr>
          <w:szCs w:val="18"/>
        </w:rPr>
        <w:t xml:space="preserve"> </w:t>
      </w:r>
      <w:r w:rsidR="003A303A">
        <w:rPr>
          <w:szCs w:val="18"/>
        </w:rPr>
        <w:tab/>
      </w:r>
      <w:r w:rsidRPr="003A303A">
        <w:rPr>
          <w:szCs w:val="18"/>
        </w:rPr>
        <w:t>En vertu de l</w:t>
      </w:r>
      <w:r w:rsidR="00C159B1">
        <w:rPr>
          <w:szCs w:val="18"/>
        </w:rPr>
        <w:t>’</w:t>
      </w:r>
      <w:r w:rsidRPr="003A303A">
        <w:rPr>
          <w:szCs w:val="18"/>
        </w:rPr>
        <w:t>article 3.3 du Statut du personnel</w:t>
      </w:r>
      <w:r w:rsidR="00C159B1">
        <w:rPr>
          <w:szCs w:val="18"/>
        </w:rPr>
        <w:t> :</w:t>
      </w:r>
      <w:r w:rsidRPr="003A303A">
        <w:rPr>
          <w:szCs w:val="18"/>
        </w:rPr>
        <w:t xml:space="preserve"> “a) Les fonctionnaires ont droit, aux conditions définies par la Directrice ou le Directeur général, à des allocations non soumises à retenue pour pension pour un conjoint à charge et pour chaque enfant à charge.  (…) c) À défaut de conjoint à charge, la ou le fonctionnaire a droit, le cas échéant, à une allocation pour l</w:t>
      </w:r>
      <w:r w:rsidR="00C159B1">
        <w:rPr>
          <w:szCs w:val="18"/>
        </w:rPr>
        <w:t>’</w:t>
      </w:r>
      <w:r w:rsidRPr="003A303A">
        <w:rPr>
          <w:szCs w:val="18"/>
        </w:rPr>
        <w:t>une des personnes suivantes</w:t>
      </w:r>
      <w:r w:rsidR="00C159B1">
        <w:rPr>
          <w:szCs w:val="18"/>
        </w:rPr>
        <w:t> :</w:t>
      </w:r>
      <w:r w:rsidRPr="003A303A">
        <w:rPr>
          <w:szCs w:val="18"/>
        </w:rPr>
        <w:t xml:space="preserve"> un père à charge, une mère à charge, un frère à charge ou une sœur à charge.  Le présent article ne s</w:t>
      </w:r>
      <w:r w:rsidR="00C159B1">
        <w:rPr>
          <w:szCs w:val="18"/>
        </w:rPr>
        <w:t>’</w:t>
      </w:r>
      <w:r w:rsidRPr="003A303A">
        <w:rPr>
          <w:szCs w:val="18"/>
        </w:rPr>
        <w:t>applique pas aux fonctionnaires</w:t>
      </w:r>
      <w:r w:rsidR="003A303A">
        <w:rPr>
          <w:szCs w:val="18"/>
        </w:rPr>
        <w:t xml:space="preserve"> </w:t>
      </w:r>
      <w:r w:rsidRPr="003A303A">
        <w:rPr>
          <w:szCs w:val="18"/>
        </w:rPr>
        <w:t>temporaires”</w:t>
      </w:r>
      <w:r w:rsidR="00C960E4">
        <w:rPr>
          <w:szCs w:val="18"/>
        </w:rPr>
        <w:t>.</w:t>
      </w:r>
      <w:r w:rsidRPr="003A303A">
        <w:rPr>
          <w:szCs w:val="18"/>
        </w:rPr>
        <w:t xml:space="preserve">  Voir le </w:t>
      </w:r>
      <w:hyperlink r:id="rId1" w:history="1">
        <w:r w:rsidRPr="003A303A">
          <w:rPr>
            <w:rStyle w:val="Hyperlink"/>
            <w:rFonts w:cs="Arial"/>
            <w:szCs w:val="18"/>
          </w:rPr>
          <w:t>Statut et Règlement du personnel de l</w:t>
        </w:r>
        <w:r w:rsidR="00C159B1">
          <w:rPr>
            <w:rStyle w:val="Hyperlink"/>
            <w:rFonts w:cs="Arial"/>
            <w:szCs w:val="18"/>
          </w:rPr>
          <w:t>’</w:t>
        </w:r>
        <w:r w:rsidRPr="003A303A">
          <w:rPr>
            <w:rStyle w:val="Hyperlink"/>
            <w:rFonts w:cs="Arial"/>
            <w:szCs w:val="18"/>
          </w:rPr>
          <w:t>OMPI</w:t>
        </w:r>
      </w:hyperlink>
      <w:r w:rsidRPr="003A303A">
        <w:rPr>
          <w:szCs w:val="18"/>
        </w:rPr>
        <w:t>.</w:t>
      </w:r>
    </w:p>
  </w:footnote>
  <w:footnote w:id="6">
    <w:p w14:paraId="7138FC74" w14:textId="471FE2E3" w:rsidR="003D3CED" w:rsidRPr="003D3CED" w:rsidRDefault="003D3CED">
      <w:pPr>
        <w:pStyle w:val="FootnoteText"/>
        <w:rPr>
          <w:lang w:val="fr-FR"/>
        </w:rPr>
      </w:pPr>
      <w:r>
        <w:rPr>
          <w:rStyle w:val="FootnoteReference"/>
        </w:rPr>
        <w:footnoteRef/>
      </w:r>
      <w:r>
        <w:t xml:space="preserve"> </w:t>
      </w:r>
      <w:r>
        <w:rPr>
          <w:lang w:val="fr-FR"/>
        </w:rPr>
        <w:tab/>
      </w:r>
      <w:hyperlink r:id="rId2" w:history="1">
        <w:r w:rsidRPr="003A303A">
          <w:rPr>
            <w:rStyle w:val="Hyperlink"/>
            <w:rFonts w:cs="Arial"/>
            <w:szCs w:val="18"/>
          </w:rPr>
          <w:t>Division de la planification, du budget et de la gestion des risques</w:t>
        </w:r>
      </w:hyperlink>
      <w:r w:rsidRPr="003A303A">
        <w:rPr>
          <w:szCs w:val="18"/>
        </w:rPr>
        <w:t xml:space="preserve"> de l</w:t>
      </w:r>
      <w:r>
        <w:rPr>
          <w:szCs w:val="18"/>
        </w:rPr>
        <w:t>’</w:t>
      </w:r>
      <w:r w:rsidRPr="003A303A">
        <w:rPr>
          <w:szCs w:val="18"/>
        </w:rPr>
        <w:t>OMPI.</w:t>
      </w:r>
    </w:p>
  </w:footnote>
  <w:footnote w:id="7">
    <w:p w14:paraId="574F6BFA" w14:textId="6EDEC68D" w:rsidR="00F0742C" w:rsidRPr="003A303A" w:rsidRDefault="00F0742C" w:rsidP="003A303A">
      <w:pPr>
        <w:pStyle w:val="FootnoteText"/>
        <w:tabs>
          <w:tab w:val="left" w:pos="567"/>
        </w:tabs>
        <w:spacing w:after="20"/>
        <w:rPr>
          <w:szCs w:val="18"/>
        </w:rPr>
      </w:pPr>
      <w:r w:rsidRPr="003A303A">
        <w:rPr>
          <w:rStyle w:val="FootnoteReference"/>
          <w:szCs w:val="18"/>
        </w:rPr>
        <w:footnoteRef/>
      </w:r>
      <w:r w:rsidRPr="003A303A">
        <w:rPr>
          <w:szCs w:val="18"/>
        </w:rPr>
        <w:t xml:space="preserve"> </w:t>
      </w:r>
      <w:r w:rsidR="003A303A">
        <w:rPr>
          <w:szCs w:val="18"/>
        </w:rPr>
        <w:tab/>
      </w:r>
      <w:r w:rsidRPr="003A303A">
        <w:rPr>
          <w:szCs w:val="18"/>
        </w:rPr>
        <w:t xml:space="preserve">Voir le </w:t>
      </w:r>
      <w:r w:rsidR="00C159B1" w:rsidRPr="003A303A">
        <w:rPr>
          <w:szCs w:val="18"/>
        </w:rPr>
        <w:t>paragraphe</w:t>
      </w:r>
      <w:r w:rsidR="00C159B1">
        <w:rPr>
          <w:szCs w:val="18"/>
        </w:rPr>
        <w:t> </w:t>
      </w:r>
      <w:r w:rsidR="00C159B1" w:rsidRPr="003A303A">
        <w:rPr>
          <w:szCs w:val="18"/>
        </w:rPr>
        <w:t>4</w:t>
      </w:r>
      <w:r w:rsidRPr="003A303A">
        <w:rPr>
          <w:szCs w:val="18"/>
        </w:rPr>
        <w:t xml:space="preserve">5 de la Charte de la supervision interne, </w:t>
      </w:r>
      <w:hyperlink r:id="rId3" w:anchor="page=29" w:history="1">
        <w:r w:rsidRPr="003A303A">
          <w:rPr>
            <w:rStyle w:val="Hyperlink"/>
            <w:rFonts w:cs="Arial"/>
            <w:szCs w:val="18"/>
          </w:rPr>
          <w:t>Règlement financier et règlement d</w:t>
        </w:r>
        <w:r w:rsidR="00C159B1">
          <w:rPr>
            <w:rStyle w:val="Hyperlink"/>
            <w:rFonts w:cs="Arial"/>
            <w:szCs w:val="18"/>
          </w:rPr>
          <w:t>’</w:t>
        </w:r>
        <w:r w:rsidRPr="003A303A">
          <w:rPr>
            <w:rStyle w:val="Hyperlink"/>
            <w:rFonts w:cs="Arial"/>
            <w:szCs w:val="18"/>
          </w:rPr>
          <w:t>exécution du Règlement financier</w:t>
        </w:r>
      </w:hyperlink>
      <w:r w:rsidRPr="003A303A">
        <w:rPr>
          <w:szCs w:val="18"/>
        </w:rPr>
        <w:t>.</w:t>
      </w:r>
    </w:p>
  </w:footnote>
  <w:footnote w:id="8">
    <w:p w14:paraId="1CEE3EA6" w14:textId="64629C19" w:rsidR="00F0742C" w:rsidRPr="003A303A" w:rsidRDefault="00F0742C" w:rsidP="003A303A">
      <w:pPr>
        <w:pStyle w:val="FootnoteText"/>
        <w:tabs>
          <w:tab w:val="left" w:pos="567"/>
        </w:tabs>
        <w:rPr>
          <w:szCs w:val="18"/>
        </w:rPr>
      </w:pPr>
      <w:r w:rsidRPr="003A303A">
        <w:rPr>
          <w:rStyle w:val="FootnoteReference"/>
          <w:szCs w:val="18"/>
        </w:rPr>
        <w:footnoteRef/>
      </w:r>
      <w:r w:rsidRPr="003A303A">
        <w:rPr>
          <w:szCs w:val="18"/>
        </w:rPr>
        <w:t xml:space="preserve"> </w:t>
      </w:r>
      <w:r w:rsidR="003A303A">
        <w:rPr>
          <w:szCs w:val="18"/>
        </w:rPr>
        <w:tab/>
      </w:r>
      <w:r w:rsidRPr="003A303A">
        <w:rPr>
          <w:szCs w:val="18"/>
        </w:rPr>
        <w:t>Voir le paragraphe 7 de l</w:t>
      </w:r>
      <w:r w:rsidR="00C159B1">
        <w:rPr>
          <w:szCs w:val="18"/>
        </w:rPr>
        <w:t>’</w:t>
      </w:r>
      <w:r w:rsidRPr="003A303A">
        <w:rPr>
          <w:szCs w:val="18"/>
        </w:rPr>
        <w:t>ordre de service n° 16/2010.</w:t>
      </w:r>
    </w:p>
  </w:footnote>
  <w:footnote w:id="9">
    <w:p w14:paraId="7AE61E33" w14:textId="795FA7FB" w:rsidR="00F0742C" w:rsidRPr="003A303A" w:rsidRDefault="00F0742C" w:rsidP="003A303A">
      <w:pPr>
        <w:pStyle w:val="FootnoteText"/>
        <w:tabs>
          <w:tab w:val="left" w:pos="567"/>
        </w:tabs>
        <w:rPr>
          <w:szCs w:val="18"/>
        </w:rPr>
      </w:pPr>
      <w:r w:rsidRPr="003A303A">
        <w:rPr>
          <w:rStyle w:val="FootnoteReference"/>
          <w:szCs w:val="18"/>
        </w:rPr>
        <w:footnoteRef/>
      </w:r>
      <w:r w:rsidRPr="003A303A">
        <w:rPr>
          <w:szCs w:val="18"/>
        </w:rPr>
        <w:t xml:space="preserve"> </w:t>
      </w:r>
      <w:r w:rsidR="003A303A">
        <w:rPr>
          <w:szCs w:val="18"/>
        </w:rPr>
        <w:tab/>
      </w:r>
      <w:r w:rsidRPr="003A303A">
        <w:rPr>
          <w:szCs w:val="18"/>
        </w:rPr>
        <w:t xml:space="preserve">Une recommandation </w:t>
      </w:r>
      <w:r w:rsidR="00C159B1">
        <w:rPr>
          <w:szCs w:val="18"/>
        </w:rPr>
        <w:t>“</w:t>
      </w:r>
      <w:r w:rsidR="00C159B1" w:rsidRPr="003A303A">
        <w:rPr>
          <w:szCs w:val="18"/>
        </w:rPr>
        <w:t>à</w:t>
      </w:r>
      <w:r w:rsidRPr="003A303A">
        <w:rPr>
          <w:szCs w:val="18"/>
        </w:rPr>
        <w:t xml:space="preserve"> suivr</w:t>
      </w:r>
      <w:r w:rsidR="00C159B1" w:rsidRPr="003A303A">
        <w:rPr>
          <w:szCs w:val="18"/>
        </w:rPr>
        <w:t>e</w:t>
      </w:r>
      <w:r w:rsidR="00C159B1">
        <w:rPr>
          <w:szCs w:val="18"/>
        </w:rPr>
        <w:t>”</w:t>
      </w:r>
      <w:r w:rsidRPr="003A303A">
        <w:rPr>
          <w:szCs w:val="18"/>
        </w:rPr>
        <w:t xml:space="preserve"> concernait l</w:t>
      </w:r>
      <w:r w:rsidR="00C159B1">
        <w:rPr>
          <w:szCs w:val="18"/>
        </w:rPr>
        <w:t>’</w:t>
      </w:r>
      <w:r w:rsidRPr="003A303A">
        <w:rPr>
          <w:szCs w:val="18"/>
        </w:rPr>
        <w:t xml:space="preserve">examen collégial effectué par le Partenariat pour les services de conseil et de gestion des réserves (RAMP) de la Banque mondiale </w:t>
      </w:r>
      <w:r w:rsidR="00C159B1" w:rsidRPr="003A303A">
        <w:rPr>
          <w:szCs w:val="18"/>
        </w:rPr>
        <w:t>en</w:t>
      </w:r>
      <w:r w:rsidR="00C159B1">
        <w:rPr>
          <w:szCs w:val="18"/>
        </w:rPr>
        <w:t> </w:t>
      </w:r>
      <w:r w:rsidR="00C159B1" w:rsidRPr="003A303A">
        <w:rPr>
          <w:szCs w:val="18"/>
        </w:rPr>
        <w:t>2023</w:t>
      </w:r>
      <w:r w:rsidRPr="003A303A">
        <w:rPr>
          <w:szCs w:val="18"/>
        </w:rPr>
        <w:t>.  Ce partenariat est un programme mis au point au sein de la Trésorerie de la Banque mondiale qui fournit des services consultatifs, organise des formations pour les cadres et propose des services de gestion d</w:t>
      </w:r>
      <w:r w:rsidR="00C159B1">
        <w:rPr>
          <w:szCs w:val="18"/>
        </w:rPr>
        <w:t>’</w:t>
      </w:r>
      <w:r w:rsidRPr="003A303A">
        <w:rPr>
          <w:szCs w:val="18"/>
        </w:rPr>
        <w:t xml:space="preserve">actifs.  Créé </w:t>
      </w:r>
      <w:r w:rsidR="00C159B1" w:rsidRPr="003A303A">
        <w:rPr>
          <w:szCs w:val="18"/>
        </w:rPr>
        <w:t>en</w:t>
      </w:r>
      <w:r w:rsidR="00C159B1">
        <w:rPr>
          <w:szCs w:val="18"/>
        </w:rPr>
        <w:t> </w:t>
      </w:r>
      <w:r w:rsidR="00C159B1" w:rsidRPr="003A303A">
        <w:rPr>
          <w:szCs w:val="18"/>
        </w:rPr>
        <w:t>2001</w:t>
      </w:r>
      <w:r w:rsidRPr="003A303A">
        <w:rPr>
          <w:szCs w:val="18"/>
        </w:rPr>
        <w:t xml:space="preserve">, il compte plus de 70 membres, principalement des banques centrales mais aussi des institutions financières internationales, des fonds de pension, des fonds souverains et des organisations du système des </w:t>
      </w:r>
      <w:r w:rsidR="00C159B1">
        <w:rPr>
          <w:szCs w:val="18"/>
        </w:rPr>
        <w:t>Nations Unies</w:t>
      </w:r>
      <w:r w:rsidRPr="003A303A">
        <w:rPr>
          <w:szCs w:val="18"/>
        </w:rPr>
        <w:t>.</w:t>
      </w:r>
    </w:p>
  </w:footnote>
  <w:footnote w:id="10">
    <w:p w14:paraId="692177B2" w14:textId="3EE43D9C" w:rsidR="00F0742C" w:rsidRPr="003A303A" w:rsidRDefault="00F0742C" w:rsidP="003A303A">
      <w:pPr>
        <w:pStyle w:val="FootnoteText"/>
        <w:tabs>
          <w:tab w:val="left" w:pos="567"/>
        </w:tabs>
        <w:rPr>
          <w:szCs w:val="18"/>
        </w:rPr>
      </w:pPr>
      <w:r w:rsidRPr="003A303A">
        <w:rPr>
          <w:rStyle w:val="FootnoteReference"/>
          <w:szCs w:val="18"/>
        </w:rPr>
        <w:footnoteRef/>
      </w:r>
      <w:r w:rsidRPr="003A303A">
        <w:rPr>
          <w:szCs w:val="18"/>
        </w:rPr>
        <w:t xml:space="preserve"> </w:t>
      </w:r>
      <w:r w:rsidR="003A303A">
        <w:rPr>
          <w:szCs w:val="18"/>
        </w:rPr>
        <w:tab/>
      </w:r>
      <w:r w:rsidRPr="003A303A">
        <w:rPr>
          <w:szCs w:val="18"/>
        </w:rPr>
        <w:t>Voir le paragraphe 30.f) de la Charte de la supervision interne.</w:t>
      </w:r>
    </w:p>
  </w:footnote>
  <w:footnote w:id="11">
    <w:p w14:paraId="43F9DA87" w14:textId="4D0B385C" w:rsidR="00F0742C" w:rsidRPr="003A303A" w:rsidRDefault="00F0742C" w:rsidP="003A303A">
      <w:pPr>
        <w:pStyle w:val="FootnoteText"/>
        <w:tabs>
          <w:tab w:val="left" w:pos="567"/>
        </w:tabs>
        <w:rPr>
          <w:szCs w:val="18"/>
        </w:rPr>
      </w:pPr>
      <w:r w:rsidRPr="003A303A">
        <w:rPr>
          <w:rStyle w:val="FootnoteReference"/>
          <w:szCs w:val="18"/>
        </w:rPr>
        <w:footnoteRef/>
      </w:r>
      <w:r w:rsidRPr="003A303A">
        <w:rPr>
          <w:szCs w:val="18"/>
        </w:rPr>
        <w:t xml:space="preserve"> </w:t>
      </w:r>
      <w:r w:rsidR="003A303A">
        <w:rPr>
          <w:szCs w:val="18"/>
        </w:rPr>
        <w:tab/>
      </w:r>
      <w:r w:rsidRPr="003A303A">
        <w:rPr>
          <w:szCs w:val="18"/>
        </w:rPr>
        <w:t>Les principales parties prenantes comprennent la direction de l</w:t>
      </w:r>
      <w:r w:rsidR="00C159B1">
        <w:rPr>
          <w:szCs w:val="18"/>
        </w:rPr>
        <w:t>’</w:t>
      </w:r>
      <w:r w:rsidRPr="003A303A">
        <w:rPr>
          <w:szCs w:val="18"/>
        </w:rPr>
        <w:t>OMPI, le vérificateur externe des comptes, le Directeur général, l</w:t>
      </w:r>
      <w:r w:rsidR="00C159B1">
        <w:rPr>
          <w:szCs w:val="18"/>
        </w:rPr>
        <w:t>’</w:t>
      </w:r>
      <w:r w:rsidRPr="003A303A">
        <w:rPr>
          <w:szCs w:val="18"/>
        </w:rPr>
        <w:t>OCIS, les États membres et le grand public.</w:t>
      </w:r>
    </w:p>
  </w:footnote>
  <w:footnote w:id="12">
    <w:p w14:paraId="63415857" w14:textId="721C332D" w:rsidR="00F0742C" w:rsidRPr="003A303A" w:rsidRDefault="00F0742C" w:rsidP="003A303A">
      <w:pPr>
        <w:pStyle w:val="FootnoteText"/>
        <w:tabs>
          <w:tab w:val="left" w:pos="567"/>
        </w:tabs>
        <w:rPr>
          <w:szCs w:val="18"/>
        </w:rPr>
      </w:pPr>
      <w:r w:rsidRPr="003A303A">
        <w:rPr>
          <w:rStyle w:val="FootnoteReference"/>
          <w:szCs w:val="18"/>
        </w:rPr>
        <w:footnoteRef/>
      </w:r>
      <w:r w:rsidRPr="003A303A">
        <w:rPr>
          <w:szCs w:val="18"/>
        </w:rPr>
        <w:t xml:space="preserve"> </w:t>
      </w:r>
      <w:r w:rsidR="003A303A">
        <w:rPr>
          <w:szCs w:val="18"/>
        </w:rPr>
        <w:tab/>
      </w:r>
      <w:r w:rsidRPr="003A303A">
        <w:rPr>
          <w:szCs w:val="18"/>
        </w:rPr>
        <w:t>Voir le paragraphe 52.i) de la Charte de la supervision interne.</w:t>
      </w:r>
    </w:p>
  </w:footnote>
  <w:footnote w:id="13">
    <w:p w14:paraId="5CE6DFA4" w14:textId="461F9100" w:rsidR="00F0742C" w:rsidRPr="006406AE" w:rsidRDefault="00F0742C" w:rsidP="003A303A">
      <w:pPr>
        <w:tabs>
          <w:tab w:val="left" w:pos="567"/>
        </w:tabs>
        <w:rPr>
          <w:sz w:val="18"/>
          <w:szCs w:val="18"/>
          <w:lang w:val="en-US"/>
        </w:rPr>
      </w:pPr>
      <w:r w:rsidRPr="003A303A">
        <w:rPr>
          <w:rStyle w:val="FootnoteReference"/>
          <w:sz w:val="18"/>
          <w:szCs w:val="18"/>
        </w:rPr>
        <w:footnoteRef/>
      </w:r>
      <w:r w:rsidRPr="006406AE">
        <w:rPr>
          <w:sz w:val="18"/>
          <w:szCs w:val="18"/>
          <w:lang w:val="en-US"/>
        </w:rPr>
        <w:t xml:space="preserve"> </w:t>
      </w:r>
      <w:r w:rsidR="003A303A" w:rsidRPr="006406AE">
        <w:rPr>
          <w:sz w:val="18"/>
          <w:szCs w:val="18"/>
          <w:lang w:val="en-US"/>
        </w:rPr>
        <w:tab/>
      </w:r>
      <w:r w:rsidRPr="006406AE">
        <w:rPr>
          <w:sz w:val="18"/>
          <w:szCs w:val="18"/>
          <w:lang w:val="en-US"/>
        </w:rPr>
        <w:t>Source</w:t>
      </w:r>
      <w:r w:rsidR="00C159B1" w:rsidRPr="006406AE">
        <w:rPr>
          <w:sz w:val="18"/>
          <w:szCs w:val="18"/>
          <w:lang w:val="en-US"/>
        </w:rPr>
        <w:t> :</w:t>
      </w:r>
      <w:r w:rsidRPr="006406AE">
        <w:rPr>
          <w:sz w:val="18"/>
          <w:szCs w:val="18"/>
          <w:lang w:val="en-US"/>
        </w:rPr>
        <w:t xml:space="preserve"> WIPO WePerform.</w:t>
      </w:r>
    </w:p>
  </w:footnote>
  <w:footnote w:id="14">
    <w:p w14:paraId="201E6ED9" w14:textId="4319A175" w:rsidR="00F0742C" w:rsidRPr="006406AE" w:rsidRDefault="00F0742C" w:rsidP="003A303A">
      <w:pPr>
        <w:pStyle w:val="FootnoteText"/>
        <w:tabs>
          <w:tab w:val="left" w:pos="567"/>
        </w:tabs>
        <w:rPr>
          <w:szCs w:val="18"/>
          <w:lang w:val="en-US"/>
        </w:rPr>
      </w:pPr>
      <w:r w:rsidRPr="003A303A">
        <w:rPr>
          <w:rStyle w:val="FootnoteReference"/>
          <w:szCs w:val="18"/>
        </w:rPr>
        <w:footnoteRef/>
      </w:r>
      <w:r w:rsidR="003A303A" w:rsidRPr="006406AE">
        <w:rPr>
          <w:szCs w:val="18"/>
          <w:lang w:val="en-US"/>
        </w:rPr>
        <w:t xml:space="preserve"> </w:t>
      </w:r>
      <w:r w:rsidR="003A303A" w:rsidRPr="006406AE">
        <w:rPr>
          <w:szCs w:val="18"/>
          <w:lang w:val="en-US"/>
        </w:rPr>
        <w:tab/>
      </w:r>
      <w:hyperlink r:id="rId4" w:history="1">
        <w:r w:rsidRPr="006406AE">
          <w:rPr>
            <w:rStyle w:val="Hyperlink"/>
            <w:rFonts w:cs="Arial"/>
            <w:szCs w:val="18"/>
            <w:lang w:val="en-US"/>
          </w:rPr>
          <w:t>WO/PBC/36/8</w:t>
        </w:r>
      </w:hyperlink>
      <w:r w:rsidRPr="006406AE">
        <w:rPr>
          <w:szCs w:val="18"/>
          <w:lang w:val="en-US"/>
        </w:rPr>
        <w:t xml:space="preserve">, </w:t>
      </w:r>
      <w:r w:rsidR="00C159B1" w:rsidRPr="006406AE">
        <w:rPr>
          <w:szCs w:val="18"/>
          <w:lang w:val="en-US"/>
        </w:rPr>
        <w:t>annexe V</w:t>
      </w:r>
      <w:r w:rsidRPr="006406AE">
        <w:rPr>
          <w:szCs w:val="18"/>
          <w:lang w:val="en-US"/>
        </w:rPr>
        <w:t>IIII, budget annuel 2024</w:t>
      </w:r>
      <w:r w:rsidR="00C159B1" w:rsidRPr="006406AE">
        <w:rPr>
          <w:szCs w:val="18"/>
          <w:lang w:val="en-US"/>
        </w:rPr>
        <w:t>-</w:t>
      </w:r>
      <w:r w:rsidRPr="006406AE">
        <w:rPr>
          <w:szCs w:val="18"/>
          <w:lang w:val="en-US"/>
        </w:rPr>
        <w:t>2025.</w:t>
      </w:r>
    </w:p>
  </w:footnote>
  <w:footnote w:id="15">
    <w:p w14:paraId="4A8F2D42" w14:textId="21DDC7E0" w:rsidR="00F0742C" w:rsidRPr="003A303A" w:rsidRDefault="00F0742C" w:rsidP="003A303A">
      <w:pPr>
        <w:tabs>
          <w:tab w:val="left" w:pos="567"/>
        </w:tabs>
        <w:rPr>
          <w:sz w:val="18"/>
          <w:szCs w:val="18"/>
        </w:rPr>
      </w:pPr>
      <w:r w:rsidRPr="003A303A">
        <w:rPr>
          <w:rStyle w:val="FootnoteReference"/>
          <w:sz w:val="18"/>
          <w:szCs w:val="18"/>
        </w:rPr>
        <w:footnoteRef/>
      </w:r>
      <w:r w:rsidRPr="003A303A">
        <w:rPr>
          <w:sz w:val="18"/>
          <w:szCs w:val="18"/>
        </w:rPr>
        <w:t xml:space="preserve"> </w:t>
      </w:r>
      <w:r w:rsidR="003A303A">
        <w:rPr>
          <w:sz w:val="18"/>
          <w:szCs w:val="18"/>
        </w:rPr>
        <w:tab/>
      </w:r>
      <w:r w:rsidRPr="003A303A">
        <w:rPr>
          <w:sz w:val="18"/>
          <w:szCs w:val="18"/>
        </w:rPr>
        <w:t>Source</w:t>
      </w:r>
      <w:r w:rsidR="00C159B1">
        <w:rPr>
          <w:sz w:val="18"/>
          <w:szCs w:val="18"/>
        </w:rPr>
        <w:t> :</w:t>
      </w:r>
      <w:r w:rsidRPr="003A303A">
        <w:rPr>
          <w:sz w:val="18"/>
          <w:szCs w:val="18"/>
        </w:rPr>
        <w:t xml:space="preserve"> WePerform OMPI; </w:t>
      </w:r>
      <w:r w:rsidR="00FE72CE">
        <w:rPr>
          <w:sz w:val="18"/>
          <w:szCs w:val="18"/>
        </w:rPr>
        <w:t xml:space="preserve"> </w:t>
      </w:r>
      <w:r w:rsidRPr="003A303A">
        <w:rPr>
          <w:sz w:val="18"/>
          <w:szCs w:val="18"/>
        </w:rPr>
        <w:t>chiffres en francs suisses.</w:t>
      </w:r>
    </w:p>
  </w:footnote>
  <w:footnote w:id="16">
    <w:p w14:paraId="71C8202E" w14:textId="18DB43B6" w:rsidR="00F0742C" w:rsidRPr="003A303A" w:rsidRDefault="00F0742C" w:rsidP="003A303A">
      <w:pPr>
        <w:pStyle w:val="FootnoteText"/>
        <w:tabs>
          <w:tab w:val="left" w:pos="567"/>
        </w:tabs>
        <w:rPr>
          <w:szCs w:val="18"/>
        </w:rPr>
      </w:pPr>
      <w:r w:rsidRPr="003A303A">
        <w:rPr>
          <w:rStyle w:val="FootnoteReference"/>
          <w:szCs w:val="18"/>
        </w:rPr>
        <w:footnoteRef/>
      </w:r>
      <w:r w:rsidRPr="003A303A">
        <w:rPr>
          <w:szCs w:val="18"/>
        </w:rPr>
        <w:t xml:space="preserve"> </w:t>
      </w:r>
      <w:r w:rsidR="003A303A">
        <w:rPr>
          <w:szCs w:val="18"/>
        </w:rPr>
        <w:tab/>
      </w:r>
      <w:r w:rsidRPr="003A303A">
        <w:rPr>
          <w:szCs w:val="18"/>
        </w:rPr>
        <w:t>Les mises à jour ont été effectuées en consultation avec l</w:t>
      </w:r>
      <w:r w:rsidR="00C159B1">
        <w:rPr>
          <w:szCs w:val="18"/>
        </w:rPr>
        <w:t>’</w:t>
      </w:r>
      <w:r w:rsidRPr="003A303A">
        <w:rPr>
          <w:szCs w:val="18"/>
        </w:rPr>
        <w:t>OCIS, les États membres et les parties prenantes internes de l</w:t>
      </w:r>
      <w:r w:rsidR="00C159B1">
        <w:rPr>
          <w:szCs w:val="18"/>
        </w:rPr>
        <w:t>’</w:t>
      </w:r>
      <w:r w:rsidRPr="003A303A">
        <w:rPr>
          <w:szCs w:val="18"/>
        </w:rPr>
        <w:t>OMPI.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8673E" w14:textId="77777777" w:rsidR="00F0742C" w:rsidRDefault="00F0742C" w:rsidP="4397E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E06EC" w14:textId="77777777" w:rsidR="00F0742C" w:rsidRPr="00F87303" w:rsidRDefault="00F0742C" w:rsidP="002670C4">
    <w:pPr>
      <w:jc w:val="right"/>
    </w:pPr>
    <w:r>
      <w:t>WO/PBC/28/5</w:t>
    </w:r>
  </w:p>
  <w:p w14:paraId="27AC4834" w14:textId="77777777" w:rsidR="00F0742C" w:rsidRPr="00E365E6" w:rsidRDefault="00F0742C" w:rsidP="002670C4">
    <w:pPr>
      <w:pStyle w:val="Header"/>
      <w:jc w:val="right"/>
    </w:pPr>
    <w:r>
      <w:t>page 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8AF28" w14:textId="77777777" w:rsidR="00F0742C" w:rsidRDefault="00F0742C" w:rsidP="002670C4">
    <w:pPr>
      <w:jc w:val="right"/>
    </w:pPr>
    <w:r>
      <w:t>WO/PBC/40/4</w:t>
    </w:r>
  </w:p>
  <w:p w14:paraId="5B343FFC" w14:textId="77777777" w:rsidR="00F0742C" w:rsidRPr="00F87303" w:rsidRDefault="00F0742C" w:rsidP="003A303A">
    <w:pPr>
      <w:pStyle w:val="Header"/>
      <w:spacing w:after="480"/>
      <w:jc w:val="right"/>
    </w:pPr>
    <w:r>
      <w:t>page </w:t>
    </w:r>
    <w:r>
      <w:fldChar w:fldCharType="begin"/>
    </w:r>
    <w:r>
      <w:instrText xml:space="preserve"> PAGE   \* MERGEFORMAT </w:instrText>
    </w:r>
    <w:r>
      <w:fldChar w:fldCharType="separate"/>
    </w:r>
    <w:r>
      <w:t>23</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BB7F" w14:textId="77777777" w:rsidR="00F0742C" w:rsidRPr="003E573F" w:rsidRDefault="00F0742C" w:rsidP="002670C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F086B" w14:textId="77777777" w:rsidR="00CF1141" w:rsidRDefault="00CF1141" w:rsidP="002670C4">
    <w:pPr>
      <w:jc w:val="right"/>
    </w:pPr>
    <w:r>
      <w:t>WO/PBC/40/4</w:t>
    </w:r>
  </w:p>
  <w:p w14:paraId="4332C1F2" w14:textId="76C3F21C" w:rsidR="00CF1141" w:rsidRPr="00F87303" w:rsidRDefault="00CF1141" w:rsidP="003A303A">
    <w:pPr>
      <w:pStyle w:val="Header"/>
      <w:spacing w:after="480"/>
      <w:jc w:val="right"/>
    </w:pPr>
    <w:r>
      <w:t>Annexe, page </w:t>
    </w:r>
    <w:r>
      <w:fldChar w:fldCharType="begin"/>
    </w:r>
    <w:r>
      <w:instrText xml:space="preserve"> PAGE   \* MERGEFORMAT </w:instrText>
    </w:r>
    <w:r>
      <w:fldChar w:fldCharType="separate"/>
    </w:r>
    <w:r>
      <w:t>23</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24E9E" w14:textId="77777777" w:rsidR="00CF1141" w:rsidRDefault="00CF1141" w:rsidP="00CF1141">
    <w:pPr>
      <w:jc w:val="right"/>
    </w:pPr>
    <w:r>
      <w:t>WO/PBC/40/4</w:t>
    </w:r>
  </w:p>
  <w:p w14:paraId="6A1EEE05" w14:textId="25FB3501" w:rsidR="00CF1141" w:rsidRPr="00F87303" w:rsidRDefault="00CF1141" w:rsidP="00CF1141">
    <w:pPr>
      <w:pStyle w:val="Heade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E16FA3"/>
    <w:multiLevelType w:val="hybridMultilevel"/>
    <w:tmpl w:val="386AB3D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05775B46"/>
    <w:multiLevelType w:val="hybridMultilevel"/>
    <w:tmpl w:val="8C4E0C1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BB24175"/>
    <w:multiLevelType w:val="hybridMultilevel"/>
    <w:tmpl w:val="EB444328"/>
    <w:lvl w:ilvl="0" w:tplc="CC58F9F0">
      <w:start w:val="1"/>
      <w:numFmt w:val="decimal"/>
      <w:lvlText w:val="%1)"/>
      <w:lvlJc w:val="left"/>
      <w:pPr>
        <w:ind w:left="1020" w:hanging="360"/>
      </w:pPr>
    </w:lvl>
    <w:lvl w:ilvl="1" w:tplc="EEC8F6E8">
      <w:start w:val="1"/>
      <w:numFmt w:val="decimal"/>
      <w:lvlText w:val="%2)"/>
      <w:lvlJc w:val="left"/>
      <w:pPr>
        <w:ind w:left="1020" w:hanging="360"/>
      </w:pPr>
    </w:lvl>
    <w:lvl w:ilvl="2" w:tplc="E214BCAA">
      <w:start w:val="1"/>
      <w:numFmt w:val="decimal"/>
      <w:lvlText w:val="%3)"/>
      <w:lvlJc w:val="left"/>
      <w:pPr>
        <w:ind w:left="1020" w:hanging="360"/>
      </w:pPr>
    </w:lvl>
    <w:lvl w:ilvl="3" w:tplc="811C7A4A">
      <w:start w:val="1"/>
      <w:numFmt w:val="decimal"/>
      <w:lvlText w:val="%4)"/>
      <w:lvlJc w:val="left"/>
      <w:pPr>
        <w:ind w:left="1020" w:hanging="360"/>
      </w:pPr>
    </w:lvl>
    <w:lvl w:ilvl="4" w:tplc="F2EA7D7C">
      <w:start w:val="1"/>
      <w:numFmt w:val="decimal"/>
      <w:lvlText w:val="%5)"/>
      <w:lvlJc w:val="left"/>
      <w:pPr>
        <w:ind w:left="1020" w:hanging="360"/>
      </w:pPr>
    </w:lvl>
    <w:lvl w:ilvl="5" w:tplc="5C941C7C">
      <w:start w:val="1"/>
      <w:numFmt w:val="decimal"/>
      <w:lvlText w:val="%6)"/>
      <w:lvlJc w:val="left"/>
      <w:pPr>
        <w:ind w:left="1020" w:hanging="360"/>
      </w:pPr>
    </w:lvl>
    <w:lvl w:ilvl="6" w:tplc="130AB1C6">
      <w:start w:val="1"/>
      <w:numFmt w:val="decimal"/>
      <w:lvlText w:val="%7)"/>
      <w:lvlJc w:val="left"/>
      <w:pPr>
        <w:ind w:left="1020" w:hanging="360"/>
      </w:pPr>
    </w:lvl>
    <w:lvl w:ilvl="7" w:tplc="A8B6026E">
      <w:start w:val="1"/>
      <w:numFmt w:val="decimal"/>
      <w:lvlText w:val="%8)"/>
      <w:lvlJc w:val="left"/>
      <w:pPr>
        <w:ind w:left="1020" w:hanging="360"/>
      </w:pPr>
    </w:lvl>
    <w:lvl w:ilvl="8" w:tplc="8A7C4178">
      <w:start w:val="1"/>
      <w:numFmt w:val="decimal"/>
      <w:lvlText w:val="%9)"/>
      <w:lvlJc w:val="left"/>
      <w:pPr>
        <w:ind w:left="102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76A1D0B"/>
    <w:multiLevelType w:val="hybridMultilevel"/>
    <w:tmpl w:val="B5BC7E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15:restartNumberingAfterBreak="0">
    <w:nsid w:val="3812389F"/>
    <w:multiLevelType w:val="hybridMultilevel"/>
    <w:tmpl w:val="BBF663FE"/>
    <w:lvl w:ilvl="0" w:tplc="83A00ECC">
      <w:start w:val="1"/>
      <w:numFmt w:val="decimal"/>
      <w:lvlText w:val="%1)"/>
      <w:lvlJc w:val="left"/>
      <w:pPr>
        <w:ind w:left="1020" w:hanging="360"/>
      </w:pPr>
    </w:lvl>
    <w:lvl w:ilvl="1" w:tplc="293C325E">
      <w:start w:val="1"/>
      <w:numFmt w:val="decimal"/>
      <w:lvlText w:val="%2)"/>
      <w:lvlJc w:val="left"/>
      <w:pPr>
        <w:ind w:left="1020" w:hanging="360"/>
      </w:pPr>
    </w:lvl>
    <w:lvl w:ilvl="2" w:tplc="D0EA16AC">
      <w:start w:val="1"/>
      <w:numFmt w:val="decimal"/>
      <w:lvlText w:val="%3)"/>
      <w:lvlJc w:val="left"/>
      <w:pPr>
        <w:ind w:left="1020" w:hanging="360"/>
      </w:pPr>
    </w:lvl>
    <w:lvl w:ilvl="3" w:tplc="2B1899D4">
      <w:start w:val="1"/>
      <w:numFmt w:val="decimal"/>
      <w:lvlText w:val="%4)"/>
      <w:lvlJc w:val="left"/>
      <w:pPr>
        <w:ind w:left="1020" w:hanging="360"/>
      </w:pPr>
    </w:lvl>
    <w:lvl w:ilvl="4" w:tplc="F34C4848">
      <w:start w:val="1"/>
      <w:numFmt w:val="decimal"/>
      <w:lvlText w:val="%5)"/>
      <w:lvlJc w:val="left"/>
      <w:pPr>
        <w:ind w:left="1020" w:hanging="360"/>
      </w:pPr>
    </w:lvl>
    <w:lvl w:ilvl="5" w:tplc="6D1AF17E">
      <w:start w:val="1"/>
      <w:numFmt w:val="decimal"/>
      <w:lvlText w:val="%6)"/>
      <w:lvlJc w:val="left"/>
      <w:pPr>
        <w:ind w:left="1020" w:hanging="360"/>
      </w:pPr>
    </w:lvl>
    <w:lvl w:ilvl="6" w:tplc="1990226C">
      <w:start w:val="1"/>
      <w:numFmt w:val="decimal"/>
      <w:lvlText w:val="%7)"/>
      <w:lvlJc w:val="left"/>
      <w:pPr>
        <w:ind w:left="1020" w:hanging="360"/>
      </w:pPr>
    </w:lvl>
    <w:lvl w:ilvl="7" w:tplc="CA0CD84C">
      <w:start w:val="1"/>
      <w:numFmt w:val="decimal"/>
      <w:lvlText w:val="%8)"/>
      <w:lvlJc w:val="left"/>
      <w:pPr>
        <w:ind w:left="1020" w:hanging="360"/>
      </w:pPr>
    </w:lvl>
    <w:lvl w:ilvl="8" w:tplc="74DC8F62">
      <w:start w:val="1"/>
      <w:numFmt w:val="decimal"/>
      <w:lvlText w:val="%9)"/>
      <w:lvlJc w:val="left"/>
      <w:pPr>
        <w:ind w:left="1020" w:hanging="360"/>
      </w:pPr>
    </w:lvl>
  </w:abstractNum>
  <w:abstractNum w:abstractNumId="9" w15:restartNumberingAfterBreak="0">
    <w:nsid w:val="388469D2"/>
    <w:multiLevelType w:val="hybridMultilevel"/>
    <w:tmpl w:val="F4E80E58"/>
    <w:lvl w:ilvl="0" w:tplc="ABE61382">
      <w:start w:val="1"/>
      <w:numFmt w:val="decimal"/>
      <w:lvlText w:val="%1)"/>
      <w:lvlJc w:val="left"/>
      <w:pPr>
        <w:ind w:left="1020" w:hanging="360"/>
      </w:pPr>
    </w:lvl>
    <w:lvl w:ilvl="1" w:tplc="E32C9200">
      <w:start w:val="1"/>
      <w:numFmt w:val="decimal"/>
      <w:lvlText w:val="%2)"/>
      <w:lvlJc w:val="left"/>
      <w:pPr>
        <w:ind w:left="1020" w:hanging="360"/>
      </w:pPr>
    </w:lvl>
    <w:lvl w:ilvl="2" w:tplc="944A6ABE">
      <w:start w:val="1"/>
      <w:numFmt w:val="decimal"/>
      <w:lvlText w:val="%3)"/>
      <w:lvlJc w:val="left"/>
      <w:pPr>
        <w:ind w:left="1020" w:hanging="360"/>
      </w:pPr>
    </w:lvl>
    <w:lvl w:ilvl="3" w:tplc="92682972">
      <w:start w:val="1"/>
      <w:numFmt w:val="decimal"/>
      <w:lvlText w:val="%4)"/>
      <w:lvlJc w:val="left"/>
      <w:pPr>
        <w:ind w:left="1020" w:hanging="360"/>
      </w:pPr>
    </w:lvl>
    <w:lvl w:ilvl="4" w:tplc="4E628DCA">
      <w:start w:val="1"/>
      <w:numFmt w:val="decimal"/>
      <w:lvlText w:val="%5)"/>
      <w:lvlJc w:val="left"/>
      <w:pPr>
        <w:ind w:left="1020" w:hanging="360"/>
      </w:pPr>
    </w:lvl>
    <w:lvl w:ilvl="5" w:tplc="F0CA12EE">
      <w:start w:val="1"/>
      <w:numFmt w:val="decimal"/>
      <w:lvlText w:val="%6)"/>
      <w:lvlJc w:val="left"/>
      <w:pPr>
        <w:ind w:left="1020" w:hanging="360"/>
      </w:pPr>
    </w:lvl>
    <w:lvl w:ilvl="6" w:tplc="96E458A6">
      <w:start w:val="1"/>
      <w:numFmt w:val="decimal"/>
      <w:lvlText w:val="%7)"/>
      <w:lvlJc w:val="left"/>
      <w:pPr>
        <w:ind w:left="1020" w:hanging="360"/>
      </w:pPr>
    </w:lvl>
    <w:lvl w:ilvl="7" w:tplc="3AB206C2">
      <w:start w:val="1"/>
      <w:numFmt w:val="decimal"/>
      <w:lvlText w:val="%8)"/>
      <w:lvlJc w:val="left"/>
      <w:pPr>
        <w:ind w:left="1020" w:hanging="360"/>
      </w:pPr>
    </w:lvl>
    <w:lvl w:ilvl="8" w:tplc="8CDECB4A">
      <w:start w:val="1"/>
      <w:numFmt w:val="decimal"/>
      <w:lvlText w:val="%9)"/>
      <w:lvlJc w:val="left"/>
      <w:pPr>
        <w:ind w:left="1020" w:hanging="360"/>
      </w:pPr>
    </w:lvl>
  </w:abstractNum>
  <w:abstractNum w:abstractNumId="10" w15:restartNumberingAfterBreak="0">
    <w:nsid w:val="3EAC7B59"/>
    <w:multiLevelType w:val="hybridMultilevel"/>
    <w:tmpl w:val="2FBCA47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15:restartNumberingAfterBreak="0">
    <w:nsid w:val="42DD6C58"/>
    <w:multiLevelType w:val="hybridMultilevel"/>
    <w:tmpl w:val="93E6820C"/>
    <w:lvl w:ilvl="0" w:tplc="687CCB9C">
      <w:start w:val="1"/>
      <w:numFmt w:val="bullet"/>
      <w:lvlText w:val="•"/>
      <w:lvlJc w:val="left"/>
      <w:pPr>
        <w:tabs>
          <w:tab w:val="num" w:pos="720"/>
        </w:tabs>
        <w:ind w:left="720" w:hanging="360"/>
      </w:pPr>
      <w:rPr>
        <w:rFonts w:ascii="Arial" w:hAnsi="Arial" w:hint="default"/>
      </w:rPr>
    </w:lvl>
    <w:lvl w:ilvl="1" w:tplc="C79EA426" w:tentative="1">
      <w:start w:val="1"/>
      <w:numFmt w:val="bullet"/>
      <w:lvlText w:val="•"/>
      <w:lvlJc w:val="left"/>
      <w:pPr>
        <w:tabs>
          <w:tab w:val="num" w:pos="1440"/>
        </w:tabs>
        <w:ind w:left="1440" w:hanging="360"/>
      </w:pPr>
      <w:rPr>
        <w:rFonts w:ascii="Arial" w:hAnsi="Arial" w:hint="default"/>
      </w:rPr>
    </w:lvl>
    <w:lvl w:ilvl="2" w:tplc="F9860E4E" w:tentative="1">
      <w:start w:val="1"/>
      <w:numFmt w:val="bullet"/>
      <w:lvlText w:val="•"/>
      <w:lvlJc w:val="left"/>
      <w:pPr>
        <w:tabs>
          <w:tab w:val="num" w:pos="2160"/>
        </w:tabs>
        <w:ind w:left="2160" w:hanging="360"/>
      </w:pPr>
      <w:rPr>
        <w:rFonts w:ascii="Arial" w:hAnsi="Arial" w:hint="default"/>
      </w:rPr>
    </w:lvl>
    <w:lvl w:ilvl="3" w:tplc="0B3AEA1E" w:tentative="1">
      <w:start w:val="1"/>
      <w:numFmt w:val="bullet"/>
      <w:lvlText w:val="•"/>
      <w:lvlJc w:val="left"/>
      <w:pPr>
        <w:tabs>
          <w:tab w:val="num" w:pos="2880"/>
        </w:tabs>
        <w:ind w:left="2880" w:hanging="360"/>
      </w:pPr>
      <w:rPr>
        <w:rFonts w:ascii="Arial" w:hAnsi="Arial" w:hint="default"/>
      </w:rPr>
    </w:lvl>
    <w:lvl w:ilvl="4" w:tplc="27622A2E" w:tentative="1">
      <w:start w:val="1"/>
      <w:numFmt w:val="bullet"/>
      <w:lvlText w:val="•"/>
      <w:lvlJc w:val="left"/>
      <w:pPr>
        <w:tabs>
          <w:tab w:val="num" w:pos="3600"/>
        </w:tabs>
        <w:ind w:left="3600" w:hanging="360"/>
      </w:pPr>
      <w:rPr>
        <w:rFonts w:ascii="Arial" w:hAnsi="Arial" w:hint="default"/>
      </w:rPr>
    </w:lvl>
    <w:lvl w:ilvl="5" w:tplc="8AA41A90" w:tentative="1">
      <w:start w:val="1"/>
      <w:numFmt w:val="bullet"/>
      <w:lvlText w:val="•"/>
      <w:lvlJc w:val="left"/>
      <w:pPr>
        <w:tabs>
          <w:tab w:val="num" w:pos="4320"/>
        </w:tabs>
        <w:ind w:left="4320" w:hanging="360"/>
      </w:pPr>
      <w:rPr>
        <w:rFonts w:ascii="Arial" w:hAnsi="Arial" w:hint="default"/>
      </w:rPr>
    </w:lvl>
    <w:lvl w:ilvl="6" w:tplc="88B65358" w:tentative="1">
      <w:start w:val="1"/>
      <w:numFmt w:val="bullet"/>
      <w:lvlText w:val="•"/>
      <w:lvlJc w:val="left"/>
      <w:pPr>
        <w:tabs>
          <w:tab w:val="num" w:pos="5040"/>
        </w:tabs>
        <w:ind w:left="5040" w:hanging="360"/>
      </w:pPr>
      <w:rPr>
        <w:rFonts w:ascii="Arial" w:hAnsi="Arial" w:hint="default"/>
      </w:rPr>
    </w:lvl>
    <w:lvl w:ilvl="7" w:tplc="D378499A" w:tentative="1">
      <w:start w:val="1"/>
      <w:numFmt w:val="bullet"/>
      <w:lvlText w:val="•"/>
      <w:lvlJc w:val="left"/>
      <w:pPr>
        <w:tabs>
          <w:tab w:val="num" w:pos="5760"/>
        </w:tabs>
        <w:ind w:left="5760" w:hanging="360"/>
      </w:pPr>
      <w:rPr>
        <w:rFonts w:ascii="Arial" w:hAnsi="Arial" w:hint="default"/>
      </w:rPr>
    </w:lvl>
    <w:lvl w:ilvl="8" w:tplc="08E6E0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33D5054"/>
    <w:multiLevelType w:val="hybridMultilevel"/>
    <w:tmpl w:val="D868B3F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439C78D2"/>
    <w:multiLevelType w:val="hybridMultilevel"/>
    <w:tmpl w:val="DF208DBE"/>
    <w:lvl w:ilvl="0" w:tplc="3694427E">
      <w:start w:val="1"/>
      <w:numFmt w:val="decimal"/>
      <w:lvlText w:val="%1)"/>
      <w:lvlJc w:val="left"/>
      <w:pPr>
        <w:ind w:left="1020" w:hanging="360"/>
      </w:pPr>
    </w:lvl>
    <w:lvl w:ilvl="1" w:tplc="48A8B706">
      <w:start w:val="1"/>
      <w:numFmt w:val="decimal"/>
      <w:lvlText w:val="%2)"/>
      <w:lvlJc w:val="left"/>
      <w:pPr>
        <w:ind w:left="1020" w:hanging="360"/>
      </w:pPr>
    </w:lvl>
    <w:lvl w:ilvl="2" w:tplc="196A4DBC">
      <w:start w:val="1"/>
      <w:numFmt w:val="decimal"/>
      <w:lvlText w:val="%3)"/>
      <w:lvlJc w:val="left"/>
      <w:pPr>
        <w:ind w:left="1020" w:hanging="360"/>
      </w:pPr>
    </w:lvl>
    <w:lvl w:ilvl="3" w:tplc="80B29142">
      <w:start w:val="1"/>
      <w:numFmt w:val="decimal"/>
      <w:lvlText w:val="%4)"/>
      <w:lvlJc w:val="left"/>
      <w:pPr>
        <w:ind w:left="1020" w:hanging="360"/>
      </w:pPr>
    </w:lvl>
    <w:lvl w:ilvl="4" w:tplc="0D4C79D8">
      <w:start w:val="1"/>
      <w:numFmt w:val="decimal"/>
      <w:lvlText w:val="%5)"/>
      <w:lvlJc w:val="left"/>
      <w:pPr>
        <w:ind w:left="1020" w:hanging="360"/>
      </w:pPr>
    </w:lvl>
    <w:lvl w:ilvl="5" w:tplc="AEE627BE">
      <w:start w:val="1"/>
      <w:numFmt w:val="decimal"/>
      <w:lvlText w:val="%6)"/>
      <w:lvlJc w:val="left"/>
      <w:pPr>
        <w:ind w:left="1020" w:hanging="360"/>
      </w:pPr>
    </w:lvl>
    <w:lvl w:ilvl="6" w:tplc="28CEA9E0">
      <w:start w:val="1"/>
      <w:numFmt w:val="decimal"/>
      <w:lvlText w:val="%7)"/>
      <w:lvlJc w:val="left"/>
      <w:pPr>
        <w:ind w:left="1020" w:hanging="360"/>
      </w:pPr>
    </w:lvl>
    <w:lvl w:ilvl="7" w:tplc="91F61D08">
      <w:start w:val="1"/>
      <w:numFmt w:val="decimal"/>
      <w:lvlText w:val="%8)"/>
      <w:lvlJc w:val="left"/>
      <w:pPr>
        <w:ind w:left="1020" w:hanging="360"/>
      </w:pPr>
    </w:lvl>
    <w:lvl w:ilvl="8" w:tplc="46801EE8">
      <w:start w:val="1"/>
      <w:numFmt w:val="decimal"/>
      <w:lvlText w:val="%9)"/>
      <w:lvlJc w:val="left"/>
      <w:pPr>
        <w:ind w:left="1020" w:hanging="360"/>
      </w:pPr>
    </w:lvl>
  </w:abstractNum>
  <w:abstractNum w:abstractNumId="1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4E6A2B"/>
    <w:multiLevelType w:val="hybridMultilevel"/>
    <w:tmpl w:val="662AF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484191"/>
    <w:multiLevelType w:val="hybridMultilevel"/>
    <w:tmpl w:val="2416C644"/>
    <w:lvl w:ilvl="0" w:tplc="D91C9F0A">
      <w:start w:val="1"/>
      <w:numFmt w:val="decimal"/>
      <w:lvlText w:val="%1."/>
      <w:lvlJc w:val="left"/>
      <w:pPr>
        <w:ind w:left="1020" w:hanging="360"/>
      </w:pPr>
    </w:lvl>
    <w:lvl w:ilvl="1" w:tplc="C04C94FA">
      <w:start w:val="1"/>
      <w:numFmt w:val="decimal"/>
      <w:lvlText w:val="%2."/>
      <w:lvlJc w:val="left"/>
      <w:pPr>
        <w:ind w:left="1020" w:hanging="360"/>
      </w:pPr>
    </w:lvl>
    <w:lvl w:ilvl="2" w:tplc="CA1ABD4E">
      <w:start w:val="1"/>
      <w:numFmt w:val="decimal"/>
      <w:lvlText w:val="%3."/>
      <w:lvlJc w:val="left"/>
      <w:pPr>
        <w:ind w:left="1020" w:hanging="360"/>
      </w:pPr>
    </w:lvl>
    <w:lvl w:ilvl="3" w:tplc="113EBE80">
      <w:start w:val="1"/>
      <w:numFmt w:val="decimal"/>
      <w:lvlText w:val="%4."/>
      <w:lvlJc w:val="left"/>
      <w:pPr>
        <w:ind w:left="1020" w:hanging="360"/>
      </w:pPr>
    </w:lvl>
    <w:lvl w:ilvl="4" w:tplc="CFF0C4A6">
      <w:start w:val="1"/>
      <w:numFmt w:val="decimal"/>
      <w:lvlText w:val="%5."/>
      <w:lvlJc w:val="left"/>
      <w:pPr>
        <w:ind w:left="1020" w:hanging="360"/>
      </w:pPr>
    </w:lvl>
    <w:lvl w:ilvl="5" w:tplc="CE58A63C">
      <w:start w:val="1"/>
      <w:numFmt w:val="decimal"/>
      <w:lvlText w:val="%6."/>
      <w:lvlJc w:val="left"/>
      <w:pPr>
        <w:ind w:left="1020" w:hanging="360"/>
      </w:pPr>
    </w:lvl>
    <w:lvl w:ilvl="6" w:tplc="FDD6C28E">
      <w:start w:val="1"/>
      <w:numFmt w:val="decimal"/>
      <w:lvlText w:val="%7."/>
      <w:lvlJc w:val="left"/>
      <w:pPr>
        <w:ind w:left="1020" w:hanging="360"/>
      </w:pPr>
    </w:lvl>
    <w:lvl w:ilvl="7" w:tplc="3C5E5D9C">
      <w:start w:val="1"/>
      <w:numFmt w:val="decimal"/>
      <w:lvlText w:val="%8."/>
      <w:lvlJc w:val="left"/>
      <w:pPr>
        <w:ind w:left="1020" w:hanging="360"/>
      </w:pPr>
    </w:lvl>
    <w:lvl w:ilvl="8" w:tplc="C5A01290">
      <w:start w:val="1"/>
      <w:numFmt w:val="decimal"/>
      <w:lvlText w:val="%9."/>
      <w:lvlJc w:val="left"/>
      <w:pPr>
        <w:ind w:left="1020" w:hanging="360"/>
      </w:pPr>
    </w:lvl>
  </w:abstractNum>
  <w:abstractNum w:abstractNumId="18" w15:restartNumberingAfterBreak="0">
    <w:nsid w:val="67DB0FF2"/>
    <w:multiLevelType w:val="multilevel"/>
    <w:tmpl w:val="30EC433C"/>
    <w:lvl w:ilvl="0">
      <w:start w:val="1"/>
      <w:numFmt w:val="decimal"/>
      <w:lvlRestart w:val="0"/>
      <w:lvlText w:val="%1."/>
      <w:lvlJc w:val="left"/>
      <w:pPr>
        <w:tabs>
          <w:tab w:val="num" w:pos="567"/>
        </w:tabs>
        <w:ind w:left="0" w:firstLine="0"/>
      </w:pPr>
      <w:rPr>
        <w:rFonts w:ascii="Arial" w:hAnsi="Arial" w:cs="Arial"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ascii="Arial" w:hAnsi="Arial" w:hint="default"/>
        <w:sz w:val="22"/>
        <w:szCs w:val="16"/>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731E0C78"/>
    <w:multiLevelType w:val="hybridMultilevel"/>
    <w:tmpl w:val="76AABA32"/>
    <w:lvl w:ilvl="0" w:tplc="0A6C50E4">
      <w:start w:val="5"/>
      <w:numFmt w:val="decimal"/>
      <w:pStyle w:val="Heading1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7E139C"/>
    <w:multiLevelType w:val="hybridMultilevel"/>
    <w:tmpl w:val="D61A1A8C"/>
    <w:lvl w:ilvl="0" w:tplc="E286B39A">
      <w:start w:val="1"/>
      <w:numFmt w:val="bullet"/>
      <w:lvlText w:val="•"/>
      <w:lvlJc w:val="left"/>
      <w:pPr>
        <w:tabs>
          <w:tab w:val="num" w:pos="720"/>
        </w:tabs>
        <w:ind w:left="720" w:hanging="360"/>
      </w:pPr>
      <w:rPr>
        <w:rFonts w:ascii="Arial" w:hAnsi="Arial" w:hint="default"/>
      </w:rPr>
    </w:lvl>
    <w:lvl w:ilvl="1" w:tplc="A8A4077A" w:tentative="1">
      <w:start w:val="1"/>
      <w:numFmt w:val="bullet"/>
      <w:lvlText w:val="•"/>
      <w:lvlJc w:val="left"/>
      <w:pPr>
        <w:tabs>
          <w:tab w:val="num" w:pos="1440"/>
        </w:tabs>
        <w:ind w:left="1440" w:hanging="360"/>
      </w:pPr>
      <w:rPr>
        <w:rFonts w:ascii="Arial" w:hAnsi="Arial" w:hint="default"/>
      </w:rPr>
    </w:lvl>
    <w:lvl w:ilvl="2" w:tplc="0CBCE1A6" w:tentative="1">
      <w:start w:val="1"/>
      <w:numFmt w:val="bullet"/>
      <w:lvlText w:val="•"/>
      <w:lvlJc w:val="left"/>
      <w:pPr>
        <w:tabs>
          <w:tab w:val="num" w:pos="2160"/>
        </w:tabs>
        <w:ind w:left="2160" w:hanging="360"/>
      </w:pPr>
      <w:rPr>
        <w:rFonts w:ascii="Arial" w:hAnsi="Arial" w:hint="default"/>
      </w:rPr>
    </w:lvl>
    <w:lvl w:ilvl="3" w:tplc="332206D2" w:tentative="1">
      <w:start w:val="1"/>
      <w:numFmt w:val="bullet"/>
      <w:lvlText w:val="•"/>
      <w:lvlJc w:val="left"/>
      <w:pPr>
        <w:tabs>
          <w:tab w:val="num" w:pos="2880"/>
        </w:tabs>
        <w:ind w:left="2880" w:hanging="360"/>
      </w:pPr>
      <w:rPr>
        <w:rFonts w:ascii="Arial" w:hAnsi="Arial" w:hint="default"/>
      </w:rPr>
    </w:lvl>
    <w:lvl w:ilvl="4" w:tplc="200CF132" w:tentative="1">
      <w:start w:val="1"/>
      <w:numFmt w:val="bullet"/>
      <w:lvlText w:val="•"/>
      <w:lvlJc w:val="left"/>
      <w:pPr>
        <w:tabs>
          <w:tab w:val="num" w:pos="3600"/>
        </w:tabs>
        <w:ind w:left="3600" w:hanging="360"/>
      </w:pPr>
      <w:rPr>
        <w:rFonts w:ascii="Arial" w:hAnsi="Arial" w:hint="default"/>
      </w:rPr>
    </w:lvl>
    <w:lvl w:ilvl="5" w:tplc="CEF88A24" w:tentative="1">
      <w:start w:val="1"/>
      <w:numFmt w:val="bullet"/>
      <w:lvlText w:val="•"/>
      <w:lvlJc w:val="left"/>
      <w:pPr>
        <w:tabs>
          <w:tab w:val="num" w:pos="4320"/>
        </w:tabs>
        <w:ind w:left="4320" w:hanging="360"/>
      </w:pPr>
      <w:rPr>
        <w:rFonts w:ascii="Arial" w:hAnsi="Arial" w:hint="default"/>
      </w:rPr>
    </w:lvl>
    <w:lvl w:ilvl="6" w:tplc="2FFAD016" w:tentative="1">
      <w:start w:val="1"/>
      <w:numFmt w:val="bullet"/>
      <w:lvlText w:val="•"/>
      <w:lvlJc w:val="left"/>
      <w:pPr>
        <w:tabs>
          <w:tab w:val="num" w:pos="5040"/>
        </w:tabs>
        <w:ind w:left="5040" w:hanging="360"/>
      </w:pPr>
      <w:rPr>
        <w:rFonts w:ascii="Arial" w:hAnsi="Arial" w:hint="default"/>
      </w:rPr>
    </w:lvl>
    <w:lvl w:ilvl="7" w:tplc="6666F72C" w:tentative="1">
      <w:start w:val="1"/>
      <w:numFmt w:val="bullet"/>
      <w:lvlText w:val="•"/>
      <w:lvlJc w:val="left"/>
      <w:pPr>
        <w:tabs>
          <w:tab w:val="num" w:pos="5760"/>
        </w:tabs>
        <w:ind w:left="5760" w:hanging="360"/>
      </w:pPr>
      <w:rPr>
        <w:rFonts w:ascii="Arial" w:hAnsi="Arial" w:hint="default"/>
      </w:rPr>
    </w:lvl>
    <w:lvl w:ilvl="8" w:tplc="F386DB94" w:tentative="1">
      <w:start w:val="1"/>
      <w:numFmt w:val="bullet"/>
      <w:lvlText w:val="•"/>
      <w:lvlJc w:val="left"/>
      <w:pPr>
        <w:tabs>
          <w:tab w:val="num" w:pos="6480"/>
        </w:tabs>
        <w:ind w:left="6480" w:hanging="360"/>
      </w:pPr>
      <w:rPr>
        <w:rFonts w:ascii="Arial" w:hAnsi="Arial" w:hint="default"/>
      </w:rPr>
    </w:lvl>
  </w:abstractNum>
  <w:num w:numId="1" w16cid:durableId="1780753844">
    <w:abstractNumId w:val="4"/>
  </w:num>
  <w:num w:numId="2" w16cid:durableId="94903856">
    <w:abstractNumId w:val="14"/>
  </w:num>
  <w:num w:numId="3" w16cid:durableId="1846895430">
    <w:abstractNumId w:val="0"/>
  </w:num>
  <w:num w:numId="4" w16cid:durableId="1742175926">
    <w:abstractNumId w:val="15"/>
  </w:num>
  <w:num w:numId="5" w16cid:durableId="1817991361">
    <w:abstractNumId w:val="3"/>
  </w:num>
  <w:num w:numId="6" w16cid:durableId="2755125">
    <w:abstractNumId w:val="6"/>
  </w:num>
  <w:num w:numId="7" w16cid:durableId="5340071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25607120">
    <w:abstractNumId w:val="18"/>
  </w:num>
  <w:num w:numId="9" w16cid:durableId="775170547">
    <w:abstractNumId w:val="19"/>
  </w:num>
  <w:num w:numId="10" w16cid:durableId="519584634">
    <w:abstractNumId w:val="2"/>
  </w:num>
  <w:num w:numId="11" w16cid:durableId="284043441">
    <w:abstractNumId w:val="10"/>
  </w:num>
  <w:num w:numId="12" w16cid:durableId="1932740830">
    <w:abstractNumId w:val="7"/>
  </w:num>
  <w:num w:numId="13" w16cid:durableId="1978954826">
    <w:abstractNumId w:val="1"/>
  </w:num>
  <w:num w:numId="14" w16cid:durableId="1985430293">
    <w:abstractNumId w:val="16"/>
  </w:num>
  <w:num w:numId="15" w16cid:durableId="2060594160">
    <w:abstractNumId w:val="12"/>
  </w:num>
  <w:num w:numId="16" w16cid:durableId="763303290">
    <w:abstractNumId w:val="11"/>
  </w:num>
  <w:num w:numId="17" w16cid:durableId="609361045">
    <w:abstractNumId w:val="20"/>
  </w:num>
  <w:num w:numId="18" w16cid:durableId="857544537">
    <w:abstractNumId w:val="17"/>
  </w:num>
  <w:num w:numId="19" w16cid:durableId="2017150993">
    <w:abstractNumId w:val="5"/>
  </w:num>
  <w:num w:numId="20" w16cid:durableId="889847830">
    <w:abstractNumId w:val="9"/>
  </w:num>
  <w:num w:numId="21" w16cid:durableId="2047631282">
    <w:abstractNumId w:val="13"/>
  </w:num>
  <w:num w:numId="22" w16cid:durableId="314528890">
    <w:abstractNumId w:val="8"/>
  </w:num>
  <w:num w:numId="23" w16cid:durableId="1171798083">
    <w:abstractNumId w:val="3"/>
    <w:lvlOverride w:ilvl="0">
      <w:startOverride w:val="1"/>
    </w:lvlOverride>
  </w:num>
  <w:num w:numId="24" w16cid:durableId="7575539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487771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42C"/>
    <w:rsid w:val="00011B7D"/>
    <w:rsid w:val="00075432"/>
    <w:rsid w:val="000959A3"/>
    <w:rsid w:val="000E3117"/>
    <w:rsid w:val="000F5E56"/>
    <w:rsid w:val="00122081"/>
    <w:rsid w:val="001362EE"/>
    <w:rsid w:val="001832A6"/>
    <w:rsid w:val="00195C6E"/>
    <w:rsid w:val="001B266A"/>
    <w:rsid w:val="001D31E3"/>
    <w:rsid w:val="001D3D56"/>
    <w:rsid w:val="001D72BE"/>
    <w:rsid w:val="00240654"/>
    <w:rsid w:val="002634C4"/>
    <w:rsid w:val="002A1DBF"/>
    <w:rsid w:val="002C0026"/>
    <w:rsid w:val="002D4918"/>
    <w:rsid w:val="002E4D1A"/>
    <w:rsid w:val="002F16BC"/>
    <w:rsid w:val="002F1B5E"/>
    <w:rsid w:val="002F1B6F"/>
    <w:rsid w:val="002F4E68"/>
    <w:rsid w:val="00315FCA"/>
    <w:rsid w:val="00340E40"/>
    <w:rsid w:val="00377FBF"/>
    <w:rsid w:val="0038059C"/>
    <w:rsid w:val="003845C1"/>
    <w:rsid w:val="00391F11"/>
    <w:rsid w:val="003A1BCD"/>
    <w:rsid w:val="003A303A"/>
    <w:rsid w:val="003D3CED"/>
    <w:rsid w:val="004008A2"/>
    <w:rsid w:val="004025DF"/>
    <w:rsid w:val="00423E3E"/>
    <w:rsid w:val="00427AF4"/>
    <w:rsid w:val="00431989"/>
    <w:rsid w:val="004530AE"/>
    <w:rsid w:val="004647DA"/>
    <w:rsid w:val="00477D6B"/>
    <w:rsid w:val="004813F2"/>
    <w:rsid w:val="00496D62"/>
    <w:rsid w:val="004A576F"/>
    <w:rsid w:val="004C0317"/>
    <w:rsid w:val="004D6471"/>
    <w:rsid w:val="004F0849"/>
    <w:rsid w:val="004F4E31"/>
    <w:rsid w:val="00525B63"/>
    <w:rsid w:val="00547476"/>
    <w:rsid w:val="00561DB8"/>
    <w:rsid w:val="00567A4C"/>
    <w:rsid w:val="005A5A62"/>
    <w:rsid w:val="005E6516"/>
    <w:rsid w:val="00605827"/>
    <w:rsid w:val="006351CF"/>
    <w:rsid w:val="006406AE"/>
    <w:rsid w:val="0066506C"/>
    <w:rsid w:val="00676936"/>
    <w:rsid w:val="006B0BF5"/>
    <w:rsid w:val="006B0DB5"/>
    <w:rsid w:val="006C0B5B"/>
    <w:rsid w:val="006E4243"/>
    <w:rsid w:val="006F088C"/>
    <w:rsid w:val="007461F1"/>
    <w:rsid w:val="007C0AD5"/>
    <w:rsid w:val="007D6961"/>
    <w:rsid w:val="007E3E83"/>
    <w:rsid w:val="007F07CB"/>
    <w:rsid w:val="00810CEF"/>
    <w:rsid w:val="0081208D"/>
    <w:rsid w:val="00842A13"/>
    <w:rsid w:val="0089008D"/>
    <w:rsid w:val="008B1203"/>
    <w:rsid w:val="008B2CC1"/>
    <w:rsid w:val="008D402E"/>
    <w:rsid w:val="008E7930"/>
    <w:rsid w:val="0090731E"/>
    <w:rsid w:val="00930446"/>
    <w:rsid w:val="009455D3"/>
    <w:rsid w:val="00966A22"/>
    <w:rsid w:val="00974CD6"/>
    <w:rsid w:val="009C4815"/>
    <w:rsid w:val="009D30E6"/>
    <w:rsid w:val="009E3F6F"/>
    <w:rsid w:val="009F499F"/>
    <w:rsid w:val="00A12548"/>
    <w:rsid w:val="00A95F8F"/>
    <w:rsid w:val="00AC0AE4"/>
    <w:rsid w:val="00AD61DB"/>
    <w:rsid w:val="00B06894"/>
    <w:rsid w:val="00B321D5"/>
    <w:rsid w:val="00B4671F"/>
    <w:rsid w:val="00B87BCF"/>
    <w:rsid w:val="00B91586"/>
    <w:rsid w:val="00BA62D4"/>
    <w:rsid w:val="00BF513F"/>
    <w:rsid w:val="00C159B1"/>
    <w:rsid w:val="00C40E15"/>
    <w:rsid w:val="00C64797"/>
    <w:rsid w:val="00C664C8"/>
    <w:rsid w:val="00C76A79"/>
    <w:rsid w:val="00C960E4"/>
    <w:rsid w:val="00CA14C1"/>
    <w:rsid w:val="00CA15F5"/>
    <w:rsid w:val="00CE625B"/>
    <w:rsid w:val="00CF0460"/>
    <w:rsid w:val="00CF1141"/>
    <w:rsid w:val="00D45252"/>
    <w:rsid w:val="00D64E81"/>
    <w:rsid w:val="00D71B4D"/>
    <w:rsid w:val="00D75C1E"/>
    <w:rsid w:val="00D83603"/>
    <w:rsid w:val="00D93D55"/>
    <w:rsid w:val="00DB0349"/>
    <w:rsid w:val="00DD6A16"/>
    <w:rsid w:val="00E0091A"/>
    <w:rsid w:val="00E203AA"/>
    <w:rsid w:val="00E47A06"/>
    <w:rsid w:val="00E527A5"/>
    <w:rsid w:val="00E72B12"/>
    <w:rsid w:val="00E76456"/>
    <w:rsid w:val="00E85915"/>
    <w:rsid w:val="00EE71CB"/>
    <w:rsid w:val="00F0742C"/>
    <w:rsid w:val="00F16975"/>
    <w:rsid w:val="00F66152"/>
    <w:rsid w:val="00FA7E49"/>
    <w:rsid w:val="00FE72CE"/>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718D51"/>
  <w15:docId w15:val="{C11E860E-99A6-4DD4-8ED9-0F25828F6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B321D5"/>
    <w:pPr>
      <w:keepNext/>
      <w:spacing w:before="240" w:after="120"/>
      <w:outlineLvl w:val="0"/>
    </w:pPr>
    <w:rPr>
      <w:b/>
      <w:bCs/>
      <w:caps/>
      <w:kern w:val="32"/>
      <w:szCs w:val="32"/>
      <w:lang w:val="fr-FR"/>
    </w:rPr>
  </w:style>
  <w:style w:type="paragraph" w:styleId="Heading2">
    <w:name w:val="heading 2"/>
    <w:basedOn w:val="Normal"/>
    <w:next w:val="Normal"/>
    <w:link w:val="Heading2Char"/>
    <w:qFormat/>
    <w:rsid w:val="00B321D5"/>
    <w:pPr>
      <w:keepNext/>
      <w:spacing w:before="240" w:after="12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paragraph" w:styleId="Heading5">
    <w:name w:val="heading 5"/>
    <w:basedOn w:val="Normal"/>
    <w:next w:val="Normal"/>
    <w:link w:val="Heading5Char"/>
    <w:autoRedefine/>
    <w:qFormat/>
    <w:rsid w:val="00F0742C"/>
    <w:pPr>
      <w:keepNext/>
      <w:keepLines/>
      <w:spacing w:before="240" w:after="220"/>
      <w:outlineLvl w:val="4"/>
    </w:pPr>
    <w:rPr>
      <w:rFonts w:eastAsiaTheme="majorEastAsia" w:cstheme="majorBidi"/>
      <w:i/>
      <w:lang w:val="fr-FR"/>
    </w:rPr>
  </w:style>
  <w:style w:type="paragraph" w:styleId="Heading6">
    <w:name w:val="heading 6"/>
    <w:basedOn w:val="Normal"/>
    <w:next w:val="Normal"/>
    <w:link w:val="Heading6Char"/>
    <w:semiHidden/>
    <w:unhideWhenUsed/>
    <w:qFormat/>
    <w:rsid w:val="00F0742C"/>
    <w:pPr>
      <w:keepNext/>
      <w:keepLines/>
      <w:spacing w:before="40"/>
      <w:outlineLvl w:val="5"/>
    </w:pPr>
    <w:rPr>
      <w:rFonts w:asciiTheme="majorHAnsi" w:eastAsiaTheme="majorEastAsia" w:hAnsiTheme="majorHAnsi" w:cstheme="majorBidi"/>
      <w:color w:val="243F60" w:themeColor="accent1" w:themeShade="7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link w:val="CaptionChar"/>
    <w:qFormat/>
    <w:rsid w:val="004025DF"/>
    <w:rPr>
      <w:b/>
      <w:bCs/>
      <w:sz w:val="18"/>
    </w:rPr>
  </w:style>
  <w:style w:type="paragraph" w:styleId="CommentText">
    <w:name w:val="annotation text"/>
    <w:basedOn w:val="Normal"/>
    <w:link w:val="CommentTextChar1"/>
    <w:semiHidden/>
    <w:rsid w:val="004025DF"/>
    <w:rPr>
      <w:sz w:val="18"/>
    </w:rPr>
  </w:style>
  <w:style w:type="paragraph" w:styleId="EndnoteText">
    <w:name w:val="endnote text"/>
    <w:basedOn w:val="Normal"/>
    <w:link w:val="EndnoteTextChar"/>
    <w:semiHidden/>
    <w:rsid w:val="004025DF"/>
    <w:rPr>
      <w:sz w:val="18"/>
    </w:rPr>
  </w:style>
  <w:style w:type="paragraph" w:styleId="Footer">
    <w:name w:val="footer"/>
    <w:basedOn w:val="Normal"/>
    <w:link w:val="FooterChar"/>
    <w:rsid w:val="004025DF"/>
    <w:pPr>
      <w:tabs>
        <w:tab w:val="center" w:pos="4320"/>
        <w:tab w:val="right" w:pos="8640"/>
      </w:tabs>
    </w:pPr>
  </w:style>
  <w:style w:type="paragraph" w:styleId="FootnoteText">
    <w:name w:val="footnote text"/>
    <w:aliases w:val="Footnote,Char,ALTS FOOTNOTE,Footnote Text Char Char Char Char,Footnote Text Char Char Char1,Footnote Text Char Char1 Char,Footnote Text Char1 Char Char,Footnote Text Char1 Char1,Footnote Text qer,Footnote Text qer Char,fn,ft,footnote text"/>
    <w:basedOn w:val="Normal"/>
    <w:link w:val="FootnoteTextChar"/>
    <w:qFormat/>
    <w:rsid w:val="004025DF"/>
    <w:rPr>
      <w:sz w:val="18"/>
    </w:rPr>
  </w:style>
  <w:style w:type="paragraph" w:customStyle="1" w:styleId="Endofdocument-Annex">
    <w:name w:val="[End of document - Annex]"/>
    <w:basedOn w:val="Normal"/>
    <w:rsid w:val="003A303A"/>
    <w:pPr>
      <w:spacing w:before="720"/>
      <w:ind w:left="5534"/>
    </w:pPr>
    <w:rPr>
      <w:szCs w:val="22"/>
      <w:lang w:val="fr-FR"/>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qForma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link w:val="ONUME"/>
    <w:locked/>
    <w:rsid w:val="00F0742C"/>
    <w:rPr>
      <w:rFonts w:ascii="Arial" w:eastAsia="SimSun" w:hAnsi="Arial" w:cs="Arial"/>
      <w:sz w:val="22"/>
      <w:lang w:eastAsia="zh-CN"/>
    </w:rPr>
  </w:style>
  <w:style w:type="character" w:customStyle="1" w:styleId="Heading5Char">
    <w:name w:val="Heading 5 Char"/>
    <w:basedOn w:val="DefaultParagraphFont"/>
    <w:link w:val="Heading5"/>
    <w:rsid w:val="00F0742C"/>
    <w:rPr>
      <w:rFonts w:ascii="Arial" w:eastAsiaTheme="majorEastAsia" w:hAnsi="Arial" w:cstheme="majorBidi"/>
      <w:i/>
      <w:sz w:val="22"/>
      <w:lang w:val="fr-FR" w:eastAsia="zh-CN"/>
    </w:rPr>
  </w:style>
  <w:style w:type="character" w:customStyle="1" w:styleId="Heading6Char">
    <w:name w:val="Heading 6 Char"/>
    <w:basedOn w:val="DefaultParagraphFont"/>
    <w:link w:val="Heading6"/>
    <w:semiHidden/>
    <w:rsid w:val="00F0742C"/>
    <w:rPr>
      <w:rFonts w:asciiTheme="majorHAnsi" w:eastAsiaTheme="majorEastAsia" w:hAnsiTheme="majorHAnsi" w:cstheme="majorBidi"/>
      <w:color w:val="243F60" w:themeColor="accent1" w:themeShade="7F"/>
      <w:sz w:val="22"/>
      <w:lang w:val="fr-FR" w:eastAsia="zh-CN"/>
    </w:rPr>
  </w:style>
  <w:style w:type="paragraph" w:styleId="BalloonText">
    <w:name w:val="Balloon Text"/>
    <w:basedOn w:val="Normal"/>
    <w:link w:val="BalloonTextChar"/>
    <w:uiPriority w:val="99"/>
    <w:unhideWhenUsed/>
    <w:rsid w:val="00F0742C"/>
    <w:rPr>
      <w:rFonts w:ascii="Segoe UI" w:hAnsi="Segoe UI" w:cs="Segoe UI"/>
      <w:sz w:val="18"/>
      <w:szCs w:val="18"/>
      <w:lang w:val="fr-FR"/>
    </w:rPr>
  </w:style>
  <w:style w:type="character" w:customStyle="1" w:styleId="BalloonTextChar">
    <w:name w:val="Balloon Text Char"/>
    <w:basedOn w:val="DefaultParagraphFont"/>
    <w:link w:val="BalloonText"/>
    <w:uiPriority w:val="99"/>
    <w:rsid w:val="00F0742C"/>
    <w:rPr>
      <w:rFonts w:ascii="Segoe UI" w:eastAsia="SimSun" w:hAnsi="Segoe UI" w:cs="Segoe UI"/>
      <w:sz w:val="18"/>
      <w:szCs w:val="18"/>
      <w:lang w:val="fr-FR" w:eastAsia="zh-CN"/>
    </w:rPr>
  </w:style>
  <w:style w:type="character" w:customStyle="1" w:styleId="Heading2Char">
    <w:name w:val="Heading 2 Char"/>
    <w:link w:val="Heading2"/>
    <w:locked/>
    <w:rsid w:val="00B321D5"/>
    <w:rPr>
      <w:rFonts w:ascii="Arial" w:eastAsia="SimSun" w:hAnsi="Arial" w:cs="Arial"/>
      <w:bCs/>
      <w:iCs/>
      <w:caps/>
      <w:sz w:val="22"/>
      <w:szCs w:val="28"/>
      <w:lang w:val="fr-FR" w:eastAsia="zh-CN"/>
    </w:rPr>
  </w:style>
  <w:style w:type="character" w:customStyle="1" w:styleId="BodyTextChar">
    <w:name w:val="Body Text Char"/>
    <w:basedOn w:val="DefaultParagraphFont"/>
    <w:link w:val="BodyText"/>
    <w:rsid w:val="00F0742C"/>
    <w:rPr>
      <w:rFonts w:ascii="Arial" w:eastAsia="SimSun" w:hAnsi="Arial" w:cs="Arial"/>
      <w:sz w:val="22"/>
      <w:lang w:eastAsia="zh-CN"/>
    </w:rPr>
  </w:style>
  <w:style w:type="character" w:customStyle="1" w:styleId="CaptionChar">
    <w:name w:val="Caption Char"/>
    <w:basedOn w:val="DefaultParagraphFont"/>
    <w:link w:val="Caption"/>
    <w:rsid w:val="00F0742C"/>
    <w:rPr>
      <w:rFonts w:ascii="Arial" w:eastAsia="SimSun" w:hAnsi="Arial" w:cs="Arial"/>
      <w:b/>
      <w:bCs/>
      <w:sz w:val="18"/>
      <w:lang w:eastAsia="zh-CN"/>
    </w:rPr>
  </w:style>
  <w:style w:type="character" w:customStyle="1" w:styleId="CommentTextChar">
    <w:name w:val="Comment Text Char"/>
    <w:basedOn w:val="DefaultParagraphFont"/>
    <w:semiHidden/>
    <w:rsid w:val="00F0742C"/>
    <w:rPr>
      <w:rFonts w:ascii="Arial" w:eastAsia="SimSun" w:hAnsi="Arial" w:cs="Arial"/>
      <w:sz w:val="18"/>
      <w:lang w:val="fr-FR" w:eastAsia="zh-CN"/>
    </w:rPr>
  </w:style>
  <w:style w:type="character" w:customStyle="1" w:styleId="EndnoteTextChar">
    <w:name w:val="Endnote Text Char"/>
    <w:basedOn w:val="DefaultParagraphFont"/>
    <w:link w:val="EndnoteText"/>
    <w:semiHidden/>
    <w:rsid w:val="00F0742C"/>
    <w:rPr>
      <w:rFonts w:ascii="Arial" w:eastAsia="SimSun" w:hAnsi="Arial" w:cs="Arial"/>
      <w:sz w:val="18"/>
      <w:lang w:eastAsia="zh-CN"/>
    </w:rPr>
  </w:style>
  <w:style w:type="character" w:customStyle="1" w:styleId="FootnoteTextChar">
    <w:name w:val="Footnote Text Char"/>
    <w:aliases w:val="Footnote Char,Char Char,ALTS FOOTNOTE Char,Footnote Text Char Char Char Char Char,Footnote Text Char Char Char1 Char,Footnote Text Char Char1 Char Char,Footnote Text Char1 Char Char Char,Footnote Text Char1 Char1 Char,fn Char,ft Char"/>
    <w:link w:val="FootnoteText"/>
    <w:locked/>
    <w:rsid w:val="00F0742C"/>
    <w:rPr>
      <w:rFonts w:ascii="Arial" w:eastAsia="SimSun" w:hAnsi="Arial" w:cs="Arial"/>
      <w:sz w:val="18"/>
      <w:lang w:eastAsia="zh-CN"/>
    </w:rPr>
  </w:style>
  <w:style w:type="character" w:customStyle="1" w:styleId="HeaderChar">
    <w:name w:val="Header Char"/>
    <w:link w:val="Header"/>
    <w:uiPriority w:val="99"/>
    <w:locked/>
    <w:rsid w:val="00F0742C"/>
    <w:rPr>
      <w:rFonts w:ascii="Arial" w:eastAsia="SimSun" w:hAnsi="Arial" w:cs="Arial"/>
      <w:sz w:val="22"/>
      <w:lang w:eastAsia="zh-CN"/>
    </w:rPr>
  </w:style>
  <w:style w:type="paragraph" w:styleId="NoSpacing">
    <w:name w:val="No Spacing"/>
    <w:uiPriority w:val="1"/>
    <w:qFormat/>
    <w:rsid w:val="00F0742C"/>
    <w:rPr>
      <w:rFonts w:ascii="Arial" w:eastAsia="SimSun" w:hAnsi="Arial" w:cs="Arial"/>
      <w:sz w:val="22"/>
      <w:lang w:val="fr-FR" w:eastAsia="zh-CN"/>
    </w:rPr>
  </w:style>
  <w:style w:type="paragraph" w:styleId="TOC1">
    <w:name w:val="toc 1"/>
    <w:basedOn w:val="Normal"/>
    <w:next w:val="Normal"/>
    <w:autoRedefine/>
    <w:uiPriority w:val="39"/>
    <w:qFormat/>
    <w:rsid w:val="00F0742C"/>
    <w:pPr>
      <w:tabs>
        <w:tab w:val="left" w:leader="dot" w:pos="446"/>
        <w:tab w:val="right" w:leader="dot" w:pos="9346"/>
      </w:tabs>
      <w:spacing w:before="240" w:after="240"/>
    </w:pPr>
    <w:rPr>
      <w:lang w:val="fr-FR"/>
    </w:rPr>
  </w:style>
  <w:style w:type="character" w:styleId="Hyperlink">
    <w:name w:val="Hyperlink"/>
    <w:basedOn w:val="DefaultParagraphFont"/>
    <w:uiPriority w:val="99"/>
    <w:rsid w:val="00F0742C"/>
    <w:rPr>
      <w:rFonts w:cs="Times New Roman"/>
      <w:color w:val="0000FF"/>
      <w:u w:val="single"/>
    </w:rPr>
  </w:style>
  <w:style w:type="table" w:styleId="TableGrid">
    <w:name w:val="Table Grid"/>
    <w:basedOn w:val="TableNormal"/>
    <w:uiPriority w:val="59"/>
    <w:rsid w:val="00F0742C"/>
    <w:pPr>
      <w:spacing w:after="120" w:line="260" w:lineRule="exact"/>
      <w:ind w:left="1021"/>
    </w:pPr>
    <w:rPr>
      <w:lang w:val="fr-FR" w:eastAsia="en-US"/>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16 Poin,Carattere Carattere Char Char Char Carattere Char,Carattere Char Carattere Carattere Char Carattere Char Carattere Char Char Char1 Char,Footnote Reference Char Char Char,ftref, BVI fnr Tegn Char Tegn Char Char,BVI fnr,callout"/>
    <w:basedOn w:val="DefaultParagraphFont"/>
    <w:link w:val="BVIfnrTegnCharTegnChar"/>
    <w:qFormat/>
    <w:rsid w:val="00F0742C"/>
    <w:rPr>
      <w:vertAlign w:val="superscript"/>
    </w:rPr>
  </w:style>
  <w:style w:type="paragraph" w:styleId="PlainText">
    <w:name w:val="Plain Text"/>
    <w:basedOn w:val="Normal"/>
    <w:link w:val="PlainTextChar"/>
    <w:uiPriority w:val="99"/>
    <w:rsid w:val="00F0742C"/>
    <w:rPr>
      <w:rFonts w:ascii="Courier New" w:hAnsi="Courier New" w:cs="Courier New"/>
      <w:sz w:val="20"/>
      <w:lang w:val="fr-FR"/>
    </w:rPr>
  </w:style>
  <w:style w:type="character" w:customStyle="1" w:styleId="PlainTextChar">
    <w:name w:val="Plain Text Char"/>
    <w:basedOn w:val="DefaultParagraphFont"/>
    <w:link w:val="PlainText"/>
    <w:uiPriority w:val="99"/>
    <w:rsid w:val="00F0742C"/>
    <w:rPr>
      <w:rFonts w:ascii="Courier New" w:eastAsia="SimSun" w:hAnsi="Courier New" w:cs="Courier New"/>
      <w:lang w:val="fr-FR" w:eastAsia="zh-CN"/>
    </w:rPr>
  </w:style>
  <w:style w:type="paragraph" w:styleId="ListParagraph">
    <w:name w:val="List Paragraph"/>
    <w:aliases w:val="MCHIP_list paragraph,Recommendation,List Paragraph (numbered (a)),Dot pt,F5 List Paragraph,No Spacing1,List Paragraph Char Char Char,Indicator Text,Numbered Para 1,MAIN CONTENT,Bullet 1,Colorful List - Accent 11,References,List Paragraph1"/>
    <w:basedOn w:val="Normal"/>
    <w:link w:val="ListParagraphChar"/>
    <w:uiPriority w:val="34"/>
    <w:qFormat/>
    <w:rsid w:val="00F0742C"/>
    <w:pPr>
      <w:ind w:left="720"/>
      <w:contextualSpacing/>
    </w:pPr>
    <w:rPr>
      <w:lang w:val="fr-FR"/>
    </w:rPr>
  </w:style>
  <w:style w:type="character" w:customStyle="1" w:styleId="ListParagraphChar">
    <w:name w:val="List Paragraph Char"/>
    <w:aliases w:val="MCHIP_list paragraph Char,Recommendation Char,List Paragraph (numbered (a)) Char,Dot pt Char,F5 List Paragraph Char,No Spacing1 Char,List Paragraph Char Char Char Char,Indicator Text Char,Numbered Para 1 Char,MAIN CONTENT Char"/>
    <w:basedOn w:val="DefaultParagraphFont"/>
    <w:link w:val="ListParagraph"/>
    <w:uiPriority w:val="34"/>
    <w:rsid w:val="00F0742C"/>
    <w:rPr>
      <w:rFonts w:ascii="Arial" w:eastAsia="SimSun" w:hAnsi="Arial" w:cs="Arial"/>
      <w:sz w:val="22"/>
      <w:lang w:val="fr-FR" w:eastAsia="zh-CN"/>
    </w:rPr>
  </w:style>
  <w:style w:type="character" w:styleId="CommentReference">
    <w:name w:val="annotation reference"/>
    <w:basedOn w:val="DefaultParagraphFont"/>
    <w:rsid w:val="00F0742C"/>
    <w:rPr>
      <w:sz w:val="16"/>
      <w:szCs w:val="16"/>
    </w:rPr>
  </w:style>
  <w:style w:type="paragraph" w:styleId="CommentSubject">
    <w:name w:val="annotation subject"/>
    <w:basedOn w:val="CommentText"/>
    <w:next w:val="CommentText"/>
    <w:link w:val="CommentSubjectChar"/>
    <w:rsid w:val="00F0742C"/>
    <w:rPr>
      <w:b/>
      <w:bCs/>
      <w:sz w:val="20"/>
      <w:lang w:val="fr-FR"/>
    </w:rPr>
  </w:style>
  <w:style w:type="character" w:customStyle="1" w:styleId="CommentTextChar1">
    <w:name w:val="Comment Text Char1"/>
    <w:basedOn w:val="DefaultParagraphFont"/>
    <w:link w:val="CommentText"/>
    <w:semiHidden/>
    <w:rsid w:val="00F0742C"/>
    <w:rPr>
      <w:rFonts w:ascii="Arial" w:eastAsia="SimSun" w:hAnsi="Arial" w:cs="Arial"/>
      <w:sz w:val="18"/>
      <w:lang w:eastAsia="zh-CN"/>
    </w:rPr>
  </w:style>
  <w:style w:type="character" w:customStyle="1" w:styleId="CommentSubjectChar">
    <w:name w:val="Comment Subject Char"/>
    <w:basedOn w:val="CommentTextChar1"/>
    <w:link w:val="CommentSubject"/>
    <w:rsid w:val="00F0742C"/>
    <w:rPr>
      <w:rFonts w:ascii="Arial" w:eastAsia="SimSun" w:hAnsi="Arial" w:cs="Arial"/>
      <w:b/>
      <w:bCs/>
      <w:sz w:val="18"/>
      <w:lang w:val="fr-FR" w:eastAsia="zh-CN"/>
    </w:rPr>
  </w:style>
  <w:style w:type="character" w:styleId="EndnoteReference">
    <w:name w:val="endnote reference"/>
    <w:basedOn w:val="DefaultParagraphFont"/>
    <w:rsid w:val="00F0742C"/>
    <w:rPr>
      <w:vertAlign w:val="superscript"/>
    </w:rPr>
  </w:style>
  <w:style w:type="paragraph" w:styleId="NormalWeb">
    <w:name w:val="Normal (Web)"/>
    <w:basedOn w:val="Normal"/>
    <w:uiPriority w:val="99"/>
    <w:rsid w:val="00F0742C"/>
    <w:pPr>
      <w:spacing w:before="100" w:beforeAutospacing="1" w:after="100" w:afterAutospacing="1"/>
    </w:pPr>
    <w:rPr>
      <w:rFonts w:eastAsia="Times New Roman"/>
      <w:sz w:val="18"/>
      <w:szCs w:val="18"/>
      <w:lang w:val="fr-FR" w:eastAsia="en-US"/>
    </w:rPr>
  </w:style>
  <w:style w:type="character" w:customStyle="1" w:styleId="ONUMECharChar">
    <w:name w:val="ONUM E Char Char"/>
    <w:locked/>
    <w:rsid w:val="00F0742C"/>
    <w:rPr>
      <w:rFonts w:ascii="Arial" w:hAnsi="Arial"/>
      <w:sz w:val="22"/>
      <w:lang w:val="fr-FR" w:eastAsia="x-none"/>
    </w:rPr>
  </w:style>
  <w:style w:type="character" w:customStyle="1" w:styleId="apple-converted-space">
    <w:name w:val="apple-converted-space"/>
    <w:basedOn w:val="DefaultParagraphFont"/>
    <w:rsid w:val="00F0742C"/>
  </w:style>
  <w:style w:type="paragraph" w:customStyle="1" w:styleId="Default">
    <w:name w:val="Default"/>
    <w:rsid w:val="00F0742C"/>
    <w:pPr>
      <w:autoSpaceDE w:val="0"/>
      <w:autoSpaceDN w:val="0"/>
      <w:adjustRightInd w:val="0"/>
    </w:pPr>
    <w:rPr>
      <w:rFonts w:ascii="Arial" w:hAnsi="Arial" w:cs="Arial"/>
      <w:color w:val="000000"/>
      <w:sz w:val="24"/>
      <w:szCs w:val="24"/>
      <w:lang w:val="fr-FR" w:eastAsia="en-US"/>
    </w:rPr>
  </w:style>
  <w:style w:type="paragraph" w:styleId="TOC2">
    <w:name w:val="toc 2"/>
    <w:basedOn w:val="Normal"/>
    <w:next w:val="Normal"/>
    <w:autoRedefine/>
    <w:uiPriority w:val="39"/>
    <w:unhideWhenUsed/>
    <w:qFormat/>
    <w:rsid w:val="00F0742C"/>
    <w:pPr>
      <w:spacing w:after="100"/>
      <w:ind w:left="220"/>
    </w:pPr>
    <w:rPr>
      <w:lang w:val="fr-FR"/>
    </w:rPr>
  </w:style>
  <w:style w:type="paragraph" w:customStyle="1" w:styleId="Heading11">
    <w:name w:val="Heading 1.1"/>
    <w:basedOn w:val="Heading1"/>
    <w:qFormat/>
    <w:rsid w:val="00F0742C"/>
    <w:pPr>
      <w:numPr>
        <w:numId w:val="9"/>
      </w:numPr>
      <w:spacing w:before="480"/>
    </w:pPr>
  </w:style>
  <w:style w:type="paragraph" w:customStyle="1" w:styleId="BVIfnrTegnCharTegnChar">
    <w:name w:val="BVI fnr Tegn Char Tegn Char"/>
    <w:aliases w:val=" BVI fnr Car Car Tegn Char Tegn Char,BVI fnr Car Tegn Char Tegn Char, BVI fnr Car Car Car Car Tegn Char Tegn Char,BVI fnr Car Car Tegn Char Tegn Char,BVI fnr Car Car Car Car Tegn Char Tegn Char"/>
    <w:basedOn w:val="Normal"/>
    <w:link w:val="FootnoteReference"/>
    <w:rsid w:val="00F0742C"/>
    <w:pPr>
      <w:spacing w:after="160" w:line="240" w:lineRule="atLeast"/>
    </w:pPr>
    <w:rPr>
      <w:rFonts w:ascii="Times New Roman" w:eastAsia="Times New Roman" w:hAnsi="Times New Roman" w:cs="Times New Roman"/>
      <w:sz w:val="20"/>
      <w:vertAlign w:val="superscript"/>
      <w:lang w:eastAsia="fr-CH"/>
    </w:rPr>
  </w:style>
  <w:style w:type="paragraph" w:styleId="Revision">
    <w:name w:val="Revision"/>
    <w:hidden/>
    <w:uiPriority w:val="99"/>
    <w:semiHidden/>
    <w:rsid w:val="00F0742C"/>
    <w:rPr>
      <w:rFonts w:ascii="Arial" w:eastAsia="SimSun" w:hAnsi="Arial" w:cs="Arial"/>
      <w:sz w:val="22"/>
      <w:lang w:val="fr-FR" w:eastAsia="zh-CN"/>
    </w:rPr>
  </w:style>
  <w:style w:type="character" w:customStyle="1" w:styleId="Heading1Char">
    <w:name w:val="Heading 1 Char"/>
    <w:basedOn w:val="DefaultParagraphFont"/>
    <w:link w:val="Heading1"/>
    <w:rsid w:val="00B321D5"/>
    <w:rPr>
      <w:rFonts w:ascii="Arial" w:eastAsia="SimSun" w:hAnsi="Arial" w:cs="Arial"/>
      <w:b/>
      <w:bCs/>
      <w:caps/>
      <w:kern w:val="32"/>
      <w:sz w:val="22"/>
      <w:szCs w:val="32"/>
      <w:lang w:val="fr-FR" w:eastAsia="zh-CN"/>
    </w:rPr>
  </w:style>
  <w:style w:type="table" w:styleId="GridTable6Colorful-Accent1">
    <w:name w:val="Grid Table 6 Colorful Accent 1"/>
    <w:basedOn w:val="TableNormal"/>
    <w:uiPriority w:val="51"/>
    <w:rsid w:val="00F0742C"/>
    <w:rPr>
      <w:color w:val="365F91" w:themeColor="accent1" w:themeShade="BF"/>
      <w:lang w:val="fr-F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GridLight">
    <w:name w:val="Grid Table Light"/>
    <w:basedOn w:val="TableNormal"/>
    <w:uiPriority w:val="40"/>
    <w:rsid w:val="00F0742C"/>
    <w:rPr>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0742C"/>
    <w:rPr>
      <w:lang w:val="fr-F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AndChartTitle">
    <w:name w:val="TableAndChartTitle"/>
    <w:basedOn w:val="Normal"/>
    <w:next w:val="Normal"/>
    <w:uiPriority w:val="14"/>
    <w:qFormat/>
    <w:rsid w:val="00F0742C"/>
    <w:pPr>
      <w:keepNext/>
      <w:keepLines/>
      <w:spacing w:before="240" w:after="60" w:line="220" w:lineRule="atLeast"/>
      <w:jc w:val="center"/>
    </w:pPr>
    <w:rPr>
      <w:rFonts w:eastAsiaTheme="minorHAnsi" w:cstheme="minorBidi"/>
      <w:b/>
      <w:color w:val="1F497D" w:themeColor="text2"/>
      <w:sz w:val="18"/>
      <w:szCs w:val="22"/>
      <w:lang w:val="fr-FR" w:eastAsia="en-US"/>
    </w:rPr>
  </w:style>
  <w:style w:type="paragraph" w:customStyle="1" w:styleId="TableAndChartTitleAddText">
    <w:name w:val="TableAndChartTitleAddText"/>
    <w:basedOn w:val="Normal"/>
    <w:next w:val="Normal"/>
    <w:uiPriority w:val="15"/>
    <w:qFormat/>
    <w:rsid w:val="00F0742C"/>
    <w:pPr>
      <w:keepNext/>
      <w:keepLines/>
      <w:spacing w:before="60" w:after="180" w:line="220" w:lineRule="atLeast"/>
      <w:jc w:val="center"/>
    </w:pPr>
    <w:rPr>
      <w:rFonts w:eastAsiaTheme="minorHAnsi" w:cstheme="minorBidi"/>
      <w:i/>
      <w:sz w:val="18"/>
      <w:szCs w:val="22"/>
      <w:lang w:val="fr-FR" w:eastAsia="en-US"/>
    </w:rPr>
  </w:style>
  <w:style w:type="character" w:customStyle="1" w:styleId="FooterChar">
    <w:name w:val="Footer Char"/>
    <w:basedOn w:val="DefaultParagraphFont"/>
    <w:link w:val="Footer"/>
    <w:rsid w:val="00F0742C"/>
    <w:rPr>
      <w:rFonts w:ascii="Arial" w:eastAsia="SimSun" w:hAnsi="Arial" w:cs="Arial"/>
      <w:sz w:val="22"/>
      <w:lang w:eastAsia="zh-CN"/>
    </w:rPr>
  </w:style>
  <w:style w:type="character" w:styleId="FollowedHyperlink">
    <w:name w:val="FollowedHyperlink"/>
    <w:basedOn w:val="DefaultParagraphFont"/>
    <w:semiHidden/>
    <w:unhideWhenUsed/>
    <w:rsid w:val="00F0742C"/>
    <w:rPr>
      <w:color w:val="800080" w:themeColor="followedHyperlink"/>
      <w:u w:val="single"/>
    </w:rPr>
  </w:style>
  <w:style w:type="paragraph" w:styleId="TOCHeading">
    <w:name w:val="TOC Heading"/>
    <w:basedOn w:val="Heading1"/>
    <w:next w:val="Normal"/>
    <w:uiPriority w:val="39"/>
    <w:unhideWhenUsed/>
    <w:qFormat/>
    <w:rsid w:val="00F0742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character" w:customStyle="1" w:styleId="pwa-mark">
    <w:name w:val="pwa-mark"/>
    <w:basedOn w:val="DefaultParagraphFont"/>
    <w:rsid w:val="00F0742C"/>
  </w:style>
  <w:style w:type="paragraph" w:styleId="MacroText">
    <w:name w:val="macro"/>
    <w:link w:val="MacroTextChar"/>
    <w:semiHidden/>
    <w:rsid w:val="00F0742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fr-FR" w:eastAsia="en-US"/>
    </w:rPr>
  </w:style>
  <w:style w:type="character" w:customStyle="1" w:styleId="MacroTextChar">
    <w:name w:val="Macro Text Char"/>
    <w:basedOn w:val="DefaultParagraphFont"/>
    <w:link w:val="MacroText"/>
    <w:semiHidden/>
    <w:rsid w:val="00F0742C"/>
    <w:rPr>
      <w:rFonts w:ascii="Courier New" w:hAnsi="Courier New"/>
      <w:sz w:val="16"/>
      <w:lang w:val="fr-FR" w:eastAsia="en-US"/>
    </w:rPr>
  </w:style>
  <w:style w:type="table" w:styleId="GridTable5Dark-Accent1">
    <w:name w:val="Grid Table 5 Dark Accent 1"/>
    <w:basedOn w:val="TableNormal"/>
    <w:uiPriority w:val="50"/>
    <w:rsid w:val="00F0742C"/>
    <w:rPr>
      <w:lang w:val="fr-FR"/>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1">
    <w:name w:val="Grid Table 4 Accent 1"/>
    <w:basedOn w:val="TableNormal"/>
    <w:uiPriority w:val="49"/>
    <w:rsid w:val="00F0742C"/>
    <w:rPr>
      <w:lang w:val="fr-FR"/>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aragraph">
    <w:name w:val="paragraph"/>
    <w:basedOn w:val="Normal"/>
    <w:rsid w:val="00F0742C"/>
    <w:pPr>
      <w:spacing w:before="100" w:beforeAutospacing="1" w:after="100" w:afterAutospacing="1"/>
    </w:pPr>
    <w:rPr>
      <w:rFonts w:ascii="Times New Roman" w:eastAsia="Times New Roman" w:hAnsi="Times New Roman" w:cs="Times New Roman"/>
      <w:sz w:val="24"/>
      <w:szCs w:val="24"/>
      <w:lang w:val="fr-FR" w:eastAsia="en-US"/>
    </w:rPr>
  </w:style>
  <w:style w:type="character" w:customStyle="1" w:styleId="normaltextrun">
    <w:name w:val="normaltextrun"/>
    <w:basedOn w:val="DefaultParagraphFont"/>
    <w:rsid w:val="00F0742C"/>
  </w:style>
  <w:style w:type="character" w:customStyle="1" w:styleId="eop">
    <w:name w:val="eop"/>
    <w:basedOn w:val="DefaultParagraphFont"/>
    <w:rsid w:val="00F0742C"/>
  </w:style>
  <w:style w:type="character" w:styleId="Emphasis">
    <w:name w:val="Emphasis"/>
    <w:basedOn w:val="DefaultParagraphFont"/>
    <w:uiPriority w:val="20"/>
    <w:qFormat/>
    <w:rsid w:val="00F0742C"/>
    <w:rPr>
      <w:i/>
      <w:iCs/>
    </w:rPr>
  </w:style>
  <w:style w:type="table" w:customStyle="1" w:styleId="TableGridLight1">
    <w:name w:val="Table Grid Light1"/>
    <w:basedOn w:val="TableNormal"/>
    <w:next w:val="TableGridLight"/>
    <w:uiPriority w:val="40"/>
    <w:rsid w:val="00F0742C"/>
    <w:rPr>
      <w:lang w:val="fr-FR"/>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i-provider">
    <w:name w:val="ui-provider"/>
    <w:basedOn w:val="DefaultParagraphFont"/>
    <w:rsid w:val="00F0742C"/>
  </w:style>
  <w:style w:type="character" w:styleId="Mention">
    <w:name w:val="Mention"/>
    <w:basedOn w:val="DefaultParagraphFont"/>
    <w:uiPriority w:val="99"/>
    <w:unhideWhenUsed/>
    <w:rsid w:val="00F0742C"/>
    <w:rPr>
      <w:color w:val="2B579A"/>
      <w:shd w:val="clear" w:color="auto" w:fill="E1DFDD"/>
    </w:rPr>
  </w:style>
  <w:style w:type="paragraph" w:customStyle="1" w:styleId="TableParagraph">
    <w:name w:val="Table Paragraph"/>
    <w:basedOn w:val="Normal"/>
    <w:uiPriority w:val="1"/>
    <w:qFormat/>
    <w:rsid w:val="00F0742C"/>
    <w:pPr>
      <w:widowControl w:val="0"/>
      <w:autoSpaceDE w:val="0"/>
      <w:autoSpaceDN w:val="0"/>
    </w:pPr>
    <w:rPr>
      <w:rFonts w:eastAsia="Arial"/>
      <w:szCs w:val="22"/>
      <w:lang w:val="fr-FR" w:eastAsia="en-US"/>
    </w:rPr>
  </w:style>
  <w:style w:type="character" w:styleId="UnresolvedMention">
    <w:name w:val="Unresolved Mention"/>
    <w:basedOn w:val="DefaultParagraphFont"/>
    <w:uiPriority w:val="99"/>
    <w:semiHidden/>
    <w:unhideWhenUsed/>
    <w:rsid w:val="00F0742C"/>
    <w:rPr>
      <w:color w:val="605E5C"/>
      <w:shd w:val="clear" w:color="auto" w:fill="E1DFDD"/>
    </w:rPr>
  </w:style>
  <w:style w:type="table" w:styleId="ListTable3-Accent1">
    <w:name w:val="List Table 3 Accent 1"/>
    <w:basedOn w:val="TableNormal"/>
    <w:uiPriority w:val="48"/>
    <w:rsid w:val="00F0742C"/>
    <w:rPr>
      <w:rFonts w:asciiTheme="minorHAnsi" w:eastAsiaTheme="minorHAnsi" w:hAnsiTheme="minorHAnsi" w:cstheme="minorBidi"/>
      <w:sz w:val="22"/>
      <w:szCs w:val="22"/>
      <w:lang w:val="fr-FR"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ONUMEsubpara">
    <w:name w:val="ONUM E sub para"/>
    <w:basedOn w:val="ONUME"/>
    <w:qFormat/>
    <w:rsid w:val="00F0742C"/>
    <w:pPr>
      <w:numPr>
        <w:numId w:val="0"/>
      </w:numPr>
      <w:tabs>
        <w:tab w:val="left" w:pos="1170"/>
      </w:tabs>
      <w:ind w:left="540" w:hanging="360"/>
    </w:pPr>
    <w:rPr>
      <w:lang w:val="fr-FR"/>
    </w:rPr>
  </w:style>
  <w:style w:type="paragraph" w:customStyle="1" w:styleId="ONUMEsubsubpara">
    <w:name w:val="ONUM E sub sub para"/>
    <w:basedOn w:val="ONUMEsubpara"/>
    <w:qFormat/>
    <w:rsid w:val="00F0742C"/>
    <w:pPr>
      <w:tabs>
        <w:tab w:val="clear" w:pos="1170"/>
        <w:tab w:val="left" w:pos="1800"/>
      </w:tabs>
      <w:ind w:left="1197"/>
    </w:pPr>
  </w:style>
  <w:style w:type="character" w:styleId="Strong">
    <w:name w:val="Strong"/>
    <w:basedOn w:val="DefaultParagraphFont"/>
    <w:uiPriority w:val="22"/>
    <w:qFormat/>
    <w:rsid w:val="00F0742C"/>
    <w:rPr>
      <w:b/>
      <w:bCs/>
    </w:rPr>
  </w:style>
  <w:style w:type="character" w:customStyle="1" w:styleId="cf01">
    <w:name w:val="cf01"/>
    <w:basedOn w:val="DefaultParagraphFont"/>
    <w:rsid w:val="00F074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footer" Target="footer4.xml"/><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chart" Target="charts/chart1.xml"/><Relationship Id="rId34"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emf"/><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emf"/><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6.emf"/><Relationship Id="rId32"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5.emf"/><Relationship Id="rId28" Type="http://schemas.openxmlformats.org/officeDocument/2006/relationships/header" Target="header3.xm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header" Target="header2.xml"/><Relationship Id="rId30" Type="http://schemas.openxmlformats.org/officeDocument/2006/relationships/footer" Target="footer6.xml"/><Relationship Id="rId35" Type="http://schemas.openxmlformats.org/officeDocument/2006/relationships/fontTable" Target="fontTable.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wipo.int/documents/d/about-wipo/docs-fr-wipo_financial_regulations.pdf" TargetMode="External"/><Relationship Id="rId2" Type="http://schemas.openxmlformats.org/officeDocument/2006/relationships/hyperlink" Target="https://intranet.wipo.int/intranet_apps/people_finder/unit.jsp?unit_code=0435&amp;lang=fr" TargetMode="External"/><Relationship Id="rId1" Type="http://schemas.openxmlformats.org/officeDocument/2006/relationships/hyperlink" Target="https://intranet.wipo.int/export/sites/intranet/homepages/hr/fr/documents/srr_hrcr/srr-oct-2025-fr.pdf" TargetMode="External"/><Relationship Id="rId4" Type="http://schemas.openxmlformats.org/officeDocument/2006/relationships/hyperlink" Target="https://www.wipo.int/export/sites/www/about-wipo/fr/budget/pdf/budget-2024-202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60%20(F).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Wipogvafs01\DAT2\ORGLAN\AEM\POOL\Chart%203_FR.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fr-FR" sz="1050">
                <a:latin typeface="Arial" panose="020B0604020202020204" pitchFamily="34" charset="0"/>
                <a:cs typeface="Arial" panose="020B0604020202020204" pitchFamily="34" charset="0"/>
              </a:rPr>
              <a:t>ENQUÊTES PORTANT SUR DES </a:t>
            </a:r>
            <a:r>
              <a:rPr lang="fr-FR" sz="1050" baseline="0">
                <a:latin typeface="Arial" panose="020B0604020202020204" pitchFamily="34" charset="0"/>
                <a:cs typeface="Arial" panose="020B0604020202020204" pitchFamily="34" charset="0"/>
              </a:rPr>
              <a:t>ALLÉGATIONS</a:t>
            </a:r>
            <a:r>
              <a:rPr lang="fr-FR" sz="1050">
                <a:latin typeface="Arial" panose="020B0604020202020204" pitchFamily="34" charset="0"/>
                <a:cs typeface="Arial" panose="020B0604020202020204" pitchFamily="34" charset="0"/>
              </a:rPr>
              <a:t> FONDÉES OU INFONDÉES </a:t>
            </a:r>
          </a:p>
        </c:rich>
      </c:tx>
      <c:overlay val="0"/>
      <c:spPr>
        <a:noFill/>
        <a:ln>
          <a:noFill/>
        </a:ln>
        <a:effectLst/>
      </c:spPr>
      <c:txPr>
        <a:bodyPr rot="0" spcFirstLastPara="1" vertOverflow="ellipsis" vert="horz" wrap="square" anchor="ctr" anchorCtr="1"/>
        <a:lstStyle/>
        <a:p>
          <a:pPr>
            <a:defRPr sz="105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autoTitleDeleted val="0"/>
    <c:plotArea>
      <c:layout/>
      <c:barChart>
        <c:barDir val="col"/>
        <c:grouping val="stacked"/>
        <c:varyColors val="0"/>
        <c:ser>
          <c:idx val="0"/>
          <c:order val="0"/>
          <c:tx>
            <c:strRef>
              <c:f>Sheet2!$B$1</c:f>
              <c:strCache>
                <c:ptCount val="1"/>
                <c:pt idx="0">
                  <c:v>Allégations infondées</c:v>
                </c:pt>
              </c:strCache>
            </c:strRef>
          </c:tx>
          <c:spPr>
            <a:solidFill>
              <a:srgbClr val="2569AD"/>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General</c:formatCode>
                <c:ptCount val="3"/>
                <c:pt idx="0">
                  <c:v>2023</c:v>
                </c:pt>
                <c:pt idx="1">
                  <c:v>2024</c:v>
                </c:pt>
                <c:pt idx="2">
                  <c:v>2025</c:v>
                </c:pt>
              </c:numCache>
            </c:numRef>
          </c:cat>
          <c:val>
            <c:numRef>
              <c:f>Sheet2!$B$2:$B$4</c:f>
              <c:numCache>
                <c:formatCode>General</c:formatCode>
                <c:ptCount val="3"/>
                <c:pt idx="0">
                  <c:v>9</c:v>
                </c:pt>
                <c:pt idx="1">
                  <c:v>10</c:v>
                </c:pt>
                <c:pt idx="2">
                  <c:v>2</c:v>
                </c:pt>
              </c:numCache>
            </c:numRef>
          </c:val>
          <c:extLst>
            <c:ext xmlns:c16="http://schemas.microsoft.com/office/drawing/2014/chart" uri="{C3380CC4-5D6E-409C-BE32-E72D297353CC}">
              <c16:uniqueId val="{00000000-6DE0-44E7-AC98-8C0034429969}"/>
            </c:ext>
          </c:extLst>
        </c:ser>
        <c:ser>
          <c:idx val="1"/>
          <c:order val="1"/>
          <c:tx>
            <c:strRef>
              <c:f>Sheet2!$C$1</c:f>
              <c:strCache>
                <c:ptCount val="1"/>
                <c:pt idx="0">
                  <c:v>Allégations fondées</c:v>
                </c:pt>
              </c:strCache>
            </c:strRef>
          </c:tx>
          <c:spPr>
            <a:solidFill>
              <a:srgbClr val="B3201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Sheet2!$A$2:$A$4</c:f>
              <c:numCache>
                <c:formatCode>General</c:formatCode>
                <c:ptCount val="3"/>
                <c:pt idx="0">
                  <c:v>2023</c:v>
                </c:pt>
                <c:pt idx="1">
                  <c:v>2024</c:v>
                </c:pt>
                <c:pt idx="2">
                  <c:v>2025</c:v>
                </c:pt>
              </c:numCache>
            </c:numRef>
          </c:cat>
          <c:val>
            <c:numRef>
              <c:f>Sheet2!$C$2:$C$4</c:f>
              <c:numCache>
                <c:formatCode>General</c:formatCode>
                <c:ptCount val="3"/>
                <c:pt idx="0">
                  <c:v>5</c:v>
                </c:pt>
                <c:pt idx="1">
                  <c:v>8</c:v>
                </c:pt>
                <c:pt idx="2">
                  <c:v>2</c:v>
                </c:pt>
              </c:numCache>
            </c:numRef>
          </c:val>
          <c:extLst>
            <c:ext xmlns:c16="http://schemas.microsoft.com/office/drawing/2014/chart" uri="{C3380CC4-5D6E-409C-BE32-E72D297353CC}">
              <c16:uniqueId val="{00000001-6DE0-44E7-AC98-8C0034429969}"/>
            </c:ext>
          </c:extLst>
        </c:ser>
        <c:dLbls>
          <c:dLblPos val="ctr"/>
          <c:showLegendKey val="0"/>
          <c:showVal val="1"/>
          <c:showCatName val="0"/>
          <c:showSerName val="0"/>
          <c:showPercent val="0"/>
          <c:showBubbleSize val="0"/>
        </c:dLbls>
        <c:gapWidth val="150"/>
        <c:overlap val="100"/>
        <c:axId val="1476430400"/>
        <c:axId val="1476450080"/>
      </c:barChart>
      <c:catAx>
        <c:axId val="1476430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450080"/>
        <c:crosses val="autoZero"/>
        <c:auto val="1"/>
        <c:lblAlgn val="ctr"/>
        <c:lblOffset val="100"/>
        <c:noMultiLvlLbl val="0"/>
      </c:catAx>
      <c:valAx>
        <c:axId val="14764500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6430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05" ma:contentTypeDescription="" ma:contentTypeScope="" ma:versionID="3ce0aea74c4271d7816dbeee947ef0a8">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d7209cccab537013fc5acb1fd631a8fb"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1</Value>
      <Value>7</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Diplomatic Engagement and Assemblies Affairs Division</TermName>
          <TermId xmlns="http://schemas.microsoft.com/office/infopath/2007/PartnerControls">c4a5cf71-800f-4e10-aab9-36d8b83eadc2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09 Official Meeting Documents</TermName>
          <TermId xmlns="http://schemas.microsoft.com/office/infopath/2007/PartnerControls">1c3d7eba-ea38-434e-9ba8-de39eb589212</TermId>
        </TermInfo>
      </Terms>
    </oec7080f59824b85bfab9bab42c36e68>
    <_dlc_DocId xmlns="afdacc0a-6563-489f-9b51-6fc9acac5c48">DEAADBFP-1499948599-54646</_dlc_DocId>
    <_dlc_DocIdUrl xmlns="afdacc0a-6563-489f-9b51-6fc9acac5c48">
      <Url>https://wipoprod.sharepoint.com/sites/SPS-INT-BFP-DEAAD-AsseAffa/_layouts/15/DocIdRedir.aspx?ID=DEAADBFP-1499948599-54646</Url>
      <Description>DEAADBFP-1499948599-54646</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254CED-AFD1-4F1B-A57A-0812CFF86BD6}">
  <ds:schemaRefs>
    <ds:schemaRef ds:uri="Microsoft.SharePoint.Taxonomy.ContentTypeSync"/>
  </ds:schemaRefs>
</ds:datastoreItem>
</file>

<file path=customXml/itemProps2.xml><?xml version="1.0" encoding="utf-8"?>
<ds:datastoreItem xmlns:ds="http://schemas.openxmlformats.org/officeDocument/2006/customXml" ds:itemID="{C5C23DA8-C915-4545-A20E-388FFF83CC8E}">
  <ds:schemaRefs>
    <ds:schemaRef ds:uri="http://schemas.microsoft.com/sharepoint/events"/>
  </ds:schemaRefs>
</ds:datastoreItem>
</file>

<file path=customXml/itemProps3.xml><?xml version="1.0" encoding="utf-8"?>
<ds:datastoreItem xmlns:ds="http://schemas.openxmlformats.org/officeDocument/2006/customXml" ds:itemID="{464EB169-34F0-4EA0-91A2-0BAE273B71E3}">
  <ds:schemaRefs>
    <ds:schemaRef ds:uri="http://schemas.openxmlformats.org/officeDocument/2006/bibliography"/>
  </ds:schemaRefs>
</ds:datastoreItem>
</file>

<file path=customXml/itemProps4.xml><?xml version="1.0" encoding="utf-8"?>
<ds:datastoreItem xmlns:ds="http://schemas.openxmlformats.org/officeDocument/2006/customXml" ds:itemID="{FB02DB6A-CB2E-4CC6-8F75-D407FD34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0CEC62E-D43D-4F27-AD1D-945B95F9D45A}">
  <ds:schemaRefs>
    <ds:schemaRef ds:uri="0d6abe56-55ad-41de-8124-44420a0ee71d"/>
    <ds:schemaRef ds:uri="56500874-bba0-4b48-9090-b201492e8473"/>
    <ds:schemaRef ds:uri="http://purl.org/dc/terms/"/>
    <ds:schemaRef ds:uri="http://purl.org/dc/dcmitype/"/>
    <ds:schemaRef ds:uri="http://schemas.microsoft.com/office/2006/metadata/propertie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afdacc0a-6563-489f-9b51-6fc9acac5c48"/>
    <ds:schemaRef ds:uri="http://purl.org/dc/elements/1.1/"/>
  </ds:schemaRefs>
</ds:datastoreItem>
</file>

<file path=customXml/itemProps6.xml><?xml version="1.0" encoding="utf-8"?>
<ds:datastoreItem xmlns:ds="http://schemas.openxmlformats.org/officeDocument/2006/customXml" ds:itemID="{577D08C4-528B-44C3-9672-137DB2C3BE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WO_GA_60 (F)</Template>
  <TotalTime>4</TotalTime>
  <Pages>28</Pages>
  <Words>9455</Words>
  <Characters>53898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WO/GA/60/2</vt:lpstr>
    </vt:vector>
  </TitlesOfParts>
  <Company>WIPO</Company>
  <LinksUpToDate>false</LinksUpToDate>
  <CharactersWithSpaces>63227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WO/GA/60/2</dc:title>
  <dc:subject>WO/PBC/40/4</dc:subject>
  <dc:creator>WIPO</dc:creator>
  <cp:keywords/>
  <cp:lastModifiedBy>RUBAN Annaig</cp:lastModifiedBy>
  <cp:revision>8</cp:revision>
  <cp:lastPrinted>2026-05-05T08:26:00Z</cp:lastPrinted>
  <dcterms:created xsi:type="dcterms:W3CDTF">2026-04-30T13:44:00Z</dcterms:created>
  <dcterms:modified xsi:type="dcterms:W3CDTF">2026-05-05T08:46:00Z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y fmtid="{D5CDD505-2E9C-101B-9397-08002B2CF9AE}" pid="17" name="BusinessUnit">
    <vt:lpwstr>3;#Diplomatic Engagement and Assemblies Affairs Division|c4a5cf71-800f-4e10-aab9-36d8b83eadc2</vt:lpwstr>
  </property>
  <property fmtid="{D5CDD505-2E9C-101B-9397-08002B2CF9AE}" pid="18" name="MediaServiceImageTags">
    <vt:lpwstr/>
  </property>
  <property fmtid="{D5CDD505-2E9C-101B-9397-08002B2CF9AE}" pid="19" name="RMClassification">
    <vt:lpwstr>7;#09 Official Meeting Documents|1c3d7eba-ea38-434e-9ba8-de39eb589212</vt:lpwstr>
  </property>
  <property fmtid="{D5CDD505-2E9C-101B-9397-08002B2CF9AE}" pid="20" name="Body1">
    <vt:lpwstr/>
  </property>
  <property fmtid="{D5CDD505-2E9C-101B-9397-08002B2CF9AE}" pid="21" name="Languages">
    <vt:lpwstr>1;#English|950e6fa2-2df0-4983-a604-54e57c7a6d93</vt:lpwstr>
  </property>
  <property fmtid="{D5CDD505-2E9C-101B-9397-08002B2CF9AE}" pid="22" name="lcf76f155ced4ddcb4097134ff3c332f">
    <vt:lpwstr/>
  </property>
  <property fmtid="{D5CDD505-2E9C-101B-9397-08002B2CF9AE}" pid="23" name="_dlc_DocIdItemGuid">
    <vt:lpwstr>920386dd-ec34-470d-a41c-e495030d4e3e</vt:lpwstr>
  </property>
</Properties>
</file>