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5D80F" w14:textId="77777777" w:rsidR="008B2CC1" w:rsidRPr="004D763E" w:rsidRDefault="00DB0349" w:rsidP="00DB0349">
      <w:pPr>
        <w:spacing w:after="120"/>
        <w:jc w:val="right"/>
        <w:rPr>
          <w:lang w:val="fr-FR"/>
        </w:rPr>
      </w:pPr>
      <w:r w:rsidRPr="004D763E">
        <w:rPr>
          <w:noProof/>
          <w:lang w:val="fr-FR" w:eastAsia="fr-CH"/>
        </w:rPr>
        <w:drawing>
          <wp:inline distT="0" distB="0" distL="0" distR="0" wp14:anchorId="58E837B8" wp14:editId="5FAE826E">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11">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4D763E">
        <w:rPr>
          <w:rFonts w:ascii="Arial Black" w:hAnsi="Arial Black"/>
          <w:caps/>
          <w:noProof/>
          <w:sz w:val="15"/>
          <w:szCs w:val="15"/>
          <w:lang w:val="fr-FR" w:eastAsia="fr-CH"/>
        </w:rPr>
        <mc:AlternateContent>
          <mc:Choice Requires="wps">
            <w:drawing>
              <wp:inline distT="0" distB="0" distL="0" distR="0" wp14:anchorId="44CEA814" wp14:editId="4712D33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DDFC806"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1DE74E4" w14:textId="3328B1E2" w:rsidR="008B2CC1" w:rsidRPr="004D763E" w:rsidRDefault="004F0849" w:rsidP="00DB0349">
      <w:pPr>
        <w:jc w:val="right"/>
        <w:rPr>
          <w:rFonts w:ascii="Arial Black" w:hAnsi="Arial Black"/>
          <w:caps/>
          <w:sz w:val="15"/>
          <w:szCs w:val="15"/>
          <w:lang w:val="fr-FR"/>
        </w:rPr>
      </w:pPr>
      <w:r w:rsidRPr="004D763E">
        <w:rPr>
          <w:rFonts w:ascii="Arial Black" w:hAnsi="Arial Black"/>
          <w:caps/>
          <w:sz w:val="15"/>
          <w:szCs w:val="15"/>
          <w:lang w:val="fr-FR"/>
        </w:rPr>
        <w:t>WO/GA/5</w:t>
      </w:r>
      <w:r w:rsidR="00CE625B" w:rsidRPr="004D763E">
        <w:rPr>
          <w:rFonts w:ascii="Arial Black" w:hAnsi="Arial Black"/>
          <w:caps/>
          <w:sz w:val="15"/>
          <w:szCs w:val="15"/>
          <w:lang w:val="fr-FR"/>
        </w:rPr>
        <w:t>8</w:t>
      </w:r>
      <w:r w:rsidR="008D402E" w:rsidRPr="004D763E">
        <w:rPr>
          <w:rFonts w:ascii="Arial Black" w:hAnsi="Arial Black"/>
          <w:caps/>
          <w:sz w:val="15"/>
          <w:szCs w:val="15"/>
          <w:lang w:val="fr-FR"/>
        </w:rPr>
        <w:t>/</w:t>
      </w:r>
      <w:bookmarkStart w:id="0" w:name="Code"/>
      <w:r w:rsidR="0065085D" w:rsidRPr="004D763E">
        <w:rPr>
          <w:rFonts w:ascii="Arial Black" w:hAnsi="Arial Black"/>
          <w:caps/>
          <w:sz w:val="15"/>
          <w:szCs w:val="15"/>
          <w:lang w:val="fr-FR"/>
        </w:rPr>
        <w:t>2</w:t>
      </w:r>
    </w:p>
    <w:bookmarkEnd w:id="0"/>
    <w:p w14:paraId="5E372691" w14:textId="5E5EFEC7" w:rsidR="008B2CC1" w:rsidRPr="004D763E" w:rsidRDefault="00DB0349" w:rsidP="00DB0349">
      <w:pPr>
        <w:jc w:val="right"/>
        <w:rPr>
          <w:rFonts w:ascii="Arial Black" w:hAnsi="Arial Black"/>
          <w:caps/>
          <w:sz w:val="15"/>
          <w:szCs w:val="15"/>
          <w:lang w:val="fr-FR"/>
        </w:rPr>
      </w:pPr>
      <w:r w:rsidRPr="004D763E">
        <w:rPr>
          <w:rFonts w:ascii="Arial Black" w:hAnsi="Arial Black"/>
          <w:caps/>
          <w:sz w:val="15"/>
          <w:szCs w:val="15"/>
          <w:lang w:val="fr-FR"/>
        </w:rPr>
        <w:t>Original</w:t>
      </w:r>
      <w:r w:rsidR="00155EA0" w:rsidRPr="004D763E">
        <w:rPr>
          <w:rFonts w:ascii="Arial Black" w:hAnsi="Arial Black"/>
          <w:caps/>
          <w:sz w:val="15"/>
          <w:szCs w:val="15"/>
          <w:lang w:val="fr-FR"/>
        </w:rPr>
        <w:t> :</w:t>
      </w:r>
      <w:r w:rsidRPr="004D763E">
        <w:rPr>
          <w:rFonts w:ascii="Arial Black" w:hAnsi="Arial Black"/>
          <w:caps/>
          <w:sz w:val="15"/>
          <w:szCs w:val="15"/>
          <w:lang w:val="fr-FR"/>
        </w:rPr>
        <w:t xml:space="preserve"> </w:t>
      </w:r>
      <w:bookmarkStart w:id="1" w:name="Original"/>
      <w:r w:rsidR="0065085D" w:rsidRPr="004D763E">
        <w:rPr>
          <w:rFonts w:ascii="Arial Black" w:hAnsi="Arial Black"/>
          <w:caps/>
          <w:sz w:val="15"/>
          <w:szCs w:val="15"/>
          <w:lang w:val="fr-FR"/>
        </w:rPr>
        <w:t>anglais</w:t>
      </w:r>
    </w:p>
    <w:bookmarkEnd w:id="1"/>
    <w:p w14:paraId="04CF7D6B" w14:textId="0B3B93C5" w:rsidR="008B2CC1" w:rsidRPr="004D763E" w:rsidRDefault="000E3117" w:rsidP="00DB0349">
      <w:pPr>
        <w:spacing w:after="1200"/>
        <w:jc w:val="right"/>
        <w:rPr>
          <w:rFonts w:ascii="Arial Black" w:hAnsi="Arial Black"/>
          <w:caps/>
          <w:sz w:val="15"/>
          <w:szCs w:val="15"/>
          <w:lang w:val="fr-FR"/>
        </w:rPr>
      </w:pPr>
      <w:r w:rsidRPr="004D763E">
        <w:rPr>
          <w:rFonts w:ascii="Arial Black" w:hAnsi="Arial Black"/>
          <w:caps/>
          <w:sz w:val="15"/>
          <w:szCs w:val="15"/>
          <w:lang w:val="fr-FR"/>
        </w:rPr>
        <w:t>DATE</w:t>
      </w:r>
      <w:r w:rsidR="00155EA0" w:rsidRPr="004D763E">
        <w:rPr>
          <w:rFonts w:ascii="Arial Black" w:hAnsi="Arial Black"/>
          <w:caps/>
          <w:sz w:val="15"/>
          <w:szCs w:val="15"/>
          <w:lang w:val="fr-FR"/>
        </w:rPr>
        <w:t> :</w:t>
      </w:r>
      <w:r w:rsidR="00DB0349" w:rsidRPr="004D763E">
        <w:rPr>
          <w:rFonts w:ascii="Arial Black" w:hAnsi="Arial Black"/>
          <w:caps/>
          <w:sz w:val="15"/>
          <w:szCs w:val="15"/>
          <w:lang w:val="fr-FR"/>
        </w:rPr>
        <w:t xml:space="preserve"> </w:t>
      </w:r>
      <w:bookmarkStart w:id="2" w:name="Date"/>
      <w:r w:rsidR="008A09FB" w:rsidRPr="004D763E">
        <w:rPr>
          <w:rFonts w:ascii="Arial Black" w:hAnsi="Arial Black"/>
          <w:caps/>
          <w:sz w:val="15"/>
          <w:szCs w:val="15"/>
          <w:lang w:val="fr-FR"/>
        </w:rPr>
        <w:t>27</w:t>
      </w:r>
      <w:r w:rsidR="0065085D" w:rsidRPr="004D763E">
        <w:rPr>
          <w:rFonts w:ascii="Arial Black" w:hAnsi="Arial Black"/>
          <w:caps/>
          <w:sz w:val="15"/>
          <w:szCs w:val="15"/>
          <w:lang w:val="fr-FR"/>
        </w:rPr>
        <w:t> mai 2025</w:t>
      </w:r>
    </w:p>
    <w:bookmarkEnd w:id="2"/>
    <w:p w14:paraId="270B2533" w14:textId="648F1439" w:rsidR="00C40E15" w:rsidRPr="004D763E" w:rsidRDefault="008D402E" w:rsidP="00DB0349">
      <w:pPr>
        <w:spacing w:after="600"/>
        <w:rPr>
          <w:b/>
          <w:sz w:val="28"/>
          <w:szCs w:val="28"/>
          <w:lang w:val="fr-FR"/>
        </w:rPr>
      </w:pPr>
      <w:r w:rsidRPr="004D763E">
        <w:rPr>
          <w:b/>
          <w:sz w:val="28"/>
          <w:szCs w:val="28"/>
          <w:lang w:val="fr-FR"/>
        </w:rPr>
        <w:t>Assemblée générale de l</w:t>
      </w:r>
      <w:r w:rsidR="00155EA0" w:rsidRPr="004D763E">
        <w:rPr>
          <w:b/>
          <w:sz w:val="28"/>
          <w:szCs w:val="28"/>
          <w:lang w:val="fr-FR"/>
        </w:rPr>
        <w:t>’</w:t>
      </w:r>
      <w:r w:rsidRPr="004D763E">
        <w:rPr>
          <w:b/>
          <w:sz w:val="28"/>
          <w:szCs w:val="28"/>
          <w:lang w:val="fr-FR"/>
        </w:rPr>
        <w:t>OMPI</w:t>
      </w:r>
    </w:p>
    <w:p w14:paraId="719ED943" w14:textId="1D2961D7" w:rsidR="008B2CC1" w:rsidRPr="004D763E" w:rsidRDefault="004A576F" w:rsidP="008B2CC1">
      <w:pPr>
        <w:rPr>
          <w:b/>
          <w:sz w:val="24"/>
          <w:szCs w:val="24"/>
          <w:lang w:val="fr-FR"/>
        </w:rPr>
      </w:pPr>
      <w:r w:rsidRPr="004D763E">
        <w:rPr>
          <w:b/>
          <w:sz w:val="24"/>
          <w:szCs w:val="24"/>
          <w:lang w:val="fr-FR"/>
        </w:rPr>
        <w:t>Cinquante</w:t>
      </w:r>
      <w:r w:rsidR="004D763E">
        <w:rPr>
          <w:b/>
          <w:sz w:val="24"/>
          <w:szCs w:val="24"/>
          <w:lang w:val="fr-FR"/>
        </w:rPr>
        <w:noBreakHyphen/>
      </w:r>
      <w:r w:rsidR="00CE625B" w:rsidRPr="004D763E">
        <w:rPr>
          <w:b/>
          <w:sz w:val="24"/>
          <w:szCs w:val="24"/>
          <w:lang w:val="fr-FR"/>
        </w:rPr>
        <w:t>huit</w:t>
      </w:r>
      <w:r w:rsidR="00155EA0" w:rsidRPr="004D763E">
        <w:rPr>
          <w:b/>
          <w:sz w:val="24"/>
          <w:szCs w:val="24"/>
          <w:lang w:val="fr-FR"/>
        </w:rPr>
        <w:t>ième session</w:t>
      </w:r>
      <w:r w:rsidRPr="004D763E">
        <w:rPr>
          <w:b/>
          <w:sz w:val="24"/>
          <w:szCs w:val="24"/>
          <w:lang w:val="fr-FR"/>
        </w:rPr>
        <w:t xml:space="preserve"> (</w:t>
      </w:r>
      <w:r w:rsidR="00CE625B" w:rsidRPr="004D763E">
        <w:rPr>
          <w:b/>
          <w:sz w:val="24"/>
          <w:szCs w:val="24"/>
          <w:lang w:val="fr-FR"/>
        </w:rPr>
        <w:t>27</w:t>
      </w:r>
      <w:r w:rsidRPr="004D763E">
        <w:rPr>
          <w:b/>
          <w:sz w:val="24"/>
          <w:szCs w:val="24"/>
          <w:vertAlign w:val="superscript"/>
          <w:lang w:val="fr-FR"/>
        </w:rPr>
        <w:t>e</w:t>
      </w:r>
      <w:r w:rsidR="00BB348A" w:rsidRPr="004D763E">
        <w:rPr>
          <w:b/>
          <w:sz w:val="24"/>
          <w:szCs w:val="24"/>
          <w:lang w:val="fr-FR"/>
        </w:rPr>
        <w:t> </w:t>
      </w:r>
      <w:r w:rsidRPr="004D763E">
        <w:rPr>
          <w:b/>
          <w:sz w:val="24"/>
          <w:szCs w:val="24"/>
          <w:lang w:val="fr-FR"/>
        </w:rPr>
        <w:t>session ordinaire</w:t>
      </w:r>
      <w:r w:rsidR="008D402E" w:rsidRPr="004D763E">
        <w:rPr>
          <w:b/>
          <w:sz w:val="24"/>
          <w:szCs w:val="24"/>
          <w:lang w:val="fr-FR"/>
        </w:rPr>
        <w:t>)</w:t>
      </w:r>
    </w:p>
    <w:p w14:paraId="7601C0F8" w14:textId="5D9DE4BE" w:rsidR="008B2CC1" w:rsidRPr="004D763E" w:rsidRDefault="008D402E" w:rsidP="00DB0349">
      <w:pPr>
        <w:spacing w:after="720"/>
        <w:rPr>
          <w:b/>
          <w:sz w:val="24"/>
          <w:szCs w:val="24"/>
          <w:lang w:val="fr-FR"/>
        </w:rPr>
      </w:pPr>
      <w:r w:rsidRPr="004D763E">
        <w:rPr>
          <w:b/>
          <w:sz w:val="24"/>
          <w:szCs w:val="24"/>
          <w:lang w:val="fr-FR"/>
        </w:rPr>
        <w:t xml:space="preserve">Genève, </w:t>
      </w:r>
      <w:r w:rsidR="00CE625B" w:rsidRPr="004D763E">
        <w:rPr>
          <w:b/>
          <w:sz w:val="24"/>
          <w:szCs w:val="24"/>
          <w:lang w:val="fr-FR"/>
        </w:rPr>
        <w:t>8</w:t>
      </w:r>
      <w:r w:rsidR="004A576F" w:rsidRPr="004D763E">
        <w:rPr>
          <w:b/>
          <w:sz w:val="24"/>
          <w:szCs w:val="24"/>
          <w:lang w:val="fr-FR"/>
        </w:rPr>
        <w:t xml:space="preserve"> – 1</w:t>
      </w:r>
      <w:r w:rsidR="00B0451C" w:rsidRPr="004D763E">
        <w:rPr>
          <w:b/>
          <w:sz w:val="24"/>
          <w:szCs w:val="24"/>
          <w:lang w:val="fr-FR"/>
        </w:rPr>
        <w:t>7 juillet 20</w:t>
      </w:r>
      <w:r w:rsidR="004A576F" w:rsidRPr="004D763E">
        <w:rPr>
          <w:b/>
          <w:sz w:val="24"/>
          <w:szCs w:val="24"/>
          <w:lang w:val="fr-FR"/>
        </w:rPr>
        <w:t>2</w:t>
      </w:r>
      <w:r w:rsidR="00CE625B" w:rsidRPr="004D763E">
        <w:rPr>
          <w:b/>
          <w:sz w:val="24"/>
          <w:szCs w:val="24"/>
          <w:lang w:val="fr-FR"/>
        </w:rPr>
        <w:t>5</w:t>
      </w:r>
    </w:p>
    <w:p w14:paraId="04789407" w14:textId="588100CB" w:rsidR="0065085D" w:rsidRPr="004D763E" w:rsidRDefault="0065085D" w:rsidP="0065085D">
      <w:pPr>
        <w:spacing w:after="360"/>
        <w:rPr>
          <w:caps/>
          <w:sz w:val="24"/>
          <w:lang w:val="fr-FR"/>
        </w:rPr>
      </w:pPr>
      <w:bookmarkStart w:id="3" w:name="TitleOfDoc"/>
      <w:r w:rsidRPr="004D763E">
        <w:rPr>
          <w:caps/>
          <w:sz w:val="24"/>
          <w:lang w:val="fr-FR"/>
        </w:rPr>
        <w:t>RAPPORT DE L</w:t>
      </w:r>
      <w:r w:rsidR="00155EA0" w:rsidRPr="004D763E">
        <w:rPr>
          <w:caps/>
          <w:sz w:val="24"/>
          <w:lang w:val="fr-FR"/>
        </w:rPr>
        <w:t>’</w:t>
      </w:r>
      <w:r w:rsidRPr="004D763E">
        <w:rPr>
          <w:caps/>
          <w:sz w:val="24"/>
          <w:lang w:val="fr-FR"/>
        </w:rPr>
        <w:t>ORGANE CONSULTATIF INDÉPENDANT DE SURVEILLANCE (OCIS) DE L</w:t>
      </w:r>
      <w:r w:rsidR="00155EA0" w:rsidRPr="004D763E">
        <w:rPr>
          <w:caps/>
          <w:sz w:val="24"/>
          <w:lang w:val="fr-FR"/>
        </w:rPr>
        <w:t>’</w:t>
      </w:r>
      <w:r w:rsidRPr="004D763E">
        <w:rPr>
          <w:caps/>
          <w:sz w:val="24"/>
          <w:lang w:val="fr-FR"/>
        </w:rPr>
        <w:t>OMPI</w:t>
      </w:r>
    </w:p>
    <w:p w14:paraId="20D37C9A" w14:textId="725CF9DA" w:rsidR="0065085D" w:rsidRPr="004D763E" w:rsidRDefault="0065085D" w:rsidP="0065085D">
      <w:pPr>
        <w:spacing w:after="960"/>
        <w:rPr>
          <w:i/>
          <w:lang w:val="fr-FR"/>
        </w:rPr>
      </w:pPr>
      <w:bookmarkStart w:id="4" w:name="Prepared"/>
      <w:bookmarkEnd w:id="3"/>
      <w:proofErr w:type="gramStart"/>
      <w:r w:rsidRPr="004D763E">
        <w:rPr>
          <w:i/>
          <w:lang w:val="fr-FR"/>
        </w:rPr>
        <w:t>établi</w:t>
      </w:r>
      <w:proofErr w:type="gramEnd"/>
      <w:r w:rsidRPr="004D763E">
        <w:rPr>
          <w:i/>
          <w:lang w:val="fr-FR"/>
        </w:rPr>
        <w:t xml:space="preserve"> par l</w:t>
      </w:r>
      <w:r w:rsidR="00155EA0" w:rsidRPr="004D763E">
        <w:rPr>
          <w:i/>
          <w:lang w:val="fr-FR"/>
        </w:rPr>
        <w:t>’</w:t>
      </w:r>
      <w:r w:rsidRPr="004D763E">
        <w:rPr>
          <w:i/>
          <w:lang w:val="fr-FR"/>
        </w:rPr>
        <w:t>Organe consultatif indépendant de surveillance (OCIS) de l</w:t>
      </w:r>
      <w:r w:rsidR="00155EA0" w:rsidRPr="004D763E">
        <w:rPr>
          <w:i/>
          <w:lang w:val="fr-FR"/>
        </w:rPr>
        <w:t>’</w:t>
      </w:r>
      <w:r w:rsidRPr="004D763E">
        <w:rPr>
          <w:i/>
          <w:lang w:val="fr-FR"/>
        </w:rPr>
        <w:t>OMPI</w:t>
      </w:r>
    </w:p>
    <w:bookmarkEnd w:id="4"/>
    <w:p w14:paraId="6C5FF24A" w14:textId="7A5900CB" w:rsidR="0065085D" w:rsidRPr="004D763E" w:rsidRDefault="0065085D" w:rsidP="00BB348A">
      <w:pPr>
        <w:pStyle w:val="ONUMFS"/>
        <w:rPr>
          <w:lang w:val="fr-FR"/>
        </w:rPr>
      </w:pPr>
      <w:r w:rsidRPr="004D763E">
        <w:rPr>
          <w:color w:val="000000"/>
          <w:lang w:val="fr-FR"/>
        </w:rPr>
        <w:t xml:space="preserve">Le présent document contient le </w:t>
      </w:r>
      <w:r w:rsidRPr="004D763E">
        <w:rPr>
          <w:lang w:val="fr-FR"/>
        </w:rPr>
        <w:t>“Rapport de l</w:t>
      </w:r>
      <w:r w:rsidR="00155EA0" w:rsidRPr="004D763E">
        <w:rPr>
          <w:lang w:val="fr-FR"/>
        </w:rPr>
        <w:t>’</w:t>
      </w:r>
      <w:r w:rsidRPr="004D763E">
        <w:rPr>
          <w:lang w:val="fr-FR"/>
        </w:rPr>
        <w:t>Organe consultatif indépendant de surveillance (OCIS) de l</w:t>
      </w:r>
      <w:r w:rsidR="00155EA0" w:rsidRPr="004D763E">
        <w:rPr>
          <w:lang w:val="fr-FR"/>
        </w:rPr>
        <w:t>’</w:t>
      </w:r>
      <w:r w:rsidRPr="004D763E">
        <w:rPr>
          <w:lang w:val="fr-FR"/>
        </w:rPr>
        <w:t>OMPI” (</w:t>
      </w:r>
      <w:r w:rsidR="00155EA0" w:rsidRPr="004D763E">
        <w:rPr>
          <w:lang w:val="fr-FR"/>
        </w:rPr>
        <w:t>document WO</w:t>
      </w:r>
      <w:r w:rsidRPr="004D763E">
        <w:rPr>
          <w:lang w:val="fr-FR"/>
        </w:rPr>
        <w:t>/PBC/39/2), soumis au Comité du programme et budget de l</w:t>
      </w:r>
      <w:r w:rsidR="00155EA0" w:rsidRPr="004D763E">
        <w:rPr>
          <w:lang w:val="fr-FR"/>
        </w:rPr>
        <w:t>’</w:t>
      </w:r>
      <w:r w:rsidRPr="004D763E">
        <w:rPr>
          <w:lang w:val="fr-FR"/>
        </w:rPr>
        <w:t>OMPI (PBC) pour examen à sa trente</w:t>
      </w:r>
      <w:r w:rsidR="004D763E">
        <w:rPr>
          <w:lang w:val="fr-FR"/>
        </w:rPr>
        <w:noBreakHyphen/>
      </w:r>
      <w:r w:rsidRPr="004D763E">
        <w:rPr>
          <w:lang w:val="fr-FR"/>
        </w:rPr>
        <w:t>neuv</w:t>
      </w:r>
      <w:r w:rsidR="00155EA0" w:rsidRPr="004D763E">
        <w:rPr>
          <w:lang w:val="fr-FR"/>
        </w:rPr>
        <w:t>ième session</w:t>
      </w:r>
      <w:r w:rsidRPr="004D763E">
        <w:rPr>
          <w:lang w:val="fr-FR"/>
        </w:rPr>
        <w:t xml:space="preserve"> (16</w:t>
      </w:r>
      <w:r w:rsidR="00B0451C" w:rsidRPr="004D763E">
        <w:rPr>
          <w:lang w:val="fr-FR"/>
        </w:rPr>
        <w:t xml:space="preserve"> – </w:t>
      </w:r>
      <w:r w:rsidRPr="004D763E">
        <w:rPr>
          <w:lang w:val="fr-FR"/>
        </w:rPr>
        <w:t>20 juin 2025).</w:t>
      </w:r>
    </w:p>
    <w:p w14:paraId="37DEF2A0" w14:textId="74A893DD" w:rsidR="0065085D" w:rsidRPr="004D763E" w:rsidRDefault="0065085D" w:rsidP="00BB348A">
      <w:pPr>
        <w:pStyle w:val="ONUMFS"/>
        <w:rPr>
          <w:lang w:val="fr-FR"/>
        </w:rPr>
      </w:pPr>
      <w:r w:rsidRPr="004D763E">
        <w:rPr>
          <w:lang w:val="fr-FR"/>
        </w:rPr>
        <w:t>Toute décision du PBC concernant ce document figurera dans la “Liste des décisions adoptées par le Comité du programme et budget” (document A/6</w:t>
      </w:r>
      <w:r w:rsidR="008A09FB" w:rsidRPr="004D763E">
        <w:rPr>
          <w:lang w:val="fr-FR"/>
        </w:rPr>
        <w:t>6</w:t>
      </w:r>
      <w:r w:rsidRPr="004D763E">
        <w:rPr>
          <w:lang w:val="fr-FR"/>
        </w:rPr>
        <w:t>/7).</w:t>
      </w:r>
    </w:p>
    <w:p w14:paraId="7387CDD3" w14:textId="2B5289F5" w:rsidR="0065085D" w:rsidRPr="004D763E" w:rsidRDefault="0065085D" w:rsidP="00BB348A">
      <w:pPr>
        <w:pStyle w:val="Endofdocument-Annex"/>
      </w:pPr>
      <w:r w:rsidRPr="004D763E">
        <w:t xml:space="preserve">[Le </w:t>
      </w:r>
      <w:r w:rsidR="00155EA0" w:rsidRPr="004D763E">
        <w:t>document WO</w:t>
      </w:r>
      <w:r w:rsidRPr="004D763E">
        <w:t>/PBC/39/2 suit]</w:t>
      </w:r>
    </w:p>
    <w:p w14:paraId="3BF00DAA" w14:textId="77777777" w:rsidR="0065085D" w:rsidRPr="004D763E" w:rsidRDefault="0065085D" w:rsidP="00BB348A">
      <w:pPr>
        <w:spacing w:line="259" w:lineRule="auto"/>
        <w:rPr>
          <w:color w:val="000000" w:themeColor="text1"/>
          <w:szCs w:val="22"/>
          <w:lang w:val="fr-FR"/>
        </w:rPr>
      </w:pPr>
      <w:r w:rsidRPr="004D763E">
        <w:rPr>
          <w:szCs w:val="22"/>
          <w:lang w:val="fr-FR"/>
        </w:rPr>
        <w:br w:type="page"/>
      </w:r>
    </w:p>
    <w:p w14:paraId="0EA7247C" w14:textId="77777777" w:rsidR="00BB348A" w:rsidRPr="004D763E" w:rsidRDefault="00BB348A" w:rsidP="00BB348A">
      <w:pPr>
        <w:spacing w:after="120"/>
        <w:jc w:val="right"/>
        <w:rPr>
          <w:lang w:val="fr-FR"/>
        </w:rPr>
      </w:pPr>
      <w:r w:rsidRPr="004D763E">
        <w:rPr>
          <w:noProof/>
          <w:lang w:val="fr-FR" w:eastAsia="en-US"/>
        </w:rPr>
        <w:lastRenderedPageBreak/>
        <w:drawing>
          <wp:inline distT="0" distB="0" distL="0" distR="0" wp14:anchorId="64B7994F" wp14:editId="7281689A">
            <wp:extent cx="2948267" cy="1332000"/>
            <wp:effectExtent l="0" t="0" r="5080" b="1905"/>
            <wp:docPr id="526604109" name="Picture 526604109"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11">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4D763E">
        <w:rPr>
          <w:rFonts w:ascii="Arial Black" w:hAnsi="Arial Black"/>
          <w:caps/>
          <w:noProof/>
          <w:sz w:val="15"/>
          <w:szCs w:val="15"/>
          <w:lang w:val="fr-FR" w:eastAsia="en-US"/>
        </w:rPr>
        <mc:AlternateContent>
          <mc:Choice Requires="wps">
            <w:drawing>
              <wp:inline distT="0" distB="0" distL="0" distR="0" wp14:anchorId="6996D447" wp14:editId="5A5A9D34">
                <wp:extent cx="5935980" cy="0"/>
                <wp:effectExtent l="0" t="0" r="26670" b="19050"/>
                <wp:docPr id="1259697521" name="Straight Connector 1259697521"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74E616E" id="Straight Connector 1259697521"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D2F5F5F" w14:textId="23C972DB" w:rsidR="00BB348A" w:rsidRPr="004D763E" w:rsidRDefault="00BB348A" w:rsidP="00BB348A">
      <w:pPr>
        <w:jc w:val="right"/>
        <w:rPr>
          <w:rFonts w:ascii="Arial Black" w:hAnsi="Arial Black"/>
          <w:caps/>
          <w:sz w:val="15"/>
          <w:szCs w:val="15"/>
          <w:lang w:val="fr-FR"/>
        </w:rPr>
      </w:pPr>
      <w:r w:rsidRPr="004D763E">
        <w:rPr>
          <w:rFonts w:ascii="Arial Black" w:hAnsi="Arial Black"/>
          <w:caps/>
          <w:sz w:val="15"/>
          <w:szCs w:val="15"/>
          <w:lang w:val="fr-FR"/>
        </w:rPr>
        <w:t>WO/PBC/39/2</w:t>
      </w:r>
    </w:p>
    <w:p w14:paraId="5D6A8D70" w14:textId="36DB26AC" w:rsidR="00BB348A" w:rsidRPr="004D763E" w:rsidRDefault="00BB348A" w:rsidP="00BB348A">
      <w:pPr>
        <w:jc w:val="right"/>
        <w:rPr>
          <w:rFonts w:ascii="Arial Black" w:hAnsi="Arial Black"/>
          <w:caps/>
          <w:sz w:val="15"/>
          <w:szCs w:val="15"/>
          <w:lang w:val="fr-FR"/>
        </w:rPr>
      </w:pPr>
      <w:r w:rsidRPr="004D763E">
        <w:rPr>
          <w:rFonts w:ascii="Arial Black" w:hAnsi="Arial Black"/>
          <w:caps/>
          <w:sz w:val="15"/>
          <w:szCs w:val="15"/>
          <w:lang w:val="fr-FR"/>
        </w:rPr>
        <w:t>ORIGINAL</w:t>
      </w:r>
      <w:r w:rsidR="00155EA0" w:rsidRPr="004D763E">
        <w:rPr>
          <w:rFonts w:ascii="Arial Black" w:hAnsi="Arial Black"/>
          <w:caps/>
          <w:sz w:val="15"/>
          <w:szCs w:val="15"/>
          <w:lang w:val="fr-FR"/>
        </w:rPr>
        <w:t> :</w:t>
      </w:r>
      <w:r w:rsidRPr="004D763E">
        <w:rPr>
          <w:rFonts w:ascii="Arial Black" w:hAnsi="Arial Black"/>
          <w:caps/>
          <w:sz w:val="15"/>
          <w:szCs w:val="15"/>
          <w:lang w:val="fr-FR"/>
        </w:rPr>
        <w:t xml:space="preserve"> anglais</w:t>
      </w:r>
    </w:p>
    <w:p w14:paraId="5BC0D7EE" w14:textId="67D59C4B" w:rsidR="00BB348A" w:rsidRPr="004D763E" w:rsidRDefault="00BB348A" w:rsidP="00BB348A">
      <w:pPr>
        <w:spacing w:after="1200"/>
        <w:jc w:val="right"/>
        <w:rPr>
          <w:rFonts w:ascii="Arial Black" w:hAnsi="Arial Black"/>
          <w:caps/>
          <w:sz w:val="15"/>
          <w:szCs w:val="15"/>
          <w:lang w:val="fr-FR"/>
        </w:rPr>
      </w:pPr>
      <w:r w:rsidRPr="001527DD">
        <w:rPr>
          <w:rFonts w:ascii="Arial Black" w:hAnsi="Arial Black"/>
          <w:caps/>
          <w:sz w:val="15"/>
          <w:szCs w:val="15"/>
          <w:lang w:val="fr-FR"/>
        </w:rPr>
        <w:t>DATE</w:t>
      </w:r>
      <w:r w:rsidR="00155EA0" w:rsidRPr="001527DD">
        <w:rPr>
          <w:rFonts w:ascii="Arial Black" w:hAnsi="Arial Black"/>
          <w:caps/>
          <w:sz w:val="15"/>
          <w:szCs w:val="15"/>
          <w:lang w:val="fr-FR"/>
        </w:rPr>
        <w:t> :</w:t>
      </w:r>
      <w:r w:rsidRPr="001527DD">
        <w:rPr>
          <w:rFonts w:ascii="Arial Black" w:hAnsi="Arial Black"/>
          <w:caps/>
          <w:sz w:val="15"/>
          <w:szCs w:val="15"/>
          <w:lang w:val="fr-FR"/>
        </w:rPr>
        <w:t xml:space="preserve"> </w:t>
      </w:r>
      <w:r w:rsidR="008A09FB" w:rsidRPr="001527DD">
        <w:rPr>
          <w:rFonts w:ascii="Arial Black" w:hAnsi="Arial Black"/>
          <w:caps/>
          <w:sz w:val="15"/>
          <w:szCs w:val="15"/>
          <w:lang w:val="fr-FR"/>
        </w:rPr>
        <w:t>27</w:t>
      </w:r>
      <w:r w:rsidRPr="001527DD">
        <w:rPr>
          <w:rFonts w:ascii="Arial Black" w:hAnsi="Arial Black"/>
          <w:caps/>
          <w:sz w:val="15"/>
          <w:szCs w:val="15"/>
          <w:lang w:val="fr-FR"/>
        </w:rPr>
        <w:t> </w:t>
      </w:r>
      <w:r w:rsidRPr="004D763E">
        <w:rPr>
          <w:rFonts w:ascii="Arial Black" w:hAnsi="Arial Black"/>
          <w:caps/>
          <w:sz w:val="15"/>
          <w:szCs w:val="15"/>
          <w:lang w:val="fr-FR"/>
        </w:rPr>
        <w:t>mai 2025</w:t>
      </w:r>
    </w:p>
    <w:p w14:paraId="1028A1ED" w14:textId="77777777" w:rsidR="00BB348A" w:rsidRPr="004D763E" w:rsidRDefault="00BB348A" w:rsidP="00BB348A">
      <w:pPr>
        <w:spacing w:after="600"/>
        <w:rPr>
          <w:b/>
          <w:sz w:val="28"/>
          <w:szCs w:val="28"/>
          <w:lang w:val="fr-FR"/>
        </w:rPr>
      </w:pPr>
      <w:r w:rsidRPr="004D763E">
        <w:rPr>
          <w:b/>
          <w:sz w:val="28"/>
          <w:szCs w:val="28"/>
          <w:lang w:val="fr-FR"/>
        </w:rPr>
        <w:t>Comité du programme et budget</w:t>
      </w:r>
    </w:p>
    <w:p w14:paraId="01D8BA1F" w14:textId="2E757526" w:rsidR="00BB348A" w:rsidRPr="004D763E" w:rsidRDefault="00BB348A" w:rsidP="00BB348A">
      <w:pPr>
        <w:rPr>
          <w:b/>
          <w:sz w:val="24"/>
          <w:szCs w:val="24"/>
          <w:lang w:val="fr-FR"/>
        </w:rPr>
      </w:pPr>
      <w:r w:rsidRPr="004D763E">
        <w:rPr>
          <w:b/>
          <w:sz w:val="24"/>
          <w:szCs w:val="24"/>
          <w:lang w:val="fr-FR"/>
        </w:rPr>
        <w:t>Trente</w:t>
      </w:r>
      <w:r w:rsidR="004D763E">
        <w:rPr>
          <w:b/>
          <w:sz w:val="24"/>
          <w:szCs w:val="24"/>
          <w:lang w:val="fr-FR"/>
        </w:rPr>
        <w:noBreakHyphen/>
      </w:r>
      <w:r w:rsidRPr="004D763E">
        <w:rPr>
          <w:b/>
          <w:sz w:val="24"/>
          <w:szCs w:val="24"/>
          <w:lang w:val="fr-FR"/>
        </w:rPr>
        <w:t>neuv</w:t>
      </w:r>
      <w:r w:rsidR="00155EA0" w:rsidRPr="004D763E">
        <w:rPr>
          <w:b/>
          <w:sz w:val="24"/>
          <w:szCs w:val="24"/>
          <w:lang w:val="fr-FR"/>
        </w:rPr>
        <w:t>ième session</w:t>
      </w:r>
    </w:p>
    <w:p w14:paraId="7268F380" w14:textId="77777777" w:rsidR="00BB348A" w:rsidRPr="004D763E" w:rsidRDefault="00BB348A" w:rsidP="00BB348A">
      <w:pPr>
        <w:spacing w:after="720"/>
        <w:rPr>
          <w:lang w:val="fr-FR"/>
        </w:rPr>
      </w:pPr>
      <w:r w:rsidRPr="004D763E">
        <w:rPr>
          <w:b/>
          <w:sz w:val="24"/>
          <w:szCs w:val="24"/>
          <w:lang w:val="fr-FR"/>
        </w:rPr>
        <w:t>Genève, 16 – 20 juin 2025</w:t>
      </w:r>
    </w:p>
    <w:p w14:paraId="50E56BDB" w14:textId="348B3773" w:rsidR="0065085D" w:rsidRPr="004D763E" w:rsidRDefault="00BB348A" w:rsidP="00BB348A">
      <w:pPr>
        <w:spacing w:after="360"/>
        <w:rPr>
          <w:caps/>
          <w:sz w:val="24"/>
          <w:lang w:val="fr-FR"/>
        </w:rPr>
      </w:pPr>
      <w:r w:rsidRPr="004D763E">
        <w:rPr>
          <w:caps/>
          <w:sz w:val="24"/>
          <w:lang w:val="fr-FR"/>
        </w:rPr>
        <w:t>Rapport de l</w:t>
      </w:r>
      <w:r w:rsidR="00155EA0" w:rsidRPr="004D763E">
        <w:rPr>
          <w:caps/>
          <w:sz w:val="24"/>
          <w:lang w:val="fr-FR"/>
        </w:rPr>
        <w:t>’</w:t>
      </w:r>
      <w:r w:rsidRPr="004D763E">
        <w:rPr>
          <w:caps/>
          <w:sz w:val="24"/>
          <w:lang w:val="fr-FR"/>
        </w:rPr>
        <w:t>Organe consultatif indépendant de surveillance (OCIS) de l</w:t>
      </w:r>
      <w:r w:rsidR="00155EA0" w:rsidRPr="004D763E">
        <w:rPr>
          <w:caps/>
          <w:sz w:val="24"/>
          <w:lang w:val="fr-FR"/>
        </w:rPr>
        <w:t>’</w:t>
      </w:r>
      <w:r w:rsidRPr="004D763E">
        <w:rPr>
          <w:caps/>
          <w:sz w:val="24"/>
          <w:lang w:val="fr-FR"/>
        </w:rPr>
        <w:t>OMPI</w:t>
      </w:r>
    </w:p>
    <w:p w14:paraId="7A43C796" w14:textId="136321B2" w:rsidR="0065085D" w:rsidRPr="004D763E" w:rsidRDefault="0065085D" w:rsidP="00BB348A">
      <w:pPr>
        <w:spacing w:after="960"/>
        <w:rPr>
          <w:color w:val="000000" w:themeColor="text1"/>
          <w:lang w:val="fr-FR"/>
        </w:rPr>
      </w:pPr>
      <w:proofErr w:type="gramStart"/>
      <w:r w:rsidRPr="004D763E">
        <w:rPr>
          <w:i/>
          <w:color w:val="000000" w:themeColor="text1"/>
          <w:lang w:val="fr-FR"/>
        </w:rPr>
        <w:t>établi</w:t>
      </w:r>
      <w:proofErr w:type="gramEnd"/>
      <w:r w:rsidRPr="004D763E">
        <w:rPr>
          <w:i/>
          <w:color w:val="000000" w:themeColor="text1"/>
          <w:lang w:val="fr-FR"/>
        </w:rPr>
        <w:t xml:space="preserve"> par l</w:t>
      </w:r>
      <w:r w:rsidR="00155EA0" w:rsidRPr="004D763E">
        <w:rPr>
          <w:i/>
          <w:color w:val="000000" w:themeColor="text1"/>
          <w:lang w:val="fr-FR"/>
        </w:rPr>
        <w:t>’</w:t>
      </w:r>
      <w:r w:rsidRPr="004D763E">
        <w:rPr>
          <w:i/>
          <w:color w:val="000000" w:themeColor="text1"/>
          <w:lang w:val="fr-FR"/>
        </w:rPr>
        <w:t>Organe consultatif indépendant de surveillance (OCIS) de l</w:t>
      </w:r>
      <w:r w:rsidR="00155EA0" w:rsidRPr="004D763E">
        <w:rPr>
          <w:i/>
          <w:color w:val="000000" w:themeColor="text1"/>
          <w:lang w:val="fr-FR"/>
        </w:rPr>
        <w:t>’</w:t>
      </w:r>
      <w:r w:rsidRPr="004D763E">
        <w:rPr>
          <w:i/>
          <w:color w:val="000000" w:themeColor="text1"/>
          <w:lang w:val="fr-FR"/>
        </w:rPr>
        <w:t>OMPI</w:t>
      </w:r>
    </w:p>
    <w:p w14:paraId="51DDAF6F" w14:textId="72400A7E" w:rsidR="0065085D" w:rsidRPr="004D763E" w:rsidRDefault="0065085D" w:rsidP="00BB348A">
      <w:pPr>
        <w:pStyle w:val="ONUMFS"/>
        <w:numPr>
          <w:ilvl w:val="0"/>
          <w:numId w:val="16"/>
        </w:numPr>
        <w:rPr>
          <w:rFonts w:eastAsia="Arial"/>
          <w:lang w:val="fr-FR"/>
        </w:rPr>
      </w:pPr>
      <w:r w:rsidRPr="004D763E">
        <w:rPr>
          <w:lang w:val="fr-FR"/>
        </w:rPr>
        <w:t>Le présent document contient le Rapport de l</w:t>
      </w:r>
      <w:r w:rsidR="00155EA0" w:rsidRPr="004D763E">
        <w:rPr>
          <w:lang w:val="fr-FR"/>
        </w:rPr>
        <w:t>’</w:t>
      </w:r>
      <w:r w:rsidRPr="004D763E">
        <w:rPr>
          <w:lang w:val="fr-FR"/>
        </w:rPr>
        <w:t>Organe consultatif indépendant de surveillance (OCIS) de l</w:t>
      </w:r>
      <w:r w:rsidR="00155EA0" w:rsidRPr="004D763E">
        <w:rPr>
          <w:lang w:val="fr-FR"/>
        </w:rPr>
        <w:t>’</w:t>
      </w:r>
      <w:r w:rsidRPr="004D763E">
        <w:rPr>
          <w:lang w:val="fr-FR"/>
        </w:rPr>
        <w:t>OMPI, établi par l</w:t>
      </w:r>
      <w:r w:rsidR="00155EA0" w:rsidRPr="004D763E">
        <w:rPr>
          <w:lang w:val="fr-FR"/>
        </w:rPr>
        <w:t>’</w:t>
      </w:r>
      <w:r w:rsidRPr="004D763E">
        <w:rPr>
          <w:lang w:val="fr-FR"/>
        </w:rPr>
        <w:t>OCIS et couvrant la période allant du 23 mars 2024 au 28 mars 2025.</w:t>
      </w:r>
    </w:p>
    <w:p w14:paraId="594FBA76" w14:textId="2D5D5048" w:rsidR="0065085D" w:rsidRPr="004D763E" w:rsidRDefault="0065085D" w:rsidP="00BB348A">
      <w:pPr>
        <w:pStyle w:val="ONUMFS"/>
        <w:rPr>
          <w:rFonts w:eastAsia="Arial"/>
          <w:lang w:val="fr-FR"/>
        </w:rPr>
      </w:pPr>
      <w:r w:rsidRPr="004D763E">
        <w:rPr>
          <w:lang w:val="fr-FR"/>
        </w:rPr>
        <w:t>Le paragraphe de décision ci</w:t>
      </w:r>
      <w:r w:rsidR="004D763E">
        <w:rPr>
          <w:lang w:val="fr-FR"/>
        </w:rPr>
        <w:noBreakHyphen/>
      </w:r>
      <w:r w:rsidRPr="004D763E">
        <w:rPr>
          <w:lang w:val="fr-FR"/>
        </w:rPr>
        <w:t>après est proposé.</w:t>
      </w:r>
    </w:p>
    <w:p w14:paraId="40405914" w14:textId="2112BF90" w:rsidR="0065085D" w:rsidRPr="004D763E" w:rsidRDefault="0065085D" w:rsidP="00BB348A">
      <w:pPr>
        <w:pStyle w:val="ONUMFS"/>
        <w:ind w:left="5533"/>
        <w:rPr>
          <w:i/>
        </w:rPr>
      </w:pPr>
      <w:r w:rsidRPr="004D763E">
        <w:rPr>
          <w:i/>
        </w:rPr>
        <w:t>Le Comité du programme et budget (PBC) a recommandé à l</w:t>
      </w:r>
      <w:r w:rsidR="00155EA0" w:rsidRPr="004D763E">
        <w:rPr>
          <w:i/>
        </w:rPr>
        <w:t>’</w:t>
      </w:r>
      <w:r w:rsidRPr="004D763E">
        <w:rPr>
          <w:i/>
        </w:rPr>
        <w:t>Assemblée générale de l</w:t>
      </w:r>
      <w:r w:rsidR="00155EA0" w:rsidRPr="004D763E">
        <w:rPr>
          <w:i/>
        </w:rPr>
        <w:t>’</w:t>
      </w:r>
      <w:r w:rsidRPr="004D763E">
        <w:rPr>
          <w:i/>
        </w:rPr>
        <w:t>OMPI de prendre note du “Rapport de l</w:t>
      </w:r>
      <w:r w:rsidR="00155EA0" w:rsidRPr="004D763E">
        <w:rPr>
          <w:i/>
        </w:rPr>
        <w:t>’</w:t>
      </w:r>
      <w:r w:rsidRPr="004D763E">
        <w:rPr>
          <w:i/>
        </w:rPr>
        <w:t>Organe consultatif indépendant de surveillance (OCIS) de l</w:t>
      </w:r>
      <w:r w:rsidR="00155EA0" w:rsidRPr="004D763E">
        <w:rPr>
          <w:i/>
        </w:rPr>
        <w:t>’</w:t>
      </w:r>
      <w:r w:rsidRPr="004D763E">
        <w:rPr>
          <w:i/>
        </w:rPr>
        <w:t>OMPI” (</w:t>
      </w:r>
      <w:r w:rsidR="00155EA0" w:rsidRPr="004D763E">
        <w:rPr>
          <w:i/>
        </w:rPr>
        <w:t>document WO</w:t>
      </w:r>
      <w:r w:rsidRPr="004D763E">
        <w:rPr>
          <w:i/>
        </w:rPr>
        <w:t>/PBC/39/2).</w:t>
      </w:r>
    </w:p>
    <w:p w14:paraId="4756C047" w14:textId="7DDF5D1F" w:rsidR="0065085D" w:rsidRPr="004D763E" w:rsidRDefault="0065085D" w:rsidP="00BC6DE2">
      <w:pPr>
        <w:pStyle w:val="Endofdocument-Annex"/>
      </w:pPr>
      <w:r w:rsidRPr="004D763E">
        <w:t>[Le Rapport de l</w:t>
      </w:r>
      <w:r w:rsidR="00155EA0" w:rsidRPr="004D763E">
        <w:t>’</w:t>
      </w:r>
      <w:r w:rsidRPr="004D763E">
        <w:t>Organe</w:t>
      </w:r>
      <w:r w:rsidR="00BC6DE2" w:rsidRPr="004D763E">
        <w:t xml:space="preserve"> </w:t>
      </w:r>
      <w:r w:rsidRPr="004D763E">
        <w:t>consultatif indépendant de surveillance de l</w:t>
      </w:r>
      <w:r w:rsidR="00155EA0" w:rsidRPr="004D763E">
        <w:t>’</w:t>
      </w:r>
      <w:r w:rsidRPr="004D763E">
        <w:t>OMPI suit]</w:t>
      </w:r>
    </w:p>
    <w:p w14:paraId="661B431A" w14:textId="77777777" w:rsidR="0065085D" w:rsidRPr="004D763E" w:rsidRDefault="0065085D" w:rsidP="0065085D">
      <w:pPr>
        <w:rPr>
          <w:rFonts w:asciiTheme="minorBidi" w:hAnsiTheme="minorBidi" w:cstheme="minorBidi"/>
          <w:color w:val="000000" w:themeColor="text1"/>
          <w:lang w:val="fr-FR"/>
        </w:rPr>
        <w:sectPr w:rsidR="0065085D" w:rsidRPr="004D763E" w:rsidSect="00B0451C">
          <w:headerReference w:type="default" r:id="rId12"/>
          <w:footerReference w:type="even" r:id="rId13"/>
          <w:type w:val="nextColumn"/>
          <w:pgSz w:w="11900" w:h="16841" w:code="9"/>
          <w:pgMar w:top="567" w:right="1134" w:bottom="1418" w:left="1418" w:header="510" w:footer="1021" w:gutter="0"/>
          <w:cols w:space="720" w:equalWidth="0">
            <w:col w:w="9492"/>
          </w:cols>
          <w:titlePg/>
          <w:docGrid w:linePitch="299"/>
        </w:sectPr>
      </w:pPr>
    </w:p>
    <w:p w14:paraId="3EEA1815" w14:textId="77777777" w:rsidR="0065085D" w:rsidRPr="004D763E" w:rsidRDefault="0065085D" w:rsidP="0065085D">
      <w:pPr>
        <w:rPr>
          <w:color w:val="000000" w:themeColor="text1"/>
          <w:lang w:val="fr-FR"/>
        </w:rPr>
      </w:pPr>
      <w:bookmarkStart w:id="5" w:name="page2"/>
      <w:bookmarkEnd w:id="5"/>
    </w:p>
    <w:p w14:paraId="35AABD17" w14:textId="77777777" w:rsidR="0065085D" w:rsidRPr="004D763E" w:rsidRDefault="0065085D" w:rsidP="0065085D">
      <w:pPr>
        <w:rPr>
          <w:color w:val="000000" w:themeColor="text1"/>
          <w:lang w:val="fr-FR"/>
        </w:rPr>
      </w:pPr>
    </w:p>
    <w:p w14:paraId="7224DE90" w14:textId="77777777" w:rsidR="0065085D" w:rsidRPr="004D763E" w:rsidRDefault="0065085D" w:rsidP="0065085D">
      <w:pPr>
        <w:rPr>
          <w:color w:val="000000" w:themeColor="text1"/>
          <w:lang w:val="fr-FR"/>
        </w:rPr>
      </w:pPr>
    </w:p>
    <w:p w14:paraId="0B7B37E5" w14:textId="77777777" w:rsidR="0065085D" w:rsidRPr="004D763E" w:rsidRDefault="0065085D" w:rsidP="0065085D">
      <w:pPr>
        <w:rPr>
          <w:color w:val="000000" w:themeColor="text1"/>
          <w:lang w:val="fr-FR"/>
        </w:rPr>
      </w:pPr>
    </w:p>
    <w:p w14:paraId="111C1028" w14:textId="77777777" w:rsidR="0065085D" w:rsidRPr="004D763E" w:rsidRDefault="0065085D" w:rsidP="0065085D">
      <w:pPr>
        <w:rPr>
          <w:color w:val="000000" w:themeColor="text1"/>
          <w:lang w:val="fr-FR"/>
        </w:rPr>
      </w:pPr>
    </w:p>
    <w:p w14:paraId="7CA47856" w14:textId="77777777" w:rsidR="0065085D" w:rsidRPr="004D763E" w:rsidRDefault="0065085D" w:rsidP="0065085D">
      <w:pPr>
        <w:rPr>
          <w:color w:val="000000" w:themeColor="text1"/>
          <w:lang w:val="fr-FR"/>
        </w:rPr>
      </w:pPr>
    </w:p>
    <w:p w14:paraId="4CA98915" w14:textId="77777777" w:rsidR="0065085D" w:rsidRPr="004D763E" w:rsidRDefault="0065085D" w:rsidP="0065085D">
      <w:pPr>
        <w:rPr>
          <w:color w:val="000000" w:themeColor="text1"/>
          <w:lang w:val="fr-FR"/>
        </w:rPr>
      </w:pPr>
    </w:p>
    <w:p w14:paraId="25BB5DE3" w14:textId="58BE52F3" w:rsidR="0065085D" w:rsidRPr="004D763E" w:rsidRDefault="0065085D" w:rsidP="001527DD">
      <w:pPr>
        <w:spacing w:line="480" w:lineRule="auto"/>
        <w:jc w:val="center"/>
        <w:rPr>
          <w:color w:val="000000" w:themeColor="text1"/>
          <w:lang w:val="fr-FR"/>
        </w:rPr>
      </w:pPr>
      <w:r w:rsidRPr="004D763E">
        <w:rPr>
          <w:color w:val="000000" w:themeColor="text1"/>
          <w:lang w:val="fr-FR"/>
        </w:rPr>
        <w:t>RAPPORT ANNUEL DE</w:t>
      </w:r>
      <w:r w:rsidR="001527DD">
        <w:rPr>
          <w:color w:val="000000" w:themeColor="text1"/>
          <w:lang w:val="fr-FR"/>
        </w:rPr>
        <w:t xml:space="preserve"> </w:t>
      </w:r>
      <w:r w:rsidR="001527DD">
        <w:rPr>
          <w:color w:val="000000" w:themeColor="text1"/>
          <w:lang w:val="fr-FR"/>
        </w:rPr>
        <w:br/>
      </w:r>
      <w:r w:rsidRPr="004D763E">
        <w:rPr>
          <w:color w:val="000000" w:themeColor="text1"/>
          <w:lang w:val="fr-FR"/>
        </w:rPr>
        <w:t>L</w:t>
      </w:r>
      <w:r w:rsidR="00155EA0" w:rsidRPr="004D763E">
        <w:rPr>
          <w:color w:val="000000" w:themeColor="text1"/>
          <w:lang w:val="fr-FR"/>
        </w:rPr>
        <w:t>’</w:t>
      </w:r>
      <w:r w:rsidRPr="004D763E">
        <w:rPr>
          <w:color w:val="000000" w:themeColor="text1"/>
          <w:lang w:val="fr-FR"/>
        </w:rPr>
        <w:t>ORGANE CONSULTATIF INDÉPENDANT DE SURVEILLANCE DE L</w:t>
      </w:r>
      <w:r w:rsidR="00155EA0" w:rsidRPr="004D763E">
        <w:rPr>
          <w:color w:val="000000" w:themeColor="text1"/>
          <w:lang w:val="fr-FR"/>
        </w:rPr>
        <w:t>’</w:t>
      </w:r>
      <w:r w:rsidRPr="004D763E">
        <w:rPr>
          <w:color w:val="000000" w:themeColor="text1"/>
          <w:lang w:val="fr-FR"/>
        </w:rPr>
        <w:t>OMPI (OCIS)</w:t>
      </w:r>
      <w:r w:rsidR="001527DD">
        <w:rPr>
          <w:color w:val="000000" w:themeColor="text1"/>
          <w:lang w:val="fr-FR"/>
        </w:rPr>
        <w:br/>
      </w:r>
      <w:r w:rsidRPr="004D763E">
        <w:rPr>
          <w:color w:val="000000" w:themeColor="text1"/>
          <w:lang w:val="fr-FR"/>
        </w:rPr>
        <w:t>POUR LA PÉRIODE DU 23 MARS 2024 AU 28 MARS 2025</w:t>
      </w:r>
    </w:p>
    <w:p w14:paraId="1D7DDFDE" w14:textId="6E355C3D" w:rsidR="00BC6DE2" w:rsidRPr="004D763E" w:rsidRDefault="0065085D" w:rsidP="001527DD">
      <w:pPr>
        <w:spacing w:before="480"/>
        <w:jc w:val="center"/>
        <w:rPr>
          <w:color w:val="000000" w:themeColor="text1"/>
          <w:lang w:val="fr-FR"/>
        </w:rPr>
      </w:pPr>
      <w:r w:rsidRPr="004D763E">
        <w:rPr>
          <w:color w:val="000000" w:themeColor="text1"/>
          <w:lang w:val="fr-FR"/>
        </w:rPr>
        <w:t>[</w:t>
      </w:r>
      <w:r w:rsidR="008A09FB" w:rsidRPr="004D763E">
        <w:rPr>
          <w:color w:val="000000" w:themeColor="text1"/>
          <w:lang w:val="fr-FR"/>
        </w:rPr>
        <w:t>27</w:t>
      </w:r>
      <w:r w:rsidRPr="004D763E">
        <w:rPr>
          <w:color w:val="000000" w:themeColor="text1"/>
          <w:lang w:val="fr-FR"/>
        </w:rPr>
        <w:t> MAI 2025]</w:t>
      </w:r>
      <w:bookmarkStart w:id="6" w:name="page3"/>
      <w:bookmarkEnd w:id="6"/>
    </w:p>
    <w:p w14:paraId="70191E41" w14:textId="77777777" w:rsidR="00BC6DE2" w:rsidRPr="004D763E" w:rsidRDefault="00BC6DE2">
      <w:pPr>
        <w:rPr>
          <w:color w:val="000000" w:themeColor="text1"/>
          <w:lang w:val="fr-FR"/>
        </w:rPr>
      </w:pPr>
      <w:r w:rsidRPr="004D763E">
        <w:rPr>
          <w:color w:val="000000" w:themeColor="text1"/>
          <w:lang w:val="fr-FR"/>
        </w:rPr>
        <w:br w:type="page"/>
      </w:r>
    </w:p>
    <w:p w14:paraId="46CEEC7C" w14:textId="77777777" w:rsidR="0065085D" w:rsidRPr="004D763E" w:rsidRDefault="0065085D" w:rsidP="00BC6DE2">
      <w:pPr>
        <w:spacing w:after="960"/>
        <w:jc w:val="center"/>
        <w:rPr>
          <w:color w:val="000000" w:themeColor="text1"/>
          <w:lang w:val="fr-FR"/>
        </w:rPr>
      </w:pPr>
      <w:r w:rsidRPr="004D763E">
        <w:rPr>
          <w:b/>
          <w:color w:val="000000" w:themeColor="text1"/>
          <w:lang w:val="fr-FR"/>
        </w:rPr>
        <w:t>Table des matières</w:t>
      </w:r>
    </w:p>
    <w:p w14:paraId="173B2365" w14:textId="35CB7228" w:rsidR="0065085D" w:rsidRPr="004D763E" w:rsidRDefault="0065085D" w:rsidP="00FD177E">
      <w:pPr>
        <w:tabs>
          <w:tab w:val="left" w:pos="560"/>
          <w:tab w:val="right" w:pos="9072"/>
        </w:tabs>
        <w:spacing w:after="220"/>
        <w:rPr>
          <w:rFonts w:eastAsia="Arial"/>
          <w:color w:val="000000" w:themeColor="text1"/>
          <w:szCs w:val="22"/>
          <w:lang w:val="fr-FR"/>
        </w:rPr>
      </w:pPr>
      <w:r w:rsidRPr="004D763E">
        <w:rPr>
          <w:color w:val="000000" w:themeColor="text1"/>
          <w:szCs w:val="22"/>
          <w:lang w:val="fr-FR"/>
        </w:rPr>
        <w:t>I.</w:t>
      </w:r>
      <w:r w:rsidRPr="004D763E">
        <w:rPr>
          <w:color w:val="000000" w:themeColor="text1"/>
          <w:szCs w:val="22"/>
          <w:lang w:val="fr-FR"/>
        </w:rPr>
        <w:tab/>
      </w:r>
      <w:hyperlink w:anchor="page5">
        <w:r w:rsidRPr="004D763E">
          <w:rPr>
            <w:color w:val="000000" w:themeColor="text1"/>
            <w:szCs w:val="22"/>
            <w:lang w:val="fr-FR"/>
          </w:rPr>
          <w:t>INTRODUCTION</w:t>
        </w:r>
      </w:hyperlink>
      <w:r w:rsidRPr="004D763E">
        <w:rPr>
          <w:color w:val="000000" w:themeColor="text1"/>
          <w:szCs w:val="22"/>
          <w:u w:val="dotted"/>
          <w:lang w:val="fr-FR"/>
        </w:rPr>
        <w:tab/>
      </w:r>
      <w:hyperlink w:anchor="page5">
        <w:r w:rsidRPr="004D763E">
          <w:rPr>
            <w:color w:val="000000" w:themeColor="text1"/>
            <w:szCs w:val="22"/>
            <w:lang w:val="fr-FR"/>
          </w:rPr>
          <w:t>3</w:t>
        </w:r>
      </w:hyperlink>
    </w:p>
    <w:p w14:paraId="18AF8281" w14:textId="075EE23E" w:rsidR="0065085D" w:rsidRPr="004D763E" w:rsidRDefault="0065085D" w:rsidP="00FD177E">
      <w:pPr>
        <w:tabs>
          <w:tab w:val="left" w:pos="560"/>
          <w:tab w:val="right" w:pos="9072"/>
        </w:tabs>
        <w:spacing w:after="220"/>
        <w:rPr>
          <w:rFonts w:eastAsia="Arial"/>
          <w:color w:val="000000" w:themeColor="text1"/>
          <w:szCs w:val="22"/>
          <w:lang w:val="fr-FR"/>
        </w:rPr>
      </w:pPr>
      <w:r w:rsidRPr="004D763E">
        <w:rPr>
          <w:color w:val="000000" w:themeColor="text1"/>
          <w:szCs w:val="22"/>
          <w:lang w:val="fr-FR"/>
        </w:rPr>
        <w:t>II.</w:t>
      </w:r>
      <w:r w:rsidRPr="004D763E">
        <w:rPr>
          <w:color w:val="000000" w:themeColor="text1"/>
          <w:szCs w:val="22"/>
          <w:lang w:val="fr-FR"/>
        </w:rPr>
        <w:tab/>
      </w:r>
      <w:hyperlink w:anchor="page5">
        <w:r w:rsidRPr="004D763E">
          <w:rPr>
            <w:color w:val="000000" w:themeColor="text1"/>
            <w:szCs w:val="22"/>
            <w:lang w:val="fr-FR"/>
          </w:rPr>
          <w:t>SESSIONS TRIMESTRIELLES, COMPOSITION ET MÉTHODE DE TRAVAIL</w:t>
        </w:r>
      </w:hyperlink>
      <w:r w:rsidRPr="004D763E">
        <w:rPr>
          <w:szCs w:val="22"/>
          <w:u w:val="dotted"/>
          <w:lang w:val="fr-FR"/>
        </w:rPr>
        <w:tab/>
      </w:r>
      <w:hyperlink w:anchor="page5">
        <w:r w:rsidRPr="004D763E">
          <w:rPr>
            <w:color w:val="000000" w:themeColor="text1"/>
            <w:szCs w:val="22"/>
            <w:lang w:val="fr-FR"/>
          </w:rPr>
          <w:t>3</w:t>
        </w:r>
      </w:hyperlink>
    </w:p>
    <w:p w14:paraId="2A888BB5" w14:textId="063C4E5A" w:rsidR="0065085D" w:rsidRPr="004D763E" w:rsidRDefault="0065085D" w:rsidP="00FD177E">
      <w:pPr>
        <w:tabs>
          <w:tab w:val="left" w:pos="620"/>
          <w:tab w:val="right" w:pos="9072"/>
        </w:tabs>
        <w:spacing w:after="220"/>
        <w:rPr>
          <w:rFonts w:eastAsia="Arial"/>
          <w:color w:val="000000" w:themeColor="text1"/>
          <w:szCs w:val="22"/>
          <w:lang w:val="fr-FR"/>
        </w:rPr>
      </w:pPr>
      <w:r w:rsidRPr="004D763E">
        <w:rPr>
          <w:color w:val="000000" w:themeColor="text1"/>
          <w:szCs w:val="22"/>
          <w:lang w:val="fr-FR"/>
        </w:rPr>
        <w:t>III.</w:t>
      </w:r>
      <w:r w:rsidRPr="004D763E">
        <w:rPr>
          <w:color w:val="000000" w:themeColor="text1"/>
          <w:szCs w:val="22"/>
          <w:lang w:val="fr-FR"/>
        </w:rPr>
        <w:tab/>
      </w:r>
      <w:hyperlink w:anchor="page6">
        <w:r w:rsidRPr="004D763E">
          <w:rPr>
            <w:color w:val="000000" w:themeColor="text1"/>
            <w:szCs w:val="22"/>
            <w:lang w:val="fr-FR"/>
          </w:rPr>
          <w:t>QUESTIONS EXAMINÉES ET ANALYSÉES</w:t>
        </w:r>
      </w:hyperlink>
      <w:r w:rsidRPr="004D763E">
        <w:rPr>
          <w:szCs w:val="22"/>
          <w:u w:val="dotted"/>
          <w:lang w:val="fr-FR"/>
        </w:rPr>
        <w:tab/>
      </w:r>
      <w:hyperlink w:anchor="page6">
        <w:r w:rsidR="001527DD">
          <w:rPr>
            <w:color w:val="000000" w:themeColor="text1"/>
            <w:szCs w:val="22"/>
            <w:lang w:val="fr-FR"/>
          </w:rPr>
          <w:t>5</w:t>
        </w:r>
      </w:hyperlink>
    </w:p>
    <w:p w14:paraId="50ACAE4E" w14:textId="29BAF27B" w:rsidR="0065085D" w:rsidRPr="004D763E" w:rsidRDefault="0065085D" w:rsidP="00FD177E">
      <w:pPr>
        <w:tabs>
          <w:tab w:val="left" w:pos="1134"/>
          <w:tab w:val="right" w:pos="9072"/>
        </w:tabs>
        <w:spacing w:after="220"/>
        <w:ind w:left="560"/>
        <w:rPr>
          <w:rFonts w:eastAsia="Arial"/>
          <w:color w:val="000000" w:themeColor="text1"/>
          <w:szCs w:val="22"/>
          <w:lang w:val="fr-FR"/>
        </w:rPr>
      </w:pPr>
      <w:r w:rsidRPr="004D763E">
        <w:rPr>
          <w:color w:val="000000" w:themeColor="text1"/>
          <w:szCs w:val="22"/>
          <w:lang w:val="fr-FR"/>
        </w:rPr>
        <w:t>A.</w:t>
      </w:r>
      <w:r w:rsidRPr="004D763E">
        <w:rPr>
          <w:color w:val="000000" w:themeColor="text1"/>
          <w:szCs w:val="22"/>
          <w:lang w:val="fr-FR"/>
        </w:rPr>
        <w:tab/>
      </w:r>
      <w:hyperlink w:anchor="page6">
        <w:r w:rsidRPr="004D763E">
          <w:rPr>
            <w:color w:val="000000" w:themeColor="text1"/>
            <w:szCs w:val="22"/>
            <w:lang w:val="fr-FR"/>
          </w:rPr>
          <w:t>Supervision interne</w:t>
        </w:r>
      </w:hyperlink>
      <w:r w:rsidRPr="004D763E">
        <w:rPr>
          <w:color w:val="000000" w:themeColor="text1"/>
          <w:szCs w:val="22"/>
          <w:u w:val="dotted"/>
          <w:lang w:val="fr-FR"/>
        </w:rPr>
        <w:tab/>
      </w:r>
      <w:hyperlink w:anchor="page6">
        <w:r w:rsidR="001527DD">
          <w:rPr>
            <w:color w:val="000000" w:themeColor="text1"/>
            <w:szCs w:val="22"/>
            <w:lang w:val="fr-FR"/>
          </w:rPr>
          <w:t>5</w:t>
        </w:r>
      </w:hyperlink>
    </w:p>
    <w:p w14:paraId="3C989AA0" w14:textId="1D1A0C6A" w:rsidR="0065085D" w:rsidRPr="004D763E" w:rsidRDefault="0065085D" w:rsidP="00FD177E">
      <w:pPr>
        <w:tabs>
          <w:tab w:val="left" w:pos="1134"/>
          <w:tab w:val="right" w:pos="9072"/>
        </w:tabs>
        <w:spacing w:after="220"/>
        <w:ind w:left="560"/>
        <w:rPr>
          <w:rFonts w:eastAsia="Arial"/>
          <w:color w:val="000000" w:themeColor="text1"/>
          <w:szCs w:val="22"/>
          <w:lang w:val="fr-FR"/>
        </w:rPr>
      </w:pPr>
      <w:r w:rsidRPr="004D763E">
        <w:rPr>
          <w:color w:val="000000" w:themeColor="text1"/>
          <w:szCs w:val="22"/>
          <w:lang w:val="fr-FR"/>
        </w:rPr>
        <w:t>B.</w:t>
      </w:r>
      <w:r w:rsidRPr="004D763E">
        <w:rPr>
          <w:color w:val="000000" w:themeColor="text1"/>
          <w:szCs w:val="22"/>
          <w:lang w:val="fr-FR"/>
        </w:rPr>
        <w:tab/>
      </w:r>
      <w:hyperlink w:anchor="page8">
        <w:r w:rsidRPr="004D763E">
          <w:rPr>
            <w:color w:val="000000" w:themeColor="text1"/>
            <w:szCs w:val="22"/>
            <w:lang w:val="fr-FR"/>
          </w:rPr>
          <w:t>Vérification externe des comptes</w:t>
        </w:r>
      </w:hyperlink>
      <w:r w:rsidRPr="004D763E">
        <w:rPr>
          <w:color w:val="000000" w:themeColor="text1"/>
          <w:szCs w:val="22"/>
          <w:u w:val="dotted"/>
          <w:lang w:val="fr-FR"/>
        </w:rPr>
        <w:tab/>
      </w:r>
      <w:hyperlink w:anchor="page8">
        <w:r w:rsidR="001527DD">
          <w:rPr>
            <w:color w:val="000000" w:themeColor="text1"/>
            <w:szCs w:val="22"/>
            <w:lang w:val="fr-FR"/>
          </w:rPr>
          <w:t>8</w:t>
        </w:r>
      </w:hyperlink>
    </w:p>
    <w:p w14:paraId="113C73DB" w14:textId="2BA54157" w:rsidR="0065085D" w:rsidRPr="004D763E" w:rsidRDefault="0065085D" w:rsidP="00FD177E">
      <w:pPr>
        <w:tabs>
          <w:tab w:val="left" w:pos="1134"/>
          <w:tab w:val="right" w:pos="9072"/>
        </w:tabs>
        <w:spacing w:after="220"/>
        <w:ind w:left="560"/>
        <w:rPr>
          <w:rFonts w:eastAsia="Arial"/>
          <w:color w:val="000000" w:themeColor="text1"/>
          <w:szCs w:val="22"/>
          <w:lang w:val="fr-FR"/>
        </w:rPr>
      </w:pPr>
      <w:r w:rsidRPr="004D763E">
        <w:rPr>
          <w:color w:val="000000" w:themeColor="text1"/>
          <w:szCs w:val="22"/>
          <w:lang w:val="fr-FR"/>
        </w:rPr>
        <w:t>C.</w:t>
      </w:r>
      <w:r w:rsidRPr="004D763E">
        <w:rPr>
          <w:color w:val="000000" w:themeColor="text1"/>
          <w:szCs w:val="22"/>
          <w:lang w:val="fr-FR"/>
        </w:rPr>
        <w:tab/>
      </w:r>
      <w:hyperlink w:anchor="page8">
        <w:r w:rsidRPr="004D763E">
          <w:rPr>
            <w:color w:val="000000" w:themeColor="text1"/>
            <w:szCs w:val="22"/>
            <w:lang w:val="fr-FR"/>
          </w:rPr>
          <w:t>Rapports financiers</w:t>
        </w:r>
      </w:hyperlink>
      <w:r w:rsidRPr="004D763E">
        <w:rPr>
          <w:color w:val="000000" w:themeColor="text1"/>
          <w:szCs w:val="22"/>
          <w:u w:val="dotted"/>
          <w:lang w:val="fr-FR"/>
        </w:rPr>
        <w:tab/>
      </w:r>
      <w:hyperlink w:anchor="page8">
        <w:r w:rsidR="001527DD">
          <w:rPr>
            <w:color w:val="000000" w:themeColor="text1"/>
            <w:szCs w:val="22"/>
            <w:lang w:val="fr-FR"/>
          </w:rPr>
          <w:t>9</w:t>
        </w:r>
      </w:hyperlink>
    </w:p>
    <w:p w14:paraId="339E7C56" w14:textId="7F6E1A49" w:rsidR="0065085D" w:rsidRPr="004D763E" w:rsidRDefault="0065085D" w:rsidP="00FD177E">
      <w:pPr>
        <w:tabs>
          <w:tab w:val="left" w:pos="1134"/>
          <w:tab w:val="right" w:pos="9072"/>
        </w:tabs>
        <w:spacing w:after="220"/>
        <w:ind w:left="560"/>
        <w:rPr>
          <w:color w:val="000000" w:themeColor="text1"/>
          <w:szCs w:val="22"/>
          <w:lang w:val="fr-FR"/>
        </w:rPr>
      </w:pPr>
      <w:r w:rsidRPr="004D763E">
        <w:rPr>
          <w:color w:val="000000" w:themeColor="text1"/>
          <w:szCs w:val="22"/>
          <w:lang w:val="fr-FR"/>
        </w:rPr>
        <w:t>D.</w:t>
      </w:r>
      <w:r w:rsidRPr="004D763E">
        <w:rPr>
          <w:color w:val="000000" w:themeColor="text1"/>
          <w:szCs w:val="22"/>
          <w:lang w:val="fr-FR"/>
        </w:rPr>
        <w:tab/>
        <w:t>Gestion des risques et contrôles internes</w:t>
      </w:r>
      <w:r w:rsidRPr="004D763E">
        <w:rPr>
          <w:color w:val="000000" w:themeColor="text1"/>
          <w:szCs w:val="22"/>
          <w:u w:val="dotted"/>
          <w:lang w:val="fr-FR"/>
        </w:rPr>
        <w:tab/>
      </w:r>
      <w:r w:rsidR="001527DD">
        <w:rPr>
          <w:color w:val="000000" w:themeColor="text1"/>
          <w:szCs w:val="22"/>
          <w:lang w:val="fr-FR"/>
        </w:rPr>
        <w:t>10</w:t>
      </w:r>
    </w:p>
    <w:p w14:paraId="537B7067" w14:textId="3B841760" w:rsidR="0065085D" w:rsidRPr="004D763E" w:rsidRDefault="0065085D" w:rsidP="00FD177E">
      <w:pPr>
        <w:tabs>
          <w:tab w:val="left" w:pos="1134"/>
          <w:tab w:val="right" w:pos="9072"/>
        </w:tabs>
        <w:spacing w:after="220"/>
        <w:ind w:left="560"/>
        <w:rPr>
          <w:color w:val="000000" w:themeColor="text1"/>
          <w:szCs w:val="22"/>
          <w:lang w:val="fr-FR"/>
        </w:rPr>
      </w:pPr>
      <w:r w:rsidRPr="004D763E">
        <w:rPr>
          <w:color w:val="000000" w:themeColor="text1"/>
          <w:szCs w:val="22"/>
          <w:lang w:val="fr-FR"/>
        </w:rPr>
        <w:t>E.</w:t>
      </w:r>
      <w:r w:rsidRPr="004D763E">
        <w:rPr>
          <w:color w:val="000000" w:themeColor="text1"/>
          <w:szCs w:val="22"/>
          <w:lang w:val="fr-FR"/>
        </w:rPr>
        <w:tab/>
        <w:t>Mise en œuvre des recommandations de</w:t>
      </w:r>
      <w:r w:rsidR="00BC6DE2" w:rsidRPr="004D763E">
        <w:rPr>
          <w:color w:val="000000" w:themeColor="text1"/>
          <w:szCs w:val="22"/>
          <w:lang w:val="fr-FR"/>
        </w:rPr>
        <w:t xml:space="preserve"> s</w:t>
      </w:r>
      <w:r w:rsidRPr="004D763E">
        <w:rPr>
          <w:color w:val="000000" w:themeColor="text1"/>
          <w:szCs w:val="22"/>
          <w:lang w:val="fr-FR"/>
        </w:rPr>
        <w:t>upervision</w:t>
      </w:r>
      <w:r w:rsidR="00BC6DE2" w:rsidRPr="004D763E">
        <w:rPr>
          <w:color w:val="000000" w:themeColor="text1"/>
          <w:szCs w:val="22"/>
          <w:u w:val="dotted"/>
          <w:lang w:val="fr-FR"/>
        </w:rPr>
        <w:tab/>
      </w:r>
      <w:r w:rsidRPr="004D763E">
        <w:rPr>
          <w:color w:val="000000" w:themeColor="text1"/>
          <w:szCs w:val="22"/>
          <w:lang w:val="fr-FR"/>
        </w:rPr>
        <w:t>1</w:t>
      </w:r>
      <w:r w:rsidR="001527DD">
        <w:rPr>
          <w:color w:val="000000" w:themeColor="text1"/>
          <w:szCs w:val="22"/>
          <w:lang w:val="fr-FR"/>
        </w:rPr>
        <w:t>2</w:t>
      </w:r>
    </w:p>
    <w:p w14:paraId="656963AA" w14:textId="35751F57" w:rsidR="0065085D" w:rsidRPr="004D763E" w:rsidRDefault="0065085D" w:rsidP="00FD177E">
      <w:pPr>
        <w:tabs>
          <w:tab w:val="left" w:pos="1134"/>
          <w:tab w:val="right" w:pos="9072"/>
          <w:tab w:val="left" w:leader="dot" w:pos="9460"/>
        </w:tabs>
        <w:spacing w:after="220"/>
        <w:ind w:left="560"/>
        <w:rPr>
          <w:rFonts w:eastAsia="Arial"/>
          <w:color w:val="000000" w:themeColor="text1"/>
          <w:szCs w:val="22"/>
          <w:lang w:val="fr-FR"/>
        </w:rPr>
      </w:pPr>
      <w:r w:rsidRPr="004D763E">
        <w:rPr>
          <w:color w:val="000000" w:themeColor="text1"/>
          <w:szCs w:val="22"/>
          <w:lang w:val="fr-FR"/>
        </w:rPr>
        <w:t>F.</w:t>
      </w:r>
      <w:r w:rsidRPr="004D763E">
        <w:rPr>
          <w:color w:val="000000" w:themeColor="text1"/>
          <w:szCs w:val="22"/>
          <w:lang w:val="fr-FR"/>
        </w:rPr>
        <w:tab/>
      </w:r>
      <w:hyperlink w:anchor="page12">
        <w:r w:rsidRPr="004D763E">
          <w:rPr>
            <w:color w:val="000000" w:themeColor="text1"/>
            <w:szCs w:val="22"/>
            <w:lang w:val="fr-FR"/>
          </w:rPr>
          <w:t>Déontologie et médiation</w:t>
        </w:r>
      </w:hyperlink>
      <w:r w:rsidRPr="004D763E">
        <w:rPr>
          <w:color w:val="000000" w:themeColor="text1"/>
          <w:szCs w:val="22"/>
          <w:u w:val="dotted"/>
          <w:lang w:val="fr-FR"/>
        </w:rPr>
        <w:tab/>
      </w:r>
      <w:hyperlink w:anchor="page12">
        <w:r w:rsidRPr="004D763E">
          <w:rPr>
            <w:color w:val="000000" w:themeColor="text1"/>
            <w:szCs w:val="22"/>
            <w:lang w:val="fr-FR"/>
          </w:rPr>
          <w:t>1</w:t>
        </w:r>
      </w:hyperlink>
      <w:r w:rsidR="001527DD">
        <w:rPr>
          <w:szCs w:val="22"/>
          <w:lang w:val="fr-FR"/>
        </w:rPr>
        <w:t>3</w:t>
      </w:r>
    </w:p>
    <w:p w14:paraId="744B94D6" w14:textId="15CCD6A8" w:rsidR="0065085D" w:rsidRPr="004D763E" w:rsidRDefault="0065085D" w:rsidP="00FD177E">
      <w:pPr>
        <w:tabs>
          <w:tab w:val="left" w:pos="1134"/>
          <w:tab w:val="right" w:pos="9072"/>
          <w:tab w:val="left" w:leader="dot" w:pos="9460"/>
        </w:tabs>
        <w:spacing w:after="220"/>
        <w:ind w:left="560"/>
        <w:rPr>
          <w:color w:val="000000" w:themeColor="text1"/>
          <w:szCs w:val="22"/>
          <w:lang w:val="fr-FR"/>
        </w:rPr>
      </w:pPr>
      <w:r w:rsidRPr="004D763E">
        <w:rPr>
          <w:color w:val="000000" w:themeColor="text1"/>
          <w:szCs w:val="22"/>
          <w:lang w:val="fr-FR"/>
        </w:rPr>
        <w:t>G.</w:t>
      </w:r>
      <w:r w:rsidRPr="004D763E">
        <w:rPr>
          <w:color w:val="000000" w:themeColor="text1"/>
          <w:szCs w:val="22"/>
          <w:lang w:val="fr-FR"/>
        </w:rPr>
        <w:tab/>
        <w:t>Gestion des ressources humaines</w:t>
      </w:r>
      <w:r w:rsidRPr="004D763E">
        <w:rPr>
          <w:color w:val="000000" w:themeColor="text1"/>
          <w:szCs w:val="22"/>
          <w:u w:val="dotted"/>
          <w:lang w:val="fr-FR"/>
        </w:rPr>
        <w:tab/>
      </w:r>
      <w:r w:rsidRPr="004D763E">
        <w:rPr>
          <w:color w:val="000000" w:themeColor="text1"/>
          <w:szCs w:val="22"/>
          <w:lang w:val="fr-FR"/>
        </w:rPr>
        <w:t>1</w:t>
      </w:r>
      <w:r w:rsidR="001527DD">
        <w:rPr>
          <w:color w:val="000000" w:themeColor="text1"/>
          <w:szCs w:val="22"/>
          <w:lang w:val="fr-FR"/>
        </w:rPr>
        <w:t>5</w:t>
      </w:r>
    </w:p>
    <w:p w14:paraId="30D44C21" w14:textId="1A1FA573" w:rsidR="0065085D" w:rsidRPr="004D763E" w:rsidRDefault="0065085D" w:rsidP="00FD177E">
      <w:pPr>
        <w:tabs>
          <w:tab w:val="left" w:pos="1134"/>
          <w:tab w:val="right" w:pos="9072"/>
        </w:tabs>
        <w:spacing w:after="220"/>
        <w:ind w:left="560"/>
        <w:rPr>
          <w:color w:val="000000" w:themeColor="text1"/>
          <w:szCs w:val="22"/>
          <w:lang w:val="fr-FR"/>
        </w:rPr>
      </w:pPr>
      <w:r w:rsidRPr="004D763E">
        <w:rPr>
          <w:color w:val="000000" w:themeColor="text1"/>
          <w:szCs w:val="22"/>
          <w:lang w:val="fr-FR"/>
        </w:rPr>
        <w:t>H.</w:t>
      </w:r>
      <w:r w:rsidRPr="004D763E">
        <w:rPr>
          <w:color w:val="000000" w:themeColor="text1"/>
          <w:szCs w:val="22"/>
          <w:lang w:val="fr-FR"/>
        </w:rPr>
        <w:tab/>
        <w:t>Questions diverses</w:t>
      </w:r>
      <w:r w:rsidRPr="004D763E">
        <w:rPr>
          <w:color w:val="000000" w:themeColor="text1"/>
          <w:szCs w:val="22"/>
          <w:u w:val="dotted"/>
          <w:lang w:val="fr-FR"/>
        </w:rPr>
        <w:tab/>
      </w:r>
      <w:r w:rsidRPr="004D763E">
        <w:rPr>
          <w:color w:val="000000" w:themeColor="text1"/>
          <w:szCs w:val="22"/>
          <w:lang w:val="fr-FR"/>
        </w:rPr>
        <w:t>1</w:t>
      </w:r>
      <w:r w:rsidR="001527DD">
        <w:rPr>
          <w:color w:val="000000" w:themeColor="text1"/>
          <w:szCs w:val="22"/>
          <w:lang w:val="fr-FR"/>
        </w:rPr>
        <w:t>5</w:t>
      </w:r>
    </w:p>
    <w:p w14:paraId="7FB232F1" w14:textId="43750882" w:rsidR="0065085D" w:rsidRPr="004D763E" w:rsidRDefault="0065085D" w:rsidP="00FD177E">
      <w:pPr>
        <w:tabs>
          <w:tab w:val="left" w:pos="620"/>
          <w:tab w:val="right" w:pos="9072"/>
          <w:tab w:val="left" w:leader="dot" w:pos="9460"/>
        </w:tabs>
        <w:spacing w:after="220"/>
        <w:rPr>
          <w:szCs w:val="22"/>
          <w:lang w:val="fr-FR"/>
        </w:rPr>
      </w:pPr>
      <w:r w:rsidRPr="004D763E">
        <w:rPr>
          <w:color w:val="000000" w:themeColor="text1"/>
          <w:szCs w:val="22"/>
          <w:lang w:val="fr-FR"/>
        </w:rPr>
        <w:t>IV.</w:t>
      </w:r>
      <w:r w:rsidRPr="004D763E">
        <w:rPr>
          <w:color w:val="000000" w:themeColor="text1"/>
          <w:szCs w:val="22"/>
          <w:lang w:val="fr-FR"/>
        </w:rPr>
        <w:tab/>
      </w:r>
      <w:hyperlink w:anchor="page14">
        <w:r w:rsidRPr="004D763E">
          <w:rPr>
            <w:color w:val="000000" w:themeColor="text1"/>
            <w:szCs w:val="22"/>
            <w:lang w:val="fr-FR"/>
          </w:rPr>
          <w:t>OBSERVATIONS FINALES</w:t>
        </w:r>
      </w:hyperlink>
      <w:r w:rsidRPr="004D763E">
        <w:rPr>
          <w:color w:val="000000" w:themeColor="text1"/>
          <w:szCs w:val="22"/>
          <w:u w:val="dotted"/>
          <w:lang w:val="fr-FR"/>
        </w:rPr>
        <w:tab/>
      </w:r>
      <w:hyperlink w:anchor="page14">
        <w:r w:rsidRPr="004D763E">
          <w:rPr>
            <w:color w:val="000000" w:themeColor="text1"/>
            <w:szCs w:val="22"/>
            <w:lang w:val="fr-FR"/>
          </w:rPr>
          <w:t>1</w:t>
        </w:r>
      </w:hyperlink>
      <w:bookmarkStart w:id="7" w:name="page4"/>
      <w:bookmarkStart w:id="8" w:name="page5"/>
      <w:bookmarkEnd w:id="7"/>
      <w:bookmarkEnd w:id="8"/>
      <w:r w:rsidR="001527DD">
        <w:rPr>
          <w:szCs w:val="22"/>
          <w:lang w:val="fr-FR"/>
        </w:rPr>
        <w:t>5</w:t>
      </w:r>
    </w:p>
    <w:p w14:paraId="34F2A933" w14:textId="77777777" w:rsidR="00BC6DE2" w:rsidRPr="004D763E" w:rsidRDefault="00BC6DE2">
      <w:pPr>
        <w:rPr>
          <w:bCs/>
          <w:color w:val="000000" w:themeColor="text1"/>
          <w:szCs w:val="22"/>
          <w:lang w:val="fr-FR"/>
        </w:rPr>
      </w:pPr>
      <w:r w:rsidRPr="004D763E">
        <w:rPr>
          <w:bCs/>
          <w:color w:val="000000" w:themeColor="text1"/>
          <w:szCs w:val="22"/>
          <w:lang w:val="fr-FR"/>
        </w:rPr>
        <w:br w:type="page"/>
      </w:r>
    </w:p>
    <w:p w14:paraId="55575EC9" w14:textId="35D4D057" w:rsidR="00FD177E" w:rsidRPr="004D763E" w:rsidRDefault="00FD177E" w:rsidP="00D84FF2">
      <w:pPr>
        <w:pStyle w:val="Heading1"/>
        <w:rPr>
          <w:rFonts w:eastAsia="Arial"/>
        </w:rPr>
      </w:pPr>
      <w:r w:rsidRPr="004D763E">
        <w:t>I.</w:t>
      </w:r>
      <w:r w:rsidRPr="004D763E">
        <w:tab/>
        <w:t>Introduction</w:t>
      </w:r>
    </w:p>
    <w:p w14:paraId="01840DF9" w14:textId="16ADBD8B" w:rsidR="00FD177E" w:rsidRPr="004D763E" w:rsidRDefault="0065085D" w:rsidP="00FD177E">
      <w:pPr>
        <w:pStyle w:val="ONUMFS"/>
        <w:numPr>
          <w:ilvl w:val="0"/>
          <w:numId w:val="17"/>
        </w:numPr>
        <w:rPr>
          <w:rFonts w:eastAsia="Arial"/>
          <w:lang w:val="fr-FR"/>
        </w:rPr>
      </w:pPr>
      <w:r w:rsidRPr="004D763E">
        <w:rPr>
          <w:lang w:val="fr-FR"/>
        </w:rPr>
        <w:t>Conformément à son mandat, l</w:t>
      </w:r>
      <w:r w:rsidR="00155EA0" w:rsidRPr="004D763E">
        <w:rPr>
          <w:lang w:val="fr-FR"/>
        </w:rPr>
        <w:t>’</w:t>
      </w:r>
      <w:r w:rsidRPr="004D763E">
        <w:rPr>
          <w:lang w:val="fr-FR"/>
        </w:rPr>
        <w:t>Organe consultatif indépendant de surveillance (OCIS) de l</w:t>
      </w:r>
      <w:r w:rsidR="00155EA0" w:rsidRPr="004D763E">
        <w:rPr>
          <w:lang w:val="fr-FR"/>
        </w:rPr>
        <w:t>’</w:t>
      </w:r>
      <w:r w:rsidRPr="004D763E">
        <w:rPr>
          <w:lang w:val="fr-FR"/>
        </w:rPr>
        <w:t>OMPI soumet un rapport annuel au Comité du programme et budget (PBC) et à l</w:t>
      </w:r>
      <w:r w:rsidR="00155EA0" w:rsidRPr="004D763E">
        <w:rPr>
          <w:lang w:val="fr-FR"/>
        </w:rPr>
        <w:t>’</w:t>
      </w:r>
      <w:r w:rsidRPr="004D763E">
        <w:rPr>
          <w:lang w:val="fr-FR"/>
        </w:rPr>
        <w:t>Assemblée générale de l</w:t>
      </w:r>
      <w:r w:rsidR="00155EA0" w:rsidRPr="004D763E">
        <w:rPr>
          <w:lang w:val="fr-FR"/>
        </w:rPr>
        <w:t>’</w:t>
      </w:r>
      <w:r w:rsidRPr="004D763E">
        <w:rPr>
          <w:lang w:val="fr-FR"/>
        </w:rPr>
        <w:t>OMPI.</w:t>
      </w:r>
    </w:p>
    <w:p w14:paraId="4A6B2A9E" w14:textId="22A3451C" w:rsidR="00FD177E" w:rsidRPr="004D763E" w:rsidRDefault="0065085D" w:rsidP="00FD177E">
      <w:pPr>
        <w:pStyle w:val="ONUMFS"/>
        <w:rPr>
          <w:rFonts w:eastAsia="Arial"/>
          <w:lang w:val="fr-FR"/>
        </w:rPr>
      </w:pPr>
      <w:r w:rsidRPr="004D763E">
        <w:rPr>
          <w:lang w:val="fr-FR"/>
        </w:rPr>
        <w:t>Créé en 2005, l</w:t>
      </w:r>
      <w:r w:rsidR="00155EA0" w:rsidRPr="004D763E">
        <w:rPr>
          <w:lang w:val="fr-FR"/>
        </w:rPr>
        <w:t>’</w:t>
      </w:r>
      <w:r w:rsidRPr="004D763E">
        <w:rPr>
          <w:lang w:val="fr-FR"/>
        </w:rPr>
        <w:t>OCIS (ci</w:t>
      </w:r>
      <w:r w:rsidR="004D763E">
        <w:rPr>
          <w:lang w:val="fr-FR"/>
        </w:rPr>
        <w:noBreakHyphen/>
      </w:r>
      <w:r w:rsidRPr="004D763E">
        <w:rPr>
          <w:lang w:val="fr-FR"/>
        </w:rPr>
        <w:t>après dénommé “Organe”) est un organe subsidiaire de l</w:t>
      </w:r>
      <w:r w:rsidR="00155EA0" w:rsidRPr="004D763E">
        <w:rPr>
          <w:lang w:val="fr-FR"/>
        </w:rPr>
        <w:t>’</w:t>
      </w:r>
      <w:r w:rsidRPr="004D763E">
        <w:rPr>
          <w:lang w:val="fr-FR"/>
        </w:rPr>
        <w:t>Assemblée générale de l</w:t>
      </w:r>
      <w:r w:rsidR="00155EA0" w:rsidRPr="004D763E">
        <w:rPr>
          <w:lang w:val="fr-FR"/>
        </w:rPr>
        <w:t>’</w:t>
      </w:r>
      <w:r w:rsidRPr="004D763E">
        <w:rPr>
          <w:lang w:val="fr-FR"/>
        </w:rPr>
        <w:t>OMPI et</w:t>
      </w:r>
      <w:r w:rsidR="00B0451C" w:rsidRPr="004D763E">
        <w:rPr>
          <w:lang w:val="fr-FR"/>
        </w:rPr>
        <w:t xml:space="preserve"> du </w:t>
      </w:r>
      <w:r w:rsidR="004D763E" w:rsidRPr="004D763E">
        <w:rPr>
          <w:lang w:val="fr-FR"/>
        </w:rPr>
        <w:t>PBC.  Or</w:t>
      </w:r>
      <w:r w:rsidRPr="004D763E">
        <w:rPr>
          <w:lang w:val="fr-FR"/>
        </w:rPr>
        <w:t>gane indépendant exerçant des fonctions consultatives spécialisées, il aide l</w:t>
      </w:r>
      <w:r w:rsidR="00155EA0" w:rsidRPr="004D763E">
        <w:rPr>
          <w:lang w:val="fr-FR"/>
        </w:rPr>
        <w:t>’</w:t>
      </w:r>
      <w:r w:rsidRPr="004D763E">
        <w:rPr>
          <w:lang w:val="fr-FR"/>
        </w:rPr>
        <w:t>assemblée et</w:t>
      </w:r>
      <w:r w:rsidR="00B0451C" w:rsidRPr="004D763E">
        <w:rPr>
          <w:lang w:val="fr-FR"/>
        </w:rPr>
        <w:t xml:space="preserve"> le PBC</w:t>
      </w:r>
      <w:r w:rsidRPr="004D763E">
        <w:rPr>
          <w:lang w:val="fr-FR"/>
        </w:rPr>
        <w:t xml:space="preserve"> à s</w:t>
      </w:r>
      <w:r w:rsidR="00155EA0" w:rsidRPr="004D763E">
        <w:rPr>
          <w:lang w:val="fr-FR"/>
        </w:rPr>
        <w:t>’</w:t>
      </w:r>
      <w:r w:rsidRPr="004D763E">
        <w:rPr>
          <w:lang w:val="fr-FR"/>
        </w:rPr>
        <w:t>acquitter de leurs responsabilités en matière de supervision.</w:t>
      </w:r>
    </w:p>
    <w:p w14:paraId="45E9D690" w14:textId="7A44E66B" w:rsidR="00FD177E" w:rsidRPr="004D763E" w:rsidRDefault="0065085D" w:rsidP="00FD177E">
      <w:pPr>
        <w:pStyle w:val="ONUMFS"/>
        <w:rPr>
          <w:rFonts w:eastAsia="Arial"/>
          <w:lang w:val="fr-FR"/>
        </w:rPr>
      </w:pPr>
      <w:r w:rsidRPr="004D763E">
        <w:rPr>
          <w:lang w:val="fr-FR"/>
        </w:rPr>
        <w:t>Le présent rapport couvre la période du 23 </w:t>
      </w:r>
      <w:r w:rsidR="00B0451C" w:rsidRPr="004D763E">
        <w:rPr>
          <w:lang w:val="fr-FR"/>
        </w:rPr>
        <w:t>mars 20</w:t>
      </w:r>
      <w:r w:rsidRPr="004D763E">
        <w:rPr>
          <w:lang w:val="fr-FR"/>
        </w:rPr>
        <w:t>24 au 28 </w:t>
      </w:r>
      <w:r w:rsidR="00B0451C" w:rsidRPr="004D763E">
        <w:rPr>
          <w:lang w:val="fr-FR"/>
        </w:rPr>
        <w:t>mars 20</w:t>
      </w:r>
      <w:r w:rsidRPr="004D763E">
        <w:rPr>
          <w:lang w:val="fr-FR"/>
        </w:rPr>
        <w:t xml:space="preserve">25.  La section II du présent rapport </w:t>
      </w:r>
      <w:proofErr w:type="gramStart"/>
      <w:r w:rsidRPr="004D763E">
        <w:rPr>
          <w:lang w:val="fr-FR"/>
        </w:rPr>
        <w:t>donne</w:t>
      </w:r>
      <w:proofErr w:type="gramEnd"/>
      <w:r w:rsidRPr="004D763E">
        <w:rPr>
          <w:lang w:val="fr-FR"/>
        </w:rPr>
        <w:t xml:space="preserve"> des informations sur les sessions trimestrielles, la composition et la méthode de travail de l</w:t>
      </w:r>
      <w:r w:rsidR="00155EA0" w:rsidRPr="004D763E">
        <w:rPr>
          <w:lang w:val="fr-FR"/>
        </w:rPr>
        <w:t>’</w:t>
      </w:r>
      <w:r w:rsidRPr="004D763E">
        <w:rPr>
          <w:lang w:val="fr-FR"/>
        </w:rPr>
        <w:t>O</w:t>
      </w:r>
      <w:r w:rsidR="004D763E" w:rsidRPr="004D763E">
        <w:rPr>
          <w:lang w:val="fr-FR"/>
        </w:rPr>
        <w:t>CIS.  La</w:t>
      </w:r>
      <w:r w:rsidRPr="004D763E">
        <w:rPr>
          <w:lang w:val="fr-FR"/>
        </w:rPr>
        <w:t xml:space="preserve"> section III présente dans le détail les questions examinées et analysées par l</w:t>
      </w:r>
      <w:r w:rsidR="00155EA0" w:rsidRPr="004D763E">
        <w:rPr>
          <w:lang w:val="fr-FR"/>
        </w:rPr>
        <w:t>’</w:t>
      </w:r>
      <w:r w:rsidRPr="004D763E">
        <w:rPr>
          <w:lang w:val="fr-FR"/>
        </w:rPr>
        <w:t>OCIS durant la période considérée.</w:t>
      </w:r>
    </w:p>
    <w:p w14:paraId="470C287C" w14:textId="492F0F8F" w:rsidR="00FD177E" w:rsidRPr="004D763E" w:rsidRDefault="00FD177E" w:rsidP="00D84FF2">
      <w:pPr>
        <w:pStyle w:val="Heading1"/>
      </w:pPr>
      <w:r w:rsidRPr="004D763E">
        <w:t>II.</w:t>
      </w:r>
      <w:r w:rsidRPr="004D763E">
        <w:tab/>
        <w:t>Sessions trimestrielles, composition et méthode de travail</w:t>
      </w:r>
    </w:p>
    <w:p w14:paraId="37B9AE64" w14:textId="77777777" w:rsidR="00FD177E" w:rsidRPr="004D763E" w:rsidRDefault="0065085D" w:rsidP="00FD177E">
      <w:pPr>
        <w:pStyle w:val="Heading4"/>
      </w:pPr>
      <w:r w:rsidRPr="004D763E">
        <w:t>Sessions trimestrielles</w:t>
      </w:r>
    </w:p>
    <w:p w14:paraId="3D05CCDF" w14:textId="243110E9" w:rsidR="00FD177E" w:rsidRPr="004D763E" w:rsidRDefault="0065085D" w:rsidP="00FD177E">
      <w:pPr>
        <w:pStyle w:val="ONUMFS"/>
        <w:rPr>
          <w:rFonts w:eastAsia="Arial"/>
          <w:lang w:val="fr-FR"/>
        </w:rPr>
      </w:pPr>
      <w:r w:rsidRPr="004D763E">
        <w:rPr>
          <w:lang w:val="fr-FR"/>
        </w:rPr>
        <w:t>Durant la période considérée, l</w:t>
      </w:r>
      <w:r w:rsidR="00155EA0" w:rsidRPr="004D763E">
        <w:rPr>
          <w:lang w:val="fr-FR"/>
        </w:rPr>
        <w:t>’</w:t>
      </w:r>
      <w:r w:rsidRPr="004D763E">
        <w:rPr>
          <w:lang w:val="fr-FR"/>
        </w:rPr>
        <w:t>OCIS a tenu quatre sessions trimestrielles</w:t>
      </w:r>
      <w:r w:rsidR="00155EA0" w:rsidRPr="004D763E">
        <w:rPr>
          <w:lang w:val="fr-FR"/>
        </w:rPr>
        <w:t> :</w:t>
      </w:r>
      <w:r w:rsidRPr="004D763E">
        <w:rPr>
          <w:lang w:val="fr-FR"/>
        </w:rPr>
        <w:t xml:space="preserve"> du 28 au 31 mai 2024 (</w:t>
      </w:r>
      <w:r w:rsidR="008A09FB" w:rsidRPr="004D763E">
        <w:rPr>
          <w:lang w:val="fr-FR"/>
        </w:rPr>
        <w:t>73</w:t>
      </w:r>
      <w:r w:rsidR="008A09FB" w:rsidRPr="004D763E">
        <w:rPr>
          <w:vertAlign w:val="superscript"/>
          <w:lang w:val="fr-FR"/>
        </w:rPr>
        <w:t>e</w:t>
      </w:r>
      <w:r w:rsidR="00B0451C" w:rsidRPr="004D763E">
        <w:rPr>
          <w:lang w:val="fr-FR"/>
        </w:rPr>
        <w:t> session</w:t>
      </w:r>
      <w:r w:rsidRPr="004D763E">
        <w:rPr>
          <w:lang w:val="fr-FR"/>
        </w:rPr>
        <w:t>);  du 24 au 27 septembre 2024 (</w:t>
      </w:r>
      <w:r w:rsidR="008A09FB" w:rsidRPr="004D763E">
        <w:rPr>
          <w:lang w:val="fr-FR"/>
        </w:rPr>
        <w:t>74</w:t>
      </w:r>
      <w:r w:rsidR="008A09FB" w:rsidRPr="004D763E">
        <w:rPr>
          <w:vertAlign w:val="superscript"/>
          <w:lang w:val="fr-FR"/>
        </w:rPr>
        <w:t>e</w:t>
      </w:r>
      <w:r w:rsidR="00B0451C" w:rsidRPr="004D763E">
        <w:rPr>
          <w:lang w:val="fr-FR"/>
        </w:rPr>
        <w:t> session</w:t>
      </w:r>
      <w:r w:rsidRPr="004D763E">
        <w:rPr>
          <w:lang w:val="fr-FR"/>
        </w:rPr>
        <w:t>);  du 9 au 13 </w:t>
      </w:r>
      <w:r w:rsidR="00B0451C" w:rsidRPr="004D763E">
        <w:rPr>
          <w:lang w:val="fr-FR"/>
        </w:rPr>
        <w:t>décembre 20</w:t>
      </w:r>
      <w:r w:rsidRPr="004D763E">
        <w:rPr>
          <w:lang w:val="fr-FR"/>
        </w:rPr>
        <w:t>24 (</w:t>
      </w:r>
      <w:r w:rsidR="008A09FB" w:rsidRPr="004D763E">
        <w:rPr>
          <w:lang w:val="fr-FR"/>
        </w:rPr>
        <w:t>75</w:t>
      </w:r>
      <w:r w:rsidR="008A09FB" w:rsidRPr="004D763E">
        <w:rPr>
          <w:vertAlign w:val="superscript"/>
          <w:lang w:val="fr-FR"/>
        </w:rPr>
        <w:t>e</w:t>
      </w:r>
      <w:r w:rsidR="00B0451C" w:rsidRPr="004D763E">
        <w:rPr>
          <w:lang w:val="fr-FR"/>
        </w:rPr>
        <w:t> session</w:t>
      </w:r>
      <w:r w:rsidRPr="004D763E">
        <w:rPr>
          <w:lang w:val="fr-FR"/>
        </w:rPr>
        <w:t>) et du 24 au 28 mars 2025 (</w:t>
      </w:r>
      <w:r w:rsidR="008A09FB" w:rsidRPr="004D763E">
        <w:rPr>
          <w:lang w:val="fr-FR"/>
        </w:rPr>
        <w:t>76</w:t>
      </w:r>
      <w:r w:rsidR="008A09FB" w:rsidRPr="004D763E">
        <w:rPr>
          <w:vertAlign w:val="superscript"/>
          <w:lang w:val="fr-FR"/>
        </w:rPr>
        <w:t>e</w:t>
      </w:r>
      <w:r w:rsidR="00B0451C" w:rsidRPr="004D763E">
        <w:rPr>
          <w:lang w:val="fr-FR"/>
        </w:rPr>
        <w:t> sessi</w:t>
      </w:r>
      <w:r w:rsidR="004D763E" w:rsidRPr="004D763E">
        <w:rPr>
          <w:lang w:val="fr-FR"/>
        </w:rPr>
        <w:t>on).  Co</w:t>
      </w:r>
      <w:r w:rsidRPr="004D763E">
        <w:rPr>
          <w:lang w:val="fr-FR"/>
        </w:rPr>
        <w:t>nformément à son mandat, l</w:t>
      </w:r>
      <w:r w:rsidR="00155EA0" w:rsidRPr="004D763E">
        <w:rPr>
          <w:lang w:val="fr-FR"/>
        </w:rPr>
        <w:t>’</w:t>
      </w:r>
      <w:r w:rsidRPr="004D763E">
        <w:rPr>
          <w:lang w:val="fr-FR"/>
        </w:rPr>
        <w:t>Organe a tenu une réunion d</w:t>
      </w:r>
      <w:r w:rsidR="00155EA0" w:rsidRPr="004D763E">
        <w:rPr>
          <w:lang w:val="fr-FR"/>
        </w:rPr>
        <w:t>’</w:t>
      </w:r>
      <w:r w:rsidRPr="004D763E">
        <w:rPr>
          <w:lang w:val="fr-FR"/>
        </w:rPr>
        <w:t>information avec les représentants des États membres après chaque sessi</w:t>
      </w:r>
      <w:r w:rsidR="004D763E" w:rsidRPr="004D763E">
        <w:rPr>
          <w:lang w:val="fr-FR"/>
        </w:rPr>
        <w:t>on.  Le</w:t>
      </w:r>
      <w:r w:rsidRPr="004D763E">
        <w:rPr>
          <w:lang w:val="fr-FR"/>
        </w:rPr>
        <w:t>s rapports de toutes les sessions de l</w:t>
      </w:r>
      <w:r w:rsidR="00155EA0" w:rsidRPr="004D763E">
        <w:rPr>
          <w:lang w:val="fr-FR"/>
        </w:rPr>
        <w:t>’</w:t>
      </w:r>
      <w:r w:rsidRPr="004D763E">
        <w:rPr>
          <w:lang w:val="fr-FR"/>
        </w:rPr>
        <w:t>OCIS sont publiés sur le site Web de l</w:t>
      </w:r>
      <w:r w:rsidR="00155EA0" w:rsidRPr="004D763E">
        <w:rPr>
          <w:lang w:val="fr-FR"/>
        </w:rPr>
        <w:t>’</w:t>
      </w:r>
      <w:r w:rsidRPr="004D763E">
        <w:rPr>
          <w:lang w:val="fr-FR"/>
        </w:rPr>
        <w:t>OMPI.</w:t>
      </w:r>
    </w:p>
    <w:p w14:paraId="3FC72B26" w14:textId="77777777" w:rsidR="00FD177E" w:rsidRPr="004D763E" w:rsidRDefault="0065085D" w:rsidP="00FD177E">
      <w:pPr>
        <w:pStyle w:val="Heading4"/>
      </w:pPr>
      <w:r w:rsidRPr="004D763E">
        <w:t>Composition et procédure de sélection des nouveaux membres</w:t>
      </w:r>
    </w:p>
    <w:p w14:paraId="66335BA3" w14:textId="16CC3D2F" w:rsidR="00FD177E" w:rsidRPr="004D763E" w:rsidRDefault="0065085D" w:rsidP="00FD177E">
      <w:pPr>
        <w:pStyle w:val="ONUMFS"/>
        <w:rPr>
          <w:rFonts w:eastAsia="Arial"/>
          <w:lang w:val="fr-FR"/>
        </w:rPr>
      </w:pPr>
      <w:r w:rsidRPr="004D763E">
        <w:rPr>
          <w:lang w:val="fr-FR"/>
        </w:rPr>
        <w:t>L</w:t>
      </w:r>
      <w:r w:rsidR="00155EA0" w:rsidRPr="004D763E">
        <w:rPr>
          <w:lang w:val="fr-FR"/>
        </w:rPr>
        <w:t>’</w:t>
      </w:r>
      <w:r w:rsidRPr="004D763E">
        <w:rPr>
          <w:lang w:val="fr-FR"/>
        </w:rPr>
        <w:t>OCIS comp</w:t>
      </w:r>
      <w:r w:rsidR="008A09FB" w:rsidRPr="004D763E">
        <w:rPr>
          <w:lang w:val="fr-FR"/>
        </w:rPr>
        <w:t>te</w:t>
      </w:r>
      <w:r w:rsidRPr="004D763E">
        <w:rPr>
          <w:lang w:val="fr-FR"/>
        </w:rPr>
        <w:t xml:space="preserve"> sept membres issus </w:t>
      </w:r>
      <w:r w:rsidR="008A09FB" w:rsidRPr="004D763E">
        <w:rPr>
          <w:lang w:val="fr-FR"/>
        </w:rPr>
        <w:t>d</w:t>
      </w:r>
      <w:r w:rsidR="009A5207">
        <w:rPr>
          <w:lang w:val="fr-FR"/>
        </w:rPr>
        <w:t>’</w:t>
      </w:r>
      <w:r w:rsidRPr="004D763E">
        <w:rPr>
          <w:lang w:val="fr-FR"/>
        </w:rPr>
        <w:t>États membres de l</w:t>
      </w:r>
      <w:r w:rsidR="00155EA0" w:rsidRPr="004D763E">
        <w:rPr>
          <w:lang w:val="fr-FR"/>
        </w:rPr>
        <w:t>’</w:t>
      </w:r>
      <w:r w:rsidRPr="004D763E">
        <w:rPr>
          <w:lang w:val="fr-FR"/>
        </w:rPr>
        <w:t>O</w:t>
      </w:r>
      <w:r w:rsidR="004D763E" w:rsidRPr="004D763E">
        <w:rPr>
          <w:lang w:val="fr-FR"/>
        </w:rPr>
        <w:t>MPI.  Ce</w:t>
      </w:r>
      <w:r w:rsidRPr="004D763E">
        <w:rPr>
          <w:lang w:val="fr-FR"/>
        </w:rPr>
        <w:t>s membres siègent à titre personnel et de manière indépendante par rapport aux États membr</w:t>
      </w:r>
      <w:r w:rsidR="004D763E" w:rsidRPr="004D763E">
        <w:rPr>
          <w:lang w:val="fr-FR"/>
        </w:rPr>
        <w:t xml:space="preserve">es.  À </w:t>
      </w:r>
      <w:r w:rsidRPr="004D763E">
        <w:rPr>
          <w:lang w:val="fr-FR"/>
        </w:rPr>
        <w:t>sa soixante</w:t>
      </w:r>
      <w:r w:rsidR="004D763E">
        <w:rPr>
          <w:lang w:val="fr-FR"/>
        </w:rPr>
        <w:noBreakHyphen/>
      </w:r>
      <w:r w:rsidRPr="004D763E">
        <w:rPr>
          <w:lang w:val="fr-FR"/>
        </w:rPr>
        <w:t>quinz</w:t>
      </w:r>
      <w:r w:rsidR="00155EA0" w:rsidRPr="004D763E">
        <w:rPr>
          <w:lang w:val="fr-FR"/>
        </w:rPr>
        <w:t>ième session</w:t>
      </w:r>
      <w:r w:rsidRPr="004D763E">
        <w:rPr>
          <w:lang w:val="fr-FR"/>
        </w:rPr>
        <w:t xml:space="preserve"> en </w:t>
      </w:r>
      <w:r w:rsidR="00B0451C" w:rsidRPr="004D763E">
        <w:rPr>
          <w:lang w:val="fr-FR"/>
        </w:rPr>
        <w:t>décembre 20</w:t>
      </w:r>
      <w:r w:rsidRPr="004D763E">
        <w:rPr>
          <w:lang w:val="fr-FR"/>
        </w:rPr>
        <w:t>24, conformément à son mandat, l</w:t>
      </w:r>
      <w:r w:rsidR="00155EA0" w:rsidRPr="004D763E">
        <w:rPr>
          <w:lang w:val="fr-FR"/>
        </w:rPr>
        <w:t>’</w:t>
      </w:r>
      <w:r w:rsidRPr="004D763E">
        <w:rPr>
          <w:lang w:val="fr-FR"/>
        </w:rPr>
        <w:t>OCIS a élu M. David Kanja président et M. Kamlesh Vikamsey vice</w:t>
      </w:r>
      <w:r w:rsidR="004D763E">
        <w:rPr>
          <w:lang w:val="fr-FR"/>
        </w:rPr>
        <w:noBreakHyphen/>
      </w:r>
      <w:r w:rsidRPr="004D763E">
        <w:rPr>
          <w:lang w:val="fr-FR"/>
        </w:rPr>
        <w:t>président.  M. Bert Keuppens a été président de la soixante</w:t>
      </w:r>
      <w:r w:rsidR="004D763E">
        <w:rPr>
          <w:lang w:val="fr-FR"/>
        </w:rPr>
        <w:noBreakHyphen/>
      </w:r>
      <w:r w:rsidRPr="004D763E">
        <w:rPr>
          <w:lang w:val="fr-FR"/>
        </w:rPr>
        <w:t>douzième à la soixante</w:t>
      </w:r>
      <w:r w:rsidR="004D763E">
        <w:rPr>
          <w:lang w:val="fr-FR"/>
        </w:rPr>
        <w:noBreakHyphen/>
      </w:r>
      <w:r w:rsidRPr="004D763E">
        <w:rPr>
          <w:lang w:val="fr-FR"/>
        </w:rPr>
        <w:t>quinz</w:t>
      </w:r>
      <w:r w:rsidR="00155EA0" w:rsidRPr="004D763E">
        <w:rPr>
          <w:lang w:val="fr-FR"/>
        </w:rPr>
        <w:t>ième session</w:t>
      </w:r>
      <w:r w:rsidRPr="004D763E">
        <w:rPr>
          <w:lang w:val="fr-FR"/>
        </w:rPr>
        <w:t xml:space="preserve">, M. Kanja </w:t>
      </w:r>
      <w:r w:rsidR="00EF0B73" w:rsidRPr="004D763E">
        <w:rPr>
          <w:lang w:val="fr-FR"/>
        </w:rPr>
        <w:t>ayant été élu</w:t>
      </w:r>
      <w:r w:rsidRPr="004D763E">
        <w:rPr>
          <w:lang w:val="fr-FR"/>
        </w:rPr>
        <w:t xml:space="preserve"> vice</w:t>
      </w:r>
      <w:r w:rsidR="004D763E">
        <w:rPr>
          <w:lang w:val="fr-FR"/>
        </w:rPr>
        <w:noBreakHyphen/>
      </w:r>
      <w:r w:rsidRPr="004D763E">
        <w:rPr>
          <w:lang w:val="fr-FR"/>
        </w:rPr>
        <w:t>président.</w:t>
      </w:r>
    </w:p>
    <w:p w14:paraId="0DF88503" w14:textId="37AD8EC7" w:rsidR="00FD177E" w:rsidRPr="004D763E" w:rsidRDefault="0065085D" w:rsidP="00FD177E">
      <w:pPr>
        <w:pStyle w:val="ONUMFS"/>
        <w:rPr>
          <w:lang w:val="fr-FR"/>
        </w:rPr>
      </w:pPr>
      <w:r w:rsidRPr="004D763E">
        <w:rPr>
          <w:lang w:val="fr-FR"/>
        </w:rPr>
        <w:t>Conformément à la procédure de sélection décrite à l</w:t>
      </w:r>
      <w:r w:rsidR="00155EA0" w:rsidRPr="004D763E">
        <w:rPr>
          <w:lang w:val="fr-FR"/>
        </w:rPr>
        <w:t>’</w:t>
      </w:r>
      <w:r w:rsidRPr="004D763E">
        <w:rPr>
          <w:lang w:val="fr-FR"/>
        </w:rPr>
        <w:t>annexe IV du Règlement financier et du règlement d</w:t>
      </w:r>
      <w:r w:rsidR="00155EA0" w:rsidRPr="004D763E">
        <w:rPr>
          <w:lang w:val="fr-FR"/>
        </w:rPr>
        <w:t>’</w:t>
      </w:r>
      <w:r w:rsidRPr="004D763E">
        <w:rPr>
          <w:lang w:val="fr-FR"/>
        </w:rPr>
        <w:t>exécution du Règlement financier de l</w:t>
      </w:r>
      <w:r w:rsidR="00155EA0" w:rsidRPr="004D763E">
        <w:rPr>
          <w:lang w:val="fr-FR"/>
        </w:rPr>
        <w:t>’</w:t>
      </w:r>
      <w:r w:rsidRPr="004D763E">
        <w:rPr>
          <w:lang w:val="fr-FR"/>
        </w:rPr>
        <w:t>OMPI, l</w:t>
      </w:r>
      <w:r w:rsidR="00155EA0" w:rsidRPr="004D763E">
        <w:rPr>
          <w:lang w:val="fr-FR"/>
        </w:rPr>
        <w:t>’</w:t>
      </w:r>
      <w:r w:rsidRPr="004D763E">
        <w:rPr>
          <w:lang w:val="fr-FR"/>
        </w:rPr>
        <w:t xml:space="preserve">OCIS est actuellement composé des membres </w:t>
      </w:r>
      <w:proofErr w:type="spellStart"/>
      <w:r w:rsidRPr="004D763E">
        <w:rPr>
          <w:lang w:val="fr-FR"/>
        </w:rPr>
        <w:t>ci</w:t>
      </w:r>
      <w:r w:rsidR="004D763E">
        <w:noBreakHyphen/>
      </w:r>
      <w:r w:rsidRPr="004D763E">
        <w:rPr>
          <w:lang w:val="fr-FR"/>
        </w:rPr>
        <w:t>après</w:t>
      </w:r>
      <w:proofErr w:type="spellEnd"/>
      <w:r w:rsidR="00155EA0" w:rsidRPr="004D763E">
        <w:rPr>
          <w:lang w:val="fr-FR"/>
        </w:rPr>
        <w:t> :</w:t>
      </w:r>
    </w:p>
    <w:p w14:paraId="58E62EE4" w14:textId="5B4F583A" w:rsidR="0065085D" w:rsidRPr="004D763E" w:rsidRDefault="0065085D" w:rsidP="00FD177E">
      <w:pPr>
        <w:pStyle w:val="ONUMFS"/>
        <w:numPr>
          <w:ilvl w:val="0"/>
          <w:numId w:val="18"/>
        </w:numPr>
        <w:spacing w:after="0"/>
        <w:ind w:left="1134" w:hanging="567"/>
        <w:rPr>
          <w:rFonts w:eastAsia="Courier New"/>
          <w:lang w:val="fr-FR"/>
        </w:rPr>
      </w:pPr>
      <w:r w:rsidRPr="004D763E">
        <w:rPr>
          <w:lang w:val="fr-FR"/>
        </w:rPr>
        <w:t>M. David Kanja, président (groupe des pays africains);</w:t>
      </w:r>
    </w:p>
    <w:p w14:paraId="11A1CBD4" w14:textId="1B2EF8C6" w:rsidR="0065085D" w:rsidRPr="004D763E" w:rsidRDefault="0065085D" w:rsidP="00FD177E">
      <w:pPr>
        <w:pStyle w:val="ONUMFS"/>
        <w:numPr>
          <w:ilvl w:val="0"/>
          <w:numId w:val="18"/>
        </w:numPr>
        <w:spacing w:after="0"/>
        <w:ind w:left="1134" w:hanging="567"/>
        <w:rPr>
          <w:rFonts w:eastAsia="Courier New"/>
          <w:lang w:val="fr-FR"/>
        </w:rPr>
      </w:pPr>
      <w:r w:rsidRPr="004D763E">
        <w:rPr>
          <w:lang w:val="fr-FR"/>
        </w:rPr>
        <w:t>M. Kamlesh Vikamsey, vice</w:t>
      </w:r>
      <w:r w:rsidR="004D763E">
        <w:rPr>
          <w:lang w:val="fr-FR"/>
        </w:rPr>
        <w:noBreakHyphen/>
      </w:r>
      <w:r w:rsidRPr="004D763E">
        <w:rPr>
          <w:lang w:val="fr-FR"/>
        </w:rPr>
        <w:t>président (groupe des pays d</w:t>
      </w:r>
      <w:r w:rsidR="00155EA0" w:rsidRPr="004D763E">
        <w:rPr>
          <w:lang w:val="fr-FR"/>
        </w:rPr>
        <w:t>’</w:t>
      </w:r>
      <w:r w:rsidRPr="004D763E">
        <w:rPr>
          <w:lang w:val="fr-FR"/>
        </w:rPr>
        <w:t>Asie et du Pacifique);</w:t>
      </w:r>
    </w:p>
    <w:p w14:paraId="0715462E" w14:textId="7893B89C" w:rsidR="0065085D" w:rsidRPr="004D763E" w:rsidRDefault="0065085D" w:rsidP="00FD177E">
      <w:pPr>
        <w:pStyle w:val="ONUMFS"/>
        <w:numPr>
          <w:ilvl w:val="0"/>
          <w:numId w:val="18"/>
        </w:numPr>
        <w:spacing w:after="0"/>
        <w:ind w:left="1134" w:hanging="567"/>
        <w:rPr>
          <w:rFonts w:eastAsia="Courier New"/>
          <w:lang w:val="fr-FR"/>
        </w:rPr>
      </w:pPr>
      <w:r w:rsidRPr="004D763E">
        <w:rPr>
          <w:lang w:val="fr-FR"/>
        </w:rPr>
        <w:t>M. Bert Keuppens (groupe</w:t>
      </w:r>
      <w:r w:rsidR="001D6F62" w:rsidRPr="004D763E">
        <w:rPr>
          <w:lang w:val="fr-FR"/>
        </w:rPr>
        <w:t> </w:t>
      </w:r>
      <w:r w:rsidRPr="004D763E">
        <w:rPr>
          <w:lang w:val="fr-FR"/>
        </w:rPr>
        <w:t>B);</w:t>
      </w:r>
    </w:p>
    <w:p w14:paraId="56321519" w14:textId="69AFB5EA" w:rsidR="0065085D" w:rsidRPr="004D763E" w:rsidRDefault="0065085D" w:rsidP="00FD177E">
      <w:pPr>
        <w:pStyle w:val="ONUMFS"/>
        <w:numPr>
          <w:ilvl w:val="0"/>
          <w:numId w:val="18"/>
        </w:numPr>
        <w:spacing w:after="0"/>
        <w:ind w:left="1134" w:hanging="567"/>
        <w:rPr>
          <w:rFonts w:eastAsia="Courier New"/>
          <w:lang w:val="fr-FR"/>
        </w:rPr>
      </w:pPr>
      <w:r w:rsidRPr="004D763E">
        <w:rPr>
          <w:lang w:val="fr-FR"/>
        </w:rPr>
        <w:t>M. Danil Kerimi (groupe des pays d</w:t>
      </w:r>
      <w:r w:rsidR="00155EA0" w:rsidRPr="004D763E">
        <w:rPr>
          <w:lang w:val="fr-FR"/>
        </w:rPr>
        <w:t>’</w:t>
      </w:r>
      <w:r w:rsidRPr="004D763E">
        <w:rPr>
          <w:lang w:val="fr-FR"/>
        </w:rPr>
        <w:t>Asie centrale, du Caucase et d</w:t>
      </w:r>
      <w:r w:rsidR="00155EA0" w:rsidRPr="004D763E">
        <w:rPr>
          <w:lang w:val="fr-FR"/>
        </w:rPr>
        <w:t>’</w:t>
      </w:r>
      <w:r w:rsidRPr="004D763E">
        <w:rPr>
          <w:lang w:val="fr-FR"/>
        </w:rPr>
        <w:t>Europe orientale);</w:t>
      </w:r>
    </w:p>
    <w:p w14:paraId="5A60375F" w14:textId="59ECB2B7" w:rsidR="0065085D" w:rsidRPr="004D763E" w:rsidRDefault="0065085D" w:rsidP="00FD177E">
      <w:pPr>
        <w:pStyle w:val="ONUMFS"/>
        <w:numPr>
          <w:ilvl w:val="0"/>
          <w:numId w:val="18"/>
        </w:numPr>
        <w:spacing w:after="0"/>
        <w:ind w:left="1134" w:hanging="567"/>
        <w:rPr>
          <w:rFonts w:eastAsia="Courier New"/>
          <w:lang w:val="fr-FR"/>
        </w:rPr>
      </w:pPr>
      <w:r w:rsidRPr="004D763E">
        <w:rPr>
          <w:lang w:val="fr-FR"/>
        </w:rPr>
        <w:t>M. Igors </w:t>
      </w:r>
      <w:proofErr w:type="spellStart"/>
      <w:r w:rsidRPr="004D763E">
        <w:rPr>
          <w:lang w:val="fr-FR"/>
        </w:rPr>
        <w:t>Ludboržs</w:t>
      </w:r>
      <w:proofErr w:type="spellEnd"/>
      <w:r w:rsidRPr="004D763E">
        <w:rPr>
          <w:lang w:val="fr-FR"/>
        </w:rPr>
        <w:t xml:space="preserve"> (groupe des pays d</w:t>
      </w:r>
      <w:r w:rsidR="00155EA0" w:rsidRPr="004D763E">
        <w:rPr>
          <w:lang w:val="fr-FR"/>
        </w:rPr>
        <w:t>’</w:t>
      </w:r>
      <w:r w:rsidRPr="004D763E">
        <w:rPr>
          <w:lang w:val="fr-FR"/>
        </w:rPr>
        <w:t>Europe centrale et des États baltes);</w:t>
      </w:r>
    </w:p>
    <w:p w14:paraId="383928CE" w14:textId="77777777" w:rsidR="0065085D" w:rsidRPr="004D763E" w:rsidRDefault="0065085D" w:rsidP="00FD177E">
      <w:pPr>
        <w:pStyle w:val="ONUMFS"/>
        <w:numPr>
          <w:ilvl w:val="0"/>
          <w:numId w:val="18"/>
        </w:numPr>
        <w:spacing w:after="0"/>
        <w:ind w:left="1134" w:hanging="567"/>
        <w:rPr>
          <w:rFonts w:eastAsia="Courier New"/>
          <w:lang w:val="fr-FR"/>
        </w:rPr>
      </w:pPr>
      <w:r w:rsidRPr="004D763E">
        <w:rPr>
          <w:lang w:val="fr-FR"/>
        </w:rPr>
        <w:t>M. Guan Jian (Chine);  et</w:t>
      </w:r>
    </w:p>
    <w:p w14:paraId="0F23EFC2" w14:textId="1BE76563" w:rsidR="00FD177E" w:rsidRPr="004D763E" w:rsidRDefault="0065085D" w:rsidP="00FD177E">
      <w:pPr>
        <w:pStyle w:val="ONUMFS"/>
        <w:numPr>
          <w:ilvl w:val="0"/>
          <w:numId w:val="18"/>
        </w:numPr>
        <w:ind w:left="1134" w:hanging="567"/>
        <w:rPr>
          <w:rFonts w:eastAsia="Courier New"/>
          <w:lang w:val="fr-FR"/>
        </w:rPr>
      </w:pPr>
      <w:r w:rsidRPr="004D763E">
        <w:rPr>
          <w:lang w:val="fr-FR"/>
        </w:rPr>
        <w:t>M. German Deffit (groupe des pays d</w:t>
      </w:r>
      <w:r w:rsidR="00155EA0" w:rsidRPr="004D763E">
        <w:rPr>
          <w:lang w:val="fr-FR"/>
        </w:rPr>
        <w:t>’</w:t>
      </w:r>
      <w:r w:rsidRPr="004D763E">
        <w:rPr>
          <w:lang w:val="fr-FR"/>
        </w:rPr>
        <w:t>Amérique latine et des Caraïbes (GRULAC)).</w:t>
      </w:r>
    </w:p>
    <w:p w14:paraId="681A7C40" w14:textId="1088F186" w:rsidR="00FD177E" w:rsidRPr="004D763E" w:rsidRDefault="0065085D" w:rsidP="00FD177E">
      <w:pPr>
        <w:pStyle w:val="ONUMFS"/>
        <w:rPr>
          <w:szCs w:val="22"/>
          <w:lang w:val="fr-FR"/>
        </w:rPr>
      </w:pPr>
      <w:r w:rsidRPr="004D763E">
        <w:rPr>
          <w:lang w:val="fr-FR"/>
        </w:rPr>
        <w:t>La composition de l</w:t>
      </w:r>
      <w:r w:rsidR="00155EA0" w:rsidRPr="004D763E">
        <w:rPr>
          <w:lang w:val="fr-FR"/>
        </w:rPr>
        <w:t>’</w:t>
      </w:r>
      <w:r w:rsidRPr="004D763E">
        <w:rPr>
          <w:lang w:val="fr-FR"/>
        </w:rPr>
        <w:t>OCIS respecte une combinaison et un équilibre appropriés en termes de compétences, de connaissances et d</w:t>
      </w:r>
      <w:r w:rsidR="00155EA0" w:rsidRPr="004D763E">
        <w:rPr>
          <w:lang w:val="fr-FR"/>
        </w:rPr>
        <w:t>’</w:t>
      </w:r>
      <w:r w:rsidRPr="004D763E">
        <w:rPr>
          <w:lang w:val="fr-FR"/>
        </w:rPr>
        <w:t>expérience.</w:t>
      </w:r>
    </w:p>
    <w:p w14:paraId="4D402380" w14:textId="544557E7" w:rsidR="00FD177E" w:rsidRPr="004D763E" w:rsidRDefault="0065085D" w:rsidP="00FD177E">
      <w:pPr>
        <w:pStyle w:val="ONUMFS"/>
        <w:rPr>
          <w:rFonts w:eastAsia="Arial"/>
          <w:lang w:val="fr-FR"/>
        </w:rPr>
      </w:pPr>
      <w:r w:rsidRPr="004D763E">
        <w:rPr>
          <w:lang w:val="fr-FR"/>
        </w:rPr>
        <w:t>À sa soixante</w:t>
      </w:r>
      <w:r w:rsidR="004D763E">
        <w:rPr>
          <w:lang w:val="fr-FR"/>
        </w:rPr>
        <w:noBreakHyphen/>
      </w:r>
      <w:r w:rsidRPr="004D763E">
        <w:rPr>
          <w:lang w:val="fr-FR"/>
        </w:rPr>
        <w:t>seiz</w:t>
      </w:r>
      <w:r w:rsidR="00155EA0" w:rsidRPr="004D763E">
        <w:rPr>
          <w:lang w:val="fr-FR"/>
        </w:rPr>
        <w:t>ième session</w:t>
      </w:r>
      <w:r w:rsidRPr="004D763E">
        <w:rPr>
          <w:lang w:val="fr-FR"/>
        </w:rPr>
        <w:t>, l</w:t>
      </w:r>
      <w:r w:rsidR="00155EA0" w:rsidRPr="004D763E">
        <w:rPr>
          <w:lang w:val="fr-FR"/>
        </w:rPr>
        <w:t>’</w:t>
      </w:r>
      <w:r w:rsidRPr="004D763E">
        <w:rPr>
          <w:lang w:val="fr-FR"/>
        </w:rPr>
        <w:t>OCIS a demandé au secrétaire du jury de sélection de lui fournir des informations actualisées sur l</w:t>
      </w:r>
      <w:r w:rsidR="00155EA0" w:rsidRPr="004D763E">
        <w:rPr>
          <w:lang w:val="fr-FR"/>
        </w:rPr>
        <w:t>’</w:t>
      </w:r>
      <w:r w:rsidRPr="004D763E">
        <w:rPr>
          <w:lang w:val="fr-FR"/>
        </w:rPr>
        <w:t>état d</w:t>
      </w:r>
      <w:r w:rsidR="00155EA0" w:rsidRPr="004D763E">
        <w:rPr>
          <w:lang w:val="fr-FR"/>
        </w:rPr>
        <w:t>’</w:t>
      </w:r>
      <w:r w:rsidRPr="004D763E">
        <w:rPr>
          <w:lang w:val="fr-FR"/>
        </w:rPr>
        <w:t>avancement de la procédure de sélection des nouveaux membres de l</w:t>
      </w:r>
      <w:r w:rsidR="00155EA0" w:rsidRPr="004D763E">
        <w:rPr>
          <w:lang w:val="fr-FR"/>
        </w:rPr>
        <w:t>’</w:t>
      </w:r>
      <w:r w:rsidRPr="004D763E">
        <w:rPr>
          <w:lang w:val="fr-FR"/>
        </w:rPr>
        <w:t>OCIS.  L</w:t>
      </w:r>
      <w:r w:rsidR="00155EA0" w:rsidRPr="004D763E">
        <w:rPr>
          <w:lang w:val="fr-FR"/>
        </w:rPr>
        <w:t>’</w:t>
      </w:r>
      <w:r w:rsidRPr="004D763E">
        <w:rPr>
          <w:lang w:val="fr-FR"/>
        </w:rPr>
        <w:t>OCIS a terminé son évaluation des candidats remplissant les conditions requises en utilisant une grille d</w:t>
      </w:r>
      <w:r w:rsidR="00155EA0" w:rsidRPr="004D763E">
        <w:rPr>
          <w:lang w:val="fr-FR"/>
        </w:rPr>
        <w:t>’</w:t>
      </w:r>
      <w:r w:rsidRPr="004D763E">
        <w:rPr>
          <w:lang w:val="fr-FR"/>
        </w:rPr>
        <w:t>évaluation fournie par le jury de sélection et sur laquelle l</w:t>
      </w:r>
      <w:r w:rsidR="00155EA0" w:rsidRPr="004D763E">
        <w:rPr>
          <w:lang w:val="fr-FR"/>
        </w:rPr>
        <w:t>’</w:t>
      </w:r>
      <w:r w:rsidRPr="004D763E">
        <w:rPr>
          <w:lang w:val="fr-FR"/>
        </w:rPr>
        <w:t>OCIS avait été consulté.  L</w:t>
      </w:r>
      <w:r w:rsidR="00155EA0" w:rsidRPr="004D763E">
        <w:rPr>
          <w:lang w:val="fr-FR"/>
        </w:rPr>
        <w:t>’</w:t>
      </w:r>
      <w:r w:rsidRPr="004D763E">
        <w:rPr>
          <w:lang w:val="fr-FR"/>
        </w:rPr>
        <w:t>OCIS s</w:t>
      </w:r>
      <w:r w:rsidR="00155EA0" w:rsidRPr="004D763E">
        <w:rPr>
          <w:lang w:val="fr-FR"/>
        </w:rPr>
        <w:t>’</w:t>
      </w:r>
      <w:r w:rsidRPr="004D763E">
        <w:rPr>
          <w:lang w:val="fr-FR"/>
        </w:rPr>
        <w:t>est également entretenu avec le secrétaire du jury de sélection sur les améliorations qui pourraient être apportées à la procédure de sélection des candidats remplissant les conditions requises.</w:t>
      </w:r>
    </w:p>
    <w:p w14:paraId="5730267B" w14:textId="77777777" w:rsidR="00FD177E" w:rsidRPr="004D763E" w:rsidRDefault="0065085D" w:rsidP="00FD177E">
      <w:pPr>
        <w:pStyle w:val="Heading4"/>
      </w:pPr>
      <w:r w:rsidRPr="004D763E">
        <w:t>Méthode de travail</w:t>
      </w:r>
    </w:p>
    <w:p w14:paraId="7651959B" w14:textId="6D67518F" w:rsidR="00FD177E" w:rsidRPr="004D763E" w:rsidRDefault="0065085D" w:rsidP="00FD177E">
      <w:pPr>
        <w:pStyle w:val="ONUMFS"/>
        <w:rPr>
          <w:rFonts w:eastAsia="Arial"/>
          <w:lang w:val="fr-FR"/>
        </w:rPr>
      </w:pPr>
      <w:r w:rsidRPr="004D763E">
        <w:rPr>
          <w:lang w:val="fr-FR"/>
        </w:rPr>
        <w:t>L</w:t>
      </w:r>
      <w:r w:rsidR="00155EA0" w:rsidRPr="004D763E">
        <w:rPr>
          <w:lang w:val="fr-FR"/>
        </w:rPr>
        <w:t>’</w:t>
      </w:r>
      <w:r w:rsidRPr="004D763E">
        <w:rPr>
          <w:lang w:val="fr-FR"/>
        </w:rPr>
        <w:t>OCIS fournit des avis dans le cadre de son action auprès du Directeur général, du personnel du Secrétariat et du vérificateur externe des comptes, compte tenu principalement des rapports et des renseignements qui lui sont fourn</w:t>
      </w:r>
      <w:r w:rsidR="004D763E" w:rsidRPr="004D763E">
        <w:rPr>
          <w:lang w:val="fr-FR"/>
        </w:rPr>
        <w:t>is.  Il</w:t>
      </w:r>
      <w:r w:rsidRPr="004D763E">
        <w:rPr>
          <w:lang w:val="fr-FR"/>
        </w:rPr>
        <w:t xml:space="preserve"> procède également à des délibérations sur des questions pertinentes pour procéder à ses évaluations et adopter ses conclusions.</w:t>
      </w:r>
    </w:p>
    <w:p w14:paraId="22791369" w14:textId="4F78C336" w:rsidR="00FD177E" w:rsidRPr="004D763E" w:rsidRDefault="0065085D" w:rsidP="00FD177E">
      <w:pPr>
        <w:pStyle w:val="ONUMFS"/>
        <w:rPr>
          <w:lang w:val="fr-FR"/>
        </w:rPr>
      </w:pPr>
      <w:r w:rsidRPr="004D763E">
        <w:rPr>
          <w:lang w:val="fr-FR"/>
        </w:rPr>
        <w:t>Au cours de la période considérée, l</w:t>
      </w:r>
      <w:r w:rsidR="00155EA0" w:rsidRPr="004D763E">
        <w:rPr>
          <w:lang w:val="fr-FR"/>
        </w:rPr>
        <w:t>’</w:t>
      </w:r>
      <w:r w:rsidRPr="004D763E">
        <w:rPr>
          <w:lang w:val="fr-FR"/>
        </w:rPr>
        <w:t>OCIS a tenu des séances d</w:t>
      </w:r>
      <w:r w:rsidR="00155EA0" w:rsidRPr="004D763E">
        <w:rPr>
          <w:lang w:val="fr-FR"/>
        </w:rPr>
        <w:t>’</w:t>
      </w:r>
      <w:r w:rsidRPr="004D763E">
        <w:rPr>
          <w:lang w:val="fr-FR"/>
        </w:rPr>
        <w:t>information avec le Directeur général ou le sous</w:t>
      </w:r>
      <w:r w:rsidR="004D763E">
        <w:rPr>
          <w:lang w:val="fr-FR"/>
        </w:rPr>
        <w:noBreakHyphen/>
      </w:r>
      <w:r w:rsidRPr="004D763E">
        <w:rPr>
          <w:lang w:val="fr-FR"/>
        </w:rPr>
        <w:t>directeur général chargé du Secteur administration, finances et gestion sur les principaux faits nouveaux, notamment l</w:t>
      </w:r>
      <w:r w:rsidR="00155EA0" w:rsidRPr="004D763E">
        <w:rPr>
          <w:lang w:val="fr-FR"/>
        </w:rPr>
        <w:t>’</w:t>
      </w:r>
      <w:r w:rsidRPr="004D763E">
        <w:rPr>
          <w:lang w:val="fr-FR"/>
        </w:rPr>
        <w:t>adoption réussie de deux</w:t>
      </w:r>
      <w:r w:rsidR="001D6F62" w:rsidRPr="004D763E">
        <w:rPr>
          <w:lang w:val="fr-FR"/>
        </w:rPr>
        <w:t> </w:t>
      </w:r>
      <w:r w:rsidRPr="004D763E">
        <w:rPr>
          <w:lang w:val="fr-FR"/>
        </w:rPr>
        <w:t>nouveaux traités;  la stabilité des résultats financiers de l</w:t>
      </w:r>
      <w:r w:rsidR="00155EA0" w:rsidRPr="004D763E">
        <w:rPr>
          <w:lang w:val="fr-FR"/>
        </w:rPr>
        <w:t>’</w:t>
      </w:r>
      <w:r w:rsidRPr="004D763E">
        <w:rPr>
          <w:lang w:val="fr-FR"/>
        </w:rPr>
        <w:t xml:space="preserve">OMPI dans le contexte général des tensions financières au sein du système des </w:t>
      </w:r>
      <w:r w:rsidR="00155EA0" w:rsidRPr="004D763E">
        <w:rPr>
          <w:lang w:val="fr-FR"/>
        </w:rPr>
        <w:t>Nations Unies</w:t>
      </w:r>
      <w:r w:rsidRPr="004D763E">
        <w:rPr>
          <w:lang w:val="fr-FR"/>
        </w:rPr>
        <w:t xml:space="preserve">;  les faits nouveaux intervenus au sein du système des </w:t>
      </w:r>
      <w:r w:rsidR="00155EA0" w:rsidRPr="004D763E">
        <w:rPr>
          <w:lang w:val="fr-FR"/>
        </w:rPr>
        <w:t>Nations Unies</w:t>
      </w:r>
      <w:r w:rsidRPr="004D763E">
        <w:rPr>
          <w:lang w:val="fr-FR"/>
        </w:rPr>
        <w:t xml:space="preserve"> concernant le financement et le multilatéralisme;  les projets du Secrétariat pour l</w:t>
      </w:r>
      <w:r w:rsidR="00155EA0" w:rsidRPr="004D763E">
        <w:rPr>
          <w:lang w:val="fr-FR"/>
        </w:rPr>
        <w:t>’</w:t>
      </w:r>
      <w:r w:rsidRPr="004D763E">
        <w:rPr>
          <w:lang w:val="fr-FR"/>
        </w:rPr>
        <w:t>établissement du budget du prochain exercice biennal;  et les efforts de l</w:t>
      </w:r>
      <w:r w:rsidR="00155EA0" w:rsidRPr="004D763E">
        <w:rPr>
          <w:lang w:val="fr-FR"/>
        </w:rPr>
        <w:t>’</w:t>
      </w:r>
      <w:r w:rsidRPr="004D763E">
        <w:rPr>
          <w:lang w:val="fr-FR"/>
        </w:rPr>
        <w:t>Organisation pour élever les discussions sur la politique en matière de propriété intellectuelle au niveau ministériel et au niveau des dirigeants.</w:t>
      </w:r>
    </w:p>
    <w:p w14:paraId="500C6C49" w14:textId="1A2543B7" w:rsidR="00FD177E" w:rsidRPr="004D763E" w:rsidRDefault="0065085D" w:rsidP="00FD177E">
      <w:pPr>
        <w:pStyle w:val="Heading4"/>
      </w:pPr>
      <w:r w:rsidRPr="004D763E">
        <w:t>Auto</w:t>
      </w:r>
      <w:r w:rsidR="004D763E">
        <w:noBreakHyphen/>
      </w:r>
      <w:r w:rsidRPr="004D763E">
        <w:t>évaluation de l</w:t>
      </w:r>
      <w:r w:rsidR="00155EA0" w:rsidRPr="004D763E">
        <w:t>’</w:t>
      </w:r>
      <w:r w:rsidRPr="004D763E">
        <w:t>OCIS</w:t>
      </w:r>
    </w:p>
    <w:p w14:paraId="12D63901" w14:textId="550EB89A" w:rsidR="00FD177E" w:rsidRPr="004D763E" w:rsidRDefault="0065085D" w:rsidP="00FD177E">
      <w:pPr>
        <w:pStyle w:val="ONUMFS"/>
        <w:rPr>
          <w:rFonts w:eastAsia="Arial"/>
          <w:lang w:val="fr-FR"/>
        </w:rPr>
      </w:pPr>
      <w:r w:rsidRPr="004D763E">
        <w:rPr>
          <w:lang w:val="fr-FR"/>
        </w:rPr>
        <w:t>À sa soixante</w:t>
      </w:r>
      <w:r w:rsidR="004D763E">
        <w:rPr>
          <w:lang w:val="fr-FR"/>
        </w:rPr>
        <w:noBreakHyphen/>
      </w:r>
      <w:r w:rsidRPr="004D763E">
        <w:rPr>
          <w:lang w:val="fr-FR"/>
        </w:rPr>
        <w:t>quinz</w:t>
      </w:r>
      <w:r w:rsidR="00155EA0" w:rsidRPr="004D763E">
        <w:rPr>
          <w:lang w:val="fr-FR"/>
        </w:rPr>
        <w:t>ième session</w:t>
      </w:r>
      <w:r w:rsidRPr="004D763E">
        <w:rPr>
          <w:lang w:val="fr-FR"/>
        </w:rPr>
        <w:t>, l</w:t>
      </w:r>
      <w:r w:rsidR="00155EA0" w:rsidRPr="004D763E">
        <w:rPr>
          <w:lang w:val="fr-FR"/>
        </w:rPr>
        <w:t>’</w:t>
      </w:r>
      <w:r w:rsidRPr="004D763E">
        <w:rPr>
          <w:lang w:val="fr-FR"/>
        </w:rPr>
        <w:t>OCIS a procédé à une auto</w:t>
      </w:r>
      <w:r w:rsidR="004D763E">
        <w:rPr>
          <w:lang w:val="fr-FR"/>
        </w:rPr>
        <w:noBreakHyphen/>
      </w:r>
      <w:r w:rsidRPr="004D763E">
        <w:rPr>
          <w:lang w:val="fr-FR"/>
        </w:rPr>
        <w:t>évaluation annuelle, conformément aux exigences stipulées dans son mandat.  L</w:t>
      </w:r>
      <w:r w:rsidR="00155EA0" w:rsidRPr="004D763E">
        <w:rPr>
          <w:lang w:val="fr-FR"/>
        </w:rPr>
        <w:t>’</w:t>
      </w:r>
      <w:r w:rsidRPr="004D763E">
        <w:rPr>
          <w:lang w:val="fr-FR"/>
        </w:rPr>
        <w:t>OCIS a fondé son auto</w:t>
      </w:r>
      <w:r w:rsidR="004D763E">
        <w:rPr>
          <w:lang w:val="fr-FR"/>
        </w:rPr>
        <w:noBreakHyphen/>
      </w:r>
      <w:r w:rsidRPr="004D763E">
        <w:rPr>
          <w:lang w:val="fr-FR"/>
        </w:rPr>
        <w:t>évaluation sur les 13 critères établis par le Corps commun d</w:t>
      </w:r>
      <w:r w:rsidR="00155EA0" w:rsidRPr="004D763E">
        <w:rPr>
          <w:lang w:val="fr-FR"/>
        </w:rPr>
        <w:t>’</w:t>
      </w:r>
      <w:r w:rsidRPr="004D763E">
        <w:rPr>
          <w:lang w:val="fr-FR"/>
        </w:rPr>
        <w:t>inspection concernant les bonnes pratiques des comités d</w:t>
      </w:r>
      <w:r w:rsidR="00155EA0" w:rsidRPr="004D763E">
        <w:rPr>
          <w:lang w:val="fr-FR"/>
        </w:rPr>
        <w:t>’</w:t>
      </w:r>
      <w:r w:rsidRPr="004D763E">
        <w:rPr>
          <w:lang w:val="fr-FR"/>
        </w:rPr>
        <w:t xml:space="preserve">audit et de contrôle des organisations du système des </w:t>
      </w:r>
      <w:r w:rsidR="00155EA0" w:rsidRPr="004D763E">
        <w:rPr>
          <w:lang w:val="fr-FR"/>
        </w:rPr>
        <w:t>Nations Unies</w:t>
      </w:r>
      <w:r w:rsidRPr="004D763E">
        <w:rPr>
          <w:lang w:val="fr-FR"/>
        </w:rPr>
        <w:t xml:space="preserve"> et a conclu qu</w:t>
      </w:r>
      <w:r w:rsidR="00155EA0" w:rsidRPr="004D763E">
        <w:rPr>
          <w:lang w:val="fr-FR"/>
        </w:rPr>
        <w:t>’</w:t>
      </w:r>
      <w:r w:rsidRPr="004D763E">
        <w:rPr>
          <w:lang w:val="fr-FR"/>
        </w:rPr>
        <w:t>il fonctionnait efficacement et qu</w:t>
      </w:r>
      <w:r w:rsidR="00155EA0" w:rsidRPr="004D763E">
        <w:rPr>
          <w:lang w:val="fr-FR"/>
        </w:rPr>
        <w:t>’</w:t>
      </w:r>
      <w:r w:rsidRPr="004D763E">
        <w:rPr>
          <w:lang w:val="fr-FR"/>
        </w:rPr>
        <w:t>il s</w:t>
      </w:r>
      <w:r w:rsidR="00155EA0" w:rsidRPr="004D763E">
        <w:rPr>
          <w:lang w:val="fr-FR"/>
        </w:rPr>
        <w:t>’</w:t>
      </w:r>
      <w:r w:rsidRPr="004D763E">
        <w:rPr>
          <w:lang w:val="fr-FR"/>
        </w:rPr>
        <w:t xml:space="preserve">acquittait de son mandat conformément aux meilleures pratiques en vigueur au sein du système des </w:t>
      </w:r>
      <w:r w:rsidR="00155EA0" w:rsidRPr="004D763E">
        <w:rPr>
          <w:lang w:val="fr-FR"/>
        </w:rPr>
        <w:t>Nations Uni</w:t>
      </w:r>
      <w:r w:rsidR="004D763E" w:rsidRPr="004D763E">
        <w:rPr>
          <w:lang w:val="fr-FR"/>
        </w:rPr>
        <w:t>es.  De</w:t>
      </w:r>
      <w:r w:rsidR="00EF0B73" w:rsidRPr="004D763E">
        <w:rPr>
          <w:lang w:val="fr-FR"/>
        </w:rPr>
        <w:t xml:space="preserve">s informations sur </w:t>
      </w:r>
      <w:r w:rsidRPr="004D763E">
        <w:rPr>
          <w:lang w:val="fr-FR"/>
        </w:rPr>
        <w:t xml:space="preserve">cette évaluation </w:t>
      </w:r>
      <w:r w:rsidR="00EF0B73" w:rsidRPr="004D763E">
        <w:rPr>
          <w:lang w:val="fr-FR"/>
        </w:rPr>
        <w:t xml:space="preserve">figurent dans le </w:t>
      </w:r>
      <w:r w:rsidRPr="004D763E">
        <w:rPr>
          <w:lang w:val="fr-FR"/>
        </w:rPr>
        <w:t>rapport sur la soixante</w:t>
      </w:r>
      <w:r w:rsidR="004D763E">
        <w:rPr>
          <w:lang w:val="fr-FR"/>
        </w:rPr>
        <w:noBreakHyphen/>
      </w:r>
      <w:r w:rsidRPr="004D763E">
        <w:rPr>
          <w:lang w:val="fr-FR"/>
        </w:rPr>
        <w:t>quinz</w:t>
      </w:r>
      <w:r w:rsidR="00155EA0" w:rsidRPr="004D763E">
        <w:rPr>
          <w:lang w:val="fr-FR"/>
        </w:rPr>
        <w:t>ième session</w:t>
      </w:r>
      <w:r w:rsidRPr="004D763E">
        <w:rPr>
          <w:lang w:val="fr-FR"/>
        </w:rPr>
        <w:t>.</w:t>
      </w:r>
    </w:p>
    <w:p w14:paraId="517DB275" w14:textId="39CC3416" w:rsidR="00FD177E" w:rsidRPr="004D763E" w:rsidRDefault="0065085D" w:rsidP="00FD177E">
      <w:pPr>
        <w:pStyle w:val="ONUMFS"/>
        <w:rPr>
          <w:rFonts w:eastAsia="Arial"/>
          <w:lang w:val="fr-FR"/>
        </w:rPr>
      </w:pPr>
      <w:r w:rsidRPr="004D763E">
        <w:rPr>
          <w:lang w:val="fr-FR"/>
        </w:rPr>
        <w:t>L</w:t>
      </w:r>
      <w:r w:rsidR="00155EA0" w:rsidRPr="004D763E">
        <w:rPr>
          <w:lang w:val="fr-FR"/>
        </w:rPr>
        <w:t>’</w:t>
      </w:r>
      <w:r w:rsidRPr="004D763E">
        <w:rPr>
          <w:lang w:val="fr-FR"/>
        </w:rPr>
        <w:t>OCIS a également demandé au Secrétariat de donner son avis sur son fonctionneme</w:t>
      </w:r>
      <w:r w:rsidR="004D763E" w:rsidRPr="004D763E">
        <w:rPr>
          <w:lang w:val="fr-FR"/>
        </w:rPr>
        <w:t>nt.  Da</w:t>
      </w:r>
      <w:r w:rsidRPr="004D763E">
        <w:rPr>
          <w:lang w:val="fr-FR"/>
        </w:rPr>
        <w:t>ns son évaluation générale, le Secrétariat a salué les contributions de l</w:t>
      </w:r>
      <w:r w:rsidR="00155EA0" w:rsidRPr="004D763E">
        <w:rPr>
          <w:lang w:val="fr-FR"/>
        </w:rPr>
        <w:t>’</w:t>
      </w:r>
      <w:r w:rsidRPr="004D763E">
        <w:rPr>
          <w:lang w:val="fr-FR"/>
        </w:rPr>
        <w:t>O</w:t>
      </w:r>
      <w:r w:rsidR="004D763E" w:rsidRPr="004D763E">
        <w:rPr>
          <w:lang w:val="fr-FR"/>
        </w:rPr>
        <w:t>CIS.  Le</w:t>
      </w:r>
      <w:r w:rsidRPr="004D763E">
        <w:rPr>
          <w:lang w:val="fr-FR"/>
        </w:rPr>
        <w:t>s domaines dans lesquels ces contributions ont plus précisément été appréciées étaient notamment les suivants</w:t>
      </w:r>
      <w:r w:rsidR="00155EA0" w:rsidRPr="004D763E">
        <w:rPr>
          <w:lang w:val="fr-FR"/>
        </w:rPr>
        <w:t> :</w:t>
      </w:r>
      <w:r w:rsidRPr="004D763E">
        <w:rPr>
          <w:lang w:val="fr-FR"/>
        </w:rPr>
        <w:t xml:space="preserve"> i) le renforcement du cadre de gouvernance des placements;  ii) les conseils sur toutes les questions fiduciaires;  iii) l</w:t>
      </w:r>
      <w:r w:rsidR="00155EA0" w:rsidRPr="004D763E">
        <w:rPr>
          <w:lang w:val="fr-FR"/>
        </w:rPr>
        <w:t>’</w:t>
      </w:r>
      <w:r w:rsidRPr="004D763E">
        <w:rPr>
          <w:lang w:val="fr-FR"/>
        </w:rPr>
        <w:t>attention accordée à la gestion des risques;  iv) les propositions visant à renforcer et à réformer la Division de la supervision interne;  v) le suivi des recommandations en matière de supervision;  et vi) la collaboration avec les États membr</w:t>
      </w:r>
      <w:r w:rsidR="004D763E" w:rsidRPr="004D763E">
        <w:rPr>
          <w:lang w:val="fr-FR"/>
        </w:rPr>
        <w:t>es.  Le</w:t>
      </w:r>
      <w:r w:rsidRPr="004D763E">
        <w:rPr>
          <w:lang w:val="fr-FR"/>
        </w:rPr>
        <w:t xml:space="preserve"> Secrétariat s</w:t>
      </w:r>
      <w:r w:rsidR="00155EA0" w:rsidRPr="004D763E">
        <w:rPr>
          <w:lang w:val="fr-FR"/>
        </w:rPr>
        <w:t>’</w:t>
      </w:r>
      <w:r w:rsidRPr="004D763E">
        <w:rPr>
          <w:lang w:val="fr-FR"/>
        </w:rPr>
        <w:t>est par ailleurs inquiété d</w:t>
      </w:r>
      <w:r w:rsidR="00155EA0" w:rsidRPr="004D763E">
        <w:rPr>
          <w:lang w:val="fr-FR"/>
        </w:rPr>
        <w:t>’</w:t>
      </w:r>
      <w:r w:rsidRPr="004D763E">
        <w:rPr>
          <w:lang w:val="fr-FR"/>
        </w:rPr>
        <w:t>un chevauchement entre certains travaux de supervision et il a souhaité améliorer la planification des points du calendrier de réunions de l</w:t>
      </w:r>
      <w:r w:rsidR="00155EA0" w:rsidRPr="004D763E">
        <w:rPr>
          <w:lang w:val="fr-FR"/>
        </w:rPr>
        <w:t>’</w:t>
      </w:r>
      <w:r w:rsidRPr="004D763E">
        <w:rPr>
          <w:lang w:val="fr-FR"/>
        </w:rPr>
        <w:t>OCIS en tenant compte d</w:t>
      </w:r>
      <w:r w:rsidR="00155EA0" w:rsidRPr="004D763E">
        <w:rPr>
          <w:lang w:val="fr-FR"/>
        </w:rPr>
        <w:t>’</w:t>
      </w:r>
      <w:r w:rsidRPr="004D763E">
        <w:rPr>
          <w:lang w:val="fr-FR"/>
        </w:rPr>
        <w:t>autres engagements du Secrétariat;  il souhaitait en outre que la communication soit plus claire quant aux éléments à établir pour fournir des informations contextuelles aux participants des réunions.</w:t>
      </w:r>
    </w:p>
    <w:p w14:paraId="0D5A42B0" w14:textId="29483831" w:rsidR="00FD177E" w:rsidRPr="004D763E" w:rsidRDefault="0065085D" w:rsidP="00D84FF2">
      <w:pPr>
        <w:pStyle w:val="ONUMFS"/>
        <w:keepLines/>
        <w:rPr>
          <w:rFonts w:eastAsia="Arial"/>
          <w:lang w:val="fr-FR"/>
        </w:rPr>
      </w:pPr>
      <w:r w:rsidRPr="004D763E">
        <w:rPr>
          <w:lang w:val="fr-FR"/>
        </w:rPr>
        <w:t>L</w:t>
      </w:r>
      <w:r w:rsidR="00155EA0" w:rsidRPr="004D763E">
        <w:rPr>
          <w:lang w:val="fr-FR"/>
        </w:rPr>
        <w:t>’</w:t>
      </w:r>
      <w:r w:rsidRPr="004D763E">
        <w:rPr>
          <w:lang w:val="fr-FR"/>
        </w:rPr>
        <w:t xml:space="preserve">OCIS a décidé de faire également effectuer une évaluation externe </w:t>
      </w:r>
      <w:r w:rsidR="00B0451C" w:rsidRPr="004D763E">
        <w:rPr>
          <w:lang w:val="fr-FR"/>
        </w:rPr>
        <w:t>en 2025</w:t>
      </w:r>
      <w:r w:rsidRPr="004D763E">
        <w:rPr>
          <w:lang w:val="fr-FR"/>
        </w:rPr>
        <w:t xml:space="preserve"> en s</w:t>
      </w:r>
      <w:r w:rsidR="00155EA0" w:rsidRPr="004D763E">
        <w:rPr>
          <w:lang w:val="fr-FR"/>
        </w:rPr>
        <w:t>’</w:t>
      </w:r>
      <w:r w:rsidRPr="004D763E">
        <w:rPr>
          <w:lang w:val="fr-FR"/>
        </w:rPr>
        <w:t>appuyant sur le mécanisme d</w:t>
      </w:r>
      <w:r w:rsidR="00155EA0" w:rsidRPr="004D763E">
        <w:rPr>
          <w:lang w:val="fr-FR"/>
        </w:rPr>
        <w:t>’</w:t>
      </w:r>
      <w:r w:rsidRPr="004D763E">
        <w:rPr>
          <w:lang w:val="fr-FR"/>
        </w:rPr>
        <w:t xml:space="preserve">examen collégial du système des </w:t>
      </w:r>
      <w:r w:rsidR="00155EA0" w:rsidRPr="004D763E">
        <w:rPr>
          <w:lang w:val="fr-FR"/>
        </w:rPr>
        <w:t>Nations Unies</w:t>
      </w:r>
      <w:r w:rsidRPr="004D763E">
        <w:rPr>
          <w:lang w:val="fr-FR"/>
        </w:rPr>
        <w:t>, qui a été testé avec succès dans l</w:t>
      </w:r>
      <w:r w:rsidR="00155EA0" w:rsidRPr="004D763E">
        <w:rPr>
          <w:lang w:val="fr-FR"/>
        </w:rPr>
        <w:t>’</w:t>
      </w:r>
      <w:r w:rsidRPr="004D763E">
        <w:rPr>
          <w:lang w:val="fr-FR"/>
        </w:rPr>
        <w:t>une des organisations du systè</w:t>
      </w:r>
      <w:r w:rsidR="004D763E" w:rsidRPr="004D763E">
        <w:rPr>
          <w:lang w:val="fr-FR"/>
        </w:rPr>
        <w:t>me.  Ce</w:t>
      </w:r>
      <w:r w:rsidRPr="004D763E">
        <w:rPr>
          <w:lang w:val="fr-FR"/>
        </w:rPr>
        <w:t>tte évaluation sera réalisée conformément à l</w:t>
      </w:r>
      <w:r w:rsidR="00155EA0" w:rsidRPr="004D763E">
        <w:rPr>
          <w:lang w:val="fr-FR"/>
        </w:rPr>
        <w:t>’</w:t>
      </w:r>
      <w:r w:rsidRPr="004D763E">
        <w:rPr>
          <w:lang w:val="fr-FR"/>
        </w:rPr>
        <w:t>exigence du mandat de l</w:t>
      </w:r>
      <w:r w:rsidR="00155EA0" w:rsidRPr="004D763E">
        <w:rPr>
          <w:lang w:val="fr-FR"/>
        </w:rPr>
        <w:t>’</w:t>
      </w:r>
      <w:r w:rsidRPr="004D763E">
        <w:rPr>
          <w:lang w:val="fr-FR"/>
        </w:rPr>
        <w:t>OCIS concernant les évaluations périodiques indépendantes de la performance.</w:t>
      </w:r>
    </w:p>
    <w:p w14:paraId="22BE016A" w14:textId="45E2A7A0" w:rsidR="00FD177E" w:rsidRPr="004D763E" w:rsidRDefault="00FD177E" w:rsidP="00D84FF2">
      <w:pPr>
        <w:pStyle w:val="Heading1"/>
        <w:rPr>
          <w:rFonts w:eastAsia="Arial"/>
        </w:rPr>
      </w:pPr>
      <w:r w:rsidRPr="004D763E">
        <w:t>III.</w:t>
      </w:r>
      <w:r w:rsidRPr="004D763E">
        <w:tab/>
        <w:t>Questions examinées et analysées</w:t>
      </w:r>
    </w:p>
    <w:p w14:paraId="00D7D120" w14:textId="7144A56C" w:rsidR="00FD177E" w:rsidRPr="004D763E" w:rsidRDefault="00FD177E" w:rsidP="00D84FF2">
      <w:pPr>
        <w:pStyle w:val="Heading3"/>
        <w:spacing w:before="240"/>
      </w:pPr>
      <w:r w:rsidRPr="004D763E">
        <w:t>Supervision interne</w:t>
      </w:r>
    </w:p>
    <w:p w14:paraId="78A3E07E" w14:textId="24127A94" w:rsidR="00FD177E" w:rsidRPr="004D763E" w:rsidRDefault="00FD177E" w:rsidP="00FD177E">
      <w:pPr>
        <w:pStyle w:val="Heading4"/>
      </w:pPr>
      <w:r w:rsidRPr="004D763E">
        <w:t>Mise en œuvre du programme de travail de la Division de la supervision interne pour 2024</w:t>
      </w:r>
    </w:p>
    <w:p w14:paraId="052F7178" w14:textId="2F64B808" w:rsidR="00FD177E" w:rsidRPr="004D763E" w:rsidRDefault="0065085D" w:rsidP="00FD177E">
      <w:pPr>
        <w:pStyle w:val="ONUMFS"/>
        <w:rPr>
          <w:rFonts w:eastAsia="Arial"/>
          <w:lang w:val="fr-FR"/>
        </w:rPr>
      </w:pPr>
      <w:r w:rsidRPr="004D763E">
        <w:rPr>
          <w:lang w:val="fr-FR"/>
        </w:rPr>
        <w:t>L</w:t>
      </w:r>
      <w:r w:rsidR="00155EA0" w:rsidRPr="004D763E">
        <w:rPr>
          <w:lang w:val="fr-FR"/>
        </w:rPr>
        <w:t>’</w:t>
      </w:r>
      <w:r w:rsidRPr="004D763E">
        <w:rPr>
          <w:lang w:val="fr-FR"/>
        </w:rPr>
        <w:t>OCIS a examiné la mise en œuvre du programme de travail annuel en matière de supervision pour 2024 en s</w:t>
      </w:r>
      <w:r w:rsidR="00155EA0" w:rsidRPr="004D763E">
        <w:rPr>
          <w:lang w:val="fr-FR"/>
        </w:rPr>
        <w:t>’</w:t>
      </w:r>
      <w:r w:rsidRPr="004D763E">
        <w:rPr>
          <w:lang w:val="fr-FR"/>
        </w:rPr>
        <w:t>appuyant sur les rapports d</w:t>
      </w:r>
      <w:r w:rsidR="00155EA0" w:rsidRPr="004D763E">
        <w:rPr>
          <w:lang w:val="fr-FR"/>
        </w:rPr>
        <w:t>’</w:t>
      </w:r>
      <w:r w:rsidRPr="004D763E">
        <w:rPr>
          <w:lang w:val="fr-FR"/>
        </w:rPr>
        <w:t>activité trimestriels de la Division de la supervision interne (DSI) soumis pour chaque sessi</w:t>
      </w:r>
      <w:r w:rsidR="004D763E" w:rsidRPr="004D763E">
        <w:rPr>
          <w:lang w:val="fr-FR"/>
        </w:rPr>
        <w:t xml:space="preserve">on.  À </w:t>
      </w:r>
      <w:r w:rsidR="00EF0B73" w:rsidRPr="004D763E">
        <w:rPr>
          <w:lang w:val="fr-FR"/>
        </w:rPr>
        <w:t>sa soixante</w:t>
      </w:r>
      <w:r w:rsidR="004D763E">
        <w:rPr>
          <w:lang w:val="fr-FR"/>
        </w:rPr>
        <w:noBreakHyphen/>
      </w:r>
      <w:r w:rsidR="00EF0B73" w:rsidRPr="004D763E">
        <w:rPr>
          <w:lang w:val="fr-FR"/>
        </w:rPr>
        <w:t>seiz</w:t>
      </w:r>
      <w:r w:rsidR="00155EA0" w:rsidRPr="004D763E">
        <w:rPr>
          <w:lang w:val="fr-FR"/>
        </w:rPr>
        <w:t>ième session</w:t>
      </w:r>
      <w:r w:rsidR="00EF0B73" w:rsidRPr="004D763E">
        <w:rPr>
          <w:lang w:val="fr-FR"/>
        </w:rPr>
        <w:t>, l</w:t>
      </w:r>
      <w:r w:rsidR="00155EA0" w:rsidRPr="004D763E">
        <w:rPr>
          <w:lang w:val="fr-FR"/>
        </w:rPr>
        <w:t>’</w:t>
      </w:r>
      <w:r w:rsidR="00EF0B73" w:rsidRPr="004D763E">
        <w:rPr>
          <w:lang w:val="fr-FR"/>
        </w:rPr>
        <w:t>OCIS</w:t>
      </w:r>
      <w:r w:rsidRPr="004D763E">
        <w:rPr>
          <w:lang w:val="fr-FR"/>
        </w:rPr>
        <w:t xml:space="preserve"> a également examiné le projet de rapport annuel </w:t>
      </w:r>
      <w:r w:rsidR="00EF0B73" w:rsidRPr="004D763E">
        <w:rPr>
          <w:lang w:val="fr-FR"/>
        </w:rPr>
        <w:t>de</w:t>
      </w:r>
      <w:r w:rsidR="00155EA0" w:rsidRPr="004D763E">
        <w:rPr>
          <w:lang w:val="fr-FR"/>
        </w:rPr>
        <w:t xml:space="preserve"> la DSI</w:t>
      </w:r>
      <w:r w:rsidR="00EF0B73" w:rsidRPr="004D763E">
        <w:rPr>
          <w:lang w:val="fr-FR"/>
        </w:rPr>
        <w:t xml:space="preserve"> </w:t>
      </w:r>
      <w:r w:rsidR="00B0451C" w:rsidRPr="004D763E">
        <w:rPr>
          <w:lang w:val="fr-FR"/>
        </w:rPr>
        <w:t>pour 2024</w:t>
      </w:r>
      <w:r w:rsidRPr="004D763E">
        <w:rPr>
          <w:lang w:val="fr-FR"/>
        </w:rPr>
        <w:t xml:space="preserve"> et a noté que la division a publié les rapports suivants au cours de l</w:t>
      </w:r>
      <w:r w:rsidR="00155EA0" w:rsidRPr="004D763E">
        <w:rPr>
          <w:lang w:val="fr-FR"/>
        </w:rPr>
        <w:t>’</w:t>
      </w:r>
      <w:r w:rsidRPr="004D763E">
        <w:rPr>
          <w:lang w:val="fr-FR"/>
        </w:rPr>
        <w:t>année 2024</w:t>
      </w:r>
      <w:r w:rsidR="00155EA0" w:rsidRPr="004D763E">
        <w:rPr>
          <w:lang w:val="fr-FR"/>
        </w:rPr>
        <w:t> :</w:t>
      </w:r>
      <w:r w:rsidRPr="004D763E">
        <w:rPr>
          <w:lang w:val="fr-FR"/>
        </w:rPr>
        <w:t xml:space="preserve"> cinq rapports d</w:t>
      </w:r>
      <w:r w:rsidR="00155EA0" w:rsidRPr="004D763E">
        <w:rPr>
          <w:lang w:val="fr-FR"/>
        </w:rPr>
        <w:t>’</w:t>
      </w:r>
      <w:r w:rsidRPr="004D763E">
        <w:rPr>
          <w:lang w:val="fr-FR"/>
        </w:rPr>
        <w:t>audit interne, deux rapports de validation, quatre rapports d</w:t>
      </w:r>
      <w:r w:rsidR="00155EA0" w:rsidRPr="004D763E">
        <w:rPr>
          <w:lang w:val="fr-FR"/>
        </w:rPr>
        <w:t>’</w:t>
      </w:r>
      <w:r w:rsidRPr="004D763E">
        <w:rPr>
          <w:lang w:val="fr-FR"/>
        </w:rPr>
        <w:t>évaluation, cinq rapports d</w:t>
      </w:r>
      <w:r w:rsidR="00155EA0" w:rsidRPr="004D763E">
        <w:rPr>
          <w:lang w:val="fr-FR"/>
        </w:rPr>
        <w:t>’</w:t>
      </w:r>
      <w:r w:rsidRPr="004D763E">
        <w:rPr>
          <w:lang w:val="fr-FR"/>
        </w:rPr>
        <w:t>examen de pré</w:t>
      </w:r>
      <w:r w:rsidR="004D763E">
        <w:rPr>
          <w:lang w:val="fr-FR"/>
        </w:rPr>
        <w:noBreakHyphen/>
      </w:r>
      <w:r w:rsidRPr="004D763E">
        <w:rPr>
          <w:lang w:val="fr-FR"/>
        </w:rPr>
        <w:t>évaluation, un rapport consultatif, 18 rapports d</w:t>
      </w:r>
      <w:r w:rsidR="00155EA0" w:rsidRPr="004D763E">
        <w:rPr>
          <w:lang w:val="fr-FR"/>
        </w:rPr>
        <w:t>’</w:t>
      </w:r>
      <w:r w:rsidRPr="004D763E">
        <w:rPr>
          <w:lang w:val="fr-FR"/>
        </w:rPr>
        <w:t>enquête et deux rapports à l</w:t>
      </w:r>
      <w:r w:rsidR="00155EA0" w:rsidRPr="004D763E">
        <w:rPr>
          <w:lang w:val="fr-FR"/>
        </w:rPr>
        <w:t>’</w:t>
      </w:r>
      <w:r w:rsidRPr="004D763E">
        <w:rPr>
          <w:lang w:val="fr-FR"/>
        </w:rPr>
        <w:t>intention de la directi</w:t>
      </w:r>
      <w:r w:rsidR="004D763E" w:rsidRPr="004D763E">
        <w:rPr>
          <w:lang w:val="fr-FR"/>
        </w:rPr>
        <w:t>on.  Au</w:t>
      </w:r>
      <w:r w:rsidRPr="004D763E">
        <w:rPr>
          <w:lang w:val="fr-FR"/>
        </w:rPr>
        <w:t xml:space="preserve"> cours de la même période, la DSI a également formulé 37 recommandations et en a clôturé 66.</w:t>
      </w:r>
    </w:p>
    <w:p w14:paraId="6B296CB7" w14:textId="5A9457A0" w:rsidR="00FD177E" w:rsidRPr="004D763E" w:rsidRDefault="0065085D" w:rsidP="00FD177E">
      <w:pPr>
        <w:pStyle w:val="ONUMFS"/>
        <w:rPr>
          <w:lang w:val="fr-FR"/>
        </w:rPr>
      </w:pPr>
      <w:r w:rsidRPr="004D763E">
        <w:rPr>
          <w:lang w:val="fr-FR"/>
        </w:rPr>
        <w:t>L</w:t>
      </w:r>
      <w:r w:rsidR="00EF0B73" w:rsidRPr="004D763E">
        <w:rPr>
          <w:lang w:val="fr-FR"/>
        </w:rPr>
        <w:t xml:space="preserve">e comité a aussi noté </w:t>
      </w:r>
      <w:r w:rsidRPr="004D763E">
        <w:rPr>
          <w:lang w:val="fr-FR"/>
        </w:rPr>
        <w:t>que certains postes vacants avaient été pourvus dans les sections des audits et des enquêtes, et que deux</w:t>
      </w:r>
      <w:r w:rsidR="001D6F62" w:rsidRPr="004D763E">
        <w:rPr>
          <w:lang w:val="fr-FR"/>
        </w:rPr>
        <w:t> </w:t>
      </w:r>
      <w:r w:rsidRPr="004D763E">
        <w:rPr>
          <w:lang w:val="fr-FR"/>
        </w:rPr>
        <w:t>postes clés restaient à pourvoir dans la Section de l</w:t>
      </w:r>
      <w:r w:rsidR="00155EA0" w:rsidRPr="004D763E">
        <w:rPr>
          <w:lang w:val="fr-FR"/>
        </w:rPr>
        <w:t>’</w:t>
      </w:r>
      <w:r w:rsidRPr="004D763E">
        <w:rPr>
          <w:lang w:val="fr-FR"/>
        </w:rPr>
        <w:t>évaluation.  L</w:t>
      </w:r>
      <w:r w:rsidR="00155EA0" w:rsidRPr="004D763E">
        <w:rPr>
          <w:lang w:val="fr-FR"/>
        </w:rPr>
        <w:t>’</w:t>
      </w:r>
      <w:r w:rsidRPr="004D763E">
        <w:rPr>
          <w:lang w:val="fr-FR"/>
        </w:rPr>
        <w:t>OCIS a été informé du fait que les avis de vacance de poste seraient publiés en 2025 après une révision des descriptions de poste correspondantes.  L</w:t>
      </w:r>
      <w:r w:rsidR="00155EA0" w:rsidRPr="004D763E">
        <w:rPr>
          <w:lang w:val="fr-FR"/>
        </w:rPr>
        <w:t>’</w:t>
      </w:r>
      <w:r w:rsidRPr="004D763E">
        <w:rPr>
          <w:lang w:val="fr-FR"/>
        </w:rPr>
        <w:t>OCIS a également été informé du fait que malgré les difficultés à recruter du personnel aux postes les plus importants,</w:t>
      </w:r>
      <w:r w:rsidR="00B0451C" w:rsidRPr="004D763E">
        <w:rPr>
          <w:lang w:val="fr-FR"/>
        </w:rPr>
        <w:t xml:space="preserve"> la DSI</w:t>
      </w:r>
      <w:r w:rsidRPr="004D763E">
        <w:rPr>
          <w:lang w:val="fr-FR"/>
        </w:rPr>
        <w:t xml:space="preserve"> allait parvenir à achever son programme de travail </w:t>
      </w:r>
      <w:r w:rsidR="00B0451C" w:rsidRPr="004D763E">
        <w:rPr>
          <w:lang w:val="fr-FR"/>
        </w:rPr>
        <w:t>pour 2024</w:t>
      </w:r>
      <w:r w:rsidRPr="004D763E">
        <w:rPr>
          <w:lang w:val="fr-FR"/>
        </w:rPr>
        <w:t>, à l</w:t>
      </w:r>
      <w:r w:rsidR="00155EA0" w:rsidRPr="004D763E">
        <w:rPr>
          <w:lang w:val="fr-FR"/>
        </w:rPr>
        <w:t>’</w:t>
      </w:r>
      <w:r w:rsidRPr="004D763E">
        <w:rPr>
          <w:lang w:val="fr-FR"/>
        </w:rPr>
        <w:t>exception d</w:t>
      </w:r>
      <w:r w:rsidR="00155EA0" w:rsidRPr="004D763E">
        <w:rPr>
          <w:lang w:val="fr-FR"/>
        </w:rPr>
        <w:t>’</w:t>
      </w:r>
      <w:r w:rsidRPr="004D763E">
        <w:rPr>
          <w:lang w:val="fr-FR"/>
        </w:rPr>
        <w:t xml:space="preserve">une évaluation qui était reportée au premier trimestre </w:t>
      </w:r>
      <w:r w:rsidR="00B0451C" w:rsidRPr="004D763E">
        <w:rPr>
          <w:lang w:val="fr-FR"/>
        </w:rPr>
        <w:t>de 2025</w:t>
      </w:r>
      <w:r w:rsidRPr="004D763E">
        <w:rPr>
          <w:lang w:val="fr-FR"/>
        </w:rPr>
        <w:t>.  Il s</w:t>
      </w:r>
      <w:r w:rsidR="00155EA0" w:rsidRPr="004D763E">
        <w:rPr>
          <w:lang w:val="fr-FR"/>
        </w:rPr>
        <w:t>’</w:t>
      </w:r>
      <w:r w:rsidRPr="004D763E">
        <w:rPr>
          <w:lang w:val="fr-FR"/>
        </w:rPr>
        <w:t>est félicité des changements intervenus au sein de la Division de la supervision interne et a salué les efforts déployés pour réorienter les activités de celle</w:t>
      </w:r>
      <w:r w:rsidR="004D763E">
        <w:rPr>
          <w:lang w:val="fr-FR"/>
        </w:rPr>
        <w:noBreakHyphen/>
      </w:r>
      <w:r w:rsidRPr="004D763E">
        <w:rPr>
          <w:lang w:val="fr-FR"/>
        </w:rPr>
        <w:t>ci.</w:t>
      </w:r>
    </w:p>
    <w:p w14:paraId="45A16D6D" w14:textId="77777777" w:rsidR="00FD177E" w:rsidRPr="004D763E" w:rsidRDefault="0065085D" w:rsidP="00FD177E">
      <w:pPr>
        <w:pStyle w:val="Heading4"/>
      </w:pPr>
      <w:r w:rsidRPr="004D763E">
        <w:t>Programme de travail de la Division de la supervision interne pour 2025 proposé</w:t>
      </w:r>
    </w:p>
    <w:p w14:paraId="76CC5824" w14:textId="7A896C0C" w:rsidR="00FD177E" w:rsidRPr="004D763E" w:rsidRDefault="0065085D" w:rsidP="00FD177E">
      <w:pPr>
        <w:pStyle w:val="ONUMFS"/>
        <w:rPr>
          <w:rFonts w:eastAsia="Arial"/>
          <w:lang w:val="fr-FR"/>
        </w:rPr>
      </w:pPr>
      <w:r w:rsidRPr="004D763E">
        <w:rPr>
          <w:lang w:val="fr-FR"/>
        </w:rPr>
        <w:t>L</w:t>
      </w:r>
      <w:r w:rsidR="00155EA0" w:rsidRPr="004D763E">
        <w:rPr>
          <w:lang w:val="fr-FR"/>
        </w:rPr>
        <w:t>’</w:t>
      </w:r>
      <w:r w:rsidRPr="004D763E">
        <w:rPr>
          <w:lang w:val="fr-FR"/>
        </w:rPr>
        <w:t>OCIS a examiné le programme de travail de</w:t>
      </w:r>
      <w:r w:rsidR="00B0451C" w:rsidRPr="004D763E">
        <w:rPr>
          <w:lang w:val="fr-FR"/>
        </w:rPr>
        <w:t xml:space="preserve"> la DSI</w:t>
      </w:r>
      <w:r w:rsidRPr="004D763E">
        <w:rPr>
          <w:lang w:val="fr-FR"/>
        </w:rPr>
        <w:t xml:space="preserve"> pour 2025 lors de sa soixante</w:t>
      </w:r>
      <w:r w:rsidR="004D763E">
        <w:rPr>
          <w:lang w:val="fr-FR"/>
        </w:rPr>
        <w:noBreakHyphen/>
      </w:r>
      <w:r w:rsidRPr="004D763E">
        <w:rPr>
          <w:lang w:val="fr-FR"/>
        </w:rPr>
        <w:t>quinz</w:t>
      </w:r>
      <w:r w:rsidR="00155EA0" w:rsidRPr="004D763E">
        <w:rPr>
          <w:lang w:val="fr-FR"/>
        </w:rPr>
        <w:t>ième sessi</w:t>
      </w:r>
      <w:r w:rsidR="004D763E" w:rsidRPr="004D763E">
        <w:rPr>
          <w:lang w:val="fr-FR"/>
        </w:rPr>
        <w:t>on.  Il</w:t>
      </w:r>
      <w:r w:rsidRPr="004D763E">
        <w:rPr>
          <w:lang w:val="fr-FR"/>
        </w:rPr>
        <w:t xml:space="preserve"> a noté que le programme de travail avait été établi après consultation des parties prenantes internes et des États membres et qu</w:t>
      </w:r>
      <w:r w:rsidR="00155EA0" w:rsidRPr="004D763E">
        <w:rPr>
          <w:lang w:val="fr-FR"/>
        </w:rPr>
        <w:t>’</w:t>
      </w:r>
      <w:r w:rsidRPr="004D763E">
        <w:rPr>
          <w:lang w:val="fr-FR"/>
        </w:rPr>
        <w:t>il tenait notamment compte des retours d</w:t>
      </w:r>
      <w:r w:rsidR="00155EA0" w:rsidRPr="004D763E">
        <w:rPr>
          <w:lang w:val="fr-FR"/>
        </w:rPr>
        <w:t>’</w:t>
      </w:r>
      <w:r w:rsidRPr="004D763E">
        <w:rPr>
          <w:lang w:val="fr-FR"/>
        </w:rPr>
        <w:t>informations fournis par le Groupe de gestion des risques et des résultats de l</w:t>
      </w:r>
      <w:r w:rsidR="00155EA0" w:rsidRPr="004D763E">
        <w:rPr>
          <w:lang w:val="fr-FR"/>
        </w:rPr>
        <w:t>’</w:t>
      </w:r>
      <w:r w:rsidRPr="004D763E">
        <w:rPr>
          <w:lang w:val="fr-FR"/>
        </w:rPr>
        <w:t>évaluation des risques par</w:t>
      </w:r>
      <w:r w:rsidR="00B0451C" w:rsidRPr="004D763E">
        <w:rPr>
          <w:lang w:val="fr-FR"/>
        </w:rPr>
        <w:t xml:space="preserve"> la DSI</w:t>
      </w:r>
      <w:r w:rsidRPr="004D763E">
        <w:rPr>
          <w:lang w:val="fr-FR"/>
        </w:rPr>
        <w:t>.  L</w:t>
      </w:r>
      <w:r w:rsidR="00155EA0" w:rsidRPr="004D763E">
        <w:rPr>
          <w:lang w:val="fr-FR"/>
        </w:rPr>
        <w:t>’</w:t>
      </w:r>
      <w:r w:rsidRPr="004D763E">
        <w:rPr>
          <w:lang w:val="fr-FR"/>
        </w:rPr>
        <w:t>OCIS s</w:t>
      </w:r>
      <w:r w:rsidR="00155EA0" w:rsidRPr="004D763E">
        <w:rPr>
          <w:lang w:val="fr-FR"/>
        </w:rPr>
        <w:t>’</w:t>
      </w:r>
      <w:r w:rsidRPr="004D763E">
        <w:rPr>
          <w:lang w:val="fr-FR"/>
        </w:rPr>
        <w:t>est félicité du nouveau format et a apporté quelques contributions préliminaires au programme de trava</w:t>
      </w:r>
      <w:r w:rsidR="004D763E" w:rsidRPr="004D763E">
        <w:rPr>
          <w:lang w:val="fr-FR"/>
        </w:rPr>
        <w:t>il.  Il</w:t>
      </w:r>
      <w:r w:rsidRPr="004D763E">
        <w:rPr>
          <w:lang w:val="fr-FR"/>
        </w:rPr>
        <w:t xml:space="preserve"> a également salué le fait que le programme de travail intégrait la présentation d</w:t>
      </w:r>
      <w:r w:rsidR="00155EA0" w:rsidRPr="004D763E">
        <w:rPr>
          <w:lang w:val="fr-FR"/>
        </w:rPr>
        <w:t>’</w:t>
      </w:r>
      <w:r w:rsidRPr="004D763E">
        <w:rPr>
          <w:lang w:val="fr-FR"/>
        </w:rPr>
        <w:t>un avis de</w:t>
      </w:r>
      <w:r w:rsidR="00B0451C" w:rsidRPr="004D763E">
        <w:rPr>
          <w:lang w:val="fr-FR"/>
        </w:rPr>
        <w:t xml:space="preserve"> la DSI</w:t>
      </w:r>
      <w:r w:rsidRPr="004D763E">
        <w:rPr>
          <w:lang w:val="fr-FR"/>
        </w:rPr>
        <w:t xml:space="preserve"> favorable à la déclaration de l</w:t>
      </w:r>
      <w:r w:rsidR="00155EA0" w:rsidRPr="004D763E">
        <w:rPr>
          <w:lang w:val="fr-FR"/>
        </w:rPr>
        <w:t>’</w:t>
      </w:r>
      <w:r w:rsidRPr="004D763E">
        <w:rPr>
          <w:lang w:val="fr-FR"/>
        </w:rPr>
        <w:t>OMPI sur le contrôle interne.</w:t>
      </w:r>
    </w:p>
    <w:p w14:paraId="745065CE" w14:textId="77777777" w:rsidR="00FD177E" w:rsidRPr="004D763E" w:rsidRDefault="0065085D" w:rsidP="00FD177E">
      <w:pPr>
        <w:pStyle w:val="Heading4"/>
        <w:rPr>
          <w:rFonts w:eastAsia="Arial"/>
          <w:iCs/>
        </w:rPr>
      </w:pPr>
      <w:r w:rsidRPr="004D763E">
        <w:t>Évaluations internes et externes de la qualité des activités de</w:t>
      </w:r>
      <w:r w:rsidR="00B0451C" w:rsidRPr="004D763E">
        <w:t xml:space="preserve"> la DSI</w:t>
      </w:r>
    </w:p>
    <w:p w14:paraId="02396A74" w14:textId="7B2CC523" w:rsidR="00FD177E" w:rsidRPr="004D763E" w:rsidRDefault="0065085D" w:rsidP="00FD177E">
      <w:pPr>
        <w:pStyle w:val="ONUMFS"/>
        <w:rPr>
          <w:rFonts w:eastAsia="Arial"/>
          <w:lang w:val="fr-FR"/>
        </w:rPr>
      </w:pPr>
      <w:r w:rsidRPr="004D763E">
        <w:rPr>
          <w:lang w:val="fr-FR"/>
        </w:rPr>
        <w:t>Lors de ses soixante</w:t>
      </w:r>
      <w:r w:rsidR="004D763E">
        <w:rPr>
          <w:lang w:val="fr-FR"/>
        </w:rPr>
        <w:noBreakHyphen/>
      </w:r>
      <w:r w:rsidRPr="004D763E">
        <w:rPr>
          <w:lang w:val="fr-FR"/>
        </w:rPr>
        <w:t>quinzième et soixante</w:t>
      </w:r>
      <w:r w:rsidR="004D763E">
        <w:rPr>
          <w:lang w:val="fr-FR"/>
        </w:rPr>
        <w:noBreakHyphen/>
      </w:r>
      <w:r w:rsidRPr="004D763E">
        <w:rPr>
          <w:lang w:val="fr-FR"/>
        </w:rPr>
        <w:t>seiz</w:t>
      </w:r>
      <w:r w:rsidR="00155EA0" w:rsidRPr="004D763E">
        <w:rPr>
          <w:lang w:val="fr-FR"/>
        </w:rPr>
        <w:t>ième session</w:t>
      </w:r>
      <w:r w:rsidRPr="004D763E">
        <w:rPr>
          <w:lang w:val="fr-FR"/>
        </w:rPr>
        <w:t>s, l</w:t>
      </w:r>
      <w:r w:rsidR="00155EA0" w:rsidRPr="004D763E">
        <w:rPr>
          <w:lang w:val="fr-FR"/>
        </w:rPr>
        <w:t>’</w:t>
      </w:r>
      <w:r w:rsidRPr="004D763E">
        <w:rPr>
          <w:lang w:val="fr-FR"/>
        </w:rPr>
        <w:t>OCIS a analysé le tout premier examen collégial de la fonction d</w:t>
      </w:r>
      <w:r w:rsidR="00155EA0" w:rsidRPr="004D763E">
        <w:rPr>
          <w:lang w:val="fr-FR"/>
        </w:rPr>
        <w:t>’</w:t>
      </w:r>
      <w:r w:rsidRPr="004D763E">
        <w:rPr>
          <w:lang w:val="fr-FR"/>
        </w:rPr>
        <w:t>évaluation de l</w:t>
      </w:r>
      <w:r w:rsidR="00155EA0" w:rsidRPr="004D763E">
        <w:rPr>
          <w:lang w:val="fr-FR"/>
        </w:rPr>
        <w:t>’</w:t>
      </w:r>
      <w:r w:rsidRPr="004D763E">
        <w:rPr>
          <w:lang w:val="fr-FR"/>
        </w:rPr>
        <w:t xml:space="preserve">OMPI qui avait été mené par le Groupe des </w:t>
      </w:r>
      <w:r w:rsidR="00155EA0" w:rsidRPr="004D763E">
        <w:rPr>
          <w:lang w:val="fr-FR"/>
        </w:rPr>
        <w:t>Nations Unies</w:t>
      </w:r>
      <w:r w:rsidRPr="004D763E">
        <w:rPr>
          <w:lang w:val="fr-FR"/>
        </w:rPr>
        <w:t xml:space="preserve"> pour l</w:t>
      </w:r>
      <w:r w:rsidR="00155EA0" w:rsidRPr="004D763E">
        <w:rPr>
          <w:lang w:val="fr-FR"/>
        </w:rPr>
        <w:t>’</w:t>
      </w:r>
      <w:r w:rsidRPr="004D763E">
        <w:rPr>
          <w:lang w:val="fr-FR"/>
        </w:rPr>
        <w:t xml:space="preserve">évaluation (GNUE) entre </w:t>
      </w:r>
      <w:r w:rsidR="00B0451C" w:rsidRPr="004D763E">
        <w:rPr>
          <w:lang w:val="fr-FR"/>
        </w:rPr>
        <w:t>octobre 20</w:t>
      </w:r>
      <w:r w:rsidRPr="004D763E">
        <w:rPr>
          <w:lang w:val="fr-FR"/>
        </w:rPr>
        <w:t xml:space="preserve">24 et </w:t>
      </w:r>
      <w:r w:rsidR="00B0451C" w:rsidRPr="004D763E">
        <w:rPr>
          <w:lang w:val="fr-FR"/>
        </w:rPr>
        <w:t>janvier 20</w:t>
      </w:r>
      <w:r w:rsidRPr="004D763E">
        <w:rPr>
          <w:lang w:val="fr-FR"/>
        </w:rPr>
        <w:t>25.  L</w:t>
      </w:r>
      <w:r w:rsidR="00155EA0" w:rsidRPr="004D763E">
        <w:rPr>
          <w:lang w:val="fr-FR"/>
        </w:rPr>
        <w:t>’</w:t>
      </w:r>
      <w:r w:rsidRPr="004D763E">
        <w:rPr>
          <w:lang w:val="fr-FR"/>
        </w:rPr>
        <w:t>examen a conclu que cette fonction n</w:t>
      </w:r>
      <w:r w:rsidR="00155EA0" w:rsidRPr="004D763E">
        <w:rPr>
          <w:lang w:val="fr-FR"/>
        </w:rPr>
        <w:t>’</w:t>
      </w:r>
      <w:r w:rsidRPr="004D763E">
        <w:rPr>
          <w:lang w:val="fr-FR"/>
        </w:rPr>
        <w:t>était pas suffisamment performante, comme l</w:t>
      </w:r>
      <w:r w:rsidR="00155EA0" w:rsidRPr="004D763E">
        <w:rPr>
          <w:lang w:val="fr-FR"/>
        </w:rPr>
        <w:t>’</w:t>
      </w:r>
      <w:r w:rsidRPr="004D763E">
        <w:rPr>
          <w:lang w:val="fr-FR"/>
        </w:rPr>
        <w:t>avait déjà signalé l</w:t>
      </w:r>
      <w:r w:rsidR="00155EA0" w:rsidRPr="004D763E">
        <w:rPr>
          <w:lang w:val="fr-FR"/>
        </w:rPr>
        <w:t>’</w:t>
      </w:r>
      <w:r w:rsidRPr="004D763E">
        <w:rPr>
          <w:lang w:val="fr-FR"/>
        </w:rPr>
        <w:t>OCIS.  L</w:t>
      </w:r>
      <w:r w:rsidR="00155EA0" w:rsidRPr="004D763E">
        <w:rPr>
          <w:lang w:val="fr-FR"/>
        </w:rPr>
        <w:t>’</w:t>
      </w:r>
      <w:r w:rsidRPr="004D763E">
        <w:rPr>
          <w:lang w:val="fr-FR"/>
        </w:rPr>
        <w:t>OCIS a déjà formulé un certain nombre d</w:t>
      </w:r>
      <w:r w:rsidR="00155EA0" w:rsidRPr="004D763E">
        <w:rPr>
          <w:lang w:val="fr-FR"/>
        </w:rPr>
        <w:t>’</w:t>
      </w:r>
      <w:r w:rsidRPr="004D763E">
        <w:rPr>
          <w:lang w:val="fr-FR"/>
        </w:rPr>
        <w:t>observations à ce sujet, notamment la nécessité d</w:t>
      </w:r>
      <w:r w:rsidR="00155EA0" w:rsidRPr="004D763E">
        <w:rPr>
          <w:lang w:val="fr-FR"/>
        </w:rPr>
        <w:t>’</w:t>
      </w:r>
      <w:r w:rsidRPr="004D763E">
        <w:rPr>
          <w:lang w:val="fr-FR"/>
        </w:rPr>
        <w:t>une orientation plus stratégique de la fonction d</w:t>
      </w:r>
      <w:r w:rsidR="00155EA0" w:rsidRPr="004D763E">
        <w:rPr>
          <w:lang w:val="fr-FR"/>
        </w:rPr>
        <w:t>’</w:t>
      </w:r>
      <w:r w:rsidRPr="004D763E">
        <w:rPr>
          <w:lang w:val="fr-FR"/>
        </w:rPr>
        <w:t>évaluati</w:t>
      </w:r>
      <w:r w:rsidR="004D763E" w:rsidRPr="004D763E">
        <w:rPr>
          <w:lang w:val="fr-FR"/>
        </w:rPr>
        <w:t>on.  Il</w:t>
      </w:r>
      <w:r w:rsidRPr="004D763E">
        <w:rPr>
          <w:lang w:val="fr-FR"/>
        </w:rPr>
        <w:t xml:space="preserve"> a également noté qu</w:t>
      </w:r>
      <w:r w:rsidR="00155EA0" w:rsidRPr="004D763E">
        <w:rPr>
          <w:lang w:val="fr-FR"/>
        </w:rPr>
        <w:t>’</w:t>
      </w:r>
      <w:r w:rsidRPr="004D763E">
        <w:rPr>
          <w:lang w:val="fr-FR"/>
        </w:rPr>
        <w:t>un plan d</w:t>
      </w:r>
      <w:r w:rsidR="00155EA0" w:rsidRPr="004D763E">
        <w:rPr>
          <w:lang w:val="fr-FR"/>
        </w:rPr>
        <w:t>’</w:t>
      </w:r>
      <w:r w:rsidRPr="004D763E">
        <w:rPr>
          <w:lang w:val="fr-FR"/>
        </w:rPr>
        <w:t>action de la direction a été établi pour donner suite aux recommandations de l</w:t>
      </w:r>
      <w:r w:rsidR="00155EA0" w:rsidRPr="004D763E">
        <w:rPr>
          <w:lang w:val="fr-FR"/>
        </w:rPr>
        <w:t>’</w:t>
      </w:r>
      <w:r w:rsidRPr="004D763E">
        <w:rPr>
          <w:lang w:val="fr-FR"/>
        </w:rPr>
        <w:t>examen collégial.</w:t>
      </w:r>
    </w:p>
    <w:p w14:paraId="10D4CAA9" w14:textId="4AF60CC6" w:rsidR="00FD177E" w:rsidRPr="004D763E" w:rsidRDefault="0065085D" w:rsidP="00FD177E">
      <w:pPr>
        <w:pStyle w:val="ONUMFS"/>
        <w:rPr>
          <w:rFonts w:eastAsia="Arial"/>
          <w:lang w:val="fr-FR"/>
        </w:rPr>
      </w:pPr>
      <w:bookmarkStart w:id="9" w:name="_Hlk193817556"/>
      <w:r w:rsidRPr="004D763E">
        <w:rPr>
          <w:lang w:val="fr-FR"/>
        </w:rPr>
        <w:t>L</w:t>
      </w:r>
      <w:r w:rsidR="00155EA0" w:rsidRPr="004D763E">
        <w:rPr>
          <w:lang w:val="fr-FR"/>
        </w:rPr>
        <w:t>’</w:t>
      </w:r>
      <w:r w:rsidRPr="004D763E">
        <w:rPr>
          <w:lang w:val="fr-FR"/>
        </w:rPr>
        <w:t>OCIS a également examiné, lors de sa soixante</w:t>
      </w:r>
      <w:r w:rsidR="004D763E">
        <w:rPr>
          <w:lang w:val="fr-FR"/>
        </w:rPr>
        <w:noBreakHyphen/>
      </w:r>
      <w:r w:rsidRPr="004D763E">
        <w:rPr>
          <w:lang w:val="fr-FR"/>
        </w:rPr>
        <w:t>seiz</w:t>
      </w:r>
      <w:r w:rsidR="00155EA0" w:rsidRPr="004D763E">
        <w:rPr>
          <w:lang w:val="fr-FR"/>
        </w:rPr>
        <w:t>ième session</w:t>
      </w:r>
      <w:r w:rsidRPr="004D763E">
        <w:rPr>
          <w:lang w:val="fr-FR"/>
        </w:rPr>
        <w:t>, les auto</w:t>
      </w:r>
      <w:r w:rsidR="004D763E">
        <w:rPr>
          <w:lang w:val="fr-FR"/>
        </w:rPr>
        <w:noBreakHyphen/>
      </w:r>
      <w:r w:rsidRPr="004D763E">
        <w:rPr>
          <w:lang w:val="fr-FR"/>
        </w:rPr>
        <w:t>évaluations périodiques des fonctions d</w:t>
      </w:r>
      <w:r w:rsidR="00155EA0" w:rsidRPr="004D763E">
        <w:rPr>
          <w:lang w:val="fr-FR"/>
        </w:rPr>
        <w:t>’</w:t>
      </w:r>
      <w:r w:rsidRPr="004D763E">
        <w:rPr>
          <w:lang w:val="fr-FR"/>
        </w:rPr>
        <w:t>audit interne et d</w:t>
      </w:r>
      <w:r w:rsidR="00155EA0" w:rsidRPr="004D763E">
        <w:rPr>
          <w:lang w:val="fr-FR"/>
        </w:rPr>
        <w:t>’</w:t>
      </w:r>
      <w:r w:rsidRPr="004D763E">
        <w:rPr>
          <w:lang w:val="fr-FR"/>
        </w:rPr>
        <w:t>enquête de</w:t>
      </w:r>
      <w:r w:rsidR="00B0451C" w:rsidRPr="004D763E">
        <w:rPr>
          <w:lang w:val="fr-FR"/>
        </w:rPr>
        <w:t xml:space="preserve"> la DSI</w:t>
      </w:r>
      <w:r w:rsidRPr="004D763E">
        <w:rPr>
          <w:lang w:val="fr-FR"/>
        </w:rPr>
        <w:t xml:space="preserve">, qui ont été menées pour préparer les évaluations externes de la qualité prévues pour le quatrième trimestre </w:t>
      </w:r>
      <w:r w:rsidR="00B0451C" w:rsidRPr="004D763E">
        <w:rPr>
          <w:lang w:val="fr-FR"/>
        </w:rPr>
        <w:t>de 2025</w:t>
      </w:r>
      <w:r w:rsidRPr="004D763E">
        <w:rPr>
          <w:lang w:val="fr-FR"/>
        </w:rPr>
        <w:t>.  Les évaluations ont conclu que la fonction d</w:t>
      </w:r>
      <w:r w:rsidR="00155EA0" w:rsidRPr="004D763E">
        <w:rPr>
          <w:lang w:val="fr-FR"/>
        </w:rPr>
        <w:t>’</w:t>
      </w:r>
      <w:r w:rsidRPr="004D763E">
        <w:rPr>
          <w:lang w:val="fr-FR"/>
        </w:rPr>
        <w:t>audit interne était conforme aux normes mondiales d</w:t>
      </w:r>
      <w:r w:rsidR="00155EA0" w:rsidRPr="004D763E">
        <w:rPr>
          <w:lang w:val="fr-FR"/>
        </w:rPr>
        <w:t>’</w:t>
      </w:r>
      <w:r w:rsidRPr="004D763E">
        <w:rPr>
          <w:lang w:val="fr-FR"/>
        </w:rPr>
        <w:t>audit interne et que la fonction d</w:t>
      </w:r>
      <w:r w:rsidR="00155EA0" w:rsidRPr="004D763E">
        <w:rPr>
          <w:lang w:val="fr-FR"/>
        </w:rPr>
        <w:t>’</w:t>
      </w:r>
      <w:r w:rsidRPr="004D763E">
        <w:rPr>
          <w:lang w:val="fr-FR"/>
        </w:rPr>
        <w:t>enquête était conforme aux normes de la Conférence des enquêteurs internationaux.  L</w:t>
      </w:r>
      <w:r w:rsidR="00155EA0" w:rsidRPr="004D763E">
        <w:rPr>
          <w:lang w:val="fr-FR"/>
        </w:rPr>
        <w:t>’</w:t>
      </w:r>
      <w:r w:rsidRPr="004D763E">
        <w:rPr>
          <w:lang w:val="fr-FR"/>
        </w:rPr>
        <w:t>OCIS a examiné le calendrier et l</w:t>
      </w:r>
      <w:r w:rsidR="00155EA0" w:rsidRPr="004D763E">
        <w:rPr>
          <w:lang w:val="fr-FR"/>
        </w:rPr>
        <w:t>’</w:t>
      </w:r>
      <w:r w:rsidRPr="004D763E">
        <w:rPr>
          <w:lang w:val="fr-FR"/>
        </w:rPr>
        <w:t>approche adoptée pour les prochaines évaluations externes de la qualité des fonctions d</w:t>
      </w:r>
      <w:r w:rsidR="00155EA0" w:rsidRPr="004D763E">
        <w:rPr>
          <w:lang w:val="fr-FR"/>
        </w:rPr>
        <w:t>’</w:t>
      </w:r>
      <w:r w:rsidRPr="004D763E">
        <w:rPr>
          <w:lang w:val="fr-FR"/>
        </w:rPr>
        <w:t>audit interne et d</w:t>
      </w:r>
      <w:r w:rsidR="00155EA0" w:rsidRPr="004D763E">
        <w:rPr>
          <w:lang w:val="fr-FR"/>
        </w:rPr>
        <w:t>’</w:t>
      </w:r>
      <w:r w:rsidRPr="004D763E">
        <w:rPr>
          <w:lang w:val="fr-FR"/>
        </w:rPr>
        <w:t>enquête et il est convenu de réexaminer cette question lors de sa prochaine réunion avec</w:t>
      </w:r>
      <w:r w:rsidR="00B0451C" w:rsidRPr="004D763E">
        <w:rPr>
          <w:lang w:val="fr-FR"/>
        </w:rPr>
        <w:t xml:space="preserve"> la DSI</w:t>
      </w:r>
      <w:r w:rsidRPr="004D763E">
        <w:rPr>
          <w:lang w:val="fr-FR"/>
        </w:rPr>
        <w:t>.</w:t>
      </w:r>
      <w:bookmarkEnd w:id="9"/>
    </w:p>
    <w:p w14:paraId="220E9095" w14:textId="4E5F8783" w:rsidR="00FD177E" w:rsidRPr="004D763E" w:rsidRDefault="0065085D" w:rsidP="00FD177E">
      <w:pPr>
        <w:pStyle w:val="Heading4"/>
        <w:rPr>
          <w:rFonts w:eastAsia="Times New Roman"/>
        </w:rPr>
      </w:pPr>
      <w:r w:rsidRPr="004D763E">
        <w:t>Informations actualisées sur l</w:t>
      </w:r>
      <w:r w:rsidR="00155EA0" w:rsidRPr="004D763E">
        <w:t>’</w:t>
      </w:r>
      <w:r w:rsidRPr="004D763E">
        <w:t>élaboration de l</w:t>
      </w:r>
      <w:r w:rsidR="00155EA0" w:rsidRPr="004D763E">
        <w:t>’</w:t>
      </w:r>
      <w:r w:rsidRPr="004D763E">
        <w:t>avis de</w:t>
      </w:r>
      <w:r w:rsidR="00B0451C" w:rsidRPr="004D763E">
        <w:t xml:space="preserve"> la DSI</w:t>
      </w:r>
      <w:r w:rsidRPr="004D763E">
        <w:t xml:space="preserve"> sur la gouvernance, la gestion des risques et les contrôles à l</w:t>
      </w:r>
      <w:r w:rsidR="00155EA0" w:rsidRPr="004D763E">
        <w:t>’</w:t>
      </w:r>
      <w:r w:rsidRPr="004D763E">
        <w:t>OMPI</w:t>
      </w:r>
    </w:p>
    <w:p w14:paraId="37DE75BD" w14:textId="418DFB68" w:rsidR="00155EA0" w:rsidRPr="004D763E" w:rsidRDefault="00EF0B73" w:rsidP="00EF0B73">
      <w:pPr>
        <w:pStyle w:val="ONUMFS"/>
        <w:rPr>
          <w:lang w:val="fr-FR"/>
        </w:rPr>
      </w:pPr>
      <w:r w:rsidRPr="004D763E">
        <w:rPr>
          <w:lang w:val="fr-FR"/>
        </w:rPr>
        <w:t>Lors de sa soixante</w:t>
      </w:r>
      <w:r w:rsidR="004D763E">
        <w:rPr>
          <w:lang w:val="fr-FR"/>
        </w:rPr>
        <w:noBreakHyphen/>
      </w:r>
      <w:r w:rsidRPr="004D763E">
        <w:rPr>
          <w:lang w:val="fr-FR"/>
        </w:rPr>
        <w:t>seiz</w:t>
      </w:r>
      <w:r w:rsidR="00155EA0" w:rsidRPr="004D763E">
        <w:rPr>
          <w:lang w:val="fr-FR"/>
        </w:rPr>
        <w:t>ième session</w:t>
      </w:r>
      <w:r w:rsidRPr="004D763E">
        <w:rPr>
          <w:lang w:val="fr-FR"/>
        </w:rPr>
        <w:t>, l</w:t>
      </w:r>
      <w:r w:rsidR="00155EA0" w:rsidRPr="004D763E">
        <w:rPr>
          <w:lang w:val="fr-FR"/>
        </w:rPr>
        <w:t>’</w:t>
      </w:r>
      <w:r w:rsidRPr="004D763E">
        <w:rPr>
          <w:lang w:val="fr-FR"/>
        </w:rPr>
        <w:t>OCIS a examiné les informations actualisées concernant l</w:t>
      </w:r>
      <w:r w:rsidR="00155EA0" w:rsidRPr="004D763E">
        <w:rPr>
          <w:lang w:val="fr-FR"/>
        </w:rPr>
        <w:t>’</w:t>
      </w:r>
      <w:r w:rsidRPr="004D763E">
        <w:rPr>
          <w:lang w:val="fr-FR"/>
        </w:rPr>
        <w:t>avis de</w:t>
      </w:r>
      <w:r w:rsidR="00155EA0" w:rsidRPr="004D763E">
        <w:rPr>
          <w:lang w:val="fr-FR"/>
        </w:rPr>
        <w:t xml:space="preserve"> la DSI</w:t>
      </w:r>
      <w:r w:rsidRPr="004D763E">
        <w:rPr>
          <w:lang w:val="fr-FR"/>
        </w:rPr>
        <w:t xml:space="preserve"> sur l</w:t>
      </w:r>
      <w:r w:rsidR="00155EA0" w:rsidRPr="004D763E">
        <w:rPr>
          <w:lang w:val="fr-FR"/>
        </w:rPr>
        <w:t>’</w:t>
      </w:r>
      <w:r w:rsidRPr="004D763E">
        <w:rPr>
          <w:lang w:val="fr-FR"/>
        </w:rPr>
        <w:t>adéquation et l</w:t>
      </w:r>
      <w:r w:rsidR="00155EA0" w:rsidRPr="004D763E">
        <w:rPr>
          <w:lang w:val="fr-FR"/>
        </w:rPr>
        <w:t>’</w:t>
      </w:r>
      <w:r w:rsidRPr="004D763E">
        <w:rPr>
          <w:lang w:val="fr-FR"/>
        </w:rPr>
        <w:t>efficacité de la gouvernance, de la gestion des risques et des contrôles à l</w:t>
      </w:r>
      <w:r w:rsidR="00155EA0" w:rsidRPr="004D763E">
        <w:rPr>
          <w:lang w:val="fr-FR"/>
        </w:rPr>
        <w:t>’</w:t>
      </w:r>
      <w:r w:rsidRPr="004D763E">
        <w:rPr>
          <w:lang w:val="fr-FR"/>
        </w:rPr>
        <w:t>OMPI, qui étayera la déclaration annuelle de l</w:t>
      </w:r>
      <w:r w:rsidR="00155EA0" w:rsidRPr="004D763E">
        <w:rPr>
          <w:lang w:val="fr-FR"/>
        </w:rPr>
        <w:t>’</w:t>
      </w:r>
      <w:r w:rsidRPr="004D763E">
        <w:rPr>
          <w:lang w:val="fr-FR"/>
        </w:rPr>
        <w:t>Organisation sur le contrôle inter</w:t>
      </w:r>
      <w:r w:rsidR="004D763E" w:rsidRPr="004D763E">
        <w:rPr>
          <w:lang w:val="fr-FR"/>
        </w:rPr>
        <w:t>ne.  Il</w:t>
      </w:r>
      <w:r w:rsidRPr="004D763E">
        <w:rPr>
          <w:lang w:val="fr-FR"/>
        </w:rPr>
        <w:t xml:space="preserve"> a noté que le cadre de l</w:t>
      </w:r>
      <w:r w:rsidR="00155EA0" w:rsidRPr="004D763E">
        <w:rPr>
          <w:lang w:val="fr-FR"/>
        </w:rPr>
        <w:t>’</w:t>
      </w:r>
      <w:r w:rsidRPr="004D763E">
        <w:rPr>
          <w:lang w:val="fr-FR"/>
        </w:rPr>
        <w:t>avis de</w:t>
      </w:r>
      <w:r w:rsidR="00155EA0" w:rsidRPr="004D763E">
        <w:rPr>
          <w:lang w:val="fr-FR"/>
        </w:rPr>
        <w:t xml:space="preserve"> la DSI</w:t>
      </w:r>
      <w:r w:rsidRPr="004D763E">
        <w:rPr>
          <w:lang w:val="fr-FR"/>
        </w:rPr>
        <w:t xml:space="preserve"> était fondé sur les pratiques d</w:t>
      </w:r>
      <w:r w:rsidR="00155EA0" w:rsidRPr="004D763E">
        <w:rPr>
          <w:lang w:val="fr-FR"/>
        </w:rPr>
        <w:t>’</w:t>
      </w:r>
      <w:r w:rsidRPr="004D763E">
        <w:rPr>
          <w:lang w:val="fr-FR"/>
        </w:rPr>
        <w:t xml:space="preserve">autres organisations des </w:t>
      </w:r>
      <w:r w:rsidR="00155EA0" w:rsidRPr="004D763E">
        <w:rPr>
          <w:lang w:val="fr-FR"/>
        </w:rPr>
        <w:t>Nations Unies</w:t>
      </w:r>
      <w:r w:rsidRPr="004D763E">
        <w:rPr>
          <w:lang w:val="fr-FR"/>
        </w:rPr>
        <w:t xml:space="preserve"> et s</w:t>
      </w:r>
      <w:r w:rsidR="00155EA0" w:rsidRPr="004D763E">
        <w:rPr>
          <w:lang w:val="fr-FR"/>
        </w:rPr>
        <w:t>’</w:t>
      </w:r>
      <w:r w:rsidRPr="004D763E">
        <w:rPr>
          <w:lang w:val="fr-FR"/>
        </w:rPr>
        <w:t>inspirait des normes mondiales d</w:t>
      </w:r>
      <w:r w:rsidR="00155EA0" w:rsidRPr="004D763E">
        <w:rPr>
          <w:lang w:val="fr-FR"/>
        </w:rPr>
        <w:t>’</w:t>
      </w:r>
      <w:r w:rsidRPr="004D763E">
        <w:rPr>
          <w:lang w:val="fr-FR"/>
        </w:rPr>
        <w:t>audit interne de l</w:t>
      </w:r>
      <w:r w:rsidR="00155EA0" w:rsidRPr="004D763E">
        <w:rPr>
          <w:lang w:val="fr-FR"/>
        </w:rPr>
        <w:t>’</w:t>
      </w:r>
      <w:r w:rsidRPr="004D763E">
        <w:rPr>
          <w:lang w:val="fr-FR"/>
        </w:rPr>
        <w:t>Institut des auditeurs internes.  L</w:t>
      </w:r>
      <w:r w:rsidR="00155EA0" w:rsidRPr="004D763E">
        <w:rPr>
          <w:lang w:val="fr-FR"/>
        </w:rPr>
        <w:t>’</w:t>
      </w:r>
      <w:r w:rsidRPr="004D763E">
        <w:rPr>
          <w:lang w:val="fr-FR"/>
        </w:rPr>
        <w:t>OCIS a également débattu de la nécessité d</w:t>
      </w:r>
      <w:r w:rsidR="00155EA0" w:rsidRPr="004D763E">
        <w:rPr>
          <w:lang w:val="fr-FR"/>
        </w:rPr>
        <w:t>’</w:t>
      </w:r>
      <w:r w:rsidRPr="004D763E">
        <w:rPr>
          <w:lang w:val="fr-FR"/>
        </w:rPr>
        <w:t>aligner les éléments fondamentaux de l</w:t>
      </w:r>
      <w:r w:rsidR="00155EA0" w:rsidRPr="004D763E">
        <w:rPr>
          <w:lang w:val="fr-FR"/>
        </w:rPr>
        <w:t>’</w:t>
      </w:r>
      <w:r w:rsidRPr="004D763E">
        <w:rPr>
          <w:lang w:val="fr-FR"/>
        </w:rPr>
        <w:t>avis de</w:t>
      </w:r>
      <w:r w:rsidR="00155EA0" w:rsidRPr="004D763E">
        <w:rPr>
          <w:lang w:val="fr-FR"/>
        </w:rPr>
        <w:t xml:space="preserve"> la DSI</w:t>
      </w:r>
      <w:r w:rsidRPr="004D763E">
        <w:rPr>
          <w:lang w:val="fr-FR"/>
        </w:rPr>
        <w:t xml:space="preserve"> sur ceux de l</w:t>
      </w:r>
      <w:r w:rsidR="00155EA0" w:rsidRPr="004D763E">
        <w:rPr>
          <w:lang w:val="fr-FR"/>
        </w:rPr>
        <w:t>’</w:t>
      </w:r>
      <w:r w:rsidRPr="004D763E">
        <w:rPr>
          <w:lang w:val="fr-FR"/>
        </w:rPr>
        <w:t>avis relatif à la déclaration sur le contrôle interne formulé par le Directeur génér</w:t>
      </w:r>
      <w:r w:rsidR="004D763E" w:rsidRPr="004D763E">
        <w:rPr>
          <w:lang w:val="fr-FR"/>
        </w:rPr>
        <w:t>al.  Il</w:t>
      </w:r>
      <w:r w:rsidRPr="004D763E">
        <w:rPr>
          <w:lang w:val="fr-FR"/>
        </w:rPr>
        <w:t xml:space="preserve"> s</w:t>
      </w:r>
      <w:r w:rsidR="00155EA0" w:rsidRPr="004D763E">
        <w:rPr>
          <w:lang w:val="fr-FR"/>
        </w:rPr>
        <w:t>’</w:t>
      </w:r>
      <w:r w:rsidRPr="004D763E">
        <w:rPr>
          <w:lang w:val="fr-FR"/>
        </w:rPr>
        <w:t>est félicité de l</w:t>
      </w:r>
      <w:r w:rsidR="00155EA0" w:rsidRPr="004D763E">
        <w:rPr>
          <w:lang w:val="fr-FR"/>
        </w:rPr>
        <w:t>’</w:t>
      </w:r>
      <w:r w:rsidRPr="004D763E">
        <w:rPr>
          <w:lang w:val="fr-FR"/>
        </w:rPr>
        <w:t>élaboration de l</w:t>
      </w:r>
      <w:r w:rsidR="00155EA0" w:rsidRPr="004D763E">
        <w:rPr>
          <w:lang w:val="fr-FR"/>
        </w:rPr>
        <w:t>’</w:t>
      </w:r>
      <w:r w:rsidRPr="004D763E">
        <w:rPr>
          <w:lang w:val="fr-FR"/>
        </w:rPr>
        <w:t xml:space="preserve">avis </w:t>
      </w:r>
      <w:r w:rsidR="00155EA0" w:rsidRPr="004D763E">
        <w:rPr>
          <w:lang w:val="fr-FR"/>
        </w:rPr>
        <w:t>de 2025</w:t>
      </w:r>
      <w:r w:rsidRPr="004D763E">
        <w:rPr>
          <w:lang w:val="fr-FR"/>
        </w:rPr>
        <w:t xml:space="preserve"> de</w:t>
      </w:r>
      <w:r w:rsidR="00155EA0" w:rsidRPr="004D763E">
        <w:rPr>
          <w:lang w:val="fr-FR"/>
        </w:rPr>
        <w:t xml:space="preserve"> la DSI</w:t>
      </w:r>
      <w:r w:rsidRPr="004D763E">
        <w:rPr>
          <w:lang w:val="fr-FR"/>
        </w:rPr>
        <w:t>, qui marque l</w:t>
      </w:r>
      <w:r w:rsidR="00155EA0" w:rsidRPr="004D763E">
        <w:rPr>
          <w:lang w:val="fr-FR"/>
        </w:rPr>
        <w:t>’</w:t>
      </w:r>
      <w:r w:rsidRPr="004D763E">
        <w:rPr>
          <w:lang w:val="fr-FR"/>
        </w:rPr>
        <w:t>aboutissement de discussions qu</w:t>
      </w:r>
      <w:r w:rsidR="00155EA0" w:rsidRPr="004D763E">
        <w:rPr>
          <w:lang w:val="fr-FR"/>
        </w:rPr>
        <w:t>’</w:t>
      </w:r>
      <w:r w:rsidRPr="004D763E">
        <w:rPr>
          <w:lang w:val="fr-FR"/>
        </w:rPr>
        <w:t>il mène depuis de nombreuses années.</w:t>
      </w:r>
    </w:p>
    <w:p w14:paraId="2D55C410" w14:textId="3606A46B" w:rsidR="00FD177E" w:rsidRPr="004D763E" w:rsidRDefault="0065085D" w:rsidP="00FD177E">
      <w:pPr>
        <w:pStyle w:val="Heading4"/>
        <w:rPr>
          <w:rFonts w:eastAsia="Arial"/>
          <w:iCs/>
        </w:rPr>
      </w:pPr>
      <w:r w:rsidRPr="004D763E">
        <w:t>Politiques et manuels proposés en matière de supervision interne</w:t>
      </w:r>
    </w:p>
    <w:p w14:paraId="574E73C6" w14:textId="59D42EE0" w:rsidR="00FD177E" w:rsidRPr="004D763E" w:rsidRDefault="0065085D" w:rsidP="00FD177E">
      <w:pPr>
        <w:pStyle w:val="ONUMFS"/>
        <w:rPr>
          <w:lang w:val="fr-FR"/>
        </w:rPr>
      </w:pPr>
      <w:r w:rsidRPr="004D763E">
        <w:rPr>
          <w:lang w:val="fr-FR"/>
        </w:rPr>
        <w:t>L</w:t>
      </w:r>
      <w:r w:rsidR="00155EA0" w:rsidRPr="004D763E">
        <w:rPr>
          <w:lang w:val="fr-FR"/>
        </w:rPr>
        <w:t>’</w:t>
      </w:r>
      <w:r w:rsidRPr="004D763E">
        <w:rPr>
          <w:lang w:val="fr-FR"/>
        </w:rPr>
        <w:t>OCIS a examiné</w:t>
      </w:r>
      <w:r w:rsidR="00155EA0" w:rsidRPr="004D763E">
        <w:rPr>
          <w:lang w:val="fr-FR"/>
        </w:rPr>
        <w:t> :</w:t>
      </w:r>
      <w:r w:rsidRPr="004D763E">
        <w:rPr>
          <w:lang w:val="fr-FR"/>
        </w:rPr>
        <w:t xml:space="preserve"> un manuel d</w:t>
      </w:r>
      <w:r w:rsidR="00155EA0" w:rsidRPr="004D763E">
        <w:rPr>
          <w:lang w:val="fr-FR"/>
        </w:rPr>
        <w:t>’</w:t>
      </w:r>
      <w:r w:rsidRPr="004D763E">
        <w:rPr>
          <w:lang w:val="fr-FR"/>
        </w:rPr>
        <w:t>enquête révisé de</w:t>
      </w:r>
      <w:r w:rsidR="00B0451C" w:rsidRPr="004D763E">
        <w:rPr>
          <w:lang w:val="fr-FR"/>
        </w:rPr>
        <w:t xml:space="preserve"> la DSI</w:t>
      </w:r>
      <w:r w:rsidRPr="004D763E">
        <w:rPr>
          <w:lang w:val="fr-FR"/>
        </w:rPr>
        <w:t xml:space="preserve"> lors de sa soixante</w:t>
      </w:r>
      <w:r w:rsidR="004D763E">
        <w:rPr>
          <w:lang w:val="fr-FR"/>
        </w:rPr>
        <w:noBreakHyphen/>
      </w:r>
      <w:r w:rsidRPr="004D763E">
        <w:rPr>
          <w:lang w:val="fr-FR"/>
        </w:rPr>
        <w:t>treiz</w:t>
      </w:r>
      <w:r w:rsidR="00155EA0" w:rsidRPr="004D763E">
        <w:rPr>
          <w:lang w:val="fr-FR"/>
        </w:rPr>
        <w:t>ième session</w:t>
      </w:r>
      <w:r w:rsidRPr="004D763E">
        <w:rPr>
          <w:lang w:val="fr-FR"/>
        </w:rPr>
        <w:t>;  un manuel d</w:t>
      </w:r>
      <w:r w:rsidR="00155EA0" w:rsidRPr="004D763E">
        <w:rPr>
          <w:lang w:val="fr-FR"/>
        </w:rPr>
        <w:t>’</w:t>
      </w:r>
      <w:r w:rsidRPr="004D763E">
        <w:rPr>
          <w:lang w:val="fr-FR"/>
        </w:rPr>
        <w:t>audit interne révisé lors de sa soixante</w:t>
      </w:r>
      <w:r w:rsidR="004D763E">
        <w:rPr>
          <w:lang w:val="fr-FR"/>
        </w:rPr>
        <w:noBreakHyphen/>
      </w:r>
      <w:r w:rsidRPr="004D763E">
        <w:rPr>
          <w:lang w:val="fr-FR"/>
        </w:rPr>
        <w:t>quatorz</w:t>
      </w:r>
      <w:r w:rsidR="00155EA0" w:rsidRPr="004D763E">
        <w:rPr>
          <w:lang w:val="fr-FR"/>
        </w:rPr>
        <w:t>ième session</w:t>
      </w:r>
      <w:r w:rsidRPr="004D763E">
        <w:rPr>
          <w:lang w:val="fr-FR"/>
        </w:rPr>
        <w:t>;  et une politique d</w:t>
      </w:r>
      <w:r w:rsidR="00155EA0" w:rsidRPr="004D763E">
        <w:rPr>
          <w:lang w:val="fr-FR"/>
        </w:rPr>
        <w:t>’</w:t>
      </w:r>
      <w:r w:rsidRPr="004D763E">
        <w:rPr>
          <w:lang w:val="fr-FR"/>
        </w:rPr>
        <w:t>audit interne révisée lors de sa soixante</w:t>
      </w:r>
      <w:r w:rsidR="004D763E">
        <w:rPr>
          <w:lang w:val="fr-FR"/>
        </w:rPr>
        <w:noBreakHyphen/>
      </w:r>
      <w:r w:rsidRPr="004D763E">
        <w:rPr>
          <w:lang w:val="fr-FR"/>
        </w:rPr>
        <w:t>quinz</w:t>
      </w:r>
      <w:r w:rsidR="00155EA0" w:rsidRPr="004D763E">
        <w:rPr>
          <w:lang w:val="fr-FR"/>
        </w:rPr>
        <w:t>ième sessi</w:t>
      </w:r>
      <w:r w:rsidR="004D763E" w:rsidRPr="004D763E">
        <w:rPr>
          <w:lang w:val="fr-FR"/>
        </w:rPr>
        <w:t>on.  La</w:t>
      </w:r>
      <w:r w:rsidRPr="004D763E">
        <w:rPr>
          <w:lang w:val="fr-FR"/>
        </w:rPr>
        <w:t xml:space="preserve"> directrice de</w:t>
      </w:r>
      <w:r w:rsidR="00B0451C" w:rsidRPr="004D763E">
        <w:rPr>
          <w:lang w:val="fr-FR"/>
        </w:rPr>
        <w:t xml:space="preserve"> la DSI</w:t>
      </w:r>
      <w:r w:rsidRPr="004D763E">
        <w:rPr>
          <w:lang w:val="fr-FR"/>
        </w:rPr>
        <w:t xml:space="preserve"> lui a fait savoir que les propositions de révision du manuel d</w:t>
      </w:r>
      <w:r w:rsidR="00155EA0" w:rsidRPr="004D763E">
        <w:rPr>
          <w:lang w:val="fr-FR"/>
        </w:rPr>
        <w:t>’</w:t>
      </w:r>
      <w:r w:rsidRPr="004D763E">
        <w:rPr>
          <w:lang w:val="fr-FR"/>
        </w:rPr>
        <w:t>audit interne et de la politique d</w:t>
      </w:r>
      <w:r w:rsidR="00155EA0" w:rsidRPr="004D763E">
        <w:rPr>
          <w:lang w:val="fr-FR"/>
        </w:rPr>
        <w:t>’</w:t>
      </w:r>
      <w:r w:rsidRPr="004D763E">
        <w:rPr>
          <w:lang w:val="fr-FR"/>
        </w:rPr>
        <w:t>audit interne visaient à garantir la conformité de ces deux</w:t>
      </w:r>
      <w:r w:rsidR="001D6F62" w:rsidRPr="004D763E">
        <w:rPr>
          <w:lang w:val="fr-FR"/>
        </w:rPr>
        <w:t> </w:t>
      </w:r>
      <w:r w:rsidRPr="004D763E">
        <w:rPr>
          <w:lang w:val="fr-FR"/>
        </w:rPr>
        <w:t>documents avec les nouvelles normes mondiales d</w:t>
      </w:r>
      <w:r w:rsidR="00155EA0" w:rsidRPr="004D763E">
        <w:rPr>
          <w:lang w:val="fr-FR"/>
        </w:rPr>
        <w:t>’</w:t>
      </w:r>
      <w:r w:rsidRPr="004D763E">
        <w:rPr>
          <w:lang w:val="fr-FR"/>
        </w:rPr>
        <w:t>audit interne de 2024, ainsi qu</w:t>
      </w:r>
      <w:r w:rsidR="00155EA0" w:rsidRPr="004D763E">
        <w:rPr>
          <w:lang w:val="fr-FR"/>
        </w:rPr>
        <w:t>’</w:t>
      </w:r>
      <w:r w:rsidRPr="004D763E">
        <w:rPr>
          <w:lang w:val="fr-FR"/>
        </w:rPr>
        <w:t>avec la version actualisée de la Charte de la supervision interne.</w:t>
      </w:r>
    </w:p>
    <w:p w14:paraId="0DA075D4" w14:textId="4080BAD1" w:rsidR="00FD177E" w:rsidRPr="004D763E" w:rsidRDefault="0065085D" w:rsidP="00FD177E">
      <w:pPr>
        <w:pStyle w:val="Heading4"/>
      </w:pPr>
      <w:r w:rsidRPr="004D763E">
        <w:t>Rapports d</w:t>
      </w:r>
      <w:r w:rsidR="00155EA0" w:rsidRPr="004D763E">
        <w:t>’</w:t>
      </w:r>
      <w:r w:rsidRPr="004D763E">
        <w:t>audit interne</w:t>
      </w:r>
    </w:p>
    <w:p w14:paraId="09431F23" w14:textId="60F44F09" w:rsidR="00FD177E" w:rsidRPr="004D763E" w:rsidRDefault="0065085D" w:rsidP="00FD177E">
      <w:pPr>
        <w:pStyle w:val="ONUMFS"/>
        <w:rPr>
          <w:rFonts w:eastAsia="Arial"/>
          <w:lang w:val="fr-FR"/>
        </w:rPr>
      </w:pPr>
      <w:bookmarkStart w:id="10" w:name="page7"/>
      <w:bookmarkEnd w:id="10"/>
      <w:r w:rsidRPr="004D763E">
        <w:rPr>
          <w:lang w:val="fr-FR"/>
        </w:rPr>
        <w:t>L</w:t>
      </w:r>
      <w:r w:rsidR="00155EA0" w:rsidRPr="004D763E">
        <w:rPr>
          <w:lang w:val="fr-FR"/>
        </w:rPr>
        <w:t>’</w:t>
      </w:r>
      <w:r w:rsidRPr="004D763E">
        <w:rPr>
          <w:lang w:val="fr-FR"/>
        </w:rPr>
        <w:t>OCIS a examiné, conjointement avec</w:t>
      </w:r>
      <w:r w:rsidR="00B0451C" w:rsidRPr="004D763E">
        <w:rPr>
          <w:lang w:val="fr-FR"/>
        </w:rPr>
        <w:t xml:space="preserve"> la DSI</w:t>
      </w:r>
      <w:r w:rsidRPr="004D763E">
        <w:rPr>
          <w:lang w:val="fr-FR"/>
        </w:rPr>
        <w:t xml:space="preserve"> et le Secrétariat, des rapports sur les six</w:t>
      </w:r>
      <w:r w:rsidR="001D6F62" w:rsidRPr="004D763E">
        <w:rPr>
          <w:lang w:val="fr-FR"/>
        </w:rPr>
        <w:t> </w:t>
      </w:r>
      <w:r w:rsidRPr="004D763E">
        <w:rPr>
          <w:lang w:val="fr-FR"/>
        </w:rPr>
        <w:t>missions d</w:t>
      </w:r>
      <w:r w:rsidR="00155EA0" w:rsidRPr="004D763E">
        <w:rPr>
          <w:lang w:val="fr-FR"/>
        </w:rPr>
        <w:t>’</w:t>
      </w:r>
      <w:r w:rsidRPr="004D763E">
        <w:rPr>
          <w:lang w:val="fr-FR"/>
        </w:rPr>
        <w:t>audit interne indiquées ci</w:t>
      </w:r>
      <w:r w:rsidR="004D763E">
        <w:rPr>
          <w:lang w:val="fr-FR"/>
        </w:rPr>
        <w:noBreakHyphen/>
      </w:r>
      <w:r w:rsidRPr="004D763E">
        <w:rPr>
          <w:lang w:val="fr-FR"/>
        </w:rPr>
        <w:t>apr</w:t>
      </w:r>
      <w:r w:rsidR="004D763E" w:rsidRPr="004D763E">
        <w:rPr>
          <w:lang w:val="fr-FR"/>
        </w:rPr>
        <w:t>ès.  Ce</w:t>
      </w:r>
      <w:r w:rsidRPr="004D763E">
        <w:rPr>
          <w:lang w:val="fr-FR"/>
        </w:rPr>
        <w:t>rtains des rapports ont été publiés sous une forme non expurgée sur le site Web de l</w:t>
      </w:r>
      <w:r w:rsidR="00155EA0" w:rsidRPr="004D763E">
        <w:rPr>
          <w:lang w:val="fr-FR"/>
        </w:rPr>
        <w:t>’</w:t>
      </w:r>
      <w:r w:rsidRPr="004D763E">
        <w:rPr>
          <w:lang w:val="fr-FR"/>
        </w:rPr>
        <w:t>OMPI, conformément à la Politique de</w:t>
      </w:r>
      <w:r w:rsidR="00B0451C" w:rsidRPr="004D763E">
        <w:rPr>
          <w:lang w:val="fr-FR"/>
        </w:rPr>
        <w:t xml:space="preserve"> la DSI</w:t>
      </w:r>
      <w:r w:rsidRPr="004D763E">
        <w:rPr>
          <w:lang w:val="fr-FR"/>
        </w:rPr>
        <w:t xml:space="preserve"> en matière de publication des rapports (IOD/PP/2021).</w:t>
      </w:r>
    </w:p>
    <w:p w14:paraId="5759DBF4" w14:textId="7C2C981B" w:rsidR="0065085D" w:rsidRPr="004D763E" w:rsidRDefault="0065085D" w:rsidP="00FD177E">
      <w:pPr>
        <w:pStyle w:val="ONUMFS"/>
        <w:numPr>
          <w:ilvl w:val="0"/>
          <w:numId w:val="21"/>
        </w:numPr>
        <w:spacing w:after="0"/>
        <w:ind w:left="1134" w:hanging="567"/>
        <w:rPr>
          <w:rFonts w:eastAsia="Arial"/>
          <w:lang w:val="fr-FR"/>
        </w:rPr>
      </w:pPr>
      <w:r w:rsidRPr="004D763E">
        <w:rPr>
          <w:lang w:val="fr-FR"/>
        </w:rPr>
        <w:t>Validation du Rapport sur la performance de l</w:t>
      </w:r>
      <w:r w:rsidR="00155EA0" w:rsidRPr="004D763E">
        <w:rPr>
          <w:lang w:val="fr-FR"/>
        </w:rPr>
        <w:t>’</w:t>
      </w:r>
      <w:r w:rsidRPr="004D763E">
        <w:rPr>
          <w:lang w:val="fr-FR"/>
        </w:rPr>
        <w:t xml:space="preserve">OMPI </w:t>
      </w:r>
      <w:r w:rsidR="00B0451C" w:rsidRPr="004D763E">
        <w:rPr>
          <w:lang w:val="fr-FR"/>
        </w:rPr>
        <w:t>en 2022</w:t>
      </w:r>
      <w:r w:rsidR="004D763E">
        <w:rPr>
          <w:lang w:val="fr-FR"/>
        </w:rPr>
        <w:noBreakHyphen/>
      </w:r>
      <w:r w:rsidRPr="004D763E">
        <w:rPr>
          <w:lang w:val="fr-FR"/>
        </w:rPr>
        <w:t>2023 (</w:t>
      </w:r>
      <w:r w:rsidR="00155EA0" w:rsidRPr="004D763E">
        <w:rPr>
          <w:lang w:val="fr-FR"/>
        </w:rPr>
        <w:t>document WO</w:t>
      </w:r>
      <w:r w:rsidRPr="004D763E">
        <w:rPr>
          <w:lang w:val="fr-FR"/>
        </w:rPr>
        <w:t>/PBC/37/8)</w:t>
      </w:r>
    </w:p>
    <w:p w14:paraId="2D5812CF" w14:textId="4905F27F" w:rsidR="0065085D" w:rsidRPr="004D763E" w:rsidRDefault="0065085D" w:rsidP="00FD177E">
      <w:pPr>
        <w:pStyle w:val="ONUMFS"/>
        <w:numPr>
          <w:ilvl w:val="0"/>
          <w:numId w:val="21"/>
        </w:numPr>
        <w:spacing w:after="0"/>
        <w:ind w:left="1134" w:hanging="567"/>
        <w:rPr>
          <w:rFonts w:eastAsia="Arial"/>
          <w:lang w:val="fr-FR"/>
        </w:rPr>
      </w:pPr>
      <w:r w:rsidRPr="004D763E">
        <w:rPr>
          <w:lang w:val="fr-FR"/>
        </w:rPr>
        <w:t xml:space="preserve">Validation des données relatives aux demandes de remboursement au titre de </w:t>
      </w:r>
      <w:r w:rsidR="00EF0B73" w:rsidRPr="004D763E">
        <w:rPr>
          <w:color w:val="000000" w:themeColor="text1"/>
        </w:rPr>
        <w:t>l</w:t>
      </w:r>
      <w:r w:rsidR="00155EA0" w:rsidRPr="004D763E">
        <w:rPr>
          <w:color w:val="000000" w:themeColor="text1"/>
        </w:rPr>
        <w:t>’</w:t>
      </w:r>
      <w:r w:rsidR="00EF0B73" w:rsidRPr="004D763E">
        <w:rPr>
          <w:color w:val="000000" w:themeColor="text1"/>
        </w:rPr>
        <w:t>assurance maladie après la cessation de service (AMCS) (IA</w:t>
      </w:r>
      <w:r w:rsidR="00A9764E" w:rsidRPr="004D763E">
        <w:rPr>
          <w:color w:val="000000" w:themeColor="text1"/>
        </w:rPr>
        <w:t> </w:t>
      </w:r>
      <w:r w:rsidR="00EF0B73" w:rsidRPr="004D763E">
        <w:rPr>
          <w:color w:val="000000" w:themeColor="text1"/>
        </w:rPr>
        <w:t>2024</w:t>
      </w:r>
      <w:r w:rsidR="004D763E">
        <w:rPr>
          <w:lang w:val="fr-FR"/>
        </w:rPr>
        <w:noBreakHyphen/>
      </w:r>
      <w:r w:rsidRPr="004D763E">
        <w:rPr>
          <w:lang w:val="fr-FR"/>
        </w:rPr>
        <w:t>01)</w:t>
      </w:r>
    </w:p>
    <w:p w14:paraId="26D649A5" w14:textId="7A9B8F4E" w:rsidR="0065085D" w:rsidRPr="004D763E" w:rsidRDefault="0065085D" w:rsidP="00FD177E">
      <w:pPr>
        <w:pStyle w:val="ONUMFS"/>
        <w:numPr>
          <w:ilvl w:val="0"/>
          <w:numId w:val="21"/>
        </w:numPr>
        <w:spacing w:after="0"/>
        <w:ind w:left="1134" w:hanging="567"/>
        <w:rPr>
          <w:rFonts w:eastAsia="Arial"/>
          <w:lang w:val="fr-FR"/>
        </w:rPr>
      </w:pPr>
      <w:r w:rsidRPr="004D763E">
        <w:rPr>
          <w:lang w:val="fr-FR"/>
        </w:rPr>
        <w:t>Audit de la gestion de la cybersécurité (IA 2024</w:t>
      </w:r>
      <w:r w:rsidR="004D763E">
        <w:rPr>
          <w:lang w:val="fr-FR"/>
        </w:rPr>
        <w:noBreakHyphen/>
      </w:r>
      <w:r w:rsidRPr="004D763E">
        <w:rPr>
          <w:lang w:val="fr-FR"/>
        </w:rPr>
        <w:t>02)</w:t>
      </w:r>
    </w:p>
    <w:p w14:paraId="05D40C7F" w14:textId="6A5D1D66" w:rsidR="0065085D" w:rsidRPr="004D763E" w:rsidRDefault="0065085D" w:rsidP="00FD177E">
      <w:pPr>
        <w:pStyle w:val="ONUMFS"/>
        <w:numPr>
          <w:ilvl w:val="0"/>
          <w:numId w:val="21"/>
        </w:numPr>
        <w:spacing w:after="0"/>
        <w:ind w:left="1134" w:hanging="567"/>
        <w:rPr>
          <w:rFonts w:eastAsia="Arial"/>
          <w:lang w:val="fr-FR"/>
        </w:rPr>
      </w:pPr>
      <w:r w:rsidRPr="004D763E">
        <w:rPr>
          <w:lang w:val="fr-FR"/>
        </w:rPr>
        <w:t>Examen par</w:t>
      </w:r>
      <w:r w:rsidR="00B0451C" w:rsidRPr="004D763E">
        <w:rPr>
          <w:lang w:val="fr-FR"/>
        </w:rPr>
        <w:t xml:space="preserve"> la DSI</w:t>
      </w:r>
      <w:r w:rsidRPr="004D763E">
        <w:rPr>
          <w:lang w:val="fr-FR"/>
        </w:rPr>
        <w:t xml:space="preserve"> de la conception et de l</w:t>
      </w:r>
      <w:r w:rsidR="00155EA0" w:rsidRPr="004D763E">
        <w:rPr>
          <w:lang w:val="fr-FR"/>
        </w:rPr>
        <w:t>’</w:t>
      </w:r>
      <w:r w:rsidRPr="004D763E">
        <w:rPr>
          <w:lang w:val="fr-FR"/>
        </w:rPr>
        <w:t>efficacité opérationnelle des contrôles clés en vigueur à l</w:t>
      </w:r>
      <w:r w:rsidR="00155EA0" w:rsidRPr="004D763E">
        <w:rPr>
          <w:lang w:val="fr-FR"/>
        </w:rPr>
        <w:t>’</w:t>
      </w:r>
      <w:r w:rsidRPr="004D763E">
        <w:rPr>
          <w:lang w:val="fr-FR"/>
        </w:rPr>
        <w:t>OMPI (IA 2024</w:t>
      </w:r>
      <w:r w:rsidR="004D763E">
        <w:rPr>
          <w:lang w:val="fr-FR"/>
        </w:rPr>
        <w:noBreakHyphen/>
      </w:r>
      <w:r w:rsidRPr="004D763E">
        <w:rPr>
          <w:lang w:val="fr-FR"/>
        </w:rPr>
        <w:t>03)</w:t>
      </w:r>
    </w:p>
    <w:p w14:paraId="32F0178A" w14:textId="58AA5F88" w:rsidR="0065085D" w:rsidRPr="004D763E" w:rsidRDefault="0065085D" w:rsidP="00FD177E">
      <w:pPr>
        <w:pStyle w:val="ONUMFS"/>
        <w:numPr>
          <w:ilvl w:val="0"/>
          <w:numId w:val="21"/>
        </w:numPr>
        <w:spacing w:after="0"/>
        <w:ind w:left="1134" w:hanging="567"/>
        <w:rPr>
          <w:rFonts w:eastAsia="Arial"/>
          <w:lang w:val="fr-FR"/>
        </w:rPr>
      </w:pPr>
      <w:r w:rsidRPr="004D763E">
        <w:rPr>
          <w:lang w:val="fr-FR"/>
        </w:rPr>
        <w:t>Audit interne du Bureau de l</w:t>
      </w:r>
      <w:r w:rsidR="00155EA0" w:rsidRPr="004D763E">
        <w:rPr>
          <w:lang w:val="fr-FR"/>
        </w:rPr>
        <w:t>’</w:t>
      </w:r>
      <w:r w:rsidRPr="004D763E">
        <w:rPr>
          <w:lang w:val="fr-FR"/>
        </w:rPr>
        <w:t>OMPI au Nigéria (IA</w:t>
      </w:r>
      <w:r w:rsidR="004D763E">
        <w:rPr>
          <w:lang w:val="fr-FR"/>
        </w:rPr>
        <w:noBreakHyphen/>
      </w:r>
      <w:r w:rsidRPr="004D763E">
        <w:rPr>
          <w:lang w:val="fr-FR"/>
        </w:rPr>
        <w:t>2024</w:t>
      </w:r>
      <w:r w:rsidR="004D763E">
        <w:rPr>
          <w:lang w:val="fr-FR"/>
        </w:rPr>
        <w:noBreakHyphen/>
      </w:r>
      <w:r w:rsidRPr="004D763E">
        <w:rPr>
          <w:lang w:val="fr-FR"/>
        </w:rPr>
        <w:t>05)</w:t>
      </w:r>
    </w:p>
    <w:p w14:paraId="109119AA" w14:textId="2FCEBAA6" w:rsidR="00FD177E" w:rsidRPr="004D763E" w:rsidRDefault="0065085D" w:rsidP="00FD177E">
      <w:pPr>
        <w:pStyle w:val="ONUMFS"/>
        <w:numPr>
          <w:ilvl w:val="0"/>
          <w:numId w:val="21"/>
        </w:numPr>
        <w:ind w:left="1134" w:hanging="567"/>
        <w:rPr>
          <w:rFonts w:eastAsia="Arial"/>
          <w:lang w:val="fr-FR"/>
        </w:rPr>
      </w:pPr>
      <w:r w:rsidRPr="004D763E">
        <w:rPr>
          <w:lang w:val="fr-FR"/>
        </w:rPr>
        <w:t>Audit de la Division de la traduction du PCT (IA 2024</w:t>
      </w:r>
      <w:r w:rsidR="004D763E">
        <w:rPr>
          <w:lang w:val="fr-FR"/>
        </w:rPr>
        <w:noBreakHyphen/>
      </w:r>
      <w:r w:rsidRPr="004D763E">
        <w:rPr>
          <w:lang w:val="fr-FR"/>
        </w:rPr>
        <w:t>04)</w:t>
      </w:r>
    </w:p>
    <w:p w14:paraId="6B2647EA" w14:textId="311DAE55" w:rsidR="00FD177E" w:rsidRPr="004D763E" w:rsidRDefault="0065085D" w:rsidP="00FD177E">
      <w:pPr>
        <w:pStyle w:val="Heading4"/>
      </w:pPr>
      <w:r w:rsidRPr="004D763E">
        <w:t>Rapports d</w:t>
      </w:r>
      <w:r w:rsidR="00155EA0" w:rsidRPr="004D763E">
        <w:t>’</w:t>
      </w:r>
      <w:r w:rsidRPr="004D763E">
        <w:t>évaluation</w:t>
      </w:r>
    </w:p>
    <w:p w14:paraId="78CF2947" w14:textId="7D162143" w:rsidR="00FD177E" w:rsidRPr="004D763E" w:rsidRDefault="0065085D" w:rsidP="00FD177E">
      <w:pPr>
        <w:pStyle w:val="ONUMFS"/>
        <w:keepNext/>
        <w:rPr>
          <w:rFonts w:eastAsia="Arial"/>
          <w:lang w:val="fr-FR"/>
        </w:rPr>
      </w:pPr>
      <w:r w:rsidRPr="004D763E">
        <w:rPr>
          <w:lang w:val="fr-FR"/>
        </w:rPr>
        <w:t>L</w:t>
      </w:r>
      <w:r w:rsidR="00155EA0" w:rsidRPr="004D763E">
        <w:rPr>
          <w:lang w:val="fr-FR"/>
        </w:rPr>
        <w:t>’</w:t>
      </w:r>
      <w:r w:rsidRPr="004D763E">
        <w:rPr>
          <w:lang w:val="fr-FR"/>
        </w:rPr>
        <w:t>OCIS a examiné, conjointement avec</w:t>
      </w:r>
      <w:r w:rsidR="00B0451C" w:rsidRPr="004D763E">
        <w:rPr>
          <w:lang w:val="fr-FR"/>
        </w:rPr>
        <w:t xml:space="preserve"> la DSI</w:t>
      </w:r>
      <w:r w:rsidRPr="004D763E">
        <w:rPr>
          <w:lang w:val="fr-FR"/>
        </w:rPr>
        <w:t xml:space="preserve"> et le Secrétariat, quatre</w:t>
      </w:r>
      <w:r w:rsidR="001D6F62" w:rsidRPr="004D763E">
        <w:rPr>
          <w:lang w:val="fr-FR"/>
        </w:rPr>
        <w:t> </w:t>
      </w:r>
      <w:r w:rsidRPr="004D763E">
        <w:rPr>
          <w:lang w:val="fr-FR"/>
        </w:rPr>
        <w:t>rapports d</w:t>
      </w:r>
      <w:r w:rsidR="00155EA0" w:rsidRPr="004D763E">
        <w:rPr>
          <w:lang w:val="fr-FR"/>
        </w:rPr>
        <w:t>’</w:t>
      </w:r>
      <w:r w:rsidRPr="004D763E">
        <w:rPr>
          <w:lang w:val="fr-FR"/>
        </w:rPr>
        <w:t>évaluation, un rapport consultatif et six</w:t>
      </w:r>
      <w:r w:rsidR="001D6F62" w:rsidRPr="004D763E">
        <w:rPr>
          <w:lang w:val="fr-FR"/>
        </w:rPr>
        <w:t> </w:t>
      </w:r>
      <w:r w:rsidRPr="004D763E">
        <w:rPr>
          <w:lang w:val="fr-FR"/>
        </w:rPr>
        <w:t>examens de pré</w:t>
      </w:r>
      <w:r w:rsidR="004D763E">
        <w:rPr>
          <w:lang w:val="fr-FR"/>
        </w:rPr>
        <w:noBreakHyphen/>
      </w:r>
      <w:proofErr w:type="gramStart"/>
      <w:r w:rsidRPr="004D763E">
        <w:rPr>
          <w:lang w:val="fr-FR"/>
        </w:rPr>
        <w:t>évaluation indiqués</w:t>
      </w:r>
      <w:proofErr w:type="gramEnd"/>
      <w:r w:rsidRPr="004D763E">
        <w:rPr>
          <w:lang w:val="fr-FR"/>
        </w:rPr>
        <w:t xml:space="preserve"> ci</w:t>
      </w:r>
      <w:r w:rsidR="004D763E">
        <w:rPr>
          <w:lang w:val="fr-FR"/>
        </w:rPr>
        <w:noBreakHyphen/>
      </w:r>
      <w:r w:rsidRPr="004D763E">
        <w:rPr>
          <w:lang w:val="fr-FR"/>
        </w:rPr>
        <w:t>apr</w:t>
      </w:r>
      <w:r w:rsidR="004D763E" w:rsidRPr="004D763E">
        <w:rPr>
          <w:lang w:val="fr-FR"/>
        </w:rPr>
        <w:t>ès.  Ce</w:t>
      </w:r>
      <w:r w:rsidRPr="004D763E">
        <w:rPr>
          <w:lang w:val="fr-FR"/>
        </w:rPr>
        <w:t>rtains des rapports ont été publiés sous une forme non expurgée sur le site Web de l</w:t>
      </w:r>
      <w:r w:rsidR="00155EA0" w:rsidRPr="004D763E">
        <w:rPr>
          <w:lang w:val="fr-FR"/>
        </w:rPr>
        <w:t>’</w:t>
      </w:r>
      <w:r w:rsidRPr="004D763E">
        <w:rPr>
          <w:lang w:val="fr-FR"/>
        </w:rPr>
        <w:t>OMPI, conformément à la Politique de</w:t>
      </w:r>
      <w:r w:rsidR="00B0451C" w:rsidRPr="004D763E">
        <w:rPr>
          <w:lang w:val="fr-FR"/>
        </w:rPr>
        <w:t xml:space="preserve"> la DSI</w:t>
      </w:r>
      <w:r w:rsidRPr="004D763E">
        <w:rPr>
          <w:lang w:val="fr-FR"/>
        </w:rPr>
        <w:t xml:space="preserve"> en matière de publication des rapports (IOD/PP/2021).</w:t>
      </w:r>
    </w:p>
    <w:p w14:paraId="2CEA0574" w14:textId="0909D936" w:rsidR="00B0451C" w:rsidRPr="004D763E" w:rsidRDefault="0065085D" w:rsidP="00FD177E">
      <w:pPr>
        <w:pStyle w:val="ONUMFS"/>
        <w:numPr>
          <w:ilvl w:val="0"/>
          <w:numId w:val="22"/>
        </w:numPr>
        <w:spacing w:after="0"/>
        <w:ind w:left="1134" w:hanging="567"/>
        <w:rPr>
          <w:lang w:val="fr-FR"/>
        </w:rPr>
      </w:pPr>
      <w:r w:rsidRPr="004D763E">
        <w:rPr>
          <w:lang w:val="fr-FR"/>
        </w:rPr>
        <w:t>Audit et évaluation combinés des opérations et des relations avec la clientèle du PCT – Deuxième partie</w:t>
      </w:r>
      <w:r w:rsidR="00155EA0" w:rsidRPr="004D763E">
        <w:rPr>
          <w:lang w:val="fr-FR"/>
        </w:rPr>
        <w:t> :</w:t>
      </w:r>
      <w:r w:rsidRPr="004D763E">
        <w:rPr>
          <w:lang w:val="fr-FR"/>
        </w:rPr>
        <w:t xml:space="preserve"> Vérification de la culture du service à la clientèle du PCT (EVAL 2022</w:t>
      </w:r>
      <w:r w:rsidR="004D763E">
        <w:rPr>
          <w:lang w:val="fr-FR"/>
        </w:rPr>
        <w:noBreakHyphen/>
      </w:r>
      <w:r w:rsidRPr="004D763E">
        <w:rPr>
          <w:lang w:val="fr-FR"/>
        </w:rPr>
        <w:t>05)</w:t>
      </w:r>
    </w:p>
    <w:p w14:paraId="2B2E305E" w14:textId="76C5C221" w:rsidR="0065085D" w:rsidRPr="004D763E" w:rsidRDefault="0065085D" w:rsidP="00FD177E">
      <w:pPr>
        <w:pStyle w:val="ONUMFS"/>
        <w:numPr>
          <w:ilvl w:val="0"/>
          <w:numId w:val="22"/>
        </w:numPr>
        <w:spacing w:after="0"/>
        <w:ind w:left="1134" w:hanging="567"/>
        <w:rPr>
          <w:rFonts w:eastAsia="Arial"/>
          <w:lang w:val="fr-FR"/>
        </w:rPr>
      </w:pPr>
      <w:r w:rsidRPr="004D763E">
        <w:rPr>
          <w:lang w:val="fr-FR"/>
        </w:rPr>
        <w:t>Examen de pré</w:t>
      </w:r>
      <w:r w:rsidR="004D763E">
        <w:rPr>
          <w:lang w:val="fr-FR"/>
        </w:rPr>
        <w:noBreakHyphen/>
      </w:r>
      <w:r w:rsidRPr="004D763E">
        <w:rPr>
          <w:lang w:val="fr-FR"/>
        </w:rPr>
        <w:t>évaluation du programme de bourses du système de Madrid (EVAL 2023</w:t>
      </w:r>
      <w:r w:rsidR="004D763E">
        <w:rPr>
          <w:lang w:val="fr-FR"/>
        </w:rPr>
        <w:noBreakHyphen/>
      </w:r>
      <w:r w:rsidRPr="004D763E">
        <w:rPr>
          <w:lang w:val="fr-FR"/>
        </w:rPr>
        <w:t>02)</w:t>
      </w:r>
    </w:p>
    <w:p w14:paraId="34F77B06" w14:textId="1AC4FCF6" w:rsidR="00B0451C" w:rsidRPr="004D763E" w:rsidRDefault="0065085D" w:rsidP="00FD177E">
      <w:pPr>
        <w:pStyle w:val="ONUMFS"/>
        <w:numPr>
          <w:ilvl w:val="0"/>
          <w:numId w:val="22"/>
        </w:numPr>
        <w:spacing w:after="0"/>
        <w:ind w:left="1134" w:hanging="567"/>
        <w:rPr>
          <w:lang w:val="fr-FR"/>
        </w:rPr>
      </w:pPr>
      <w:r w:rsidRPr="004D763E">
        <w:rPr>
          <w:lang w:val="fr-FR"/>
        </w:rPr>
        <w:t xml:space="preserve">Évaluation du projet de paniers de </w:t>
      </w:r>
      <w:proofErr w:type="spellStart"/>
      <w:r w:rsidRPr="004D763E">
        <w:rPr>
          <w:lang w:val="fr-FR"/>
        </w:rPr>
        <w:t>Chobe</w:t>
      </w:r>
      <w:proofErr w:type="spellEnd"/>
      <w:r w:rsidRPr="004D763E">
        <w:rPr>
          <w:lang w:val="fr-FR"/>
        </w:rPr>
        <w:t xml:space="preserve"> (Enseignements tirés des initiatives de l</w:t>
      </w:r>
      <w:r w:rsidR="00155EA0" w:rsidRPr="004D763E">
        <w:rPr>
          <w:lang w:val="fr-FR"/>
        </w:rPr>
        <w:t>’</w:t>
      </w:r>
      <w:r w:rsidRPr="004D763E">
        <w:rPr>
          <w:lang w:val="fr-FR"/>
        </w:rPr>
        <w:t>OMPI en faveur de l</w:t>
      </w:r>
      <w:r w:rsidR="00155EA0" w:rsidRPr="004D763E">
        <w:rPr>
          <w:lang w:val="fr-FR"/>
        </w:rPr>
        <w:t>’</w:t>
      </w:r>
      <w:r w:rsidRPr="004D763E">
        <w:rPr>
          <w:lang w:val="fr-FR"/>
        </w:rPr>
        <w:t>autonomisation des femmes chefs d</w:t>
      </w:r>
      <w:r w:rsidR="00155EA0" w:rsidRPr="004D763E">
        <w:rPr>
          <w:lang w:val="fr-FR"/>
        </w:rPr>
        <w:t>’</w:t>
      </w:r>
      <w:r w:rsidRPr="004D763E">
        <w:rPr>
          <w:lang w:val="fr-FR"/>
        </w:rPr>
        <w:t>entreprise) (EVAL 2023</w:t>
      </w:r>
      <w:r w:rsidR="004D763E">
        <w:rPr>
          <w:lang w:val="fr-FR"/>
        </w:rPr>
        <w:noBreakHyphen/>
      </w:r>
      <w:r w:rsidRPr="004D763E">
        <w:rPr>
          <w:lang w:val="fr-FR"/>
        </w:rPr>
        <w:t>02)</w:t>
      </w:r>
    </w:p>
    <w:p w14:paraId="408BA83A" w14:textId="4F2771EC" w:rsidR="0065085D" w:rsidRPr="004D763E" w:rsidRDefault="0065085D" w:rsidP="00FD177E">
      <w:pPr>
        <w:pStyle w:val="ONUMFS"/>
        <w:numPr>
          <w:ilvl w:val="0"/>
          <w:numId w:val="22"/>
        </w:numPr>
        <w:spacing w:after="0"/>
        <w:ind w:left="1134" w:hanging="567"/>
        <w:rPr>
          <w:rFonts w:eastAsia="Arial"/>
          <w:lang w:val="fr-FR"/>
        </w:rPr>
      </w:pPr>
      <w:r w:rsidRPr="004D763E">
        <w:rPr>
          <w:lang w:val="fr-FR"/>
        </w:rPr>
        <w:t>Évaluation du projet relatif au renforcement du rôle des femmes dans l</w:t>
      </w:r>
      <w:r w:rsidR="00155EA0" w:rsidRPr="004D763E">
        <w:rPr>
          <w:lang w:val="fr-FR"/>
        </w:rPr>
        <w:t>’</w:t>
      </w:r>
      <w:r w:rsidRPr="004D763E">
        <w:rPr>
          <w:lang w:val="fr-FR"/>
        </w:rPr>
        <w:t>innovation et l</w:t>
      </w:r>
      <w:r w:rsidR="00155EA0" w:rsidRPr="004D763E">
        <w:rPr>
          <w:lang w:val="fr-FR"/>
        </w:rPr>
        <w:t>’</w:t>
      </w:r>
      <w:r w:rsidRPr="004D763E">
        <w:rPr>
          <w:lang w:val="fr-FR"/>
        </w:rPr>
        <w:t>entrepreneuriat (EVAL 2023</w:t>
      </w:r>
      <w:r w:rsidR="004D763E">
        <w:rPr>
          <w:lang w:val="fr-FR"/>
        </w:rPr>
        <w:noBreakHyphen/>
      </w:r>
      <w:r w:rsidRPr="004D763E">
        <w:rPr>
          <w:lang w:val="fr-FR"/>
        </w:rPr>
        <w:t>02)</w:t>
      </w:r>
    </w:p>
    <w:p w14:paraId="48C182BA" w14:textId="3A184BD7" w:rsidR="0065085D" w:rsidRPr="004D763E" w:rsidRDefault="0065085D" w:rsidP="00FD177E">
      <w:pPr>
        <w:pStyle w:val="ONUMFS"/>
        <w:numPr>
          <w:ilvl w:val="0"/>
          <w:numId w:val="22"/>
        </w:numPr>
        <w:spacing w:after="0"/>
        <w:ind w:left="1134" w:hanging="567"/>
        <w:rPr>
          <w:rFonts w:eastAsia="Arial"/>
          <w:lang w:val="fr-FR"/>
        </w:rPr>
      </w:pPr>
      <w:r w:rsidRPr="004D763E">
        <w:rPr>
          <w:lang w:val="fr-FR"/>
        </w:rPr>
        <w:t>Évaluation du programme sur l</w:t>
      </w:r>
      <w:r w:rsidR="00155EA0" w:rsidRPr="004D763E">
        <w:rPr>
          <w:lang w:val="fr-FR"/>
        </w:rPr>
        <w:t>’</w:t>
      </w:r>
      <w:r w:rsidRPr="004D763E">
        <w:rPr>
          <w:lang w:val="fr-FR"/>
        </w:rPr>
        <w:t>entrepreneuriat destiné aux femmes des communautés autochtones et locales (deuxième rapport) (EVAL 2023</w:t>
      </w:r>
      <w:r w:rsidR="004D763E">
        <w:rPr>
          <w:lang w:val="fr-FR"/>
        </w:rPr>
        <w:noBreakHyphen/>
      </w:r>
      <w:r w:rsidRPr="004D763E">
        <w:rPr>
          <w:lang w:val="fr-FR"/>
        </w:rPr>
        <w:t>02)</w:t>
      </w:r>
    </w:p>
    <w:p w14:paraId="074F6B29" w14:textId="350C900D" w:rsidR="00B0451C" w:rsidRPr="004D763E" w:rsidRDefault="0065085D" w:rsidP="00FD177E">
      <w:pPr>
        <w:pStyle w:val="ONUMFS"/>
        <w:numPr>
          <w:ilvl w:val="0"/>
          <w:numId w:val="22"/>
        </w:numPr>
        <w:spacing w:after="0"/>
        <w:ind w:left="1134" w:hanging="567"/>
        <w:rPr>
          <w:lang w:val="fr-FR"/>
        </w:rPr>
      </w:pPr>
      <w:r w:rsidRPr="004D763E">
        <w:rPr>
          <w:lang w:val="fr-FR"/>
        </w:rPr>
        <w:t>Examen de pré</w:t>
      </w:r>
      <w:r w:rsidR="004D763E">
        <w:rPr>
          <w:lang w:val="fr-FR"/>
        </w:rPr>
        <w:noBreakHyphen/>
      </w:r>
      <w:r w:rsidRPr="004D763E">
        <w:rPr>
          <w:lang w:val="fr-FR"/>
        </w:rPr>
        <w:t>évaluation du programme relatif aux institutions universitaires et à l</w:t>
      </w:r>
      <w:r w:rsidR="00155EA0" w:rsidRPr="004D763E">
        <w:rPr>
          <w:lang w:val="fr-FR"/>
        </w:rPr>
        <w:t>’</w:t>
      </w:r>
      <w:r w:rsidRPr="004D763E">
        <w:rPr>
          <w:lang w:val="fr-FR"/>
        </w:rPr>
        <w:t>enseignement destiné aux cadres de l</w:t>
      </w:r>
      <w:r w:rsidR="00155EA0" w:rsidRPr="004D763E">
        <w:rPr>
          <w:lang w:val="fr-FR"/>
        </w:rPr>
        <w:t>’</w:t>
      </w:r>
      <w:r w:rsidRPr="004D763E">
        <w:rPr>
          <w:lang w:val="fr-FR"/>
        </w:rPr>
        <w:t>Académie de l</w:t>
      </w:r>
      <w:r w:rsidR="00155EA0" w:rsidRPr="004D763E">
        <w:rPr>
          <w:lang w:val="fr-FR"/>
        </w:rPr>
        <w:t>’</w:t>
      </w:r>
      <w:r w:rsidRPr="004D763E">
        <w:rPr>
          <w:lang w:val="fr-FR"/>
        </w:rPr>
        <w:t>OMPI (EVAL 2023</w:t>
      </w:r>
      <w:r w:rsidR="004D763E">
        <w:rPr>
          <w:lang w:val="fr-FR"/>
        </w:rPr>
        <w:noBreakHyphen/>
      </w:r>
      <w:r w:rsidRPr="004D763E">
        <w:rPr>
          <w:lang w:val="fr-FR"/>
        </w:rPr>
        <w:t>03)</w:t>
      </w:r>
    </w:p>
    <w:p w14:paraId="71FBA211" w14:textId="649EAEE9" w:rsidR="00B0451C" w:rsidRPr="004D763E" w:rsidRDefault="0065085D" w:rsidP="00FD177E">
      <w:pPr>
        <w:pStyle w:val="ONUMFS"/>
        <w:numPr>
          <w:ilvl w:val="0"/>
          <w:numId w:val="22"/>
        </w:numPr>
        <w:spacing w:after="0"/>
        <w:ind w:left="1134" w:hanging="567"/>
        <w:rPr>
          <w:lang w:val="fr-FR"/>
        </w:rPr>
      </w:pPr>
      <w:r w:rsidRPr="004D763E">
        <w:rPr>
          <w:lang w:val="fr-FR"/>
        </w:rPr>
        <w:t>Examen de pré</w:t>
      </w:r>
      <w:r w:rsidR="004D763E">
        <w:rPr>
          <w:lang w:val="fr-FR"/>
        </w:rPr>
        <w:noBreakHyphen/>
      </w:r>
      <w:r w:rsidRPr="004D763E">
        <w:rPr>
          <w:lang w:val="fr-FR"/>
        </w:rPr>
        <w:t>évaluation du programme de bourses de l</w:t>
      </w:r>
      <w:r w:rsidR="00155EA0" w:rsidRPr="004D763E">
        <w:rPr>
          <w:lang w:val="fr-FR"/>
        </w:rPr>
        <w:t>’</w:t>
      </w:r>
      <w:r w:rsidRPr="004D763E">
        <w:rPr>
          <w:lang w:val="fr-FR"/>
        </w:rPr>
        <w:t>OMPI (EVAL 2023</w:t>
      </w:r>
      <w:r w:rsidR="004D763E">
        <w:rPr>
          <w:lang w:val="fr-FR"/>
        </w:rPr>
        <w:noBreakHyphen/>
      </w:r>
      <w:r w:rsidRPr="004D763E">
        <w:rPr>
          <w:lang w:val="fr-FR"/>
        </w:rPr>
        <w:t>05)</w:t>
      </w:r>
    </w:p>
    <w:p w14:paraId="622B439B" w14:textId="27FAEF0C" w:rsidR="00B0451C" w:rsidRPr="004D763E" w:rsidRDefault="0065085D" w:rsidP="00FD177E">
      <w:pPr>
        <w:pStyle w:val="ONUMFS"/>
        <w:numPr>
          <w:ilvl w:val="0"/>
          <w:numId w:val="22"/>
        </w:numPr>
        <w:spacing w:after="0"/>
        <w:ind w:left="1134" w:hanging="567"/>
        <w:rPr>
          <w:lang w:val="fr-FR"/>
        </w:rPr>
      </w:pPr>
      <w:r w:rsidRPr="004D763E">
        <w:rPr>
          <w:lang w:val="fr-FR"/>
        </w:rPr>
        <w:t>Examen de pré</w:t>
      </w:r>
      <w:r w:rsidR="004D763E">
        <w:rPr>
          <w:lang w:val="fr-FR"/>
        </w:rPr>
        <w:noBreakHyphen/>
      </w:r>
      <w:r w:rsidRPr="004D763E">
        <w:rPr>
          <w:lang w:val="fr-FR"/>
        </w:rPr>
        <w:t xml:space="preserve">évaluation de WIPO </w:t>
      </w:r>
      <w:proofErr w:type="spellStart"/>
      <w:r w:rsidRPr="004D763E">
        <w:rPr>
          <w:lang w:val="fr-FR"/>
        </w:rPr>
        <w:t>Connect</w:t>
      </w:r>
      <w:proofErr w:type="spellEnd"/>
      <w:r w:rsidRPr="004D763E">
        <w:rPr>
          <w:lang w:val="fr-FR"/>
        </w:rPr>
        <w:t xml:space="preserve"> (EVAL 2024</w:t>
      </w:r>
      <w:r w:rsidR="004D763E">
        <w:rPr>
          <w:lang w:val="fr-FR"/>
        </w:rPr>
        <w:noBreakHyphen/>
      </w:r>
      <w:r w:rsidRPr="004D763E">
        <w:rPr>
          <w:lang w:val="fr-FR"/>
        </w:rPr>
        <w:t>01)</w:t>
      </w:r>
    </w:p>
    <w:p w14:paraId="56EFDBCF" w14:textId="717756CF" w:rsidR="00B0451C" w:rsidRPr="004D763E" w:rsidRDefault="0065085D" w:rsidP="00FD177E">
      <w:pPr>
        <w:pStyle w:val="ONUMFS"/>
        <w:numPr>
          <w:ilvl w:val="0"/>
          <w:numId w:val="22"/>
        </w:numPr>
        <w:spacing w:after="0"/>
        <w:ind w:left="1134" w:hanging="567"/>
        <w:rPr>
          <w:lang w:val="fr-FR"/>
        </w:rPr>
      </w:pPr>
      <w:r w:rsidRPr="004D763E">
        <w:rPr>
          <w:lang w:val="fr-FR"/>
        </w:rPr>
        <w:t>Examen de pré</w:t>
      </w:r>
      <w:r w:rsidR="004D763E">
        <w:rPr>
          <w:lang w:val="fr-FR"/>
        </w:rPr>
        <w:noBreakHyphen/>
      </w:r>
      <w:r w:rsidRPr="004D763E">
        <w:rPr>
          <w:lang w:val="fr-FR"/>
        </w:rPr>
        <w:t>évaluation de la Section de l</w:t>
      </w:r>
      <w:r w:rsidR="00155EA0" w:rsidRPr="004D763E">
        <w:rPr>
          <w:lang w:val="fr-FR"/>
        </w:rPr>
        <w:t>’</w:t>
      </w:r>
      <w:r w:rsidRPr="004D763E">
        <w:rPr>
          <w:lang w:val="fr-FR"/>
        </w:rPr>
        <w:t>apprentissage en ligne en matière de propriété intellectuelle de l</w:t>
      </w:r>
      <w:r w:rsidR="00155EA0" w:rsidRPr="004D763E">
        <w:rPr>
          <w:lang w:val="fr-FR"/>
        </w:rPr>
        <w:t>’</w:t>
      </w:r>
      <w:r w:rsidRPr="004D763E">
        <w:rPr>
          <w:lang w:val="fr-FR"/>
        </w:rPr>
        <w:t>Académie de l</w:t>
      </w:r>
      <w:r w:rsidR="00155EA0" w:rsidRPr="004D763E">
        <w:rPr>
          <w:lang w:val="fr-FR"/>
        </w:rPr>
        <w:t>’</w:t>
      </w:r>
      <w:r w:rsidRPr="004D763E">
        <w:rPr>
          <w:lang w:val="fr-FR"/>
        </w:rPr>
        <w:t>OMPI (EVAL 2024</w:t>
      </w:r>
      <w:r w:rsidR="004D763E">
        <w:rPr>
          <w:lang w:val="fr-FR"/>
        </w:rPr>
        <w:noBreakHyphen/>
      </w:r>
      <w:r w:rsidRPr="004D763E">
        <w:rPr>
          <w:lang w:val="fr-FR"/>
        </w:rPr>
        <w:t>04)</w:t>
      </w:r>
    </w:p>
    <w:p w14:paraId="4D899EEC" w14:textId="5E0B77F5" w:rsidR="0065085D" w:rsidRPr="004D763E" w:rsidRDefault="0065085D" w:rsidP="00FD177E">
      <w:pPr>
        <w:pStyle w:val="ONUMFS"/>
        <w:numPr>
          <w:ilvl w:val="0"/>
          <w:numId w:val="22"/>
        </w:numPr>
        <w:spacing w:after="0"/>
        <w:ind w:left="1134" w:hanging="567"/>
        <w:rPr>
          <w:rFonts w:eastAsia="Arial"/>
          <w:lang w:val="fr-FR"/>
        </w:rPr>
      </w:pPr>
      <w:r w:rsidRPr="004D763E">
        <w:rPr>
          <w:lang w:val="fr-FR"/>
        </w:rPr>
        <w:t>Rapport consultatif sur la collaboration au sein de l</w:t>
      </w:r>
      <w:r w:rsidR="00155EA0" w:rsidRPr="004D763E">
        <w:rPr>
          <w:lang w:val="fr-FR"/>
        </w:rPr>
        <w:t>’</w:t>
      </w:r>
      <w:r w:rsidRPr="004D763E">
        <w:rPr>
          <w:lang w:val="fr-FR"/>
        </w:rPr>
        <w:t>Organisation et la gestion des contenus (EVAL 2024</w:t>
      </w:r>
      <w:r w:rsidR="004D763E">
        <w:rPr>
          <w:lang w:val="fr-FR"/>
        </w:rPr>
        <w:noBreakHyphen/>
      </w:r>
      <w:r w:rsidRPr="004D763E">
        <w:rPr>
          <w:lang w:val="fr-FR"/>
        </w:rPr>
        <w:t>06)</w:t>
      </w:r>
    </w:p>
    <w:p w14:paraId="5640E352" w14:textId="2D072237" w:rsidR="00FD177E" w:rsidRPr="004D763E" w:rsidRDefault="0065085D" w:rsidP="00FD177E">
      <w:pPr>
        <w:pStyle w:val="ONUMFS"/>
        <w:numPr>
          <w:ilvl w:val="0"/>
          <w:numId w:val="22"/>
        </w:numPr>
        <w:ind w:left="1134" w:hanging="567"/>
        <w:rPr>
          <w:lang w:val="fr-FR"/>
        </w:rPr>
      </w:pPr>
      <w:r w:rsidRPr="004D763E">
        <w:rPr>
          <w:lang w:val="fr-FR"/>
        </w:rPr>
        <w:t>Examen de pré</w:t>
      </w:r>
      <w:r w:rsidR="004D763E">
        <w:rPr>
          <w:lang w:val="fr-FR"/>
        </w:rPr>
        <w:noBreakHyphen/>
      </w:r>
      <w:r w:rsidRPr="004D763E">
        <w:rPr>
          <w:lang w:val="fr-FR"/>
        </w:rPr>
        <w:t>évaluation de la Division pour l</w:t>
      </w:r>
      <w:r w:rsidR="00155EA0" w:rsidRPr="004D763E">
        <w:rPr>
          <w:lang w:val="fr-FR"/>
        </w:rPr>
        <w:t>’</w:t>
      </w:r>
      <w:r w:rsidRPr="004D763E">
        <w:rPr>
          <w:lang w:val="fr-FR"/>
        </w:rPr>
        <w:t>Amérique latine et les Caraïbes (EVAL 2024</w:t>
      </w:r>
      <w:r w:rsidR="004D763E">
        <w:rPr>
          <w:lang w:val="fr-FR"/>
        </w:rPr>
        <w:noBreakHyphen/>
      </w:r>
      <w:r w:rsidRPr="004D763E">
        <w:rPr>
          <w:lang w:val="fr-FR"/>
        </w:rPr>
        <w:t>07)</w:t>
      </w:r>
    </w:p>
    <w:p w14:paraId="2ABD12C7" w14:textId="20F64CB9" w:rsidR="00FD177E" w:rsidRPr="004D763E" w:rsidRDefault="0065085D" w:rsidP="00FD177E">
      <w:pPr>
        <w:pStyle w:val="ONUMFS"/>
        <w:rPr>
          <w:rFonts w:eastAsia="Arial"/>
          <w:lang w:val="fr-FR"/>
        </w:rPr>
      </w:pPr>
      <w:r w:rsidRPr="004D763E">
        <w:rPr>
          <w:lang w:val="fr-FR"/>
        </w:rPr>
        <w:t>Durant sa soixante</w:t>
      </w:r>
      <w:r w:rsidR="004D763E">
        <w:rPr>
          <w:lang w:val="fr-FR"/>
        </w:rPr>
        <w:noBreakHyphen/>
      </w:r>
      <w:r w:rsidRPr="004D763E">
        <w:rPr>
          <w:lang w:val="fr-FR"/>
        </w:rPr>
        <w:t>quatorz</w:t>
      </w:r>
      <w:r w:rsidR="00155EA0" w:rsidRPr="004D763E">
        <w:rPr>
          <w:lang w:val="fr-FR"/>
        </w:rPr>
        <w:t>ième session</w:t>
      </w:r>
      <w:r w:rsidRPr="004D763E">
        <w:rPr>
          <w:lang w:val="fr-FR"/>
        </w:rPr>
        <w:t>, l</w:t>
      </w:r>
      <w:r w:rsidR="00155EA0" w:rsidRPr="004D763E">
        <w:rPr>
          <w:lang w:val="fr-FR"/>
        </w:rPr>
        <w:t>’</w:t>
      </w:r>
      <w:r w:rsidRPr="004D763E">
        <w:rPr>
          <w:lang w:val="fr-FR"/>
        </w:rPr>
        <w:t>OCIS a noté que les examens de pré</w:t>
      </w:r>
      <w:r w:rsidR="004D763E">
        <w:rPr>
          <w:lang w:val="fr-FR"/>
        </w:rPr>
        <w:noBreakHyphen/>
      </w:r>
      <w:r w:rsidRPr="004D763E">
        <w:rPr>
          <w:lang w:val="fr-FR"/>
        </w:rPr>
        <w:t>évaluation ont été appréciés par les secteurs concernés, ont contribué à la compréhension des activités analysées et ont donné lieu à des recommandations d</w:t>
      </w:r>
      <w:r w:rsidR="00155EA0" w:rsidRPr="004D763E">
        <w:rPr>
          <w:lang w:val="fr-FR"/>
        </w:rPr>
        <w:t>’</w:t>
      </w:r>
      <w:r w:rsidRPr="004D763E">
        <w:rPr>
          <w:lang w:val="fr-FR"/>
        </w:rPr>
        <w:t>amélioration qui ont été acceptées par les secteu</w:t>
      </w:r>
      <w:r w:rsidR="004D763E" w:rsidRPr="004D763E">
        <w:rPr>
          <w:lang w:val="fr-FR"/>
        </w:rPr>
        <w:t>rs.  Il</w:t>
      </w:r>
      <w:r w:rsidRPr="004D763E">
        <w:rPr>
          <w:lang w:val="fr-FR"/>
        </w:rPr>
        <w:t xml:space="preserve"> a également été informé que les examens visaient à déterminer la possibilité d</w:t>
      </w:r>
      <w:r w:rsidR="00155EA0" w:rsidRPr="004D763E">
        <w:rPr>
          <w:lang w:val="fr-FR"/>
        </w:rPr>
        <w:t>’</w:t>
      </w:r>
      <w:r w:rsidRPr="004D763E">
        <w:rPr>
          <w:lang w:val="fr-FR"/>
        </w:rPr>
        <w:t>évaluer les programmes sélectionnés et qu</w:t>
      </w:r>
      <w:r w:rsidR="00155EA0" w:rsidRPr="004D763E">
        <w:rPr>
          <w:lang w:val="fr-FR"/>
        </w:rPr>
        <w:t>’</w:t>
      </w:r>
      <w:r w:rsidRPr="004D763E">
        <w:rPr>
          <w:lang w:val="fr-FR"/>
        </w:rPr>
        <w:t>ils ne se substituaient donc pas aux évaluations.  L</w:t>
      </w:r>
      <w:r w:rsidR="00155EA0" w:rsidRPr="004D763E">
        <w:rPr>
          <w:lang w:val="fr-FR"/>
        </w:rPr>
        <w:t>’</w:t>
      </w:r>
      <w:r w:rsidRPr="004D763E">
        <w:rPr>
          <w:lang w:val="fr-FR"/>
        </w:rPr>
        <w:t>OCIS a également noté que</w:t>
      </w:r>
      <w:r w:rsidR="00B0451C" w:rsidRPr="004D763E">
        <w:rPr>
          <w:lang w:val="fr-FR"/>
        </w:rPr>
        <w:t xml:space="preserve"> la DSI</w:t>
      </w:r>
      <w:r w:rsidRPr="004D763E">
        <w:rPr>
          <w:lang w:val="fr-FR"/>
        </w:rPr>
        <w:t xml:space="preserve"> envisageait, dans l</w:t>
      </w:r>
      <w:r w:rsidR="00155EA0" w:rsidRPr="004D763E">
        <w:rPr>
          <w:lang w:val="fr-FR"/>
        </w:rPr>
        <w:t>’</w:t>
      </w:r>
      <w:r w:rsidRPr="004D763E">
        <w:rPr>
          <w:lang w:val="fr-FR"/>
        </w:rPr>
        <w:t>avenir, de procéder à des évaluations complètes des principaux chantiers au sein de l</w:t>
      </w:r>
      <w:r w:rsidR="00155EA0" w:rsidRPr="004D763E">
        <w:rPr>
          <w:lang w:val="fr-FR"/>
        </w:rPr>
        <w:t>’</w:t>
      </w:r>
      <w:r w:rsidRPr="004D763E">
        <w:rPr>
          <w:lang w:val="fr-FR"/>
        </w:rPr>
        <w:t>Organisation.</w:t>
      </w:r>
    </w:p>
    <w:p w14:paraId="5CD2A1D5" w14:textId="77777777" w:rsidR="00FD177E" w:rsidRPr="004D763E" w:rsidRDefault="0065085D" w:rsidP="00FD177E">
      <w:pPr>
        <w:pStyle w:val="Heading4"/>
      </w:pPr>
      <w:r w:rsidRPr="004D763E">
        <w:t>Enquêtes</w:t>
      </w:r>
    </w:p>
    <w:p w14:paraId="20DCCFA1" w14:textId="65A0C4A1" w:rsidR="00FD177E" w:rsidRPr="004D763E" w:rsidRDefault="0065085D" w:rsidP="00FD177E">
      <w:pPr>
        <w:pStyle w:val="ONUMFS"/>
        <w:rPr>
          <w:rFonts w:eastAsia="Arial"/>
          <w:lang w:val="fr-FR"/>
        </w:rPr>
      </w:pPr>
      <w:r w:rsidRPr="004D763E">
        <w:rPr>
          <w:lang w:val="fr-FR"/>
        </w:rPr>
        <w:t>Conformément à la Charte de la supervision interne, l</w:t>
      </w:r>
      <w:r w:rsidR="00155EA0" w:rsidRPr="004D763E">
        <w:rPr>
          <w:lang w:val="fr-FR"/>
        </w:rPr>
        <w:t>’</w:t>
      </w:r>
      <w:r w:rsidRPr="004D763E">
        <w:rPr>
          <w:lang w:val="fr-FR"/>
        </w:rPr>
        <w:t>OCIS a été informé à chaque session de l</w:t>
      </w:r>
      <w:r w:rsidR="00155EA0" w:rsidRPr="004D763E">
        <w:rPr>
          <w:lang w:val="fr-FR"/>
        </w:rPr>
        <w:t>’</w:t>
      </w:r>
      <w:r w:rsidRPr="004D763E">
        <w:rPr>
          <w:lang w:val="fr-FR"/>
        </w:rPr>
        <w:t>état d</w:t>
      </w:r>
      <w:r w:rsidR="00155EA0" w:rsidRPr="004D763E">
        <w:rPr>
          <w:lang w:val="fr-FR"/>
        </w:rPr>
        <w:t>’</w:t>
      </w:r>
      <w:r w:rsidRPr="004D763E">
        <w:rPr>
          <w:lang w:val="fr-FR"/>
        </w:rPr>
        <w:t>avancement des enquêtes et de l</w:t>
      </w:r>
      <w:r w:rsidR="00155EA0" w:rsidRPr="004D763E">
        <w:rPr>
          <w:lang w:val="fr-FR"/>
        </w:rPr>
        <w:t>’</w:t>
      </w:r>
      <w:r w:rsidRPr="004D763E">
        <w:rPr>
          <w:lang w:val="fr-FR"/>
        </w:rPr>
        <w:t>évolution de la charge de travail, avec la répartition des plaintes reçues et des plaintes fondées par catégorie de fau</w:t>
      </w:r>
      <w:r w:rsidR="004D763E" w:rsidRPr="004D763E">
        <w:rPr>
          <w:lang w:val="fr-FR"/>
        </w:rPr>
        <w:t>te.  Da</w:t>
      </w:r>
      <w:r w:rsidRPr="004D763E">
        <w:rPr>
          <w:lang w:val="fr-FR"/>
        </w:rPr>
        <w:t>ns tous les cas où</w:t>
      </w:r>
      <w:r w:rsidR="00B0451C" w:rsidRPr="004D763E">
        <w:rPr>
          <w:lang w:val="fr-FR"/>
        </w:rPr>
        <w:t xml:space="preserve"> la DSI</w:t>
      </w:r>
      <w:r w:rsidRPr="004D763E">
        <w:rPr>
          <w:lang w:val="fr-FR"/>
        </w:rPr>
        <w:t xml:space="preserve"> pouvait se trouver en situation de conflit d</w:t>
      </w:r>
      <w:r w:rsidR="00155EA0" w:rsidRPr="004D763E">
        <w:rPr>
          <w:lang w:val="fr-FR"/>
        </w:rPr>
        <w:t>’</w:t>
      </w:r>
      <w:r w:rsidRPr="004D763E">
        <w:rPr>
          <w:lang w:val="fr-FR"/>
        </w:rPr>
        <w:t>intérêts, l</w:t>
      </w:r>
      <w:r w:rsidR="00155EA0" w:rsidRPr="004D763E">
        <w:rPr>
          <w:lang w:val="fr-FR"/>
        </w:rPr>
        <w:t>’</w:t>
      </w:r>
      <w:r w:rsidRPr="004D763E">
        <w:rPr>
          <w:lang w:val="fr-FR"/>
        </w:rPr>
        <w:t>OCIS a procédé à un examen approfondi du dossier et a fourni des conseils en conséquen</w:t>
      </w:r>
      <w:r w:rsidR="004D763E" w:rsidRPr="004D763E">
        <w:rPr>
          <w:lang w:val="fr-FR"/>
        </w:rPr>
        <w:t xml:space="preserve">ce.  À </w:t>
      </w:r>
      <w:r w:rsidRPr="004D763E">
        <w:rPr>
          <w:lang w:val="fr-FR"/>
        </w:rPr>
        <w:t>sa soixante</w:t>
      </w:r>
      <w:r w:rsidR="004D763E">
        <w:rPr>
          <w:lang w:val="fr-FR"/>
        </w:rPr>
        <w:noBreakHyphen/>
      </w:r>
      <w:r w:rsidRPr="004D763E">
        <w:rPr>
          <w:lang w:val="fr-FR"/>
        </w:rPr>
        <w:t>seiz</w:t>
      </w:r>
      <w:r w:rsidR="00155EA0" w:rsidRPr="004D763E">
        <w:rPr>
          <w:lang w:val="fr-FR"/>
        </w:rPr>
        <w:t>ième session</w:t>
      </w:r>
      <w:r w:rsidRPr="004D763E">
        <w:rPr>
          <w:lang w:val="fr-FR"/>
        </w:rPr>
        <w:t>, l</w:t>
      </w:r>
      <w:r w:rsidR="00155EA0" w:rsidRPr="004D763E">
        <w:rPr>
          <w:lang w:val="fr-FR"/>
        </w:rPr>
        <w:t>’</w:t>
      </w:r>
      <w:r w:rsidRPr="004D763E">
        <w:rPr>
          <w:lang w:val="fr-FR"/>
        </w:rPr>
        <w:t xml:space="preserve">OCIS a également examiné, avec la </w:t>
      </w:r>
      <w:r w:rsidR="00EF0B73" w:rsidRPr="004D763E">
        <w:rPr>
          <w:lang w:val="fr-FR"/>
        </w:rPr>
        <w:t>c</w:t>
      </w:r>
      <w:r w:rsidRPr="004D763E">
        <w:rPr>
          <w:lang w:val="fr-FR"/>
        </w:rPr>
        <w:t>onseillère juridique, les procédures à suivre en cas de plaintes répétées, infondées et vexatoires susceptibles d</w:t>
      </w:r>
      <w:r w:rsidR="00155EA0" w:rsidRPr="004D763E">
        <w:rPr>
          <w:lang w:val="fr-FR"/>
        </w:rPr>
        <w:t>’</w:t>
      </w:r>
      <w:r w:rsidRPr="004D763E">
        <w:rPr>
          <w:lang w:val="fr-FR"/>
        </w:rPr>
        <w:t>alourdir la charge administrative de l</w:t>
      </w:r>
      <w:r w:rsidR="00155EA0" w:rsidRPr="004D763E">
        <w:rPr>
          <w:lang w:val="fr-FR"/>
        </w:rPr>
        <w:t>’</w:t>
      </w:r>
      <w:r w:rsidRPr="004D763E">
        <w:rPr>
          <w:lang w:val="fr-FR"/>
        </w:rPr>
        <w:t>Organisation.</w:t>
      </w:r>
    </w:p>
    <w:p w14:paraId="35EA374E" w14:textId="467C0B72" w:rsidR="00FD177E" w:rsidRPr="004D763E" w:rsidRDefault="0065085D" w:rsidP="00FD177E">
      <w:pPr>
        <w:pStyle w:val="ONUMFS"/>
        <w:rPr>
          <w:lang w:val="fr-FR"/>
        </w:rPr>
      </w:pPr>
      <w:r w:rsidRPr="004D763E">
        <w:rPr>
          <w:lang w:val="fr-FR"/>
        </w:rPr>
        <w:t>Durant sa soixante</w:t>
      </w:r>
      <w:r w:rsidR="004D763E">
        <w:rPr>
          <w:lang w:val="fr-FR"/>
        </w:rPr>
        <w:noBreakHyphen/>
      </w:r>
      <w:r w:rsidRPr="004D763E">
        <w:rPr>
          <w:lang w:val="fr-FR"/>
        </w:rPr>
        <w:t>treiz</w:t>
      </w:r>
      <w:r w:rsidR="00155EA0" w:rsidRPr="004D763E">
        <w:rPr>
          <w:lang w:val="fr-FR"/>
        </w:rPr>
        <w:t>ième session</w:t>
      </w:r>
      <w:r w:rsidRPr="004D763E">
        <w:rPr>
          <w:lang w:val="fr-FR"/>
        </w:rPr>
        <w:t>, l</w:t>
      </w:r>
      <w:r w:rsidR="00155EA0" w:rsidRPr="004D763E">
        <w:rPr>
          <w:lang w:val="fr-FR"/>
        </w:rPr>
        <w:t>’</w:t>
      </w:r>
      <w:r w:rsidRPr="004D763E">
        <w:rPr>
          <w:lang w:val="fr-FR"/>
        </w:rPr>
        <w:t>OCIS a pris note des procédures révisées de traitement des allégations reçues, qui incluent un processus d</w:t>
      </w:r>
      <w:r w:rsidR="00155EA0" w:rsidRPr="004D763E">
        <w:rPr>
          <w:lang w:val="fr-FR"/>
        </w:rPr>
        <w:t>’</w:t>
      </w:r>
      <w:r w:rsidRPr="004D763E">
        <w:rPr>
          <w:lang w:val="fr-FR"/>
        </w:rPr>
        <w:t>examen initial pour déterminer si elles peuvent être renvoyées à d</w:t>
      </w:r>
      <w:r w:rsidR="00155EA0" w:rsidRPr="004D763E">
        <w:rPr>
          <w:lang w:val="fr-FR"/>
        </w:rPr>
        <w:t>’</w:t>
      </w:r>
      <w:r w:rsidRPr="004D763E">
        <w:rPr>
          <w:lang w:val="fr-FR"/>
        </w:rPr>
        <w:t>autres fonctions du système de justice interne (les fonctions de déontologie, de médiation ou des ressources humaines, par exemple) pour des mesures approprié</w:t>
      </w:r>
      <w:r w:rsidR="004D763E" w:rsidRPr="004D763E">
        <w:rPr>
          <w:lang w:val="fr-FR"/>
        </w:rPr>
        <w:t xml:space="preserve">es.  À </w:t>
      </w:r>
      <w:r w:rsidRPr="004D763E">
        <w:rPr>
          <w:lang w:val="fr-FR"/>
        </w:rPr>
        <w:t>la soixante</w:t>
      </w:r>
      <w:r w:rsidR="004D763E">
        <w:rPr>
          <w:lang w:val="fr-FR"/>
        </w:rPr>
        <w:noBreakHyphen/>
      </w:r>
      <w:r w:rsidRPr="004D763E">
        <w:rPr>
          <w:lang w:val="fr-FR"/>
        </w:rPr>
        <w:t>seiz</w:t>
      </w:r>
      <w:r w:rsidR="00155EA0" w:rsidRPr="004D763E">
        <w:rPr>
          <w:lang w:val="fr-FR"/>
        </w:rPr>
        <w:t>ième session</w:t>
      </w:r>
      <w:r w:rsidRPr="004D763E">
        <w:rPr>
          <w:lang w:val="fr-FR"/>
        </w:rPr>
        <w:t xml:space="preserve"> de l</w:t>
      </w:r>
      <w:r w:rsidR="00155EA0" w:rsidRPr="004D763E">
        <w:rPr>
          <w:lang w:val="fr-FR"/>
        </w:rPr>
        <w:t>’</w:t>
      </w:r>
      <w:r w:rsidRPr="004D763E">
        <w:rPr>
          <w:lang w:val="fr-FR"/>
        </w:rPr>
        <w:t>OCIS,</w:t>
      </w:r>
      <w:r w:rsidR="00B0451C" w:rsidRPr="004D763E">
        <w:rPr>
          <w:lang w:val="fr-FR"/>
        </w:rPr>
        <w:t xml:space="preserve"> la DSI</w:t>
      </w:r>
      <w:r w:rsidRPr="004D763E">
        <w:rPr>
          <w:lang w:val="fr-FR"/>
        </w:rPr>
        <w:t xml:space="preserve"> l</w:t>
      </w:r>
      <w:r w:rsidR="00155EA0" w:rsidRPr="004D763E">
        <w:rPr>
          <w:lang w:val="fr-FR"/>
        </w:rPr>
        <w:t>’</w:t>
      </w:r>
      <w:r w:rsidRPr="004D763E">
        <w:rPr>
          <w:lang w:val="fr-FR"/>
        </w:rPr>
        <w:t>a informé qu</w:t>
      </w:r>
      <w:r w:rsidR="00155EA0" w:rsidRPr="004D763E">
        <w:rPr>
          <w:lang w:val="fr-FR"/>
        </w:rPr>
        <w:t>’</w:t>
      </w:r>
      <w:r w:rsidRPr="004D763E">
        <w:rPr>
          <w:lang w:val="fr-FR"/>
        </w:rPr>
        <w:t>au 21 mars 2025, huit</w:t>
      </w:r>
      <w:r w:rsidR="001D6F62" w:rsidRPr="004D763E">
        <w:rPr>
          <w:lang w:val="fr-FR"/>
        </w:rPr>
        <w:t> </w:t>
      </w:r>
      <w:r w:rsidRPr="004D763E">
        <w:rPr>
          <w:lang w:val="fr-FR"/>
        </w:rPr>
        <w:t>dossiers d</w:t>
      </w:r>
      <w:r w:rsidR="00155EA0" w:rsidRPr="004D763E">
        <w:rPr>
          <w:lang w:val="fr-FR"/>
        </w:rPr>
        <w:t>’</w:t>
      </w:r>
      <w:r w:rsidRPr="004D763E">
        <w:rPr>
          <w:lang w:val="fr-FR"/>
        </w:rPr>
        <w:t>enquête étaient en instance, dont deux</w:t>
      </w:r>
      <w:r w:rsidR="001D6F62" w:rsidRPr="004D763E">
        <w:rPr>
          <w:lang w:val="fr-FR"/>
        </w:rPr>
        <w:t> </w:t>
      </w:r>
      <w:r w:rsidRPr="004D763E">
        <w:rPr>
          <w:lang w:val="fr-FR"/>
        </w:rPr>
        <w:t>enquêtes en cours, quatre</w:t>
      </w:r>
      <w:r w:rsidR="001D6F62" w:rsidRPr="004D763E">
        <w:rPr>
          <w:lang w:val="fr-FR"/>
        </w:rPr>
        <w:t> </w:t>
      </w:r>
      <w:r w:rsidRPr="004D763E">
        <w:rPr>
          <w:lang w:val="fr-FR"/>
        </w:rPr>
        <w:t>dossiers en évaluation préliminaire et deux</w:t>
      </w:r>
      <w:r w:rsidR="001E36A8" w:rsidRPr="004D763E">
        <w:rPr>
          <w:lang w:val="fr-FR"/>
        </w:rPr>
        <w:t> </w:t>
      </w:r>
      <w:r w:rsidRPr="004D763E">
        <w:rPr>
          <w:lang w:val="fr-FR"/>
        </w:rPr>
        <w:t>en suspens.</w:t>
      </w:r>
    </w:p>
    <w:p w14:paraId="5C482B91" w14:textId="77777777" w:rsidR="00FD177E" w:rsidRPr="004D763E" w:rsidRDefault="0065085D" w:rsidP="00FD177E">
      <w:pPr>
        <w:pStyle w:val="Heading4"/>
        <w:rPr>
          <w:rFonts w:eastAsia="Arial"/>
          <w:iCs/>
        </w:rPr>
      </w:pPr>
      <w:r w:rsidRPr="004D763E">
        <w:t>Séances privées</w:t>
      </w:r>
    </w:p>
    <w:p w14:paraId="6BF9CAA3" w14:textId="2B802B8B" w:rsidR="00FD177E" w:rsidRPr="004D763E" w:rsidRDefault="0065085D" w:rsidP="00FD177E">
      <w:pPr>
        <w:pStyle w:val="ONUMFS"/>
        <w:rPr>
          <w:rFonts w:eastAsia="Arial"/>
          <w:lang w:val="fr-FR"/>
        </w:rPr>
      </w:pPr>
      <w:r w:rsidRPr="004D763E">
        <w:rPr>
          <w:lang w:val="fr-FR"/>
        </w:rPr>
        <w:t>L</w:t>
      </w:r>
      <w:r w:rsidR="00155EA0" w:rsidRPr="004D763E">
        <w:rPr>
          <w:lang w:val="fr-FR"/>
        </w:rPr>
        <w:t>’</w:t>
      </w:r>
      <w:r w:rsidRPr="004D763E">
        <w:rPr>
          <w:lang w:val="fr-FR"/>
        </w:rPr>
        <w:t>OCIS s</w:t>
      </w:r>
      <w:r w:rsidR="00155EA0" w:rsidRPr="004D763E">
        <w:rPr>
          <w:lang w:val="fr-FR"/>
        </w:rPr>
        <w:t>’</w:t>
      </w:r>
      <w:r w:rsidRPr="004D763E">
        <w:rPr>
          <w:lang w:val="fr-FR"/>
        </w:rPr>
        <w:t>est réuni en séance privée avec la directrice de</w:t>
      </w:r>
      <w:r w:rsidR="00B0451C" w:rsidRPr="004D763E">
        <w:rPr>
          <w:lang w:val="fr-FR"/>
        </w:rPr>
        <w:t xml:space="preserve"> la DSI</w:t>
      </w:r>
      <w:r w:rsidRPr="004D763E">
        <w:rPr>
          <w:lang w:val="fr-FR"/>
        </w:rPr>
        <w:t>, conformément à son mandat.</w:t>
      </w:r>
    </w:p>
    <w:p w14:paraId="6B929FB9" w14:textId="77777777" w:rsidR="00FD177E" w:rsidRPr="004D763E" w:rsidRDefault="0065085D" w:rsidP="002715B7">
      <w:pPr>
        <w:pStyle w:val="Heading3"/>
        <w:rPr>
          <w:rFonts w:eastAsia="Arial"/>
        </w:rPr>
      </w:pPr>
      <w:r w:rsidRPr="004D763E">
        <w:t>Vérification externe des comptes</w:t>
      </w:r>
    </w:p>
    <w:p w14:paraId="56536E58" w14:textId="77777777" w:rsidR="00FD177E" w:rsidRPr="004D763E" w:rsidRDefault="0065085D" w:rsidP="00FD177E">
      <w:pPr>
        <w:pStyle w:val="Heading4"/>
      </w:pPr>
      <w:r w:rsidRPr="004D763E">
        <w:t>Séances avec le vérificateur externe des comptes</w:t>
      </w:r>
    </w:p>
    <w:p w14:paraId="41DF832F" w14:textId="5A56BBD8" w:rsidR="00FD177E" w:rsidRPr="004D763E" w:rsidRDefault="0065085D" w:rsidP="00FD177E">
      <w:pPr>
        <w:pStyle w:val="ONUMFS"/>
        <w:rPr>
          <w:lang w:val="fr-FR"/>
        </w:rPr>
      </w:pPr>
      <w:r w:rsidRPr="004D763E">
        <w:rPr>
          <w:lang w:val="fr-FR"/>
        </w:rPr>
        <w:t>À sa soixante</w:t>
      </w:r>
      <w:r w:rsidR="004D763E">
        <w:rPr>
          <w:lang w:val="fr-FR"/>
        </w:rPr>
        <w:noBreakHyphen/>
      </w:r>
      <w:r w:rsidRPr="004D763E">
        <w:rPr>
          <w:lang w:val="fr-FR"/>
        </w:rPr>
        <w:t>treiz</w:t>
      </w:r>
      <w:r w:rsidR="00155EA0" w:rsidRPr="004D763E">
        <w:rPr>
          <w:lang w:val="fr-FR"/>
        </w:rPr>
        <w:t>ième session</w:t>
      </w:r>
      <w:r w:rsidRPr="004D763E">
        <w:rPr>
          <w:lang w:val="fr-FR"/>
        </w:rPr>
        <w:t>, l</w:t>
      </w:r>
      <w:r w:rsidR="00155EA0" w:rsidRPr="004D763E">
        <w:rPr>
          <w:lang w:val="fr-FR"/>
        </w:rPr>
        <w:t>’</w:t>
      </w:r>
      <w:r w:rsidRPr="004D763E">
        <w:rPr>
          <w:lang w:val="fr-FR"/>
        </w:rPr>
        <w:t>OCIS s</w:t>
      </w:r>
      <w:r w:rsidR="00155EA0" w:rsidRPr="004D763E">
        <w:rPr>
          <w:lang w:val="fr-FR"/>
        </w:rPr>
        <w:t>’</w:t>
      </w:r>
      <w:r w:rsidRPr="004D763E">
        <w:rPr>
          <w:lang w:val="fr-FR"/>
        </w:rPr>
        <w:t>est entretenu avec le nouveau vérificateur externe des comptes, l</w:t>
      </w:r>
      <w:r w:rsidR="00155EA0" w:rsidRPr="004D763E">
        <w:rPr>
          <w:lang w:val="fr-FR"/>
        </w:rPr>
        <w:t>’</w:t>
      </w:r>
      <w:r w:rsidRPr="004D763E">
        <w:rPr>
          <w:lang w:val="fr-FR"/>
        </w:rPr>
        <w:t xml:space="preserve">Agence de contrôle des finances </w:t>
      </w:r>
      <w:r w:rsidR="00EF0B73" w:rsidRPr="004D763E">
        <w:rPr>
          <w:lang w:val="fr-FR"/>
        </w:rPr>
        <w:t xml:space="preserve">de la République </w:t>
      </w:r>
      <w:r w:rsidRPr="004D763E">
        <w:rPr>
          <w:lang w:val="fr-FR"/>
        </w:rPr>
        <w:t>d</w:t>
      </w:r>
      <w:r w:rsidR="00155EA0" w:rsidRPr="004D763E">
        <w:rPr>
          <w:lang w:val="fr-FR"/>
        </w:rPr>
        <w:t>’</w:t>
      </w:r>
      <w:r w:rsidRPr="004D763E">
        <w:rPr>
          <w:lang w:val="fr-FR"/>
        </w:rPr>
        <w:t>Indonésie, au sujet des activités de celle</w:t>
      </w:r>
      <w:r w:rsidR="004D763E">
        <w:rPr>
          <w:lang w:val="fr-FR"/>
        </w:rPr>
        <w:noBreakHyphen/>
      </w:r>
      <w:r w:rsidRPr="004D763E">
        <w:rPr>
          <w:lang w:val="fr-FR"/>
        </w:rPr>
        <w:t>ci au titre de sa mission et a formulé des commentaires concernant la planification de l</w:t>
      </w:r>
      <w:r w:rsidR="00155EA0" w:rsidRPr="004D763E">
        <w:rPr>
          <w:lang w:val="fr-FR"/>
        </w:rPr>
        <w:t>’</w:t>
      </w:r>
      <w:r w:rsidRPr="004D763E">
        <w:rPr>
          <w:lang w:val="fr-FR"/>
        </w:rPr>
        <w:t>audit de l</w:t>
      </w:r>
      <w:r w:rsidR="00155EA0" w:rsidRPr="004D763E">
        <w:rPr>
          <w:lang w:val="fr-FR"/>
        </w:rPr>
        <w:t>’</w:t>
      </w:r>
      <w:r w:rsidRPr="004D763E">
        <w:rPr>
          <w:lang w:val="fr-FR"/>
        </w:rPr>
        <w:t>Agence.</w:t>
      </w:r>
    </w:p>
    <w:p w14:paraId="5CDE640B" w14:textId="50F2BEB5" w:rsidR="00FD177E" w:rsidRPr="004D763E" w:rsidRDefault="0065085D" w:rsidP="00FD177E">
      <w:pPr>
        <w:pStyle w:val="ONUMFS"/>
        <w:rPr>
          <w:rFonts w:eastAsia="Arial"/>
          <w:lang w:val="fr-FR"/>
        </w:rPr>
      </w:pPr>
      <w:r w:rsidRPr="004D763E">
        <w:rPr>
          <w:lang w:val="fr-FR"/>
        </w:rPr>
        <w:t>Durant sa soixante</w:t>
      </w:r>
      <w:r w:rsidR="004D763E">
        <w:rPr>
          <w:lang w:val="fr-FR"/>
        </w:rPr>
        <w:noBreakHyphen/>
      </w:r>
      <w:r w:rsidRPr="004D763E">
        <w:rPr>
          <w:lang w:val="fr-FR"/>
        </w:rPr>
        <w:t>treiz</w:t>
      </w:r>
      <w:r w:rsidR="00155EA0" w:rsidRPr="004D763E">
        <w:rPr>
          <w:lang w:val="fr-FR"/>
        </w:rPr>
        <w:t>ième session</w:t>
      </w:r>
      <w:r w:rsidRPr="004D763E">
        <w:rPr>
          <w:lang w:val="fr-FR"/>
        </w:rPr>
        <w:t>, l</w:t>
      </w:r>
      <w:r w:rsidR="00155EA0" w:rsidRPr="004D763E">
        <w:rPr>
          <w:lang w:val="fr-FR"/>
        </w:rPr>
        <w:t>’</w:t>
      </w:r>
      <w:r w:rsidRPr="004D763E">
        <w:rPr>
          <w:lang w:val="fr-FR"/>
        </w:rPr>
        <w:t>OCIS s</w:t>
      </w:r>
      <w:r w:rsidR="00155EA0" w:rsidRPr="004D763E">
        <w:rPr>
          <w:lang w:val="fr-FR"/>
        </w:rPr>
        <w:t>’</w:t>
      </w:r>
      <w:r w:rsidRPr="004D763E">
        <w:rPr>
          <w:lang w:val="fr-FR"/>
        </w:rPr>
        <w:t>est entretenu avec les représentants du vérificateur externe des comptes sortant, le Bureau national de vérification des comptes du Royaume</w:t>
      </w:r>
      <w:r w:rsidR="004D763E">
        <w:rPr>
          <w:lang w:val="fr-FR"/>
        </w:rPr>
        <w:noBreakHyphen/>
      </w:r>
      <w:r w:rsidRPr="004D763E">
        <w:rPr>
          <w:lang w:val="fr-FR"/>
        </w:rPr>
        <w:t>U</w:t>
      </w:r>
      <w:r w:rsidR="004D763E" w:rsidRPr="004D763E">
        <w:rPr>
          <w:lang w:val="fr-FR"/>
        </w:rPr>
        <w:t>ni.  Ce</w:t>
      </w:r>
      <w:r w:rsidRPr="004D763E">
        <w:rPr>
          <w:lang w:val="fr-FR"/>
        </w:rPr>
        <w:t>s représentants ont présenté à l</w:t>
      </w:r>
      <w:r w:rsidR="00155EA0" w:rsidRPr="004D763E">
        <w:rPr>
          <w:lang w:val="fr-FR"/>
        </w:rPr>
        <w:t>’</w:t>
      </w:r>
      <w:r w:rsidRPr="004D763E">
        <w:rPr>
          <w:lang w:val="fr-FR"/>
        </w:rPr>
        <w:t>OCIS, en présence de membres de la direction, le rapport d</w:t>
      </w:r>
      <w:r w:rsidR="00155EA0" w:rsidRPr="004D763E">
        <w:rPr>
          <w:lang w:val="fr-FR"/>
        </w:rPr>
        <w:t>’</w:t>
      </w:r>
      <w:r w:rsidRPr="004D763E">
        <w:rPr>
          <w:lang w:val="fr-FR"/>
        </w:rPr>
        <w:t>audit et le rapport détaillé sur l</w:t>
      </w:r>
      <w:r w:rsidR="00155EA0" w:rsidRPr="004D763E">
        <w:rPr>
          <w:lang w:val="fr-FR"/>
        </w:rPr>
        <w:t>’</w:t>
      </w:r>
      <w:r w:rsidRPr="004D763E">
        <w:rPr>
          <w:lang w:val="fr-FR"/>
        </w:rPr>
        <w:t>audit des états financiers de l</w:t>
      </w:r>
      <w:r w:rsidR="00155EA0" w:rsidRPr="004D763E">
        <w:rPr>
          <w:lang w:val="fr-FR"/>
        </w:rPr>
        <w:t>’</w:t>
      </w:r>
      <w:r w:rsidRPr="004D763E">
        <w:rPr>
          <w:lang w:val="fr-FR"/>
        </w:rPr>
        <w:t xml:space="preserve">OMPI </w:t>
      </w:r>
      <w:r w:rsidR="00B0451C" w:rsidRPr="004D763E">
        <w:rPr>
          <w:lang w:val="fr-FR"/>
        </w:rPr>
        <w:t>pour 2023</w:t>
      </w:r>
      <w:r w:rsidRPr="004D763E">
        <w:rPr>
          <w:lang w:val="fr-FR"/>
        </w:rPr>
        <w:t>.  Ils ont également présenté à l</w:t>
      </w:r>
      <w:r w:rsidR="00155EA0" w:rsidRPr="004D763E">
        <w:rPr>
          <w:lang w:val="fr-FR"/>
        </w:rPr>
        <w:t>’</w:t>
      </w:r>
      <w:r w:rsidRPr="004D763E">
        <w:rPr>
          <w:lang w:val="fr-FR"/>
        </w:rPr>
        <w:t>OCIS les principales conclusions de l</w:t>
      </w:r>
      <w:r w:rsidR="00155EA0" w:rsidRPr="004D763E">
        <w:rPr>
          <w:lang w:val="fr-FR"/>
        </w:rPr>
        <w:t>’</w:t>
      </w:r>
      <w:r w:rsidRPr="004D763E">
        <w:rPr>
          <w:lang w:val="fr-FR"/>
        </w:rPr>
        <w:t>audit, telles que décrites dans le rapport d</w:t>
      </w:r>
      <w:r w:rsidR="00155EA0" w:rsidRPr="004D763E">
        <w:rPr>
          <w:lang w:val="fr-FR"/>
        </w:rPr>
        <w:t>’</w:t>
      </w:r>
      <w:r w:rsidRPr="004D763E">
        <w:rPr>
          <w:lang w:val="fr-FR"/>
        </w:rPr>
        <w:t>achèvement de l</w:t>
      </w:r>
      <w:r w:rsidR="00155EA0" w:rsidRPr="004D763E">
        <w:rPr>
          <w:lang w:val="fr-FR"/>
        </w:rPr>
        <w:t>’</w:t>
      </w:r>
      <w:r w:rsidRPr="004D763E">
        <w:rPr>
          <w:lang w:val="fr-FR"/>
        </w:rPr>
        <w:t>audit du vérificateur externe des comptes.  L</w:t>
      </w:r>
      <w:r w:rsidR="00155EA0" w:rsidRPr="004D763E">
        <w:rPr>
          <w:lang w:val="fr-FR"/>
        </w:rPr>
        <w:t>’</w:t>
      </w:r>
      <w:r w:rsidRPr="004D763E">
        <w:rPr>
          <w:lang w:val="fr-FR"/>
        </w:rPr>
        <w:t>OCIS a assuré le suivi des hypothèses actuarielles relatives à l</w:t>
      </w:r>
      <w:r w:rsidR="00155EA0" w:rsidRPr="004D763E">
        <w:rPr>
          <w:lang w:val="fr-FR"/>
        </w:rPr>
        <w:t>’</w:t>
      </w:r>
      <w:r w:rsidRPr="004D763E">
        <w:rPr>
          <w:lang w:val="fr-FR"/>
        </w:rPr>
        <w:t>AMCS et d</w:t>
      </w:r>
      <w:r w:rsidR="00155EA0" w:rsidRPr="004D763E">
        <w:rPr>
          <w:lang w:val="fr-FR"/>
        </w:rPr>
        <w:t>’</w:t>
      </w:r>
      <w:r w:rsidRPr="004D763E">
        <w:rPr>
          <w:lang w:val="fr-FR"/>
        </w:rPr>
        <w:t>autres questions pertinent</w:t>
      </w:r>
      <w:r w:rsidR="004D763E" w:rsidRPr="004D763E">
        <w:rPr>
          <w:lang w:val="fr-FR"/>
        </w:rPr>
        <w:t>es.  En</w:t>
      </w:r>
      <w:r w:rsidRPr="004D763E">
        <w:rPr>
          <w:lang w:val="fr-FR"/>
        </w:rPr>
        <w:t xml:space="preserve"> outre, il a pris note d</w:t>
      </w:r>
      <w:r w:rsidR="00EF0B73" w:rsidRPr="004D763E">
        <w:rPr>
          <w:lang w:val="fr-FR"/>
        </w:rPr>
        <w:t>e l</w:t>
      </w:r>
      <w:r w:rsidR="00155EA0" w:rsidRPr="004D763E">
        <w:rPr>
          <w:lang w:val="fr-FR"/>
        </w:rPr>
        <w:t>’</w:t>
      </w:r>
      <w:r w:rsidRPr="004D763E">
        <w:rPr>
          <w:lang w:val="fr-FR"/>
        </w:rPr>
        <w:t>opinion sans réserve relative</w:t>
      </w:r>
      <w:r w:rsidR="00EF0B73" w:rsidRPr="004D763E">
        <w:rPr>
          <w:lang w:val="fr-FR"/>
        </w:rPr>
        <w:t xml:space="preserve"> </w:t>
      </w:r>
      <w:r w:rsidRPr="004D763E">
        <w:rPr>
          <w:lang w:val="fr-FR"/>
        </w:rPr>
        <w:t>à la présentation des états financiers et de la régularité des recettes et des dépenses de l</w:t>
      </w:r>
      <w:r w:rsidR="00155EA0" w:rsidRPr="004D763E">
        <w:rPr>
          <w:lang w:val="fr-FR"/>
        </w:rPr>
        <w:t>’</w:t>
      </w:r>
      <w:r w:rsidRPr="004D763E">
        <w:rPr>
          <w:lang w:val="fr-FR"/>
        </w:rPr>
        <w:t>O</w:t>
      </w:r>
      <w:r w:rsidR="004D763E" w:rsidRPr="004D763E">
        <w:rPr>
          <w:lang w:val="fr-FR"/>
        </w:rPr>
        <w:t>MPI.  Il</w:t>
      </w:r>
      <w:r w:rsidRPr="004D763E">
        <w:rPr>
          <w:lang w:val="fr-FR"/>
        </w:rPr>
        <w:t xml:space="preserve"> a également noté que le vérificateur externe des comptes avait identifié un certain nombre de possibilités d</w:t>
      </w:r>
      <w:r w:rsidR="00155EA0" w:rsidRPr="004D763E">
        <w:rPr>
          <w:lang w:val="fr-FR"/>
        </w:rPr>
        <w:t>’</w:t>
      </w:r>
      <w:r w:rsidRPr="004D763E">
        <w:rPr>
          <w:lang w:val="fr-FR"/>
        </w:rPr>
        <w:t>amélioration et n</w:t>
      </w:r>
      <w:r w:rsidR="00155EA0" w:rsidRPr="004D763E">
        <w:rPr>
          <w:lang w:val="fr-FR"/>
        </w:rPr>
        <w:t>’</w:t>
      </w:r>
      <w:r w:rsidRPr="004D763E">
        <w:rPr>
          <w:lang w:val="fr-FR"/>
        </w:rPr>
        <w:t>avait pas formulé de nouvelles recommandations.</w:t>
      </w:r>
    </w:p>
    <w:p w14:paraId="4E1FFA61" w14:textId="720BD08B" w:rsidR="00FD177E" w:rsidRPr="004D763E" w:rsidRDefault="0065085D" w:rsidP="00FD177E">
      <w:pPr>
        <w:pStyle w:val="ONUMFS"/>
        <w:rPr>
          <w:lang w:val="fr-FR"/>
        </w:rPr>
      </w:pPr>
      <w:r w:rsidRPr="004D763E">
        <w:rPr>
          <w:lang w:val="fr-FR"/>
        </w:rPr>
        <w:t>L</w:t>
      </w:r>
      <w:r w:rsidR="00155EA0" w:rsidRPr="004D763E">
        <w:rPr>
          <w:lang w:val="fr-FR"/>
        </w:rPr>
        <w:t>’</w:t>
      </w:r>
      <w:r w:rsidRPr="004D763E">
        <w:rPr>
          <w:lang w:val="fr-FR"/>
        </w:rPr>
        <w:t>OCIS s</w:t>
      </w:r>
      <w:r w:rsidR="00155EA0" w:rsidRPr="004D763E">
        <w:rPr>
          <w:lang w:val="fr-FR"/>
        </w:rPr>
        <w:t>’</w:t>
      </w:r>
      <w:r w:rsidRPr="004D763E">
        <w:rPr>
          <w:lang w:val="fr-FR"/>
        </w:rPr>
        <w:t>est entretenu avec des représentants du nouveau vérificateur externe des comptes, le Conseil d</w:t>
      </w:r>
      <w:r w:rsidR="00155EA0" w:rsidRPr="004D763E">
        <w:rPr>
          <w:lang w:val="fr-FR"/>
        </w:rPr>
        <w:t>’</w:t>
      </w:r>
      <w:r w:rsidRPr="004D763E">
        <w:rPr>
          <w:lang w:val="fr-FR"/>
        </w:rPr>
        <w:t>audit de la République d</w:t>
      </w:r>
      <w:r w:rsidR="00155EA0" w:rsidRPr="004D763E">
        <w:rPr>
          <w:lang w:val="fr-FR"/>
        </w:rPr>
        <w:t>’</w:t>
      </w:r>
      <w:r w:rsidRPr="004D763E">
        <w:rPr>
          <w:lang w:val="fr-FR"/>
        </w:rPr>
        <w:t>Indonésie, lors de ses soixante</w:t>
      </w:r>
      <w:r w:rsidR="004D763E">
        <w:rPr>
          <w:lang w:val="fr-FR"/>
        </w:rPr>
        <w:noBreakHyphen/>
      </w:r>
      <w:r w:rsidRPr="004D763E">
        <w:rPr>
          <w:lang w:val="fr-FR"/>
        </w:rPr>
        <w:t>quatorzième, soixante</w:t>
      </w:r>
      <w:r w:rsidR="004D763E">
        <w:rPr>
          <w:lang w:val="fr-FR"/>
        </w:rPr>
        <w:noBreakHyphen/>
      </w:r>
      <w:r w:rsidRPr="004D763E">
        <w:rPr>
          <w:lang w:val="fr-FR"/>
        </w:rPr>
        <w:t>quinzième et soixante</w:t>
      </w:r>
      <w:r w:rsidR="004D763E">
        <w:rPr>
          <w:lang w:val="fr-FR"/>
        </w:rPr>
        <w:noBreakHyphen/>
      </w:r>
      <w:proofErr w:type="gramStart"/>
      <w:r w:rsidRPr="004D763E">
        <w:rPr>
          <w:lang w:val="fr-FR"/>
        </w:rPr>
        <w:t>seiz</w:t>
      </w:r>
      <w:r w:rsidR="00155EA0" w:rsidRPr="004D763E">
        <w:rPr>
          <w:lang w:val="fr-FR"/>
        </w:rPr>
        <w:t>ième sessio</w:t>
      </w:r>
      <w:r w:rsidR="004D763E" w:rsidRPr="004D763E">
        <w:rPr>
          <w:lang w:val="fr-FR"/>
        </w:rPr>
        <w:t>ns</w:t>
      </w:r>
      <w:proofErr w:type="gramEnd"/>
      <w:r w:rsidR="004D763E" w:rsidRPr="004D763E">
        <w:rPr>
          <w:lang w:val="fr-FR"/>
        </w:rPr>
        <w:t>.  Lo</w:t>
      </w:r>
      <w:r w:rsidRPr="004D763E">
        <w:rPr>
          <w:lang w:val="fr-FR"/>
        </w:rPr>
        <w:t>rs de la soixante</w:t>
      </w:r>
      <w:r w:rsidR="004D763E">
        <w:rPr>
          <w:lang w:val="fr-FR"/>
        </w:rPr>
        <w:noBreakHyphen/>
      </w:r>
      <w:r w:rsidRPr="004D763E">
        <w:rPr>
          <w:lang w:val="fr-FR"/>
        </w:rPr>
        <w:t>quatorz</w:t>
      </w:r>
      <w:r w:rsidR="00155EA0" w:rsidRPr="004D763E">
        <w:rPr>
          <w:lang w:val="fr-FR"/>
        </w:rPr>
        <w:t>ième session</w:t>
      </w:r>
      <w:r w:rsidRPr="004D763E">
        <w:rPr>
          <w:lang w:val="fr-FR"/>
        </w:rPr>
        <w:t xml:space="preserve"> de l</w:t>
      </w:r>
      <w:r w:rsidR="00155EA0" w:rsidRPr="004D763E">
        <w:rPr>
          <w:lang w:val="fr-FR"/>
        </w:rPr>
        <w:t>’</w:t>
      </w:r>
      <w:r w:rsidRPr="004D763E">
        <w:rPr>
          <w:lang w:val="fr-FR"/>
        </w:rPr>
        <w:t>OCIS, le vérificateur externe des comptes a présenté le mémorandum relatif à la planification de l</w:t>
      </w:r>
      <w:r w:rsidR="00155EA0" w:rsidRPr="004D763E">
        <w:rPr>
          <w:lang w:val="fr-FR"/>
        </w:rPr>
        <w:t>’</w:t>
      </w:r>
      <w:r w:rsidRPr="004D763E">
        <w:rPr>
          <w:lang w:val="fr-FR"/>
        </w:rPr>
        <w:t>audit pour l</w:t>
      </w:r>
      <w:r w:rsidR="00155EA0" w:rsidRPr="004D763E">
        <w:rPr>
          <w:lang w:val="fr-FR"/>
        </w:rPr>
        <w:t>’</w:t>
      </w:r>
      <w:r w:rsidRPr="004D763E">
        <w:rPr>
          <w:lang w:val="fr-FR"/>
        </w:rPr>
        <w:t>audit des états financiers de l</w:t>
      </w:r>
      <w:r w:rsidR="00155EA0" w:rsidRPr="004D763E">
        <w:rPr>
          <w:lang w:val="fr-FR"/>
        </w:rPr>
        <w:t>’</w:t>
      </w:r>
      <w:r w:rsidRPr="004D763E">
        <w:rPr>
          <w:lang w:val="fr-FR"/>
        </w:rPr>
        <w:t>OMPI pour l</w:t>
      </w:r>
      <w:r w:rsidR="00155EA0" w:rsidRPr="004D763E">
        <w:rPr>
          <w:lang w:val="fr-FR"/>
        </w:rPr>
        <w:t>’</w:t>
      </w:r>
      <w:r w:rsidRPr="004D763E">
        <w:rPr>
          <w:lang w:val="fr-FR"/>
        </w:rPr>
        <w:t xml:space="preserve">exercice 2024.  Le mémorandum contenait des informations détaillées sur les procédures à suivre pour procéder aux audits financiers et de </w:t>
      </w:r>
      <w:proofErr w:type="gramStart"/>
      <w:r w:rsidRPr="004D763E">
        <w:rPr>
          <w:lang w:val="fr-FR"/>
        </w:rPr>
        <w:t>performance prévus</w:t>
      </w:r>
      <w:proofErr w:type="gramEnd"/>
      <w:r w:rsidRPr="004D763E">
        <w:rPr>
          <w:lang w:val="fr-FR"/>
        </w:rPr>
        <w:t>.  L</w:t>
      </w:r>
      <w:r w:rsidR="00155EA0" w:rsidRPr="004D763E">
        <w:rPr>
          <w:lang w:val="fr-FR"/>
        </w:rPr>
        <w:t>’</w:t>
      </w:r>
      <w:r w:rsidRPr="004D763E">
        <w:rPr>
          <w:lang w:val="fr-FR"/>
        </w:rPr>
        <w:t>OCIS a donné son avis sur les aspects couverts</w:t>
      </w:r>
      <w:r w:rsidR="00BC6DE2" w:rsidRPr="004D763E">
        <w:rPr>
          <w:lang w:val="fr-FR"/>
        </w:rPr>
        <w:t xml:space="preserve"> </w:t>
      </w:r>
      <w:r w:rsidRPr="004D763E">
        <w:rPr>
          <w:lang w:val="fr-FR"/>
        </w:rPr>
        <w:t>par le mémorandum, notamment en ce qui concerne la matérialité et l</w:t>
      </w:r>
      <w:r w:rsidR="00155EA0" w:rsidRPr="004D763E">
        <w:rPr>
          <w:lang w:val="fr-FR"/>
        </w:rPr>
        <w:t>’</w:t>
      </w:r>
      <w:r w:rsidRPr="004D763E">
        <w:rPr>
          <w:lang w:val="fr-FR"/>
        </w:rPr>
        <w:t>étendue des audi</w:t>
      </w:r>
      <w:r w:rsidR="004D763E" w:rsidRPr="004D763E">
        <w:rPr>
          <w:lang w:val="fr-FR"/>
        </w:rPr>
        <w:t>ts.  Il</w:t>
      </w:r>
      <w:r w:rsidRPr="004D763E">
        <w:rPr>
          <w:lang w:val="fr-FR"/>
        </w:rPr>
        <w:t xml:space="preserve"> a également posé des questions sur la passation des pouvoirs et la reprise des travaux du vérificateur précédent, et le nouveau vérificateur des comptes s</w:t>
      </w:r>
      <w:r w:rsidR="00155EA0" w:rsidRPr="004D763E">
        <w:rPr>
          <w:lang w:val="fr-FR"/>
        </w:rPr>
        <w:t>’</w:t>
      </w:r>
      <w:r w:rsidRPr="004D763E">
        <w:rPr>
          <w:lang w:val="fr-FR"/>
        </w:rPr>
        <w:t xml:space="preserve">est déclaré satisfait des points discutés avec le vérificateur externe des comptes sortant, </w:t>
      </w:r>
      <w:r w:rsidR="00155EA0" w:rsidRPr="004D763E">
        <w:rPr>
          <w:lang w:val="fr-FR"/>
        </w:rPr>
        <w:t>y compris</w:t>
      </w:r>
      <w:r w:rsidRPr="004D763E">
        <w:rPr>
          <w:lang w:val="fr-FR"/>
        </w:rPr>
        <w:t xml:space="preserve"> le suivi des recommandations en suspens.</w:t>
      </w:r>
    </w:p>
    <w:p w14:paraId="7B7967EB" w14:textId="6FFC55FB" w:rsidR="00FD177E" w:rsidRPr="004D763E" w:rsidRDefault="0065085D" w:rsidP="00FD177E">
      <w:pPr>
        <w:pStyle w:val="ONUMFS"/>
        <w:rPr>
          <w:rFonts w:eastAsia="Arial"/>
          <w:lang w:val="fr-FR"/>
        </w:rPr>
      </w:pPr>
      <w:r w:rsidRPr="004D763E">
        <w:rPr>
          <w:lang w:val="fr-FR"/>
        </w:rPr>
        <w:t>Lors de la soixante</w:t>
      </w:r>
      <w:r w:rsidR="004D763E">
        <w:rPr>
          <w:lang w:val="fr-FR"/>
        </w:rPr>
        <w:noBreakHyphen/>
      </w:r>
      <w:r w:rsidRPr="004D763E">
        <w:rPr>
          <w:lang w:val="fr-FR"/>
        </w:rPr>
        <w:t>quinz</w:t>
      </w:r>
      <w:r w:rsidR="00155EA0" w:rsidRPr="004D763E">
        <w:rPr>
          <w:lang w:val="fr-FR"/>
        </w:rPr>
        <w:t>ième session</w:t>
      </w:r>
      <w:r w:rsidRPr="004D763E">
        <w:rPr>
          <w:lang w:val="fr-FR"/>
        </w:rPr>
        <w:t xml:space="preserve"> de l</w:t>
      </w:r>
      <w:r w:rsidR="00155EA0" w:rsidRPr="004D763E">
        <w:rPr>
          <w:lang w:val="fr-FR"/>
        </w:rPr>
        <w:t>’</w:t>
      </w:r>
      <w:r w:rsidRPr="004D763E">
        <w:rPr>
          <w:lang w:val="fr-FR"/>
        </w:rPr>
        <w:t>OCIS, le vérificateur externe des comptes a fait le point sur l</w:t>
      </w:r>
      <w:r w:rsidR="00155EA0" w:rsidRPr="004D763E">
        <w:rPr>
          <w:lang w:val="fr-FR"/>
        </w:rPr>
        <w:t>’</w:t>
      </w:r>
      <w:r w:rsidRPr="004D763E">
        <w:rPr>
          <w:lang w:val="fr-FR"/>
        </w:rPr>
        <w:t>état des dispositions en matière d</w:t>
      </w:r>
      <w:r w:rsidR="00155EA0" w:rsidRPr="004D763E">
        <w:rPr>
          <w:lang w:val="fr-FR"/>
        </w:rPr>
        <w:t>’</w:t>
      </w:r>
      <w:r w:rsidRPr="004D763E">
        <w:rPr>
          <w:lang w:val="fr-FR"/>
        </w:rPr>
        <w:t>audit externe et sur les projets pour l</w:t>
      </w:r>
      <w:r w:rsidR="00155EA0" w:rsidRPr="004D763E">
        <w:rPr>
          <w:lang w:val="fr-FR"/>
        </w:rPr>
        <w:t>’</w:t>
      </w:r>
      <w:r w:rsidRPr="004D763E">
        <w:rPr>
          <w:lang w:val="fr-FR"/>
        </w:rPr>
        <w:t>année à ven</w:t>
      </w:r>
      <w:r w:rsidR="004D763E" w:rsidRPr="004D763E">
        <w:rPr>
          <w:lang w:val="fr-FR"/>
        </w:rPr>
        <w:t>ir.  Il</w:t>
      </w:r>
      <w:r w:rsidRPr="004D763E">
        <w:rPr>
          <w:lang w:val="fr-FR"/>
        </w:rPr>
        <w:t xml:space="preserve"> a également indiqué que son prédécesseur a formulé 41 recommandations en matière d</w:t>
      </w:r>
      <w:r w:rsidR="00155EA0" w:rsidRPr="004D763E">
        <w:rPr>
          <w:lang w:val="fr-FR"/>
        </w:rPr>
        <w:t>’</w:t>
      </w:r>
      <w:r w:rsidRPr="004D763E">
        <w:rPr>
          <w:lang w:val="fr-FR"/>
        </w:rPr>
        <w:t>audit, dont 35 ont été mises en œuvre, tandis que les six</w:t>
      </w:r>
      <w:r w:rsidR="001D6F62" w:rsidRPr="004D763E">
        <w:rPr>
          <w:lang w:val="fr-FR"/>
        </w:rPr>
        <w:t> </w:t>
      </w:r>
      <w:r w:rsidRPr="004D763E">
        <w:rPr>
          <w:lang w:val="fr-FR"/>
        </w:rPr>
        <w:t>autres restaient en cours d</w:t>
      </w:r>
      <w:r w:rsidR="00155EA0" w:rsidRPr="004D763E">
        <w:rPr>
          <w:lang w:val="fr-FR"/>
        </w:rPr>
        <w:t>’</w:t>
      </w:r>
      <w:r w:rsidRPr="004D763E">
        <w:rPr>
          <w:lang w:val="fr-FR"/>
        </w:rPr>
        <w:t>applicati</w:t>
      </w:r>
      <w:r w:rsidR="004D763E" w:rsidRPr="004D763E">
        <w:rPr>
          <w:lang w:val="fr-FR"/>
        </w:rPr>
        <w:t>on.  Le</w:t>
      </w:r>
      <w:r w:rsidRPr="004D763E">
        <w:rPr>
          <w:lang w:val="fr-FR"/>
        </w:rPr>
        <w:t xml:space="preserve"> vérificateur et l</w:t>
      </w:r>
      <w:r w:rsidR="00155EA0" w:rsidRPr="004D763E">
        <w:rPr>
          <w:lang w:val="fr-FR"/>
        </w:rPr>
        <w:t>’</w:t>
      </w:r>
      <w:r w:rsidRPr="004D763E">
        <w:rPr>
          <w:lang w:val="fr-FR"/>
        </w:rPr>
        <w:t>OCIS ont également discuté des échéances et des principaux domaines de l</w:t>
      </w:r>
      <w:r w:rsidR="00155EA0" w:rsidRPr="004D763E">
        <w:rPr>
          <w:lang w:val="fr-FR"/>
        </w:rPr>
        <w:t>’</w:t>
      </w:r>
      <w:r w:rsidRPr="004D763E">
        <w:rPr>
          <w:lang w:val="fr-FR"/>
        </w:rPr>
        <w:t>audit.  L</w:t>
      </w:r>
      <w:r w:rsidR="00155EA0" w:rsidRPr="004D763E">
        <w:rPr>
          <w:lang w:val="fr-FR"/>
        </w:rPr>
        <w:t>’</w:t>
      </w:r>
      <w:r w:rsidRPr="004D763E">
        <w:rPr>
          <w:lang w:val="fr-FR"/>
        </w:rPr>
        <w:t>OCIS a souligné l</w:t>
      </w:r>
      <w:r w:rsidR="00155EA0" w:rsidRPr="004D763E">
        <w:rPr>
          <w:lang w:val="fr-FR"/>
        </w:rPr>
        <w:t>’</w:t>
      </w:r>
      <w:r w:rsidRPr="004D763E">
        <w:rPr>
          <w:lang w:val="fr-FR"/>
        </w:rPr>
        <w:t>importance d</w:t>
      </w:r>
      <w:r w:rsidR="00155EA0" w:rsidRPr="004D763E">
        <w:rPr>
          <w:lang w:val="fr-FR"/>
        </w:rPr>
        <w:t>’</w:t>
      </w:r>
      <w:r w:rsidRPr="004D763E">
        <w:rPr>
          <w:lang w:val="fr-FR"/>
        </w:rPr>
        <w:t xml:space="preserve">un certain nombre de ces domaines, notamment les obligations </w:t>
      </w:r>
      <w:r w:rsidR="00EF0B73" w:rsidRPr="004D763E">
        <w:rPr>
          <w:lang w:val="fr-FR"/>
        </w:rPr>
        <w:t xml:space="preserve">au titre </w:t>
      </w:r>
      <w:r w:rsidRPr="004D763E">
        <w:rPr>
          <w:lang w:val="fr-FR"/>
        </w:rPr>
        <w:t>de l</w:t>
      </w:r>
      <w:r w:rsidR="00155EA0" w:rsidRPr="004D763E">
        <w:rPr>
          <w:lang w:val="fr-FR"/>
        </w:rPr>
        <w:t>’</w:t>
      </w:r>
      <w:r w:rsidRPr="004D763E">
        <w:rPr>
          <w:lang w:val="fr-FR"/>
        </w:rPr>
        <w:t>AMCS et les placements, ainsi que l</w:t>
      </w:r>
      <w:r w:rsidR="00155EA0" w:rsidRPr="004D763E">
        <w:rPr>
          <w:lang w:val="fr-FR"/>
        </w:rPr>
        <w:t>’</w:t>
      </w:r>
      <w:r w:rsidRPr="004D763E">
        <w:rPr>
          <w:lang w:val="fr-FR"/>
        </w:rPr>
        <w:t>évaluation des performances par le vérificateur externe des comptes et son avis sur le respect des procédures.</w:t>
      </w:r>
    </w:p>
    <w:p w14:paraId="119DA299" w14:textId="21229F82" w:rsidR="00FD177E" w:rsidRPr="004D763E" w:rsidRDefault="0065085D" w:rsidP="00FD177E">
      <w:pPr>
        <w:pStyle w:val="ONUMFS"/>
        <w:rPr>
          <w:lang w:val="fr-FR"/>
        </w:rPr>
      </w:pPr>
      <w:r w:rsidRPr="004D763E">
        <w:rPr>
          <w:lang w:val="fr-FR"/>
        </w:rPr>
        <w:t>À sa soixante</w:t>
      </w:r>
      <w:r w:rsidR="004D763E">
        <w:rPr>
          <w:lang w:val="fr-FR"/>
        </w:rPr>
        <w:noBreakHyphen/>
      </w:r>
      <w:r w:rsidRPr="004D763E">
        <w:rPr>
          <w:lang w:val="fr-FR"/>
        </w:rPr>
        <w:t>seiz</w:t>
      </w:r>
      <w:r w:rsidR="00155EA0" w:rsidRPr="004D763E">
        <w:rPr>
          <w:lang w:val="fr-FR"/>
        </w:rPr>
        <w:t>ième session</w:t>
      </w:r>
      <w:r w:rsidRPr="004D763E">
        <w:rPr>
          <w:lang w:val="fr-FR"/>
        </w:rPr>
        <w:t>, l</w:t>
      </w:r>
      <w:r w:rsidR="00155EA0" w:rsidRPr="004D763E">
        <w:rPr>
          <w:lang w:val="fr-FR"/>
        </w:rPr>
        <w:t>’</w:t>
      </w:r>
      <w:r w:rsidRPr="004D763E">
        <w:rPr>
          <w:lang w:val="fr-FR"/>
        </w:rPr>
        <w:t>OCIS a examiné les informations actualisées fournies par le vérificateur externe des comptes sur l</w:t>
      </w:r>
      <w:r w:rsidR="00155EA0" w:rsidRPr="004D763E">
        <w:rPr>
          <w:lang w:val="fr-FR"/>
        </w:rPr>
        <w:t>’</w:t>
      </w:r>
      <w:r w:rsidRPr="004D763E">
        <w:rPr>
          <w:lang w:val="fr-FR"/>
        </w:rPr>
        <w:t>état d</w:t>
      </w:r>
      <w:r w:rsidR="00155EA0" w:rsidRPr="004D763E">
        <w:rPr>
          <w:lang w:val="fr-FR"/>
        </w:rPr>
        <w:t>’</w:t>
      </w:r>
      <w:r w:rsidRPr="004D763E">
        <w:rPr>
          <w:lang w:val="fr-FR"/>
        </w:rPr>
        <w:t xml:space="preserve">avancement des audits financiers et des audits de performance </w:t>
      </w:r>
      <w:r w:rsidR="00B0451C" w:rsidRPr="004D763E">
        <w:rPr>
          <w:lang w:val="fr-FR"/>
        </w:rPr>
        <w:t>pour 2024</w:t>
      </w:r>
      <w:r w:rsidRPr="004D763E">
        <w:rPr>
          <w:lang w:val="fr-FR"/>
        </w:rPr>
        <w:t>.  Les informations actualisées indiquaient que l</w:t>
      </w:r>
      <w:r w:rsidR="00155EA0" w:rsidRPr="004D763E">
        <w:rPr>
          <w:lang w:val="fr-FR"/>
        </w:rPr>
        <w:t>’</w:t>
      </w:r>
      <w:r w:rsidRPr="004D763E">
        <w:rPr>
          <w:lang w:val="fr-FR"/>
        </w:rPr>
        <w:t xml:space="preserve">audit financier avait couvert un certain nombre de domaines, notamment les contrôles du système ERP, le réexamen des états financiers non vérifiés </w:t>
      </w:r>
      <w:r w:rsidR="00B0451C" w:rsidRPr="004D763E">
        <w:rPr>
          <w:lang w:val="fr-FR"/>
        </w:rPr>
        <w:t>de 2024</w:t>
      </w:r>
      <w:r w:rsidRPr="004D763E">
        <w:rPr>
          <w:lang w:val="fr-FR"/>
        </w:rPr>
        <w:t>, l</w:t>
      </w:r>
      <w:r w:rsidR="00155EA0" w:rsidRPr="004D763E">
        <w:rPr>
          <w:lang w:val="fr-FR"/>
        </w:rPr>
        <w:t>’</w:t>
      </w:r>
      <w:r w:rsidRPr="004D763E">
        <w:rPr>
          <w:lang w:val="fr-FR"/>
        </w:rPr>
        <w:t>examen des divulgations financières, les tests des contrôles financiers et informatiques, le suivi des recommandations de l</w:t>
      </w:r>
      <w:r w:rsidR="00155EA0" w:rsidRPr="004D763E">
        <w:rPr>
          <w:lang w:val="fr-FR"/>
        </w:rPr>
        <w:t>’</w:t>
      </w:r>
      <w:r w:rsidRPr="004D763E">
        <w:rPr>
          <w:lang w:val="fr-FR"/>
        </w:rPr>
        <w:t>année précédente et la conformité avec les normes</w:t>
      </w:r>
      <w:r w:rsidR="001D6F62" w:rsidRPr="004D763E">
        <w:rPr>
          <w:lang w:val="fr-FR"/>
        </w:rPr>
        <w:t> </w:t>
      </w:r>
      <w:r w:rsidRPr="004D763E">
        <w:rPr>
          <w:lang w:val="fr-FR"/>
        </w:rPr>
        <w:t>IP</w:t>
      </w:r>
      <w:r w:rsidR="004D763E" w:rsidRPr="004D763E">
        <w:rPr>
          <w:lang w:val="fr-FR"/>
        </w:rPr>
        <w:t>SAS.  El</w:t>
      </w:r>
      <w:r w:rsidRPr="004D763E">
        <w:rPr>
          <w:lang w:val="fr-FR"/>
        </w:rPr>
        <w:t>les révélaient également que les travaux sur le terrain pour la vérification des performances avaient été achevés le 14 </w:t>
      </w:r>
      <w:r w:rsidR="00B0451C" w:rsidRPr="004D763E">
        <w:rPr>
          <w:lang w:val="fr-FR"/>
        </w:rPr>
        <w:t>mars 20</w:t>
      </w:r>
      <w:r w:rsidRPr="004D763E">
        <w:rPr>
          <w:lang w:val="fr-FR"/>
        </w:rPr>
        <w:t>25, qu</w:t>
      </w:r>
      <w:r w:rsidR="00155EA0" w:rsidRPr="004D763E">
        <w:rPr>
          <w:lang w:val="fr-FR"/>
        </w:rPr>
        <w:t>’</w:t>
      </w:r>
      <w:r w:rsidRPr="004D763E">
        <w:rPr>
          <w:lang w:val="fr-FR"/>
        </w:rPr>
        <w:t>ils évaluaient l</w:t>
      </w:r>
      <w:r w:rsidR="00155EA0" w:rsidRPr="004D763E">
        <w:rPr>
          <w:lang w:val="fr-FR"/>
        </w:rPr>
        <w:t>’</w:t>
      </w:r>
      <w:r w:rsidRPr="004D763E">
        <w:rPr>
          <w:lang w:val="fr-FR"/>
        </w:rPr>
        <w:t>efficacité de la gestion du programme de l</w:t>
      </w:r>
      <w:r w:rsidR="00155EA0" w:rsidRPr="004D763E">
        <w:rPr>
          <w:lang w:val="fr-FR"/>
        </w:rPr>
        <w:t>’</w:t>
      </w:r>
      <w:r w:rsidRPr="004D763E">
        <w:rPr>
          <w:lang w:val="fr-FR"/>
        </w:rPr>
        <w:t>OMPI et qu</w:t>
      </w:r>
      <w:r w:rsidR="00155EA0" w:rsidRPr="004D763E">
        <w:rPr>
          <w:lang w:val="fr-FR"/>
        </w:rPr>
        <w:t>’</w:t>
      </w:r>
      <w:r w:rsidRPr="004D763E">
        <w:rPr>
          <w:lang w:val="fr-FR"/>
        </w:rPr>
        <w:t>ils portaient sur quatre</w:t>
      </w:r>
      <w:r w:rsidR="001D6F62" w:rsidRPr="004D763E">
        <w:rPr>
          <w:lang w:val="fr-FR"/>
        </w:rPr>
        <w:t> </w:t>
      </w:r>
      <w:r w:rsidRPr="004D763E">
        <w:rPr>
          <w:lang w:val="fr-FR"/>
        </w:rPr>
        <w:t>divisions de l</w:t>
      </w:r>
      <w:r w:rsidR="00155EA0" w:rsidRPr="004D763E">
        <w:rPr>
          <w:lang w:val="fr-FR"/>
        </w:rPr>
        <w:t>’</w:t>
      </w:r>
      <w:r w:rsidRPr="004D763E">
        <w:rPr>
          <w:lang w:val="fr-FR"/>
        </w:rPr>
        <w:t>OMPI.  L</w:t>
      </w:r>
      <w:r w:rsidR="00155EA0" w:rsidRPr="004D763E">
        <w:rPr>
          <w:lang w:val="fr-FR"/>
        </w:rPr>
        <w:t>’</w:t>
      </w:r>
      <w:r w:rsidRPr="004D763E">
        <w:rPr>
          <w:lang w:val="fr-FR"/>
        </w:rPr>
        <w:t>OCIS a étudié l</w:t>
      </w:r>
      <w:r w:rsidR="00155EA0" w:rsidRPr="004D763E">
        <w:rPr>
          <w:lang w:val="fr-FR"/>
        </w:rPr>
        <w:t>’</w:t>
      </w:r>
      <w:r w:rsidRPr="004D763E">
        <w:rPr>
          <w:lang w:val="fr-FR"/>
        </w:rPr>
        <w:t>approche adoptée pour la vérification des états financiers et sa portée, les normes en matière d</w:t>
      </w:r>
      <w:r w:rsidR="00155EA0" w:rsidRPr="004D763E">
        <w:rPr>
          <w:lang w:val="fr-FR"/>
        </w:rPr>
        <w:t>’</w:t>
      </w:r>
      <w:r w:rsidRPr="004D763E">
        <w:rPr>
          <w:lang w:val="fr-FR"/>
        </w:rPr>
        <w:t>audit, le calendrier d</w:t>
      </w:r>
      <w:r w:rsidR="00155EA0" w:rsidRPr="004D763E">
        <w:rPr>
          <w:lang w:val="fr-FR"/>
        </w:rPr>
        <w:t>’</w:t>
      </w:r>
      <w:r w:rsidRPr="004D763E">
        <w:rPr>
          <w:lang w:val="fr-FR"/>
        </w:rPr>
        <w:t>achèvement du rapport d</w:t>
      </w:r>
      <w:r w:rsidR="00155EA0" w:rsidRPr="004D763E">
        <w:rPr>
          <w:lang w:val="fr-FR"/>
        </w:rPr>
        <w:t>’</w:t>
      </w:r>
      <w:r w:rsidRPr="004D763E">
        <w:rPr>
          <w:lang w:val="fr-FR"/>
        </w:rPr>
        <w:t>audit, ainsi que les conclusions préliminaires de l</w:t>
      </w:r>
      <w:r w:rsidR="00155EA0" w:rsidRPr="004D763E">
        <w:rPr>
          <w:lang w:val="fr-FR"/>
        </w:rPr>
        <w:t>’</w:t>
      </w:r>
      <w:r w:rsidRPr="004D763E">
        <w:rPr>
          <w:lang w:val="fr-FR"/>
        </w:rPr>
        <w:t>audit et les recommandations qui en découle</w:t>
      </w:r>
      <w:r w:rsidR="004D763E" w:rsidRPr="004D763E">
        <w:rPr>
          <w:lang w:val="fr-FR"/>
        </w:rPr>
        <w:t>nt.  Le</w:t>
      </w:r>
      <w:r w:rsidRPr="004D763E">
        <w:rPr>
          <w:lang w:val="fr-FR"/>
        </w:rPr>
        <w:t xml:space="preserve"> vérificateur externe des comptes a également fourni des informations actualisées sur le suivi des recommandations d</w:t>
      </w:r>
      <w:r w:rsidR="00155EA0" w:rsidRPr="004D763E">
        <w:rPr>
          <w:lang w:val="fr-FR"/>
        </w:rPr>
        <w:t>’</w:t>
      </w:r>
      <w:r w:rsidRPr="004D763E">
        <w:rPr>
          <w:lang w:val="fr-FR"/>
        </w:rPr>
        <w:t>audit antérieures et sur l</w:t>
      </w:r>
      <w:r w:rsidR="00155EA0" w:rsidRPr="004D763E">
        <w:rPr>
          <w:lang w:val="fr-FR"/>
        </w:rPr>
        <w:t>’</w:t>
      </w:r>
      <w:r w:rsidRPr="004D763E">
        <w:rPr>
          <w:lang w:val="fr-FR"/>
        </w:rPr>
        <w:t>état d</w:t>
      </w:r>
      <w:r w:rsidR="00155EA0" w:rsidRPr="004D763E">
        <w:rPr>
          <w:lang w:val="fr-FR"/>
        </w:rPr>
        <w:t>’</w:t>
      </w:r>
      <w:r w:rsidRPr="004D763E">
        <w:rPr>
          <w:lang w:val="fr-FR"/>
        </w:rPr>
        <w:t>avancement de la mise en œuvre de ces recommandations.</w:t>
      </w:r>
    </w:p>
    <w:p w14:paraId="56B1A430" w14:textId="77777777" w:rsidR="00FD177E" w:rsidRPr="004D763E" w:rsidRDefault="0065085D" w:rsidP="00FD177E">
      <w:pPr>
        <w:pStyle w:val="Heading4"/>
        <w:rPr>
          <w:rFonts w:eastAsia="Arial"/>
          <w:iCs/>
        </w:rPr>
      </w:pPr>
      <w:r w:rsidRPr="004D763E">
        <w:t>Séances privées</w:t>
      </w:r>
    </w:p>
    <w:p w14:paraId="3816A2F8" w14:textId="05E8DD88" w:rsidR="0065085D" w:rsidRPr="004D763E" w:rsidRDefault="0065085D" w:rsidP="00FD177E">
      <w:pPr>
        <w:pStyle w:val="ONUMFS"/>
        <w:rPr>
          <w:rFonts w:eastAsia="Arial"/>
          <w:lang w:val="fr-FR"/>
        </w:rPr>
      </w:pPr>
      <w:r w:rsidRPr="004D763E">
        <w:rPr>
          <w:lang w:val="fr-FR"/>
        </w:rPr>
        <w:t>L</w:t>
      </w:r>
      <w:r w:rsidR="00155EA0" w:rsidRPr="004D763E">
        <w:rPr>
          <w:lang w:val="fr-FR"/>
        </w:rPr>
        <w:t>’</w:t>
      </w:r>
      <w:r w:rsidRPr="004D763E">
        <w:rPr>
          <w:lang w:val="fr-FR"/>
        </w:rPr>
        <w:t>OCIS s</w:t>
      </w:r>
      <w:r w:rsidR="00155EA0" w:rsidRPr="004D763E">
        <w:rPr>
          <w:lang w:val="fr-FR"/>
        </w:rPr>
        <w:t>’</w:t>
      </w:r>
      <w:r w:rsidRPr="004D763E">
        <w:rPr>
          <w:lang w:val="fr-FR"/>
        </w:rPr>
        <w:t>est réuni en séance privée avec le vérificateur externe des comptes, conformément à son mandat.</w:t>
      </w:r>
    </w:p>
    <w:p w14:paraId="566FFF66" w14:textId="77777777" w:rsidR="002715B7" w:rsidRPr="004D763E" w:rsidRDefault="002715B7" w:rsidP="002715B7">
      <w:pPr>
        <w:pStyle w:val="Heading3"/>
      </w:pPr>
      <w:r w:rsidRPr="004D763E">
        <w:t>Rapports financiers</w:t>
      </w:r>
    </w:p>
    <w:p w14:paraId="734355AE" w14:textId="53B5FB6A" w:rsidR="002715B7" w:rsidRPr="004D763E" w:rsidRDefault="002715B7" w:rsidP="002715B7">
      <w:pPr>
        <w:pStyle w:val="Heading4"/>
        <w:rPr>
          <w:rFonts w:eastAsia="Arial"/>
        </w:rPr>
      </w:pPr>
      <w:r w:rsidRPr="004D763E">
        <w:t>États financiers de l</w:t>
      </w:r>
      <w:r w:rsidR="00155EA0" w:rsidRPr="004D763E">
        <w:t>’</w:t>
      </w:r>
      <w:r w:rsidRPr="004D763E">
        <w:t>OMPI</w:t>
      </w:r>
    </w:p>
    <w:p w14:paraId="66D62BA2" w14:textId="71A2F389" w:rsidR="002715B7" w:rsidRPr="004D763E" w:rsidRDefault="002715B7" w:rsidP="002715B7">
      <w:pPr>
        <w:pStyle w:val="ONUMFS"/>
        <w:rPr>
          <w:lang w:val="fr-FR"/>
        </w:rPr>
      </w:pPr>
      <w:r w:rsidRPr="004D763E">
        <w:rPr>
          <w:lang w:val="fr-FR"/>
        </w:rPr>
        <w:t>L</w:t>
      </w:r>
      <w:r w:rsidR="00155EA0" w:rsidRPr="004D763E">
        <w:rPr>
          <w:lang w:val="fr-FR"/>
        </w:rPr>
        <w:t>’</w:t>
      </w:r>
      <w:r w:rsidRPr="004D763E">
        <w:rPr>
          <w:lang w:val="fr-FR"/>
        </w:rPr>
        <w:t>OCIS a examiné, lors de sa soixante</w:t>
      </w:r>
      <w:r w:rsidR="004D763E">
        <w:rPr>
          <w:lang w:val="fr-FR"/>
        </w:rPr>
        <w:noBreakHyphen/>
      </w:r>
      <w:r w:rsidRPr="004D763E">
        <w:rPr>
          <w:lang w:val="fr-FR"/>
        </w:rPr>
        <w:t>seiz</w:t>
      </w:r>
      <w:r w:rsidR="00155EA0" w:rsidRPr="004D763E">
        <w:rPr>
          <w:lang w:val="fr-FR"/>
        </w:rPr>
        <w:t>ième session</w:t>
      </w:r>
      <w:r w:rsidRPr="004D763E">
        <w:rPr>
          <w:lang w:val="fr-FR"/>
        </w:rPr>
        <w:t>, le projet de rapport financier et d</w:t>
      </w:r>
      <w:r w:rsidR="00155EA0" w:rsidRPr="004D763E">
        <w:rPr>
          <w:lang w:val="fr-FR"/>
        </w:rPr>
        <w:t>’</w:t>
      </w:r>
      <w:r w:rsidRPr="004D763E">
        <w:rPr>
          <w:lang w:val="fr-FR"/>
        </w:rPr>
        <w:t>états financiers pour l</w:t>
      </w:r>
      <w:r w:rsidR="00155EA0" w:rsidRPr="004D763E">
        <w:rPr>
          <w:lang w:val="fr-FR"/>
        </w:rPr>
        <w:t>’</w:t>
      </w:r>
      <w:r w:rsidRPr="004D763E">
        <w:rPr>
          <w:lang w:val="fr-FR"/>
        </w:rPr>
        <w:t>exercice clos au 31 décembre 2024.  L</w:t>
      </w:r>
      <w:r w:rsidR="00155EA0" w:rsidRPr="004D763E">
        <w:rPr>
          <w:lang w:val="fr-FR"/>
        </w:rPr>
        <w:t>’</w:t>
      </w:r>
      <w:r w:rsidRPr="004D763E">
        <w:rPr>
          <w:lang w:val="fr-FR"/>
        </w:rPr>
        <w:t>Organisation a déclaré un excédent total de 140 millions de francs suisses, dont un gain d</w:t>
      </w:r>
      <w:r w:rsidR="00155EA0" w:rsidRPr="004D763E">
        <w:rPr>
          <w:lang w:val="fr-FR"/>
        </w:rPr>
        <w:t>’</w:t>
      </w:r>
      <w:r w:rsidRPr="004D763E">
        <w:rPr>
          <w:lang w:val="fr-FR"/>
        </w:rPr>
        <w:t>investissement de 74 millions de francs suiss</w:t>
      </w:r>
      <w:r w:rsidR="004D763E" w:rsidRPr="004D763E">
        <w:rPr>
          <w:lang w:val="fr-FR"/>
        </w:rPr>
        <w:t>es.  Le</w:t>
      </w:r>
      <w:r w:rsidRPr="004D763E">
        <w:rPr>
          <w:lang w:val="fr-FR"/>
        </w:rPr>
        <w:t xml:space="preserve"> montant total des recettes s</w:t>
      </w:r>
      <w:r w:rsidR="00155EA0" w:rsidRPr="004D763E">
        <w:rPr>
          <w:lang w:val="fr-FR"/>
        </w:rPr>
        <w:t>’</w:t>
      </w:r>
      <w:r w:rsidRPr="004D763E">
        <w:rPr>
          <w:lang w:val="fr-FR"/>
        </w:rPr>
        <w:t>élevait à 497 millions de francs suisses et le montant total des dépenses à 430 millions de francs suisses, soit un excédent d</w:t>
      </w:r>
      <w:r w:rsidR="00155EA0" w:rsidRPr="004D763E">
        <w:rPr>
          <w:lang w:val="fr-FR"/>
        </w:rPr>
        <w:t>’</w:t>
      </w:r>
      <w:r w:rsidRPr="004D763E">
        <w:rPr>
          <w:lang w:val="fr-FR"/>
        </w:rPr>
        <w:t>exploitation de 66 millions de francs suiss</w:t>
      </w:r>
      <w:r w:rsidR="004D763E" w:rsidRPr="004D763E">
        <w:rPr>
          <w:lang w:val="fr-FR"/>
        </w:rPr>
        <w:t>es.  La</w:t>
      </w:r>
      <w:r w:rsidRPr="004D763E">
        <w:rPr>
          <w:lang w:val="fr-FR"/>
        </w:rPr>
        <w:t xml:space="preserve"> valeur marchande des portefeuilles de placements de l</w:t>
      </w:r>
      <w:r w:rsidR="00155EA0" w:rsidRPr="004D763E">
        <w:rPr>
          <w:lang w:val="fr-FR"/>
        </w:rPr>
        <w:t>’</w:t>
      </w:r>
      <w:r w:rsidRPr="004D763E">
        <w:rPr>
          <w:lang w:val="fr-FR"/>
        </w:rPr>
        <w:t>OMPI a également augmenté, le portefeuille principal atteignant 931 millions de francs suisses et le portefeuille stratégique étant évalué à 274 millions de francs suisses.</w:t>
      </w:r>
    </w:p>
    <w:p w14:paraId="775ABF31" w14:textId="738376BB" w:rsidR="00155EA0" w:rsidRPr="004D763E" w:rsidRDefault="00424032" w:rsidP="00424032">
      <w:pPr>
        <w:pStyle w:val="ONUMFS"/>
        <w:rPr>
          <w:lang w:val="fr-FR"/>
        </w:rPr>
      </w:pPr>
      <w:r w:rsidRPr="004D763E">
        <w:rPr>
          <w:lang w:val="fr-FR"/>
        </w:rPr>
        <w:t>L</w:t>
      </w:r>
      <w:r w:rsidR="00155EA0" w:rsidRPr="004D763E">
        <w:rPr>
          <w:lang w:val="fr-FR"/>
        </w:rPr>
        <w:t>’</w:t>
      </w:r>
      <w:r w:rsidRPr="004D763E">
        <w:rPr>
          <w:lang w:val="fr-FR"/>
        </w:rPr>
        <w:t>OCIS a formulé des observations concernant l</w:t>
      </w:r>
      <w:r w:rsidR="00155EA0" w:rsidRPr="004D763E">
        <w:rPr>
          <w:lang w:val="fr-FR"/>
        </w:rPr>
        <w:t>’</w:t>
      </w:r>
      <w:r w:rsidRPr="004D763E">
        <w:rPr>
          <w:lang w:val="fr-FR"/>
        </w:rPr>
        <w:t>évaluation des placements, l</w:t>
      </w:r>
      <w:r w:rsidR="00155EA0" w:rsidRPr="004D763E">
        <w:rPr>
          <w:lang w:val="fr-FR"/>
        </w:rPr>
        <w:t>’</w:t>
      </w:r>
      <w:r w:rsidRPr="004D763E">
        <w:rPr>
          <w:lang w:val="fr-FR"/>
        </w:rPr>
        <w:t>estimation des engagements au titre de l</w:t>
      </w:r>
      <w:r w:rsidR="00155EA0" w:rsidRPr="004D763E">
        <w:rPr>
          <w:lang w:val="fr-FR"/>
        </w:rPr>
        <w:t>’</w:t>
      </w:r>
      <w:r w:rsidRPr="004D763E">
        <w:rPr>
          <w:lang w:val="fr-FR"/>
        </w:rPr>
        <w:t>AMCS et l</w:t>
      </w:r>
      <w:r w:rsidR="00155EA0" w:rsidRPr="004D763E">
        <w:rPr>
          <w:lang w:val="fr-FR"/>
        </w:rPr>
        <w:t>’</w:t>
      </w:r>
      <w:r w:rsidRPr="004D763E">
        <w:rPr>
          <w:lang w:val="fr-FR"/>
        </w:rPr>
        <w:t>amélioration des notes relatives aux états financiers.  L</w:t>
      </w:r>
      <w:r w:rsidR="00155EA0" w:rsidRPr="004D763E">
        <w:rPr>
          <w:lang w:val="fr-FR"/>
        </w:rPr>
        <w:t>’</w:t>
      </w:r>
      <w:r w:rsidRPr="004D763E">
        <w:rPr>
          <w:lang w:val="fr-FR"/>
        </w:rPr>
        <w:t>OCIS a examiné les différentes hypothèses relatives à l</w:t>
      </w:r>
      <w:r w:rsidR="00155EA0" w:rsidRPr="004D763E">
        <w:rPr>
          <w:lang w:val="fr-FR"/>
        </w:rPr>
        <w:t>’</w:t>
      </w:r>
      <w:r w:rsidRPr="004D763E">
        <w:rPr>
          <w:lang w:val="fr-FR"/>
        </w:rPr>
        <w:t>AMCS avec l</w:t>
      </w:r>
      <w:r w:rsidR="00155EA0" w:rsidRPr="004D763E">
        <w:rPr>
          <w:lang w:val="fr-FR"/>
        </w:rPr>
        <w:t>’</w:t>
      </w:r>
      <w:r w:rsidRPr="004D763E">
        <w:rPr>
          <w:lang w:val="fr-FR"/>
        </w:rPr>
        <w:t>actuaire de l</w:t>
      </w:r>
      <w:r w:rsidR="00155EA0" w:rsidRPr="004D763E">
        <w:rPr>
          <w:lang w:val="fr-FR"/>
        </w:rPr>
        <w:t>’</w:t>
      </w:r>
      <w:r w:rsidRPr="004D763E">
        <w:rPr>
          <w:lang w:val="fr-FR"/>
        </w:rPr>
        <w:t>OMPI et a reçu les précisions demandé</w:t>
      </w:r>
      <w:r w:rsidR="004D763E" w:rsidRPr="004D763E">
        <w:rPr>
          <w:lang w:val="fr-FR"/>
        </w:rPr>
        <w:t>es.  Il</w:t>
      </w:r>
      <w:r w:rsidRPr="004D763E">
        <w:rPr>
          <w:lang w:val="fr-FR"/>
        </w:rPr>
        <w:t xml:space="preserve"> a également été informé que les états financiers incluraient une mention relative à un événement postérieur à la date de clôture concernant la création d</w:t>
      </w:r>
      <w:r w:rsidR="00155EA0" w:rsidRPr="004D763E">
        <w:rPr>
          <w:lang w:val="fr-FR"/>
        </w:rPr>
        <w:t>’</w:t>
      </w:r>
      <w:r w:rsidRPr="004D763E">
        <w:rPr>
          <w:lang w:val="fr-FR"/>
        </w:rPr>
        <w:t>une entité distincte sous la forme d</w:t>
      </w:r>
      <w:r w:rsidR="00155EA0" w:rsidRPr="004D763E">
        <w:rPr>
          <w:lang w:val="fr-FR"/>
        </w:rPr>
        <w:t>’</w:t>
      </w:r>
      <w:r w:rsidRPr="004D763E">
        <w:rPr>
          <w:lang w:val="fr-FR"/>
        </w:rPr>
        <w:t xml:space="preserve">un régime </w:t>
      </w:r>
      <w:proofErr w:type="spellStart"/>
      <w:r w:rsidRPr="004D763E">
        <w:rPr>
          <w:lang w:val="fr-FR"/>
        </w:rPr>
        <w:t>multiemployeur</w:t>
      </w:r>
      <w:proofErr w:type="spellEnd"/>
      <w:r w:rsidRPr="004D763E">
        <w:rPr>
          <w:lang w:val="fr-FR"/>
        </w:rPr>
        <w:t xml:space="preserve"> auquel participeraient l</w:t>
      </w:r>
      <w:r w:rsidR="00155EA0" w:rsidRPr="004D763E">
        <w:rPr>
          <w:lang w:val="fr-FR"/>
        </w:rPr>
        <w:t>’</w:t>
      </w:r>
      <w:r w:rsidRPr="004D763E">
        <w:rPr>
          <w:lang w:val="fr-FR"/>
        </w:rPr>
        <w:t>OMPI et l</w:t>
      </w:r>
      <w:r w:rsidR="00155EA0" w:rsidRPr="004D763E">
        <w:rPr>
          <w:lang w:val="fr-FR"/>
        </w:rPr>
        <w:t>’</w:t>
      </w:r>
      <w:r w:rsidRPr="004D763E">
        <w:rPr>
          <w:lang w:val="fr-FR"/>
        </w:rPr>
        <w:t>Union internationale pour la protection des obtentions végétales (UPOV).</w:t>
      </w:r>
    </w:p>
    <w:p w14:paraId="6085BD57" w14:textId="6C579778" w:rsidR="002715B7" w:rsidRPr="004D763E" w:rsidRDefault="002715B7" w:rsidP="002715B7">
      <w:pPr>
        <w:pStyle w:val="Heading4"/>
        <w:rPr>
          <w:rFonts w:eastAsia="Arial"/>
          <w:iCs/>
        </w:rPr>
      </w:pPr>
      <w:r w:rsidRPr="004D763E">
        <w:t>Modifications apportées aux méthodes et normes comptables</w:t>
      </w:r>
    </w:p>
    <w:p w14:paraId="129A6DB2" w14:textId="3F528B37" w:rsidR="00424032" w:rsidRPr="004D763E" w:rsidRDefault="00424032" w:rsidP="00424032">
      <w:pPr>
        <w:pStyle w:val="ONUMFS"/>
        <w:rPr>
          <w:lang w:val="fr-FR"/>
        </w:rPr>
      </w:pPr>
      <w:r w:rsidRPr="004D763E">
        <w:rPr>
          <w:lang w:val="fr-FR"/>
        </w:rPr>
        <w:t>À sa soixante</w:t>
      </w:r>
      <w:r w:rsidR="004D763E">
        <w:rPr>
          <w:lang w:val="fr-FR"/>
        </w:rPr>
        <w:noBreakHyphen/>
      </w:r>
      <w:r w:rsidRPr="004D763E">
        <w:rPr>
          <w:lang w:val="fr-FR"/>
        </w:rPr>
        <w:t>quinz</w:t>
      </w:r>
      <w:r w:rsidR="00155EA0" w:rsidRPr="004D763E">
        <w:rPr>
          <w:lang w:val="fr-FR"/>
        </w:rPr>
        <w:t>ième session</w:t>
      </w:r>
      <w:r w:rsidRPr="004D763E">
        <w:rPr>
          <w:lang w:val="fr-FR"/>
        </w:rPr>
        <w:t>, l</w:t>
      </w:r>
      <w:r w:rsidR="00155EA0" w:rsidRPr="004D763E">
        <w:rPr>
          <w:lang w:val="fr-FR"/>
        </w:rPr>
        <w:t>’</w:t>
      </w:r>
      <w:r w:rsidRPr="004D763E">
        <w:rPr>
          <w:lang w:val="fr-FR"/>
        </w:rPr>
        <w:t>OCIS a été informé des nouvelles Normes comptables internationales pour le secteur public (IPSAS), que l</w:t>
      </w:r>
      <w:r w:rsidR="00155EA0" w:rsidRPr="004D763E">
        <w:rPr>
          <w:lang w:val="fr-FR"/>
        </w:rPr>
        <w:t>’</w:t>
      </w:r>
      <w:r w:rsidRPr="004D763E">
        <w:rPr>
          <w:lang w:val="fr-FR"/>
        </w:rPr>
        <w:t>OMPI examinait en vue de les appliqu</w:t>
      </w:r>
      <w:r w:rsidR="004D763E" w:rsidRPr="004D763E">
        <w:rPr>
          <w:lang w:val="fr-FR"/>
        </w:rPr>
        <w:t>er.  Le</w:t>
      </w:r>
      <w:r w:rsidRPr="004D763E">
        <w:rPr>
          <w:lang w:val="fr-FR"/>
        </w:rPr>
        <w:t>s normes susceptibles d</w:t>
      </w:r>
      <w:r w:rsidR="00155EA0" w:rsidRPr="004D763E">
        <w:rPr>
          <w:lang w:val="fr-FR"/>
        </w:rPr>
        <w:t>’</w:t>
      </w:r>
      <w:r w:rsidRPr="004D763E">
        <w:rPr>
          <w:lang w:val="fr-FR"/>
        </w:rPr>
        <w:t>avoir une incidence sur l</w:t>
      </w:r>
      <w:r w:rsidR="00155EA0" w:rsidRPr="004D763E">
        <w:rPr>
          <w:lang w:val="fr-FR"/>
        </w:rPr>
        <w:t>’</w:t>
      </w:r>
      <w:r w:rsidRPr="004D763E">
        <w:rPr>
          <w:lang w:val="fr-FR"/>
        </w:rPr>
        <w:t>OMPI étaient notamment les normes</w:t>
      </w:r>
      <w:r w:rsidR="001E36A8" w:rsidRPr="004D763E">
        <w:rPr>
          <w:lang w:val="fr-FR"/>
        </w:rPr>
        <w:t> </w:t>
      </w:r>
      <w:r w:rsidRPr="004D763E">
        <w:rPr>
          <w:lang w:val="fr-FR"/>
        </w:rPr>
        <w:t>IPSAS 45 (Immobilisations corporelles), IPSAS 46 (Évaluation), IPSAS 47 (Revenus) et IPSAS 48 (Frais de transfert).</w:t>
      </w:r>
    </w:p>
    <w:p w14:paraId="496F0906" w14:textId="45D3D9DA" w:rsidR="00424032" w:rsidRPr="004D763E" w:rsidRDefault="00424032" w:rsidP="00424032">
      <w:pPr>
        <w:pStyle w:val="ONUMFS"/>
        <w:rPr>
          <w:lang w:val="fr-FR"/>
        </w:rPr>
      </w:pPr>
      <w:r w:rsidRPr="004D763E">
        <w:rPr>
          <w:lang w:val="fr-FR"/>
        </w:rPr>
        <w:t>L</w:t>
      </w:r>
      <w:r w:rsidR="00155EA0" w:rsidRPr="004D763E">
        <w:rPr>
          <w:lang w:val="fr-FR"/>
        </w:rPr>
        <w:t>’</w:t>
      </w:r>
      <w:r w:rsidRPr="004D763E">
        <w:rPr>
          <w:lang w:val="fr-FR"/>
        </w:rPr>
        <w:t>OCIS a également été informé du projet de l</w:t>
      </w:r>
      <w:r w:rsidR="00155EA0" w:rsidRPr="004D763E">
        <w:rPr>
          <w:lang w:val="fr-FR"/>
        </w:rPr>
        <w:t>’</w:t>
      </w:r>
      <w:r w:rsidRPr="004D763E">
        <w:rPr>
          <w:lang w:val="fr-FR"/>
        </w:rPr>
        <w:t>OMPI d</w:t>
      </w:r>
      <w:r w:rsidR="00155EA0" w:rsidRPr="004D763E">
        <w:rPr>
          <w:lang w:val="fr-FR"/>
        </w:rPr>
        <w:t>’</w:t>
      </w:r>
      <w:r w:rsidRPr="004D763E">
        <w:rPr>
          <w:lang w:val="fr-FR"/>
        </w:rPr>
        <w:t>effectuer une évaluation actuarielle de l</w:t>
      </w:r>
      <w:r w:rsidR="00155EA0" w:rsidRPr="004D763E">
        <w:rPr>
          <w:lang w:val="fr-FR"/>
        </w:rPr>
        <w:t>’</w:t>
      </w:r>
      <w:r w:rsidRPr="004D763E">
        <w:rPr>
          <w:lang w:val="fr-FR"/>
        </w:rPr>
        <w:t>assurance maladie après la cessation de service (AMCS), qui comprendrait notamment une étude complète des demandes de remboursement des frais médicaux sur l</w:t>
      </w:r>
      <w:r w:rsidR="00155EA0" w:rsidRPr="004D763E">
        <w:rPr>
          <w:lang w:val="fr-FR"/>
        </w:rPr>
        <w:t>’</w:t>
      </w:r>
      <w:r w:rsidRPr="004D763E">
        <w:rPr>
          <w:lang w:val="fr-FR"/>
        </w:rPr>
        <w:t>ensemble de l</w:t>
      </w:r>
      <w:r w:rsidR="00155EA0" w:rsidRPr="004D763E">
        <w:rPr>
          <w:lang w:val="fr-FR"/>
        </w:rPr>
        <w:t>’</w:t>
      </w:r>
      <w:r w:rsidRPr="004D763E">
        <w:rPr>
          <w:lang w:val="fr-FR"/>
        </w:rPr>
        <w:t>année 2024.  Il a aussi été informé d</w:t>
      </w:r>
      <w:r w:rsidR="00155EA0" w:rsidRPr="004D763E">
        <w:rPr>
          <w:lang w:val="fr-FR"/>
        </w:rPr>
        <w:t>’</w:t>
      </w:r>
      <w:r w:rsidRPr="004D763E">
        <w:rPr>
          <w:lang w:val="fr-FR"/>
        </w:rPr>
        <w:t xml:space="preserve">une éventuelle déclaration après bilan pour 2024 concernant le régime </w:t>
      </w:r>
      <w:proofErr w:type="spellStart"/>
      <w:r w:rsidRPr="004D763E">
        <w:rPr>
          <w:lang w:val="fr-FR"/>
        </w:rPr>
        <w:t>multiemployeur</w:t>
      </w:r>
      <w:proofErr w:type="spellEnd"/>
      <w:r w:rsidRPr="004D763E">
        <w:rPr>
          <w:lang w:val="fr-FR"/>
        </w:rPr>
        <w:t xml:space="preserve"> distin</w:t>
      </w:r>
      <w:r w:rsidR="004D763E" w:rsidRPr="004D763E">
        <w:rPr>
          <w:lang w:val="fr-FR"/>
        </w:rPr>
        <w:t>ct.  Il</w:t>
      </w:r>
      <w:r w:rsidRPr="004D763E">
        <w:rPr>
          <w:lang w:val="fr-FR"/>
        </w:rPr>
        <w:t xml:space="preserve"> a exprimé le souhait de pouvoir examiner les hypothèses employées par l</w:t>
      </w:r>
      <w:r w:rsidR="00155EA0" w:rsidRPr="004D763E">
        <w:rPr>
          <w:lang w:val="fr-FR"/>
        </w:rPr>
        <w:t>’</w:t>
      </w:r>
      <w:r w:rsidRPr="004D763E">
        <w:rPr>
          <w:lang w:val="fr-FR"/>
        </w:rPr>
        <w:t>actuaire pour déterminer les obligations de l</w:t>
      </w:r>
      <w:r w:rsidR="00155EA0" w:rsidRPr="004D763E">
        <w:rPr>
          <w:lang w:val="fr-FR"/>
        </w:rPr>
        <w:t>’</w:t>
      </w:r>
      <w:r w:rsidRPr="004D763E">
        <w:rPr>
          <w:lang w:val="fr-FR"/>
        </w:rPr>
        <w:t>assurance maladie après la cessation de service, ce sujet étant particulièrement délicat.</w:t>
      </w:r>
    </w:p>
    <w:p w14:paraId="7ADC43FB" w14:textId="77777777" w:rsidR="002715B7" w:rsidRPr="004D763E" w:rsidRDefault="002715B7" w:rsidP="002715B7">
      <w:pPr>
        <w:pStyle w:val="Heading4"/>
      </w:pPr>
      <w:r w:rsidRPr="004D763E">
        <w:t>Cadre et politiques de gouvernance des placements</w:t>
      </w:r>
    </w:p>
    <w:p w14:paraId="0E31EE60" w14:textId="6D580E5E" w:rsidR="002715B7" w:rsidRPr="004D763E" w:rsidRDefault="002715B7" w:rsidP="002715B7">
      <w:pPr>
        <w:pStyle w:val="ONUMFS"/>
        <w:rPr>
          <w:rFonts w:eastAsia="Arial"/>
          <w:lang w:val="fr-FR"/>
        </w:rPr>
      </w:pPr>
      <w:r w:rsidRPr="004D763E">
        <w:rPr>
          <w:lang w:val="fr-FR"/>
        </w:rPr>
        <w:t>À sa soixante</w:t>
      </w:r>
      <w:r w:rsidR="004D763E">
        <w:rPr>
          <w:lang w:val="fr-FR"/>
        </w:rPr>
        <w:noBreakHyphen/>
      </w:r>
      <w:r w:rsidRPr="004D763E">
        <w:rPr>
          <w:lang w:val="fr-FR"/>
        </w:rPr>
        <w:t>quinz</w:t>
      </w:r>
      <w:r w:rsidR="00155EA0" w:rsidRPr="004D763E">
        <w:rPr>
          <w:lang w:val="fr-FR"/>
        </w:rPr>
        <w:t>ième session</w:t>
      </w:r>
      <w:r w:rsidRPr="004D763E">
        <w:rPr>
          <w:lang w:val="fr-FR"/>
        </w:rPr>
        <w:t>, un point a été fait à l</w:t>
      </w:r>
      <w:r w:rsidR="00155EA0" w:rsidRPr="004D763E">
        <w:rPr>
          <w:lang w:val="fr-FR"/>
        </w:rPr>
        <w:t>’</w:t>
      </w:r>
      <w:r w:rsidRPr="004D763E">
        <w:rPr>
          <w:lang w:val="fr-FR"/>
        </w:rPr>
        <w:t>intention de l</w:t>
      </w:r>
      <w:r w:rsidR="00155EA0" w:rsidRPr="004D763E">
        <w:rPr>
          <w:lang w:val="fr-FR"/>
        </w:rPr>
        <w:t>’</w:t>
      </w:r>
      <w:r w:rsidRPr="004D763E">
        <w:rPr>
          <w:lang w:val="fr-FR"/>
        </w:rPr>
        <w:t xml:space="preserve">OCIS concernant le cadre de gouvernance </w:t>
      </w:r>
      <w:r w:rsidR="00424032" w:rsidRPr="004D763E">
        <w:rPr>
          <w:lang w:val="fr-FR"/>
        </w:rPr>
        <w:t>en matière de</w:t>
      </w:r>
      <w:r w:rsidRPr="004D763E">
        <w:rPr>
          <w:lang w:val="fr-FR"/>
        </w:rPr>
        <w:t xml:space="preserve"> placements.  L</w:t>
      </w:r>
      <w:r w:rsidR="00155EA0" w:rsidRPr="004D763E">
        <w:rPr>
          <w:lang w:val="fr-FR"/>
        </w:rPr>
        <w:t>’</w:t>
      </w:r>
      <w:r w:rsidRPr="004D763E">
        <w:rPr>
          <w:lang w:val="fr-FR"/>
        </w:rPr>
        <w:t>OCIS a appris qu</w:t>
      </w:r>
      <w:r w:rsidR="00155EA0" w:rsidRPr="004D763E">
        <w:rPr>
          <w:lang w:val="fr-FR"/>
        </w:rPr>
        <w:t>’</w:t>
      </w:r>
      <w:r w:rsidRPr="004D763E">
        <w:rPr>
          <w:lang w:val="fr-FR"/>
        </w:rPr>
        <w:t>un spécialiste externe en placements avait été nommé au Comité consultatif pour les placements et qu</w:t>
      </w:r>
      <w:r w:rsidR="00155EA0" w:rsidRPr="004D763E">
        <w:rPr>
          <w:lang w:val="fr-FR"/>
        </w:rPr>
        <w:t>’</w:t>
      </w:r>
      <w:r w:rsidRPr="004D763E">
        <w:rPr>
          <w:lang w:val="fr-FR"/>
        </w:rPr>
        <w:t>un second spécialiste avait été trouvé et allait bientôt rejoindre le comi</w:t>
      </w:r>
      <w:r w:rsidR="004D763E" w:rsidRPr="004D763E">
        <w:rPr>
          <w:lang w:val="fr-FR"/>
        </w:rPr>
        <w:t>té.  Il</w:t>
      </w:r>
      <w:r w:rsidRPr="004D763E">
        <w:rPr>
          <w:lang w:val="fr-FR"/>
        </w:rPr>
        <w:t xml:space="preserve"> a pris note des progrès accomplis dans la mise en œuvre des recommandations de la Banque mondiale.</w:t>
      </w:r>
    </w:p>
    <w:p w14:paraId="0CE5ACF5" w14:textId="75A5A9EE" w:rsidR="002715B7" w:rsidRPr="004D763E" w:rsidRDefault="002715B7" w:rsidP="002715B7">
      <w:pPr>
        <w:pStyle w:val="ONUMFS"/>
        <w:rPr>
          <w:rFonts w:eastAsia="Arial"/>
          <w:lang w:val="fr-FR"/>
        </w:rPr>
      </w:pPr>
      <w:r w:rsidRPr="004D763E">
        <w:rPr>
          <w:lang w:val="fr-FR"/>
        </w:rPr>
        <w:t>Il a conseillé au Secrétariat d</w:t>
      </w:r>
      <w:r w:rsidR="00155EA0" w:rsidRPr="004D763E">
        <w:rPr>
          <w:lang w:val="fr-FR"/>
        </w:rPr>
        <w:t>’</w:t>
      </w:r>
      <w:r w:rsidRPr="004D763E">
        <w:rPr>
          <w:lang w:val="fr-FR"/>
        </w:rPr>
        <w:t>actualiser sa politique de placement en révisant notamment ses objectifs de placement et en adaptant en conséquence les cibles à atteindre, compte tenu des conditions des marchés financiers et des perspectives économiques.</w:t>
      </w:r>
      <w:bookmarkStart w:id="11" w:name="page10"/>
      <w:bookmarkEnd w:id="11"/>
    </w:p>
    <w:p w14:paraId="56E8054D" w14:textId="77777777" w:rsidR="002715B7" w:rsidRPr="004D763E" w:rsidRDefault="002715B7" w:rsidP="002715B7">
      <w:pPr>
        <w:pStyle w:val="Heading3"/>
        <w:rPr>
          <w:rFonts w:eastAsia="Arial"/>
        </w:rPr>
      </w:pPr>
      <w:r w:rsidRPr="004D763E">
        <w:t>Gestion des risques et contrôles internes</w:t>
      </w:r>
    </w:p>
    <w:p w14:paraId="5748C232" w14:textId="77777777" w:rsidR="002715B7" w:rsidRPr="004D763E" w:rsidRDefault="002715B7" w:rsidP="002715B7">
      <w:pPr>
        <w:pStyle w:val="Heading4"/>
      </w:pPr>
      <w:r w:rsidRPr="004D763E">
        <w:t>Point sur le cadre de gestion des risques et les procédures de contrôle interne</w:t>
      </w:r>
    </w:p>
    <w:p w14:paraId="750BF453" w14:textId="4710317B" w:rsidR="002715B7" w:rsidRPr="004D763E" w:rsidRDefault="002715B7" w:rsidP="002715B7">
      <w:pPr>
        <w:pStyle w:val="ONUMFS"/>
        <w:rPr>
          <w:lang w:val="fr-FR"/>
        </w:rPr>
      </w:pPr>
      <w:r w:rsidRPr="004D763E">
        <w:rPr>
          <w:lang w:val="fr-FR"/>
        </w:rPr>
        <w:t>Durant sa soixante</w:t>
      </w:r>
      <w:r w:rsidR="004D763E">
        <w:rPr>
          <w:lang w:val="fr-FR"/>
        </w:rPr>
        <w:noBreakHyphen/>
      </w:r>
      <w:r w:rsidRPr="004D763E">
        <w:rPr>
          <w:lang w:val="fr-FR"/>
        </w:rPr>
        <w:t>treiz</w:t>
      </w:r>
      <w:r w:rsidR="00155EA0" w:rsidRPr="004D763E">
        <w:rPr>
          <w:lang w:val="fr-FR"/>
        </w:rPr>
        <w:t>ième session</w:t>
      </w:r>
      <w:r w:rsidRPr="004D763E">
        <w:rPr>
          <w:lang w:val="fr-FR"/>
        </w:rPr>
        <w:t>, l</w:t>
      </w:r>
      <w:r w:rsidR="00155EA0" w:rsidRPr="004D763E">
        <w:rPr>
          <w:lang w:val="fr-FR"/>
        </w:rPr>
        <w:t>’</w:t>
      </w:r>
      <w:r w:rsidRPr="004D763E">
        <w:rPr>
          <w:lang w:val="fr-FR"/>
        </w:rPr>
        <w:t xml:space="preserve">OCIS a reçu des informations sur la gestion des risques et </w:t>
      </w:r>
      <w:r w:rsidR="00424032" w:rsidRPr="004D763E">
        <w:rPr>
          <w:lang w:val="fr-FR"/>
        </w:rPr>
        <w:t>les</w:t>
      </w:r>
      <w:r w:rsidRPr="004D763E">
        <w:rPr>
          <w:lang w:val="fr-FR"/>
        </w:rPr>
        <w:t xml:space="preserve"> contrôle</w:t>
      </w:r>
      <w:r w:rsidR="00424032" w:rsidRPr="004D763E">
        <w:rPr>
          <w:lang w:val="fr-FR"/>
        </w:rPr>
        <w:t>s</w:t>
      </w:r>
      <w:r w:rsidRPr="004D763E">
        <w:rPr>
          <w:lang w:val="fr-FR"/>
        </w:rPr>
        <w:t xml:space="preserve"> interne</w:t>
      </w:r>
      <w:r w:rsidR="00424032" w:rsidRPr="004D763E">
        <w:rPr>
          <w:lang w:val="fr-FR"/>
        </w:rPr>
        <w:t>s</w:t>
      </w:r>
      <w:r w:rsidRPr="004D763E">
        <w:rPr>
          <w:lang w:val="fr-FR"/>
        </w:rPr>
        <w:t>, le rapport de situation du CCI, les nouveaux systèmes de planification des ressources de l</w:t>
      </w:r>
      <w:r w:rsidR="00155EA0" w:rsidRPr="004D763E">
        <w:rPr>
          <w:lang w:val="fr-FR"/>
        </w:rPr>
        <w:t>’</w:t>
      </w:r>
      <w:r w:rsidRPr="004D763E">
        <w:rPr>
          <w:lang w:val="fr-FR"/>
        </w:rPr>
        <w:t>Organisation (ERP) et la lutte contre la frau</w:t>
      </w:r>
      <w:r w:rsidR="004D763E" w:rsidRPr="004D763E">
        <w:rPr>
          <w:lang w:val="fr-FR"/>
        </w:rPr>
        <w:t>de.  Il</w:t>
      </w:r>
      <w:r w:rsidRPr="004D763E">
        <w:rPr>
          <w:lang w:val="fr-FR"/>
        </w:rPr>
        <w:t xml:space="preserve"> a demandé des renseignements sur divers sujets, notamment les modalités de gouvernance du nouveau système ERP, et a prié la direction de faire un nouveau point sur la gouvernance des achats et la mise en œuvre du nouveau système ERP à sa prochaine sessi</w:t>
      </w:r>
      <w:r w:rsidR="004D763E" w:rsidRPr="004D763E">
        <w:rPr>
          <w:lang w:val="fr-FR"/>
        </w:rPr>
        <w:t>on.  Il</w:t>
      </w:r>
      <w:r w:rsidRPr="004D763E">
        <w:rPr>
          <w:lang w:val="fr-FR"/>
        </w:rPr>
        <w:t xml:space="preserve"> a également examiné une évaluation actualisée des risques dans la carte thermique des risques de l</w:t>
      </w:r>
      <w:r w:rsidR="00155EA0" w:rsidRPr="004D763E">
        <w:rPr>
          <w:lang w:val="fr-FR"/>
        </w:rPr>
        <w:t>’</w:t>
      </w:r>
      <w:r w:rsidRPr="004D763E">
        <w:rPr>
          <w:lang w:val="fr-FR"/>
        </w:rPr>
        <w:t>Organisation et noté que la cybersécurité demeurait un risque majeur.</w:t>
      </w:r>
    </w:p>
    <w:p w14:paraId="7D34532F" w14:textId="68792E34" w:rsidR="002715B7" w:rsidRPr="004D763E" w:rsidRDefault="002715B7" w:rsidP="002715B7">
      <w:pPr>
        <w:pStyle w:val="ONUMFS"/>
        <w:rPr>
          <w:lang w:val="fr-FR"/>
        </w:rPr>
      </w:pPr>
      <w:r w:rsidRPr="004D763E">
        <w:rPr>
          <w:lang w:val="fr-FR"/>
        </w:rPr>
        <w:t>Durant sa soixante</w:t>
      </w:r>
      <w:r w:rsidR="004D763E">
        <w:rPr>
          <w:lang w:val="fr-FR"/>
        </w:rPr>
        <w:noBreakHyphen/>
      </w:r>
      <w:r w:rsidRPr="004D763E">
        <w:rPr>
          <w:lang w:val="fr-FR"/>
        </w:rPr>
        <w:t>quatorz</w:t>
      </w:r>
      <w:r w:rsidR="00155EA0" w:rsidRPr="004D763E">
        <w:rPr>
          <w:lang w:val="fr-FR"/>
        </w:rPr>
        <w:t>ième session</w:t>
      </w:r>
      <w:r w:rsidRPr="004D763E">
        <w:rPr>
          <w:lang w:val="fr-FR"/>
        </w:rPr>
        <w:t>, l</w:t>
      </w:r>
      <w:r w:rsidR="00155EA0" w:rsidRPr="004D763E">
        <w:rPr>
          <w:lang w:val="fr-FR"/>
        </w:rPr>
        <w:t>’</w:t>
      </w:r>
      <w:r w:rsidRPr="004D763E">
        <w:rPr>
          <w:lang w:val="fr-FR"/>
        </w:rPr>
        <w:t xml:space="preserve">OCIS a examiné un point sur la gestion des risques et le contrôle interne, </w:t>
      </w:r>
      <w:r w:rsidR="00155EA0" w:rsidRPr="004D763E">
        <w:rPr>
          <w:lang w:val="fr-FR"/>
        </w:rPr>
        <w:t>y compris</w:t>
      </w:r>
      <w:r w:rsidRPr="004D763E">
        <w:rPr>
          <w:lang w:val="fr-FR"/>
        </w:rPr>
        <w:t xml:space="preserve"> les projets de la DSI de présenter un avis général sur la gouvernance, la gestion des risques et le contrôle inter</w:t>
      </w:r>
      <w:r w:rsidR="004D763E" w:rsidRPr="004D763E">
        <w:rPr>
          <w:lang w:val="fr-FR"/>
        </w:rPr>
        <w:t>ne.  Il</w:t>
      </w:r>
      <w:r w:rsidRPr="004D763E">
        <w:rPr>
          <w:lang w:val="fr-FR"/>
        </w:rPr>
        <w:t xml:space="preserve"> a été informé que des modifications seraient apportées au cadre de contrôle interne pour tenir compte des recommandations formulées </w:t>
      </w:r>
      <w:r w:rsidR="00424032" w:rsidRPr="004D763E">
        <w:rPr>
          <w:color w:val="000000" w:themeColor="text1"/>
        </w:rPr>
        <w:t>par le vérificateur externe des comptes ou l</w:t>
      </w:r>
      <w:r w:rsidR="00155EA0" w:rsidRPr="004D763E">
        <w:rPr>
          <w:color w:val="000000" w:themeColor="text1"/>
        </w:rPr>
        <w:t>’</w:t>
      </w:r>
      <w:r w:rsidR="00424032" w:rsidRPr="004D763E">
        <w:rPr>
          <w:color w:val="000000" w:themeColor="text1"/>
        </w:rPr>
        <w:t>auditeur inter</w:t>
      </w:r>
      <w:r w:rsidR="004D763E" w:rsidRPr="004D763E">
        <w:rPr>
          <w:color w:val="000000" w:themeColor="text1"/>
        </w:rPr>
        <w:t xml:space="preserve">ne.  </w:t>
      </w:r>
      <w:r w:rsidR="004D763E" w:rsidRPr="004D763E">
        <w:rPr>
          <w:lang w:val="fr-FR"/>
        </w:rPr>
        <w:t>Il</w:t>
      </w:r>
      <w:r w:rsidRPr="004D763E">
        <w:rPr>
          <w:lang w:val="fr-FR"/>
        </w:rPr>
        <w:t xml:space="preserve"> a également reçu l</w:t>
      </w:r>
      <w:r w:rsidR="00155EA0" w:rsidRPr="004D763E">
        <w:rPr>
          <w:lang w:val="fr-FR"/>
        </w:rPr>
        <w:t>’</w:t>
      </w:r>
      <w:r w:rsidRPr="004D763E">
        <w:rPr>
          <w:lang w:val="fr-FR"/>
        </w:rPr>
        <w:t>assurance que le cadre de contrôle interne et le cadre de gestion des risques utilisés par l</w:t>
      </w:r>
      <w:r w:rsidR="00155EA0" w:rsidRPr="004D763E">
        <w:rPr>
          <w:lang w:val="fr-FR"/>
        </w:rPr>
        <w:t>’</w:t>
      </w:r>
      <w:r w:rsidRPr="004D763E">
        <w:rPr>
          <w:lang w:val="fr-FR"/>
        </w:rPr>
        <w:t xml:space="preserve">Organisation étaient conformes aux cadres pertinents établis par le Comité des organismes parrains de la Commission </w:t>
      </w:r>
      <w:proofErr w:type="spellStart"/>
      <w:r w:rsidRPr="004D763E">
        <w:rPr>
          <w:lang w:val="fr-FR"/>
        </w:rPr>
        <w:t>Treadway</w:t>
      </w:r>
      <w:proofErr w:type="spellEnd"/>
      <w:r w:rsidRPr="004D763E">
        <w:rPr>
          <w:lang w:val="fr-FR"/>
        </w:rPr>
        <w:t xml:space="preserve"> (COSO).</w:t>
      </w:r>
    </w:p>
    <w:p w14:paraId="47D93A0E" w14:textId="5606BC78" w:rsidR="002715B7" w:rsidRPr="004D763E" w:rsidRDefault="002715B7" w:rsidP="002715B7">
      <w:pPr>
        <w:pStyle w:val="ONUMFS"/>
        <w:rPr>
          <w:lang w:val="fr-FR"/>
        </w:rPr>
      </w:pPr>
      <w:r w:rsidRPr="004D763E">
        <w:rPr>
          <w:lang w:val="fr-FR"/>
        </w:rPr>
        <w:t>À sa soixante</w:t>
      </w:r>
      <w:r w:rsidR="004D763E">
        <w:rPr>
          <w:lang w:val="fr-FR"/>
        </w:rPr>
        <w:noBreakHyphen/>
      </w:r>
      <w:r w:rsidRPr="004D763E">
        <w:rPr>
          <w:lang w:val="fr-FR"/>
        </w:rPr>
        <w:t>seiz</w:t>
      </w:r>
      <w:r w:rsidR="00155EA0" w:rsidRPr="004D763E">
        <w:rPr>
          <w:lang w:val="fr-FR"/>
        </w:rPr>
        <w:t>ième session</w:t>
      </w:r>
      <w:r w:rsidRPr="004D763E">
        <w:rPr>
          <w:lang w:val="fr-FR"/>
        </w:rPr>
        <w:t>, l</w:t>
      </w:r>
      <w:r w:rsidR="00155EA0" w:rsidRPr="004D763E">
        <w:rPr>
          <w:lang w:val="fr-FR"/>
        </w:rPr>
        <w:t>’</w:t>
      </w:r>
      <w:r w:rsidRPr="004D763E">
        <w:rPr>
          <w:lang w:val="fr-FR"/>
        </w:rPr>
        <w:t>OCIS a examiné un point sur le cadre de gestion des risques et de contrôle interne de l</w:t>
      </w:r>
      <w:r w:rsidR="00155EA0" w:rsidRPr="004D763E">
        <w:rPr>
          <w:lang w:val="fr-FR"/>
        </w:rPr>
        <w:t>’</w:t>
      </w:r>
      <w:r w:rsidRPr="004D763E">
        <w:rPr>
          <w:lang w:val="fr-FR"/>
        </w:rPr>
        <w:t>OMPI (</w:t>
      </w:r>
      <w:r w:rsidR="00155EA0" w:rsidRPr="004D763E">
        <w:rPr>
          <w:lang w:val="fr-FR"/>
        </w:rPr>
        <w:t>y compris</w:t>
      </w:r>
      <w:r w:rsidRPr="004D763E">
        <w:rPr>
          <w:lang w:val="fr-FR"/>
        </w:rPr>
        <w:t xml:space="preserve"> les principaux risques), soulignant divers faits nouveaux survenus jusqu</w:t>
      </w:r>
      <w:r w:rsidR="00155EA0" w:rsidRPr="004D763E">
        <w:rPr>
          <w:lang w:val="fr-FR"/>
        </w:rPr>
        <w:t>’</w:t>
      </w:r>
      <w:r w:rsidRPr="004D763E">
        <w:rPr>
          <w:lang w:val="fr-FR"/>
        </w:rPr>
        <w:t xml:space="preserve">en mars 2025.  </w:t>
      </w:r>
      <w:r w:rsidR="00424032" w:rsidRPr="004D763E">
        <w:rPr>
          <w:lang w:val="fr-FR"/>
        </w:rPr>
        <w:t>L</w:t>
      </w:r>
      <w:r w:rsidR="00155EA0" w:rsidRPr="004D763E">
        <w:rPr>
          <w:lang w:val="fr-FR"/>
        </w:rPr>
        <w:t>’</w:t>
      </w:r>
      <w:r w:rsidR="00424032" w:rsidRPr="004D763E">
        <w:rPr>
          <w:lang w:val="fr-FR"/>
        </w:rPr>
        <w:t xml:space="preserve">OCIS </w:t>
      </w:r>
      <w:r w:rsidRPr="004D763E">
        <w:rPr>
          <w:lang w:val="fr-FR"/>
        </w:rPr>
        <w:t xml:space="preserve">a été informé de la politique </w:t>
      </w:r>
      <w:r w:rsidR="00424032" w:rsidRPr="004D763E">
        <w:rPr>
          <w:lang w:val="fr-FR"/>
        </w:rPr>
        <w:t xml:space="preserve">révisée </w:t>
      </w:r>
      <w:r w:rsidRPr="004D763E">
        <w:rPr>
          <w:lang w:val="fr-FR"/>
        </w:rPr>
        <w:t>en matière de gestion des risques, de la déclaration relative au risque accepté et du mandat du Groupe de gestion des risqu</w:t>
      </w:r>
      <w:r w:rsidR="004D763E" w:rsidRPr="004D763E">
        <w:rPr>
          <w:lang w:val="fr-FR"/>
        </w:rPr>
        <w:t>es.  Il</w:t>
      </w:r>
      <w:r w:rsidRPr="004D763E">
        <w:rPr>
          <w:lang w:val="fr-FR"/>
        </w:rPr>
        <w:t xml:space="preserve"> a également examiné les 10 principaux risques figurant sur la carte thermique de l</w:t>
      </w:r>
      <w:r w:rsidR="00155EA0" w:rsidRPr="004D763E">
        <w:rPr>
          <w:lang w:val="fr-FR"/>
        </w:rPr>
        <w:t>’</w:t>
      </w:r>
      <w:r w:rsidRPr="004D763E">
        <w:rPr>
          <w:lang w:val="fr-FR"/>
        </w:rPr>
        <w:t>OMPI, ainsi que les réponses à ces dernie</w:t>
      </w:r>
      <w:r w:rsidR="004D763E" w:rsidRPr="004D763E">
        <w:rPr>
          <w:lang w:val="fr-FR"/>
        </w:rPr>
        <w:t>rs.  Pa</w:t>
      </w:r>
      <w:r w:rsidRPr="004D763E">
        <w:rPr>
          <w:lang w:val="fr-FR"/>
        </w:rPr>
        <w:t>rmi ces risques figuraient le risque géopolitique, la baisse de la valeur des placements, les opportunités stratégiques en matière d</w:t>
      </w:r>
      <w:r w:rsidR="00155EA0" w:rsidRPr="004D763E">
        <w:rPr>
          <w:lang w:val="fr-FR"/>
        </w:rPr>
        <w:t>’</w:t>
      </w:r>
      <w:r w:rsidRPr="004D763E">
        <w:rPr>
          <w:lang w:val="fr-FR"/>
        </w:rPr>
        <w:t>IA et l</w:t>
      </w:r>
      <w:r w:rsidR="00155EA0" w:rsidRPr="004D763E">
        <w:rPr>
          <w:lang w:val="fr-FR"/>
        </w:rPr>
        <w:t>’</w:t>
      </w:r>
      <w:r w:rsidRPr="004D763E">
        <w:rPr>
          <w:lang w:val="fr-FR"/>
        </w:rPr>
        <w:t>intégrité, la confidentialité et la gouvernance des données relatives à l</w:t>
      </w:r>
      <w:r w:rsidR="00155EA0" w:rsidRPr="004D763E">
        <w:rPr>
          <w:lang w:val="fr-FR"/>
        </w:rPr>
        <w:t>’</w:t>
      </w:r>
      <w:r w:rsidRPr="004D763E">
        <w:rPr>
          <w:lang w:val="fr-FR"/>
        </w:rPr>
        <w:t>IA.  La directrice de la DSI a également indiqué que les résultats de l</w:t>
      </w:r>
      <w:r w:rsidR="00155EA0" w:rsidRPr="004D763E">
        <w:rPr>
          <w:lang w:val="fr-FR"/>
        </w:rPr>
        <w:t>’</w:t>
      </w:r>
      <w:r w:rsidRPr="004D763E">
        <w:rPr>
          <w:lang w:val="fr-FR"/>
        </w:rPr>
        <w:t>évaluation des risques étaient utilisés dans la planification de l</w:t>
      </w:r>
      <w:r w:rsidR="00155EA0" w:rsidRPr="004D763E">
        <w:rPr>
          <w:lang w:val="fr-FR"/>
        </w:rPr>
        <w:t>’</w:t>
      </w:r>
      <w:r w:rsidRPr="004D763E">
        <w:rPr>
          <w:lang w:val="fr-FR"/>
        </w:rPr>
        <w:t>audit.</w:t>
      </w:r>
    </w:p>
    <w:p w14:paraId="3560FB7D" w14:textId="274D66DE" w:rsidR="002715B7" w:rsidRPr="004D763E" w:rsidRDefault="002715B7" w:rsidP="002715B7">
      <w:pPr>
        <w:pStyle w:val="Heading4"/>
      </w:pPr>
      <w:r w:rsidRPr="004D763E">
        <w:t>Point sur la gestion de la cybersécurité et l</w:t>
      </w:r>
      <w:r w:rsidR="00155EA0" w:rsidRPr="004D763E">
        <w:t>’</w:t>
      </w:r>
      <w:r w:rsidRPr="004D763E">
        <w:t>assurance informatique</w:t>
      </w:r>
    </w:p>
    <w:p w14:paraId="6B727052" w14:textId="53E17004" w:rsidR="002715B7" w:rsidRPr="004D763E" w:rsidRDefault="002715B7" w:rsidP="002715B7">
      <w:pPr>
        <w:pStyle w:val="ONUMFS"/>
        <w:rPr>
          <w:lang w:val="fr-FR"/>
        </w:rPr>
      </w:pPr>
      <w:r w:rsidRPr="004D763E">
        <w:rPr>
          <w:lang w:val="fr-FR"/>
        </w:rPr>
        <w:t>À sa soixante</w:t>
      </w:r>
      <w:r w:rsidR="004D763E">
        <w:rPr>
          <w:lang w:val="fr-FR"/>
        </w:rPr>
        <w:noBreakHyphen/>
      </w:r>
      <w:r w:rsidRPr="004D763E">
        <w:rPr>
          <w:lang w:val="fr-FR"/>
        </w:rPr>
        <w:t>treiz</w:t>
      </w:r>
      <w:r w:rsidR="00155EA0" w:rsidRPr="004D763E">
        <w:rPr>
          <w:lang w:val="fr-FR"/>
        </w:rPr>
        <w:t>ième session</w:t>
      </w:r>
      <w:r w:rsidRPr="004D763E">
        <w:rPr>
          <w:lang w:val="fr-FR"/>
        </w:rPr>
        <w:t>, l</w:t>
      </w:r>
      <w:r w:rsidR="00155EA0" w:rsidRPr="004D763E">
        <w:rPr>
          <w:lang w:val="fr-FR"/>
        </w:rPr>
        <w:t>’</w:t>
      </w:r>
      <w:r w:rsidRPr="004D763E">
        <w:rPr>
          <w:lang w:val="fr-FR"/>
        </w:rPr>
        <w:t>OCIS s</w:t>
      </w:r>
      <w:r w:rsidR="00155EA0" w:rsidRPr="004D763E">
        <w:rPr>
          <w:lang w:val="fr-FR"/>
        </w:rPr>
        <w:t>’</w:t>
      </w:r>
      <w:r w:rsidRPr="004D763E">
        <w:rPr>
          <w:lang w:val="fr-FR"/>
        </w:rPr>
        <w:t>est entretenu avec la directrice de la DSI, le directeur de la sécurité par intérim et d</w:t>
      </w:r>
      <w:r w:rsidR="00155EA0" w:rsidRPr="004D763E">
        <w:rPr>
          <w:lang w:val="fr-FR"/>
        </w:rPr>
        <w:t>’</w:t>
      </w:r>
      <w:r w:rsidRPr="004D763E">
        <w:rPr>
          <w:lang w:val="fr-FR"/>
        </w:rPr>
        <w:t>autres membres de l</w:t>
      </w:r>
      <w:r w:rsidR="00155EA0" w:rsidRPr="004D763E">
        <w:rPr>
          <w:lang w:val="fr-FR"/>
        </w:rPr>
        <w:t>’</w:t>
      </w:r>
      <w:r w:rsidRPr="004D763E">
        <w:rPr>
          <w:lang w:val="fr-FR"/>
        </w:rPr>
        <w:t>équipe de direction au sujet du rapport final sur l</w:t>
      </w:r>
      <w:r w:rsidR="00155EA0" w:rsidRPr="004D763E">
        <w:rPr>
          <w:lang w:val="fr-FR"/>
        </w:rPr>
        <w:t>’</w:t>
      </w:r>
      <w:r w:rsidRPr="004D763E">
        <w:rPr>
          <w:lang w:val="fr-FR"/>
        </w:rPr>
        <w:t>audit de la gestion de la cybersécurité qui a été réalisé entre mars et mai 2024.  La mission a été menée sous la supervision de la DSI et comprenait l</w:t>
      </w:r>
      <w:r w:rsidR="00155EA0" w:rsidRPr="004D763E">
        <w:rPr>
          <w:lang w:val="fr-FR"/>
        </w:rPr>
        <w:t>’</w:t>
      </w:r>
      <w:r w:rsidRPr="004D763E">
        <w:rPr>
          <w:lang w:val="fr-FR"/>
        </w:rPr>
        <w:t>examen du dispositif de sécurité de l</w:t>
      </w:r>
      <w:r w:rsidR="00155EA0" w:rsidRPr="004D763E">
        <w:rPr>
          <w:lang w:val="fr-FR"/>
        </w:rPr>
        <w:t>’</w:t>
      </w:r>
      <w:r w:rsidRPr="004D763E">
        <w:rPr>
          <w:lang w:val="fr-FR"/>
        </w:rPr>
        <w:t>information de l</w:t>
      </w:r>
      <w:r w:rsidR="00155EA0" w:rsidRPr="004D763E">
        <w:rPr>
          <w:lang w:val="fr-FR"/>
        </w:rPr>
        <w:t>’</w:t>
      </w:r>
      <w:r w:rsidRPr="004D763E">
        <w:rPr>
          <w:lang w:val="fr-FR"/>
        </w:rPr>
        <w:t>OMPI, une évaluation de la maturité en matière de cybersécurité et la réalisation de tests de pénétration.</w:t>
      </w:r>
    </w:p>
    <w:p w14:paraId="18981283" w14:textId="5795028F" w:rsidR="002715B7" w:rsidRPr="004D763E" w:rsidRDefault="002715B7" w:rsidP="002715B7">
      <w:pPr>
        <w:pStyle w:val="ONUMFS"/>
        <w:rPr>
          <w:lang w:val="fr-FR"/>
        </w:rPr>
      </w:pPr>
      <w:r w:rsidRPr="004D763E">
        <w:rPr>
          <w:lang w:val="fr-FR"/>
        </w:rPr>
        <w:t>L</w:t>
      </w:r>
      <w:r w:rsidR="00155EA0" w:rsidRPr="004D763E">
        <w:rPr>
          <w:lang w:val="fr-FR"/>
        </w:rPr>
        <w:t>’</w:t>
      </w:r>
      <w:r w:rsidRPr="004D763E">
        <w:rPr>
          <w:lang w:val="fr-FR"/>
        </w:rPr>
        <w:t>OCIS a été informé que l</w:t>
      </w:r>
      <w:r w:rsidR="00155EA0" w:rsidRPr="004D763E">
        <w:rPr>
          <w:lang w:val="fr-FR"/>
        </w:rPr>
        <w:t>’</w:t>
      </w:r>
      <w:r w:rsidRPr="004D763E">
        <w:rPr>
          <w:lang w:val="fr-FR"/>
        </w:rPr>
        <w:t>OMPI a mis en place des mesures de sécurité conformes aux pratiques recommandées dans le secteur, notamment celles figurant dans la norme ISO 27001 de l</w:t>
      </w:r>
      <w:r w:rsidR="00155EA0" w:rsidRPr="004D763E">
        <w:rPr>
          <w:lang w:val="fr-FR"/>
        </w:rPr>
        <w:t>’</w:t>
      </w:r>
      <w:r w:rsidRPr="004D763E">
        <w:rPr>
          <w:lang w:val="fr-FR"/>
        </w:rPr>
        <w:t>Organisation internationale de normalisati</w:t>
      </w:r>
      <w:r w:rsidR="004D763E" w:rsidRPr="004D763E">
        <w:rPr>
          <w:lang w:val="fr-FR"/>
        </w:rPr>
        <w:t>on.  Ci</w:t>
      </w:r>
      <w:r w:rsidRPr="004D763E">
        <w:rPr>
          <w:lang w:val="fr-FR"/>
        </w:rPr>
        <w:t>nq observations, huit recommandations et deux points à améliorer ont été formul</w:t>
      </w:r>
      <w:r w:rsidR="004D763E" w:rsidRPr="004D763E">
        <w:rPr>
          <w:lang w:val="fr-FR"/>
        </w:rPr>
        <w:t>és.  D’u</w:t>
      </w:r>
      <w:r w:rsidRPr="004D763E">
        <w:rPr>
          <w:lang w:val="fr-FR"/>
        </w:rPr>
        <w:t>ne manière générale, le degré de maturité de la cybersécurité de l</w:t>
      </w:r>
      <w:r w:rsidR="00155EA0" w:rsidRPr="004D763E">
        <w:rPr>
          <w:lang w:val="fr-FR"/>
        </w:rPr>
        <w:t>’</w:t>
      </w:r>
      <w:r w:rsidRPr="004D763E">
        <w:rPr>
          <w:lang w:val="fr-FR"/>
        </w:rPr>
        <w:t>OMPI a été classé entre les niveaux 4 (géré quantitativement) et 5 (en optimisation) à l</w:t>
      </w:r>
      <w:r w:rsidR="00155EA0" w:rsidRPr="004D763E">
        <w:rPr>
          <w:lang w:val="fr-FR"/>
        </w:rPr>
        <w:t>’</w:t>
      </w:r>
      <w:r w:rsidRPr="004D763E">
        <w:rPr>
          <w:lang w:val="fr-FR"/>
        </w:rPr>
        <w:t>issue de l</w:t>
      </w:r>
      <w:r w:rsidR="00155EA0" w:rsidRPr="004D763E">
        <w:rPr>
          <w:lang w:val="fr-FR"/>
        </w:rPr>
        <w:t>’</w:t>
      </w:r>
      <w:r w:rsidRPr="004D763E">
        <w:rPr>
          <w:lang w:val="fr-FR"/>
        </w:rPr>
        <w:t>audit, preuve qu</w:t>
      </w:r>
      <w:r w:rsidR="00155EA0" w:rsidRPr="004D763E">
        <w:rPr>
          <w:lang w:val="fr-FR"/>
        </w:rPr>
        <w:t>’</w:t>
      </w:r>
      <w:r w:rsidRPr="004D763E">
        <w:rPr>
          <w:lang w:val="fr-FR"/>
        </w:rPr>
        <w:t>un ensemble solide de processus et d</w:t>
      </w:r>
      <w:r w:rsidR="00155EA0" w:rsidRPr="004D763E">
        <w:rPr>
          <w:lang w:val="fr-FR"/>
        </w:rPr>
        <w:t>’</w:t>
      </w:r>
      <w:r w:rsidRPr="004D763E">
        <w:rPr>
          <w:lang w:val="fr-FR"/>
        </w:rPr>
        <w:t>outils de sécurité fondamentaux a été défini et mis en œuv</w:t>
      </w:r>
      <w:r w:rsidR="004D763E" w:rsidRPr="004D763E">
        <w:rPr>
          <w:lang w:val="fr-FR"/>
        </w:rPr>
        <w:t>re.  To</w:t>
      </w:r>
      <w:r w:rsidRPr="004D763E">
        <w:rPr>
          <w:lang w:val="fr-FR"/>
        </w:rPr>
        <w:t>utes les recommandations ont été examinées et convenues avec la direction.</w:t>
      </w:r>
    </w:p>
    <w:p w14:paraId="4877DA2E" w14:textId="0AB04539" w:rsidR="002715B7" w:rsidRPr="004D763E" w:rsidRDefault="002715B7" w:rsidP="002715B7">
      <w:pPr>
        <w:pStyle w:val="ONUMFS"/>
        <w:rPr>
          <w:lang w:val="fr-FR"/>
        </w:rPr>
      </w:pPr>
      <w:r w:rsidRPr="004D763E">
        <w:rPr>
          <w:lang w:val="fr-FR"/>
        </w:rPr>
        <w:t>L</w:t>
      </w:r>
      <w:r w:rsidR="00155EA0" w:rsidRPr="004D763E">
        <w:rPr>
          <w:lang w:val="fr-FR"/>
        </w:rPr>
        <w:t>’</w:t>
      </w:r>
      <w:r w:rsidRPr="004D763E">
        <w:rPr>
          <w:lang w:val="fr-FR"/>
        </w:rPr>
        <w:t>OCIS a souligné l</w:t>
      </w:r>
      <w:r w:rsidR="00155EA0" w:rsidRPr="004D763E">
        <w:rPr>
          <w:lang w:val="fr-FR"/>
        </w:rPr>
        <w:t>’</w:t>
      </w:r>
      <w:r w:rsidRPr="004D763E">
        <w:rPr>
          <w:lang w:val="fr-FR"/>
        </w:rPr>
        <w:t>importance de faire preuve de vigilance dans le domaine en rapide évolution de la cybersécurité, en particulier dans un contexte d</w:t>
      </w:r>
      <w:r w:rsidR="00155EA0" w:rsidRPr="004D763E">
        <w:rPr>
          <w:lang w:val="fr-FR"/>
        </w:rPr>
        <w:t>’</w:t>
      </w:r>
      <w:r w:rsidRPr="004D763E">
        <w:rPr>
          <w:lang w:val="fr-FR"/>
        </w:rPr>
        <w:t>évolution technologique externe (fondée sur l</w:t>
      </w:r>
      <w:r w:rsidR="00155EA0" w:rsidRPr="004D763E">
        <w:rPr>
          <w:lang w:val="fr-FR"/>
        </w:rPr>
        <w:t>’</w:t>
      </w:r>
      <w:r w:rsidRPr="004D763E">
        <w:rPr>
          <w:lang w:val="fr-FR"/>
        </w:rPr>
        <w:t>intelligence artificielle) et interne (mise en œuvre du système de planification des ressources de l</w:t>
      </w:r>
      <w:r w:rsidR="00155EA0" w:rsidRPr="004D763E">
        <w:rPr>
          <w:lang w:val="fr-FR"/>
        </w:rPr>
        <w:t>’</w:t>
      </w:r>
      <w:r w:rsidRPr="004D763E">
        <w:rPr>
          <w:lang w:val="fr-FR"/>
        </w:rPr>
        <w:t>Organisati</w:t>
      </w:r>
      <w:r w:rsidR="004D763E" w:rsidRPr="004D763E">
        <w:rPr>
          <w:lang w:val="fr-FR"/>
        </w:rPr>
        <w:t>on).  Il</w:t>
      </w:r>
      <w:r w:rsidRPr="004D763E">
        <w:rPr>
          <w:lang w:val="fr-FR"/>
        </w:rPr>
        <w:t xml:space="preserve"> a également indiqué qu</w:t>
      </w:r>
      <w:r w:rsidR="00155EA0" w:rsidRPr="004D763E">
        <w:rPr>
          <w:lang w:val="fr-FR"/>
        </w:rPr>
        <w:t>’</w:t>
      </w:r>
      <w:r w:rsidRPr="004D763E">
        <w:rPr>
          <w:lang w:val="fr-FR"/>
        </w:rPr>
        <w:t>il continuerait de suivre l</w:t>
      </w:r>
      <w:r w:rsidR="00155EA0" w:rsidRPr="004D763E">
        <w:rPr>
          <w:lang w:val="fr-FR"/>
        </w:rPr>
        <w:t>’</w:t>
      </w:r>
      <w:r w:rsidRPr="004D763E">
        <w:rPr>
          <w:lang w:val="fr-FR"/>
        </w:rPr>
        <w:t>évolution de la situation.</w:t>
      </w:r>
    </w:p>
    <w:p w14:paraId="66CD8B8F" w14:textId="4D2A7E79" w:rsidR="002715B7" w:rsidRPr="004D763E" w:rsidRDefault="002715B7" w:rsidP="002715B7">
      <w:pPr>
        <w:pStyle w:val="ONUMFS"/>
        <w:rPr>
          <w:rFonts w:eastAsia="Arial"/>
          <w:lang w:val="fr-FR"/>
        </w:rPr>
      </w:pPr>
      <w:r w:rsidRPr="004D763E">
        <w:rPr>
          <w:lang w:val="fr-FR"/>
        </w:rPr>
        <w:t>À la soixante</w:t>
      </w:r>
      <w:r w:rsidR="004D763E">
        <w:rPr>
          <w:lang w:val="fr-FR"/>
        </w:rPr>
        <w:noBreakHyphen/>
      </w:r>
      <w:r w:rsidRPr="004D763E">
        <w:rPr>
          <w:lang w:val="fr-FR"/>
        </w:rPr>
        <w:t>quatorz</w:t>
      </w:r>
      <w:r w:rsidR="00155EA0" w:rsidRPr="004D763E">
        <w:rPr>
          <w:lang w:val="fr-FR"/>
        </w:rPr>
        <w:t>ième session</w:t>
      </w:r>
      <w:r w:rsidRPr="004D763E">
        <w:rPr>
          <w:lang w:val="fr-FR"/>
        </w:rPr>
        <w:t>, un point a été fait à l</w:t>
      </w:r>
      <w:r w:rsidR="00155EA0" w:rsidRPr="004D763E">
        <w:rPr>
          <w:lang w:val="fr-FR"/>
        </w:rPr>
        <w:t>’</w:t>
      </w:r>
      <w:r w:rsidRPr="004D763E">
        <w:rPr>
          <w:lang w:val="fr-FR"/>
        </w:rPr>
        <w:t>intention de l</w:t>
      </w:r>
      <w:r w:rsidR="00155EA0" w:rsidRPr="004D763E">
        <w:rPr>
          <w:lang w:val="fr-FR"/>
        </w:rPr>
        <w:t>’</w:t>
      </w:r>
      <w:r w:rsidRPr="004D763E">
        <w:rPr>
          <w:lang w:val="fr-FR"/>
        </w:rPr>
        <w:t>OCIS sur la sécurité de l</w:t>
      </w:r>
      <w:r w:rsidR="00155EA0" w:rsidRPr="004D763E">
        <w:rPr>
          <w:lang w:val="fr-FR"/>
        </w:rPr>
        <w:t>’</w:t>
      </w:r>
      <w:r w:rsidRPr="004D763E">
        <w:rPr>
          <w:lang w:val="fr-FR"/>
        </w:rPr>
        <w:t>information concernant la mise en œuvre de la stratégie, l</w:t>
      </w:r>
      <w:r w:rsidR="00155EA0" w:rsidRPr="004D763E">
        <w:rPr>
          <w:lang w:val="fr-FR"/>
        </w:rPr>
        <w:t>’</w:t>
      </w:r>
      <w:r w:rsidRPr="004D763E">
        <w:rPr>
          <w:lang w:val="fr-FR"/>
        </w:rPr>
        <w:t>audit de certification ISO 27001 et les incidents ou événements récents.  L</w:t>
      </w:r>
      <w:r w:rsidR="00155EA0" w:rsidRPr="004D763E">
        <w:rPr>
          <w:lang w:val="fr-FR"/>
        </w:rPr>
        <w:t>’</w:t>
      </w:r>
      <w:r w:rsidRPr="004D763E">
        <w:rPr>
          <w:lang w:val="fr-FR"/>
        </w:rPr>
        <w:t xml:space="preserve">OCIS a formulé des observations concernant les mesures prises pour faire face aux risques liés à la panne de </w:t>
      </w:r>
      <w:proofErr w:type="spellStart"/>
      <w:r w:rsidRPr="004D763E">
        <w:rPr>
          <w:lang w:val="fr-FR"/>
        </w:rPr>
        <w:t>CrowdStrike</w:t>
      </w:r>
      <w:proofErr w:type="spellEnd"/>
      <w:r w:rsidRPr="004D763E">
        <w:rPr>
          <w:lang w:val="fr-FR"/>
        </w:rPr>
        <w:t xml:space="preserve"> de juillet 2024 et aux tentatives d</w:t>
      </w:r>
      <w:r w:rsidR="00155EA0" w:rsidRPr="004D763E">
        <w:rPr>
          <w:lang w:val="fr-FR"/>
        </w:rPr>
        <w:t>’</w:t>
      </w:r>
      <w:r w:rsidRPr="004D763E">
        <w:rPr>
          <w:lang w:val="fr-FR"/>
        </w:rPr>
        <w:t>hameçonnage par téléphone et d</w:t>
      </w:r>
      <w:r w:rsidR="00155EA0" w:rsidRPr="004D763E">
        <w:rPr>
          <w:lang w:val="fr-FR"/>
        </w:rPr>
        <w:t>’</w:t>
      </w:r>
      <w:r w:rsidRPr="004D763E">
        <w:rPr>
          <w:lang w:val="fr-FR"/>
        </w:rPr>
        <w:t>usurpation d</w:t>
      </w:r>
      <w:r w:rsidR="00155EA0" w:rsidRPr="004D763E">
        <w:rPr>
          <w:lang w:val="fr-FR"/>
        </w:rPr>
        <w:t>’</w:t>
      </w:r>
      <w:r w:rsidRPr="004D763E">
        <w:rPr>
          <w:lang w:val="fr-FR"/>
        </w:rPr>
        <w:t>identité téléphonique d</w:t>
      </w:r>
      <w:r w:rsidR="00155EA0" w:rsidRPr="004D763E">
        <w:rPr>
          <w:lang w:val="fr-FR"/>
        </w:rPr>
        <w:t>’</w:t>
      </w:r>
      <w:r w:rsidRPr="004D763E">
        <w:rPr>
          <w:lang w:val="fr-FR"/>
        </w:rPr>
        <w:t>août 2024.  Il attend également avec impatience les prochains points sur les enseignements tirés de ces incidents et les mesures visant à atténuer les risques qui y sont liés.</w:t>
      </w:r>
    </w:p>
    <w:p w14:paraId="3A3B18C5" w14:textId="075C11EA" w:rsidR="002715B7" w:rsidRPr="004D763E" w:rsidRDefault="002715B7" w:rsidP="002715B7">
      <w:pPr>
        <w:pStyle w:val="ONUMFS"/>
        <w:rPr>
          <w:rFonts w:eastAsia="Arial"/>
          <w:lang w:val="fr-FR"/>
        </w:rPr>
      </w:pPr>
      <w:r w:rsidRPr="004D763E">
        <w:rPr>
          <w:lang w:val="fr-FR"/>
        </w:rPr>
        <w:t>Durant sa soixante</w:t>
      </w:r>
      <w:r w:rsidR="004D763E">
        <w:rPr>
          <w:lang w:val="fr-FR"/>
        </w:rPr>
        <w:noBreakHyphen/>
      </w:r>
      <w:r w:rsidRPr="004D763E">
        <w:rPr>
          <w:lang w:val="fr-FR"/>
        </w:rPr>
        <w:t>seiz</w:t>
      </w:r>
      <w:r w:rsidR="00155EA0" w:rsidRPr="004D763E">
        <w:rPr>
          <w:lang w:val="fr-FR"/>
        </w:rPr>
        <w:t>ième session</w:t>
      </w:r>
      <w:r w:rsidRPr="004D763E">
        <w:rPr>
          <w:lang w:val="fr-FR"/>
        </w:rPr>
        <w:t>, l</w:t>
      </w:r>
      <w:r w:rsidR="00155EA0" w:rsidRPr="004D763E">
        <w:rPr>
          <w:lang w:val="fr-FR"/>
        </w:rPr>
        <w:t>’</w:t>
      </w:r>
      <w:r w:rsidRPr="004D763E">
        <w:rPr>
          <w:lang w:val="fr-FR"/>
        </w:rPr>
        <w:t>OCIS a examiné un point sur la sécurité et l</w:t>
      </w:r>
      <w:r w:rsidR="00155EA0" w:rsidRPr="004D763E">
        <w:rPr>
          <w:lang w:val="fr-FR"/>
        </w:rPr>
        <w:t>’</w:t>
      </w:r>
      <w:r w:rsidRPr="004D763E">
        <w:rPr>
          <w:lang w:val="fr-FR"/>
        </w:rPr>
        <w:t>assurance de l</w:t>
      </w:r>
      <w:r w:rsidR="00155EA0" w:rsidRPr="004D763E">
        <w:rPr>
          <w:lang w:val="fr-FR"/>
        </w:rPr>
        <w:t>’</w:t>
      </w:r>
      <w:r w:rsidRPr="004D763E">
        <w:rPr>
          <w:lang w:val="fr-FR"/>
        </w:rPr>
        <w:t>information fait par le directeur de la sécuri</w:t>
      </w:r>
      <w:r w:rsidR="004D763E" w:rsidRPr="004D763E">
        <w:rPr>
          <w:lang w:val="fr-FR"/>
        </w:rPr>
        <w:t>té.  Il</w:t>
      </w:r>
      <w:r w:rsidRPr="004D763E">
        <w:rPr>
          <w:lang w:val="fr-FR"/>
        </w:rPr>
        <w:t xml:space="preserve"> a souligné l</w:t>
      </w:r>
      <w:r w:rsidR="00155EA0" w:rsidRPr="004D763E">
        <w:rPr>
          <w:lang w:val="fr-FR"/>
        </w:rPr>
        <w:t>’</w:t>
      </w:r>
      <w:r w:rsidRPr="004D763E">
        <w:rPr>
          <w:lang w:val="fr-FR"/>
        </w:rPr>
        <w:t>importance de cette question et a prié le Secrétariat de continuer de présenter périodiquement des points comple</w:t>
      </w:r>
      <w:r w:rsidR="004D763E" w:rsidRPr="004D763E">
        <w:rPr>
          <w:lang w:val="fr-FR"/>
        </w:rPr>
        <w:t>ts.  Le</w:t>
      </w:r>
      <w:r w:rsidRPr="004D763E">
        <w:rPr>
          <w:lang w:val="fr-FR"/>
        </w:rPr>
        <w:t xml:space="preserve"> directeur de la sécurité a indiqué que le système de gestion de la sécurité de l</w:t>
      </w:r>
      <w:r w:rsidR="00155EA0" w:rsidRPr="004D763E">
        <w:rPr>
          <w:lang w:val="fr-FR"/>
        </w:rPr>
        <w:t>’</w:t>
      </w:r>
      <w:r w:rsidRPr="004D763E">
        <w:rPr>
          <w:lang w:val="fr-FR"/>
        </w:rPr>
        <w:t>information de l</w:t>
      </w:r>
      <w:r w:rsidR="00155EA0" w:rsidRPr="004D763E">
        <w:rPr>
          <w:lang w:val="fr-FR"/>
        </w:rPr>
        <w:t>’</w:t>
      </w:r>
      <w:r w:rsidRPr="004D763E">
        <w:rPr>
          <w:lang w:val="fr-FR"/>
        </w:rPr>
        <w:t xml:space="preserve">OMPI était </w:t>
      </w:r>
      <w:r w:rsidR="00424032" w:rsidRPr="004D763E">
        <w:rPr>
          <w:lang w:val="fr-FR"/>
        </w:rPr>
        <w:t xml:space="preserve">parvenu </w:t>
      </w:r>
      <w:r w:rsidRPr="004D763E">
        <w:rPr>
          <w:lang w:val="fr-FR"/>
        </w:rPr>
        <w:t>à maturité, comme l</w:t>
      </w:r>
      <w:r w:rsidR="00155EA0" w:rsidRPr="004D763E">
        <w:rPr>
          <w:lang w:val="fr-FR"/>
        </w:rPr>
        <w:t>’</w:t>
      </w:r>
      <w:r w:rsidRPr="004D763E">
        <w:rPr>
          <w:lang w:val="fr-FR"/>
        </w:rPr>
        <w:t>ont confirmé des experts externes en 2024.  L</w:t>
      </w:r>
      <w:r w:rsidR="00155EA0" w:rsidRPr="004D763E">
        <w:rPr>
          <w:lang w:val="fr-FR"/>
        </w:rPr>
        <w:t>’</w:t>
      </w:r>
      <w:r w:rsidRPr="004D763E">
        <w:rPr>
          <w:lang w:val="fr-FR"/>
        </w:rPr>
        <w:t>OCIS a examiné un certain nombre de questions connexes, notamment les risques critiques, les incidents de sécurité importants, la situation en matière de conformité, les progrès réalisés dans le cadre du programme stratégique, l</w:t>
      </w:r>
      <w:r w:rsidR="00155EA0" w:rsidRPr="004D763E">
        <w:rPr>
          <w:lang w:val="fr-FR"/>
        </w:rPr>
        <w:t>’</w:t>
      </w:r>
      <w:r w:rsidRPr="004D763E">
        <w:rPr>
          <w:lang w:val="fr-FR"/>
        </w:rPr>
        <w:t>adéquation des ressources, la sûreté et la sécurité physiques et la possibilité de réaliser une évaluation externe de la maturité en 2026.</w:t>
      </w:r>
    </w:p>
    <w:p w14:paraId="037C90AF" w14:textId="193A3536" w:rsidR="002715B7" w:rsidRPr="004D763E" w:rsidRDefault="002715B7" w:rsidP="002715B7">
      <w:pPr>
        <w:pStyle w:val="Heading4"/>
        <w:rPr>
          <w:rFonts w:eastAsia="Arial"/>
          <w:iCs/>
        </w:rPr>
      </w:pPr>
      <w:r w:rsidRPr="004D763E">
        <w:t>Point sur la mise en œuvre du nouveau système ERP</w:t>
      </w:r>
    </w:p>
    <w:p w14:paraId="2A4B8390" w14:textId="2545C474" w:rsidR="00155EA0" w:rsidRPr="004D763E" w:rsidRDefault="002715B7" w:rsidP="00424032">
      <w:pPr>
        <w:pStyle w:val="ONUMFS"/>
        <w:rPr>
          <w:lang w:val="fr-FR"/>
        </w:rPr>
      </w:pPr>
      <w:r w:rsidRPr="004D763E">
        <w:rPr>
          <w:lang w:val="fr-FR"/>
        </w:rPr>
        <w:t>Durant ses soixante</w:t>
      </w:r>
      <w:r w:rsidR="004D763E">
        <w:rPr>
          <w:lang w:val="fr-FR"/>
        </w:rPr>
        <w:noBreakHyphen/>
      </w:r>
      <w:r w:rsidRPr="004D763E">
        <w:rPr>
          <w:lang w:val="fr-FR"/>
        </w:rPr>
        <w:t>quatorzième, soixante</w:t>
      </w:r>
      <w:r w:rsidR="004D763E">
        <w:rPr>
          <w:lang w:val="fr-FR"/>
        </w:rPr>
        <w:noBreakHyphen/>
      </w:r>
      <w:r w:rsidRPr="004D763E">
        <w:rPr>
          <w:lang w:val="fr-FR"/>
        </w:rPr>
        <w:t>quinzième et soixante</w:t>
      </w:r>
      <w:r w:rsidR="004D763E">
        <w:rPr>
          <w:lang w:val="fr-FR"/>
        </w:rPr>
        <w:noBreakHyphen/>
      </w:r>
      <w:r w:rsidRPr="004D763E">
        <w:rPr>
          <w:lang w:val="fr-FR"/>
        </w:rPr>
        <w:t>seiz</w:t>
      </w:r>
      <w:r w:rsidR="00155EA0" w:rsidRPr="004D763E">
        <w:rPr>
          <w:lang w:val="fr-FR"/>
        </w:rPr>
        <w:t>ième session</w:t>
      </w:r>
      <w:r w:rsidRPr="004D763E">
        <w:rPr>
          <w:lang w:val="fr-FR"/>
        </w:rPr>
        <w:t>s, l</w:t>
      </w:r>
      <w:r w:rsidR="00155EA0" w:rsidRPr="004D763E">
        <w:rPr>
          <w:lang w:val="fr-FR"/>
        </w:rPr>
        <w:t>’</w:t>
      </w:r>
      <w:r w:rsidRPr="004D763E">
        <w:rPr>
          <w:lang w:val="fr-FR"/>
        </w:rPr>
        <w:t>OCIS a examiné les points faits sur la mise en œuvre du nouveau système de planification des ressources de l</w:t>
      </w:r>
      <w:r w:rsidR="00155EA0" w:rsidRPr="004D763E">
        <w:rPr>
          <w:lang w:val="fr-FR"/>
        </w:rPr>
        <w:t>’</w:t>
      </w:r>
      <w:r w:rsidRPr="004D763E">
        <w:rPr>
          <w:lang w:val="fr-FR"/>
        </w:rPr>
        <w:t>Organisation (système ERP).  Durant sa soixante</w:t>
      </w:r>
      <w:r w:rsidR="004D763E">
        <w:rPr>
          <w:lang w:val="fr-FR"/>
        </w:rPr>
        <w:noBreakHyphen/>
      </w:r>
      <w:r w:rsidRPr="004D763E">
        <w:rPr>
          <w:lang w:val="fr-FR"/>
        </w:rPr>
        <w:t>quatorz</w:t>
      </w:r>
      <w:r w:rsidR="00155EA0" w:rsidRPr="004D763E">
        <w:rPr>
          <w:lang w:val="fr-FR"/>
        </w:rPr>
        <w:t>ième session</w:t>
      </w:r>
      <w:r w:rsidRPr="004D763E">
        <w:rPr>
          <w:lang w:val="fr-FR"/>
        </w:rPr>
        <w:t>, il a examiné le cadre de gouvernance pour la mise en œuvre du nouveau systè</w:t>
      </w:r>
      <w:r w:rsidR="004D763E" w:rsidRPr="004D763E">
        <w:rPr>
          <w:lang w:val="fr-FR"/>
        </w:rPr>
        <w:t>me.  Le</w:t>
      </w:r>
      <w:r w:rsidRPr="004D763E">
        <w:rPr>
          <w:lang w:val="fr-FR"/>
        </w:rPr>
        <w:t xml:space="preserve"> Secrétariat a indiqué que des dépenses estimées à 1,7 million de francs suisses sur un budget total de 2,9 millions de francs suisses, soit environ 60% du budget de la phase préparatoire I, avaient été effectuées et qu</w:t>
      </w:r>
      <w:r w:rsidR="00155EA0" w:rsidRPr="004D763E">
        <w:rPr>
          <w:lang w:val="fr-FR"/>
        </w:rPr>
        <w:t>’</w:t>
      </w:r>
      <w:r w:rsidRPr="004D763E">
        <w:rPr>
          <w:lang w:val="fr-FR"/>
        </w:rPr>
        <w:t>il n</w:t>
      </w:r>
      <w:r w:rsidR="00155EA0" w:rsidRPr="004D763E">
        <w:rPr>
          <w:lang w:val="fr-FR"/>
        </w:rPr>
        <w:t>’</w:t>
      </w:r>
      <w:r w:rsidRPr="004D763E">
        <w:rPr>
          <w:lang w:val="fr-FR"/>
        </w:rPr>
        <w:t xml:space="preserve">y avait pas eu de dépenses au titre du budget de mise en œuvre de la phase II.  </w:t>
      </w:r>
      <w:r w:rsidR="00424032" w:rsidRPr="004D763E">
        <w:rPr>
          <w:lang w:val="fr-FR"/>
        </w:rPr>
        <w:t>L</w:t>
      </w:r>
      <w:r w:rsidR="00155EA0" w:rsidRPr="004D763E">
        <w:rPr>
          <w:lang w:val="fr-FR"/>
        </w:rPr>
        <w:t>’</w:t>
      </w:r>
      <w:r w:rsidR="00424032" w:rsidRPr="004D763E">
        <w:rPr>
          <w:lang w:val="fr-FR"/>
        </w:rPr>
        <w:t>OCIS a constaté que les cellules organisationnelles de l</w:t>
      </w:r>
      <w:r w:rsidR="00155EA0" w:rsidRPr="004D763E">
        <w:rPr>
          <w:lang w:val="fr-FR"/>
        </w:rPr>
        <w:t>’</w:t>
      </w:r>
      <w:r w:rsidR="00424032" w:rsidRPr="004D763E">
        <w:rPr>
          <w:lang w:val="fr-FR"/>
        </w:rPr>
        <w:t>OMPI ont participé à la phase de conception du proj</w:t>
      </w:r>
      <w:r w:rsidR="004D763E" w:rsidRPr="004D763E">
        <w:rPr>
          <w:lang w:val="fr-FR"/>
        </w:rPr>
        <w:t>et.  Le</w:t>
      </w:r>
      <w:r w:rsidR="00424032" w:rsidRPr="004D763E">
        <w:rPr>
          <w:lang w:val="fr-FR"/>
        </w:rPr>
        <w:t xml:space="preserve"> calendrier de mise en œuvre était globalement conforme aux prévisions et devrait débuter en </w:t>
      </w:r>
      <w:r w:rsidR="00155EA0" w:rsidRPr="004D763E">
        <w:rPr>
          <w:lang w:val="fr-FR"/>
        </w:rPr>
        <w:t>janvier 20</w:t>
      </w:r>
      <w:r w:rsidR="00424032" w:rsidRPr="004D763E">
        <w:rPr>
          <w:lang w:val="fr-FR"/>
        </w:rPr>
        <w:t>25.  Le cadre de gouvernance était en place et l</w:t>
      </w:r>
      <w:r w:rsidR="00155EA0" w:rsidRPr="004D763E">
        <w:rPr>
          <w:lang w:val="fr-FR"/>
        </w:rPr>
        <w:t>’</w:t>
      </w:r>
      <w:r w:rsidR="00424032" w:rsidRPr="004D763E">
        <w:rPr>
          <w:lang w:val="fr-FR"/>
        </w:rPr>
        <w:t>OCIS a proposé qu</w:t>
      </w:r>
      <w:r w:rsidR="00155EA0" w:rsidRPr="004D763E">
        <w:rPr>
          <w:lang w:val="fr-FR"/>
        </w:rPr>
        <w:t>’</w:t>
      </w:r>
      <w:r w:rsidR="00424032" w:rsidRPr="004D763E">
        <w:rPr>
          <w:lang w:val="fr-FR"/>
        </w:rPr>
        <w:t>il tienne compte des contributions des consultants et des organes de supervision.</w:t>
      </w:r>
    </w:p>
    <w:p w14:paraId="71AB4093" w14:textId="721D50DB" w:rsidR="002715B7" w:rsidRPr="004D763E" w:rsidRDefault="002715B7" w:rsidP="002715B7">
      <w:pPr>
        <w:pStyle w:val="ONUMFS"/>
        <w:rPr>
          <w:lang w:val="fr-FR"/>
        </w:rPr>
      </w:pPr>
      <w:r w:rsidRPr="004D763E">
        <w:rPr>
          <w:lang w:val="fr-FR"/>
        </w:rPr>
        <w:t>Durant la soixante</w:t>
      </w:r>
      <w:r w:rsidR="004D763E">
        <w:rPr>
          <w:lang w:val="fr-FR"/>
        </w:rPr>
        <w:noBreakHyphen/>
      </w:r>
      <w:r w:rsidRPr="004D763E">
        <w:rPr>
          <w:lang w:val="fr-FR"/>
        </w:rPr>
        <w:t>quinz</w:t>
      </w:r>
      <w:r w:rsidR="00155EA0" w:rsidRPr="004D763E">
        <w:rPr>
          <w:lang w:val="fr-FR"/>
        </w:rPr>
        <w:t>ième session</w:t>
      </w:r>
      <w:r w:rsidRPr="004D763E">
        <w:rPr>
          <w:lang w:val="fr-FR"/>
        </w:rPr>
        <w:t xml:space="preserve"> de l</w:t>
      </w:r>
      <w:r w:rsidR="00155EA0" w:rsidRPr="004D763E">
        <w:rPr>
          <w:lang w:val="fr-FR"/>
        </w:rPr>
        <w:t>’</w:t>
      </w:r>
      <w:r w:rsidRPr="004D763E">
        <w:rPr>
          <w:lang w:val="fr-FR"/>
        </w:rPr>
        <w:t>OCIS, le Secrétariat a indiqué que le fournisseur avait été choisi et que les négociations finales étaient en cours en vue de la signature du contr</w:t>
      </w:r>
      <w:r w:rsidR="004D763E" w:rsidRPr="004D763E">
        <w:rPr>
          <w:lang w:val="fr-FR"/>
        </w:rPr>
        <w:t>at.  La</w:t>
      </w:r>
      <w:r w:rsidRPr="004D763E">
        <w:rPr>
          <w:lang w:val="fr-FR"/>
        </w:rPr>
        <w:t xml:space="preserve"> mise en œuvre, qui devait débuter au premier trimestre de 2025, comportait une phase de conception de six mois, une planification détaillée des ressources et une cartographie des procédures, et le nouveau système devait devenir opérationnel au quatrième trimestre de 2025 avec la mise en service du système de performance des employés.  L</w:t>
      </w:r>
      <w:r w:rsidR="00155EA0" w:rsidRPr="004D763E">
        <w:rPr>
          <w:lang w:val="fr-FR"/>
        </w:rPr>
        <w:t>’</w:t>
      </w:r>
      <w:r w:rsidRPr="004D763E">
        <w:rPr>
          <w:lang w:val="fr-FR"/>
        </w:rPr>
        <w:t>OCIS s</w:t>
      </w:r>
      <w:r w:rsidR="00155EA0" w:rsidRPr="004D763E">
        <w:rPr>
          <w:lang w:val="fr-FR"/>
        </w:rPr>
        <w:t>’</w:t>
      </w:r>
      <w:r w:rsidRPr="004D763E">
        <w:rPr>
          <w:lang w:val="fr-FR"/>
        </w:rPr>
        <w:t>est dit conscient du fait que ce type de projet se heurtait à de nombreuses difficult</w:t>
      </w:r>
      <w:r w:rsidR="004D763E" w:rsidRPr="004D763E">
        <w:rPr>
          <w:lang w:val="fr-FR"/>
        </w:rPr>
        <w:t>és.  Le</w:t>
      </w:r>
      <w:r w:rsidRPr="004D763E">
        <w:rPr>
          <w:lang w:val="fr-FR"/>
        </w:rPr>
        <w:t xml:space="preserve"> Secrétariat a déclaré que les dispositions prises en matière d</w:t>
      </w:r>
      <w:r w:rsidR="00155EA0" w:rsidRPr="004D763E">
        <w:rPr>
          <w:lang w:val="fr-FR"/>
        </w:rPr>
        <w:t>’</w:t>
      </w:r>
      <w:r w:rsidRPr="004D763E">
        <w:rPr>
          <w:lang w:val="fr-FR"/>
        </w:rPr>
        <w:t>organisation permettaient de faire face à toutes les difficultés.</w:t>
      </w:r>
    </w:p>
    <w:p w14:paraId="1688EF03" w14:textId="495BC048" w:rsidR="002715B7" w:rsidRPr="004D763E" w:rsidRDefault="002715B7" w:rsidP="002715B7">
      <w:pPr>
        <w:pStyle w:val="ONUMFS"/>
        <w:rPr>
          <w:lang w:val="fr-FR"/>
        </w:rPr>
      </w:pPr>
      <w:r w:rsidRPr="004D763E">
        <w:rPr>
          <w:lang w:val="fr-FR"/>
        </w:rPr>
        <w:t>À sa soixante</w:t>
      </w:r>
      <w:r w:rsidR="004D763E">
        <w:rPr>
          <w:lang w:val="fr-FR"/>
        </w:rPr>
        <w:noBreakHyphen/>
      </w:r>
      <w:r w:rsidRPr="004D763E">
        <w:rPr>
          <w:lang w:val="fr-FR"/>
        </w:rPr>
        <w:t>seiz</w:t>
      </w:r>
      <w:r w:rsidR="00155EA0" w:rsidRPr="004D763E">
        <w:rPr>
          <w:lang w:val="fr-FR"/>
        </w:rPr>
        <w:t>ième session</w:t>
      </w:r>
      <w:r w:rsidRPr="004D763E">
        <w:rPr>
          <w:lang w:val="fr-FR"/>
        </w:rPr>
        <w:t>, l</w:t>
      </w:r>
      <w:r w:rsidR="00155EA0" w:rsidRPr="004D763E">
        <w:rPr>
          <w:lang w:val="fr-FR"/>
        </w:rPr>
        <w:t>’</w:t>
      </w:r>
      <w:r w:rsidRPr="004D763E">
        <w:rPr>
          <w:lang w:val="fr-FR"/>
        </w:rPr>
        <w:t>OCIS a examiné un point décrivant les progrès accomplis dans la mise en œuvre jusqu</w:t>
      </w:r>
      <w:r w:rsidR="00155EA0" w:rsidRPr="004D763E">
        <w:rPr>
          <w:lang w:val="fr-FR"/>
        </w:rPr>
        <w:t>’</w:t>
      </w:r>
      <w:r w:rsidRPr="004D763E">
        <w:rPr>
          <w:lang w:val="fr-FR"/>
        </w:rPr>
        <w:t>en mars 2025.  Le point indiquait que l</w:t>
      </w:r>
      <w:r w:rsidR="00155EA0" w:rsidRPr="004D763E">
        <w:rPr>
          <w:lang w:val="fr-FR"/>
        </w:rPr>
        <w:t>’</w:t>
      </w:r>
      <w:r w:rsidRPr="004D763E">
        <w:rPr>
          <w:lang w:val="fr-FR"/>
        </w:rPr>
        <w:t>initiative avançait selon le calendrier prévu et qu</w:t>
      </w:r>
      <w:r w:rsidR="00155EA0" w:rsidRPr="004D763E">
        <w:rPr>
          <w:lang w:val="fr-FR"/>
        </w:rPr>
        <w:t>’</w:t>
      </w:r>
      <w:r w:rsidRPr="004D763E">
        <w:rPr>
          <w:lang w:val="fr-FR"/>
        </w:rPr>
        <w:t xml:space="preserve">elle en était au stade de la conception.  </w:t>
      </w:r>
      <w:r w:rsidR="00424032" w:rsidRPr="004D763E">
        <w:rPr>
          <w:color w:val="000000" w:themeColor="text1"/>
        </w:rPr>
        <w:t>L</w:t>
      </w:r>
      <w:r w:rsidR="00155EA0" w:rsidRPr="004D763E">
        <w:rPr>
          <w:color w:val="000000" w:themeColor="text1"/>
        </w:rPr>
        <w:t>’</w:t>
      </w:r>
      <w:r w:rsidR="00424032" w:rsidRPr="004D763E">
        <w:rPr>
          <w:color w:val="000000" w:themeColor="text1"/>
        </w:rPr>
        <w:t>OCIS a examiné un certain nombre de questions, notamment la nécessité d</w:t>
      </w:r>
      <w:r w:rsidR="00155EA0" w:rsidRPr="004D763E">
        <w:rPr>
          <w:color w:val="000000" w:themeColor="text1"/>
        </w:rPr>
        <w:t>’</w:t>
      </w:r>
      <w:r w:rsidR="00424032" w:rsidRPr="004D763E">
        <w:rPr>
          <w:color w:val="000000" w:themeColor="text1"/>
        </w:rPr>
        <w:t>un plan</w:t>
      </w:r>
      <w:r w:rsidR="004D763E">
        <w:rPr>
          <w:color w:val="000000" w:themeColor="text1"/>
        </w:rPr>
        <w:noBreakHyphen/>
      </w:r>
      <w:r w:rsidR="00424032" w:rsidRPr="004D763E">
        <w:rPr>
          <w:color w:val="000000" w:themeColor="text1"/>
        </w:rPr>
        <w:t>cadre assorti d</w:t>
      </w:r>
      <w:r w:rsidR="00155EA0" w:rsidRPr="004D763E">
        <w:rPr>
          <w:color w:val="000000" w:themeColor="text1"/>
        </w:rPr>
        <w:t>’</w:t>
      </w:r>
      <w:r w:rsidR="00424032" w:rsidRPr="004D763E">
        <w:rPr>
          <w:color w:val="000000" w:themeColor="text1"/>
        </w:rPr>
        <w:t>un calendrier, de mises à jour périodiques et d</w:t>
      </w:r>
      <w:r w:rsidR="00155EA0" w:rsidRPr="004D763E">
        <w:rPr>
          <w:color w:val="000000" w:themeColor="text1"/>
        </w:rPr>
        <w:t>’</w:t>
      </w:r>
      <w:r w:rsidR="00424032" w:rsidRPr="004D763E">
        <w:rPr>
          <w:color w:val="000000" w:themeColor="text1"/>
        </w:rPr>
        <w:t>une évaluation des risques, ainsi que de plans d</w:t>
      </w:r>
      <w:r w:rsidR="00155EA0" w:rsidRPr="004D763E">
        <w:rPr>
          <w:color w:val="000000" w:themeColor="text1"/>
        </w:rPr>
        <w:t>’</w:t>
      </w:r>
      <w:r w:rsidR="00424032" w:rsidRPr="004D763E">
        <w:rPr>
          <w:color w:val="000000" w:themeColor="text1"/>
        </w:rPr>
        <w:t>action visant à les atténu</w:t>
      </w:r>
      <w:r w:rsidR="004D763E" w:rsidRPr="004D763E">
        <w:rPr>
          <w:color w:val="000000" w:themeColor="text1"/>
        </w:rPr>
        <w:t>er.  Il</w:t>
      </w:r>
      <w:r w:rsidR="00424032" w:rsidRPr="004D763E">
        <w:rPr>
          <w:color w:val="000000" w:themeColor="text1"/>
        </w:rPr>
        <w:t xml:space="preserve"> se réjouissait de recevoir d</w:t>
      </w:r>
      <w:r w:rsidR="00155EA0" w:rsidRPr="004D763E">
        <w:rPr>
          <w:color w:val="000000" w:themeColor="text1"/>
        </w:rPr>
        <w:t>’</w:t>
      </w:r>
      <w:r w:rsidR="00424032" w:rsidRPr="004D763E">
        <w:rPr>
          <w:color w:val="000000" w:themeColor="text1"/>
        </w:rPr>
        <w:t>autres informations sur les étapes ultérieures du projet.</w:t>
      </w:r>
    </w:p>
    <w:p w14:paraId="0021C338" w14:textId="77777777" w:rsidR="002715B7" w:rsidRPr="004D763E" w:rsidRDefault="002715B7" w:rsidP="002715B7">
      <w:pPr>
        <w:pStyle w:val="Heading4"/>
      </w:pPr>
      <w:r w:rsidRPr="004D763E">
        <w:t>Point sur les achats</w:t>
      </w:r>
    </w:p>
    <w:p w14:paraId="177C62AE" w14:textId="0AF5DD1D" w:rsidR="002715B7" w:rsidRPr="004D763E" w:rsidRDefault="002715B7" w:rsidP="002715B7">
      <w:pPr>
        <w:pStyle w:val="ONUMFS"/>
        <w:rPr>
          <w:lang w:val="fr-FR"/>
        </w:rPr>
      </w:pPr>
      <w:r w:rsidRPr="004D763E">
        <w:rPr>
          <w:lang w:val="fr-FR"/>
        </w:rPr>
        <w:t>Durant sa soixante</w:t>
      </w:r>
      <w:r w:rsidR="004D763E">
        <w:rPr>
          <w:lang w:val="fr-FR"/>
        </w:rPr>
        <w:noBreakHyphen/>
      </w:r>
      <w:r w:rsidRPr="004D763E">
        <w:rPr>
          <w:lang w:val="fr-FR"/>
        </w:rPr>
        <w:t>quatorz</w:t>
      </w:r>
      <w:r w:rsidR="00155EA0" w:rsidRPr="004D763E">
        <w:rPr>
          <w:lang w:val="fr-FR"/>
        </w:rPr>
        <w:t>ième session</w:t>
      </w:r>
      <w:r w:rsidRPr="004D763E">
        <w:rPr>
          <w:lang w:val="fr-FR"/>
        </w:rPr>
        <w:t>, l</w:t>
      </w:r>
      <w:r w:rsidR="00155EA0" w:rsidRPr="004D763E">
        <w:rPr>
          <w:lang w:val="fr-FR"/>
        </w:rPr>
        <w:t>’</w:t>
      </w:r>
      <w:r w:rsidRPr="004D763E">
        <w:rPr>
          <w:lang w:val="fr-FR"/>
        </w:rPr>
        <w:t>OCIS a examiné un point sur la passation des marchés qui comprenait des informations relatives au débat sur la durabilité entrepris par les États membres au sein du Comité du programme et budget</w:t>
      </w:r>
      <w:r w:rsidR="00424032" w:rsidRPr="004D763E">
        <w:rPr>
          <w:lang w:val="fr-FR"/>
        </w:rPr>
        <w:t xml:space="preserve"> (PBC)</w:t>
      </w:r>
      <w:r w:rsidRPr="004D763E">
        <w:rPr>
          <w:lang w:val="fr-FR"/>
        </w:rPr>
        <w:t>.  Le PBC est convenu que l</w:t>
      </w:r>
      <w:r w:rsidR="00155EA0" w:rsidRPr="004D763E">
        <w:rPr>
          <w:lang w:val="fr-FR"/>
        </w:rPr>
        <w:t>’</w:t>
      </w:r>
      <w:r w:rsidRPr="004D763E">
        <w:rPr>
          <w:lang w:val="fr-FR"/>
        </w:rPr>
        <w:t>application du principe de durabilité dans le domaine des achats ne devait pas se faire au détriment des pays en développement, des pays les moins avancés ou des pays en transition.  L</w:t>
      </w:r>
      <w:r w:rsidR="00155EA0" w:rsidRPr="004D763E">
        <w:rPr>
          <w:lang w:val="fr-FR"/>
        </w:rPr>
        <w:t>’</w:t>
      </w:r>
      <w:r w:rsidRPr="004D763E">
        <w:rPr>
          <w:lang w:val="fr-FR"/>
        </w:rPr>
        <w:t>OCIS a été informé que cette exigence était désormais appliquée et que le manuel des achats était en cours de révision pour en tenir compte.</w:t>
      </w:r>
    </w:p>
    <w:p w14:paraId="2033489E" w14:textId="36B4D5DC" w:rsidR="002715B7" w:rsidRPr="004D763E" w:rsidRDefault="002715B7" w:rsidP="002715B7">
      <w:pPr>
        <w:pStyle w:val="Heading4"/>
      </w:pPr>
      <w:r w:rsidRPr="004D763E">
        <w:t>Point sur l</w:t>
      </w:r>
      <w:r w:rsidR="00155EA0" w:rsidRPr="004D763E">
        <w:t>’</w:t>
      </w:r>
      <w:r w:rsidRPr="004D763E">
        <w:t>efficacité des activités de lutte contre la fraude</w:t>
      </w:r>
    </w:p>
    <w:p w14:paraId="39B1EF51" w14:textId="7B28BB06" w:rsidR="002715B7" w:rsidRPr="004D763E" w:rsidRDefault="002715B7" w:rsidP="002715B7">
      <w:pPr>
        <w:pStyle w:val="ONUMFS"/>
        <w:rPr>
          <w:lang w:val="fr-FR"/>
        </w:rPr>
      </w:pPr>
      <w:r w:rsidRPr="004D763E">
        <w:rPr>
          <w:lang w:val="fr-FR"/>
        </w:rPr>
        <w:t>Durant sa soixante</w:t>
      </w:r>
      <w:r w:rsidR="004D763E">
        <w:rPr>
          <w:lang w:val="fr-FR"/>
        </w:rPr>
        <w:noBreakHyphen/>
      </w:r>
      <w:r w:rsidRPr="004D763E">
        <w:rPr>
          <w:lang w:val="fr-FR"/>
        </w:rPr>
        <w:t>seiz</w:t>
      </w:r>
      <w:r w:rsidR="00155EA0" w:rsidRPr="004D763E">
        <w:rPr>
          <w:lang w:val="fr-FR"/>
        </w:rPr>
        <w:t>ième session</w:t>
      </w:r>
      <w:r w:rsidRPr="004D763E">
        <w:rPr>
          <w:lang w:val="fr-FR"/>
        </w:rPr>
        <w:t>, l</w:t>
      </w:r>
      <w:r w:rsidR="00155EA0" w:rsidRPr="004D763E">
        <w:rPr>
          <w:lang w:val="fr-FR"/>
        </w:rPr>
        <w:t>’</w:t>
      </w:r>
      <w:r w:rsidRPr="004D763E">
        <w:rPr>
          <w:lang w:val="fr-FR"/>
        </w:rPr>
        <w:t>OCIS a examiné un point sur les activités de lutte contre la fraude qui comportait des détails sur le cadre de lutte contre la fraude de l</w:t>
      </w:r>
      <w:r w:rsidR="00155EA0" w:rsidRPr="004D763E">
        <w:rPr>
          <w:lang w:val="fr-FR"/>
        </w:rPr>
        <w:t>’</w:t>
      </w:r>
      <w:r w:rsidRPr="004D763E">
        <w:rPr>
          <w:lang w:val="fr-FR"/>
        </w:rPr>
        <w:t>Organisation, les politiques de l</w:t>
      </w:r>
      <w:r w:rsidR="00155EA0" w:rsidRPr="004D763E">
        <w:rPr>
          <w:lang w:val="fr-FR"/>
        </w:rPr>
        <w:t>’</w:t>
      </w:r>
      <w:r w:rsidRPr="004D763E">
        <w:rPr>
          <w:lang w:val="fr-FR"/>
        </w:rPr>
        <w:t>OMPI en matière de prévention et de détection de la fraude, ainsi qu</w:t>
      </w:r>
      <w:r w:rsidR="00155EA0" w:rsidRPr="004D763E">
        <w:rPr>
          <w:lang w:val="fr-FR"/>
        </w:rPr>
        <w:t>’</w:t>
      </w:r>
      <w:r w:rsidRPr="004D763E">
        <w:rPr>
          <w:lang w:val="fr-FR"/>
        </w:rPr>
        <w:t xml:space="preserve">une évaluation en cours des risques de fraude par un expert externe.  </w:t>
      </w:r>
      <w:r w:rsidR="00424032" w:rsidRPr="004D763E">
        <w:rPr>
          <w:color w:val="000000" w:themeColor="text1"/>
        </w:rPr>
        <w:t>L</w:t>
      </w:r>
      <w:r w:rsidR="00155EA0" w:rsidRPr="004D763E">
        <w:rPr>
          <w:color w:val="000000" w:themeColor="text1"/>
        </w:rPr>
        <w:t>’</w:t>
      </w:r>
      <w:r w:rsidR="00424032" w:rsidRPr="004D763E">
        <w:rPr>
          <w:color w:val="000000" w:themeColor="text1"/>
        </w:rPr>
        <w:t>OCIS a conseillé à la direction de tenter d</w:t>
      </w:r>
      <w:r w:rsidR="00155EA0" w:rsidRPr="004D763E">
        <w:rPr>
          <w:color w:val="000000" w:themeColor="text1"/>
        </w:rPr>
        <w:t>’</w:t>
      </w:r>
      <w:r w:rsidR="00424032" w:rsidRPr="004D763E">
        <w:rPr>
          <w:color w:val="000000" w:themeColor="text1"/>
        </w:rPr>
        <w:t>améliorer les outils numériques de lutte contre la fraude, de renforcer la communication interne et de mesurer l</w:t>
      </w:r>
      <w:r w:rsidR="00155EA0" w:rsidRPr="004D763E">
        <w:rPr>
          <w:color w:val="000000" w:themeColor="text1"/>
        </w:rPr>
        <w:t>’</w:t>
      </w:r>
      <w:r w:rsidR="00424032" w:rsidRPr="004D763E">
        <w:rPr>
          <w:color w:val="000000" w:themeColor="text1"/>
        </w:rPr>
        <w:t>efficacité des activités de lutte contre la fraude</w:t>
      </w:r>
      <w:r w:rsidRPr="004D763E">
        <w:rPr>
          <w:lang w:val="fr-FR"/>
        </w:rPr>
        <w:t>.</w:t>
      </w:r>
    </w:p>
    <w:p w14:paraId="21319149" w14:textId="77777777" w:rsidR="002715B7" w:rsidRPr="004D763E" w:rsidRDefault="002715B7" w:rsidP="002715B7">
      <w:pPr>
        <w:pStyle w:val="Heading4"/>
      </w:pPr>
      <w:r w:rsidRPr="004D763E">
        <w:t>Point sur la gouvernance des données</w:t>
      </w:r>
    </w:p>
    <w:p w14:paraId="4FC46C56" w14:textId="49C03D7D" w:rsidR="002715B7" w:rsidRPr="004D763E" w:rsidRDefault="002715B7" w:rsidP="002715B7">
      <w:pPr>
        <w:pStyle w:val="ONUMFS"/>
        <w:rPr>
          <w:lang w:val="fr-FR"/>
        </w:rPr>
      </w:pPr>
      <w:r w:rsidRPr="004D763E">
        <w:rPr>
          <w:lang w:val="fr-FR"/>
        </w:rPr>
        <w:t>À sa soixante</w:t>
      </w:r>
      <w:r w:rsidR="004D763E">
        <w:rPr>
          <w:lang w:val="fr-FR"/>
        </w:rPr>
        <w:noBreakHyphen/>
      </w:r>
      <w:r w:rsidRPr="004D763E">
        <w:rPr>
          <w:lang w:val="fr-FR"/>
        </w:rPr>
        <w:t>quinz</w:t>
      </w:r>
      <w:r w:rsidR="00155EA0" w:rsidRPr="004D763E">
        <w:rPr>
          <w:lang w:val="fr-FR"/>
        </w:rPr>
        <w:t>ième session</w:t>
      </w:r>
      <w:r w:rsidRPr="004D763E">
        <w:rPr>
          <w:lang w:val="fr-FR"/>
        </w:rPr>
        <w:t>, le directeur de la sécurité et le directeur des services informatiques ont fait un point à l</w:t>
      </w:r>
      <w:r w:rsidR="00155EA0" w:rsidRPr="004D763E">
        <w:rPr>
          <w:lang w:val="fr-FR"/>
        </w:rPr>
        <w:t>’</w:t>
      </w:r>
      <w:r w:rsidRPr="004D763E">
        <w:rPr>
          <w:lang w:val="fr-FR"/>
        </w:rPr>
        <w:t>intention de l</w:t>
      </w:r>
      <w:r w:rsidR="00155EA0" w:rsidRPr="004D763E">
        <w:rPr>
          <w:lang w:val="fr-FR"/>
        </w:rPr>
        <w:t>’</w:t>
      </w:r>
      <w:r w:rsidRPr="004D763E">
        <w:rPr>
          <w:lang w:val="fr-FR"/>
        </w:rPr>
        <w:t>OCIS sur la gouvernance des donné</w:t>
      </w:r>
      <w:r w:rsidR="004D763E" w:rsidRPr="004D763E">
        <w:rPr>
          <w:lang w:val="fr-FR"/>
        </w:rPr>
        <w:t>es.  Ce</w:t>
      </w:r>
      <w:r w:rsidRPr="004D763E">
        <w:rPr>
          <w:lang w:val="fr-FR"/>
        </w:rPr>
        <w:t xml:space="preserve"> domaine était récent et avait conduit à recruter un directeur des données, à élaborer une stratégie en matière de gouvernance des données et à porter davantage d</w:t>
      </w:r>
      <w:r w:rsidR="00155EA0" w:rsidRPr="004D763E">
        <w:rPr>
          <w:lang w:val="fr-FR"/>
        </w:rPr>
        <w:t>’</w:t>
      </w:r>
      <w:r w:rsidRPr="004D763E">
        <w:rPr>
          <w:lang w:val="fr-FR"/>
        </w:rPr>
        <w:t>attention aux questions de sécurité et de confidentialité des donné</w:t>
      </w:r>
      <w:r w:rsidR="004D763E" w:rsidRPr="004D763E">
        <w:rPr>
          <w:lang w:val="fr-FR"/>
        </w:rPr>
        <w:t>es.  Le</w:t>
      </w:r>
      <w:r w:rsidRPr="004D763E">
        <w:rPr>
          <w:lang w:val="fr-FR"/>
        </w:rPr>
        <w:t>s données constituent un actif et une ressource essentiels à l</w:t>
      </w:r>
      <w:r w:rsidR="00155EA0" w:rsidRPr="004D763E">
        <w:rPr>
          <w:lang w:val="fr-FR"/>
        </w:rPr>
        <w:t>’</w:t>
      </w:r>
      <w:r w:rsidRPr="004D763E">
        <w:rPr>
          <w:lang w:val="fr-FR"/>
        </w:rPr>
        <w:t>Organisation qui, selon l</w:t>
      </w:r>
      <w:r w:rsidR="00155EA0" w:rsidRPr="004D763E">
        <w:rPr>
          <w:lang w:val="fr-FR"/>
        </w:rPr>
        <w:t>’</w:t>
      </w:r>
      <w:r w:rsidRPr="004D763E">
        <w:rPr>
          <w:lang w:val="fr-FR"/>
        </w:rPr>
        <w:t>OCIS, méritaient la plus grande attention de la part de la haute direction.  L</w:t>
      </w:r>
      <w:r w:rsidR="00155EA0" w:rsidRPr="004D763E">
        <w:rPr>
          <w:lang w:val="fr-FR"/>
        </w:rPr>
        <w:t>’</w:t>
      </w:r>
      <w:r w:rsidRPr="004D763E">
        <w:rPr>
          <w:lang w:val="fr-FR"/>
        </w:rPr>
        <w:t>OCIS a hâte de recevoir des mises à jour sur cette question lorsque la nouvelle stratégie en matière de données sera prête.</w:t>
      </w:r>
    </w:p>
    <w:p w14:paraId="01188D86" w14:textId="46206B2C" w:rsidR="002715B7" w:rsidRPr="004D763E" w:rsidRDefault="002715B7" w:rsidP="002715B7">
      <w:pPr>
        <w:pStyle w:val="Heading4"/>
        <w:rPr>
          <w:rFonts w:eastAsia="Arial"/>
          <w:iCs/>
        </w:rPr>
      </w:pPr>
      <w:r w:rsidRPr="004D763E">
        <w:t>Point sur la position de l</w:t>
      </w:r>
      <w:r w:rsidR="00155EA0" w:rsidRPr="004D763E">
        <w:t>’</w:t>
      </w:r>
      <w:r w:rsidRPr="004D763E">
        <w:t>OMPI concernant l</w:t>
      </w:r>
      <w:r w:rsidR="00155EA0" w:rsidRPr="004D763E">
        <w:t>’</w:t>
      </w:r>
      <w:r w:rsidRPr="004D763E">
        <w:t>interdépendance et l</w:t>
      </w:r>
      <w:r w:rsidR="00155EA0" w:rsidRPr="004D763E">
        <w:t>’</w:t>
      </w:r>
      <w:r w:rsidRPr="004D763E">
        <w:t>interaction entre l</w:t>
      </w:r>
      <w:r w:rsidR="00155EA0" w:rsidRPr="004D763E">
        <w:t>’</w:t>
      </w:r>
      <w:r w:rsidRPr="004D763E">
        <w:t xml:space="preserve">intelligence artificielle et la propriété intellectuelle, </w:t>
      </w:r>
      <w:r w:rsidR="00155EA0" w:rsidRPr="004D763E">
        <w:t>y compris</w:t>
      </w:r>
      <w:r w:rsidRPr="004D763E">
        <w:t xml:space="preserve"> en matière de mise en œuvre et de déploiement internes</w:t>
      </w:r>
    </w:p>
    <w:p w14:paraId="05781146" w14:textId="7DBA8E03" w:rsidR="002715B7" w:rsidRPr="004D763E" w:rsidRDefault="002715B7" w:rsidP="002715B7">
      <w:pPr>
        <w:pStyle w:val="ONUMFS"/>
        <w:rPr>
          <w:lang w:val="fr-FR"/>
        </w:rPr>
      </w:pPr>
      <w:r w:rsidRPr="004D763E">
        <w:rPr>
          <w:lang w:val="fr-FR"/>
        </w:rPr>
        <w:t>Durant la soixante</w:t>
      </w:r>
      <w:r w:rsidR="004D763E">
        <w:rPr>
          <w:lang w:val="fr-FR"/>
        </w:rPr>
        <w:noBreakHyphen/>
      </w:r>
      <w:r w:rsidRPr="004D763E">
        <w:rPr>
          <w:lang w:val="fr-FR"/>
        </w:rPr>
        <w:t>quatorz</w:t>
      </w:r>
      <w:r w:rsidR="00155EA0" w:rsidRPr="004D763E">
        <w:rPr>
          <w:lang w:val="fr-FR"/>
        </w:rPr>
        <w:t>ième session</w:t>
      </w:r>
      <w:r w:rsidRPr="004D763E">
        <w:rPr>
          <w:lang w:val="fr-FR"/>
        </w:rPr>
        <w:t xml:space="preserve"> de l</w:t>
      </w:r>
      <w:r w:rsidR="00155EA0" w:rsidRPr="004D763E">
        <w:rPr>
          <w:lang w:val="fr-FR"/>
        </w:rPr>
        <w:t>’</w:t>
      </w:r>
      <w:r w:rsidRPr="004D763E">
        <w:rPr>
          <w:lang w:val="fr-FR"/>
        </w:rPr>
        <w:t>OCIS, une réunion d</w:t>
      </w:r>
      <w:r w:rsidR="00155EA0" w:rsidRPr="004D763E">
        <w:rPr>
          <w:lang w:val="fr-FR"/>
        </w:rPr>
        <w:t>’</w:t>
      </w:r>
      <w:r w:rsidRPr="004D763E">
        <w:rPr>
          <w:lang w:val="fr-FR"/>
        </w:rPr>
        <w:t>information et un point ont été faits à son intention sur l</w:t>
      </w:r>
      <w:r w:rsidR="00155EA0" w:rsidRPr="004D763E">
        <w:rPr>
          <w:lang w:val="fr-FR"/>
        </w:rPr>
        <w:t>’</w:t>
      </w:r>
      <w:r w:rsidRPr="004D763E">
        <w:rPr>
          <w:lang w:val="fr-FR"/>
        </w:rPr>
        <w:t>interdépendance et l</w:t>
      </w:r>
      <w:r w:rsidR="00155EA0" w:rsidRPr="004D763E">
        <w:rPr>
          <w:lang w:val="fr-FR"/>
        </w:rPr>
        <w:t>’</w:t>
      </w:r>
      <w:r w:rsidRPr="004D763E">
        <w:rPr>
          <w:lang w:val="fr-FR"/>
        </w:rPr>
        <w:t>interaction entre l</w:t>
      </w:r>
      <w:r w:rsidR="00155EA0" w:rsidRPr="004D763E">
        <w:rPr>
          <w:lang w:val="fr-FR"/>
        </w:rPr>
        <w:t>’</w:t>
      </w:r>
      <w:r w:rsidRPr="004D763E">
        <w:rPr>
          <w:lang w:val="fr-FR"/>
        </w:rPr>
        <w:t xml:space="preserve">intelligence artificielle (IA) et la propriété intellectuelle, </w:t>
      </w:r>
      <w:r w:rsidR="00155EA0" w:rsidRPr="004D763E">
        <w:rPr>
          <w:lang w:val="fr-FR"/>
        </w:rPr>
        <w:t>y compris</w:t>
      </w:r>
      <w:r w:rsidRPr="004D763E">
        <w:rPr>
          <w:lang w:val="fr-FR"/>
        </w:rPr>
        <w:t xml:space="preserve"> la mise en œuvre interne et le déploiement d</w:t>
      </w:r>
      <w:r w:rsidR="00155EA0" w:rsidRPr="004D763E">
        <w:rPr>
          <w:lang w:val="fr-FR"/>
        </w:rPr>
        <w:t>’</w:t>
      </w:r>
      <w:r w:rsidRPr="004D763E">
        <w:rPr>
          <w:lang w:val="fr-FR"/>
        </w:rPr>
        <w:t>initiatives.  L</w:t>
      </w:r>
      <w:r w:rsidR="00155EA0" w:rsidRPr="004D763E">
        <w:rPr>
          <w:lang w:val="fr-FR"/>
        </w:rPr>
        <w:t>’</w:t>
      </w:r>
      <w:r w:rsidRPr="004D763E">
        <w:rPr>
          <w:lang w:val="fr-FR"/>
        </w:rPr>
        <w:t>OMPI a mis au point plusieurs outils, créé une équipe d</w:t>
      </w:r>
      <w:r w:rsidR="00155EA0" w:rsidRPr="004D763E">
        <w:rPr>
          <w:lang w:val="fr-FR"/>
        </w:rPr>
        <w:t>’</w:t>
      </w:r>
      <w:r w:rsidRPr="004D763E">
        <w:rPr>
          <w:lang w:val="fr-FR"/>
        </w:rPr>
        <w:t>experts chargée d</w:t>
      </w:r>
      <w:r w:rsidR="00155EA0" w:rsidRPr="004D763E">
        <w:rPr>
          <w:lang w:val="fr-FR"/>
        </w:rPr>
        <w:t>’</w:t>
      </w:r>
      <w:r w:rsidRPr="004D763E">
        <w:rPr>
          <w:lang w:val="fr-FR"/>
        </w:rPr>
        <w:t>examiner les questions relatives à l</w:t>
      </w:r>
      <w:r w:rsidR="00155EA0" w:rsidRPr="004D763E">
        <w:rPr>
          <w:lang w:val="fr-FR"/>
        </w:rPr>
        <w:t>’</w:t>
      </w:r>
      <w:r w:rsidRPr="004D763E">
        <w:rPr>
          <w:lang w:val="fr-FR"/>
        </w:rPr>
        <w:t>IA et publié des orientations sur l</w:t>
      </w:r>
      <w:r w:rsidR="00155EA0" w:rsidRPr="004D763E">
        <w:rPr>
          <w:lang w:val="fr-FR"/>
        </w:rPr>
        <w:t>’</w:t>
      </w:r>
      <w:r w:rsidRPr="004D763E">
        <w:rPr>
          <w:lang w:val="fr-FR"/>
        </w:rPr>
        <w:t>utilisation responsable de l</w:t>
      </w:r>
      <w:r w:rsidR="00155EA0" w:rsidRPr="004D763E">
        <w:rPr>
          <w:lang w:val="fr-FR"/>
        </w:rPr>
        <w:t>’</w:t>
      </w:r>
      <w:r w:rsidRPr="004D763E">
        <w:rPr>
          <w:lang w:val="fr-FR"/>
        </w:rPr>
        <w:t>IA au sein de l</w:t>
      </w:r>
      <w:r w:rsidR="00155EA0" w:rsidRPr="004D763E">
        <w:rPr>
          <w:lang w:val="fr-FR"/>
        </w:rPr>
        <w:t>’</w:t>
      </w:r>
      <w:r w:rsidRPr="004D763E">
        <w:rPr>
          <w:lang w:val="fr-FR"/>
        </w:rPr>
        <w:t>Organisation.  L</w:t>
      </w:r>
      <w:r w:rsidR="00155EA0" w:rsidRPr="004D763E">
        <w:rPr>
          <w:lang w:val="fr-FR"/>
        </w:rPr>
        <w:t>’</w:t>
      </w:r>
      <w:r w:rsidRPr="004D763E">
        <w:rPr>
          <w:lang w:val="fr-FR"/>
        </w:rPr>
        <w:t>OCIS s</w:t>
      </w:r>
      <w:r w:rsidR="00155EA0" w:rsidRPr="004D763E">
        <w:rPr>
          <w:lang w:val="fr-FR"/>
        </w:rPr>
        <w:t>’</w:t>
      </w:r>
      <w:r w:rsidRPr="004D763E">
        <w:rPr>
          <w:lang w:val="fr-FR"/>
        </w:rPr>
        <w:t>est félicité du rôle de premier plan joué par l</w:t>
      </w:r>
      <w:r w:rsidR="00155EA0" w:rsidRPr="004D763E">
        <w:rPr>
          <w:lang w:val="fr-FR"/>
        </w:rPr>
        <w:t>’</w:t>
      </w:r>
      <w:r w:rsidRPr="004D763E">
        <w:rPr>
          <w:lang w:val="fr-FR"/>
        </w:rPr>
        <w:t>OMPI à cet égard et l</w:t>
      </w:r>
      <w:r w:rsidR="00155EA0" w:rsidRPr="004D763E">
        <w:rPr>
          <w:lang w:val="fr-FR"/>
        </w:rPr>
        <w:t>’</w:t>
      </w:r>
      <w:r w:rsidRPr="004D763E">
        <w:rPr>
          <w:lang w:val="fr-FR"/>
        </w:rPr>
        <w:t>encourage à continuer de se pencher sur cette question.</w:t>
      </w:r>
    </w:p>
    <w:p w14:paraId="030B6955" w14:textId="77777777" w:rsidR="002715B7" w:rsidRPr="004D763E" w:rsidRDefault="002715B7" w:rsidP="002715B7">
      <w:pPr>
        <w:pStyle w:val="Heading3"/>
        <w:rPr>
          <w:rFonts w:eastAsia="Arial"/>
        </w:rPr>
      </w:pPr>
      <w:r w:rsidRPr="004D763E">
        <w:t>Mise en œuvre des recommandations de supervision</w:t>
      </w:r>
    </w:p>
    <w:p w14:paraId="60618204" w14:textId="1C850D0D" w:rsidR="002715B7" w:rsidRPr="004D763E" w:rsidRDefault="002715B7" w:rsidP="002715B7">
      <w:pPr>
        <w:pStyle w:val="ONUMFS"/>
        <w:rPr>
          <w:lang w:val="fr-FR"/>
        </w:rPr>
      </w:pPr>
      <w:r w:rsidRPr="004D763E">
        <w:rPr>
          <w:lang w:val="fr-FR"/>
        </w:rPr>
        <w:t>Lors de chacune de ses sessions, l</w:t>
      </w:r>
      <w:r w:rsidR="00155EA0" w:rsidRPr="004D763E">
        <w:rPr>
          <w:lang w:val="fr-FR"/>
        </w:rPr>
        <w:t>’</w:t>
      </w:r>
      <w:r w:rsidRPr="004D763E">
        <w:rPr>
          <w:lang w:val="fr-FR"/>
        </w:rPr>
        <w:t>OCIS a examiné la situation des recommandations en suspens relatives à la supervision formulées par la DSI, le vérificateur externe des comptes et le Corps commun d</w:t>
      </w:r>
      <w:r w:rsidR="00155EA0" w:rsidRPr="004D763E">
        <w:rPr>
          <w:lang w:val="fr-FR"/>
        </w:rPr>
        <w:t>’</w:t>
      </w:r>
      <w:r w:rsidRPr="004D763E">
        <w:rPr>
          <w:lang w:val="fr-FR"/>
        </w:rPr>
        <w:t xml:space="preserve">inspection (CCI).  </w:t>
      </w:r>
      <w:r w:rsidR="00424032" w:rsidRPr="004D763E">
        <w:rPr>
          <w:lang w:val="fr-FR"/>
        </w:rPr>
        <w:t>L</w:t>
      </w:r>
      <w:r w:rsidR="00155EA0" w:rsidRPr="004D763E">
        <w:rPr>
          <w:lang w:val="fr-FR"/>
        </w:rPr>
        <w:t>’</w:t>
      </w:r>
      <w:r w:rsidR="00424032" w:rsidRPr="004D763E">
        <w:rPr>
          <w:lang w:val="fr-FR"/>
        </w:rPr>
        <w:t>Organe</w:t>
      </w:r>
      <w:r w:rsidRPr="004D763E">
        <w:rPr>
          <w:lang w:val="fr-FR"/>
        </w:rPr>
        <w:t xml:space="preserve"> a pris note des recommandations ajoutées et supprimées et a également concentré son attention sur les recommandations hautement prioritaires qui étaient restées en suspens pendant de longues périodes.</w:t>
      </w:r>
    </w:p>
    <w:p w14:paraId="1A24F36A" w14:textId="5F6B8490" w:rsidR="002715B7" w:rsidRPr="004D763E" w:rsidRDefault="002715B7" w:rsidP="002715B7">
      <w:pPr>
        <w:pStyle w:val="ONUMFS"/>
        <w:rPr>
          <w:lang w:val="fr-FR"/>
        </w:rPr>
      </w:pPr>
      <w:r w:rsidRPr="004D763E">
        <w:rPr>
          <w:lang w:val="fr-FR"/>
        </w:rPr>
        <w:t>Durant sa soixante</w:t>
      </w:r>
      <w:r w:rsidR="004D763E">
        <w:rPr>
          <w:lang w:val="fr-FR"/>
        </w:rPr>
        <w:noBreakHyphen/>
      </w:r>
      <w:r w:rsidRPr="004D763E">
        <w:rPr>
          <w:lang w:val="fr-FR"/>
        </w:rPr>
        <w:t>quatorz</w:t>
      </w:r>
      <w:r w:rsidR="00155EA0" w:rsidRPr="004D763E">
        <w:rPr>
          <w:lang w:val="fr-FR"/>
        </w:rPr>
        <w:t>ième session</w:t>
      </w:r>
      <w:r w:rsidRPr="004D763E">
        <w:rPr>
          <w:lang w:val="fr-FR"/>
        </w:rPr>
        <w:t>, l</w:t>
      </w:r>
      <w:r w:rsidR="00155EA0" w:rsidRPr="004D763E">
        <w:rPr>
          <w:lang w:val="fr-FR"/>
        </w:rPr>
        <w:t>’</w:t>
      </w:r>
      <w:r w:rsidRPr="004D763E">
        <w:rPr>
          <w:lang w:val="fr-FR"/>
        </w:rPr>
        <w:t>OCIS a pris note de l</w:t>
      </w:r>
      <w:r w:rsidR="00155EA0" w:rsidRPr="004D763E">
        <w:rPr>
          <w:lang w:val="fr-FR"/>
        </w:rPr>
        <w:t>’</w:t>
      </w:r>
      <w:r w:rsidRPr="004D763E">
        <w:rPr>
          <w:lang w:val="fr-FR"/>
        </w:rPr>
        <w:t>intérêt exprimé pour la fourniture d</w:t>
      </w:r>
      <w:r w:rsidR="00155EA0" w:rsidRPr="004D763E">
        <w:rPr>
          <w:lang w:val="fr-FR"/>
        </w:rPr>
        <w:t>’</w:t>
      </w:r>
      <w:r w:rsidRPr="004D763E">
        <w:rPr>
          <w:lang w:val="fr-FR"/>
        </w:rPr>
        <w:t>informations aux États membres sur les progrès accomplis dans la mise en œuvre de toutes les recommandations en suspens, sous une forme accessible aux États membr</w:t>
      </w:r>
      <w:r w:rsidR="004D763E" w:rsidRPr="004D763E">
        <w:rPr>
          <w:lang w:val="fr-FR"/>
        </w:rPr>
        <w:t>es.  Du</w:t>
      </w:r>
      <w:r w:rsidRPr="004D763E">
        <w:rPr>
          <w:lang w:val="fr-FR"/>
        </w:rPr>
        <w:t>rant sa soixante</w:t>
      </w:r>
      <w:r w:rsidR="004D763E">
        <w:rPr>
          <w:lang w:val="fr-FR"/>
        </w:rPr>
        <w:noBreakHyphen/>
      </w:r>
      <w:r w:rsidRPr="004D763E">
        <w:rPr>
          <w:lang w:val="fr-FR"/>
        </w:rPr>
        <w:t>seiz</w:t>
      </w:r>
      <w:r w:rsidR="00155EA0" w:rsidRPr="004D763E">
        <w:rPr>
          <w:lang w:val="fr-FR"/>
        </w:rPr>
        <w:t>ième session</w:t>
      </w:r>
      <w:r w:rsidRPr="004D763E">
        <w:rPr>
          <w:lang w:val="fr-FR"/>
        </w:rPr>
        <w:t xml:space="preserve">, il a examiné un rapport de la DSI sur la situation des recommandations en suspens relatives à la supervision au 14 mars 2025.  Au total, 23 recommandations </w:t>
      </w:r>
      <w:r w:rsidR="00424032" w:rsidRPr="004D763E">
        <w:rPr>
          <w:lang w:val="fr-FR"/>
        </w:rPr>
        <w:t>restaient ouvertes</w:t>
      </w:r>
      <w:r w:rsidRPr="004D763E">
        <w:rPr>
          <w:lang w:val="fr-FR"/>
        </w:rPr>
        <w:t xml:space="preserve">, une </w:t>
      </w:r>
      <w:r w:rsidR="00424032" w:rsidRPr="004D763E">
        <w:rPr>
          <w:lang w:val="fr-FR"/>
        </w:rPr>
        <w:t>réduction</w:t>
      </w:r>
      <w:r w:rsidRPr="004D763E">
        <w:rPr>
          <w:lang w:val="fr-FR"/>
        </w:rPr>
        <w:t xml:space="preserve"> notable par rapport aux 30 recommandations de décembre 2024.  Depuis le dernier point, 15 recommandations ont été clôturées, dont deux</w:t>
      </w:r>
      <w:r w:rsidR="001E36A8" w:rsidRPr="004D763E">
        <w:rPr>
          <w:lang w:val="fr-FR"/>
        </w:rPr>
        <w:t> </w:t>
      </w:r>
      <w:r w:rsidRPr="004D763E">
        <w:rPr>
          <w:lang w:val="fr-FR"/>
        </w:rPr>
        <w:t>hautement prioritaires, 10 moyennement prioritaires et trois</w:t>
      </w:r>
      <w:r w:rsidR="001E36A8" w:rsidRPr="004D763E">
        <w:rPr>
          <w:lang w:val="fr-FR"/>
        </w:rPr>
        <w:t> </w:t>
      </w:r>
      <w:r w:rsidRPr="004D763E">
        <w:rPr>
          <w:lang w:val="fr-FR"/>
        </w:rPr>
        <w:t>faiblement prioritaires, dont certaines étaient en instance depuis 2023.  La durée moyenne des dossiers en instance s</w:t>
      </w:r>
      <w:r w:rsidR="00155EA0" w:rsidRPr="004D763E">
        <w:rPr>
          <w:lang w:val="fr-FR"/>
        </w:rPr>
        <w:t>’</w:t>
      </w:r>
      <w:r w:rsidRPr="004D763E">
        <w:rPr>
          <w:lang w:val="fr-FR"/>
        </w:rPr>
        <w:t>est améliorée et la collaboration continue avec les auteurs des recommandations a permis de réaliser des progrès constants en matière de mise en œuvre et de clôture.</w:t>
      </w:r>
    </w:p>
    <w:p w14:paraId="50446863" w14:textId="1AEB4588" w:rsidR="002715B7" w:rsidRPr="004D763E" w:rsidRDefault="002715B7" w:rsidP="002715B7">
      <w:pPr>
        <w:pStyle w:val="ONUMFS"/>
        <w:rPr>
          <w:lang w:val="fr-FR"/>
        </w:rPr>
      </w:pPr>
      <w:r w:rsidRPr="004D763E">
        <w:rPr>
          <w:lang w:val="fr-FR"/>
        </w:rPr>
        <w:t>La situation des recommandations non clôturées représente un progrès remarquable par rapport aux périodes précédentes, par exemple en novembre 2022, où le nombre de recommandations non clôturées s</w:t>
      </w:r>
      <w:r w:rsidR="00155EA0" w:rsidRPr="004D763E">
        <w:rPr>
          <w:lang w:val="fr-FR"/>
        </w:rPr>
        <w:t>’</w:t>
      </w:r>
      <w:r w:rsidRPr="004D763E">
        <w:rPr>
          <w:lang w:val="fr-FR"/>
        </w:rPr>
        <w:t>élevait à 97.  L</w:t>
      </w:r>
      <w:r w:rsidR="00155EA0" w:rsidRPr="004D763E">
        <w:rPr>
          <w:lang w:val="fr-FR"/>
        </w:rPr>
        <w:t>’</w:t>
      </w:r>
      <w:r w:rsidRPr="004D763E">
        <w:rPr>
          <w:lang w:val="fr-FR"/>
        </w:rPr>
        <w:t>OCIS a noté que les recommandations du CCI n</w:t>
      </w:r>
      <w:r w:rsidR="00155EA0" w:rsidRPr="004D763E">
        <w:rPr>
          <w:lang w:val="fr-FR"/>
        </w:rPr>
        <w:t>’</w:t>
      </w:r>
      <w:r w:rsidRPr="004D763E">
        <w:rPr>
          <w:lang w:val="fr-FR"/>
        </w:rPr>
        <w:t>ont pas été incluses dans l</w:t>
      </w:r>
      <w:r w:rsidR="00155EA0" w:rsidRPr="004D763E">
        <w:rPr>
          <w:lang w:val="fr-FR"/>
        </w:rPr>
        <w:t>’</w:t>
      </w:r>
      <w:r w:rsidRPr="004D763E">
        <w:rPr>
          <w:lang w:val="fr-FR"/>
        </w:rPr>
        <w:t>analyse de la soixante</w:t>
      </w:r>
      <w:r w:rsidR="004D763E">
        <w:rPr>
          <w:lang w:val="fr-FR"/>
        </w:rPr>
        <w:noBreakHyphen/>
      </w:r>
      <w:r w:rsidRPr="004D763E">
        <w:rPr>
          <w:lang w:val="fr-FR"/>
        </w:rPr>
        <w:t>seiz</w:t>
      </w:r>
      <w:r w:rsidR="00155EA0" w:rsidRPr="004D763E">
        <w:rPr>
          <w:lang w:val="fr-FR"/>
        </w:rPr>
        <w:t>ième session</w:t>
      </w:r>
      <w:r w:rsidRPr="004D763E">
        <w:rPr>
          <w:lang w:val="fr-FR"/>
        </w:rPr>
        <w:t xml:space="preserve"> et a demandé qu</w:t>
      </w:r>
      <w:r w:rsidR="00155EA0" w:rsidRPr="004D763E">
        <w:rPr>
          <w:lang w:val="fr-FR"/>
        </w:rPr>
        <w:t>’</w:t>
      </w:r>
      <w:r w:rsidRPr="004D763E">
        <w:rPr>
          <w:lang w:val="fr-FR"/>
        </w:rPr>
        <w:t>elles figurent dans les futurs rapports.</w:t>
      </w:r>
    </w:p>
    <w:p w14:paraId="30C89374" w14:textId="77777777" w:rsidR="002715B7" w:rsidRPr="004D763E" w:rsidRDefault="002715B7" w:rsidP="002715B7">
      <w:pPr>
        <w:pStyle w:val="Heading3"/>
      </w:pPr>
      <w:r w:rsidRPr="004D763E">
        <w:t>Déontologie et médiation</w:t>
      </w:r>
    </w:p>
    <w:p w14:paraId="00FDC858" w14:textId="77777777" w:rsidR="002715B7" w:rsidRPr="004D763E" w:rsidRDefault="002715B7" w:rsidP="002715B7">
      <w:pPr>
        <w:pStyle w:val="Heading4"/>
        <w:rPr>
          <w:rFonts w:eastAsia="Arial"/>
        </w:rPr>
      </w:pPr>
      <w:r w:rsidRPr="004D763E">
        <w:t>Bureau de la déontologie</w:t>
      </w:r>
    </w:p>
    <w:p w14:paraId="2497C351" w14:textId="32BD73C5" w:rsidR="002715B7" w:rsidRPr="004D763E" w:rsidRDefault="002715B7" w:rsidP="002715B7">
      <w:pPr>
        <w:pStyle w:val="ONUMFS"/>
        <w:rPr>
          <w:lang w:val="fr-FR"/>
        </w:rPr>
      </w:pPr>
      <w:r w:rsidRPr="004D763E">
        <w:rPr>
          <w:lang w:val="fr-FR"/>
        </w:rPr>
        <w:t>À sa soixante</w:t>
      </w:r>
      <w:r w:rsidR="004D763E">
        <w:rPr>
          <w:lang w:val="fr-FR"/>
        </w:rPr>
        <w:noBreakHyphen/>
      </w:r>
      <w:r w:rsidRPr="004D763E">
        <w:rPr>
          <w:lang w:val="fr-FR"/>
        </w:rPr>
        <w:t>treiz</w:t>
      </w:r>
      <w:r w:rsidR="00155EA0" w:rsidRPr="004D763E">
        <w:rPr>
          <w:lang w:val="fr-FR"/>
        </w:rPr>
        <w:t>ième session</w:t>
      </w:r>
      <w:r w:rsidRPr="004D763E">
        <w:rPr>
          <w:lang w:val="fr-FR"/>
        </w:rPr>
        <w:t>, l</w:t>
      </w:r>
      <w:r w:rsidR="00155EA0" w:rsidRPr="004D763E">
        <w:rPr>
          <w:lang w:val="fr-FR"/>
        </w:rPr>
        <w:t>’</w:t>
      </w:r>
      <w:r w:rsidRPr="004D763E">
        <w:rPr>
          <w:lang w:val="fr-FR"/>
        </w:rPr>
        <w:t>OCIS s</w:t>
      </w:r>
      <w:r w:rsidR="00155EA0" w:rsidRPr="004D763E">
        <w:rPr>
          <w:lang w:val="fr-FR"/>
        </w:rPr>
        <w:t>’</w:t>
      </w:r>
      <w:r w:rsidRPr="004D763E">
        <w:rPr>
          <w:lang w:val="fr-FR"/>
        </w:rPr>
        <w:t>est entretenu avec le chef par intérim du Bureau de la déontologie au sujet de ses activités en cours, et a salué son soutien à cette fonction importante durant la période de transition.</w:t>
      </w:r>
    </w:p>
    <w:p w14:paraId="69587326" w14:textId="42FC8F94" w:rsidR="002715B7" w:rsidRPr="004D763E" w:rsidRDefault="002715B7" w:rsidP="002715B7">
      <w:pPr>
        <w:pStyle w:val="ONUMFS"/>
        <w:rPr>
          <w:lang w:val="fr-FR"/>
        </w:rPr>
      </w:pPr>
      <w:r w:rsidRPr="004D763E">
        <w:rPr>
          <w:lang w:val="fr-FR"/>
        </w:rPr>
        <w:t>Durant la soixante</w:t>
      </w:r>
      <w:r w:rsidR="004D763E">
        <w:rPr>
          <w:lang w:val="fr-FR"/>
        </w:rPr>
        <w:noBreakHyphen/>
      </w:r>
      <w:r w:rsidRPr="004D763E">
        <w:rPr>
          <w:lang w:val="fr-FR"/>
        </w:rPr>
        <w:t>quatorz</w:t>
      </w:r>
      <w:r w:rsidR="00155EA0" w:rsidRPr="004D763E">
        <w:rPr>
          <w:lang w:val="fr-FR"/>
        </w:rPr>
        <w:t>ième session</w:t>
      </w:r>
      <w:r w:rsidRPr="004D763E">
        <w:rPr>
          <w:lang w:val="fr-FR"/>
        </w:rPr>
        <w:t>, la nouvelle cheffe du Bureau de la déontologie a informé l</w:t>
      </w:r>
      <w:r w:rsidR="00155EA0" w:rsidRPr="004D763E">
        <w:rPr>
          <w:lang w:val="fr-FR"/>
        </w:rPr>
        <w:t>’</w:t>
      </w:r>
      <w:r w:rsidRPr="004D763E">
        <w:rPr>
          <w:lang w:val="fr-FR"/>
        </w:rPr>
        <w:t>OCIS de l</w:t>
      </w:r>
      <w:r w:rsidR="00155EA0" w:rsidRPr="004D763E">
        <w:rPr>
          <w:lang w:val="fr-FR"/>
        </w:rPr>
        <w:t>’</w:t>
      </w:r>
      <w:r w:rsidRPr="004D763E">
        <w:rPr>
          <w:lang w:val="fr-FR"/>
        </w:rPr>
        <w:t>état d</w:t>
      </w:r>
      <w:r w:rsidR="00155EA0" w:rsidRPr="004D763E">
        <w:rPr>
          <w:lang w:val="fr-FR"/>
        </w:rPr>
        <w:t>’</w:t>
      </w:r>
      <w:r w:rsidRPr="004D763E">
        <w:rPr>
          <w:lang w:val="fr-FR"/>
        </w:rPr>
        <w:t>avancement du programme de travail du Bureau au début de l</w:t>
      </w:r>
      <w:r w:rsidR="00155EA0" w:rsidRPr="004D763E">
        <w:rPr>
          <w:lang w:val="fr-FR"/>
        </w:rPr>
        <w:t>’</w:t>
      </w:r>
      <w:r w:rsidRPr="004D763E">
        <w:rPr>
          <w:lang w:val="fr-FR"/>
        </w:rPr>
        <w:t>année 2024, ainsi que de son propre programme de travail individuel pour la période allant d</w:t>
      </w:r>
      <w:r w:rsidR="00155EA0" w:rsidRPr="004D763E">
        <w:rPr>
          <w:lang w:val="fr-FR"/>
        </w:rPr>
        <w:t>’</w:t>
      </w:r>
      <w:r w:rsidRPr="004D763E">
        <w:rPr>
          <w:lang w:val="fr-FR"/>
        </w:rPr>
        <w:t>août à décembre 2024.  L</w:t>
      </w:r>
      <w:r w:rsidR="00155EA0" w:rsidRPr="004D763E">
        <w:rPr>
          <w:lang w:val="fr-FR"/>
        </w:rPr>
        <w:t>’</w:t>
      </w:r>
      <w:r w:rsidRPr="004D763E">
        <w:rPr>
          <w:lang w:val="fr-FR"/>
        </w:rPr>
        <w:t>OCIS a noté que l</w:t>
      </w:r>
      <w:r w:rsidR="00155EA0" w:rsidRPr="004D763E">
        <w:rPr>
          <w:lang w:val="fr-FR"/>
        </w:rPr>
        <w:t>’</w:t>
      </w:r>
      <w:r w:rsidRPr="004D763E">
        <w:rPr>
          <w:lang w:val="fr-FR"/>
        </w:rPr>
        <w:t>accent était mis sur les quatre objectifs clés suivants</w:t>
      </w:r>
      <w:r w:rsidR="00155EA0" w:rsidRPr="004D763E">
        <w:rPr>
          <w:lang w:val="fr-FR"/>
        </w:rPr>
        <w:t> :</w:t>
      </w:r>
      <w:r w:rsidRPr="004D763E">
        <w:rPr>
          <w:lang w:val="fr-FR"/>
        </w:rPr>
        <w:t xml:space="preserve"> fournir des conseils et des orientations au personnel de l</w:t>
      </w:r>
      <w:r w:rsidR="00155EA0" w:rsidRPr="004D763E">
        <w:rPr>
          <w:lang w:val="fr-FR"/>
        </w:rPr>
        <w:t>’</w:t>
      </w:r>
      <w:r w:rsidRPr="004D763E">
        <w:rPr>
          <w:lang w:val="fr-FR"/>
        </w:rPr>
        <w:t>OMPI sur les questions d</w:t>
      </w:r>
      <w:r w:rsidR="00155EA0" w:rsidRPr="004D763E">
        <w:rPr>
          <w:lang w:val="fr-FR"/>
        </w:rPr>
        <w:t>’</w:t>
      </w:r>
      <w:r w:rsidRPr="004D763E">
        <w:rPr>
          <w:lang w:val="fr-FR"/>
        </w:rPr>
        <w:t>éthique, renforcer la sensibilisation dans ce domaine, surveiller les politiques et fixer des normes en matière de déontologie, et gérer les activités et les ressources du Bureau de la déontolog</w:t>
      </w:r>
      <w:r w:rsidR="004D763E" w:rsidRPr="004D763E">
        <w:rPr>
          <w:lang w:val="fr-FR"/>
        </w:rPr>
        <w:t>ie.  Le</w:t>
      </w:r>
      <w:r w:rsidRPr="004D763E">
        <w:rPr>
          <w:lang w:val="fr-FR"/>
        </w:rPr>
        <w:t>s programmes de travail ont mis en outre l</w:t>
      </w:r>
      <w:r w:rsidR="00155EA0" w:rsidRPr="004D763E">
        <w:rPr>
          <w:lang w:val="fr-FR"/>
        </w:rPr>
        <w:t>’</w:t>
      </w:r>
      <w:r w:rsidRPr="004D763E">
        <w:rPr>
          <w:lang w:val="fr-FR"/>
        </w:rPr>
        <w:t>accent sur la collaboration avec les parties prenantes internes et la prise en considération des recommandations des organes de supervision.  L</w:t>
      </w:r>
      <w:r w:rsidR="00155EA0" w:rsidRPr="004D763E">
        <w:rPr>
          <w:lang w:val="fr-FR"/>
        </w:rPr>
        <w:t>’</w:t>
      </w:r>
      <w:r w:rsidRPr="004D763E">
        <w:rPr>
          <w:lang w:val="fr-FR"/>
        </w:rPr>
        <w:t>OCIS a également reçu l</w:t>
      </w:r>
      <w:r w:rsidR="00155EA0" w:rsidRPr="004D763E">
        <w:rPr>
          <w:lang w:val="fr-FR"/>
        </w:rPr>
        <w:t>’</w:t>
      </w:r>
      <w:r w:rsidRPr="004D763E">
        <w:rPr>
          <w:lang w:val="fr-FR"/>
        </w:rPr>
        <w:t>assurance que la transition avait effectivement permis la passation de pouvoirs sans difficulté entre le chef par intérim et la nouvelle cheffe du Bureau de la déontolog</w:t>
      </w:r>
      <w:r w:rsidR="004D763E" w:rsidRPr="004D763E">
        <w:rPr>
          <w:lang w:val="fr-FR"/>
        </w:rPr>
        <w:t>ie.  Il</w:t>
      </w:r>
      <w:r w:rsidRPr="004D763E">
        <w:rPr>
          <w:lang w:val="fr-FR"/>
        </w:rPr>
        <w:t xml:space="preserve"> s</w:t>
      </w:r>
      <w:r w:rsidR="00155EA0" w:rsidRPr="004D763E">
        <w:rPr>
          <w:lang w:val="fr-FR"/>
        </w:rPr>
        <w:t>’</w:t>
      </w:r>
      <w:r w:rsidRPr="004D763E">
        <w:rPr>
          <w:lang w:val="fr-FR"/>
        </w:rPr>
        <w:t>est félicité du fonctionnement du Bureau et a encouragé la poursuite du développement de cette fonction.</w:t>
      </w:r>
    </w:p>
    <w:p w14:paraId="041C3BC1" w14:textId="629BD7ED" w:rsidR="002715B7" w:rsidRPr="004D763E" w:rsidRDefault="002715B7" w:rsidP="002715B7">
      <w:pPr>
        <w:pStyle w:val="ONUMFS"/>
        <w:rPr>
          <w:lang w:val="fr-FR"/>
        </w:rPr>
      </w:pPr>
      <w:r w:rsidRPr="004D763E">
        <w:rPr>
          <w:lang w:val="fr-FR"/>
        </w:rPr>
        <w:t>Durant sa soixante</w:t>
      </w:r>
      <w:r w:rsidR="004D763E">
        <w:rPr>
          <w:lang w:val="fr-FR"/>
        </w:rPr>
        <w:noBreakHyphen/>
      </w:r>
      <w:r w:rsidRPr="004D763E">
        <w:rPr>
          <w:lang w:val="fr-FR"/>
        </w:rPr>
        <w:t>quinz</w:t>
      </w:r>
      <w:r w:rsidR="00155EA0" w:rsidRPr="004D763E">
        <w:rPr>
          <w:lang w:val="fr-FR"/>
        </w:rPr>
        <w:t>ième session</w:t>
      </w:r>
      <w:r w:rsidRPr="004D763E">
        <w:rPr>
          <w:lang w:val="fr-FR"/>
        </w:rPr>
        <w:t>, l</w:t>
      </w:r>
      <w:r w:rsidR="00155EA0" w:rsidRPr="004D763E">
        <w:rPr>
          <w:lang w:val="fr-FR"/>
        </w:rPr>
        <w:t>’</w:t>
      </w:r>
      <w:r w:rsidRPr="004D763E">
        <w:rPr>
          <w:lang w:val="fr-FR"/>
        </w:rPr>
        <w:t>OCIS a examiné un point sur les activités menées par le Bureau de la déontologie en 2024.  Selon ce point, l</w:t>
      </w:r>
      <w:r w:rsidR="00155EA0" w:rsidRPr="004D763E">
        <w:rPr>
          <w:lang w:val="fr-FR"/>
        </w:rPr>
        <w:t>’</w:t>
      </w:r>
      <w:r w:rsidRPr="004D763E">
        <w:rPr>
          <w:lang w:val="fr-FR"/>
        </w:rPr>
        <w:t>OCIS avait reçu au total 164 demandes de conseil en 2024 et une augmentation considérable du nombre de demandes de conseil avait été enregistrée depuis l</w:t>
      </w:r>
      <w:r w:rsidR="00155EA0" w:rsidRPr="004D763E">
        <w:rPr>
          <w:lang w:val="fr-FR"/>
        </w:rPr>
        <w:t>’</w:t>
      </w:r>
      <w:r w:rsidRPr="004D763E">
        <w:rPr>
          <w:lang w:val="fr-FR"/>
        </w:rPr>
        <w:t>arrivée de la nouvelle cheffe du Bureau de la déontologie le</w:t>
      </w:r>
      <w:r w:rsidR="00155EA0" w:rsidRPr="004D763E">
        <w:rPr>
          <w:lang w:val="fr-FR"/>
        </w:rPr>
        <w:t xml:space="preserve"> 1</w:t>
      </w:r>
      <w:r w:rsidR="00155EA0" w:rsidRPr="004D763E">
        <w:rPr>
          <w:vertAlign w:val="superscript"/>
          <w:lang w:val="fr-FR"/>
        </w:rPr>
        <w:t>er</w:t>
      </w:r>
      <w:r w:rsidR="00155EA0" w:rsidRPr="004D763E">
        <w:rPr>
          <w:lang w:val="fr-FR"/>
        </w:rPr>
        <w:t> </w:t>
      </w:r>
      <w:r w:rsidRPr="004D763E">
        <w:rPr>
          <w:lang w:val="fr-FR"/>
        </w:rPr>
        <w:t>août 2024.  La majeure partie de ces demandes concernait des activités externes, des mesures de représailles, des questions liées aux normes de conduite et d</w:t>
      </w:r>
      <w:r w:rsidR="00155EA0" w:rsidRPr="004D763E">
        <w:rPr>
          <w:lang w:val="fr-FR"/>
        </w:rPr>
        <w:t>’</w:t>
      </w:r>
      <w:r w:rsidRPr="004D763E">
        <w:rPr>
          <w:lang w:val="fr-FR"/>
        </w:rPr>
        <w:t>autres conseils en matière de déontolog</w:t>
      </w:r>
      <w:r w:rsidR="004D763E" w:rsidRPr="004D763E">
        <w:rPr>
          <w:lang w:val="fr-FR"/>
        </w:rPr>
        <w:t>ie.  La</w:t>
      </w:r>
      <w:r w:rsidRPr="004D763E">
        <w:rPr>
          <w:lang w:val="fr-FR"/>
        </w:rPr>
        <w:t xml:space="preserve"> cheffe du Bureau de la déontologie a également mené à bien un certain nombre d</w:t>
      </w:r>
      <w:r w:rsidR="00155EA0" w:rsidRPr="004D763E">
        <w:rPr>
          <w:lang w:val="fr-FR"/>
        </w:rPr>
        <w:t>’</w:t>
      </w:r>
      <w:r w:rsidRPr="004D763E">
        <w:rPr>
          <w:lang w:val="fr-FR"/>
        </w:rPr>
        <w:t>activités de formation et de sensibilisation et élaboré un programme de travail annuel pour 2025 qui a été discuté avec l</w:t>
      </w:r>
      <w:r w:rsidR="00155EA0" w:rsidRPr="004D763E">
        <w:rPr>
          <w:lang w:val="fr-FR"/>
        </w:rPr>
        <w:t>’</w:t>
      </w:r>
      <w:r w:rsidRPr="004D763E">
        <w:rPr>
          <w:lang w:val="fr-FR"/>
        </w:rPr>
        <w:t>O</w:t>
      </w:r>
      <w:r w:rsidR="004D763E" w:rsidRPr="004D763E">
        <w:rPr>
          <w:lang w:val="fr-FR"/>
        </w:rPr>
        <w:t>CIS.  Ce</w:t>
      </w:r>
      <w:r w:rsidRPr="004D763E">
        <w:rPr>
          <w:lang w:val="fr-FR"/>
        </w:rPr>
        <w:t xml:space="preserve"> programme prévoyait notamment un réexamen de la politique sur les activités externes et des directives concernant la déclaration de situation financière et la déclaration d</w:t>
      </w:r>
      <w:r w:rsidR="00155EA0" w:rsidRPr="004D763E">
        <w:rPr>
          <w:lang w:val="fr-FR"/>
        </w:rPr>
        <w:t>’</w:t>
      </w:r>
      <w:r w:rsidRPr="004D763E">
        <w:rPr>
          <w:lang w:val="fr-FR"/>
        </w:rPr>
        <w:t>intérê</w:t>
      </w:r>
      <w:r w:rsidR="004D763E" w:rsidRPr="004D763E">
        <w:rPr>
          <w:lang w:val="fr-FR"/>
        </w:rPr>
        <w:t>ts.  Il</w:t>
      </w:r>
      <w:r w:rsidRPr="004D763E">
        <w:rPr>
          <w:lang w:val="fr-FR"/>
        </w:rPr>
        <w:t xml:space="preserve"> prévoyait en outre un réexamen du mandat du Bureau de la déontolog</w:t>
      </w:r>
      <w:r w:rsidR="004D763E" w:rsidRPr="004D763E">
        <w:rPr>
          <w:lang w:val="fr-FR"/>
        </w:rPr>
        <w:t>ie.  Le</w:t>
      </w:r>
      <w:r w:rsidRPr="004D763E">
        <w:rPr>
          <w:lang w:val="fr-FR"/>
        </w:rPr>
        <w:t xml:space="preserve"> programme biennal à plus long terme pour 2026</w:t>
      </w:r>
      <w:r w:rsidR="004D763E">
        <w:rPr>
          <w:lang w:val="fr-FR"/>
        </w:rPr>
        <w:noBreakHyphen/>
      </w:r>
      <w:r w:rsidRPr="004D763E">
        <w:rPr>
          <w:lang w:val="fr-FR"/>
        </w:rPr>
        <w:t>2027 a aussi été examiné.</w:t>
      </w:r>
    </w:p>
    <w:p w14:paraId="3ABB74E0" w14:textId="0D4299E1" w:rsidR="002715B7" w:rsidRPr="004D763E" w:rsidRDefault="00424032" w:rsidP="00424032">
      <w:pPr>
        <w:pStyle w:val="ONUMFS"/>
      </w:pPr>
      <w:r w:rsidRPr="004D763E">
        <w:t>Durant sa soixante</w:t>
      </w:r>
      <w:r w:rsidR="004D763E">
        <w:noBreakHyphen/>
      </w:r>
      <w:r w:rsidRPr="004D763E">
        <w:t>seiz</w:t>
      </w:r>
      <w:r w:rsidR="00155EA0" w:rsidRPr="004D763E">
        <w:t>ième session</w:t>
      </w:r>
      <w:r w:rsidRPr="004D763E">
        <w:t>, l</w:t>
      </w:r>
      <w:r w:rsidR="00155EA0" w:rsidRPr="004D763E">
        <w:t>’</w:t>
      </w:r>
      <w:r w:rsidRPr="004D763E">
        <w:t xml:space="preserve">OCIS a examiné un point fait par la cheffe du Bureau de la déontologie qui met en évidence une augmentation des activités de conseil, avec 74 demandes de conseil reçues entre </w:t>
      </w:r>
      <w:r w:rsidR="00155EA0" w:rsidRPr="004D763E">
        <w:t>décembre 20</w:t>
      </w:r>
      <w:r w:rsidRPr="004D763E">
        <w:t xml:space="preserve">24 et </w:t>
      </w:r>
      <w:r w:rsidR="00155EA0" w:rsidRPr="004D763E">
        <w:t>février 20</w:t>
      </w:r>
      <w:r w:rsidRPr="004D763E">
        <w:t>25.  Les questions les plus fréquemment abordées dans ces demandes concernent les activités en dehors du Bureau international, les conflits sur le lieu de travail et d</w:t>
      </w:r>
      <w:r w:rsidR="00155EA0" w:rsidRPr="004D763E">
        <w:t>’</w:t>
      </w:r>
      <w:r w:rsidRPr="004D763E">
        <w:t>autres questions d</w:t>
      </w:r>
      <w:r w:rsidR="00155EA0" w:rsidRPr="004D763E">
        <w:t>’</w:t>
      </w:r>
      <w:r w:rsidRPr="004D763E">
        <w:t>éthique.  L</w:t>
      </w:r>
      <w:r w:rsidR="00155EA0" w:rsidRPr="004D763E">
        <w:t>’</w:t>
      </w:r>
      <w:r w:rsidRPr="004D763E">
        <w:t>OCIS a également examiné la situation des recommandations ouvertes, l</w:t>
      </w:r>
      <w:r w:rsidR="00155EA0" w:rsidRPr="004D763E">
        <w:t>’</w:t>
      </w:r>
      <w:r w:rsidRPr="004D763E">
        <w:t>introduction de nouvelles exigences de divulgation en matière de propriété intellectuelle, les progrès dans la mise en œuvre du programme de travail, les modalités des examens d</w:t>
      </w:r>
      <w:r w:rsidR="00155EA0" w:rsidRPr="004D763E">
        <w:t>’</w:t>
      </w:r>
      <w:r w:rsidRPr="004D763E">
        <w:t>assurance qualité indépendants régulièrement menés par le Bureau de la déontologie et la question des affaires de représailles.  L</w:t>
      </w:r>
      <w:r w:rsidR="00155EA0" w:rsidRPr="004D763E">
        <w:t>’</w:t>
      </w:r>
      <w:r w:rsidRPr="004D763E">
        <w:t>OCIS attend avec intérêt d</w:t>
      </w:r>
      <w:r w:rsidR="00155EA0" w:rsidRPr="004D763E">
        <w:t>’</w:t>
      </w:r>
      <w:r w:rsidRPr="004D763E">
        <w:t>examiner le rapport annuel 2024 du Bureau de la déontologie lors de sa prochaine sessi</w:t>
      </w:r>
      <w:r w:rsidR="004D763E" w:rsidRPr="004D763E">
        <w:t>on.  Il</w:t>
      </w:r>
      <w:r w:rsidRPr="004D763E">
        <w:t xml:space="preserve"> a également apprécié la contribution du Bureau de la déontologie et s</w:t>
      </w:r>
      <w:r w:rsidR="00155EA0" w:rsidRPr="004D763E">
        <w:t>’</w:t>
      </w:r>
      <w:r w:rsidRPr="004D763E">
        <w:t>est félicité de l</w:t>
      </w:r>
      <w:r w:rsidR="00155EA0" w:rsidRPr="004D763E">
        <w:t>’</w:t>
      </w:r>
      <w:r w:rsidRPr="004D763E">
        <w:t>efficacité de son fonctionnement.</w:t>
      </w:r>
    </w:p>
    <w:p w14:paraId="6986E69A" w14:textId="77777777" w:rsidR="002715B7" w:rsidRPr="004D763E" w:rsidRDefault="002715B7" w:rsidP="002715B7">
      <w:pPr>
        <w:pStyle w:val="Heading4"/>
      </w:pPr>
      <w:r w:rsidRPr="004D763E">
        <w:t>Médiation</w:t>
      </w:r>
    </w:p>
    <w:p w14:paraId="5E03E74E" w14:textId="1B27033D" w:rsidR="002715B7" w:rsidRPr="004D763E" w:rsidRDefault="002715B7" w:rsidP="002715B7">
      <w:pPr>
        <w:pStyle w:val="ONUMFS"/>
        <w:rPr>
          <w:rFonts w:eastAsia="Arial"/>
          <w:lang w:val="fr-FR"/>
        </w:rPr>
      </w:pPr>
      <w:r w:rsidRPr="004D763E">
        <w:rPr>
          <w:lang w:val="fr-FR"/>
        </w:rPr>
        <w:t>Durant sa soixante</w:t>
      </w:r>
      <w:r w:rsidR="004D763E">
        <w:rPr>
          <w:lang w:val="fr-FR"/>
        </w:rPr>
        <w:noBreakHyphen/>
      </w:r>
      <w:r w:rsidRPr="004D763E">
        <w:rPr>
          <w:lang w:val="fr-FR"/>
        </w:rPr>
        <w:t>treiz</w:t>
      </w:r>
      <w:r w:rsidR="00155EA0" w:rsidRPr="004D763E">
        <w:rPr>
          <w:lang w:val="fr-FR"/>
        </w:rPr>
        <w:t>ième session</w:t>
      </w:r>
      <w:r w:rsidRPr="004D763E">
        <w:rPr>
          <w:lang w:val="fr-FR"/>
        </w:rPr>
        <w:t>, l</w:t>
      </w:r>
      <w:r w:rsidR="00155EA0" w:rsidRPr="004D763E">
        <w:rPr>
          <w:lang w:val="fr-FR"/>
        </w:rPr>
        <w:t>’</w:t>
      </w:r>
      <w:r w:rsidRPr="004D763E">
        <w:rPr>
          <w:lang w:val="fr-FR"/>
        </w:rPr>
        <w:t>OCIS a examiné le projet de rapport annuel du Bureau de la médiatrice établi par la médiatrice par intér</w:t>
      </w:r>
      <w:r w:rsidR="004D763E" w:rsidRPr="004D763E">
        <w:rPr>
          <w:lang w:val="fr-FR"/>
        </w:rPr>
        <w:t>im.  Il</w:t>
      </w:r>
      <w:r w:rsidRPr="004D763E">
        <w:rPr>
          <w:lang w:val="fr-FR"/>
        </w:rPr>
        <w:t xml:space="preserve"> a salué les travaux menés par le bureau jusqu</w:t>
      </w:r>
      <w:r w:rsidR="00155EA0" w:rsidRPr="004D763E">
        <w:rPr>
          <w:lang w:val="fr-FR"/>
        </w:rPr>
        <w:t>’</w:t>
      </w:r>
      <w:r w:rsidRPr="004D763E">
        <w:rPr>
          <w:lang w:val="fr-FR"/>
        </w:rPr>
        <w:t>à ce jour et a indiqué être toujours d</w:t>
      </w:r>
      <w:r w:rsidR="00155EA0" w:rsidRPr="004D763E">
        <w:rPr>
          <w:lang w:val="fr-FR"/>
        </w:rPr>
        <w:t>’</w:t>
      </w:r>
      <w:r w:rsidRPr="004D763E">
        <w:rPr>
          <w:lang w:val="fr-FR"/>
        </w:rPr>
        <w:t>avis qu</w:t>
      </w:r>
      <w:r w:rsidR="00155EA0" w:rsidRPr="004D763E">
        <w:rPr>
          <w:lang w:val="fr-FR"/>
        </w:rPr>
        <w:t>’</w:t>
      </w:r>
      <w:r w:rsidRPr="004D763E">
        <w:rPr>
          <w:lang w:val="fr-FR"/>
        </w:rPr>
        <w:t>il conviendrait de consacrer suffisamment de temps à cette fonction au sein de l</w:t>
      </w:r>
      <w:r w:rsidR="00155EA0" w:rsidRPr="004D763E">
        <w:rPr>
          <w:lang w:val="fr-FR"/>
        </w:rPr>
        <w:t>’</w:t>
      </w:r>
      <w:r w:rsidRPr="004D763E">
        <w:rPr>
          <w:lang w:val="fr-FR"/>
        </w:rPr>
        <w:t xml:space="preserve">Organisation, conformément aux critères en vigueur au sein du système des </w:t>
      </w:r>
      <w:r w:rsidR="00155EA0" w:rsidRPr="004D763E">
        <w:rPr>
          <w:lang w:val="fr-FR"/>
        </w:rPr>
        <w:t>Nations Unies</w:t>
      </w:r>
      <w:r w:rsidRPr="004D763E">
        <w:rPr>
          <w:lang w:val="fr-FR"/>
        </w:rPr>
        <w:t>.</w:t>
      </w:r>
    </w:p>
    <w:p w14:paraId="23FB06AD" w14:textId="0FB94825" w:rsidR="002715B7" w:rsidRPr="004D763E" w:rsidRDefault="002715B7" w:rsidP="002715B7">
      <w:pPr>
        <w:pStyle w:val="ONUMFS"/>
        <w:rPr>
          <w:rFonts w:eastAsia="Arial"/>
          <w:lang w:val="fr-FR"/>
        </w:rPr>
      </w:pPr>
      <w:r w:rsidRPr="004D763E">
        <w:rPr>
          <w:lang w:val="fr-FR"/>
        </w:rPr>
        <w:t>Durant sa soixante</w:t>
      </w:r>
      <w:r w:rsidR="004D763E">
        <w:rPr>
          <w:lang w:val="fr-FR"/>
        </w:rPr>
        <w:noBreakHyphen/>
      </w:r>
      <w:r w:rsidRPr="004D763E">
        <w:rPr>
          <w:lang w:val="fr-FR"/>
        </w:rPr>
        <w:t>quatorz</w:t>
      </w:r>
      <w:r w:rsidR="00155EA0" w:rsidRPr="004D763E">
        <w:rPr>
          <w:lang w:val="fr-FR"/>
        </w:rPr>
        <w:t>ième session</w:t>
      </w:r>
      <w:r w:rsidRPr="004D763E">
        <w:rPr>
          <w:lang w:val="fr-FR"/>
        </w:rPr>
        <w:t>, l</w:t>
      </w:r>
      <w:r w:rsidR="00155EA0" w:rsidRPr="004D763E">
        <w:rPr>
          <w:lang w:val="fr-FR"/>
        </w:rPr>
        <w:t>’</w:t>
      </w:r>
      <w:r w:rsidRPr="004D763E">
        <w:rPr>
          <w:lang w:val="fr-FR"/>
        </w:rPr>
        <w:t>OCIS a examiné des tableaux de bord fournis par la médiatrice par intérim, qui résument les activités du Bureau de la médiatri</w:t>
      </w:r>
      <w:r w:rsidR="004D763E" w:rsidRPr="004D763E">
        <w:rPr>
          <w:lang w:val="fr-FR"/>
        </w:rPr>
        <w:t>ce.  Il</w:t>
      </w:r>
      <w:r w:rsidRPr="004D763E">
        <w:rPr>
          <w:lang w:val="fr-FR"/>
        </w:rPr>
        <w:t xml:space="preserve"> a noté combien cette fonction était importante, ainsi que l</w:t>
      </w:r>
      <w:r w:rsidR="00155EA0" w:rsidRPr="004D763E">
        <w:rPr>
          <w:lang w:val="fr-FR"/>
        </w:rPr>
        <w:t>’</w:t>
      </w:r>
      <w:r w:rsidRPr="004D763E">
        <w:rPr>
          <w:lang w:val="fr-FR"/>
        </w:rPr>
        <w:t>augmentation de la demande pour ce service.  L</w:t>
      </w:r>
      <w:r w:rsidR="00155EA0" w:rsidRPr="004D763E">
        <w:rPr>
          <w:lang w:val="fr-FR"/>
        </w:rPr>
        <w:t>’</w:t>
      </w:r>
      <w:r w:rsidRPr="004D763E">
        <w:rPr>
          <w:lang w:val="fr-FR"/>
        </w:rPr>
        <w:t>OCIS s</w:t>
      </w:r>
      <w:r w:rsidR="00155EA0" w:rsidRPr="004D763E">
        <w:rPr>
          <w:lang w:val="fr-FR"/>
        </w:rPr>
        <w:t>’</w:t>
      </w:r>
      <w:r w:rsidRPr="004D763E">
        <w:rPr>
          <w:lang w:val="fr-FR"/>
        </w:rPr>
        <w:t>est félicité de la prolongation de trois mois de la dotation en personnel du bureau jusqu</w:t>
      </w:r>
      <w:r w:rsidR="00155EA0" w:rsidRPr="004D763E">
        <w:rPr>
          <w:lang w:val="fr-FR"/>
        </w:rPr>
        <w:t>’</w:t>
      </w:r>
      <w:r w:rsidRPr="004D763E">
        <w:rPr>
          <w:lang w:val="fr-FR"/>
        </w:rPr>
        <w:t>à la mise en œuvre d</w:t>
      </w:r>
      <w:r w:rsidR="00155EA0" w:rsidRPr="004D763E">
        <w:rPr>
          <w:lang w:val="fr-FR"/>
        </w:rPr>
        <w:t>’</w:t>
      </w:r>
      <w:r w:rsidRPr="004D763E">
        <w:rPr>
          <w:lang w:val="fr-FR"/>
        </w:rPr>
        <w:t>un autre accord avec le Bureau des services d</w:t>
      </w:r>
      <w:r w:rsidR="00155EA0" w:rsidRPr="004D763E">
        <w:rPr>
          <w:lang w:val="fr-FR"/>
        </w:rPr>
        <w:t>’</w:t>
      </w:r>
      <w:r w:rsidRPr="004D763E">
        <w:rPr>
          <w:lang w:val="fr-FR"/>
        </w:rPr>
        <w:t xml:space="preserve">ombudsman et de médiation des </w:t>
      </w:r>
      <w:r w:rsidR="00155EA0" w:rsidRPr="004D763E">
        <w:rPr>
          <w:lang w:val="fr-FR"/>
        </w:rPr>
        <w:t>Nations Uni</w:t>
      </w:r>
      <w:r w:rsidR="004D763E" w:rsidRPr="004D763E">
        <w:rPr>
          <w:lang w:val="fr-FR"/>
        </w:rPr>
        <w:t>es.  Il</w:t>
      </w:r>
      <w:r w:rsidRPr="004D763E">
        <w:rPr>
          <w:lang w:val="fr-FR"/>
        </w:rPr>
        <w:t xml:space="preserve"> a remercié la médiatrice par intérim pour le travail accompli.</w:t>
      </w:r>
    </w:p>
    <w:p w14:paraId="43ABBDB3" w14:textId="7F9DA2F0" w:rsidR="002715B7" w:rsidRPr="004D763E" w:rsidRDefault="002715B7" w:rsidP="002715B7">
      <w:pPr>
        <w:pStyle w:val="ONUMFS"/>
        <w:rPr>
          <w:rFonts w:eastAsia="Arial"/>
          <w:lang w:val="fr-FR"/>
        </w:rPr>
      </w:pPr>
      <w:r w:rsidRPr="004D763E">
        <w:rPr>
          <w:lang w:val="fr-FR"/>
        </w:rPr>
        <w:t>Durant sa soixante</w:t>
      </w:r>
      <w:r w:rsidR="004D763E">
        <w:rPr>
          <w:lang w:val="fr-FR"/>
        </w:rPr>
        <w:noBreakHyphen/>
      </w:r>
      <w:r w:rsidRPr="004D763E">
        <w:rPr>
          <w:lang w:val="fr-FR"/>
        </w:rPr>
        <w:t>quinz</w:t>
      </w:r>
      <w:r w:rsidR="00155EA0" w:rsidRPr="004D763E">
        <w:rPr>
          <w:lang w:val="fr-FR"/>
        </w:rPr>
        <w:t>ième session</w:t>
      </w:r>
      <w:r w:rsidRPr="004D763E">
        <w:rPr>
          <w:lang w:val="fr-FR"/>
        </w:rPr>
        <w:t>, l</w:t>
      </w:r>
      <w:r w:rsidR="00155EA0" w:rsidRPr="004D763E">
        <w:rPr>
          <w:lang w:val="fr-FR"/>
        </w:rPr>
        <w:t>’</w:t>
      </w:r>
      <w:r w:rsidRPr="004D763E">
        <w:rPr>
          <w:lang w:val="fr-FR"/>
        </w:rPr>
        <w:t>OCIS a examiné un tableau de bord fourni par la médiatrice qui résumait les activités de son bure</w:t>
      </w:r>
      <w:r w:rsidR="004D763E" w:rsidRPr="004D763E">
        <w:rPr>
          <w:lang w:val="fr-FR"/>
        </w:rPr>
        <w:t>au.  Ce</w:t>
      </w:r>
      <w:r w:rsidRPr="004D763E">
        <w:rPr>
          <w:lang w:val="fr-FR"/>
        </w:rPr>
        <w:t xml:space="preserve"> tableau de bord indiquait que le Bureau du médiateur avait traité 54 affaires au cours des 11 premiers mois de 2024, dont la majeure partie concernait les rapports hiérarchiques, les comportements prohibés et le respect des procédures, ou encore des préoccupations liées à l</w:t>
      </w:r>
      <w:r w:rsidR="00155EA0" w:rsidRPr="004D763E">
        <w:rPr>
          <w:lang w:val="fr-FR"/>
        </w:rPr>
        <w:t>’</w:t>
      </w:r>
      <w:r w:rsidRPr="004D763E">
        <w:rPr>
          <w:lang w:val="fr-FR"/>
        </w:rPr>
        <w:t>emploi et à la carrière.  L</w:t>
      </w:r>
      <w:r w:rsidR="00155EA0" w:rsidRPr="004D763E">
        <w:rPr>
          <w:lang w:val="fr-FR"/>
        </w:rPr>
        <w:t>’</w:t>
      </w:r>
      <w:r w:rsidRPr="004D763E">
        <w:rPr>
          <w:lang w:val="fr-FR"/>
        </w:rPr>
        <w:t>OCIS a relevé l</w:t>
      </w:r>
      <w:r w:rsidR="00155EA0" w:rsidRPr="004D763E">
        <w:rPr>
          <w:lang w:val="fr-FR"/>
        </w:rPr>
        <w:t>’</w:t>
      </w:r>
      <w:r w:rsidRPr="004D763E">
        <w:rPr>
          <w:lang w:val="fr-FR"/>
        </w:rPr>
        <w:t>importance de la fonction de médiateur et l</w:t>
      </w:r>
      <w:r w:rsidR="00155EA0" w:rsidRPr="004D763E">
        <w:rPr>
          <w:lang w:val="fr-FR"/>
        </w:rPr>
        <w:t>’</w:t>
      </w:r>
      <w:r w:rsidRPr="004D763E">
        <w:rPr>
          <w:lang w:val="fr-FR"/>
        </w:rPr>
        <w:t>accroissement des demandes de consultati</w:t>
      </w:r>
      <w:r w:rsidR="004D763E" w:rsidRPr="004D763E">
        <w:rPr>
          <w:lang w:val="fr-FR"/>
        </w:rPr>
        <w:t>on.  Il</w:t>
      </w:r>
      <w:r w:rsidRPr="004D763E">
        <w:rPr>
          <w:lang w:val="fr-FR"/>
        </w:rPr>
        <w:t xml:space="preserve"> s</w:t>
      </w:r>
      <w:r w:rsidR="00155EA0" w:rsidRPr="004D763E">
        <w:rPr>
          <w:lang w:val="fr-FR"/>
        </w:rPr>
        <w:t>’</w:t>
      </w:r>
      <w:r w:rsidRPr="004D763E">
        <w:rPr>
          <w:lang w:val="fr-FR"/>
        </w:rPr>
        <w:t>est félicité de la nouvelle prolongation de six mois de la dotation en personnel de la fonction jusqu</w:t>
      </w:r>
      <w:r w:rsidR="00155EA0" w:rsidRPr="004D763E">
        <w:rPr>
          <w:lang w:val="fr-FR"/>
        </w:rPr>
        <w:t>’</w:t>
      </w:r>
      <w:r w:rsidRPr="004D763E">
        <w:rPr>
          <w:lang w:val="fr-FR"/>
        </w:rPr>
        <w:t>à la mise en œuvre d</w:t>
      </w:r>
      <w:r w:rsidR="00155EA0" w:rsidRPr="004D763E">
        <w:rPr>
          <w:lang w:val="fr-FR"/>
        </w:rPr>
        <w:t>’</w:t>
      </w:r>
      <w:r w:rsidRPr="004D763E">
        <w:rPr>
          <w:lang w:val="fr-FR"/>
        </w:rPr>
        <w:t>un autre accord avec le Bureau des services d</w:t>
      </w:r>
      <w:r w:rsidR="00155EA0" w:rsidRPr="004D763E">
        <w:rPr>
          <w:lang w:val="fr-FR"/>
        </w:rPr>
        <w:t>’</w:t>
      </w:r>
      <w:r w:rsidRPr="004D763E">
        <w:rPr>
          <w:lang w:val="fr-FR"/>
        </w:rPr>
        <w:t xml:space="preserve">ombudsman et de médiation des </w:t>
      </w:r>
      <w:r w:rsidR="00155EA0" w:rsidRPr="004D763E">
        <w:rPr>
          <w:lang w:val="fr-FR"/>
        </w:rPr>
        <w:t>Nations Uni</w:t>
      </w:r>
      <w:r w:rsidR="004D763E" w:rsidRPr="004D763E">
        <w:rPr>
          <w:lang w:val="fr-FR"/>
        </w:rPr>
        <w:t>es.  Il</w:t>
      </w:r>
      <w:r w:rsidRPr="004D763E">
        <w:rPr>
          <w:lang w:val="fr-FR"/>
        </w:rPr>
        <w:t xml:space="preserve"> avait hâte de pouvoir évaluer l</w:t>
      </w:r>
      <w:r w:rsidR="00155EA0" w:rsidRPr="004D763E">
        <w:rPr>
          <w:lang w:val="fr-FR"/>
        </w:rPr>
        <w:t>’</w:t>
      </w:r>
      <w:r w:rsidRPr="004D763E">
        <w:rPr>
          <w:lang w:val="fr-FR"/>
        </w:rPr>
        <w:t>efficacité de la nouvelle organisation, qui avait pris du retard et dont la mise en place était désormais prévue pour le milieu de 2025.  La médiatrice par intérim a formulé des conseils sur les sujets suivants</w:t>
      </w:r>
      <w:r w:rsidR="00155EA0" w:rsidRPr="004D763E">
        <w:rPr>
          <w:lang w:val="fr-FR"/>
        </w:rPr>
        <w:t> :</w:t>
      </w:r>
      <w:r w:rsidRPr="004D763E">
        <w:rPr>
          <w:lang w:val="fr-FR"/>
        </w:rPr>
        <w:t xml:space="preserve"> i) la nécessité d</w:t>
      </w:r>
      <w:r w:rsidR="00155EA0" w:rsidRPr="004D763E">
        <w:rPr>
          <w:lang w:val="fr-FR"/>
        </w:rPr>
        <w:t>’</w:t>
      </w:r>
      <w:r w:rsidRPr="004D763E">
        <w:rPr>
          <w:lang w:val="fr-FR"/>
        </w:rPr>
        <w:t>accorder de l</w:t>
      </w:r>
      <w:r w:rsidR="00155EA0" w:rsidRPr="004D763E">
        <w:rPr>
          <w:lang w:val="fr-FR"/>
        </w:rPr>
        <w:t>’</w:t>
      </w:r>
      <w:r w:rsidRPr="004D763E">
        <w:rPr>
          <w:lang w:val="fr-FR"/>
        </w:rPr>
        <w:t>importance au rôle des superviseurs dans la médiation des litiges, notamment en leur proposant une formation en matière de gestion;  ii) la nécessité d</w:t>
      </w:r>
      <w:r w:rsidR="00155EA0" w:rsidRPr="004D763E">
        <w:rPr>
          <w:lang w:val="fr-FR"/>
        </w:rPr>
        <w:t>’</w:t>
      </w:r>
      <w:r w:rsidRPr="004D763E">
        <w:rPr>
          <w:lang w:val="fr-FR"/>
        </w:rPr>
        <w:t>accorder plus d</w:t>
      </w:r>
      <w:r w:rsidR="00155EA0" w:rsidRPr="004D763E">
        <w:rPr>
          <w:lang w:val="fr-FR"/>
        </w:rPr>
        <w:t>’</w:t>
      </w:r>
      <w:r w:rsidRPr="004D763E">
        <w:rPr>
          <w:lang w:val="fr-FR"/>
        </w:rPr>
        <w:t>attention aux activités destinées à renforcer l</w:t>
      </w:r>
      <w:r w:rsidR="00155EA0" w:rsidRPr="004D763E">
        <w:rPr>
          <w:lang w:val="fr-FR"/>
        </w:rPr>
        <w:t>’</w:t>
      </w:r>
      <w:r w:rsidRPr="004D763E">
        <w:rPr>
          <w:lang w:val="fr-FR"/>
        </w:rPr>
        <w:t>esprit d</w:t>
      </w:r>
      <w:r w:rsidR="00155EA0" w:rsidRPr="004D763E">
        <w:rPr>
          <w:lang w:val="fr-FR"/>
        </w:rPr>
        <w:t>’</w:t>
      </w:r>
      <w:r w:rsidRPr="004D763E">
        <w:rPr>
          <w:lang w:val="fr-FR"/>
        </w:rPr>
        <w:t>équipe et le moral du personnel;  et iii) la nécessité de renforcer la déontologie, les valeurs et les normes au sein de l</w:t>
      </w:r>
      <w:r w:rsidR="00155EA0" w:rsidRPr="004D763E">
        <w:rPr>
          <w:lang w:val="fr-FR"/>
        </w:rPr>
        <w:t>’</w:t>
      </w:r>
      <w:r w:rsidRPr="004D763E">
        <w:rPr>
          <w:lang w:val="fr-FR"/>
        </w:rPr>
        <w:t>Organisation.  L</w:t>
      </w:r>
      <w:r w:rsidR="00155EA0" w:rsidRPr="004D763E">
        <w:rPr>
          <w:lang w:val="fr-FR"/>
        </w:rPr>
        <w:t>’</w:t>
      </w:r>
      <w:r w:rsidRPr="004D763E">
        <w:rPr>
          <w:lang w:val="fr-FR"/>
        </w:rPr>
        <w:t>OCIS a salué les travaux accomplis par la médiatrice par intérim.</w:t>
      </w:r>
    </w:p>
    <w:p w14:paraId="4D29642E" w14:textId="3130039D" w:rsidR="002715B7" w:rsidRPr="004D763E" w:rsidRDefault="002715B7" w:rsidP="002715B7">
      <w:pPr>
        <w:pStyle w:val="ONUMFS"/>
        <w:rPr>
          <w:rFonts w:eastAsia="Arial"/>
          <w:lang w:val="fr-FR"/>
        </w:rPr>
      </w:pPr>
      <w:r w:rsidRPr="004D763E">
        <w:rPr>
          <w:lang w:val="fr-FR"/>
        </w:rPr>
        <w:t>À sa soixante</w:t>
      </w:r>
      <w:r w:rsidR="004D763E">
        <w:rPr>
          <w:lang w:val="fr-FR"/>
        </w:rPr>
        <w:noBreakHyphen/>
      </w:r>
      <w:r w:rsidRPr="004D763E">
        <w:rPr>
          <w:lang w:val="fr-FR"/>
        </w:rPr>
        <w:t>seiz</w:t>
      </w:r>
      <w:r w:rsidR="00155EA0" w:rsidRPr="004D763E">
        <w:rPr>
          <w:lang w:val="fr-FR"/>
        </w:rPr>
        <w:t>ième session</w:t>
      </w:r>
      <w:r w:rsidRPr="004D763E">
        <w:rPr>
          <w:lang w:val="fr-FR"/>
        </w:rPr>
        <w:t>, l</w:t>
      </w:r>
      <w:r w:rsidR="00155EA0" w:rsidRPr="004D763E">
        <w:rPr>
          <w:lang w:val="fr-FR"/>
        </w:rPr>
        <w:t>’</w:t>
      </w:r>
      <w:r w:rsidRPr="004D763E">
        <w:rPr>
          <w:lang w:val="fr-FR"/>
        </w:rPr>
        <w:t>OCIS a examiné un point fait par la médiatrice couvrant le premier trimestre de 2025.  La médiatrice a déclaré avoir traité 15 dossiers concernant 16 personnes distinctes et 29 consultations au total entre janvier et ma</w:t>
      </w:r>
      <w:r w:rsidR="004D763E" w:rsidRPr="004D763E">
        <w:rPr>
          <w:lang w:val="fr-FR"/>
        </w:rPr>
        <w:t>rs.  Le</w:t>
      </w:r>
      <w:r w:rsidRPr="004D763E">
        <w:rPr>
          <w:lang w:val="fr-FR"/>
        </w:rPr>
        <w:t>s rapports hiérarchiques sont apparus comme la principale préoccupation, dans 11 cas, avec des questions spécifiques concernant l</w:t>
      </w:r>
      <w:r w:rsidR="00155EA0" w:rsidRPr="004D763E">
        <w:rPr>
          <w:lang w:val="fr-FR"/>
        </w:rPr>
        <w:t>’</w:t>
      </w:r>
      <w:r w:rsidRPr="004D763E">
        <w:rPr>
          <w:lang w:val="fr-FR"/>
        </w:rPr>
        <w:t>évaluation des performances, le moral de l</w:t>
      </w:r>
      <w:r w:rsidR="00155EA0" w:rsidRPr="004D763E">
        <w:rPr>
          <w:lang w:val="fr-FR"/>
        </w:rPr>
        <w:t>’</w:t>
      </w:r>
      <w:r w:rsidRPr="004D763E">
        <w:rPr>
          <w:lang w:val="fr-FR"/>
        </w:rPr>
        <w:t>équipe et l</w:t>
      </w:r>
      <w:r w:rsidR="00155EA0" w:rsidRPr="004D763E">
        <w:rPr>
          <w:lang w:val="fr-FR"/>
        </w:rPr>
        <w:t>’</w:t>
      </w:r>
      <w:r w:rsidRPr="004D763E">
        <w:rPr>
          <w:lang w:val="fr-FR"/>
        </w:rPr>
        <w:t>efficacité de la supervision.  L</w:t>
      </w:r>
      <w:r w:rsidR="00155EA0" w:rsidRPr="004D763E">
        <w:rPr>
          <w:lang w:val="fr-FR"/>
        </w:rPr>
        <w:t>’</w:t>
      </w:r>
      <w:r w:rsidRPr="004D763E">
        <w:rPr>
          <w:lang w:val="fr-FR"/>
        </w:rPr>
        <w:t>OCIS a examiné les dispositions transitoires possibles et a noté que le mandat de l</w:t>
      </w:r>
      <w:r w:rsidR="00155EA0" w:rsidRPr="004D763E">
        <w:rPr>
          <w:lang w:val="fr-FR"/>
        </w:rPr>
        <w:t>’</w:t>
      </w:r>
      <w:r w:rsidRPr="004D763E">
        <w:rPr>
          <w:lang w:val="fr-FR"/>
        </w:rPr>
        <w:t>actuelle médiatrice a été prolongé jusqu</w:t>
      </w:r>
      <w:r w:rsidR="00155EA0" w:rsidRPr="004D763E">
        <w:rPr>
          <w:lang w:val="fr-FR"/>
        </w:rPr>
        <w:t>’</w:t>
      </w:r>
      <w:r w:rsidRPr="004D763E">
        <w:rPr>
          <w:lang w:val="fr-FR"/>
        </w:rPr>
        <w:t>en juin 2025.  Il a appuyé son initiative visant à élaborer et à publier un rapport annuel en lig</w:t>
      </w:r>
      <w:r w:rsidR="004D763E" w:rsidRPr="004D763E">
        <w:rPr>
          <w:lang w:val="fr-FR"/>
        </w:rPr>
        <w:t>ne.  Le</w:t>
      </w:r>
      <w:r w:rsidRPr="004D763E">
        <w:rPr>
          <w:lang w:val="fr-FR"/>
        </w:rPr>
        <w:t xml:space="preserve"> Bureau de la médiatrice a continué de fonctionner efficacement dans le cadre du processus de règlement informel des conflits, en consultation avec d</w:t>
      </w:r>
      <w:r w:rsidR="00155EA0" w:rsidRPr="004D763E">
        <w:rPr>
          <w:lang w:val="fr-FR"/>
        </w:rPr>
        <w:t>’</w:t>
      </w:r>
      <w:r w:rsidRPr="004D763E">
        <w:rPr>
          <w:lang w:val="fr-FR"/>
        </w:rPr>
        <w:t>autres unités administratives, le cas échéant.</w:t>
      </w:r>
    </w:p>
    <w:p w14:paraId="2059B6F3" w14:textId="77777777" w:rsidR="002715B7" w:rsidRPr="004D763E" w:rsidRDefault="002715B7" w:rsidP="002715B7">
      <w:pPr>
        <w:pStyle w:val="Heading3"/>
        <w:rPr>
          <w:rFonts w:eastAsia="Arial"/>
        </w:rPr>
      </w:pPr>
      <w:r w:rsidRPr="004D763E">
        <w:t>Informations actualisées sur la gestion des ressources humaines</w:t>
      </w:r>
    </w:p>
    <w:p w14:paraId="326229AF" w14:textId="274D2F10" w:rsidR="002715B7" w:rsidRPr="004D763E" w:rsidRDefault="002715B7" w:rsidP="002715B7">
      <w:pPr>
        <w:pStyle w:val="ONUMFS"/>
        <w:rPr>
          <w:rFonts w:eastAsia="Arial"/>
          <w:lang w:val="fr-FR"/>
        </w:rPr>
      </w:pPr>
      <w:r w:rsidRPr="004D763E">
        <w:rPr>
          <w:lang w:val="fr-FR"/>
        </w:rPr>
        <w:t>Durant la soixante</w:t>
      </w:r>
      <w:r w:rsidR="004D763E">
        <w:rPr>
          <w:lang w:val="fr-FR"/>
        </w:rPr>
        <w:noBreakHyphen/>
      </w:r>
      <w:r w:rsidRPr="004D763E">
        <w:rPr>
          <w:lang w:val="fr-FR"/>
        </w:rPr>
        <w:t>quatorz</w:t>
      </w:r>
      <w:r w:rsidR="00155EA0" w:rsidRPr="004D763E">
        <w:rPr>
          <w:lang w:val="fr-FR"/>
        </w:rPr>
        <w:t>ième session</w:t>
      </w:r>
      <w:r w:rsidRPr="004D763E">
        <w:rPr>
          <w:lang w:val="fr-FR"/>
        </w:rPr>
        <w:t xml:space="preserve"> de l</w:t>
      </w:r>
      <w:r w:rsidR="00155EA0" w:rsidRPr="004D763E">
        <w:rPr>
          <w:lang w:val="fr-FR"/>
        </w:rPr>
        <w:t>’</w:t>
      </w:r>
      <w:r w:rsidRPr="004D763E">
        <w:rPr>
          <w:lang w:val="fr-FR"/>
        </w:rPr>
        <w:t>OCIS, un point a été fait à son intention par la directrice du Département de la gestion des ressources humaines (DGRH) sur la mobilité, la planification stratégique des effectifs, la restructuration des opérations de ressources humaines, le Plan d</w:t>
      </w:r>
      <w:r w:rsidR="00155EA0" w:rsidRPr="004D763E">
        <w:rPr>
          <w:lang w:val="fr-FR"/>
        </w:rPr>
        <w:t>’</w:t>
      </w:r>
      <w:r w:rsidRPr="004D763E">
        <w:rPr>
          <w:lang w:val="fr-FR"/>
        </w:rPr>
        <w:t>action pour la diversité géographique et la sécurité et la santé au travail, ainsi que les résultats de l</w:t>
      </w:r>
      <w:r w:rsidR="00155EA0" w:rsidRPr="004D763E">
        <w:rPr>
          <w:lang w:val="fr-FR"/>
        </w:rPr>
        <w:t>’</w:t>
      </w:r>
      <w:r w:rsidRPr="004D763E">
        <w:rPr>
          <w:lang w:val="fr-FR"/>
        </w:rPr>
        <w:t>enquête sur l</w:t>
      </w:r>
      <w:r w:rsidR="00155EA0" w:rsidRPr="004D763E">
        <w:rPr>
          <w:lang w:val="fr-FR"/>
        </w:rPr>
        <w:t>’</w:t>
      </w:r>
      <w:r w:rsidRPr="004D763E">
        <w:rPr>
          <w:lang w:val="fr-FR"/>
        </w:rPr>
        <w:t>engagement du personn</w:t>
      </w:r>
      <w:r w:rsidR="004D763E" w:rsidRPr="004D763E">
        <w:rPr>
          <w:lang w:val="fr-FR"/>
        </w:rPr>
        <w:t>el.  El</w:t>
      </w:r>
      <w:r w:rsidR="00424032" w:rsidRPr="004D763E">
        <w:rPr>
          <w:lang w:val="fr-FR"/>
        </w:rPr>
        <w:t xml:space="preserve">le </w:t>
      </w:r>
      <w:r w:rsidRPr="004D763E">
        <w:rPr>
          <w:lang w:val="fr-FR"/>
        </w:rPr>
        <w:t>a fourni des informations complémentaires sur les activités de recrutement concernant la cheffe du Bureau de la déontologie, les services de médiation, le médecin principal et les effectifs de la DSI.  L</w:t>
      </w:r>
      <w:r w:rsidR="00155EA0" w:rsidRPr="004D763E">
        <w:rPr>
          <w:lang w:val="fr-FR"/>
        </w:rPr>
        <w:t>’</w:t>
      </w:r>
      <w:r w:rsidRPr="004D763E">
        <w:rPr>
          <w:lang w:val="fr-FR"/>
        </w:rPr>
        <w:t>OCIS a pris note des initiatives en cours dans le domaine des ressources humaines.</w:t>
      </w:r>
    </w:p>
    <w:p w14:paraId="223CC406" w14:textId="199ED621" w:rsidR="00424032" w:rsidRPr="004D763E" w:rsidRDefault="00424032" w:rsidP="00424032">
      <w:pPr>
        <w:pStyle w:val="ONUMFS"/>
        <w:rPr>
          <w:lang w:val="fr-FR"/>
        </w:rPr>
      </w:pPr>
      <w:r w:rsidRPr="004D763E">
        <w:rPr>
          <w:lang w:val="fr-FR"/>
        </w:rPr>
        <w:t>Durant sa soixante</w:t>
      </w:r>
      <w:r w:rsidR="004D763E">
        <w:rPr>
          <w:lang w:val="fr-FR"/>
        </w:rPr>
        <w:noBreakHyphen/>
      </w:r>
      <w:r w:rsidRPr="004D763E">
        <w:rPr>
          <w:lang w:val="fr-FR"/>
        </w:rPr>
        <w:t>quinz</w:t>
      </w:r>
      <w:r w:rsidR="00155EA0" w:rsidRPr="004D763E">
        <w:rPr>
          <w:lang w:val="fr-FR"/>
        </w:rPr>
        <w:t>ième session</w:t>
      </w:r>
      <w:r w:rsidRPr="004D763E">
        <w:rPr>
          <w:lang w:val="fr-FR"/>
        </w:rPr>
        <w:t>, l</w:t>
      </w:r>
      <w:r w:rsidR="00155EA0" w:rsidRPr="004D763E">
        <w:rPr>
          <w:lang w:val="fr-FR"/>
        </w:rPr>
        <w:t>’</w:t>
      </w:r>
      <w:r w:rsidRPr="004D763E">
        <w:rPr>
          <w:lang w:val="fr-FR"/>
        </w:rPr>
        <w:t>OCIS a examiné un point fait par la directrice</w:t>
      </w:r>
      <w:r w:rsidR="00155EA0" w:rsidRPr="004D763E">
        <w:rPr>
          <w:lang w:val="fr-FR"/>
        </w:rPr>
        <w:t xml:space="preserve"> du DGR</w:t>
      </w:r>
      <w:r w:rsidRPr="004D763E">
        <w:rPr>
          <w:lang w:val="fr-FR"/>
        </w:rPr>
        <w:t>H sur la situation des recrutements au sein de</w:t>
      </w:r>
      <w:r w:rsidR="00155EA0" w:rsidRPr="004D763E">
        <w:rPr>
          <w:lang w:val="fr-FR"/>
        </w:rPr>
        <w:t xml:space="preserve"> la DSI</w:t>
      </w:r>
      <w:r w:rsidRPr="004D763E">
        <w:rPr>
          <w:lang w:val="fr-FR"/>
        </w:rPr>
        <w:t xml:space="preserve"> et les dispositions prises pour les services de médiation et la conseillère du personn</w:t>
      </w:r>
      <w:r w:rsidR="004D763E" w:rsidRPr="004D763E">
        <w:rPr>
          <w:lang w:val="fr-FR"/>
        </w:rPr>
        <w:t>el.  Ce</w:t>
      </w:r>
      <w:r w:rsidRPr="004D763E">
        <w:rPr>
          <w:lang w:val="fr-FR"/>
        </w:rPr>
        <w:t>tte mise à jour comprend également des informations sur les initiatives clés menées par</w:t>
      </w:r>
      <w:r w:rsidR="00155EA0" w:rsidRPr="004D763E">
        <w:rPr>
          <w:lang w:val="fr-FR"/>
        </w:rPr>
        <w:t xml:space="preserve"> le DGR</w:t>
      </w:r>
      <w:r w:rsidRPr="004D763E">
        <w:rPr>
          <w:lang w:val="fr-FR"/>
        </w:rPr>
        <w:t>H, notamment la planification des effectifs, les services de santé et de sécurité au travail, la mobilité du personnel, la mise en œuvre du système ERP et les principales priorités</w:t>
      </w:r>
      <w:r w:rsidR="00155EA0" w:rsidRPr="004D763E">
        <w:rPr>
          <w:lang w:val="fr-FR"/>
        </w:rPr>
        <w:t xml:space="preserve"> du DGR</w:t>
      </w:r>
      <w:r w:rsidRPr="004D763E">
        <w:rPr>
          <w:lang w:val="fr-FR"/>
        </w:rPr>
        <w:t xml:space="preserve">H </w:t>
      </w:r>
      <w:r w:rsidR="00155EA0" w:rsidRPr="004D763E">
        <w:rPr>
          <w:lang w:val="fr-FR"/>
        </w:rPr>
        <w:t>pour 2025</w:t>
      </w:r>
      <w:r w:rsidRPr="004D763E">
        <w:rPr>
          <w:lang w:val="fr-FR"/>
        </w:rPr>
        <w:t>.  L</w:t>
      </w:r>
      <w:r w:rsidR="00155EA0" w:rsidRPr="004D763E">
        <w:rPr>
          <w:lang w:val="fr-FR"/>
        </w:rPr>
        <w:t>’</w:t>
      </w:r>
      <w:r w:rsidRPr="004D763E">
        <w:rPr>
          <w:lang w:val="fr-FR"/>
        </w:rPr>
        <w:t>OCIS a examiné avec la directrice</w:t>
      </w:r>
      <w:r w:rsidR="00155EA0" w:rsidRPr="004D763E">
        <w:rPr>
          <w:lang w:val="fr-FR"/>
        </w:rPr>
        <w:t xml:space="preserve"> du DGR</w:t>
      </w:r>
      <w:r w:rsidRPr="004D763E">
        <w:rPr>
          <w:lang w:val="fr-FR"/>
        </w:rPr>
        <w:t>H la nécessité de disposer d</w:t>
      </w:r>
      <w:r w:rsidR="00155EA0" w:rsidRPr="004D763E">
        <w:rPr>
          <w:lang w:val="fr-FR"/>
        </w:rPr>
        <w:t>’</w:t>
      </w:r>
      <w:r w:rsidRPr="004D763E">
        <w:rPr>
          <w:lang w:val="fr-FR"/>
        </w:rPr>
        <w:t>indicateurs d</w:t>
      </w:r>
      <w:r w:rsidR="00155EA0" w:rsidRPr="004D763E">
        <w:rPr>
          <w:lang w:val="fr-FR"/>
        </w:rPr>
        <w:t>’</w:t>
      </w:r>
      <w:r w:rsidRPr="004D763E">
        <w:rPr>
          <w:lang w:val="fr-FR"/>
        </w:rPr>
        <w:t>exécution clés appropriés, une fois que le nouveau système ERP aura été mis en place.</w:t>
      </w:r>
    </w:p>
    <w:p w14:paraId="3A154870" w14:textId="77777777" w:rsidR="002715B7" w:rsidRPr="004D763E" w:rsidRDefault="002715B7" w:rsidP="002715B7">
      <w:pPr>
        <w:pStyle w:val="Heading3"/>
        <w:rPr>
          <w:rFonts w:eastAsia="Arial"/>
        </w:rPr>
      </w:pPr>
      <w:r w:rsidRPr="004D763E">
        <w:t>Autres questions</w:t>
      </w:r>
    </w:p>
    <w:p w14:paraId="601F9922" w14:textId="4D281779" w:rsidR="002715B7" w:rsidRPr="004D763E" w:rsidRDefault="002715B7" w:rsidP="002715B7">
      <w:pPr>
        <w:pStyle w:val="Heading4"/>
        <w:rPr>
          <w:rFonts w:eastAsia="Arial"/>
        </w:rPr>
      </w:pPr>
      <w:r w:rsidRPr="004D763E">
        <w:t>Rapports de l</w:t>
      </w:r>
      <w:r w:rsidR="00155EA0" w:rsidRPr="004D763E">
        <w:t>’</w:t>
      </w:r>
      <w:r w:rsidRPr="004D763E">
        <w:t>OMPI concernant les placements</w:t>
      </w:r>
    </w:p>
    <w:p w14:paraId="0F90E5BC" w14:textId="41FB5423" w:rsidR="002715B7" w:rsidRPr="004D763E" w:rsidRDefault="002715B7" w:rsidP="002715B7">
      <w:pPr>
        <w:pStyle w:val="ONUMFS"/>
        <w:rPr>
          <w:rFonts w:eastAsia="Arial"/>
          <w:lang w:val="fr-FR"/>
        </w:rPr>
      </w:pPr>
      <w:r w:rsidRPr="004D763E">
        <w:rPr>
          <w:lang w:val="fr-FR"/>
        </w:rPr>
        <w:t>À la demande des États membres, le Secrétariat a soumis à l</w:t>
      </w:r>
      <w:r w:rsidR="00155EA0" w:rsidRPr="004D763E">
        <w:rPr>
          <w:lang w:val="fr-FR"/>
        </w:rPr>
        <w:t>’</w:t>
      </w:r>
      <w:r w:rsidRPr="004D763E">
        <w:rPr>
          <w:lang w:val="fr-FR"/>
        </w:rPr>
        <w:t>OCIS, à chacune de ses sessions, les rapports mensuels sur le rendement des placements et les rapports mensuels de suivi des placements, établis respectivement par les conseillers en matière de placements et le dépositaire.  L</w:t>
      </w:r>
      <w:r w:rsidR="00155EA0" w:rsidRPr="004D763E">
        <w:rPr>
          <w:lang w:val="fr-FR"/>
        </w:rPr>
        <w:t>’</w:t>
      </w:r>
      <w:r w:rsidRPr="004D763E">
        <w:rPr>
          <w:lang w:val="fr-FR"/>
        </w:rPr>
        <w:t>OCIS tient à préciser que son rôle se limite à transmettre aux États membres les informations contenues dans les rapports mensuels sur le rendement des placements et les rapports mensuels de suivi des placements et qu</w:t>
      </w:r>
      <w:r w:rsidR="00155EA0" w:rsidRPr="004D763E">
        <w:rPr>
          <w:lang w:val="fr-FR"/>
        </w:rPr>
        <w:t>’</w:t>
      </w:r>
      <w:r w:rsidRPr="004D763E">
        <w:rPr>
          <w:lang w:val="fr-FR"/>
        </w:rPr>
        <w:t>il ne donne aucune garantie à cet égard.</w:t>
      </w:r>
    </w:p>
    <w:p w14:paraId="1576DEAD" w14:textId="258E7BCE" w:rsidR="002715B7" w:rsidRPr="004D763E" w:rsidRDefault="002715B7" w:rsidP="002715B7">
      <w:pPr>
        <w:pStyle w:val="ONUMFS"/>
        <w:rPr>
          <w:rFonts w:eastAsia="Arial"/>
          <w:lang w:val="fr-FR"/>
        </w:rPr>
      </w:pPr>
      <w:r w:rsidRPr="004D763E">
        <w:rPr>
          <w:lang w:val="fr-FR"/>
        </w:rPr>
        <w:t>En ce qui concerne les examens périodiques des rapports mensuels sur le rendement des placements de mars 2024 à février 2025, l</w:t>
      </w:r>
      <w:r w:rsidR="00155EA0" w:rsidRPr="004D763E">
        <w:rPr>
          <w:lang w:val="fr-FR"/>
        </w:rPr>
        <w:t>’</w:t>
      </w:r>
      <w:r w:rsidRPr="004D763E">
        <w:rPr>
          <w:lang w:val="fr-FR"/>
        </w:rPr>
        <w:t xml:space="preserve">OCIS a confirmé que les informations fournies au cours de la période considérée montrent que, par rapport au point de référence du marché des placements, tous les </w:t>
      </w:r>
      <w:r w:rsidR="00A9764E" w:rsidRPr="004D763E">
        <w:rPr>
          <w:lang w:val="fr-FR"/>
        </w:rPr>
        <w:t>fonds de placement</w:t>
      </w:r>
      <w:r w:rsidRPr="004D763E">
        <w:rPr>
          <w:lang w:val="fr-FR"/>
        </w:rPr>
        <w:t xml:space="preserve"> des portefeuilles de placements de l</w:t>
      </w:r>
      <w:r w:rsidR="00155EA0" w:rsidRPr="004D763E">
        <w:rPr>
          <w:lang w:val="fr-FR"/>
        </w:rPr>
        <w:t>’</w:t>
      </w:r>
      <w:r w:rsidRPr="004D763E">
        <w:rPr>
          <w:lang w:val="fr-FR"/>
        </w:rPr>
        <w:t>OMPI ont été gérés conformément à la stratégie énonc</w:t>
      </w:r>
      <w:r w:rsidR="004D763E" w:rsidRPr="004D763E">
        <w:rPr>
          <w:lang w:val="fr-FR"/>
        </w:rPr>
        <w:t>ée.  Il</w:t>
      </w:r>
      <w:r w:rsidRPr="004D763E">
        <w:rPr>
          <w:lang w:val="fr-FR"/>
        </w:rPr>
        <w:t xml:space="preserve"> a également pris acte du fait que le dépositaire n</w:t>
      </w:r>
      <w:r w:rsidR="00155EA0" w:rsidRPr="004D763E">
        <w:rPr>
          <w:lang w:val="fr-FR"/>
        </w:rPr>
        <w:t>’</w:t>
      </w:r>
      <w:r w:rsidRPr="004D763E">
        <w:rPr>
          <w:lang w:val="fr-FR"/>
        </w:rPr>
        <w:t>a fait état d</w:t>
      </w:r>
      <w:r w:rsidR="00155EA0" w:rsidRPr="004D763E">
        <w:rPr>
          <w:lang w:val="fr-FR"/>
        </w:rPr>
        <w:t>’</w:t>
      </w:r>
      <w:r w:rsidRPr="004D763E">
        <w:rPr>
          <w:lang w:val="fr-FR"/>
        </w:rPr>
        <w:t>aucune atteinte, qu</w:t>
      </w:r>
      <w:r w:rsidR="00155EA0" w:rsidRPr="004D763E">
        <w:rPr>
          <w:lang w:val="fr-FR"/>
        </w:rPr>
        <w:t>’</w:t>
      </w:r>
      <w:r w:rsidRPr="004D763E">
        <w:rPr>
          <w:lang w:val="fr-FR"/>
        </w:rPr>
        <w:t>elle soit active ou passive, ni d</w:t>
      </w:r>
      <w:r w:rsidR="00155EA0" w:rsidRPr="004D763E">
        <w:rPr>
          <w:lang w:val="fr-FR"/>
        </w:rPr>
        <w:t>’</w:t>
      </w:r>
      <w:r w:rsidRPr="004D763E">
        <w:rPr>
          <w:lang w:val="fr-FR"/>
        </w:rPr>
        <w:t>aucune exception justifiée.</w:t>
      </w:r>
    </w:p>
    <w:p w14:paraId="7312E4B3" w14:textId="77C6A082" w:rsidR="002715B7" w:rsidRPr="004D763E" w:rsidRDefault="002715B7" w:rsidP="00D84FF2">
      <w:pPr>
        <w:pStyle w:val="Heading1"/>
      </w:pPr>
      <w:r w:rsidRPr="004D763E">
        <w:t>IV.</w:t>
      </w:r>
      <w:r w:rsidRPr="004D763E">
        <w:tab/>
        <w:t>Observations finales</w:t>
      </w:r>
    </w:p>
    <w:p w14:paraId="690AF844" w14:textId="3256500F" w:rsidR="002715B7" w:rsidRPr="004D763E" w:rsidRDefault="002715B7" w:rsidP="002715B7">
      <w:pPr>
        <w:pStyle w:val="ONUMFS"/>
        <w:rPr>
          <w:rFonts w:eastAsia="Arial"/>
          <w:lang w:val="fr-FR"/>
        </w:rPr>
      </w:pPr>
      <w:r w:rsidRPr="004D763E">
        <w:rPr>
          <w:lang w:val="fr-FR"/>
        </w:rPr>
        <w:t>L</w:t>
      </w:r>
      <w:r w:rsidR="00155EA0" w:rsidRPr="004D763E">
        <w:rPr>
          <w:lang w:val="fr-FR"/>
        </w:rPr>
        <w:t>’</w:t>
      </w:r>
      <w:r w:rsidRPr="004D763E">
        <w:rPr>
          <w:lang w:val="fr-FR"/>
        </w:rPr>
        <w:t>OCIS souhaiterait faire part de sa gratitude au Directeur général,</w:t>
      </w:r>
      <w:r w:rsidRPr="004D763E">
        <w:t xml:space="preserve"> </w:t>
      </w:r>
      <w:r w:rsidRPr="004D763E">
        <w:rPr>
          <w:lang w:val="fr-FR"/>
        </w:rPr>
        <w:t>au personnel du Secrétariat et au vérificateur externe des comptes pour la disponibilité, la clarté et l</w:t>
      </w:r>
      <w:r w:rsidR="00155EA0" w:rsidRPr="004D763E">
        <w:rPr>
          <w:lang w:val="fr-FR"/>
        </w:rPr>
        <w:t>’</w:t>
      </w:r>
      <w:r w:rsidRPr="004D763E">
        <w:rPr>
          <w:lang w:val="fr-FR"/>
        </w:rPr>
        <w:t>ouverture dont ils ont fait preuve dans leurs échanges réguliers avec l</w:t>
      </w:r>
      <w:r w:rsidR="00155EA0" w:rsidRPr="004D763E">
        <w:rPr>
          <w:lang w:val="fr-FR"/>
        </w:rPr>
        <w:t>’</w:t>
      </w:r>
      <w:r w:rsidRPr="004D763E">
        <w:rPr>
          <w:lang w:val="fr-FR"/>
        </w:rPr>
        <w:t>OCIS, ainsi que pour les informations fournies.</w:t>
      </w:r>
    </w:p>
    <w:p w14:paraId="50F388C2" w14:textId="2B0E058C" w:rsidR="00FD177E" w:rsidRPr="002715B7" w:rsidRDefault="002715B7" w:rsidP="002715B7">
      <w:pPr>
        <w:pStyle w:val="Endofdocument-Annex"/>
      </w:pPr>
      <w:r w:rsidRPr="004D763E">
        <w:t>[Fin du document]</w:t>
      </w:r>
    </w:p>
    <w:sectPr w:rsidR="00FD177E" w:rsidRPr="002715B7" w:rsidSect="00BC6DE2">
      <w:headerReference w:type="default" r:id="rId14"/>
      <w:headerReference w:type="first" r:id="rId15"/>
      <w:endnotePr>
        <w:numFmt w:val="decimal"/>
      </w:endnotePr>
      <w:type w:val="nextColumn"/>
      <w:pgSz w:w="11900" w:h="16841"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362C8" w14:textId="77777777" w:rsidR="0065085D" w:rsidRDefault="0065085D">
      <w:r>
        <w:separator/>
      </w:r>
    </w:p>
  </w:endnote>
  <w:endnote w:type="continuationSeparator" w:id="0">
    <w:p w14:paraId="2BD2B981" w14:textId="77777777" w:rsidR="0065085D" w:rsidRPr="009D30E6" w:rsidRDefault="0065085D" w:rsidP="00D45252">
      <w:pPr>
        <w:rPr>
          <w:sz w:val="17"/>
          <w:szCs w:val="17"/>
        </w:rPr>
      </w:pPr>
      <w:r w:rsidRPr="009D30E6">
        <w:rPr>
          <w:sz w:val="17"/>
          <w:szCs w:val="17"/>
        </w:rPr>
        <w:separator/>
      </w:r>
    </w:p>
    <w:p w14:paraId="4E2355EA" w14:textId="77777777" w:rsidR="0065085D" w:rsidRPr="009D30E6" w:rsidRDefault="0065085D" w:rsidP="00D45252">
      <w:pPr>
        <w:spacing w:after="60"/>
        <w:rPr>
          <w:sz w:val="17"/>
          <w:szCs w:val="17"/>
        </w:rPr>
      </w:pPr>
      <w:r w:rsidRPr="009D30E6">
        <w:rPr>
          <w:sz w:val="17"/>
          <w:szCs w:val="17"/>
        </w:rPr>
        <w:t>[Suite de la note de la page précédente]</w:t>
      </w:r>
    </w:p>
  </w:endnote>
  <w:endnote w:type="continuationNotice" w:id="1">
    <w:p w14:paraId="74E99D51" w14:textId="77777777" w:rsidR="0065085D" w:rsidRPr="009D30E6" w:rsidRDefault="0065085D"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DC2C2" w14:textId="77777777" w:rsidR="0065085D" w:rsidRDefault="0065085D">
    <w:pPr>
      <w:pStyle w:val="Footer"/>
    </w:pPr>
    <w:r>
      <w:rPr>
        <w:noProof/>
      </w:rPr>
      <mc:AlternateContent>
        <mc:Choice Requires="wps">
          <w:drawing>
            <wp:anchor distT="0" distB="0" distL="0" distR="0" simplePos="0" relativeHeight="251660288" behindDoc="0" locked="0" layoutInCell="1" allowOverlap="1" wp14:anchorId="58B9D8D5" wp14:editId="6CC04C34">
              <wp:simplePos x="635" y="635"/>
              <wp:positionH relativeFrom="page">
                <wp:align>center</wp:align>
              </wp:positionH>
              <wp:positionV relativeFrom="page">
                <wp:align>bottom</wp:align>
              </wp:positionV>
              <wp:extent cx="1564005" cy="345440"/>
              <wp:effectExtent l="0" t="0" r="17145" b="0"/>
              <wp:wrapNone/>
              <wp:docPr id="2039709361" name="Text Box 44"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3334F8AB" w14:textId="77777777" w:rsidR="0065085D" w:rsidRPr="00497FAB" w:rsidRDefault="0065085D" w:rsidP="00497FAB">
                          <w:pPr>
                            <w:rPr>
                              <w:rFonts w:ascii="Calibri" w:eastAsia="Calibri" w:hAnsi="Calibri" w:cs="Calibri"/>
                              <w:noProof/>
                              <w:color w:val="000000"/>
                              <w:sz w:val="20"/>
                            </w:rPr>
                          </w:pPr>
                          <w:r>
                            <w:rPr>
                              <w:rFonts w:ascii="Calibri" w:hAnsi="Calibri"/>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B9D8D5" id="_x0000_t202" coordsize="21600,21600" o:spt="202" path="m,l,21600r21600,l21600,xe">
              <v:stroke joinstyle="miter"/>
              <v:path gradientshapeok="t" o:connecttype="rect"/>
            </v:shapetype>
            <v:shape id="Text Box 44" o:spid="_x0000_s1026" type="#_x0000_t202" alt="WIPO FOR OFFICIAL USE ONLY " style="position:absolute;margin-left:0;margin-top:0;width:123.1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" filled="f" stroked="f">
              <v:textbox style="mso-fit-shape-to-text:t" inset="0,0,0,15pt">
                <w:txbxContent>
                  <w:p w14:paraId="3334F8AB" w14:textId="77777777" w:rsidR="0065085D" w:rsidRPr="00497FAB" w:rsidRDefault="0065085D" w:rsidP="00497FAB">
                    <w:pPr>
                      <w:rPr>
                        <w:rFonts w:ascii="Calibri" w:eastAsia="Calibri" w:hAnsi="Calibri" w:cs="Calibri"/>
                        <w:noProof/>
                        <w:color w:val="000000"/>
                        <w:sz w:val="20"/>
                      </w:rPr>
                    </w:pPr>
                    <w:proofErr w:type="spellStart"/>
                    <w:r>
                      <w:rPr>
                        <w:rFonts w:ascii="Calibri" w:hAnsi="Calibri"/>
                        <w:color w:val="000000"/>
                        <w:sz w:val="20"/>
                      </w:rPr>
                      <w:t>WIPO</w:t>
                    </w:r>
                    <w:proofErr w:type="spellEnd"/>
                    <w:r>
                      <w:rPr>
                        <w:rFonts w:ascii="Calibri" w:hAnsi="Calibri"/>
                        <w:color w:val="000000"/>
                        <w:sz w:val="20"/>
                      </w:rPr>
                      <w:t xml:space="preserve"> FOR OFFICIAL USE </w:t>
                    </w:r>
                    <w:proofErr w:type="spellStart"/>
                    <w:r>
                      <w:rPr>
                        <w:rFonts w:ascii="Calibri" w:hAnsi="Calibri"/>
                        <w:color w:val="000000"/>
                        <w:sz w:val="20"/>
                      </w:rPr>
                      <w:t>ONLY</w:t>
                    </w:r>
                    <w:proofErr w:type="spellEnd"/>
                    <w:r>
                      <w:rPr>
                        <w:rFonts w:ascii="Calibri" w:hAnsi="Calibri"/>
                        <w:color w:val="000000"/>
                        <w:sz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AB44D" w14:textId="77777777" w:rsidR="0065085D" w:rsidRDefault="0065085D">
      <w:r>
        <w:separator/>
      </w:r>
    </w:p>
  </w:footnote>
  <w:footnote w:type="continuationSeparator" w:id="0">
    <w:p w14:paraId="2DF44F7A" w14:textId="77777777" w:rsidR="0065085D" w:rsidRDefault="0065085D" w:rsidP="007461F1">
      <w:r>
        <w:separator/>
      </w:r>
    </w:p>
    <w:p w14:paraId="1099D550" w14:textId="77777777" w:rsidR="0065085D" w:rsidRPr="009D30E6" w:rsidRDefault="0065085D" w:rsidP="007461F1">
      <w:pPr>
        <w:spacing w:after="60"/>
        <w:rPr>
          <w:sz w:val="17"/>
          <w:szCs w:val="17"/>
        </w:rPr>
      </w:pPr>
      <w:r w:rsidRPr="009D30E6">
        <w:rPr>
          <w:sz w:val="17"/>
          <w:szCs w:val="17"/>
        </w:rPr>
        <w:t>[Suite de la note de la page précédente]</w:t>
      </w:r>
    </w:p>
  </w:footnote>
  <w:footnote w:type="continuationNotice" w:id="1">
    <w:p w14:paraId="242002D9" w14:textId="77777777" w:rsidR="0065085D" w:rsidRPr="009D30E6" w:rsidRDefault="0065085D"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4DAD0" w14:textId="77777777" w:rsidR="0065085D" w:rsidRDefault="0065085D" w:rsidP="0038581E">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E867" w14:textId="680D9139" w:rsidR="00F16975" w:rsidRDefault="0065085D" w:rsidP="00477D6B">
    <w:pPr>
      <w:jc w:val="right"/>
    </w:pPr>
    <w:bookmarkStart w:id="12" w:name="Code2"/>
    <w:bookmarkEnd w:id="12"/>
    <w:r>
      <w:t>WO/</w:t>
    </w:r>
    <w:r w:rsidR="00FD177E">
      <w:t>PBC</w:t>
    </w:r>
    <w:r>
      <w:t>/</w:t>
    </w:r>
    <w:r w:rsidR="00FD177E">
      <w:t>39</w:t>
    </w:r>
    <w:r>
      <w:t>/2</w:t>
    </w:r>
  </w:p>
  <w:p w14:paraId="3659EC18" w14:textId="4A165DDB" w:rsidR="004F4E31" w:rsidRDefault="00F16975" w:rsidP="00BC6DE2">
    <w:pPr>
      <w:spacing w:after="480"/>
      <w:jc w:val="right"/>
    </w:pPr>
    <w:r>
      <w:t>page</w:t>
    </w:r>
    <w:r w:rsidR="00BB348A">
      <w:t> </w:t>
    </w:r>
    <w:r>
      <w:fldChar w:fldCharType="begin"/>
    </w:r>
    <w:r>
      <w:instrText xml:space="preserve"> PAGE  \* MERGEFORMAT </w:instrText>
    </w:r>
    <w:r>
      <w:fldChar w:fldCharType="separate"/>
    </w:r>
    <w:r w:rsidR="004F4E31">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73AAD" w14:textId="77777777" w:rsidR="00BC6DE2" w:rsidRDefault="00BC6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EDBDAB"/>
    <w:multiLevelType w:val="hybridMultilevel"/>
    <w:tmpl w:val="17A6AEA6"/>
    <w:lvl w:ilvl="0" w:tplc="BAE2F634">
      <w:start w:val="12"/>
      <w:numFmt w:val="decimal"/>
      <w:lvlText w:val="%1."/>
      <w:lvlJc w:val="left"/>
    </w:lvl>
    <w:lvl w:ilvl="1" w:tplc="B76654D6">
      <w:start w:val="1"/>
      <w:numFmt w:val="bullet"/>
      <w:lvlText w:val="•"/>
      <w:lvlJc w:val="left"/>
      <w:pPr>
        <w:ind w:left="360" w:hanging="360"/>
      </w:pPr>
    </w:lvl>
    <w:lvl w:ilvl="2" w:tplc="F8B60570">
      <w:numFmt w:val="decimal"/>
      <w:lvlText w:val=""/>
      <w:lvlJc w:val="left"/>
    </w:lvl>
    <w:lvl w:ilvl="3" w:tplc="0D26BC6C">
      <w:numFmt w:val="decimal"/>
      <w:lvlText w:val=""/>
      <w:lvlJc w:val="left"/>
    </w:lvl>
    <w:lvl w:ilvl="4" w:tplc="ECE83F18">
      <w:numFmt w:val="decimal"/>
      <w:lvlText w:val=""/>
      <w:lvlJc w:val="left"/>
    </w:lvl>
    <w:lvl w:ilvl="5" w:tplc="DEFAAB8A">
      <w:numFmt w:val="decimal"/>
      <w:lvlText w:val=""/>
      <w:lvlJc w:val="left"/>
    </w:lvl>
    <w:lvl w:ilvl="6" w:tplc="7F3C8F2A">
      <w:numFmt w:val="decimal"/>
      <w:lvlText w:val=""/>
      <w:lvlJc w:val="left"/>
    </w:lvl>
    <w:lvl w:ilvl="7" w:tplc="DBE0B980">
      <w:numFmt w:val="decimal"/>
      <w:lvlText w:val=""/>
      <w:lvlJc w:val="left"/>
    </w:lvl>
    <w:lvl w:ilvl="8" w:tplc="1BCE35E2">
      <w:numFmt w:val="decimal"/>
      <w:lvlText w:val=""/>
      <w:lvlJc w:val="left"/>
    </w:lvl>
  </w:abstractNum>
  <w:abstractNum w:abstractNumId="3" w15:restartNumberingAfterBreak="0">
    <w:nsid w:val="12BE2F07"/>
    <w:multiLevelType w:val="hybridMultilevel"/>
    <w:tmpl w:val="DB4A61F4"/>
    <w:lvl w:ilvl="0" w:tplc="44E6B93C">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9A769B"/>
    <w:multiLevelType w:val="hybridMultilevel"/>
    <w:tmpl w:val="E0360E44"/>
    <w:lvl w:ilvl="0" w:tplc="96F84B78">
      <w:start w:val="2"/>
      <w:numFmt w:val="upperLetter"/>
      <w:lvlText w:val="%1."/>
      <w:lvlJc w:val="left"/>
    </w:lvl>
    <w:lvl w:ilvl="1" w:tplc="9A9AB2D8">
      <w:numFmt w:val="decimal"/>
      <w:lvlText w:val=""/>
      <w:lvlJc w:val="left"/>
    </w:lvl>
    <w:lvl w:ilvl="2" w:tplc="9ABEFB9C">
      <w:numFmt w:val="decimal"/>
      <w:lvlText w:val=""/>
      <w:lvlJc w:val="left"/>
    </w:lvl>
    <w:lvl w:ilvl="3" w:tplc="3B80EF5A">
      <w:numFmt w:val="decimal"/>
      <w:lvlText w:val=""/>
      <w:lvlJc w:val="left"/>
    </w:lvl>
    <w:lvl w:ilvl="4" w:tplc="CFDA9798">
      <w:numFmt w:val="decimal"/>
      <w:lvlText w:val=""/>
      <w:lvlJc w:val="left"/>
    </w:lvl>
    <w:lvl w:ilvl="5" w:tplc="2ACE8B1A">
      <w:numFmt w:val="decimal"/>
      <w:lvlText w:val=""/>
      <w:lvlJc w:val="left"/>
    </w:lvl>
    <w:lvl w:ilvl="6" w:tplc="E7B47334">
      <w:numFmt w:val="decimal"/>
      <w:lvlText w:val=""/>
      <w:lvlJc w:val="left"/>
    </w:lvl>
    <w:lvl w:ilvl="7" w:tplc="1980A7D6">
      <w:numFmt w:val="decimal"/>
      <w:lvlText w:val=""/>
      <w:lvlJc w:val="left"/>
    </w:lvl>
    <w:lvl w:ilvl="8" w:tplc="53C88514">
      <w:numFmt w:val="decimal"/>
      <w:lvlText w:val=""/>
      <w:lvlJc w:val="left"/>
    </w:lvl>
  </w:abstractNum>
  <w:abstractNum w:abstractNumId="6" w15:restartNumberingAfterBreak="0">
    <w:nsid w:val="1A22531C"/>
    <w:multiLevelType w:val="hybridMultilevel"/>
    <w:tmpl w:val="60C49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7FF521"/>
    <w:multiLevelType w:val="hybridMultilevel"/>
    <w:tmpl w:val="153E31FE"/>
    <w:lvl w:ilvl="0" w:tplc="5D8A0BEC">
      <w:start w:val="4"/>
      <w:numFmt w:val="upperLetter"/>
      <w:lvlText w:val="%1."/>
      <w:lvlJc w:val="left"/>
    </w:lvl>
    <w:lvl w:ilvl="1" w:tplc="B7FAAB6A">
      <w:numFmt w:val="decimal"/>
      <w:lvlText w:val=""/>
      <w:lvlJc w:val="left"/>
    </w:lvl>
    <w:lvl w:ilvl="2" w:tplc="7C82EA42">
      <w:numFmt w:val="decimal"/>
      <w:lvlText w:val=""/>
      <w:lvlJc w:val="left"/>
    </w:lvl>
    <w:lvl w:ilvl="3" w:tplc="89589ABE">
      <w:numFmt w:val="decimal"/>
      <w:lvlText w:val=""/>
      <w:lvlJc w:val="left"/>
    </w:lvl>
    <w:lvl w:ilvl="4" w:tplc="10CE1C70">
      <w:numFmt w:val="decimal"/>
      <w:lvlText w:val=""/>
      <w:lvlJc w:val="left"/>
    </w:lvl>
    <w:lvl w:ilvl="5" w:tplc="6EC64092">
      <w:numFmt w:val="decimal"/>
      <w:lvlText w:val=""/>
      <w:lvlJc w:val="left"/>
    </w:lvl>
    <w:lvl w:ilvl="6" w:tplc="A5C4C3BC">
      <w:numFmt w:val="decimal"/>
      <w:lvlText w:val=""/>
      <w:lvlJc w:val="left"/>
    </w:lvl>
    <w:lvl w:ilvl="7" w:tplc="817014A4">
      <w:numFmt w:val="decimal"/>
      <w:lvlText w:val=""/>
      <w:lvlJc w:val="left"/>
    </w:lvl>
    <w:lvl w:ilvl="8" w:tplc="4B849592">
      <w:numFmt w:val="decimal"/>
      <w:lvlText w:val=""/>
      <w:lvlJc w:val="left"/>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CA88611"/>
    <w:multiLevelType w:val="hybridMultilevel"/>
    <w:tmpl w:val="F15853C6"/>
    <w:lvl w:ilvl="0" w:tplc="6E6EF1DC">
      <w:start w:val="3"/>
      <w:numFmt w:val="upperLetter"/>
      <w:lvlText w:val="%1."/>
      <w:lvlJc w:val="left"/>
    </w:lvl>
    <w:lvl w:ilvl="1" w:tplc="420078F4">
      <w:start w:val="23"/>
      <w:numFmt w:val="decimal"/>
      <w:lvlText w:val="%2."/>
      <w:lvlJc w:val="left"/>
    </w:lvl>
    <w:lvl w:ilvl="2" w:tplc="BB0A0E9E">
      <w:numFmt w:val="decimal"/>
      <w:lvlText w:val=""/>
      <w:lvlJc w:val="left"/>
    </w:lvl>
    <w:lvl w:ilvl="3" w:tplc="2EFE2258">
      <w:numFmt w:val="decimal"/>
      <w:lvlText w:val=""/>
      <w:lvlJc w:val="left"/>
    </w:lvl>
    <w:lvl w:ilvl="4" w:tplc="0C4E80A0">
      <w:numFmt w:val="decimal"/>
      <w:lvlText w:val=""/>
      <w:lvlJc w:val="left"/>
    </w:lvl>
    <w:lvl w:ilvl="5" w:tplc="EFA2B0E6">
      <w:numFmt w:val="decimal"/>
      <w:lvlText w:val=""/>
      <w:lvlJc w:val="left"/>
    </w:lvl>
    <w:lvl w:ilvl="6" w:tplc="E1168988">
      <w:numFmt w:val="decimal"/>
      <w:lvlText w:val=""/>
      <w:lvlJc w:val="left"/>
    </w:lvl>
    <w:lvl w:ilvl="7" w:tplc="B2A28826">
      <w:numFmt w:val="decimal"/>
      <w:lvlText w:val=""/>
      <w:lvlJc w:val="left"/>
    </w:lvl>
    <w:lvl w:ilvl="8" w:tplc="A0C2CD2A">
      <w:numFmt w:val="decimal"/>
      <w:lvlText w:val=""/>
      <w:lvlJc w:val="left"/>
    </w:lvl>
  </w:abstractNum>
  <w:abstractNum w:abstractNumId="10" w15:restartNumberingAfterBreak="0">
    <w:nsid w:val="2D1D5AE9"/>
    <w:multiLevelType w:val="hybridMultilevel"/>
    <w:tmpl w:val="007007B8"/>
    <w:lvl w:ilvl="0" w:tplc="6D9EBD86">
      <w:start w:val="1"/>
      <w:numFmt w:val="upperLetter"/>
      <w:lvlText w:val="%1."/>
      <w:lvlJc w:val="left"/>
    </w:lvl>
    <w:lvl w:ilvl="1" w:tplc="5A3E672C">
      <w:numFmt w:val="decimal"/>
      <w:lvlText w:val=""/>
      <w:lvlJc w:val="left"/>
    </w:lvl>
    <w:lvl w:ilvl="2" w:tplc="69323816">
      <w:numFmt w:val="decimal"/>
      <w:lvlText w:val=""/>
      <w:lvlJc w:val="left"/>
    </w:lvl>
    <w:lvl w:ilvl="3" w:tplc="34481856">
      <w:numFmt w:val="decimal"/>
      <w:lvlText w:val=""/>
      <w:lvlJc w:val="left"/>
    </w:lvl>
    <w:lvl w:ilvl="4" w:tplc="053C1510">
      <w:numFmt w:val="decimal"/>
      <w:lvlText w:val=""/>
      <w:lvlJc w:val="left"/>
    </w:lvl>
    <w:lvl w:ilvl="5" w:tplc="8E7C965A">
      <w:numFmt w:val="decimal"/>
      <w:lvlText w:val=""/>
      <w:lvlJc w:val="left"/>
    </w:lvl>
    <w:lvl w:ilvl="6" w:tplc="7E90D1AE">
      <w:numFmt w:val="decimal"/>
      <w:lvlText w:val=""/>
      <w:lvlJc w:val="left"/>
    </w:lvl>
    <w:lvl w:ilvl="7" w:tplc="B0124E50">
      <w:numFmt w:val="decimal"/>
      <w:lvlText w:val=""/>
      <w:lvlJc w:val="left"/>
    </w:lvl>
    <w:lvl w:ilvl="8" w:tplc="DBEA3102">
      <w:numFmt w:val="decimal"/>
      <w:lvlText w:val=""/>
      <w:lvlJc w:val="left"/>
    </w:lvl>
  </w:abstractNum>
  <w:abstractNum w:abstractNumId="11" w15:restartNumberingAfterBreak="0">
    <w:nsid w:val="333AB105"/>
    <w:multiLevelType w:val="hybridMultilevel"/>
    <w:tmpl w:val="EAAEC708"/>
    <w:lvl w:ilvl="0" w:tplc="1E1EDA9C">
      <w:start w:val="5"/>
      <w:numFmt w:val="decimal"/>
      <w:lvlText w:val="%1."/>
      <w:lvlJc w:val="left"/>
    </w:lvl>
    <w:lvl w:ilvl="1" w:tplc="44E6B93C">
      <w:start w:val="1"/>
      <w:numFmt w:val="bullet"/>
      <w:lvlText w:val="-"/>
      <w:lvlJc w:val="left"/>
    </w:lvl>
    <w:lvl w:ilvl="2" w:tplc="DE38B896">
      <w:numFmt w:val="decimal"/>
      <w:lvlText w:val=""/>
      <w:lvlJc w:val="left"/>
    </w:lvl>
    <w:lvl w:ilvl="3" w:tplc="E9842F32">
      <w:numFmt w:val="decimal"/>
      <w:lvlText w:val=""/>
      <w:lvlJc w:val="left"/>
    </w:lvl>
    <w:lvl w:ilvl="4" w:tplc="14EE64C0">
      <w:numFmt w:val="decimal"/>
      <w:lvlText w:val=""/>
      <w:lvlJc w:val="left"/>
    </w:lvl>
    <w:lvl w:ilvl="5" w:tplc="A05C5154">
      <w:numFmt w:val="decimal"/>
      <w:lvlText w:val=""/>
      <w:lvlJc w:val="left"/>
    </w:lvl>
    <w:lvl w:ilvl="6" w:tplc="7BA4DB0E">
      <w:numFmt w:val="decimal"/>
      <w:lvlText w:val=""/>
      <w:lvlJc w:val="left"/>
    </w:lvl>
    <w:lvl w:ilvl="7" w:tplc="524A3522">
      <w:numFmt w:val="decimal"/>
      <w:lvlText w:val=""/>
      <w:lvlJc w:val="left"/>
    </w:lvl>
    <w:lvl w:ilvl="8" w:tplc="E916ABD8">
      <w:numFmt w:val="decimal"/>
      <w:lvlText w:val=""/>
      <w:lvlJc w:val="left"/>
    </w:lvl>
  </w:abstractNum>
  <w:abstractNum w:abstractNumId="12" w15:restartNumberingAfterBreak="0">
    <w:nsid w:val="3804823E"/>
    <w:multiLevelType w:val="hybridMultilevel"/>
    <w:tmpl w:val="7D68765C"/>
    <w:lvl w:ilvl="0" w:tplc="1548DDFE">
      <w:start w:val="6"/>
      <w:numFmt w:val="upperLetter"/>
      <w:lvlText w:val="%1."/>
      <w:lvlJc w:val="left"/>
    </w:lvl>
    <w:lvl w:ilvl="1" w:tplc="FE107A36">
      <w:start w:val="43"/>
      <w:numFmt w:val="decimal"/>
      <w:lvlText w:val="%2."/>
      <w:lvlJc w:val="left"/>
    </w:lvl>
    <w:lvl w:ilvl="2" w:tplc="D25CB68C">
      <w:numFmt w:val="decimal"/>
      <w:lvlText w:val=""/>
      <w:lvlJc w:val="left"/>
    </w:lvl>
    <w:lvl w:ilvl="3" w:tplc="AF84CE82">
      <w:numFmt w:val="decimal"/>
      <w:lvlText w:val=""/>
      <w:lvlJc w:val="left"/>
    </w:lvl>
    <w:lvl w:ilvl="4" w:tplc="F30CDA18">
      <w:numFmt w:val="decimal"/>
      <w:lvlText w:val=""/>
      <w:lvlJc w:val="left"/>
    </w:lvl>
    <w:lvl w:ilvl="5" w:tplc="8DA6ACEE">
      <w:numFmt w:val="decimal"/>
      <w:lvlText w:val=""/>
      <w:lvlJc w:val="left"/>
    </w:lvl>
    <w:lvl w:ilvl="6" w:tplc="939E9604">
      <w:numFmt w:val="decimal"/>
      <w:lvlText w:val=""/>
      <w:lvlJc w:val="left"/>
    </w:lvl>
    <w:lvl w:ilvl="7" w:tplc="9670B684">
      <w:numFmt w:val="decimal"/>
      <w:lvlText w:val=""/>
      <w:lvlJc w:val="left"/>
    </w:lvl>
    <w:lvl w:ilvl="8" w:tplc="85D6DA56">
      <w:numFmt w:val="decimal"/>
      <w:lvlText w:val=""/>
      <w:lvlJc w:val="left"/>
    </w:lvl>
  </w:abstractNum>
  <w:abstractNum w:abstractNumId="13" w15:restartNumberingAfterBreak="0">
    <w:nsid w:val="436C6125"/>
    <w:multiLevelType w:val="hybridMultilevel"/>
    <w:tmpl w:val="B2562B06"/>
    <w:lvl w:ilvl="0" w:tplc="FD08DE00">
      <w:start w:val="9"/>
      <w:numFmt w:val="upperLetter"/>
      <w:lvlText w:val="%1."/>
      <w:lvlJc w:val="left"/>
    </w:lvl>
    <w:lvl w:ilvl="1" w:tplc="27D2205A">
      <w:numFmt w:val="decimal"/>
      <w:lvlText w:val=""/>
      <w:lvlJc w:val="left"/>
    </w:lvl>
    <w:lvl w:ilvl="2" w:tplc="8636348C">
      <w:numFmt w:val="decimal"/>
      <w:lvlText w:val=""/>
      <w:lvlJc w:val="left"/>
    </w:lvl>
    <w:lvl w:ilvl="3" w:tplc="49745A00">
      <w:numFmt w:val="decimal"/>
      <w:lvlText w:val=""/>
      <w:lvlJc w:val="left"/>
    </w:lvl>
    <w:lvl w:ilvl="4" w:tplc="40FA16F6">
      <w:numFmt w:val="decimal"/>
      <w:lvlText w:val=""/>
      <w:lvlJc w:val="left"/>
    </w:lvl>
    <w:lvl w:ilvl="5" w:tplc="2DCEC5BE">
      <w:numFmt w:val="decimal"/>
      <w:lvlText w:val=""/>
      <w:lvlJc w:val="left"/>
    </w:lvl>
    <w:lvl w:ilvl="6" w:tplc="7F9C17A0">
      <w:numFmt w:val="decimal"/>
      <w:lvlText w:val=""/>
      <w:lvlJc w:val="left"/>
    </w:lvl>
    <w:lvl w:ilvl="7" w:tplc="99B2D06A">
      <w:numFmt w:val="decimal"/>
      <w:lvlText w:val=""/>
      <w:lvlJc w:val="left"/>
    </w:lvl>
    <w:lvl w:ilvl="8" w:tplc="F1829306">
      <w:numFmt w:val="decimal"/>
      <w:lvlText w:val=""/>
      <w:lvlJc w:val="left"/>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B3D24AC"/>
    <w:multiLevelType w:val="hybridMultilevel"/>
    <w:tmpl w:val="1B18C4C2"/>
    <w:lvl w:ilvl="0" w:tplc="C04CC12C">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577F8E1"/>
    <w:multiLevelType w:val="hybridMultilevel"/>
    <w:tmpl w:val="1286DC64"/>
    <w:lvl w:ilvl="0" w:tplc="6472BF9A">
      <w:start w:val="5"/>
      <w:numFmt w:val="upperLetter"/>
      <w:lvlText w:val="%1."/>
      <w:lvlJc w:val="left"/>
    </w:lvl>
    <w:lvl w:ilvl="1" w:tplc="2B5CF390">
      <w:numFmt w:val="decimal"/>
      <w:lvlText w:val=""/>
      <w:lvlJc w:val="left"/>
    </w:lvl>
    <w:lvl w:ilvl="2" w:tplc="7F4E7746">
      <w:numFmt w:val="decimal"/>
      <w:lvlText w:val=""/>
      <w:lvlJc w:val="left"/>
    </w:lvl>
    <w:lvl w:ilvl="3" w:tplc="21B2EE9E">
      <w:numFmt w:val="decimal"/>
      <w:lvlText w:val=""/>
      <w:lvlJc w:val="left"/>
    </w:lvl>
    <w:lvl w:ilvl="4" w:tplc="E8360B82">
      <w:numFmt w:val="decimal"/>
      <w:lvlText w:val=""/>
      <w:lvlJc w:val="left"/>
    </w:lvl>
    <w:lvl w:ilvl="5" w:tplc="B6964C7A">
      <w:numFmt w:val="decimal"/>
      <w:lvlText w:val=""/>
      <w:lvlJc w:val="left"/>
    </w:lvl>
    <w:lvl w:ilvl="6" w:tplc="54A224B0">
      <w:numFmt w:val="decimal"/>
      <w:lvlText w:val=""/>
      <w:lvlJc w:val="left"/>
    </w:lvl>
    <w:lvl w:ilvl="7" w:tplc="DD442D12">
      <w:numFmt w:val="decimal"/>
      <w:lvlText w:val=""/>
      <w:lvlJc w:val="left"/>
    </w:lvl>
    <w:lvl w:ilvl="8" w:tplc="63AC35DC">
      <w:numFmt w:val="decimal"/>
      <w:lvlText w:val=""/>
      <w:lvlJc w:val="left"/>
    </w:lvl>
  </w:abstractNum>
  <w:abstractNum w:abstractNumId="18" w15:restartNumberingAfterBreak="0">
    <w:nsid w:val="5B1C07DD"/>
    <w:multiLevelType w:val="hybridMultilevel"/>
    <w:tmpl w:val="D536F0AC"/>
    <w:lvl w:ilvl="0" w:tplc="B840F190">
      <w:start w:val="1"/>
      <w:numFmt w:val="upperLetter"/>
      <w:pStyle w:val="Heading3"/>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482A97"/>
    <w:multiLevelType w:val="hybridMultilevel"/>
    <w:tmpl w:val="C778DD1E"/>
    <w:lvl w:ilvl="0" w:tplc="754A1056">
      <w:start w:val="7"/>
      <w:numFmt w:val="upperLetter"/>
      <w:lvlText w:val="%1."/>
      <w:lvlJc w:val="left"/>
    </w:lvl>
    <w:lvl w:ilvl="1" w:tplc="37D8D9E0">
      <w:start w:val="49"/>
      <w:numFmt w:val="decimal"/>
      <w:lvlText w:val="%2."/>
      <w:lvlJc w:val="left"/>
    </w:lvl>
    <w:lvl w:ilvl="2" w:tplc="23E8CE22">
      <w:numFmt w:val="decimal"/>
      <w:lvlText w:val=""/>
      <w:lvlJc w:val="left"/>
    </w:lvl>
    <w:lvl w:ilvl="3" w:tplc="817290B4">
      <w:numFmt w:val="decimal"/>
      <w:lvlText w:val=""/>
      <w:lvlJc w:val="left"/>
    </w:lvl>
    <w:lvl w:ilvl="4" w:tplc="C25E382A">
      <w:numFmt w:val="decimal"/>
      <w:lvlText w:val=""/>
      <w:lvlJc w:val="left"/>
    </w:lvl>
    <w:lvl w:ilvl="5" w:tplc="F8740A6E">
      <w:numFmt w:val="decimal"/>
      <w:lvlText w:val=""/>
      <w:lvlJc w:val="left"/>
    </w:lvl>
    <w:lvl w:ilvl="6" w:tplc="8D6AAC5C">
      <w:numFmt w:val="decimal"/>
      <w:lvlText w:val=""/>
      <w:lvlJc w:val="left"/>
    </w:lvl>
    <w:lvl w:ilvl="7" w:tplc="DE76DF64">
      <w:numFmt w:val="decimal"/>
      <w:lvlText w:val=""/>
      <w:lvlJc w:val="left"/>
    </w:lvl>
    <w:lvl w:ilvl="8" w:tplc="B888CA52">
      <w:numFmt w:val="decimal"/>
      <w:lvlText w:val=""/>
      <w:lvlJc w:val="left"/>
    </w:lvl>
  </w:abstractNum>
  <w:abstractNum w:abstractNumId="20" w15:restartNumberingAfterBreak="0">
    <w:nsid w:val="628C895D"/>
    <w:multiLevelType w:val="hybridMultilevel"/>
    <w:tmpl w:val="D562937E"/>
    <w:lvl w:ilvl="0" w:tplc="B0C89636">
      <w:start w:val="1"/>
      <w:numFmt w:val="decimal"/>
      <w:lvlText w:val="%1."/>
      <w:lvlJc w:val="left"/>
    </w:lvl>
    <w:lvl w:ilvl="1" w:tplc="2CF63C1C">
      <w:start w:val="35"/>
      <w:numFmt w:val="upperLetter"/>
      <w:lvlText w:val="%2."/>
      <w:lvlJc w:val="left"/>
    </w:lvl>
    <w:lvl w:ilvl="2" w:tplc="78EC80B4">
      <w:numFmt w:val="decimal"/>
      <w:lvlText w:val=""/>
      <w:lvlJc w:val="left"/>
    </w:lvl>
    <w:lvl w:ilvl="3" w:tplc="F336193A">
      <w:numFmt w:val="decimal"/>
      <w:lvlText w:val=""/>
      <w:lvlJc w:val="left"/>
    </w:lvl>
    <w:lvl w:ilvl="4" w:tplc="4566EED0">
      <w:numFmt w:val="decimal"/>
      <w:lvlText w:val=""/>
      <w:lvlJc w:val="left"/>
    </w:lvl>
    <w:lvl w:ilvl="5" w:tplc="5C548C8E">
      <w:numFmt w:val="decimal"/>
      <w:lvlText w:val=""/>
      <w:lvlJc w:val="left"/>
    </w:lvl>
    <w:lvl w:ilvl="6" w:tplc="C1208D5E">
      <w:numFmt w:val="decimal"/>
      <w:lvlText w:val=""/>
      <w:lvlJc w:val="left"/>
    </w:lvl>
    <w:lvl w:ilvl="7" w:tplc="C4384D12">
      <w:numFmt w:val="decimal"/>
      <w:lvlText w:val=""/>
      <w:lvlJc w:val="left"/>
    </w:lvl>
    <w:lvl w:ilvl="8" w:tplc="24289050">
      <w:numFmt w:val="decimal"/>
      <w:lvlText w:val=""/>
      <w:lvlJc w:val="left"/>
    </w:lvl>
  </w:abstractNum>
  <w:abstractNum w:abstractNumId="21" w15:restartNumberingAfterBreak="0">
    <w:nsid w:val="62BBD95A"/>
    <w:multiLevelType w:val="hybridMultilevel"/>
    <w:tmpl w:val="18AE3E98"/>
    <w:lvl w:ilvl="0" w:tplc="D75C5ECE">
      <w:start w:val="1"/>
      <w:numFmt w:val="decimal"/>
      <w:lvlText w:val="%1."/>
      <w:lvlJc w:val="left"/>
    </w:lvl>
    <w:lvl w:ilvl="1" w:tplc="64C2F0DA">
      <w:start w:val="3"/>
      <w:numFmt w:val="decimal"/>
      <w:lvlText w:val="%2."/>
      <w:lvlJc w:val="left"/>
    </w:lvl>
    <w:lvl w:ilvl="2" w:tplc="5B426394">
      <w:numFmt w:val="decimal"/>
      <w:lvlText w:val=""/>
      <w:lvlJc w:val="left"/>
    </w:lvl>
    <w:lvl w:ilvl="3" w:tplc="850479AC">
      <w:numFmt w:val="decimal"/>
      <w:lvlText w:val=""/>
      <w:lvlJc w:val="left"/>
    </w:lvl>
    <w:lvl w:ilvl="4" w:tplc="5096EA90">
      <w:numFmt w:val="decimal"/>
      <w:lvlText w:val=""/>
      <w:lvlJc w:val="left"/>
    </w:lvl>
    <w:lvl w:ilvl="5" w:tplc="4E1C0332">
      <w:numFmt w:val="decimal"/>
      <w:lvlText w:val=""/>
      <w:lvlJc w:val="left"/>
    </w:lvl>
    <w:lvl w:ilvl="6" w:tplc="0022839A">
      <w:numFmt w:val="decimal"/>
      <w:lvlText w:val=""/>
      <w:lvlJc w:val="left"/>
    </w:lvl>
    <w:lvl w:ilvl="7" w:tplc="3F8E7A6E">
      <w:numFmt w:val="decimal"/>
      <w:lvlText w:val=""/>
      <w:lvlJc w:val="left"/>
    </w:lvl>
    <w:lvl w:ilvl="8" w:tplc="65D2B664">
      <w:numFmt w:val="decimal"/>
      <w:lvlText w:val=""/>
      <w:lvlJc w:val="left"/>
    </w:lvl>
  </w:abstractNum>
  <w:abstractNum w:abstractNumId="22" w15:restartNumberingAfterBreak="0">
    <w:nsid w:val="67DB0FF2"/>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15:restartNumberingAfterBreak="0">
    <w:nsid w:val="75A2A8D4"/>
    <w:multiLevelType w:val="hybridMultilevel"/>
    <w:tmpl w:val="0D980386"/>
    <w:lvl w:ilvl="0" w:tplc="65A87CD6">
      <w:start w:val="11"/>
      <w:numFmt w:val="decimal"/>
      <w:lvlText w:val="%1."/>
      <w:lvlJc w:val="left"/>
    </w:lvl>
    <w:lvl w:ilvl="1" w:tplc="C04CC12C">
      <w:start w:val="1"/>
      <w:numFmt w:val="bullet"/>
      <w:lvlText w:val="•"/>
      <w:lvlJc w:val="left"/>
    </w:lvl>
    <w:lvl w:ilvl="2" w:tplc="6928B372">
      <w:numFmt w:val="decimal"/>
      <w:lvlText w:val=""/>
      <w:lvlJc w:val="left"/>
    </w:lvl>
    <w:lvl w:ilvl="3" w:tplc="CBCCEE30">
      <w:numFmt w:val="decimal"/>
      <w:lvlText w:val=""/>
      <w:lvlJc w:val="left"/>
    </w:lvl>
    <w:lvl w:ilvl="4" w:tplc="2FA076C6">
      <w:numFmt w:val="decimal"/>
      <w:lvlText w:val=""/>
      <w:lvlJc w:val="left"/>
    </w:lvl>
    <w:lvl w:ilvl="5" w:tplc="236AE38E">
      <w:numFmt w:val="decimal"/>
      <w:lvlText w:val=""/>
      <w:lvlJc w:val="left"/>
    </w:lvl>
    <w:lvl w:ilvl="6" w:tplc="604C9E3A">
      <w:numFmt w:val="decimal"/>
      <w:lvlText w:val=""/>
      <w:lvlJc w:val="left"/>
    </w:lvl>
    <w:lvl w:ilvl="7" w:tplc="B16C29AA">
      <w:numFmt w:val="decimal"/>
      <w:lvlText w:val=""/>
      <w:lvlJc w:val="left"/>
    </w:lvl>
    <w:lvl w:ilvl="8" w:tplc="E7D43DE0">
      <w:numFmt w:val="decimal"/>
      <w:lvlText w:val=""/>
      <w:lvlJc w:val="left"/>
    </w:lvl>
  </w:abstractNum>
  <w:abstractNum w:abstractNumId="24" w15:restartNumberingAfterBreak="0">
    <w:nsid w:val="7A567922"/>
    <w:multiLevelType w:val="hybridMultilevel"/>
    <w:tmpl w:val="E006F7CE"/>
    <w:lvl w:ilvl="0" w:tplc="C04CC12C">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D35E3E"/>
    <w:multiLevelType w:val="hybridMultilevel"/>
    <w:tmpl w:val="31224FA8"/>
    <w:lvl w:ilvl="0" w:tplc="C89A5EA4">
      <w:start w:val="2024"/>
      <w:numFmt w:val="decimal"/>
      <w:lvlText w:val="%1"/>
      <w:lvlJc w:val="left"/>
      <w:pPr>
        <w:ind w:left="1220" w:hanging="480"/>
      </w:pPr>
      <w:rPr>
        <w:rFonts w:hint="default"/>
        <w:i/>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num w:numId="1" w16cid:durableId="1780753844">
    <w:abstractNumId w:val="4"/>
  </w:num>
  <w:num w:numId="2" w16cid:durableId="94903856">
    <w:abstractNumId w:val="14"/>
  </w:num>
  <w:num w:numId="3" w16cid:durableId="1846895430">
    <w:abstractNumId w:val="0"/>
  </w:num>
  <w:num w:numId="4" w16cid:durableId="1742175926">
    <w:abstractNumId w:val="16"/>
  </w:num>
  <w:num w:numId="5" w16cid:durableId="1817991361">
    <w:abstractNumId w:val="1"/>
  </w:num>
  <w:num w:numId="6" w16cid:durableId="2755125">
    <w:abstractNumId w:val="8"/>
  </w:num>
  <w:num w:numId="7" w16cid:durableId="602224601">
    <w:abstractNumId w:val="21"/>
  </w:num>
  <w:num w:numId="8" w16cid:durableId="914898795">
    <w:abstractNumId w:val="13"/>
  </w:num>
  <w:num w:numId="9" w16cid:durableId="971911210">
    <w:abstractNumId w:val="20"/>
  </w:num>
  <w:num w:numId="10" w16cid:durableId="825559544">
    <w:abstractNumId w:val="11"/>
  </w:num>
  <w:num w:numId="11" w16cid:durableId="399640097">
    <w:abstractNumId w:val="10"/>
  </w:num>
  <w:num w:numId="12" w16cid:durableId="2013875049">
    <w:abstractNumId w:val="23"/>
  </w:num>
  <w:num w:numId="13" w16cid:durableId="2044355459">
    <w:abstractNumId w:val="2"/>
  </w:num>
  <w:num w:numId="14" w16cid:durableId="1561288656">
    <w:abstractNumId w:val="5"/>
  </w:num>
  <w:num w:numId="15" w16cid:durableId="1356345718">
    <w:abstractNumId w:val="22"/>
  </w:num>
  <w:num w:numId="16" w16cid:durableId="12713524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806968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8891543">
    <w:abstractNumId w:val="3"/>
  </w:num>
  <w:num w:numId="19" w16cid:durableId="966160118">
    <w:abstractNumId w:val="6"/>
  </w:num>
  <w:num w:numId="20" w16cid:durableId="1436636780">
    <w:abstractNumId w:val="18"/>
  </w:num>
  <w:num w:numId="21" w16cid:durableId="609364226">
    <w:abstractNumId w:val="24"/>
  </w:num>
  <w:num w:numId="22" w16cid:durableId="1910379382">
    <w:abstractNumId w:val="15"/>
  </w:num>
  <w:num w:numId="23" w16cid:durableId="1366952734">
    <w:abstractNumId w:val="9"/>
  </w:num>
  <w:num w:numId="24" w16cid:durableId="581305613">
    <w:abstractNumId w:val="7"/>
  </w:num>
  <w:num w:numId="25" w16cid:durableId="967778536">
    <w:abstractNumId w:val="17"/>
  </w:num>
  <w:num w:numId="26" w16cid:durableId="1957561892">
    <w:abstractNumId w:val="12"/>
  </w:num>
  <w:num w:numId="27" w16cid:durableId="1735394045">
    <w:abstractNumId w:val="19"/>
  </w:num>
  <w:num w:numId="28" w16cid:durableId="1582980058">
    <w:abstractNumId w:val="25"/>
  </w:num>
  <w:num w:numId="29" w16cid:durableId="1003585049">
    <w:abstractNumId w:val="8"/>
  </w:num>
  <w:num w:numId="30" w16cid:durableId="1470516917">
    <w:abstractNumId w:val="8"/>
  </w:num>
  <w:num w:numId="31" w16cid:durableId="2146043440">
    <w:abstractNumId w:val="8"/>
  </w:num>
  <w:num w:numId="32" w16cid:durableId="2091928426">
    <w:abstractNumId w:val="8"/>
  </w:num>
  <w:num w:numId="33" w16cid:durableId="15380022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5D"/>
    <w:rsid w:val="00011B7D"/>
    <w:rsid w:val="000613E9"/>
    <w:rsid w:val="00075432"/>
    <w:rsid w:val="000E3117"/>
    <w:rsid w:val="000F5E56"/>
    <w:rsid w:val="00122081"/>
    <w:rsid w:val="001362EE"/>
    <w:rsid w:val="001527DD"/>
    <w:rsid w:val="00155EA0"/>
    <w:rsid w:val="001832A6"/>
    <w:rsid w:val="00195C6E"/>
    <w:rsid w:val="001B266A"/>
    <w:rsid w:val="001D3D56"/>
    <w:rsid w:val="001D6F62"/>
    <w:rsid w:val="001D72BE"/>
    <w:rsid w:val="001E36A8"/>
    <w:rsid w:val="00240654"/>
    <w:rsid w:val="002634C4"/>
    <w:rsid w:val="00267DE3"/>
    <w:rsid w:val="002715B7"/>
    <w:rsid w:val="002B54D4"/>
    <w:rsid w:val="002D4918"/>
    <w:rsid w:val="002E4D1A"/>
    <w:rsid w:val="002F16BC"/>
    <w:rsid w:val="002F1B6F"/>
    <w:rsid w:val="002F4E68"/>
    <w:rsid w:val="00315FCA"/>
    <w:rsid w:val="00340E40"/>
    <w:rsid w:val="0038059C"/>
    <w:rsid w:val="003845C1"/>
    <w:rsid w:val="00391F11"/>
    <w:rsid w:val="003A1BCD"/>
    <w:rsid w:val="004008A2"/>
    <w:rsid w:val="004025DF"/>
    <w:rsid w:val="00423E3E"/>
    <w:rsid w:val="00424032"/>
    <w:rsid w:val="00427AF4"/>
    <w:rsid w:val="00431989"/>
    <w:rsid w:val="004647DA"/>
    <w:rsid w:val="00477D6B"/>
    <w:rsid w:val="004813F2"/>
    <w:rsid w:val="004A576F"/>
    <w:rsid w:val="004D6471"/>
    <w:rsid w:val="004D763E"/>
    <w:rsid w:val="004F0849"/>
    <w:rsid w:val="004F4045"/>
    <w:rsid w:val="004F4E31"/>
    <w:rsid w:val="00525B63"/>
    <w:rsid w:val="00537DBB"/>
    <w:rsid w:val="00547476"/>
    <w:rsid w:val="00561DB8"/>
    <w:rsid w:val="00567A4C"/>
    <w:rsid w:val="00567D6F"/>
    <w:rsid w:val="005E6516"/>
    <w:rsid w:val="005F53B4"/>
    <w:rsid w:val="00605827"/>
    <w:rsid w:val="006351CF"/>
    <w:rsid w:val="0065085D"/>
    <w:rsid w:val="00676936"/>
    <w:rsid w:val="006B0DB5"/>
    <w:rsid w:val="006C0B5B"/>
    <w:rsid w:val="006E4243"/>
    <w:rsid w:val="006F088C"/>
    <w:rsid w:val="007461F1"/>
    <w:rsid w:val="007D6961"/>
    <w:rsid w:val="007F07CB"/>
    <w:rsid w:val="00810CEF"/>
    <w:rsid w:val="0081208D"/>
    <w:rsid w:val="00826FD7"/>
    <w:rsid w:val="00842A13"/>
    <w:rsid w:val="00856EFB"/>
    <w:rsid w:val="008A09FB"/>
    <w:rsid w:val="008B2CC1"/>
    <w:rsid w:val="008D402E"/>
    <w:rsid w:val="008E7930"/>
    <w:rsid w:val="0090731E"/>
    <w:rsid w:val="00930446"/>
    <w:rsid w:val="00947C63"/>
    <w:rsid w:val="00966A22"/>
    <w:rsid w:val="00974CD6"/>
    <w:rsid w:val="00976D75"/>
    <w:rsid w:val="009925B6"/>
    <w:rsid w:val="009A5207"/>
    <w:rsid w:val="009D30E6"/>
    <w:rsid w:val="009E3F6F"/>
    <w:rsid w:val="009F499F"/>
    <w:rsid w:val="00A143D7"/>
    <w:rsid w:val="00A95F8F"/>
    <w:rsid w:val="00A9764E"/>
    <w:rsid w:val="00AC0AE4"/>
    <w:rsid w:val="00AD61DB"/>
    <w:rsid w:val="00B0451C"/>
    <w:rsid w:val="00B87BCF"/>
    <w:rsid w:val="00BA62D4"/>
    <w:rsid w:val="00BB348A"/>
    <w:rsid w:val="00BC10DD"/>
    <w:rsid w:val="00BC6DE2"/>
    <w:rsid w:val="00C40E15"/>
    <w:rsid w:val="00C64797"/>
    <w:rsid w:val="00C664C8"/>
    <w:rsid w:val="00C741D6"/>
    <w:rsid w:val="00C76A79"/>
    <w:rsid w:val="00CA15F5"/>
    <w:rsid w:val="00CC5723"/>
    <w:rsid w:val="00CE625B"/>
    <w:rsid w:val="00CF0460"/>
    <w:rsid w:val="00D45252"/>
    <w:rsid w:val="00D64E81"/>
    <w:rsid w:val="00D71B4D"/>
    <w:rsid w:val="00D75C1E"/>
    <w:rsid w:val="00D84FF2"/>
    <w:rsid w:val="00D93D55"/>
    <w:rsid w:val="00DB0349"/>
    <w:rsid w:val="00DD6A16"/>
    <w:rsid w:val="00DE7380"/>
    <w:rsid w:val="00E0091A"/>
    <w:rsid w:val="00E203AA"/>
    <w:rsid w:val="00E527A5"/>
    <w:rsid w:val="00E72B12"/>
    <w:rsid w:val="00E76456"/>
    <w:rsid w:val="00EA3972"/>
    <w:rsid w:val="00EE71CB"/>
    <w:rsid w:val="00EF0B73"/>
    <w:rsid w:val="00EF21B8"/>
    <w:rsid w:val="00F16975"/>
    <w:rsid w:val="00F66152"/>
    <w:rsid w:val="00FC7B19"/>
    <w:rsid w:val="00FD177E"/>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BC8A80"/>
  <w15:docId w15:val="{4240CBFE-85BE-43A9-8287-61BE3CDC6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D84FF2"/>
    <w:pPr>
      <w:keepNext/>
      <w:spacing w:before="480" w:after="240"/>
      <w:outlineLvl w:val="0"/>
    </w:pPr>
    <w:rPr>
      <w:b/>
      <w:bCs/>
      <w:caps/>
      <w:kern w:val="32"/>
      <w:szCs w:val="32"/>
      <w:lang w:val="fr-FR"/>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2715B7"/>
    <w:pPr>
      <w:keepNext/>
      <w:numPr>
        <w:numId w:val="20"/>
      </w:numPr>
      <w:spacing w:before="480" w:after="240"/>
      <w:ind w:left="567" w:hanging="567"/>
      <w:outlineLvl w:val="2"/>
    </w:pPr>
    <w:rPr>
      <w:bCs/>
      <w:szCs w:val="26"/>
      <w:u w:val="single"/>
      <w:lang w:val="fr-FR"/>
    </w:rPr>
  </w:style>
  <w:style w:type="paragraph" w:styleId="Heading4">
    <w:name w:val="heading 4"/>
    <w:basedOn w:val="Normal"/>
    <w:next w:val="Normal"/>
    <w:qFormat/>
    <w:rsid w:val="00FD177E"/>
    <w:pPr>
      <w:keepNext/>
      <w:spacing w:before="240" w:after="240"/>
      <w:ind w:left="567"/>
      <w:outlineLvl w:val="3"/>
    </w:pPr>
    <w:rPr>
      <w:bCs/>
      <w:i/>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BB348A"/>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qForma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erChar">
    <w:name w:val="Header Char"/>
    <w:basedOn w:val="DefaultParagraphFont"/>
    <w:link w:val="Header"/>
    <w:uiPriority w:val="99"/>
    <w:rsid w:val="0065085D"/>
    <w:rPr>
      <w:rFonts w:ascii="Arial" w:eastAsia="SimSun" w:hAnsi="Arial" w:cs="Arial"/>
      <w:sz w:val="22"/>
      <w:lang w:eastAsia="zh-CN"/>
    </w:rPr>
  </w:style>
  <w:style w:type="character" w:customStyle="1" w:styleId="FooterChar">
    <w:name w:val="Footer Char"/>
    <w:basedOn w:val="DefaultParagraphFont"/>
    <w:link w:val="Footer"/>
    <w:uiPriority w:val="99"/>
    <w:rsid w:val="0065085D"/>
    <w:rPr>
      <w:rFonts w:ascii="Arial" w:eastAsia="SimSun" w:hAnsi="Arial" w:cs="Arial"/>
      <w:sz w:val="22"/>
      <w:lang w:eastAsia="zh-CN"/>
    </w:rPr>
  </w:style>
  <w:style w:type="paragraph" w:styleId="ListParagraph">
    <w:name w:val="List Paragraph"/>
    <w:basedOn w:val="Normal"/>
    <w:uiPriority w:val="34"/>
    <w:qFormat/>
    <w:rsid w:val="0065085D"/>
    <w:pPr>
      <w:ind w:left="720"/>
      <w:contextualSpacing/>
    </w:pPr>
    <w:rPr>
      <w:rFonts w:ascii="Times New Roman" w:eastAsiaTheme="minorEastAsia" w:hAnsi="Times New Roman" w:cs="Times New Roman"/>
      <w:szCs w:val="22"/>
      <w:lang w:val="fr-FR" w:eastAsia="en-US"/>
    </w:rPr>
  </w:style>
  <w:style w:type="paragraph" w:customStyle="1" w:styleId="Default">
    <w:name w:val="Default"/>
    <w:rsid w:val="0065085D"/>
    <w:pPr>
      <w:autoSpaceDE w:val="0"/>
      <w:autoSpaceDN w:val="0"/>
      <w:adjustRightInd w:val="0"/>
    </w:pPr>
    <w:rPr>
      <w:rFonts w:ascii="Arial" w:eastAsiaTheme="minorHAnsi" w:hAnsi="Arial" w:cs="Arial"/>
      <w:color w:val="000000"/>
      <w:sz w:val="24"/>
      <w:szCs w:val="24"/>
      <w:lang w:val="fr-FR" w:eastAsia="en-US"/>
    </w:rPr>
  </w:style>
  <w:style w:type="character" w:customStyle="1" w:styleId="ONUMEChar">
    <w:name w:val="ONUM E Char"/>
    <w:link w:val="ONUME"/>
    <w:locked/>
    <w:rsid w:val="0065085D"/>
    <w:rPr>
      <w:rFonts w:ascii="Arial" w:eastAsia="SimSun" w:hAnsi="Arial" w:cs="Arial"/>
      <w:sz w:val="22"/>
      <w:lang w:eastAsia="zh-CN"/>
    </w:rPr>
  </w:style>
  <w:style w:type="character" w:styleId="Hyperlink">
    <w:name w:val="Hyperlink"/>
    <w:basedOn w:val="DefaultParagraphFont"/>
    <w:semiHidden/>
    <w:unhideWhenUsed/>
    <w:rsid w:val="00C741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8%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27E6F8-862B-456D-A532-5C585964647F}">
  <ds:schemaRefs>
    <ds:schemaRef ds:uri="http://schemas.openxmlformats.org/officeDocument/2006/bibliography"/>
  </ds:schemaRefs>
</ds:datastoreItem>
</file>

<file path=customXml/itemProps2.xml><?xml version="1.0" encoding="utf-8"?>
<ds:datastoreItem xmlns:ds="http://schemas.openxmlformats.org/officeDocument/2006/customXml" ds:itemID="{A0CEC62E-D43D-4F27-AD1D-945B95F9D45A}">
  <ds:schemaRefs>
    <ds:schemaRef ds:uri="http://schemas.microsoft.com/office/2006/documentManagement/types"/>
    <ds:schemaRef ds:uri="http://purl.org/dc/terms/"/>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b1a73aef-ce8f-442d-a5fc-a13bc475f3fd"/>
    <ds:schemaRef ds:uri="781c9f64-295c-457e-9e5f-c4eb841d6909"/>
    <ds:schemaRef ds:uri="http://purl.org/dc/elements/1.1/"/>
  </ds:schemaRefs>
</ds:datastoreItem>
</file>

<file path=customXml/itemProps3.xml><?xml version="1.0" encoding="utf-8"?>
<ds:datastoreItem xmlns:ds="http://schemas.openxmlformats.org/officeDocument/2006/customXml" ds:itemID="{577D08C4-528B-44C3-9672-137DB2C3BEC3}">
  <ds:schemaRefs>
    <ds:schemaRef ds:uri="http://schemas.microsoft.com/sharepoint/v3/contenttype/forms"/>
  </ds:schemaRefs>
</ds:datastoreItem>
</file>

<file path=customXml/itemProps4.xml><?xml version="1.0" encoding="utf-8"?>
<ds:datastoreItem xmlns:ds="http://schemas.openxmlformats.org/officeDocument/2006/customXml" ds:itemID="{6E9CE535-B847-4644-97E3-D922D4C2A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WO_GA_58 (F)</Template>
  <TotalTime>1</TotalTime>
  <Pages>17</Pages>
  <Words>7608</Words>
  <Characters>41982</Characters>
  <Application>Microsoft Office Word</Application>
  <DocSecurity>0</DocSecurity>
  <Lines>666</Lines>
  <Paragraphs>204</Paragraphs>
  <ScaleCrop>false</ScaleCrop>
  <HeadingPairs>
    <vt:vector size="2" baseType="variant">
      <vt:variant>
        <vt:lpstr>Title</vt:lpstr>
      </vt:variant>
      <vt:variant>
        <vt:i4>1</vt:i4>
      </vt:variant>
    </vt:vector>
  </HeadingPairs>
  <TitlesOfParts>
    <vt:vector size="1" baseType="lpstr">
      <vt:lpstr>WO/GA/58/2</vt:lpstr>
    </vt:vector>
  </TitlesOfParts>
  <Company>WIPO</Company>
  <LinksUpToDate>false</LinksUpToDate>
  <CharactersWithSpaces>49386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WO/GA/58/2</dc:title>
  <dc:creator>OLIVIÉ Karen</dc:creator>
  <cp:keywords>FOR OFFICIAL USE ONLY</cp:keywords>
  <cp:lastModifiedBy>SAMUELS Frederick Anthony</cp:lastModifiedBy>
  <cp:revision>4</cp:revision>
  <cp:lastPrinted>2011-05-19T12:37:00Z</cp:lastPrinted>
  <dcterms:created xsi:type="dcterms:W3CDTF">2025-05-28T09:46:00Z</dcterms:created>
  <dcterms:modified xsi:type="dcterms:W3CDTF">2025-05-28T13:04:00Z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2025-02-18T10:25:44Z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f686af02-b8f8-4d20-bcbb-c5d23de64b62</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ies>
</file>